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2C047B" w:rsidRPr="002C047B" w:rsidTr="00065765">
        <w:tc>
          <w:tcPr>
            <w:tcW w:w="4513" w:type="dxa"/>
            <w:tcBorders>
              <w:bottom w:val="single" w:sz="4" w:space="0" w:color="auto"/>
            </w:tcBorders>
            <w:tcMar>
              <w:bottom w:w="170" w:type="dxa"/>
            </w:tcMar>
          </w:tcPr>
          <w:p w:rsidR="002C0771" w:rsidRPr="002C047B" w:rsidRDefault="002C0771" w:rsidP="003E7DE7">
            <w:pPr>
              <w:rPr>
                <w:lang w:val="fr-FR"/>
              </w:rPr>
            </w:pPr>
          </w:p>
        </w:tc>
        <w:tc>
          <w:tcPr>
            <w:tcW w:w="4337" w:type="dxa"/>
            <w:tcBorders>
              <w:bottom w:val="single" w:sz="4" w:space="0" w:color="auto"/>
            </w:tcBorders>
            <w:tcMar>
              <w:left w:w="0" w:type="dxa"/>
              <w:right w:w="0" w:type="dxa"/>
            </w:tcMar>
          </w:tcPr>
          <w:p w:rsidR="002C0771" w:rsidRPr="002C047B" w:rsidRDefault="002C0771" w:rsidP="003E7DE7">
            <w:pPr>
              <w:rPr>
                <w:lang w:val="fr-FR"/>
              </w:rPr>
            </w:pPr>
            <w:r w:rsidRPr="002C047B">
              <w:rPr>
                <w:noProof/>
                <w:lang w:eastAsia="en-US"/>
              </w:rPr>
              <w:drawing>
                <wp:inline distT="0" distB="0" distL="0" distR="0" wp14:anchorId="4EDB65C9" wp14:editId="51DCA5A9">
                  <wp:extent cx="1857375" cy="1323975"/>
                  <wp:effectExtent l="0" t="0" r="9525" b="952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2C0771" w:rsidRPr="002C047B" w:rsidRDefault="002C0771" w:rsidP="003E7DE7">
            <w:pPr>
              <w:jc w:val="right"/>
              <w:rPr>
                <w:lang w:val="fr-FR"/>
              </w:rPr>
            </w:pPr>
            <w:r w:rsidRPr="002C047B">
              <w:rPr>
                <w:b/>
                <w:sz w:val="40"/>
                <w:szCs w:val="40"/>
                <w:lang w:val="fr-FR"/>
              </w:rPr>
              <w:t>F</w:t>
            </w:r>
          </w:p>
        </w:tc>
      </w:tr>
      <w:tr w:rsidR="002C047B" w:rsidRPr="002C047B" w:rsidTr="003E7DE7">
        <w:trPr>
          <w:trHeight w:hRule="exact" w:val="340"/>
        </w:trPr>
        <w:tc>
          <w:tcPr>
            <w:tcW w:w="9356" w:type="dxa"/>
            <w:gridSpan w:val="3"/>
            <w:tcBorders>
              <w:top w:val="single" w:sz="4" w:space="0" w:color="auto"/>
            </w:tcBorders>
            <w:tcMar>
              <w:top w:w="170" w:type="dxa"/>
              <w:left w:w="0" w:type="dxa"/>
              <w:right w:w="0" w:type="dxa"/>
            </w:tcMar>
            <w:vAlign w:val="bottom"/>
          </w:tcPr>
          <w:p w:rsidR="002C0771" w:rsidRPr="002C047B" w:rsidRDefault="002C0771" w:rsidP="003E7DE7">
            <w:pPr>
              <w:jc w:val="right"/>
              <w:rPr>
                <w:rFonts w:ascii="Arial Black" w:hAnsi="Arial Black"/>
                <w:caps/>
                <w:sz w:val="15"/>
                <w:lang w:val="fr-FR"/>
              </w:rPr>
            </w:pPr>
            <w:r w:rsidRPr="002C047B">
              <w:rPr>
                <w:rFonts w:ascii="Arial Black" w:hAnsi="Arial Black"/>
                <w:caps/>
                <w:sz w:val="15"/>
                <w:lang w:val="fr-FR"/>
              </w:rPr>
              <w:t>PCT/WG/8/</w:t>
            </w:r>
            <w:bookmarkStart w:id="0" w:name="Code"/>
            <w:bookmarkEnd w:id="0"/>
            <w:r w:rsidRPr="002C047B">
              <w:rPr>
                <w:rFonts w:ascii="Arial Black" w:hAnsi="Arial Black"/>
                <w:caps/>
                <w:sz w:val="15"/>
                <w:lang w:val="fr-FR"/>
              </w:rPr>
              <w:t xml:space="preserve">22 </w:t>
            </w:r>
          </w:p>
        </w:tc>
      </w:tr>
      <w:tr w:rsidR="002C047B" w:rsidRPr="002C047B" w:rsidTr="003E7DE7">
        <w:trPr>
          <w:trHeight w:hRule="exact" w:val="170"/>
        </w:trPr>
        <w:tc>
          <w:tcPr>
            <w:tcW w:w="9356" w:type="dxa"/>
            <w:gridSpan w:val="3"/>
            <w:noWrap/>
            <w:tcMar>
              <w:left w:w="0" w:type="dxa"/>
              <w:right w:w="0" w:type="dxa"/>
            </w:tcMar>
            <w:vAlign w:val="bottom"/>
          </w:tcPr>
          <w:p w:rsidR="002C0771" w:rsidRPr="002C047B" w:rsidRDefault="002C0771" w:rsidP="003E7DE7">
            <w:pPr>
              <w:jc w:val="right"/>
              <w:rPr>
                <w:rFonts w:ascii="Arial Black" w:hAnsi="Arial Black"/>
                <w:caps/>
                <w:sz w:val="15"/>
                <w:lang w:val="fr-FR"/>
              </w:rPr>
            </w:pPr>
            <w:r w:rsidRPr="002C047B">
              <w:rPr>
                <w:rFonts w:ascii="Arial Black" w:hAnsi="Arial Black"/>
                <w:caps/>
                <w:sz w:val="15"/>
                <w:lang w:val="fr-FR"/>
              </w:rPr>
              <w:t>ORIGINAL</w:t>
            </w:r>
            <w:r w:rsidR="004862FB" w:rsidRPr="002C047B">
              <w:rPr>
                <w:rFonts w:ascii="Arial Black" w:hAnsi="Arial Black"/>
                <w:caps/>
                <w:sz w:val="15"/>
                <w:lang w:val="fr-FR"/>
              </w:rPr>
              <w:t> </w:t>
            </w:r>
            <w:r w:rsidRPr="002C047B">
              <w:rPr>
                <w:rFonts w:ascii="Arial Black" w:hAnsi="Arial Black"/>
                <w:caps/>
                <w:sz w:val="15"/>
                <w:lang w:val="fr-FR"/>
              </w:rPr>
              <w:t xml:space="preserve">: </w:t>
            </w:r>
            <w:bookmarkStart w:id="1" w:name="Original"/>
            <w:bookmarkEnd w:id="1"/>
            <w:r w:rsidRPr="002C047B">
              <w:rPr>
                <w:rFonts w:ascii="Arial Black" w:hAnsi="Arial Black"/>
                <w:caps/>
                <w:sz w:val="15"/>
                <w:lang w:val="fr-FR"/>
              </w:rPr>
              <w:t>anglais</w:t>
            </w:r>
          </w:p>
        </w:tc>
      </w:tr>
      <w:tr w:rsidR="002C047B" w:rsidRPr="002C047B" w:rsidTr="003E7DE7">
        <w:trPr>
          <w:trHeight w:hRule="exact" w:val="198"/>
        </w:trPr>
        <w:tc>
          <w:tcPr>
            <w:tcW w:w="9356" w:type="dxa"/>
            <w:gridSpan w:val="3"/>
            <w:tcMar>
              <w:left w:w="0" w:type="dxa"/>
              <w:right w:w="0" w:type="dxa"/>
            </w:tcMar>
            <w:vAlign w:val="bottom"/>
          </w:tcPr>
          <w:p w:rsidR="002C0771" w:rsidRPr="002C047B" w:rsidRDefault="002C0771" w:rsidP="003E7DE7">
            <w:pPr>
              <w:jc w:val="right"/>
              <w:rPr>
                <w:rFonts w:ascii="Arial Black" w:hAnsi="Arial Black"/>
                <w:caps/>
                <w:sz w:val="15"/>
                <w:lang w:val="fr-FR"/>
              </w:rPr>
            </w:pPr>
            <w:r w:rsidRPr="002C047B">
              <w:rPr>
                <w:rFonts w:ascii="Arial Black" w:hAnsi="Arial Black"/>
                <w:caps/>
                <w:sz w:val="15"/>
                <w:lang w:val="fr-FR"/>
              </w:rPr>
              <w:t>DATE</w:t>
            </w:r>
            <w:r w:rsidR="004862FB" w:rsidRPr="002C047B">
              <w:rPr>
                <w:rFonts w:ascii="Arial Black" w:hAnsi="Arial Black"/>
                <w:caps/>
                <w:sz w:val="15"/>
                <w:lang w:val="fr-FR"/>
              </w:rPr>
              <w:t> </w:t>
            </w:r>
            <w:r w:rsidRPr="002C047B">
              <w:rPr>
                <w:rFonts w:ascii="Arial Black" w:hAnsi="Arial Black"/>
                <w:caps/>
                <w:sz w:val="15"/>
                <w:lang w:val="fr-FR"/>
              </w:rPr>
              <w:t xml:space="preserve">: </w:t>
            </w:r>
            <w:bookmarkStart w:id="2" w:name="Date"/>
            <w:bookmarkEnd w:id="2"/>
            <w:r w:rsidRPr="002C047B">
              <w:rPr>
                <w:rFonts w:ascii="Arial Black" w:hAnsi="Arial Black"/>
                <w:caps/>
                <w:sz w:val="15"/>
                <w:lang w:val="fr-FR"/>
              </w:rPr>
              <w:t>1</w:t>
            </w:r>
            <w:r w:rsidRPr="002C047B">
              <w:rPr>
                <w:rFonts w:ascii="Arial Black" w:hAnsi="Arial Black"/>
                <w:caps/>
                <w:sz w:val="15"/>
                <w:vertAlign w:val="superscript"/>
                <w:lang w:val="fr-FR"/>
              </w:rPr>
              <w:t>er</w:t>
            </w:r>
            <w:r w:rsidRPr="002C047B">
              <w:rPr>
                <w:rFonts w:ascii="Arial Black" w:hAnsi="Arial Black"/>
                <w:caps/>
                <w:sz w:val="15"/>
                <w:lang w:val="fr-FR"/>
              </w:rPr>
              <w:t> mai 2015</w:t>
            </w:r>
          </w:p>
        </w:tc>
      </w:tr>
    </w:tbl>
    <w:p w:rsidR="002C0771" w:rsidRPr="002C047B" w:rsidRDefault="002C0771" w:rsidP="002C0771">
      <w:pPr>
        <w:rPr>
          <w:lang w:val="fr-FR"/>
        </w:rPr>
      </w:pPr>
    </w:p>
    <w:p w:rsidR="002C0771" w:rsidRPr="002C047B" w:rsidRDefault="002C0771" w:rsidP="002C0771">
      <w:pPr>
        <w:rPr>
          <w:lang w:val="fr-FR"/>
        </w:rPr>
      </w:pPr>
    </w:p>
    <w:p w:rsidR="002C0771" w:rsidRPr="002C047B" w:rsidRDefault="002C0771" w:rsidP="002C0771">
      <w:pPr>
        <w:rPr>
          <w:lang w:val="fr-FR"/>
        </w:rPr>
      </w:pPr>
    </w:p>
    <w:p w:rsidR="002C0771" w:rsidRPr="002C047B" w:rsidRDefault="002C0771" w:rsidP="002C0771">
      <w:pPr>
        <w:rPr>
          <w:lang w:val="fr-FR"/>
        </w:rPr>
      </w:pPr>
    </w:p>
    <w:p w:rsidR="002C0771" w:rsidRPr="002C047B" w:rsidRDefault="002C0771" w:rsidP="002C0771">
      <w:pPr>
        <w:rPr>
          <w:lang w:val="fr-FR"/>
        </w:rPr>
      </w:pPr>
    </w:p>
    <w:p w:rsidR="002C0771" w:rsidRPr="002C047B" w:rsidRDefault="002C0771" w:rsidP="002C0771">
      <w:pPr>
        <w:rPr>
          <w:b/>
          <w:sz w:val="28"/>
          <w:szCs w:val="28"/>
          <w:lang w:val="fr-FR"/>
        </w:rPr>
      </w:pPr>
      <w:r w:rsidRPr="002C047B">
        <w:rPr>
          <w:b/>
          <w:sz w:val="28"/>
          <w:szCs w:val="28"/>
          <w:lang w:val="fr-FR"/>
        </w:rPr>
        <w:t>Groupe de travail du Traité de coopération en matière de brevets (PCT)</w:t>
      </w:r>
    </w:p>
    <w:p w:rsidR="002C0771" w:rsidRPr="002C047B" w:rsidRDefault="002C0771" w:rsidP="002C0771">
      <w:pPr>
        <w:rPr>
          <w:lang w:val="fr-FR"/>
        </w:rPr>
      </w:pPr>
    </w:p>
    <w:p w:rsidR="002C0771" w:rsidRPr="002C047B" w:rsidRDefault="002C0771" w:rsidP="002C0771">
      <w:pPr>
        <w:rPr>
          <w:lang w:val="fr-FR"/>
        </w:rPr>
      </w:pPr>
    </w:p>
    <w:p w:rsidR="002C0771" w:rsidRPr="002C047B" w:rsidRDefault="002C0771" w:rsidP="002C0771">
      <w:pPr>
        <w:rPr>
          <w:b/>
          <w:sz w:val="24"/>
          <w:szCs w:val="24"/>
          <w:lang w:val="fr-FR"/>
        </w:rPr>
      </w:pPr>
      <w:r w:rsidRPr="002C047B">
        <w:rPr>
          <w:b/>
          <w:sz w:val="24"/>
          <w:szCs w:val="24"/>
          <w:lang w:val="fr-FR"/>
        </w:rPr>
        <w:t>Huitième</w:t>
      </w:r>
      <w:r w:rsidR="004862FB" w:rsidRPr="002C047B">
        <w:rPr>
          <w:b/>
          <w:sz w:val="24"/>
          <w:szCs w:val="24"/>
          <w:lang w:val="fr-FR"/>
        </w:rPr>
        <w:t> </w:t>
      </w:r>
      <w:r w:rsidRPr="002C047B">
        <w:rPr>
          <w:b/>
          <w:sz w:val="24"/>
          <w:szCs w:val="24"/>
          <w:lang w:val="fr-FR"/>
        </w:rPr>
        <w:t>session</w:t>
      </w:r>
    </w:p>
    <w:p w:rsidR="002C0771" w:rsidRPr="002C047B" w:rsidRDefault="002C0771" w:rsidP="002C0771">
      <w:pPr>
        <w:rPr>
          <w:b/>
          <w:sz w:val="24"/>
          <w:szCs w:val="24"/>
          <w:lang w:val="fr-FR"/>
        </w:rPr>
      </w:pPr>
      <w:r w:rsidRPr="002C047B">
        <w:rPr>
          <w:b/>
          <w:sz w:val="24"/>
          <w:szCs w:val="24"/>
          <w:lang w:val="fr-FR"/>
        </w:rPr>
        <w:t>Genève, 26 – 2</w:t>
      </w:r>
      <w:r w:rsidR="005931B4" w:rsidRPr="002C047B">
        <w:rPr>
          <w:b/>
          <w:sz w:val="24"/>
          <w:szCs w:val="24"/>
          <w:lang w:val="fr-FR"/>
        </w:rPr>
        <w:t>9 mai 20</w:t>
      </w:r>
      <w:r w:rsidRPr="002C047B">
        <w:rPr>
          <w:b/>
          <w:sz w:val="24"/>
          <w:szCs w:val="24"/>
          <w:lang w:val="fr-FR"/>
        </w:rPr>
        <w:t>15</w:t>
      </w:r>
    </w:p>
    <w:p w:rsidR="002C0771" w:rsidRPr="002C047B" w:rsidRDefault="002C0771" w:rsidP="002C0771">
      <w:pPr>
        <w:rPr>
          <w:lang w:val="fr-FR"/>
        </w:rPr>
      </w:pPr>
    </w:p>
    <w:p w:rsidR="002C0771" w:rsidRPr="002C047B" w:rsidRDefault="002C0771" w:rsidP="002C0771">
      <w:pPr>
        <w:rPr>
          <w:lang w:val="fr-FR"/>
        </w:rPr>
      </w:pPr>
    </w:p>
    <w:p w:rsidR="002C0771" w:rsidRPr="002C047B" w:rsidRDefault="002C0771" w:rsidP="002C0771">
      <w:pPr>
        <w:rPr>
          <w:lang w:val="fr-FR"/>
        </w:rPr>
      </w:pPr>
      <w:bookmarkStart w:id="3" w:name="_GoBack"/>
      <w:bookmarkEnd w:id="3"/>
    </w:p>
    <w:p w:rsidR="00DE4EAF" w:rsidRPr="002C047B" w:rsidRDefault="00E73947" w:rsidP="002C047B">
      <w:pPr>
        <w:rPr>
          <w:caps/>
          <w:sz w:val="24"/>
          <w:lang w:val="fr-FR"/>
        </w:rPr>
      </w:pPr>
      <w:r w:rsidRPr="002C047B">
        <w:rPr>
          <w:caps/>
          <w:sz w:val="24"/>
          <w:lang w:val="fr-FR"/>
        </w:rPr>
        <w:t>RETARDS ET CAS DE FORCE MAJEURE CONCERNANT LES COMMUNICATIONS ÉLECTRONIQUES</w:t>
      </w:r>
    </w:p>
    <w:p w:rsidR="00DE4EAF" w:rsidRPr="002C047B" w:rsidRDefault="00DE4EAF" w:rsidP="002C047B">
      <w:pPr>
        <w:rPr>
          <w:lang w:val="fr-FR"/>
        </w:rPr>
      </w:pPr>
    </w:p>
    <w:p w:rsidR="00DE4EAF" w:rsidRPr="002C047B" w:rsidRDefault="00E73947" w:rsidP="002C047B">
      <w:pPr>
        <w:rPr>
          <w:i/>
          <w:lang w:val="fr-FR"/>
        </w:rPr>
      </w:pPr>
      <w:bookmarkStart w:id="4" w:name="Prepared"/>
      <w:bookmarkEnd w:id="4"/>
      <w:r w:rsidRPr="002C047B">
        <w:rPr>
          <w:i/>
          <w:lang w:val="fr-FR"/>
        </w:rPr>
        <w:t>Document établi par le Bureau international</w:t>
      </w:r>
    </w:p>
    <w:p w:rsidR="00DE4EAF" w:rsidRPr="002C047B" w:rsidRDefault="00DE4EAF" w:rsidP="002C047B">
      <w:pPr>
        <w:rPr>
          <w:lang w:val="fr-FR"/>
        </w:rPr>
      </w:pPr>
    </w:p>
    <w:p w:rsidR="00DE4EAF" w:rsidRPr="002C047B" w:rsidRDefault="00DE4EAF" w:rsidP="002C047B">
      <w:pPr>
        <w:rPr>
          <w:lang w:val="fr-FR"/>
        </w:rPr>
      </w:pPr>
    </w:p>
    <w:p w:rsidR="00DE4EAF" w:rsidRPr="002C047B" w:rsidRDefault="00DE4EAF" w:rsidP="002C047B">
      <w:pPr>
        <w:rPr>
          <w:lang w:val="fr-FR"/>
        </w:rPr>
      </w:pPr>
    </w:p>
    <w:p w:rsidR="00DE4EAF" w:rsidRPr="002C047B" w:rsidRDefault="00DE4EAF" w:rsidP="002C047B">
      <w:pPr>
        <w:rPr>
          <w:lang w:val="fr-FR"/>
        </w:rPr>
      </w:pPr>
    </w:p>
    <w:p w:rsidR="00DE4EAF" w:rsidRPr="002C047B" w:rsidRDefault="00E73947" w:rsidP="002C047B">
      <w:pPr>
        <w:pStyle w:val="Heading1"/>
      </w:pPr>
      <w:r w:rsidRPr="002C047B">
        <w:t>R</w:t>
      </w:r>
      <w:r w:rsidR="00D34B68" w:rsidRPr="002C047B">
        <w:t>ésumé</w:t>
      </w:r>
    </w:p>
    <w:p w:rsidR="00DE4EAF" w:rsidRPr="002C047B" w:rsidRDefault="00062A2C" w:rsidP="002C047B">
      <w:pPr>
        <w:pStyle w:val="ONUMFS"/>
        <w:rPr>
          <w:lang w:val="fr-FR"/>
        </w:rPr>
      </w:pPr>
      <w:r w:rsidRPr="002C047B">
        <w:rPr>
          <w:lang w:val="fr-FR"/>
        </w:rPr>
        <w:t>L</w:t>
      </w:r>
      <w:r w:rsidR="007C42C1" w:rsidRPr="002C047B">
        <w:rPr>
          <w:lang w:val="fr-FR"/>
        </w:rPr>
        <w:t xml:space="preserve">e présent document </w:t>
      </w:r>
      <w:r w:rsidRPr="002C047B">
        <w:rPr>
          <w:lang w:val="fr-FR"/>
        </w:rPr>
        <w:t>contient des propositions de modification d</w:t>
      </w:r>
      <w:r w:rsidR="007C42C1" w:rsidRPr="002C047B">
        <w:rPr>
          <w:lang w:val="fr-FR"/>
        </w:rPr>
        <w:t>e</w:t>
      </w:r>
      <w:r w:rsidR="00873C5A" w:rsidRPr="002C047B">
        <w:rPr>
          <w:lang w:val="fr-FR"/>
        </w:rPr>
        <w:t>s dispositions du</w:t>
      </w:r>
      <w:r w:rsidR="007C42C1" w:rsidRPr="002C047B">
        <w:rPr>
          <w:lang w:val="fr-FR"/>
        </w:rPr>
        <w:t xml:space="preserve"> règlement d</w:t>
      </w:r>
      <w:r w:rsidR="005931B4" w:rsidRPr="002C047B">
        <w:rPr>
          <w:lang w:val="fr-FR"/>
        </w:rPr>
        <w:t>’</w:t>
      </w:r>
      <w:r w:rsidR="007C42C1" w:rsidRPr="002C047B">
        <w:rPr>
          <w:lang w:val="fr-FR"/>
        </w:rPr>
        <w:t>exécution</w:t>
      </w:r>
      <w:r w:rsidR="005931B4" w:rsidRPr="002C047B">
        <w:rPr>
          <w:lang w:val="fr-FR"/>
        </w:rPr>
        <w:t xml:space="preserve"> du PCT</w:t>
      </w:r>
      <w:r w:rsidR="007C42C1" w:rsidRPr="002C047B">
        <w:rPr>
          <w:lang w:val="fr-FR"/>
        </w:rPr>
        <w:t xml:space="preserve"> qui permet</w:t>
      </w:r>
      <w:r w:rsidR="00873C5A" w:rsidRPr="002C047B">
        <w:rPr>
          <w:lang w:val="fr-FR"/>
        </w:rPr>
        <w:t>tent</w:t>
      </w:r>
      <w:r w:rsidR="007C42C1" w:rsidRPr="002C047B">
        <w:rPr>
          <w:lang w:val="fr-FR"/>
        </w:rPr>
        <w:t xml:space="preserve"> à un office d</w:t>
      </w:r>
      <w:r w:rsidR="005931B4" w:rsidRPr="002C047B">
        <w:rPr>
          <w:lang w:val="fr-FR"/>
        </w:rPr>
        <w:t>’</w:t>
      </w:r>
      <w:r w:rsidR="007C42C1" w:rsidRPr="002C047B">
        <w:rPr>
          <w:lang w:val="fr-FR"/>
        </w:rPr>
        <w:t>excuser un retard dans l</w:t>
      </w:r>
      <w:r w:rsidR="005931B4" w:rsidRPr="002C047B">
        <w:rPr>
          <w:lang w:val="fr-FR"/>
        </w:rPr>
        <w:t>’</w:t>
      </w:r>
      <w:r w:rsidR="007C42C1" w:rsidRPr="002C047B">
        <w:rPr>
          <w:lang w:val="fr-FR"/>
        </w:rPr>
        <w:t>observation de délais dans cert</w:t>
      </w:r>
      <w:r w:rsidR="00873C5A" w:rsidRPr="002C047B">
        <w:rPr>
          <w:lang w:val="fr-FR"/>
        </w:rPr>
        <w:t>ains cas de force majeure</w:t>
      </w:r>
      <w:r w:rsidR="0086675F" w:rsidRPr="002C047B">
        <w:rPr>
          <w:lang w:val="fr-FR"/>
        </w:rPr>
        <w:t>,</w:t>
      </w:r>
      <w:r w:rsidR="00873C5A" w:rsidRPr="002C047B">
        <w:rPr>
          <w:lang w:val="fr-FR"/>
        </w:rPr>
        <w:t xml:space="preserve"> </w:t>
      </w:r>
      <w:r w:rsidR="00B57CD1" w:rsidRPr="002C047B">
        <w:rPr>
          <w:lang w:val="fr-FR"/>
        </w:rPr>
        <w:t>de manière à inclure</w:t>
      </w:r>
      <w:r w:rsidR="007C42C1" w:rsidRPr="002C047B">
        <w:rPr>
          <w:lang w:val="fr-FR"/>
        </w:rPr>
        <w:t xml:space="preserve"> </w:t>
      </w:r>
      <w:r w:rsidR="0086675F" w:rsidRPr="002C047B">
        <w:rPr>
          <w:lang w:val="fr-FR"/>
        </w:rPr>
        <w:t>dans les motifs d</w:t>
      </w:r>
      <w:r w:rsidR="005931B4" w:rsidRPr="002C047B">
        <w:rPr>
          <w:lang w:val="fr-FR"/>
        </w:rPr>
        <w:t>’</w:t>
      </w:r>
      <w:r w:rsidR="0086675F" w:rsidRPr="002C047B">
        <w:rPr>
          <w:lang w:val="fr-FR"/>
        </w:rPr>
        <w:t xml:space="preserve">excuse </w:t>
      </w:r>
      <w:r w:rsidRPr="002C047B">
        <w:rPr>
          <w:lang w:val="fr-FR"/>
        </w:rPr>
        <w:t>une</w:t>
      </w:r>
      <w:r w:rsidR="007C42C1" w:rsidRPr="002C047B">
        <w:rPr>
          <w:lang w:val="fr-FR"/>
        </w:rPr>
        <w:t xml:space="preserve"> panne générale des services de communication électronique dans la localité de l</w:t>
      </w:r>
      <w:r w:rsidR="005931B4" w:rsidRPr="002C047B">
        <w:rPr>
          <w:lang w:val="fr-FR"/>
        </w:rPr>
        <w:t>’</w:t>
      </w:r>
      <w:r w:rsidR="007C42C1" w:rsidRPr="002C047B">
        <w:rPr>
          <w:lang w:val="fr-FR"/>
        </w:rPr>
        <w:t>utilisateur.</w:t>
      </w:r>
    </w:p>
    <w:p w:rsidR="00DE4EAF" w:rsidRPr="002C047B" w:rsidRDefault="007C42C1" w:rsidP="002C047B">
      <w:pPr>
        <w:pStyle w:val="Heading1"/>
      </w:pPr>
      <w:r w:rsidRPr="002C047B">
        <w:t>R</w:t>
      </w:r>
      <w:r w:rsidR="00D34B68" w:rsidRPr="002C047B">
        <w:t>appel</w:t>
      </w:r>
    </w:p>
    <w:p w:rsidR="00DE4EAF" w:rsidRPr="002C047B" w:rsidRDefault="007C42C1" w:rsidP="002C047B">
      <w:pPr>
        <w:pStyle w:val="Heading3"/>
      </w:pPr>
      <w:r w:rsidRPr="002C047B">
        <w:t>Délibérations au sein du Groupe de travail</w:t>
      </w:r>
      <w:r w:rsidR="005931B4" w:rsidRPr="002C047B">
        <w:t xml:space="preserve"> du PCT</w:t>
      </w:r>
    </w:p>
    <w:p w:rsidR="00DE4EAF" w:rsidRPr="002C047B" w:rsidRDefault="007C42C1" w:rsidP="002C047B">
      <w:pPr>
        <w:pStyle w:val="ONUMFS"/>
        <w:rPr>
          <w:lang w:val="fr-FR"/>
        </w:rPr>
      </w:pPr>
      <w:r w:rsidRPr="002C047B">
        <w:rPr>
          <w:lang w:val="fr-FR"/>
        </w:rPr>
        <w:t>À la septième</w:t>
      </w:r>
      <w:r w:rsidR="004862FB" w:rsidRPr="002C047B">
        <w:rPr>
          <w:lang w:val="fr-FR"/>
        </w:rPr>
        <w:t> </w:t>
      </w:r>
      <w:r w:rsidRPr="002C047B">
        <w:rPr>
          <w:lang w:val="fr-FR"/>
        </w:rPr>
        <w:t>session du Groupe de travail</w:t>
      </w:r>
      <w:r w:rsidR="005931B4" w:rsidRPr="002C047B">
        <w:rPr>
          <w:lang w:val="fr-FR"/>
        </w:rPr>
        <w:t xml:space="preserve"> du PCT</w:t>
      </w:r>
      <w:r w:rsidRPr="002C047B">
        <w:rPr>
          <w:lang w:val="fr-FR"/>
        </w:rPr>
        <w:t>, le Bureau international a proposé de modifier les dispositions du règlement d</w:t>
      </w:r>
      <w:r w:rsidR="005931B4" w:rsidRPr="002C047B">
        <w:rPr>
          <w:lang w:val="fr-FR"/>
        </w:rPr>
        <w:t>’</w:t>
      </w:r>
      <w:r w:rsidRPr="002C047B">
        <w:rPr>
          <w:lang w:val="fr-FR"/>
        </w:rPr>
        <w:t>exécution</w:t>
      </w:r>
      <w:r w:rsidR="005931B4" w:rsidRPr="002C047B">
        <w:rPr>
          <w:lang w:val="fr-FR"/>
        </w:rPr>
        <w:t xml:space="preserve"> du PCT</w:t>
      </w:r>
      <w:r w:rsidRPr="002C047B">
        <w:rPr>
          <w:lang w:val="fr-FR"/>
        </w:rPr>
        <w:t xml:space="preserve"> concernant la prorogation de délai</w:t>
      </w:r>
      <w:r w:rsidR="00873C5A" w:rsidRPr="002C047B">
        <w:rPr>
          <w:lang w:val="fr-FR"/>
        </w:rPr>
        <w:t>s</w:t>
      </w:r>
      <w:r w:rsidRPr="002C047B">
        <w:rPr>
          <w:lang w:val="fr-FR"/>
        </w:rPr>
        <w:t xml:space="preserve"> ou l</w:t>
      </w:r>
      <w:r w:rsidR="005931B4" w:rsidRPr="002C047B">
        <w:rPr>
          <w:lang w:val="fr-FR"/>
        </w:rPr>
        <w:t>’</w:t>
      </w:r>
      <w:r w:rsidRPr="002C047B">
        <w:rPr>
          <w:lang w:val="fr-FR"/>
        </w:rPr>
        <w:t xml:space="preserve">excuse </w:t>
      </w:r>
      <w:r w:rsidR="00873C5A" w:rsidRPr="002C047B">
        <w:rPr>
          <w:lang w:val="fr-FR"/>
        </w:rPr>
        <w:t>de</w:t>
      </w:r>
      <w:r w:rsidRPr="002C047B">
        <w:rPr>
          <w:lang w:val="fr-FR"/>
        </w:rPr>
        <w:t xml:space="preserve"> retard dans l</w:t>
      </w:r>
      <w:r w:rsidR="005931B4" w:rsidRPr="002C047B">
        <w:rPr>
          <w:lang w:val="fr-FR"/>
        </w:rPr>
        <w:t>’</w:t>
      </w:r>
      <w:r w:rsidRPr="002C047B">
        <w:rPr>
          <w:lang w:val="fr-FR"/>
        </w:rPr>
        <w:t>observation de délais afin qu</w:t>
      </w:r>
      <w:r w:rsidR="005931B4" w:rsidRPr="002C047B">
        <w:rPr>
          <w:lang w:val="fr-FR"/>
        </w:rPr>
        <w:t>’</w:t>
      </w:r>
      <w:r w:rsidRPr="002C047B">
        <w:rPr>
          <w:lang w:val="fr-FR"/>
        </w:rPr>
        <w:t>elles englobent également l</w:t>
      </w:r>
      <w:r w:rsidR="005931B4" w:rsidRPr="002C047B">
        <w:rPr>
          <w:lang w:val="fr-FR"/>
        </w:rPr>
        <w:t>’</w:t>
      </w:r>
      <w:r w:rsidRPr="002C047B">
        <w:rPr>
          <w:lang w:val="fr-FR"/>
        </w:rPr>
        <w:t>indisponibilit</w:t>
      </w:r>
      <w:r w:rsidR="00873C5A" w:rsidRPr="002C047B">
        <w:rPr>
          <w:lang w:val="fr-FR"/>
        </w:rPr>
        <w:t>é des services de communication électronique</w:t>
      </w:r>
      <w:r w:rsidRPr="002C047B">
        <w:rPr>
          <w:lang w:val="fr-FR"/>
        </w:rPr>
        <w:t xml:space="preserve"> (voir le document PCT/WG/7/24).</w:t>
      </w:r>
      <w:r w:rsidR="00E95261" w:rsidRPr="002C047B">
        <w:rPr>
          <w:lang w:val="fr-FR"/>
        </w:rPr>
        <w:t xml:space="preserve">  </w:t>
      </w:r>
      <w:r w:rsidRPr="002C047B">
        <w:rPr>
          <w:lang w:val="fr-FR"/>
        </w:rPr>
        <w:t>Plus précisément, le document contient l</w:t>
      </w:r>
      <w:r w:rsidR="00873C5A" w:rsidRPr="002C047B">
        <w:rPr>
          <w:lang w:val="fr-FR"/>
        </w:rPr>
        <w:t>es propositions de modification</w:t>
      </w:r>
      <w:r w:rsidRPr="002C047B">
        <w:rPr>
          <w:lang w:val="fr-FR"/>
        </w:rPr>
        <w:t xml:space="preserve"> </w:t>
      </w:r>
      <w:r w:rsidR="00873C5A" w:rsidRPr="002C047B">
        <w:rPr>
          <w:lang w:val="fr-FR"/>
        </w:rPr>
        <w:t>suivantes</w:t>
      </w:r>
      <w:r w:rsidR="004862FB" w:rsidRPr="002C047B">
        <w:rPr>
          <w:lang w:val="fr-FR"/>
        </w:rPr>
        <w:t> </w:t>
      </w:r>
      <w:r w:rsidRPr="002C047B">
        <w:rPr>
          <w:lang w:val="fr-FR"/>
        </w:rPr>
        <w:t>:</w:t>
      </w:r>
    </w:p>
    <w:p w:rsidR="00DE4EAF" w:rsidRPr="002C047B" w:rsidRDefault="00905A5D" w:rsidP="002C047B">
      <w:pPr>
        <w:pStyle w:val="ONUMFS"/>
        <w:numPr>
          <w:ilvl w:val="1"/>
          <w:numId w:val="6"/>
        </w:numPr>
        <w:rPr>
          <w:lang w:val="fr-FR"/>
        </w:rPr>
      </w:pPr>
      <w:r w:rsidRPr="002C047B">
        <w:rPr>
          <w:lang w:val="fr-FR"/>
        </w:rPr>
        <w:t>proroger les délais au jour suivant si les systèmes électroniques d</w:t>
      </w:r>
      <w:r w:rsidR="005931B4" w:rsidRPr="002C047B">
        <w:rPr>
          <w:lang w:val="fr-FR"/>
        </w:rPr>
        <w:t>’</w:t>
      </w:r>
      <w:r w:rsidRPr="002C047B">
        <w:rPr>
          <w:lang w:val="fr-FR"/>
        </w:rPr>
        <w:t>un office ou d</w:t>
      </w:r>
      <w:r w:rsidR="005931B4" w:rsidRPr="002C047B">
        <w:rPr>
          <w:lang w:val="fr-FR"/>
        </w:rPr>
        <w:t>’</w:t>
      </w:r>
      <w:r w:rsidRPr="002C047B">
        <w:rPr>
          <w:lang w:val="fr-FR"/>
        </w:rPr>
        <w:t xml:space="preserve">une organisation </w:t>
      </w:r>
      <w:r w:rsidR="00873C5A" w:rsidRPr="002C047B">
        <w:rPr>
          <w:lang w:val="fr-FR"/>
        </w:rPr>
        <w:t>pour le dépôt d</w:t>
      </w:r>
      <w:r w:rsidR="005931B4" w:rsidRPr="002C047B">
        <w:rPr>
          <w:lang w:val="fr-FR"/>
        </w:rPr>
        <w:t>’</w:t>
      </w:r>
      <w:r w:rsidRPr="002C047B">
        <w:rPr>
          <w:lang w:val="fr-FR"/>
        </w:rPr>
        <w:t xml:space="preserve">un document ou </w:t>
      </w:r>
      <w:r w:rsidR="00873C5A" w:rsidRPr="002C047B">
        <w:rPr>
          <w:lang w:val="fr-FR"/>
        </w:rPr>
        <w:t>le paiement d</w:t>
      </w:r>
      <w:r w:rsidR="005931B4" w:rsidRPr="002C047B">
        <w:rPr>
          <w:lang w:val="fr-FR"/>
        </w:rPr>
        <w:t>’</w:t>
      </w:r>
      <w:r w:rsidRPr="002C047B">
        <w:rPr>
          <w:lang w:val="fr-FR"/>
        </w:rPr>
        <w:t>une taxe n</w:t>
      </w:r>
      <w:r w:rsidR="005931B4" w:rsidRPr="002C047B">
        <w:rPr>
          <w:lang w:val="fr-FR"/>
        </w:rPr>
        <w:t>’</w:t>
      </w:r>
      <w:r w:rsidRPr="002C047B">
        <w:rPr>
          <w:lang w:val="fr-FR"/>
        </w:rPr>
        <w:t xml:space="preserve">étaient pas </w:t>
      </w:r>
      <w:r w:rsidR="00873C5A" w:rsidRPr="002C047B">
        <w:rPr>
          <w:lang w:val="fr-FR"/>
        </w:rPr>
        <w:t>accessibles aux</w:t>
      </w:r>
      <w:r w:rsidRPr="002C047B">
        <w:rPr>
          <w:lang w:val="fr-FR"/>
        </w:rPr>
        <w:t xml:space="preserve"> utilisateurs pendant une grande partie de la journée (règle</w:t>
      </w:r>
      <w:r w:rsidR="004862FB" w:rsidRPr="002C047B">
        <w:rPr>
          <w:lang w:val="fr-FR"/>
        </w:rPr>
        <w:t> </w:t>
      </w:r>
      <w:r w:rsidRPr="002C047B">
        <w:rPr>
          <w:lang w:val="fr-FR"/>
        </w:rPr>
        <w:t>80.5);  et</w:t>
      </w:r>
    </w:p>
    <w:p w:rsidR="00DE4EAF" w:rsidRPr="002C047B" w:rsidRDefault="00905A5D" w:rsidP="002C047B">
      <w:pPr>
        <w:pStyle w:val="ONUMFS"/>
        <w:numPr>
          <w:ilvl w:val="1"/>
          <w:numId w:val="6"/>
        </w:numPr>
        <w:rPr>
          <w:lang w:val="fr-FR"/>
        </w:rPr>
      </w:pPr>
      <w:r w:rsidRPr="002C047B">
        <w:rPr>
          <w:lang w:val="fr-FR"/>
        </w:rPr>
        <w:lastRenderedPageBreak/>
        <w:t>ajouter l</w:t>
      </w:r>
      <w:r w:rsidR="005931B4" w:rsidRPr="002C047B">
        <w:rPr>
          <w:lang w:val="fr-FR"/>
        </w:rPr>
        <w:t>’</w:t>
      </w:r>
      <w:r w:rsidRPr="002C047B">
        <w:rPr>
          <w:lang w:val="fr-FR"/>
        </w:rPr>
        <w:t xml:space="preserve">indisponibilité étendue et imprévue des services de communications électroniques </w:t>
      </w:r>
      <w:r w:rsidR="00873C5A" w:rsidRPr="002C047B">
        <w:rPr>
          <w:lang w:val="fr-FR"/>
        </w:rPr>
        <w:t>à la liste des</w:t>
      </w:r>
      <w:r w:rsidRPr="002C047B">
        <w:rPr>
          <w:lang w:val="fr-FR"/>
        </w:rPr>
        <w:t xml:space="preserve"> situation</w:t>
      </w:r>
      <w:r w:rsidR="00873C5A" w:rsidRPr="002C047B">
        <w:rPr>
          <w:lang w:val="fr-FR"/>
        </w:rPr>
        <w:t>s</w:t>
      </w:r>
      <w:r w:rsidRPr="002C047B">
        <w:rPr>
          <w:lang w:val="fr-FR"/>
        </w:rPr>
        <w:t xml:space="preserve"> dans l</w:t>
      </w:r>
      <w:r w:rsidR="00873C5A" w:rsidRPr="002C047B">
        <w:rPr>
          <w:lang w:val="fr-FR"/>
        </w:rPr>
        <w:t>es</w:t>
      </w:r>
      <w:r w:rsidRPr="002C047B">
        <w:rPr>
          <w:lang w:val="fr-FR"/>
        </w:rPr>
        <w:t>quelle</w:t>
      </w:r>
      <w:r w:rsidR="00873C5A" w:rsidRPr="002C047B">
        <w:rPr>
          <w:lang w:val="fr-FR"/>
        </w:rPr>
        <w:t>s</w:t>
      </w:r>
      <w:r w:rsidRPr="002C047B">
        <w:rPr>
          <w:lang w:val="fr-FR"/>
        </w:rPr>
        <w:t xml:space="preserve"> une partie intéressée peut demander à un office d</w:t>
      </w:r>
      <w:r w:rsidR="005931B4" w:rsidRPr="002C047B">
        <w:rPr>
          <w:lang w:val="fr-FR"/>
        </w:rPr>
        <w:t>’</w:t>
      </w:r>
      <w:r w:rsidRPr="002C047B">
        <w:rPr>
          <w:lang w:val="fr-FR"/>
        </w:rPr>
        <w:t>excuser un retard dans l</w:t>
      </w:r>
      <w:r w:rsidR="005931B4" w:rsidRPr="002C047B">
        <w:rPr>
          <w:lang w:val="fr-FR"/>
        </w:rPr>
        <w:t>’</w:t>
      </w:r>
      <w:r w:rsidRPr="002C047B">
        <w:rPr>
          <w:lang w:val="fr-FR"/>
        </w:rPr>
        <w:t>observation d</w:t>
      </w:r>
      <w:r w:rsidR="005931B4" w:rsidRPr="002C047B">
        <w:rPr>
          <w:lang w:val="fr-FR"/>
        </w:rPr>
        <w:t>’</w:t>
      </w:r>
      <w:r w:rsidRPr="002C047B">
        <w:rPr>
          <w:lang w:val="fr-FR"/>
        </w:rPr>
        <w:t>un délai (règle 82</w:t>
      </w:r>
      <w:r w:rsidRPr="002C047B">
        <w:rPr>
          <w:i/>
          <w:lang w:val="fr-FR"/>
        </w:rPr>
        <w:t>quater</w:t>
      </w:r>
      <w:r w:rsidRPr="002C047B">
        <w:rPr>
          <w:lang w:val="fr-FR"/>
        </w:rPr>
        <w:t>.1).</w:t>
      </w:r>
    </w:p>
    <w:p w:rsidR="005931B4" w:rsidRPr="002C047B" w:rsidRDefault="00905A5D" w:rsidP="002C047B">
      <w:pPr>
        <w:pStyle w:val="ONUMFS"/>
        <w:rPr>
          <w:lang w:val="fr-FR"/>
        </w:rPr>
      </w:pPr>
      <w:r w:rsidRPr="002C047B">
        <w:rPr>
          <w:lang w:val="fr-FR"/>
        </w:rPr>
        <w:t>Les délibérations sur les</w:t>
      </w:r>
      <w:r w:rsidR="0086675F" w:rsidRPr="002C047B">
        <w:rPr>
          <w:lang w:val="fr-FR"/>
        </w:rPr>
        <w:t xml:space="preserve"> propositions de modification</w:t>
      </w:r>
      <w:r w:rsidRPr="002C047B">
        <w:rPr>
          <w:lang w:val="fr-FR"/>
        </w:rPr>
        <w:t xml:space="preserve"> sont résumées aux paragraphes</w:t>
      </w:r>
      <w:r w:rsidR="004862FB" w:rsidRPr="002C047B">
        <w:rPr>
          <w:lang w:val="fr-FR"/>
        </w:rPr>
        <w:t> </w:t>
      </w:r>
      <w:r w:rsidR="00AC0F36" w:rsidRPr="002C047B">
        <w:rPr>
          <w:lang w:val="fr-FR"/>
        </w:rPr>
        <w:t>99 à </w:t>
      </w:r>
      <w:r w:rsidRPr="002C047B">
        <w:rPr>
          <w:lang w:val="fr-FR"/>
        </w:rPr>
        <w:t xml:space="preserve">103 du </w:t>
      </w:r>
      <w:r w:rsidR="00062A2C" w:rsidRPr="002C047B">
        <w:rPr>
          <w:lang w:val="fr-FR"/>
        </w:rPr>
        <w:t>r</w:t>
      </w:r>
      <w:r w:rsidRPr="002C047B">
        <w:rPr>
          <w:lang w:val="fr-FR"/>
        </w:rPr>
        <w:t xml:space="preserve">ésumé présenté par le président (document PCT/WG/7/29) et présentées </w:t>
      </w:r>
      <w:r w:rsidR="00AC0F36" w:rsidRPr="002C047B">
        <w:rPr>
          <w:lang w:val="fr-FR"/>
        </w:rPr>
        <w:t>en détail aux paragraphes 306 à </w:t>
      </w:r>
      <w:r w:rsidRPr="002C047B">
        <w:rPr>
          <w:lang w:val="fr-FR"/>
        </w:rPr>
        <w:t xml:space="preserve">319 du </w:t>
      </w:r>
      <w:r w:rsidR="00062A2C" w:rsidRPr="002C047B">
        <w:rPr>
          <w:lang w:val="fr-FR"/>
        </w:rPr>
        <w:t>r</w:t>
      </w:r>
      <w:r w:rsidRPr="002C047B">
        <w:rPr>
          <w:lang w:val="fr-FR"/>
        </w:rPr>
        <w:t>apport (document PCT/WG/7/30).</w:t>
      </w:r>
      <w:r w:rsidR="008744A2" w:rsidRPr="002C047B">
        <w:rPr>
          <w:lang w:val="fr-FR"/>
        </w:rPr>
        <w:t xml:space="preserve">  </w:t>
      </w:r>
      <w:r w:rsidR="00B57CD1" w:rsidRPr="002C047B">
        <w:rPr>
          <w:lang w:val="fr-FR"/>
        </w:rPr>
        <w:t>Si t</w:t>
      </w:r>
      <w:r w:rsidR="00982920" w:rsidRPr="002C047B">
        <w:rPr>
          <w:lang w:val="fr-FR"/>
        </w:rPr>
        <w:t>outes les dél</w:t>
      </w:r>
      <w:r w:rsidR="00873C5A" w:rsidRPr="002C047B">
        <w:rPr>
          <w:lang w:val="fr-FR"/>
        </w:rPr>
        <w:t xml:space="preserve">égations qui se sont exprimées </w:t>
      </w:r>
      <w:r w:rsidR="00982920" w:rsidRPr="002C047B">
        <w:rPr>
          <w:lang w:val="fr-FR"/>
        </w:rPr>
        <w:t xml:space="preserve">ont </w:t>
      </w:r>
      <w:r w:rsidR="00873C5A" w:rsidRPr="002C047B">
        <w:rPr>
          <w:lang w:val="fr-FR"/>
        </w:rPr>
        <w:t>admis</w:t>
      </w:r>
      <w:r w:rsidR="00982920" w:rsidRPr="002C047B">
        <w:rPr>
          <w:lang w:val="fr-FR"/>
        </w:rPr>
        <w:t xml:space="preserve"> qu</w:t>
      </w:r>
      <w:r w:rsidR="00873C5A" w:rsidRPr="002C047B">
        <w:rPr>
          <w:lang w:val="fr-FR"/>
        </w:rPr>
        <w:t>e la</w:t>
      </w:r>
      <w:r w:rsidR="00982920" w:rsidRPr="002C047B">
        <w:rPr>
          <w:lang w:val="fr-FR"/>
        </w:rPr>
        <w:t xml:space="preserve"> protection appropriée en cas de défaillance des systèmes de communication électronique était</w:t>
      </w:r>
      <w:r w:rsidR="00873C5A" w:rsidRPr="002C047B">
        <w:rPr>
          <w:lang w:val="fr-FR"/>
        </w:rPr>
        <w:t xml:space="preserve"> une question</w:t>
      </w:r>
      <w:r w:rsidR="00982920" w:rsidRPr="002C047B">
        <w:rPr>
          <w:lang w:val="fr-FR"/>
        </w:rPr>
        <w:t xml:space="preserve"> importante, la proposition de modification de la règle</w:t>
      </w:r>
      <w:r w:rsidR="004862FB" w:rsidRPr="002C047B">
        <w:rPr>
          <w:lang w:val="fr-FR"/>
        </w:rPr>
        <w:t> </w:t>
      </w:r>
      <w:r w:rsidR="00982920" w:rsidRPr="002C047B">
        <w:rPr>
          <w:lang w:val="fr-FR"/>
        </w:rPr>
        <w:t xml:space="preserve">80.5 </w:t>
      </w:r>
      <w:r w:rsidR="00873C5A" w:rsidRPr="002C047B">
        <w:rPr>
          <w:lang w:val="fr-FR"/>
        </w:rPr>
        <w:t>a été</w:t>
      </w:r>
      <w:r w:rsidR="00982920" w:rsidRPr="002C047B">
        <w:rPr>
          <w:lang w:val="fr-FR"/>
        </w:rPr>
        <w:t xml:space="preserve"> </w:t>
      </w:r>
      <w:r w:rsidR="00873C5A" w:rsidRPr="002C047B">
        <w:rPr>
          <w:lang w:val="fr-FR"/>
        </w:rPr>
        <w:t>jugée</w:t>
      </w:r>
      <w:r w:rsidR="00982920" w:rsidRPr="002C047B">
        <w:rPr>
          <w:lang w:val="fr-FR"/>
        </w:rPr>
        <w:t xml:space="preserve"> trop normative et il </w:t>
      </w:r>
      <w:r w:rsidR="00873C5A" w:rsidRPr="002C047B">
        <w:rPr>
          <w:lang w:val="fr-FR"/>
        </w:rPr>
        <w:t>a été estimé</w:t>
      </w:r>
      <w:r w:rsidR="00982920" w:rsidRPr="002C047B">
        <w:rPr>
          <w:lang w:val="fr-FR"/>
        </w:rPr>
        <w:t xml:space="preserve"> préférable de laisser </w:t>
      </w:r>
      <w:r w:rsidR="00873C5A" w:rsidRPr="002C047B">
        <w:rPr>
          <w:lang w:val="fr-FR"/>
        </w:rPr>
        <w:t>cette</w:t>
      </w:r>
      <w:r w:rsidR="00982920" w:rsidRPr="002C047B">
        <w:rPr>
          <w:lang w:val="fr-FR"/>
        </w:rPr>
        <w:t xml:space="preserve"> question à l</w:t>
      </w:r>
      <w:r w:rsidR="005931B4" w:rsidRPr="002C047B">
        <w:rPr>
          <w:lang w:val="fr-FR"/>
        </w:rPr>
        <w:t>’</w:t>
      </w:r>
      <w:r w:rsidR="00982920" w:rsidRPr="002C047B">
        <w:rPr>
          <w:lang w:val="fr-FR"/>
        </w:rPr>
        <w:t>appréciation des offices nationaux concernés.</w:t>
      </w:r>
      <w:r w:rsidR="008744A2" w:rsidRPr="002C047B">
        <w:rPr>
          <w:lang w:val="fr-FR"/>
        </w:rPr>
        <w:t xml:space="preserve">  </w:t>
      </w:r>
      <w:r w:rsidR="00982920" w:rsidRPr="002C047B">
        <w:rPr>
          <w:lang w:val="fr-FR"/>
        </w:rPr>
        <w:t>Certaines délégations ont appuyé la proposition de modification de la règle</w:t>
      </w:r>
      <w:r w:rsidR="004862FB" w:rsidRPr="002C047B">
        <w:rPr>
          <w:lang w:val="fr-FR"/>
        </w:rPr>
        <w:t> </w:t>
      </w:r>
      <w:r w:rsidR="00982920" w:rsidRPr="002C047B">
        <w:rPr>
          <w:lang w:val="fr-FR"/>
        </w:rPr>
        <w:t>82</w:t>
      </w:r>
      <w:r w:rsidR="00982920" w:rsidRPr="002C047B">
        <w:rPr>
          <w:i/>
          <w:lang w:val="fr-FR"/>
        </w:rPr>
        <w:t>quater</w:t>
      </w:r>
      <w:r w:rsidR="00982920" w:rsidRPr="002C047B">
        <w:rPr>
          <w:lang w:val="fr-FR"/>
        </w:rPr>
        <w:t xml:space="preserve"> mais d</w:t>
      </w:r>
      <w:r w:rsidR="005931B4" w:rsidRPr="002C047B">
        <w:rPr>
          <w:lang w:val="fr-FR"/>
        </w:rPr>
        <w:t>’</w:t>
      </w:r>
      <w:r w:rsidR="00982920" w:rsidRPr="002C047B">
        <w:rPr>
          <w:lang w:val="fr-FR"/>
        </w:rPr>
        <w:t xml:space="preserve">autres ont </w:t>
      </w:r>
      <w:r w:rsidR="00873C5A" w:rsidRPr="002C047B">
        <w:rPr>
          <w:lang w:val="fr-FR"/>
        </w:rPr>
        <w:t>estimé</w:t>
      </w:r>
      <w:r w:rsidR="00982920" w:rsidRPr="002C047B">
        <w:rPr>
          <w:lang w:val="fr-FR"/>
        </w:rPr>
        <w:t xml:space="preserve"> qu</w:t>
      </w:r>
      <w:r w:rsidR="005931B4" w:rsidRPr="002C047B">
        <w:rPr>
          <w:lang w:val="fr-FR"/>
        </w:rPr>
        <w:t>’</w:t>
      </w:r>
      <w:r w:rsidR="00982920" w:rsidRPr="002C047B">
        <w:rPr>
          <w:lang w:val="fr-FR"/>
        </w:rPr>
        <w:t>elle manquait de clarté ou qu</w:t>
      </w:r>
      <w:r w:rsidR="005931B4" w:rsidRPr="002C047B">
        <w:rPr>
          <w:lang w:val="fr-FR"/>
        </w:rPr>
        <w:t>’</w:t>
      </w:r>
      <w:r w:rsidR="00982920" w:rsidRPr="002C047B">
        <w:rPr>
          <w:lang w:val="fr-FR"/>
        </w:rPr>
        <w:t xml:space="preserve">elle ne </w:t>
      </w:r>
      <w:r w:rsidR="00873C5A" w:rsidRPr="002C047B">
        <w:rPr>
          <w:lang w:val="fr-FR"/>
        </w:rPr>
        <w:t xml:space="preserve">conférait </w:t>
      </w:r>
      <w:r w:rsidR="00B57CD1" w:rsidRPr="002C047B">
        <w:rPr>
          <w:lang w:val="fr-FR"/>
        </w:rPr>
        <w:t>pas d</w:t>
      </w:r>
      <w:r w:rsidR="005931B4" w:rsidRPr="002C047B">
        <w:rPr>
          <w:lang w:val="fr-FR"/>
        </w:rPr>
        <w:t>’</w:t>
      </w:r>
      <w:r w:rsidR="00982920" w:rsidRPr="002C047B">
        <w:rPr>
          <w:lang w:val="fr-FR"/>
        </w:rPr>
        <w:t>avantage particulier par rapport aux dispositions de la règle existante.</w:t>
      </w:r>
    </w:p>
    <w:p w:rsidR="00DE4EAF" w:rsidRPr="002C047B" w:rsidRDefault="00982920" w:rsidP="002C047B">
      <w:pPr>
        <w:pStyle w:val="ONUMFS"/>
        <w:rPr>
          <w:lang w:val="fr-FR"/>
        </w:rPr>
      </w:pPr>
      <w:r w:rsidRPr="002C047B">
        <w:rPr>
          <w:lang w:val="fr-FR"/>
        </w:rPr>
        <w:t>En conclusion, le Bureau international a adressé l</w:t>
      </w:r>
      <w:r w:rsidR="005931B4" w:rsidRPr="002C047B">
        <w:rPr>
          <w:lang w:val="fr-FR"/>
        </w:rPr>
        <w:t>’</w:t>
      </w:r>
      <w:r w:rsidRPr="002C047B">
        <w:rPr>
          <w:lang w:val="fr-FR"/>
        </w:rPr>
        <w:t>invitation suivante (paragraphe</w:t>
      </w:r>
      <w:r w:rsidR="004862FB" w:rsidRPr="002C047B">
        <w:rPr>
          <w:lang w:val="fr-FR"/>
        </w:rPr>
        <w:t> </w:t>
      </w:r>
      <w:r w:rsidRPr="002C047B">
        <w:rPr>
          <w:lang w:val="fr-FR"/>
        </w:rPr>
        <w:t xml:space="preserve">103 du </w:t>
      </w:r>
      <w:r w:rsidR="00062A2C" w:rsidRPr="002C047B">
        <w:rPr>
          <w:lang w:val="fr-FR"/>
        </w:rPr>
        <w:t>r</w:t>
      </w:r>
      <w:r w:rsidRPr="002C047B">
        <w:rPr>
          <w:lang w:val="fr-FR"/>
        </w:rPr>
        <w:t>ésumé présenté par le président et paragraphe</w:t>
      </w:r>
      <w:r w:rsidR="004862FB" w:rsidRPr="002C047B">
        <w:rPr>
          <w:lang w:val="fr-FR"/>
        </w:rPr>
        <w:t> </w:t>
      </w:r>
      <w:r w:rsidRPr="002C047B">
        <w:rPr>
          <w:lang w:val="fr-FR"/>
        </w:rPr>
        <w:t>319 du rapport)</w:t>
      </w:r>
      <w:r w:rsidR="004862FB" w:rsidRPr="002C047B">
        <w:rPr>
          <w:lang w:val="fr-FR"/>
        </w:rPr>
        <w:t> </w:t>
      </w:r>
      <w:r w:rsidRPr="002C047B">
        <w:rPr>
          <w:lang w:val="fr-FR"/>
        </w:rPr>
        <w:t>:</w:t>
      </w:r>
    </w:p>
    <w:p w:rsidR="00DE4EAF" w:rsidRPr="002C047B" w:rsidRDefault="008744A2" w:rsidP="002C047B">
      <w:pPr>
        <w:pStyle w:val="ONUME"/>
        <w:numPr>
          <w:ilvl w:val="0"/>
          <w:numId w:val="0"/>
        </w:numPr>
        <w:ind w:left="567"/>
        <w:rPr>
          <w:lang w:val="fr-FR"/>
        </w:rPr>
      </w:pPr>
      <w:r w:rsidRPr="002C047B">
        <w:rPr>
          <w:lang w:val="fr-FR"/>
        </w:rPr>
        <w:t>“319.</w:t>
      </w:r>
      <w:r w:rsidRPr="002C047B">
        <w:rPr>
          <w:lang w:val="fr-FR"/>
        </w:rPr>
        <w:tab/>
      </w:r>
      <w:r w:rsidR="00982920" w:rsidRPr="002C047B">
        <w:rPr>
          <w:lang w:val="fr-FR"/>
        </w:rPr>
        <w:t>Le Bureau international a invité les États contractants à fournir des informations sur les lois ou procédures nationales qui prévoyaient la protection des utilisateurs en cas de défaillance des systèmes de communication électronique, ce qui pourrait servir de base à des mesures plus appropriées pour traiter les questions considérées.</w:t>
      </w:r>
      <w:r w:rsidR="004862FB" w:rsidRPr="002C047B">
        <w:rPr>
          <w:lang w:val="fr-FR"/>
        </w:rPr>
        <w:t>”</w:t>
      </w:r>
    </w:p>
    <w:p w:rsidR="00DE4EAF" w:rsidRPr="002C047B" w:rsidRDefault="00D45551" w:rsidP="002C047B">
      <w:pPr>
        <w:pStyle w:val="Heading3"/>
      </w:pPr>
      <w:r w:rsidRPr="002C047B">
        <w:t>Délibérations du Groupe de travail sur le développement juridique du système de Madrid concernant l</w:t>
      </w:r>
      <w:r w:rsidR="005931B4" w:rsidRPr="002C047B">
        <w:t>’</w:t>
      </w:r>
      <w:r w:rsidRPr="002C047B">
        <w:t>enregistrement international des marques</w:t>
      </w:r>
    </w:p>
    <w:p w:rsidR="00DE4EAF" w:rsidRPr="002C047B" w:rsidRDefault="00CF6D9D" w:rsidP="002C047B">
      <w:pPr>
        <w:pStyle w:val="ONUMFS"/>
        <w:rPr>
          <w:lang w:val="fr-FR"/>
        </w:rPr>
      </w:pPr>
      <w:r w:rsidRPr="002C047B">
        <w:rPr>
          <w:lang w:val="fr-FR"/>
        </w:rPr>
        <w:t>À sa douzième</w:t>
      </w:r>
      <w:r w:rsidR="004862FB" w:rsidRPr="002C047B">
        <w:rPr>
          <w:lang w:val="fr-FR"/>
        </w:rPr>
        <w:t> </w:t>
      </w:r>
      <w:r w:rsidRPr="002C047B">
        <w:rPr>
          <w:lang w:val="fr-FR"/>
        </w:rPr>
        <w:t>session tenue à Genève du 20 au 2</w:t>
      </w:r>
      <w:r w:rsidR="005931B4" w:rsidRPr="002C047B">
        <w:rPr>
          <w:lang w:val="fr-FR"/>
        </w:rPr>
        <w:t>4 octobre 20</w:t>
      </w:r>
      <w:r w:rsidRPr="002C047B">
        <w:rPr>
          <w:lang w:val="fr-FR"/>
        </w:rPr>
        <w:t>14, le Groupe de travail sur le développement juridique du système de Madrid concernant l</w:t>
      </w:r>
      <w:r w:rsidR="005931B4" w:rsidRPr="002C047B">
        <w:rPr>
          <w:lang w:val="fr-FR"/>
        </w:rPr>
        <w:t>’</w:t>
      </w:r>
      <w:r w:rsidRPr="002C047B">
        <w:rPr>
          <w:lang w:val="fr-FR"/>
        </w:rPr>
        <w:t>enregistrement international des marques a examiné une proposition visant à modifier les dispositions du règlement d</w:t>
      </w:r>
      <w:r w:rsidR="005931B4" w:rsidRPr="002C047B">
        <w:rPr>
          <w:lang w:val="fr-FR"/>
        </w:rPr>
        <w:t>’</w:t>
      </w:r>
      <w:r w:rsidRPr="002C047B">
        <w:rPr>
          <w:lang w:val="fr-FR"/>
        </w:rPr>
        <w:t>exécution commun à l</w:t>
      </w:r>
      <w:r w:rsidR="005931B4" w:rsidRPr="002C047B">
        <w:rPr>
          <w:lang w:val="fr-FR"/>
        </w:rPr>
        <w:t>’</w:t>
      </w:r>
      <w:r w:rsidRPr="002C047B">
        <w:rPr>
          <w:lang w:val="fr-FR"/>
        </w:rPr>
        <w:t>Arrangement de Madrid concernant l</w:t>
      </w:r>
      <w:r w:rsidR="005931B4" w:rsidRPr="002C047B">
        <w:rPr>
          <w:lang w:val="fr-FR"/>
        </w:rPr>
        <w:t>’</w:t>
      </w:r>
      <w:r w:rsidRPr="002C047B">
        <w:rPr>
          <w:lang w:val="fr-FR"/>
        </w:rPr>
        <w:t>enregistrement international des marques et au Protocole relatif à cet Arrangement (ci</w:t>
      </w:r>
      <w:r w:rsidR="00006009" w:rsidRPr="002C047B">
        <w:rPr>
          <w:lang w:val="fr-FR"/>
        </w:rPr>
        <w:noBreakHyphen/>
      </w:r>
      <w:r w:rsidRPr="002C047B">
        <w:rPr>
          <w:lang w:val="fr-FR"/>
        </w:rPr>
        <w:t xml:space="preserve">après dénommé </w:t>
      </w:r>
      <w:r w:rsidR="004862FB" w:rsidRPr="002C047B">
        <w:rPr>
          <w:lang w:val="fr-FR"/>
        </w:rPr>
        <w:t>“</w:t>
      </w:r>
      <w:r w:rsidRPr="002C047B">
        <w:rPr>
          <w:lang w:val="fr-FR"/>
        </w:rPr>
        <w:t>règlement d</w:t>
      </w:r>
      <w:r w:rsidR="005931B4" w:rsidRPr="002C047B">
        <w:rPr>
          <w:lang w:val="fr-FR"/>
        </w:rPr>
        <w:t>’</w:t>
      </w:r>
      <w:r w:rsidRPr="002C047B">
        <w:rPr>
          <w:lang w:val="fr-FR"/>
        </w:rPr>
        <w:t>exécution commun</w:t>
      </w:r>
      <w:r w:rsidR="004862FB" w:rsidRPr="002C047B">
        <w:rPr>
          <w:lang w:val="fr-FR"/>
        </w:rPr>
        <w:t>”</w:t>
      </w:r>
      <w:r w:rsidRPr="002C047B">
        <w:rPr>
          <w:lang w:val="fr-FR"/>
        </w:rPr>
        <w:t>) relatives aux perturbations dans le service postal et dans les entreprises d</w:t>
      </w:r>
      <w:r w:rsidR="005931B4" w:rsidRPr="002C047B">
        <w:rPr>
          <w:lang w:val="fr-FR"/>
        </w:rPr>
        <w:t>’</w:t>
      </w:r>
      <w:r w:rsidRPr="002C047B">
        <w:rPr>
          <w:lang w:val="fr-FR"/>
        </w:rPr>
        <w:t>acheminement du courrier</w:t>
      </w:r>
      <w:r w:rsidR="00873C5A" w:rsidRPr="002C047B">
        <w:rPr>
          <w:lang w:val="fr-FR"/>
        </w:rPr>
        <w:t>,</w:t>
      </w:r>
      <w:r w:rsidRPr="002C047B">
        <w:rPr>
          <w:lang w:val="fr-FR"/>
        </w:rPr>
        <w:t xml:space="preserve"> afin de prévoir des moyens de recours dans les cas où la réception tardive de communications s</w:t>
      </w:r>
      <w:r w:rsidR="005931B4" w:rsidRPr="002C047B">
        <w:rPr>
          <w:lang w:val="fr-FR"/>
        </w:rPr>
        <w:t>’</w:t>
      </w:r>
      <w:r w:rsidRPr="002C047B">
        <w:rPr>
          <w:lang w:val="fr-FR"/>
        </w:rPr>
        <w:t>explique par des perturbations des moyens de communication électroniques (voir les paragraphes</w:t>
      </w:r>
      <w:r w:rsidR="004862FB" w:rsidRPr="002C047B">
        <w:rPr>
          <w:lang w:val="fr-FR"/>
        </w:rPr>
        <w:t> </w:t>
      </w:r>
      <w:r w:rsidR="00AC0F36" w:rsidRPr="002C047B">
        <w:rPr>
          <w:lang w:val="fr-FR"/>
        </w:rPr>
        <w:t>2 à </w:t>
      </w:r>
      <w:r w:rsidRPr="002C047B">
        <w:rPr>
          <w:lang w:val="fr-FR"/>
        </w:rPr>
        <w:t>7 et l</w:t>
      </w:r>
      <w:r w:rsidR="005931B4" w:rsidRPr="002C047B">
        <w:rPr>
          <w:lang w:val="fr-FR"/>
        </w:rPr>
        <w:t>’</w:t>
      </w:r>
      <w:r w:rsidRPr="002C047B">
        <w:rPr>
          <w:lang w:val="fr-FR"/>
        </w:rPr>
        <w:t>annexe</w:t>
      </w:r>
      <w:r w:rsidR="004862FB" w:rsidRPr="002C047B">
        <w:rPr>
          <w:lang w:val="fr-FR"/>
        </w:rPr>
        <w:t> </w:t>
      </w:r>
      <w:r w:rsidRPr="002C047B">
        <w:rPr>
          <w:lang w:val="fr-FR"/>
        </w:rPr>
        <w:t>I du document MM/LD/WG/12/2).</w:t>
      </w:r>
      <w:r w:rsidR="009E2DBB" w:rsidRPr="002C047B">
        <w:rPr>
          <w:lang w:val="fr-FR"/>
        </w:rPr>
        <w:t xml:space="preserve">  </w:t>
      </w:r>
      <w:r w:rsidR="00694E93" w:rsidRPr="002C047B">
        <w:rPr>
          <w:lang w:val="fr-FR"/>
        </w:rPr>
        <w:t>La règle</w:t>
      </w:r>
      <w:r w:rsidR="004862FB" w:rsidRPr="002C047B">
        <w:rPr>
          <w:lang w:val="fr-FR"/>
        </w:rPr>
        <w:t> </w:t>
      </w:r>
      <w:r w:rsidR="00694E93" w:rsidRPr="002C047B">
        <w:rPr>
          <w:lang w:val="fr-FR"/>
        </w:rPr>
        <w:t>5 du règlement d</w:t>
      </w:r>
      <w:r w:rsidR="005931B4" w:rsidRPr="002C047B">
        <w:rPr>
          <w:lang w:val="fr-FR"/>
        </w:rPr>
        <w:t>’</w:t>
      </w:r>
      <w:r w:rsidR="00694E93" w:rsidRPr="002C047B">
        <w:rPr>
          <w:lang w:val="fr-FR"/>
        </w:rPr>
        <w:t>exécution commun prévoit des moyens de recours en cas d</w:t>
      </w:r>
      <w:r w:rsidR="005931B4" w:rsidRPr="002C047B">
        <w:rPr>
          <w:lang w:val="fr-FR"/>
        </w:rPr>
        <w:t>’</w:t>
      </w:r>
      <w:r w:rsidR="00694E93" w:rsidRPr="002C047B">
        <w:rPr>
          <w:lang w:val="fr-FR"/>
        </w:rPr>
        <w:t>inobservation d</w:t>
      </w:r>
      <w:r w:rsidR="005931B4" w:rsidRPr="002C047B">
        <w:rPr>
          <w:lang w:val="fr-FR"/>
        </w:rPr>
        <w:t>’</w:t>
      </w:r>
      <w:r w:rsidR="00694E93" w:rsidRPr="002C047B">
        <w:rPr>
          <w:lang w:val="fr-FR"/>
        </w:rPr>
        <w:t>un délai pour des communications envoyées par l</w:t>
      </w:r>
      <w:r w:rsidR="005931B4" w:rsidRPr="002C047B">
        <w:rPr>
          <w:lang w:val="fr-FR"/>
        </w:rPr>
        <w:t>’</w:t>
      </w:r>
      <w:r w:rsidR="00694E93" w:rsidRPr="002C047B">
        <w:rPr>
          <w:lang w:val="fr-FR"/>
        </w:rPr>
        <w:t>intermédiaire d</w:t>
      </w:r>
      <w:r w:rsidR="005931B4" w:rsidRPr="002C047B">
        <w:rPr>
          <w:lang w:val="fr-FR"/>
        </w:rPr>
        <w:t>’</w:t>
      </w:r>
      <w:r w:rsidR="00694E93" w:rsidRPr="002C047B">
        <w:rPr>
          <w:lang w:val="fr-FR"/>
        </w:rPr>
        <w:t>un service postal ou d</w:t>
      </w:r>
      <w:r w:rsidR="005931B4" w:rsidRPr="002C047B">
        <w:rPr>
          <w:lang w:val="fr-FR"/>
        </w:rPr>
        <w:t>’</w:t>
      </w:r>
      <w:r w:rsidR="00694E93" w:rsidRPr="002C047B">
        <w:rPr>
          <w:lang w:val="fr-FR"/>
        </w:rPr>
        <w:t>une entreprise d</w:t>
      </w:r>
      <w:r w:rsidR="005931B4" w:rsidRPr="002C047B">
        <w:rPr>
          <w:lang w:val="fr-FR"/>
        </w:rPr>
        <w:t>’</w:t>
      </w:r>
      <w:r w:rsidR="00694E93" w:rsidRPr="002C047B">
        <w:rPr>
          <w:lang w:val="fr-FR"/>
        </w:rPr>
        <w:t xml:space="preserve">acheminement du courrier </w:t>
      </w:r>
      <w:r w:rsidR="00062A2C" w:rsidRPr="002C047B">
        <w:rPr>
          <w:lang w:val="fr-FR"/>
        </w:rPr>
        <w:t>en cas</w:t>
      </w:r>
      <w:r w:rsidR="00694E93" w:rsidRPr="002C047B">
        <w:rPr>
          <w:lang w:val="fr-FR"/>
        </w:rPr>
        <w:t xml:space="preserve"> de force majeure.</w:t>
      </w:r>
      <w:r w:rsidR="007B4785" w:rsidRPr="002C047B">
        <w:rPr>
          <w:lang w:val="fr-FR"/>
        </w:rPr>
        <w:t xml:space="preserve">  </w:t>
      </w:r>
      <w:r w:rsidR="00694E93" w:rsidRPr="002C047B">
        <w:rPr>
          <w:lang w:val="fr-FR"/>
        </w:rPr>
        <w:t>Cependant, cette disposition ne couvre pas l</w:t>
      </w:r>
      <w:r w:rsidR="005931B4" w:rsidRPr="002C047B">
        <w:rPr>
          <w:lang w:val="fr-FR"/>
        </w:rPr>
        <w:t>’</w:t>
      </w:r>
      <w:r w:rsidR="00694E93" w:rsidRPr="002C047B">
        <w:rPr>
          <w:lang w:val="fr-FR"/>
        </w:rPr>
        <w:t>inobservation d</w:t>
      </w:r>
      <w:r w:rsidR="005931B4" w:rsidRPr="002C047B">
        <w:rPr>
          <w:lang w:val="fr-FR"/>
        </w:rPr>
        <w:t>’</w:t>
      </w:r>
      <w:r w:rsidR="00694E93" w:rsidRPr="002C047B">
        <w:rPr>
          <w:lang w:val="fr-FR"/>
        </w:rPr>
        <w:t>un délai lorsque la communication est envoyée par voie électronique.</w:t>
      </w:r>
      <w:r w:rsidR="009E2DBB" w:rsidRPr="002C047B">
        <w:rPr>
          <w:lang w:val="fr-FR"/>
        </w:rPr>
        <w:t xml:space="preserve">  </w:t>
      </w:r>
      <w:r w:rsidR="0086675F" w:rsidRPr="002C047B">
        <w:rPr>
          <w:lang w:val="fr-FR"/>
        </w:rPr>
        <w:t>Dans le cadre du système de Madrid, c</w:t>
      </w:r>
      <w:r w:rsidR="00694E93" w:rsidRPr="002C047B">
        <w:rPr>
          <w:lang w:val="fr-FR"/>
        </w:rPr>
        <w:t>omme dans le système</w:t>
      </w:r>
      <w:r w:rsidR="005931B4" w:rsidRPr="002C047B">
        <w:rPr>
          <w:lang w:val="fr-FR"/>
        </w:rPr>
        <w:t xml:space="preserve"> du PCT</w:t>
      </w:r>
      <w:r w:rsidR="00694E93" w:rsidRPr="002C047B">
        <w:rPr>
          <w:lang w:val="fr-FR"/>
        </w:rPr>
        <w:t xml:space="preserve">, un nombre croissant de communications </w:t>
      </w:r>
      <w:r w:rsidR="0086675F" w:rsidRPr="002C047B">
        <w:rPr>
          <w:lang w:val="fr-FR"/>
        </w:rPr>
        <w:t xml:space="preserve">sont </w:t>
      </w:r>
      <w:r w:rsidR="00694E93" w:rsidRPr="002C047B">
        <w:rPr>
          <w:lang w:val="fr-FR"/>
        </w:rPr>
        <w:t>envoyées sous forme électronique.</w:t>
      </w:r>
    </w:p>
    <w:p w:rsidR="00DE4EAF" w:rsidRPr="002C047B" w:rsidRDefault="00694E93" w:rsidP="002C047B">
      <w:pPr>
        <w:pStyle w:val="ONUMFS"/>
        <w:rPr>
          <w:lang w:val="fr-FR"/>
        </w:rPr>
      </w:pPr>
      <w:r w:rsidRPr="002C047B">
        <w:rPr>
          <w:lang w:val="fr-FR"/>
        </w:rPr>
        <w:t>À l</w:t>
      </w:r>
      <w:r w:rsidR="005931B4" w:rsidRPr="002C047B">
        <w:rPr>
          <w:lang w:val="fr-FR"/>
        </w:rPr>
        <w:t>’</w:t>
      </w:r>
      <w:r w:rsidRPr="002C047B">
        <w:rPr>
          <w:lang w:val="fr-FR"/>
        </w:rPr>
        <w:t>issue de</w:t>
      </w:r>
      <w:r w:rsidR="00B57CD1" w:rsidRPr="002C047B">
        <w:rPr>
          <w:lang w:val="fr-FR"/>
        </w:rPr>
        <w:t xml:space="preserve"> ce</w:t>
      </w:r>
      <w:r w:rsidRPr="002C047B">
        <w:rPr>
          <w:lang w:val="fr-FR"/>
        </w:rPr>
        <w:t xml:space="preserve">s délibérations, le groupe de travail a recommandé que la modification </w:t>
      </w:r>
      <w:r w:rsidR="0086675F" w:rsidRPr="002C047B">
        <w:rPr>
          <w:lang w:val="fr-FR"/>
        </w:rPr>
        <w:t>ci</w:t>
      </w:r>
      <w:r w:rsidR="00006009" w:rsidRPr="002C047B">
        <w:rPr>
          <w:szCs w:val="22"/>
          <w:lang w:val="fr-FR"/>
        </w:rPr>
        <w:noBreakHyphen/>
      </w:r>
      <w:r w:rsidR="0086675F" w:rsidRPr="002C047B">
        <w:rPr>
          <w:szCs w:val="22"/>
          <w:lang w:val="fr-FR"/>
        </w:rPr>
        <w:t>après</w:t>
      </w:r>
      <w:r w:rsidRPr="002C047B">
        <w:rPr>
          <w:lang w:val="fr-FR"/>
        </w:rPr>
        <w:t xml:space="preserve"> </w:t>
      </w:r>
      <w:r w:rsidR="00B57CD1" w:rsidRPr="002C047B">
        <w:rPr>
          <w:lang w:val="fr-FR"/>
        </w:rPr>
        <w:t>de</w:t>
      </w:r>
      <w:r w:rsidRPr="002C047B">
        <w:rPr>
          <w:lang w:val="fr-FR"/>
        </w:rPr>
        <w:t xml:space="preserve"> la règle</w:t>
      </w:r>
      <w:r w:rsidR="004862FB" w:rsidRPr="002C047B">
        <w:rPr>
          <w:lang w:val="fr-FR"/>
        </w:rPr>
        <w:t> </w:t>
      </w:r>
      <w:r w:rsidRPr="002C047B">
        <w:rPr>
          <w:lang w:val="fr-FR"/>
        </w:rPr>
        <w:t>5 soit adoptée par l</w:t>
      </w:r>
      <w:r w:rsidR="005931B4" w:rsidRPr="002C047B">
        <w:rPr>
          <w:lang w:val="fr-FR"/>
        </w:rPr>
        <w:t>’</w:t>
      </w:r>
      <w:r w:rsidRPr="002C047B">
        <w:rPr>
          <w:lang w:val="fr-FR"/>
        </w:rPr>
        <w:t>Assemblée de l</w:t>
      </w:r>
      <w:r w:rsidR="005931B4" w:rsidRPr="002C047B">
        <w:rPr>
          <w:lang w:val="fr-FR"/>
        </w:rPr>
        <w:t>’</w:t>
      </w:r>
      <w:r w:rsidRPr="002C047B">
        <w:rPr>
          <w:lang w:val="fr-FR"/>
        </w:rPr>
        <w:t>Union de Madrid (voir les paragraphes</w:t>
      </w:r>
      <w:r w:rsidR="004862FB" w:rsidRPr="002C047B">
        <w:rPr>
          <w:lang w:val="fr-FR"/>
        </w:rPr>
        <w:t> </w:t>
      </w:r>
      <w:r w:rsidRPr="002C047B">
        <w:rPr>
          <w:lang w:val="fr-FR"/>
        </w:rPr>
        <w:t>12 et 13 et l</w:t>
      </w:r>
      <w:r w:rsidR="005931B4" w:rsidRPr="002C047B">
        <w:rPr>
          <w:lang w:val="fr-FR"/>
        </w:rPr>
        <w:t>’</w:t>
      </w:r>
      <w:r w:rsidRPr="002C047B">
        <w:rPr>
          <w:lang w:val="fr-FR"/>
        </w:rPr>
        <w:t xml:space="preserve">annexe du </w:t>
      </w:r>
      <w:r w:rsidR="00062A2C" w:rsidRPr="002C047B">
        <w:rPr>
          <w:lang w:val="fr-FR"/>
        </w:rPr>
        <w:t>r</w:t>
      </w:r>
      <w:r w:rsidRPr="002C047B">
        <w:rPr>
          <w:lang w:val="fr-FR"/>
        </w:rPr>
        <w:t>ésumé présenté par le président, document MM/LD/WG/12/6)</w:t>
      </w:r>
      <w:r w:rsidR="004862FB" w:rsidRPr="002C047B">
        <w:rPr>
          <w:lang w:val="fr-FR"/>
        </w:rPr>
        <w:t> </w:t>
      </w:r>
      <w:r w:rsidRPr="002C047B">
        <w:rPr>
          <w:lang w:val="fr-FR"/>
        </w:rPr>
        <w:t>:</w:t>
      </w:r>
    </w:p>
    <w:p w:rsidR="00DE4EAF" w:rsidRPr="002C047B" w:rsidRDefault="00AB32F3" w:rsidP="002C047B">
      <w:pPr>
        <w:pStyle w:val="Legi"/>
        <w:keepNext/>
        <w:keepLines/>
        <w:spacing w:line="240" w:lineRule="auto"/>
        <w:ind w:left="567"/>
        <w:jc w:val="center"/>
        <w:rPr>
          <w:i/>
          <w:lang w:val="fr-FR"/>
        </w:rPr>
      </w:pPr>
      <w:r w:rsidRPr="002C047B">
        <w:rPr>
          <w:i/>
          <w:lang w:val="fr-FR"/>
        </w:rPr>
        <w:t>“</w:t>
      </w:r>
      <w:r w:rsidR="00694E93" w:rsidRPr="002C047B">
        <w:rPr>
          <w:i/>
          <w:lang w:val="fr-FR"/>
        </w:rPr>
        <w:t>Règle</w:t>
      </w:r>
      <w:r w:rsidR="004862FB" w:rsidRPr="002C047B">
        <w:rPr>
          <w:i/>
          <w:lang w:val="fr-FR"/>
        </w:rPr>
        <w:t> </w:t>
      </w:r>
      <w:r w:rsidR="00694E93" w:rsidRPr="002C047B">
        <w:rPr>
          <w:i/>
          <w:lang w:val="fr-FR"/>
        </w:rPr>
        <w:t>5</w:t>
      </w:r>
    </w:p>
    <w:p w:rsidR="00DE4EAF" w:rsidRPr="002C047B" w:rsidRDefault="00694E93" w:rsidP="002C047B">
      <w:pPr>
        <w:pStyle w:val="Legi"/>
        <w:keepNext/>
        <w:keepLines/>
        <w:spacing w:line="240" w:lineRule="auto"/>
        <w:ind w:left="567"/>
        <w:jc w:val="center"/>
        <w:rPr>
          <w:i/>
          <w:color w:val="0070C0"/>
          <w:lang w:val="fr-FR"/>
        </w:rPr>
      </w:pPr>
      <w:r w:rsidRPr="002C047B">
        <w:rPr>
          <w:i/>
          <w:lang w:val="fr-FR"/>
        </w:rPr>
        <w:t>Perturbations dans le service postal et dans les entreprises d</w:t>
      </w:r>
      <w:r w:rsidR="005931B4" w:rsidRPr="002C047B">
        <w:rPr>
          <w:i/>
          <w:lang w:val="fr-FR"/>
        </w:rPr>
        <w:t>’</w:t>
      </w:r>
      <w:r w:rsidRPr="002C047B">
        <w:rPr>
          <w:i/>
          <w:lang w:val="fr-FR"/>
        </w:rPr>
        <w:t>acheminement du courrier</w:t>
      </w:r>
      <w:r w:rsidRPr="002C047B">
        <w:rPr>
          <w:i/>
          <w:lang w:val="fr-FR"/>
        </w:rPr>
        <w:br/>
      </w:r>
      <w:r w:rsidRPr="002C047B">
        <w:rPr>
          <w:rStyle w:val="InsertedText"/>
          <w:i/>
          <w:lang w:val="fr-FR"/>
        </w:rPr>
        <w:t>et l</w:t>
      </w:r>
      <w:r w:rsidR="005931B4" w:rsidRPr="002C047B">
        <w:rPr>
          <w:rStyle w:val="InsertedText"/>
          <w:i/>
          <w:lang w:val="fr-FR"/>
        </w:rPr>
        <w:t>’</w:t>
      </w:r>
      <w:r w:rsidRPr="002C047B">
        <w:rPr>
          <w:rStyle w:val="InsertedText"/>
          <w:i/>
          <w:lang w:val="fr-FR"/>
        </w:rPr>
        <w:t>envoi de communications par voie électronique</w:t>
      </w:r>
    </w:p>
    <w:p w:rsidR="005931B4" w:rsidRPr="002C047B" w:rsidRDefault="009E2DBB" w:rsidP="002C047B">
      <w:pPr>
        <w:pStyle w:val="ONUME"/>
        <w:numPr>
          <w:ilvl w:val="0"/>
          <w:numId w:val="0"/>
        </w:numPr>
        <w:ind w:left="567"/>
        <w:rPr>
          <w:lang w:val="fr-FR"/>
        </w:rPr>
      </w:pPr>
      <w:r w:rsidRPr="002C047B">
        <w:rPr>
          <w:lang w:val="fr-FR"/>
        </w:rPr>
        <w:t>[…]</w:t>
      </w:r>
    </w:p>
    <w:p w:rsidR="005931B4" w:rsidRPr="002C047B" w:rsidRDefault="009E2DBB" w:rsidP="002C047B">
      <w:pPr>
        <w:pStyle w:val="ONUME"/>
        <w:numPr>
          <w:ilvl w:val="0"/>
          <w:numId w:val="0"/>
        </w:numPr>
        <w:ind w:left="567"/>
        <w:rPr>
          <w:rStyle w:val="InsertedText"/>
          <w:lang w:val="fr-FR"/>
        </w:rPr>
      </w:pPr>
      <w:r w:rsidRPr="002C047B">
        <w:rPr>
          <w:rStyle w:val="InsertedText"/>
          <w:lang w:val="fr-FR"/>
        </w:rPr>
        <w:t>3)</w:t>
      </w:r>
      <w:r w:rsidRPr="002C047B">
        <w:rPr>
          <w:rStyle w:val="InsertedText"/>
          <w:lang w:val="fr-FR"/>
        </w:rPr>
        <w:tab/>
      </w:r>
      <w:r w:rsidR="00694E93" w:rsidRPr="002C047B">
        <w:rPr>
          <w:i/>
          <w:iCs/>
          <w:color w:val="0070C0"/>
          <w:u w:val="single"/>
          <w:lang w:val="fr-FR"/>
        </w:rPr>
        <w:t xml:space="preserve">[Communication envoyée par voie électronique] </w:t>
      </w:r>
      <w:r w:rsidR="00AC0F36" w:rsidRPr="002C047B">
        <w:rPr>
          <w:i/>
          <w:iCs/>
          <w:color w:val="0070C0"/>
          <w:u w:val="single"/>
          <w:lang w:val="fr-FR"/>
        </w:rPr>
        <w:t xml:space="preserve"> </w:t>
      </w:r>
      <w:r w:rsidR="00694E93" w:rsidRPr="002C047B">
        <w:rPr>
          <w:color w:val="0070C0"/>
          <w:u w:val="single"/>
          <w:lang w:val="fr-FR"/>
        </w:rPr>
        <w:t>L</w:t>
      </w:r>
      <w:r w:rsidR="005931B4" w:rsidRPr="002C047B">
        <w:rPr>
          <w:color w:val="0070C0"/>
          <w:u w:val="single"/>
          <w:lang w:val="fr-FR"/>
        </w:rPr>
        <w:t>’</w:t>
      </w:r>
      <w:r w:rsidR="00694E93" w:rsidRPr="002C047B">
        <w:rPr>
          <w:color w:val="0070C0"/>
          <w:u w:val="single"/>
          <w:lang w:val="fr-FR"/>
        </w:rPr>
        <w:t>inobservation, par une partie intéressée, d</w:t>
      </w:r>
      <w:r w:rsidR="005931B4" w:rsidRPr="002C047B">
        <w:rPr>
          <w:color w:val="0070C0"/>
          <w:u w:val="single"/>
          <w:lang w:val="fr-FR"/>
        </w:rPr>
        <w:t>’</w:t>
      </w:r>
      <w:r w:rsidR="00694E93" w:rsidRPr="002C047B">
        <w:rPr>
          <w:color w:val="0070C0"/>
          <w:u w:val="single"/>
          <w:lang w:val="fr-FR"/>
        </w:rPr>
        <w:t>un délai pour une communication adressée au Bureau international et envoyée par voie électronique est excusée si la partie intéressée apporte la preuve, d</w:t>
      </w:r>
      <w:r w:rsidR="005931B4" w:rsidRPr="002C047B">
        <w:rPr>
          <w:color w:val="0070C0"/>
          <w:u w:val="single"/>
          <w:lang w:val="fr-FR"/>
        </w:rPr>
        <w:t>’</w:t>
      </w:r>
      <w:r w:rsidR="00694E93" w:rsidRPr="002C047B">
        <w:rPr>
          <w:color w:val="0070C0"/>
          <w:u w:val="single"/>
          <w:lang w:val="fr-FR"/>
        </w:rPr>
        <w:t>une façon satisfaisante pour le Bureau international, que le délai n</w:t>
      </w:r>
      <w:r w:rsidR="005931B4" w:rsidRPr="002C047B">
        <w:rPr>
          <w:color w:val="0070C0"/>
          <w:u w:val="single"/>
          <w:lang w:val="fr-FR"/>
        </w:rPr>
        <w:t>’</w:t>
      </w:r>
      <w:r w:rsidR="00694E93" w:rsidRPr="002C047B">
        <w:rPr>
          <w:color w:val="0070C0"/>
          <w:u w:val="single"/>
          <w:lang w:val="fr-FR"/>
        </w:rPr>
        <w:t xml:space="preserve">a pas été respecté en </w:t>
      </w:r>
      <w:r w:rsidR="00694E93" w:rsidRPr="002C047B">
        <w:rPr>
          <w:color w:val="0070C0"/>
          <w:u w:val="single"/>
          <w:lang w:val="fr-FR"/>
        </w:rPr>
        <w:lastRenderedPageBreak/>
        <w:t>raison de défaillances dans la communication électronique avec le Bureau international, ou concernant la localité de la partie intéressée en raison de circonstances extraordinaires indépendantes de la volonté de la partie intéressée, et que la communication a été effectuée au plus tard cinq</w:t>
      </w:r>
      <w:r w:rsidR="004862FB" w:rsidRPr="002C047B">
        <w:rPr>
          <w:color w:val="0070C0"/>
          <w:u w:val="single"/>
          <w:lang w:val="fr-FR"/>
        </w:rPr>
        <w:t> </w:t>
      </w:r>
      <w:r w:rsidR="00694E93" w:rsidRPr="002C047B">
        <w:rPr>
          <w:color w:val="0070C0"/>
          <w:u w:val="single"/>
          <w:lang w:val="fr-FR"/>
        </w:rPr>
        <w:t>jours après la reprise du service de communication électronique</w:t>
      </w:r>
      <w:r w:rsidRPr="002C047B">
        <w:rPr>
          <w:rStyle w:val="InsertedText"/>
          <w:lang w:val="fr-FR"/>
        </w:rPr>
        <w:t>.</w:t>
      </w:r>
      <w:r w:rsidR="007B4785" w:rsidRPr="002C047B">
        <w:rPr>
          <w:rStyle w:val="InsertedText"/>
          <w:u w:val="none"/>
          <w:lang w:val="fr-FR"/>
        </w:rPr>
        <w:t>”</w:t>
      </w:r>
    </w:p>
    <w:p w:rsidR="005931B4" w:rsidRPr="002C047B" w:rsidRDefault="0012200D" w:rsidP="002C047B">
      <w:pPr>
        <w:pStyle w:val="ONUMFS"/>
        <w:rPr>
          <w:lang w:val="fr-FR"/>
        </w:rPr>
      </w:pPr>
      <w:r w:rsidRPr="002C047B">
        <w:rPr>
          <w:lang w:val="fr-FR"/>
        </w:rPr>
        <w:t xml:space="preserve">Le délai </w:t>
      </w:r>
      <w:r w:rsidR="00B57CD1" w:rsidRPr="002C047B">
        <w:rPr>
          <w:lang w:val="fr-FR"/>
        </w:rPr>
        <w:t>prévu à la règle</w:t>
      </w:r>
      <w:r w:rsidR="004862FB" w:rsidRPr="002C047B">
        <w:rPr>
          <w:lang w:val="fr-FR"/>
        </w:rPr>
        <w:t> </w:t>
      </w:r>
      <w:r w:rsidR="00B57CD1" w:rsidRPr="002C047B">
        <w:rPr>
          <w:lang w:val="fr-FR"/>
        </w:rPr>
        <w:t xml:space="preserve">5 </w:t>
      </w:r>
      <w:r w:rsidRPr="002C047B">
        <w:rPr>
          <w:lang w:val="fr-FR"/>
        </w:rPr>
        <w:t xml:space="preserve">pour </w:t>
      </w:r>
      <w:r w:rsidR="00873C5A" w:rsidRPr="002C047B">
        <w:rPr>
          <w:lang w:val="fr-FR"/>
        </w:rPr>
        <w:t>apporter</w:t>
      </w:r>
      <w:r w:rsidRPr="002C047B">
        <w:rPr>
          <w:lang w:val="fr-FR"/>
        </w:rPr>
        <w:t xml:space="preserve"> des preuves permettant d</w:t>
      </w:r>
      <w:r w:rsidR="005931B4" w:rsidRPr="002C047B">
        <w:rPr>
          <w:lang w:val="fr-FR"/>
        </w:rPr>
        <w:t>’</w:t>
      </w:r>
      <w:r w:rsidRPr="002C047B">
        <w:rPr>
          <w:lang w:val="fr-FR"/>
        </w:rPr>
        <w:t>excuser un retard dans l</w:t>
      </w:r>
      <w:r w:rsidR="005931B4" w:rsidRPr="002C047B">
        <w:rPr>
          <w:lang w:val="fr-FR"/>
        </w:rPr>
        <w:t>’</w:t>
      </w:r>
      <w:r w:rsidRPr="002C047B">
        <w:rPr>
          <w:lang w:val="fr-FR"/>
        </w:rPr>
        <w:t>observation d</w:t>
      </w:r>
      <w:r w:rsidR="005931B4" w:rsidRPr="002C047B">
        <w:rPr>
          <w:lang w:val="fr-FR"/>
        </w:rPr>
        <w:t>’</w:t>
      </w:r>
      <w:r w:rsidRPr="002C047B">
        <w:rPr>
          <w:lang w:val="fr-FR"/>
        </w:rPr>
        <w:t xml:space="preserve">un délai est de </w:t>
      </w:r>
      <w:r w:rsidR="00873C5A" w:rsidRPr="002C047B">
        <w:rPr>
          <w:lang w:val="fr-FR"/>
        </w:rPr>
        <w:t>six</w:t>
      </w:r>
      <w:r w:rsidR="004862FB" w:rsidRPr="002C047B">
        <w:rPr>
          <w:lang w:val="fr-FR"/>
        </w:rPr>
        <w:t> </w:t>
      </w:r>
      <w:r w:rsidRPr="002C047B">
        <w:rPr>
          <w:lang w:val="fr-FR"/>
        </w:rPr>
        <w:t xml:space="preserve">mois, comme </w:t>
      </w:r>
      <w:r w:rsidR="00062A2C" w:rsidRPr="002C047B">
        <w:rPr>
          <w:lang w:val="fr-FR"/>
        </w:rPr>
        <w:t>celui</w:t>
      </w:r>
      <w:r w:rsidRPr="002C047B">
        <w:rPr>
          <w:lang w:val="fr-FR"/>
        </w:rPr>
        <w:t xml:space="preserve"> prévu à la règle</w:t>
      </w:r>
      <w:r w:rsidR="004862FB" w:rsidRPr="002C047B">
        <w:rPr>
          <w:lang w:val="fr-FR"/>
        </w:rPr>
        <w:t> </w:t>
      </w:r>
      <w:r w:rsidRPr="002C047B">
        <w:rPr>
          <w:lang w:val="fr-FR"/>
        </w:rPr>
        <w:t>82</w:t>
      </w:r>
      <w:r w:rsidRPr="002C047B">
        <w:rPr>
          <w:i/>
          <w:lang w:val="fr-FR"/>
        </w:rPr>
        <w:t>quater</w:t>
      </w:r>
      <w:r w:rsidRPr="002C047B">
        <w:rPr>
          <w:lang w:val="fr-FR"/>
        </w:rPr>
        <w:t xml:space="preserve"> du règlement d</w:t>
      </w:r>
      <w:r w:rsidR="005931B4" w:rsidRPr="002C047B">
        <w:rPr>
          <w:lang w:val="fr-FR"/>
        </w:rPr>
        <w:t>’</w:t>
      </w:r>
      <w:r w:rsidRPr="002C047B">
        <w:rPr>
          <w:lang w:val="fr-FR"/>
        </w:rPr>
        <w:t>exécution du PCT.</w:t>
      </w:r>
    </w:p>
    <w:p w:rsidR="005931B4" w:rsidRPr="002C047B" w:rsidRDefault="0012200D" w:rsidP="002C047B">
      <w:pPr>
        <w:pStyle w:val="Heading1"/>
      </w:pPr>
      <w:r w:rsidRPr="002C047B">
        <w:t xml:space="preserve">Examen des </w:t>
      </w:r>
      <w:r w:rsidR="00D34B68" w:rsidRPr="002C047B">
        <w:t>r</w:t>
      </w:r>
      <w:r w:rsidRPr="002C047B">
        <w:t>éponses à la circulaire C.</w:t>
      </w:r>
      <w:r w:rsidR="004862FB" w:rsidRPr="002C047B">
        <w:t> </w:t>
      </w:r>
      <w:r w:rsidR="00D34B68" w:rsidRPr="002C047B">
        <w:t>PCT </w:t>
      </w:r>
      <w:r w:rsidRPr="002C047B">
        <w:t>1433</w:t>
      </w:r>
    </w:p>
    <w:p w:rsidR="00DE4EAF" w:rsidRPr="002C047B" w:rsidRDefault="00524756" w:rsidP="002C047B">
      <w:pPr>
        <w:pStyle w:val="ONUMFS"/>
        <w:rPr>
          <w:lang w:val="fr-FR"/>
        </w:rPr>
      </w:pPr>
      <w:r w:rsidRPr="002C047B">
        <w:rPr>
          <w:lang w:val="fr-FR"/>
        </w:rPr>
        <w:t>Pour faire suite à l</w:t>
      </w:r>
      <w:r w:rsidR="005931B4" w:rsidRPr="002C047B">
        <w:rPr>
          <w:lang w:val="fr-FR"/>
        </w:rPr>
        <w:t>’</w:t>
      </w:r>
      <w:r w:rsidRPr="002C047B">
        <w:rPr>
          <w:lang w:val="fr-FR"/>
        </w:rPr>
        <w:t xml:space="preserve">invitation adressée aux États contractants lors de la session du </w:t>
      </w:r>
      <w:r w:rsidR="004862FB" w:rsidRPr="002C047B">
        <w:rPr>
          <w:lang w:val="fr-FR"/>
        </w:rPr>
        <w:t>Groupe</w:t>
      </w:r>
      <w:r w:rsidRPr="002C047B">
        <w:rPr>
          <w:lang w:val="fr-FR"/>
        </w:rPr>
        <w:t xml:space="preserve"> de travail</w:t>
      </w:r>
      <w:r w:rsidR="005931B4" w:rsidRPr="002C047B">
        <w:rPr>
          <w:lang w:val="fr-FR"/>
        </w:rPr>
        <w:t xml:space="preserve"> du PCT</w:t>
      </w:r>
      <w:r w:rsidRPr="002C047B">
        <w:rPr>
          <w:lang w:val="fr-FR"/>
        </w:rPr>
        <w:t>, le Bureau international a diffusé la circulaire C.</w:t>
      </w:r>
      <w:r w:rsidR="004862FB" w:rsidRPr="002C047B">
        <w:rPr>
          <w:lang w:val="fr-FR"/>
        </w:rPr>
        <w:t> </w:t>
      </w:r>
      <w:r w:rsidR="00006009" w:rsidRPr="002C047B">
        <w:rPr>
          <w:lang w:val="fr-FR"/>
        </w:rPr>
        <w:t>PCT </w:t>
      </w:r>
      <w:r w:rsidRPr="002C047B">
        <w:rPr>
          <w:lang w:val="fr-FR"/>
        </w:rPr>
        <w:t>1433, datée du 2</w:t>
      </w:r>
      <w:r w:rsidR="005931B4" w:rsidRPr="002C047B">
        <w:rPr>
          <w:lang w:val="fr-FR"/>
        </w:rPr>
        <w:t>7 novembre 20</w:t>
      </w:r>
      <w:r w:rsidRPr="002C047B">
        <w:rPr>
          <w:lang w:val="fr-FR"/>
        </w:rPr>
        <w:t xml:space="preserve">14, dans laquelle il invitait les offices à fournir des informations sur les pratiques </w:t>
      </w:r>
      <w:r w:rsidR="00062A2C" w:rsidRPr="002C047B">
        <w:rPr>
          <w:lang w:val="fr-FR"/>
        </w:rPr>
        <w:t>visant à</w:t>
      </w:r>
      <w:r w:rsidRPr="002C047B">
        <w:rPr>
          <w:lang w:val="fr-FR"/>
        </w:rPr>
        <w:t xml:space="preserve"> protéger les utilisateurs en cas de défaillance des systèmes de communication électronique.</w:t>
      </w:r>
      <w:r w:rsidR="00FB554C" w:rsidRPr="002C047B">
        <w:rPr>
          <w:lang w:val="fr-FR"/>
        </w:rPr>
        <w:t xml:space="preserve">  </w:t>
      </w:r>
      <w:r w:rsidR="00B57CD1" w:rsidRPr="002C047B">
        <w:rPr>
          <w:lang w:val="fr-FR"/>
        </w:rPr>
        <w:t>Il</w:t>
      </w:r>
      <w:r w:rsidRPr="002C047B">
        <w:rPr>
          <w:lang w:val="fr-FR"/>
        </w:rPr>
        <w:t xml:space="preserve"> a reçu 37</w:t>
      </w:r>
      <w:r w:rsidR="00006009" w:rsidRPr="002C047B">
        <w:rPr>
          <w:lang w:val="fr-FR"/>
        </w:rPr>
        <w:t> </w:t>
      </w:r>
      <w:r w:rsidRPr="002C047B">
        <w:rPr>
          <w:lang w:val="fr-FR"/>
        </w:rPr>
        <w:t>réponses.</w:t>
      </w:r>
    </w:p>
    <w:p w:rsidR="00DE4EAF" w:rsidRPr="002C047B" w:rsidRDefault="00524756" w:rsidP="002C047B">
      <w:pPr>
        <w:pStyle w:val="Heading3"/>
      </w:pPr>
      <w:r w:rsidRPr="002C047B">
        <w:t>Prorogation d</w:t>
      </w:r>
      <w:r w:rsidR="005931B4" w:rsidRPr="002C047B">
        <w:t>’</w:t>
      </w:r>
      <w:r w:rsidRPr="002C047B">
        <w:t>un délai pour indisponibilité des systèmes de communication électronique d</w:t>
      </w:r>
      <w:r w:rsidR="005931B4" w:rsidRPr="002C047B">
        <w:t>’</w:t>
      </w:r>
      <w:r w:rsidRPr="002C047B">
        <w:t>un office</w:t>
      </w:r>
    </w:p>
    <w:p w:rsidR="00DE4EAF" w:rsidRPr="002C047B" w:rsidRDefault="00524756" w:rsidP="002C047B">
      <w:pPr>
        <w:pStyle w:val="ONUMFS"/>
        <w:rPr>
          <w:lang w:val="fr-FR"/>
        </w:rPr>
      </w:pPr>
      <w:r w:rsidRPr="002C047B">
        <w:rPr>
          <w:lang w:val="fr-FR"/>
        </w:rPr>
        <w:t>Seuls deux</w:t>
      </w:r>
      <w:r w:rsidR="004862FB" w:rsidRPr="002C047B">
        <w:rPr>
          <w:lang w:val="fr-FR"/>
        </w:rPr>
        <w:t> </w:t>
      </w:r>
      <w:r w:rsidRPr="002C047B">
        <w:rPr>
          <w:lang w:val="fr-FR"/>
        </w:rPr>
        <w:t xml:space="preserve">offices ont fourni des exemples de dispositions prorogeant au jour suivant </w:t>
      </w:r>
      <w:r w:rsidR="00873C5A" w:rsidRPr="002C047B">
        <w:rPr>
          <w:lang w:val="fr-FR"/>
        </w:rPr>
        <w:t xml:space="preserve">le délai </w:t>
      </w:r>
      <w:r w:rsidRPr="002C047B">
        <w:rPr>
          <w:lang w:val="fr-FR"/>
        </w:rPr>
        <w:t>expira</w:t>
      </w:r>
      <w:r w:rsidR="00873C5A" w:rsidRPr="002C047B">
        <w:rPr>
          <w:lang w:val="fr-FR"/>
        </w:rPr>
        <w:t>n</w:t>
      </w:r>
      <w:r w:rsidRPr="002C047B">
        <w:rPr>
          <w:lang w:val="fr-FR"/>
        </w:rPr>
        <w:t>t un jour où l</w:t>
      </w:r>
      <w:r w:rsidR="005931B4" w:rsidRPr="002C047B">
        <w:rPr>
          <w:lang w:val="fr-FR"/>
        </w:rPr>
        <w:t>’</w:t>
      </w:r>
      <w:r w:rsidRPr="002C047B">
        <w:rPr>
          <w:lang w:val="fr-FR"/>
        </w:rPr>
        <w:t>office n</w:t>
      </w:r>
      <w:r w:rsidR="005931B4" w:rsidRPr="002C047B">
        <w:rPr>
          <w:lang w:val="fr-FR"/>
        </w:rPr>
        <w:t>’</w:t>
      </w:r>
      <w:r w:rsidRPr="002C047B">
        <w:rPr>
          <w:lang w:val="fr-FR"/>
        </w:rPr>
        <w:t>était pas en mesure de recevoir des documents par voie électronique.</w:t>
      </w:r>
      <w:r w:rsidR="00AE79DB" w:rsidRPr="002C047B">
        <w:rPr>
          <w:lang w:val="fr-FR"/>
        </w:rPr>
        <w:t xml:space="preserve">  </w:t>
      </w:r>
      <w:r w:rsidR="00574081" w:rsidRPr="002C047B">
        <w:rPr>
          <w:lang w:val="fr-FR"/>
        </w:rPr>
        <w:t>L</w:t>
      </w:r>
      <w:r w:rsidR="005931B4" w:rsidRPr="002C047B">
        <w:rPr>
          <w:lang w:val="fr-FR"/>
        </w:rPr>
        <w:t>’</w:t>
      </w:r>
      <w:r w:rsidR="00574081" w:rsidRPr="002C047B">
        <w:rPr>
          <w:lang w:val="fr-FR"/>
        </w:rPr>
        <w:t xml:space="preserve">un des </w:t>
      </w:r>
      <w:r w:rsidR="00B57CD1" w:rsidRPr="002C047B">
        <w:rPr>
          <w:lang w:val="fr-FR"/>
        </w:rPr>
        <w:t>deux</w:t>
      </w:r>
      <w:r w:rsidR="00006009" w:rsidRPr="002C047B">
        <w:rPr>
          <w:lang w:val="fr-FR"/>
        </w:rPr>
        <w:t xml:space="preserve"> </w:t>
      </w:r>
      <w:r w:rsidR="00574081" w:rsidRPr="002C047B">
        <w:rPr>
          <w:lang w:val="fr-FR"/>
        </w:rPr>
        <w:t xml:space="preserve">a mentionné un incident </w:t>
      </w:r>
      <w:r w:rsidR="00B57CD1" w:rsidRPr="002C047B">
        <w:rPr>
          <w:lang w:val="fr-FR"/>
        </w:rPr>
        <w:t>au cours du</w:t>
      </w:r>
      <w:r w:rsidR="00574081" w:rsidRPr="002C047B">
        <w:rPr>
          <w:lang w:val="fr-FR"/>
        </w:rPr>
        <w:t xml:space="preserve">quel les lignes de téléphonie et de télécopie avaient été dans une large mesure indisponibles un jour </w:t>
      </w:r>
      <w:r w:rsidR="00062A2C" w:rsidRPr="002C047B">
        <w:rPr>
          <w:lang w:val="fr-FR"/>
        </w:rPr>
        <w:t>donné</w:t>
      </w:r>
      <w:r w:rsidR="00574081" w:rsidRPr="002C047B">
        <w:rPr>
          <w:lang w:val="fr-FR"/>
        </w:rPr>
        <w:t>.</w:t>
      </w:r>
      <w:r w:rsidR="00BA7269" w:rsidRPr="002C047B">
        <w:rPr>
          <w:lang w:val="fr-FR"/>
        </w:rPr>
        <w:t xml:space="preserve">  </w:t>
      </w:r>
      <w:r w:rsidR="00574081" w:rsidRPr="002C047B">
        <w:rPr>
          <w:lang w:val="fr-FR"/>
        </w:rPr>
        <w:t>Un avis officiel avait été publié pour signaler ce problème et tous les délais expirant ce jour</w:t>
      </w:r>
      <w:r w:rsidR="00006009" w:rsidRPr="002C047B">
        <w:rPr>
          <w:lang w:val="fr-FR"/>
        </w:rPr>
        <w:noBreakHyphen/>
      </w:r>
      <w:r w:rsidR="00574081" w:rsidRPr="002C047B">
        <w:rPr>
          <w:lang w:val="fr-FR"/>
        </w:rPr>
        <w:t xml:space="preserve">là avaient été prorogés au </w:t>
      </w:r>
      <w:r w:rsidR="00873C5A" w:rsidRPr="002C047B">
        <w:rPr>
          <w:lang w:val="fr-FR"/>
        </w:rPr>
        <w:t>jour suivant</w:t>
      </w:r>
      <w:r w:rsidR="00574081" w:rsidRPr="002C047B">
        <w:rPr>
          <w:lang w:val="fr-FR"/>
        </w:rPr>
        <w:t>.</w:t>
      </w:r>
    </w:p>
    <w:p w:rsidR="00DE4EAF" w:rsidRPr="002C047B" w:rsidRDefault="00785CF1" w:rsidP="002C047B">
      <w:pPr>
        <w:pStyle w:val="ONUMFS"/>
        <w:rPr>
          <w:lang w:val="fr-FR"/>
        </w:rPr>
      </w:pPr>
      <w:r w:rsidRPr="002C047B">
        <w:rPr>
          <w:lang w:val="fr-FR"/>
        </w:rPr>
        <w:t>D</w:t>
      </w:r>
      <w:r w:rsidR="005931B4" w:rsidRPr="002C047B">
        <w:rPr>
          <w:lang w:val="fr-FR"/>
        </w:rPr>
        <w:t>’</w:t>
      </w:r>
      <w:r w:rsidRPr="002C047B">
        <w:rPr>
          <w:lang w:val="fr-FR"/>
        </w:rPr>
        <w:t>autres offices ont indiqué qu</w:t>
      </w:r>
      <w:r w:rsidR="005931B4" w:rsidRPr="002C047B">
        <w:rPr>
          <w:lang w:val="fr-FR"/>
        </w:rPr>
        <w:t>’</w:t>
      </w:r>
      <w:r w:rsidRPr="002C047B">
        <w:rPr>
          <w:lang w:val="fr-FR"/>
        </w:rPr>
        <w:t>ils pou</w:t>
      </w:r>
      <w:r w:rsidR="00062A2C" w:rsidRPr="002C047B">
        <w:rPr>
          <w:lang w:val="fr-FR"/>
        </w:rPr>
        <w:t>v</w:t>
      </w:r>
      <w:r w:rsidRPr="002C047B">
        <w:rPr>
          <w:lang w:val="fr-FR"/>
        </w:rPr>
        <w:t xml:space="preserve">aient déclarer </w:t>
      </w:r>
      <w:r w:rsidR="0086675F" w:rsidRPr="002C047B">
        <w:rPr>
          <w:lang w:val="fr-FR"/>
        </w:rPr>
        <w:t>qu</w:t>
      </w:r>
      <w:r w:rsidR="005931B4" w:rsidRPr="002C047B">
        <w:rPr>
          <w:lang w:val="fr-FR"/>
        </w:rPr>
        <w:t>’</w:t>
      </w:r>
      <w:r w:rsidR="0086675F" w:rsidRPr="002C047B">
        <w:rPr>
          <w:lang w:val="fr-FR"/>
        </w:rPr>
        <w:t>ils n</w:t>
      </w:r>
      <w:r w:rsidR="005931B4" w:rsidRPr="002C047B">
        <w:rPr>
          <w:lang w:val="fr-FR"/>
        </w:rPr>
        <w:t>’</w:t>
      </w:r>
      <w:r w:rsidR="0086675F" w:rsidRPr="002C047B">
        <w:rPr>
          <w:lang w:val="fr-FR"/>
        </w:rPr>
        <w:t xml:space="preserve">étaient pas </w:t>
      </w:r>
      <w:r w:rsidRPr="002C047B">
        <w:rPr>
          <w:lang w:val="fr-FR"/>
        </w:rPr>
        <w:t>ouvert</w:t>
      </w:r>
      <w:r w:rsidR="00873C5A" w:rsidRPr="002C047B">
        <w:rPr>
          <w:lang w:val="fr-FR"/>
        </w:rPr>
        <w:t>s</w:t>
      </w:r>
      <w:r w:rsidRPr="002C047B">
        <w:rPr>
          <w:lang w:val="fr-FR"/>
        </w:rPr>
        <w:t xml:space="preserve"> un jour où le fonctionnement des systèmes électroniques pour la réception des documents </w:t>
      </w:r>
      <w:r w:rsidR="00B57CD1" w:rsidRPr="002C047B">
        <w:rPr>
          <w:lang w:val="fr-FR"/>
        </w:rPr>
        <w:t>était</w:t>
      </w:r>
      <w:r w:rsidRPr="002C047B">
        <w:rPr>
          <w:lang w:val="fr-FR"/>
        </w:rPr>
        <w:t xml:space="preserve"> fortement perturbé</w:t>
      </w:r>
      <w:r w:rsidR="0086675F" w:rsidRPr="002C047B">
        <w:rPr>
          <w:lang w:val="fr-FR"/>
        </w:rPr>
        <w:t>,</w:t>
      </w:r>
      <w:r w:rsidRPr="002C047B">
        <w:rPr>
          <w:lang w:val="fr-FR"/>
        </w:rPr>
        <w:t xml:space="preserve"> et proroger tous les délais expira</w:t>
      </w:r>
      <w:r w:rsidR="00576C1A" w:rsidRPr="002C047B">
        <w:rPr>
          <w:lang w:val="fr-FR"/>
        </w:rPr>
        <w:t>nt ce jour</w:t>
      </w:r>
      <w:r w:rsidR="00006009" w:rsidRPr="002C047B">
        <w:rPr>
          <w:lang w:val="fr-FR"/>
        </w:rPr>
        <w:noBreakHyphen/>
      </w:r>
      <w:r w:rsidR="00576C1A" w:rsidRPr="002C047B">
        <w:rPr>
          <w:lang w:val="fr-FR"/>
        </w:rPr>
        <w:t>là au jour suivant de ré</w:t>
      </w:r>
      <w:r w:rsidRPr="002C047B">
        <w:rPr>
          <w:lang w:val="fr-FR"/>
        </w:rPr>
        <w:t>ouverture de l</w:t>
      </w:r>
      <w:r w:rsidR="005931B4" w:rsidRPr="002C047B">
        <w:rPr>
          <w:lang w:val="fr-FR"/>
        </w:rPr>
        <w:t>’</w:t>
      </w:r>
      <w:r w:rsidRPr="002C047B">
        <w:rPr>
          <w:lang w:val="fr-FR"/>
        </w:rPr>
        <w:t>office.</w:t>
      </w:r>
      <w:r w:rsidR="003C2462" w:rsidRPr="002C047B">
        <w:rPr>
          <w:lang w:val="fr-FR"/>
        </w:rPr>
        <w:t xml:space="preserve">  </w:t>
      </w:r>
      <w:r w:rsidR="00B57CD1" w:rsidRPr="002C047B">
        <w:rPr>
          <w:lang w:val="fr-FR"/>
        </w:rPr>
        <w:t>Ainsi, le déposant n</w:t>
      </w:r>
      <w:r w:rsidR="005931B4" w:rsidRPr="002C047B">
        <w:rPr>
          <w:lang w:val="fr-FR"/>
        </w:rPr>
        <w:t>’</w:t>
      </w:r>
      <w:r w:rsidR="00B57CD1" w:rsidRPr="002C047B">
        <w:rPr>
          <w:lang w:val="fr-FR"/>
        </w:rPr>
        <w:t>a</w:t>
      </w:r>
      <w:r w:rsidR="00062A2C" w:rsidRPr="002C047B">
        <w:rPr>
          <w:lang w:val="fr-FR"/>
        </w:rPr>
        <w:t>v</w:t>
      </w:r>
      <w:r w:rsidR="00B57CD1" w:rsidRPr="002C047B">
        <w:rPr>
          <w:lang w:val="fr-FR"/>
        </w:rPr>
        <w:t>ait pas besoin de</w:t>
      </w:r>
      <w:r w:rsidRPr="002C047B">
        <w:rPr>
          <w:lang w:val="fr-FR"/>
        </w:rPr>
        <w:t xml:space="preserve"> demande</w:t>
      </w:r>
      <w:r w:rsidR="00B57CD1" w:rsidRPr="002C047B">
        <w:rPr>
          <w:lang w:val="fr-FR"/>
        </w:rPr>
        <w:t>r</w:t>
      </w:r>
      <w:r w:rsidRPr="002C047B">
        <w:rPr>
          <w:lang w:val="fr-FR"/>
        </w:rPr>
        <w:t xml:space="preserve"> une prorogation de délai ou le rétablissement de droits, de</w:t>
      </w:r>
      <w:r w:rsidR="00873C5A" w:rsidRPr="002C047B">
        <w:rPr>
          <w:lang w:val="fr-FR"/>
        </w:rPr>
        <w:t>ux</w:t>
      </w:r>
      <w:r w:rsidR="004862FB" w:rsidRPr="002C047B">
        <w:rPr>
          <w:lang w:val="fr-FR"/>
        </w:rPr>
        <w:t> </w:t>
      </w:r>
      <w:r w:rsidRPr="002C047B">
        <w:rPr>
          <w:lang w:val="fr-FR"/>
        </w:rPr>
        <w:t xml:space="preserve">options qui étaient plus largement </w:t>
      </w:r>
      <w:r w:rsidR="00873C5A" w:rsidRPr="002C047B">
        <w:rPr>
          <w:lang w:val="fr-FR"/>
        </w:rPr>
        <w:t xml:space="preserve">accessibles </w:t>
      </w:r>
      <w:r w:rsidRPr="002C047B">
        <w:rPr>
          <w:lang w:val="fr-FR"/>
        </w:rPr>
        <w:t xml:space="preserve">aux utilisateurs et </w:t>
      </w:r>
      <w:r w:rsidR="00B57CD1" w:rsidRPr="002C047B">
        <w:rPr>
          <w:lang w:val="fr-FR"/>
        </w:rPr>
        <w:t>qui donn</w:t>
      </w:r>
      <w:r w:rsidR="0086675F" w:rsidRPr="002C047B">
        <w:rPr>
          <w:lang w:val="fr-FR"/>
        </w:rPr>
        <w:t>ai</w:t>
      </w:r>
      <w:r w:rsidR="00B57CD1" w:rsidRPr="002C047B">
        <w:rPr>
          <w:lang w:val="fr-FR"/>
        </w:rPr>
        <w:t xml:space="preserve">ent lieu à des décisions </w:t>
      </w:r>
      <w:r w:rsidRPr="002C047B">
        <w:rPr>
          <w:lang w:val="fr-FR"/>
        </w:rPr>
        <w:t>au cas par cas.</w:t>
      </w:r>
    </w:p>
    <w:p w:rsidR="00DE4EAF" w:rsidRPr="002C047B" w:rsidRDefault="00785CF1" w:rsidP="002C047B">
      <w:pPr>
        <w:pStyle w:val="ONUMFS"/>
        <w:rPr>
          <w:lang w:val="fr-FR"/>
        </w:rPr>
      </w:pPr>
      <w:r w:rsidRPr="002C047B">
        <w:rPr>
          <w:lang w:val="fr-FR"/>
        </w:rPr>
        <w:t>Quelques offices ont déclaré qu</w:t>
      </w:r>
      <w:r w:rsidR="005931B4" w:rsidRPr="002C047B">
        <w:rPr>
          <w:lang w:val="fr-FR"/>
        </w:rPr>
        <w:t>’</w:t>
      </w:r>
      <w:r w:rsidRPr="002C047B">
        <w:rPr>
          <w:lang w:val="fr-FR"/>
        </w:rPr>
        <w:t>ils n</w:t>
      </w:r>
      <w:r w:rsidR="005931B4" w:rsidRPr="002C047B">
        <w:rPr>
          <w:lang w:val="fr-FR"/>
        </w:rPr>
        <w:t>’</w:t>
      </w:r>
      <w:r w:rsidRPr="002C047B">
        <w:rPr>
          <w:lang w:val="fr-FR"/>
        </w:rPr>
        <w:t xml:space="preserve">accorderaient pas </w:t>
      </w:r>
      <w:r w:rsidR="00873C5A" w:rsidRPr="002C047B">
        <w:rPr>
          <w:lang w:val="fr-FR"/>
        </w:rPr>
        <w:t>de</w:t>
      </w:r>
      <w:r w:rsidRPr="002C047B">
        <w:rPr>
          <w:lang w:val="fr-FR"/>
        </w:rPr>
        <w:t xml:space="preserve"> prorogation de délai aux déposants affectés par l</w:t>
      </w:r>
      <w:r w:rsidR="005931B4" w:rsidRPr="002C047B">
        <w:rPr>
          <w:lang w:val="fr-FR"/>
        </w:rPr>
        <w:t>’</w:t>
      </w:r>
      <w:r w:rsidRPr="002C047B">
        <w:rPr>
          <w:lang w:val="fr-FR"/>
        </w:rPr>
        <w:t>indisponibilité de leurs systèmes de dépôt électronique.</w:t>
      </w:r>
      <w:r w:rsidR="002D6F91" w:rsidRPr="002C047B">
        <w:rPr>
          <w:lang w:val="fr-FR"/>
        </w:rPr>
        <w:t xml:space="preserve">  </w:t>
      </w:r>
      <w:r w:rsidR="00EC3071" w:rsidRPr="002C047B">
        <w:rPr>
          <w:lang w:val="fr-FR"/>
        </w:rPr>
        <w:t xml:space="preserve">Les </w:t>
      </w:r>
      <w:r w:rsidR="00DE4EAF" w:rsidRPr="002C047B">
        <w:rPr>
          <w:lang w:val="fr-FR"/>
        </w:rPr>
        <w:t xml:space="preserve">déposants </w:t>
      </w:r>
      <w:r w:rsidR="00EC3071" w:rsidRPr="002C047B">
        <w:rPr>
          <w:lang w:val="fr-FR"/>
        </w:rPr>
        <w:t xml:space="preserve">seraient </w:t>
      </w:r>
      <w:r w:rsidR="00062A2C" w:rsidRPr="002C047B">
        <w:rPr>
          <w:lang w:val="fr-FR"/>
        </w:rPr>
        <w:t>invités à utiliser</w:t>
      </w:r>
      <w:r w:rsidR="00EC3071" w:rsidRPr="002C047B">
        <w:rPr>
          <w:lang w:val="fr-FR"/>
        </w:rPr>
        <w:t xml:space="preserve"> </w:t>
      </w:r>
      <w:r w:rsidR="00DE4EAF" w:rsidRPr="002C047B">
        <w:rPr>
          <w:lang w:val="fr-FR"/>
        </w:rPr>
        <w:t>d</w:t>
      </w:r>
      <w:r w:rsidR="005931B4" w:rsidRPr="002C047B">
        <w:rPr>
          <w:lang w:val="fr-FR"/>
        </w:rPr>
        <w:t>’</w:t>
      </w:r>
      <w:r w:rsidR="00DE4EAF" w:rsidRPr="002C047B">
        <w:rPr>
          <w:lang w:val="fr-FR"/>
        </w:rPr>
        <w:t xml:space="preserve">autres </w:t>
      </w:r>
      <w:r w:rsidR="00873C5A" w:rsidRPr="002C047B">
        <w:rPr>
          <w:lang w:val="fr-FR"/>
        </w:rPr>
        <w:t>modes</w:t>
      </w:r>
      <w:r w:rsidR="00DE4EAF" w:rsidRPr="002C047B">
        <w:rPr>
          <w:lang w:val="fr-FR"/>
        </w:rPr>
        <w:t xml:space="preserve"> de dépôt, </w:t>
      </w:r>
      <w:r w:rsidR="00873C5A" w:rsidRPr="002C047B">
        <w:rPr>
          <w:lang w:val="fr-FR"/>
        </w:rPr>
        <w:t xml:space="preserve">comme </w:t>
      </w:r>
      <w:r w:rsidR="00DE4EAF" w:rsidRPr="002C047B">
        <w:rPr>
          <w:lang w:val="fr-FR"/>
        </w:rPr>
        <w:t>les services postaux, la remise en mains propres ou la télécopie.</w:t>
      </w:r>
      <w:r w:rsidR="00E74437" w:rsidRPr="002C047B">
        <w:rPr>
          <w:lang w:val="fr-FR"/>
        </w:rPr>
        <w:t xml:space="preserve">  </w:t>
      </w:r>
      <w:r w:rsidR="00E40E0F" w:rsidRPr="002C047B">
        <w:rPr>
          <w:lang w:val="fr-FR"/>
        </w:rPr>
        <w:t>Ces offices ont précisé qu</w:t>
      </w:r>
      <w:r w:rsidR="005931B4" w:rsidRPr="002C047B">
        <w:rPr>
          <w:lang w:val="fr-FR"/>
        </w:rPr>
        <w:t>’</w:t>
      </w:r>
      <w:r w:rsidR="00873C5A" w:rsidRPr="002C047B">
        <w:rPr>
          <w:lang w:val="fr-FR"/>
        </w:rPr>
        <w:t>en cas d</w:t>
      </w:r>
      <w:r w:rsidR="005931B4" w:rsidRPr="002C047B">
        <w:rPr>
          <w:lang w:val="fr-FR"/>
        </w:rPr>
        <w:t>’</w:t>
      </w:r>
      <w:r w:rsidR="00873C5A" w:rsidRPr="002C047B">
        <w:rPr>
          <w:lang w:val="fr-FR"/>
        </w:rPr>
        <w:t>indisponibilité du</w:t>
      </w:r>
      <w:r w:rsidR="00D97A5C" w:rsidRPr="002C047B">
        <w:rPr>
          <w:lang w:val="fr-FR"/>
        </w:rPr>
        <w:t xml:space="preserve"> système électronique</w:t>
      </w:r>
      <w:r w:rsidR="00E40E0F" w:rsidRPr="002C047B">
        <w:rPr>
          <w:lang w:val="fr-FR"/>
        </w:rPr>
        <w:t xml:space="preserve"> </w:t>
      </w:r>
      <w:r w:rsidR="00873C5A" w:rsidRPr="002C047B">
        <w:rPr>
          <w:lang w:val="fr-FR"/>
        </w:rPr>
        <w:t xml:space="preserve">ils </w:t>
      </w:r>
      <w:r w:rsidR="00E40E0F" w:rsidRPr="002C047B">
        <w:rPr>
          <w:lang w:val="fr-FR"/>
        </w:rPr>
        <w:t>diffuserai</w:t>
      </w:r>
      <w:r w:rsidR="00873C5A" w:rsidRPr="002C047B">
        <w:rPr>
          <w:lang w:val="fr-FR"/>
        </w:rPr>
        <w:t>en</w:t>
      </w:r>
      <w:r w:rsidR="00E40E0F" w:rsidRPr="002C047B">
        <w:rPr>
          <w:lang w:val="fr-FR"/>
        </w:rPr>
        <w:t xml:space="preserve">t un avis pour </w:t>
      </w:r>
      <w:r w:rsidR="00873C5A" w:rsidRPr="002C047B">
        <w:rPr>
          <w:lang w:val="fr-FR"/>
        </w:rPr>
        <w:t xml:space="preserve">en </w:t>
      </w:r>
      <w:r w:rsidR="00E40E0F" w:rsidRPr="002C047B">
        <w:rPr>
          <w:lang w:val="fr-FR"/>
        </w:rPr>
        <w:t xml:space="preserve">informer les utilisateurs </w:t>
      </w:r>
      <w:r w:rsidR="00873C5A" w:rsidRPr="002C047B">
        <w:rPr>
          <w:lang w:val="fr-FR"/>
        </w:rPr>
        <w:t xml:space="preserve">qui </w:t>
      </w:r>
      <w:r w:rsidR="00E40E0F" w:rsidRPr="002C047B">
        <w:rPr>
          <w:lang w:val="fr-FR"/>
        </w:rPr>
        <w:t>tent</w:t>
      </w:r>
      <w:r w:rsidR="00873C5A" w:rsidRPr="002C047B">
        <w:rPr>
          <w:lang w:val="fr-FR"/>
        </w:rPr>
        <w:t xml:space="preserve">eraient </w:t>
      </w:r>
      <w:r w:rsidR="00E40E0F" w:rsidRPr="002C047B">
        <w:rPr>
          <w:lang w:val="fr-FR"/>
        </w:rPr>
        <w:t>de se connecter.</w:t>
      </w:r>
      <w:r w:rsidR="00A07964" w:rsidRPr="002C047B">
        <w:rPr>
          <w:lang w:val="fr-FR"/>
        </w:rPr>
        <w:t xml:space="preserve">  </w:t>
      </w:r>
      <w:r w:rsidR="00E40E0F" w:rsidRPr="002C047B">
        <w:rPr>
          <w:lang w:val="fr-FR"/>
        </w:rPr>
        <w:t xml:space="preserve">De plus, </w:t>
      </w:r>
      <w:r w:rsidR="00873C5A" w:rsidRPr="002C047B">
        <w:rPr>
          <w:lang w:val="fr-FR"/>
        </w:rPr>
        <w:t>comme</w:t>
      </w:r>
      <w:r w:rsidR="00E40E0F" w:rsidRPr="002C047B">
        <w:rPr>
          <w:lang w:val="fr-FR"/>
        </w:rPr>
        <w:t xml:space="preserve"> un </w:t>
      </w:r>
      <w:r w:rsidR="0086675F" w:rsidRPr="002C047B">
        <w:rPr>
          <w:lang w:val="fr-FR"/>
        </w:rPr>
        <w:t>message</w:t>
      </w:r>
      <w:r w:rsidR="00E40E0F" w:rsidRPr="002C047B">
        <w:rPr>
          <w:lang w:val="fr-FR"/>
        </w:rPr>
        <w:t xml:space="preserve"> électronique était automatiquement envoyé pour accuser réception d</w:t>
      </w:r>
      <w:r w:rsidR="005931B4" w:rsidRPr="002C047B">
        <w:rPr>
          <w:lang w:val="fr-FR"/>
        </w:rPr>
        <w:t>’</w:t>
      </w:r>
      <w:r w:rsidR="00E40E0F" w:rsidRPr="002C047B">
        <w:rPr>
          <w:lang w:val="fr-FR"/>
        </w:rPr>
        <w:t xml:space="preserve">une communication électronique, </w:t>
      </w:r>
      <w:r w:rsidR="00873C5A" w:rsidRPr="002C047B">
        <w:rPr>
          <w:lang w:val="fr-FR"/>
        </w:rPr>
        <w:t>l</w:t>
      </w:r>
      <w:r w:rsidR="005931B4" w:rsidRPr="002C047B">
        <w:rPr>
          <w:lang w:val="fr-FR"/>
        </w:rPr>
        <w:t>’</w:t>
      </w:r>
      <w:r w:rsidR="00E40E0F" w:rsidRPr="002C047B">
        <w:rPr>
          <w:lang w:val="fr-FR"/>
        </w:rPr>
        <w:t xml:space="preserve">utilisateur saurait immédiatement si son message </w:t>
      </w:r>
      <w:r w:rsidR="00D97A5C" w:rsidRPr="002C047B">
        <w:rPr>
          <w:lang w:val="fr-FR"/>
        </w:rPr>
        <w:t>avait</w:t>
      </w:r>
      <w:r w:rsidR="00E40E0F" w:rsidRPr="002C047B">
        <w:rPr>
          <w:lang w:val="fr-FR"/>
        </w:rPr>
        <w:t xml:space="preserve"> été reçu ou </w:t>
      </w:r>
      <w:r w:rsidR="00873C5A" w:rsidRPr="002C047B">
        <w:rPr>
          <w:lang w:val="fr-FR"/>
        </w:rPr>
        <w:t>non</w:t>
      </w:r>
      <w:r w:rsidR="00E40E0F" w:rsidRPr="002C047B">
        <w:rPr>
          <w:lang w:val="fr-FR"/>
        </w:rPr>
        <w:t>.</w:t>
      </w:r>
    </w:p>
    <w:p w:rsidR="00DE4EAF" w:rsidRPr="002C047B" w:rsidRDefault="00E40E0F" w:rsidP="002C047B">
      <w:pPr>
        <w:pStyle w:val="ONUMFS"/>
        <w:rPr>
          <w:lang w:val="fr-FR"/>
        </w:rPr>
      </w:pPr>
      <w:r w:rsidRPr="002C047B">
        <w:rPr>
          <w:lang w:val="fr-FR"/>
        </w:rPr>
        <w:t>Une majorité d</w:t>
      </w:r>
      <w:r w:rsidR="005931B4" w:rsidRPr="002C047B">
        <w:rPr>
          <w:lang w:val="fr-FR"/>
        </w:rPr>
        <w:t>’</w:t>
      </w:r>
      <w:r w:rsidRPr="002C047B">
        <w:rPr>
          <w:lang w:val="fr-FR"/>
        </w:rPr>
        <w:t xml:space="preserve">offices </w:t>
      </w:r>
      <w:r w:rsidR="00873C5A" w:rsidRPr="002C047B">
        <w:rPr>
          <w:lang w:val="fr-FR"/>
        </w:rPr>
        <w:t>a estimé</w:t>
      </w:r>
      <w:r w:rsidRPr="002C047B">
        <w:rPr>
          <w:lang w:val="fr-FR"/>
        </w:rPr>
        <w:t xml:space="preserve"> que le règlement d</w:t>
      </w:r>
      <w:r w:rsidR="005931B4" w:rsidRPr="002C047B">
        <w:rPr>
          <w:lang w:val="fr-FR"/>
        </w:rPr>
        <w:t>’</w:t>
      </w:r>
      <w:r w:rsidRPr="002C047B">
        <w:rPr>
          <w:lang w:val="fr-FR"/>
        </w:rPr>
        <w:t>exécution</w:t>
      </w:r>
      <w:r w:rsidR="005931B4" w:rsidRPr="002C047B">
        <w:rPr>
          <w:lang w:val="fr-FR"/>
        </w:rPr>
        <w:t xml:space="preserve"> du PCT</w:t>
      </w:r>
      <w:r w:rsidRPr="002C047B">
        <w:rPr>
          <w:lang w:val="fr-FR"/>
        </w:rPr>
        <w:t xml:space="preserve"> devrait prévoir la prorogation des délais lorsque les systèmes ne permett</w:t>
      </w:r>
      <w:r w:rsidR="0086675F" w:rsidRPr="002C047B">
        <w:rPr>
          <w:lang w:val="fr-FR"/>
        </w:rPr>
        <w:t>ai</w:t>
      </w:r>
      <w:r w:rsidRPr="002C047B">
        <w:rPr>
          <w:lang w:val="fr-FR"/>
        </w:rPr>
        <w:t>ent pas de recevoir les communications électroniques.</w:t>
      </w:r>
      <w:r w:rsidR="0063387A" w:rsidRPr="002C047B">
        <w:rPr>
          <w:lang w:val="fr-FR"/>
        </w:rPr>
        <w:t xml:space="preserve">  </w:t>
      </w:r>
      <w:r w:rsidRPr="002C047B">
        <w:rPr>
          <w:lang w:val="fr-FR"/>
        </w:rPr>
        <w:t>Certains d</w:t>
      </w:r>
      <w:r w:rsidR="005931B4" w:rsidRPr="002C047B">
        <w:rPr>
          <w:lang w:val="fr-FR"/>
        </w:rPr>
        <w:t>’</w:t>
      </w:r>
      <w:r w:rsidR="00873C5A" w:rsidRPr="002C047B">
        <w:rPr>
          <w:lang w:val="fr-FR"/>
        </w:rPr>
        <w:t>entre eux</w:t>
      </w:r>
      <w:r w:rsidRPr="002C047B">
        <w:rPr>
          <w:lang w:val="fr-FR"/>
        </w:rPr>
        <w:t xml:space="preserve"> ont fait des </w:t>
      </w:r>
      <w:r w:rsidR="00873C5A" w:rsidRPr="002C047B">
        <w:rPr>
          <w:lang w:val="fr-FR"/>
        </w:rPr>
        <w:t xml:space="preserve">propositions </w:t>
      </w:r>
      <w:r w:rsidRPr="002C047B">
        <w:rPr>
          <w:lang w:val="fr-FR"/>
        </w:rPr>
        <w:t>co</w:t>
      </w:r>
      <w:r w:rsidR="00873C5A" w:rsidRPr="002C047B">
        <w:rPr>
          <w:lang w:val="fr-FR"/>
        </w:rPr>
        <w:t xml:space="preserve">ncernant la </w:t>
      </w:r>
      <w:r w:rsidR="0086675F" w:rsidRPr="002C047B">
        <w:rPr>
          <w:lang w:val="fr-FR"/>
        </w:rPr>
        <w:t>durée</w:t>
      </w:r>
      <w:r w:rsidR="00873C5A" w:rsidRPr="002C047B">
        <w:rPr>
          <w:lang w:val="fr-FR"/>
        </w:rPr>
        <w:t xml:space="preserve"> minimale d</w:t>
      </w:r>
      <w:r w:rsidR="005931B4" w:rsidRPr="002C047B">
        <w:rPr>
          <w:lang w:val="fr-FR"/>
        </w:rPr>
        <w:t>’</w:t>
      </w:r>
      <w:r w:rsidR="00873C5A" w:rsidRPr="002C047B">
        <w:rPr>
          <w:lang w:val="fr-FR"/>
        </w:rPr>
        <w:t>interruption</w:t>
      </w:r>
      <w:r w:rsidR="0086675F" w:rsidRPr="002C047B">
        <w:rPr>
          <w:lang w:val="fr-FR"/>
        </w:rPr>
        <w:t xml:space="preserve">, généralement </w:t>
      </w:r>
      <w:r w:rsidR="00A27EE8" w:rsidRPr="002C047B">
        <w:rPr>
          <w:lang w:val="fr-FR"/>
        </w:rPr>
        <w:t>supérieure à </w:t>
      </w:r>
      <w:r w:rsidR="0086675F" w:rsidRPr="002C047B">
        <w:rPr>
          <w:lang w:val="fr-FR"/>
        </w:rPr>
        <w:t>deux</w:t>
      </w:r>
      <w:r w:rsidR="004862FB" w:rsidRPr="002C047B">
        <w:rPr>
          <w:lang w:val="fr-FR"/>
        </w:rPr>
        <w:t> </w:t>
      </w:r>
      <w:r w:rsidR="0086675F" w:rsidRPr="002C047B">
        <w:rPr>
          <w:lang w:val="fr-FR"/>
        </w:rPr>
        <w:t>heures,</w:t>
      </w:r>
      <w:r w:rsidR="00873C5A" w:rsidRPr="002C047B">
        <w:rPr>
          <w:lang w:val="fr-FR"/>
        </w:rPr>
        <w:t xml:space="preserve"> qui entra</w:t>
      </w:r>
      <w:r w:rsidR="00EC3071" w:rsidRPr="002C047B">
        <w:rPr>
          <w:lang w:val="fr-FR"/>
        </w:rPr>
        <w:t>î</w:t>
      </w:r>
      <w:r w:rsidRPr="002C047B">
        <w:rPr>
          <w:lang w:val="fr-FR"/>
        </w:rPr>
        <w:t>n</w:t>
      </w:r>
      <w:r w:rsidR="00873C5A" w:rsidRPr="002C047B">
        <w:rPr>
          <w:lang w:val="fr-FR"/>
        </w:rPr>
        <w:t>erait</w:t>
      </w:r>
      <w:r w:rsidRPr="002C047B">
        <w:rPr>
          <w:lang w:val="fr-FR"/>
        </w:rPr>
        <w:t xml:space="preserve"> une prorogation automatique des délais expirant </w:t>
      </w:r>
      <w:r w:rsidR="00D97A5C" w:rsidRPr="002C047B">
        <w:rPr>
          <w:lang w:val="fr-FR"/>
        </w:rPr>
        <w:t>l</w:t>
      </w:r>
      <w:r w:rsidRPr="002C047B">
        <w:rPr>
          <w:lang w:val="fr-FR"/>
        </w:rPr>
        <w:t xml:space="preserve">e </w:t>
      </w:r>
      <w:r w:rsidR="00D97A5C" w:rsidRPr="002C047B">
        <w:rPr>
          <w:lang w:val="fr-FR"/>
        </w:rPr>
        <w:t xml:space="preserve">même </w:t>
      </w:r>
      <w:r w:rsidRPr="002C047B">
        <w:rPr>
          <w:lang w:val="fr-FR"/>
        </w:rPr>
        <w:t>jour.</w:t>
      </w:r>
      <w:r w:rsidR="0063387A" w:rsidRPr="002C047B">
        <w:rPr>
          <w:lang w:val="fr-FR"/>
        </w:rPr>
        <w:t xml:space="preserve">  </w:t>
      </w:r>
      <w:r w:rsidR="0086675F" w:rsidRPr="002C047B">
        <w:rPr>
          <w:lang w:val="fr-FR"/>
        </w:rPr>
        <w:t>P</w:t>
      </w:r>
      <w:r w:rsidR="00EC3071" w:rsidRPr="002C047B">
        <w:rPr>
          <w:lang w:val="fr-FR"/>
        </w:rPr>
        <w:t xml:space="preserve">lusieurs </w:t>
      </w:r>
      <w:r w:rsidR="00C426B6" w:rsidRPr="002C047B">
        <w:rPr>
          <w:lang w:val="fr-FR"/>
        </w:rPr>
        <w:t xml:space="preserve">offices, bien que favorables à </w:t>
      </w:r>
      <w:r w:rsidR="000223A7" w:rsidRPr="002C047B">
        <w:rPr>
          <w:lang w:val="fr-FR"/>
        </w:rPr>
        <w:t xml:space="preserve">la proposition relative à </w:t>
      </w:r>
      <w:r w:rsidR="00C426B6" w:rsidRPr="002C047B">
        <w:rPr>
          <w:lang w:val="fr-FR"/>
        </w:rPr>
        <w:t>une disposition du règlement d</w:t>
      </w:r>
      <w:r w:rsidR="005931B4" w:rsidRPr="002C047B">
        <w:rPr>
          <w:lang w:val="fr-FR"/>
        </w:rPr>
        <w:t>’</w:t>
      </w:r>
      <w:r w:rsidR="00C426B6" w:rsidRPr="002C047B">
        <w:rPr>
          <w:lang w:val="fr-FR"/>
        </w:rPr>
        <w:t>exécution</w:t>
      </w:r>
      <w:r w:rsidR="005931B4" w:rsidRPr="002C047B">
        <w:rPr>
          <w:lang w:val="fr-FR"/>
        </w:rPr>
        <w:t xml:space="preserve"> du PCT</w:t>
      </w:r>
      <w:r w:rsidR="00C426B6" w:rsidRPr="002C047B">
        <w:rPr>
          <w:lang w:val="fr-FR"/>
        </w:rPr>
        <w:t xml:space="preserve"> régissant ces situations, </w:t>
      </w:r>
      <w:r w:rsidR="000223A7" w:rsidRPr="002C047B">
        <w:rPr>
          <w:lang w:val="fr-FR"/>
        </w:rPr>
        <w:t xml:space="preserve">ont </w:t>
      </w:r>
      <w:r w:rsidR="0086675F" w:rsidRPr="002C047B">
        <w:rPr>
          <w:lang w:val="fr-FR"/>
        </w:rPr>
        <w:t xml:space="preserve">toutefois </w:t>
      </w:r>
      <w:r w:rsidR="000223A7" w:rsidRPr="002C047B">
        <w:rPr>
          <w:lang w:val="fr-FR"/>
        </w:rPr>
        <w:t>estimé</w:t>
      </w:r>
      <w:r w:rsidR="00C426B6" w:rsidRPr="002C047B">
        <w:rPr>
          <w:lang w:val="fr-FR"/>
        </w:rPr>
        <w:t xml:space="preserve"> que la décision de proroger tous les délais expirant à une date donnée en raison de l</w:t>
      </w:r>
      <w:r w:rsidR="005931B4" w:rsidRPr="002C047B">
        <w:rPr>
          <w:lang w:val="fr-FR"/>
        </w:rPr>
        <w:t>’</w:t>
      </w:r>
      <w:r w:rsidR="00C426B6" w:rsidRPr="002C047B">
        <w:rPr>
          <w:lang w:val="fr-FR"/>
        </w:rPr>
        <w:t xml:space="preserve">indisponibilité imprévue des systèmes électroniques </w:t>
      </w:r>
      <w:r w:rsidR="000223A7" w:rsidRPr="002C047B">
        <w:rPr>
          <w:lang w:val="fr-FR"/>
        </w:rPr>
        <w:t>pour la</w:t>
      </w:r>
      <w:r w:rsidR="00C426B6" w:rsidRPr="002C047B">
        <w:rPr>
          <w:lang w:val="fr-FR"/>
        </w:rPr>
        <w:t xml:space="preserve"> réception des documents devrait être prise par l</w:t>
      </w:r>
      <w:r w:rsidR="005931B4" w:rsidRPr="002C047B">
        <w:rPr>
          <w:lang w:val="fr-FR"/>
        </w:rPr>
        <w:t>’</w:t>
      </w:r>
      <w:r w:rsidR="00C426B6" w:rsidRPr="002C047B">
        <w:rPr>
          <w:lang w:val="fr-FR"/>
        </w:rPr>
        <w:t xml:space="preserve">office dont les systèmes avaient été affectés, </w:t>
      </w:r>
      <w:r w:rsidR="0086675F" w:rsidRPr="002C047B">
        <w:rPr>
          <w:lang w:val="fr-FR"/>
        </w:rPr>
        <w:t xml:space="preserve">considérant que cette </w:t>
      </w:r>
      <w:r w:rsidR="00C426B6" w:rsidRPr="002C047B">
        <w:rPr>
          <w:lang w:val="fr-FR"/>
        </w:rPr>
        <w:t xml:space="preserve">solution </w:t>
      </w:r>
      <w:r w:rsidR="00EC3071" w:rsidRPr="002C047B">
        <w:rPr>
          <w:lang w:val="fr-FR"/>
        </w:rPr>
        <w:t xml:space="preserve">était </w:t>
      </w:r>
      <w:r w:rsidR="00C426B6" w:rsidRPr="002C047B">
        <w:rPr>
          <w:lang w:val="fr-FR"/>
        </w:rPr>
        <w:t>préférable à la fixation d</w:t>
      </w:r>
      <w:r w:rsidR="005931B4" w:rsidRPr="002C047B">
        <w:rPr>
          <w:lang w:val="fr-FR"/>
        </w:rPr>
        <w:t>’</w:t>
      </w:r>
      <w:r w:rsidR="00C426B6" w:rsidRPr="002C047B">
        <w:rPr>
          <w:lang w:val="fr-FR"/>
        </w:rPr>
        <w:t xml:space="preserve">un seuil </w:t>
      </w:r>
      <w:r w:rsidR="000223A7" w:rsidRPr="002C047B">
        <w:rPr>
          <w:lang w:val="fr-FR"/>
        </w:rPr>
        <w:t>d</w:t>
      </w:r>
      <w:r w:rsidR="005931B4" w:rsidRPr="002C047B">
        <w:rPr>
          <w:lang w:val="fr-FR"/>
        </w:rPr>
        <w:t>’</w:t>
      </w:r>
      <w:r w:rsidR="00EC3071" w:rsidRPr="002C047B">
        <w:rPr>
          <w:lang w:val="fr-FR"/>
        </w:rPr>
        <w:t>interruption</w:t>
      </w:r>
      <w:r w:rsidR="00C426B6" w:rsidRPr="002C047B">
        <w:rPr>
          <w:lang w:val="fr-FR"/>
        </w:rPr>
        <w:t xml:space="preserve"> </w:t>
      </w:r>
      <w:r w:rsidR="000223A7" w:rsidRPr="002C047B">
        <w:rPr>
          <w:lang w:val="fr-FR"/>
        </w:rPr>
        <w:t xml:space="preserve">qui </w:t>
      </w:r>
      <w:r w:rsidR="00C426B6" w:rsidRPr="002C047B">
        <w:rPr>
          <w:lang w:val="fr-FR"/>
        </w:rPr>
        <w:t>avait été proposé</w:t>
      </w:r>
      <w:r w:rsidR="000223A7" w:rsidRPr="002C047B">
        <w:rPr>
          <w:lang w:val="fr-FR"/>
        </w:rPr>
        <w:t>e</w:t>
      </w:r>
      <w:r w:rsidR="00C426B6" w:rsidRPr="002C047B">
        <w:rPr>
          <w:lang w:val="fr-FR"/>
        </w:rPr>
        <w:t xml:space="preserve"> dans le document PCT/WG/7/24.</w:t>
      </w:r>
    </w:p>
    <w:p w:rsidR="00DE4EAF" w:rsidRPr="002C047B" w:rsidRDefault="005F6B40" w:rsidP="002C047B">
      <w:pPr>
        <w:pStyle w:val="ONUMFS"/>
        <w:rPr>
          <w:lang w:val="fr-FR"/>
        </w:rPr>
      </w:pPr>
      <w:r w:rsidRPr="002C047B">
        <w:rPr>
          <w:lang w:val="fr-FR"/>
        </w:rPr>
        <w:lastRenderedPageBreak/>
        <w:t xml:space="preserve">Cependant, une minorité </w:t>
      </w:r>
      <w:r w:rsidR="00EC3071" w:rsidRPr="002C047B">
        <w:rPr>
          <w:lang w:val="fr-FR"/>
        </w:rPr>
        <w:t>non négligeable</w:t>
      </w:r>
      <w:r w:rsidRPr="002C047B">
        <w:rPr>
          <w:lang w:val="fr-FR"/>
        </w:rPr>
        <w:t xml:space="preserve"> des offices </w:t>
      </w:r>
      <w:r w:rsidR="0086675F" w:rsidRPr="002C047B">
        <w:rPr>
          <w:lang w:val="fr-FR"/>
        </w:rPr>
        <w:t>a</w:t>
      </w:r>
      <w:r w:rsidR="00EC3071" w:rsidRPr="002C047B">
        <w:rPr>
          <w:lang w:val="fr-FR"/>
        </w:rPr>
        <w:t xml:space="preserve"> e</w:t>
      </w:r>
      <w:r w:rsidRPr="002C047B">
        <w:rPr>
          <w:lang w:val="fr-FR"/>
        </w:rPr>
        <w:t>stim</w:t>
      </w:r>
      <w:r w:rsidR="000223A7" w:rsidRPr="002C047B">
        <w:rPr>
          <w:lang w:val="fr-FR"/>
        </w:rPr>
        <w:t xml:space="preserve">é </w:t>
      </w:r>
      <w:r w:rsidR="00EC3071" w:rsidRPr="002C047B">
        <w:rPr>
          <w:lang w:val="fr-FR"/>
        </w:rPr>
        <w:t>qu</w:t>
      </w:r>
      <w:r w:rsidR="005931B4" w:rsidRPr="002C047B">
        <w:rPr>
          <w:lang w:val="fr-FR"/>
        </w:rPr>
        <w:t>’</w:t>
      </w:r>
      <w:r w:rsidR="00EC3071" w:rsidRPr="002C047B">
        <w:rPr>
          <w:lang w:val="fr-FR"/>
        </w:rPr>
        <w:t>il n</w:t>
      </w:r>
      <w:r w:rsidR="005931B4" w:rsidRPr="002C047B">
        <w:rPr>
          <w:lang w:val="fr-FR"/>
        </w:rPr>
        <w:t>’</w:t>
      </w:r>
      <w:r w:rsidR="00EC3071" w:rsidRPr="002C047B">
        <w:rPr>
          <w:lang w:val="fr-FR"/>
        </w:rPr>
        <w:t xml:space="preserve">était pas </w:t>
      </w:r>
      <w:r w:rsidRPr="002C047B">
        <w:rPr>
          <w:lang w:val="fr-FR"/>
        </w:rPr>
        <w:t>nécessaire d</w:t>
      </w:r>
      <w:r w:rsidR="005931B4" w:rsidRPr="002C047B">
        <w:rPr>
          <w:lang w:val="fr-FR"/>
        </w:rPr>
        <w:t>’</w:t>
      </w:r>
      <w:r w:rsidRPr="002C047B">
        <w:rPr>
          <w:lang w:val="fr-FR"/>
        </w:rPr>
        <w:t>ajouter une disposition dans le règlement d</w:t>
      </w:r>
      <w:r w:rsidR="005931B4" w:rsidRPr="002C047B">
        <w:rPr>
          <w:lang w:val="fr-FR"/>
        </w:rPr>
        <w:t>’</w:t>
      </w:r>
      <w:r w:rsidRPr="002C047B">
        <w:rPr>
          <w:lang w:val="fr-FR"/>
        </w:rPr>
        <w:t>exécution à l</w:t>
      </w:r>
      <w:r w:rsidR="005931B4" w:rsidRPr="002C047B">
        <w:rPr>
          <w:lang w:val="fr-FR"/>
        </w:rPr>
        <w:t>’</w:t>
      </w:r>
      <w:r w:rsidRPr="002C047B">
        <w:rPr>
          <w:lang w:val="fr-FR"/>
        </w:rPr>
        <w:t>effet de proroger tous les délais en cas d</w:t>
      </w:r>
      <w:r w:rsidR="005931B4" w:rsidRPr="002C047B">
        <w:rPr>
          <w:lang w:val="fr-FR"/>
        </w:rPr>
        <w:t>’</w:t>
      </w:r>
      <w:r w:rsidRPr="002C047B">
        <w:rPr>
          <w:lang w:val="fr-FR"/>
        </w:rPr>
        <w:t>indisponibilité des systèmes de communication électronique.  Certains de ces offices préféraient pr</w:t>
      </w:r>
      <w:r w:rsidR="000223A7" w:rsidRPr="002C047B">
        <w:rPr>
          <w:lang w:val="fr-FR"/>
        </w:rPr>
        <w:t xml:space="preserve">évoir </w:t>
      </w:r>
      <w:r w:rsidR="00EC3071" w:rsidRPr="002C047B">
        <w:rPr>
          <w:lang w:val="fr-FR"/>
        </w:rPr>
        <w:t>la possibilité pour le déposant de demander une prorogation</w:t>
      </w:r>
      <w:r w:rsidR="000223A7" w:rsidRPr="002C047B">
        <w:rPr>
          <w:lang w:val="fr-FR"/>
        </w:rPr>
        <w:t xml:space="preserve"> de délai</w:t>
      </w:r>
      <w:r w:rsidRPr="002C047B">
        <w:rPr>
          <w:lang w:val="fr-FR"/>
        </w:rPr>
        <w:t xml:space="preserve"> ou le rétablissement de</w:t>
      </w:r>
      <w:r w:rsidR="00D97A5C" w:rsidRPr="002C047B">
        <w:rPr>
          <w:lang w:val="fr-FR"/>
        </w:rPr>
        <w:t>s</w:t>
      </w:r>
      <w:r w:rsidRPr="002C047B">
        <w:rPr>
          <w:lang w:val="fr-FR"/>
        </w:rPr>
        <w:t xml:space="preserve"> droits </w:t>
      </w:r>
      <w:r w:rsidR="000223A7" w:rsidRPr="002C047B">
        <w:rPr>
          <w:lang w:val="fr-FR"/>
        </w:rPr>
        <w:t xml:space="preserve">relatifs à </w:t>
      </w:r>
      <w:r w:rsidRPr="002C047B">
        <w:rPr>
          <w:lang w:val="fr-FR"/>
        </w:rPr>
        <w:t xml:space="preserve">une demande et se prononcer sur ces questions au cas par cas.  Par ailleurs, quelques offices </w:t>
      </w:r>
      <w:r w:rsidR="00EC3071" w:rsidRPr="002C047B">
        <w:rPr>
          <w:lang w:val="fr-FR"/>
        </w:rPr>
        <w:t xml:space="preserve">ont </w:t>
      </w:r>
      <w:r w:rsidRPr="002C047B">
        <w:rPr>
          <w:lang w:val="fr-FR"/>
        </w:rPr>
        <w:t>c</w:t>
      </w:r>
      <w:r w:rsidR="00EC3071" w:rsidRPr="002C047B">
        <w:rPr>
          <w:lang w:val="fr-FR"/>
        </w:rPr>
        <w:t>onsidéré</w:t>
      </w:r>
      <w:r w:rsidR="002635AB" w:rsidRPr="002C047B">
        <w:rPr>
          <w:lang w:val="fr-FR"/>
        </w:rPr>
        <w:t xml:space="preserve"> que les disposition</w:t>
      </w:r>
      <w:r w:rsidRPr="002C047B">
        <w:rPr>
          <w:lang w:val="fr-FR"/>
        </w:rPr>
        <w:t xml:space="preserve">s existantes étaient appropriées dans la mesure où des solutions de remplacement devraient être proposées aux déposants </w:t>
      </w:r>
      <w:r w:rsidR="00EC3071" w:rsidRPr="002C047B">
        <w:rPr>
          <w:lang w:val="fr-FR"/>
        </w:rPr>
        <w:t>confrontés à</w:t>
      </w:r>
      <w:r w:rsidRPr="002C047B">
        <w:rPr>
          <w:lang w:val="fr-FR"/>
        </w:rPr>
        <w:t xml:space="preserve"> des difficultés pour déposer des documents ou payer des taxes par voie électronique.</w:t>
      </w:r>
    </w:p>
    <w:p w:rsidR="00DE4EAF" w:rsidRPr="002C047B" w:rsidRDefault="00710D5B" w:rsidP="002C047B">
      <w:pPr>
        <w:pStyle w:val="ONUMFS"/>
        <w:rPr>
          <w:lang w:val="fr-FR"/>
        </w:rPr>
      </w:pPr>
      <w:bookmarkStart w:id="5" w:name="_Ref416788802"/>
      <w:r w:rsidRPr="002C047B">
        <w:rPr>
          <w:lang w:val="fr-FR"/>
        </w:rPr>
        <w:t>Certains offices ont également rappelé que les offices pouvaient proroger tous les délais expirant à une date où les systèmes de dépôt électronique avaient été fortement perturbés en déclarant qu</w:t>
      </w:r>
      <w:r w:rsidR="005931B4" w:rsidRPr="002C047B">
        <w:rPr>
          <w:lang w:val="fr-FR"/>
        </w:rPr>
        <w:t>’</w:t>
      </w:r>
      <w:r w:rsidRPr="002C047B">
        <w:rPr>
          <w:lang w:val="fr-FR"/>
        </w:rPr>
        <w:t>ils n</w:t>
      </w:r>
      <w:r w:rsidR="005931B4" w:rsidRPr="002C047B">
        <w:rPr>
          <w:lang w:val="fr-FR"/>
        </w:rPr>
        <w:t>’</w:t>
      </w:r>
      <w:r w:rsidR="000223A7" w:rsidRPr="002C047B">
        <w:rPr>
          <w:lang w:val="fr-FR"/>
        </w:rPr>
        <w:t>étaient</w:t>
      </w:r>
      <w:r w:rsidRPr="002C047B">
        <w:rPr>
          <w:lang w:val="fr-FR"/>
        </w:rPr>
        <w:t xml:space="preserve"> pas ouverts au public pour traiter d</w:t>
      </w:r>
      <w:r w:rsidR="005931B4" w:rsidRPr="002C047B">
        <w:rPr>
          <w:lang w:val="fr-FR"/>
        </w:rPr>
        <w:t>’</w:t>
      </w:r>
      <w:r w:rsidRPr="002C047B">
        <w:rPr>
          <w:lang w:val="fr-FR"/>
        </w:rPr>
        <w:t>affaires officielles en vertu de la règle</w:t>
      </w:r>
      <w:r w:rsidR="004862FB" w:rsidRPr="002C047B">
        <w:rPr>
          <w:lang w:val="fr-FR"/>
        </w:rPr>
        <w:t> </w:t>
      </w:r>
      <w:r w:rsidRPr="002C047B">
        <w:rPr>
          <w:lang w:val="fr-FR"/>
        </w:rPr>
        <w:t>80.5.i).</w:t>
      </w:r>
      <w:r w:rsidR="00996C74" w:rsidRPr="002C047B">
        <w:rPr>
          <w:lang w:val="fr-FR"/>
        </w:rPr>
        <w:t xml:space="preserve">  </w:t>
      </w:r>
      <w:bookmarkEnd w:id="5"/>
      <w:r w:rsidR="00281B2B" w:rsidRPr="002C047B">
        <w:rPr>
          <w:lang w:val="fr-FR"/>
        </w:rPr>
        <w:t>De plus, selon l</w:t>
      </w:r>
      <w:r w:rsidR="005931B4" w:rsidRPr="002C047B">
        <w:rPr>
          <w:lang w:val="fr-FR"/>
        </w:rPr>
        <w:t>’</w:t>
      </w:r>
      <w:r w:rsidR="00281B2B" w:rsidRPr="002C047B">
        <w:rPr>
          <w:lang w:val="fr-FR"/>
        </w:rPr>
        <w:t>article</w:t>
      </w:r>
      <w:r w:rsidR="004862FB" w:rsidRPr="002C047B">
        <w:rPr>
          <w:lang w:val="fr-FR"/>
        </w:rPr>
        <w:t> </w:t>
      </w:r>
      <w:r w:rsidR="00281B2B" w:rsidRPr="002C047B">
        <w:rPr>
          <w:lang w:val="fr-FR"/>
        </w:rPr>
        <w:t xml:space="preserve">48.2)a), </w:t>
      </w:r>
      <w:r w:rsidR="000223A7" w:rsidRPr="002C047B">
        <w:rPr>
          <w:lang w:val="fr-FR"/>
        </w:rPr>
        <w:t xml:space="preserve">si </w:t>
      </w:r>
      <w:r w:rsidR="00281B2B" w:rsidRPr="002C047B">
        <w:rPr>
          <w:lang w:val="fr-FR"/>
        </w:rPr>
        <w:t>un État contractant excusait un retard dans l</w:t>
      </w:r>
      <w:r w:rsidR="005931B4" w:rsidRPr="002C047B">
        <w:rPr>
          <w:lang w:val="fr-FR"/>
        </w:rPr>
        <w:t>’</w:t>
      </w:r>
      <w:r w:rsidR="00281B2B" w:rsidRPr="002C047B">
        <w:rPr>
          <w:lang w:val="fr-FR"/>
        </w:rPr>
        <w:t>observation d</w:t>
      </w:r>
      <w:r w:rsidR="005931B4" w:rsidRPr="002C047B">
        <w:rPr>
          <w:lang w:val="fr-FR"/>
        </w:rPr>
        <w:t>’</w:t>
      </w:r>
      <w:r w:rsidR="00281B2B" w:rsidRPr="002C047B">
        <w:rPr>
          <w:lang w:val="fr-FR"/>
        </w:rPr>
        <w:t xml:space="preserve">un délai en vertu de sa législation nationale pour certains motifs, </w:t>
      </w:r>
      <w:r w:rsidR="000223A7" w:rsidRPr="002C047B">
        <w:rPr>
          <w:lang w:val="fr-FR"/>
        </w:rPr>
        <w:t>il devait excuser le retard dans l</w:t>
      </w:r>
      <w:r w:rsidR="005931B4" w:rsidRPr="002C047B">
        <w:rPr>
          <w:lang w:val="fr-FR"/>
        </w:rPr>
        <w:t>’</w:t>
      </w:r>
      <w:r w:rsidR="000223A7" w:rsidRPr="002C047B">
        <w:rPr>
          <w:lang w:val="fr-FR"/>
        </w:rPr>
        <w:t>observa</w:t>
      </w:r>
      <w:r w:rsidR="00EC3071" w:rsidRPr="002C047B">
        <w:rPr>
          <w:lang w:val="fr-FR"/>
        </w:rPr>
        <w:t>tion d</w:t>
      </w:r>
      <w:r w:rsidR="005931B4" w:rsidRPr="002C047B">
        <w:rPr>
          <w:lang w:val="fr-FR"/>
        </w:rPr>
        <w:t>’</w:t>
      </w:r>
      <w:r w:rsidR="00EC3071" w:rsidRPr="002C047B">
        <w:rPr>
          <w:lang w:val="fr-FR"/>
        </w:rPr>
        <w:t>un</w:t>
      </w:r>
      <w:r w:rsidR="000223A7" w:rsidRPr="002C047B">
        <w:rPr>
          <w:lang w:val="fr-FR"/>
        </w:rPr>
        <w:t xml:space="preserve"> délai selon</w:t>
      </w:r>
      <w:r w:rsidR="005931B4" w:rsidRPr="002C047B">
        <w:rPr>
          <w:lang w:val="fr-FR"/>
        </w:rPr>
        <w:t xml:space="preserve"> le PCT</w:t>
      </w:r>
      <w:r w:rsidR="000223A7" w:rsidRPr="002C047B">
        <w:rPr>
          <w:lang w:val="fr-FR"/>
        </w:rPr>
        <w:t xml:space="preserve"> </w:t>
      </w:r>
      <w:r w:rsidR="00281B2B" w:rsidRPr="002C047B">
        <w:rPr>
          <w:lang w:val="fr-FR"/>
        </w:rPr>
        <w:t xml:space="preserve">lorsque ces </w:t>
      </w:r>
      <w:r w:rsidR="00D97A5C" w:rsidRPr="002C047B">
        <w:rPr>
          <w:lang w:val="fr-FR"/>
        </w:rPr>
        <w:t xml:space="preserve">mêmes </w:t>
      </w:r>
      <w:r w:rsidR="00281B2B" w:rsidRPr="002C047B">
        <w:rPr>
          <w:lang w:val="fr-FR"/>
        </w:rPr>
        <w:t xml:space="preserve">motifs </w:t>
      </w:r>
      <w:r w:rsidR="00D97A5C" w:rsidRPr="002C047B">
        <w:rPr>
          <w:lang w:val="fr-FR"/>
        </w:rPr>
        <w:t>s’appliquaient à</w:t>
      </w:r>
      <w:r w:rsidR="00281B2B" w:rsidRPr="002C047B">
        <w:rPr>
          <w:lang w:val="fr-FR"/>
        </w:rPr>
        <w:t xml:space="preserve"> une d</w:t>
      </w:r>
      <w:r w:rsidR="000223A7" w:rsidRPr="002C047B">
        <w:rPr>
          <w:lang w:val="fr-FR"/>
        </w:rPr>
        <w:t>emande internationale de brevet</w:t>
      </w:r>
      <w:r w:rsidR="00281B2B" w:rsidRPr="002C047B">
        <w:rPr>
          <w:lang w:val="fr-FR"/>
        </w:rPr>
        <w:t>.</w:t>
      </w:r>
    </w:p>
    <w:p w:rsidR="00DE4EAF" w:rsidRPr="002C047B" w:rsidRDefault="00281B2B" w:rsidP="002C047B">
      <w:pPr>
        <w:pStyle w:val="Heading3"/>
      </w:pPr>
      <w:r w:rsidRPr="002C047B">
        <w:t>Excuse de retard dans l</w:t>
      </w:r>
      <w:r w:rsidR="005931B4" w:rsidRPr="002C047B">
        <w:t>’</w:t>
      </w:r>
      <w:r w:rsidRPr="002C047B">
        <w:t>observation de délais</w:t>
      </w:r>
    </w:p>
    <w:p w:rsidR="00DE4EAF" w:rsidRPr="002C047B" w:rsidRDefault="008A55A7" w:rsidP="002C047B">
      <w:pPr>
        <w:pStyle w:val="ONUMFS"/>
        <w:rPr>
          <w:lang w:val="fr-FR"/>
        </w:rPr>
      </w:pPr>
      <w:r w:rsidRPr="002C047B">
        <w:rPr>
          <w:lang w:val="fr-FR"/>
        </w:rPr>
        <w:t>Trois offices ont donné des exemples de dispositions permettant une prorogation de délai en cas d</w:t>
      </w:r>
      <w:r w:rsidR="005931B4" w:rsidRPr="002C047B">
        <w:rPr>
          <w:lang w:val="fr-FR"/>
        </w:rPr>
        <w:t>’</w:t>
      </w:r>
      <w:r w:rsidRPr="002C047B">
        <w:rPr>
          <w:lang w:val="fr-FR"/>
        </w:rPr>
        <w:t>inaccessibilité des services de communication électronique.</w:t>
      </w:r>
      <w:r w:rsidR="00F00916" w:rsidRPr="002C047B">
        <w:rPr>
          <w:lang w:val="fr-FR"/>
        </w:rPr>
        <w:t xml:space="preserve">  </w:t>
      </w:r>
      <w:r w:rsidR="00D97A5C" w:rsidRPr="002C047B">
        <w:rPr>
          <w:lang w:val="fr-FR"/>
        </w:rPr>
        <w:t>Pour</w:t>
      </w:r>
      <w:r w:rsidR="0086675F" w:rsidRPr="002C047B">
        <w:rPr>
          <w:lang w:val="fr-FR"/>
        </w:rPr>
        <w:t xml:space="preserve"> </w:t>
      </w:r>
      <w:r w:rsidR="003D2273" w:rsidRPr="002C047B">
        <w:rPr>
          <w:lang w:val="fr-FR"/>
        </w:rPr>
        <w:t>l</w:t>
      </w:r>
      <w:r w:rsidR="005931B4" w:rsidRPr="002C047B">
        <w:rPr>
          <w:lang w:val="fr-FR"/>
        </w:rPr>
        <w:t>’</w:t>
      </w:r>
      <w:r w:rsidR="003D2273" w:rsidRPr="002C047B">
        <w:rPr>
          <w:lang w:val="fr-FR"/>
        </w:rPr>
        <w:t xml:space="preserve">un de ces offices, </w:t>
      </w:r>
      <w:r w:rsidR="00276A0A" w:rsidRPr="002C047B">
        <w:rPr>
          <w:lang w:val="fr-FR"/>
        </w:rPr>
        <w:t>lorsque</w:t>
      </w:r>
      <w:r w:rsidR="003D2273" w:rsidRPr="002C047B">
        <w:rPr>
          <w:lang w:val="fr-FR"/>
        </w:rPr>
        <w:t xml:space="preserve"> les </w:t>
      </w:r>
      <w:r w:rsidR="000223A7" w:rsidRPr="002C047B">
        <w:rPr>
          <w:lang w:val="fr-FR"/>
        </w:rPr>
        <w:t xml:space="preserve">services </w:t>
      </w:r>
      <w:r w:rsidR="003D2273" w:rsidRPr="002C047B">
        <w:rPr>
          <w:lang w:val="fr-FR"/>
        </w:rPr>
        <w:t xml:space="preserve">électroniques étaient indisponibles et que le déposant </w:t>
      </w:r>
      <w:r w:rsidR="000223A7" w:rsidRPr="002C047B">
        <w:rPr>
          <w:lang w:val="fr-FR"/>
        </w:rPr>
        <w:t>était dans l</w:t>
      </w:r>
      <w:r w:rsidR="005931B4" w:rsidRPr="002C047B">
        <w:rPr>
          <w:lang w:val="fr-FR"/>
        </w:rPr>
        <w:t>’</w:t>
      </w:r>
      <w:r w:rsidR="000223A7" w:rsidRPr="002C047B">
        <w:rPr>
          <w:lang w:val="fr-FR"/>
        </w:rPr>
        <w:t xml:space="preserve">impossibilité de </w:t>
      </w:r>
      <w:r w:rsidR="00D97A5C" w:rsidRPr="002C047B">
        <w:rPr>
          <w:lang w:val="fr-FR"/>
        </w:rPr>
        <w:t>transmett</w:t>
      </w:r>
      <w:r w:rsidR="003D2273" w:rsidRPr="002C047B">
        <w:rPr>
          <w:lang w:val="fr-FR"/>
        </w:rPr>
        <w:t>r</w:t>
      </w:r>
      <w:r w:rsidR="00D97A5C" w:rsidRPr="002C047B">
        <w:rPr>
          <w:lang w:val="fr-FR"/>
        </w:rPr>
        <w:t>e</w:t>
      </w:r>
      <w:r w:rsidR="003D2273" w:rsidRPr="002C047B">
        <w:rPr>
          <w:lang w:val="fr-FR"/>
        </w:rPr>
        <w:t xml:space="preserve"> de</w:t>
      </w:r>
      <w:r w:rsidR="00276A0A" w:rsidRPr="002C047B">
        <w:rPr>
          <w:lang w:val="fr-FR"/>
        </w:rPr>
        <w:t>s</w:t>
      </w:r>
      <w:r w:rsidR="003D2273" w:rsidRPr="002C047B">
        <w:rPr>
          <w:lang w:val="fr-FR"/>
        </w:rPr>
        <w:t xml:space="preserve"> document</w:t>
      </w:r>
      <w:r w:rsidR="00276A0A" w:rsidRPr="002C047B">
        <w:rPr>
          <w:lang w:val="fr-FR"/>
        </w:rPr>
        <w:t>s</w:t>
      </w:r>
      <w:r w:rsidR="003D2273" w:rsidRPr="002C047B">
        <w:rPr>
          <w:lang w:val="fr-FR"/>
        </w:rPr>
        <w:t>, il pouvait le</w:t>
      </w:r>
      <w:r w:rsidR="00D97A5C" w:rsidRPr="002C047B">
        <w:rPr>
          <w:lang w:val="fr-FR"/>
        </w:rPr>
        <w:t>s communiquer</w:t>
      </w:r>
      <w:r w:rsidR="003D2273" w:rsidRPr="002C047B">
        <w:rPr>
          <w:lang w:val="fr-FR"/>
        </w:rPr>
        <w:t xml:space="preserve"> dans les trois</w:t>
      </w:r>
      <w:r w:rsidR="004862FB" w:rsidRPr="002C047B">
        <w:rPr>
          <w:lang w:val="fr-FR"/>
        </w:rPr>
        <w:t> </w:t>
      </w:r>
      <w:r w:rsidR="003D2273" w:rsidRPr="002C047B">
        <w:rPr>
          <w:lang w:val="fr-FR"/>
        </w:rPr>
        <w:t xml:space="preserve">jours suivants et le délai était considéré comme observé, </w:t>
      </w:r>
      <w:r w:rsidR="00276A0A" w:rsidRPr="002C047B">
        <w:rPr>
          <w:lang w:val="fr-FR"/>
        </w:rPr>
        <w:t>sous réserve</w:t>
      </w:r>
      <w:r w:rsidR="003D2273" w:rsidRPr="002C047B">
        <w:rPr>
          <w:lang w:val="fr-FR"/>
        </w:rPr>
        <w:t xml:space="preserve"> </w:t>
      </w:r>
      <w:r w:rsidR="000223A7" w:rsidRPr="002C047B">
        <w:rPr>
          <w:lang w:val="fr-FR"/>
        </w:rPr>
        <w:t>que</w:t>
      </w:r>
      <w:r w:rsidR="003D2273" w:rsidRPr="002C047B">
        <w:rPr>
          <w:lang w:val="fr-FR"/>
        </w:rPr>
        <w:t xml:space="preserve"> la défaillance du service</w:t>
      </w:r>
      <w:r w:rsidR="000223A7" w:rsidRPr="002C047B">
        <w:rPr>
          <w:lang w:val="fr-FR"/>
        </w:rPr>
        <w:t xml:space="preserve"> ait été constatée</w:t>
      </w:r>
      <w:r w:rsidR="003D2273" w:rsidRPr="002C047B">
        <w:rPr>
          <w:lang w:val="fr-FR"/>
        </w:rPr>
        <w:t>.</w:t>
      </w:r>
      <w:r w:rsidR="00DC2E62" w:rsidRPr="002C047B">
        <w:rPr>
          <w:lang w:val="fr-FR"/>
        </w:rPr>
        <w:t xml:space="preserve">  </w:t>
      </w:r>
      <w:r w:rsidR="0086675F" w:rsidRPr="002C047B">
        <w:rPr>
          <w:lang w:val="fr-FR"/>
        </w:rPr>
        <w:t>Un</w:t>
      </w:r>
      <w:r w:rsidR="001E5521" w:rsidRPr="002C047B">
        <w:rPr>
          <w:lang w:val="fr-FR"/>
        </w:rPr>
        <w:t xml:space="preserve"> autre</w:t>
      </w:r>
      <w:r w:rsidR="0086675F" w:rsidRPr="002C047B">
        <w:rPr>
          <w:lang w:val="fr-FR"/>
        </w:rPr>
        <w:t xml:space="preserve"> office</w:t>
      </w:r>
      <w:r w:rsidR="001E5521" w:rsidRPr="002C047B">
        <w:rPr>
          <w:lang w:val="fr-FR"/>
        </w:rPr>
        <w:t xml:space="preserve"> </w:t>
      </w:r>
      <w:r w:rsidR="000223A7" w:rsidRPr="002C047B">
        <w:rPr>
          <w:lang w:val="fr-FR"/>
        </w:rPr>
        <w:t>autorisait</w:t>
      </w:r>
      <w:r w:rsidR="001E5521" w:rsidRPr="002C047B">
        <w:rPr>
          <w:lang w:val="fr-FR"/>
        </w:rPr>
        <w:t xml:space="preserve"> la prorogation d</w:t>
      </w:r>
      <w:r w:rsidR="005931B4" w:rsidRPr="002C047B">
        <w:rPr>
          <w:lang w:val="fr-FR"/>
        </w:rPr>
        <w:t>’</w:t>
      </w:r>
      <w:r w:rsidR="001E5521" w:rsidRPr="002C047B">
        <w:rPr>
          <w:lang w:val="fr-FR"/>
        </w:rPr>
        <w:t xml:space="preserve">un délai lorsque </w:t>
      </w:r>
      <w:r w:rsidR="000223A7" w:rsidRPr="002C047B">
        <w:rPr>
          <w:lang w:val="fr-FR"/>
        </w:rPr>
        <w:t>son</w:t>
      </w:r>
      <w:r w:rsidR="001E5521" w:rsidRPr="002C047B">
        <w:rPr>
          <w:lang w:val="fr-FR"/>
        </w:rPr>
        <w:t xml:space="preserve"> inobservation </w:t>
      </w:r>
      <w:r w:rsidR="00D97A5C" w:rsidRPr="002C047B">
        <w:rPr>
          <w:lang w:val="fr-FR"/>
        </w:rPr>
        <w:t>était</w:t>
      </w:r>
      <w:r w:rsidR="001E5521" w:rsidRPr="002C047B">
        <w:rPr>
          <w:lang w:val="fr-FR"/>
        </w:rPr>
        <w:t xml:space="preserve"> </w:t>
      </w:r>
      <w:r w:rsidR="00D97A5C" w:rsidRPr="002C047B">
        <w:rPr>
          <w:lang w:val="fr-FR"/>
        </w:rPr>
        <w:t>exclusivement</w:t>
      </w:r>
      <w:r w:rsidR="001E5521" w:rsidRPr="002C047B">
        <w:rPr>
          <w:lang w:val="fr-FR"/>
        </w:rPr>
        <w:t xml:space="preserve"> ou </w:t>
      </w:r>
      <w:r w:rsidR="00276A0A" w:rsidRPr="002C047B">
        <w:rPr>
          <w:lang w:val="fr-FR"/>
        </w:rPr>
        <w:t>principalement imputable</w:t>
      </w:r>
      <w:r w:rsidR="001E5521" w:rsidRPr="002C047B">
        <w:rPr>
          <w:lang w:val="fr-FR"/>
        </w:rPr>
        <w:t xml:space="preserve"> à un retard </w:t>
      </w:r>
      <w:r w:rsidR="00276A0A" w:rsidRPr="002C047B">
        <w:rPr>
          <w:lang w:val="fr-FR"/>
        </w:rPr>
        <w:t>dans l</w:t>
      </w:r>
      <w:r w:rsidR="001E5521" w:rsidRPr="002C047B">
        <w:rPr>
          <w:lang w:val="fr-FR"/>
        </w:rPr>
        <w:t xml:space="preserve">es services de communication, </w:t>
      </w:r>
      <w:r w:rsidR="005931B4" w:rsidRPr="002C047B">
        <w:rPr>
          <w:lang w:val="fr-FR"/>
        </w:rPr>
        <w:t>y compris</w:t>
      </w:r>
      <w:r w:rsidR="001E5521" w:rsidRPr="002C047B">
        <w:rPr>
          <w:lang w:val="fr-FR"/>
        </w:rPr>
        <w:t xml:space="preserve"> </w:t>
      </w:r>
      <w:r w:rsidR="00276A0A" w:rsidRPr="002C047B">
        <w:rPr>
          <w:lang w:val="fr-FR"/>
        </w:rPr>
        <w:t>l</w:t>
      </w:r>
      <w:r w:rsidR="001E5521" w:rsidRPr="002C047B">
        <w:rPr>
          <w:lang w:val="fr-FR"/>
        </w:rPr>
        <w:t>es services de communication électronique</w:t>
      </w:r>
      <w:r w:rsidR="00276A0A" w:rsidRPr="002C047B">
        <w:rPr>
          <w:lang w:val="fr-FR"/>
        </w:rPr>
        <w:t>, ou à leur défaillance</w:t>
      </w:r>
      <w:r w:rsidR="001E5521" w:rsidRPr="002C047B">
        <w:rPr>
          <w:lang w:val="fr-FR"/>
        </w:rPr>
        <w:t>.</w:t>
      </w:r>
      <w:r w:rsidR="00785583" w:rsidRPr="002C047B">
        <w:rPr>
          <w:lang w:val="fr-FR"/>
        </w:rPr>
        <w:t xml:space="preserve">  </w:t>
      </w:r>
      <w:r w:rsidR="00D64DC0" w:rsidRPr="002C047B">
        <w:rPr>
          <w:lang w:val="fr-FR"/>
        </w:rPr>
        <w:t>Cependant, ces dispositions avaient essentiellement été invoquées par les utilisateurs pour demander des prorogations de délai en cas de courrier</w:t>
      </w:r>
      <w:r w:rsidR="00D97A5C" w:rsidRPr="002C047B">
        <w:rPr>
          <w:lang w:val="fr-FR"/>
        </w:rPr>
        <w:t xml:space="preserve"> égaré</w:t>
      </w:r>
      <w:r w:rsidR="00D64DC0" w:rsidRPr="002C047B">
        <w:rPr>
          <w:lang w:val="fr-FR"/>
        </w:rPr>
        <w:t xml:space="preserve"> par les services postaux;  cet office n</w:t>
      </w:r>
      <w:r w:rsidR="005931B4" w:rsidRPr="002C047B">
        <w:rPr>
          <w:lang w:val="fr-FR"/>
        </w:rPr>
        <w:t>’</w:t>
      </w:r>
      <w:r w:rsidR="00D64DC0" w:rsidRPr="002C047B">
        <w:rPr>
          <w:lang w:val="fr-FR"/>
        </w:rPr>
        <w:t xml:space="preserve">avait pas connaissance </w:t>
      </w:r>
      <w:r w:rsidR="00276A0A" w:rsidRPr="002C047B">
        <w:rPr>
          <w:lang w:val="fr-FR"/>
        </w:rPr>
        <w:t>de cas</w:t>
      </w:r>
      <w:r w:rsidR="000223A7" w:rsidRPr="002C047B">
        <w:rPr>
          <w:lang w:val="fr-FR"/>
        </w:rPr>
        <w:t xml:space="preserve"> dans lesquels elles avaient été appliquées </w:t>
      </w:r>
      <w:r w:rsidR="00276A0A" w:rsidRPr="002C047B">
        <w:rPr>
          <w:lang w:val="fr-FR"/>
        </w:rPr>
        <w:t>pour cause</w:t>
      </w:r>
      <w:r w:rsidR="00D64DC0" w:rsidRPr="002C047B">
        <w:rPr>
          <w:lang w:val="fr-FR"/>
        </w:rPr>
        <w:t xml:space="preserve"> de défaillance des systèmes de communication électronique. </w:t>
      </w:r>
      <w:r w:rsidR="004B09F9" w:rsidRPr="002C047B">
        <w:rPr>
          <w:lang w:val="fr-FR"/>
        </w:rPr>
        <w:t xml:space="preserve"> </w:t>
      </w:r>
      <w:r w:rsidR="00786B17" w:rsidRPr="002C047B">
        <w:rPr>
          <w:lang w:val="fr-FR"/>
        </w:rPr>
        <w:t xml:space="preserve">Le troisième office autorisait une partie </w:t>
      </w:r>
      <w:r w:rsidR="000223A7" w:rsidRPr="002C047B">
        <w:rPr>
          <w:lang w:val="fr-FR"/>
        </w:rPr>
        <w:t xml:space="preserve">intéressée </w:t>
      </w:r>
      <w:r w:rsidR="00786B17" w:rsidRPr="002C047B">
        <w:rPr>
          <w:lang w:val="fr-FR"/>
        </w:rPr>
        <w:t xml:space="preserve">à apporter la preuve que, </w:t>
      </w:r>
      <w:r w:rsidR="00276A0A" w:rsidRPr="002C047B">
        <w:rPr>
          <w:lang w:val="fr-FR"/>
        </w:rPr>
        <w:t>durant</w:t>
      </w:r>
      <w:r w:rsidR="00786B17" w:rsidRPr="002C047B">
        <w:rPr>
          <w:lang w:val="fr-FR"/>
        </w:rPr>
        <w:t xml:space="preserve"> l</w:t>
      </w:r>
      <w:r w:rsidR="005931B4" w:rsidRPr="002C047B">
        <w:rPr>
          <w:lang w:val="fr-FR"/>
        </w:rPr>
        <w:t>’</w:t>
      </w:r>
      <w:r w:rsidR="00786B17" w:rsidRPr="002C047B">
        <w:rPr>
          <w:lang w:val="fr-FR"/>
        </w:rPr>
        <w:t xml:space="preserve">un quelconque des </w:t>
      </w:r>
      <w:r w:rsidR="00D34B68" w:rsidRPr="002C047B">
        <w:rPr>
          <w:lang w:val="fr-FR"/>
        </w:rPr>
        <w:t>10 </w:t>
      </w:r>
      <w:r w:rsidR="00786B17" w:rsidRPr="002C047B">
        <w:rPr>
          <w:lang w:val="fr-FR"/>
        </w:rPr>
        <w:t>jours ayant précédé la date d</w:t>
      </w:r>
      <w:r w:rsidR="005931B4" w:rsidRPr="002C047B">
        <w:rPr>
          <w:lang w:val="fr-FR"/>
        </w:rPr>
        <w:t>’</w:t>
      </w:r>
      <w:r w:rsidR="00786B17" w:rsidRPr="002C047B">
        <w:rPr>
          <w:lang w:val="fr-FR"/>
        </w:rPr>
        <w:t>expiration du délai, la délivrance ou la transmission du courrier avait été perturbée en raison d</w:t>
      </w:r>
      <w:r w:rsidR="005931B4" w:rsidRPr="002C047B">
        <w:rPr>
          <w:lang w:val="fr-FR"/>
        </w:rPr>
        <w:t>’</w:t>
      </w:r>
      <w:r w:rsidR="00786B17" w:rsidRPr="002C047B">
        <w:rPr>
          <w:lang w:val="fr-FR"/>
        </w:rPr>
        <w:t xml:space="preserve">un événement exceptionnel, </w:t>
      </w:r>
      <w:r w:rsidR="005931B4" w:rsidRPr="002C047B">
        <w:rPr>
          <w:lang w:val="fr-FR"/>
        </w:rPr>
        <w:t>y compris</w:t>
      </w:r>
      <w:r w:rsidR="00786B17" w:rsidRPr="002C047B">
        <w:rPr>
          <w:lang w:val="fr-FR"/>
        </w:rPr>
        <w:t xml:space="preserve"> </w:t>
      </w:r>
      <w:r w:rsidR="000223A7" w:rsidRPr="002C047B">
        <w:rPr>
          <w:lang w:val="fr-FR"/>
        </w:rPr>
        <w:t>l</w:t>
      </w:r>
      <w:r w:rsidR="005931B4" w:rsidRPr="002C047B">
        <w:rPr>
          <w:lang w:val="fr-FR"/>
        </w:rPr>
        <w:t>’</w:t>
      </w:r>
      <w:r w:rsidR="00786B17" w:rsidRPr="002C047B">
        <w:rPr>
          <w:lang w:val="fr-FR"/>
        </w:rPr>
        <w:t xml:space="preserve">indisponibilité générale des </w:t>
      </w:r>
      <w:r w:rsidR="000223A7" w:rsidRPr="002C047B">
        <w:rPr>
          <w:lang w:val="fr-FR"/>
        </w:rPr>
        <w:t>moyens de communication électronique autorisé</w:t>
      </w:r>
      <w:r w:rsidR="00786B17" w:rsidRPr="002C047B">
        <w:rPr>
          <w:lang w:val="fr-FR"/>
        </w:rPr>
        <w:t>s.</w:t>
      </w:r>
      <w:r w:rsidR="00886EF0" w:rsidRPr="002C047B">
        <w:rPr>
          <w:lang w:val="fr-FR"/>
        </w:rPr>
        <w:t xml:space="preserve">  </w:t>
      </w:r>
      <w:r w:rsidR="00C24579" w:rsidRPr="002C047B">
        <w:rPr>
          <w:lang w:val="fr-FR"/>
        </w:rPr>
        <w:t>Si l</w:t>
      </w:r>
      <w:r w:rsidR="005931B4" w:rsidRPr="002C047B">
        <w:rPr>
          <w:lang w:val="fr-FR"/>
        </w:rPr>
        <w:t>’</w:t>
      </w:r>
      <w:r w:rsidR="00C24579" w:rsidRPr="002C047B">
        <w:rPr>
          <w:lang w:val="fr-FR"/>
        </w:rPr>
        <w:t xml:space="preserve">office </w:t>
      </w:r>
      <w:r w:rsidR="000223A7" w:rsidRPr="002C047B">
        <w:rPr>
          <w:lang w:val="fr-FR"/>
        </w:rPr>
        <w:t xml:space="preserve">était convaincu par </w:t>
      </w:r>
      <w:r w:rsidR="00C24579" w:rsidRPr="002C047B">
        <w:rPr>
          <w:lang w:val="fr-FR"/>
        </w:rPr>
        <w:t>cette preuve, un document reçu en retard serait réputé reçu dans les délais, sous réserve que l</w:t>
      </w:r>
      <w:r w:rsidR="005931B4" w:rsidRPr="002C047B">
        <w:rPr>
          <w:lang w:val="fr-FR"/>
        </w:rPr>
        <w:t>’</w:t>
      </w:r>
      <w:r w:rsidR="00C24579" w:rsidRPr="002C047B">
        <w:rPr>
          <w:lang w:val="fr-FR"/>
        </w:rPr>
        <w:t>expédition ai</w:t>
      </w:r>
      <w:r w:rsidR="002635AB" w:rsidRPr="002C047B">
        <w:rPr>
          <w:lang w:val="fr-FR"/>
        </w:rPr>
        <w:t xml:space="preserve">t été effectuée au plus </w:t>
      </w:r>
      <w:r w:rsidR="00276A0A" w:rsidRPr="002C047B">
        <w:rPr>
          <w:lang w:val="fr-FR"/>
        </w:rPr>
        <w:t xml:space="preserve">tard </w:t>
      </w:r>
      <w:r w:rsidR="002635AB" w:rsidRPr="002C047B">
        <w:rPr>
          <w:lang w:val="fr-FR"/>
        </w:rPr>
        <w:t>le cinq</w:t>
      </w:r>
      <w:r w:rsidR="00C24579" w:rsidRPr="002C047B">
        <w:rPr>
          <w:lang w:val="fr-FR"/>
        </w:rPr>
        <w:t>uième jour suivant la fin de la perturbation.</w:t>
      </w:r>
    </w:p>
    <w:p w:rsidR="005931B4" w:rsidRPr="002C047B" w:rsidRDefault="00D97A5C" w:rsidP="002C047B">
      <w:pPr>
        <w:pStyle w:val="ONUMFS"/>
        <w:rPr>
          <w:lang w:val="fr-FR"/>
        </w:rPr>
      </w:pPr>
      <w:r w:rsidRPr="002C047B">
        <w:rPr>
          <w:lang w:val="fr-FR"/>
        </w:rPr>
        <w:t>C</w:t>
      </w:r>
      <w:r w:rsidR="00C24579" w:rsidRPr="002C047B">
        <w:rPr>
          <w:lang w:val="fr-FR"/>
        </w:rPr>
        <w:t>ertains offices</w:t>
      </w:r>
      <w:r w:rsidR="00276A0A" w:rsidRPr="002C047B">
        <w:rPr>
          <w:lang w:val="fr-FR"/>
        </w:rPr>
        <w:t xml:space="preserve"> n</w:t>
      </w:r>
      <w:r w:rsidR="005931B4" w:rsidRPr="002C047B">
        <w:rPr>
          <w:lang w:val="fr-FR"/>
        </w:rPr>
        <w:t>’</w:t>
      </w:r>
      <w:r w:rsidR="00276A0A" w:rsidRPr="002C047B">
        <w:rPr>
          <w:lang w:val="fr-FR"/>
        </w:rPr>
        <w:t xml:space="preserve">ayant pas </w:t>
      </w:r>
      <w:r w:rsidRPr="002C047B">
        <w:rPr>
          <w:lang w:val="fr-FR"/>
        </w:rPr>
        <w:t>de</w:t>
      </w:r>
      <w:r w:rsidR="00C24579" w:rsidRPr="002C047B">
        <w:rPr>
          <w:lang w:val="fr-FR"/>
        </w:rPr>
        <w:t xml:space="preserve"> disposition</w:t>
      </w:r>
      <w:r w:rsidR="000223A7" w:rsidRPr="002C047B">
        <w:rPr>
          <w:lang w:val="fr-FR"/>
        </w:rPr>
        <w:t>s</w:t>
      </w:r>
      <w:r w:rsidR="00C24579" w:rsidRPr="002C047B">
        <w:rPr>
          <w:lang w:val="fr-FR"/>
        </w:rPr>
        <w:t xml:space="preserve"> expresse</w:t>
      </w:r>
      <w:r w:rsidR="000223A7" w:rsidRPr="002C047B">
        <w:rPr>
          <w:lang w:val="fr-FR"/>
        </w:rPr>
        <w:t>s</w:t>
      </w:r>
      <w:r w:rsidR="00C24579" w:rsidRPr="002C047B">
        <w:rPr>
          <w:lang w:val="fr-FR"/>
        </w:rPr>
        <w:t xml:space="preserve"> </w:t>
      </w:r>
      <w:r w:rsidR="000223A7" w:rsidRPr="002C047B">
        <w:rPr>
          <w:lang w:val="fr-FR"/>
        </w:rPr>
        <w:t>pour</w:t>
      </w:r>
      <w:r w:rsidR="00C24579" w:rsidRPr="002C047B">
        <w:rPr>
          <w:lang w:val="fr-FR"/>
        </w:rPr>
        <w:t xml:space="preserve"> excuser les retards dans l</w:t>
      </w:r>
      <w:r w:rsidR="005931B4" w:rsidRPr="002C047B">
        <w:rPr>
          <w:lang w:val="fr-FR"/>
        </w:rPr>
        <w:t>’</w:t>
      </w:r>
      <w:r w:rsidR="00C24579" w:rsidRPr="002C047B">
        <w:rPr>
          <w:lang w:val="fr-FR"/>
        </w:rPr>
        <w:t>observation d</w:t>
      </w:r>
      <w:r w:rsidR="005931B4" w:rsidRPr="002C047B">
        <w:rPr>
          <w:lang w:val="fr-FR"/>
        </w:rPr>
        <w:t>’</w:t>
      </w:r>
      <w:r w:rsidR="00C24579" w:rsidRPr="002C047B">
        <w:rPr>
          <w:lang w:val="fr-FR"/>
        </w:rPr>
        <w:t>un délai en cas de défaillance des systèmes électroniques</w:t>
      </w:r>
      <w:r w:rsidRPr="002C047B">
        <w:rPr>
          <w:lang w:val="fr-FR"/>
        </w:rPr>
        <w:t xml:space="preserve"> autorisaient</w:t>
      </w:r>
      <w:r w:rsidR="00C24579" w:rsidRPr="002C047B">
        <w:rPr>
          <w:lang w:val="fr-FR"/>
        </w:rPr>
        <w:t xml:space="preserve"> les déposants </w:t>
      </w:r>
      <w:r w:rsidRPr="002C047B">
        <w:rPr>
          <w:lang w:val="fr-FR"/>
        </w:rPr>
        <w:t>à</w:t>
      </w:r>
      <w:r w:rsidR="00C24579" w:rsidRPr="002C047B">
        <w:rPr>
          <w:lang w:val="fr-FR"/>
        </w:rPr>
        <w:t xml:space="preserve"> demander qu</w:t>
      </w:r>
      <w:r w:rsidR="005931B4" w:rsidRPr="002C047B">
        <w:rPr>
          <w:lang w:val="fr-FR"/>
        </w:rPr>
        <w:t>’</w:t>
      </w:r>
      <w:r w:rsidR="00C24579" w:rsidRPr="002C047B">
        <w:rPr>
          <w:lang w:val="fr-FR"/>
        </w:rPr>
        <w:t>un document soumis après l</w:t>
      </w:r>
      <w:r w:rsidR="005931B4" w:rsidRPr="002C047B">
        <w:rPr>
          <w:lang w:val="fr-FR"/>
        </w:rPr>
        <w:t>’</w:t>
      </w:r>
      <w:r w:rsidR="00C24579" w:rsidRPr="002C047B">
        <w:rPr>
          <w:lang w:val="fr-FR"/>
        </w:rPr>
        <w:t>expiration d</w:t>
      </w:r>
      <w:r w:rsidR="005931B4" w:rsidRPr="002C047B">
        <w:rPr>
          <w:lang w:val="fr-FR"/>
        </w:rPr>
        <w:t>’</w:t>
      </w:r>
      <w:r w:rsidR="00C24579" w:rsidRPr="002C047B">
        <w:rPr>
          <w:lang w:val="fr-FR"/>
        </w:rPr>
        <w:t>un délai soit considéré comme ayant été reçu dans le délai.</w:t>
      </w:r>
      <w:r w:rsidR="007B5E6C" w:rsidRPr="002C047B">
        <w:rPr>
          <w:lang w:val="fr-FR"/>
        </w:rPr>
        <w:t xml:space="preserve">  </w:t>
      </w:r>
      <w:r w:rsidRPr="002C047B">
        <w:rPr>
          <w:lang w:val="fr-FR"/>
        </w:rPr>
        <w:t>Ils pouvaient</w:t>
      </w:r>
      <w:r w:rsidR="009378AE" w:rsidRPr="002C047B">
        <w:rPr>
          <w:lang w:val="fr-FR"/>
        </w:rPr>
        <w:t xml:space="preserve"> par exemple </w:t>
      </w:r>
      <w:r w:rsidRPr="002C047B">
        <w:rPr>
          <w:lang w:val="fr-FR"/>
        </w:rPr>
        <w:t>s’appuyer sur</w:t>
      </w:r>
      <w:r w:rsidR="009378AE" w:rsidRPr="002C047B">
        <w:rPr>
          <w:lang w:val="fr-FR"/>
        </w:rPr>
        <w:t xml:space="preserve"> des dispositions générales de la législation nationale relative aux brevets </w:t>
      </w:r>
      <w:r w:rsidR="00276A0A" w:rsidRPr="002C047B">
        <w:rPr>
          <w:lang w:val="fr-FR"/>
        </w:rPr>
        <w:t>permett</w:t>
      </w:r>
      <w:r w:rsidRPr="002C047B">
        <w:rPr>
          <w:lang w:val="fr-FR"/>
        </w:rPr>
        <w:t>ant</w:t>
      </w:r>
      <w:r w:rsidR="009378AE" w:rsidRPr="002C047B">
        <w:rPr>
          <w:lang w:val="fr-FR"/>
        </w:rPr>
        <w:t xml:space="preserve"> à un office de proroger certains délais sur demande du déposant </w:t>
      </w:r>
      <w:r w:rsidRPr="002C047B">
        <w:rPr>
          <w:lang w:val="fr-FR"/>
        </w:rPr>
        <w:t>assorti</w:t>
      </w:r>
      <w:r w:rsidR="009378AE" w:rsidRPr="002C047B">
        <w:rPr>
          <w:lang w:val="fr-FR"/>
        </w:rPr>
        <w:t>e de preuves de la cause de l</w:t>
      </w:r>
      <w:r w:rsidR="005931B4" w:rsidRPr="002C047B">
        <w:rPr>
          <w:lang w:val="fr-FR"/>
        </w:rPr>
        <w:t>’</w:t>
      </w:r>
      <w:r w:rsidR="009378AE" w:rsidRPr="002C047B">
        <w:rPr>
          <w:lang w:val="fr-FR"/>
        </w:rPr>
        <w:t>inobservation du délai.</w:t>
      </w:r>
      <w:r w:rsidR="00251A27" w:rsidRPr="002C047B">
        <w:rPr>
          <w:lang w:val="fr-FR"/>
        </w:rPr>
        <w:t xml:space="preserve">  </w:t>
      </w:r>
      <w:r w:rsidR="005A3E95" w:rsidRPr="002C047B">
        <w:rPr>
          <w:lang w:val="fr-FR"/>
        </w:rPr>
        <w:t xml:space="preserve">Une autre </w:t>
      </w:r>
      <w:r w:rsidR="00276A0A" w:rsidRPr="002C047B">
        <w:rPr>
          <w:lang w:val="fr-FR"/>
        </w:rPr>
        <w:t>option</w:t>
      </w:r>
      <w:r w:rsidR="005A3E95" w:rsidRPr="002C047B">
        <w:rPr>
          <w:lang w:val="fr-FR"/>
        </w:rPr>
        <w:t xml:space="preserve"> consist</w:t>
      </w:r>
      <w:r w:rsidR="000223A7" w:rsidRPr="002C047B">
        <w:rPr>
          <w:lang w:val="fr-FR"/>
        </w:rPr>
        <w:t>ait</w:t>
      </w:r>
      <w:r w:rsidR="005A3E95" w:rsidRPr="002C047B">
        <w:rPr>
          <w:lang w:val="fr-FR"/>
        </w:rPr>
        <w:t xml:space="preserve"> pour le déposant à demander le rétablissement des droits.</w:t>
      </w:r>
      <w:r w:rsidR="00251A27" w:rsidRPr="002C047B">
        <w:rPr>
          <w:lang w:val="fr-FR"/>
        </w:rPr>
        <w:t xml:space="preserve">  </w:t>
      </w:r>
      <w:r w:rsidR="009D02B7" w:rsidRPr="002C047B">
        <w:rPr>
          <w:lang w:val="fr-FR"/>
        </w:rPr>
        <w:t>Un office a fourni le texte de son code national de procédure civile</w:t>
      </w:r>
      <w:r w:rsidR="00276A0A" w:rsidRPr="002C047B">
        <w:rPr>
          <w:lang w:val="fr-FR"/>
        </w:rPr>
        <w:t xml:space="preserve"> autorisan</w:t>
      </w:r>
      <w:r w:rsidR="009D02B7" w:rsidRPr="002C047B">
        <w:rPr>
          <w:lang w:val="fr-FR"/>
        </w:rPr>
        <w:t xml:space="preserve">t une partie </w:t>
      </w:r>
      <w:r w:rsidR="000223A7" w:rsidRPr="002C047B">
        <w:rPr>
          <w:lang w:val="fr-FR"/>
        </w:rPr>
        <w:t xml:space="preserve">intéressée </w:t>
      </w:r>
      <w:r w:rsidR="009D02B7" w:rsidRPr="002C047B">
        <w:rPr>
          <w:lang w:val="fr-FR"/>
        </w:rPr>
        <w:t>à fournir la preuve d</w:t>
      </w:r>
      <w:r w:rsidR="005931B4" w:rsidRPr="002C047B">
        <w:rPr>
          <w:lang w:val="fr-FR"/>
        </w:rPr>
        <w:t>’</w:t>
      </w:r>
      <w:r w:rsidR="009D02B7" w:rsidRPr="002C047B">
        <w:rPr>
          <w:lang w:val="fr-FR"/>
        </w:rPr>
        <w:t xml:space="preserve">un </w:t>
      </w:r>
      <w:r w:rsidR="004862FB" w:rsidRPr="002C047B">
        <w:rPr>
          <w:lang w:val="fr-FR"/>
        </w:rPr>
        <w:t>“</w:t>
      </w:r>
      <w:r w:rsidR="009D02B7" w:rsidRPr="002C047B">
        <w:rPr>
          <w:lang w:val="fr-FR"/>
        </w:rPr>
        <w:t>empêchement raisonnable</w:t>
      </w:r>
      <w:r w:rsidR="004862FB" w:rsidRPr="002C047B">
        <w:rPr>
          <w:lang w:val="fr-FR"/>
        </w:rPr>
        <w:t>”</w:t>
      </w:r>
      <w:r w:rsidR="009D02B7" w:rsidRPr="002C047B">
        <w:rPr>
          <w:lang w:val="fr-FR"/>
        </w:rPr>
        <w:t xml:space="preserve"> qui ne pouvait pas être imputé au déposant ou à son mandataire et qui avait empêché l</w:t>
      </w:r>
      <w:r w:rsidRPr="002C047B">
        <w:rPr>
          <w:lang w:val="fr-FR"/>
        </w:rPr>
        <w:t>’accomplissement</w:t>
      </w:r>
      <w:r w:rsidR="009D02B7" w:rsidRPr="002C047B">
        <w:rPr>
          <w:lang w:val="fr-FR"/>
        </w:rPr>
        <w:t xml:space="preserve"> d</w:t>
      </w:r>
      <w:r w:rsidR="005931B4" w:rsidRPr="002C047B">
        <w:rPr>
          <w:lang w:val="fr-FR"/>
        </w:rPr>
        <w:t>’</w:t>
      </w:r>
      <w:r w:rsidR="009D02B7" w:rsidRPr="002C047B">
        <w:rPr>
          <w:lang w:val="fr-FR"/>
        </w:rPr>
        <w:t>un acte dans le délai.</w:t>
      </w:r>
    </w:p>
    <w:p w:rsidR="00DE4EAF" w:rsidRPr="002C047B" w:rsidRDefault="00437D67" w:rsidP="002C047B">
      <w:pPr>
        <w:pStyle w:val="ONUMFS"/>
        <w:rPr>
          <w:lang w:val="fr-FR"/>
        </w:rPr>
      </w:pPr>
      <w:r w:rsidRPr="002C047B">
        <w:rPr>
          <w:lang w:val="fr-FR"/>
        </w:rPr>
        <w:t>D</w:t>
      </w:r>
      <w:r w:rsidR="005931B4" w:rsidRPr="002C047B">
        <w:rPr>
          <w:lang w:val="fr-FR"/>
        </w:rPr>
        <w:t>’</w:t>
      </w:r>
      <w:r w:rsidRPr="002C047B">
        <w:rPr>
          <w:lang w:val="fr-FR"/>
        </w:rPr>
        <w:t>autres offices ont déclaré que la simple indisponibilité d</w:t>
      </w:r>
      <w:r w:rsidR="005931B4" w:rsidRPr="002C047B">
        <w:rPr>
          <w:lang w:val="fr-FR"/>
        </w:rPr>
        <w:t>’</w:t>
      </w:r>
      <w:r w:rsidRPr="002C047B">
        <w:rPr>
          <w:lang w:val="fr-FR"/>
        </w:rPr>
        <w:t>un service de communication électronique ne serait pas considéré</w:t>
      </w:r>
      <w:r w:rsidR="002635AB" w:rsidRPr="002C047B">
        <w:rPr>
          <w:lang w:val="fr-FR"/>
        </w:rPr>
        <w:t>e</w:t>
      </w:r>
      <w:r w:rsidRPr="002C047B">
        <w:rPr>
          <w:lang w:val="fr-FR"/>
        </w:rPr>
        <w:t xml:space="preserve"> comme un cas exceptionnel de force majeure permettant d</w:t>
      </w:r>
      <w:r w:rsidR="005931B4" w:rsidRPr="002C047B">
        <w:rPr>
          <w:lang w:val="fr-FR"/>
        </w:rPr>
        <w:t>’</w:t>
      </w:r>
      <w:r w:rsidRPr="002C047B">
        <w:rPr>
          <w:lang w:val="fr-FR"/>
        </w:rPr>
        <w:t>excuser un retard dans l</w:t>
      </w:r>
      <w:r w:rsidR="005931B4" w:rsidRPr="002C047B">
        <w:rPr>
          <w:lang w:val="fr-FR"/>
        </w:rPr>
        <w:t>’</w:t>
      </w:r>
      <w:r w:rsidRPr="002C047B">
        <w:rPr>
          <w:lang w:val="fr-FR"/>
        </w:rPr>
        <w:t>observation d</w:t>
      </w:r>
      <w:r w:rsidR="005931B4" w:rsidRPr="002C047B">
        <w:rPr>
          <w:lang w:val="fr-FR"/>
        </w:rPr>
        <w:t>’</w:t>
      </w:r>
      <w:r w:rsidRPr="002C047B">
        <w:rPr>
          <w:lang w:val="fr-FR"/>
        </w:rPr>
        <w:t>un délai.</w:t>
      </w:r>
    </w:p>
    <w:p w:rsidR="005931B4" w:rsidRPr="002C047B" w:rsidRDefault="00D97A5C" w:rsidP="002C047B">
      <w:pPr>
        <w:pStyle w:val="ONUMFS"/>
        <w:rPr>
          <w:lang w:val="fr-FR"/>
        </w:rPr>
      </w:pPr>
      <w:r w:rsidRPr="002C047B">
        <w:rPr>
          <w:lang w:val="fr-FR"/>
        </w:rPr>
        <w:lastRenderedPageBreak/>
        <w:t>T</w:t>
      </w:r>
      <w:r w:rsidR="000223A7" w:rsidRPr="002C047B">
        <w:rPr>
          <w:lang w:val="fr-FR"/>
        </w:rPr>
        <w:t xml:space="preserve">ous les offices </w:t>
      </w:r>
      <w:r w:rsidRPr="002C047B">
        <w:rPr>
          <w:lang w:val="fr-FR"/>
        </w:rPr>
        <w:t xml:space="preserve">ou presque </w:t>
      </w:r>
      <w:r w:rsidR="008C7A69" w:rsidRPr="002C047B">
        <w:rPr>
          <w:lang w:val="fr-FR"/>
        </w:rPr>
        <w:t xml:space="preserve">ont </w:t>
      </w:r>
      <w:r w:rsidR="000223A7" w:rsidRPr="002C047B">
        <w:rPr>
          <w:lang w:val="fr-FR"/>
        </w:rPr>
        <w:t xml:space="preserve">admis </w:t>
      </w:r>
      <w:r w:rsidR="008C7A69" w:rsidRPr="002C047B">
        <w:rPr>
          <w:lang w:val="fr-FR"/>
        </w:rPr>
        <w:t>qu</w:t>
      </w:r>
      <w:r w:rsidR="005931B4" w:rsidRPr="002C047B">
        <w:rPr>
          <w:lang w:val="fr-FR"/>
        </w:rPr>
        <w:t>’</w:t>
      </w:r>
      <w:r w:rsidR="008C7A69" w:rsidRPr="002C047B">
        <w:rPr>
          <w:lang w:val="fr-FR"/>
        </w:rPr>
        <w:t>il était nécessaire que le règlement d</w:t>
      </w:r>
      <w:r w:rsidR="005931B4" w:rsidRPr="002C047B">
        <w:rPr>
          <w:lang w:val="fr-FR"/>
        </w:rPr>
        <w:t>’</w:t>
      </w:r>
      <w:r w:rsidR="008C7A69" w:rsidRPr="002C047B">
        <w:rPr>
          <w:lang w:val="fr-FR"/>
        </w:rPr>
        <w:t>exécution</w:t>
      </w:r>
      <w:r w:rsidR="005931B4" w:rsidRPr="002C047B">
        <w:rPr>
          <w:lang w:val="fr-FR"/>
        </w:rPr>
        <w:t xml:space="preserve"> du PCT</w:t>
      </w:r>
      <w:r w:rsidR="008C7A69" w:rsidRPr="002C047B">
        <w:rPr>
          <w:lang w:val="fr-FR"/>
        </w:rPr>
        <w:t xml:space="preserve"> </w:t>
      </w:r>
      <w:r w:rsidRPr="002C047B">
        <w:rPr>
          <w:lang w:val="fr-FR"/>
        </w:rPr>
        <w:t>prévoie</w:t>
      </w:r>
      <w:r w:rsidR="008C7A69" w:rsidRPr="002C047B">
        <w:rPr>
          <w:lang w:val="fr-FR"/>
        </w:rPr>
        <w:t xml:space="preserve"> l</w:t>
      </w:r>
      <w:r w:rsidR="005931B4" w:rsidRPr="002C047B">
        <w:rPr>
          <w:lang w:val="fr-FR"/>
        </w:rPr>
        <w:t>’</w:t>
      </w:r>
      <w:r w:rsidR="008C7A69" w:rsidRPr="002C047B">
        <w:rPr>
          <w:lang w:val="fr-FR"/>
        </w:rPr>
        <w:t>in</w:t>
      </w:r>
      <w:r w:rsidR="00276A0A" w:rsidRPr="002C047B">
        <w:rPr>
          <w:lang w:val="fr-FR"/>
        </w:rPr>
        <w:t xml:space="preserve">terruption </w:t>
      </w:r>
      <w:r w:rsidR="008C7A69" w:rsidRPr="002C047B">
        <w:rPr>
          <w:lang w:val="fr-FR"/>
        </w:rPr>
        <w:t>des services de communication électronique dans l</w:t>
      </w:r>
      <w:r w:rsidR="002635AB" w:rsidRPr="002C047B">
        <w:rPr>
          <w:lang w:val="fr-FR"/>
        </w:rPr>
        <w:t>a</w:t>
      </w:r>
      <w:r w:rsidR="008C7A69" w:rsidRPr="002C047B">
        <w:rPr>
          <w:lang w:val="fr-FR"/>
        </w:rPr>
        <w:t xml:space="preserve"> li</w:t>
      </w:r>
      <w:r w:rsidR="002635AB" w:rsidRPr="002C047B">
        <w:rPr>
          <w:lang w:val="fr-FR"/>
        </w:rPr>
        <w:t>s</w:t>
      </w:r>
      <w:r w:rsidR="008C7A69" w:rsidRPr="002C047B">
        <w:rPr>
          <w:lang w:val="fr-FR"/>
        </w:rPr>
        <w:t>te des événements pouvant être considérés comme un motif d</w:t>
      </w:r>
      <w:r w:rsidR="005931B4" w:rsidRPr="002C047B">
        <w:rPr>
          <w:lang w:val="fr-FR"/>
        </w:rPr>
        <w:t>’</w:t>
      </w:r>
      <w:r w:rsidR="008C7A69" w:rsidRPr="002C047B">
        <w:rPr>
          <w:lang w:val="fr-FR"/>
        </w:rPr>
        <w:t xml:space="preserve">excuse </w:t>
      </w:r>
      <w:r w:rsidR="000223A7" w:rsidRPr="002C047B">
        <w:rPr>
          <w:lang w:val="fr-FR"/>
        </w:rPr>
        <w:t xml:space="preserve">en cas de </w:t>
      </w:r>
      <w:r w:rsidR="008C7A69" w:rsidRPr="002C047B">
        <w:rPr>
          <w:lang w:val="fr-FR"/>
        </w:rPr>
        <w:t>retar</w:t>
      </w:r>
      <w:r w:rsidR="002635AB" w:rsidRPr="002C047B">
        <w:rPr>
          <w:lang w:val="fr-FR"/>
        </w:rPr>
        <w:t>d</w:t>
      </w:r>
      <w:r w:rsidR="008C7A69" w:rsidRPr="002C047B">
        <w:rPr>
          <w:lang w:val="fr-FR"/>
        </w:rPr>
        <w:t xml:space="preserve"> dans l</w:t>
      </w:r>
      <w:r w:rsidR="005931B4" w:rsidRPr="002C047B">
        <w:rPr>
          <w:lang w:val="fr-FR"/>
        </w:rPr>
        <w:t>’</w:t>
      </w:r>
      <w:r w:rsidR="008C7A69" w:rsidRPr="002C047B">
        <w:rPr>
          <w:lang w:val="fr-FR"/>
        </w:rPr>
        <w:t>observation d</w:t>
      </w:r>
      <w:r w:rsidR="005931B4" w:rsidRPr="002C047B">
        <w:rPr>
          <w:lang w:val="fr-FR"/>
        </w:rPr>
        <w:t>’</w:t>
      </w:r>
      <w:r w:rsidR="008C7A69" w:rsidRPr="002C047B">
        <w:rPr>
          <w:lang w:val="fr-FR"/>
        </w:rPr>
        <w:t>un délai.</w:t>
      </w:r>
      <w:r w:rsidR="00C0546F" w:rsidRPr="002C047B">
        <w:rPr>
          <w:lang w:val="fr-FR"/>
        </w:rPr>
        <w:t xml:space="preserve">  </w:t>
      </w:r>
      <w:r w:rsidR="00AF4507" w:rsidRPr="002C047B">
        <w:rPr>
          <w:lang w:val="fr-FR"/>
        </w:rPr>
        <w:t xml:space="preserve">Certains se sont </w:t>
      </w:r>
      <w:r w:rsidR="000223A7" w:rsidRPr="002C047B">
        <w:rPr>
          <w:lang w:val="fr-FR"/>
        </w:rPr>
        <w:t xml:space="preserve">déclarés favorables à </w:t>
      </w:r>
      <w:r w:rsidR="00AF4507" w:rsidRPr="002C047B">
        <w:rPr>
          <w:lang w:val="fr-FR"/>
        </w:rPr>
        <w:t>l</w:t>
      </w:r>
      <w:r w:rsidR="005931B4" w:rsidRPr="002C047B">
        <w:rPr>
          <w:lang w:val="fr-FR"/>
        </w:rPr>
        <w:t>’</w:t>
      </w:r>
      <w:r w:rsidR="00AF4507" w:rsidRPr="002C047B">
        <w:rPr>
          <w:lang w:val="fr-FR"/>
        </w:rPr>
        <w:t xml:space="preserve">ajout </w:t>
      </w:r>
      <w:r w:rsidR="000223A7" w:rsidRPr="002C047B">
        <w:rPr>
          <w:lang w:val="fr-FR"/>
        </w:rPr>
        <w:t xml:space="preserve">à </w:t>
      </w:r>
      <w:r w:rsidR="00AF4507" w:rsidRPr="002C047B">
        <w:rPr>
          <w:lang w:val="fr-FR"/>
        </w:rPr>
        <w:t>la règle</w:t>
      </w:r>
      <w:r w:rsidR="004862FB" w:rsidRPr="002C047B">
        <w:rPr>
          <w:lang w:val="fr-FR"/>
        </w:rPr>
        <w:t> </w:t>
      </w:r>
      <w:r w:rsidR="00AF4507" w:rsidRPr="002C047B">
        <w:rPr>
          <w:lang w:val="fr-FR"/>
        </w:rPr>
        <w:t>82</w:t>
      </w:r>
      <w:r w:rsidR="00AF4507" w:rsidRPr="002C047B">
        <w:rPr>
          <w:i/>
          <w:lang w:val="fr-FR"/>
        </w:rPr>
        <w:t>quater</w:t>
      </w:r>
      <w:r w:rsidR="00AF4507" w:rsidRPr="002C047B">
        <w:rPr>
          <w:lang w:val="fr-FR"/>
        </w:rPr>
        <w:t xml:space="preserve"> </w:t>
      </w:r>
      <w:r w:rsidRPr="002C047B">
        <w:rPr>
          <w:lang w:val="fr-FR"/>
        </w:rPr>
        <w:t>d’une disposition telle que celle proposée</w:t>
      </w:r>
      <w:r w:rsidR="000223A7" w:rsidRPr="002C047B">
        <w:rPr>
          <w:lang w:val="fr-FR"/>
        </w:rPr>
        <w:t xml:space="preserve"> dans le document PCT/WG/7/24 ou</w:t>
      </w:r>
      <w:r w:rsidR="00AF4507" w:rsidRPr="002C047B">
        <w:rPr>
          <w:lang w:val="fr-FR"/>
        </w:rPr>
        <w:t xml:space="preserve"> avec un libellé différent pour </w:t>
      </w:r>
      <w:r w:rsidRPr="002C047B">
        <w:rPr>
          <w:lang w:val="fr-FR"/>
        </w:rPr>
        <w:t>en préciser</w:t>
      </w:r>
      <w:r w:rsidR="00AF4507" w:rsidRPr="002C047B">
        <w:rPr>
          <w:lang w:val="fr-FR"/>
        </w:rPr>
        <w:t xml:space="preserve"> la portée.</w:t>
      </w:r>
      <w:r w:rsidR="000326FB" w:rsidRPr="002C047B">
        <w:rPr>
          <w:lang w:val="fr-FR"/>
        </w:rPr>
        <w:t xml:space="preserve">  </w:t>
      </w:r>
      <w:r w:rsidR="0005511D" w:rsidRPr="002C047B">
        <w:rPr>
          <w:lang w:val="fr-FR"/>
        </w:rPr>
        <w:t>Quelques</w:t>
      </w:r>
      <w:r w:rsidR="00006009" w:rsidRPr="002C047B">
        <w:rPr>
          <w:szCs w:val="22"/>
          <w:lang w:val="fr-FR"/>
        </w:rPr>
        <w:noBreakHyphen/>
      </w:r>
      <w:r w:rsidR="0086675F" w:rsidRPr="002C047B">
        <w:rPr>
          <w:szCs w:val="22"/>
          <w:lang w:val="fr-FR"/>
        </w:rPr>
        <w:t>uns</w:t>
      </w:r>
      <w:r w:rsidR="0086675F" w:rsidRPr="002C047B">
        <w:rPr>
          <w:lang w:val="fr-FR"/>
        </w:rPr>
        <w:t xml:space="preserve"> </w:t>
      </w:r>
      <w:r w:rsidR="0005511D" w:rsidRPr="002C047B">
        <w:rPr>
          <w:lang w:val="fr-FR"/>
        </w:rPr>
        <w:t xml:space="preserve">ont toutefois considéré que, </w:t>
      </w:r>
      <w:r w:rsidR="000223A7" w:rsidRPr="002C047B">
        <w:rPr>
          <w:lang w:val="fr-FR"/>
        </w:rPr>
        <w:t>si</w:t>
      </w:r>
      <w:r w:rsidRPr="002C047B">
        <w:rPr>
          <w:lang w:val="fr-FR"/>
        </w:rPr>
        <w:t xml:space="preserve"> el</w:t>
      </w:r>
      <w:r w:rsidR="000223A7" w:rsidRPr="002C047B">
        <w:rPr>
          <w:lang w:val="fr-FR"/>
        </w:rPr>
        <w:t>l</w:t>
      </w:r>
      <w:r w:rsidRPr="002C047B">
        <w:rPr>
          <w:lang w:val="fr-FR"/>
        </w:rPr>
        <w:t>e</w:t>
      </w:r>
      <w:r w:rsidR="000223A7" w:rsidRPr="002C047B">
        <w:rPr>
          <w:lang w:val="fr-FR"/>
        </w:rPr>
        <w:t xml:space="preserve"> </w:t>
      </w:r>
      <w:r w:rsidRPr="002C047B">
        <w:rPr>
          <w:lang w:val="fr-FR"/>
        </w:rPr>
        <w:t>dev</w:t>
      </w:r>
      <w:r w:rsidR="000223A7" w:rsidRPr="002C047B">
        <w:rPr>
          <w:lang w:val="fr-FR"/>
        </w:rPr>
        <w:t>ait</w:t>
      </w:r>
      <w:r w:rsidRPr="002C047B">
        <w:rPr>
          <w:lang w:val="fr-FR"/>
        </w:rPr>
        <w:t xml:space="preserve"> être</w:t>
      </w:r>
      <w:r w:rsidR="000223A7" w:rsidRPr="002C047B">
        <w:rPr>
          <w:lang w:val="fr-FR"/>
        </w:rPr>
        <w:t xml:space="preserve"> ajout</w:t>
      </w:r>
      <w:r w:rsidRPr="002C047B">
        <w:rPr>
          <w:lang w:val="fr-FR"/>
        </w:rPr>
        <w:t>é</w:t>
      </w:r>
      <w:r w:rsidR="000223A7" w:rsidRPr="002C047B">
        <w:rPr>
          <w:lang w:val="fr-FR"/>
        </w:rPr>
        <w:t>e</w:t>
      </w:r>
      <w:r w:rsidR="0005511D" w:rsidRPr="002C047B">
        <w:rPr>
          <w:lang w:val="fr-FR"/>
        </w:rPr>
        <w:t xml:space="preserve"> </w:t>
      </w:r>
      <w:r w:rsidR="00C258E1" w:rsidRPr="002C047B">
        <w:rPr>
          <w:lang w:val="fr-FR"/>
        </w:rPr>
        <w:t xml:space="preserve">à la liste des motifs d’excuse en cas de retard dans l’observation d’un délai, </w:t>
      </w:r>
      <w:r w:rsidR="0005511D" w:rsidRPr="002C047B">
        <w:rPr>
          <w:lang w:val="fr-FR"/>
        </w:rPr>
        <w:t>l</w:t>
      </w:r>
      <w:r w:rsidR="005931B4" w:rsidRPr="002C047B">
        <w:rPr>
          <w:lang w:val="fr-FR"/>
        </w:rPr>
        <w:t>’</w:t>
      </w:r>
      <w:r w:rsidR="0005511D" w:rsidRPr="002C047B">
        <w:rPr>
          <w:lang w:val="fr-FR"/>
        </w:rPr>
        <w:t>interruption des services de communication électronique dev</w:t>
      </w:r>
      <w:r w:rsidR="00C258E1" w:rsidRPr="002C047B">
        <w:rPr>
          <w:lang w:val="fr-FR"/>
        </w:rPr>
        <w:t>r</w:t>
      </w:r>
      <w:r w:rsidR="0005511D" w:rsidRPr="002C047B">
        <w:rPr>
          <w:lang w:val="fr-FR"/>
        </w:rPr>
        <w:t>ait faire l</w:t>
      </w:r>
      <w:r w:rsidR="005931B4" w:rsidRPr="002C047B">
        <w:rPr>
          <w:lang w:val="fr-FR"/>
        </w:rPr>
        <w:t>’</w:t>
      </w:r>
      <w:r w:rsidR="0005511D" w:rsidRPr="002C047B">
        <w:rPr>
          <w:lang w:val="fr-FR"/>
        </w:rPr>
        <w:t>objet d</w:t>
      </w:r>
      <w:r w:rsidR="005931B4" w:rsidRPr="002C047B">
        <w:rPr>
          <w:lang w:val="fr-FR"/>
        </w:rPr>
        <w:t>’</w:t>
      </w:r>
      <w:r w:rsidR="0005511D" w:rsidRPr="002C047B">
        <w:rPr>
          <w:lang w:val="fr-FR"/>
        </w:rPr>
        <w:t>une disposition distincte.</w:t>
      </w:r>
      <w:r w:rsidR="00E04FCB" w:rsidRPr="002C047B">
        <w:rPr>
          <w:lang w:val="fr-FR"/>
        </w:rPr>
        <w:t xml:space="preserve">  </w:t>
      </w:r>
      <w:r w:rsidR="0005511D" w:rsidRPr="002C047B">
        <w:rPr>
          <w:lang w:val="fr-FR"/>
        </w:rPr>
        <w:t xml:space="preserve">Cela permettrait de </w:t>
      </w:r>
      <w:r w:rsidR="00F24492" w:rsidRPr="002C047B">
        <w:rPr>
          <w:lang w:val="fr-FR"/>
        </w:rPr>
        <w:t>faire la distinction entre</w:t>
      </w:r>
      <w:r w:rsidR="00C258E1" w:rsidRPr="002C047B">
        <w:rPr>
          <w:lang w:val="fr-FR"/>
        </w:rPr>
        <w:t xml:space="preserve"> une </w:t>
      </w:r>
      <w:r w:rsidR="0005511D" w:rsidRPr="002C047B">
        <w:rPr>
          <w:lang w:val="fr-FR"/>
        </w:rPr>
        <w:t>interruption d</w:t>
      </w:r>
      <w:r w:rsidR="00C258E1" w:rsidRPr="002C047B">
        <w:rPr>
          <w:lang w:val="fr-FR"/>
        </w:rPr>
        <w:t>e</w:t>
      </w:r>
      <w:r w:rsidR="0005511D" w:rsidRPr="002C047B">
        <w:rPr>
          <w:lang w:val="fr-FR"/>
        </w:rPr>
        <w:t xml:space="preserve"> service qui peut </w:t>
      </w:r>
      <w:r w:rsidR="00F24492" w:rsidRPr="002C047B">
        <w:rPr>
          <w:lang w:val="fr-FR"/>
        </w:rPr>
        <w:t>n</w:t>
      </w:r>
      <w:r w:rsidR="005931B4" w:rsidRPr="002C047B">
        <w:rPr>
          <w:lang w:val="fr-FR"/>
        </w:rPr>
        <w:t>’</w:t>
      </w:r>
      <w:r w:rsidR="00C258E1" w:rsidRPr="002C047B">
        <w:rPr>
          <w:lang w:val="fr-FR"/>
        </w:rPr>
        <w:t>affecter qu’</w:t>
      </w:r>
      <w:r w:rsidR="0005511D" w:rsidRPr="002C047B">
        <w:rPr>
          <w:lang w:val="fr-FR"/>
        </w:rPr>
        <w:t xml:space="preserve">un </w:t>
      </w:r>
      <w:r w:rsidR="00C258E1" w:rsidRPr="002C047B">
        <w:rPr>
          <w:lang w:val="fr-FR"/>
        </w:rPr>
        <w:t xml:space="preserve">seul </w:t>
      </w:r>
      <w:r w:rsidR="0005511D" w:rsidRPr="002C047B">
        <w:rPr>
          <w:lang w:val="fr-FR"/>
        </w:rPr>
        <w:t xml:space="preserve">déposant ou mandataire </w:t>
      </w:r>
      <w:r w:rsidR="00C258E1" w:rsidRPr="002C047B">
        <w:rPr>
          <w:lang w:val="fr-FR"/>
        </w:rPr>
        <w:t>déterminé</w:t>
      </w:r>
      <w:r w:rsidR="0005511D" w:rsidRPr="002C047B">
        <w:rPr>
          <w:lang w:val="fr-FR"/>
        </w:rPr>
        <w:t xml:space="preserve"> </w:t>
      </w:r>
      <w:r w:rsidR="00F24492" w:rsidRPr="002C047B">
        <w:rPr>
          <w:lang w:val="fr-FR"/>
        </w:rPr>
        <w:t>et</w:t>
      </w:r>
      <w:r w:rsidR="0005511D" w:rsidRPr="002C047B">
        <w:rPr>
          <w:lang w:val="fr-FR"/>
        </w:rPr>
        <w:t xml:space="preserve"> </w:t>
      </w:r>
      <w:r w:rsidR="00276A0A" w:rsidRPr="002C047B">
        <w:rPr>
          <w:lang w:val="fr-FR"/>
        </w:rPr>
        <w:t xml:space="preserve">certains </w:t>
      </w:r>
      <w:r w:rsidR="0005511D" w:rsidRPr="002C047B">
        <w:rPr>
          <w:lang w:val="fr-FR"/>
        </w:rPr>
        <w:t>des événements plus graves énumérés à la règle</w:t>
      </w:r>
      <w:r w:rsidR="004862FB" w:rsidRPr="002C047B">
        <w:rPr>
          <w:lang w:val="fr-FR"/>
        </w:rPr>
        <w:t> </w:t>
      </w:r>
      <w:r w:rsidR="0005511D" w:rsidRPr="002C047B">
        <w:rPr>
          <w:lang w:val="fr-FR"/>
        </w:rPr>
        <w:t>82</w:t>
      </w:r>
      <w:r w:rsidR="0005511D" w:rsidRPr="002C047B">
        <w:rPr>
          <w:i/>
          <w:lang w:val="fr-FR"/>
        </w:rPr>
        <w:t>quater</w:t>
      </w:r>
      <w:r w:rsidR="0005511D" w:rsidRPr="002C047B">
        <w:rPr>
          <w:lang w:val="fr-FR"/>
        </w:rPr>
        <w:t xml:space="preserve">, </w:t>
      </w:r>
      <w:r w:rsidR="00C258E1" w:rsidRPr="002C047B">
        <w:rPr>
          <w:lang w:val="fr-FR"/>
        </w:rPr>
        <w:t>qui toucherai</w:t>
      </w:r>
      <w:r w:rsidR="00A27794" w:rsidRPr="002C047B">
        <w:rPr>
          <w:lang w:val="fr-FR"/>
        </w:rPr>
        <w:t>en</w:t>
      </w:r>
      <w:r w:rsidR="00C258E1" w:rsidRPr="002C047B">
        <w:rPr>
          <w:lang w:val="fr-FR"/>
        </w:rPr>
        <w:t xml:space="preserve">t le grand </w:t>
      </w:r>
      <w:r w:rsidR="00276A0A" w:rsidRPr="002C047B">
        <w:rPr>
          <w:lang w:val="fr-FR"/>
        </w:rPr>
        <w:t>public</w:t>
      </w:r>
      <w:r w:rsidR="0005511D" w:rsidRPr="002C047B">
        <w:rPr>
          <w:lang w:val="fr-FR"/>
        </w:rPr>
        <w:t>.</w:t>
      </w:r>
    </w:p>
    <w:p w:rsidR="00DE4EAF" w:rsidRPr="002C047B" w:rsidRDefault="001201BE" w:rsidP="002C047B">
      <w:pPr>
        <w:pStyle w:val="ONUMFS"/>
        <w:rPr>
          <w:lang w:val="fr-FR"/>
        </w:rPr>
      </w:pPr>
      <w:r w:rsidRPr="002C047B">
        <w:rPr>
          <w:lang w:val="fr-FR"/>
        </w:rPr>
        <w:t>Quelques offices n</w:t>
      </w:r>
      <w:r w:rsidR="005931B4" w:rsidRPr="002C047B">
        <w:rPr>
          <w:lang w:val="fr-FR"/>
        </w:rPr>
        <w:t>’</w:t>
      </w:r>
      <w:r w:rsidRPr="002C047B">
        <w:rPr>
          <w:lang w:val="fr-FR"/>
        </w:rPr>
        <w:t>ont pas appuyé la proposition tendant à ajouter l</w:t>
      </w:r>
      <w:r w:rsidR="005931B4" w:rsidRPr="002C047B">
        <w:rPr>
          <w:lang w:val="fr-FR"/>
        </w:rPr>
        <w:t>’</w:t>
      </w:r>
      <w:r w:rsidRPr="002C047B">
        <w:rPr>
          <w:lang w:val="fr-FR"/>
        </w:rPr>
        <w:t>interruption des services de communication électronique à la liste des motifs permettant à un office d</w:t>
      </w:r>
      <w:r w:rsidR="005931B4" w:rsidRPr="002C047B">
        <w:rPr>
          <w:lang w:val="fr-FR"/>
        </w:rPr>
        <w:t>’</w:t>
      </w:r>
      <w:r w:rsidRPr="002C047B">
        <w:rPr>
          <w:lang w:val="fr-FR"/>
        </w:rPr>
        <w:t>excuser un retard dans l</w:t>
      </w:r>
      <w:r w:rsidR="005931B4" w:rsidRPr="002C047B">
        <w:rPr>
          <w:lang w:val="fr-FR"/>
        </w:rPr>
        <w:t>’</w:t>
      </w:r>
      <w:r w:rsidRPr="002C047B">
        <w:rPr>
          <w:lang w:val="fr-FR"/>
        </w:rPr>
        <w:t>observation d</w:t>
      </w:r>
      <w:r w:rsidR="005931B4" w:rsidRPr="002C047B">
        <w:rPr>
          <w:lang w:val="fr-FR"/>
        </w:rPr>
        <w:t>’</w:t>
      </w:r>
      <w:r w:rsidRPr="002C047B">
        <w:rPr>
          <w:lang w:val="fr-FR"/>
        </w:rPr>
        <w:t>un délai.</w:t>
      </w:r>
      <w:r w:rsidR="00D90680" w:rsidRPr="002C047B">
        <w:rPr>
          <w:lang w:val="fr-FR"/>
        </w:rPr>
        <w:t xml:space="preserve">  </w:t>
      </w:r>
      <w:r w:rsidR="00F24492" w:rsidRPr="002C047B">
        <w:rPr>
          <w:lang w:val="fr-FR"/>
        </w:rPr>
        <w:t xml:space="preserve">Ils </w:t>
      </w:r>
      <w:r w:rsidR="00276A0A" w:rsidRPr="002C047B">
        <w:rPr>
          <w:lang w:val="fr-FR"/>
        </w:rPr>
        <w:t>estimaient</w:t>
      </w:r>
      <w:r w:rsidR="004761EA" w:rsidRPr="002C047B">
        <w:rPr>
          <w:lang w:val="fr-FR"/>
        </w:rPr>
        <w:t xml:space="preserve"> que le libellé actuel de la règle</w:t>
      </w:r>
      <w:r w:rsidR="004862FB" w:rsidRPr="002C047B">
        <w:rPr>
          <w:lang w:val="fr-FR"/>
        </w:rPr>
        <w:t> </w:t>
      </w:r>
      <w:r w:rsidR="004761EA" w:rsidRPr="002C047B">
        <w:rPr>
          <w:lang w:val="fr-FR"/>
        </w:rPr>
        <w:t>82</w:t>
      </w:r>
      <w:r w:rsidR="004761EA" w:rsidRPr="002C047B">
        <w:rPr>
          <w:i/>
          <w:lang w:val="fr-FR"/>
        </w:rPr>
        <w:t>quater</w:t>
      </w:r>
      <w:r w:rsidR="004761EA" w:rsidRPr="002C047B">
        <w:rPr>
          <w:lang w:val="fr-FR"/>
        </w:rPr>
        <w:t>.1.a)</w:t>
      </w:r>
      <w:r w:rsidR="005931B4" w:rsidRPr="002C047B">
        <w:rPr>
          <w:lang w:val="fr-FR"/>
        </w:rPr>
        <w:t xml:space="preserve"> – </w:t>
      </w:r>
      <w:r w:rsidR="004761EA" w:rsidRPr="002C047B">
        <w:rPr>
          <w:lang w:val="fr-FR"/>
        </w:rPr>
        <w:t>“ou d</w:t>
      </w:r>
      <w:r w:rsidR="005931B4" w:rsidRPr="002C047B">
        <w:rPr>
          <w:lang w:val="fr-FR"/>
        </w:rPr>
        <w:t>’</w:t>
      </w:r>
      <w:r w:rsidR="004761EA" w:rsidRPr="002C047B">
        <w:rPr>
          <w:lang w:val="fr-FR"/>
        </w:rPr>
        <w:t xml:space="preserve">autres raisons semblables, dans la localité où la partie intéressée </w:t>
      </w:r>
      <w:proofErr w:type="spellStart"/>
      <w:r w:rsidR="004761EA" w:rsidRPr="002C047B">
        <w:rPr>
          <w:lang w:val="fr-FR"/>
        </w:rPr>
        <w:t>a</w:t>
      </w:r>
      <w:proofErr w:type="spellEnd"/>
      <w:r w:rsidR="004761EA" w:rsidRPr="002C047B">
        <w:rPr>
          <w:lang w:val="fr-FR"/>
        </w:rPr>
        <w:t xml:space="preserve"> son domicile”</w:t>
      </w:r>
      <w:r w:rsidR="005931B4" w:rsidRPr="002C047B">
        <w:rPr>
          <w:lang w:val="fr-FR"/>
        </w:rPr>
        <w:t xml:space="preserve"> – </w:t>
      </w:r>
      <w:r w:rsidR="004761EA" w:rsidRPr="002C047B">
        <w:rPr>
          <w:lang w:val="fr-FR"/>
        </w:rPr>
        <w:t>permettait aux offices d</w:t>
      </w:r>
      <w:r w:rsidR="005931B4" w:rsidRPr="002C047B">
        <w:rPr>
          <w:lang w:val="fr-FR"/>
        </w:rPr>
        <w:t>’</w:t>
      </w:r>
      <w:r w:rsidR="004761EA" w:rsidRPr="002C047B">
        <w:rPr>
          <w:lang w:val="fr-FR"/>
        </w:rPr>
        <w:t>excuser un retard dans l</w:t>
      </w:r>
      <w:r w:rsidR="005931B4" w:rsidRPr="002C047B">
        <w:rPr>
          <w:lang w:val="fr-FR"/>
        </w:rPr>
        <w:t>’</w:t>
      </w:r>
      <w:r w:rsidR="004761EA" w:rsidRPr="002C047B">
        <w:rPr>
          <w:lang w:val="fr-FR"/>
        </w:rPr>
        <w:t>observation d</w:t>
      </w:r>
      <w:r w:rsidR="005931B4" w:rsidRPr="002C047B">
        <w:rPr>
          <w:lang w:val="fr-FR"/>
        </w:rPr>
        <w:t>’</w:t>
      </w:r>
      <w:r w:rsidR="004761EA" w:rsidRPr="002C047B">
        <w:rPr>
          <w:lang w:val="fr-FR"/>
        </w:rPr>
        <w:t>un délai lorsque</w:t>
      </w:r>
      <w:r w:rsidR="00F24492" w:rsidRPr="002C047B">
        <w:rPr>
          <w:lang w:val="fr-FR"/>
        </w:rPr>
        <w:t xml:space="preserve"> les services de communication</w:t>
      </w:r>
      <w:r w:rsidR="004761EA" w:rsidRPr="002C047B">
        <w:rPr>
          <w:lang w:val="fr-FR"/>
        </w:rPr>
        <w:t xml:space="preserve"> électronique étaient indisponibles.</w:t>
      </w:r>
    </w:p>
    <w:p w:rsidR="00DE4EAF" w:rsidRPr="002C047B" w:rsidRDefault="004761EA" w:rsidP="002C047B">
      <w:pPr>
        <w:pStyle w:val="Heading1"/>
      </w:pPr>
      <w:r w:rsidRPr="002C047B">
        <w:t>Proposition</w:t>
      </w:r>
    </w:p>
    <w:p w:rsidR="00DE4EAF" w:rsidRPr="002C047B" w:rsidRDefault="004761EA" w:rsidP="002C047B">
      <w:pPr>
        <w:pStyle w:val="Heading3"/>
      </w:pPr>
      <w:r w:rsidRPr="002C047B">
        <w:t>Prorogation d</w:t>
      </w:r>
      <w:r w:rsidR="005931B4" w:rsidRPr="002C047B">
        <w:t>’</w:t>
      </w:r>
      <w:r w:rsidRPr="002C047B">
        <w:t xml:space="preserve">un délai pour </w:t>
      </w:r>
      <w:r w:rsidR="00C258E1" w:rsidRPr="002C047B">
        <w:t>cause d’</w:t>
      </w:r>
      <w:r w:rsidRPr="002C047B">
        <w:t>indisponibilité des systèmes de communication électronique d</w:t>
      </w:r>
      <w:r w:rsidR="005931B4" w:rsidRPr="002C047B">
        <w:t>’</w:t>
      </w:r>
      <w:r w:rsidRPr="002C047B">
        <w:t>un office</w:t>
      </w:r>
    </w:p>
    <w:p w:rsidR="00DE4EAF" w:rsidRPr="002C047B" w:rsidRDefault="009658E7" w:rsidP="002C047B">
      <w:pPr>
        <w:pStyle w:val="ONUMFS"/>
        <w:rPr>
          <w:lang w:val="fr-FR"/>
        </w:rPr>
      </w:pPr>
      <w:r w:rsidRPr="002C047B">
        <w:rPr>
          <w:lang w:val="fr-FR"/>
        </w:rPr>
        <w:t>Si la plupart des offices ayant répon</w:t>
      </w:r>
      <w:r w:rsidR="00F24492" w:rsidRPr="002C047B">
        <w:rPr>
          <w:lang w:val="fr-FR"/>
        </w:rPr>
        <w:t>du à la circulaire C.</w:t>
      </w:r>
      <w:r w:rsidR="004862FB" w:rsidRPr="002C047B">
        <w:rPr>
          <w:lang w:val="fr-FR"/>
        </w:rPr>
        <w:t> </w:t>
      </w:r>
      <w:r w:rsidR="00F24492" w:rsidRPr="002C047B">
        <w:rPr>
          <w:lang w:val="fr-FR"/>
        </w:rPr>
        <w:t>PCT</w:t>
      </w:r>
      <w:r w:rsidR="00006009" w:rsidRPr="002C047B">
        <w:rPr>
          <w:lang w:val="fr-FR"/>
        </w:rPr>
        <w:t> </w:t>
      </w:r>
      <w:r w:rsidR="00F24492" w:rsidRPr="002C047B">
        <w:rPr>
          <w:lang w:val="fr-FR"/>
        </w:rPr>
        <w:t xml:space="preserve">1433 </w:t>
      </w:r>
      <w:r w:rsidRPr="002C047B">
        <w:rPr>
          <w:lang w:val="fr-FR"/>
        </w:rPr>
        <w:t xml:space="preserve">ont </w:t>
      </w:r>
      <w:r w:rsidR="00F24492" w:rsidRPr="002C047B">
        <w:rPr>
          <w:lang w:val="fr-FR"/>
        </w:rPr>
        <w:t xml:space="preserve">admis </w:t>
      </w:r>
      <w:r w:rsidRPr="002C047B">
        <w:rPr>
          <w:lang w:val="fr-FR"/>
        </w:rPr>
        <w:t>qu</w:t>
      </w:r>
      <w:r w:rsidR="005931B4" w:rsidRPr="002C047B">
        <w:rPr>
          <w:lang w:val="fr-FR"/>
        </w:rPr>
        <w:t>’</w:t>
      </w:r>
      <w:r w:rsidRPr="002C047B">
        <w:rPr>
          <w:lang w:val="fr-FR"/>
        </w:rPr>
        <w:t>il devait être possible pour un office de proroger tous les délais expirant un jour où les systèmes de communication électronique de l</w:t>
      </w:r>
      <w:r w:rsidR="005931B4" w:rsidRPr="002C047B">
        <w:rPr>
          <w:lang w:val="fr-FR"/>
        </w:rPr>
        <w:t>’</w:t>
      </w:r>
      <w:r w:rsidRPr="002C047B">
        <w:rPr>
          <w:lang w:val="fr-FR"/>
        </w:rPr>
        <w:t>office pour la réception des documents ont connu une interruption d</w:t>
      </w:r>
      <w:r w:rsidR="005931B4" w:rsidRPr="002C047B">
        <w:rPr>
          <w:lang w:val="fr-FR"/>
        </w:rPr>
        <w:t>’</w:t>
      </w:r>
      <w:r w:rsidRPr="002C047B">
        <w:rPr>
          <w:lang w:val="fr-FR"/>
        </w:rPr>
        <w:t>une durée significative, ils n</w:t>
      </w:r>
      <w:r w:rsidR="005931B4" w:rsidRPr="002C047B">
        <w:rPr>
          <w:lang w:val="fr-FR"/>
        </w:rPr>
        <w:t>’</w:t>
      </w:r>
      <w:r w:rsidRPr="002C047B">
        <w:rPr>
          <w:lang w:val="fr-FR"/>
        </w:rPr>
        <w:t>étaient pas favorables à l</w:t>
      </w:r>
      <w:r w:rsidR="005931B4" w:rsidRPr="002C047B">
        <w:rPr>
          <w:lang w:val="fr-FR"/>
        </w:rPr>
        <w:t>’</w:t>
      </w:r>
      <w:r w:rsidRPr="002C047B">
        <w:rPr>
          <w:lang w:val="fr-FR"/>
        </w:rPr>
        <w:t>introduction dans le règlement d</w:t>
      </w:r>
      <w:r w:rsidR="005931B4" w:rsidRPr="002C047B">
        <w:rPr>
          <w:lang w:val="fr-FR"/>
        </w:rPr>
        <w:t>’</w:t>
      </w:r>
      <w:r w:rsidRPr="002C047B">
        <w:rPr>
          <w:lang w:val="fr-FR"/>
        </w:rPr>
        <w:t>exécution</w:t>
      </w:r>
      <w:r w:rsidR="005931B4" w:rsidRPr="002C047B">
        <w:rPr>
          <w:lang w:val="fr-FR"/>
        </w:rPr>
        <w:t xml:space="preserve"> du PCT</w:t>
      </w:r>
      <w:r w:rsidRPr="002C047B">
        <w:rPr>
          <w:lang w:val="fr-FR"/>
        </w:rPr>
        <w:t xml:space="preserve"> d</w:t>
      </w:r>
      <w:r w:rsidR="005931B4" w:rsidRPr="002C047B">
        <w:rPr>
          <w:lang w:val="fr-FR"/>
        </w:rPr>
        <w:t>’</w:t>
      </w:r>
      <w:r w:rsidRPr="002C047B">
        <w:rPr>
          <w:lang w:val="fr-FR"/>
        </w:rPr>
        <w:t xml:space="preserve">une disposition prévoyant une prorogation automatique </w:t>
      </w:r>
      <w:r w:rsidR="00276A0A" w:rsidRPr="002C047B">
        <w:rPr>
          <w:lang w:val="fr-FR"/>
        </w:rPr>
        <w:t xml:space="preserve">de délai </w:t>
      </w:r>
      <w:r w:rsidRPr="002C047B">
        <w:rPr>
          <w:lang w:val="fr-FR"/>
        </w:rPr>
        <w:t>lorsque la durée de l</w:t>
      </w:r>
      <w:r w:rsidR="005931B4" w:rsidRPr="002C047B">
        <w:rPr>
          <w:lang w:val="fr-FR"/>
        </w:rPr>
        <w:t>’</w:t>
      </w:r>
      <w:r w:rsidR="00276A0A" w:rsidRPr="002C047B">
        <w:rPr>
          <w:lang w:val="fr-FR"/>
        </w:rPr>
        <w:t>interruption</w:t>
      </w:r>
      <w:r w:rsidRPr="002C047B">
        <w:rPr>
          <w:lang w:val="fr-FR"/>
        </w:rPr>
        <w:t xml:space="preserve"> excédait un seuil défini à un moment donné de la journée.</w:t>
      </w:r>
      <w:r w:rsidR="0032125B">
        <w:rPr>
          <w:lang w:val="fr-FR"/>
        </w:rPr>
        <w:t xml:space="preserve"> </w:t>
      </w:r>
      <w:r w:rsidR="00B25EAF" w:rsidRPr="002C047B">
        <w:rPr>
          <w:lang w:val="fr-FR"/>
        </w:rPr>
        <w:t xml:space="preserve"> </w:t>
      </w:r>
      <w:r w:rsidR="00C258E1" w:rsidRPr="002C047B">
        <w:rPr>
          <w:lang w:val="fr-FR"/>
        </w:rPr>
        <w:t>I</w:t>
      </w:r>
      <w:r w:rsidR="00276A0A" w:rsidRPr="002C047B">
        <w:rPr>
          <w:lang w:val="fr-FR"/>
        </w:rPr>
        <w:t>ls préf</w:t>
      </w:r>
      <w:r w:rsidR="00C258E1" w:rsidRPr="002C047B">
        <w:rPr>
          <w:lang w:val="fr-FR"/>
        </w:rPr>
        <w:t>è</w:t>
      </w:r>
      <w:r w:rsidR="00276A0A" w:rsidRPr="002C047B">
        <w:rPr>
          <w:lang w:val="fr-FR"/>
        </w:rPr>
        <w:t xml:space="preserve">rent que </w:t>
      </w:r>
      <w:r w:rsidR="0037745F" w:rsidRPr="002C047B">
        <w:rPr>
          <w:lang w:val="fr-FR"/>
        </w:rPr>
        <w:t>l</w:t>
      </w:r>
      <w:r w:rsidR="005931B4" w:rsidRPr="002C047B">
        <w:rPr>
          <w:lang w:val="fr-FR"/>
        </w:rPr>
        <w:t>’</w:t>
      </w:r>
      <w:r w:rsidR="0037745F" w:rsidRPr="002C047B">
        <w:rPr>
          <w:lang w:val="fr-FR"/>
        </w:rPr>
        <w:t xml:space="preserve">office concerné par le problème </w:t>
      </w:r>
      <w:r w:rsidR="00276A0A" w:rsidRPr="002C047B">
        <w:rPr>
          <w:lang w:val="fr-FR"/>
        </w:rPr>
        <w:t xml:space="preserve">prenne la </w:t>
      </w:r>
      <w:r w:rsidR="0037745F" w:rsidRPr="002C047B">
        <w:rPr>
          <w:lang w:val="fr-FR"/>
        </w:rPr>
        <w:t xml:space="preserve">décision de proroger </w:t>
      </w:r>
      <w:r w:rsidR="00276A0A" w:rsidRPr="002C047B">
        <w:rPr>
          <w:lang w:val="fr-FR"/>
        </w:rPr>
        <w:t xml:space="preserve">ou non </w:t>
      </w:r>
      <w:r w:rsidR="0037745F" w:rsidRPr="002C047B">
        <w:rPr>
          <w:lang w:val="fr-FR"/>
        </w:rPr>
        <w:t xml:space="preserve">tous les délais expirant un jour </w:t>
      </w:r>
      <w:r w:rsidR="0086675F" w:rsidRPr="002C047B">
        <w:rPr>
          <w:lang w:val="fr-FR"/>
        </w:rPr>
        <w:t>particulier</w:t>
      </w:r>
      <w:r w:rsidR="0037745F" w:rsidRPr="002C047B">
        <w:rPr>
          <w:lang w:val="fr-FR"/>
        </w:rPr>
        <w:t xml:space="preserve"> </w:t>
      </w:r>
      <w:r w:rsidR="00276A0A" w:rsidRPr="002C047B">
        <w:rPr>
          <w:lang w:val="fr-FR"/>
        </w:rPr>
        <w:t>en ce qui concern</w:t>
      </w:r>
      <w:r w:rsidR="00C258E1" w:rsidRPr="002C047B">
        <w:rPr>
          <w:lang w:val="fr-FR"/>
        </w:rPr>
        <w:t>e</w:t>
      </w:r>
      <w:r w:rsidR="00276A0A" w:rsidRPr="002C047B">
        <w:rPr>
          <w:lang w:val="fr-FR"/>
        </w:rPr>
        <w:t xml:space="preserve"> les </w:t>
      </w:r>
      <w:r w:rsidR="0037745F" w:rsidRPr="002C047B">
        <w:rPr>
          <w:lang w:val="fr-FR"/>
        </w:rPr>
        <w:t>demandes internationales.</w:t>
      </w:r>
    </w:p>
    <w:p w:rsidR="005931B4" w:rsidRPr="002C047B" w:rsidRDefault="00477D03" w:rsidP="002C047B">
      <w:pPr>
        <w:pStyle w:val="ONUMFS"/>
        <w:rPr>
          <w:lang w:val="fr-FR"/>
        </w:rPr>
      </w:pPr>
      <w:r w:rsidRPr="002C047B">
        <w:rPr>
          <w:lang w:val="fr-FR"/>
        </w:rPr>
        <w:t>Ainsi qu</w:t>
      </w:r>
      <w:r w:rsidR="005931B4" w:rsidRPr="002C047B">
        <w:rPr>
          <w:lang w:val="fr-FR"/>
        </w:rPr>
        <w:t>’</w:t>
      </w:r>
      <w:r w:rsidRPr="002C047B">
        <w:rPr>
          <w:lang w:val="fr-FR"/>
        </w:rPr>
        <w:t>il ressort du parag</w:t>
      </w:r>
      <w:r w:rsidR="00276A0A" w:rsidRPr="002C047B">
        <w:rPr>
          <w:lang w:val="fr-FR"/>
        </w:rPr>
        <w:t>r</w:t>
      </w:r>
      <w:r w:rsidRPr="002C047B">
        <w:rPr>
          <w:lang w:val="fr-FR"/>
        </w:rPr>
        <w:t>aphe</w:t>
      </w:r>
      <w:r w:rsidR="004862FB" w:rsidRPr="002C047B">
        <w:rPr>
          <w:lang w:val="fr-FR"/>
        </w:rPr>
        <w:t> </w:t>
      </w:r>
      <w:r w:rsidRPr="002C047B">
        <w:rPr>
          <w:lang w:val="fr-FR"/>
        </w:rPr>
        <w:t xml:space="preserve">14, les offices </w:t>
      </w:r>
      <w:r w:rsidR="00276A0A" w:rsidRPr="002C047B">
        <w:rPr>
          <w:lang w:val="fr-FR"/>
        </w:rPr>
        <w:t>ont</w:t>
      </w:r>
      <w:r w:rsidRPr="002C047B">
        <w:rPr>
          <w:lang w:val="fr-FR"/>
        </w:rPr>
        <w:t xml:space="preserve"> déjà la possibilité, en vertu de la règle</w:t>
      </w:r>
      <w:r w:rsidR="004862FB" w:rsidRPr="002C047B">
        <w:rPr>
          <w:lang w:val="fr-FR"/>
        </w:rPr>
        <w:t> </w:t>
      </w:r>
      <w:r w:rsidRPr="002C047B">
        <w:rPr>
          <w:lang w:val="fr-FR"/>
        </w:rPr>
        <w:t>80.5)i)</w:t>
      </w:r>
      <w:r w:rsidR="00F24492" w:rsidRPr="002C047B">
        <w:rPr>
          <w:lang w:val="fr-FR"/>
        </w:rPr>
        <w:t>,</w:t>
      </w:r>
      <w:r w:rsidRPr="002C047B">
        <w:rPr>
          <w:lang w:val="fr-FR"/>
        </w:rPr>
        <w:t xml:space="preserve"> de déclarer qu</w:t>
      </w:r>
      <w:r w:rsidR="005931B4" w:rsidRPr="002C047B">
        <w:rPr>
          <w:lang w:val="fr-FR"/>
        </w:rPr>
        <w:t>’</w:t>
      </w:r>
      <w:r w:rsidRPr="002C047B">
        <w:rPr>
          <w:lang w:val="fr-FR"/>
        </w:rPr>
        <w:t xml:space="preserve">ils </w:t>
      </w:r>
      <w:r w:rsidR="00276A0A" w:rsidRPr="002C047B">
        <w:rPr>
          <w:lang w:val="fr-FR"/>
        </w:rPr>
        <w:t>ne sont</w:t>
      </w:r>
      <w:r w:rsidRPr="002C047B">
        <w:rPr>
          <w:lang w:val="fr-FR"/>
        </w:rPr>
        <w:t xml:space="preserve"> pas ouvert</w:t>
      </w:r>
      <w:r w:rsidR="00F24492" w:rsidRPr="002C047B">
        <w:rPr>
          <w:lang w:val="fr-FR"/>
        </w:rPr>
        <w:t>s</w:t>
      </w:r>
      <w:r w:rsidRPr="002C047B">
        <w:rPr>
          <w:lang w:val="fr-FR"/>
        </w:rPr>
        <w:t xml:space="preserve"> au public un jour </w:t>
      </w:r>
      <w:r w:rsidR="00F24492" w:rsidRPr="002C047B">
        <w:rPr>
          <w:lang w:val="fr-FR"/>
        </w:rPr>
        <w:t>particulier</w:t>
      </w:r>
      <w:r w:rsidRPr="002C047B">
        <w:rPr>
          <w:lang w:val="fr-FR"/>
        </w:rPr>
        <w:t xml:space="preserve"> et de proroger tous les délais expirant ce jour</w:t>
      </w:r>
      <w:r w:rsidR="00006009" w:rsidRPr="002C047B">
        <w:rPr>
          <w:lang w:val="fr-FR"/>
        </w:rPr>
        <w:noBreakHyphen/>
      </w:r>
      <w:r w:rsidRPr="002C047B">
        <w:rPr>
          <w:lang w:val="fr-FR"/>
        </w:rPr>
        <w:t>là.</w:t>
      </w:r>
      <w:r w:rsidR="0002421A" w:rsidRPr="002C047B">
        <w:rPr>
          <w:lang w:val="fr-FR"/>
        </w:rPr>
        <w:t xml:space="preserve">  </w:t>
      </w:r>
      <w:r w:rsidR="00F24492" w:rsidRPr="002C047B">
        <w:rPr>
          <w:lang w:val="fr-FR"/>
        </w:rPr>
        <w:t>D</w:t>
      </w:r>
      <w:r w:rsidR="00132BA8" w:rsidRPr="002C047B">
        <w:rPr>
          <w:lang w:val="fr-FR"/>
        </w:rPr>
        <w:t>e</w:t>
      </w:r>
      <w:r w:rsidR="00F24492" w:rsidRPr="002C047B">
        <w:rPr>
          <w:lang w:val="fr-FR"/>
        </w:rPr>
        <w:t xml:space="preserve"> </w:t>
      </w:r>
      <w:r w:rsidR="00132BA8" w:rsidRPr="002C047B">
        <w:rPr>
          <w:lang w:val="fr-FR"/>
        </w:rPr>
        <w:t xml:space="preserve">plus, les retards qui </w:t>
      </w:r>
      <w:r w:rsidR="00276A0A" w:rsidRPr="002C047B">
        <w:rPr>
          <w:lang w:val="fr-FR"/>
        </w:rPr>
        <w:t>sont</w:t>
      </w:r>
      <w:r w:rsidR="00132BA8" w:rsidRPr="002C047B">
        <w:rPr>
          <w:lang w:val="fr-FR"/>
        </w:rPr>
        <w:t xml:space="preserve"> excusés concern</w:t>
      </w:r>
      <w:r w:rsidR="00276A0A" w:rsidRPr="002C047B">
        <w:rPr>
          <w:lang w:val="fr-FR"/>
        </w:rPr>
        <w:t>an</w:t>
      </w:r>
      <w:r w:rsidR="00F24492" w:rsidRPr="002C047B">
        <w:rPr>
          <w:lang w:val="fr-FR"/>
        </w:rPr>
        <w:t>t</w:t>
      </w:r>
      <w:r w:rsidR="00132BA8" w:rsidRPr="002C047B">
        <w:rPr>
          <w:lang w:val="fr-FR"/>
        </w:rPr>
        <w:t xml:space="preserve"> des demandes nationales </w:t>
      </w:r>
      <w:r w:rsidR="00276A0A" w:rsidRPr="002C047B">
        <w:rPr>
          <w:lang w:val="fr-FR"/>
        </w:rPr>
        <w:t>doivent</w:t>
      </w:r>
      <w:r w:rsidR="00132BA8" w:rsidRPr="002C047B">
        <w:rPr>
          <w:lang w:val="fr-FR"/>
        </w:rPr>
        <w:t xml:space="preserve"> </w:t>
      </w:r>
      <w:r w:rsidR="00276A0A" w:rsidRPr="002C047B">
        <w:rPr>
          <w:lang w:val="fr-FR"/>
        </w:rPr>
        <w:t xml:space="preserve">également </w:t>
      </w:r>
      <w:r w:rsidR="00132BA8" w:rsidRPr="002C047B">
        <w:rPr>
          <w:lang w:val="fr-FR"/>
        </w:rPr>
        <w:t>l</w:t>
      </w:r>
      <w:r w:rsidR="005931B4" w:rsidRPr="002C047B">
        <w:rPr>
          <w:lang w:val="fr-FR"/>
        </w:rPr>
        <w:t>’</w:t>
      </w:r>
      <w:r w:rsidR="00132BA8" w:rsidRPr="002C047B">
        <w:rPr>
          <w:lang w:val="fr-FR"/>
        </w:rPr>
        <w:t>être pour des demandes internationales déposé</w:t>
      </w:r>
      <w:r w:rsidR="00F24492" w:rsidRPr="002C047B">
        <w:rPr>
          <w:lang w:val="fr-FR"/>
        </w:rPr>
        <w:t>e</w:t>
      </w:r>
      <w:r w:rsidR="00132BA8" w:rsidRPr="002C047B">
        <w:rPr>
          <w:lang w:val="fr-FR"/>
        </w:rPr>
        <w:t>s selon</w:t>
      </w:r>
      <w:r w:rsidR="005931B4" w:rsidRPr="002C047B">
        <w:rPr>
          <w:lang w:val="fr-FR"/>
        </w:rPr>
        <w:t xml:space="preserve"> le PCT</w:t>
      </w:r>
      <w:r w:rsidR="00132BA8" w:rsidRPr="002C047B">
        <w:rPr>
          <w:lang w:val="fr-FR"/>
        </w:rPr>
        <w:t xml:space="preserve"> lorsque les mêmes motifs </w:t>
      </w:r>
      <w:r w:rsidR="00276A0A" w:rsidRPr="002C047B">
        <w:rPr>
          <w:lang w:val="fr-FR"/>
        </w:rPr>
        <w:t>s</w:t>
      </w:r>
      <w:r w:rsidR="005931B4" w:rsidRPr="002C047B">
        <w:rPr>
          <w:lang w:val="fr-FR"/>
        </w:rPr>
        <w:t>’</w:t>
      </w:r>
      <w:r w:rsidR="00276A0A" w:rsidRPr="002C047B">
        <w:rPr>
          <w:lang w:val="fr-FR"/>
        </w:rPr>
        <w:t>appliquent</w:t>
      </w:r>
      <w:r w:rsidR="00132BA8" w:rsidRPr="002C047B">
        <w:rPr>
          <w:lang w:val="fr-FR"/>
        </w:rPr>
        <w:t>.</w:t>
      </w:r>
      <w:r w:rsidR="0002421A" w:rsidRPr="002C047B">
        <w:rPr>
          <w:lang w:val="fr-FR"/>
        </w:rPr>
        <w:t xml:space="preserve">  </w:t>
      </w:r>
      <w:r w:rsidR="0062584A" w:rsidRPr="002C047B">
        <w:rPr>
          <w:lang w:val="fr-FR"/>
        </w:rPr>
        <w:t xml:space="preserve">Le Bureau international considère que ces dispositions sont </w:t>
      </w:r>
      <w:r w:rsidR="0086675F" w:rsidRPr="002C047B">
        <w:rPr>
          <w:lang w:val="fr-FR"/>
        </w:rPr>
        <w:t>appropriées</w:t>
      </w:r>
      <w:r w:rsidR="0062584A" w:rsidRPr="002C047B">
        <w:rPr>
          <w:lang w:val="fr-FR"/>
        </w:rPr>
        <w:t xml:space="preserve"> pour permettre aux offices de proroger tous les délais expirant un jour où une perturbation </w:t>
      </w:r>
      <w:r w:rsidR="0086675F" w:rsidRPr="002C047B">
        <w:rPr>
          <w:lang w:val="fr-FR"/>
        </w:rPr>
        <w:t>importante</w:t>
      </w:r>
      <w:r w:rsidR="0062584A" w:rsidRPr="002C047B">
        <w:rPr>
          <w:lang w:val="fr-FR"/>
        </w:rPr>
        <w:t xml:space="preserve"> des systèmes de communication électronique de l</w:t>
      </w:r>
      <w:r w:rsidR="005931B4" w:rsidRPr="002C047B">
        <w:rPr>
          <w:lang w:val="fr-FR"/>
        </w:rPr>
        <w:t>’</w:t>
      </w:r>
      <w:r w:rsidR="0062584A" w:rsidRPr="002C047B">
        <w:rPr>
          <w:lang w:val="fr-FR"/>
        </w:rPr>
        <w:t>office a lieu.</w:t>
      </w:r>
      <w:r w:rsidR="0002421A" w:rsidRPr="002C047B">
        <w:rPr>
          <w:lang w:val="fr-FR"/>
        </w:rPr>
        <w:t xml:space="preserve">  </w:t>
      </w:r>
      <w:r w:rsidR="0062584A" w:rsidRPr="002C047B">
        <w:rPr>
          <w:lang w:val="fr-FR"/>
        </w:rPr>
        <w:t>Il ne serait donc pas nécessaire de modifier la règle</w:t>
      </w:r>
      <w:r w:rsidR="004862FB" w:rsidRPr="002C047B">
        <w:rPr>
          <w:lang w:val="fr-FR"/>
        </w:rPr>
        <w:t> </w:t>
      </w:r>
      <w:r w:rsidR="0062584A" w:rsidRPr="002C047B">
        <w:rPr>
          <w:lang w:val="fr-FR"/>
        </w:rPr>
        <w:t>80 sur le calcul des délais.</w:t>
      </w:r>
    </w:p>
    <w:p w:rsidR="00DE4EAF" w:rsidRPr="002C047B" w:rsidRDefault="0062584A" w:rsidP="002C047B">
      <w:pPr>
        <w:pStyle w:val="Heading3"/>
      </w:pPr>
      <w:r w:rsidRPr="002C047B">
        <w:t>Excuse de retard dans l</w:t>
      </w:r>
      <w:r w:rsidR="005931B4" w:rsidRPr="002C047B">
        <w:t>’</w:t>
      </w:r>
      <w:r w:rsidRPr="002C047B">
        <w:t>observation de délais</w:t>
      </w:r>
    </w:p>
    <w:p w:rsidR="00DE4EAF" w:rsidRPr="002C047B" w:rsidRDefault="00F769A0" w:rsidP="002C047B">
      <w:pPr>
        <w:pStyle w:val="ONUMFS"/>
        <w:rPr>
          <w:lang w:val="fr-FR"/>
        </w:rPr>
      </w:pPr>
      <w:r w:rsidRPr="002C047B">
        <w:rPr>
          <w:lang w:val="fr-FR"/>
        </w:rPr>
        <w:t xml:space="preserve">Il serait </w:t>
      </w:r>
      <w:r w:rsidR="00276A0A" w:rsidRPr="002C047B">
        <w:rPr>
          <w:lang w:val="fr-FR"/>
        </w:rPr>
        <w:t xml:space="preserve">souhaitable </w:t>
      </w:r>
      <w:r w:rsidRPr="002C047B">
        <w:rPr>
          <w:lang w:val="fr-FR"/>
        </w:rPr>
        <w:t>que les utilisateurs déposant un document par voie électronique auprès d</w:t>
      </w:r>
      <w:r w:rsidR="005931B4" w:rsidRPr="002C047B">
        <w:rPr>
          <w:lang w:val="fr-FR"/>
        </w:rPr>
        <w:t>’</w:t>
      </w:r>
      <w:r w:rsidRPr="002C047B">
        <w:rPr>
          <w:lang w:val="fr-FR"/>
        </w:rPr>
        <w:t>un office bénéficie</w:t>
      </w:r>
      <w:r w:rsidR="00276A0A" w:rsidRPr="002C047B">
        <w:rPr>
          <w:lang w:val="fr-FR"/>
        </w:rPr>
        <w:t>nt</w:t>
      </w:r>
      <w:r w:rsidRPr="002C047B">
        <w:rPr>
          <w:lang w:val="fr-FR"/>
        </w:rPr>
        <w:t xml:space="preserve"> d</w:t>
      </w:r>
      <w:r w:rsidR="005931B4" w:rsidRPr="002C047B">
        <w:rPr>
          <w:lang w:val="fr-FR"/>
        </w:rPr>
        <w:t>’</w:t>
      </w:r>
      <w:r w:rsidRPr="002C047B">
        <w:rPr>
          <w:lang w:val="fr-FR"/>
        </w:rPr>
        <w:t xml:space="preserve">une </w:t>
      </w:r>
      <w:r w:rsidR="00F24492" w:rsidRPr="002C047B">
        <w:rPr>
          <w:lang w:val="fr-FR"/>
        </w:rPr>
        <w:t>certaine</w:t>
      </w:r>
      <w:r w:rsidRPr="002C047B">
        <w:rPr>
          <w:lang w:val="fr-FR"/>
        </w:rPr>
        <w:t xml:space="preserve"> garantie en cas d</w:t>
      </w:r>
      <w:r w:rsidR="005931B4" w:rsidRPr="002C047B">
        <w:rPr>
          <w:lang w:val="fr-FR"/>
        </w:rPr>
        <w:t>’</w:t>
      </w:r>
      <w:r w:rsidRPr="002C047B">
        <w:rPr>
          <w:lang w:val="fr-FR"/>
        </w:rPr>
        <w:t xml:space="preserve">indisponibilité significative des services de communication électronique, tout comme il existe des dispositions permettant de prendre en considération </w:t>
      </w:r>
      <w:r w:rsidR="00F24492" w:rsidRPr="002C047B">
        <w:rPr>
          <w:lang w:val="fr-FR"/>
        </w:rPr>
        <w:t xml:space="preserve">les incidents survenant dans le </w:t>
      </w:r>
      <w:r w:rsidR="00276A0A" w:rsidRPr="002C047B">
        <w:rPr>
          <w:lang w:val="fr-FR"/>
        </w:rPr>
        <w:t>cadre</w:t>
      </w:r>
      <w:r w:rsidR="00F24492" w:rsidRPr="002C047B">
        <w:rPr>
          <w:lang w:val="fr-FR"/>
        </w:rPr>
        <w:t xml:space="preserve"> des</w:t>
      </w:r>
      <w:r w:rsidRPr="002C047B">
        <w:rPr>
          <w:lang w:val="fr-FR"/>
        </w:rPr>
        <w:t xml:space="preserve"> services postaux.</w:t>
      </w:r>
      <w:r w:rsidR="00E74EF8" w:rsidRPr="002C047B">
        <w:rPr>
          <w:lang w:val="fr-FR"/>
        </w:rPr>
        <w:t xml:space="preserve">  </w:t>
      </w:r>
      <w:r w:rsidR="00F24492" w:rsidRPr="002C047B">
        <w:rPr>
          <w:lang w:val="fr-FR"/>
        </w:rPr>
        <w:t>Même si</w:t>
      </w:r>
      <w:r w:rsidR="00FB11C4" w:rsidRPr="002C047B">
        <w:rPr>
          <w:lang w:val="fr-FR"/>
        </w:rPr>
        <w:t xml:space="preserve"> les offices </w:t>
      </w:r>
      <w:r w:rsidR="00276A0A" w:rsidRPr="002C047B">
        <w:rPr>
          <w:lang w:val="fr-FR"/>
        </w:rPr>
        <w:t>pe</w:t>
      </w:r>
      <w:r w:rsidR="00F24492" w:rsidRPr="002C047B">
        <w:rPr>
          <w:lang w:val="fr-FR"/>
        </w:rPr>
        <w:t xml:space="preserve">uvent </w:t>
      </w:r>
      <w:r w:rsidR="00FB11C4" w:rsidRPr="002C047B">
        <w:rPr>
          <w:lang w:val="fr-FR"/>
        </w:rPr>
        <w:t>excuser un retard dans l</w:t>
      </w:r>
      <w:r w:rsidR="005931B4" w:rsidRPr="002C047B">
        <w:rPr>
          <w:lang w:val="fr-FR"/>
        </w:rPr>
        <w:t>’</w:t>
      </w:r>
      <w:r w:rsidR="00FB11C4" w:rsidRPr="002C047B">
        <w:rPr>
          <w:lang w:val="fr-FR"/>
        </w:rPr>
        <w:t>observation de délais découlant de l</w:t>
      </w:r>
      <w:r w:rsidR="005931B4" w:rsidRPr="002C047B">
        <w:rPr>
          <w:lang w:val="fr-FR"/>
        </w:rPr>
        <w:t>’</w:t>
      </w:r>
      <w:r w:rsidR="00FB11C4" w:rsidRPr="002C047B">
        <w:rPr>
          <w:lang w:val="fr-FR"/>
        </w:rPr>
        <w:t>indisponibilité des services de communication électronique en considérant qu</w:t>
      </w:r>
      <w:r w:rsidR="005931B4" w:rsidRPr="002C047B">
        <w:rPr>
          <w:lang w:val="fr-FR"/>
        </w:rPr>
        <w:t>’</w:t>
      </w:r>
      <w:r w:rsidR="00FB11C4" w:rsidRPr="002C047B">
        <w:rPr>
          <w:lang w:val="fr-FR"/>
        </w:rPr>
        <w:t xml:space="preserve">un tel événement est </w:t>
      </w:r>
      <w:r w:rsidR="00F24492" w:rsidRPr="002C047B">
        <w:rPr>
          <w:lang w:val="fr-FR"/>
        </w:rPr>
        <w:t>couvert</w:t>
      </w:r>
      <w:r w:rsidR="00FB11C4" w:rsidRPr="002C047B">
        <w:rPr>
          <w:lang w:val="fr-FR"/>
        </w:rPr>
        <w:t xml:space="preserve"> par les “autres raisons semblables, dans la localité où la partie intéressée </w:t>
      </w:r>
      <w:proofErr w:type="spellStart"/>
      <w:r w:rsidR="00FB11C4" w:rsidRPr="002C047B">
        <w:rPr>
          <w:lang w:val="fr-FR"/>
        </w:rPr>
        <w:t>a</w:t>
      </w:r>
      <w:proofErr w:type="spellEnd"/>
      <w:r w:rsidR="00FB11C4" w:rsidRPr="002C047B">
        <w:rPr>
          <w:lang w:val="fr-FR"/>
        </w:rPr>
        <w:t xml:space="preserve"> son domicile”</w:t>
      </w:r>
      <w:r w:rsidR="0086675F" w:rsidRPr="002C047B">
        <w:rPr>
          <w:lang w:val="fr-FR"/>
        </w:rPr>
        <w:t>, prévues</w:t>
      </w:r>
      <w:r w:rsidR="00FB11C4" w:rsidRPr="002C047B">
        <w:rPr>
          <w:lang w:val="fr-FR"/>
        </w:rPr>
        <w:t xml:space="preserve"> à la règle</w:t>
      </w:r>
      <w:r w:rsidR="004862FB" w:rsidRPr="002C047B">
        <w:rPr>
          <w:lang w:val="fr-FR"/>
        </w:rPr>
        <w:t> </w:t>
      </w:r>
      <w:r w:rsidR="00FB11C4" w:rsidRPr="002C047B">
        <w:rPr>
          <w:lang w:val="fr-FR"/>
        </w:rPr>
        <w:t>82</w:t>
      </w:r>
      <w:r w:rsidR="00FB11C4" w:rsidRPr="002C047B">
        <w:rPr>
          <w:i/>
          <w:lang w:val="fr-FR"/>
        </w:rPr>
        <w:t>quater</w:t>
      </w:r>
      <w:r w:rsidR="00FB11C4" w:rsidRPr="002C047B">
        <w:rPr>
          <w:lang w:val="fr-FR"/>
        </w:rPr>
        <w:t>, le fait d</w:t>
      </w:r>
      <w:r w:rsidR="005931B4" w:rsidRPr="002C047B">
        <w:rPr>
          <w:lang w:val="fr-FR"/>
        </w:rPr>
        <w:t>’</w:t>
      </w:r>
      <w:r w:rsidR="0086675F" w:rsidRPr="002C047B">
        <w:rPr>
          <w:lang w:val="fr-FR"/>
        </w:rPr>
        <w:t xml:space="preserve">introduire </w:t>
      </w:r>
      <w:r w:rsidR="00FB11C4" w:rsidRPr="002C047B">
        <w:rPr>
          <w:lang w:val="fr-FR"/>
        </w:rPr>
        <w:t>l</w:t>
      </w:r>
      <w:r w:rsidR="005931B4" w:rsidRPr="002C047B">
        <w:rPr>
          <w:lang w:val="fr-FR"/>
        </w:rPr>
        <w:t>’</w:t>
      </w:r>
      <w:r w:rsidR="00FB11C4" w:rsidRPr="002C047B">
        <w:rPr>
          <w:lang w:val="fr-FR"/>
        </w:rPr>
        <w:t xml:space="preserve">indisponibilité des services de communication électronique dans cette règle </w:t>
      </w:r>
      <w:r w:rsidR="00F24492" w:rsidRPr="002C047B">
        <w:rPr>
          <w:lang w:val="fr-FR"/>
        </w:rPr>
        <w:t>permettrait</w:t>
      </w:r>
      <w:r w:rsidR="00FB11C4" w:rsidRPr="002C047B">
        <w:rPr>
          <w:lang w:val="fr-FR"/>
        </w:rPr>
        <w:t xml:space="preserve"> une plus grande uniformité entre les offices par </w:t>
      </w:r>
      <w:r w:rsidR="00F24492" w:rsidRPr="002C047B">
        <w:rPr>
          <w:lang w:val="fr-FR"/>
        </w:rPr>
        <w:t xml:space="preserve">rapport à la situation actuelle où les </w:t>
      </w:r>
      <w:r w:rsidR="00FB11C4" w:rsidRPr="002C047B">
        <w:rPr>
          <w:lang w:val="fr-FR"/>
        </w:rPr>
        <w:t xml:space="preserve">offices </w:t>
      </w:r>
      <w:r w:rsidR="00F24492" w:rsidRPr="002C047B">
        <w:rPr>
          <w:lang w:val="fr-FR"/>
        </w:rPr>
        <w:t>peuvent</w:t>
      </w:r>
      <w:r w:rsidR="00FB11C4" w:rsidRPr="002C047B">
        <w:rPr>
          <w:lang w:val="fr-FR"/>
        </w:rPr>
        <w:t xml:space="preserve"> décider si </w:t>
      </w:r>
      <w:r w:rsidR="0086675F" w:rsidRPr="002C047B">
        <w:rPr>
          <w:lang w:val="fr-FR"/>
        </w:rPr>
        <w:t>cet événement</w:t>
      </w:r>
      <w:r w:rsidR="00FB11C4" w:rsidRPr="002C047B">
        <w:rPr>
          <w:lang w:val="fr-FR"/>
        </w:rPr>
        <w:t xml:space="preserve"> peut</w:t>
      </w:r>
      <w:r w:rsidR="0086675F" w:rsidRPr="002C047B">
        <w:rPr>
          <w:lang w:val="fr-FR"/>
        </w:rPr>
        <w:t xml:space="preserve"> ou non être pris</w:t>
      </w:r>
      <w:r w:rsidR="00FB11C4" w:rsidRPr="002C047B">
        <w:rPr>
          <w:lang w:val="fr-FR"/>
        </w:rPr>
        <w:t xml:space="preserve"> en considération au titre de cette règle.</w:t>
      </w:r>
    </w:p>
    <w:p w:rsidR="00DE4EAF" w:rsidRPr="002C047B" w:rsidRDefault="00112AFE" w:rsidP="002C047B">
      <w:pPr>
        <w:pStyle w:val="ONUMFS"/>
        <w:rPr>
          <w:lang w:val="fr-FR"/>
        </w:rPr>
      </w:pPr>
      <w:r w:rsidRPr="002C047B">
        <w:rPr>
          <w:lang w:val="fr-FR"/>
        </w:rPr>
        <w:lastRenderedPageBreak/>
        <w:t>Par conséquent, le Bureau international propose d</w:t>
      </w:r>
      <w:r w:rsidR="005931B4" w:rsidRPr="002C047B">
        <w:rPr>
          <w:lang w:val="fr-FR"/>
        </w:rPr>
        <w:t>’</w:t>
      </w:r>
      <w:r w:rsidRPr="002C047B">
        <w:rPr>
          <w:lang w:val="fr-FR"/>
        </w:rPr>
        <w:t>ajouter l</w:t>
      </w:r>
      <w:r w:rsidR="005931B4" w:rsidRPr="002C047B">
        <w:rPr>
          <w:lang w:val="fr-FR"/>
        </w:rPr>
        <w:t>’</w:t>
      </w:r>
      <w:r w:rsidRPr="002C047B">
        <w:rPr>
          <w:lang w:val="fr-FR"/>
        </w:rPr>
        <w:t xml:space="preserve">indisponibilité des services de communication électronique </w:t>
      </w:r>
      <w:r w:rsidR="00276A0A" w:rsidRPr="002C047B">
        <w:rPr>
          <w:lang w:val="fr-FR"/>
        </w:rPr>
        <w:t>à la liste des</w:t>
      </w:r>
      <w:r w:rsidRPr="002C047B">
        <w:rPr>
          <w:lang w:val="fr-FR"/>
        </w:rPr>
        <w:t xml:space="preserve"> raisons énoncées à la règle</w:t>
      </w:r>
      <w:r w:rsidR="004862FB" w:rsidRPr="002C047B">
        <w:rPr>
          <w:lang w:val="fr-FR"/>
        </w:rPr>
        <w:t> </w:t>
      </w:r>
      <w:r w:rsidRPr="002C047B">
        <w:rPr>
          <w:lang w:val="fr-FR"/>
        </w:rPr>
        <w:t>82</w:t>
      </w:r>
      <w:r w:rsidRPr="002C047B">
        <w:rPr>
          <w:i/>
          <w:lang w:val="fr-FR"/>
        </w:rPr>
        <w:t>quater</w:t>
      </w:r>
      <w:r w:rsidRPr="002C047B">
        <w:rPr>
          <w:lang w:val="fr-FR"/>
        </w:rPr>
        <w:t>.1.a).</w:t>
      </w:r>
      <w:r w:rsidR="00796FC8" w:rsidRPr="002C047B">
        <w:rPr>
          <w:lang w:val="fr-FR"/>
        </w:rPr>
        <w:t xml:space="preserve">  </w:t>
      </w:r>
      <w:r w:rsidR="002A49E9" w:rsidRPr="002C047B">
        <w:rPr>
          <w:lang w:val="fr-FR"/>
        </w:rPr>
        <w:t>Les proposition</w:t>
      </w:r>
      <w:r w:rsidR="009B0A74" w:rsidRPr="002C047B">
        <w:rPr>
          <w:lang w:val="fr-FR"/>
        </w:rPr>
        <w:t>s</w:t>
      </w:r>
      <w:r w:rsidR="002A49E9" w:rsidRPr="002C047B">
        <w:rPr>
          <w:lang w:val="fr-FR"/>
        </w:rPr>
        <w:t xml:space="preserve"> de modification figurant </w:t>
      </w:r>
      <w:r w:rsidR="009B0A74" w:rsidRPr="002C047B">
        <w:rPr>
          <w:lang w:val="fr-FR"/>
        </w:rPr>
        <w:t xml:space="preserve">dans </w:t>
      </w:r>
      <w:r w:rsidR="002A49E9" w:rsidRPr="002C047B">
        <w:rPr>
          <w:lang w:val="fr-FR"/>
        </w:rPr>
        <w:t>l</w:t>
      </w:r>
      <w:r w:rsidR="005931B4" w:rsidRPr="002C047B">
        <w:rPr>
          <w:lang w:val="fr-FR"/>
        </w:rPr>
        <w:t>’</w:t>
      </w:r>
      <w:r w:rsidR="002A49E9" w:rsidRPr="002C047B">
        <w:rPr>
          <w:lang w:val="fr-FR"/>
        </w:rPr>
        <w:t xml:space="preserve">annexe diffèrent de celles qui sont présentées dans le document PCT/WG/7/24 </w:t>
      </w:r>
      <w:r w:rsidR="00276A0A" w:rsidRPr="002C047B">
        <w:rPr>
          <w:lang w:val="fr-FR"/>
        </w:rPr>
        <w:t>afin de</w:t>
      </w:r>
      <w:r w:rsidR="002A49E9" w:rsidRPr="002C047B">
        <w:rPr>
          <w:lang w:val="fr-FR"/>
        </w:rPr>
        <w:t xml:space="preserve"> </w:t>
      </w:r>
      <w:r w:rsidR="00C258E1" w:rsidRPr="002C047B">
        <w:rPr>
          <w:lang w:val="fr-FR"/>
        </w:rPr>
        <w:t>tenir</w:t>
      </w:r>
      <w:r w:rsidR="002A49E9" w:rsidRPr="002C047B">
        <w:rPr>
          <w:lang w:val="fr-FR"/>
        </w:rPr>
        <w:t xml:space="preserve"> compte des observations</w:t>
      </w:r>
      <w:r w:rsidR="009B0A74" w:rsidRPr="002C047B">
        <w:rPr>
          <w:lang w:val="fr-FR"/>
        </w:rPr>
        <w:t xml:space="preserve"> qui ont été</w:t>
      </w:r>
      <w:r w:rsidR="002A49E9" w:rsidRPr="002C047B">
        <w:rPr>
          <w:lang w:val="fr-FR"/>
        </w:rPr>
        <w:t xml:space="preserve"> faites à la septième</w:t>
      </w:r>
      <w:r w:rsidR="004862FB" w:rsidRPr="002C047B">
        <w:rPr>
          <w:lang w:val="fr-FR"/>
        </w:rPr>
        <w:t> </w:t>
      </w:r>
      <w:r w:rsidR="002A49E9" w:rsidRPr="002C047B">
        <w:rPr>
          <w:lang w:val="fr-FR"/>
        </w:rPr>
        <w:t xml:space="preserve">session du groupe </w:t>
      </w:r>
      <w:r w:rsidR="009B0A74" w:rsidRPr="002C047B">
        <w:rPr>
          <w:lang w:val="fr-FR"/>
        </w:rPr>
        <w:t>de</w:t>
      </w:r>
      <w:r w:rsidR="002A49E9" w:rsidRPr="002C047B">
        <w:rPr>
          <w:lang w:val="fr-FR"/>
        </w:rPr>
        <w:t xml:space="preserve"> travail et en réponse à la circulaire C.</w:t>
      </w:r>
      <w:r w:rsidR="004862FB" w:rsidRPr="002C047B">
        <w:rPr>
          <w:lang w:val="fr-FR"/>
        </w:rPr>
        <w:t> </w:t>
      </w:r>
      <w:r w:rsidR="002A49E9" w:rsidRPr="002C047B">
        <w:rPr>
          <w:lang w:val="fr-FR"/>
        </w:rPr>
        <w:t>PCT</w:t>
      </w:r>
      <w:r w:rsidR="00006009" w:rsidRPr="002C047B">
        <w:rPr>
          <w:lang w:val="fr-FR"/>
        </w:rPr>
        <w:t> </w:t>
      </w:r>
      <w:r w:rsidR="002A49E9" w:rsidRPr="002C047B">
        <w:rPr>
          <w:lang w:val="fr-FR"/>
        </w:rPr>
        <w:t xml:space="preserve">1433, selon lesquelles la référence </w:t>
      </w:r>
      <w:r w:rsidR="0086675F" w:rsidRPr="002C047B">
        <w:rPr>
          <w:lang w:val="fr-FR"/>
        </w:rPr>
        <w:t>précédente</w:t>
      </w:r>
      <w:r w:rsidR="002A49E9" w:rsidRPr="002C047B">
        <w:rPr>
          <w:lang w:val="fr-FR"/>
        </w:rPr>
        <w:t xml:space="preserve"> à une “indisponibilité étendue et imprévue” manquait de clarté et ne </w:t>
      </w:r>
      <w:r w:rsidR="00276A0A" w:rsidRPr="002C047B">
        <w:rPr>
          <w:lang w:val="fr-FR"/>
        </w:rPr>
        <w:t>couvrait peut</w:t>
      </w:r>
      <w:r w:rsidR="00006009" w:rsidRPr="002C047B">
        <w:rPr>
          <w:szCs w:val="22"/>
          <w:lang w:val="fr-FR"/>
        </w:rPr>
        <w:noBreakHyphen/>
      </w:r>
      <w:r w:rsidR="00276A0A" w:rsidRPr="002C047B">
        <w:rPr>
          <w:szCs w:val="22"/>
          <w:lang w:val="fr-FR"/>
        </w:rPr>
        <w:t>être</w:t>
      </w:r>
      <w:r w:rsidR="002A49E9" w:rsidRPr="002C047B">
        <w:rPr>
          <w:lang w:val="fr-FR"/>
        </w:rPr>
        <w:t xml:space="preserve"> pas tous les problèmes </w:t>
      </w:r>
      <w:r w:rsidR="009B0A74" w:rsidRPr="002C047B">
        <w:rPr>
          <w:lang w:val="fr-FR"/>
        </w:rPr>
        <w:t xml:space="preserve">importants </w:t>
      </w:r>
      <w:r w:rsidR="00276A0A" w:rsidRPr="002C047B">
        <w:rPr>
          <w:lang w:val="fr-FR"/>
        </w:rPr>
        <w:t xml:space="preserve">pouvant </w:t>
      </w:r>
      <w:r w:rsidR="00C258E1" w:rsidRPr="002C047B">
        <w:rPr>
          <w:lang w:val="fr-FR"/>
        </w:rPr>
        <w:t>affecter</w:t>
      </w:r>
      <w:r w:rsidR="002A49E9" w:rsidRPr="002C047B">
        <w:rPr>
          <w:lang w:val="fr-FR"/>
        </w:rPr>
        <w:t xml:space="preserve"> les services de communication électronique.</w:t>
      </w:r>
    </w:p>
    <w:p w:rsidR="00DE4EAF" w:rsidRPr="002C047B" w:rsidRDefault="00FB11C4" w:rsidP="002C047B">
      <w:pPr>
        <w:pStyle w:val="ONUMFS"/>
        <w:rPr>
          <w:lang w:val="fr-FR"/>
        </w:rPr>
      </w:pPr>
      <w:r w:rsidRPr="002C047B">
        <w:rPr>
          <w:lang w:val="fr-FR"/>
        </w:rPr>
        <w:t>Ainsi qu</w:t>
      </w:r>
      <w:r w:rsidR="005931B4" w:rsidRPr="002C047B">
        <w:rPr>
          <w:lang w:val="fr-FR"/>
        </w:rPr>
        <w:t>’</w:t>
      </w:r>
      <w:r w:rsidRPr="002C047B">
        <w:rPr>
          <w:lang w:val="fr-FR"/>
        </w:rPr>
        <w:t xml:space="preserve">il </w:t>
      </w:r>
      <w:r w:rsidR="009B0A74" w:rsidRPr="002C047B">
        <w:rPr>
          <w:lang w:val="fr-FR"/>
        </w:rPr>
        <w:t>ressort du</w:t>
      </w:r>
      <w:r w:rsidRPr="002C047B">
        <w:rPr>
          <w:lang w:val="fr-FR"/>
        </w:rPr>
        <w:t xml:space="preserve"> paragraphe</w:t>
      </w:r>
      <w:r w:rsidR="004862FB" w:rsidRPr="002C047B">
        <w:rPr>
          <w:lang w:val="fr-FR"/>
        </w:rPr>
        <w:t> </w:t>
      </w:r>
      <w:r w:rsidRPr="002C047B">
        <w:rPr>
          <w:lang w:val="fr-FR"/>
        </w:rPr>
        <w:t>17 du document PCT/WG/7/24, l</w:t>
      </w:r>
      <w:r w:rsidR="005931B4" w:rsidRPr="002C047B">
        <w:rPr>
          <w:lang w:val="fr-FR"/>
        </w:rPr>
        <w:t>’</w:t>
      </w:r>
      <w:r w:rsidRPr="002C047B">
        <w:rPr>
          <w:lang w:val="fr-FR"/>
        </w:rPr>
        <w:t xml:space="preserve">intention </w:t>
      </w:r>
      <w:r w:rsidR="0086675F" w:rsidRPr="002C047B">
        <w:rPr>
          <w:lang w:val="fr-FR"/>
        </w:rPr>
        <w:t>était</w:t>
      </w:r>
      <w:r w:rsidRPr="002C047B">
        <w:rPr>
          <w:lang w:val="fr-FR"/>
        </w:rPr>
        <w:t xml:space="preserve"> d</w:t>
      </w:r>
      <w:r w:rsidR="00C258E1" w:rsidRPr="002C047B">
        <w:rPr>
          <w:lang w:val="fr-FR"/>
        </w:rPr>
        <w:t>’</w:t>
      </w:r>
      <w:r w:rsidRPr="002C047B">
        <w:rPr>
          <w:lang w:val="fr-FR"/>
        </w:rPr>
        <w:t>appliquer les dispositions aux interruptions de service affectant un grand nombre d</w:t>
      </w:r>
      <w:r w:rsidR="005931B4" w:rsidRPr="002C047B">
        <w:rPr>
          <w:lang w:val="fr-FR"/>
        </w:rPr>
        <w:t>’</w:t>
      </w:r>
      <w:r w:rsidRPr="002C047B">
        <w:rPr>
          <w:lang w:val="fr-FR"/>
        </w:rPr>
        <w:t>utilisateurs, par exemple tous les utilisateurs d</w:t>
      </w:r>
      <w:r w:rsidR="00C258E1" w:rsidRPr="002C047B">
        <w:rPr>
          <w:lang w:val="fr-FR"/>
        </w:rPr>
        <w:t>’</w:t>
      </w:r>
      <w:r w:rsidRPr="002C047B">
        <w:rPr>
          <w:lang w:val="fr-FR"/>
        </w:rPr>
        <w:t>une grande partie d</w:t>
      </w:r>
      <w:r w:rsidR="005931B4" w:rsidRPr="002C047B">
        <w:rPr>
          <w:lang w:val="fr-FR"/>
        </w:rPr>
        <w:t>’</w:t>
      </w:r>
      <w:r w:rsidRPr="002C047B">
        <w:rPr>
          <w:lang w:val="fr-FR"/>
        </w:rPr>
        <w:t>une ville ou d</w:t>
      </w:r>
      <w:r w:rsidR="005931B4" w:rsidRPr="002C047B">
        <w:rPr>
          <w:lang w:val="fr-FR"/>
        </w:rPr>
        <w:t>’</w:t>
      </w:r>
      <w:r w:rsidRPr="002C047B">
        <w:rPr>
          <w:lang w:val="fr-FR"/>
        </w:rPr>
        <w:t>un pays, plutôt qu</w:t>
      </w:r>
      <w:r w:rsidR="005931B4" w:rsidRPr="002C047B">
        <w:rPr>
          <w:lang w:val="fr-FR"/>
        </w:rPr>
        <w:t>’</w:t>
      </w:r>
      <w:r w:rsidRPr="002C047B">
        <w:rPr>
          <w:lang w:val="fr-FR"/>
        </w:rPr>
        <w:t>à des problèmes localisés dans un bâtiment donné.</w:t>
      </w:r>
      <w:r w:rsidR="00FF32B0" w:rsidRPr="002C047B">
        <w:rPr>
          <w:lang w:val="fr-FR"/>
        </w:rPr>
        <w:t xml:space="preserve">  </w:t>
      </w:r>
      <w:r w:rsidR="00276A0A" w:rsidRPr="002C047B">
        <w:rPr>
          <w:lang w:val="fr-FR"/>
        </w:rPr>
        <w:t xml:space="preserve">Si </w:t>
      </w:r>
      <w:r w:rsidR="00852133" w:rsidRPr="002C047B">
        <w:rPr>
          <w:lang w:val="fr-FR"/>
        </w:rPr>
        <w:t>l</w:t>
      </w:r>
      <w:r w:rsidR="005931B4" w:rsidRPr="002C047B">
        <w:rPr>
          <w:lang w:val="fr-FR"/>
        </w:rPr>
        <w:t>’</w:t>
      </w:r>
      <w:r w:rsidR="00852133" w:rsidRPr="002C047B">
        <w:rPr>
          <w:lang w:val="fr-FR"/>
        </w:rPr>
        <w:t>indisponibilité générale des services de communication électronique n</w:t>
      </w:r>
      <w:r w:rsidR="005931B4" w:rsidRPr="002C047B">
        <w:rPr>
          <w:lang w:val="fr-FR"/>
        </w:rPr>
        <w:t>’</w:t>
      </w:r>
      <w:r w:rsidR="00852133" w:rsidRPr="002C047B">
        <w:rPr>
          <w:lang w:val="fr-FR"/>
        </w:rPr>
        <w:t>a peut</w:t>
      </w:r>
      <w:r w:rsidR="00006009" w:rsidRPr="002C047B">
        <w:rPr>
          <w:lang w:val="fr-FR"/>
        </w:rPr>
        <w:noBreakHyphen/>
      </w:r>
      <w:r w:rsidR="00852133" w:rsidRPr="002C047B">
        <w:rPr>
          <w:lang w:val="fr-FR"/>
        </w:rPr>
        <w:t xml:space="preserve">être pas les </w:t>
      </w:r>
      <w:r w:rsidR="00276A0A" w:rsidRPr="002C047B">
        <w:rPr>
          <w:lang w:val="fr-FR"/>
        </w:rPr>
        <w:t xml:space="preserve">mêmes </w:t>
      </w:r>
      <w:r w:rsidR="00852133" w:rsidRPr="002C047B">
        <w:rPr>
          <w:lang w:val="fr-FR"/>
        </w:rPr>
        <w:t xml:space="preserve">effets dévastateurs ou la </w:t>
      </w:r>
      <w:r w:rsidR="00276A0A" w:rsidRPr="002C047B">
        <w:rPr>
          <w:lang w:val="fr-FR"/>
        </w:rPr>
        <w:t xml:space="preserve">même </w:t>
      </w:r>
      <w:r w:rsidR="00852133" w:rsidRPr="002C047B">
        <w:rPr>
          <w:lang w:val="fr-FR"/>
        </w:rPr>
        <w:t>couverture médiatique que d</w:t>
      </w:r>
      <w:r w:rsidR="005931B4" w:rsidRPr="002C047B">
        <w:rPr>
          <w:lang w:val="fr-FR"/>
        </w:rPr>
        <w:t>’</w:t>
      </w:r>
      <w:r w:rsidR="00852133" w:rsidRPr="002C047B">
        <w:rPr>
          <w:lang w:val="fr-FR"/>
        </w:rPr>
        <w:t xml:space="preserve">autres événements </w:t>
      </w:r>
      <w:r w:rsidR="009B0A74" w:rsidRPr="002C047B">
        <w:rPr>
          <w:lang w:val="fr-FR"/>
        </w:rPr>
        <w:t xml:space="preserve">visés à </w:t>
      </w:r>
      <w:r w:rsidR="00852133" w:rsidRPr="002C047B">
        <w:rPr>
          <w:lang w:val="fr-FR"/>
        </w:rPr>
        <w:t>la règle</w:t>
      </w:r>
      <w:r w:rsidR="004862FB" w:rsidRPr="002C047B">
        <w:rPr>
          <w:lang w:val="fr-FR"/>
        </w:rPr>
        <w:t> </w:t>
      </w:r>
      <w:r w:rsidR="00852133" w:rsidRPr="002C047B">
        <w:rPr>
          <w:lang w:val="fr-FR"/>
        </w:rPr>
        <w:t>82</w:t>
      </w:r>
      <w:r w:rsidR="00852133" w:rsidRPr="002C047B">
        <w:rPr>
          <w:i/>
          <w:lang w:val="fr-FR"/>
        </w:rPr>
        <w:t>quater</w:t>
      </w:r>
      <w:r w:rsidR="00852133" w:rsidRPr="002C047B">
        <w:rPr>
          <w:lang w:val="fr-FR"/>
        </w:rPr>
        <w:t>.1.a)</w:t>
      </w:r>
      <w:r w:rsidR="0086675F" w:rsidRPr="002C047B">
        <w:rPr>
          <w:lang w:val="fr-FR"/>
        </w:rPr>
        <w:t>,</w:t>
      </w:r>
      <w:r w:rsidR="00852133" w:rsidRPr="002C047B">
        <w:rPr>
          <w:lang w:val="fr-FR"/>
        </w:rPr>
        <w:t xml:space="preserve"> et donc moins </w:t>
      </w:r>
      <w:r w:rsidR="00C258E1" w:rsidRPr="002C047B">
        <w:rPr>
          <w:lang w:val="fr-FR"/>
        </w:rPr>
        <w:t>marquer le grand</w:t>
      </w:r>
      <w:r w:rsidR="00276A0A" w:rsidRPr="002C047B">
        <w:rPr>
          <w:lang w:val="fr-FR"/>
        </w:rPr>
        <w:t xml:space="preserve"> </w:t>
      </w:r>
      <w:r w:rsidR="00852133" w:rsidRPr="002C047B">
        <w:rPr>
          <w:lang w:val="fr-FR"/>
        </w:rPr>
        <w:t>public, l</w:t>
      </w:r>
      <w:r w:rsidR="005931B4" w:rsidRPr="002C047B">
        <w:rPr>
          <w:lang w:val="fr-FR"/>
        </w:rPr>
        <w:t>’</w:t>
      </w:r>
      <w:r w:rsidR="00852133" w:rsidRPr="002C047B">
        <w:rPr>
          <w:lang w:val="fr-FR"/>
        </w:rPr>
        <w:t>ampleur des problèmes qu</w:t>
      </w:r>
      <w:r w:rsidR="005931B4" w:rsidRPr="002C047B">
        <w:rPr>
          <w:lang w:val="fr-FR"/>
        </w:rPr>
        <w:t>’</w:t>
      </w:r>
      <w:r w:rsidR="00852133" w:rsidRPr="002C047B">
        <w:rPr>
          <w:lang w:val="fr-FR"/>
        </w:rPr>
        <w:t>elle pose dans une localité donnée, un jour particulier, p</w:t>
      </w:r>
      <w:r w:rsidR="00C258E1" w:rsidRPr="002C047B">
        <w:rPr>
          <w:lang w:val="fr-FR"/>
        </w:rPr>
        <w:t>eut</w:t>
      </w:r>
      <w:r w:rsidR="00852133" w:rsidRPr="002C047B">
        <w:rPr>
          <w:lang w:val="fr-FR"/>
        </w:rPr>
        <w:t xml:space="preserve"> être similaire.</w:t>
      </w:r>
      <w:r w:rsidR="00017FFE" w:rsidRPr="002C047B">
        <w:rPr>
          <w:lang w:val="fr-FR"/>
        </w:rPr>
        <w:t xml:space="preserve">  </w:t>
      </w:r>
      <w:r w:rsidR="00C258E1" w:rsidRPr="002C047B">
        <w:rPr>
          <w:lang w:val="fr-FR"/>
        </w:rPr>
        <w:t>P</w:t>
      </w:r>
      <w:r w:rsidR="00443A86" w:rsidRPr="002C047B">
        <w:rPr>
          <w:lang w:val="fr-FR"/>
        </w:rPr>
        <w:t>our cette raison</w:t>
      </w:r>
      <w:r w:rsidR="00C258E1" w:rsidRPr="002C047B">
        <w:rPr>
          <w:lang w:val="fr-FR"/>
        </w:rPr>
        <w:t>,</w:t>
      </w:r>
      <w:r w:rsidR="00443A86" w:rsidRPr="002C047B">
        <w:rPr>
          <w:lang w:val="fr-FR"/>
        </w:rPr>
        <w:t xml:space="preserve"> et</w:t>
      </w:r>
      <w:r w:rsidR="009B0A74" w:rsidRPr="002C047B">
        <w:rPr>
          <w:lang w:val="fr-FR"/>
        </w:rPr>
        <w:t xml:space="preserve"> parce que</w:t>
      </w:r>
      <w:r w:rsidR="00443A86" w:rsidRPr="002C047B">
        <w:rPr>
          <w:lang w:val="fr-FR"/>
        </w:rPr>
        <w:t xml:space="preserve"> l</w:t>
      </w:r>
      <w:r w:rsidR="005931B4" w:rsidRPr="002C047B">
        <w:rPr>
          <w:lang w:val="fr-FR"/>
        </w:rPr>
        <w:t>’</w:t>
      </w:r>
      <w:r w:rsidR="00443A86" w:rsidRPr="002C047B">
        <w:rPr>
          <w:lang w:val="fr-FR"/>
        </w:rPr>
        <w:t>objectif est</w:t>
      </w:r>
      <w:r w:rsidR="009B0A74" w:rsidRPr="002C047B">
        <w:rPr>
          <w:lang w:val="fr-FR"/>
        </w:rPr>
        <w:t xml:space="preserve"> de faire en sorte</w:t>
      </w:r>
      <w:r w:rsidR="00443A86" w:rsidRPr="002C047B">
        <w:rPr>
          <w:lang w:val="fr-FR"/>
        </w:rPr>
        <w:t xml:space="preserve"> que ces dispositions s</w:t>
      </w:r>
      <w:r w:rsidR="005931B4" w:rsidRPr="002C047B">
        <w:rPr>
          <w:lang w:val="fr-FR"/>
        </w:rPr>
        <w:t>’</w:t>
      </w:r>
      <w:r w:rsidR="00443A86" w:rsidRPr="002C047B">
        <w:rPr>
          <w:lang w:val="fr-FR"/>
        </w:rPr>
        <w:t xml:space="preserve">appliquent aux </w:t>
      </w:r>
      <w:r w:rsidR="00C258E1" w:rsidRPr="002C047B">
        <w:rPr>
          <w:lang w:val="fr-FR"/>
        </w:rPr>
        <w:t>panne</w:t>
      </w:r>
      <w:r w:rsidR="00276A0A" w:rsidRPr="002C047B">
        <w:rPr>
          <w:lang w:val="fr-FR"/>
        </w:rPr>
        <w:t>s</w:t>
      </w:r>
      <w:r w:rsidR="00443A86" w:rsidRPr="002C047B">
        <w:rPr>
          <w:lang w:val="fr-FR"/>
        </w:rPr>
        <w:t xml:space="preserve"> générales plutôt qu</w:t>
      </w:r>
      <w:r w:rsidR="005931B4" w:rsidRPr="002C047B">
        <w:rPr>
          <w:lang w:val="fr-FR"/>
        </w:rPr>
        <w:t>’</w:t>
      </w:r>
      <w:r w:rsidR="00443A86" w:rsidRPr="002C047B">
        <w:rPr>
          <w:lang w:val="fr-FR"/>
        </w:rPr>
        <w:t xml:space="preserve">aux problèmes </w:t>
      </w:r>
      <w:r w:rsidR="00276A0A" w:rsidRPr="002C047B">
        <w:rPr>
          <w:lang w:val="fr-FR"/>
        </w:rPr>
        <w:t>concernant</w:t>
      </w:r>
      <w:r w:rsidR="00443A86" w:rsidRPr="002C047B">
        <w:rPr>
          <w:lang w:val="fr-FR"/>
        </w:rPr>
        <w:t xml:space="preserve"> un seul utilisateur, il est proposé de </w:t>
      </w:r>
      <w:r w:rsidR="00C258E1" w:rsidRPr="002C047B">
        <w:rPr>
          <w:lang w:val="fr-FR"/>
        </w:rPr>
        <w:t>maintenir</w:t>
      </w:r>
      <w:r w:rsidR="009B0A74" w:rsidRPr="002C047B">
        <w:rPr>
          <w:lang w:val="fr-FR"/>
        </w:rPr>
        <w:t xml:space="preserve"> </w:t>
      </w:r>
      <w:r w:rsidR="00443A86" w:rsidRPr="002C047B">
        <w:rPr>
          <w:lang w:val="fr-FR"/>
        </w:rPr>
        <w:t>l</w:t>
      </w:r>
      <w:r w:rsidR="005931B4" w:rsidRPr="002C047B">
        <w:rPr>
          <w:lang w:val="fr-FR"/>
        </w:rPr>
        <w:t>’</w:t>
      </w:r>
      <w:r w:rsidR="00443A86" w:rsidRPr="002C047B">
        <w:rPr>
          <w:lang w:val="fr-FR"/>
        </w:rPr>
        <w:t>indisponibilité des services de communication électronique dans la règle</w:t>
      </w:r>
      <w:r w:rsidR="004862FB" w:rsidRPr="002C047B">
        <w:rPr>
          <w:lang w:val="fr-FR"/>
        </w:rPr>
        <w:t> </w:t>
      </w:r>
      <w:r w:rsidR="00443A86" w:rsidRPr="002C047B">
        <w:rPr>
          <w:lang w:val="fr-FR"/>
        </w:rPr>
        <w:t>82</w:t>
      </w:r>
      <w:r w:rsidR="00443A86" w:rsidRPr="002C047B">
        <w:rPr>
          <w:i/>
          <w:lang w:val="fr-FR"/>
        </w:rPr>
        <w:t>quater</w:t>
      </w:r>
      <w:r w:rsidR="00443A86" w:rsidRPr="002C047B">
        <w:rPr>
          <w:lang w:val="fr-FR"/>
        </w:rPr>
        <w:t>.1.a)</w:t>
      </w:r>
      <w:r w:rsidR="00C258E1" w:rsidRPr="002C047B">
        <w:rPr>
          <w:lang w:val="fr-FR"/>
        </w:rPr>
        <w:t xml:space="preserve"> telle qu’il est proposé de la modifier</w:t>
      </w:r>
      <w:r w:rsidR="00443A86" w:rsidRPr="002C047B">
        <w:rPr>
          <w:lang w:val="fr-FR"/>
        </w:rPr>
        <w:t xml:space="preserve"> plutôt que d</w:t>
      </w:r>
      <w:r w:rsidR="005931B4" w:rsidRPr="002C047B">
        <w:rPr>
          <w:lang w:val="fr-FR"/>
        </w:rPr>
        <w:t>’</w:t>
      </w:r>
      <w:r w:rsidR="00443A86" w:rsidRPr="002C047B">
        <w:rPr>
          <w:lang w:val="fr-FR"/>
        </w:rPr>
        <w:t xml:space="preserve">ajouter une nouvelle règle </w:t>
      </w:r>
      <w:r w:rsidR="00276A0A" w:rsidRPr="002C047B">
        <w:rPr>
          <w:lang w:val="fr-FR"/>
        </w:rPr>
        <w:t>portant</w:t>
      </w:r>
      <w:r w:rsidR="00443A86" w:rsidRPr="002C047B">
        <w:rPr>
          <w:lang w:val="fr-FR"/>
        </w:rPr>
        <w:t xml:space="preserve"> </w:t>
      </w:r>
      <w:r w:rsidR="00C258E1" w:rsidRPr="002C047B">
        <w:rPr>
          <w:lang w:val="fr-FR"/>
        </w:rPr>
        <w:t>expressé</w:t>
      </w:r>
      <w:r w:rsidR="00443A86" w:rsidRPr="002C047B">
        <w:rPr>
          <w:lang w:val="fr-FR"/>
        </w:rPr>
        <w:t xml:space="preserve">ment </w:t>
      </w:r>
      <w:r w:rsidR="00276A0A" w:rsidRPr="002C047B">
        <w:rPr>
          <w:lang w:val="fr-FR"/>
        </w:rPr>
        <w:t>sur</w:t>
      </w:r>
      <w:r w:rsidR="00443A86" w:rsidRPr="002C047B">
        <w:rPr>
          <w:lang w:val="fr-FR"/>
        </w:rPr>
        <w:t xml:space="preserve"> les services de communication électronique.</w:t>
      </w:r>
    </w:p>
    <w:p w:rsidR="005931B4" w:rsidRPr="002C047B" w:rsidRDefault="00291FD2" w:rsidP="002C047B">
      <w:pPr>
        <w:pStyle w:val="ONUMFS"/>
        <w:rPr>
          <w:lang w:val="fr-FR"/>
        </w:rPr>
      </w:pPr>
      <w:bookmarkStart w:id="6" w:name="_Ref417556264"/>
      <w:r w:rsidRPr="002C047B">
        <w:rPr>
          <w:lang w:val="fr-FR"/>
        </w:rPr>
        <w:t xml:space="preserve">Si le groupe de travail </w:t>
      </w:r>
      <w:r w:rsidR="00C258E1" w:rsidRPr="002C047B">
        <w:rPr>
          <w:lang w:val="fr-FR"/>
        </w:rPr>
        <w:t>convient</w:t>
      </w:r>
      <w:r w:rsidRPr="002C047B">
        <w:rPr>
          <w:lang w:val="fr-FR"/>
        </w:rPr>
        <w:t xml:space="preserve"> de </w:t>
      </w:r>
      <w:r w:rsidR="00C258E1" w:rsidRPr="002C047B">
        <w:rPr>
          <w:lang w:val="fr-FR"/>
        </w:rPr>
        <w:t>soumettre</w:t>
      </w:r>
      <w:r w:rsidRPr="002C047B">
        <w:rPr>
          <w:lang w:val="fr-FR"/>
        </w:rPr>
        <w:t xml:space="preserve"> la proposition de modification de la règle</w:t>
      </w:r>
      <w:r w:rsidR="004862FB" w:rsidRPr="002C047B">
        <w:rPr>
          <w:lang w:val="fr-FR"/>
        </w:rPr>
        <w:t> </w:t>
      </w:r>
      <w:r w:rsidRPr="002C047B">
        <w:rPr>
          <w:lang w:val="fr-FR"/>
        </w:rPr>
        <w:t>82</w:t>
      </w:r>
      <w:r w:rsidRPr="002C047B">
        <w:rPr>
          <w:i/>
          <w:lang w:val="fr-FR"/>
        </w:rPr>
        <w:t>quater</w:t>
      </w:r>
      <w:r w:rsidRPr="002C047B">
        <w:rPr>
          <w:lang w:val="fr-FR"/>
        </w:rPr>
        <w:t>.1.a) à l</w:t>
      </w:r>
      <w:r w:rsidR="005931B4" w:rsidRPr="002C047B">
        <w:rPr>
          <w:lang w:val="fr-FR"/>
        </w:rPr>
        <w:t>’</w:t>
      </w:r>
      <w:r w:rsidRPr="002C047B">
        <w:rPr>
          <w:lang w:val="fr-FR"/>
        </w:rPr>
        <w:t xml:space="preserve">assemblée pour adoption, il pourrait être utile </w:t>
      </w:r>
      <w:r w:rsidR="00276A0A" w:rsidRPr="002C047B">
        <w:rPr>
          <w:lang w:val="fr-FR"/>
        </w:rPr>
        <w:t>que celle</w:t>
      </w:r>
      <w:r w:rsidR="00006009" w:rsidRPr="002C047B">
        <w:rPr>
          <w:szCs w:val="22"/>
          <w:lang w:val="fr-FR"/>
        </w:rPr>
        <w:noBreakHyphen/>
      </w:r>
      <w:r w:rsidR="00276A0A" w:rsidRPr="002C047B">
        <w:rPr>
          <w:szCs w:val="22"/>
          <w:lang w:val="fr-FR"/>
        </w:rPr>
        <w:t>ci</w:t>
      </w:r>
      <w:r w:rsidRPr="002C047B">
        <w:rPr>
          <w:lang w:val="fr-FR"/>
        </w:rPr>
        <w:t xml:space="preserve"> </w:t>
      </w:r>
      <w:r w:rsidR="00276A0A" w:rsidRPr="002C047B">
        <w:rPr>
          <w:lang w:val="fr-FR"/>
        </w:rPr>
        <w:t>adopte</w:t>
      </w:r>
      <w:r w:rsidRPr="002C047B">
        <w:rPr>
          <w:lang w:val="fr-FR"/>
        </w:rPr>
        <w:t xml:space="preserve"> une déclaration </w:t>
      </w:r>
      <w:r w:rsidR="00BA50DD" w:rsidRPr="002C047B">
        <w:rPr>
          <w:lang w:val="fr-FR"/>
        </w:rPr>
        <w:t xml:space="preserve">sur la </w:t>
      </w:r>
      <w:r w:rsidR="009B0A74" w:rsidRPr="002C047B">
        <w:rPr>
          <w:lang w:val="fr-FR"/>
        </w:rPr>
        <w:t xml:space="preserve">manière </w:t>
      </w:r>
      <w:r w:rsidR="00BA50DD" w:rsidRPr="002C047B">
        <w:rPr>
          <w:lang w:val="fr-FR"/>
        </w:rPr>
        <w:t xml:space="preserve">dont </w:t>
      </w:r>
      <w:r w:rsidR="002635AB" w:rsidRPr="002C047B">
        <w:rPr>
          <w:lang w:val="fr-FR"/>
        </w:rPr>
        <w:t>il convient d</w:t>
      </w:r>
      <w:r w:rsidR="005931B4" w:rsidRPr="002C047B">
        <w:rPr>
          <w:lang w:val="fr-FR"/>
        </w:rPr>
        <w:t>’</w:t>
      </w:r>
      <w:r w:rsidR="002635AB" w:rsidRPr="002C047B">
        <w:rPr>
          <w:lang w:val="fr-FR"/>
        </w:rPr>
        <w:t>interpré</w:t>
      </w:r>
      <w:r w:rsidRPr="002C047B">
        <w:rPr>
          <w:lang w:val="fr-FR"/>
        </w:rPr>
        <w:t>ter la disposition.</w:t>
      </w:r>
      <w:r w:rsidR="00FF4863" w:rsidRPr="002C047B">
        <w:rPr>
          <w:lang w:val="fr-FR"/>
        </w:rPr>
        <w:t xml:space="preserve">  </w:t>
      </w:r>
      <w:r w:rsidR="004871B8" w:rsidRPr="002C047B">
        <w:rPr>
          <w:lang w:val="fr-FR"/>
        </w:rPr>
        <w:t xml:space="preserve">Cette déclaration donnerait </w:t>
      </w:r>
      <w:r w:rsidR="00C258E1" w:rsidRPr="002C047B">
        <w:rPr>
          <w:lang w:val="fr-FR"/>
        </w:rPr>
        <w:t xml:space="preserve">aux offices </w:t>
      </w:r>
      <w:r w:rsidR="004871B8" w:rsidRPr="002C047B">
        <w:rPr>
          <w:lang w:val="fr-FR"/>
        </w:rPr>
        <w:t xml:space="preserve">des indications </w:t>
      </w:r>
      <w:r w:rsidR="00C258E1" w:rsidRPr="002C047B">
        <w:rPr>
          <w:lang w:val="fr-FR"/>
        </w:rPr>
        <w:t>sur la manière</w:t>
      </w:r>
      <w:r w:rsidR="004871B8" w:rsidRPr="002C047B">
        <w:rPr>
          <w:lang w:val="fr-FR"/>
        </w:rPr>
        <w:t xml:space="preserve"> d</w:t>
      </w:r>
      <w:r w:rsidR="005931B4" w:rsidRPr="002C047B">
        <w:rPr>
          <w:lang w:val="fr-FR"/>
        </w:rPr>
        <w:t>’</w:t>
      </w:r>
      <w:r w:rsidR="004871B8" w:rsidRPr="002C047B">
        <w:rPr>
          <w:lang w:val="fr-FR"/>
        </w:rPr>
        <w:t xml:space="preserve">appliquer la disposition de </w:t>
      </w:r>
      <w:r w:rsidR="0032125B">
        <w:rPr>
          <w:lang w:val="fr-FR"/>
        </w:rPr>
        <w:t>façon</w:t>
      </w:r>
      <w:r w:rsidR="004871B8" w:rsidRPr="002C047B">
        <w:rPr>
          <w:lang w:val="fr-FR"/>
        </w:rPr>
        <w:t xml:space="preserve"> uniforme</w:t>
      </w:r>
      <w:r w:rsidR="00C258E1" w:rsidRPr="002C047B">
        <w:rPr>
          <w:lang w:val="fr-FR"/>
        </w:rPr>
        <w:t xml:space="preserve"> et</w:t>
      </w:r>
      <w:r w:rsidR="00BA50DD" w:rsidRPr="002C047B">
        <w:rPr>
          <w:lang w:val="fr-FR"/>
        </w:rPr>
        <w:t xml:space="preserve"> </w:t>
      </w:r>
      <w:r w:rsidR="004871B8" w:rsidRPr="002C047B">
        <w:rPr>
          <w:lang w:val="fr-FR"/>
        </w:rPr>
        <w:t>elle pourrait être reprise dans les Directives à l</w:t>
      </w:r>
      <w:r w:rsidR="005931B4" w:rsidRPr="002C047B">
        <w:rPr>
          <w:lang w:val="fr-FR"/>
        </w:rPr>
        <w:t>’</w:t>
      </w:r>
      <w:r w:rsidR="004871B8" w:rsidRPr="002C047B">
        <w:rPr>
          <w:lang w:val="fr-FR"/>
        </w:rPr>
        <w:t>usage des offices récepteurs et les Directives concernant la recherche internationale et l</w:t>
      </w:r>
      <w:r w:rsidR="005931B4" w:rsidRPr="002C047B">
        <w:rPr>
          <w:lang w:val="fr-FR"/>
        </w:rPr>
        <w:t>’</w:t>
      </w:r>
      <w:r w:rsidR="004871B8" w:rsidRPr="002C047B">
        <w:rPr>
          <w:lang w:val="fr-FR"/>
        </w:rPr>
        <w:t>examen préliminaire international.</w:t>
      </w:r>
      <w:r w:rsidR="002D4DD9" w:rsidRPr="002C047B">
        <w:rPr>
          <w:lang w:val="fr-FR"/>
        </w:rPr>
        <w:t xml:space="preserve">  </w:t>
      </w:r>
      <w:bookmarkEnd w:id="6"/>
      <w:r w:rsidR="005F4B75" w:rsidRPr="002C047B">
        <w:rPr>
          <w:lang w:val="fr-FR"/>
        </w:rPr>
        <w:t>À cet effet, le groupe de travail pourrait proposer que l</w:t>
      </w:r>
      <w:r w:rsidR="005931B4" w:rsidRPr="002C047B">
        <w:rPr>
          <w:lang w:val="fr-FR"/>
        </w:rPr>
        <w:t>’</w:t>
      </w:r>
      <w:r w:rsidR="005F4B75" w:rsidRPr="002C047B">
        <w:rPr>
          <w:lang w:val="fr-FR"/>
        </w:rPr>
        <w:t>assemblée adopte l</w:t>
      </w:r>
      <w:r w:rsidR="00C258E1" w:rsidRPr="002C047B">
        <w:rPr>
          <w:lang w:val="fr-FR"/>
        </w:rPr>
        <w:t>a</w:t>
      </w:r>
      <w:r w:rsidR="005F4B75" w:rsidRPr="002C047B">
        <w:rPr>
          <w:lang w:val="fr-FR"/>
        </w:rPr>
        <w:t xml:space="preserve"> </w:t>
      </w:r>
      <w:r w:rsidR="00C258E1" w:rsidRPr="002C047B">
        <w:rPr>
          <w:lang w:val="fr-FR"/>
        </w:rPr>
        <w:t xml:space="preserve">déclaration interprétative </w:t>
      </w:r>
      <w:r w:rsidR="005F4B75" w:rsidRPr="002C047B">
        <w:rPr>
          <w:lang w:val="fr-FR"/>
        </w:rPr>
        <w:t>ci</w:t>
      </w:r>
      <w:r w:rsidR="00006009" w:rsidRPr="002C047B">
        <w:rPr>
          <w:lang w:val="fr-FR"/>
        </w:rPr>
        <w:noBreakHyphen/>
      </w:r>
      <w:r w:rsidR="005F4B75" w:rsidRPr="002C047B">
        <w:rPr>
          <w:lang w:val="fr-FR"/>
        </w:rPr>
        <w:t>après en même temps que la proposition de modification de la règle</w:t>
      </w:r>
      <w:r w:rsidR="004862FB" w:rsidRPr="002C047B">
        <w:rPr>
          <w:lang w:val="fr-FR"/>
        </w:rPr>
        <w:t> </w:t>
      </w:r>
      <w:r w:rsidR="005F4B75" w:rsidRPr="002C047B">
        <w:rPr>
          <w:lang w:val="fr-FR"/>
        </w:rPr>
        <w:t>82</w:t>
      </w:r>
      <w:r w:rsidR="005F4B75" w:rsidRPr="002C047B">
        <w:rPr>
          <w:i/>
          <w:lang w:val="fr-FR"/>
        </w:rPr>
        <w:t>quater</w:t>
      </w:r>
      <w:r w:rsidR="005F4B75" w:rsidRPr="002C047B">
        <w:rPr>
          <w:lang w:val="fr-FR"/>
        </w:rPr>
        <w:t>.1.a)</w:t>
      </w:r>
      <w:r w:rsidR="004862FB" w:rsidRPr="002C047B">
        <w:rPr>
          <w:lang w:val="fr-FR"/>
        </w:rPr>
        <w:t> </w:t>
      </w:r>
      <w:r w:rsidR="005F4B75" w:rsidRPr="002C047B">
        <w:rPr>
          <w:lang w:val="fr-FR"/>
        </w:rPr>
        <w:t>:</w:t>
      </w:r>
    </w:p>
    <w:p w:rsidR="00DE4EAF" w:rsidRPr="002C047B" w:rsidRDefault="002745CA" w:rsidP="002C047B">
      <w:pPr>
        <w:pStyle w:val="ONUME"/>
        <w:keepNext/>
        <w:keepLines/>
        <w:numPr>
          <w:ilvl w:val="0"/>
          <w:numId w:val="0"/>
        </w:numPr>
        <w:ind w:left="567"/>
        <w:rPr>
          <w:u w:val="single"/>
          <w:lang w:val="fr-FR"/>
        </w:rPr>
      </w:pPr>
      <w:r w:rsidRPr="002C047B">
        <w:rPr>
          <w:u w:val="single"/>
          <w:lang w:val="fr-FR"/>
        </w:rPr>
        <w:t>“Application de la règle</w:t>
      </w:r>
      <w:r w:rsidR="004862FB" w:rsidRPr="002C047B">
        <w:rPr>
          <w:u w:val="single"/>
          <w:lang w:val="fr-FR"/>
        </w:rPr>
        <w:t> </w:t>
      </w:r>
      <w:r w:rsidRPr="002C047B">
        <w:rPr>
          <w:u w:val="single"/>
          <w:lang w:val="fr-FR"/>
        </w:rPr>
        <w:t>82</w:t>
      </w:r>
      <w:r w:rsidRPr="002C047B">
        <w:rPr>
          <w:i/>
          <w:u w:val="single"/>
          <w:lang w:val="fr-FR"/>
        </w:rPr>
        <w:t>quater</w:t>
      </w:r>
      <w:r w:rsidRPr="002C047B">
        <w:rPr>
          <w:u w:val="single"/>
          <w:lang w:val="fr-FR"/>
        </w:rPr>
        <w:t>.1 concernant l</w:t>
      </w:r>
      <w:r w:rsidR="005931B4" w:rsidRPr="002C047B">
        <w:rPr>
          <w:u w:val="single"/>
          <w:lang w:val="fr-FR"/>
        </w:rPr>
        <w:t>’</w:t>
      </w:r>
      <w:r w:rsidRPr="002C047B">
        <w:rPr>
          <w:u w:val="single"/>
          <w:lang w:val="fr-FR"/>
        </w:rPr>
        <w:t>indisponibilité générale des services de communication électronique”</w:t>
      </w:r>
      <w:r w:rsidR="004862FB" w:rsidRPr="002C047B">
        <w:rPr>
          <w:lang w:val="fr-FR"/>
        </w:rPr>
        <w:t> </w:t>
      </w:r>
      <w:r w:rsidRPr="002C047B">
        <w:rPr>
          <w:lang w:val="fr-FR"/>
        </w:rPr>
        <w:t>:</w:t>
      </w:r>
    </w:p>
    <w:p w:rsidR="00DE4EAF" w:rsidRPr="002C047B" w:rsidRDefault="00C657CA" w:rsidP="002C047B">
      <w:pPr>
        <w:pStyle w:val="ONUME"/>
        <w:numPr>
          <w:ilvl w:val="0"/>
          <w:numId w:val="0"/>
        </w:numPr>
        <w:ind w:left="567"/>
        <w:rPr>
          <w:lang w:val="fr-FR"/>
        </w:rPr>
      </w:pPr>
      <w:r w:rsidRPr="002C047B">
        <w:rPr>
          <w:lang w:val="fr-FR"/>
        </w:rPr>
        <w:t>“</w:t>
      </w:r>
      <w:r w:rsidR="00C258E1" w:rsidRPr="002C047B">
        <w:rPr>
          <w:lang w:val="fr-FR"/>
        </w:rPr>
        <w:t xml:space="preserve">Pour se prononcer sur </w:t>
      </w:r>
      <w:r w:rsidRPr="002C047B">
        <w:rPr>
          <w:lang w:val="fr-FR"/>
        </w:rPr>
        <w:t>une demande au titre de la règle</w:t>
      </w:r>
      <w:r w:rsidR="004862FB" w:rsidRPr="002C047B">
        <w:rPr>
          <w:lang w:val="fr-FR"/>
        </w:rPr>
        <w:t> </w:t>
      </w:r>
      <w:r w:rsidRPr="002C047B">
        <w:rPr>
          <w:lang w:val="fr-FR"/>
        </w:rPr>
        <w:t>82</w:t>
      </w:r>
      <w:r w:rsidRPr="002C047B">
        <w:rPr>
          <w:i/>
          <w:lang w:val="fr-FR"/>
        </w:rPr>
        <w:t>quater</w:t>
      </w:r>
      <w:r w:rsidRPr="002C047B">
        <w:rPr>
          <w:lang w:val="fr-FR"/>
        </w:rPr>
        <w:t>.1</w:t>
      </w:r>
      <w:r w:rsidR="00BA50DD" w:rsidRPr="002C047B">
        <w:rPr>
          <w:lang w:val="fr-FR"/>
        </w:rPr>
        <w:t xml:space="preserve"> </w:t>
      </w:r>
      <w:r w:rsidR="00276A0A" w:rsidRPr="002C047B">
        <w:rPr>
          <w:lang w:val="fr-FR"/>
        </w:rPr>
        <w:t>visant</w:t>
      </w:r>
      <w:r w:rsidR="00BA50DD" w:rsidRPr="002C047B">
        <w:rPr>
          <w:lang w:val="fr-FR"/>
        </w:rPr>
        <w:t xml:space="preserve"> à obtenir</w:t>
      </w:r>
      <w:r w:rsidRPr="002C047B">
        <w:rPr>
          <w:lang w:val="fr-FR"/>
        </w:rPr>
        <w:t xml:space="preserve"> </w:t>
      </w:r>
      <w:r w:rsidR="00BA50DD" w:rsidRPr="002C047B">
        <w:rPr>
          <w:lang w:val="fr-FR"/>
        </w:rPr>
        <w:t>l</w:t>
      </w:r>
      <w:r w:rsidR="005931B4" w:rsidRPr="002C047B">
        <w:rPr>
          <w:lang w:val="fr-FR"/>
        </w:rPr>
        <w:t>’</w:t>
      </w:r>
      <w:r w:rsidRPr="002C047B">
        <w:rPr>
          <w:lang w:val="fr-FR"/>
        </w:rPr>
        <w:t>e</w:t>
      </w:r>
      <w:r w:rsidR="00BA50DD" w:rsidRPr="002C047B">
        <w:rPr>
          <w:lang w:val="fr-FR"/>
        </w:rPr>
        <w:t>xcuse</w:t>
      </w:r>
      <w:r w:rsidRPr="002C047B">
        <w:rPr>
          <w:lang w:val="fr-FR"/>
        </w:rPr>
        <w:t xml:space="preserve"> </w:t>
      </w:r>
      <w:r w:rsidR="00BA50DD" w:rsidRPr="002C047B">
        <w:rPr>
          <w:lang w:val="fr-FR"/>
        </w:rPr>
        <w:t>d</w:t>
      </w:r>
      <w:r w:rsidR="005931B4" w:rsidRPr="002C047B">
        <w:rPr>
          <w:lang w:val="fr-FR"/>
        </w:rPr>
        <w:t>’</w:t>
      </w:r>
      <w:r w:rsidRPr="002C047B">
        <w:rPr>
          <w:lang w:val="fr-FR"/>
        </w:rPr>
        <w:t>un retard dans l</w:t>
      </w:r>
      <w:r w:rsidR="005931B4" w:rsidRPr="002C047B">
        <w:rPr>
          <w:lang w:val="fr-FR"/>
        </w:rPr>
        <w:t>’</w:t>
      </w:r>
      <w:r w:rsidRPr="002C047B">
        <w:rPr>
          <w:lang w:val="fr-FR"/>
        </w:rPr>
        <w:t>observation d</w:t>
      </w:r>
      <w:r w:rsidR="005931B4" w:rsidRPr="002C047B">
        <w:rPr>
          <w:lang w:val="fr-FR"/>
        </w:rPr>
        <w:t>’</w:t>
      </w:r>
      <w:r w:rsidRPr="002C047B">
        <w:rPr>
          <w:lang w:val="fr-FR"/>
        </w:rPr>
        <w:t>un délai en raison d</w:t>
      </w:r>
      <w:r w:rsidR="005931B4" w:rsidRPr="002C047B">
        <w:rPr>
          <w:lang w:val="fr-FR"/>
        </w:rPr>
        <w:t>’</w:t>
      </w:r>
      <w:r w:rsidRPr="002C047B">
        <w:rPr>
          <w:lang w:val="fr-FR"/>
        </w:rPr>
        <w:t>une indisponibilité générale des services de communication électronique, l</w:t>
      </w:r>
      <w:r w:rsidR="005931B4" w:rsidRPr="002C047B">
        <w:rPr>
          <w:lang w:val="fr-FR"/>
        </w:rPr>
        <w:t>’</w:t>
      </w:r>
      <w:r w:rsidRPr="002C047B">
        <w:rPr>
          <w:lang w:val="fr-FR"/>
        </w:rPr>
        <w:t>office, l</w:t>
      </w:r>
      <w:r w:rsidR="005931B4" w:rsidRPr="002C047B">
        <w:rPr>
          <w:lang w:val="fr-FR"/>
        </w:rPr>
        <w:t>’</w:t>
      </w:r>
      <w:r w:rsidRPr="002C047B">
        <w:rPr>
          <w:lang w:val="fr-FR"/>
        </w:rPr>
        <w:t>administration ou le Bureau international d</w:t>
      </w:r>
      <w:r w:rsidR="00C258E1" w:rsidRPr="002C047B">
        <w:rPr>
          <w:lang w:val="fr-FR"/>
        </w:rPr>
        <w:t>o</w:t>
      </w:r>
      <w:r w:rsidRPr="002C047B">
        <w:rPr>
          <w:lang w:val="fr-FR"/>
        </w:rPr>
        <w:t>it interpr</w:t>
      </w:r>
      <w:r w:rsidR="00E220A7" w:rsidRPr="002C047B">
        <w:rPr>
          <w:lang w:val="fr-FR"/>
        </w:rPr>
        <w:t>é</w:t>
      </w:r>
      <w:r w:rsidRPr="002C047B">
        <w:rPr>
          <w:lang w:val="fr-FR"/>
        </w:rPr>
        <w:t>ter l</w:t>
      </w:r>
      <w:r w:rsidR="005931B4" w:rsidRPr="002C047B">
        <w:rPr>
          <w:lang w:val="fr-FR"/>
        </w:rPr>
        <w:t>’</w:t>
      </w:r>
      <w:r w:rsidRPr="002C047B">
        <w:rPr>
          <w:lang w:val="fr-FR"/>
        </w:rPr>
        <w:t>indisponibilité générale des services de co</w:t>
      </w:r>
      <w:r w:rsidR="002635AB" w:rsidRPr="002C047B">
        <w:rPr>
          <w:lang w:val="fr-FR"/>
        </w:rPr>
        <w:t xml:space="preserve">mmunication électronique </w:t>
      </w:r>
      <w:r w:rsidR="00BA50DD" w:rsidRPr="002C047B">
        <w:rPr>
          <w:lang w:val="fr-FR"/>
        </w:rPr>
        <w:t>comme s</w:t>
      </w:r>
      <w:r w:rsidR="005931B4" w:rsidRPr="002C047B">
        <w:rPr>
          <w:lang w:val="fr-FR"/>
        </w:rPr>
        <w:t>’</w:t>
      </w:r>
      <w:r w:rsidR="00BA50DD" w:rsidRPr="002C047B">
        <w:rPr>
          <w:lang w:val="fr-FR"/>
        </w:rPr>
        <w:t>appliquant</w:t>
      </w:r>
      <w:r w:rsidRPr="002C047B">
        <w:rPr>
          <w:lang w:val="fr-FR"/>
        </w:rPr>
        <w:t xml:space="preserve"> aux interruptions de service qui affectent de </w:t>
      </w:r>
      <w:r w:rsidR="00C258E1" w:rsidRPr="002C047B">
        <w:rPr>
          <w:lang w:val="fr-FR"/>
        </w:rPr>
        <w:t>vaste</w:t>
      </w:r>
      <w:r w:rsidRPr="002C047B">
        <w:rPr>
          <w:lang w:val="fr-FR"/>
        </w:rPr>
        <w:t>s étendues géograp</w:t>
      </w:r>
      <w:r w:rsidR="00C258E1" w:rsidRPr="002C047B">
        <w:rPr>
          <w:lang w:val="fr-FR"/>
        </w:rPr>
        <w:t>hiques ou de nombreuses</w:t>
      </w:r>
      <w:r w:rsidR="00276A0A" w:rsidRPr="002C047B">
        <w:rPr>
          <w:lang w:val="fr-FR"/>
        </w:rPr>
        <w:t xml:space="preserve"> </w:t>
      </w:r>
      <w:r w:rsidR="00C258E1" w:rsidRPr="002C047B">
        <w:rPr>
          <w:lang w:val="fr-FR"/>
        </w:rPr>
        <w:t>personnes, par opposition aux</w:t>
      </w:r>
      <w:r w:rsidRPr="002C047B">
        <w:rPr>
          <w:lang w:val="fr-FR"/>
        </w:rPr>
        <w:t xml:space="preserve"> problèmes localisés </w:t>
      </w:r>
      <w:r w:rsidR="00BA50DD" w:rsidRPr="002C047B">
        <w:rPr>
          <w:lang w:val="fr-FR"/>
        </w:rPr>
        <w:t xml:space="preserve">concernant </w:t>
      </w:r>
      <w:r w:rsidRPr="002C047B">
        <w:rPr>
          <w:lang w:val="fr-FR"/>
        </w:rPr>
        <w:t xml:space="preserve">un bâtiment </w:t>
      </w:r>
      <w:r w:rsidR="00BA50DD" w:rsidRPr="002C047B">
        <w:rPr>
          <w:lang w:val="fr-FR"/>
        </w:rPr>
        <w:t xml:space="preserve">particulier </w:t>
      </w:r>
      <w:r w:rsidRPr="002C047B">
        <w:rPr>
          <w:lang w:val="fr-FR"/>
        </w:rPr>
        <w:t>ou un seul utilisateur.”</w:t>
      </w:r>
    </w:p>
    <w:p w:rsidR="005931B4" w:rsidRPr="002C047B" w:rsidRDefault="00C657CA" w:rsidP="002C047B">
      <w:pPr>
        <w:pStyle w:val="ONUMFS"/>
        <w:ind w:left="5533"/>
        <w:rPr>
          <w:i/>
          <w:lang w:val="fr-FR"/>
        </w:rPr>
      </w:pPr>
      <w:r w:rsidRPr="002C047B">
        <w:rPr>
          <w:i/>
          <w:lang w:val="fr-FR"/>
        </w:rPr>
        <w:t>Le groupe de travail est invité à examiner la proposition de modification du règlement d</w:t>
      </w:r>
      <w:r w:rsidR="005931B4" w:rsidRPr="002C047B">
        <w:rPr>
          <w:i/>
          <w:lang w:val="fr-FR"/>
        </w:rPr>
        <w:t>’</w:t>
      </w:r>
      <w:r w:rsidRPr="002C047B">
        <w:rPr>
          <w:i/>
          <w:lang w:val="fr-FR"/>
        </w:rPr>
        <w:t>exécution figur</w:t>
      </w:r>
      <w:r w:rsidR="0086675F" w:rsidRPr="002C047B">
        <w:rPr>
          <w:i/>
          <w:lang w:val="fr-FR"/>
        </w:rPr>
        <w:t>ant</w:t>
      </w:r>
      <w:r w:rsidRPr="002C047B">
        <w:rPr>
          <w:i/>
          <w:lang w:val="fr-FR"/>
        </w:rPr>
        <w:t xml:space="preserve"> </w:t>
      </w:r>
      <w:r w:rsidR="00BA50DD" w:rsidRPr="002C047B">
        <w:rPr>
          <w:i/>
          <w:lang w:val="fr-FR"/>
        </w:rPr>
        <w:t>à</w:t>
      </w:r>
      <w:r w:rsidRPr="002C047B">
        <w:rPr>
          <w:i/>
          <w:lang w:val="fr-FR"/>
        </w:rPr>
        <w:t xml:space="preserve"> l</w:t>
      </w:r>
      <w:r w:rsidR="005931B4" w:rsidRPr="002C047B">
        <w:rPr>
          <w:i/>
          <w:lang w:val="fr-FR"/>
        </w:rPr>
        <w:t>’</w:t>
      </w:r>
      <w:r w:rsidRPr="002C047B">
        <w:rPr>
          <w:i/>
          <w:lang w:val="fr-FR"/>
        </w:rPr>
        <w:t xml:space="preserve">annexe du présent document </w:t>
      </w:r>
      <w:r w:rsidR="00BA50DD" w:rsidRPr="002C047B">
        <w:rPr>
          <w:i/>
          <w:lang w:val="fr-FR"/>
        </w:rPr>
        <w:t xml:space="preserve">et </w:t>
      </w:r>
      <w:r w:rsidRPr="002C047B">
        <w:rPr>
          <w:i/>
          <w:lang w:val="fr-FR"/>
        </w:rPr>
        <w:t>l</w:t>
      </w:r>
      <w:r w:rsidR="00C258E1" w:rsidRPr="002C047B">
        <w:rPr>
          <w:i/>
          <w:lang w:val="fr-FR"/>
        </w:rPr>
        <w:t>a déclaration interprétative concernant</w:t>
      </w:r>
      <w:r w:rsidRPr="002C047B">
        <w:rPr>
          <w:i/>
          <w:lang w:val="fr-FR"/>
        </w:rPr>
        <w:t xml:space="preserve"> l</w:t>
      </w:r>
      <w:r w:rsidR="005931B4" w:rsidRPr="002C047B">
        <w:rPr>
          <w:i/>
          <w:lang w:val="fr-FR"/>
        </w:rPr>
        <w:t>’</w:t>
      </w:r>
      <w:r w:rsidRPr="002C047B">
        <w:rPr>
          <w:i/>
          <w:lang w:val="fr-FR"/>
        </w:rPr>
        <w:t xml:space="preserve">application de </w:t>
      </w:r>
      <w:r w:rsidR="00C258E1" w:rsidRPr="002C047B">
        <w:rPr>
          <w:i/>
          <w:lang w:val="fr-FR"/>
        </w:rPr>
        <w:t>cette</w:t>
      </w:r>
      <w:r w:rsidRPr="002C047B">
        <w:rPr>
          <w:i/>
          <w:lang w:val="fr-FR"/>
        </w:rPr>
        <w:t xml:space="preserve"> </w:t>
      </w:r>
      <w:r w:rsidR="0086675F" w:rsidRPr="002C047B">
        <w:rPr>
          <w:i/>
          <w:lang w:val="fr-FR"/>
        </w:rPr>
        <w:t xml:space="preserve">proposition de </w:t>
      </w:r>
      <w:r w:rsidRPr="002C047B">
        <w:rPr>
          <w:i/>
          <w:lang w:val="fr-FR"/>
        </w:rPr>
        <w:t>modification</w:t>
      </w:r>
      <w:r w:rsidR="0086675F" w:rsidRPr="002C047B">
        <w:rPr>
          <w:i/>
          <w:lang w:val="fr-FR"/>
        </w:rPr>
        <w:t xml:space="preserve"> figurant</w:t>
      </w:r>
      <w:r w:rsidRPr="002C047B">
        <w:rPr>
          <w:i/>
          <w:lang w:val="fr-FR"/>
        </w:rPr>
        <w:t xml:space="preserve"> au paragraphe</w:t>
      </w:r>
      <w:r w:rsidR="00C258E1" w:rsidRPr="002C047B">
        <w:rPr>
          <w:i/>
          <w:lang w:val="fr-FR"/>
        </w:rPr>
        <w:t> </w:t>
      </w:r>
      <w:r w:rsidRPr="002C047B">
        <w:rPr>
          <w:i/>
          <w:lang w:val="fr-FR"/>
        </w:rPr>
        <w:fldChar w:fldCharType="begin"/>
      </w:r>
      <w:r w:rsidRPr="002C047B">
        <w:rPr>
          <w:i/>
          <w:lang w:val="fr-FR"/>
        </w:rPr>
        <w:instrText xml:space="preserve"> REF _Ref417556264 \r \h  \* MERGEFORMAT </w:instrText>
      </w:r>
      <w:r w:rsidRPr="002C047B">
        <w:rPr>
          <w:i/>
          <w:lang w:val="fr-FR"/>
        </w:rPr>
      </w:r>
      <w:r w:rsidRPr="002C047B">
        <w:rPr>
          <w:i/>
          <w:lang w:val="fr-FR"/>
        </w:rPr>
        <w:fldChar w:fldCharType="separate"/>
      </w:r>
      <w:r w:rsidR="000733B7">
        <w:rPr>
          <w:i/>
          <w:lang w:val="fr-FR"/>
        </w:rPr>
        <w:t>25</w:t>
      </w:r>
      <w:r w:rsidRPr="002C047B">
        <w:rPr>
          <w:i/>
          <w:lang w:val="fr-FR"/>
        </w:rPr>
        <w:fldChar w:fldCharType="end"/>
      </w:r>
      <w:r w:rsidRPr="002C047B">
        <w:rPr>
          <w:i/>
          <w:lang w:val="fr-FR"/>
        </w:rPr>
        <w:t>.</w:t>
      </w:r>
    </w:p>
    <w:p w:rsidR="00DE4EAF" w:rsidRPr="002C047B" w:rsidRDefault="00DE4EAF" w:rsidP="002C047B">
      <w:pPr>
        <w:pStyle w:val="Endofdocument-Annex"/>
        <w:rPr>
          <w:lang w:val="fr-FR"/>
        </w:rPr>
      </w:pPr>
    </w:p>
    <w:p w:rsidR="00065765" w:rsidRPr="002C047B" w:rsidRDefault="00065765" w:rsidP="002C047B">
      <w:pPr>
        <w:pStyle w:val="Endofdocument-Annex"/>
        <w:rPr>
          <w:lang w:val="fr-FR"/>
        </w:rPr>
      </w:pPr>
    </w:p>
    <w:p w:rsidR="00DF4B40" w:rsidRPr="002C047B" w:rsidRDefault="00C657CA" w:rsidP="002C047B">
      <w:pPr>
        <w:pStyle w:val="Endofdocument-Annex"/>
        <w:rPr>
          <w:lang w:val="fr-FR"/>
        </w:rPr>
        <w:sectPr w:rsidR="00DF4B40" w:rsidRPr="002C047B" w:rsidSect="00062A2C">
          <w:headerReference w:type="default" r:id="rId10"/>
          <w:footerReference w:type="first" r:id="rId11"/>
          <w:endnotePr>
            <w:numFmt w:val="decimal"/>
          </w:endnotePr>
          <w:pgSz w:w="11907" w:h="16840" w:code="9"/>
          <w:pgMar w:top="567" w:right="1134" w:bottom="1418" w:left="1418" w:header="510" w:footer="1021" w:gutter="0"/>
          <w:cols w:space="720"/>
          <w:titlePg/>
          <w:docGrid w:linePitch="299"/>
        </w:sectPr>
      </w:pPr>
      <w:r w:rsidRPr="002C047B">
        <w:rPr>
          <w:lang w:val="fr-FR"/>
        </w:rPr>
        <w:t>[L</w:t>
      </w:r>
      <w:r w:rsidR="005931B4" w:rsidRPr="002C047B">
        <w:rPr>
          <w:lang w:val="fr-FR"/>
        </w:rPr>
        <w:t>’</w:t>
      </w:r>
      <w:r w:rsidRPr="002C047B">
        <w:rPr>
          <w:lang w:val="fr-FR"/>
        </w:rPr>
        <w:t>annexe suit]</w:t>
      </w:r>
    </w:p>
    <w:p w:rsidR="00DE4EAF" w:rsidRPr="002C047B" w:rsidRDefault="00276A0A" w:rsidP="002C047B">
      <w:pPr>
        <w:jc w:val="center"/>
        <w:rPr>
          <w:lang w:val="fr-FR"/>
        </w:rPr>
      </w:pPr>
      <w:r w:rsidRPr="002C047B">
        <w:rPr>
          <w:lang w:val="fr-FR"/>
        </w:rPr>
        <w:lastRenderedPageBreak/>
        <w:t>PROPOSITIONS DE MODIFICATION DU RÈGLEMENT D</w:t>
      </w:r>
      <w:r w:rsidR="005931B4" w:rsidRPr="002C047B">
        <w:rPr>
          <w:lang w:val="fr-FR"/>
        </w:rPr>
        <w:t>’</w:t>
      </w:r>
      <w:r w:rsidRPr="002C047B">
        <w:rPr>
          <w:lang w:val="fr-FR"/>
        </w:rPr>
        <w:t xml:space="preserve">EXÉCUTION DU </w:t>
      </w:r>
      <w:r w:rsidR="00A56943" w:rsidRPr="002C047B">
        <w:rPr>
          <w:lang w:val="fr-FR"/>
        </w:rPr>
        <w:t>PCT</w:t>
      </w:r>
      <w:r w:rsidR="00A56943" w:rsidRPr="002C047B">
        <w:rPr>
          <w:rStyle w:val="FootnoteReference"/>
          <w:lang w:val="fr-FR"/>
        </w:rPr>
        <w:footnoteReference w:id="2"/>
      </w:r>
    </w:p>
    <w:p w:rsidR="00DE4EAF" w:rsidRPr="002C047B" w:rsidRDefault="00DE4EAF" w:rsidP="002C047B">
      <w:pPr>
        <w:jc w:val="center"/>
        <w:rPr>
          <w:lang w:val="fr-FR"/>
        </w:rPr>
      </w:pPr>
    </w:p>
    <w:p w:rsidR="00DE4EAF" w:rsidRPr="002C047B" w:rsidRDefault="00DE4EAF" w:rsidP="002C047B">
      <w:pPr>
        <w:jc w:val="center"/>
        <w:rPr>
          <w:lang w:val="fr-FR"/>
        </w:rPr>
      </w:pPr>
    </w:p>
    <w:p w:rsidR="00DE4EAF" w:rsidRPr="002C047B" w:rsidRDefault="00A56943" w:rsidP="002C047B">
      <w:pPr>
        <w:jc w:val="center"/>
        <w:rPr>
          <w:lang w:val="fr-FR"/>
        </w:rPr>
      </w:pPr>
      <w:r w:rsidRPr="002C047B">
        <w:rPr>
          <w:lang w:val="fr-FR"/>
        </w:rPr>
        <w:t>TABLE DES MATIÈRES</w:t>
      </w:r>
    </w:p>
    <w:p w:rsidR="00DE4EAF" w:rsidRPr="002C047B" w:rsidRDefault="00DE4EAF" w:rsidP="002C047B">
      <w:pPr>
        <w:pStyle w:val="ONUME"/>
        <w:numPr>
          <w:ilvl w:val="0"/>
          <w:numId w:val="0"/>
        </w:numPr>
        <w:rPr>
          <w:lang w:val="fr-FR"/>
        </w:rPr>
      </w:pPr>
    </w:p>
    <w:p w:rsidR="00065765" w:rsidRPr="002C047B" w:rsidRDefault="00065765" w:rsidP="002C047B">
      <w:pPr>
        <w:pStyle w:val="TOC1"/>
        <w:tabs>
          <w:tab w:val="right" w:leader="dot" w:pos="9345"/>
        </w:tabs>
        <w:rPr>
          <w:rFonts w:asciiTheme="minorHAnsi" w:eastAsiaTheme="minorEastAsia" w:hAnsiTheme="minorHAnsi" w:cstheme="minorBidi"/>
          <w:noProof/>
          <w:szCs w:val="22"/>
          <w:lang w:val="fr-FR" w:eastAsia="fr-FR"/>
        </w:rPr>
      </w:pPr>
      <w:r w:rsidRPr="002C047B">
        <w:rPr>
          <w:lang w:val="fr-FR"/>
        </w:rPr>
        <w:fldChar w:fldCharType="begin"/>
      </w:r>
      <w:r w:rsidRPr="002C047B">
        <w:rPr>
          <w:lang w:val="fr-FR"/>
        </w:rPr>
        <w:instrText xml:space="preserve"> TOC \t "Leg SubRule #;2;Leg Rule #;1" </w:instrText>
      </w:r>
      <w:r w:rsidRPr="002C047B">
        <w:rPr>
          <w:lang w:val="fr-FR"/>
        </w:rPr>
        <w:fldChar w:fldCharType="separate"/>
      </w:r>
      <w:r w:rsidRPr="002C047B">
        <w:rPr>
          <w:noProof/>
          <w:lang w:val="fr-FR"/>
        </w:rPr>
        <w:t>Règle</w:t>
      </w:r>
      <w:r w:rsidR="004862FB" w:rsidRPr="002C047B">
        <w:rPr>
          <w:noProof/>
          <w:lang w:val="fr-FR"/>
        </w:rPr>
        <w:t> </w:t>
      </w:r>
      <w:r w:rsidRPr="002C047B">
        <w:rPr>
          <w:noProof/>
          <w:lang w:val="fr-FR"/>
        </w:rPr>
        <w:t>82</w:t>
      </w:r>
      <w:r w:rsidRPr="002C047B">
        <w:rPr>
          <w:i/>
          <w:noProof/>
          <w:lang w:val="fr-FR"/>
        </w:rPr>
        <w:t xml:space="preserve">quater  </w:t>
      </w:r>
      <w:r w:rsidRPr="002C047B">
        <w:rPr>
          <w:noProof/>
          <w:lang w:val="fr-FR"/>
        </w:rPr>
        <w:t xml:space="preserve"> Excuse de retard dans l</w:t>
      </w:r>
      <w:r w:rsidR="005931B4" w:rsidRPr="002C047B">
        <w:rPr>
          <w:noProof/>
          <w:lang w:val="fr-FR"/>
        </w:rPr>
        <w:t>’</w:t>
      </w:r>
      <w:r w:rsidRPr="002C047B">
        <w:rPr>
          <w:noProof/>
          <w:lang w:val="fr-FR"/>
        </w:rPr>
        <w:t>observation de délais</w:t>
      </w:r>
      <w:r w:rsidRPr="002C047B">
        <w:rPr>
          <w:noProof/>
          <w:lang w:val="fr-FR"/>
        </w:rPr>
        <w:tab/>
      </w:r>
      <w:r w:rsidRPr="002C047B">
        <w:rPr>
          <w:noProof/>
          <w:lang w:val="fr-FR"/>
        </w:rPr>
        <w:fldChar w:fldCharType="begin"/>
      </w:r>
      <w:r w:rsidRPr="002C047B">
        <w:rPr>
          <w:noProof/>
          <w:lang w:val="fr-FR"/>
        </w:rPr>
        <w:instrText xml:space="preserve"> PAGEREF _Toc418776753 \h </w:instrText>
      </w:r>
      <w:r w:rsidRPr="002C047B">
        <w:rPr>
          <w:noProof/>
          <w:lang w:val="fr-FR"/>
        </w:rPr>
      </w:r>
      <w:r w:rsidRPr="002C047B">
        <w:rPr>
          <w:noProof/>
          <w:lang w:val="fr-FR"/>
        </w:rPr>
        <w:fldChar w:fldCharType="separate"/>
      </w:r>
      <w:r w:rsidR="000733B7">
        <w:rPr>
          <w:noProof/>
          <w:lang w:val="fr-FR"/>
        </w:rPr>
        <w:t>2</w:t>
      </w:r>
      <w:r w:rsidRPr="002C047B">
        <w:rPr>
          <w:noProof/>
          <w:lang w:val="fr-FR"/>
        </w:rPr>
        <w:fldChar w:fldCharType="end"/>
      </w:r>
    </w:p>
    <w:p w:rsidR="00065765" w:rsidRPr="002C047B" w:rsidRDefault="00065765" w:rsidP="002C047B">
      <w:pPr>
        <w:pStyle w:val="TOC2"/>
        <w:tabs>
          <w:tab w:val="right" w:leader="dot" w:pos="9345"/>
        </w:tabs>
        <w:rPr>
          <w:rFonts w:asciiTheme="minorHAnsi" w:eastAsiaTheme="minorEastAsia" w:hAnsiTheme="minorHAnsi" w:cstheme="minorBidi"/>
          <w:noProof/>
          <w:szCs w:val="22"/>
          <w:lang w:val="fr-FR" w:eastAsia="fr-FR"/>
        </w:rPr>
      </w:pPr>
      <w:r w:rsidRPr="002C047B">
        <w:rPr>
          <w:noProof/>
          <w:lang w:val="fr-FR"/>
        </w:rPr>
        <w:t>82</w:t>
      </w:r>
      <w:r w:rsidRPr="002C047B">
        <w:rPr>
          <w:i/>
          <w:noProof/>
          <w:lang w:val="fr-FR"/>
        </w:rPr>
        <w:t>quater</w:t>
      </w:r>
      <w:r w:rsidRPr="002C047B">
        <w:rPr>
          <w:noProof/>
          <w:lang w:val="fr-FR"/>
        </w:rPr>
        <w:t>.1   </w:t>
      </w:r>
      <w:r w:rsidRPr="002C047B">
        <w:rPr>
          <w:i/>
          <w:noProof/>
          <w:lang w:val="fr-FR"/>
        </w:rPr>
        <w:t>Excuse de retard dans l</w:t>
      </w:r>
      <w:r w:rsidR="005931B4" w:rsidRPr="002C047B">
        <w:rPr>
          <w:i/>
          <w:noProof/>
          <w:lang w:val="fr-FR"/>
        </w:rPr>
        <w:t>’</w:t>
      </w:r>
      <w:r w:rsidRPr="002C047B">
        <w:rPr>
          <w:i/>
          <w:noProof/>
          <w:lang w:val="fr-FR"/>
        </w:rPr>
        <w:t>observation de délais</w:t>
      </w:r>
      <w:r w:rsidRPr="002C047B">
        <w:rPr>
          <w:noProof/>
          <w:lang w:val="fr-FR"/>
        </w:rPr>
        <w:tab/>
      </w:r>
      <w:r w:rsidRPr="002C047B">
        <w:rPr>
          <w:noProof/>
          <w:lang w:val="fr-FR"/>
        </w:rPr>
        <w:fldChar w:fldCharType="begin"/>
      </w:r>
      <w:r w:rsidRPr="002C047B">
        <w:rPr>
          <w:noProof/>
          <w:lang w:val="fr-FR"/>
        </w:rPr>
        <w:instrText xml:space="preserve"> PAGEREF _Toc418776754 \h </w:instrText>
      </w:r>
      <w:r w:rsidRPr="002C047B">
        <w:rPr>
          <w:noProof/>
          <w:lang w:val="fr-FR"/>
        </w:rPr>
      </w:r>
      <w:r w:rsidRPr="002C047B">
        <w:rPr>
          <w:noProof/>
          <w:lang w:val="fr-FR"/>
        </w:rPr>
        <w:fldChar w:fldCharType="separate"/>
      </w:r>
      <w:r w:rsidR="000733B7">
        <w:rPr>
          <w:noProof/>
          <w:lang w:val="fr-FR"/>
        </w:rPr>
        <w:t>2</w:t>
      </w:r>
      <w:r w:rsidRPr="002C047B">
        <w:rPr>
          <w:noProof/>
          <w:lang w:val="fr-FR"/>
        </w:rPr>
        <w:fldChar w:fldCharType="end"/>
      </w:r>
    </w:p>
    <w:p w:rsidR="00DE4EAF" w:rsidRPr="002C047B" w:rsidRDefault="00065765" w:rsidP="002C047B">
      <w:pPr>
        <w:rPr>
          <w:lang w:val="fr-FR"/>
        </w:rPr>
      </w:pPr>
      <w:r w:rsidRPr="002C047B">
        <w:rPr>
          <w:lang w:val="fr-FR"/>
        </w:rPr>
        <w:fldChar w:fldCharType="end"/>
      </w:r>
    </w:p>
    <w:p w:rsidR="00DE4EAF" w:rsidRPr="002C047B" w:rsidRDefault="00DF4B40" w:rsidP="001E4A85">
      <w:pPr>
        <w:pStyle w:val="LegRule"/>
        <w:rPr>
          <w:lang w:val="fr-FR"/>
        </w:rPr>
      </w:pPr>
      <w:bookmarkStart w:id="8" w:name="_Toc386803513"/>
      <w:bookmarkStart w:id="9" w:name="_Toc418776753"/>
      <w:r w:rsidRPr="002C047B">
        <w:rPr>
          <w:lang w:val="fr-FR"/>
        </w:rPr>
        <w:lastRenderedPageBreak/>
        <w:t>R</w:t>
      </w:r>
      <w:r w:rsidR="00A56943" w:rsidRPr="002C047B">
        <w:rPr>
          <w:lang w:val="fr-FR"/>
        </w:rPr>
        <w:t>ègle</w:t>
      </w:r>
      <w:r w:rsidR="004862FB" w:rsidRPr="002C047B">
        <w:rPr>
          <w:lang w:val="fr-FR"/>
        </w:rPr>
        <w:t> </w:t>
      </w:r>
      <w:r w:rsidRPr="002C047B">
        <w:rPr>
          <w:lang w:val="fr-FR"/>
        </w:rPr>
        <w:t>82</w:t>
      </w:r>
      <w:r w:rsidRPr="002C047B">
        <w:rPr>
          <w:i/>
          <w:lang w:val="fr-FR"/>
        </w:rPr>
        <w:t xml:space="preserve">quater </w:t>
      </w:r>
      <w:r w:rsidRPr="002C047B">
        <w:rPr>
          <w:lang w:val="fr-FR"/>
        </w:rPr>
        <w:br/>
        <w:t xml:space="preserve">Excuse </w:t>
      </w:r>
      <w:r w:rsidR="00A56943" w:rsidRPr="002C047B">
        <w:rPr>
          <w:lang w:val="fr-FR"/>
        </w:rPr>
        <w:t>de retard dans l</w:t>
      </w:r>
      <w:r w:rsidR="005931B4" w:rsidRPr="002C047B">
        <w:rPr>
          <w:lang w:val="fr-FR"/>
        </w:rPr>
        <w:t>’</w:t>
      </w:r>
      <w:r w:rsidR="00A56943" w:rsidRPr="002C047B">
        <w:rPr>
          <w:lang w:val="fr-FR"/>
        </w:rPr>
        <w:t>observation de délais</w:t>
      </w:r>
      <w:bookmarkEnd w:id="8"/>
      <w:bookmarkEnd w:id="9"/>
    </w:p>
    <w:p w:rsidR="00DE4EAF" w:rsidRPr="002C047B" w:rsidRDefault="00DF4B40" w:rsidP="001E4A85">
      <w:pPr>
        <w:pStyle w:val="LegSubRule"/>
        <w:spacing w:line="360" w:lineRule="auto"/>
        <w:rPr>
          <w:lang w:val="fr-FR"/>
        </w:rPr>
      </w:pPr>
      <w:bookmarkStart w:id="10" w:name="_Toc386803514"/>
      <w:bookmarkStart w:id="11" w:name="_Toc418776754"/>
      <w:r w:rsidRPr="002C047B">
        <w:rPr>
          <w:lang w:val="fr-FR"/>
        </w:rPr>
        <w:t>82</w:t>
      </w:r>
      <w:r w:rsidRPr="002C047B">
        <w:rPr>
          <w:i/>
          <w:lang w:val="fr-FR"/>
        </w:rPr>
        <w:t>quater</w:t>
      </w:r>
      <w:r w:rsidRPr="002C047B">
        <w:rPr>
          <w:lang w:val="fr-FR"/>
        </w:rPr>
        <w:t>.1   </w:t>
      </w:r>
      <w:bookmarkEnd w:id="10"/>
      <w:r w:rsidR="00067D34" w:rsidRPr="002C047B">
        <w:rPr>
          <w:i/>
          <w:lang w:val="fr-FR"/>
        </w:rPr>
        <w:t>Excuse de retard dans l</w:t>
      </w:r>
      <w:r w:rsidR="005931B4" w:rsidRPr="002C047B">
        <w:rPr>
          <w:i/>
          <w:lang w:val="fr-FR"/>
        </w:rPr>
        <w:t>’</w:t>
      </w:r>
      <w:r w:rsidR="00067D34" w:rsidRPr="002C047B">
        <w:rPr>
          <w:i/>
          <w:lang w:val="fr-FR"/>
        </w:rPr>
        <w:t>observation de délais</w:t>
      </w:r>
      <w:bookmarkEnd w:id="11"/>
    </w:p>
    <w:p w:rsidR="00DE4EAF" w:rsidRPr="002C047B" w:rsidRDefault="00DF4B40" w:rsidP="001E4A85">
      <w:pPr>
        <w:pStyle w:val="Lega"/>
        <w:rPr>
          <w:lang w:val="fr-FR"/>
        </w:rPr>
      </w:pPr>
      <w:r w:rsidRPr="002C047B">
        <w:rPr>
          <w:lang w:val="fr-FR"/>
        </w:rPr>
        <w:tab/>
        <w:t>a)  </w:t>
      </w:r>
      <w:r w:rsidR="00067D34" w:rsidRPr="002C047B">
        <w:rPr>
          <w:lang w:val="fr-FR"/>
        </w:rPr>
        <w:t>Toute partie intéressée peut faire la preuve qu</w:t>
      </w:r>
      <w:r w:rsidR="005931B4" w:rsidRPr="002C047B">
        <w:rPr>
          <w:lang w:val="fr-FR"/>
        </w:rPr>
        <w:t>’</w:t>
      </w:r>
      <w:r w:rsidR="00067D34" w:rsidRPr="002C047B">
        <w:rPr>
          <w:lang w:val="fr-FR"/>
        </w:rPr>
        <w:t>un délai prévu dans le règlement d</w:t>
      </w:r>
      <w:r w:rsidR="005931B4" w:rsidRPr="002C047B">
        <w:rPr>
          <w:lang w:val="fr-FR"/>
        </w:rPr>
        <w:t>’</w:t>
      </w:r>
      <w:r w:rsidR="00067D34" w:rsidRPr="002C047B">
        <w:rPr>
          <w:lang w:val="fr-FR"/>
        </w:rPr>
        <w:t>exécution pour l</w:t>
      </w:r>
      <w:r w:rsidR="005931B4" w:rsidRPr="002C047B">
        <w:rPr>
          <w:lang w:val="fr-FR"/>
        </w:rPr>
        <w:t>’</w:t>
      </w:r>
      <w:r w:rsidR="00067D34" w:rsidRPr="002C047B">
        <w:rPr>
          <w:lang w:val="fr-FR"/>
        </w:rPr>
        <w:t>accomplissement d</w:t>
      </w:r>
      <w:r w:rsidR="005931B4" w:rsidRPr="002C047B">
        <w:rPr>
          <w:lang w:val="fr-FR"/>
        </w:rPr>
        <w:t>’</w:t>
      </w:r>
      <w:r w:rsidR="00067D34" w:rsidRPr="002C047B">
        <w:rPr>
          <w:lang w:val="fr-FR"/>
        </w:rPr>
        <w:t>un acte devant l</w:t>
      </w:r>
      <w:r w:rsidR="005931B4" w:rsidRPr="002C047B">
        <w:rPr>
          <w:lang w:val="fr-FR"/>
        </w:rPr>
        <w:t>’</w:t>
      </w:r>
      <w:r w:rsidR="00067D34" w:rsidRPr="002C047B">
        <w:rPr>
          <w:lang w:val="fr-FR"/>
        </w:rPr>
        <w:t>office récepteur, l</w:t>
      </w:r>
      <w:r w:rsidR="005931B4" w:rsidRPr="002C047B">
        <w:rPr>
          <w:lang w:val="fr-FR"/>
        </w:rPr>
        <w:t>’</w:t>
      </w:r>
      <w:r w:rsidR="00067D34" w:rsidRPr="002C047B">
        <w:rPr>
          <w:lang w:val="fr-FR"/>
        </w:rPr>
        <w:t>administration chargée de la recherche internationale, l</w:t>
      </w:r>
      <w:r w:rsidR="005931B4" w:rsidRPr="002C047B">
        <w:rPr>
          <w:lang w:val="fr-FR"/>
        </w:rPr>
        <w:t>’</w:t>
      </w:r>
      <w:r w:rsidR="00067D34" w:rsidRPr="002C047B">
        <w:rPr>
          <w:lang w:val="fr-FR"/>
        </w:rPr>
        <w:t>administration indiquée pour la recherche supplémentaire, l</w:t>
      </w:r>
      <w:r w:rsidR="005931B4" w:rsidRPr="002C047B">
        <w:rPr>
          <w:lang w:val="fr-FR"/>
        </w:rPr>
        <w:t>’</w:t>
      </w:r>
      <w:r w:rsidR="00067D34" w:rsidRPr="002C047B">
        <w:rPr>
          <w:lang w:val="fr-FR"/>
        </w:rPr>
        <w:t>administration chargée de l</w:t>
      </w:r>
      <w:r w:rsidR="005931B4" w:rsidRPr="002C047B">
        <w:rPr>
          <w:lang w:val="fr-FR"/>
        </w:rPr>
        <w:t>’</w:t>
      </w:r>
      <w:r w:rsidR="00067D34" w:rsidRPr="002C047B">
        <w:rPr>
          <w:lang w:val="fr-FR"/>
        </w:rPr>
        <w:t>examen préliminaire international ou le Bureau international n</w:t>
      </w:r>
      <w:r w:rsidR="005931B4" w:rsidRPr="002C047B">
        <w:rPr>
          <w:lang w:val="fr-FR"/>
        </w:rPr>
        <w:t>’</w:t>
      </w:r>
      <w:r w:rsidR="00067D34" w:rsidRPr="002C047B">
        <w:rPr>
          <w:lang w:val="fr-FR"/>
        </w:rPr>
        <w:t>a pas été respecté en raison de guerre, de révolution, de désordre civil, de grève, de calamité naturelle</w:t>
      </w:r>
      <w:r w:rsidRPr="002C047B">
        <w:rPr>
          <w:rStyle w:val="InsertedText"/>
          <w:lang w:val="fr-FR"/>
        </w:rPr>
        <w:t xml:space="preserve">, </w:t>
      </w:r>
      <w:r w:rsidR="00067D34" w:rsidRPr="002C047B">
        <w:rPr>
          <w:rStyle w:val="InsertedText"/>
          <w:lang w:val="fr-FR"/>
        </w:rPr>
        <w:t>d</w:t>
      </w:r>
      <w:r w:rsidR="005931B4" w:rsidRPr="002C047B">
        <w:rPr>
          <w:rStyle w:val="InsertedText"/>
          <w:lang w:val="fr-FR"/>
        </w:rPr>
        <w:t>’</w:t>
      </w:r>
      <w:r w:rsidR="00067D34" w:rsidRPr="002C047B">
        <w:rPr>
          <w:rStyle w:val="InsertedText"/>
          <w:lang w:val="fr-FR"/>
        </w:rPr>
        <w:t xml:space="preserve">une indisponibilité générale des </w:t>
      </w:r>
      <w:r w:rsidRPr="002C047B">
        <w:rPr>
          <w:rStyle w:val="InsertedText"/>
          <w:lang w:val="fr-FR"/>
        </w:rPr>
        <w:t>services</w:t>
      </w:r>
      <w:r w:rsidR="00067D34" w:rsidRPr="002C047B">
        <w:rPr>
          <w:rStyle w:val="InsertedText"/>
          <w:lang w:val="fr-FR"/>
        </w:rPr>
        <w:t xml:space="preserve"> de communication élect</w:t>
      </w:r>
      <w:r w:rsidR="00276A0A" w:rsidRPr="002C047B">
        <w:rPr>
          <w:rStyle w:val="InsertedText"/>
          <w:lang w:val="fr-FR"/>
        </w:rPr>
        <w:t>r</w:t>
      </w:r>
      <w:r w:rsidR="00067D34" w:rsidRPr="002C047B">
        <w:rPr>
          <w:rStyle w:val="InsertedText"/>
          <w:lang w:val="fr-FR"/>
        </w:rPr>
        <w:t>onique</w:t>
      </w:r>
      <w:r w:rsidRPr="002C047B">
        <w:rPr>
          <w:lang w:val="fr-FR"/>
        </w:rPr>
        <w:t xml:space="preserve"> </w:t>
      </w:r>
      <w:r w:rsidR="00276A0A" w:rsidRPr="002C047B">
        <w:rPr>
          <w:lang w:val="fr-FR"/>
        </w:rPr>
        <w:t>ou d</w:t>
      </w:r>
      <w:r w:rsidR="005931B4" w:rsidRPr="002C047B">
        <w:rPr>
          <w:lang w:val="fr-FR"/>
        </w:rPr>
        <w:t>’</w:t>
      </w:r>
      <w:r w:rsidR="00276A0A" w:rsidRPr="002C047B">
        <w:rPr>
          <w:lang w:val="fr-FR"/>
        </w:rPr>
        <w:t xml:space="preserve">autres raisons semblables, dans la localité où la partie intéressée </w:t>
      </w:r>
      <w:proofErr w:type="spellStart"/>
      <w:r w:rsidR="00276A0A" w:rsidRPr="002C047B">
        <w:rPr>
          <w:lang w:val="fr-FR"/>
        </w:rPr>
        <w:t>a</w:t>
      </w:r>
      <w:proofErr w:type="spellEnd"/>
      <w:r w:rsidR="00276A0A" w:rsidRPr="002C047B">
        <w:rPr>
          <w:lang w:val="fr-FR"/>
        </w:rPr>
        <w:t xml:space="preserve"> son domicile, son siège ou sa résidence, et que les mesures nécessaires ont été prises dès que cela a été raisonnablement possible</w:t>
      </w:r>
      <w:r w:rsidRPr="002C047B">
        <w:rPr>
          <w:lang w:val="fr-FR"/>
        </w:rPr>
        <w:t>.</w:t>
      </w:r>
    </w:p>
    <w:p w:rsidR="00DE4EAF" w:rsidRPr="002C047B" w:rsidRDefault="00DF4B40" w:rsidP="001E4A85">
      <w:pPr>
        <w:pStyle w:val="Lega"/>
        <w:rPr>
          <w:lang w:val="fr-FR"/>
        </w:rPr>
      </w:pPr>
      <w:r w:rsidRPr="002C047B">
        <w:rPr>
          <w:lang w:val="fr-FR"/>
        </w:rPr>
        <w:tab/>
        <w:t>b)  [</w:t>
      </w:r>
      <w:r w:rsidR="00067D34" w:rsidRPr="002C047B">
        <w:rPr>
          <w:lang w:val="fr-FR"/>
        </w:rPr>
        <w:t>Sans changement</w:t>
      </w:r>
      <w:r w:rsidRPr="002C047B">
        <w:rPr>
          <w:lang w:val="fr-FR"/>
        </w:rPr>
        <w:t xml:space="preserve">]  </w:t>
      </w:r>
      <w:r w:rsidR="00067D34" w:rsidRPr="002C047B">
        <w:rPr>
          <w:lang w:val="fr-FR"/>
        </w:rPr>
        <w:t>Cette preuve doit être adressée à l</w:t>
      </w:r>
      <w:r w:rsidR="005931B4" w:rsidRPr="002C047B">
        <w:rPr>
          <w:lang w:val="fr-FR"/>
        </w:rPr>
        <w:t>’</w:t>
      </w:r>
      <w:r w:rsidR="00067D34" w:rsidRPr="002C047B">
        <w:rPr>
          <w:lang w:val="fr-FR"/>
        </w:rPr>
        <w:t>office, à l</w:t>
      </w:r>
      <w:r w:rsidR="005931B4" w:rsidRPr="002C047B">
        <w:rPr>
          <w:lang w:val="fr-FR"/>
        </w:rPr>
        <w:t>’</w:t>
      </w:r>
      <w:r w:rsidR="00067D34" w:rsidRPr="002C047B">
        <w:rPr>
          <w:lang w:val="fr-FR"/>
        </w:rPr>
        <w:t>administration ou au Bureau international, selon le cas, au plus tard six</w:t>
      </w:r>
      <w:r w:rsidR="004862FB" w:rsidRPr="002C047B">
        <w:rPr>
          <w:lang w:val="fr-FR"/>
        </w:rPr>
        <w:t> </w:t>
      </w:r>
      <w:r w:rsidR="00067D34" w:rsidRPr="002C047B">
        <w:rPr>
          <w:lang w:val="fr-FR"/>
        </w:rPr>
        <w:t>mois après l</w:t>
      </w:r>
      <w:r w:rsidR="005931B4" w:rsidRPr="002C047B">
        <w:rPr>
          <w:lang w:val="fr-FR"/>
        </w:rPr>
        <w:t>’</w:t>
      </w:r>
      <w:r w:rsidR="00067D34" w:rsidRPr="002C047B">
        <w:rPr>
          <w:lang w:val="fr-FR"/>
        </w:rPr>
        <w:t>expiration du délai applicable en l</w:t>
      </w:r>
      <w:r w:rsidR="005931B4" w:rsidRPr="002C047B">
        <w:rPr>
          <w:lang w:val="fr-FR"/>
        </w:rPr>
        <w:t>’</w:t>
      </w:r>
      <w:r w:rsidR="00067D34" w:rsidRPr="002C047B">
        <w:rPr>
          <w:lang w:val="fr-FR"/>
        </w:rPr>
        <w:t>espèce.</w:t>
      </w:r>
      <w:r w:rsidR="004862FB" w:rsidRPr="002C047B">
        <w:rPr>
          <w:lang w:val="fr-FR"/>
        </w:rPr>
        <w:t xml:space="preserve"> </w:t>
      </w:r>
      <w:r w:rsidR="00067D34" w:rsidRPr="002C047B">
        <w:rPr>
          <w:lang w:val="fr-FR"/>
        </w:rPr>
        <w:t xml:space="preserve"> Si, au vu de la preuve produite, le destinataire est convaincu que de telles circonstances ont existé, le retard dans l</w:t>
      </w:r>
      <w:r w:rsidR="005931B4" w:rsidRPr="002C047B">
        <w:rPr>
          <w:lang w:val="fr-FR"/>
        </w:rPr>
        <w:t>’</w:t>
      </w:r>
      <w:r w:rsidR="00067D34" w:rsidRPr="002C047B">
        <w:rPr>
          <w:lang w:val="fr-FR"/>
        </w:rPr>
        <w:t>observation du délai est excusé</w:t>
      </w:r>
      <w:r w:rsidRPr="002C047B">
        <w:rPr>
          <w:lang w:val="fr-FR"/>
        </w:rPr>
        <w:t>.</w:t>
      </w:r>
    </w:p>
    <w:p w:rsidR="00DE4EAF" w:rsidRPr="002C047B" w:rsidRDefault="00DF4B40" w:rsidP="001E4A85">
      <w:pPr>
        <w:pStyle w:val="Lega"/>
        <w:rPr>
          <w:lang w:val="fr-FR"/>
        </w:rPr>
      </w:pPr>
      <w:r w:rsidRPr="002C047B">
        <w:rPr>
          <w:lang w:val="fr-FR"/>
        </w:rPr>
        <w:tab/>
        <w:t>c)  [</w:t>
      </w:r>
      <w:r w:rsidR="00067D34" w:rsidRPr="002C047B">
        <w:rPr>
          <w:lang w:val="fr-FR"/>
        </w:rPr>
        <w:t>Sans changement</w:t>
      </w:r>
      <w:r w:rsidRPr="002C047B">
        <w:rPr>
          <w:lang w:val="fr-FR"/>
        </w:rPr>
        <w:t xml:space="preserve">]  </w:t>
      </w:r>
      <w:r w:rsidR="00067D34" w:rsidRPr="002C047B">
        <w:rPr>
          <w:lang w:val="fr-FR"/>
        </w:rPr>
        <w:t>L</w:t>
      </w:r>
      <w:r w:rsidR="005931B4" w:rsidRPr="002C047B">
        <w:rPr>
          <w:lang w:val="fr-FR"/>
        </w:rPr>
        <w:t>’</w:t>
      </w:r>
      <w:r w:rsidR="00067D34" w:rsidRPr="002C047B">
        <w:rPr>
          <w:lang w:val="fr-FR"/>
        </w:rPr>
        <w:t>excuse de retard n</w:t>
      </w:r>
      <w:r w:rsidR="005931B4" w:rsidRPr="002C047B">
        <w:rPr>
          <w:lang w:val="fr-FR"/>
        </w:rPr>
        <w:t>’</w:t>
      </w:r>
      <w:r w:rsidR="00067D34" w:rsidRPr="002C047B">
        <w:rPr>
          <w:lang w:val="fr-FR"/>
        </w:rPr>
        <w:t>a pas à être prise en considération par un office désigné ou élu devant lequel le déposant, au moment où la décision d</w:t>
      </w:r>
      <w:r w:rsidR="005931B4" w:rsidRPr="002C047B">
        <w:rPr>
          <w:lang w:val="fr-FR"/>
        </w:rPr>
        <w:t>’</w:t>
      </w:r>
      <w:r w:rsidR="00067D34" w:rsidRPr="002C047B">
        <w:rPr>
          <w:lang w:val="fr-FR"/>
        </w:rPr>
        <w:t xml:space="preserve">excuser ce retard est prise, a déjà accompli les actes visés à </w:t>
      </w:r>
      <w:hyperlink r:id="rId12" w:history="1">
        <w:r w:rsidR="00067D34" w:rsidRPr="002C047B">
          <w:rPr>
            <w:rStyle w:val="Hyperlink"/>
            <w:color w:val="auto"/>
            <w:u w:val="none"/>
            <w:lang w:val="fr-FR"/>
          </w:rPr>
          <w:t>l</w:t>
        </w:r>
        <w:r w:rsidR="005931B4" w:rsidRPr="002C047B">
          <w:rPr>
            <w:rStyle w:val="Hyperlink"/>
            <w:color w:val="auto"/>
            <w:u w:val="none"/>
            <w:lang w:val="fr-FR"/>
          </w:rPr>
          <w:t>’</w:t>
        </w:r>
        <w:r w:rsidR="004862FB" w:rsidRPr="002C047B">
          <w:rPr>
            <w:rStyle w:val="Hyperlink"/>
            <w:color w:val="auto"/>
            <w:u w:val="none"/>
            <w:lang w:val="fr-FR"/>
          </w:rPr>
          <w:t>article 2</w:t>
        </w:r>
        <w:r w:rsidR="00067D34" w:rsidRPr="002C047B">
          <w:rPr>
            <w:rStyle w:val="Hyperlink"/>
            <w:color w:val="auto"/>
            <w:u w:val="none"/>
            <w:lang w:val="fr-FR"/>
          </w:rPr>
          <w:t>2</w:t>
        </w:r>
      </w:hyperlink>
      <w:r w:rsidR="00067D34" w:rsidRPr="002C047B">
        <w:rPr>
          <w:lang w:val="fr-FR"/>
        </w:rPr>
        <w:t xml:space="preserve"> ou à </w:t>
      </w:r>
      <w:hyperlink r:id="rId13" w:history="1">
        <w:r w:rsidR="00067D34" w:rsidRPr="002C047B">
          <w:rPr>
            <w:rStyle w:val="Hyperlink"/>
            <w:color w:val="auto"/>
            <w:u w:val="none"/>
            <w:lang w:val="fr-FR"/>
          </w:rPr>
          <w:t>l</w:t>
        </w:r>
        <w:r w:rsidR="005931B4" w:rsidRPr="002C047B">
          <w:rPr>
            <w:rStyle w:val="Hyperlink"/>
            <w:color w:val="auto"/>
            <w:u w:val="none"/>
            <w:lang w:val="fr-FR"/>
          </w:rPr>
          <w:t>’</w:t>
        </w:r>
        <w:r w:rsidR="004862FB" w:rsidRPr="002C047B">
          <w:rPr>
            <w:rStyle w:val="Hyperlink"/>
            <w:color w:val="auto"/>
            <w:u w:val="none"/>
            <w:lang w:val="fr-FR"/>
          </w:rPr>
          <w:t>article 3</w:t>
        </w:r>
        <w:r w:rsidR="00067D34" w:rsidRPr="002C047B">
          <w:rPr>
            <w:rStyle w:val="Hyperlink"/>
            <w:color w:val="auto"/>
            <w:u w:val="none"/>
            <w:lang w:val="fr-FR"/>
          </w:rPr>
          <w:t>9</w:t>
        </w:r>
      </w:hyperlink>
      <w:r w:rsidRPr="002C047B">
        <w:rPr>
          <w:lang w:val="fr-FR"/>
        </w:rPr>
        <w:t>.</w:t>
      </w:r>
    </w:p>
    <w:p w:rsidR="00DE4EAF" w:rsidRPr="002C047B" w:rsidRDefault="00DE4EAF" w:rsidP="00065765">
      <w:pPr>
        <w:pStyle w:val="Endofdocument-Annex"/>
        <w:rPr>
          <w:lang w:val="fr-FR"/>
        </w:rPr>
      </w:pPr>
    </w:p>
    <w:p w:rsidR="00065765" w:rsidRPr="002C047B" w:rsidRDefault="00065765" w:rsidP="00065765">
      <w:pPr>
        <w:pStyle w:val="Endofdocument-Annex"/>
        <w:rPr>
          <w:lang w:val="fr-FR"/>
        </w:rPr>
      </w:pPr>
    </w:p>
    <w:p w:rsidR="00065765" w:rsidRPr="002C047B" w:rsidRDefault="00065765" w:rsidP="00065765">
      <w:pPr>
        <w:pStyle w:val="Endofdocument-Annex"/>
        <w:rPr>
          <w:lang w:val="fr-FR"/>
        </w:rPr>
      </w:pPr>
    </w:p>
    <w:p w:rsidR="00DE4EAF" w:rsidRPr="002C047B" w:rsidRDefault="00DF4B40" w:rsidP="00065765">
      <w:pPr>
        <w:pStyle w:val="Endofdocument-Annex"/>
        <w:rPr>
          <w:lang w:val="fr-FR"/>
        </w:rPr>
      </w:pPr>
      <w:r w:rsidRPr="002C047B">
        <w:rPr>
          <w:lang w:val="fr-FR"/>
        </w:rPr>
        <w:t>[</w:t>
      </w:r>
      <w:r w:rsidR="00067D34" w:rsidRPr="002C047B">
        <w:rPr>
          <w:lang w:val="fr-FR"/>
        </w:rPr>
        <w:t>Fin de l</w:t>
      </w:r>
      <w:r w:rsidR="005931B4" w:rsidRPr="002C047B">
        <w:rPr>
          <w:lang w:val="fr-FR"/>
        </w:rPr>
        <w:t>’</w:t>
      </w:r>
      <w:r w:rsidR="00067D34" w:rsidRPr="002C047B">
        <w:rPr>
          <w:lang w:val="fr-FR"/>
        </w:rPr>
        <w:t xml:space="preserve">annexe et du </w:t>
      </w:r>
      <w:r w:rsidRPr="002C047B">
        <w:rPr>
          <w:lang w:val="fr-FR"/>
        </w:rPr>
        <w:t>document]</w:t>
      </w:r>
    </w:p>
    <w:p w:rsidR="00DE4EAF" w:rsidRPr="002C047B" w:rsidRDefault="00DE4EAF" w:rsidP="001E4A85">
      <w:pPr>
        <w:pStyle w:val="ONUME"/>
        <w:numPr>
          <w:ilvl w:val="0"/>
          <w:numId w:val="0"/>
        </w:numPr>
        <w:spacing w:line="360" w:lineRule="auto"/>
        <w:rPr>
          <w:lang w:val="fr-FR"/>
        </w:rPr>
      </w:pPr>
    </w:p>
    <w:sectPr w:rsidR="00DE4EAF" w:rsidRPr="002C047B" w:rsidSect="00062A2C">
      <w:headerReference w:type="default" r:id="rId14"/>
      <w:headerReference w:type="first" r:id="rId15"/>
      <w:footerReference w:type="first" r:id="rId16"/>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6B0E" w:rsidRDefault="009B6B0E">
      <w:r>
        <w:separator/>
      </w:r>
    </w:p>
  </w:endnote>
  <w:endnote w:type="continuationSeparator" w:id="0">
    <w:p w:rsidR="009B6B0E" w:rsidRDefault="009B6B0E" w:rsidP="003B38C1">
      <w:r>
        <w:separator/>
      </w:r>
    </w:p>
    <w:p w:rsidR="009B6B0E" w:rsidRPr="003B38C1" w:rsidRDefault="009B6B0E" w:rsidP="003B38C1">
      <w:pPr>
        <w:spacing w:after="60"/>
        <w:rPr>
          <w:sz w:val="17"/>
        </w:rPr>
      </w:pPr>
      <w:r>
        <w:rPr>
          <w:sz w:val="17"/>
        </w:rPr>
        <w:t>[Endnote continued from previous page]</w:t>
      </w:r>
    </w:p>
  </w:endnote>
  <w:endnote w:type="continuationNotice" w:id="1">
    <w:p w:rsidR="009B6B0E" w:rsidRPr="003B38C1" w:rsidRDefault="009B6B0E"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5765" w:rsidRDefault="00062A2C" w:rsidP="00062A2C">
    <w:pPr>
      <w:pStyle w:val="Footer"/>
      <w:tabs>
        <w:tab w:val="clear" w:pos="4320"/>
        <w:tab w:val="clear" w:pos="8640"/>
        <w:tab w:val="right" w:pos="8504"/>
      </w:tabs>
      <w:rPr>
        <w:sz w:val="16"/>
      </w:rPr>
    </w:pPr>
    <w:r>
      <w:rPr>
        <w:sz w:val="16"/>
      </w:rPr>
      <w:fldChar w:fldCharType="begin"/>
    </w:r>
    <w:r>
      <w:rPr>
        <w:sz w:val="16"/>
      </w:rPr>
      <w:instrText xml:space="preserve"> FILENAME \* Lower\p  \* MERGEFORMAT </w:instrText>
    </w:r>
    <w:r>
      <w:rPr>
        <w:sz w:val="16"/>
      </w:rPr>
      <w:fldChar w:fldCharType="separate"/>
    </w:r>
    <w:r w:rsidR="00E37EE9">
      <w:rPr>
        <w:noProof/>
        <w:sz w:val="16"/>
      </w:rPr>
      <w:t>n:\orglan\aem\pool\pct_wg_8_22_37153_fr.docx</w:t>
    </w:r>
    <w:r>
      <w:rPr>
        <w:sz w:val="16"/>
      </w:rPr>
      <w:fldChar w:fldCharType="end"/>
    </w:r>
    <w:r>
      <w:rPr>
        <w:sz w:val="16"/>
      </w:rPr>
      <w:t xml:space="preserve"> </w:t>
    </w:r>
    <w:r>
      <w:rPr>
        <w:sz w:val="16"/>
      </w:rPr>
      <w:tab/>
      <w:t>(DB/JCH/</w:t>
    </w:r>
    <w:proofErr w:type="spellStart"/>
    <w:r>
      <w:rPr>
        <w:sz w:val="16"/>
      </w:rPr>
      <w:t>ko</w:t>
    </w:r>
    <w:proofErr w:type="spellEnd"/>
    <w:r>
      <w:rPr>
        <w:sz w:val="16"/>
      </w:rPr>
      <w:t>/</w:t>
    </w:r>
    <w:r>
      <w:rPr>
        <w:sz w:val="16"/>
      </w:rPr>
      <w:fldChar w:fldCharType="begin"/>
    </w:r>
    <w:r>
      <w:rPr>
        <w:sz w:val="16"/>
      </w:rPr>
      <w:instrText xml:space="preserve"> DATE \@ "d-MMM-yy" </w:instrText>
    </w:r>
    <w:r>
      <w:rPr>
        <w:sz w:val="16"/>
      </w:rPr>
      <w:fldChar w:fldCharType="separate"/>
    </w:r>
    <w:r w:rsidR="000733B7">
      <w:rPr>
        <w:noProof/>
        <w:sz w:val="16"/>
      </w:rPr>
      <w:t>8-May-15</w:t>
    </w:r>
    <w:r>
      <w:rPr>
        <w:sz w:val="16"/>
      </w:rPr>
      <w:fldChar w:fldCharType="end"/>
    </w:r>
    <w:r>
      <w:rPr>
        <w:sz w:val="16"/>
      </w:rPr>
      <w:t>/</w:t>
    </w:r>
    <w:r>
      <w:rPr>
        <w:sz w:val="16"/>
      </w:rPr>
      <w:fldChar w:fldCharType="begin"/>
    </w:r>
    <w:r>
      <w:rPr>
        <w:sz w:val="16"/>
      </w:rPr>
      <w:instrText xml:space="preserve"> DATE \@ "h:mm" </w:instrText>
    </w:r>
    <w:r>
      <w:rPr>
        <w:sz w:val="16"/>
      </w:rPr>
      <w:fldChar w:fldCharType="separate"/>
    </w:r>
    <w:r w:rsidR="000733B7">
      <w:rPr>
        <w:noProof/>
        <w:sz w:val="16"/>
      </w:rPr>
      <w:t>4:04</w:t>
    </w:r>
    <w:r>
      <w:rPr>
        <w:sz w:val="16"/>
      </w:rPr>
      <w:fldChar w:fldCharType="end"/>
    </w:r>
    <w:r>
      <w:rPr>
        <w:sz w:val="16"/>
      </w:rPr>
      <w:t>)</w:t>
    </w:r>
  </w:p>
  <w:p w:rsidR="00062A2C" w:rsidRPr="00062A2C" w:rsidRDefault="00062A2C" w:rsidP="00062A2C">
    <w:pPr>
      <w:pStyle w:val="Footer"/>
      <w:tabs>
        <w:tab w:val="clear" w:pos="4320"/>
        <w:tab w:val="clear" w:pos="8640"/>
        <w:tab w:val="right" w:pos="8504"/>
      </w:tabs>
      <w:jc w:val="center"/>
      <w:rPr>
        <w:rFonts w:ascii="Times New Roman" w:hAnsi="Times New Roman" w:cs="Times New Roman"/>
        <w:b/>
        <w:sz w:val="24"/>
      </w:rPr>
    </w:pPr>
    <w:r>
      <w:rPr>
        <w:rFonts w:ascii="Wingdings" w:hAnsi="Wingdings"/>
        <w:b/>
        <w:sz w:val="24"/>
      </w:rPr>
      <w:t></w:t>
    </w:r>
    <w:r>
      <w:rPr>
        <w:rFonts w:ascii="Times New Roman" w:hAnsi="Times New Roman" w:cs="Times New Roman"/>
        <w:b/>
        <w:sz w:val="24"/>
      </w:rPr>
      <w:t xml:space="preserve"> TO BE RENAMED BEFORE PRINTING</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5765" w:rsidRPr="00065765" w:rsidRDefault="00065765" w:rsidP="000657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6B0E" w:rsidRDefault="009B6B0E">
      <w:r>
        <w:separator/>
      </w:r>
    </w:p>
  </w:footnote>
  <w:footnote w:type="continuationSeparator" w:id="0">
    <w:p w:rsidR="009B6B0E" w:rsidRDefault="009B6B0E" w:rsidP="008B60B2">
      <w:r>
        <w:separator/>
      </w:r>
    </w:p>
    <w:p w:rsidR="009B6B0E" w:rsidRPr="00ED77FB" w:rsidRDefault="009B6B0E" w:rsidP="008B60B2">
      <w:pPr>
        <w:spacing w:after="60"/>
        <w:rPr>
          <w:sz w:val="17"/>
          <w:szCs w:val="17"/>
        </w:rPr>
      </w:pPr>
      <w:r w:rsidRPr="00ED77FB">
        <w:rPr>
          <w:sz w:val="17"/>
          <w:szCs w:val="17"/>
        </w:rPr>
        <w:t>[Footnote continued from previous page]</w:t>
      </w:r>
    </w:p>
  </w:footnote>
  <w:footnote w:type="continuationNotice" w:id="1">
    <w:p w:rsidR="009B6B0E" w:rsidRPr="00ED77FB" w:rsidRDefault="009B6B0E" w:rsidP="008B60B2">
      <w:pPr>
        <w:spacing w:before="60"/>
        <w:jc w:val="right"/>
        <w:rPr>
          <w:sz w:val="17"/>
          <w:szCs w:val="17"/>
        </w:rPr>
      </w:pPr>
      <w:r w:rsidRPr="00ED77FB">
        <w:rPr>
          <w:sz w:val="17"/>
          <w:szCs w:val="17"/>
        </w:rPr>
        <w:t>[Footnote continued on next page]</w:t>
      </w:r>
    </w:p>
  </w:footnote>
  <w:footnote w:id="2">
    <w:p w:rsidR="00A56943" w:rsidRPr="002C047B" w:rsidRDefault="00A56943" w:rsidP="00A56943">
      <w:pPr>
        <w:pStyle w:val="FootnoteText"/>
        <w:rPr>
          <w:lang w:val="fr-CH"/>
        </w:rPr>
      </w:pPr>
      <w:r w:rsidRPr="002C047B">
        <w:rPr>
          <w:rStyle w:val="FootnoteReference"/>
        </w:rPr>
        <w:footnoteRef/>
      </w:r>
      <w:r w:rsidRPr="000733B7">
        <w:rPr>
          <w:lang w:val="fr-FR"/>
        </w:rPr>
        <w:t xml:space="preserve"> </w:t>
      </w:r>
      <w:r w:rsidRPr="002C047B">
        <w:rPr>
          <w:lang w:val="fr-CH"/>
        </w:rPr>
        <w:tab/>
        <w:t>Le texte qu’il est proposé d’ajouter est souligné et celui qu’il est proposé de supprimer est biffé.</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C85691" w:rsidP="00477D6B">
    <w:pPr>
      <w:jc w:val="right"/>
    </w:pPr>
    <w:bookmarkStart w:id="7" w:name="Code2"/>
    <w:bookmarkEnd w:id="7"/>
    <w:r>
      <w:t>PCT/WG/8/</w:t>
    </w:r>
    <w:r w:rsidR="00A608BD">
      <w:t>22</w:t>
    </w:r>
  </w:p>
  <w:p w:rsidR="00EC4E49" w:rsidRDefault="00EC4E49" w:rsidP="00477D6B">
    <w:pPr>
      <w:jc w:val="right"/>
    </w:pPr>
    <w:proofErr w:type="gramStart"/>
    <w:r>
      <w:t>page</w:t>
    </w:r>
    <w:proofErr w:type="gramEnd"/>
    <w:r>
      <w:t xml:space="preserve"> </w:t>
    </w:r>
    <w:r>
      <w:fldChar w:fldCharType="begin"/>
    </w:r>
    <w:r>
      <w:instrText xml:space="preserve"> PAGE  \* MERGEFORMAT </w:instrText>
    </w:r>
    <w:r>
      <w:fldChar w:fldCharType="separate"/>
    </w:r>
    <w:r w:rsidR="000733B7">
      <w:rPr>
        <w:noProof/>
      </w:rPr>
      <w:t>2</w:t>
    </w:r>
    <w:r>
      <w:fldChar w:fldCharType="end"/>
    </w:r>
  </w:p>
  <w:p w:rsidR="00EC4E49" w:rsidRDefault="00EC4E49"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B40" w:rsidRPr="00DF4B40" w:rsidRDefault="00DF4B40" w:rsidP="00477D6B">
    <w:pPr>
      <w:jc w:val="right"/>
      <w:rPr>
        <w:lang w:val="fr-FR"/>
      </w:rPr>
    </w:pPr>
    <w:r w:rsidRPr="00DF4B40">
      <w:rPr>
        <w:lang w:val="fr-FR"/>
      </w:rPr>
      <w:t>PCT/WG/8/</w:t>
    </w:r>
    <w:r w:rsidR="00A608BD">
      <w:rPr>
        <w:lang w:val="fr-FR"/>
      </w:rPr>
      <w:t>22</w:t>
    </w:r>
  </w:p>
  <w:p w:rsidR="00DF4B40" w:rsidRPr="00DF4B40" w:rsidRDefault="0002421A" w:rsidP="00477D6B">
    <w:pPr>
      <w:jc w:val="right"/>
      <w:rPr>
        <w:lang w:val="fr-FR"/>
      </w:rPr>
    </w:pPr>
    <w:r>
      <w:rPr>
        <w:lang w:val="fr-FR"/>
      </w:rPr>
      <w:t>Annex</w:t>
    </w:r>
    <w:r w:rsidR="00BA50DD">
      <w:rPr>
        <w:lang w:val="fr-FR"/>
      </w:rPr>
      <w:t>e</w:t>
    </w:r>
    <w:r w:rsidR="00DF4B40" w:rsidRPr="00DF4B40">
      <w:rPr>
        <w:lang w:val="fr-FR"/>
      </w:rPr>
      <w:t>,</w:t>
    </w:r>
    <w:r>
      <w:rPr>
        <w:lang w:val="fr-FR"/>
      </w:rPr>
      <w:t xml:space="preserve"> </w:t>
    </w:r>
    <w:r w:rsidR="00DF4B40" w:rsidRPr="00DF4B40">
      <w:rPr>
        <w:lang w:val="fr-FR"/>
      </w:rPr>
      <w:t xml:space="preserve">page </w:t>
    </w:r>
    <w:r w:rsidR="00DF4B40">
      <w:fldChar w:fldCharType="begin"/>
    </w:r>
    <w:r w:rsidR="00DF4B40" w:rsidRPr="00DF4B40">
      <w:rPr>
        <w:lang w:val="fr-FR"/>
      </w:rPr>
      <w:instrText xml:space="preserve"> PAGE  \* MERGEFORMAT </w:instrText>
    </w:r>
    <w:r w:rsidR="00DF4B40">
      <w:fldChar w:fldCharType="separate"/>
    </w:r>
    <w:r w:rsidR="000733B7">
      <w:rPr>
        <w:noProof/>
        <w:lang w:val="fr-FR"/>
      </w:rPr>
      <w:t>2</w:t>
    </w:r>
    <w:r w:rsidR="00DF4B40">
      <w:fldChar w:fldCharType="end"/>
    </w:r>
  </w:p>
  <w:p w:rsidR="00DF4B40" w:rsidRPr="00DF4B40" w:rsidRDefault="00DF4B40" w:rsidP="00477D6B">
    <w:pPr>
      <w:jc w:val="right"/>
      <w:rPr>
        <w:lang w:val="fr-F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B40" w:rsidRPr="00DF4B40" w:rsidRDefault="00DF4B40" w:rsidP="00DF4B40">
    <w:pPr>
      <w:jc w:val="right"/>
      <w:rPr>
        <w:lang w:val="fr-FR"/>
      </w:rPr>
    </w:pPr>
    <w:r w:rsidRPr="00DF4B40">
      <w:rPr>
        <w:lang w:val="fr-FR"/>
      </w:rPr>
      <w:t>PCT/WG/8/</w:t>
    </w:r>
    <w:r w:rsidR="00A608BD">
      <w:rPr>
        <w:lang w:val="fr-FR"/>
      </w:rPr>
      <w:t>22</w:t>
    </w:r>
  </w:p>
  <w:p w:rsidR="00DF4B40" w:rsidRPr="00DF4B40" w:rsidRDefault="00DF4B40" w:rsidP="00DF4B40">
    <w:pPr>
      <w:jc w:val="right"/>
      <w:rPr>
        <w:lang w:val="fr-FR"/>
      </w:rPr>
    </w:pPr>
    <w:r>
      <w:rPr>
        <w:lang w:val="fr-FR"/>
      </w:rPr>
      <w:t>ANNEX</w:t>
    </w:r>
    <w:r w:rsidR="00BA50DD">
      <w:rPr>
        <w:lang w:val="fr-FR"/>
      </w:rPr>
      <w:t>E</w:t>
    </w:r>
  </w:p>
  <w:p w:rsidR="00DF4B40" w:rsidRPr="00DF4B40" w:rsidRDefault="00DF4B40">
    <w:pPr>
      <w:pStyle w:val="Header"/>
      <w:rPr>
        <w:lang w:val="fr-F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1DB4098A"/>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51201"/>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fra"/>
    <w:docVar w:name="TermBases" w:val="DB|Duplicates DB|WIPONew|UPOV_Beta|PreTradBeta"/>
    <w:docVar w:name="TermBaseURL" w:val="empty"/>
    <w:docVar w:name="TextBases" w:val="Patents\Meetings|Patents\Other|Patents\Publications|Treaties\Model Laws|Treaties\Other Laws and Agreements|Treaties\WIPO-administered|Trademarks\Meetings|Trademarks\Other|Trademarks\Publications|IP in General\Academy|IP in General\Arbitration and Mediation|IP in General\Meetings|IP in General\Other|IP in General\Press Room|IP in General\Publications|IP in General\SpeechDG2014|Glossaries\EN-FR|Copyright\Meetings|Copyright\Other|Copyright\Publications|Budget and Finance\Meetings|Budget and Finance\Other|Budget and Finance\Publications|Administrative\Meetings|Administrative\Other|Administrative\Publications|UPOV\Meetings|UPOV\Other|UPOV\Publications|UPOV\Technical Guidelines|WorkspaceFTS\EN-FR\ACE|WorkspaceFTS\EN-FR\Administratif|WorkspaceFTS\EN-FR\AMC|WorkspaceFTS\EN-FR\Assemblées|WorkspaceFTS\EN-FR\Budapest|WorkspaceFTS\EN-FR\CDIP|WorkspaceFTS\EN-FR\CWS|WorkspaceFTS\EN-FR\Divers|WorkspaceFTS\EN-FR\GRTKF|WorkspaceFTS\EN-FR\Hague|WorkspaceFTS\EN-FR\IPC|WorkspaceFTS\EN-FR\Lisbonne|WorkspaceFTS\EN-FR\Madrid|WorkspaceFTS\EN-FR\MP|WorkspaceFTS\EN-FR\PCT|WorkspaceFTS\EN-FR\PLT|WorkspaceFTS\EN-FR\SCCR|WorkspaceFTS\EN-FR\SCP|WorkspaceFTS\EN-FR\SCT|WorkspaceFTS\EN-FR\UPOV|WorkspaceFTS\EN-FR\WO_CC|WorkspaceFTS\EN-FR\WO_GA|WorkspaceFTS\EN-FR\WO_PBC"/>
    <w:docVar w:name="TextBaseURL" w:val="empty"/>
    <w:docVar w:name="UILng" w:val="en"/>
  </w:docVars>
  <w:rsids>
    <w:rsidRoot w:val="009B6B0E"/>
    <w:rsid w:val="00006009"/>
    <w:rsid w:val="000124F1"/>
    <w:rsid w:val="00017FFE"/>
    <w:rsid w:val="000223A7"/>
    <w:rsid w:val="0002421A"/>
    <w:rsid w:val="00026C9C"/>
    <w:rsid w:val="000326FB"/>
    <w:rsid w:val="00043CAA"/>
    <w:rsid w:val="0004577F"/>
    <w:rsid w:val="0005511D"/>
    <w:rsid w:val="00057ACF"/>
    <w:rsid w:val="00060195"/>
    <w:rsid w:val="00062A2C"/>
    <w:rsid w:val="00065765"/>
    <w:rsid w:val="00067D34"/>
    <w:rsid w:val="000733B7"/>
    <w:rsid w:val="00075432"/>
    <w:rsid w:val="00085E4C"/>
    <w:rsid w:val="000958E4"/>
    <w:rsid w:val="000968ED"/>
    <w:rsid w:val="000D5FED"/>
    <w:rsid w:val="000F5E56"/>
    <w:rsid w:val="00112AFE"/>
    <w:rsid w:val="001201BE"/>
    <w:rsid w:val="0012200D"/>
    <w:rsid w:val="00132BA8"/>
    <w:rsid w:val="001362EE"/>
    <w:rsid w:val="00163316"/>
    <w:rsid w:val="00182589"/>
    <w:rsid w:val="001832A6"/>
    <w:rsid w:val="00195147"/>
    <w:rsid w:val="001E4A85"/>
    <w:rsid w:val="001E5521"/>
    <w:rsid w:val="0020191C"/>
    <w:rsid w:val="00246881"/>
    <w:rsid w:val="00250A3D"/>
    <w:rsid w:val="00251A27"/>
    <w:rsid w:val="00261EAB"/>
    <w:rsid w:val="002634C4"/>
    <w:rsid w:val="002635AB"/>
    <w:rsid w:val="002745CA"/>
    <w:rsid w:val="00276A0A"/>
    <w:rsid w:val="00281B2B"/>
    <w:rsid w:val="00291FD2"/>
    <w:rsid w:val="002928D3"/>
    <w:rsid w:val="002A248B"/>
    <w:rsid w:val="002A49E9"/>
    <w:rsid w:val="002C047B"/>
    <w:rsid w:val="002C0771"/>
    <w:rsid w:val="002C3DFD"/>
    <w:rsid w:val="002C5E24"/>
    <w:rsid w:val="002D23E7"/>
    <w:rsid w:val="002D4DD9"/>
    <w:rsid w:val="002D6F91"/>
    <w:rsid w:val="002F1FE6"/>
    <w:rsid w:val="002F4E68"/>
    <w:rsid w:val="00312F7F"/>
    <w:rsid w:val="0032125B"/>
    <w:rsid w:val="00321BCF"/>
    <w:rsid w:val="00361450"/>
    <w:rsid w:val="003673CF"/>
    <w:rsid w:val="0037745F"/>
    <w:rsid w:val="003845C1"/>
    <w:rsid w:val="00396A3F"/>
    <w:rsid w:val="003A2A01"/>
    <w:rsid w:val="003A455F"/>
    <w:rsid w:val="003A6EAC"/>
    <w:rsid w:val="003A6F89"/>
    <w:rsid w:val="003B38C1"/>
    <w:rsid w:val="003B3DAC"/>
    <w:rsid w:val="003C2462"/>
    <w:rsid w:val="003D2273"/>
    <w:rsid w:val="003D2764"/>
    <w:rsid w:val="00413610"/>
    <w:rsid w:val="00423E3E"/>
    <w:rsid w:val="00424263"/>
    <w:rsid w:val="00424EA5"/>
    <w:rsid w:val="00427AF4"/>
    <w:rsid w:val="00437D67"/>
    <w:rsid w:val="00443A86"/>
    <w:rsid w:val="004477D8"/>
    <w:rsid w:val="004647DA"/>
    <w:rsid w:val="00474062"/>
    <w:rsid w:val="004761EA"/>
    <w:rsid w:val="00477D03"/>
    <w:rsid w:val="00477D6B"/>
    <w:rsid w:val="004862FB"/>
    <w:rsid w:val="004871B8"/>
    <w:rsid w:val="004A367C"/>
    <w:rsid w:val="004A401D"/>
    <w:rsid w:val="004A7DD7"/>
    <w:rsid w:val="004B09F9"/>
    <w:rsid w:val="004B6CA3"/>
    <w:rsid w:val="004D596B"/>
    <w:rsid w:val="004D5F72"/>
    <w:rsid w:val="005019FF"/>
    <w:rsid w:val="00505C8C"/>
    <w:rsid w:val="00524756"/>
    <w:rsid w:val="0053057A"/>
    <w:rsid w:val="00547AAA"/>
    <w:rsid w:val="00551229"/>
    <w:rsid w:val="00551B54"/>
    <w:rsid w:val="00553FF8"/>
    <w:rsid w:val="005603D2"/>
    <w:rsid w:val="00560A29"/>
    <w:rsid w:val="00562784"/>
    <w:rsid w:val="005652B5"/>
    <w:rsid w:val="00574081"/>
    <w:rsid w:val="00576C1A"/>
    <w:rsid w:val="005834CF"/>
    <w:rsid w:val="005931B4"/>
    <w:rsid w:val="00596064"/>
    <w:rsid w:val="005A3E95"/>
    <w:rsid w:val="005A5377"/>
    <w:rsid w:val="005B6187"/>
    <w:rsid w:val="005C6649"/>
    <w:rsid w:val="005E343B"/>
    <w:rsid w:val="005F4B75"/>
    <w:rsid w:val="005F6B40"/>
    <w:rsid w:val="00605827"/>
    <w:rsid w:val="0062584A"/>
    <w:rsid w:val="00631A23"/>
    <w:rsid w:val="0063387A"/>
    <w:rsid w:val="006357AB"/>
    <w:rsid w:val="00646050"/>
    <w:rsid w:val="006713CA"/>
    <w:rsid w:val="00676C5C"/>
    <w:rsid w:val="00694E93"/>
    <w:rsid w:val="00710D5B"/>
    <w:rsid w:val="00726E5C"/>
    <w:rsid w:val="007802DD"/>
    <w:rsid w:val="00785583"/>
    <w:rsid w:val="00785CF1"/>
    <w:rsid w:val="00786B17"/>
    <w:rsid w:val="00796FC8"/>
    <w:rsid w:val="007B4785"/>
    <w:rsid w:val="007B5E6C"/>
    <w:rsid w:val="007C42C1"/>
    <w:rsid w:val="007D1613"/>
    <w:rsid w:val="007D695E"/>
    <w:rsid w:val="007F54EE"/>
    <w:rsid w:val="00811661"/>
    <w:rsid w:val="0082664A"/>
    <w:rsid w:val="00852133"/>
    <w:rsid w:val="0086675F"/>
    <w:rsid w:val="00873C5A"/>
    <w:rsid w:val="008744A2"/>
    <w:rsid w:val="00881462"/>
    <w:rsid w:val="00886EF0"/>
    <w:rsid w:val="00887BBF"/>
    <w:rsid w:val="008A55A7"/>
    <w:rsid w:val="008B2CC1"/>
    <w:rsid w:val="008B60B2"/>
    <w:rsid w:val="008B67A9"/>
    <w:rsid w:val="008C0AEF"/>
    <w:rsid w:val="008C7A69"/>
    <w:rsid w:val="00905A5D"/>
    <w:rsid w:val="0090731E"/>
    <w:rsid w:val="00913D08"/>
    <w:rsid w:val="00916EE2"/>
    <w:rsid w:val="00920CAB"/>
    <w:rsid w:val="00935D17"/>
    <w:rsid w:val="009378AE"/>
    <w:rsid w:val="00952458"/>
    <w:rsid w:val="009658E7"/>
    <w:rsid w:val="00966A22"/>
    <w:rsid w:val="0096722F"/>
    <w:rsid w:val="00980843"/>
    <w:rsid w:val="00982920"/>
    <w:rsid w:val="00984D56"/>
    <w:rsid w:val="00996C74"/>
    <w:rsid w:val="009A3F6B"/>
    <w:rsid w:val="009B0A74"/>
    <w:rsid w:val="009B6B0E"/>
    <w:rsid w:val="009D02B7"/>
    <w:rsid w:val="009D412C"/>
    <w:rsid w:val="009E2791"/>
    <w:rsid w:val="009E2DBB"/>
    <w:rsid w:val="009E3F6F"/>
    <w:rsid w:val="009F499F"/>
    <w:rsid w:val="00A07964"/>
    <w:rsid w:val="00A27794"/>
    <w:rsid w:val="00A27EE8"/>
    <w:rsid w:val="00A33212"/>
    <w:rsid w:val="00A35BBC"/>
    <w:rsid w:val="00A42DAF"/>
    <w:rsid w:val="00A45BD8"/>
    <w:rsid w:val="00A56943"/>
    <w:rsid w:val="00A608BD"/>
    <w:rsid w:val="00A8170A"/>
    <w:rsid w:val="00A869B7"/>
    <w:rsid w:val="00AB32F3"/>
    <w:rsid w:val="00AC0F36"/>
    <w:rsid w:val="00AC205C"/>
    <w:rsid w:val="00AE79DB"/>
    <w:rsid w:val="00AF0A6B"/>
    <w:rsid w:val="00AF4507"/>
    <w:rsid w:val="00AF4552"/>
    <w:rsid w:val="00B04964"/>
    <w:rsid w:val="00B05A69"/>
    <w:rsid w:val="00B14D6A"/>
    <w:rsid w:val="00B21F63"/>
    <w:rsid w:val="00B25EAF"/>
    <w:rsid w:val="00B57CD1"/>
    <w:rsid w:val="00B81DD9"/>
    <w:rsid w:val="00B9710D"/>
    <w:rsid w:val="00B9734B"/>
    <w:rsid w:val="00BA4990"/>
    <w:rsid w:val="00BA50DD"/>
    <w:rsid w:val="00BA7269"/>
    <w:rsid w:val="00BB16EE"/>
    <w:rsid w:val="00BB35BD"/>
    <w:rsid w:val="00BC5D78"/>
    <w:rsid w:val="00BD6D11"/>
    <w:rsid w:val="00C04DDA"/>
    <w:rsid w:val="00C0546F"/>
    <w:rsid w:val="00C11BFE"/>
    <w:rsid w:val="00C24579"/>
    <w:rsid w:val="00C258E1"/>
    <w:rsid w:val="00C40CEE"/>
    <w:rsid w:val="00C426B6"/>
    <w:rsid w:val="00C45052"/>
    <w:rsid w:val="00C657CA"/>
    <w:rsid w:val="00C83CD0"/>
    <w:rsid w:val="00C85691"/>
    <w:rsid w:val="00C87E6E"/>
    <w:rsid w:val="00C948DA"/>
    <w:rsid w:val="00CD6061"/>
    <w:rsid w:val="00CF6D9D"/>
    <w:rsid w:val="00D34B68"/>
    <w:rsid w:val="00D45252"/>
    <w:rsid w:val="00D45551"/>
    <w:rsid w:val="00D508C3"/>
    <w:rsid w:val="00D57925"/>
    <w:rsid w:val="00D6056A"/>
    <w:rsid w:val="00D612B0"/>
    <w:rsid w:val="00D64DC0"/>
    <w:rsid w:val="00D71B4D"/>
    <w:rsid w:val="00D90680"/>
    <w:rsid w:val="00D93D55"/>
    <w:rsid w:val="00D97A5C"/>
    <w:rsid w:val="00DB4EC4"/>
    <w:rsid w:val="00DC2E62"/>
    <w:rsid w:val="00DD0ED4"/>
    <w:rsid w:val="00DE2EA3"/>
    <w:rsid w:val="00DE4EAF"/>
    <w:rsid w:val="00DF4B40"/>
    <w:rsid w:val="00E04FCB"/>
    <w:rsid w:val="00E10D28"/>
    <w:rsid w:val="00E220A7"/>
    <w:rsid w:val="00E335FE"/>
    <w:rsid w:val="00E37EE9"/>
    <w:rsid w:val="00E40E0F"/>
    <w:rsid w:val="00E73947"/>
    <w:rsid w:val="00E74437"/>
    <w:rsid w:val="00E74EF8"/>
    <w:rsid w:val="00E95261"/>
    <w:rsid w:val="00EC3071"/>
    <w:rsid w:val="00EC4E49"/>
    <w:rsid w:val="00ED77FB"/>
    <w:rsid w:val="00EE45FA"/>
    <w:rsid w:val="00EE5B40"/>
    <w:rsid w:val="00EF5D06"/>
    <w:rsid w:val="00F00916"/>
    <w:rsid w:val="00F12C0A"/>
    <w:rsid w:val="00F22398"/>
    <w:rsid w:val="00F24492"/>
    <w:rsid w:val="00F66152"/>
    <w:rsid w:val="00F769A0"/>
    <w:rsid w:val="00FA38A5"/>
    <w:rsid w:val="00FB11C4"/>
    <w:rsid w:val="00FB1232"/>
    <w:rsid w:val="00FB3216"/>
    <w:rsid w:val="00FB3F1F"/>
    <w:rsid w:val="00FB554C"/>
    <w:rsid w:val="00FD5B19"/>
    <w:rsid w:val="00FE0E13"/>
    <w:rsid w:val="00FE3972"/>
    <w:rsid w:val="00FE6CAB"/>
    <w:rsid w:val="00FF32B0"/>
    <w:rsid w:val="00FF3446"/>
    <w:rsid w:val="00FF4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qFormat="1"/>
    <w:lsdException w:name="Title" w:qFormat="1"/>
    <w:lsdException w:name="Default Paragraph Font" w:uiPriority="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2C047B"/>
    <w:pPr>
      <w:keepNext/>
      <w:spacing w:before="240" w:after="120"/>
      <w:outlineLvl w:val="0"/>
    </w:pPr>
    <w:rPr>
      <w:b/>
      <w:bCs/>
      <w:caps/>
      <w:kern w:val="32"/>
      <w:szCs w:val="32"/>
      <w:lang w:val="fr-FR"/>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2C047B"/>
    <w:pPr>
      <w:keepNext/>
      <w:spacing w:before="120" w:after="120"/>
      <w:outlineLvl w:val="2"/>
    </w:pPr>
    <w:rPr>
      <w:bCs/>
      <w:szCs w:val="26"/>
      <w:u w:val="single"/>
      <w:lang w:val="fr-FR"/>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EE5B40"/>
    <w:rPr>
      <w:rFonts w:ascii="Tahoma" w:hAnsi="Tahoma" w:cs="Tahoma"/>
      <w:sz w:val="16"/>
      <w:szCs w:val="16"/>
    </w:rPr>
  </w:style>
  <w:style w:type="character" w:customStyle="1" w:styleId="BalloonTextChar">
    <w:name w:val="Balloon Text Char"/>
    <w:basedOn w:val="DefaultParagraphFont"/>
    <w:link w:val="BalloonText"/>
    <w:rsid w:val="00EE5B40"/>
    <w:rPr>
      <w:rFonts w:ascii="Tahoma" w:eastAsia="SimSun" w:hAnsi="Tahoma" w:cs="Tahoma"/>
      <w:sz w:val="16"/>
      <w:szCs w:val="16"/>
      <w:lang w:eastAsia="zh-CN"/>
    </w:rPr>
  </w:style>
  <w:style w:type="character" w:customStyle="1" w:styleId="FootnoteTextChar">
    <w:name w:val="Footnote Text Char"/>
    <w:basedOn w:val="DefaultParagraphFont"/>
    <w:link w:val="FootnoteText"/>
    <w:semiHidden/>
    <w:rsid w:val="00DF4B40"/>
    <w:rPr>
      <w:rFonts w:ascii="Arial" w:eastAsia="SimSun" w:hAnsi="Arial" w:cs="Arial"/>
      <w:sz w:val="18"/>
      <w:lang w:eastAsia="zh-CN"/>
    </w:rPr>
  </w:style>
  <w:style w:type="character" w:styleId="FootnoteReference">
    <w:name w:val="footnote reference"/>
    <w:basedOn w:val="DefaultParagraphFont"/>
    <w:unhideWhenUsed/>
    <w:rsid w:val="00DF4B40"/>
    <w:rPr>
      <w:vertAlign w:val="superscript"/>
    </w:rPr>
  </w:style>
  <w:style w:type="character" w:customStyle="1" w:styleId="DeletedText">
    <w:name w:val="Deleted Text"/>
    <w:basedOn w:val="DefaultParagraphFont"/>
    <w:uiPriority w:val="1"/>
    <w:qFormat/>
    <w:rsid w:val="00DF4B40"/>
    <w:rPr>
      <w:strike/>
      <w:color w:val="FF0000"/>
    </w:rPr>
  </w:style>
  <w:style w:type="character" w:customStyle="1" w:styleId="InsertedText">
    <w:name w:val="Inserted Text"/>
    <w:basedOn w:val="DefaultParagraphFont"/>
    <w:qFormat/>
    <w:rsid w:val="00DF4B40"/>
    <w:rPr>
      <w:color w:val="0070C0"/>
      <w:u w:val="single"/>
    </w:rPr>
  </w:style>
  <w:style w:type="paragraph" w:customStyle="1" w:styleId="Lega">
    <w:name w:val="Leg (a)"/>
    <w:basedOn w:val="Normal"/>
    <w:rsid w:val="00DF4B40"/>
    <w:pPr>
      <w:tabs>
        <w:tab w:val="left" w:pos="454"/>
      </w:tabs>
      <w:spacing w:before="119" w:line="360" w:lineRule="auto"/>
    </w:pPr>
    <w:rPr>
      <w:rFonts w:eastAsia="Times New Roman" w:cs="Times New Roman"/>
      <w:snapToGrid w:val="0"/>
      <w:lang w:eastAsia="en-US"/>
    </w:rPr>
  </w:style>
  <w:style w:type="paragraph" w:customStyle="1" w:styleId="Legi">
    <w:name w:val="Leg (i)"/>
    <w:basedOn w:val="Normal"/>
    <w:rsid w:val="00DF4B40"/>
    <w:pPr>
      <w:tabs>
        <w:tab w:val="right" w:pos="1020"/>
        <w:tab w:val="left" w:pos="1191"/>
      </w:tabs>
      <w:spacing w:before="60" w:line="360" w:lineRule="auto"/>
    </w:pPr>
    <w:rPr>
      <w:rFonts w:eastAsia="Times New Roman" w:cs="Times New Roman"/>
      <w:snapToGrid w:val="0"/>
      <w:lang w:eastAsia="en-US"/>
    </w:rPr>
  </w:style>
  <w:style w:type="paragraph" w:customStyle="1" w:styleId="LegSubRule">
    <w:name w:val="Leg SubRule #"/>
    <w:basedOn w:val="Normal"/>
    <w:rsid w:val="00DF4B40"/>
    <w:pPr>
      <w:keepNext/>
      <w:keepLines/>
      <w:tabs>
        <w:tab w:val="left" w:pos="510"/>
      </w:tabs>
      <w:spacing w:before="480" w:line="480" w:lineRule="auto"/>
      <w:ind w:left="533" w:hanging="533"/>
    </w:pPr>
    <w:rPr>
      <w:rFonts w:eastAsia="Arial Unicode MS" w:cs="Times New Roman"/>
      <w:snapToGrid w:val="0"/>
      <w:lang w:eastAsia="en-US"/>
    </w:rPr>
  </w:style>
  <w:style w:type="paragraph" w:customStyle="1" w:styleId="Legacont">
    <w:name w:val="Leg (a) [cont]"/>
    <w:basedOn w:val="Lega"/>
    <w:next w:val="Lega"/>
    <w:rsid w:val="00DF4B40"/>
    <w:pPr>
      <w:spacing w:before="60"/>
    </w:pPr>
  </w:style>
  <w:style w:type="paragraph" w:customStyle="1" w:styleId="Legiindent">
    <w:name w:val="Leg (i) indent"/>
    <w:basedOn w:val="Legi"/>
    <w:rsid w:val="00DF4B40"/>
    <w:pPr>
      <w:ind w:left="1191" w:hanging="1191"/>
    </w:pPr>
  </w:style>
  <w:style w:type="paragraph" w:customStyle="1" w:styleId="LegRule">
    <w:name w:val="Leg Rule #"/>
    <w:basedOn w:val="Normal"/>
    <w:next w:val="LegSubRule"/>
    <w:qFormat/>
    <w:rsid w:val="00DF4B40"/>
    <w:pPr>
      <w:pageBreakBefore/>
      <w:spacing w:line="360" w:lineRule="auto"/>
      <w:jc w:val="center"/>
    </w:pPr>
    <w:rPr>
      <w:b/>
    </w:rPr>
  </w:style>
  <w:style w:type="paragraph" w:customStyle="1" w:styleId="Legcont">
    <w:name w:val="Leg cont"/>
    <w:basedOn w:val="Lega"/>
    <w:qFormat/>
    <w:rsid w:val="00DF4B40"/>
    <w:pPr>
      <w:pageBreakBefore/>
      <w:spacing w:after="720"/>
      <w:jc w:val="center"/>
    </w:pPr>
  </w:style>
  <w:style w:type="paragraph" w:styleId="TOC1">
    <w:name w:val="toc 1"/>
    <w:basedOn w:val="Normal"/>
    <w:next w:val="Normal"/>
    <w:autoRedefine/>
    <w:uiPriority w:val="39"/>
    <w:rsid w:val="00065765"/>
    <w:pPr>
      <w:spacing w:before="120" w:after="60"/>
    </w:pPr>
  </w:style>
  <w:style w:type="paragraph" w:styleId="TOC2">
    <w:name w:val="toc 2"/>
    <w:basedOn w:val="Normal"/>
    <w:next w:val="Normal"/>
    <w:autoRedefine/>
    <w:uiPriority w:val="39"/>
    <w:rsid w:val="00065765"/>
    <w:pPr>
      <w:spacing w:before="240" w:after="120"/>
      <w:ind w:left="221"/>
    </w:pPr>
  </w:style>
  <w:style w:type="character" w:styleId="Hyperlink">
    <w:name w:val="Hyperlink"/>
    <w:basedOn w:val="DefaultParagraphFont"/>
    <w:uiPriority w:val="99"/>
    <w:unhideWhenUsed/>
    <w:rsid w:val="00A35BB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qFormat="1"/>
    <w:lsdException w:name="Title" w:qFormat="1"/>
    <w:lsdException w:name="Default Paragraph Font" w:uiPriority="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2C047B"/>
    <w:pPr>
      <w:keepNext/>
      <w:spacing w:before="240" w:after="120"/>
      <w:outlineLvl w:val="0"/>
    </w:pPr>
    <w:rPr>
      <w:b/>
      <w:bCs/>
      <w:caps/>
      <w:kern w:val="32"/>
      <w:szCs w:val="32"/>
      <w:lang w:val="fr-FR"/>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2C047B"/>
    <w:pPr>
      <w:keepNext/>
      <w:spacing w:before="120" w:after="120"/>
      <w:outlineLvl w:val="2"/>
    </w:pPr>
    <w:rPr>
      <w:bCs/>
      <w:szCs w:val="26"/>
      <w:u w:val="single"/>
      <w:lang w:val="fr-FR"/>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EE5B40"/>
    <w:rPr>
      <w:rFonts w:ascii="Tahoma" w:hAnsi="Tahoma" w:cs="Tahoma"/>
      <w:sz w:val="16"/>
      <w:szCs w:val="16"/>
    </w:rPr>
  </w:style>
  <w:style w:type="character" w:customStyle="1" w:styleId="BalloonTextChar">
    <w:name w:val="Balloon Text Char"/>
    <w:basedOn w:val="DefaultParagraphFont"/>
    <w:link w:val="BalloonText"/>
    <w:rsid w:val="00EE5B40"/>
    <w:rPr>
      <w:rFonts w:ascii="Tahoma" w:eastAsia="SimSun" w:hAnsi="Tahoma" w:cs="Tahoma"/>
      <w:sz w:val="16"/>
      <w:szCs w:val="16"/>
      <w:lang w:eastAsia="zh-CN"/>
    </w:rPr>
  </w:style>
  <w:style w:type="character" w:customStyle="1" w:styleId="FootnoteTextChar">
    <w:name w:val="Footnote Text Char"/>
    <w:basedOn w:val="DefaultParagraphFont"/>
    <w:link w:val="FootnoteText"/>
    <w:semiHidden/>
    <w:rsid w:val="00DF4B40"/>
    <w:rPr>
      <w:rFonts w:ascii="Arial" w:eastAsia="SimSun" w:hAnsi="Arial" w:cs="Arial"/>
      <w:sz w:val="18"/>
      <w:lang w:eastAsia="zh-CN"/>
    </w:rPr>
  </w:style>
  <w:style w:type="character" w:styleId="FootnoteReference">
    <w:name w:val="footnote reference"/>
    <w:basedOn w:val="DefaultParagraphFont"/>
    <w:unhideWhenUsed/>
    <w:rsid w:val="00DF4B40"/>
    <w:rPr>
      <w:vertAlign w:val="superscript"/>
    </w:rPr>
  </w:style>
  <w:style w:type="character" w:customStyle="1" w:styleId="DeletedText">
    <w:name w:val="Deleted Text"/>
    <w:basedOn w:val="DefaultParagraphFont"/>
    <w:uiPriority w:val="1"/>
    <w:qFormat/>
    <w:rsid w:val="00DF4B40"/>
    <w:rPr>
      <w:strike/>
      <w:color w:val="FF0000"/>
    </w:rPr>
  </w:style>
  <w:style w:type="character" w:customStyle="1" w:styleId="InsertedText">
    <w:name w:val="Inserted Text"/>
    <w:basedOn w:val="DefaultParagraphFont"/>
    <w:qFormat/>
    <w:rsid w:val="00DF4B40"/>
    <w:rPr>
      <w:color w:val="0070C0"/>
      <w:u w:val="single"/>
    </w:rPr>
  </w:style>
  <w:style w:type="paragraph" w:customStyle="1" w:styleId="Lega">
    <w:name w:val="Leg (a)"/>
    <w:basedOn w:val="Normal"/>
    <w:rsid w:val="00DF4B40"/>
    <w:pPr>
      <w:tabs>
        <w:tab w:val="left" w:pos="454"/>
      </w:tabs>
      <w:spacing w:before="119" w:line="360" w:lineRule="auto"/>
    </w:pPr>
    <w:rPr>
      <w:rFonts w:eastAsia="Times New Roman" w:cs="Times New Roman"/>
      <w:snapToGrid w:val="0"/>
      <w:lang w:eastAsia="en-US"/>
    </w:rPr>
  </w:style>
  <w:style w:type="paragraph" w:customStyle="1" w:styleId="Legi">
    <w:name w:val="Leg (i)"/>
    <w:basedOn w:val="Normal"/>
    <w:rsid w:val="00DF4B40"/>
    <w:pPr>
      <w:tabs>
        <w:tab w:val="right" w:pos="1020"/>
        <w:tab w:val="left" w:pos="1191"/>
      </w:tabs>
      <w:spacing w:before="60" w:line="360" w:lineRule="auto"/>
    </w:pPr>
    <w:rPr>
      <w:rFonts w:eastAsia="Times New Roman" w:cs="Times New Roman"/>
      <w:snapToGrid w:val="0"/>
      <w:lang w:eastAsia="en-US"/>
    </w:rPr>
  </w:style>
  <w:style w:type="paragraph" w:customStyle="1" w:styleId="LegSubRule">
    <w:name w:val="Leg SubRule #"/>
    <w:basedOn w:val="Normal"/>
    <w:rsid w:val="00DF4B40"/>
    <w:pPr>
      <w:keepNext/>
      <w:keepLines/>
      <w:tabs>
        <w:tab w:val="left" w:pos="510"/>
      </w:tabs>
      <w:spacing w:before="480" w:line="480" w:lineRule="auto"/>
      <w:ind w:left="533" w:hanging="533"/>
    </w:pPr>
    <w:rPr>
      <w:rFonts w:eastAsia="Arial Unicode MS" w:cs="Times New Roman"/>
      <w:snapToGrid w:val="0"/>
      <w:lang w:eastAsia="en-US"/>
    </w:rPr>
  </w:style>
  <w:style w:type="paragraph" w:customStyle="1" w:styleId="Legacont">
    <w:name w:val="Leg (a) [cont]"/>
    <w:basedOn w:val="Lega"/>
    <w:next w:val="Lega"/>
    <w:rsid w:val="00DF4B40"/>
    <w:pPr>
      <w:spacing w:before="60"/>
    </w:pPr>
  </w:style>
  <w:style w:type="paragraph" w:customStyle="1" w:styleId="Legiindent">
    <w:name w:val="Leg (i) indent"/>
    <w:basedOn w:val="Legi"/>
    <w:rsid w:val="00DF4B40"/>
    <w:pPr>
      <w:ind w:left="1191" w:hanging="1191"/>
    </w:pPr>
  </w:style>
  <w:style w:type="paragraph" w:customStyle="1" w:styleId="LegRule">
    <w:name w:val="Leg Rule #"/>
    <w:basedOn w:val="Normal"/>
    <w:next w:val="LegSubRule"/>
    <w:qFormat/>
    <w:rsid w:val="00DF4B40"/>
    <w:pPr>
      <w:pageBreakBefore/>
      <w:spacing w:line="360" w:lineRule="auto"/>
      <w:jc w:val="center"/>
    </w:pPr>
    <w:rPr>
      <w:b/>
    </w:rPr>
  </w:style>
  <w:style w:type="paragraph" w:customStyle="1" w:styleId="Legcont">
    <w:name w:val="Leg cont"/>
    <w:basedOn w:val="Lega"/>
    <w:qFormat/>
    <w:rsid w:val="00DF4B40"/>
    <w:pPr>
      <w:pageBreakBefore/>
      <w:spacing w:after="720"/>
      <w:jc w:val="center"/>
    </w:pPr>
  </w:style>
  <w:style w:type="paragraph" w:styleId="TOC1">
    <w:name w:val="toc 1"/>
    <w:basedOn w:val="Normal"/>
    <w:next w:val="Normal"/>
    <w:autoRedefine/>
    <w:uiPriority w:val="39"/>
    <w:rsid w:val="00065765"/>
    <w:pPr>
      <w:spacing w:before="120" w:after="60"/>
    </w:pPr>
  </w:style>
  <w:style w:type="paragraph" w:styleId="TOC2">
    <w:name w:val="toc 2"/>
    <w:basedOn w:val="Normal"/>
    <w:next w:val="Normal"/>
    <w:autoRedefine/>
    <w:uiPriority w:val="39"/>
    <w:rsid w:val="00065765"/>
    <w:pPr>
      <w:spacing w:before="240" w:after="120"/>
      <w:ind w:left="221"/>
    </w:pPr>
  </w:style>
  <w:style w:type="character" w:styleId="Hyperlink">
    <w:name w:val="Hyperlink"/>
    <w:basedOn w:val="DefaultParagraphFont"/>
    <w:uiPriority w:val="99"/>
    <w:unhideWhenUsed/>
    <w:rsid w:val="00A35BB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wipo.int/pct/fr/texts/articles/a39.ht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wipo.int/pct/fr/texts/articles/a22.ht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20WG%208%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CF9E84-7A80-4611-8BCF-5422AA9B2D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 WG 8 (E)</Template>
  <TotalTime>0</TotalTime>
  <Pages>8</Pages>
  <Words>3344</Words>
  <Characters>19561</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22860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Delays and Force Majeure for Electronic Communications</dc:subject>
  <dc:creator>MARLOW Thomas</dc:creator>
  <cp:keywords>DB/JCH/ko</cp:keywords>
  <cp:lastModifiedBy>MARLOW Thomas</cp:lastModifiedBy>
  <cp:revision>2</cp:revision>
  <cp:lastPrinted>2015-05-08T13:20:00Z</cp:lastPrinted>
  <dcterms:created xsi:type="dcterms:W3CDTF">2015-05-08T14:04:00Z</dcterms:created>
  <dcterms:modified xsi:type="dcterms:W3CDTF">2015-05-08T14:04:00Z</dcterms:modified>
</cp:coreProperties>
</file>