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8489F" w:rsidRPr="007343C0" w:rsidTr="001701A7">
        <w:tc>
          <w:tcPr>
            <w:tcW w:w="4513" w:type="dxa"/>
            <w:tcBorders>
              <w:bottom w:val="single" w:sz="4" w:space="0" w:color="auto"/>
            </w:tcBorders>
            <w:tcMar>
              <w:bottom w:w="170" w:type="dxa"/>
            </w:tcMar>
          </w:tcPr>
          <w:p w:rsidR="00C8489F" w:rsidRPr="007343C0" w:rsidRDefault="00C8489F" w:rsidP="007343C0">
            <w:pPr>
              <w:pStyle w:val="ONUME"/>
              <w:numPr>
                <w:ilvl w:val="0"/>
                <w:numId w:val="0"/>
              </w:numPr>
              <w:rPr>
                <w:lang w:val="fr-FR"/>
              </w:rPr>
            </w:pPr>
          </w:p>
        </w:tc>
        <w:tc>
          <w:tcPr>
            <w:tcW w:w="4337" w:type="dxa"/>
            <w:tcBorders>
              <w:bottom w:val="single" w:sz="4" w:space="0" w:color="auto"/>
            </w:tcBorders>
            <w:tcMar>
              <w:left w:w="0" w:type="dxa"/>
              <w:right w:w="0" w:type="dxa"/>
            </w:tcMar>
          </w:tcPr>
          <w:p w:rsidR="00C8489F" w:rsidRPr="007343C0" w:rsidRDefault="00C8489F" w:rsidP="007343C0">
            <w:pPr>
              <w:rPr>
                <w:lang w:val="fr-FR"/>
              </w:rPr>
            </w:pPr>
            <w:r w:rsidRPr="007343C0">
              <w:rPr>
                <w:noProof/>
                <w:lang w:eastAsia="en-US"/>
              </w:rPr>
              <w:drawing>
                <wp:inline distT="0" distB="0" distL="0" distR="0" wp14:anchorId="075A8551" wp14:editId="36B921AF">
                  <wp:extent cx="1857375" cy="1323975"/>
                  <wp:effectExtent l="0" t="0" r="9525" b="9525"/>
                  <wp:docPr id="3" name="Picture 3"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8489F" w:rsidRPr="007343C0" w:rsidRDefault="00C8489F" w:rsidP="007343C0">
            <w:pPr>
              <w:jc w:val="right"/>
              <w:rPr>
                <w:lang w:val="fr-FR"/>
              </w:rPr>
            </w:pPr>
            <w:r w:rsidRPr="007343C0">
              <w:rPr>
                <w:b/>
                <w:sz w:val="40"/>
                <w:szCs w:val="40"/>
                <w:lang w:val="fr-FR"/>
              </w:rPr>
              <w:t>F</w:t>
            </w:r>
          </w:p>
        </w:tc>
      </w:tr>
      <w:tr w:rsidR="00C8489F" w:rsidRPr="007343C0" w:rsidTr="001701A7">
        <w:trPr>
          <w:trHeight w:hRule="exact" w:val="340"/>
        </w:trPr>
        <w:tc>
          <w:tcPr>
            <w:tcW w:w="9356" w:type="dxa"/>
            <w:gridSpan w:val="3"/>
            <w:tcBorders>
              <w:top w:val="single" w:sz="4" w:space="0" w:color="auto"/>
            </w:tcBorders>
            <w:tcMar>
              <w:top w:w="170" w:type="dxa"/>
              <w:left w:w="0" w:type="dxa"/>
              <w:right w:w="0" w:type="dxa"/>
            </w:tcMar>
            <w:vAlign w:val="bottom"/>
          </w:tcPr>
          <w:p w:rsidR="00C8489F" w:rsidRPr="007343C0" w:rsidRDefault="00C8489F" w:rsidP="007343C0">
            <w:pPr>
              <w:jc w:val="right"/>
              <w:rPr>
                <w:rFonts w:ascii="Arial Black" w:hAnsi="Arial Black"/>
                <w:caps/>
                <w:sz w:val="15"/>
                <w:lang w:val="fr-FR"/>
              </w:rPr>
            </w:pPr>
            <w:r w:rsidRPr="007343C0">
              <w:rPr>
                <w:rFonts w:ascii="Arial Black" w:hAnsi="Arial Black"/>
                <w:caps/>
                <w:sz w:val="15"/>
                <w:lang w:val="fr-FR"/>
              </w:rPr>
              <w:t>PCT/WG/7/</w:t>
            </w:r>
            <w:bookmarkStart w:id="0" w:name="Code"/>
            <w:bookmarkEnd w:id="0"/>
            <w:r w:rsidRPr="007343C0">
              <w:rPr>
                <w:rFonts w:ascii="Arial Black" w:hAnsi="Arial Black"/>
                <w:caps/>
                <w:sz w:val="15"/>
                <w:lang w:val="fr-FR"/>
              </w:rPr>
              <w:t xml:space="preserve">6    </w:t>
            </w:r>
          </w:p>
        </w:tc>
      </w:tr>
      <w:tr w:rsidR="00C8489F" w:rsidRPr="007343C0" w:rsidTr="001701A7">
        <w:trPr>
          <w:trHeight w:hRule="exact" w:val="170"/>
        </w:trPr>
        <w:tc>
          <w:tcPr>
            <w:tcW w:w="9356" w:type="dxa"/>
            <w:gridSpan w:val="3"/>
            <w:noWrap/>
            <w:tcMar>
              <w:left w:w="0" w:type="dxa"/>
              <w:right w:w="0" w:type="dxa"/>
            </w:tcMar>
            <w:vAlign w:val="bottom"/>
          </w:tcPr>
          <w:p w:rsidR="00C8489F" w:rsidRPr="007343C0" w:rsidRDefault="00C8489F" w:rsidP="007343C0">
            <w:pPr>
              <w:jc w:val="right"/>
              <w:rPr>
                <w:rFonts w:ascii="Arial Black" w:hAnsi="Arial Black"/>
                <w:caps/>
                <w:sz w:val="15"/>
                <w:lang w:val="fr-FR"/>
              </w:rPr>
            </w:pPr>
            <w:r w:rsidRPr="007343C0">
              <w:rPr>
                <w:rFonts w:ascii="Arial Black" w:hAnsi="Arial Black"/>
                <w:caps/>
                <w:sz w:val="15"/>
                <w:lang w:val="fr-FR"/>
              </w:rPr>
              <w:t xml:space="preserve">ORIGINAL : </w:t>
            </w:r>
            <w:bookmarkStart w:id="1" w:name="Original"/>
            <w:bookmarkEnd w:id="1"/>
            <w:r w:rsidRPr="007343C0">
              <w:rPr>
                <w:rFonts w:ascii="Arial Black" w:hAnsi="Arial Black"/>
                <w:caps/>
                <w:sz w:val="15"/>
                <w:lang w:val="fr-FR"/>
              </w:rPr>
              <w:t>anglais</w:t>
            </w:r>
          </w:p>
        </w:tc>
      </w:tr>
      <w:tr w:rsidR="00C8489F" w:rsidRPr="007343C0" w:rsidTr="001701A7">
        <w:trPr>
          <w:trHeight w:hRule="exact" w:val="198"/>
        </w:trPr>
        <w:tc>
          <w:tcPr>
            <w:tcW w:w="9356" w:type="dxa"/>
            <w:gridSpan w:val="3"/>
            <w:tcMar>
              <w:left w:w="0" w:type="dxa"/>
              <w:right w:w="0" w:type="dxa"/>
            </w:tcMar>
            <w:vAlign w:val="bottom"/>
          </w:tcPr>
          <w:p w:rsidR="00C8489F" w:rsidRPr="007343C0" w:rsidRDefault="00C8489F" w:rsidP="007343C0">
            <w:pPr>
              <w:jc w:val="right"/>
              <w:rPr>
                <w:rFonts w:ascii="Arial Black" w:hAnsi="Arial Black"/>
                <w:caps/>
                <w:sz w:val="15"/>
                <w:lang w:val="fr-FR"/>
              </w:rPr>
            </w:pPr>
            <w:r w:rsidRPr="007343C0">
              <w:rPr>
                <w:rFonts w:ascii="Arial Black" w:hAnsi="Arial Black"/>
                <w:caps/>
                <w:sz w:val="15"/>
                <w:lang w:val="fr-FR"/>
              </w:rPr>
              <w:t xml:space="preserve">DATE : </w:t>
            </w:r>
            <w:bookmarkStart w:id="2" w:name="Date"/>
            <w:bookmarkEnd w:id="2"/>
            <w:r w:rsidRPr="007343C0">
              <w:rPr>
                <w:rFonts w:ascii="Arial Black" w:hAnsi="Arial Black"/>
                <w:caps/>
                <w:sz w:val="15"/>
                <w:lang w:val="fr-FR"/>
              </w:rPr>
              <w:t>2 maI 2014</w:t>
            </w:r>
          </w:p>
        </w:tc>
      </w:tr>
    </w:tbl>
    <w:p w:rsidR="00C8489F" w:rsidRPr="007343C0" w:rsidRDefault="00C8489F" w:rsidP="007343C0">
      <w:pPr>
        <w:rPr>
          <w:lang w:val="fr-FR"/>
        </w:rPr>
      </w:pPr>
    </w:p>
    <w:p w:rsidR="00C8489F" w:rsidRPr="007343C0" w:rsidRDefault="00C8489F" w:rsidP="007343C0">
      <w:pPr>
        <w:rPr>
          <w:lang w:val="fr-FR"/>
        </w:rPr>
      </w:pPr>
    </w:p>
    <w:p w:rsidR="00C8489F" w:rsidRPr="007343C0" w:rsidRDefault="00C8489F" w:rsidP="007343C0">
      <w:pPr>
        <w:rPr>
          <w:lang w:val="fr-FR"/>
        </w:rPr>
      </w:pPr>
    </w:p>
    <w:p w:rsidR="00C8489F" w:rsidRPr="007343C0" w:rsidRDefault="00C8489F" w:rsidP="007343C0">
      <w:pPr>
        <w:rPr>
          <w:lang w:val="fr-FR"/>
        </w:rPr>
      </w:pPr>
    </w:p>
    <w:p w:rsidR="00C8489F" w:rsidRPr="007343C0" w:rsidRDefault="00C8489F" w:rsidP="007343C0">
      <w:pPr>
        <w:rPr>
          <w:lang w:val="fr-FR"/>
        </w:rPr>
      </w:pPr>
    </w:p>
    <w:p w:rsidR="00C8489F" w:rsidRPr="007343C0" w:rsidRDefault="00C8489F" w:rsidP="007343C0">
      <w:pPr>
        <w:rPr>
          <w:b/>
          <w:sz w:val="28"/>
          <w:szCs w:val="28"/>
          <w:lang w:val="fr-FR"/>
        </w:rPr>
      </w:pPr>
      <w:r w:rsidRPr="007343C0">
        <w:rPr>
          <w:b/>
          <w:sz w:val="28"/>
          <w:szCs w:val="28"/>
          <w:lang w:val="fr-FR"/>
        </w:rPr>
        <w:t>Groupe de travail du Traité de coopération en matière de brevets (PCT)</w:t>
      </w:r>
    </w:p>
    <w:p w:rsidR="00C8489F" w:rsidRPr="007343C0" w:rsidRDefault="00C8489F" w:rsidP="007343C0">
      <w:pPr>
        <w:rPr>
          <w:lang w:val="fr-FR"/>
        </w:rPr>
      </w:pPr>
    </w:p>
    <w:p w:rsidR="00C8489F" w:rsidRPr="007343C0" w:rsidRDefault="00C8489F" w:rsidP="007343C0">
      <w:pPr>
        <w:rPr>
          <w:lang w:val="fr-FR"/>
        </w:rPr>
      </w:pPr>
    </w:p>
    <w:p w:rsidR="00C8489F" w:rsidRPr="007343C0" w:rsidRDefault="00C8489F" w:rsidP="007343C0">
      <w:pPr>
        <w:rPr>
          <w:b/>
          <w:sz w:val="24"/>
          <w:szCs w:val="24"/>
          <w:lang w:val="fr-FR"/>
        </w:rPr>
      </w:pPr>
      <w:r w:rsidRPr="007343C0">
        <w:rPr>
          <w:b/>
          <w:sz w:val="24"/>
          <w:szCs w:val="24"/>
          <w:lang w:val="fr-FR"/>
        </w:rPr>
        <w:t>Septième</w:t>
      </w:r>
      <w:r w:rsidR="00BE3E96" w:rsidRPr="007343C0">
        <w:rPr>
          <w:b/>
          <w:sz w:val="24"/>
          <w:szCs w:val="24"/>
          <w:lang w:val="fr-FR"/>
        </w:rPr>
        <w:t> </w:t>
      </w:r>
      <w:r w:rsidRPr="007343C0">
        <w:rPr>
          <w:b/>
          <w:sz w:val="24"/>
          <w:szCs w:val="24"/>
          <w:lang w:val="fr-FR"/>
        </w:rPr>
        <w:t>session</w:t>
      </w:r>
    </w:p>
    <w:p w:rsidR="00C8489F" w:rsidRPr="007343C0" w:rsidRDefault="00C8489F" w:rsidP="007343C0">
      <w:pPr>
        <w:rPr>
          <w:b/>
          <w:sz w:val="24"/>
          <w:szCs w:val="24"/>
          <w:lang w:val="fr-FR"/>
        </w:rPr>
      </w:pPr>
      <w:r w:rsidRPr="007343C0">
        <w:rPr>
          <w:b/>
          <w:sz w:val="24"/>
          <w:szCs w:val="24"/>
          <w:lang w:val="fr-FR"/>
        </w:rPr>
        <w:t>Genève, 10 – 13 juin 2014</w:t>
      </w:r>
    </w:p>
    <w:p w:rsidR="00E5757A" w:rsidRPr="007343C0" w:rsidRDefault="00E5757A" w:rsidP="007343C0">
      <w:pPr>
        <w:rPr>
          <w:lang w:val="fr-FR"/>
        </w:rPr>
      </w:pPr>
    </w:p>
    <w:p w:rsidR="00E5757A" w:rsidRPr="007343C0" w:rsidRDefault="00E5757A" w:rsidP="007343C0">
      <w:pPr>
        <w:rPr>
          <w:lang w:val="fr-FR"/>
        </w:rPr>
      </w:pPr>
    </w:p>
    <w:p w:rsidR="00E5757A" w:rsidRPr="007343C0" w:rsidRDefault="00E5757A" w:rsidP="007343C0">
      <w:pPr>
        <w:rPr>
          <w:lang w:val="fr-FR"/>
        </w:rPr>
      </w:pPr>
    </w:p>
    <w:p w:rsidR="00E5757A" w:rsidRPr="007343C0" w:rsidRDefault="00A10365" w:rsidP="007343C0">
      <w:pPr>
        <w:rPr>
          <w:caps/>
          <w:sz w:val="24"/>
          <w:szCs w:val="24"/>
          <w:lang w:val="fr-FR"/>
        </w:rPr>
      </w:pPr>
      <w:bookmarkStart w:id="3" w:name="TitleOfDoc"/>
      <w:bookmarkEnd w:id="3"/>
      <w:r w:rsidRPr="007343C0">
        <w:rPr>
          <w:caps/>
          <w:color w:val="000000"/>
          <w:sz w:val="24"/>
          <w:szCs w:val="24"/>
          <w:lang w:val="fr-FR"/>
        </w:rPr>
        <w:t>ESTIMer l</w:t>
      </w:r>
      <w:r w:rsidR="00C8489F" w:rsidRPr="007343C0">
        <w:rPr>
          <w:caps/>
          <w:color w:val="000000"/>
          <w:sz w:val="24"/>
          <w:szCs w:val="24"/>
          <w:lang w:val="fr-FR"/>
        </w:rPr>
        <w:t>’</w:t>
      </w:r>
      <w:r w:rsidRPr="007343C0">
        <w:rPr>
          <w:caps/>
          <w:color w:val="000000"/>
          <w:sz w:val="24"/>
          <w:szCs w:val="24"/>
          <w:lang w:val="fr-FR"/>
        </w:rPr>
        <w:t xml:space="preserve">élasticité </w:t>
      </w:r>
      <w:r w:rsidR="00FA64B6" w:rsidRPr="007343C0">
        <w:rPr>
          <w:caps/>
          <w:color w:val="000000"/>
          <w:sz w:val="24"/>
          <w:szCs w:val="24"/>
          <w:lang w:val="fr-FR"/>
        </w:rPr>
        <w:t xml:space="preserve">PAR RAPPORT </w:t>
      </w:r>
      <w:r w:rsidR="00EC0638" w:rsidRPr="007343C0">
        <w:rPr>
          <w:caps/>
          <w:color w:val="000000"/>
          <w:sz w:val="24"/>
          <w:szCs w:val="24"/>
          <w:lang w:val="fr-FR"/>
        </w:rPr>
        <w:t xml:space="preserve">À </w:t>
      </w:r>
      <w:r w:rsidR="00875590" w:rsidRPr="007343C0">
        <w:rPr>
          <w:caps/>
          <w:color w:val="000000"/>
          <w:sz w:val="24"/>
          <w:szCs w:val="24"/>
          <w:lang w:val="fr-FR"/>
        </w:rPr>
        <w:t>LA</w:t>
      </w:r>
      <w:r w:rsidR="00EC0638" w:rsidRPr="007343C0">
        <w:rPr>
          <w:caps/>
          <w:color w:val="000000"/>
          <w:sz w:val="24"/>
          <w:szCs w:val="24"/>
          <w:lang w:val="fr-FR"/>
        </w:rPr>
        <w:t xml:space="preserve"> </w:t>
      </w:r>
      <w:r w:rsidRPr="007343C0">
        <w:rPr>
          <w:caps/>
          <w:color w:val="000000"/>
          <w:sz w:val="24"/>
          <w:szCs w:val="24"/>
          <w:lang w:val="fr-FR"/>
        </w:rPr>
        <w:t>taxe d</w:t>
      </w:r>
      <w:r w:rsidR="00875590" w:rsidRPr="007343C0">
        <w:rPr>
          <w:caps/>
          <w:color w:val="000000"/>
          <w:sz w:val="24"/>
          <w:szCs w:val="24"/>
          <w:lang w:val="fr-FR"/>
        </w:rPr>
        <w:t>E DÉPÔT D</w:t>
      </w:r>
      <w:r w:rsidRPr="007343C0">
        <w:rPr>
          <w:caps/>
          <w:color w:val="000000"/>
          <w:sz w:val="24"/>
          <w:szCs w:val="24"/>
          <w:lang w:val="fr-FR"/>
        </w:rPr>
        <w:t>u PCT</w:t>
      </w:r>
    </w:p>
    <w:p w:rsidR="00E5757A" w:rsidRPr="007343C0" w:rsidRDefault="00E5757A" w:rsidP="007343C0">
      <w:pPr>
        <w:rPr>
          <w:lang w:val="fr-FR"/>
        </w:rPr>
      </w:pPr>
    </w:p>
    <w:p w:rsidR="00E5757A" w:rsidRPr="007343C0" w:rsidRDefault="00A10365" w:rsidP="007343C0">
      <w:pPr>
        <w:rPr>
          <w:i/>
          <w:lang w:val="fr-FR"/>
        </w:rPr>
      </w:pPr>
      <w:bookmarkStart w:id="4" w:name="Prepared"/>
      <w:bookmarkEnd w:id="4"/>
      <w:r w:rsidRPr="007343C0">
        <w:rPr>
          <w:i/>
          <w:lang w:val="fr-FR"/>
        </w:rPr>
        <w:t>Document établi par le Bureau international</w:t>
      </w:r>
    </w:p>
    <w:p w:rsidR="00E5757A" w:rsidRPr="007343C0" w:rsidRDefault="00E5757A" w:rsidP="007343C0">
      <w:pPr>
        <w:rPr>
          <w:lang w:val="fr-FR"/>
        </w:rPr>
      </w:pPr>
    </w:p>
    <w:p w:rsidR="00E5757A" w:rsidRPr="007343C0" w:rsidRDefault="00E5757A" w:rsidP="007343C0">
      <w:pPr>
        <w:rPr>
          <w:lang w:val="fr-FR"/>
        </w:rPr>
      </w:pPr>
    </w:p>
    <w:p w:rsidR="00E5757A" w:rsidRPr="007343C0" w:rsidRDefault="00E5757A" w:rsidP="007343C0">
      <w:pPr>
        <w:rPr>
          <w:lang w:val="fr-FR"/>
        </w:rPr>
      </w:pPr>
    </w:p>
    <w:p w:rsidR="00E5757A" w:rsidRPr="007343C0" w:rsidRDefault="00E5757A" w:rsidP="007343C0">
      <w:pPr>
        <w:rPr>
          <w:lang w:val="fr-FR"/>
        </w:rPr>
      </w:pPr>
    </w:p>
    <w:p w:rsidR="00E5757A" w:rsidRPr="007343C0" w:rsidRDefault="00A10365" w:rsidP="007343C0">
      <w:pPr>
        <w:pStyle w:val="Heading1"/>
        <w:rPr>
          <w:lang w:val="fr-FR"/>
        </w:rPr>
      </w:pPr>
      <w:r w:rsidRPr="007343C0">
        <w:rPr>
          <w:lang w:val="fr-FR"/>
        </w:rPr>
        <w:t>Résumé</w:t>
      </w:r>
    </w:p>
    <w:p w:rsidR="00E5757A" w:rsidRPr="007343C0" w:rsidRDefault="00A10365" w:rsidP="007343C0">
      <w:pPr>
        <w:pStyle w:val="ONUMFS"/>
        <w:rPr>
          <w:lang w:val="fr-FR"/>
        </w:rPr>
      </w:pPr>
      <w:r w:rsidRPr="007343C0">
        <w:rPr>
          <w:lang w:val="fr-FR"/>
        </w:rPr>
        <w:t>Le présent document contient l</w:t>
      </w:r>
      <w:r w:rsidR="00C8489F" w:rsidRPr="007343C0">
        <w:rPr>
          <w:lang w:val="fr-FR"/>
        </w:rPr>
        <w:t>’</w:t>
      </w:r>
      <w:r w:rsidRPr="007343C0">
        <w:rPr>
          <w:lang w:val="fr-FR"/>
        </w:rPr>
        <w:t xml:space="preserve">étude demandée par le groupe de travail </w:t>
      </w:r>
      <w:r w:rsidR="00875590" w:rsidRPr="007343C0">
        <w:rPr>
          <w:lang w:val="fr-FR"/>
        </w:rPr>
        <w:t xml:space="preserve">sur le lien entre le </w:t>
      </w:r>
      <w:r w:rsidR="009636B2" w:rsidRPr="007343C0">
        <w:rPr>
          <w:lang w:val="fr-FR"/>
        </w:rPr>
        <w:t xml:space="preserve">nombre de </w:t>
      </w:r>
      <w:r w:rsidR="00875590" w:rsidRPr="007343C0">
        <w:rPr>
          <w:lang w:val="fr-FR"/>
        </w:rPr>
        <w:t xml:space="preserve">demandes </w:t>
      </w:r>
      <w:r w:rsidRPr="007343C0">
        <w:rPr>
          <w:lang w:val="fr-FR"/>
        </w:rPr>
        <w:t>dép</w:t>
      </w:r>
      <w:r w:rsidR="00875590" w:rsidRPr="007343C0">
        <w:rPr>
          <w:lang w:val="fr-FR"/>
        </w:rPr>
        <w:t>osée</w:t>
      </w:r>
      <w:r w:rsidRPr="007343C0">
        <w:rPr>
          <w:lang w:val="fr-FR"/>
        </w:rPr>
        <w:t>s selon</w:t>
      </w:r>
      <w:r w:rsidR="00C8489F" w:rsidRPr="007343C0">
        <w:rPr>
          <w:lang w:val="fr-FR"/>
        </w:rPr>
        <w:t xml:space="preserve"> le PCT</w:t>
      </w:r>
      <w:r w:rsidR="009636B2" w:rsidRPr="007343C0">
        <w:rPr>
          <w:lang w:val="fr-FR"/>
        </w:rPr>
        <w:t xml:space="preserve"> </w:t>
      </w:r>
      <w:r w:rsidR="00875590" w:rsidRPr="007343C0">
        <w:rPr>
          <w:lang w:val="fr-FR"/>
        </w:rPr>
        <w:t>et</w:t>
      </w:r>
      <w:r w:rsidRPr="007343C0">
        <w:rPr>
          <w:lang w:val="fr-FR"/>
        </w:rPr>
        <w:t xml:space="preserve"> la taxe internationale de dépôt.</w:t>
      </w:r>
      <w:r w:rsidR="006B331A" w:rsidRPr="007343C0">
        <w:rPr>
          <w:lang w:val="fr-FR"/>
        </w:rPr>
        <w:t xml:space="preserve">  </w:t>
      </w:r>
      <w:r w:rsidR="005F4D85" w:rsidRPr="007343C0">
        <w:rPr>
          <w:lang w:val="fr-FR"/>
        </w:rPr>
        <w:t>Cette étude, qui repose sur l</w:t>
      </w:r>
      <w:r w:rsidR="00C8489F" w:rsidRPr="007343C0">
        <w:rPr>
          <w:lang w:val="fr-FR"/>
        </w:rPr>
        <w:t>’</w:t>
      </w:r>
      <w:r w:rsidR="005F4D85" w:rsidRPr="007343C0">
        <w:rPr>
          <w:lang w:val="fr-FR"/>
        </w:rPr>
        <w:t>utilisation d</w:t>
      </w:r>
      <w:r w:rsidR="00C8489F" w:rsidRPr="007343C0">
        <w:rPr>
          <w:lang w:val="fr-FR"/>
        </w:rPr>
        <w:t>’</w:t>
      </w:r>
      <w:r w:rsidR="005F4D85" w:rsidRPr="007343C0">
        <w:rPr>
          <w:lang w:val="fr-FR"/>
        </w:rPr>
        <w:t xml:space="preserve">un modèle </w:t>
      </w:r>
      <w:r w:rsidR="002A6AE7" w:rsidRPr="007343C0">
        <w:rPr>
          <w:lang w:val="fr-FR"/>
        </w:rPr>
        <w:t>binaire</w:t>
      </w:r>
      <w:r w:rsidR="005F4D85" w:rsidRPr="007343C0">
        <w:rPr>
          <w:lang w:val="fr-FR"/>
        </w:rPr>
        <w:t xml:space="preserve"> </w:t>
      </w:r>
      <w:r w:rsidR="009636B2" w:rsidRPr="007343C0">
        <w:rPr>
          <w:lang w:val="fr-FR"/>
        </w:rPr>
        <w:t>pour analyser</w:t>
      </w:r>
      <w:r w:rsidR="005F4D85" w:rsidRPr="007343C0">
        <w:rPr>
          <w:lang w:val="fr-FR"/>
        </w:rPr>
        <w:t xml:space="preserve"> la décision d</w:t>
      </w:r>
      <w:r w:rsidR="00C8489F" w:rsidRPr="007343C0">
        <w:rPr>
          <w:lang w:val="fr-FR"/>
        </w:rPr>
        <w:t>’</w:t>
      </w:r>
      <w:r w:rsidR="005F4D85" w:rsidRPr="007343C0">
        <w:rPr>
          <w:lang w:val="fr-FR"/>
        </w:rPr>
        <w:t>un déposant d</w:t>
      </w:r>
      <w:r w:rsidR="00C8489F" w:rsidRPr="007343C0">
        <w:rPr>
          <w:lang w:val="fr-FR"/>
        </w:rPr>
        <w:t>’</w:t>
      </w:r>
      <w:r w:rsidR="005F4D85" w:rsidRPr="007343C0">
        <w:rPr>
          <w:lang w:val="fr-FR"/>
        </w:rPr>
        <w:t xml:space="preserve">effectuer des dépôts </w:t>
      </w:r>
      <w:r w:rsidR="009636B2" w:rsidRPr="007343C0">
        <w:rPr>
          <w:lang w:val="fr-FR"/>
        </w:rPr>
        <w:t xml:space="preserve">soit </w:t>
      </w:r>
      <w:r w:rsidR="005F4D85" w:rsidRPr="007343C0">
        <w:rPr>
          <w:lang w:val="fr-FR"/>
        </w:rPr>
        <w:t>par l</w:t>
      </w:r>
      <w:r w:rsidR="00C8489F" w:rsidRPr="007343C0">
        <w:rPr>
          <w:lang w:val="fr-FR"/>
        </w:rPr>
        <w:t>’</w:t>
      </w:r>
      <w:r w:rsidR="005F4D85" w:rsidRPr="007343C0">
        <w:rPr>
          <w:lang w:val="fr-FR"/>
        </w:rPr>
        <w:t>intermédiaire du système</w:t>
      </w:r>
      <w:r w:rsidR="00C8489F" w:rsidRPr="007343C0">
        <w:rPr>
          <w:lang w:val="fr-FR"/>
        </w:rPr>
        <w:t xml:space="preserve"> du PCT</w:t>
      </w:r>
      <w:r w:rsidR="005F4D85" w:rsidRPr="007343C0">
        <w:rPr>
          <w:lang w:val="fr-FR"/>
        </w:rPr>
        <w:t xml:space="preserve"> </w:t>
      </w:r>
      <w:r w:rsidR="009636B2" w:rsidRPr="007343C0">
        <w:rPr>
          <w:lang w:val="fr-FR"/>
        </w:rPr>
        <w:t xml:space="preserve">soit </w:t>
      </w:r>
      <w:r w:rsidR="005F4D85" w:rsidRPr="007343C0">
        <w:rPr>
          <w:lang w:val="fr-FR"/>
        </w:rPr>
        <w:t>en vertu de la Convention de Paris, conclut à l</w:t>
      </w:r>
      <w:r w:rsidR="00C8489F" w:rsidRPr="007343C0">
        <w:rPr>
          <w:lang w:val="fr-FR"/>
        </w:rPr>
        <w:t>’</w:t>
      </w:r>
      <w:r w:rsidR="005F4D85" w:rsidRPr="007343C0">
        <w:rPr>
          <w:lang w:val="fr-FR"/>
        </w:rPr>
        <w:t>existence d</w:t>
      </w:r>
      <w:r w:rsidR="00C8489F" w:rsidRPr="007343C0">
        <w:rPr>
          <w:lang w:val="fr-FR"/>
        </w:rPr>
        <w:t>’</w:t>
      </w:r>
      <w:r w:rsidR="005F4D85" w:rsidRPr="007343C0">
        <w:rPr>
          <w:lang w:val="fr-FR"/>
        </w:rPr>
        <w:t xml:space="preserve">un lien fortement “inélastique” (mais </w:t>
      </w:r>
      <w:r w:rsidR="009636B2" w:rsidRPr="007343C0">
        <w:rPr>
          <w:lang w:val="fr-FR"/>
        </w:rPr>
        <w:t>statistiquement significatif</w:t>
      </w:r>
      <w:r w:rsidR="005F4D85" w:rsidRPr="007343C0">
        <w:rPr>
          <w:lang w:val="fr-FR"/>
        </w:rPr>
        <w:t>) entre la taxe et le</w:t>
      </w:r>
      <w:r w:rsidR="009636B2" w:rsidRPr="007343C0">
        <w:rPr>
          <w:lang w:val="fr-FR"/>
        </w:rPr>
        <w:t xml:space="preserve"> nombre de</w:t>
      </w:r>
      <w:r w:rsidR="005F4D85" w:rsidRPr="007343C0">
        <w:rPr>
          <w:lang w:val="fr-FR"/>
        </w:rPr>
        <w:t xml:space="preserve"> dépôts.</w:t>
      </w:r>
      <w:r w:rsidR="006B331A" w:rsidRPr="007343C0">
        <w:rPr>
          <w:lang w:val="fr-FR"/>
        </w:rPr>
        <w:t xml:space="preserve">  </w:t>
      </w:r>
      <w:r w:rsidR="00D35B30" w:rsidRPr="007343C0">
        <w:rPr>
          <w:lang w:val="fr-FR"/>
        </w:rPr>
        <w:t>Par ailleurs, les résultats de l</w:t>
      </w:r>
      <w:r w:rsidR="00C8489F" w:rsidRPr="007343C0">
        <w:rPr>
          <w:lang w:val="fr-FR"/>
        </w:rPr>
        <w:t>’</w:t>
      </w:r>
      <w:r w:rsidR="00D35B30" w:rsidRPr="007343C0">
        <w:rPr>
          <w:lang w:val="fr-FR"/>
        </w:rPr>
        <w:t xml:space="preserve">estimation laissent penser que la taxe </w:t>
      </w:r>
      <w:r w:rsidR="009636B2" w:rsidRPr="007343C0">
        <w:rPr>
          <w:lang w:val="fr-FR"/>
        </w:rPr>
        <w:t xml:space="preserve">internationale </w:t>
      </w:r>
      <w:r w:rsidR="00D35B30" w:rsidRPr="007343C0">
        <w:rPr>
          <w:lang w:val="fr-FR"/>
        </w:rPr>
        <w:t xml:space="preserve">de dépôt a </w:t>
      </w:r>
      <w:r w:rsidR="009636B2" w:rsidRPr="007343C0">
        <w:rPr>
          <w:lang w:val="fr-FR"/>
        </w:rPr>
        <w:t>le</w:t>
      </w:r>
      <w:r w:rsidR="00D35B30" w:rsidRPr="007343C0">
        <w:rPr>
          <w:lang w:val="fr-FR"/>
        </w:rPr>
        <w:t xml:space="preserve"> plus d</w:t>
      </w:r>
      <w:r w:rsidR="00C8489F" w:rsidRPr="007343C0">
        <w:rPr>
          <w:lang w:val="fr-FR"/>
        </w:rPr>
        <w:t>’</w:t>
      </w:r>
      <w:r w:rsidR="00D35B30" w:rsidRPr="007343C0">
        <w:rPr>
          <w:lang w:val="fr-FR"/>
        </w:rPr>
        <w:t xml:space="preserve">importance </w:t>
      </w:r>
      <w:r w:rsidR="009636B2" w:rsidRPr="007343C0">
        <w:rPr>
          <w:lang w:val="fr-FR"/>
        </w:rPr>
        <w:t>lorsque</w:t>
      </w:r>
      <w:r w:rsidR="00D35B30" w:rsidRPr="007343C0">
        <w:rPr>
          <w:lang w:val="fr-FR"/>
        </w:rPr>
        <w:t xml:space="preserve"> les déposants cherchent à protéger leurs brevets dans trois</w:t>
      </w:r>
      <w:r w:rsidR="00BE3E96" w:rsidRPr="007343C0">
        <w:rPr>
          <w:lang w:val="fr-FR"/>
        </w:rPr>
        <w:t> </w:t>
      </w:r>
      <w:r w:rsidR="00D35B30" w:rsidRPr="007343C0">
        <w:rPr>
          <w:lang w:val="fr-FR"/>
        </w:rPr>
        <w:t>offices étrangers exactement, et que les universités et organismes de recherche publics sont légèrement plus sensibles aux prix.</w:t>
      </w:r>
    </w:p>
    <w:p w:rsidR="00E5757A" w:rsidRPr="007343C0" w:rsidRDefault="00D35B30" w:rsidP="007343C0">
      <w:pPr>
        <w:pStyle w:val="ONUMFS"/>
        <w:rPr>
          <w:lang w:val="fr-FR"/>
        </w:rPr>
      </w:pPr>
      <w:r w:rsidRPr="007343C0">
        <w:rPr>
          <w:lang w:val="fr-FR"/>
        </w:rPr>
        <w:t xml:space="preserve">En plus de </w:t>
      </w:r>
      <w:r w:rsidR="00875590" w:rsidRPr="007343C0">
        <w:rPr>
          <w:lang w:val="fr-FR"/>
        </w:rPr>
        <w:t>fournir des informations sur la sensibilité</w:t>
      </w:r>
      <w:r w:rsidR="009636B2" w:rsidRPr="007343C0">
        <w:rPr>
          <w:lang w:val="fr-FR"/>
        </w:rPr>
        <w:t xml:space="preserve"> à</w:t>
      </w:r>
      <w:r w:rsidRPr="007343C0">
        <w:rPr>
          <w:lang w:val="fr-FR"/>
        </w:rPr>
        <w:t xml:space="preserve"> la taxe, les estimations ont également mis en lumière, de façon empirique, un certain nombre d</w:t>
      </w:r>
      <w:r w:rsidR="00C8489F" w:rsidRPr="007343C0">
        <w:rPr>
          <w:lang w:val="fr-FR"/>
        </w:rPr>
        <w:t>’</w:t>
      </w:r>
      <w:r w:rsidR="009636B2" w:rsidRPr="007343C0">
        <w:rPr>
          <w:lang w:val="fr-FR"/>
        </w:rPr>
        <w:t>autres</w:t>
      </w:r>
      <w:r w:rsidRPr="007343C0">
        <w:rPr>
          <w:lang w:val="fr-FR"/>
        </w:rPr>
        <w:t xml:space="preserve"> facteurs </w:t>
      </w:r>
      <w:r w:rsidR="00875590" w:rsidRPr="007343C0">
        <w:rPr>
          <w:lang w:val="fr-FR"/>
        </w:rPr>
        <w:t>déterminants dans</w:t>
      </w:r>
      <w:r w:rsidRPr="007343C0">
        <w:rPr>
          <w:lang w:val="fr-FR"/>
        </w:rPr>
        <w:t xml:space="preserve"> l</w:t>
      </w:r>
      <w:r w:rsidR="00C8489F" w:rsidRPr="007343C0">
        <w:rPr>
          <w:lang w:val="fr-FR"/>
        </w:rPr>
        <w:t>’</w:t>
      </w:r>
      <w:r w:rsidRPr="007343C0">
        <w:rPr>
          <w:lang w:val="fr-FR"/>
        </w:rPr>
        <w:t>utilisation du système</w:t>
      </w:r>
      <w:r w:rsidR="00C8489F" w:rsidRPr="007343C0">
        <w:rPr>
          <w:lang w:val="fr-FR"/>
        </w:rPr>
        <w:t xml:space="preserve"> du PCT</w:t>
      </w:r>
      <w:r w:rsidRPr="007343C0">
        <w:rPr>
          <w:lang w:val="fr-FR"/>
        </w:rPr>
        <w:t xml:space="preserve">. </w:t>
      </w:r>
      <w:r w:rsidR="006B331A" w:rsidRPr="007343C0">
        <w:rPr>
          <w:lang w:val="fr-FR"/>
        </w:rPr>
        <w:t xml:space="preserve"> </w:t>
      </w:r>
      <w:r w:rsidR="00627BED" w:rsidRPr="007343C0">
        <w:rPr>
          <w:lang w:val="fr-FR"/>
        </w:rPr>
        <w:t xml:space="preserve">En particulier, elles indiquent que les déposants </w:t>
      </w:r>
      <w:r w:rsidR="009636B2" w:rsidRPr="007343C0">
        <w:rPr>
          <w:lang w:val="fr-FR"/>
        </w:rPr>
        <w:t>tend</w:t>
      </w:r>
      <w:r w:rsidR="00627BED" w:rsidRPr="007343C0">
        <w:rPr>
          <w:lang w:val="fr-FR"/>
        </w:rPr>
        <w:t>e</w:t>
      </w:r>
      <w:r w:rsidR="009636B2" w:rsidRPr="007343C0">
        <w:rPr>
          <w:lang w:val="fr-FR"/>
        </w:rPr>
        <w:t>nt</w:t>
      </w:r>
      <w:r w:rsidR="00627BED" w:rsidRPr="007343C0">
        <w:rPr>
          <w:lang w:val="fr-FR"/>
        </w:rPr>
        <w:t xml:space="preserve"> à utiliser </w:t>
      </w:r>
      <w:r w:rsidR="009636B2" w:rsidRPr="007343C0">
        <w:rPr>
          <w:lang w:val="fr-FR"/>
        </w:rPr>
        <w:t>dans une plus large mesure</w:t>
      </w:r>
      <w:r w:rsidR="00627BED" w:rsidRPr="007343C0">
        <w:rPr>
          <w:lang w:val="fr-FR"/>
        </w:rPr>
        <w:t xml:space="preserve"> le système</w:t>
      </w:r>
      <w:r w:rsidR="00C8489F" w:rsidRPr="007343C0">
        <w:rPr>
          <w:lang w:val="fr-FR"/>
        </w:rPr>
        <w:t xml:space="preserve"> du PCT</w:t>
      </w:r>
      <w:r w:rsidR="00627BED" w:rsidRPr="007343C0">
        <w:rPr>
          <w:lang w:val="fr-FR"/>
        </w:rPr>
        <w:t xml:space="preserve"> lorsque la situation économique est favorable, que les organismes de recherche publics et notamment les universités sont davantage susceptibles de choisir le système</w:t>
      </w:r>
      <w:r w:rsidR="00C8489F" w:rsidRPr="007343C0">
        <w:rPr>
          <w:lang w:val="fr-FR"/>
        </w:rPr>
        <w:t xml:space="preserve"> du PCT</w:t>
      </w:r>
      <w:r w:rsidR="00627BED" w:rsidRPr="007343C0">
        <w:rPr>
          <w:lang w:val="fr-FR"/>
        </w:rPr>
        <w:t xml:space="preserve"> et que, toutes choses étant égales par ailleurs, les médicaments et autres produits re</w:t>
      </w:r>
      <w:r w:rsidR="00875590" w:rsidRPr="007343C0">
        <w:rPr>
          <w:lang w:val="fr-FR"/>
        </w:rPr>
        <w:t>lev</w:t>
      </w:r>
      <w:r w:rsidR="00627BED" w:rsidRPr="007343C0">
        <w:rPr>
          <w:lang w:val="fr-FR"/>
        </w:rPr>
        <w:t xml:space="preserve">ant </w:t>
      </w:r>
      <w:r w:rsidR="00875590" w:rsidRPr="007343C0">
        <w:rPr>
          <w:lang w:val="fr-FR"/>
        </w:rPr>
        <w:t>de</w:t>
      </w:r>
      <w:r w:rsidR="00627BED" w:rsidRPr="007343C0">
        <w:rPr>
          <w:lang w:val="fr-FR"/>
        </w:rPr>
        <w:t xml:space="preserve"> technologies simples </w:t>
      </w:r>
      <w:r w:rsidR="00875590" w:rsidRPr="007343C0">
        <w:rPr>
          <w:lang w:val="fr-FR"/>
        </w:rPr>
        <w:t>reposent davantage sur le système</w:t>
      </w:r>
      <w:r w:rsidR="009636B2" w:rsidRPr="007343C0">
        <w:rPr>
          <w:lang w:val="fr-FR"/>
        </w:rPr>
        <w:t xml:space="preserve"> </w:t>
      </w:r>
      <w:r w:rsidR="00C8489F" w:rsidRPr="007343C0">
        <w:rPr>
          <w:lang w:val="fr-FR"/>
        </w:rPr>
        <w:t>du PCT</w:t>
      </w:r>
      <w:r w:rsidR="009636B2" w:rsidRPr="007343C0">
        <w:rPr>
          <w:lang w:val="fr-FR"/>
        </w:rPr>
        <w:t xml:space="preserve"> que les </w:t>
      </w:r>
      <w:r w:rsidR="00627BED" w:rsidRPr="007343C0">
        <w:rPr>
          <w:lang w:val="fr-FR"/>
        </w:rPr>
        <w:t>technologies complexes.</w:t>
      </w:r>
    </w:p>
    <w:p w:rsidR="00E5757A" w:rsidRPr="007343C0" w:rsidRDefault="003529B2" w:rsidP="00212989">
      <w:pPr>
        <w:pStyle w:val="Heading1"/>
        <w:keepLines/>
        <w:rPr>
          <w:lang w:val="fr-FR"/>
        </w:rPr>
      </w:pPr>
      <w:r w:rsidRPr="007343C0">
        <w:rPr>
          <w:lang w:val="fr-FR"/>
        </w:rPr>
        <w:lastRenderedPageBreak/>
        <w:t>Introduction</w:t>
      </w:r>
    </w:p>
    <w:p w:rsidR="00E5757A" w:rsidRPr="007343C0" w:rsidRDefault="00820BA6" w:rsidP="00212989">
      <w:pPr>
        <w:pStyle w:val="ONUMFS"/>
        <w:keepNext/>
        <w:keepLines/>
        <w:rPr>
          <w:lang w:val="fr-FR"/>
        </w:rPr>
      </w:pPr>
      <w:r w:rsidRPr="007343C0">
        <w:rPr>
          <w:lang w:val="fr-FR"/>
        </w:rPr>
        <w:t>À</w:t>
      </w:r>
      <w:r w:rsidR="00F51BEE" w:rsidRPr="007343C0">
        <w:rPr>
          <w:lang w:val="fr-FR"/>
        </w:rPr>
        <w:t xml:space="preserve"> la sixième</w:t>
      </w:r>
      <w:r w:rsidR="00BE3E96" w:rsidRPr="007343C0">
        <w:rPr>
          <w:lang w:val="fr-FR"/>
        </w:rPr>
        <w:t> </w:t>
      </w:r>
      <w:r w:rsidR="00F51BEE" w:rsidRPr="007343C0">
        <w:rPr>
          <w:lang w:val="fr-FR"/>
        </w:rPr>
        <w:t>session du Groupe de travail du Traité de coopération en matière de brevets (PCT), les États membres ont demandé à la Division de l</w:t>
      </w:r>
      <w:r w:rsidR="00C8489F" w:rsidRPr="007343C0">
        <w:rPr>
          <w:lang w:val="fr-FR"/>
        </w:rPr>
        <w:t>’</w:t>
      </w:r>
      <w:r w:rsidR="00F51BEE" w:rsidRPr="007343C0">
        <w:rPr>
          <w:lang w:val="fr-FR"/>
        </w:rPr>
        <w:t>économie et des statistiques de mener une étude afin d</w:t>
      </w:r>
      <w:r w:rsidR="00C8489F" w:rsidRPr="007343C0">
        <w:rPr>
          <w:lang w:val="fr-FR"/>
        </w:rPr>
        <w:t>’</w:t>
      </w:r>
      <w:r w:rsidR="00F51BEE" w:rsidRPr="007343C0">
        <w:rPr>
          <w:lang w:val="fr-FR"/>
        </w:rPr>
        <w:t>estimer l</w:t>
      </w:r>
      <w:r w:rsidR="00C8489F" w:rsidRPr="007343C0">
        <w:rPr>
          <w:lang w:val="fr-FR"/>
        </w:rPr>
        <w:t>’</w:t>
      </w:r>
      <w:r w:rsidR="00F51BEE" w:rsidRPr="007343C0">
        <w:rPr>
          <w:lang w:val="fr-FR"/>
        </w:rPr>
        <w:t xml:space="preserve">élasticité </w:t>
      </w:r>
      <w:r w:rsidR="009636B2" w:rsidRPr="007343C0">
        <w:rPr>
          <w:lang w:val="fr-FR"/>
        </w:rPr>
        <w:t xml:space="preserve">par rapport </w:t>
      </w:r>
      <w:r w:rsidR="00875590" w:rsidRPr="007343C0">
        <w:rPr>
          <w:lang w:val="fr-FR"/>
        </w:rPr>
        <w:t>à la</w:t>
      </w:r>
      <w:r w:rsidR="00F51BEE" w:rsidRPr="007343C0">
        <w:rPr>
          <w:lang w:val="fr-FR"/>
        </w:rPr>
        <w:t xml:space="preserve"> taxe </w:t>
      </w:r>
      <w:r w:rsidR="00875590" w:rsidRPr="007343C0">
        <w:rPr>
          <w:lang w:val="fr-FR"/>
        </w:rPr>
        <w:t>de dépôt dans</w:t>
      </w:r>
      <w:r w:rsidR="00F51BEE" w:rsidRPr="007343C0">
        <w:rPr>
          <w:lang w:val="fr-FR"/>
        </w:rPr>
        <w:t xml:space="preserve"> le système</w:t>
      </w:r>
      <w:r w:rsidR="00C8489F" w:rsidRPr="007343C0">
        <w:rPr>
          <w:lang w:val="fr-FR"/>
        </w:rPr>
        <w:t xml:space="preserve"> du PCT</w:t>
      </w:r>
      <w:r w:rsidR="00F51BEE" w:rsidRPr="007343C0">
        <w:rPr>
          <w:lang w:val="fr-FR"/>
        </w:rPr>
        <w:t>, en particulier s</w:t>
      </w:r>
      <w:r w:rsidR="00C8489F" w:rsidRPr="007343C0">
        <w:rPr>
          <w:lang w:val="fr-FR"/>
        </w:rPr>
        <w:t>’</w:t>
      </w:r>
      <w:r w:rsidR="00F51BEE" w:rsidRPr="007343C0">
        <w:rPr>
          <w:lang w:val="fr-FR"/>
        </w:rPr>
        <w:t xml:space="preserve">agissant des universités et organismes de recherche publics, </w:t>
      </w:r>
      <w:r w:rsidR="00875590" w:rsidRPr="007343C0">
        <w:rPr>
          <w:lang w:val="fr-FR"/>
        </w:rPr>
        <w:t xml:space="preserve">et </w:t>
      </w:r>
      <w:r w:rsidR="009636B2" w:rsidRPr="007343C0">
        <w:rPr>
          <w:lang w:val="fr-FR"/>
        </w:rPr>
        <w:t>éventuellement</w:t>
      </w:r>
      <w:r w:rsidR="00F51BEE" w:rsidRPr="007343C0">
        <w:rPr>
          <w:lang w:val="fr-FR"/>
        </w:rPr>
        <w:t xml:space="preserve"> des petites et moyennes entreprises (PME)</w:t>
      </w:r>
      <w:r w:rsidR="00F51BEE" w:rsidRPr="007343C0">
        <w:rPr>
          <w:rStyle w:val="FootnoteReference"/>
          <w:color w:val="000000"/>
          <w:lang w:val="fr-FR"/>
        </w:rPr>
        <w:footnoteReference w:id="2"/>
      </w:r>
      <w:r w:rsidR="00F51BEE" w:rsidRPr="007343C0">
        <w:rPr>
          <w:lang w:val="fr-FR"/>
        </w:rPr>
        <w:t>.</w:t>
      </w:r>
    </w:p>
    <w:p w:rsidR="00E5757A" w:rsidRPr="007343C0" w:rsidRDefault="00F51BEE" w:rsidP="007343C0">
      <w:pPr>
        <w:pStyle w:val="ONUMFS"/>
        <w:rPr>
          <w:lang w:val="fr-FR"/>
        </w:rPr>
      </w:pPr>
      <w:r w:rsidRPr="007343C0">
        <w:rPr>
          <w:lang w:val="fr-FR"/>
        </w:rPr>
        <w:t>En économie, l</w:t>
      </w:r>
      <w:r w:rsidR="00C8489F" w:rsidRPr="007343C0">
        <w:rPr>
          <w:lang w:val="fr-FR"/>
        </w:rPr>
        <w:t>’</w:t>
      </w:r>
      <w:r w:rsidRPr="007343C0">
        <w:rPr>
          <w:lang w:val="fr-FR"/>
        </w:rPr>
        <w:t>élasticité mesure la variation d</w:t>
      </w:r>
      <w:r w:rsidR="00C8489F" w:rsidRPr="007343C0">
        <w:rPr>
          <w:lang w:val="fr-FR"/>
        </w:rPr>
        <w:t>’</w:t>
      </w:r>
      <w:r w:rsidRPr="007343C0">
        <w:rPr>
          <w:lang w:val="fr-FR"/>
        </w:rPr>
        <w:t>une variable provoquée par la variation d</w:t>
      </w:r>
      <w:r w:rsidR="00C8489F" w:rsidRPr="007343C0">
        <w:rPr>
          <w:lang w:val="fr-FR"/>
        </w:rPr>
        <w:t>’</w:t>
      </w:r>
      <w:r w:rsidRPr="007343C0">
        <w:rPr>
          <w:lang w:val="fr-FR"/>
        </w:rPr>
        <w:t>une autre variable.</w:t>
      </w:r>
      <w:r w:rsidR="003529B2" w:rsidRPr="007343C0">
        <w:rPr>
          <w:lang w:val="fr-FR"/>
        </w:rPr>
        <w:t xml:space="preserve">  </w:t>
      </w:r>
      <w:r w:rsidR="00FA64B6" w:rsidRPr="007343C0">
        <w:rPr>
          <w:lang w:val="fr-FR"/>
        </w:rPr>
        <w:t xml:space="preserve">Dans le </w:t>
      </w:r>
      <w:bookmarkStart w:id="5" w:name="_GoBack"/>
      <w:r w:rsidR="00FA64B6" w:rsidRPr="007343C0">
        <w:rPr>
          <w:lang w:val="fr-FR"/>
        </w:rPr>
        <w:t>contexte particulier du système des brevets, l</w:t>
      </w:r>
      <w:r w:rsidR="00C8489F" w:rsidRPr="007343C0">
        <w:rPr>
          <w:lang w:val="fr-FR"/>
        </w:rPr>
        <w:t>’</w:t>
      </w:r>
      <w:r w:rsidR="00FA64B6" w:rsidRPr="007343C0">
        <w:rPr>
          <w:lang w:val="fr-FR"/>
        </w:rPr>
        <w:t>élasticité par rapport à la taxe mesure l</w:t>
      </w:r>
      <w:r w:rsidR="009636B2" w:rsidRPr="007343C0">
        <w:rPr>
          <w:lang w:val="fr-FR"/>
        </w:rPr>
        <w:t>e degr</w:t>
      </w:r>
      <w:bookmarkEnd w:id="5"/>
      <w:r w:rsidR="009636B2" w:rsidRPr="007343C0">
        <w:rPr>
          <w:lang w:val="fr-FR"/>
        </w:rPr>
        <w:t>é de</w:t>
      </w:r>
      <w:r w:rsidR="00FA64B6" w:rsidRPr="007343C0">
        <w:rPr>
          <w:lang w:val="fr-FR"/>
        </w:rPr>
        <w:t xml:space="preserve"> sensibilité des déposants à une </w:t>
      </w:r>
      <w:r w:rsidR="009636B2" w:rsidRPr="007343C0">
        <w:rPr>
          <w:lang w:val="fr-FR"/>
        </w:rPr>
        <w:t>variation</w:t>
      </w:r>
      <w:r w:rsidR="00FA64B6" w:rsidRPr="007343C0">
        <w:rPr>
          <w:lang w:val="fr-FR"/>
        </w:rPr>
        <w:t xml:space="preserve"> de la taxe de dépôt.</w:t>
      </w:r>
      <w:r w:rsidR="003529B2" w:rsidRPr="007343C0">
        <w:rPr>
          <w:lang w:val="fr-FR"/>
        </w:rPr>
        <w:t xml:space="preserve">  </w:t>
      </w:r>
      <w:r w:rsidR="00875590" w:rsidRPr="007343C0">
        <w:rPr>
          <w:lang w:val="fr-FR"/>
        </w:rPr>
        <w:t>Il s’agit</w:t>
      </w:r>
      <w:r w:rsidR="002A6AE7" w:rsidRPr="007343C0">
        <w:rPr>
          <w:lang w:val="fr-FR"/>
        </w:rPr>
        <w:t xml:space="preserve"> notamment </w:t>
      </w:r>
      <w:r w:rsidR="00875590" w:rsidRPr="007343C0">
        <w:rPr>
          <w:lang w:val="fr-FR"/>
        </w:rPr>
        <w:t>de déterminer dans quelle mesure le</w:t>
      </w:r>
      <w:r w:rsidR="002A6AE7" w:rsidRPr="007343C0">
        <w:rPr>
          <w:lang w:val="fr-FR"/>
        </w:rPr>
        <w:t xml:space="preserve"> nombre de dép</w:t>
      </w:r>
      <w:r w:rsidR="009636B2" w:rsidRPr="007343C0">
        <w:rPr>
          <w:lang w:val="fr-FR"/>
        </w:rPr>
        <w:t>ôt</w:t>
      </w:r>
      <w:r w:rsidR="002A6AE7" w:rsidRPr="007343C0">
        <w:rPr>
          <w:lang w:val="fr-FR"/>
        </w:rPr>
        <w:t xml:space="preserve">s </w:t>
      </w:r>
      <w:r w:rsidR="00875590" w:rsidRPr="007343C0">
        <w:rPr>
          <w:lang w:val="fr-FR"/>
        </w:rPr>
        <w:t xml:space="preserve">augmenterait </w:t>
      </w:r>
      <w:r w:rsidR="002A6AE7" w:rsidRPr="007343C0">
        <w:rPr>
          <w:lang w:val="fr-FR"/>
        </w:rPr>
        <w:t>si la taxe de dépôt était diminuée d</w:t>
      </w:r>
      <w:r w:rsidR="00C8489F" w:rsidRPr="007343C0">
        <w:rPr>
          <w:lang w:val="fr-FR"/>
        </w:rPr>
        <w:t>’</w:t>
      </w:r>
      <w:r w:rsidR="002A6AE7" w:rsidRPr="007343C0">
        <w:rPr>
          <w:lang w:val="fr-FR"/>
        </w:rPr>
        <w:t>un pourcentage donné.</w:t>
      </w:r>
    </w:p>
    <w:p w:rsidR="00C8489F" w:rsidRPr="007343C0" w:rsidRDefault="002A6AE7" w:rsidP="007343C0">
      <w:pPr>
        <w:pStyle w:val="ONUMFS"/>
        <w:rPr>
          <w:lang w:val="fr-FR"/>
        </w:rPr>
      </w:pPr>
      <w:r w:rsidRPr="007343C0">
        <w:rPr>
          <w:lang w:val="fr-FR"/>
        </w:rPr>
        <w:t>L</w:t>
      </w:r>
      <w:r w:rsidR="00C8489F" w:rsidRPr="007343C0">
        <w:rPr>
          <w:lang w:val="fr-FR"/>
        </w:rPr>
        <w:t>’</w:t>
      </w:r>
      <w:r w:rsidRPr="007343C0">
        <w:rPr>
          <w:lang w:val="fr-FR"/>
        </w:rPr>
        <w:t>estimation de l</w:t>
      </w:r>
      <w:r w:rsidR="00C8489F" w:rsidRPr="007343C0">
        <w:rPr>
          <w:lang w:val="fr-FR"/>
        </w:rPr>
        <w:t>’</w:t>
      </w:r>
      <w:r w:rsidRPr="007343C0">
        <w:rPr>
          <w:lang w:val="fr-FR"/>
        </w:rPr>
        <w:t>élasticité par rapport à la taxe permet entre autres d</w:t>
      </w:r>
      <w:r w:rsidR="00C8489F" w:rsidRPr="007343C0">
        <w:rPr>
          <w:lang w:val="fr-FR"/>
        </w:rPr>
        <w:t>’</w:t>
      </w:r>
      <w:r w:rsidRPr="007343C0">
        <w:rPr>
          <w:lang w:val="fr-FR"/>
        </w:rPr>
        <w:t>informer les décideurs sur la façon dont une modification de la taxe de dépôt influe sur</w:t>
      </w:r>
      <w:r w:rsidR="009636B2" w:rsidRPr="007343C0">
        <w:rPr>
          <w:lang w:val="fr-FR"/>
        </w:rPr>
        <w:t xml:space="preserve"> le</w:t>
      </w:r>
      <w:r w:rsidR="00FE6A3C" w:rsidRPr="007343C0">
        <w:rPr>
          <w:lang w:val="fr-FR"/>
        </w:rPr>
        <w:t xml:space="preserve"> </w:t>
      </w:r>
      <w:r w:rsidR="009636B2" w:rsidRPr="007343C0">
        <w:rPr>
          <w:lang w:val="fr-FR"/>
        </w:rPr>
        <w:t>nombre</w:t>
      </w:r>
      <w:r w:rsidR="00FE6A3C" w:rsidRPr="007343C0">
        <w:rPr>
          <w:lang w:val="fr-FR"/>
        </w:rPr>
        <w:t xml:space="preserve"> de dépôts </w:t>
      </w:r>
      <w:r w:rsidR="009636B2" w:rsidRPr="007343C0">
        <w:rPr>
          <w:lang w:val="fr-FR"/>
        </w:rPr>
        <w:t>ainsi que sur le</w:t>
      </w:r>
      <w:r w:rsidR="00FE6A3C" w:rsidRPr="007343C0">
        <w:rPr>
          <w:lang w:val="fr-FR"/>
        </w:rPr>
        <w:t xml:space="preserve">s </w:t>
      </w:r>
      <w:r w:rsidRPr="007343C0">
        <w:rPr>
          <w:lang w:val="fr-FR"/>
        </w:rPr>
        <w:t>recettes g</w:t>
      </w:r>
      <w:r w:rsidR="00875590" w:rsidRPr="007343C0">
        <w:rPr>
          <w:lang w:val="fr-FR"/>
        </w:rPr>
        <w:t>énér</w:t>
      </w:r>
      <w:r w:rsidRPr="007343C0">
        <w:rPr>
          <w:lang w:val="fr-FR"/>
        </w:rPr>
        <w:t>ées par ces dépôts.</w:t>
      </w:r>
      <w:r w:rsidR="003529B2" w:rsidRPr="007343C0">
        <w:rPr>
          <w:lang w:val="fr-FR"/>
        </w:rPr>
        <w:t xml:space="preserve">  </w:t>
      </w:r>
      <w:r w:rsidR="00FE6A3C" w:rsidRPr="007343C0">
        <w:rPr>
          <w:lang w:val="fr-FR"/>
        </w:rPr>
        <w:t>Un taux d</w:t>
      </w:r>
      <w:r w:rsidR="00C8489F" w:rsidRPr="007343C0">
        <w:rPr>
          <w:lang w:val="fr-FR"/>
        </w:rPr>
        <w:t>’</w:t>
      </w:r>
      <w:r w:rsidR="00FE6A3C" w:rsidRPr="007343C0">
        <w:rPr>
          <w:lang w:val="fr-FR"/>
        </w:rPr>
        <w:t xml:space="preserve">élasticité </w:t>
      </w:r>
      <w:r w:rsidR="00875590" w:rsidRPr="007343C0">
        <w:rPr>
          <w:lang w:val="fr-FR"/>
        </w:rPr>
        <w:t xml:space="preserve">peu élevé </w:t>
      </w:r>
      <w:r w:rsidR="00FE6A3C" w:rsidRPr="007343C0">
        <w:rPr>
          <w:lang w:val="fr-FR"/>
        </w:rPr>
        <w:t>signifie qu</w:t>
      </w:r>
      <w:r w:rsidR="00C8489F" w:rsidRPr="007343C0">
        <w:rPr>
          <w:lang w:val="fr-FR"/>
        </w:rPr>
        <w:t>’</w:t>
      </w:r>
      <w:r w:rsidR="00FE6A3C" w:rsidRPr="007343C0">
        <w:rPr>
          <w:lang w:val="fr-FR"/>
        </w:rPr>
        <w:t>une modification de la taxe n</w:t>
      </w:r>
      <w:r w:rsidR="00C8489F" w:rsidRPr="007343C0">
        <w:rPr>
          <w:lang w:val="fr-FR"/>
        </w:rPr>
        <w:t>’</w:t>
      </w:r>
      <w:r w:rsidR="00FE6A3C" w:rsidRPr="007343C0">
        <w:rPr>
          <w:lang w:val="fr-FR"/>
        </w:rPr>
        <w:t>aura que peu d</w:t>
      </w:r>
      <w:r w:rsidR="00C8489F" w:rsidRPr="007343C0">
        <w:rPr>
          <w:lang w:val="fr-FR"/>
        </w:rPr>
        <w:t>’</w:t>
      </w:r>
      <w:r w:rsidR="00FE6A3C" w:rsidRPr="007343C0">
        <w:rPr>
          <w:lang w:val="fr-FR"/>
        </w:rPr>
        <w:t>incidence sur le nombre de dépôts;  on parle alors d</w:t>
      </w:r>
      <w:r w:rsidR="00C8489F" w:rsidRPr="007343C0">
        <w:rPr>
          <w:lang w:val="fr-FR"/>
        </w:rPr>
        <w:t>’</w:t>
      </w:r>
      <w:r w:rsidR="00FE6A3C" w:rsidRPr="007343C0">
        <w:rPr>
          <w:lang w:val="fr-FR"/>
        </w:rPr>
        <w:t>inélasticité.</w:t>
      </w:r>
      <w:r w:rsidR="003529B2" w:rsidRPr="007343C0">
        <w:rPr>
          <w:lang w:val="fr-FR"/>
        </w:rPr>
        <w:t xml:space="preserve">  </w:t>
      </w:r>
      <w:r w:rsidR="00FE6A3C" w:rsidRPr="007343C0">
        <w:rPr>
          <w:lang w:val="fr-FR"/>
        </w:rPr>
        <w:t>Un taux d</w:t>
      </w:r>
      <w:r w:rsidR="00C8489F" w:rsidRPr="007343C0">
        <w:rPr>
          <w:lang w:val="fr-FR"/>
        </w:rPr>
        <w:t>’</w:t>
      </w:r>
      <w:r w:rsidR="00FE6A3C" w:rsidRPr="007343C0">
        <w:rPr>
          <w:lang w:val="fr-FR"/>
        </w:rPr>
        <w:t xml:space="preserve">élasticité </w:t>
      </w:r>
      <w:r w:rsidR="00875590" w:rsidRPr="007343C0">
        <w:rPr>
          <w:lang w:val="fr-FR"/>
        </w:rPr>
        <w:t xml:space="preserve">élevé </w:t>
      </w:r>
      <w:r w:rsidR="00FE6A3C" w:rsidRPr="007343C0">
        <w:rPr>
          <w:lang w:val="fr-FR"/>
        </w:rPr>
        <w:t>signifie qu</w:t>
      </w:r>
      <w:r w:rsidR="00C8489F" w:rsidRPr="007343C0">
        <w:rPr>
          <w:lang w:val="fr-FR"/>
        </w:rPr>
        <w:t>’</w:t>
      </w:r>
      <w:r w:rsidR="00FE6A3C" w:rsidRPr="007343C0">
        <w:rPr>
          <w:lang w:val="fr-FR"/>
        </w:rPr>
        <w:t xml:space="preserve">une </w:t>
      </w:r>
      <w:r w:rsidR="009636B2" w:rsidRPr="007343C0">
        <w:rPr>
          <w:lang w:val="fr-FR"/>
        </w:rPr>
        <w:t xml:space="preserve">variation </w:t>
      </w:r>
      <w:r w:rsidR="00FE6A3C" w:rsidRPr="007343C0">
        <w:rPr>
          <w:lang w:val="fr-FR"/>
        </w:rPr>
        <w:t>de la taxe aura une forte incidence sur le nombre de dépôts;  on parle alors d</w:t>
      </w:r>
      <w:r w:rsidR="00C8489F" w:rsidRPr="007343C0">
        <w:rPr>
          <w:lang w:val="fr-FR"/>
        </w:rPr>
        <w:t>’</w:t>
      </w:r>
      <w:r w:rsidR="00FE6A3C" w:rsidRPr="007343C0">
        <w:rPr>
          <w:lang w:val="fr-FR"/>
        </w:rPr>
        <w:t>élasticité.</w:t>
      </w:r>
      <w:r w:rsidR="003529B2" w:rsidRPr="007343C0">
        <w:rPr>
          <w:lang w:val="fr-FR"/>
        </w:rPr>
        <w:t xml:space="preserve">  </w:t>
      </w:r>
      <w:r w:rsidR="00FE6A3C" w:rsidRPr="007343C0">
        <w:rPr>
          <w:lang w:val="fr-FR"/>
        </w:rPr>
        <w:t xml:space="preserve">Dans le premier cas, une augmentation (diminution) </w:t>
      </w:r>
      <w:r w:rsidR="000317B1" w:rsidRPr="007343C0">
        <w:rPr>
          <w:lang w:val="fr-FR"/>
        </w:rPr>
        <w:t xml:space="preserve">de la taxe se traduira par une </w:t>
      </w:r>
      <w:r w:rsidR="00FE6A3C" w:rsidRPr="007343C0">
        <w:rPr>
          <w:lang w:val="fr-FR"/>
        </w:rPr>
        <w:t>augmentation (diminution) des recettes.</w:t>
      </w:r>
      <w:r w:rsidR="003529B2" w:rsidRPr="007343C0">
        <w:rPr>
          <w:lang w:val="fr-FR"/>
        </w:rPr>
        <w:t xml:space="preserve">  </w:t>
      </w:r>
      <w:r w:rsidR="000317B1" w:rsidRPr="007343C0">
        <w:rPr>
          <w:lang w:val="fr-FR"/>
        </w:rPr>
        <w:t>Dans le second cas, une augmentation (diminution) de la taxe aura un effet ambig</w:t>
      </w:r>
      <w:r w:rsidR="009636B2" w:rsidRPr="007343C0">
        <w:rPr>
          <w:lang w:val="fr-FR"/>
        </w:rPr>
        <w:t>u</w:t>
      </w:r>
      <w:r w:rsidR="000317B1" w:rsidRPr="007343C0">
        <w:rPr>
          <w:lang w:val="fr-FR"/>
        </w:rPr>
        <w:t xml:space="preserve"> sur les recettes car la diminution (l</w:t>
      </w:r>
      <w:r w:rsidR="00C8489F" w:rsidRPr="007343C0">
        <w:rPr>
          <w:lang w:val="fr-FR"/>
        </w:rPr>
        <w:t>’</w:t>
      </w:r>
      <w:r w:rsidR="000317B1" w:rsidRPr="007343C0">
        <w:rPr>
          <w:lang w:val="fr-FR"/>
        </w:rPr>
        <w:t xml:space="preserve">augmentation) du </w:t>
      </w:r>
      <w:r w:rsidR="009636B2" w:rsidRPr="007343C0">
        <w:rPr>
          <w:lang w:val="fr-FR"/>
        </w:rPr>
        <w:t>nombre</w:t>
      </w:r>
      <w:r w:rsidR="000317B1" w:rsidRPr="007343C0">
        <w:rPr>
          <w:lang w:val="fr-FR"/>
        </w:rPr>
        <w:t xml:space="preserve"> de dépôts pourrait co</w:t>
      </w:r>
      <w:r w:rsidR="00875590" w:rsidRPr="007343C0">
        <w:rPr>
          <w:lang w:val="fr-FR"/>
        </w:rPr>
        <w:t>ntrebalance</w:t>
      </w:r>
      <w:r w:rsidR="000317B1" w:rsidRPr="007343C0">
        <w:rPr>
          <w:lang w:val="fr-FR"/>
        </w:rPr>
        <w:t>r l</w:t>
      </w:r>
      <w:r w:rsidR="00C8489F" w:rsidRPr="007343C0">
        <w:rPr>
          <w:lang w:val="fr-FR"/>
        </w:rPr>
        <w:t>’</w:t>
      </w:r>
      <w:r w:rsidR="000317B1" w:rsidRPr="007343C0">
        <w:rPr>
          <w:lang w:val="fr-FR"/>
        </w:rPr>
        <w:t>effet sur les recettes d</w:t>
      </w:r>
      <w:r w:rsidR="00C8489F" w:rsidRPr="007343C0">
        <w:rPr>
          <w:lang w:val="fr-FR"/>
        </w:rPr>
        <w:t>’</w:t>
      </w:r>
      <w:r w:rsidR="000317B1" w:rsidRPr="007343C0">
        <w:rPr>
          <w:lang w:val="fr-FR"/>
        </w:rPr>
        <w:t>une augmentation (diminution) de</w:t>
      </w:r>
      <w:r w:rsidR="00875590" w:rsidRPr="007343C0">
        <w:rPr>
          <w:lang w:val="fr-FR"/>
        </w:rPr>
        <w:t xml:space="preserve"> la</w:t>
      </w:r>
      <w:r w:rsidR="000317B1" w:rsidRPr="007343C0">
        <w:rPr>
          <w:lang w:val="fr-FR"/>
        </w:rPr>
        <w:t xml:space="preserve"> taxe</w:t>
      </w:r>
      <w:r w:rsidR="00875590" w:rsidRPr="007343C0">
        <w:rPr>
          <w:lang w:val="fr-FR"/>
        </w:rPr>
        <w:t xml:space="preserve"> unitaire</w:t>
      </w:r>
      <w:r w:rsidR="009636B2" w:rsidRPr="007343C0">
        <w:rPr>
          <w:lang w:val="fr-FR"/>
        </w:rPr>
        <w:t xml:space="preserve"> payée</w:t>
      </w:r>
      <w:r w:rsidR="000317B1" w:rsidRPr="007343C0">
        <w:rPr>
          <w:lang w:val="fr-FR"/>
        </w:rPr>
        <w:t>.</w:t>
      </w:r>
    </w:p>
    <w:p w:rsidR="00E5757A" w:rsidRPr="007343C0" w:rsidRDefault="000317B1" w:rsidP="007343C0">
      <w:pPr>
        <w:pStyle w:val="ONUMFS"/>
        <w:rPr>
          <w:lang w:val="fr-FR"/>
        </w:rPr>
      </w:pPr>
      <w:r w:rsidRPr="007343C0">
        <w:rPr>
          <w:lang w:val="fr-FR"/>
        </w:rPr>
        <w:t>Nous ne disposons actuellement d</w:t>
      </w:r>
      <w:r w:rsidR="00C8489F" w:rsidRPr="007343C0">
        <w:rPr>
          <w:lang w:val="fr-FR"/>
        </w:rPr>
        <w:t>’</w:t>
      </w:r>
      <w:r w:rsidRPr="007343C0">
        <w:rPr>
          <w:lang w:val="fr-FR"/>
        </w:rPr>
        <w:t>aucune estimation de l</w:t>
      </w:r>
      <w:r w:rsidR="00C8489F" w:rsidRPr="007343C0">
        <w:rPr>
          <w:lang w:val="fr-FR"/>
        </w:rPr>
        <w:t>’</w:t>
      </w:r>
      <w:r w:rsidRPr="007343C0">
        <w:rPr>
          <w:lang w:val="fr-FR"/>
        </w:rPr>
        <w:t>élasticité par rapport aux taxes</w:t>
      </w:r>
      <w:r w:rsidR="00C8489F" w:rsidRPr="007343C0">
        <w:rPr>
          <w:lang w:val="fr-FR"/>
        </w:rPr>
        <w:t xml:space="preserve"> du PCT</w:t>
      </w:r>
      <w:r w:rsidRPr="007343C0">
        <w:rPr>
          <w:lang w:val="fr-FR"/>
        </w:rPr>
        <w:t>.</w:t>
      </w:r>
      <w:r w:rsidR="003529B2" w:rsidRPr="007343C0">
        <w:rPr>
          <w:lang w:val="fr-FR"/>
        </w:rPr>
        <w:t xml:space="preserve">  </w:t>
      </w:r>
      <w:r w:rsidR="00720D7E" w:rsidRPr="007343C0">
        <w:rPr>
          <w:lang w:val="fr-FR"/>
        </w:rPr>
        <w:t>Il existe des estimations de l</w:t>
      </w:r>
      <w:r w:rsidR="00C8489F" w:rsidRPr="007343C0">
        <w:rPr>
          <w:lang w:val="fr-FR"/>
        </w:rPr>
        <w:t>’</w:t>
      </w:r>
      <w:r w:rsidR="00720D7E" w:rsidRPr="007343C0">
        <w:rPr>
          <w:lang w:val="fr-FR"/>
        </w:rPr>
        <w:t>élasticité par rapport à la taxe de dépôt initial et à la taxe de maintien en vigueur pour les offices nationaux ou régionaux de brevets</w:t>
      </w:r>
      <w:r w:rsidR="00720D7E" w:rsidRPr="007343C0">
        <w:rPr>
          <w:rStyle w:val="FootnoteReference"/>
          <w:lang w:val="fr-FR"/>
        </w:rPr>
        <w:footnoteReference w:id="3"/>
      </w:r>
      <w:r w:rsidR="00BE3E96" w:rsidRPr="007343C0">
        <w:rPr>
          <w:lang w:val="fr-FR"/>
        </w:rPr>
        <w:t>.</w:t>
      </w:r>
      <w:r w:rsidR="003529B2" w:rsidRPr="007343C0">
        <w:rPr>
          <w:lang w:val="fr-FR"/>
        </w:rPr>
        <w:t xml:space="preserve">  </w:t>
      </w:r>
      <w:r w:rsidR="00720D7E" w:rsidRPr="007343C0">
        <w:rPr>
          <w:lang w:val="fr-FR"/>
        </w:rPr>
        <w:t>Cependant, il y a de bonnes raisons de croire que l</w:t>
      </w:r>
      <w:r w:rsidR="00C8489F" w:rsidRPr="007343C0">
        <w:rPr>
          <w:lang w:val="fr-FR"/>
        </w:rPr>
        <w:t>’</w:t>
      </w:r>
      <w:r w:rsidR="00720D7E" w:rsidRPr="007343C0">
        <w:rPr>
          <w:lang w:val="fr-FR"/>
        </w:rPr>
        <w:t>élasticité par rapport aux taxes du PCT serait différente.</w:t>
      </w:r>
      <w:r w:rsidR="003529B2" w:rsidRPr="007343C0">
        <w:rPr>
          <w:lang w:val="fr-FR"/>
        </w:rPr>
        <w:t xml:space="preserve">  </w:t>
      </w:r>
      <w:r w:rsidR="00720D7E" w:rsidRPr="007343C0">
        <w:rPr>
          <w:lang w:val="fr-FR"/>
        </w:rPr>
        <w:t>Les dépôts selon le PCT constituent un ensemble de demandes de brevet pour lesquelles les déposants cherchent à se procurer une protection dans plusieurs pays.</w:t>
      </w:r>
      <w:r w:rsidR="003529B2" w:rsidRPr="007343C0">
        <w:rPr>
          <w:lang w:val="fr-FR"/>
        </w:rPr>
        <w:t xml:space="preserve">  </w:t>
      </w:r>
      <w:r w:rsidR="00720D7E" w:rsidRPr="007343C0">
        <w:rPr>
          <w:lang w:val="fr-FR"/>
        </w:rPr>
        <w:t xml:space="preserve">Par conséquent, la part des taxes du PCT dans le coût </w:t>
      </w:r>
      <w:r w:rsidR="009636B2" w:rsidRPr="007343C0">
        <w:rPr>
          <w:lang w:val="fr-FR"/>
        </w:rPr>
        <w:t xml:space="preserve">global </w:t>
      </w:r>
      <w:r w:rsidR="00720D7E" w:rsidRPr="007343C0">
        <w:rPr>
          <w:lang w:val="fr-FR"/>
        </w:rPr>
        <w:t>d</w:t>
      </w:r>
      <w:r w:rsidR="00C8489F" w:rsidRPr="007343C0">
        <w:rPr>
          <w:lang w:val="fr-FR"/>
        </w:rPr>
        <w:t>’</w:t>
      </w:r>
      <w:r w:rsidR="00720D7E" w:rsidRPr="007343C0">
        <w:rPr>
          <w:lang w:val="fr-FR"/>
        </w:rPr>
        <w:t>obtention d</w:t>
      </w:r>
      <w:r w:rsidR="00C8489F" w:rsidRPr="007343C0">
        <w:rPr>
          <w:lang w:val="fr-FR"/>
        </w:rPr>
        <w:t>’</w:t>
      </w:r>
      <w:r w:rsidR="009636B2" w:rsidRPr="007343C0">
        <w:rPr>
          <w:lang w:val="fr-FR"/>
        </w:rPr>
        <w:t>un brevet</w:t>
      </w:r>
      <w:r w:rsidR="00720D7E" w:rsidRPr="007343C0">
        <w:rPr>
          <w:lang w:val="fr-FR"/>
        </w:rPr>
        <w:t xml:space="preserve"> au niveau international sera différente de celle des taxes nationales dans un contexte national ou régional.</w:t>
      </w:r>
    </w:p>
    <w:p w:rsidR="00C8489F" w:rsidRPr="007343C0" w:rsidRDefault="00E8028B" w:rsidP="007343C0">
      <w:pPr>
        <w:pStyle w:val="Heading1"/>
        <w:rPr>
          <w:lang w:val="fr-FR"/>
        </w:rPr>
      </w:pPr>
      <w:r w:rsidRPr="007343C0">
        <w:rPr>
          <w:lang w:val="fr-FR"/>
        </w:rPr>
        <w:t>Stratégie appliquée pour l’estimation</w:t>
      </w:r>
    </w:p>
    <w:p w:rsidR="00E5757A" w:rsidRPr="007343C0" w:rsidRDefault="00720D7E" w:rsidP="007343C0">
      <w:pPr>
        <w:pStyle w:val="ONUMFS"/>
        <w:rPr>
          <w:lang w:val="fr-FR"/>
        </w:rPr>
      </w:pPr>
      <w:r w:rsidRPr="007343C0">
        <w:rPr>
          <w:lang w:val="fr-FR"/>
        </w:rPr>
        <w:t>Afin d</w:t>
      </w:r>
      <w:r w:rsidR="00C8489F" w:rsidRPr="007343C0">
        <w:rPr>
          <w:lang w:val="fr-FR"/>
        </w:rPr>
        <w:t>’</w:t>
      </w:r>
      <w:r w:rsidRPr="007343C0">
        <w:rPr>
          <w:lang w:val="fr-FR"/>
        </w:rPr>
        <w:t>estimer dans les faits l</w:t>
      </w:r>
      <w:r w:rsidR="00C8489F" w:rsidRPr="007343C0">
        <w:rPr>
          <w:lang w:val="fr-FR"/>
        </w:rPr>
        <w:t>’</w:t>
      </w:r>
      <w:r w:rsidRPr="007343C0">
        <w:rPr>
          <w:lang w:val="fr-FR"/>
        </w:rPr>
        <w:t xml:space="preserve">élasticité par rapport </w:t>
      </w:r>
      <w:r w:rsidR="009636B2" w:rsidRPr="007343C0">
        <w:rPr>
          <w:lang w:val="fr-FR"/>
        </w:rPr>
        <w:t>à la taxe</w:t>
      </w:r>
      <w:r w:rsidRPr="007343C0">
        <w:rPr>
          <w:lang w:val="fr-FR"/>
        </w:rPr>
        <w:t xml:space="preserve"> </w:t>
      </w:r>
      <w:r w:rsidR="009636B2" w:rsidRPr="007343C0">
        <w:rPr>
          <w:lang w:val="fr-FR"/>
        </w:rPr>
        <w:t>pour les</w:t>
      </w:r>
      <w:r w:rsidRPr="007343C0">
        <w:rPr>
          <w:lang w:val="fr-FR"/>
        </w:rPr>
        <w:t xml:space="preserve"> dépôts selon</w:t>
      </w:r>
      <w:r w:rsidR="00C8489F" w:rsidRPr="007343C0">
        <w:rPr>
          <w:lang w:val="fr-FR"/>
        </w:rPr>
        <w:t xml:space="preserve"> le PCT</w:t>
      </w:r>
      <w:r w:rsidRPr="007343C0">
        <w:rPr>
          <w:lang w:val="fr-FR"/>
        </w:rPr>
        <w:t>, il convient d</w:t>
      </w:r>
      <w:r w:rsidR="00C8489F" w:rsidRPr="007343C0">
        <w:rPr>
          <w:lang w:val="fr-FR"/>
        </w:rPr>
        <w:t>’</w:t>
      </w:r>
      <w:r w:rsidRPr="007343C0">
        <w:rPr>
          <w:lang w:val="fr-FR"/>
        </w:rPr>
        <w:t>examiner les variations de la taxe de dépôt internationale qu</w:t>
      </w:r>
      <w:r w:rsidR="00C8489F" w:rsidRPr="007343C0">
        <w:rPr>
          <w:lang w:val="fr-FR"/>
        </w:rPr>
        <w:t>’</w:t>
      </w:r>
      <w:r w:rsidRPr="007343C0">
        <w:rPr>
          <w:lang w:val="fr-FR"/>
        </w:rPr>
        <w:t xml:space="preserve">ont connues les déposants </w:t>
      </w:r>
      <w:r w:rsidR="009636B2" w:rsidRPr="007343C0">
        <w:rPr>
          <w:lang w:val="fr-FR"/>
        </w:rPr>
        <w:t>dans</w:t>
      </w:r>
      <w:r w:rsidRPr="007343C0">
        <w:rPr>
          <w:lang w:val="fr-FR"/>
        </w:rPr>
        <w:t xml:space="preserve"> le passé.</w:t>
      </w:r>
      <w:r w:rsidR="003529B2" w:rsidRPr="007343C0">
        <w:rPr>
          <w:lang w:val="fr-FR"/>
        </w:rPr>
        <w:t xml:space="preserve">  </w:t>
      </w:r>
      <w:r w:rsidRPr="007343C0">
        <w:rPr>
          <w:lang w:val="fr-FR"/>
        </w:rPr>
        <w:t xml:space="preserve">Ces variations </w:t>
      </w:r>
      <w:r w:rsidR="009636B2" w:rsidRPr="007343C0">
        <w:rPr>
          <w:lang w:val="fr-FR"/>
        </w:rPr>
        <w:t>n</w:t>
      </w:r>
      <w:r w:rsidR="00281007" w:rsidRPr="007343C0">
        <w:rPr>
          <w:lang w:val="fr-FR"/>
        </w:rPr>
        <w:t>’apparaisse</w:t>
      </w:r>
      <w:r w:rsidR="009636B2" w:rsidRPr="007343C0">
        <w:rPr>
          <w:lang w:val="fr-FR"/>
        </w:rPr>
        <w:t>nt</w:t>
      </w:r>
      <w:r w:rsidRPr="007343C0">
        <w:rPr>
          <w:lang w:val="fr-FR"/>
        </w:rPr>
        <w:t xml:space="preserve"> pas </w:t>
      </w:r>
      <w:r w:rsidR="009636B2" w:rsidRPr="007343C0">
        <w:rPr>
          <w:lang w:val="fr-FR"/>
        </w:rPr>
        <w:t>immédiatement</w:t>
      </w:r>
      <w:r w:rsidRPr="007343C0">
        <w:rPr>
          <w:lang w:val="fr-FR"/>
        </w:rPr>
        <w:t xml:space="preserve"> </w:t>
      </w:r>
      <w:r w:rsidR="00281007" w:rsidRPr="007343C0">
        <w:rPr>
          <w:lang w:val="fr-FR"/>
        </w:rPr>
        <w:t xml:space="preserve">de façon </w:t>
      </w:r>
      <w:r w:rsidRPr="007343C0">
        <w:rPr>
          <w:lang w:val="fr-FR"/>
        </w:rPr>
        <w:t>évident</w:t>
      </w:r>
      <w:r w:rsidR="00E5757A" w:rsidRPr="007343C0">
        <w:rPr>
          <w:lang w:val="fr-FR"/>
        </w:rPr>
        <w:t xml:space="preserve">e.  </w:t>
      </w:r>
      <w:r w:rsidR="0012233E" w:rsidRPr="007343C0">
        <w:rPr>
          <w:lang w:val="fr-FR"/>
        </w:rPr>
        <w:t>En</w:t>
      </w:r>
      <w:r w:rsidR="00BE3E96" w:rsidRPr="007343C0">
        <w:rPr>
          <w:lang w:val="fr-FR"/>
        </w:rPr>
        <w:t> </w:t>
      </w:r>
      <w:r w:rsidR="0012233E" w:rsidRPr="007343C0">
        <w:rPr>
          <w:lang w:val="fr-FR"/>
        </w:rPr>
        <w:t xml:space="preserve">2004, les États membres ont établi une taxe de dépôt initial de </w:t>
      </w:r>
      <w:r w:rsidR="00BE3E96" w:rsidRPr="007343C0">
        <w:rPr>
          <w:lang w:val="fr-FR"/>
        </w:rPr>
        <w:t>1400 </w:t>
      </w:r>
      <w:r w:rsidR="0012233E" w:rsidRPr="007343C0">
        <w:rPr>
          <w:lang w:val="fr-FR"/>
        </w:rPr>
        <w:t>francs suisses et cette taxe n</w:t>
      </w:r>
      <w:r w:rsidR="00C8489F" w:rsidRPr="007343C0">
        <w:rPr>
          <w:lang w:val="fr-FR"/>
        </w:rPr>
        <w:t>’</w:t>
      </w:r>
      <w:r w:rsidR="0012233E" w:rsidRPr="007343C0">
        <w:rPr>
          <w:lang w:val="fr-FR"/>
        </w:rPr>
        <w:t>a été révisée qu</w:t>
      </w:r>
      <w:r w:rsidR="00C8489F" w:rsidRPr="007343C0">
        <w:rPr>
          <w:lang w:val="fr-FR"/>
        </w:rPr>
        <w:t>’</w:t>
      </w:r>
      <w:r w:rsidR="0012233E" w:rsidRPr="007343C0">
        <w:rPr>
          <w:lang w:val="fr-FR"/>
        </w:rPr>
        <w:t>une seule fois, en</w:t>
      </w:r>
      <w:r w:rsidR="00BE3E96" w:rsidRPr="007343C0">
        <w:rPr>
          <w:lang w:val="fr-FR"/>
        </w:rPr>
        <w:t> </w:t>
      </w:r>
      <w:r w:rsidR="0012233E" w:rsidRPr="007343C0">
        <w:rPr>
          <w:lang w:val="fr-FR"/>
        </w:rPr>
        <w:t xml:space="preserve">2008, pour être ramenée à </w:t>
      </w:r>
      <w:r w:rsidR="00BE3E96" w:rsidRPr="007343C0">
        <w:rPr>
          <w:lang w:val="fr-FR"/>
        </w:rPr>
        <w:t>1330 </w:t>
      </w:r>
      <w:r w:rsidR="0012233E" w:rsidRPr="007343C0">
        <w:rPr>
          <w:lang w:val="fr-FR"/>
        </w:rPr>
        <w:t>francs suisses</w:t>
      </w:r>
      <w:r w:rsidR="0012233E" w:rsidRPr="007343C0">
        <w:rPr>
          <w:rStyle w:val="FootnoteReference"/>
          <w:lang w:val="fr-FR"/>
        </w:rPr>
        <w:footnoteReference w:id="4"/>
      </w:r>
      <w:r w:rsidR="00BE3E96" w:rsidRPr="007343C0">
        <w:rPr>
          <w:lang w:val="fr-FR"/>
        </w:rPr>
        <w:t>.</w:t>
      </w:r>
      <w:r w:rsidR="009636B2" w:rsidRPr="007343C0">
        <w:rPr>
          <w:lang w:val="fr-FR"/>
        </w:rPr>
        <w:t xml:space="preserve">  </w:t>
      </w:r>
      <w:r w:rsidR="003447B8" w:rsidRPr="007343C0">
        <w:rPr>
          <w:lang w:val="fr-FR"/>
        </w:rPr>
        <w:t>En outre, les déposants paient une taxe de transmission dont le montant dépend de l</w:t>
      </w:r>
      <w:r w:rsidR="00C8489F" w:rsidRPr="007343C0">
        <w:rPr>
          <w:lang w:val="fr-FR"/>
        </w:rPr>
        <w:t>’</w:t>
      </w:r>
      <w:r w:rsidR="003447B8" w:rsidRPr="007343C0">
        <w:rPr>
          <w:lang w:val="fr-FR"/>
        </w:rPr>
        <w:t>endroit où ils déposent leur demande selon</w:t>
      </w:r>
      <w:r w:rsidR="00C8489F" w:rsidRPr="007343C0">
        <w:rPr>
          <w:lang w:val="fr-FR"/>
        </w:rPr>
        <w:t xml:space="preserve"> le PCT</w:t>
      </w:r>
      <w:r w:rsidR="003447B8" w:rsidRPr="007343C0">
        <w:rPr>
          <w:lang w:val="fr-FR"/>
        </w:rPr>
        <w:t>, mais la variation liée à cette taxe supplémentaire est relativement modeste</w:t>
      </w:r>
      <w:r w:rsidR="003447B8" w:rsidRPr="007343C0">
        <w:rPr>
          <w:rStyle w:val="FootnoteReference"/>
          <w:color w:val="000000"/>
          <w:lang w:val="fr-FR"/>
        </w:rPr>
        <w:footnoteReference w:id="5"/>
      </w:r>
      <w:r w:rsidR="00281007" w:rsidRPr="007343C0">
        <w:rPr>
          <w:lang w:val="fr-FR"/>
        </w:rPr>
        <w:t xml:space="preserve"> </w:t>
      </w:r>
      <w:r w:rsidR="003447B8" w:rsidRPr="007343C0">
        <w:rPr>
          <w:rStyle w:val="FootnoteReference"/>
          <w:lang w:val="fr-FR"/>
        </w:rPr>
        <w:footnoteReference w:id="6"/>
      </w:r>
      <w:r w:rsidR="003447B8" w:rsidRPr="007343C0">
        <w:rPr>
          <w:lang w:val="fr-FR"/>
        </w:rPr>
        <w:t>.</w:t>
      </w:r>
    </w:p>
    <w:p w:rsidR="00E5757A" w:rsidRPr="007343C0" w:rsidRDefault="00EA6C0C" w:rsidP="007343C0">
      <w:pPr>
        <w:pStyle w:val="ONUMFS"/>
        <w:rPr>
          <w:lang w:val="fr-FR"/>
        </w:rPr>
      </w:pPr>
      <w:r w:rsidRPr="007343C0">
        <w:rPr>
          <w:lang w:val="fr-FR"/>
        </w:rPr>
        <w:lastRenderedPageBreak/>
        <w:t xml:space="preserve">Une variation plus importante </w:t>
      </w:r>
      <w:r w:rsidR="00281007" w:rsidRPr="007343C0">
        <w:rPr>
          <w:lang w:val="fr-FR"/>
        </w:rPr>
        <w:t>est liée à</w:t>
      </w:r>
      <w:r w:rsidRPr="007343C0">
        <w:rPr>
          <w:lang w:val="fr-FR"/>
        </w:rPr>
        <w:t xml:space="preserve"> la conversion du montant de la taxe internationale de dépôt libellé en francs suisses dans les monnaies utilisées par les déposants du monde entier pour le paiement de la taxe.</w:t>
      </w:r>
      <w:r w:rsidR="003529B2" w:rsidRPr="007343C0">
        <w:rPr>
          <w:lang w:val="fr-FR"/>
        </w:rPr>
        <w:t xml:space="preserve">  </w:t>
      </w:r>
      <w:r w:rsidRPr="007343C0">
        <w:rPr>
          <w:lang w:val="fr-FR"/>
        </w:rPr>
        <w:t>Pour comprendre l</w:t>
      </w:r>
      <w:r w:rsidR="00C8489F" w:rsidRPr="007343C0">
        <w:rPr>
          <w:lang w:val="fr-FR"/>
        </w:rPr>
        <w:t>’</w:t>
      </w:r>
      <w:r w:rsidRPr="007343C0">
        <w:rPr>
          <w:lang w:val="fr-FR"/>
        </w:rPr>
        <w:t>origine de cette variation, il est important de comprendre le fonctionnement du processus de conversion.</w:t>
      </w:r>
      <w:r w:rsidR="003529B2" w:rsidRPr="007343C0">
        <w:rPr>
          <w:lang w:val="fr-FR"/>
        </w:rPr>
        <w:t xml:space="preserve">  </w:t>
      </w:r>
      <w:r w:rsidRPr="007343C0">
        <w:rPr>
          <w:lang w:val="fr-FR"/>
        </w:rPr>
        <w:t>Les règles</w:t>
      </w:r>
      <w:r w:rsidR="00C8489F" w:rsidRPr="007343C0">
        <w:rPr>
          <w:lang w:val="fr-FR"/>
        </w:rPr>
        <w:t xml:space="preserve"> du PCT</w:t>
      </w:r>
      <w:r w:rsidRPr="007343C0">
        <w:rPr>
          <w:lang w:val="fr-FR"/>
        </w:rPr>
        <w:t xml:space="preserve"> font la différence entre les monnaies librement convertibles et les autres monnaies</w:t>
      </w:r>
      <w:r w:rsidRPr="007343C0">
        <w:rPr>
          <w:rStyle w:val="FootnoteReference"/>
          <w:color w:val="000000"/>
          <w:lang w:val="fr-FR"/>
        </w:rPr>
        <w:footnoteReference w:id="7"/>
      </w:r>
      <w:r w:rsidRPr="007343C0">
        <w:rPr>
          <w:lang w:val="fr-FR"/>
        </w:rPr>
        <w:t xml:space="preserve">. </w:t>
      </w:r>
      <w:r w:rsidR="003529B2" w:rsidRPr="007343C0">
        <w:rPr>
          <w:lang w:val="fr-FR"/>
        </w:rPr>
        <w:t xml:space="preserve"> </w:t>
      </w:r>
      <w:r w:rsidR="00572D4D" w:rsidRPr="007343C0">
        <w:rPr>
          <w:lang w:val="fr-FR"/>
        </w:rPr>
        <w:t>Pour les monnaies librement convertibles, l</w:t>
      </w:r>
      <w:r w:rsidR="00C8489F" w:rsidRPr="007343C0">
        <w:rPr>
          <w:lang w:val="fr-FR"/>
        </w:rPr>
        <w:t>’</w:t>
      </w:r>
      <w:r w:rsidR="00572D4D" w:rsidRPr="007343C0">
        <w:rPr>
          <w:lang w:val="fr-FR"/>
        </w:rPr>
        <w:t xml:space="preserve">OMPI établit des montants équivalents, </w:t>
      </w:r>
      <w:r w:rsidR="00820BA6" w:rsidRPr="007343C0">
        <w:rPr>
          <w:lang w:val="fr-FR"/>
        </w:rPr>
        <w:t>applicables</w:t>
      </w:r>
      <w:r w:rsidR="00572D4D" w:rsidRPr="007343C0">
        <w:rPr>
          <w:lang w:val="fr-FR"/>
        </w:rPr>
        <w:t xml:space="preserve"> au </w:t>
      </w:r>
      <w:r w:rsidR="00C8489F" w:rsidRPr="007343C0">
        <w:rPr>
          <w:lang w:val="fr-FR"/>
        </w:rPr>
        <w:t>1</w:t>
      </w:r>
      <w:r w:rsidR="00C8489F" w:rsidRPr="007343C0">
        <w:rPr>
          <w:vertAlign w:val="superscript"/>
          <w:lang w:val="fr-FR"/>
        </w:rPr>
        <w:t>er</w:t>
      </w:r>
      <w:r w:rsidR="00C8489F" w:rsidRPr="007343C0">
        <w:rPr>
          <w:lang w:val="fr-FR"/>
        </w:rPr>
        <w:t> </w:t>
      </w:r>
      <w:r w:rsidR="00572D4D" w:rsidRPr="007343C0">
        <w:rPr>
          <w:lang w:val="fr-FR"/>
        </w:rPr>
        <w:t>janvier de chaque année, qui tiennent compte des taux de change pratiqués sur le marché par rapport au franc suisse en vigueur le premier lundi du mois d</w:t>
      </w:r>
      <w:r w:rsidR="00C8489F" w:rsidRPr="007343C0">
        <w:rPr>
          <w:lang w:val="fr-FR"/>
        </w:rPr>
        <w:t>’</w:t>
      </w:r>
      <w:r w:rsidR="00572D4D" w:rsidRPr="007343C0">
        <w:rPr>
          <w:lang w:val="fr-FR"/>
        </w:rPr>
        <w:t>octobre de l</w:t>
      </w:r>
      <w:r w:rsidR="00C8489F" w:rsidRPr="007343C0">
        <w:rPr>
          <w:lang w:val="fr-FR"/>
        </w:rPr>
        <w:t>’</w:t>
      </w:r>
      <w:r w:rsidR="00572D4D" w:rsidRPr="007343C0">
        <w:rPr>
          <w:lang w:val="fr-FR"/>
        </w:rPr>
        <w:t>année précédente.</w:t>
      </w:r>
      <w:r w:rsidR="003529B2" w:rsidRPr="007343C0">
        <w:rPr>
          <w:lang w:val="fr-FR"/>
        </w:rPr>
        <w:t xml:space="preserve">  </w:t>
      </w:r>
      <w:r w:rsidR="00572D4D" w:rsidRPr="007343C0">
        <w:rPr>
          <w:lang w:val="fr-FR"/>
        </w:rPr>
        <w:t>Par ailleurs si, pendant plus de quatre vendredis consécutifs au cours de l</w:t>
      </w:r>
      <w:r w:rsidR="00C8489F" w:rsidRPr="007343C0">
        <w:rPr>
          <w:lang w:val="fr-FR"/>
        </w:rPr>
        <w:t>’</w:t>
      </w:r>
      <w:r w:rsidR="00572D4D" w:rsidRPr="007343C0">
        <w:rPr>
          <w:lang w:val="fr-FR"/>
        </w:rPr>
        <w:t>année considérée, le taux de change entre la monnaie prescrite et le franc suisse excède d</w:t>
      </w:r>
      <w:r w:rsidR="00C8489F" w:rsidRPr="007343C0">
        <w:rPr>
          <w:lang w:val="fr-FR"/>
        </w:rPr>
        <w:t>’</w:t>
      </w:r>
      <w:r w:rsidR="00572D4D" w:rsidRPr="007343C0">
        <w:rPr>
          <w:lang w:val="fr-FR"/>
        </w:rPr>
        <w:t>au moins 5% le dernier taux de change appliqué, ou lui est inférieur d</w:t>
      </w:r>
      <w:r w:rsidR="00C8489F" w:rsidRPr="007343C0">
        <w:rPr>
          <w:lang w:val="fr-FR"/>
        </w:rPr>
        <w:t>’</w:t>
      </w:r>
      <w:r w:rsidR="00572D4D" w:rsidRPr="007343C0">
        <w:rPr>
          <w:lang w:val="fr-FR"/>
        </w:rPr>
        <w:t>au moins 5%, l</w:t>
      </w:r>
      <w:r w:rsidR="00C8489F" w:rsidRPr="007343C0">
        <w:rPr>
          <w:lang w:val="fr-FR"/>
        </w:rPr>
        <w:t>’</w:t>
      </w:r>
      <w:r w:rsidR="00572D4D" w:rsidRPr="007343C0">
        <w:rPr>
          <w:lang w:val="fr-FR"/>
        </w:rPr>
        <w:t>OMPI établit de nouveaux montants équivalents pour cette monnaie, applicable après environ deux mois.</w:t>
      </w:r>
    </w:p>
    <w:p w:rsidR="0002220F" w:rsidRPr="007343C0" w:rsidRDefault="00572D4D" w:rsidP="007343C0">
      <w:pPr>
        <w:pStyle w:val="ONUMFS"/>
        <w:rPr>
          <w:lang w:val="fr-FR"/>
        </w:rPr>
      </w:pPr>
      <w:r w:rsidRPr="007343C0">
        <w:rPr>
          <w:lang w:val="fr-FR"/>
        </w:rPr>
        <w:t>Les offices nationaux ou régionaux de brevets qui reçoivent des demandes selon</w:t>
      </w:r>
      <w:r w:rsidR="00C8489F" w:rsidRPr="007343C0">
        <w:rPr>
          <w:lang w:val="fr-FR"/>
        </w:rPr>
        <w:t xml:space="preserve"> le PCT</w:t>
      </w:r>
      <w:r w:rsidRPr="007343C0">
        <w:rPr>
          <w:lang w:val="fr-FR"/>
        </w:rPr>
        <w:t xml:space="preserve"> (</w:t>
      </w:r>
      <w:r w:rsidR="00BE3E96" w:rsidRPr="007343C0">
        <w:rPr>
          <w:lang w:val="fr-FR"/>
        </w:rPr>
        <w:t>“</w:t>
      </w:r>
      <w:r w:rsidRPr="007343C0">
        <w:rPr>
          <w:lang w:val="fr-FR"/>
        </w:rPr>
        <w:t>les offices récepteurs</w:t>
      </w:r>
      <w:r w:rsidR="00BE3E96" w:rsidRPr="007343C0">
        <w:rPr>
          <w:lang w:val="fr-FR"/>
        </w:rPr>
        <w:t>”</w:t>
      </w:r>
      <w:r w:rsidRPr="007343C0">
        <w:rPr>
          <w:lang w:val="fr-FR"/>
        </w:rPr>
        <w:t>) déterminent la monnaie dans laquelle ils acceptent les paiements pour ces dépôts.</w:t>
      </w:r>
      <w:r w:rsidR="003529B2" w:rsidRPr="007343C0">
        <w:rPr>
          <w:lang w:val="fr-FR"/>
        </w:rPr>
        <w:t xml:space="preserve">  </w:t>
      </w:r>
      <w:r w:rsidRPr="007343C0">
        <w:rPr>
          <w:lang w:val="fr-FR"/>
        </w:rPr>
        <w:t>Les offices récepteurs situés dans des pays dont la monnaie est librement convertible demandent généralement des paiements dans leur monnaie na</w:t>
      </w:r>
      <w:r w:rsidR="00D33A7C" w:rsidRPr="007343C0">
        <w:rPr>
          <w:lang w:val="fr-FR"/>
        </w:rPr>
        <w:t>ti</w:t>
      </w:r>
      <w:r w:rsidRPr="007343C0">
        <w:rPr>
          <w:lang w:val="fr-FR"/>
        </w:rPr>
        <w:t xml:space="preserve">onale. </w:t>
      </w:r>
      <w:r w:rsidR="003529B2" w:rsidRPr="007343C0">
        <w:rPr>
          <w:lang w:val="fr-FR"/>
        </w:rPr>
        <w:t xml:space="preserve"> </w:t>
      </w:r>
      <w:r w:rsidR="00D33A7C" w:rsidRPr="007343C0">
        <w:rPr>
          <w:lang w:val="fr-FR"/>
        </w:rPr>
        <w:t>Les offices récepteurs situés dans d</w:t>
      </w:r>
      <w:r w:rsidR="00C8489F" w:rsidRPr="007343C0">
        <w:rPr>
          <w:lang w:val="fr-FR"/>
        </w:rPr>
        <w:t>’</w:t>
      </w:r>
      <w:r w:rsidR="00D33A7C" w:rsidRPr="007343C0">
        <w:rPr>
          <w:lang w:val="fr-FR"/>
        </w:rPr>
        <w:t>autres pays choisissent entre deux</w:t>
      </w:r>
      <w:r w:rsidR="00BE3E96" w:rsidRPr="007343C0">
        <w:rPr>
          <w:lang w:val="fr-FR"/>
        </w:rPr>
        <w:t> </w:t>
      </w:r>
      <w:r w:rsidR="00D33A7C" w:rsidRPr="007343C0">
        <w:rPr>
          <w:lang w:val="fr-FR"/>
        </w:rPr>
        <w:t>méthodes</w:t>
      </w:r>
      <w:r w:rsidR="00BE3E96" w:rsidRPr="007343C0">
        <w:rPr>
          <w:lang w:val="fr-FR"/>
        </w:rPr>
        <w:t> </w:t>
      </w:r>
      <w:r w:rsidR="00D33A7C" w:rsidRPr="007343C0">
        <w:rPr>
          <w:lang w:val="fr-FR"/>
        </w:rPr>
        <w:t>: soit ils demandent le paiement dans l</w:t>
      </w:r>
      <w:r w:rsidR="00C8489F" w:rsidRPr="007343C0">
        <w:rPr>
          <w:lang w:val="fr-FR"/>
        </w:rPr>
        <w:t>’</w:t>
      </w:r>
      <w:r w:rsidR="00D33A7C" w:rsidRPr="007343C0">
        <w:rPr>
          <w:lang w:val="fr-FR"/>
        </w:rPr>
        <w:t>une des monnaies librement convertibles (dans la pratique l</w:t>
      </w:r>
      <w:r w:rsidR="00C8489F" w:rsidRPr="007343C0">
        <w:rPr>
          <w:lang w:val="fr-FR"/>
        </w:rPr>
        <w:t>’</w:t>
      </w:r>
      <w:r w:rsidR="00D33A7C" w:rsidRPr="007343C0">
        <w:rPr>
          <w:lang w:val="fr-FR"/>
        </w:rPr>
        <w:t>euro, le franc suisse ou le dollar américain), soit ils demandent un paiement en monnaie locale pour un montant équivalent au montant de la taxe en francs suisses le jour du dépôt.</w:t>
      </w:r>
      <w:r w:rsidR="003529B2" w:rsidRPr="007343C0">
        <w:rPr>
          <w:lang w:val="fr-FR"/>
        </w:rPr>
        <w:t xml:space="preserve">  </w:t>
      </w:r>
      <w:r w:rsidR="00D33A7C" w:rsidRPr="007343C0">
        <w:rPr>
          <w:lang w:val="fr-FR"/>
        </w:rPr>
        <w:t>Dans les deux</w:t>
      </w:r>
      <w:r w:rsidR="00BE3E96" w:rsidRPr="007343C0">
        <w:rPr>
          <w:lang w:val="fr-FR"/>
        </w:rPr>
        <w:t> </w:t>
      </w:r>
      <w:r w:rsidR="00D33A7C" w:rsidRPr="007343C0">
        <w:rPr>
          <w:lang w:val="fr-FR"/>
        </w:rPr>
        <w:t xml:space="preserve">cas, les déposants auprès de ces offices doivent payer </w:t>
      </w:r>
      <w:r w:rsidR="0002220F" w:rsidRPr="007343C0">
        <w:rPr>
          <w:lang w:val="fr-FR"/>
        </w:rPr>
        <w:t>une</w:t>
      </w:r>
      <w:r w:rsidR="00D33A7C" w:rsidRPr="007343C0">
        <w:rPr>
          <w:lang w:val="fr-FR"/>
        </w:rPr>
        <w:t xml:space="preserve"> taxe dont le montant, dans la monnaie locale, est fonction du taux de change entre cette monnaie et le franc suisse ou une autre monnaie librement convertible.</w:t>
      </w:r>
      <w:r w:rsidR="003529B2" w:rsidRPr="007343C0">
        <w:rPr>
          <w:lang w:val="fr-FR"/>
        </w:rPr>
        <w:t xml:space="preserve">  </w:t>
      </w:r>
      <w:r w:rsidR="00D33A7C" w:rsidRPr="007343C0">
        <w:rPr>
          <w:lang w:val="fr-FR"/>
        </w:rPr>
        <w:t xml:space="preserve">Par conséquent, selon le </w:t>
      </w:r>
      <w:r w:rsidR="0002220F" w:rsidRPr="007343C0">
        <w:rPr>
          <w:lang w:val="fr-FR"/>
        </w:rPr>
        <w:t>régime</w:t>
      </w:r>
      <w:r w:rsidR="00D33A7C" w:rsidRPr="007343C0">
        <w:rPr>
          <w:lang w:val="fr-FR"/>
        </w:rPr>
        <w:t xml:space="preserve"> de change en place, la taxe exprimée en monnaie locale peut varier </w:t>
      </w:r>
      <w:r w:rsidR="0002220F" w:rsidRPr="007343C0">
        <w:rPr>
          <w:lang w:val="fr-FR"/>
        </w:rPr>
        <w:t>quotidiennement</w:t>
      </w:r>
      <w:r w:rsidR="00D33A7C" w:rsidRPr="007343C0">
        <w:rPr>
          <w:lang w:val="fr-FR"/>
        </w:rPr>
        <w:t>.</w:t>
      </w:r>
    </w:p>
    <w:p w:rsidR="008204DE" w:rsidRPr="007343C0" w:rsidRDefault="00AF4EED" w:rsidP="007343C0">
      <w:pPr>
        <w:pStyle w:val="ONUMFS"/>
        <w:rPr>
          <w:lang w:val="fr-FR"/>
        </w:rPr>
      </w:pPr>
      <w:r w:rsidRPr="007343C0">
        <w:rPr>
          <w:color w:val="000000"/>
          <w:lang w:val="fr-FR"/>
        </w:rPr>
        <w:t>La variation de la taxe de dépôt du PCT exprimée en monnaie locale, qu'elle ait été établie au moyen de montants équivalents ou du taux de change pratiqué sur le marché, peut être substantielle.</w:t>
      </w:r>
      <w:r w:rsidRPr="007343C0">
        <w:rPr>
          <w:lang w:val="fr-FR"/>
        </w:rPr>
        <w:t xml:space="preserve">  </w:t>
      </w:r>
      <w:r w:rsidRPr="007343C0">
        <w:rPr>
          <w:color w:val="000000"/>
          <w:lang w:val="fr-FR"/>
        </w:rPr>
        <w:t>La figure 1 décrit l’évolution de la taxe de dépôt internationale dans certaines monnaies depuis 2004.</w:t>
      </w:r>
      <w:r w:rsidRPr="007343C0">
        <w:rPr>
          <w:lang w:val="fr-FR"/>
        </w:rPr>
        <w:t xml:space="preserve">  </w:t>
      </w:r>
      <w:r w:rsidRPr="007343C0">
        <w:rPr>
          <w:color w:val="000000"/>
          <w:lang w:val="fr-FR"/>
        </w:rPr>
        <w:t>En particulier, elle montre comment la forte appréciation du franc suisse par rapport à la plupart des monnaies pendant et après la crise financière s'est traduite par une augmentation notable du montant de la taxe de dépôt, notamment pour le dollar américain, la livre sterling et le won coréen</w:t>
      </w:r>
      <w:r w:rsidR="003529B2" w:rsidRPr="007343C0">
        <w:rPr>
          <w:lang w:val="fr-FR"/>
        </w:rPr>
        <w:t>.</w:t>
      </w:r>
    </w:p>
    <w:p w:rsidR="008204DE" w:rsidRPr="007343C0" w:rsidRDefault="0002220F" w:rsidP="007343C0">
      <w:pPr>
        <w:pStyle w:val="ONUMFS"/>
        <w:rPr>
          <w:lang w:val="fr-FR"/>
        </w:rPr>
      </w:pPr>
      <w:r w:rsidRPr="007343C0">
        <w:rPr>
          <w:lang w:val="fr-FR"/>
        </w:rPr>
        <w:t>Une fois traitée</w:t>
      </w:r>
      <w:r w:rsidR="00D33A7C" w:rsidRPr="007343C0">
        <w:rPr>
          <w:lang w:val="fr-FR"/>
        </w:rPr>
        <w:t xml:space="preserve"> la question de la variation de la taxe</w:t>
      </w:r>
      <w:r w:rsidR="00D33A7C" w:rsidRPr="007343C0">
        <w:rPr>
          <w:color w:val="0000FF"/>
          <w:lang w:val="fr-FR"/>
        </w:rPr>
        <w:t xml:space="preserve"> </w:t>
      </w:r>
      <w:r w:rsidR="00D33A7C" w:rsidRPr="007343C0">
        <w:rPr>
          <w:lang w:val="fr-FR"/>
        </w:rPr>
        <w:t>de dépôt, il convient de dé</w:t>
      </w:r>
      <w:r w:rsidRPr="007343C0">
        <w:rPr>
          <w:lang w:val="fr-FR"/>
        </w:rPr>
        <w:t>termin</w:t>
      </w:r>
      <w:r w:rsidR="00D33A7C" w:rsidRPr="007343C0">
        <w:rPr>
          <w:lang w:val="fr-FR"/>
        </w:rPr>
        <w:t>er quel modèle économétrique adopter.</w:t>
      </w:r>
      <w:r w:rsidR="003529B2" w:rsidRPr="007343C0">
        <w:rPr>
          <w:lang w:val="fr-FR"/>
        </w:rPr>
        <w:t xml:space="preserve">  </w:t>
      </w:r>
      <w:r w:rsidR="00D33A7C" w:rsidRPr="007343C0">
        <w:rPr>
          <w:lang w:val="fr-FR"/>
        </w:rPr>
        <w:t>L</w:t>
      </w:r>
      <w:r w:rsidR="00C8489F" w:rsidRPr="007343C0">
        <w:rPr>
          <w:lang w:val="fr-FR"/>
        </w:rPr>
        <w:t>’</w:t>
      </w:r>
      <w:r w:rsidR="00D33A7C" w:rsidRPr="007343C0">
        <w:rPr>
          <w:lang w:val="fr-FR"/>
        </w:rPr>
        <w:t>une des méthodes examinée dans les ouvrages économiques con</w:t>
      </w:r>
      <w:r w:rsidR="00490F40" w:rsidRPr="007343C0">
        <w:rPr>
          <w:lang w:val="fr-FR"/>
        </w:rPr>
        <w:t>s</w:t>
      </w:r>
      <w:r w:rsidR="00D33A7C" w:rsidRPr="007343C0">
        <w:rPr>
          <w:lang w:val="fr-FR"/>
        </w:rPr>
        <w:t>iste à se demander directement si les variations de taxe</w:t>
      </w:r>
      <w:r w:rsidRPr="007343C0">
        <w:rPr>
          <w:lang w:val="fr-FR"/>
        </w:rPr>
        <w:t>s</w:t>
      </w:r>
      <w:r w:rsidR="00D33A7C" w:rsidRPr="007343C0">
        <w:rPr>
          <w:lang w:val="fr-FR"/>
        </w:rPr>
        <w:t xml:space="preserve"> peuvent expliquer les variations du </w:t>
      </w:r>
      <w:r w:rsidRPr="007343C0">
        <w:rPr>
          <w:lang w:val="fr-FR"/>
        </w:rPr>
        <w:t>nombre</w:t>
      </w:r>
      <w:r w:rsidR="00D33A7C" w:rsidRPr="007343C0">
        <w:rPr>
          <w:lang w:val="fr-FR"/>
        </w:rPr>
        <w:t xml:space="preserve"> de demandes reçues.</w:t>
      </w:r>
      <w:r w:rsidR="003529B2" w:rsidRPr="007343C0">
        <w:rPr>
          <w:lang w:val="fr-FR"/>
        </w:rPr>
        <w:t xml:space="preserve">  </w:t>
      </w:r>
      <w:r w:rsidR="006A7790" w:rsidRPr="007343C0">
        <w:rPr>
          <w:lang w:val="fr-FR"/>
        </w:rPr>
        <w:t>Un inconvénient de cette façon de procéder tient au fait qu</w:t>
      </w:r>
      <w:r w:rsidR="00C8489F" w:rsidRPr="007343C0">
        <w:rPr>
          <w:lang w:val="fr-FR"/>
        </w:rPr>
        <w:t>’</w:t>
      </w:r>
      <w:r w:rsidR="006A7790" w:rsidRPr="007343C0">
        <w:rPr>
          <w:lang w:val="fr-FR"/>
        </w:rPr>
        <w:t xml:space="preserve">elle ne tient pas compte des décisions de ne pas effectuer de dépôts et </w:t>
      </w:r>
      <w:r w:rsidRPr="007343C0">
        <w:rPr>
          <w:lang w:val="fr-FR"/>
        </w:rPr>
        <w:t>omet</w:t>
      </w:r>
      <w:r w:rsidR="006A7790" w:rsidRPr="007343C0">
        <w:rPr>
          <w:lang w:val="fr-FR"/>
        </w:rPr>
        <w:t xml:space="preserve"> donc </w:t>
      </w:r>
      <w:r w:rsidRPr="007343C0">
        <w:rPr>
          <w:lang w:val="fr-FR"/>
        </w:rPr>
        <w:t xml:space="preserve">un élément </w:t>
      </w:r>
      <w:r w:rsidR="00281007" w:rsidRPr="007343C0">
        <w:rPr>
          <w:lang w:val="fr-FR"/>
        </w:rPr>
        <w:t xml:space="preserve">contrefactuel pour l’analyse </w:t>
      </w:r>
      <w:r w:rsidRPr="007343C0">
        <w:rPr>
          <w:lang w:val="fr-FR"/>
        </w:rPr>
        <w:t>d</w:t>
      </w:r>
      <w:r w:rsidR="006A7790" w:rsidRPr="007343C0">
        <w:rPr>
          <w:lang w:val="fr-FR"/>
        </w:rPr>
        <w:t>es décisions de dépôt</w:t>
      </w:r>
      <w:r w:rsidR="006A7790" w:rsidRPr="007343C0">
        <w:rPr>
          <w:rStyle w:val="FootnoteReference"/>
          <w:lang w:val="fr-FR"/>
        </w:rPr>
        <w:footnoteReference w:id="8"/>
      </w:r>
      <w:r w:rsidR="00BE3E96" w:rsidRPr="007343C0">
        <w:rPr>
          <w:lang w:val="fr-FR"/>
        </w:rPr>
        <w:t>.</w:t>
      </w:r>
      <w:r w:rsidR="003529B2" w:rsidRPr="007343C0">
        <w:rPr>
          <w:lang w:val="fr-FR"/>
        </w:rPr>
        <w:t xml:space="preserve">  </w:t>
      </w:r>
      <w:r w:rsidR="006A7790" w:rsidRPr="007343C0">
        <w:rPr>
          <w:lang w:val="fr-FR"/>
        </w:rPr>
        <w:t xml:space="preserve">Toutefois, étant donné </w:t>
      </w:r>
      <w:r w:rsidR="006A7790" w:rsidRPr="007343C0">
        <w:rPr>
          <w:lang w:val="fr-FR"/>
        </w:rPr>
        <w:lastRenderedPageBreak/>
        <w:t>que les demandes selon</w:t>
      </w:r>
      <w:r w:rsidR="00C8489F" w:rsidRPr="007343C0">
        <w:rPr>
          <w:lang w:val="fr-FR"/>
        </w:rPr>
        <w:t xml:space="preserve"> le PCT</w:t>
      </w:r>
      <w:r w:rsidR="006A7790" w:rsidRPr="007343C0">
        <w:rPr>
          <w:lang w:val="fr-FR"/>
        </w:rPr>
        <w:t xml:space="preserve">, dans la grande majorité des cas, sont fondées sur une précédente demande au niveau national, il est possible de </w:t>
      </w:r>
      <w:r w:rsidR="00281007" w:rsidRPr="007343C0">
        <w:rPr>
          <w:lang w:val="fr-FR"/>
        </w:rPr>
        <w:t>faire usage d’un tel élément</w:t>
      </w:r>
      <w:r w:rsidR="006A7790" w:rsidRPr="007343C0">
        <w:rPr>
          <w:lang w:val="fr-FR"/>
        </w:rPr>
        <w:t>.</w:t>
      </w:r>
      <w:r w:rsidR="003529B2" w:rsidRPr="007343C0">
        <w:rPr>
          <w:lang w:val="fr-FR"/>
        </w:rPr>
        <w:t xml:space="preserve">  </w:t>
      </w:r>
      <w:r w:rsidR="006A7790" w:rsidRPr="007343C0">
        <w:rPr>
          <w:lang w:val="fr-FR"/>
        </w:rPr>
        <w:t>En particulier, il est possible d</w:t>
      </w:r>
      <w:r w:rsidR="00C8489F" w:rsidRPr="007343C0">
        <w:rPr>
          <w:lang w:val="fr-FR"/>
        </w:rPr>
        <w:t>’</w:t>
      </w:r>
      <w:r w:rsidR="006A7790" w:rsidRPr="007343C0">
        <w:rPr>
          <w:lang w:val="fr-FR"/>
        </w:rPr>
        <w:t>estimer la probabilité qu</w:t>
      </w:r>
      <w:r w:rsidR="00C8489F" w:rsidRPr="007343C0">
        <w:rPr>
          <w:lang w:val="fr-FR"/>
        </w:rPr>
        <w:t>’</w:t>
      </w:r>
      <w:r w:rsidR="006A7790" w:rsidRPr="007343C0">
        <w:rPr>
          <w:lang w:val="fr-FR"/>
        </w:rPr>
        <w:t>une demande établissant une priorité soit convertie en</w:t>
      </w:r>
      <w:r w:rsidR="00462A82" w:rsidRPr="007343C0">
        <w:rPr>
          <w:lang w:val="fr-FR"/>
        </w:rPr>
        <w:t xml:space="preserve"> une</w:t>
      </w:r>
      <w:r w:rsidR="006A7790" w:rsidRPr="007343C0">
        <w:rPr>
          <w:lang w:val="fr-FR"/>
        </w:rPr>
        <w:t xml:space="preserve"> demande selon le PCT dans le cadre d</w:t>
      </w:r>
      <w:r w:rsidR="00C8489F" w:rsidRPr="007343C0">
        <w:rPr>
          <w:lang w:val="fr-FR"/>
        </w:rPr>
        <w:t>’</w:t>
      </w:r>
      <w:r w:rsidR="006A7790" w:rsidRPr="007343C0">
        <w:rPr>
          <w:lang w:val="fr-FR"/>
        </w:rPr>
        <w:t xml:space="preserve">un modèle binaire, </w:t>
      </w:r>
      <w:r w:rsidR="00462A82" w:rsidRPr="007343C0">
        <w:rPr>
          <w:lang w:val="fr-FR"/>
        </w:rPr>
        <w:t>dans lequel</w:t>
      </w:r>
      <w:r w:rsidR="006A7790" w:rsidRPr="007343C0">
        <w:rPr>
          <w:lang w:val="fr-FR"/>
        </w:rPr>
        <w:t xml:space="preserve"> la taxe </w:t>
      </w:r>
      <w:r w:rsidR="00281007" w:rsidRPr="007343C0">
        <w:rPr>
          <w:lang w:val="fr-FR"/>
        </w:rPr>
        <w:t xml:space="preserve">internationale </w:t>
      </w:r>
      <w:r w:rsidR="006A7790" w:rsidRPr="007343C0">
        <w:rPr>
          <w:lang w:val="fr-FR"/>
        </w:rPr>
        <w:t xml:space="preserve">de dépôt </w:t>
      </w:r>
      <w:r w:rsidR="00281007" w:rsidRPr="007343C0">
        <w:rPr>
          <w:lang w:val="fr-FR"/>
        </w:rPr>
        <w:t>vers</w:t>
      </w:r>
      <w:r w:rsidR="006A7790" w:rsidRPr="007343C0">
        <w:rPr>
          <w:lang w:val="fr-FR"/>
        </w:rPr>
        <w:t xml:space="preserve">ée </w:t>
      </w:r>
      <w:r w:rsidR="00281007" w:rsidRPr="007343C0">
        <w:rPr>
          <w:lang w:val="fr-FR"/>
        </w:rPr>
        <w:t>par les</w:t>
      </w:r>
      <w:r w:rsidR="006A7790" w:rsidRPr="007343C0">
        <w:rPr>
          <w:lang w:val="fr-FR"/>
        </w:rPr>
        <w:t xml:space="preserve"> déposants </w:t>
      </w:r>
      <w:r w:rsidR="00462A82" w:rsidRPr="007343C0">
        <w:rPr>
          <w:lang w:val="fr-FR"/>
        </w:rPr>
        <w:t>constituerait</w:t>
      </w:r>
      <w:r w:rsidR="006A7790" w:rsidRPr="007343C0">
        <w:rPr>
          <w:lang w:val="fr-FR"/>
        </w:rPr>
        <w:t xml:space="preserve"> </w:t>
      </w:r>
      <w:r w:rsidR="00462A82" w:rsidRPr="007343C0">
        <w:rPr>
          <w:lang w:val="fr-FR"/>
        </w:rPr>
        <w:t>l</w:t>
      </w:r>
      <w:r w:rsidR="00C8489F" w:rsidRPr="007343C0">
        <w:rPr>
          <w:lang w:val="fr-FR"/>
        </w:rPr>
        <w:t>’</w:t>
      </w:r>
      <w:r w:rsidR="006A7790" w:rsidRPr="007343C0">
        <w:rPr>
          <w:lang w:val="fr-FR"/>
        </w:rPr>
        <w:t>une</w:t>
      </w:r>
      <w:r w:rsidR="00462A82" w:rsidRPr="007343C0">
        <w:rPr>
          <w:lang w:val="fr-FR"/>
        </w:rPr>
        <w:t xml:space="preserve"> des</w:t>
      </w:r>
      <w:r w:rsidR="006A7790" w:rsidRPr="007343C0">
        <w:rPr>
          <w:lang w:val="fr-FR"/>
        </w:rPr>
        <w:t xml:space="preserve"> variable</w:t>
      </w:r>
      <w:r w:rsidR="00462A82" w:rsidRPr="007343C0">
        <w:rPr>
          <w:lang w:val="fr-FR"/>
        </w:rPr>
        <w:t>s</w:t>
      </w:r>
      <w:r w:rsidR="006A7790" w:rsidRPr="007343C0">
        <w:rPr>
          <w:lang w:val="fr-FR"/>
        </w:rPr>
        <w:t xml:space="preserve"> explicative</w:t>
      </w:r>
      <w:r w:rsidR="00462A82" w:rsidRPr="007343C0">
        <w:rPr>
          <w:lang w:val="fr-FR"/>
        </w:rPr>
        <w:t>s</w:t>
      </w:r>
      <w:r w:rsidR="006A7790" w:rsidRPr="007343C0">
        <w:rPr>
          <w:lang w:val="fr-FR"/>
        </w:rPr>
        <w:t>.</w:t>
      </w:r>
      <w:r w:rsidR="004778D4" w:rsidRPr="007343C0">
        <w:rPr>
          <w:lang w:val="fr-FR"/>
        </w:rPr>
        <w:t xml:space="preserve">  </w:t>
      </w:r>
      <w:r w:rsidR="006A7790" w:rsidRPr="007343C0">
        <w:rPr>
          <w:lang w:val="fr-FR"/>
        </w:rPr>
        <w:t>En d</w:t>
      </w:r>
      <w:r w:rsidR="00C8489F" w:rsidRPr="007343C0">
        <w:rPr>
          <w:lang w:val="fr-FR"/>
        </w:rPr>
        <w:t>’</w:t>
      </w:r>
      <w:r w:rsidR="006A7790" w:rsidRPr="007343C0">
        <w:rPr>
          <w:lang w:val="fr-FR"/>
        </w:rPr>
        <w:t xml:space="preserve">autres termes, le modèle binaire </w:t>
      </w:r>
      <w:r w:rsidR="00462A82" w:rsidRPr="007343C0">
        <w:rPr>
          <w:lang w:val="fr-FR"/>
        </w:rPr>
        <w:t>s</w:t>
      </w:r>
      <w:r w:rsidR="00C8489F" w:rsidRPr="007343C0">
        <w:rPr>
          <w:lang w:val="fr-FR"/>
        </w:rPr>
        <w:t>’</w:t>
      </w:r>
      <w:r w:rsidR="00462A82" w:rsidRPr="007343C0">
        <w:rPr>
          <w:lang w:val="fr-FR"/>
        </w:rPr>
        <w:t>intéresse au</w:t>
      </w:r>
      <w:r w:rsidR="006A7790" w:rsidRPr="007343C0">
        <w:rPr>
          <w:lang w:val="fr-FR"/>
        </w:rPr>
        <w:t xml:space="preserve"> choix que doivent faire les déposants de demandes internationales entre la procédure prévue par la Convention de Paris et la procédure selon le PCT.</w:t>
      </w:r>
      <w:r w:rsidR="003253B8" w:rsidRPr="007343C0">
        <w:rPr>
          <w:lang w:val="fr-FR"/>
        </w:rPr>
        <w:t xml:space="preserve">  </w:t>
      </w:r>
      <w:r w:rsidR="00154478" w:rsidRPr="007343C0">
        <w:rPr>
          <w:lang w:val="fr-FR"/>
        </w:rPr>
        <w:t xml:space="preserve">Il </w:t>
      </w:r>
      <w:r w:rsidR="00462A82" w:rsidRPr="007343C0">
        <w:rPr>
          <w:lang w:val="fr-FR"/>
        </w:rPr>
        <w:t>exclut la possibilité</w:t>
      </w:r>
      <w:r w:rsidR="00154478" w:rsidRPr="007343C0">
        <w:rPr>
          <w:lang w:val="fr-FR"/>
        </w:rPr>
        <w:t xml:space="preserve"> que la taxe internationale de dépôt selon</w:t>
      </w:r>
      <w:r w:rsidR="00C8489F" w:rsidRPr="007343C0">
        <w:rPr>
          <w:lang w:val="fr-FR"/>
        </w:rPr>
        <w:t xml:space="preserve"> le PCT</w:t>
      </w:r>
      <w:r w:rsidR="00154478" w:rsidRPr="007343C0">
        <w:rPr>
          <w:lang w:val="fr-FR"/>
        </w:rPr>
        <w:t xml:space="preserve"> influe sur la décision des déposants de chercher une protection par brevet </w:t>
      </w:r>
      <w:r w:rsidR="00281007" w:rsidRPr="007343C0">
        <w:rPr>
          <w:lang w:val="fr-FR"/>
        </w:rPr>
        <w:t>au-delà</w:t>
      </w:r>
      <w:r w:rsidR="00154478" w:rsidRPr="007343C0">
        <w:rPr>
          <w:lang w:val="fr-FR"/>
        </w:rPr>
        <w:t xml:space="preserve"> de l</w:t>
      </w:r>
      <w:r w:rsidR="00C8489F" w:rsidRPr="007343C0">
        <w:rPr>
          <w:lang w:val="fr-FR"/>
        </w:rPr>
        <w:t>’</w:t>
      </w:r>
      <w:r w:rsidR="00154478" w:rsidRPr="007343C0">
        <w:rPr>
          <w:lang w:val="fr-FR"/>
        </w:rPr>
        <w:t>office du dépôt établissant une date de priorité, une question que nous espérons examiner ultérieurement.</w:t>
      </w:r>
      <w:r w:rsidR="003253B8" w:rsidRPr="007343C0">
        <w:rPr>
          <w:rStyle w:val="FootnoteReference"/>
          <w:szCs w:val="22"/>
          <w:lang w:val="fr-FR"/>
        </w:rPr>
        <w:footnoteReference w:id="9"/>
      </w:r>
    </w:p>
    <w:p w:rsidR="00E5757A" w:rsidRPr="007343C0" w:rsidRDefault="000A2F18" w:rsidP="007343C0">
      <w:pPr>
        <w:pStyle w:val="ONUMFS"/>
        <w:rPr>
          <w:lang w:val="fr-FR"/>
        </w:rPr>
      </w:pPr>
      <w:r w:rsidRPr="007343C0">
        <w:rPr>
          <w:lang w:val="fr-FR"/>
        </w:rPr>
        <w:t xml:space="preserve">En particulier, </w:t>
      </w:r>
      <w:r w:rsidR="00462A82" w:rsidRPr="007343C0">
        <w:rPr>
          <w:lang w:val="fr-FR"/>
        </w:rPr>
        <w:t xml:space="preserve">si </w:t>
      </w:r>
      <w:r w:rsidRPr="007343C0">
        <w:rPr>
          <w:lang w:val="fr-FR"/>
        </w:rPr>
        <w:t xml:space="preserve">les familles de brevets </w:t>
      </w:r>
      <w:r w:rsidR="00462A82" w:rsidRPr="007343C0">
        <w:rPr>
          <w:lang w:val="fr-FR"/>
        </w:rPr>
        <w:t>deviennent notre</w:t>
      </w:r>
      <w:r w:rsidRPr="007343C0">
        <w:rPr>
          <w:lang w:val="fr-FR"/>
        </w:rPr>
        <w:t xml:space="preserve"> unité d</w:t>
      </w:r>
      <w:r w:rsidR="00C8489F" w:rsidRPr="007343C0">
        <w:rPr>
          <w:lang w:val="fr-FR"/>
        </w:rPr>
        <w:t>’</w:t>
      </w:r>
      <w:r w:rsidRPr="007343C0">
        <w:rPr>
          <w:lang w:val="fr-FR"/>
        </w:rPr>
        <w:t xml:space="preserve">analyse, </w:t>
      </w:r>
      <w:r w:rsidR="00462A82" w:rsidRPr="007343C0">
        <w:rPr>
          <w:lang w:val="fr-FR"/>
        </w:rPr>
        <w:t>nous pouvons</w:t>
      </w:r>
      <w:r w:rsidRPr="007343C0">
        <w:rPr>
          <w:lang w:val="fr-FR"/>
        </w:rPr>
        <w:t xml:space="preserve"> supposer que le choix entre la procédure prévue par la Convention de Paris et la procédure selon</w:t>
      </w:r>
      <w:r w:rsidR="00C8489F" w:rsidRPr="007343C0">
        <w:rPr>
          <w:lang w:val="fr-FR"/>
        </w:rPr>
        <w:t xml:space="preserve"> le PCT</w:t>
      </w:r>
      <w:r w:rsidRPr="007343C0">
        <w:rPr>
          <w:lang w:val="fr-FR"/>
        </w:rPr>
        <w:t xml:space="preserve"> est </w:t>
      </w:r>
      <w:r w:rsidR="00462A82" w:rsidRPr="007343C0">
        <w:rPr>
          <w:lang w:val="fr-FR"/>
        </w:rPr>
        <w:t>déterminé</w:t>
      </w:r>
      <w:r w:rsidRPr="007343C0">
        <w:rPr>
          <w:lang w:val="fr-FR"/>
        </w:rPr>
        <w:t xml:space="preserve"> de la façon suivante</w:t>
      </w:r>
      <w:r w:rsidR="00BE3E96" w:rsidRPr="007343C0">
        <w:rPr>
          <w:lang w:val="fr-FR"/>
        </w:rPr>
        <w:t> </w:t>
      </w:r>
      <w:r w:rsidRPr="007343C0">
        <w:rPr>
          <w:lang w:val="fr-FR"/>
        </w:rPr>
        <w:t>:</w:t>
      </w:r>
    </w:p>
    <w:p w:rsidR="00C8489F" w:rsidRPr="007343C0" w:rsidRDefault="00111B84" w:rsidP="007343C0">
      <w:pPr>
        <w:keepNext/>
        <w:keepLines/>
        <w:spacing w:after="360"/>
        <w:jc w:val="center"/>
        <w:rPr>
          <w:szCs w:val="22"/>
          <w:lang w:val="fr-FR"/>
        </w:rPr>
      </w:pPr>
      <m:oMath>
        <m:sSub>
          <m:sSubPr>
            <m:ctrlPr>
              <w:rPr>
                <w:rFonts w:ascii="Cambria Math" w:hAnsi="Cambria Math"/>
                <w:i/>
                <w:szCs w:val="22"/>
                <w:lang w:val="fr-FR"/>
              </w:rPr>
            </m:ctrlPr>
          </m:sSubPr>
          <m:e>
            <m:r>
              <w:rPr>
                <w:rFonts w:ascii="Cambria Math" w:hAnsi="Cambria Math"/>
                <w:szCs w:val="22"/>
                <w:lang w:val="fr-FR"/>
              </w:rPr>
              <m:t>pct</m:t>
            </m:r>
          </m:e>
          <m:sub>
            <m:r>
              <w:rPr>
                <w:rFonts w:ascii="Cambria Math" w:hAnsi="Cambria Math"/>
                <w:szCs w:val="22"/>
                <w:lang w:val="fr-FR"/>
              </w:rPr>
              <m:t>ijt</m:t>
            </m:r>
          </m:sub>
        </m:sSub>
        <m:r>
          <w:rPr>
            <w:rFonts w:ascii="Cambria Math" w:hAnsi="Cambria Math"/>
            <w:szCs w:val="22"/>
            <w:lang w:val="fr-FR"/>
          </w:rPr>
          <m:t>=</m:t>
        </m:r>
        <m:d>
          <m:dPr>
            <m:begChr m:val="{"/>
            <m:endChr m:val=""/>
            <m:ctrlPr>
              <w:rPr>
                <w:rFonts w:ascii="Cambria Math" w:hAnsi="Cambria Math"/>
                <w:i/>
                <w:szCs w:val="22"/>
                <w:lang w:val="fr-FR"/>
              </w:rPr>
            </m:ctrlPr>
          </m:dPr>
          <m:e>
            <m:m>
              <m:mPr>
                <m:mcs>
                  <m:mc>
                    <m:mcPr>
                      <m:count m:val="1"/>
                      <m:mcJc m:val="center"/>
                    </m:mcPr>
                  </m:mc>
                </m:mcs>
                <m:ctrlPr>
                  <w:rPr>
                    <w:rFonts w:ascii="Cambria Math" w:hAnsi="Cambria Math"/>
                    <w:i/>
                    <w:szCs w:val="22"/>
                    <w:lang w:val="fr-FR"/>
                  </w:rPr>
                </m:ctrlPr>
              </m:mPr>
              <m:mr>
                <m:e>
                  <m:r>
                    <w:rPr>
                      <w:rFonts w:ascii="Cambria Math" w:hAnsi="Cambria Math"/>
                      <w:szCs w:val="22"/>
                      <w:lang w:val="fr-FR"/>
                    </w:rPr>
                    <m:t xml:space="preserve">0 </m:t>
                  </m:r>
                  <m:r>
                    <m:rPr>
                      <m:sty m:val="p"/>
                    </m:rPr>
                    <w:rPr>
                      <w:rFonts w:ascii="Cambria Math" w:hAnsi="Cambria Math"/>
                      <w:szCs w:val="22"/>
                      <w:lang w:val="fr-FR"/>
                    </w:rPr>
                    <m:t>si</m:t>
                  </m:r>
                  <m:r>
                    <w:rPr>
                      <w:rFonts w:ascii="Cambria Math" w:hAnsi="Cambria Math"/>
                      <w:szCs w:val="22"/>
                      <w:lang w:val="fr-FR"/>
                    </w:rPr>
                    <m:t xml:space="preserve"> </m:t>
                  </m:r>
                  <m:sSubSup>
                    <m:sSubSupPr>
                      <m:ctrlPr>
                        <w:rPr>
                          <w:rFonts w:ascii="Cambria Math" w:hAnsi="Cambria Math"/>
                          <w:i/>
                          <w:szCs w:val="22"/>
                          <w:lang w:val="fr-FR"/>
                        </w:rPr>
                      </m:ctrlPr>
                    </m:sSubSupPr>
                    <m:e>
                      <m:r>
                        <w:rPr>
                          <w:rFonts w:ascii="Cambria Math" w:hAnsi="Cambria Math"/>
                          <w:szCs w:val="22"/>
                          <w:lang w:val="fr-FR"/>
                        </w:rPr>
                        <m:t>pct</m:t>
                      </m:r>
                    </m:e>
                    <m:sub>
                      <m:r>
                        <w:rPr>
                          <w:rFonts w:ascii="Cambria Math" w:hAnsi="Cambria Math"/>
                          <w:szCs w:val="22"/>
                          <w:lang w:val="fr-FR"/>
                        </w:rPr>
                        <m:t>ijt</m:t>
                      </m:r>
                    </m:sub>
                    <m:sup>
                      <m:r>
                        <w:rPr>
                          <w:rFonts w:ascii="Cambria Math" w:hAnsi="Cambria Math"/>
                          <w:szCs w:val="22"/>
                          <w:lang w:val="fr-FR"/>
                        </w:rPr>
                        <m:t>*</m:t>
                      </m:r>
                    </m:sup>
                  </m:sSubSup>
                  <m:r>
                    <w:rPr>
                      <w:rFonts w:ascii="Cambria Math" w:hAnsi="Cambria Math"/>
                      <w:szCs w:val="22"/>
                      <w:lang w:val="fr-FR"/>
                    </w:rPr>
                    <m:t>≤0</m:t>
                  </m:r>
                </m:e>
              </m:mr>
              <m:mr>
                <m:e>
                  <m:r>
                    <w:rPr>
                      <w:rFonts w:ascii="Cambria Math" w:hAnsi="Cambria Math"/>
                      <w:szCs w:val="22"/>
                      <w:lang w:val="fr-FR"/>
                    </w:rPr>
                    <m:t xml:space="preserve">1 </m:t>
                  </m:r>
                  <m:r>
                    <m:rPr>
                      <m:sty m:val="p"/>
                    </m:rPr>
                    <w:rPr>
                      <w:rFonts w:ascii="Cambria Math" w:hAnsi="Cambria Math"/>
                      <w:szCs w:val="22"/>
                      <w:lang w:val="fr-FR"/>
                    </w:rPr>
                    <m:t>si</m:t>
                  </m:r>
                  <m:r>
                    <w:rPr>
                      <w:rFonts w:ascii="Cambria Math" w:hAnsi="Cambria Math"/>
                      <w:szCs w:val="22"/>
                      <w:lang w:val="fr-FR"/>
                    </w:rPr>
                    <m:t xml:space="preserve"> </m:t>
                  </m:r>
                  <m:sSubSup>
                    <m:sSubSupPr>
                      <m:ctrlPr>
                        <w:rPr>
                          <w:rFonts w:ascii="Cambria Math" w:hAnsi="Cambria Math"/>
                          <w:i/>
                          <w:szCs w:val="22"/>
                          <w:lang w:val="fr-FR"/>
                        </w:rPr>
                      </m:ctrlPr>
                    </m:sSubSupPr>
                    <m:e>
                      <m:r>
                        <w:rPr>
                          <w:rFonts w:ascii="Cambria Math" w:hAnsi="Cambria Math"/>
                          <w:szCs w:val="22"/>
                          <w:lang w:val="fr-FR"/>
                        </w:rPr>
                        <m:t>pct</m:t>
                      </m:r>
                    </m:e>
                    <m:sub>
                      <m:r>
                        <w:rPr>
                          <w:rFonts w:ascii="Cambria Math" w:hAnsi="Cambria Math"/>
                          <w:szCs w:val="22"/>
                          <w:lang w:val="fr-FR"/>
                        </w:rPr>
                        <m:t>ijt</m:t>
                      </m:r>
                    </m:sub>
                    <m:sup>
                      <m:r>
                        <w:rPr>
                          <w:rFonts w:ascii="Cambria Math" w:hAnsi="Cambria Math"/>
                          <w:szCs w:val="22"/>
                          <w:lang w:val="fr-FR"/>
                        </w:rPr>
                        <m:t>*</m:t>
                      </m:r>
                    </m:sup>
                  </m:sSubSup>
                  <m:r>
                    <w:rPr>
                      <w:rFonts w:ascii="Cambria Math" w:hAnsi="Cambria Math"/>
                      <w:szCs w:val="22"/>
                      <w:lang w:val="fr-FR"/>
                    </w:rPr>
                    <m:t>&gt;0</m:t>
                  </m:r>
                </m:e>
              </m:mr>
            </m:m>
          </m:e>
        </m:d>
      </m:oMath>
      <w:r w:rsidR="00BE3E96" w:rsidRPr="007343C0">
        <w:rPr>
          <w:szCs w:val="22"/>
          <w:lang w:val="fr-FR"/>
        </w:rPr>
        <w:t>,</w:t>
      </w:r>
    </w:p>
    <w:p w:rsidR="00E5757A" w:rsidRPr="007343C0" w:rsidRDefault="00490F40" w:rsidP="007343C0">
      <w:pPr>
        <w:pStyle w:val="ONUME"/>
        <w:numPr>
          <w:ilvl w:val="0"/>
          <w:numId w:val="0"/>
        </w:numPr>
        <w:rPr>
          <w:lang w:val="fr-FR"/>
        </w:rPr>
      </w:pPr>
      <w:r w:rsidRPr="007343C0">
        <w:rPr>
          <w:lang w:val="fr-FR"/>
        </w:rPr>
        <w:t xml:space="preserve">avec </w:t>
      </w:r>
      <w:r w:rsidR="00462A82" w:rsidRPr="007343C0">
        <w:rPr>
          <w:lang w:val="fr-FR"/>
        </w:rPr>
        <w:t>une</w:t>
      </w:r>
      <w:r w:rsidRPr="007343C0">
        <w:rPr>
          <w:lang w:val="fr-FR"/>
        </w:rPr>
        <w:t xml:space="preserve"> valeur </w:t>
      </w:r>
      <m:oMath>
        <m:sSub>
          <m:sSubPr>
            <m:ctrlPr>
              <w:rPr>
                <w:rFonts w:ascii="Cambria Math" w:hAnsi="Cambria Math"/>
                <w:i/>
                <w:szCs w:val="22"/>
                <w:lang w:val="fr-FR"/>
              </w:rPr>
            </m:ctrlPr>
          </m:sSubPr>
          <m:e>
            <m:r>
              <w:rPr>
                <w:rFonts w:ascii="Cambria Math" w:hAnsi="Cambria Math"/>
                <w:szCs w:val="22"/>
                <w:lang w:val="fr-FR"/>
              </w:rPr>
              <m:t>pct</m:t>
            </m:r>
          </m:e>
          <m:sub>
            <m:r>
              <w:rPr>
                <w:rFonts w:ascii="Cambria Math" w:hAnsi="Cambria Math"/>
                <w:szCs w:val="22"/>
                <w:lang w:val="fr-FR"/>
              </w:rPr>
              <m:t>ijt</m:t>
            </m:r>
          </m:sub>
        </m:sSub>
      </m:oMath>
      <w:r w:rsidRPr="007343C0">
        <w:rPr>
          <w:lang w:val="fr-FR"/>
        </w:rPr>
        <w:t xml:space="preserve">égale à 1 si la famille de brevets </w:t>
      </w:r>
      <w:r w:rsidRPr="007343C0">
        <w:rPr>
          <w:i/>
          <w:lang w:val="fr-FR"/>
        </w:rPr>
        <w:t>i</w:t>
      </w:r>
      <w:r w:rsidRPr="007343C0">
        <w:rPr>
          <w:lang w:val="fr-FR"/>
        </w:rPr>
        <w:t xml:space="preserve"> d</w:t>
      </w:r>
      <w:r w:rsidR="00C8489F" w:rsidRPr="007343C0">
        <w:rPr>
          <w:lang w:val="fr-FR"/>
        </w:rPr>
        <w:t>’</w:t>
      </w:r>
      <w:r w:rsidRPr="007343C0">
        <w:rPr>
          <w:lang w:val="fr-FR"/>
        </w:rPr>
        <w:t>origine</w:t>
      </w:r>
      <w:r w:rsidRPr="007343C0">
        <w:rPr>
          <w:i/>
          <w:lang w:val="fr-FR"/>
        </w:rPr>
        <w:t xml:space="preserve"> j</w:t>
      </w:r>
      <w:r w:rsidRPr="007343C0">
        <w:rPr>
          <w:lang w:val="fr-FR"/>
        </w:rPr>
        <w:t xml:space="preserve"> comprend une demande selon</w:t>
      </w:r>
      <w:r w:rsidR="00C8489F" w:rsidRPr="007343C0">
        <w:rPr>
          <w:lang w:val="fr-FR"/>
        </w:rPr>
        <w:t xml:space="preserve"> le PCT</w:t>
      </w:r>
      <w:r w:rsidRPr="007343C0">
        <w:rPr>
          <w:lang w:val="fr-FR"/>
        </w:rPr>
        <w:t xml:space="preserve"> déposée au cours du mois civil </w:t>
      </w:r>
      <w:r w:rsidRPr="007343C0">
        <w:rPr>
          <w:i/>
          <w:lang w:val="fr-FR"/>
        </w:rPr>
        <w:t>t</w:t>
      </w:r>
      <w:r w:rsidRPr="007343C0">
        <w:rPr>
          <w:lang w:val="fr-FR"/>
        </w:rPr>
        <w:t>, et avec cette valeur égal</w:t>
      </w:r>
      <w:r w:rsidR="00462A82" w:rsidRPr="007343C0">
        <w:rPr>
          <w:lang w:val="fr-FR"/>
        </w:rPr>
        <w:t>e à 0 si la famille de brevets s</w:t>
      </w:r>
      <w:r w:rsidR="00281007" w:rsidRPr="007343C0">
        <w:rPr>
          <w:lang w:val="fr-FR"/>
        </w:rPr>
        <w:t>uit la voie relevant de</w:t>
      </w:r>
      <w:r w:rsidRPr="007343C0">
        <w:rPr>
          <w:lang w:val="fr-FR"/>
        </w:rPr>
        <w:t xml:space="preserve"> la Convention de Paris, </w:t>
      </w:r>
      <w:r w:rsidRPr="007343C0">
        <w:rPr>
          <w:i/>
          <w:lang w:val="fr-FR"/>
        </w:rPr>
        <w:t>t</w:t>
      </w:r>
      <w:r w:rsidRPr="007343C0">
        <w:rPr>
          <w:lang w:val="fr-FR"/>
        </w:rPr>
        <w:t xml:space="preserve"> correspondant alors au mois du premier dépôt en vertu de la Convention de Paris.</w:t>
      </w:r>
      <w:r w:rsidR="003529B2" w:rsidRPr="007343C0">
        <w:rPr>
          <w:lang w:val="fr-FR"/>
        </w:rPr>
        <w:t xml:space="preserve">  </w:t>
      </w:r>
      <w:r w:rsidRPr="007343C0">
        <w:rPr>
          <w:lang w:val="fr-FR"/>
        </w:rPr>
        <w:t xml:space="preserve">La variable </w:t>
      </w:r>
      <m:oMath>
        <m:sSub>
          <m:sSubPr>
            <m:ctrlPr>
              <w:rPr>
                <w:rFonts w:ascii="Cambria Math" w:hAnsi="Cambria Math"/>
                <w:i/>
                <w:szCs w:val="22"/>
                <w:lang w:val="fr-FR"/>
              </w:rPr>
            </m:ctrlPr>
          </m:sSubPr>
          <m:e>
            <m:r>
              <w:rPr>
                <w:rFonts w:ascii="Cambria Math" w:hAnsi="Cambria Math"/>
                <w:szCs w:val="22"/>
                <w:lang w:val="fr-FR"/>
              </w:rPr>
              <m:t>pct</m:t>
            </m:r>
          </m:e>
          <m:sub>
            <m:r>
              <w:rPr>
                <w:rFonts w:ascii="Cambria Math" w:hAnsi="Cambria Math"/>
                <w:szCs w:val="22"/>
                <w:lang w:val="fr-FR"/>
              </w:rPr>
              <m:t>ijt</m:t>
            </m:r>
          </m:sub>
        </m:sSub>
      </m:oMath>
      <w:r w:rsidRPr="007343C0">
        <w:rPr>
          <w:lang w:val="fr-FR"/>
        </w:rPr>
        <w:t xml:space="preserve"> </w:t>
      </w:r>
      <w:r w:rsidRPr="007343C0">
        <w:rPr>
          <w:rFonts w:ascii="Cambria Math" w:hAnsi="Cambria Math" w:cs="Cambria Math"/>
          <w:lang w:val="fr-FR"/>
        </w:rPr>
        <w:t>∗</w:t>
      </w:r>
      <w:r w:rsidRPr="007343C0">
        <w:rPr>
          <w:lang w:val="fr-FR"/>
        </w:rPr>
        <w:t xml:space="preserve"> est </w:t>
      </w:r>
      <w:r w:rsidR="001A2AE0">
        <w:rPr>
          <w:lang w:val="fr-FR"/>
        </w:rPr>
        <w:t>non observable</w:t>
      </w:r>
      <w:r w:rsidRPr="007343C0">
        <w:rPr>
          <w:lang w:val="fr-FR"/>
        </w:rPr>
        <w:t xml:space="preserve"> et elle peut être déterminée par la formule</w:t>
      </w:r>
      <w:r w:rsidR="00BE3E96" w:rsidRPr="007343C0">
        <w:rPr>
          <w:lang w:val="fr-FR"/>
        </w:rPr>
        <w:t> </w:t>
      </w:r>
      <w:r w:rsidRPr="007343C0">
        <w:rPr>
          <w:lang w:val="fr-FR"/>
        </w:rPr>
        <w:t>:</w:t>
      </w:r>
    </w:p>
    <w:p w:rsidR="00E5757A" w:rsidRPr="007343C0" w:rsidRDefault="00111B84" w:rsidP="007343C0">
      <w:pPr>
        <w:spacing w:after="360"/>
        <w:jc w:val="center"/>
        <w:rPr>
          <w:szCs w:val="22"/>
          <w:lang w:val="fr-FR"/>
        </w:rPr>
      </w:pPr>
      <m:oMath>
        <m:sSubSup>
          <m:sSubSupPr>
            <m:ctrlPr>
              <w:rPr>
                <w:rFonts w:ascii="Cambria Math" w:hAnsi="Cambria Math"/>
                <w:i/>
                <w:szCs w:val="22"/>
                <w:lang w:val="fr-FR"/>
              </w:rPr>
            </m:ctrlPr>
          </m:sSubSupPr>
          <m:e>
            <m:r>
              <w:rPr>
                <w:rFonts w:ascii="Cambria Math" w:hAnsi="Cambria Math"/>
                <w:szCs w:val="22"/>
                <w:lang w:val="fr-FR"/>
              </w:rPr>
              <m:t>pct</m:t>
            </m:r>
          </m:e>
          <m:sub>
            <m:r>
              <w:rPr>
                <w:rFonts w:ascii="Cambria Math" w:hAnsi="Cambria Math"/>
                <w:szCs w:val="22"/>
                <w:lang w:val="fr-FR"/>
              </w:rPr>
              <m:t>ijt</m:t>
            </m:r>
          </m:sub>
          <m:sup>
            <m:r>
              <w:rPr>
                <w:rFonts w:ascii="Cambria Math" w:hAnsi="Cambria Math"/>
                <w:szCs w:val="22"/>
                <w:lang w:val="fr-FR"/>
              </w:rPr>
              <m:t>*</m:t>
            </m:r>
          </m:sup>
        </m:sSubSup>
        <m:r>
          <w:rPr>
            <w:rFonts w:ascii="Cambria Math" w:hAnsi="Cambria Math"/>
            <w:szCs w:val="22"/>
            <w:lang w:val="fr-FR"/>
          </w:rPr>
          <m:t>=α</m:t>
        </m:r>
        <m:sSub>
          <m:sSubPr>
            <m:ctrlPr>
              <w:rPr>
                <w:rFonts w:ascii="Cambria Math" w:hAnsi="Cambria Math"/>
                <w:i/>
                <w:szCs w:val="22"/>
                <w:lang w:val="fr-FR"/>
              </w:rPr>
            </m:ctrlPr>
          </m:sSubPr>
          <m:e>
            <m:r>
              <m:rPr>
                <m:sty m:val="p"/>
              </m:rPr>
              <w:rPr>
                <w:rFonts w:ascii="Cambria Math" w:hAnsi="Cambria Math"/>
                <w:szCs w:val="22"/>
                <w:lang w:val="fr-FR"/>
              </w:rPr>
              <m:t xml:space="preserve"> ln</m:t>
            </m:r>
            <m:r>
              <w:rPr>
                <w:rFonts w:ascii="Cambria Math" w:hAnsi="Cambria Math"/>
                <w:szCs w:val="22"/>
                <w:lang w:val="fr-FR"/>
              </w:rPr>
              <m:t>f</m:t>
            </m:r>
          </m:e>
          <m:sub>
            <m:r>
              <w:rPr>
                <w:rFonts w:ascii="Cambria Math" w:hAnsi="Cambria Math"/>
                <w:szCs w:val="22"/>
                <w:lang w:val="fr-FR"/>
              </w:rPr>
              <m:t>jt</m:t>
            </m:r>
          </m:sub>
        </m:sSub>
        <m:r>
          <w:rPr>
            <w:rFonts w:ascii="Cambria Math" w:hAnsi="Cambria Math"/>
            <w:szCs w:val="22"/>
            <w:lang w:val="fr-FR"/>
          </w:rPr>
          <m:t>+</m:t>
        </m:r>
        <m:sSub>
          <m:sSubPr>
            <m:ctrlPr>
              <w:rPr>
                <w:rFonts w:ascii="Cambria Math" w:hAnsi="Cambria Math"/>
                <w:i/>
                <w:szCs w:val="22"/>
                <w:lang w:val="fr-FR"/>
              </w:rPr>
            </m:ctrlPr>
          </m:sSubPr>
          <m:e>
            <m:r>
              <m:rPr>
                <m:sty m:val="p"/>
              </m:rPr>
              <w:rPr>
                <w:rFonts w:ascii="Cambria Math" w:hAnsi="Cambria Math"/>
                <w:szCs w:val="22"/>
                <w:lang w:val="fr-FR"/>
              </w:rPr>
              <m:t>β ln</m:t>
            </m:r>
            <m:r>
              <w:rPr>
                <w:rFonts w:ascii="Cambria Math" w:hAnsi="Cambria Math"/>
                <w:szCs w:val="22"/>
                <w:lang w:val="fr-FR"/>
              </w:rPr>
              <m:t>unemp</m:t>
            </m:r>
          </m:e>
          <m:sub>
            <m:r>
              <w:rPr>
                <w:rFonts w:ascii="Cambria Math" w:hAnsi="Cambria Math"/>
                <w:szCs w:val="22"/>
                <w:lang w:val="fr-FR"/>
              </w:rPr>
              <m:t>jt</m:t>
            </m:r>
          </m:sub>
        </m:sSub>
        <m:r>
          <w:rPr>
            <w:rFonts w:ascii="Cambria Math" w:hAnsi="Cambria Math"/>
            <w:szCs w:val="22"/>
            <w:lang w:val="fr-FR"/>
          </w:rPr>
          <m:t>+</m:t>
        </m:r>
        <m:sSub>
          <m:sSubPr>
            <m:ctrlPr>
              <w:rPr>
                <w:rFonts w:ascii="Cambria Math" w:hAnsi="Cambria Math"/>
                <w:i/>
                <w:szCs w:val="22"/>
                <w:lang w:val="fr-FR"/>
              </w:rPr>
            </m:ctrlPr>
          </m:sSubPr>
          <m:e>
            <m:r>
              <w:rPr>
                <w:rFonts w:ascii="Cambria Math" w:hAnsi="Cambria Math"/>
                <w:szCs w:val="22"/>
                <w:lang w:val="fr-FR"/>
              </w:rPr>
              <m:t>γ mem</m:t>
            </m:r>
          </m:e>
          <m:sub>
            <m:r>
              <w:rPr>
                <w:rFonts w:ascii="Cambria Math" w:hAnsi="Cambria Math"/>
                <w:szCs w:val="22"/>
                <w:lang w:val="fr-FR"/>
              </w:rPr>
              <m:t>jt</m:t>
            </m:r>
          </m:sub>
        </m:sSub>
        <m:r>
          <w:rPr>
            <w:rFonts w:ascii="Cambria Math" w:hAnsi="Cambria Math"/>
            <w:szCs w:val="22"/>
            <w:lang w:val="fr-FR"/>
          </w:rPr>
          <m:t xml:space="preserve">+δ </m:t>
        </m:r>
        <m:sSub>
          <m:sSubPr>
            <m:ctrlPr>
              <w:rPr>
                <w:rFonts w:ascii="Cambria Math" w:hAnsi="Cambria Math"/>
                <w:i/>
                <w:szCs w:val="22"/>
                <w:lang w:val="fr-FR"/>
              </w:rPr>
            </m:ctrlPr>
          </m:sSubPr>
          <m:e>
            <m:r>
              <m:rPr>
                <m:sty m:val="p"/>
              </m:rPr>
              <w:rPr>
                <w:rFonts w:ascii="Cambria Math" w:hAnsi="Cambria Math"/>
                <w:szCs w:val="22"/>
                <w:lang w:val="fr-FR"/>
              </w:rPr>
              <m:t>Ω</m:t>
            </m:r>
          </m:e>
          <m:sub>
            <m:r>
              <w:rPr>
                <w:rFonts w:ascii="Cambria Math" w:hAnsi="Cambria Math"/>
                <w:szCs w:val="22"/>
                <w:lang w:val="fr-FR"/>
              </w:rPr>
              <m:t>i</m:t>
            </m:r>
          </m:sub>
        </m:sSub>
        <m:r>
          <w:rPr>
            <w:rFonts w:ascii="Cambria Math" w:hAnsi="Cambria Math"/>
            <w:szCs w:val="22"/>
            <w:lang w:val="fr-FR"/>
          </w:rPr>
          <m:t>+</m:t>
        </m:r>
        <m:sSub>
          <m:sSubPr>
            <m:ctrlPr>
              <w:rPr>
                <w:rFonts w:ascii="Cambria Math" w:hAnsi="Cambria Math"/>
                <w:i/>
                <w:szCs w:val="22"/>
                <w:lang w:val="fr-FR"/>
              </w:rPr>
            </m:ctrlPr>
          </m:sSubPr>
          <m:e>
            <m:r>
              <w:rPr>
                <w:rFonts w:ascii="Cambria Math" w:hAnsi="Cambria Math"/>
                <w:szCs w:val="22"/>
                <w:lang w:val="fr-FR"/>
              </w:rPr>
              <m:t>μ</m:t>
            </m:r>
          </m:e>
          <m:sub>
            <m:r>
              <w:rPr>
                <w:rFonts w:ascii="Cambria Math" w:hAnsi="Cambria Math"/>
                <w:szCs w:val="22"/>
                <w:lang w:val="fr-FR"/>
              </w:rPr>
              <m:t>j</m:t>
            </m:r>
          </m:sub>
        </m:sSub>
        <m:r>
          <w:rPr>
            <w:rFonts w:ascii="Cambria Math" w:hAnsi="Cambria Math"/>
            <w:szCs w:val="22"/>
            <w:lang w:val="fr-FR"/>
          </w:rPr>
          <m:t>+</m:t>
        </m:r>
        <m:sSub>
          <m:sSubPr>
            <m:ctrlPr>
              <w:rPr>
                <w:rFonts w:ascii="Cambria Math" w:hAnsi="Cambria Math"/>
                <w:i/>
                <w:szCs w:val="22"/>
                <w:lang w:val="fr-FR"/>
              </w:rPr>
            </m:ctrlPr>
          </m:sSubPr>
          <m:e>
            <m:r>
              <w:rPr>
                <w:rFonts w:ascii="Cambria Math" w:hAnsi="Cambria Math"/>
                <w:szCs w:val="22"/>
                <w:lang w:val="fr-FR"/>
              </w:rPr>
              <m:t>θ</m:t>
            </m:r>
          </m:e>
          <m:sub>
            <m:r>
              <w:rPr>
                <w:rFonts w:ascii="Cambria Math" w:hAnsi="Cambria Math"/>
                <w:szCs w:val="22"/>
                <w:lang w:val="fr-FR"/>
              </w:rPr>
              <m:t>t</m:t>
            </m:r>
          </m:sub>
        </m:sSub>
        <m:r>
          <w:rPr>
            <w:rFonts w:ascii="Cambria Math" w:hAnsi="Cambria Math"/>
            <w:szCs w:val="22"/>
            <w:lang w:val="fr-FR"/>
          </w:rPr>
          <m:t>+</m:t>
        </m:r>
        <m:sSub>
          <m:sSubPr>
            <m:ctrlPr>
              <w:rPr>
                <w:rFonts w:ascii="Cambria Math" w:hAnsi="Cambria Math"/>
                <w:i/>
                <w:szCs w:val="22"/>
                <w:lang w:val="fr-FR"/>
              </w:rPr>
            </m:ctrlPr>
          </m:sSubPr>
          <m:e>
            <m:r>
              <w:rPr>
                <w:rFonts w:ascii="Cambria Math" w:hAnsi="Cambria Math"/>
                <w:szCs w:val="22"/>
                <w:lang w:val="fr-FR"/>
              </w:rPr>
              <m:t>φ mkt</m:t>
            </m:r>
          </m:e>
          <m:sub>
            <m:r>
              <w:rPr>
                <w:rFonts w:ascii="Cambria Math" w:hAnsi="Cambria Math"/>
                <w:szCs w:val="22"/>
                <w:lang w:val="fr-FR"/>
              </w:rPr>
              <m:t>j(t-12)</m:t>
            </m:r>
          </m:sub>
        </m:sSub>
        <m:r>
          <w:rPr>
            <w:rFonts w:ascii="Cambria Math" w:hAnsi="Cambria Math"/>
            <w:szCs w:val="22"/>
            <w:lang w:val="fr-FR"/>
          </w:rPr>
          <m:t>+</m:t>
        </m:r>
        <m:sSub>
          <m:sSubPr>
            <m:ctrlPr>
              <w:rPr>
                <w:rFonts w:ascii="Cambria Math" w:hAnsi="Cambria Math"/>
                <w:i/>
                <w:szCs w:val="22"/>
                <w:lang w:val="fr-FR"/>
              </w:rPr>
            </m:ctrlPr>
          </m:sSubPr>
          <m:e>
            <m:r>
              <w:rPr>
                <w:rFonts w:ascii="Cambria Math" w:hAnsi="Cambria Math"/>
                <w:szCs w:val="22"/>
                <w:lang w:val="fr-FR"/>
              </w:rPr>
              <m:t>ε</m:t>
            </m:r>
          </m:e>
          <m:sub>
            <m:r>
              <w:rPr>
                <w:rFonts w:ascii="Cambria Math" w:hAnsi="Cambria Math"/>
                <w:szCs w:val="22"/>
                <w:lang w:val="fr-FR"/>
              </w:rPr>
              <m:t>ijt</m:t>
            </m:r>
          </m:sub>
        </m:sSub>
      </m:oMath>
      <w:r w:rsidR="00BE3E96" w:rsidRPr="007343C0">
        <w:rPr>
          <w:rFonts w:eastAsiaTheme="minorEastAsia"/>
          <w:szCs w:val="22"/>
          <w:lang w:val="fr-FR"/>
        </w:rPr>
        <w:t>,</w:t>
      </w:r>
    </w:p>
    <w:p w:rsidR="00C8489F" w:rsidRPr="007343C0" w:rsidRDefault="00347312" w:rsidP="007343C0">
      <w:pPr>
        <w:pStyle w:val="ONUME"/>
        <w:numPr>
          <w:ilvl w:val="0"/>
          <w:numId w:val="0"/>
        </w:numPr>
        <w:rPr>
          <w:lang w:val="fr-FR"/>
        </w:rPr>
      </w:pPr>
      <w:r w:rsidRPr="007343C0">
        <w:rPr>
          <w:lang w:val="fr-FR"/>
        </w:rPr>
        <w:t xml:space="preserve">dans laquelle la valeur </w:t>
      </w:r>
      <m:oMath>
        <m:sSub>
          <m:sSubPr>
            <m:ctrlPr>
              <w:rPr>
                <w:rFonts w:ascii="Cambria Math" w:hAnsi="Cambria Math"/>
                <w:i/>
                <w:szCs w:val="22"/>
                <w:lang w:val="fr-FR"/>
              </w:rPr>
            </m:ctrlPr>
          </m:sSubPr>
          <m:e>
            <m:r>
              <w:rPr>
                <w:rFonts w:ascii="Cambria Math" w:hAnsi="Cambria Math"/>
                <w:szCs w:val="22"/>
                <w:lang w:val="fr-FR"/>
              </w:rPr>
              <m:t>f</m:t>
            </m:r>
          </m:e>
          <m:sub>
            <m:r>
              <w:rPr>
                <w:rFonts w:ascii="Cambria Math" w:hAnsi="Cambria Math"/>
                <w:szCs w:val="22"/>
                <w:lang w:val="fr-FR"/>
              </w:rPr>
              <m:t>jt</m:t>
            </m:r>
          </m:sub>
        </m:sSub>
        <m:r>
          <w:rPr>
            <w:rFonts w:ascii="Cambria Math" w:hAnsi="Cambria Math"/>
            <w:szCs w:val="22"/>
            <w:lang w:val="fr-FR"/>
          </w:rPr>
          <m:t xml:space="preserve"> </m:t>
        </m:r>
      </m:oMath>
      <w:r w:rsidR="00AF4EED" w:rsidRPr="007343C0">
        <w:rPr>
          <w:lang w:val="fr-FR"/>
        </w:rPr>
        <w:t>renvoie</w:t>
      </w:r>
      <w:r w:rsidRPr="007343C0">
        <w:rPr>
          <w:lang w:val="fr-FR"/>
        </w:rPr>
        <w:t xml:space="preserve"> à la taxe de dépôt dans la monnaie locale qu</w:t>
      </w:r>
      <w:r w:rsidR="00AF4EED" w:rsidRPr="007343C0">
        <w:rPr>
          <w:lang w:val="fr-FR"/>
        </w:rPr>
        <w:t>i</w:t>
      </w:r>
      <w:r w:rsidRPr="007343C0">
        <w:rPr>
          <w:lang w:val="fr-FR"/>
        </w:rPr>
        <w:t xml:space="preserve"> </w:t>
      </w:r>
      <w:r w:rsidR="00AF4EED" w:rsidRPr="007343C0">
        <w:rPr>
          <w:lang w:val="fr-FR"/>
        </w:rPr>
        <w:t>se</w:t>
      </w:r>
      <w:r w:rsidRPr="007343C0">
        <w:rPr>
          <w:lang w:val="fr-FR"/>
        </w:rPr>
        <w:t xml:space="preserve">ra </w:t>
      </w:r>
      <w:r w:rsidR="00AF4EED" w:rsidRPr="007343C0">
        <w:rPr>
          <w:lang w:val="fr-FR"/>
        </w:rPr>
        <w:t>versée par</w:t>
      </w:r>
      <w:r w:rsidRPr="007343C0">
        <w:rPr>
          <w:lang w:val="fr-FR"/>
        </w:rPr>
        <w:t xml:space="preserve"> le déposant de la famille de brevets, </w:t>
      </w:r>
      <w:r w:rsidR="00AF4EED" w:rsidRPr="007343C0">
        <w:rPr>
          <w:lang w:val="fr-FR"/>
        </w:rPr>
        <w:t xml:space="preserve">et </w:t>
      </w:r>
      <w:r w:rsidRPr="007343C0">
        <w:rPr>
          <w:lang w:val="fr-FR"/>
        </w:rPr>
        <w:t xml:space="preserve">qui varie </w:t>
      </w:r>
      <w:r w:rsidR="00AF4EED" w:rsidRPr="007343C0">
        <w:rPr>
          <w:lang w:val="fr-FR"/>
        </w:rPr>
        <w:t>selon</w:t>
      </w:r>
      <w:r w:rsidRPr="007343C0">
        <w:rPr>
          <w:lang w:val="fr-FR"/>
        </w:rPr>
        <w:t xml:space="preserve"> l</w:t>
      </w:r>
      <w:r w:rsidR="00C8489F" w:rsidRPr="007343C0">
        <w:rPr>
          <w:lang w:val="fr-FR"/>
        </w:rPr>
        <w:t>’</w:t>
      </w:r>
      <w:r w:rsidRPr="007343C0">
        <w:rPr>
          <w:lang w:val="fr-FR"/>
        </w:rPr>
        <w:t xml:space="preserve">origine et </w:t>
      </w:r>
      <w:r w:rsidR="00AF4EED" w:rsidRPr="007343C0">
        <w:rPr>
          <w:lang w:val="fr-FR"/>
        </w:rPr>
        <w:t>le</w:t>
      </w:r>
      <w:r w:rsidRPr="007343C0">
        <w:rPr>
          <w:lang w:val="fr-FR"/>
        </w:rPr>
        <w:t xml:space="preserve"> mois;  la valeur </w:t>
      </w:r>
      <m:oMath>
        <m:r>
          <w:rPr>
            <w:rFonts w:ascii="Cambria Math" w:hAnsi="Cambria Math"/>
            <w:szCs w:val="22"/>
            <w:lang w:val="fr-FR"/>
          </w:rPr>
          <m:t xml:space="preserve">unemp </m:t>
        </m:r>
        <m:sSub>
          <m:sSubPr>
            <m:ctrlPr>
              <w:rPr>
                <w:rFonts w:ascii="Cambria Math" w:hAnsi="Cambria Math"/>
                <w:i/>
                <w:szCs w:val="22"/>
                <w:lang w:val="fr-FR"/>
              </w:rPr>
            </m:ctrlPr>
          </m:sSubPr>
          <m:e/>
          <m:sub>
            <m:r>
              <w:rPr>
                <w:rFonts w:ascii="Cambria Math" w:hAnsi="Cambria Math"/>
                <w:szCs w:val="22"/>
                <w:lang w:val="fr-FR"/>
              </w:rPr>
              <m:t>jt</m:t>
            </m:r>
          </m:sub>
        </m:sSub>
        <m:r>
          <w:rPr>
            <w:rFonts w:ascii="Cambria Math" w:hAnsi="Cambria Math"/>
            <w:szCs w:val="22"/>
            <w:lang w:val="fr-FR"/>
          </w:rPr>
          <m:t xml:space="preserve"> </m:t>
        </m:r>
      </m:oMath>
      <w:r w:rsidR="00AF4EED" w:rsidRPr="007343C0">
        <w:rPr>
          <w:lang w:val="fr-FR"/>
        </w:rPr>
        <w:t xml:space="preserve">renvoie </w:t>
      </w:r>
      <w:r w:rsidRPr="007343C0">
        <w:rPr>
          <w:lang w:val="fr-FR"/>
        </w:rPr>
        <w:t>à l</w:t>
      </w:r>
      <w:r w:rsidR="00D62E34" w:rsidRPr="007343C0">
        <w:rPr>
          <w:lang w:val="fr-FR"/>
        </w:rPr>
        <w:t>a situation économique à</w:t>
      </w:r>
      <w:r w:rsidR="00462A82" w:rsidRPr="007343C0">
        <w:rPr>
          <w:lang w:val="fr-FR"/>
        </w:rPr>
        <w:t xml:space="preserve"> l</w:t>
      </w:r>
      <w:r w:rsidR="00C8489F" w:rsidRPr="007343C0">
        <w:rPr>
          <w:lang w:val="fr-FR"/>
        </w:rPr>
        <w:t>’</w:t>
      </w:r>
      <w:r w:rsidRPr="007343C0">
        <w:rPr>
          <w:lang w:val="fr-FR"/>
        </w:rPr>
        <w:t xml:space="preserve">origine </w:t>
      </w:r>
      <w:r w:rsidRPr="007343C0">
        <w:rPr>
          <w:i/>
          <w:lang w:val="fr-FR"/>
        </w:rPr>
        <w:t xml:space="preserve">j </w:t>
      </w:r>
      <w:r w:rsidRPr="007343C0">
        <w:rPr>
          <w:lang w:val="fr-FR"/>
        </w:rPr>
        <w:t xml:space="preserve">et </w:t>
      </w:r>
      <w:r w:rsidR="00AF4EED" w:rsidRPr="007343C0">
        <w:rPr>
          <w:color w:val="000000"/>
          <w:lang w:val="fr-FR"/>
        </w:rPr>
        <w:t>durant le</w:t>
      </w:r>
      <w:r w:rsidRPr="007343C0">
        <w:rPr>
          <w:color w:val="000000"/>
          <w:lang w:val="fr-FR"/>
        </w:rPr>
        <w:t xml:space="preserve"> mois </w:t>
      </w:r>
      <w:r w:rsidRPr="007343C0">
        <w:rPr>
          <w:i/>
          <w:color w:val="000000"/>
          <w:lang w:val="fr-FR"/>
        </w:rPr>
        <w:t>t</w:t>
      </w:r>
      <w:r w:rsidRPr="007343C0">
        <w:rPr>
          <w:color w:val="000000"/>
          <w:lang w:val="fr-FR"/>
        </w:rPr>
        <w:t xml:space="preserve">, qui ressort du taux de chômage;  la valeur </w:t>
      </w:r>
      <m:oMath>
        <m:sSub>
          <m:sSubPr>
            <m:ctrlPr>
              <w:rPr>
                <w:rFonts w:ascii="Cambria Math" w:hAnsi="Cambria Math"/>
                <w:i/>
                <w:szCs w:val="22"/>
                <w:lang w:val="fr-FR"/>
              </w:rPr>
            </m:ctrlPr>
          </m:sSubPr>
          <m:e>
            <m:r>
              <w:rPr>
                <w:rFonts w:ascii="Cambria Math" w:hAnsi="Cambria Math"/>
                <w:szCs w:val="22"/>
                <w:lang w:val="fr-FR"/>
              </w:rPr>
              <m:t xml:space="preserve"> mem</m:t>
            </m:r>
          </m:e>
          <m:sub>
            <m:r>
              <w:rPr>
                <w:rFonts w:ascii="Cambria Math" w:hAnsi="Cambria Math"/>
                <w:szCs w:val="22"/>
                <w:lang w:val="fr-FR"/>
              </w:rPr>
              <m:t>jt</m:t>
            </m:r>
          </m:sub>
        </m:sSub>
        <m:r>
          <w:rPr>
            <w:rFonts w:ascii="Cambria Math" w:hAnsi="Cambria Math"/>
            <w:szCs w:val="22"/>
            <w:lang w:val="fr-FR"/>
          </w:rPr>
          <m:t xml:space="preserve"> </m:t>
        </m:r>
      </m:oMath>
      <w:r w:rsidRPr="007343C0">
        <w:rPr>
          <w:color w:val="000000"/>
          <w:lang w:val="fr-FR"/>
        </w:rPr>
        <w:t>est une variable muette qui est égale à 1 si les résidents de l</w:t>
      </w:r>
      <w:r w:rsidR="00C8489F" w:rsidRPr="007343C0">
        <w:rPr>
          <w:color w:val="000000"/>
          <w:lang w:val="fr-FR"/>
        </w:rPr>
        <w:t>’</w:t>
      </w:r>
      <w:r w:rsidRPr="007343C0">
        <w:rPr>
          <w:color w:val="000000"/>
          <w:lang w:val="fr-FR"/>
        </w:rPr>
        <w:t xml:space="preserve">origine </w:t>
      </w:r>
      <w:r w:rsidRPr="007343C0">
        <w:rPr>
          <w:i/>
          <w:color w:val="000000"/>
          <w:lang w:val="fr-FR"/>
        </w:rPr>
        <w:t>j</w:t>
      </w:r>
      <w:r w:rsidRPr="007343C0">
        <w:rPr>
          <w:color w:val="000000"/>
          <w:lang w:val="fr-FR"/>
        </w:rPr>
        <w:t xml:space="preserve"> remplissaient les conditions requises pour faire un dépôt selon</w:t>
      </w:r>
      <w:r w:rsidR="00C8489F" w:rsidRPr="007343C0">
        <w:rPr>
          <w:color w:val="000000"/>
          <w:lang w:val="fr-FR"/>
        </w:rPr>
        <w:t xml:space="preserve"> le PCT</w:t>
      </w:r>
      <w:r w:rsidRPr="007343C0">
        <w:rPr>
          <w:color w:val="000000"/>
          <w:lang w:val="fr-FR"/>
        </w:rPr>
        <w:t xml:space="preserve"> au cours du mois civil </w:t>
      </w:r>
      <w:r w:rsidRPr="007343C0">
        <w:rPr>
          <w:i/>
          <w:color w:val="000000"/>
          <w:lang w:val="fr-FR"/>
        </w:rPr>
        <w:t>t</w:t>
      </w:r>
      <w:r w:rsidR="00462A82" w:rsidRPr="007343C0">
        <w:rPr>
          <w:color w:val="000000"/>
          <w:lang w:val="fr-FR"/>
        </w:rPr>
        <w:t>,</w:t>
      </w:r>
      <w:r w:rsidRPr="007343C0">
        <w:rPr>
          <w:color w:val="000000"/>
          <w:lang w:val="fr-FR"/>
        </w:rPr>
        <w:t xml:space="preserve"> et qui est égale à 0</w:t>
      </w:r>
      <w:r w:rsidR="00AF4EED" w:rsidRPr="007343C0">
        <w:rPr>
          <w:color w:val="000000"/>
          <w:lang w:val="fr-FR"/>
        </w:rPr>
        <w:t xml:space="preserve"> dans les autres cas</w:t>
      </w:r>
      <w:r w:rsidRPr="007343C0">
        <w:rPr>
          <w:color w:val="000000"/>
          <w:lang w:val="fr-FR"/>
        </w:rPr>
        <w:t>;  Ω</w:t>
      </w:r>
      <w:r w:rsidRPr="00997A3C">
        <w:rPr>
          <w:i/>
          <w:color w:val="000000"/>
          <w:vertAlign w:val="subscript"/>
          <w:lang w:val="fr-FR"/>
        </w:rPr>
        <w:t>i</w:t>
      </w:r>
      <w:r w:rsidRPr="007343C0">
        <w:rPr>
          <w:color w:val="000000"/>
          <w:lang w:val="fr-FR"/>
        </w:rPr>
        <w:t xml:space="preserve"> correspond à un ensemble de commandes propres à une famille, notamment la taille de la famille, </w:t>
      </w:r>
      <w:r w:rsidR="00462A82" w:rsidRPr="007343C0">
        <w:rPr>
          <w:color w:val="000000"/>
          <w:lang w:val="fr-FR"/>
        </w:rPr>
        <w:t>des</w:t>
      </w:r>
      <w:r w:rsidRPr="007343C0">
        <w:rPr>
          <w:color w:val="000000"/>
          <w:lang w:val="fr-FR"/>
        </w:rPr>
        <w:t xml:space="preserve"> variables </w:t>
      </w:r>
      <w:r w:rsidR="00462A82" w:rsidRPr="007343C0">
        <w:rPr>
          <w:color w:val="000000"/>
          <w:lang w:val="fr-FR"/>
        </w:rPr>
        <w:t xml:space="preserve">muettes </w:t>
      </w:r>
      <w:r w:rsidRPr="007343C0">
        <w:rPr>
          <w:color w:val="000000"/>
          <w:lang w:val="fr-FR"/>
        </w:rPr>
        <w:t>correspondant aux domaines techn</w:t>
      </w:r>
      <w:r w:rsidR="00AF4EED" w:rsidRPr="007343C0">
        <w:rPr>
          <w:color w:val="000000"/>
          <w:lang w:val="fr-FR"/>
        </w:rPr>
        <w:t>ologi</w:t>
      </w:r>
      <w:r w:rsidRPr="007343C0">
        <w:rPr>
          <w:color w:val="000000"/>
          <w:lang w:val="fr-FR"/>
        </w:rPr>
        <w:t xml:space="preserve">ques et </w:t>
      </w:r>
      <w:r w:rsidR="00462A82" w:rsidRPr="007343C0">
        <w:rPr>
          <w:color w:val="000000"/>
          <w:lang w:val="fr-FR"/>
        </w:rPr>
        <w:t xml:space="preserve">des variables muettes </w:t>
      </w:r>
      <w:r w:rsidRPr="007343C0">
        <w:rPr>
          <w:color w:val="000000"/>
          <w:lang w:val="fr-FR"/>
        </w:rPr>
        <w:t xml:space="preserve">correspondant aux divers types de déposants;  </w:t>
      </w:r>
      <m:oMath>
        <m:sSub>
          <m:sSubPr>
            <m:ctrlPr>
              <w:rPr>
                <w:rFonts w:ascii="Cambria Math" w:hAnsi="Cambria Math"/>
                <w:i/>
                <w:szCs w:val="22"/>
                <w:lang w:val="fr-FR"/>
              </w:rPr>
            </m:ctrlPr>
          </m:sSubPr>
          <m:e>
            <m:r>
              <w:rPr>
                <w:rFonts w:ascii="Cambria Math" w:hAnsi="Cambria Math"/>
                <w:szCs w:val="22"/>
                <w:lang w:val="fr-FR"/>
              </w:rPr>
              <m:t>μ</m:t>
            </m:r>
          </m:e>
          <m:sub>
            <m:r>
              <w:rPr>
                <w:rFonts w:ascii="Cambria Math" w:hAnsi="Cambria Math"/>
                <w:szCs w:val="22"/>
                <w:lang w:val="fr-FR"/>
              </w:rPr>
              <m:t>j</m:t>
            </m:r>
          </m:sub>
        </m:sSub>
      </m:oMath>
      <w:r w:rsidRPr="007343C0">
        <w:rPr>
          <w:color w:val="000000"/>
          <w:lang w:val="fr-FR"/>
        </w:rPr>
        <w:t xml:space="preserve">et </w:t>
      </w:r>
      <m:oMath>
        <m:sSub>
          <m:sSubPr>
            <m:ctrlPr>
              <w:rPr>
                <w:rFonts w:ascii="Cambria Math" w:hAnsi="Cambria Math"/>
                <w:i/>
                <w:szCs w:val="22"/>
                <w:lang w:val="fr-FR"/>
              </w:rPr>
            </m:ctrlPr>
          </m:sSubPr>
          <m:e>
            <m:r>
              <w:rPr>
                <w:rFonts w:ascii="Cambria Math" w:hAnsi="Cambria Math"/>
                <w:szCs w:val="22"/>
                <w:lang w:val="fr-FR"/>
              </w:rPr>
              <m:t>θ</m:t>
            </m:r>
          </m:e>
          <m:sub>
            <m:r>
              <w:rPr>
                <w:rFonts w:ascii="Cambria Math" w:hAnsi="Cambria Math"/>
                <w:szCs w:val="22"/>
                <w:lang w:val="fr-FR"/>
              </w:rPr>
              <m:t>t</m:t>
            </m:r>
          </m:sub>
        </m:sSub>
        <m:r>
          <w:rPr>
            <w:rFonts w:ascii="Cambria Math" w:hAnsi="Cambria Math"/>
            <w:szCs w:val="22"/>
            <w:lang w:val="fr-FR"/>
          </w:rPr>
          <m:t xml:space="preserve"> </m:t>
        </m:r>
      </m:oMath>
      <w:r w:rsidRPr="007343C0">
        <w:rPr>
          <w:color w:val="000000"/>
          <w:lang w:val="fr-FR"/>
        </w:rPr>
        <w:t>correspondent aux effets fixes</w:t>
      </w:r>
      <w:r w:rsidR="00462A82" w:rsidRPr="007343C0">
        <w:rPr>
          <w:color w:val="000000"/>
          <w:lang w:val="fr-FR"/>
        </w:rPr>
        <w:t xml:space="preserve"> </w:t>
      </w:r>
      <w:r w:rsidR="00AF4EED" w:rsidRPr="007343C0">
        <w:rPr>
          <w:color w:val="000000"/>
          <w:lang w:val="fr-FR"/>
        </w:rPr>
        <w:t>propres</w:t>
      </w:r>
      <w:r w:rsidRPr="007343C0">
        <w:rPr>
          <w:color w:val="000000"/>
          <w:lang w:val="fr-FR"/>
        </w:rPr>
        <w:t xml:space="preserve"> à l</w:t>
      </w:r>
      <w:r w:rsidR="00C8489F" w:rsidRPr="007343C0">
        <w:rPr>
          <w:color w:val="000000"/>
          <w:lang w:val="fr-FR"/>
        </w:rPr>
        <w:t>’</w:t>
      </w:r>
      <w:r w:rsidRPr="007343C0">
        <w:rPr>
          <w:color w:val="000000"/>
          <w:lang w:val="fr-FR"/>
        </w:rPr>
        <w:t>origine et au mois civil</w:t>
      </w:r>
      <w:r w:rsidR="00AF4EED" w:rsidRPr="007343C0">
        <w:rPr>
          <w:color w:val="000000"/>
          <w:lang w:val="fr-FR"/>
        </w:rPr>
        <w:t xml:space="preserve"> respectivement</w:t>
      </w:r>
      <w:r w:rsidRPr="007343C0">
        <w:rPr>
          <w:color w:val="000000"/>
          <w:lang w:val="fr-FR"/>
        </w:rPr>
        <w:t xml:space="preserve">;  </w:t>
      </w:r>
      <m:oMath>
        <m:sSub>
          <m:sSubPr>
            <m:ctrlPr>
              <w:rPr>
                <w:rFonts w:ascii="Cambria Math" w:hAnsi="Cambria Math"/>
                <w:i/>
                <w:szCs w:val="22"/>
                <w:lang w:val="fr-FR"/>
              </w:rPr>
            </m:ctrlPr>
          </m:sSubPr>
          <m:e>
            <m:r>
              <w:rPr>
                <w:rFonts w:ascii="Cambria Math" w:hAnsi="Cambria Math"/>
                <w:szCs w:val="22"/>
                <w:lang w:val="fr-FR"/>
              </w:rPr>
              <m:t>mkt</m:t>
            </m:r>
          </m:e>
          <m:sub>
            <m:r>
              <w:rPr>
                <w:rFonts w:ascii="Cambria Math" w:hAnsi="Cambria Math"/>
                <w:szCs w:val="22"/>
                <w:lang w:val="fr-FR"/>
              </w:rPr>
              <m:t>j(t-12)</m:t>
            </m:r>
          </m:sub>
        </m:sSub>
      </m:oMath>
      <w:r w:rsidR="00783E82" w:rsidRPr="007343C0">
        <w:rPr>
          <w:szCs w:val="22"/>
          <w:lang w:val="fr-FR"/>
        </w:rPr>
        <w:t xml:space="preserve"> </w:t>
      </w:r>
      <w:r w:rsidR="00325A9D" w:rsidRPr="007343C0">
        <w:rPr>
          <w:color w:val="000000"/>
          <w:lang w:val="fr-FR"/>
        </w:rPr>
        <w:t xml:space="preserve">correspond au </w:t>
      </w:r>
      <w:r w:rsidR="00AF4EED" w:rsidRPr="007343C0">
        <w:rPr>
          <w:color w:val="000000"/>
          <w:lang w:val="fr-FR"/>
        </w:rPr>
        <w:t>décalage</w:t>
      </w:r>
      <w:r w:rsidR="00325A9D" w:rsidRPr="007343C0">
        <w:rPr>
          <w:color w:val="000000"/>
          <w:lang w:val="fr-FR"/>
        </w:rPr>
        <w:t xml:space="preserve"> de 12 </w:t>
      </w:r>
      <w:r w:rsidRPr="007343C0">
        <w:rPr>
          <w:color w:val="000000"/>
          <w:lang w:val="fr-FR"/>
        </w:rPr>
        <w:t xml:space="preserve">mois de la moyenne mobile </w:t>
      </w:r>
      <w:r w:rsidR="00AF4EED" w:rsidRPr="007343C0">
        <w:rPr>
          <w:color w:val="000000"/>
          <w:lang w:val="fr-FR"/>
        </w:rPr>
        <w:t>concernant</w:t>
      </w:r>
      <w:r w:rsidRPr="007343C0">
        <w:rPr>
          <w:color w:val="000000"/>
          <w:lang w:val="fr-FR"/>
        </w:rPr>
        <w:t xml:space="preserve"> la part de marché</w:t>
      </w:r>
      <w:r w:rsidR="00C8489F" w:rsidRPr="007343C0">
        <w:rPr>
          <w:color w:val="000000"/>
          <w:lang w:val="fr-FR"/>
        </w:rPr>
        <w:t xml:space="preserve"> du PCT</w:t>
      </w:r>
      <w:r w:rsidRPr="007343C0">
        <w:rPr>
          <w:color w:val="000000"/>
          <w:lang w:val="fr-FR"/>
        </w:rPr>
        <w:t xml:space="preserve"> pour l</w:t>
      </w:r>
      <w:r w:rsidR="00C8489F" w:rsidRPr="007343C0">
        <w:rPr>
          <w:color w:val="000000"/>
          <w:lang w:val="fr-FR"/>
        </w:rPr>
        <w:t>’</w:t>
      </w:r>
      <w:r w:rsidRPr="007343C0">
        <w:rPr>
          <w:color w:val="000000"/>
          <w:lang w:val="fr-FR"/>
        </w:rPr>
        <w:t xml:space="preserve">origine </w:t>
      </w:r>
      <w:r w:rsidRPr="007343C0">
        <w:rPr>
          <w:i/>
          <w:color w:val="000000"/>
          <w:lang w:val="fr-FR"/>
        </w:rPr>
        <w:t>j</w:t>
      </w:r>
      <w:r w:rsidRPr="007343C0">
        <w:rPr>
          <w:color w:val="000000"/>
          <w:lang w:val="fr-FR"/>
        </w:rPr>
        <w:t xml:space="preserve">;  </w:t>
      </w:r>
      <m:oMath>
        <m:sSub>
          <m:sSubPr>
            <m:ctrlPr>
              <w:rPr>
                <w:rFonts w:ascii="Cambria Math" w:hAnsi="Cambria Math"/>
                <w:i/>
                <w:szCs w:val="22"/>
                <w:lang w:val="fr-FR"/>
              </w:rPr>
            </m:ctrlPr>
          </m:sSubPr>
          <m:e>
            <m:r>
              <w:rPr>
                <w:rFonts w:ascii="Cambria Math" w:hAnsi="Cambria Math"/>
                <w:szCs w:val="22"/>
                <w:lang w:val="fr-FR"/>
              </w:rPr>
              <m:t>ε</m:t>
            </m:r>
          </m:e>
          <m:sub>
            <m:r>
              <w:rPr>
                <w:rFonts w:ascii="Cambria Math" w:hAnsi="Cambria Math"/>
                <w:szCs w:val="22"/>
                <w:lang w:val="fr-FR"/>
              </w:rPr>
              <m:t>ijt</m:t>
            </m:r>
          </m:sub>
        </m:sSub>
        <m:r>
          <w:rPr>
            <w:rFonts w:ascii="Cambria Math" w:hAnsi="Cambria Math"/>
            <w:szCs w:val="22"/>
            <w:lang w:val="fr-FR"/>
          </w:rPr>
          <m:t xml:space="preserve"> </m:t>
        </m:r>
      </m:oMath>
      <w:r w:rsidRPr="007343C0">
        <w:rPr>
          <w:color w:val="000000"/>
          <w:lang w:val="fr-FR"/>
        </w:rPr>
        <w:t>correspond à un terme d</w:t>
      </w:r>
      <w:r w:rsidR="00C8489F" w:rsidRPr="007343C0">
        <w:rPr>
          <w:color w:val="000000"/>
          <w:lang w:val="fr-FR"/>
        </w:rPr>
        <w:t>’</w:t>
      </w:r>
      <w:r w:rsidRPr="007343C0">
        <w:rPr>
          <w:color w:val="000000"/>
          <w:lang w:val="fr-FR"/>
        </w:rPr>
        <w:t>erreur</w:t>
      </w:r>
      <w:r w:rsidR="00AF4EED" w:rsidRPr="007343C0">
        <w:rPr>
          <w:color w:val="000000"/>
          <w:lang w:val="fr-FR"/>
        </w:rPr>
        <w:t xml:space="preserve"> </w:t>
      </w:r>
      <w:proofErr w:type="spellStart"/>
      <w:r w:rsidR="00AF4EED" w:rsidRPr="007343C0">
        <w:rPr>
          <w:color w:val="000000"/>
          <w:lang w:val="fr-FR"/>
        </w:rPr>
        <w:t>i.i.d</w:t>
      </w:r>
      <w:proofErr w:type="spellEnd"/>
      <w:r w:rsidR="00AF4EED" w:rsidRPr="007343C0">
        <w:rPr>
          <w:color w:val="000000"/>
          <w:lang w:val="fr-FR"/>
        </w:rPr>
        <w:t>.</w:t>
      </w:r>
      <w:r w:rsidRPr="007343C0">
        <w:rPr>
          <w:color w:val="000000"/>
          <w:lang w:val="fr-FR"/>
        </w:rPr>
        <w:t xml:space="preserve"> et α, β, γ, δ, et ϕ sont des (vecteurs de) co</w:t>
      </w:r>
      <w:r w:rsidR="00E5757A" w:rsidRPr="007343C0">
        <w:rPr>
          <w:color w:val="000000"/>
          <w:lang w:val="fr-FR"/>
        </w:rPr>
        <w:t>ef</w:t>
      </w:r>
      <w:r w:rsidRPr="007343C0">
        <w:rPr>
          <w:color w:val="000000"/>
          <w:lang w:val="fr-FR"/>
        </w:rPr>
        <w:t>ficients à estimer</w:t>
      </w:r>
      <w:r w:rsidRPr="007343C0">
        <w:rPr>
          <w:rStyle w:val="FootnoteReference"/>
          <w:lang w:val="fr-FR"/>
        </w:rPr>
        <w:footnoteReference w:id="10"/>
      </w:r>
      <w:r w:rsidR="00BE3E96" w:rsidRPr="007343C0">
        <w:rPr>
          <w:color w:val="000000"/>
          <w:lang w:val="fr-FR"/>
        </w:rPr>
        <w:t>.</w:t>
      </w:r>
    </w:p>
    <w:p w:rsidR="00997A3C" w:rsidRDefault="00AF4EED" w:rsidP="007343C0">
      <w:pPr>
        <w:pStyle w:val="ONUMFS"/>
        <w:rPr>
          <w:lang w:val="fr-FR"/>
        </w:rPr>
      </w:pPr>
      <w:r w:rsidRPr="007343C0">
        <w:rPr>
          <w:lang w:val="fr-FR"/>
        </w:rPr>
        <w:t>T</w:t>
      </w:r>
      <w:r w:rsidR="00E5757A" w:rsidRPr="007343C0">
        <w:rPr>
          <w:lang w:val="fr-FR"/>
        </w:rPr>
        <w:t>rois</w:t>
      </w:r>
      <w:r w:rsidR="00BE3E96" w:rsidRPr="007343C0">
        <w:rPr>
          <w:lang w:val="fr-FR"/>
        </w:rPr>
        <w:t> </w:t>
      </w:r>
      <w:r w:rsidR="00E5757A" w:rsidRPr="007343C0">
        <w:rPr>
          <w:lang w:val="fr-FR"/>
        </w:rPr>
        <w:t>observations explicati</w:t>
      </w:r>
      <w:r w:rsidRPr="007343C0">
        <w:rPr>
          <w:lang w:val="fr-FR"/>
        </w:rPr>
        <w:t>ves sont recevables</w:t>
      </w:r>
      <w:r w:rsidR="00E5757A" w:rsidRPr="007343C0">
        <w:rPr>
          <w:lang w:val="fr-FR"/>
        </w:rPr>
        <w:t>.</w:t>
      </w:r>
      <w:r w:rsidR="003529B2" w:rsidRPr="007343C0">
        <w:rPr>
          <w:lang w:val="fr-FR"/>
        </w:rPr>
        <w:t xml:space="preserve">  </w:t>
      </w:r>
      <w:r w:rsidR="00E5757A" w:rsidRPr="007343C0">
        <w:rPr>
          <w:lang w:val="fr-FR"/>
        </w:rPr>
        <w:t>Premièrement, il semble important de tenir compte du cycle économique dans l</w:t>
      </w:r>
      <w:r w:rsidR="00C8489F" w:rsidRPr="007343C0">
        <w:rPr>
          <w:lang w:val="fr-FR"/>
        </w:rPr>
        <w:t>’</w:t>
      </w:r>
      <w:r w:rsidR="00E5757A" w:rsidRPr="007343C0">
        <w:rPr>
          <w:lang w:val="fr-FR"/>
        </w:rPr>
        <w:t>estimation mais au départ, on ne sait pas clairement si la situation économique influe positivement ou négativement sur la décision d</w:t>
      </w:r>
      <w:r w:rsidR="00C8489F" w:rsidRPr="007343C0">
        <w:rPr>
          <w:lang w:val="fr-FR"/>
        </w:rPr>
        <w:t>’</w:t>
      </w:r>
      <w:r w:rsidR="00E5757A" w:rsidRPr="007343C0">
        <w:rPr>
          <w:lang w:val="fr-FR"/>
        </w:rPr>
        <w:t>un déposant de choisir la voie</w:t>
      </w:r>
      <w:r w:rsidR="00C8489F" w:rsidRPr="007343C0">
        <w:rPr>
          <w:lang w:val="fr-FR"/>
        </w:rPr>
        <w:t xml:space="preserve"> du PCT</w:t>
      </w:r>
      <w:r w:rsidR="00E5757A" w:rsidRPr="007343C0">
        <w:rPr>
          <w:lang w:val="fr-FR"/>
        </w:rPr>
        <w:t>.</w:t>
      </w:r>
      <w:r w:rsidR="003529B2" w:rsidRPr="007343C0">
        <w:rPr>
          <w:lang w:val="fr-FR"/>
        </w:rPr>
        <w:t xml:space="preserve">  </w:t>
      </w:r>
      <w:r w:rsidRPr="007343C0">
        <w:rPr>
          <w:lang w:val="fr-FR"/>
        </w:rPr>
        <w:t xml:space="preserve">D’une </w:t>
      </w:r>
      <w:r w:rsidR="00E5757A" w:rsidRPr="007343C0">
        <w:rPr>
          <w:lang w:val="fr-FR"/>
        </w:rPr>
        <w:t>part, une situation économique difficile pourrait inciter les entreprises à exclure la voie</w:t>
      </w:r>
      <w:r w:rsidR="00C8489F" w:rsidRPr="007343C0">
        <w:rPr>
          <w:lang w:val="fr-FR"/>
        </w:rPr>
        <w:t xml:space="preserve"> du PCT</w:t>
      </w:r>
      <w:r w:rsidR="00E5757A" w:rsidRPr="007343C0">
        <w:rPr>
          <w:lang w:val="fr-FR"/>
        </w:rPr>
        <w:t xml:space="preserve"> en faveur d</w:t>
      </w:r>
      <w:r w:rsidR="00C8489F" w:rsidRPr="007343C0">
        <w:rPr>
          <w:lang w:val="fr-FR"/>
        </w:rPr>
        <w:t>’</w:t>
      </w:r>
      <w:r w:rsidR="00E5757A" w:rsidRPr="007343C0">
        <w:rPr>
          <w:lang w:val="fr-FR"/>
        </w:rPr>
        <w:t>une stratégie</w:t>
      </w:r>
      <w:r w:rsidRPr="007343C0">
        <w:rPr>
          <w:lang w:val="fr-FR"/>
        </w:rPr>
        <w:t xml:space="preserve"> applicable à une famille plus</w:t>
      </w:r>
      <w:r w:rsidR="00997A3C">
        <w:rPr>
          <w:lang w:val="fr-FR"/>
        </w:rPr>
        <w:t xml:space="preserve"> </w:t>
      </w:r>
    </w:p>
    <w:p w:rsidR="00E5757A" w:rsidRPr="007343C0" w:rsidRDefault="00AF4EED" w:rsidP="00997A3C">
      <w:pPr>
        <w:pStyle w:val="ONUMFS"/>
        <w:numPr>
          <w:ilvl w:val="0"/>
          <w:numId w:val="0"/>
        </w:numPr>
        <w:rPr>
          <w:lang w:val="fr-FR"/>
        </w:rPr>
      </w:pPr>
      <w:proofErr w:type="gramStart"/>
      <w:r w:rsidRPr="007343C0">
        <w:rPr>
          <w:lang w:val="fr-FR"/>
        </w:rPr>
        <w:lastRenderedPageBreak/>
        <w:t>petite</w:t>
      </w:r>
      <w:proofErr w:type="gramEnd"/>
      <w:r w:rsidRPr="007343C0">
        <w:rPr>
          <w:lang w:val="fr-FR"/>
        </w:rPr>
        <w:t xml:space="preserve"> et</w:t>
      </w:r>
      <w:r w:rsidR="00E5757A" w:rsidRPr="007343C0">
        <w:rPr>
          <w:color w:val="0000FF"/>
          <w:lang w:val="fr-FR"/>
        </w:rPr>
        <w:t xml:space="preserve"> </w:t>
      </w:r>
      <w:r w:rsidR="00E5757A" w:rsidRPr="007343C0">
        <w:rPr>
          <w:lang w:val="fr-FR"/>
        </w:rPr>
        <w:t xml:space="preserve">relevant de la Convention de Paris.  </w:t>
      </w:r>
      <w:r w:rsidRPr="007343C0">
        <w:rPr>
          <w:lang w:val="fr-FR"/>
        </w:rPr>
        <w:t>D’autre part</w:t>
      </w:r>
      <w:r w:rsidR="00E5757A" w:rsidRPr="007343C0">
        <w:rPr>
          <w:lang w:val="fr-FR"/>
        </w:rPr>
        <w:t>, cette même situation pourrait inciter les déposants à privilégier la voie</w:t>
      </w:r>
      <w:r w:rsidR="00C8489F" w:rsidRPr="007343C0">
        <w:rPr>
          <w:lang w:val="fr-FR"/>
        </w:rPr>
        <w:t xml:space="preserve"> du PCT</w:t>
      </w:r>
      <w:r w:rsidR="00E5757A" w:rsidRPr="007343C0">
        <w:rPr>
          <w:lang w:val="fr-FR"/>
        </w:rPr>
        <w:t xml:space="preserve"> afin de différer les dépenses liées à des dépôts aux </w:t>
      </w:r>
      <w:proofErr w:type="gramStart"/>
      <w:r w:rsidR="00E5757A" w:rsidRPr="007343C0">
        <w:rPr>
          <w:lang w:val="fr-FR"/>
        </w:rPr>
        <w:t>niveaux</w:t>
      </w:r>
      <w:proofErr w:type="gramEnd"/>
      <w:r w:rsidR="00E5757A" w:rsidRPr="007343C0">
        <w:rPr>
          <w:lang w:val="fr-FR"/>
        </w:rPr>
        <w:t xml:space="preserve"> national et régional.</w:t>
      </w:r>
    </w:p>
    <w:p w:rsidR="00E5757A" w:rsidRPr="007343C0" w:rsidRDefault="00E5757A" w:rsidP="007343C0">
      <w:pPr>
        <w:pStyle w:val="ONUMFS"/>
        <w:rPr>
          <w:lang w:val="fr-FR"/>
        </w:rPr>
      </w:pPr>
      <w:r w:rsidRPr="007343C0">
        <w:rPr>
          <w:lang w:val="fr-FR"/>
        </w:rPr>
        <w:t xml:space="preserve">Deuxièmement, nous tenons compte de la variable muette </w:t>
      </w:r>
      <w:r w:rsidR="00BE3E96" w:rsidRPr="007343C0">
        <w:rPr>
          <w:lang w:val="fr-FR"/>
        </w:rPr>
        <w:t>“</w:t>
      </w:r>
      <w:r w:rsidRPr="007343C0">
        <w:rPr>
          <w:lang w:val="fr-FR"/>
        </w:rPr>
        <w:t>Membre</w:t>
      </w:r>
      <w:r w:rsidR="00C8489F" w:rsidRPr="007343C0">
        <w:rPr>
          <w:lang w:val="fr-FR"/>
        </w:rPr>
        <w:t xml:space="preserve"> du PCT</w:t>
      </w:r>
      <w:r w:rsidR="00BE3E96" w:rsidRPr="007343C0">
        <w:rPr>
          <w:lang w:val="fr-FR"/>
        </w:rPr>
        <w:t>”</w:t>
      </w:r>
      <w:r w:rsidRPr="007343C0">
        <w:rPr>
          <w:lang w:val="fr-FR"/>
        </w:rPr>
        <w:t>, puisque les familles de brevets dont l</w:t>
      </w:r>
      <w:r w:rsidR="00C8489F" w:rsidRPr="007343C0">
        <w:rPr>
          <w:lang w:val="fr-FR"/>
        </w:rPr>
        <w:t>’</w:t>
      </w:r>
      <w:r w:rsidRPr="007343C0">
        <w:rPr>
          <w:lang w:val="fr-FR"/>
        </w:rPr>
        <w:t>origine est un pays non membre du système peuvent aussi l</w:t>
      </w:r>
      <w:r w:rsidR="00C8489F" w:rsidRPr="007343C0">
        <w:rPr>
          <w:lang w:val="fr-FR"/>
        </w:rPr>
        <w:t>’</w:t>
      </w:r>
      <w:r w:rsidRPr="007343C0">
        <w:rPr>
          <w:lang w:val="fr-FR"/>
        </w:rPr>
        <w:t>utiliser.</w:t>
      </w:r>
      <w:r w:rsidR="003529B2" w:rsidRPr="007343C0">
        <w:rPr>
          <w:lang w:val="fr-FR"/>
        </w:rPr>
        <w:t xml:space="preserve">  </w:t>
      </w:r>
      <w:r w:rsidR="00E77F3B" w:rsidRPr="007343C0">
        <w:rPr>
          <w:lang w:val="fr-FR"/>
        </w:rPr>
        <w:t>En particulier, nous dé</w:t>
      </w:r>
      <w:r w:rsidR="00AF4EED" w:rsidRPr="007343C0">
        <w:rPr>
          <w:lang w:val="fr-FR"/>
        </w:rPr>
        <w:t>duis</w:t>
      </w:r>
      <w:r w:rsidR="00E77F3B" w:rsidRPr="007343C0">
        <w:rPr>
          <w:lang w:val="fr-FR"/>
        </w:rPr>
        <w:t>ons l</w:t>
      </w:r>
      <w:r w:rsidR="00C8489F" w:rsidRPr="007343C0">
        <w:rPr>
          <w:lang w:val="fr-FR"/>
        </w:rPr>
        <w:t>’</w:t>
      </w:r>
      <w:r w:rsidR="00E77F3B" w:rsidRPr="007343C0">
        <w:rPr>
          <w:lang w:val="fr-FR"/>
        </w:rPr>
        <w:t>origine d</w:t>
      </w:r>
      <w:r w:rsidR="00C8489F" w:rsidRPr="007343C0">
        <w:rPr>
          <w:lang w:val="fr-FR"/>
        </w:rPr>
        <w:t>’</w:t>
      </w:r>
      <w:r w:rsidR="00E77F3B" w:rsidRPr="007343C0">
        <w:rPr>
          <w:lang w:val="fr-FR"/>
        </w:rPr>
        <w:t xml:space="preserve">une famille de brevets </w:t>
      </w:r>
      <w:r w:rsidR="00AF4EED" w:rsidRPr="007343C0">
        <w:rPr>
          <w:lang w:val="fr-FR"/>
        </w:rPr>
        <w:t>à partir de</w:t>
      </w:r>
      <w:r w:rsidR="00E77F3B" w:rsidRPr="007343C0">
        <w:rPr>
          <w:lang w:val="fr-FR"/>
        </w:rPr>
        <w:t xml:space="preserve"> l</w:t>
      </w:r>
      <w:r w:rsidR="00C8489F" w:rsidRPr="007343C0">
        <w:rPr>
          <w:lang w:val="fr-FR"/>
        </w:rPr>
        <w:t>’</w:t>
      </w:r>
      <w:r w:rsidR="00E77F3B" w:rsidRPr="007343C0">
        <w:rPr>
          <w:lang w:val="fr-FR"/>
        </w:rPr>
        <w:t>origine du déposant nommé en premier.</w:t>
      </w:r>
      <w:r w:rsidR="003529B2" w:rsidRPr="007343C0">
        <w:rPr>
          <w:lang w:val="fr-FR"/>
        </w:rPr>
        <w:t xml:space="preserve">  </w:t>
      </w:r>
      <w:r w:rsidR="00E77F3B" w:rsidRPr="007343C0">
        <w:rPr>
          <w:lang w:val="fr-FR"/>
        </w:rPr>
        <w:t>Cela étant, une famille de brevets peut compter plusieurs déposants d</w:t>
      </w:r>
      <w:r w:rsidR="00C8489F" w:rsidRPr="007343C0">
        <w:rPr>
          <w:lang w:val="fr-FR"/>
        </w:rPr>
        <w:t>’</w:t>
      </w:r>
      <w:r w:rsidR="00E77F3B" w:rsidRPr="007343C0">
        <w:rPr>
          <w:lang w:val="fr-FR"/>
        </w:rPr>
        <w:t>origines différentes et, pour que cette famille puisse prétendre au système</w:t>
      </w:r>
      <w:r w:rsidR="00C8489F" w:rsidRPr="007343C0">
        <w:rPr>
          <w:lang w:val="fr-FR"/>
        </w:rPr>
        <w:t xml:space="preserve"> du PCT</w:t>
      </w:r>
      <w:r w:rsidR="00E77F3B" w:rsidRPr="007343C0">
        <w:rPr>
          <w:lang w:val="fr-FR"/>
        </w:rPr>
        <w:t>, il est suffisant que l</w:t>
      </w:r>
      <w:r w:rsidR="00C8489F" w:rsidRPr="007343C0">
        <w:rPr>
          <w:lang w:val="fr-FR"/>
        </w:rPr>
        <w:t>’</w:t>
      </w:r>
      <w:r w:rsidR="00E77F3B" w:rsidRPr="007343C0">
        <w:rPr>
          <w:lang w:val="fr-FR"/>
        </w:rPr>
        <w:t>une de ces origines compte parmi les membres du système.</w:t>
      </w:r>
    </w:p>
    <w:p w:rsidR="00E5757A" w:rsidRPr="007343C0" w:rsidRDefault="006326E6" w:rsidP="007343C0">
      <w:pPr>
        <w:pStyle w:val="ONUMFS"/>
        <w:rPr>
          <w:lang w:val="fr-FR"/>
        </w:rPr>
      </w:pPr>
      <w:r w:rsidRPr="007343C0">
        <w:rPr>
          <w:lang w:val="fr-FR"/>
        </w:rPr>
        <w:t xml:space="preserve">Troisièmement, </w:t>
      </w:r>
      <w:r w:rsidR="00783E82" w:rsidRPr="007343C0">
        <w:rPr>
          <w:lang w:val="fr-FR"/>
        </w:rPr>
        <w:t xml:space="preserve">la variable </w:t>
      </w:r>
      <m:oMath>
        <m:sSub>
          <m:sSubPr>
            <m:ctrlPr>
              <w:rPr>
                <w:rFonts w:ascii="Cambria Math" w:hAnsi="Cambria Math"/>
                <w:i/>
                <w:szCs w:val="22"/>
                <w:lang w:val="fr-FR"/>
              </w:rPr>
            </m:ctrlPr>
          </m:sSubPr>
          <m:e>
            <m:r>
              <w:rPr>
                <w:rFonts w:ascii="Cambria Math" w:hAnsi="Cambria Math"/>
                <w:szCs w:val="22"/>
                <w:lang w:val="fr-FR"/>
              </w:rPr>
              <m:t>mkt</m:t>
            </m:r>
          </m:e>
          <m:sub>
            <m:r>
              <w:rPr>
                <w:rFonts w:ascii="Cambria Math" w:hAnsi="Cambria Math"/>
                <w:szCs w:val="22"/>
                <w:lang w:val="fr-FR"/>
              </w:rPr>
              <m:t>j(t-12)</m:t>
            </m:r>
          </m:sub>
        </m:sSub>
      </m:oMath>
      <w:r w:rsidRPr="007343C0">
        <w:rPr>
          <w:lang w:val="fr-FR"/>
        </w:rPr>
        <w:t xml:space="preserve"> </w:t>
      </w:r>
      <w:r w:rsidR="00AF4EED" w:rsidRPr="007343C0">
        <w:rPr>
          <w:lang w:val="fr-FR"/>
        </w:rPr>
        <w:t>tient compte</w:t>
      </w:r>
      <w:r w:rsidRPr="007343C0">
        <w:rPr>
          <w:lang w:val="fr-FR"/>
        </w:rPr>
        <w:t xml:space="preserve"> des changements autonomes </w:t>
      </w:r>
      <w:r w:rsidR="00AF4EED" w:rsidRPr="007343C0">
        <w:rPr>
          <w:lang w:val="fr-FR"/>
        </w:rPr>
        <w:t>de</w:t>
      </w:r>
      <w:r w:rsidRPr="007343C0">
        <w:rPr>
          <w:lang w:val="fr-FR"/>
        </w:rPr>
        <w:t xml:space="preserve"> la propension à utiliser le système</w:t>
      </w:r>
      <w:r w:rsidR="00C8489F" w:rsidRPr="007343C0">
        <w:rPr>
          <w:lang w:val="fr-FR"/>
        </w:rPr>
        <w:t xml:space="preserve"> du PCT</w:t>
      </w:r>
      <w:r w:rsidRPr="007343C0">
        <w:rPr>
          <w:lang w:val="fr-FR"/>
        </w:rPr>
        <w:t xml:space="preserve"> </w:t>
      </w:r>
      <w:r w:rsidR="00AF4EED" w:rsidRPr="007343C0">
        <w:rPr>
          <w:lang w:val="fr-FR"/>
        </w:rPr>
        <w:t>au fil du</w:t>
      </w:r>
      <w:r w:rsidRPr="007343C0">
        <w:rPr>
          <w:lang w:val="fr-FR"/>
        </w:rPr>
        <w:t xml:space="preserve"> temps.</w:t>
      </w:r>
      <w:r w:rsidR="003529B2" w:rsidRPr="007343C0">
        <w:rPr>
          <w:lang w:val="fr-FR"/>
        </w:rPr>
        <w:t xml:space="preserve">  </w:t>
      </w:r>
      <w:r w:rsidRPr="007343C0">
        <w:rPr>
          <w:lang w:val="fr-FR"/>
        </w:rPr>
        <w:t>En particulier, la plupart des origines ont connu une augmentation de la part de marché</w:t>
      </w:r>
      <w:r w:rsidR="00C8489F" w:rsidRPr="007343C0">
        <w:rPr>
          <w:lang w:val="fr-FR"/>
        </w:rPr>
        <w:t xml:space="preserve"> du PCT</w:t>
      </w:r>
      <w:r w:rsidRPr="007343C0">
        <w:rPr>
          <w:lang w:val="fr-FR"/>
        </w:rPr>
        <w:t xml:space="preserve"> en raison de l</w:t>
      </w:r>
      <w:r w:rsidR="00C8489F" w:rsidRPr="007343C0">
        <w:rPr>
          <w:lang w:val="fr-FR"/>
        </w:rPr>
        <w:t>’</w:t>
      </w:r>
      <w:r w:rsidRPr="007343C0">
        <w:rPr>
          <w:lang w:val="fr-FR"/>
        </w:rPr>
        <w:t>évolution des stratégies des entreprises, d</w:t>
      </w:r>
      <w:r w:rsidR="00C8489F" w:rsidRPr="007343C0">
        <w:rPr>
          <w:lang w:val="fr-FR"/>
        </w:rPr>
        <w:t>’</w:t>
      </w:r>
      <w:r w:rsidRPr="007343C0">
        <w:rPr>
          <w:lang w:val="fr-FR"/>
        </w:rPr>
        <w:t>une meilleure connaissance du système, du renforcement de son caractère attractif compte tenu de l</w:t>
      </w:r>
      <w:r w:rsidR="00C8489F" w:rsidRPr="007343C0">
        <w:rPr>
          <w:lang w:val="fr-FR"/>
        </w:rPr>
        <w:t>’</w:t>
      </w:r>
      <w:r w:rsidRPr="007343C0">
        <w:rPr>
          <w:lang w:val="fr-FR"/>
        </w:rPr>
        <w:t>augmentation du nombre de</w:t>
      </w:r>
      <w:r w:rsidR="00AF4EED" w:rsidRPr="007343C0">
        <w:rPr>
          <w:lang w:val="fr-FR"/>
        </w:rPr>
        <w:t xml:space="preserve"> ses</w:t>
      </w:r>
      <w:r w:rsidRPr="007343C0">
        <w:rPr>
          <w:lang w:val="fr-FR"/>
        </w:rPr>
        <w:t xml:space="preserve"> membres et éventuellement d</w:t>
      </w:r>
      <w:r w:rsidR="00C8489F" w:rsidRPr="007343C0">
        <w:rPr>
          <w:lang w:val="fr-FR"/>
        </w:rPr>
        <w:t>’</w:t>
      </w:r>
      <w:r w:rsidRPr="007343C0">
        <w:rPr>
          <w:lang w:val="fr-FR"/>
        </w:rPr>
        <w:t>autres facteurs.</w:t>
      </w:r>
      <w:r w:rsidR="003529B2" w:rsidRPr="007343C0">
        <w:rPr>
          <w:lang w:val="fr-FR"/>
        </w:rPr>
        <w:t xml:space="preserve">  </w:t>
      </w:r>
      <w:r w:rsidR="00AF4EED" w:rsidRPr="007343C0">
        <w:rPr>
          <w:lang w:val="fr-FR"/>
        </w:rPr>
        <w:t>Dans la mesure où</w:t>
      </w:r>
      <w:r w:rsidRPr="007343C0">
        <w:rPr>
          <w:lang w:val="fr-FR"/>
        </w:rPr>
        <w:t xml:space="preserve"> ces influences sont propres à l</w:t>
      </w:r>
      <w:r w:rsidR="00C8489F" w:rsidRPr="007343C0">
        <w:rPr>
          <w:lang w:val="fr-FR"/>
        </w:rPr>
        <w:t>’</w:t>
      </w:r>
      <w:r w:rsidRPr="007343C0">
        <w:rPr>
          <w:lang w:val="fr-FR"/>
        </w:rPr>
        <w:t>origine, l</w:t>
      </w:r>
      <w:r w:rsidR="00C8489F" w:rsidRPr="007343C0">
        <w:rPr>
          <w:lang w:val="fr-FR"/>
        </w:rPr>
        <w:t>’</w:t>
      </w:r>
      <w:r w:rsidRPr="007343C0">
        <w:rPr>
          <w:lang w:val="fr-FR"/>
        </w:rPr>
        <w:t xml:space="preserve">inclusion des effets fixes </w:t>
      </w:r>
      <w:r w:rsidR="00AF4EED" w:rsidRPr="007343C0">
        <w:rPr>
          <w:lang w:val="fr-FR"/>
        </w:rPr>
        <w:t>propres au</w:t>
      </w:r>
      <w:r w:rsidRPr="007343C0">
        <w:rPr>
          <w:lang w:val="fr-FR"/>
        </w:rPr>
        <w:t xml:space="preserve"> mois civil n</w:t>
      </w:r>
      <w:r w:rsidR="00AF4EED" w:rsidRPr="007343C0">
        <w:rPr>
          <w:lang w:val="fr-FR"/>
        </w:rPr>
        <w:t>’en</w:t>
      </w:r>
      <w:r w:rsidRPr="007343C0">
        <w:rPr>
          <w:lang w:val="fr-FR"/>
        </w:rPr>
        <w:t xml:space="preserve"> </w:t>
      </w:r>
      <w:r w:rsidR="00AF4EED" w:rsidRPr="007343C0">
        <w:rPr>
          <w:lang w:val="fr-FR"/>
        </w:rPr>
        <w:t>tiennent</w:t>
      </w:r>
      <w:r w:rsidRPr="007343C0">
        <w:rPr>
          <w:lang w:val="fr-FR"/>
        </w:rPr>
        <w:t xml:space="preserve"> pas totalement </w:t>
      </w:r>
      <w:r w:rsidR="00AF4EED" w:rsidRPr="007343C0">
        <w:rPr>
          <w:lang w:val="fr-FR"/>
        </w:rPr>
        <w:t>compte</w:t>
      </w:r>
      <w:r w:rsidRPr="007343C0">
        <w:rPr>
          <w:lang w:val="fr-FR"/>
        </w:rPr>
        <w:t>.</w:t>
      </w:r>
      <w:r w:rsidR="003529B2" w:rsidRPr="007343C0">
        <w:rPr>
          <w:lang w:val="fr-FR"/>
        </w:rPr>
        <w:t xml:space="preserve">  </w:t>
      </w:r>
      <w:r w:rsidRPr="007343C0">
        <w:rPr>
          <w:lang w:val="fr-FR"/>
        </w:rPr>
        <w:t xml:space="preserve">Nous suivons la </w:t>
      </w:r>
      <w:r w:rsidR="00AF4EED" w:rsidRPr="007343C0">
        <w:rPr>
          <w:lang w:val="fr-FR"/>
        </w:rPr>
        <w:t xml:space="preserve">variable concernant la </w:t>
      </w:r>
      <w:r w:rsidRPr="007343C0">
        <w:rPr>
          <w:lang w:val="fr-FR"/>
        </w:rPr>
        <w:t>part de marché</w:t>
      </w:r>
      <w:r w:rsidR="00C8489F" w:rsidRPr="007343C0">
        <w:rPr>
          <w:lang w:val="fr-FR"/>
        </w:rPr>
        <w:t xml:space="preserve"> du PCT</w:t>
      </w:r>
      <w:r w:rsidRPr="007343C0">
        <w:rPr>
          <w:lang w:val="fr-FR"/>
        </w:rPr>
        <w:t xml:space="preserve"> avec un </w:t>
      </w:r>
      <w:r w:rsidR="00AF4EED" w:rsidRPr="007343C0">
        <w:rPr>
          <w:lang w:val="fr-FR"/>
        </w:rPr>
        <w:t>décalage de </w:t>
      </w:r>
      <w:r w:rsidRPr="007343C0">
        <w:rPr>
          <w:lang w:val="fr-FR"/>
        </w:rPr>
        <w:t>12 m</w:t>
      </w:r>
      <w:r w:rsidR="00D62E34" w:rsidRPr="007343C0">
        <w:rPr>
          <w:lang w:val="fr-FR"/>
        </w:rPr>
        <w:t>o</w:t>
      </w:r>
      <w:r w:rsidRPr="007343C0">
        <w:rPr>
          <w:lang w:val="fr-FR"/>
        </w:rPr>
        <w:t xml:space="preserve">is car le niveau de la taxe et le taux de chômage </w:t>
      </w:r>
      <w:proofErr w:type="gramStart"/>
      <w:r w:rsidRPr="007343C0">
        <w:rPr>
          <w:lang w:val="fr-FR"/>
        </w:rPr>
        <w:t>peuvent</w:t>
      </w:r>
      <w:proofErr w:type="gramEnd"/>
      <w:r w:rsidRPr="007343C0">
        <w:rPr>
          <w:lang w:val="fr-FR"/>
        </w:rPr>
        <w:t xml:space="preserve"> </w:t>
      </w:r>
      <w:r w:rsidR="00AF4EED" w:rsidRPr="007343C0">
        <w:rPr>
          <w:lang w:val="fr-FR"/>
        </w:rPr>
        <w:t xml:space="preserve">exercer une </w:t>
      </w:r>
      <w:r w:rsidRPr="007343C0">
        <w:rPr>
          <w:lang w:val="fr-FR"/>
        </w:rPr>
        <w:t>influence</w:t>
      </w:r>
      <w:r w:rsidR="00AF4EED" w:rsidRPr="007343C0">
        <w:rPr>
          <w:lang w:val="fr-FR"/>
        </w:rPr>
        <w:t xml:space="preserve"> sur</w:t>
      </w:r>
      <w:r w:rsidRPr="007343C0">
        <w:rPr>
          <w:lang w:val="fr-FR"/>
        </w:rPr>
        <w:t xml:space="preserve"> la part de marché </w:t>
      </w:r>
      <w:r w:rsidR="00AF4EED" w:rsidRPr="007343C0">
        <w:rPr>
          <w:lang w:val="fr-FR"/>
        </w:rPr>
        <w:t>correspondante</w:t>
      </w:r>
      <w:r w:rsidRPr="007343C0">
        <w:rPr>
          <w:lang w:val="fr-FR"/>
        </w:rPr>
        <w:t>.</w:t>
      </w:r>
    </w:p>
    <w:p w:rsidR="00C71029" w:rsidRPr="007343C0" w:rsidRDefault="00C71029" w:rsidP="007343C0">
      <w:pPr>
        <w:pStyle w:val="Heading1"/>
        <w:rPr>
          <w:lang w:val="fr-FR"/>
        </w:rPr>
      </w:pPr>
      <w:r w:rsidRPr="007343C0">
        <w:rPr>
          <w:lang w:val="fr-FR"/>
        </w:rPr>
        <w:t>Données</w:t>
      </w:r>
    </w:p>
    <w:p w:rsidR="00C71029" w:rsidRPr="007343C0" w:rsidRDefault="00C71029" w:rsidP="007343C0">
      <w:pPr>
        <w:pStyle w:val="ONUMFS"/>
        <w:rPr>
          <w:lang w:val="fr-FR"/>
        </w:rPr>
      </w:pPr>
      <w:r w:rsidRPr="007343C0">
        <w:rPr>
          <w:lang w:val="fr-FR"/>
        </w:rPr>
        <w:t xml:space="preserve">Nos données sur les familles de brevets proviennent de la base de données </w:t>
      </w:r>
      <w:r w:rsidRPr="007343C0">
        <w:rPr>
          <w:i/>
          <w:lang w:val="fr-FR"/>
        </w:rPr>
        <w:t>PATSTAT</w:t>
      </w:r>
      <w:r w:rsidRPr="007343C0">
        <w:rPr>
          <w:lang w:val="fr-FR"/>
        </w:rPr>
        <w:t xml:space="preserve"> de l’Office européen des brevets.  Nous nous concentrons en particulier sur toutes les familles qui ont des équivalents auprès de deux ou plusieurs offices, ou un équivalent plus un dépôt selon le PCT.  En d’autres termes, nous ne tenons compte ni des familles “uniquement nationales” ni des familles “uniquement PCT”, car dans pareil cas les déposants ne sont pas confrontés au choix entre la procédure selon le PCT et la procédure prévue par la Convention de Paris sur lequel repose le modèle binaire.  Nous procédons à l’extraction de toutes les familles de brevets qui répondent à cette définition et dont la date du premier dépôt est le 1</w:t>
      </w:r>
      <w:r w:rsidRPr="007343C0">
        <w:rPr>
          <w:vertAlign w:val="superscript"/>
          <w:lang w:val="fr-FR"/>
        </w:rPr>
        <w:t>er</w:t>
      </w:r>
      <w:r w:rsidRPr="007343C0">
        <w:rPr>
          <w:lang w:val="fr-FR"/>
        </w:rPr>
        <w:t> janvier 2003 ou une date ultérieure.  Nous procédons également à l’extraction des informations concernant la taille de la famille de brevets ainsi que le ou les domaines technologiques sur lesquels porte la demande</w:t>
      </w:r>
      <w:r w:rsidRPr="007343C0">
        <w:rPr>
          <w:rStyle w:val="FootnoteReference"/>
          <w:szCs w:val="22"/>
          <w:lang w:val="fr-FR"/>
        </w:rPr>
        <w:footnoteReference w:id="11"/>
      </w:r>
      <w:r w:rsidRPr="007343C0">
        <w:rPr>
          <w:lang w:val="fr-FR"/>
        </w:rPr>
        <w:t>.  Enfin, nous employons un algorithme de recherche par mots</w:t>
      </w:r>
      <w:r w:rsidRPr="007343C0">
        <w:rPr>
          <w:lang w:val="fr-FR"/>
        </w:rPr>
        <w:noBreakHyphen/>
        <w:t>clés pour recenser les demandes pour lesquelles le déposant nommé en premier est une université ou un organisme de recherche public</w:t>
      </w:r>
      <w:r w:rsidRPr="007343C0">
        <w:rPr>
          <w:rStyle w:val="FootnoteReference"/>
          <w:szCs w:val="22"/>
          <w:lang w:val="fr-FR"/>
        </w:rPr>
        <w:footnoteReference w:id="12"/>
      </w:r>
      <w:r w:rsidRPr="007343C0">
        <w:rPr>
          <w:lang w:val="fr-FR"/>
        </w:rPr>
        <w:t>.  Malheureusement, il n’est pas possible d’identifier les déposants représentant des PME par des techniques similaires et les documents de brevet ne contiennent généralement pas d’informations supplémentaires permettant de déterminer la taille des déposants qui sont des entreprises.</w:t>
      </w:r>
    </w:p>
    <w:p w:rsidR="00C71029" w:rsidRPr="007343C0" w:rsidRDefault="00C71029" w:rsidP="007343C0">
      <w:pPr>
        <w:pStyle w:val="ONUMFS"/>
        <w:rPr>
          <w:lang w:val="fr-FR"/>
        </w:rPr>
      </w:pPr>
      <w:r w:rsidRPr="007343C0">
        <w:rPr>
          <w:lang w:val="fr-FR"/>
        </w:rPr>
        <w:t xml:space="preserve">Nous nous fondons sur l’historique du barème des taxes du PCT pour obtenir le montant </w:t>
      </w:r>
      <w:r w:rsidR="001A2AE0">
        <w:rPr>
          <w:lang w:val="fr-FR"/>
        </w:rPr>
        <w:t>mensuel</w:t>
      </w:r>
      <w:r w:rsidRPr="007343C0">
        <w:rPr>
          <w:lang w:val="fr-FR"/>
        </w:rPr>
        <w:t xml:space="preserve"> des taxes dans la monnaie locale par origine, de 2004 à 2012.  Le barème des taxes fournit des informations sur le montant de la taxe internationale de dépôt en francs suisses et les montants équivalents pour les monnaies librement convertibles.  Ces taxes sont directement </w:t>
      </w:r>
      <w:r w:rsidRPr="007343C0">
        <w:rPr>
          <w:lang w:val="fr-FR"/>
        </w:rPr>
        <w:lastRenderedPageBreak/>
        <w:t xml:space="preserve">applicables aux pays disposant d’une monnaie librement convertible.  Pour les autres pays, nous utilisons les informations sur la politique en matière de taxes appliquée au sein des offices récepteurs qui figurent dans le Guide du déposant du PCT, ainsi que la valeur mensuelle du taux de change du marché tirée des </w:t>
      </w:r>
      <w:r w:rsidRPr="007343C0">
        <w:rPr>
          <w:i/>
          <w:lang w:val="fr-FR"/>
        </w:rPr>
        <w:t>Statistiques financières internationales</w:t>
      </w:r>
      <w:r w:rsidRPr="007343C0">
        <w:rPr>
          <w:lang w:val="fr-FR"/>
        </w:rPr>
        <w:t xml:space="preserve"> du Fonds monétaire international, pour calculer le montant des taxes équivalent dans la monnaie locale</w:t>
      </w:r>
      <w:r w:rsidRPr="007343C0">
        <w:rPr>
          <w:rStyle w:val="FootnoteReference"/>
          <w:szCs w:val="22"/>
          <w:lang w:val="fr-FR"/>
        </w:rPr>
        <w:footnoteReference w:id="13"/>
      </w:r>
      <w:r w:rsidRPr="007343C0">
        <w:rPr>
          <w:lang w:val="fr-FR"/>
        </w:rPr>
        <w:t>.</w:t>
      </w:r>
    </w:p>
    <w:p w:rsidR="00C71029" w:rsidRPr="007343C0" w:rsidRDefault="00C71029" w:rsidP="007343C0">
      <w:pPr>
        <w:pStyle w:val="ONUMFS"/>
        <w:rPr>
          <w:lang w:val="fr-FR"/>
        </w:rPr>
      </w:pPr>
      <w:r w:rsidRPr="007343C0">
        <w:rPr>
          <w:lang w:val="fr-FR"/>
        </w:rPr>
        <w:t>Cette démarche suppose que les déposants, quelle que soit leur origine, déposent leurs demandes auprès de l’office récepteur de leur pays.  Dans la pratique, cette hypothèse ne se vérifie pas toujours, pour deux raisons.  Tout d’abord, dans certains pays d’Europe, les déposants peuvent déposer une demande PCT auprès de leur office national ou de l’Office européen des brevets.  Si le déposant réside dans un pays membre de la zone euro, cela ne pose aucun problème, car la même taxe en euros s’applique.  En revanche, si les déposants résident en dehors de la zone euro, par exemple au Royaume</w:t>
      </w:r>
      <w:r w:rsidRPr="007343C0">
        <w:rPr>
          <w:lang w:val="fr-FR"/>
        </w:rPr>
        <w:noBreakHyphen/>
        <w:t>Uni ou en Suisse, la taxe doit être payée dans la monnaie locale auprès de l’office de leur pays ou en euros auprès de l’OEB.  Dans pareil cas, nous utilisons le montant de la taxe dans la monnaie locale appliqué à l’office de leur pays, car l’ajustement périodique des montants équivalents permet d’anticiper les écarts importants entre le montant de la taxe dans la monnaie locale et l’équivalent dans la monnaie locale du montant de la taxe en euros.</w:t>
      </w:r>
    </w:p>
    <w:p w:rsidR="00C71029" w:rsidRPr="007343C0" w:rsidRDefault="00C71029" w:rsidP="007343C0">
      <w:pPr>
        <w:pStyle w:val="ONUMFS"/>
        <w:rPr>
          <w:lang w:val="fr-FR"/>
        </w:rPr>
      </w:pPr>
      <w:r w:rsidRPr="007343C0">
        <w:rPr>
          <w:lang w:val="fr-FR"/>
        </w:rPr>
        <w:t xml:space="preserve">Ensuite, comme cela a déjà été indiqué, nous déterminons l’origine d’une famille de brevets à partir de l’origine du déposant nommé en premier.  Cela étant, si cette famille compte un </w:t>
      </w:r>
      <w:proofErr w:type="spellStart"/>
      <w:r w:rsidRPr="007343C0">
        <w:rPr>
          <w:lang w:val="fr-FR"/>
        </w:rPr>
        <w:t>codéposant</w:t>
      </w:r>
      <w:proofErr w:type="spellEnd"/>
      <w:r w:rsidRPr="007343C0">
        <w:rPr>
          <w:lang w:val="fr-FR"/>
        </w:rPr>
        <w:t xml:space="preserve"> d’une origine différente, la demande peut très bien être déposée auprès d’un office autre que l’office du pays du déposant nommé en premier.  En effet, cela sera toujours le cas lorsque le déposant nommé en premier n’est ni ressortissant d’un pays membre du PCT, ni domicilié dans ce pays.  Dans pareil cas, nous utilisons, pour les mêmes raisons, le montant de la taxe dans la monnaie locale appliqué à l’office du pays ou, pour les pays qui ne sont pas membres du PCT, l’équivalent dans la monnaie locale du montant de la taxe en francs suisses.  Dans tous les cas, le nombre de demandes qui comptent plus d’un déposant est relativement faible.</w:t>
      </w:r>
    </w:p>
    <w:p w:rsidR="00C71029" w:rsidRPr="007343C0" w:rsidRDefault="00C71029" w:rsidP="007343C0">
      <w:pPr>
        <w:pStyle w:val="ONUMFS"/>
        <w:rPr>
          <w:lang w:val="fr-FR"/>
        </w:rPr>
      </w:pPr>
      <w:r w:rsidRPr="007343C0">
        <w:rPr>
          <w:lang w:val="fr-FR"/>
        </w:rPr>
        <w:t xml:space="preserve">Nous ajustons la valeur nominale des taxes au moyen des données mensuelles relatives à l’indice des prix à la consommation (IPC) par origine tirées des </w:t>
      </w:r>
      <w:r w:rsidRPr="007343C0">
        <w:rPr>
          <w:i/>
          <w:lang w:val="fr-FR"/>
        </w:rPr>
        <w:t xml:space="preserve">Statistiques financières internationales </w:t>
      </w:r>
      <w:r w:rsidRPr="007343C0">
        <w:rPr>
          <w:lang w:val="fr-FR"/>
        </w:rPr>
        <w:t>du</w:t>
      </w:r>
      <w:r w:rsidRPr="007343C0">
        <w:rPr>
          <w:i/>
          <w:lang w:val="fr-FR"/>
        </w:rPr>
        <w:t> </w:t>
      </w:r>
      <w:r w:rsidRPr="007343C0">
        <w:rPr>
          <w:lang w:val="fr-FR"/>
        </w:rPr>
        <w:t>FMI.  À noter que cette opération tient compte d’une (légère) variation au niveau de la valeur réelle des taxes à laquelle sont exposés les pays membres de la zone euro.  Malheureusement, les données relatives à l’IPC manquent pour un nombre considérable d’origines, même si la réduction correspondante en ce qui concerne la taille de l’échantillon est faible car les données relatives à l’IPC sont disponibles pour les origines comptant le plus grand nombre de dépôts de demandes de brevet.</w:t>
      </w:r>
    </w:p>
    <w:p w:rsidR="00C71029" w:rsidRPr="007343C0" w:rsidRDefault="00C71029" w:rsidP="007343C0">
      <w:pPr>
        <w:pStyle w:val="ONUMFS"/>
        <w:rPr>
          <w:lang w:val="fr-FR"/>
        </w:rPr>
      </w:pPr>
      <w:r w:rsidRPr="007343C0">
        <w:rPr>
          <w:lang w:val="fr-FR"/>
        </w:rPr>
        <w:t xml:space="preserve">Enfin, nous procédons à l’extraction des données relatives aux taux de chômage mensuel de la base de données </w:t>
      </w:r>
      <w:r w:rsidRPr="007343C0">
        <w:rPr>
          <w:i/>
          <w:lang w:val="fr-FR"/>
        </w:rPr>
        <w:t>LABORSTA</w:t>
      </w:r>
      <w:r w:rsidRPr="007343C0">
        <w:rPr>
          <w:lang w:val="fr-FR"/>
        </w:rPr>
        <w:t xml:space="preserve"> du Bureau international du Travail (BIT).  Comme pour les données relatives à l’IPC, les données sur le chômage manquent pour de nombreuses origines, même si, à nouveau, la réduction correspondante s’agissant de la taille de l’échantillon est faible.</w:t>
      </w:r>
    </w:p>
    <w:p w:rsidR="00C71029" w:rsidRPr="007343C0" w:rsidRDefault="00C71029" w:rsidP="00997A3C">
      <w:pPr>
        <w:pStyle w:val="Heading1"/>
        <w:keepLines/>
        <w:rPr>
          <w:lang w:val="fr-FR"/>
        </w:rPr>
      </w:pPr>
      <w:r w:rsidRPr="007343C0">
        <w:rPr>
          <w:lang w:val="fr-FR"/>
        </w:rPr>
        <w:lastRenderedPageBreak/>
        <w:t>Résultats</w:t>
      </w:r>
    </w:p>
    <w:p w:rsidR="00C71029" w:rsidRPr="007343C0" w:rsidRDefault="00C71029" w:rsidP="00997A3C">
      <w:pPr>
        <w:pStyle w:val="ONUMFS"/>
        <w:keepNext/>
        <w:keepLines/>
        <w:rPr>
          <w:lang w:val="fr-FR"/>
        </w:rPr>
      </w:pPr>
      <w:r w:rsidRPr="007343C0">
        <w:rPr>
          <w:lang w:val="fr-FR"/>
        </w:rPr>
        <w:t xml:space="preserve">Nous obtenons une estimation pour le modèle binaire décrit dans la deuxième partie à partir de la méthode du maximum de vraisemblance </w:t>
      </w:r>
      <w:proofErr w:type="spellStart"/>
      <w:r w:rsidRPr="007343C0">
        <w:rPr>
          <w:lang w:val="fr-FR"/>
        </w:rPr>
        <w:t>Probit</w:t>
      </w:r>
      <w:proofErr w:type="spellEnd"/>
      <w:r w:rsidRPr="007343C0">
        <w:rPr>
          <w:lang w:val="fr-FR"/>
        </w:rPr>
        <w:t>.  Le tableau n° 1 qui figure à l’annexe présente les principaux résultats de l’estimation</w:t>
      </w:r>
      <w:r w:rsidRPr="007343C0">
        <w:rPr>
          <w:rStyle w:val="FootnoteReference"/>
          <w:szCs w:val="22"/>
          <w:lang w:val="fr-FR"/>
        </w:rPr>
        <w:footnoteReference w:id="14"/>
      </w:r>
      <w:r w:rsidRPr="007343C0">
        <w:rPr>
          <w:lang w:val="fr-FR"/>
        </w:rPr>
        <w:t>.  Dans la colonne (1) figurent toutes les variables du modèle, à l’exception du taux de chômage et de la taille de la famille de brevets.  L’estimation est fondée sur un nombre total de 1 375 911 familles de brevets.  Les résultats indiquent un coefficient négatif et statistiquement significatif par rapport à la variable concernant la taxe et un coefficient positif et statistiquement significatif par rapport à la variable muette pour les membres du PCT.  En outre, les variables muettes concernant les déposants qui sont des universités ou des organismes de recherche publics indiquent un coefficient positif et statistiquement significatif, avec une valeur de coefficient beaucoup plus élevée pour les déposants qui sont des universités</w:t>
      </w:r>
      <w:r w:rsidRPr="007343C0">
        <w:rPr>
          <w:rStyle w:val="FootnoteReference"/>
          <w:szCs w:val="22"/>
          <w:lang w:val="fr-FR"/>
        </w:rPr>
        <w:footnoteReference w:id="15"/>
      </w:r>
      <w:r w:rsidRPr="007343C0">
        <w:rPr>
          <w:lang w:val="fr-FR"/>
        </w:rPr>
        <w:t>.</w:t>
      </w:r>
    </w:p>
    <w:p w:rsidR="00C71029" w:rsidRPr="007343C0" w:rsidRDefault="00C71029" w:rsidP="007343C0">
      <w:pPr>
        <w:pStyle w:val="ONUMFS"/>
        <w:rPr>
          <w:lang w:val="fr-FR"/>
        </w:rPr>
      </w:pPr>
      <w:r w:rsidRPr="007343C0">
        <w:rPr>
          <w:lang w:val="fr-FR"/>
        </w:rPr>
        <w:t>Vient ensuite dans la colonne (2) du tableau n° 1 le taux de chômage.  Du fait que les données manquent pour cette variable, la taille de l’échantillon diminue quelque peu, mais les estimations de coefficient pour la plupart des variables ne changent pas</w:t>
      </w:r>
      <w:r w:rsidRPr="007343C0">
        <w:rPr>
          <w:rStyle w:val="FootnoteReference"/>
          <w:szCs w:val="22"/>
          <w:lang w:val="fr-FR"/>
        </w:rPr>
        <w:footnoteReference w:id="16"/>
      </w:r>
      <w:r w:rsidRPr="007343C0">
        <w:rPr>
          <w:lang w:val="fr-FR"/>
        </w:rPr>
        <w:t xml:space="preserve">.  Une exception importante concerne le coefficient de la taxe qui diminue, passant de </w:t>
      </w:r>
      <w:r w:rsidRPr="007343C0">
        <w:rPr>
          <w:lang w:val="fr-FR"/>
        </w:rPr>
        <w:noBreakHyphen/>
        <w:t xml:space="preserve">0,121 à </w:t>
      </w:r>
      <w:r w:rsidRPr="007343C0">
        <w:rPr>
          <w:lang w:val="fr-FR"/>
        </w:rPr>
        <w:noBreakHyphen/>
        <w:t>0,077, même s’il reste statistiquement significatif.  Cette diminution de la valeur de coefficient est due à la corrélation relativement forte entre le taux de chômage et le montant de la taxe du PCT dans la monnaie locale, qui témoigne de l’influence simultanée des mouvements de change</w:t>
      </w:r>
      <w:r w:rsidRPr="007343C0">
        <w:rPr>
          <w:rStyle w:val="FootnoteReference"/>
          <w:szCs w:val="22"/>
          <w:lang w:val="fr-FR"/>
        </w:rPr>
        <w:footnoteReference w:id="17"/>
      </w:r>
      <w:r w:rsidRPr="007343C0">
        <w:rPr>
          <w:lang w:val="fr-FR"/>
        </w:rPr>
        <w:t>.  Le coefficient du taux de chômage lui</w:t>
      </w:r>
      <w:r w:rsidRPr="007343C0">
        <w:rPr>
          <w:lang w:val="fr-FR"/>
        </w:rPr>
        <w:noBreakHyphen/>
        <w:t>même est négatif et statistiquement significatif, ce qui suppose qu’une économie peu performante réduit la probabilité qu’un déposant choisisse la procédure selon le PCT.</w:t>
      </w:r>
    </w:p>
    <w:p w:rsidR="00C71029" w:rsidRPr="007343C0" w:rsidRDefault="00C71029" w:rsidP="007343C0">
      <w:pPr>
        <w:pStyle w:val="ONUMFS"/>
        <w:rPr>
          <w:lang w:val="fr-FR"/>
        </w:rPr>
      </w:pPr>
      <w:r w:rsidRPr="007343C0">
        <w:rPr>
          <w:lang w:val="fr-FR"/>
        </w:rPr>
        <w:t>Dans la colonne (3) du tableau n° 1 nous tenons compte de la taille de la famille de brevets dans l’estimation.  Il faut donc exclure 211 367 familles qui ont choisi la procédure selon le PCT, mais pour lesquelles il n’y a pas eu d’entrée dans la phase nationale par la suite, car nous ne tenons pas compte de la taille “prévue” de la famille dans ces cas</w:t>
      </w:r>
      <w:r w:rsidRPr="007343C0">
        <w:rPr>
          <w:rStyle w:val="FootnoteReference"/>
          <w:szCs w:val="22"/>
          <w:lang w:val="fr-FR"/>
        </w:rPr>
        <w:footnoteReference w:id="18"/>
      </w:r>
      <w:r w:rsidRPr="007343C0">
        <w:rPr>
          <w:lang w:val="fr-FR"/>
        </w:rPr>
        <w:t>.  Nous tenons compte de la taille de la famille en incluant des variables muettes pour différentes tailles, en commençant par des équivalents auprès de deux offices, trois offices et ainsi de suite, jusqu’à une variable muette pour les familles avec des équivalents auprès de six offices ou plus.  Cette approche à variables muettes permet d’obtenir l’impact fonctionnel flexible de la taille de la famille.  À noter que le nombre d’offices comprend l’office de premier dépôt.</w:t>
      </w:r>
    </w:p>
    <w:p w:rsidR="00C71029" w:rsidRPr="007343C0" w:rsidRDefault="00C71029" w:rsidP="007343C0">
      <w:pPr>
        <w:pStyle w:val="ONUMFS"/>
        <w:rPr>
          <w:lang w:val="fr-FR"/>
        </w:rPr>
      </w:pPr>
      <w:r w:rsidRPr="007343C0">
        <w:rPr>
          <w:lang w:val="fr-FR"/>
        </w:rPr>
        <w:t xml:space="preserve">Les résultats de l’estimation suggèrent que les plus grandes familles sont davantage susceptibles de choisir le PCT.  En particulier, les estimations de coefficient de la variable muette augmentent, passant de </w:t>
      </w:r>
      <w:r w:rsidRPr="007343C0">
        <w:rPr>
          <w:lang w:val="fr-FR"/>
        </w:rPr>
        <w:noBreakHyphen/>
        <w:t>0,654 pour les familles comptant seulement deux offi</w:t>
      </w:r>
      <w:r w:rsidR="00756A07">
        <w:rPr>
          <w:lang w:val="fr-FR"/>
        </w:rPr>
        <w:t>ces à </w:t>
      </w:r>
      <w:r w:rsidRPr="007343C0">
        <w:rPr>
          <w:lang w:val="fr-FR"/>
        </w:rPr>
        <w:t>0,551 pour les familles comptant six offices ou plus.</w:t>
      </w:r>
    </w:p>
    <w:p w:rsidR="00C71029" w:rsidRPr="007343C0" w:rsidRDefault="00C71029" w:rsidP="007343C0">
      <w:pPr>
        <w:pStyle w:val="ONUMFS"/>
        <w:rPr>
          <w:lang w:val="fr-FR"/>
        </w:rPr>
      </w:pPr>
      <w:r w:rsidRPr="007343C0">
        <w:rPr>
          <w:lang w:val="fr-FR"/>
        </w:rPr>
        <w:lastRenderedPageBreak/>
        <w:t>Dans les deux dernières colonnes du tableau n° 1 nous examinons dans quelle mesure l’effet de la variable concernant la taxe dépend de la taille de la famille et du type de déposant.  Dans la colonne (4) en particulier, nous faisons interagir la variable concernant la taxe et les cinq variables muettes concernant la taille, de sorte que le coefficient de la variable concernant la taxe diffère selon la taille de la famille correspondante.  Les résultats indiquent tout d’abord un effet croissant sur la taxe, les familles comptant quatre offices enregistrant l’effet le plus marqué.  L’effet de la taxe diminue ensuite et le coefficient n’est plus statistiquement significatif pour les familles avec des équivalents auprès de six offices ou plus.  Une façon d’interpréter ce résultat consisterait à dire que la procédure prévue par la Convention de Paris et la procédure selon le PCT sont de proches substituts lorsque les déposants cherchent à obtenir une protection par brevet auprès de trois offices étrangers exactement, auquel cas la taxe de dépôt constitue le facteur le plus déterminant dans la décision de dépôt.</w:t>
      </w:r>
    </w:p>
    <w:p w:rsidR="00C71029" w:rsidRPr="007343C0" w:rsidRDefault="00C71029" w:rsidP="007343C0">
      <w:pPr>
        <w:pStyle w:val="ONUMFS"/>
        <w:rPr>
          <w:lang w:val="fr-FR"/>
        </w:rPr>
      </w:pPr>
      <w:r w:rsidRPr="007343C0">
        <w:rPr>
          <w:lang w:val="fr-FR"/>
        </w:rPr>
        <w:t>Enfin, dans la colonne (5) du tableau n° 1 nous faisons interagir la variable concernant la taxe et la variable muette concernant les déposants qui sont des universités ou de</w:t>
      </w:r>
      <w:r w:rsidR="001A2AE0">
        <w:rPr>
          <w:lang w:val="fr-FR"/>
        </w:rPr>
        <w:t>s organismes de recherche public</w:t>
      </w:r>
      <w:r w:rsidRPr="007343C0">
        <w:rPr>
          <w:lang w:val="fr-FR"/>
        </w:rPr>
        <w:t>s ainsi qu’une variable muette concernant tous les autres déposants.  Les résultats indiquent un effet de la taxe beaucoup plus marqué pour les déposants qui sont des organismes de recherche publics et en particulier pour ceux qui sont des universités.  Ce résultat pourrait s’expliquer en partie par le fait que ces types de déposants sont confrontés à des restrictions budgétaires plus strictes dans la gestion de leurs portefeuilles de brevets et que le montant de la taxe internationale de dépôt exerce donc un effet plus marqué sur les décisions de dépôt.</w:t>
      </w:r>
    </w:p>
    <w:p w:rsidR="00C71029" w:rsidRPr="007343C0" w:rsidRDefault="00C71029" w:rsidP="007343C0">
      <w:pPr>
        <w:pStyle w:val="ONUMFS"/>
        <w:rPr>
          <w:lang w:val="fr-FR"/>
        </w:rPr>
      </w:pPr>
      <w:r w:rsidRPr="007343C0">
        <w:rPr>
          <w:lang w:val="fr-FR"/>
        </w:rPr>
        <w:t xml:space="preserve">Quelle est l’ampleur des effets estimés?  Le tableau n° 2 qui figure à l’annexe présente les effets marginaux associés aux estimations de coefficient </w:t>
      </w:r>
      <w:proofErr w:type="spellStart"/>
      <w:r w:rsidRPr="007343C0">
        <w:rPr>
          <w:lang w:val="fr-FR"/>
        </w:rPr>
        <w:t>Probit</w:t>
      </w:r>
      <w:proofErr w:type="spellEnd"/>
      <w:r w:rsidRPr="007343C0">
        <w:rPr>
          <w:lang w:val="fr-FR"/>
        </w:rPr>
        <w:t xml:space="preserve"> obtenues dans la colonne (3) du tableau n° 1</w:t>
      </w:r>
      <w:r w:rsidRPr="007343C0">
        <w:rPr>
          <w:rStyle w:val="FootnoteReference"/>
          <w:szCs w:val="22"/>
          <w:lang w:val="fr-FR"/>
        </w:rPr>
        <w:footnoteReference w:id="19"/>
      </w:r>
      <w:r w:rsidRPr="007343C0">
        <w:rPr>
          <w:lang w:val="fr-FR"/>
        </w:rPr>
        <w:t xml:space="preserve">.  On peut interpréter ces effets marginaux comme des pourcentages représentant la probabilité que le PCT soit choisi.  Par conséquent, l’effet marginal sur la variable concernant la taxe suggère qu’une augmentation de 10% de la taxe internationale de dépôt supposerait une baisse de 0,138% de la probabilité qu’une famille de brevets à orientation étrangère choisisse la procédure selon le PCT.  Du fait que la part de marché du PCT se situe grosso modo à 50% pour l’échantillon sur lequel repose l’estimation, la valeur implicite de l’élasticité par rapport à la taxe de dépôt du PCT est de </w:t>
      </w:r>
      <w:r w:rsidRPr="007343C0">
        <w:rPr>
          <w:lang w:val="fr-FR"/>
        </w:rPr>
        <w:noBreakHyphen/>
        <w:t xml:space="preserve">0,0278.  En d’autres termes, une augmentation de 10% de la taxe internationale de dépôt entraînerait une diminution de 0,278% du volume des dépôts selon le PCT, ce qui correspond à une réponse hautement inélastique.  Les effets marginaux de la taxe sur les universités et les organismes de recherche publics, qui découlent de l’estimation qui figure dans la colonne (5) du tableau n° 1, mais pas dans le tableau n° 2, indiquent respectivement des valeurs de </w:t>
      </w:r>
      <w:r w:rsidRPr="007343C0">
        <w:rPr>
          <w:lang w:val="fr-FR"/>
        </w:rPr>
        <w:noBreakHyphen/>
        <w:t xml:space="preserve">0,0338 et </w:t>
      </w:r>
      <w:r w:rsidRPr="007343C0">
        <w:rPr>
          <w:lang w:val="fr-FR"/>
        </w:rPr>
        <w:noBreakHyphen/>
        <w:t>0,0248, ce qui confirme que les universités et les organismes de recherche publics sont plus sensibles aux variations du montant de la taxe, mais que même ces valeurs élevées témoignent dans l’ensemble d’une réponse inélastique par rapport à la taxe.</w:t>
      </w:r>
    </w:p>
    <w:p w:rsidR="00C71029" w:rsidRPr="007343C0" w:rsidRDefault="00C71029" w:rsidP="007343C0">
      <w:pPr>
        <w:pStyle w:val="ONUMFS"/>
        <w:rPr>
          <w:lang w:val="fr-FR"/>
        </w:rPr>
      </w:pPr>
      <w:r w:rsidRPr="007343C0">
        <w:rPr>
          <w:lang w:val="fr-FR"/>
        </w:rPr>
        <w:t>L’effet marginal sur le taux de chômage indique un effet plus mesurable de la santé de l’économie.  Par conséquent, si l’on double le taux de chômage, la probabilité que le PCT soit choisi diminue de 3%, ce qui correspond grosso modo à une baisse de 6% du volume des dépôts</w:t>
      </w:r>
      <w:r w:rsidRPr="007343C0">
        <w:rPr>
          <w:rStyle w:val="FootnoteReference"/>
          <w:szCs w:val="22"/>
          <w:lang w:val="fr-FR"/>
        </w:rPr>
        <w:footnoteReference w:id="20"/>
      </w:r>
      <w:r w:rsidRPr="007343C0">
        <w:rPr>
          <w:lang w:val="fr-FR"/>
        </w:rPr>
        <w:t>.</w:t>
      </w:r>
    </w:p>
    <w:p w:rsidR="00C71029" w:rsidRPr="007343C0" w:rsidRDefault="00C71029" w:rsidP="00997A3C">
      <w:pPr>
        <w:pStyle w:val="ONUMFS"/>
        <w:keepLines/>
        <w:rPr>
          <w:lang w:val="fr-FR"/>
        </w:rPr>
      </w:pPr>
      <w:r w:rsidRPr="007343C0">
        <w:rPr>
          <w:lang w:val="fr-FR"/>
        </w:rPr>
        <w:lastRenderedPageBreak/>
        <w:t>Si l’on passe maintenant à l’effet du type de déposant, lorsque le déposant est une université, la probabilité que la procédure selon le PCT soit choisie augmente de près de 25%.  Cette estimation peut être un indicateur des avantages particuliers que représente le PCT pour les universités, notamment en ce qui concerne la phase internationale de 18 mois</w:t>
      </w:r>
      <w:r w:rsidRPr="007343C0">
        <w:rPr>
          <w:rStyle w:val="FootnoteReference"/>
          <w:lang w:val="fr-FR"/>
        </w:rPr>
        <w:footnoteReference w:id="21"/>
      </w:r>
      <w:r w:rsidRPr="007343C0">
        <w:rPr>
          <w:lang w:val="fr-FR"/>
        </w:rPr>
        <w:t xml:space="preserve"> qui donne aux universités un délai précieux pour décider si elles vont poursuivre dans la phase nationale sur la base d’informations obtenues à partir du rapport de recherche internationale et des opinions écrites et chercher un partenaire commercial prêt à investir dans la procédure d’obtention d’un brevet et dans le développement d’une technologie.  En outre, les universités se consacrent principalement à l’innovation “en amont” et peuvent donc disposer de relativement peu d’informations en ce qui concerne le potentiel commercial de leurs inventions, ce qui favoriserait également la stratégie attentiste qu’offre le PCT.  De même, lorsque le déposant est un organisme de recherche public, la probabilité que le PCT soit choisi augmente également, même si l’effet est quantitativement moins marqué.</w:t>
      </w:r>
    </w:p>
    <w:p w:rsidR="00C71029" w:rsidRPr="007343C0" w:rsidRDefault="00C71029" w:rsidP="007343C0">
      <w:pPr>
        <w:pStyle w:val="ONUMFS"/>
        <w:rPr>
          <w:lang w:val="fr-FR"/>
        </w:rPr>
      </w:pPr>
      <w:r w:rsidRPr="007343C0">
        <w:rPr>
          <w:lang w:val="fr-FR"/>
        </w:rPr>
        <w:t>L’incidence de la taille de la famille est également considérable.  Toutes choses étant égales par ailleurs, les familles avec des équivalents auprès de deux offices seulement sont moins susceptibles, dans une proportion de 19%, de choisir le PCT, tandis que les familles avec des équivalents auprès de six offices ou plus sont plus susceptibles, dans une proportion de 16%, de choisir le PCT.</w:t>
      </w:r>
    </w:p>
    <w:p w:rsidR="00C71029" w:rsidRPr="007343C0" w:rsidRDefault="00C71029" w:rsidP="007343C0">
      <w:pPr>
        <w:pStyle w:val="ONUMFS"/>
        <w:rPr>
          <w:lang w:val="fr-FR"/>
        </w:rPr>
      </w:pPr>
      <w:r w:rsidRPr="007343C0">
        <w:rPr>
          <w:lang w:val="fr-FR"/>
        </w:rPr>
        <w:t>Enfin, le tableau n° 2 contient la liste des effets marginaux associés aux effets fixes propres aux domaines technologiques, par ordre décroissant de ces effets.  De fait, toutes choses étant égales par ailleurs, les familles de brevets dans le domaine pharmaceutique sont les plus susceptibles de choisir le PCT.  Il est intéressant de constater que les huit domaines technologiques “qui tendent le plus vers le PCT” concernent tous des produits associés à des technologies simples.  La seconde conclusion intéressante concerne le fait que les domaines technologiques qui comptent le plus grand nombre de demandes PCT, notamment la communication numérique, la technologie médicale, les machines et appareils électriques, l’énergie électrique et l’informatique, ne sont pas les domaines “qui tendent le plus vers le PCT”.  À noter que l’ordre des domaines technologiques ne devrait pas suivre la taille de la plus grande famille (éventuellement) associée aux dépôts de brevets dans les différents domaines, car les effets marginaux indiqués tiennent compte de la taille de la famille comme le montrent les variables muettes concernant la taille.  Les facteurs pouvant influer sur l’ordre des domaines technologiques et dont l’analyse économétrique ne tient pas compte sont l’incertitude et la longueur associées au cycle de recherche</w:t>
      </w:r>
      <w:r w:rsidRPr="007343C0">
        <w:rPr>
          <w:lang w:val="fr-FR"/>
        </w:rPr>
        <w:noBreakHyphen/>
        <w:t>développement.</w:t>
      </w:r>
    </w:p>
    <w:p w:rsidR="00C71029" w:rsidRPr="007343C0" w:rsidRDefault="00C71029" w:rsidP="007343C0">
      <w:pPr>
        <w:pStyle w:val="Heading1"/>
        <w:rPr>
          <w:lang w:val="fr-FR"/>
        </w:rPr>
      </w:pPr>
      <w:r w:rsidRPr="007343C0">
        <w:rPr>
          <w:lang w:val="fr-FR"/>
        </w:rPr>
        <w:t>Conclusion</w:t>
      </w:r>
    </w:p>
    <w:p w:rsidR="00C71029" w:rsidRPr="007343C0" w:rsidRDefault="00C71029" w:rsidP="007343C0">
      <w:pPr>
        <w:pStyle w:val="ONUMFS"/>
        <w:rPr>
          <w:lang w:val="fr-FR"/>
        </w:rPr>
      </w:pPr>
      <w:r w:rsidRPr="007343C0">
        <w:rPr>
          <w:lang w:val="fr-FR"/>
        </w:rPr>
        <w:t>Cette étude présente la première estimation concernant la sensibilité des dépôts de demandes selon le PCT par rapport à la taxe internationale de dépôt.  Partant d’un modèle binaire correspondant à la décision d’un déposant de choisir la procédure selon le PCT ou la procédure prévue par la Convention de Paris, l’étude a permis d’obtenir une estimation correspondant à une sensibilité hautement inélastique, bien que statistiquement significative, par rapport à la taxe.  En outre, les résultats de l’estimation indiquent que la taxe internationale de dépôt importe le plus lorsque les déposants cherchent à obtenir une protection par brevet auprès de trois offices étrangers exactement, et que les universités et les organismes de recherche publics sont un peu plus sensibles au montant de la taxe.</w:t>
      </w:r>
    </w:p>
    <w:p w:rsidR="00C71029" w:rsidRPr="007343C0" w:rsidRDefault="00C71029" w:rsidP="007343C0">
      <w:pPr>
        <w:pStyle w:val="ONUMFS"/>
        <w:rPr>
          <w:lang w:val="fr-FR"/>
        </w:rPr>
      </w:pPr>
      <w:r w:rsidRPr="007343C0">
        <w:rPr>
          <w:lang w:val="fr-FR"/>
        </w:rPr>
        <w:t xml:space="preserve">En plus de fournir des informations sur la sensibilité par rapport à la taxe, les estimations ont également mis en lumière, de façon empirique, un certain nombre d’autres facteurs déterminants dans l’utilisation du PCT.  En particulier, elles indiquent que les déposants tendent à utiliser dans une plus large mesure le système du PCT lorsque la situation économique est </w:t>
      </w:r>
      <w:r w:rsidRPr="007343C0">
        <w:rPr>
          <w:lang w:val="fr-FR"/>
        </w:rPr>
        <w:lastRenderedPageBreak/>
        <w:t>favorable, que les organismes de recherche publics et notamment les universités sont davantage susceptibles de choisir le système du PCT et que, toutes choses étant égales par ailleurs, les médicaments et autres produits associés à des technologies simples reposent davantage sur le système du PCT que les technologies complexes.</w:t>
      </w:r>
    </w:p>
    <w:p w:rsidR="00AD43DA" w:rsidRDefault="00AD43DA">
      <w:pPr>
        <w:rPr>
          <w:i/>
          <w:lang w:val="fr-FR"/>
        </w:rPr>
      </w:pPr>
    </w:p>
    <w:p w:rsidR="00C71029" w:rsidRPr="007343C0" w:rsidRDefault="00C71029" w:rsidP="00AD43DA">
      <w:pPr>
        <w:pStyle w:val="ONUMFS"/>
        <w:spacing w:after="0"/>
        <w:ind w:left="5533"/>
        <w:rPr>
          <w:i/>
          <w:lang w:val="fr-FR"/>
        </w:rPr>
      </w:pPr>
      <w:r w:rsidRPr="007343C0">
        <w:rPr>
          <w:i/>
          <w:lang w:val="fr-FR"/>
        </w:rPr>
        <w:t>Le groupe de travail est invité à prendre note du contenu du présent document.</w:t>
      </w:r>
    </w:p>
    <w:p w:rsidR="00C71029" w:rsidRDefault="00C71029" w:rsidP="00AD43DA">
      <w:pPr>
        <w:rPr>
          <w:lang w:val="fr-FR"/>
        </w:rPr>
      </w:pPr>
    </w:p>
    <w:p w:rsidR="00AD43DA" w:rsidRDefault="00AD43DA" w:rsidP="00AD43DA">
      <w:pPr>
        <w:rPr>
          <w:lang w:val="fr-FR"/>
        </w:rPr>
      </w:pPr>
    </w:p>
    <w:p w:rsidR="00AD43DA" w:rsidRPr="007343C0" w:rsidRDefault="00AD43DA" w:rsidP="00AD43DA">
      <w:pPr>
        <w:rPr>
          <w:lang w:val="fr-FR"/>
        </w:rPr>
      </w:pPr>
    </w:p>
    <w:p w:rsidR="00C71029" w:rsidRPr="007343C0" w:rsidRDefault="00C71029" w:rsidP="007343C0">
      <w:pPr>
        <w:pStyle w:val="Endofdocument-Annex"/>
        <w:rPr>
          <w:lang w:val="fr-FR"/>
        </w:rPr>
        <w:sectPr w:rsidR="00C71029" w:rsidRPr="007343C0" w:rsidSect="00C71029">
          <w:headerReference w:type="default" r:id="rId13"/>
          <w:endnotePr>
            <w:numFmt w:val="decimal"/>
          </w:endnotePr>
          <w:pgSz w:w="11907" w:h="16840" w:code="9"/>
          <w:pgMar w:top="567" w:right="1134" w:bottom="1417" w:left="1417" w:header="510" w:footer="1020" w:gutter="0"/>
          <w:cols w:space="720"/>
          <w:titlePg/>
          <w:docGrid w:linePitch="299"/>
        </w:sectPr>
      </w:pPr>
      <w:r w:rsidRPr="007343C0">
        <w:rPr>
          <w:lang w:val="fr-FR"/>
        </w:rPr>
        <w:t>[L’annexe suit]</w:t>
      </w:r>
    </w:p>
    <w:p w:rsidR="00C71029" w:rsidRPr="007343C0" w:rsidRDefault="00C71029" w:rsidP="007343C0">
      <w:pPr>
        <w:spacing w:after="60"/>
        <w:rPr>
          <w:b/>
          <w:lang w:val="fr-FR"/>
        </w:rPr>
      </w:pPr>
      <w:r w:rsidRPr="007343C0">
        <w:rPr>
          <w:b/>
          <w:lang w:val="fr-FR"/>
        </w:rPr>
        <w:lastRenderedPageBreak/>
        <w:t>Figure 1 : Mouvements de change entraînant une variation substantielle de la taxe de dépôt du PCT</w:t>
      </w:r>
    </w:p>
    <w:p w:rsidR="00C71029" w:rsidRPr="007343C0" w:rsidRDefault="00C71029" w:rsidP="007343C0">
      <w:pPr>
        <w:spacing w:after="120"/>
        <w:rPr>
          <w:i/>
          <w:lang w:val="fr-FR"/>
        </w:rPr>
      </w:pPr>
      <w:r w:rsidRPr="007343C0">
        <w:rPr>
          <w:i/>
          <w:lang w:val="fr-FR"/>
        </w:rPr>
        <w:t>Montant de la taxe internationale de dépôt dans certaines monnaies (indice, 2004=100)</w:t>
      </w:r>
    </w:p>
    <w:p w:rsidR="00C71029" w:rsidRPr="007343C0" w:rsidRDefault="00C71029" w:rsidP="007343C0">
      <w:pPr>
        <w:rPr>
          <w:b/>
          <w:lang w:val="fr-FR"/>
        </w:rPr>
      </w:pPr>
      <w:r w:rsidRPr="007343C0">
        <w:rPr>
          <w:b/>
          <w:noProof/>
          <w:lang w:eastAsia="en-US"/>
        </w:rPr>
        <w:drawing>
          <wp:inline distT="0" distB="0" distL="0" distR="0" wp14:anchorId="774E0552" wp14:editId="072F1753">
            <wp:extent cx="5740842" cy="37605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4577" cy="3763018"/>
                    </a:xfrm>
                    <a:prstGeom prst="rect">
                      <a:avLst/>
                    </a:prstGeom>
                    <a:noFill/>
                  </pic:spPr>
                </pic:pic>
              </a:graphicData>
            </a:graphic>
          </wp:inline>
        </w:drawing>
      </w:r>
      <w:r w:rsidRPr="007343C0">
        <w:rPr>
          <w:b/>
          <w:lang w:val="fr-FR"/>
        </w:rPr>
        <w:br w:type="page"/>
      </w:r>
    </w:p>
    <w:p w:rsidR="00C71029" w:rsidRPr="007343C0" w:rsidRDefault="00C71029" w:rsidP="007343C0">
      <w:pPr>
        <w:spacing w:before="38" w:after="42"/>
        <w:rPr>
          <w:b/>
          <w:lang w:val="fr-FR"/>
        </w:rPr>
      </w:pPr>
      <w:r w:rsidRPr="007343C0">
        <w:rPr>
          <w:b/>
          <w:lang w:val="fr-FR"/>
        </w:rPr>
        <w:lastRenderedPageBreak/>
        <w:t xml:space="preserve">Tableau n° 1 : Résultats de l’estimation </w:t>
      </w:r>
      <w:proofErr w:type="spellStart"/>
      <w:r w:rsidRPr="007343C0">
        <w:rPr>
          <w:b/>
          <w:lang w:val="fr-FR"/>
        </w:rPr>
        <w:t>Probit</w:t>
      </w:r>
      <w:proofErr w:type="spellEnd"/>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628"/>
        <w:gridCol w:w="1323"/>
        <w:gridCol w:w="1323"/>
        <w:gridCol w:w="1323"/>
        <w:gridCol w:w="1323"/>
        <w:gridCol w:w="1323"/>
      </w:tblGrid>
      <w:tr w:rsidR="00C71029" w:rsidRPr="007343C0" w:rsidTr="006710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top w:val="none" w:sz="0" w:space="0" w:color="auto"/>
              <w:left w:val="none" w:sz="0" w:space="0" w:color="auto"/>
              <w:bottom w:val="none" w:sz="0" w:space="0" w:color="auto"/>
              <w:right w:val="none" w:sz="0" w:space="0" w:color="auto"/>
            </w:tcBorders>
            <w:shd w:val="clear" w:color="auto" w:fill="FFFFFF" w:themeFill="background1"/>
          </w:tcPr>
          <w:p w:rsidR="00C71029" w:rsidRPr="007343C0" w:rsidRDefault="00C71029" w:rsidP="007343C0">
            <w:pPr>
              <w:spacing w:before="40" w:after="44"/>
              <w:rPr>
                <w:sz w:val="19"/>
                <w:szCs w:val="19"/>
                <w:lang w:val="fr-FR"/>
              </w:rPr>
            </w:pPr>
          </w:p>
        </w:tc>
        <w:tc>
          <w:tcPr>
            <w:tcW w:w="1323" w:type="dxa"/>
            <w:tcBorders>
              <w:top w:val="none" w:sz="0" w:space="0" w:color="auto"/>
              <w:left w:val="none" w:sz="0" w:space="0" w:color="auto"/>
              <w:bottom w:val="none" w:sz="0" w:space="0" w:color="auto"/>
              <w:right w:val="none" w:sz="0" w:space="0" w:color="auto"/>
            </w:tcBorders>
            <w:shd w:val="clear" w:color="auto" w:fill="FFFFFF" w:themeFill="background1"/>
          </w:tcPr>
          <w:p w:rsidR="00C71029" w:rsidRPr="007343C0" w:rsidRDefault="00C71029" w:rsidP="007343C0">
            <w:pPr>
              <w:spacing w:before="40" w:after="44"/>
              <w:jc w:val="center"/>
              <w:cnfStyle w:val="100000000000" w:firstRow="1"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t>(1)</w:t>
            </w:r>
          </w:p>
        </w:tc>
        <w:tc>
          <w:tcPr>
            <w:tcW w:w="1323" w:type="dxa"/>
            <w:tcBorders>
              <w:top w:val="none" w:sz="0" w:space="0" w:color="auto"/>
              <w:left w:val="none" w:sz="0" w:space="0" w:color="auto"/>
              <w:bottom w:val="none" w:sz="0" w:space="0" w:color="auto"/>
              <w:right w:val="none" w:sz="0" w:space="0" w:color="auto"/>
            </w:tcBorders>
            <w:shd w:val="clear" w:color="auto" w:fill="FFFFFF" w:themeFill="background1"/>
          </w:tcPr>
          <w:p w:rsidR="00C71029" w:rsidRPr="007343C0" w:rsidRDefault="00C71029" w:rsidP="007343C0">
            <w:pPr>
              <w:spacing w:before="40" w:after="44"/>
              <w:jc w:val="center"/>
              <w:cnfStyle w:val="100000000000" w:firstRow="1"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t>(2)</w:t>
            </w:r>
          </w:p>
        </w:tc>
        <w:tc>
          <w:tcPr>
            <w:tcW w:w="1323" w:type="dxa"/>
            <w:tcBorders>
              <w:top w:val="none" w:sz="0" w:space="0" w:color="auto"/>
              <w:left w:val="none" w:sz="0" w:space="0" w:color="auto"/>
              <w:bottom w:val="none" w:sz="0" w:space="0" w:color="auto"/>
              <w:right w:val="none" w:sz="0" w:space="0" w:color="auto"/>
            </w:tcBorders>
            <w:shd w:val="clear" w:color="auto" w:fill="FFFFFF" w:themeFill="background1"/>
          </w:tcPr>
          <w:p w:rsidR="00C71029" w:rsidRPr="007343C0" w:rsidRDefault="00C71029" w:rsidP="007343C0">
            <w:pPr>
              <w:spacing w:before="40" w:after="44"/>
              <w:jc w:val="center"/>
              <w:cnfStyle w:val="100000000000" w:firstRow="1"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t>(3)</w:t>
            </w:r>
          </w:p>
        </w:tc>
        <w:tc>
          <w:tcPr>
            <w:tcW w:w="1323" w:type="dxa"/>
            <w:tcBorders>
              <w:top w:val="none" w:sz="0" w:space="0" w:color="auto"/>
              <w:left w:val="none" w:sz="0" w:space="0" w:color="auto"/>
              <w:bottom w:val="none" w:sz="0" w:space="0" w:color="auto"/>
              <w:right w:val="none" w:sz="0" w:space="0" w:color="auto"/>
            </w:tcBorders>
            <w:shd w:val="clear" w:color="auto" w:fill="FFFFFF" w:themeFill="background1"/>
          </w:tcPr>
          <w:p w:rsidR="00C71029" w:rsidRPr="007343C0" w:rsidRDefault="00C71029" w:rsidP="007343C0">
            <w:pPr>
              <w:spacing w:before="40" w:after="44"/>
              <w:jc w:val="center"/>
              <w:cnfStyle w:val="100000000000" w:firstRow="1"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t>(4)</w:t>
            </w:r>
          </w:p>
        </w:tc>
        <w:tc>
          <w:tcPr>
            <w:tcW w:w="1323" w:type="dxa"/>
            <w:tcBorders>
              <w:top w:val="none" w:sz="0" w:space="0" w:color="auto"/>
              <w:left w:val="none" w:sz="0" w:space="0" w:color="auto"/>
              <w:bottom w:val="none" w:sz="0" w:space="0" w:color="auto"/>
              <w:right w:val="none" w:sz="0" w:space="0" w:color="auto"/>
            </w:tcBorders>
            <w:shd w:val="clear" w:color="auto" w:fill="FFFFFF" w:themeFill="background1"/>
          </w:tcPr>
          <w:p w:rsidR="00C71029" w:rsidRPr="007343C0" w:rsidRDefault="00C71029" w:rsidP="007343C0">
            <w:pPr>
              <w:spacing w:before="40" w:after="44"/>
              <w:jc w:val="center"/>
              <w:cnfStyle w:val="100000000000" w:firstRow="1"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t>(5)</w:t>
            </w:r>
          </w:p>
        </w:tc>
      </w:tr>
      <w:tr w:rsidR="00C71029" w:rsidRPr="007343C0" w:rsidTr="0067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rPr>
                <w:sz w:val="19"/>
                <w:szCs w:val="19"/>
                <w:lang w:val="fr-FR"/>
              </w:rPr>
            </w:pPr>
            <m:oMathPara>
              <m:oMathParaPr>
                <m:jc m:val="left"/>
              </m:oMathParaPr>
              <m:oMath>
                <m:r>
                  <m:rPr>
                    <m:sty m:val="b"/>
                  </m:rPr>
                  <w:rPr>
                    <w:rFonts w:ascii="Cambria Math" w:hAnsi="Cambria Math"/>
                    <w:sz w:val="19"/>
                    <w:szCs w:val="19"/>
                    <w:lang w:val="fr-FR"/>
                  </w:rPr>
                  <m:t>ln</m:t>
                </m:r>
                <m:sSub>
                  <m:sSubPr>
                    <m:ctrlPr>
                      <w:rPr>
                        <w:rFonts w:ascii="Cambria Math" w:eastAsiaTheme="minorEastAsia" w:hAnsi="Cambria Math"/>
                        <w:i/>
                        <w:sz w:val="19"/>
                        <w:szCs w:val="19"/>
                        <w:lang w:val="fr-FR"/>
                      </w:rPr>
                    </m:ctrlPr>
                  </m:sSubPr>
                  <m:e>
                    <m:r>
                      <m:rPr>
                        <m:sty m:val="bi"/>
                      </m:rPr>
                      <w:rPr>
                        <w:rFonts w:ascii="Cambria Math" w:eastAsiaTheme="minorEastAsia" w:hAnsi="Cambria Math"/>
                        <w:sz w:val="19"/>
                        <w:szCs w:val="19"/>
                        <w:lang w:val="fr-FR"/>
                      </w:rPr>
                      <m:t>f</m:t>
                    </m:r>
                  </m:e>
                  <m:sub>
                    <m:r>
                      <m:rPr>
                        <m:sty m:val="bi"/>
                      </m:rPr>
                      <w:rPr>
                        <w:rFonts w:ascii="Cambria Math" w:eastAsiaTheme="minorEastAsia" w:hAnsi="Cambria Math"/>
                        <w:sz w:val="19"/>
                        <w:szCs w:val="19"/>
                        <w:lang w:val="fr-FR"/>
                      </w:rPr>
                      <m:t>ijt</m:t>
                    </m:r>
                  </m:sub>
                </m:sSub>
              </m:oMath>
            </m:oMathPara>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noBreakHyphen/>
              <w:t>0,121**</w:t>
            </w:r>
            <w:proofErr w:type="gramStart"/>
            <w:r w:rsidRPr="007343C0">
              <w:rPr>
                <w:sz w:val="19"/>
                <w:szCs w:val="19"/>
                <w:lang w:val="fr-FR"/>
              </w:rPr>
              <w:t>*</w:t>
            </w:r>
            <w:proofErr w:type="gramEnd"/>
            <w:r w:rsidRPr="007343C0">
              <w:rPr>
                <w:sz w:val="19"/>
                <w:szCs w:val="19"/>
                <w:lang w:val="fr-FR"/>
              </w:rPr>
              <w:br/>
              <w:t>(</w:t>
            </w:r>
            <w:r w:rsidRPr="007343C0">
              <w:rPr>
                <w:sz w:val="19"/>
                <w:szCs w:val="19"/>
                <w:lang w:val="fr-FR"/>
              </w:rPr>
              <w:noBreakHyphen/>
              <w:t>7,10)</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noBreakHyphen/>
              <w:t>0,077**</w:t>
            </w:r>
            <w:proofErr w:type="gramStart"/>
            <w:r w:rsidRPr="007343C0">
              <w:rPr>
                <w:sz w:val="19"/>
                <w:szCs w:val="19"/>
                <w:lang w:val="fr-FR"/>
              </w:rPr>
              <w:t>*</w:t>
            </w:r>
            <w:proofErr w:type="gramEnd"/>
            <w:r w:rsidRPr="007343C0">
              <w:rPr>
                <w:sz w:val="19"/>
                <w:szCs w:val="19"/>
                <w:lang w:val="fr-FR"/>
              </w:rPr>
              <w:br/>
              <w:t>(</w:t>
            </w:r>
            <w:r w:rsidRPr="007343C0">
              <w:rPr>
                <w:sz w:val="19"/>
                <w:szCs w:val="19"/>
                <w:lang w:val="fr-FR"/>
              </w:rPr>
              <w:noBreakHyphen/>
              <w:t>4,25)</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noBreakHyphen/>
              <w:t>0,047*</w:t>
            </w:r>
            <w:proofErr w:type="gramStart"/>
            <w:r w:rsidRPr="007343C0">
              <w:rPr>
                <w:sz w:val="19"/>
                <w:szCs w:val="19"/>
                <w:lang w:val="fr-FR"/>
              </w:rPr>
              <w:t>*</w:t>
            </w:r>
            <w:proofErr w:type="gramEnd"/>
            <w:r w:rsidRPr="007343C0">
              <w:rPr>
                <w:sz w:val="19"/>
                <w:szCs w:val="19"/>
                <w:lang w:val="fr-FR"/>
              </w:rPr>
              <w:br/>
              <w:t>(</w:t>
            </w:r>
            <w:r w:rsidRPr="007343C0">
              <w:rPr>
                <w:sz w:val="19"/>
                <w:szCs w:val="19"/>
                <w:lang w:val="fr-FR"/>
              </w:rPr>
              <w:noBreakHyphen/>
              <w:t>2,30)</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p>
        </w:tc>
      </w:tr>
      <w:tr w:rsidR="00C71029" w:rsidRPr="007343C0" w:rsidTr="0067105B">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C71029" w:rsidRPr="007343C0" w:rsidRDefault="00111B84" w:rsidP="007343C0">
            <w:pPr>
              <w:shd w:val="clear" w:color="auto" w:fill="FFFFFF" w:themeFill="background1"/>
              <w:spacing w:before="40" w:after="44"/>
              <w:rPr>
                <w:sz w:val="19"/>
                <w:szCs w:val="19"/>
                <w:lang w:val="fr-FR"/>
              </w:rPr>
            </w:pPr>
            <m:oMathPara>
              <m:oMathParaPr>
                <m:jc m:val="left"/>
              </m:oMathParaPr>
              <m:oMath>
                <m:sSub>
                  <m:sSubPr>
                    <m:ctrlPr>
                      <w:rPr>
                        <w:rFonts w:ascii="Cambria Math" w:hAnsi="Cambria Math"/>
                        <w:i/>
                        <w:sz w:val="19"/>
                        <w:szCs w:val="19"/>
                        <w:lang w:val="fr-FR"/>
                      </w:rPr>
                    </m:ctrlPr>
                  </m:sSubPr>
                  <m:e>
                    <m:r>
                      <m:rPr>
                        <m:sty m:val="bi"/>
                      </m:rPr>
                      <w:rPr>
                        <w:rFonts w:ascii="Cambria Math" w:hAnsi="Cambria Math"/>
                        <w:sz w:val="19"/>
                        <w:szCs w:val="19"/>
                        <w:lang w:val="fr-FR"/>
                      </w:rPr>
                      <m:t>mem</m:t>
                    </m:r>
                  </m:e>
                  <m:sub>
                    <m:r>
                      <m:rPr>
                        <m:sty m:val="bi"/>
                      </m:rPr>
                      <w:rPr>
                        <w:rFonts w:ascii="Cambria Math" w:hAnsi="Cambria Math"/>
                        <w:sz w:val="19"/>
                        <w:szCs w:val="19"/>
                        <w:lang w:val="fr-FR"/>
                      </w:rPr>
                      <m:t>jt</m:t>
                    </m:r>
                  </m:sub>
                </m:sSub>
              </m:oMath>
            </m:oMathPara>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t>0,404*</w:t>
            </w:r>
            <w:r w:rsidRPr="007343C0">
              <w:rPr>
                <w:sz w:val="19"/>
                <w:szCs w:val="19"/>
                <w:lang w:val="fr-FR"/>
              </w:rPr>
              <w:br/>
              <w:t>(1,67)</w:t>
            </w: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t>0,081</w:t>
            </w:r>
            <w:r w:rsidRPr="007343C0">
              <w:rPr>
                <w:sz w:val="19"/>
                <w:szCs w:val="19"/>
                <w:lang w:val="fr-FR"/>
              </w:rPr>
              <w:br/>
              <w:t>(0,18)</w:t>
            </w: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p>
        </w:tc>
      </w:tr>
      <w:tr w:rsidR="00C71029" w:rsidRPr="007343C0" w:rsidTr="0067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C71029" w:rsidRPr="007343C0" w:rsidRDefault="00111B84" w:rsidP="007343C0">
            <w:pPr>
              <w:shd w:val="clear" w:color="auto" w:fill="FFFFFF" w:themeFill="background1"/>
              <w:spacing w:before="40" w:after="44"/>
              <w:rPr>
                <w:sz w:val="19"/>
                <w:szCs w:val="19"/>
                <w:lang w:val="fr-FR"/>
              </w:rPr>
            </w:pPr>
            <m:oMathPara>
              <m:oMathParaPr>
                <m:jc m:val="left"/>
              </m:oMathParaPr>
              <m:oMath>
                <m:sSub>
                  <m:sSubPr>
                    <m:ctrlPr>
                      <w:rPr>
                        <w:rFonts w:ascii="Cambria Math" w:hAnsi="Cambria Math"/>
                        <w:i/>
                        <w:sz w:val="19"/>
                        <w:szCs w:val="19"/>
                        <w:lang w:val="fr-FR"/>
                      </w:rPr>
                    </m:ctrlPr>
                  </m:sSubPr>
                  <m:e>
                    <m:r>
                      <m:rPr>
                        <m:sty m:val="b"/>
                      </m:rPr>
                      <w:rPr>
                        <w:rFonts w:ascii="Cambria Math" w:hAnsi="Cambria Math"/>
                        <w:sz w:val="19"/>
                        <w:szCs w:val="19"/>
                        <w:lang w:val="fr-FR"/>
                      </w:rPr>
                      <m:t>ln</m:t>
                    </m:r>
                    <m:r>
                      <m:rPr>
                        <m:sty m:val="bi"/>
                      </m:rPr>
                      <w:rPr>
                        <w:rFonts w:ascii="Cambria Math" w:hAnsi="Cambria Math"/>
                        <w:sz w:val="19"/>
                        <w:szCs w:val="19"/>
                        <w:lang w:val="fr-FR"/>
                      </w:rPr>
                      <m:t>unemp</m:t>
                    </m:r>
                  </m:e>
                  <m:sub>
                    <m:r>
                      <m:rPr>
                        <m:sty m:val="bi"/>
                      </m:rPr>
                      <w:rPr>
                        <w:rFonts w:ascii="Cambria Math" w:hAnsi="Cambria Math"/>
                        <w:sz w:val="19"/>
                        <w:szCs w:val="19"/>
                        <w:lang w:val="fr-FR"/>
                      </w:rPr>
                      <m:t>jt</m:t>
                    </m:r>
                  </m:sub>
                </m:sSub>
              </m:oMath>
            </m:oMathPara>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noBreakHyphen/>
              <w:t>0,149**</w:t>
            </w:r>
            <w:proofErr w:type="gramStart"/>
            <w:r w:rsidRPr="007343C0">
              <w:rPr>
                <w:sz w:val="19"/>
                <w:szCs w:val="19"/>
                <w:lang w:val="fr-FR"/>
              </w:rPr>
              <w:t>*</w:t>
            </w:r>
            <w:proofErr w:type="gramEnd"/>
            <w:r w:rsidRPr="007343C0">
              <w:rPr>
                <w:sz w:val="19"/>
                <w:szCs w:val="19"/>
                <w:lang w:val="fr-FR"/>
              </w:rPr>
              <w:br/>
              <w:t>(</w:t>
            </w:r>
            <w:r w:rsidRPr="007343C0">
              <w:rPr>
                <w:sz w:val="19"/>
                <w:szCs w:val="19"/>
                <w:lang w:val="fr-FR"/>
              </w:rPr>
              <w:noBreakHyphen/>
              <w:t>20,29)</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noBreakHyphen/>
              <w:t>0,104**</w:t>
            </w:r>
            <w:proofErr w:type="gramStart"/>
            <w:r w:rsidRPr="007343C0">
              <w:rPr>
                <w:sz w:val="19"/>
                <w:szCs w:val="19"/>
                <w:lang w:val="fr-FR"/>
              </w:rPr>
              <w:t>*</w:t>
            </w:r>
            <w:proofErr w:type="gramEnd"/>
            <w:r w:rsidRPr="007343C0">
              <w:rPr>
                <w:sz w:val="19"/>
                <w:szCs w:val="19"/>
                <w:lang w:val="fr-FR"/>
              </w:rPr>
              <w:br/>
              <w:t>(</w:t>
            </w:r>
            <w:r w:rsidRPr="007343C0">
              <w:rPr>
                <w:sz w:val="19"/>
                <w:szCs w:val="19"/>
                <w:lang w:val="fr-FR"/>
              </w:rPr>
              <w:noBreakHyphen/>
              <w:t>12,57)</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noBreakHyphen/>
              <w:t>0,104**</w:t>
            </w:r>
            <w:proofErr w:type="gramStart"/>
            <w:r w:rsidRPr="007343C0">
              <w:rPr>
                <w:sz w:val="19"/>
                <w:szCs w:val="19"/>
                <w:lang w:val="fr-FR"/>
              </w:rPr>
              <w:t>*</w:t>
            </w:r>
            <w:proofErr w:type="gramEnd"/>
            <w:r w:rsidRPr="007343C0">
              <w:rPr>
                <w:sz w:val="19"/>
                <w:szCs w:val="19"/>
                <w:lang w:val="fr-FR"/>
              </w:rPr>
              <w:br/>
              <w:t>(</w:t>
            </w:r>
            <w:r w:rsidRPr="007343C0">
              <w:rPr>
                <w:sz w:val="19"/>
                <w:szCs w:val="19"/>
                <w:lang w:val="fr-FR"/>
              </w:rPr>
              <w:noBreakHyphen/>
              <w:t>12,61)</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noBreakHyphen/>
              <w:t>0,106**</w:t>
            </w:r>
            <w:proofErr w:type="gramStart"/>
            <w:r w:rsidRPr="007343C0">
              <w:rPr>
                <w:sz w:val="19"/>
                <w:szCs w:val="19"/>
                <w:lang w:val="fr-FR"/>
              </w:rPr>
              <w:t>*</w:t>
            </w:r>
            <w:proofErr w:type="gramEnd"/>
            <w:r w:rsidRPr="007343C0">
              <w:rPr>
                <w:sz w:val="19"/>
                <w:szCs w:val="19"/>
                <w:lang w:val="fr-FR"/>
              </w:rPr>
              <w:br/>
              <w:t>(</w:t>
            </w:r>
            <w:r w:rsidRPr="007343C0">
              <w:rPr>
                <w:sz w:val="19"/>
                <w:szCs w:val="19"/>
                <w:lang w:val="fr-FR"/>
              </w:rPr>
              <w:noBreakHyphen/>
              <w:t>12,83)</w:t>
            </w:r>
          </w:p>
        </w:tc>
      </w:tr>
      <w:tr w:rsidR="00C71029" w:rsidRPr="007343C0" w:rsidTr="0067105B">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C71029" w:rsidRPr="007343C0" w:rsidRDefault="00C71029" w:rsidP="007343C0">
            <w:pPr>
              <w:shd w:val="clear" w:color="auto" w:fill="FFFFFF" w:themeFill="background1"/>
              <w:spacing w:before="40" w:after="44"/>
              <w:rPr>
                <w:sz w:val="19"/>
                <w:szCs w:val="19"/>
                <w:lang w:val="fr-FR"/>
              </w:rPr>
            </w:pPr>
            <w:r w:rsidRPr="007343C0">
              <w:rPr>
                <w:sz w:val="19"/>
                <w:szCs w:val="19"/>
                <w:lang w:val="fr-FR"/>
              </w:rPr>
              <w:t>Déposant (université)</w:t>
            </w: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t>0,828***</w:t>
            </w:r>
            <w:r w:rsidRPr="007343C0">
              <w:rPr>
                <w:sz w:val="19"/>
                <w:szCs w:val="19"/>
                <w:lang w:val="fr-FR"/>
              </w:rPr>
              <w:br/>
              <w:t>(74,92)</w:t>
            </w: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t>0,826***</w:t>
            </w:r>
            <w:r w:rsidRPr="007343C0">
              <w:rPr>
                <w:sz w:val="19"/>
                <w:szCs w:val="19"/>
                <w:lang w:val="fr-FR"/>
              </w:rPr>
              <w:br/>
              <w:t>(73,24)</w:t>
            </w: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t>0,848***</w:t>
            </w:r>
            <w:r w:rsidRPr="007343C0">
              <w:rPr>
                <w:sz w:val="19"/>
                <w:szCs w:val="19"/>
                <w:lang w:val="fr-FR"/>
              </w:rPr>
              <w:br/>
              <w:t>(63,73)</w:t>
            </w: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t>0,845***</w:t>
            </w:r>
            <w:r w:rsidRPr="007343C0">
              <w:rPr>
                <w:sz w:val="19"/>
                <w:szCs w:val="19"/>
                <w:lang w:val="fr-FR"/>
              </w:rPr>
              <w:br/>
              <w:t>(63,52)</w:t>
            </w: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t>1,261***</w:t>
            </w:r>
            <w:r w:rsidRPr="007343C0">
              <w:rPr>
                <w:sz w:val="19"/>
                <w:szCs w:val="19"/>
                <w:lang w:val="fr-FR"/>
              </w:rPr>
              <w:br/>
              <w:t>(49,08)</w:t>
            </w:r>
          </w:p>
        </w:tc>
      </w:tr>
      <w:tr w:rsidR="00C71029" w:rsidRPr="007343C0" w:rsidTr="0067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rPr>
                <w:sz w:val="19"/>
                <w:szCs w:val="19"/>
                <w:lang w:val="fr-FR"/>
              </w:rPr>
            </w:pPr>
            <w:r w:rsidRPr="007343C0">
              <w:rPr>
                <w:sz w:val="19"/>
                <w:szCs w:val="19"/>
                <w:lang w:val="fr-FR"/>
              </w:rPr>
              <w:t>Déposant (organisme de recherche public)</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t>0,249***</w:t>
            </w:r>
            <w:r w:rsidRPr="007343C0">
              <w:rPr>
                <w:sz w:val="19"/>
                <w:szCs w:val="19"/>
                <w:lang w:val="fr-FR"/>
              </w:rPr>
              <w:br/>
              <w:t>(23,30)</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t>0,215***</w:t>
            </w:r>
            <w:r w:rsidRPr="007343C0">
              <w:rPr>
                <w:sz w:val="19"/>
                <w:szCs w:val="19"/>
                <w:lang w:val="fr-FR"/>
              </w:rPr>
              <w:br/>
              <w:t>(19,67)</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t>0,357***</w:t>
            </w:r>
            <w:r w:rsidRPr="007343C0">
              <w:rPr>
                <w:sz w:val="19"/>
                <w:szCs w:val="19"/>
                <w:lang w:val="fr-FR"/>
              </w:rPr>
              <w:br/>
              <w:t>(29,11)</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t>0,344***</w:t>
            </w:r>
            <w:r w:rsidRPr="007343C0">
              <w:rPr>
                <w:sz w:val="19"/>
                <w:szCs w:val="19"/>
                <w:lang w:val="fr-FR"/>
              </w:rPr>
              <w:br/>
              <w:t>(27,98)</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t>0,624***</w:t>
            </w:r>
            <w:r w:rsidRPr="007343C0">
              <w:rPr>
                <w:sz w:val="19"/>
                <w:szCs w:val="19"/>
                <w:lang w:val="fr-FR"/>
              </w:rPr>
              <w:br/>
              <w:t>(26,97)</w:t>
            </w:r>
          </w:p>
        </w:tc>
      </w:tr>
      <w:tr w:rsidR="00C71029" w:rsidRPr="007343C0" w:rsidTr="0067105B">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C71029" w:rsidRPr="007343C0" w:rsidRDefault="00C71029" w:rsidP="007343C0">
            <w:pPr>
              <w:shd w:val="clear" w:color="auto" w:fill="FFFFFF" w:themeFill="background1"/>
              <w:spacing w:before="40" w:after="44"/>
              <w:rPr>
                <w:sz w:val="19"/>
                <w:szCs w:val="19"/>
                <w:lang w:val="fr-FR"/>
              </w:rPr>
            </w:pPr>
            <w:r w:rsidRPr="007343C0">
              <w:rPr>
                <w:sz w:val="19"/>
                <w:szCs w:val="19"/>
                <w:lang w:val="fr-FR"/>
              </w:rPr>
              <w:t xml:space="preserve">2 offices </w:t>
            </w: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noBreakHyphen/>
              <w:t>0,654**</w:t>
            </w:r>
            <w:proofErr w:type="gramStart"/>
            <w:r w:rsidRPr="007343C0">
              <w:rPr>
                <w:sz w:val="19"/>
                <w:szCs w:val="19"/>
                <w:lang w:val="fr-FR"/>
              </w:rPr>
              <w:t>*</w:t>
            </w:r>
            <w:proofErr w:type="gramEnd"/>
            <w:r w:rsidRPr="007343C0">
              <w:rPr>
                <w:sz w:val="19"/>
                <w:szCs w:val="19"/>
                <w:lang w:val="fr-FR"/>
              </w:rPr>
              <w:br/>
              <w:t>(</w:t>
            </w:r>
            <w:r w:rsidRPr="007343C0">
              <w:rPr>
                <w:sz w:val="19"/>
                <w:szCs w:val="19"/>
                <w:lang w:val="fr-FR"/>
              </w:rPr>
              <w:noBreakHyphen/>
              <w:t>4,20)</w:t>
            </w: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noBreakHyphen/>
              <w:t>0,651**</w:t>
            </w:r>
            <w:proofErr w:type="gramStart"/>
            <w:r w:rsidRPr="007343C0">
              <w:rPr>
                <w:sz w:val="19"/>
                <w:szCs w:val="19"/>
                <w:lang w:val="fr-FR"/>
              </w:rPr>
              <w:t>*</w:t>
            </w:r>
            <w:proofErr w:type="gramEnd"/>
            <w:r w:rsidRPr="007343C0">
              <w:rPr>
                <w:sz w:val="19"/>
                <w:szCs w:val="19"/>
                <w:lang w:val="fr-FR"/>
              </w:rPr>
              <w:br/>
              <w:t>(</w:t>
            </w:r>
            <w:r w:rsidRPr="007343C0">
              <w:rPr>
                <w:sz w:val="19"/>
                <w:szCs w:val="19"/>
                <w:lang w:val="fr-FR"/>
              </w:rPr>
              <w:noBreakHyphen/>
              <w:t>4,17)</w:t>
            </w: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noBreakHyphen/>
              <w:t>0,705**</w:t>
            </w:r>
            <w:proofErr w:type="gramStart"/>
            <w:r w:rsidRPr="007343C0">
              <w:rPr>
                <w:sz w:val="19"/>
                <w:szCs w:val="19"/>
                <w:lang w:val="fr-FR"/>
              </w:rPr>
              <w:t>*</w:t>
            </w:r>
            <w:proofErr w:type="gramEnd"/>
            <w:r w:rsidRPr="007343C0">
              <w:rPr>
                <w:sz w:val="19"/>
                <w:szCs w:val="19"/>
                <w:lang w:val="fr-FR"/>
              </w:rPr>
              <w:br/>
              <w:t>(</w:t>
            </w:r>
            <w:r w:rsidRPr="007343C0">
              <w:rPr>
                <w:sz w:val="19"/>
                <w:szCs w:val="19"/>
                <w:lang w:val="fr-FR"/>
              </w:rPr>
              <w:noBreakHyphen/>
              <w:t>4,52)</w:t>
            </w:r>
          </w:p>
        </w:tc>
      </w:tr>
      <w:tr w:rsidR="00C71029" w:rsidRPr="007343C0" w:rsidTr="0067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rPr>
                <w:sz w:val="19"/>
                <w:szCs w:val="19"/>
                <w:lang w:val="fr-FR"/>
              </w:rPr>
            </w:pPr>
            <w:r w:rsidRPr="007343C0">
              <w:rPr>
                <w:sz w:val="19"/>
                <w:szCs w:val="19"/>
                <w:lang w:val="fr-FR"/>
              </w:rPr>
              <w:t>3 offices</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noBreakHyphen/>
              <w:t>0,288*</w:t>
            </w:r>
            <w:r w:rsidRPr="007343C0">
              <w:rPr>
                <w:sz w:val="19"/>
                <w:szCs w:val="19"/>
                <w:lang w:val="fr-FR"/>
              </w:rPr>
              <w:br/>
              <w:t>(</w:t>
            </w:r>
            <w:r w:rsidRPr="007343C0">
              <w:rPr>
                <w:sz w:val="19"/>
                <w:szCs w:val="19"/>
                <w:lang w:val="fr-FR"/>
              </w:rPr>
              <w:noBreakHyphen/>
              <w:t>1,85)</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noBreakHyphen/>
            </w:r>
            <w:proofErr w:type="gramStart"/>
            <w:r w:rsidRPr="007343C0">
              <w:rPr>
                <w:sz w:val="19"/>
                <w:szCs w:val="19"/>
                <w:lang w:val="fr-FR"/>
              </w:rPr>
              <w:t>0,240</w:t>
            </w:r>
            <w:proofErr w:type="gramEnd"/>
            <w:r w:rsidRPr="007343C0">
              <w:rPr>
                <w:sz w:val="19"/>
                <w:szCs w:val="19"/>
                <w:lang w:val="fr-FR"/>
              </w:rPr>
              <w:br/>
              <w:t>(</w:t>
            </w:r>
            <w:r w:rsidRPr="007343C0">
              <w:rPr>
                <w:sz w:val="19"/>
                <w:szCs w:val="19"/>
                <w:lang w:val="fr-FR"/>
              </w:rPr>
              <w:noBreakHyphen/>
              <w:t>1,54)</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noBreakHyphen/>
              <w:t>0,342*</w:t>
            </w:r>
            <w:proofErr w:type="gramStart"/>
            <w:r w:rsidRPr="007343C0">
              <w:rPr>
                <w:sz w:val="19"/>
                <w:szCs w:val="19"/>
                <w:lang w:val="fr-FR"/>
              </w:rPr>
              <w:t>*</w:t>
            </w:r>
            <w:proofErr w:type="gramEnd"/>
            <w:r w:rsidRPr="007343C0">
              <w:rPr>
                <w:sz w:val="19"/>
                <w:szCs w:val="19"/>
                <w:lang w:val="fr-FR"/>
              </w:rPr>
              <w:br/>
              <w:t>(</w:t>
            </w:r>
            <w:r w:rsidRPr="007343C0">
              <w:rPr>
                <w:sz w:val="19"/>
                <w:szCs w:val="19"/>
                <w:lang w:val="fr-FR"/>
              </w:rPr>
              <w:noBreakHyphen/>
              <w:t>2,19)</w:t>
            </w:r>
          </w:p>
        </w:tc>
      </w:tr>
      <w:tr w:rsidR="00C71029" w:rsidRPr="007343C0" w:rsidTr="0067105B">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C71029" w:rsidRPr="007343C0" w:rsidRDefault="00C71029" w:rsidP="007343C0">
            <w:pPr>
              <w:shd w:val="clear" w:color="auto" w:fill="FFFFFF" w:themeFill="background1"/>
              <w:spacing w:before="40" w:after="44"/>
              <w:rPr>
                <w:sz w:val="19"/>
                <w:szCs w:val="19"/>
                <w:lang w:val="fr-FR"/>
              </w:rPr>
            </w:pPr>
            <w:r w:rsidRPr="007343C0">
              <w:rPr>
                <w:sz w:val="19"/>
                <w:szCs w:val="19"/>
                <w:lang w:val="fr-FR"/>
              </w:rPr>
              <w:t>4 offices</w:t>
            </w: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t>0,026</w:t>
            </w:r>
            <w:r w:rsidRPr="007343C0">
              <w:rPr>
                <w:sz w:val="19"/>
                <w:szCs w:val="19"/>
                <w:lang w:val="fr-FR"/>
              </w:rPr>
              <w:br/>
              <w:t>(0,16)</w:t>
            </w: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t>0,156</w:t>
            </w:r>
            <w:r w:rsidRPr="007343C0">
              <w:rPr>
                <w:sz w:val="19"/>
                <w:szCs w:val="19"/>
                <w:lang w:val="fr-FR"/>
              </w:rPr>
              <w:br/>
              <w:t>(1,00)</w:t>
            </w: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noBreakHyphen/>
            </w:r>
            <w:proofErr w:type="gramStart"/>
            <w:r w:rsidRPr="007343C0">
              <w:rPr>
                <w:sz w:val="19"/>
                <w:szCs w:val="19"/>
                <w:lang w:val="fr-FR"/>
              </w:rPr>
              <w:t>0,029</w:t>
            </w:r>
            <w:proofErr w:type="gramEnd"/>
            <w:r w:rsidRPr="007343C0">
              <w:rPr>
                <w:sz w:val="19"/>
                <w:szCs w:val="19"/>
                <w:lang w:val="fr-FR"/>
              </w:rPr>
              <w:br/>
              <w:t>(</w:t>
            </w:r>
            <w:r w:rsidRPr="007343C0">
              <w:rPr>
                <w:sz w:val="19"/>
                <w:szCs w:val="19"/>
                <w:lang w:val="fr-FR"/>
              </w:rPr>
              <w:noBreakHyphen/>
              <w:t>0,18)</w:t>
            </w:r>
          </w:p>
        </w:tc>
      </w:tr>
      <w:tr w:rsidR="00C71029" w:rsidRPr="007343C0" w:rsidTr="0067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rPr>
                <w:sz w:val="19"/>
                <w:szCs w:val="19"/>
                <w:lang w:val="fr-FR"/>
              </w:rPr>
            </w:pPr>
            <w:r w:rsidRPr="007343C0">
              <w:rPr>
                <w:sz w:val="19"/>
                <w:szCs w:val="19"/>
                <w:lang w:val="fr-FR"/>
              </w:rPr>
              <w:t>5 offices</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t>0,248</w:t>
            </w:r>
            <w:r w:rsidRPr="007343C0">
              <w:rPr>
                <w:sz w:val="19"/>
                <w:szCs w:val="19"/>
                <w:lang w:val="fr-FR"/>
              </w:rPr>
              <w:br/>
              <w:t>(1,59)</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t>0,301*</w:t>
            </w:r>
            <w:r w:rsidRPr="007343C0">
              <w:rPr>
                <w:sz w:val="19"/>
                <w:szCs w:val="19"/>
                <w:lang w:val="fr-FR"/>
              </w:rPr>
              <w:br/>
              <w:t>(1,93)</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t>0,194</w:t>
            </w:r>
            <w:r w:rsidRPr="007343C0">
              <w:rPr>
                <w:sz w:val="19"/>
                <w:szCs w:val="19"/>
                <w:lang w:val="fr-FR"/>
              </w:rPr>
              <w:br/>
              <w:t>(1,24)</w:t>
            </w:r>
          </w:p>
        </w:tc>
      </w:tr>
      <w:tr w:rsidR="00C71029" w:rsidRPr="007343C0" w:rsidTr="0067105B">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C71029" w:rsidRPr="007343C0" w:rsidRDefault="00C71029" w:rsidP="007343C0">
            <w:pPr>
              <w:shd w:val="clear" w:color="auto" w:fill="FFFFFF" w:themeFill="background1"/>
              <w:spacing w:before="40" w:after="44"/>
              <w:rPr>
                <w:sz w:val="19"/>
                <w:szCs w:val="19"/>
                <w:lang w:val="fr-FR"/>
              </w:rPr>
            </w:pPr>
            <w:r w:rsidRPr="007343C0">
              <w:rPr>
                <w:sz w:val="19"/>
                <w:szCs w:val="19"/>
                <w:lang w:val="fr-FR"/>
              </w:rPr>
              <w:t>6 offices ou plus</w:t>
            </w: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t>0,551***</w:t>
            </w:r>
            <w:r w:rsidRPr="007343C0">
              <w:rPr>
                <w:sz w:val="19"/>
                <w:szCs w:val="19"/>
                <w:lang w:val="fr-FR"/>
              </w:rPr>
              <w:br/>
              <w:t>(3,54)</w:t>
            </w: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t>0,460**</w:t>
            </w:r>
            <w:r w:rsidRPr="007343C0">
              <w:rPr>
                <w:sz w:val="19"/>
                <w:szCs w:val="19"/>
                <w:lang w:val="fr-FR"/>
              </w:rPr>
              <w:br/>
              <w:t>(2,95)</w:t>
            </w: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t>0,499***</w:t>
            </w:r>
            <w:r w:rsidRPr="007343C0">
              <w:rPr>
                <w:sz w:val="19"/>
                <w:szCs w:val="19"/>
                <w:lang w:val="fr-FR"/>
              </w:rPr>
              <w:br/>
              <w:t>(3,20)</w:t>
            </w:r>
          </w:p>
        </w:tc>
      </w:tr>
      <w:tr w:rsidR="00C71029" w:rsidRPr="007343C0" w:rsidTr="0067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rPr>
                <w:sz w:val="19"/>
                <w:szCs w:val="19"/>
                <w:lang w:val="fr-FR"/>
              </w:rPr>
            </w:pPr>
            <m:oMath>
              <m:r>
                <m:rPr>
                  <m:sty m:val="b"/>
                </m:rPr>
                <w:rPr>
                  <w:rFonts w:ascii="Cambria Math" w:hAnsi="Cambria Math"/>
                  <w:sz w:val="19"/>
                  <w:szCs w:val="19"/>
                  <w:lang w:val="fr-FR"/>
                </w:rPr>
                <m:t>ln</m:t>
              </m:r>
              <m:sSub>
                <m:sSubPr>
                  <m:ctrlPr>
                    <w:rPr>
                      <w:rFonts w:ascii="Cambria Math" w:eastAsiaTheme="minorEastAsia" w:hAnsi="Cambria Math"/>
                      <w:i/>
                      <w:sz w:val="19"/>
                      <w:szCs w:val="19"/>
                      <w:lang w:val="fr-FR"/>
                    </w:rPr>
                  </m:ctrlPr>
                </m:sSubPr>
                <m:e>
                  <m:r>
                    <m:rPr>
                      <m:sty m:val="bi"/>
                    </m:rPr>
                    <w:rPr>
                      <w:rFonts w:ascii="Cambria Math" w:eastAsiaTheme="minorEastAsia" w:hAnsi="Cambria Math"/>
                      <w:sz w:val="19"/>
                      <w:szCs w:val="19"/>
                      <w:lang w:val="fr-FR"/>
                    </w:rPr>
                    <m:t>f</m:t>
                  </m:r>
                </m:e>
                <m:sub>
                  <m:r>
                    <m:rPr>
                      <m:sty m:val="bi"/>
                    </m:rPr>
                    <w:rPr>
                      <w:rFonts w:ascii="Cambria Math" w:eastAsiaTheme="minorEastAsia" w:hAnsi="Cambria Math"/>
                      <w:sz w:val="19"/>
                      <w:szCs w:val="19"/>
                      <w:lang w:val="fr-FR"/>
                    </w:rPr>
                    <m:t>ijt</m:t>
                  </m:r>
                </m:sub>
              </m:sSub>
            </m:oMath>
            <w:r w:rsidRPr="007343C0">
              <w:rPr>
                <w:rFonts w:eastAsiaTheme="minorEastAsia"/>
                <w:sz w:val="19"/>
                <w:szCs w:val="19"/>
                <w:lang w:val="fr-FR"/>
              </w:rPr>
              <w:t xml:space="preserve"> * (2 offices)</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noBreakHyphen/>
              <w:t>0,048*</w:t>
            </w:r>
            <w:proofErr w:type="gramStart"/>
            <w:r w:rsidRPr="007343C0">
              <w:rPr>
                <w:sz w:val="19"/>
                <w:szCs w:val="19"/>
                <w:lang w:val="fr-FR"/>
              </w:rPr>
              <w:t>*</w:t>
            </w:r>
            <w:proofErr w:type="gramEnd"/>
            <w:r w:rsidRPr="007343C0">
              <w:rPr>
                <w:sz w:val="19"/>
                <w:szCs w:val="19"/>
                <w:lang w:val="fr-FR"/>
              </w:rPr>
              <w:br/>
              <w:t>(</w:t>
            </w:r>
            <w:r w:rsidRPr="007343C0">
              <w:rPr>
                <w:sz w:val="19"/>
                <w:szCs w:val="19"/>
                <w:lang w:val="fr-FR"/>
              </w:rPr>
              <w:noBreakHyphen/>
              <w:t>2,36)</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p>
        </w:tc>
      </w:tr>
      <w:tr w:rsidR="00C71029" w:rsidRPr="007343C0" w:rsidTr="0067105B">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C71029" w:rsidRPr="007343C0" w:rsidRDefault="00C71029" w:rsidP="007343C0">
            <w:pPr>
              <w:shd w:val="clear" w:color="auto" w:fill="FFFFFF" w:themeFill="background1"/>
              <w:spacing w:before="40" w:after="44"/>
              <w:rPr>
                <w:sz w:val="19"/>
                <w:szCs w:val="19"/>
                <w:lang w:val="fr-FR"/>
              </w:rPr>
            </w:pPr>
            <m:oMath>
              <m:r>
                <m:rPr>
                  <m:sty m:val="b"/>
                </m:rPr>
                <w:rPr>
                  <w:rFonts w:ascii="Cambria Math" w:hAnsi="Cambria Math"/>
                  <w:sz w:val="19"/>
                  <w:szCs w:val="19"/>
                  <w:lang w:val="fr-FR"/>
                </w:rPr>
                <m:t>ln</m:t>
              </m:r>
              <m:sSub>
                <m:sSubPr>
                  <m:ctrlPr>
                    <w:rPr>
                      <w:rFonts w:ascii="Cambria Math" w:eastAsiaTheme="minorEastAsia" w:hAnsi="Cambria Math"/>
                      <w:i/>
                      <w:sz w:val="19"/>
                      <w:szCs w:val="19"/>
                      <w:lang w:val="fr-FR"/>
                    </w:rPr>
                  </m:ctrlPr>
                </m:sSubPr>
                <m:e>
                  <m:r>
                    <m:rPr>
                      <m:sty m:val="bi"/>
                    </m:rPr>
                    <w:rPr>
                      <w:rFonts w:ascii="Cambria Math" w:eastAsiaTheme="minorEastAsia" w:hAnsi="Cambria Math"/>
                      <w:sz w:val="19"/>
                      <w:szCs w:val="19"/>
                      <w:lang w:val="fr-FR"/>
                    </w:rPr>
                    <m:t>f</m:t>
                  </m:r>
                </m:e>
                <m:sub>
                  <m:r>
                    <m:rPr>
                      <m:sty m:val="bi"/>
                    </m:rPr>
                    <w:rPr>
                      <w:rFonts w:ascii="Cambria Math" w:eastAsiaTheme="minorEastAsia" w:hAnsi="Cambria Math"/>
                      <w:sz w:val="19"/>
                      <w:szCs w:val="19"/>
                      <w:lang w:val="fr-FR"/>
                    </w:rPr>
                    <m:t>ijt</m:t>
                  </m:r>
                </m:sub>
              </m:sSub>
            </m:oMath>
            <w:r w:rsidRPr="007343C0">
              <w:rPr>
                <w:rFonts w:eastAsiaTheme="minorEastAsia"/>
                <w:sz w:val="19"/>
                <w:szCs w:val="19"/>
                <w:lang w:val="fr-FR"/>
              </w:rPr>
              <w:t xml:space="preserve"> * (3 offices)</w:t>
            </w: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noBreakHyphen/>
              <w:t>0,059**</w:t>
            </w:r>
            <w:proofErr w:type="gramStart"/>
            <w:r w:rsidRPr="007343C0">
              <w:rPr>
                <w:sz w:val="19"/>
                <w:szCs w:val="19"/>
                <w:lang w:val="fr-FR"/>
              </w:rPr>
              <w:t>*</w:t>
            </w:r>
            <w:proofErr w:type="gramEnd"/>
            <w:r w:rsidRPr="007343C0">
              <w:rPr>
                <w:sz w:val="19"/>
                <w:szCs w:val="19"/>
                <w:lang w:val="fr-FR"/>
              </w:rPr>
              <w:br/>
              <w:t>(</w:t>
            </w:r>
            <w:r w:rsidRPr="007343C0">
              <w:rPr>
                <w:sz w:val="19"/>
                <w:szCs w:val="19"/>
                <w:lang w:val="fr-FR"/>
              </w:rPr>
              <w:noBreakHyphen/>
              <w:t>2,87)</w:t>
            </w: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p>
        </w:tc>
      </w:tr>
      <w:tr w:rsidR="00C71029" w:rsidRPr="007343C0" w:rsidTr="0067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rPr>
                <w:sz w:val="19"/>
                <w:szCs w:val="19"/>
                <w:lang w:val="fr-FR"/>
              </w:rPr>
            </w:pPr>
            <m:oMath>
              <m:r>
                <m:rPr>
                  <m:sty m:val="b"/>
                </m:rPr>
                <w:rPr>
                  <w:rFonts w:ascii="Cambria Math" w:hAnsi="Cambria Math"/>
                  <w:sz w:val="19"/>
                  <w:szCs w:val="19"/>
                  <w:lang w:val="fr-FR"/>
                </w:rPr>
                <m:t>ln</m:t>
              </m:r>
              <m:sSub>
                <m:sSubPr>
                  <m:ctrlPr>
                    <w:rPr>
                      <w:rFonts w:ascii="Cambria Math" w:eastAsiaTheme="minorEastAsia" w:hAnsi="Cambria Math"/>
                      <w:i/>
                      <w:sz w:val="19"/>
                      <w:szCs w:val="19"/>
                      <w:lang w:val="fr-FR"/>
                    </w:rPr>
                  </m:ctrlPr>
                </m:sSubPr>
                <m:e>
                  <m:r>
                    <m:rPr>
                      <m:sty m:val="bi"/>
                    </m:rPr>
                    <w:rPr>
                      <w:rFonts w:ascii="Cambria Math" w:eastAsiaTheme="minorEastAsia" w:hAnsi="Cambria Math"/>
                      <w:sz w:val="19"/>
                      <w:szCs w:val="19"/>
                      <w:lang w:val="fr-FR"/>
                    </w:rPr>
                    <m:t>f</m:t>
                  </m:r>
                </m:e>
                <m:sub>
                  <m:r>
                    <m:rPr>
                      <m:sty m:val="bi"/>
                    </m:rPr>
                    <w:rPr>
                      <w:rFonts w:ascii="Cambria Math" w:eastAsiaTheme="minorEastAsia" w:hAnsi="Cambria Math"/>
                      <w:sz w:val="19"/>
                      <w:szCs w:val="19"/>
                      <w:lang w:val="fr-FR"/>
                    </w:rPr>
                    <m:t>ijt</m:t>
                  </m:r>
                </m:sub>
              </m:sSub>
            </m:oMath>
            <w:r w:rsidRPr="007343C0">
              <w:rPr>
                <w:rFonts w:eastAsiaTheme="minorEastAsia"/>
                <w:sz w:val="19"/>
                <w:szCs w:val="19"/>
                <w:lang w:val="fr-FR"/>
              </w:rPr>
              <w:t xml:space="preserve"> * (4 offices)</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noBreakHyphen/>
              <w:t>0,076**</w:t>
            </w:r>
            <w:proofErr w:type="gramStart"/>
            <w:r w:rsidRPr="007343C0">
              <w:rPr>
                <w:sz w:val="19"/>
                <w:szCs w:val="19"/>
                <w:lang w:val="fr-FR"/>
              </w:rPr>
              <w:t>*</w:t>
            </w:r>
            <w:proofErr w:type="gramEnd"/>
            <w:r w:rsidRPr="007343C0">
              <w:rPr>
                <w:sz w:val="19"/>
                <w:szCs w:val="19"/>
                <w:lang w:val="fr-FR"/>
              </w:rPr>
              <w:br/>
              <w:t>(</w:t>
            </w:r>
            <w:r w:rsidRPr="007343C0">
              <w:rPr>
                <w:sz w:val="19"/>
                <w:szCs w:val="19"/>
                <w:lang w:val="fr-FR"/>
              </w:rPr>
              <w:noBreakHyphen/>
              <w:t>3,69)</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p>
        </w:tc>
      </w:tr>
      <w:tr w:rsidR="00C71029" w:rsidRPr="007343C0" w:rsidTr="0067105B">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C71029" w:rsidRPr="007343C0" w:rsidRDefault="00C71029" w:rsidP="007343C0">
            <w:pPr>
              <w:shd w:val="clear" w:color="auto" w:fill="FFFFFF" w:themeFill="background1"/>
              <w:spacing w:before="40" w:after="44"/>
              <w:rPr>
                <w:sz w:val="19"/>
                <w:szCs w:val="19"/>
                <w:lang w:val="fr-FR"/>
              </w:rPr>
            </w:pPr>
            <m:oMath>
              <m:r>
                <m:rPr>
                  <m:sty m:val="b"/>
                </m:rPr>
                <w:rPr>
                  <w:rFonts w:ascii="Cambria Math" w:hAnsi="Cambria Math"/>
                  <w:sz w:val="19"/>
                  <w:szCs w:val="19"/>
                  <w:lang w:val="fr-FR"/>
                </w:rPr>
                <m:t>ln</m:t>
              </m:r>
              <m:sSub>
                <m:sSubPr>
                  <m:ctrlPr>
                    <w:rPr>
                      <w:rFonts w:ascii="Cambria Math" w:eastAsiaTheme="minorEastAsia" w:hAnsi="Cambria Math"/>
                      <w:i/>
                      <w:sz w:val="19"/>
                      <w:szCs w:val="19"/>
                      <w:lang w:val="fr-FR"/>
                    </w:rPr>
                  </m:ctrlPr>
                </m:sSubPr>
                <m:e>
                  <m:r>
                    <m:rPr>
                      <m:sty m:val="bi"/>
                    </m:rPr>
                    <w:rPr>
                      <w:rFonts w:ascii="Cambria Math" w:eastAsiaTheme="minorEastAsia" w:hAnsi="Cambria Math"/>
                      <w:sz w:val="19"/>
                      <w:szCs w:val="19"/>
                      <w:lang w:val="fr-FR"/>
                    </w:rPr>
                    <m:t>f</m:t>
                  </m:r>
                </m:e>
                <m:sub>
                  <m:r>
                    <m:rPr>
                      <m:sty m:val="bi"/>
                    </m:rPr>
                    <w:rPr>
                      <w:rFonts w:ascii="Cambria Math" w:eastAsiaTheme="minorEastAsia" w:hAnsi="Cambria Math"/>
                      <w:sz w:val="19"/>
                      <w:szCs w:val="19"/>
                      <w:lang w:val="fr-FR"/>
                    </w:rPr>
                    <m:t>ijt</m:t>
                  </m:r>
                </m:sub>
              </m:sSub>
            </m:oMath>
            <w:r w:rsidRPr="007343C0">
              <w:rPr>
                <w:rFonts w:eastAsiaTheme="minorEastAsia"/>
                <w:sz w:val="19"/>
                <w:szCs w:val="19"/>
                <w:lang w:val="fr-FR"/>
              </w:rPr>
              <w:t xml:space="preserve"> * (5 offices)</w:t>
            </w: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noBreakHyphen/>
              <w:t>0,060**</w:t>
            </w:r>
            <w:proofErr w:type="gramStart"/>
            <w:r w:rsidRPr="007343C0">
              <w:rPr>
                <w:sz w:val="19"/>
                <w:szCs w:val="19"/>
                <w:lang w:val="fr-FR"/>
              </w:rPr>
              <w:t>*</w:t>
            </w:r>
            <w:proofErr w:type="gramEnd"/>
            <w:r w:rsidRPr="007343C0">
              <w:rPr>
                <w:sz w:val="19"/>
                <w:szCs w:val="19"/>
                <w:lang w:val="fr-FR"/>
              </w:rPr>
              <w:br/>
              <w:t>(</w:t>
            </w:r>
            <w:r w:rsidRPr="007343C0">
              <w:rPr>
                <w:sz w:val="19"/>
                <w:szCs w:val="19"/>
                <w:lang w:val="fr-FR"/>
              </w:rPr>
              <w:noBreakHyphen/>
              <w:t>2,90)</w:t>
            </w: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p>
        </w:tc>
      </w:tr>
      <w:tr w:rsidR="00C71029" w:rsidRPr="007343C0" w:rsidTr="0067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rPr>
                <w:sz w:val="19"/>
                <w:szCs w:val="19"/>
                <w:lang w:val="fr-FR"/>
              </w:rPr>
            </w:pPr>
            <m:oMath>
              <m:r>
                <m:rPr>
                  <m:sty m:val="b"/>
                </m:rPr>
                <w:rPr>
                  <w:rFonts w:ascii="Cambria Math" w:hAnsi="Cambria Math"/>
                  <w:sz w:val="19"/>
                  <w:szCs w:val="19"/>
                  <w:lang w:val="fr-FR"/>
                </w:rPr>
                <m:t>ln</m:t>
              </m:r>
              <m:sSub>
                <m:sSubPr>
                  <m:ctrlPr>
                    <w:rPr>
                      <w:rFonts w:ascii="Cambria Math" w:eastAsiaTheme="minorEastAsia" w:hAnsi="Cambria Math"/>
                      <w:i/>
                      <w:sz w:val="19"/>
                      <w:szCs w:val="19"/>
                      <w:lang w:val="fr-FR"/>
                    </w:rPr>
                  </m:ctrlPr>
                </m:sSubPr>
                <m:e>
                  <m:r>
                    <m:rPr>
                      <m:sty m:val="bi"/>
                    </m:rPr>
                    <w:rPr>
                      <w:rFonts w:ascii="Cambria Math" w:eastAsiaTheme="minorEastAsia" w:hAnsi="Cambria Math"/>
                      <w:sz w:val="19"/>
                      <w:szCs w:val="19"/>
                      <w:lang w:val="fr-FR"/>
                    </w:rPr>
                    <m:t>f</m:t>
                  </m:r>
                </m:e>
                <m:sub>
                  <m:r>
                    <m:rPr>
                      <m:sty m:val="bi"/>
                    </m:rPr>
                    <w:rPr>
                      <w:rFonts w:ascii="Cambria Math" w:eastAsiaTheme="minorEastAsia" w:hAnsi="Cambria Math"/>
                      <w:sz w:val="19"/>
                      <w:szCs w:val="19"/>
                      <w:lang w:val="fr-FR"/>
                    </w:rPr>
                    <m:t>ijt</m:t>
                  </m:r>
                </m:sub>
              </m:sSub>
            </m:oMath>
            <w:r w:rsidRPr="007343C0">
              <w:rPr>
                <w:rFonts w:eastAsiaTheme="minorEastAsia"/>
                <w:sz w:val="19"/>
                <w:szCs w:val="19"/>
                <w:lang w:val="fr-FR"/>
              </w:rPr>
              <w:t xml:space="preserve"> * (6 offices ou plus)</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noBreakHyphen/>
            </w:r>
            <w:proofErr w:type="gramStart"/>
            <w:r w:rsidRPr="007343C0">
              <w:rPr>
                <w:sz w:val="19"/>
                <w:szCs w:val="19"/>
                <w:lang w:val="fr-FR"/>
              </w:rPr>
              <w:t>0,021</w:t>
            </w:r>
            <w:proofErr w:type="gramEnd"/>
            <w:r w:rsidRPr="007343C0">
              <w:rPr>
                <w:sz w:val="19"/>
                <w:szCs w:val="19"/>
                <w:lang w:val="fr-FR"/>
              </w:rPr>
              <w:br/>
              <w:t>(</w:t>
            </w:r>
            <w:r w:rsidRPr="007343C0">
              <w:rPr>
                <w:sz w:val="19"/>
                <w:szCs w:val="19"/>
                <w:lang w:val="fr-FR"/>
              </w:rPr>
              <w:noBreakHyphen/>
              <w:t>1,02)</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p>
        </w:tc>
      </w:tr>
      <w:tr w:rsidR="00C71029" w:rsidRPr="007343C0" w:rsidTr="0067105B">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C71029" w:rsidRPr="007343C0" w:rsidRDefault="00C71029" w:rsidP="007343C0">
            <w:pPr>
              <w:shd w:val="clear" w:color="auto" w:fill="FFFFFF" w:themeFill="background1"/>
              <w:spacing w:before="40" w:after="44"/>
              <w:rPr>
                <w:rFonts w:ascii="Calibri" w:eastAsia="Calibri" w:hAnsi="Calibri" w:cs="Times New Roman"/>
                <w:bCs w:val="0"/>
                <w:sz w:val="19"/>
                <w:szCs w:val="19"/>
                <w:lang w:val="fr-FR"/>
              </w:rPr>
            </w:pPr>
            <m:oMath>
              <m:r>
                <m:rPr>
                  <m:sty m:val="b"/>
                </m:rPr>
                <w:rPr>
                  <w:rFonts w:ascii="Cambria Math" w:hAnsi="Cambria Math"/>
                  <w:sz w:val="19"/>
                  <w:szCs w:val="19"/>
                  <w:lang w:val="fr-FR"/>
                </w:rPr>
                <m:t>ln</m:t>
              </m:r>
              <m:sSub>
                <m:sSubPr>
                  <m:ctrlPr>
                    <w:rPr>
                      <w:rFonts w:ascii="Cambria Math" w:eastAsiaTheme="minorEastAsia" w:hAnsi="Cambria Math"/>
                      <w:i/>
                      <w:sz w:val="19"/>
                      <w:szCs w:val="19"/>
                      <w:lang w:val="fr-FR"/>
                    </w:rPr>
                  </m:ctrlPr>
                </m:sSubPr>
                <m:e>
                  <m:r>
                    <m:rPr>
                      <m:sty m:val="bi"/>
                    </m:rPr>
                    <w:rPr>
                      <w:rFonts w:ascii="Cambria Math" w:eastAsiaTheme="minorEastAsia" w:hAnsi="Cambria Math"/>
                      <w:sz w:val="19"/>
                      <w:szCs w:val="19"/>
                      <w:lang w:val="fr-FR"/>
                    </w:rPr>
                    <m:t>f</m:t>
                  </m:r>
                </m:e>
                <m:sub>
                  <m:r>
                    <m:rPr>
                      <m:sty m:val="bi"/>
                    </m:rPr>
                    <w:rPr>
                      <w:rFonts w:ascii="Cambria Math" w:eastAsiaTheme="minorEastAsia" w:hAnsi="Cambria Math"/>
                      <w:sz w:val="19"/>
                      <w:szCs w:val="19"/>
                      <w:lang w:val="fr-FR"/>
                    </w:rPr>
                    <m:t>ijt</m:t>
                  </m:r>
                </m:sub>
              </m:sSub>
            </m:oMath>
            <w:r w:rsidRPr="007343C0">
              <w:rPr>
                <w:rFonts w:ascii="Calibri" w:eastAsia="Calibri" w:hAnsi="Calibri" w:cs="Times New Roman"/>
                <w:sz w:val="19"/>
                <w:szCs w:val="19"/>
                <w:lang w:val="fr-FR"/>
              </w:rPr>
              <w:t xml:space="preserve"> * (déposant : université)</w:t>
            </w: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noBreakHyphen/>
              <w:t>0,115**</w:t>
            </w:r>
            <w:proofErr w:type="gramStart"/>
            <w:r w:rsidRPr="007343C0">
              <w:rPr>
                <w:sz w:val="19"/>
                <w:szCs w:val="19"/>
                <w:lang w:val="fr-FR"/>
              </w:rPr>
              <w:t>*</w:t>
            </w:r>
            <w:proofErr w:type="gramEnd"/>
            <w:r w:rsidRPr="007343C0">
              <w:rPr>
                <w:sz w:val="19"/>
                <w:szCs w:val="19"/>
                <w:lang w:val="fr-FR"/>
              </w:rPr>
              <w:br/>
              <w:t>(</w:t>
            </w:r>
            <w:r w:rsidRPr="007343C0">
              <w:rPr>
                <w:sz w:val="19"/>
                <w:szCs w:val="19"/>
                <w:lang w:val="fr-FR"/>
              </w:rPr>
              <w:noBreakHyphen/>
              <w:t>5,53)</w:t>
            </w:r>
          </w:p>
        </w:tc>
      </w:tr>
      <w:tr w:rsidR="00C71029" w:rsidRPr="007343C0" w:rsidTr="0067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rPr>
                <w:rFonts w:ascii="Calibri" w:eastAsia="Calibri" w:hAnsi="Calibri" w:cs="Times New Roman"/>
                <w:bCs w:val="0"/>
                <w:sz w:val="19"/>
                <w:szCs w:val="19"/>
                <w:lang w:val="fr-FR"/>
              </w:rPr>
            </w:pPr>
            <m:oMath>
              <m:r>
                <m:rPr>
                  <m:sty m:val="b"/>
                </m:rPr>
                <w:rPr>
                  <w:rFonts w:ascii="Cambria Math" w:hAnsi="Cambria Math"/>
                  <w:sz w:val="19"/>
                  <w:szCs w:val="19"/>
                  <w:lang w:val="fr-FR"/>
                </w:rPr>
                <m:t>ln</m:t>
              </m:r>
              <m:sSub>
                <m:sSubPr>
                  <m:ctrlPr>
                    <w:rPr>
                      <w:rFonts w:ascii="Cambria Math" w:eastAsiaTheme="minorEastAsia" w:hAnsi="Cambria Math"/>
                      <w:i/>
                      <w:sz w:val="19"/>
                      <w:szCs w:val="19"/>
                      <w:lang w:val="fr-FR"/>
                    </w:rPr>
                  </m:ctrlPr>
                </m:sSubPr>
                <m:e>
                  <m:r>
                    <m:rPr>
                      <m:sty m:val="bi"/>
                    </m:rPr>
                    <w:rPr>
                      <w:rFonts w:ascii="Cambria Math" w:eastAsiaTheme="minorEastAsia" w:hAnsi="Cambria Math"/>
                      <w:sz w:val="19"/>
                      <w:szCs w:val="19"/>
                      <w:lang w:val="fr-FR"/>
                    </w:rPr>
                    <m:t>f</m:t>
                  </m:r>
                </m:e>
                <m:sub>
                  <m:r>
                    <m:rPr>
                      <m:sty m:val="bi"/>
                    </m:rPr>
                    <w:rPr>
                      <w:rFonts w:ascii="Cambria Math" w:eastAsiaTheme="minorEastAsia" w:hAnsi="Cambria Math"/>
                      <w:sz w:val="19"/>
                      <w:szCs w:val="19"/>
                      <w:lang w:val="fr-FR"/>
                    </w:rPr>
                    <m:t>ijt</m:t>
                  </m:r>
                </m:sub>
              </m:sSub>
            </m:oMath>
            <w:r w:rsidRPr="007343C0">
              <w:rPr>
                <w:rFonts w:ascii="Calibri" w:eastAsia="Calibri" w:hAnsi="Calibri" w:cs="Times New Roman"/>
                <w:sz w:val="19"/>
                <w:szCs w:val="19"/>
                <w:lang w:val="fr-FR"/>
              </w:rPr>
              <w:t xml:space="preserve"> * (déposant : organisme de recherche public)</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44"/>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noBreakHyphen/>
              <w:t>0,084**</w:t>
            </w:r>
            <w:proofErr w:type="gramStart"/>
            <w:r w:rsidRPr="007343C0">
              <w:rPr>
                <w:sz w:val="19"/>
                <w:szCs w:val="19"/>
                <w:lang w:val="fr-FR"/>
              </w:rPr>
              <w:t>*</w:t>
            </w:r>
            <w:proofErr w:type="gramEnd"/>
            <w:r w:rsidRPr="007343C0">
              <w:rPr>
                <w:sz w:val="19"/>
                <w:szCs w:val="19"/>
                <w:lang w:val="fr-FR"/>
              </w:rPr>
              <w:br/>
              <w:t>(</w:t>
            </w:r>
            <w:r w:rsidRPr="007343C0">
              <w:rPr>
                <w:sz w:val="19"/>
                <w:szCs w:val="19"/>
                <w:lang w:val="fr-FR"/>
              </w:rPr>
              <w:noBreakHyphen/>
              <w:t>4,08)</w:t>
            </w:r>
          </w:p>
        </w:tc>
      </w:tr>
      <w:tr w:rsidR="00C71029" w:rsidRPr="007343C0" w:rsidTr="0067105B">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C71029" w:rsidRPr="007343C0" w:rsidRDefault="00C71029" w:rsidP="007343C0">
            <w:pPr>
              <w:shd w:val="clear" w:color="auto" w:fill="FFFFFF" w:themeFill="background1"/>
              <w:spacing w:before="40" w:after="44"/>
              <w:rPr>
                <w:rFonts w:ascii="Calibri" w:eastAsia="Calibri" w:hAnsi="Calibri" w:cs="Times New Roman"/>
                <w:sz w:val="19"/>
                <w:szCs w:val="19"/>
                <w:lang w:val="fr-FR"/>
              </w:rPr>
            </w:pPr>
            <m:oMath>
              <m:r>
                <m:rPr>
                  <m:sty m:val="b"/>
                </m:rPr>
                <w:rPr>
                  <w:rFonts w:ascii="Cambria Math" w:hAnsi="Cambria Math"/>
                  <w:sz w:val="19"/>
                  <w:szCs w:val="19"/>
                  <w:lang w:val="fr-FR"/>
                </w:rPr>
                <m:t>ln</m:t>
              </m:r>
              <m:sSub>
                <m:sSubPr>
                  <m:ctrlPr>
                    <w:rPr>
                      <w:rFonts w:ascii="Cambria Math" w:eastAsiaTheme="minorEastAsia" w:hAnsi="Cambria Math"/>
                      <w:i/>
                      <w:sz w:val="19"/>
                      <w:szCs w:val="19"/>
                      <w:lang w:val="fr-FR"/>
                    </w:rPr>
                  </m:ctrlPr>
                </m:sSubPr>
                <m:e>
                  <m:r>
                    <m:rPr>
                      <m:sty m:val="bi"/>
                    </m:rPr>
                    <w:rPr>
                      <w:rFonts w:ascii="Cambria Math" w:eastAsiaTheme="minorEastAsia" w:hAnsi="Cambria Math"/>
                      <w:sz w:val="19"/>
                      <w:szCs w:val="19"/>
                      <w:lang w:val="fr-FR"/>
                    </w:rPr>
                    <m:t>f</m:t>
                  </m:r>
                </m:e>
                <m:sub>
                  <m:r>
                    <m:rPr>
                      <m:sty m:val="bi"/>
                    </m:rPr>
                    <w:rPr>
                      <w:rFonts w:ascii="Cambria Math" w:eastAsiaTheme="minorEastAsia" w:hAnsi="Cambria Math"/>
                      <w:sz w:val="19"/>
                      <w:szCs w:val="19"/>
                      <w:lang w:val="fr-FR"/>
                    </w:rPr>
                    <m:t>ijt</m:t>
                  </m:r>
                </m:sub>
              </m:sSub>
            </m:oMath>
            <w:r w:rsidRPr="007343C0">
              <w:rPr>
                <w:rFonts w:ascii="Calibri" w:eastAsia="Calibri" w:hAnsi="Calibri" w:cs="Times New Roman"/>
                <w:sz w:val="19"/>
                <w:szCs w:val="19"/>
                <w:lang w:val="fr-FR"/>
              </w:rPr>
              <w:t xml:space="preserve"> * (autre déposant)</w:t>
            </w: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p>
        </w:tc>
        <w:tc>
          <w:tcPr>
            <w:tcW w:w="1323" w:type="dxa"/>
            <w:shd w:val="clear" w:color="auto" w:fill="FFFFFF" w:themeFill="background1"/>
          </w:tcPr>
          <w:p w:rsidR="00C71029" w:rsidRPr="007343C0" w:rsidRDefault="00C71029" w:rsidP="007343C0">
            <w:pPr>
              <w:shd w:val="clear" w:color="auto" w:fill="FFFFFF" w:themeFill="background1"/>
              <w:spacing w:before="40" w:after="44"/>
              <w:jc w:val="center"/>
              <w:cnfStyle w:val="000000000000" w:firstRow="0"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noBreakHyphen/>
              <w:t>0,034*</w:t>
            </w:r>
            <w:r w:rsidRPr="007343C0">
              <w:rPr>
                <w:sz w:val="19"/>
                <w:szCs w:val="19"/>
                <w:lang w:val="fr-FR"/>
              </w:rPr>
              <w:br/>
              <w:t>(</w:t>
            </w:r>
            <w:r w:rsidRPr="007343C0">
              <w:rPr>
                <w:sz w:val="19"/>
                <w:szCs w:val="19"/>
                <w:lang w:val="fr-FR"/>
              </w:rPr>
              <w:noBreakHyphen/>
              <w:t>1,66)</w:t>
            </w:r>
          </w:p>
        </w:tc>
      </w:tr>
      <w:tr w:rsidR="00C71029" w:rsidRPr="007343C0" w:rsidTr="0067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C71029" w:rsidRPr="007343C0" w:rsidRDefault="00111B84" w:rsidP="007343C0">
            <w:pPr>
              <w:shd w:val="clear" w:color="auto" w:fill="FFFFFF" w:themeFill="background1"/>
              <w:spacing w:before="40" w:after="160"/>
              <w:rPr>
                <w:sz w:val="19"/>
                <w:szCs w:val="19"/>
                <w:lang w:val="fr-FR"/>
              </w:rPr>
            </w:pPr>
            <m:oMathPara>
              <m:oMathParaPr>
                <m:jc m:val="left"/>
              </m:oMathParaPr>
              <m:oMath>
                <m:sSub>
                  <m:sSubPr>
                    <m:ctrlPr>
                      <w:rPr>
                        <w:rFonts w:ascii="Cambria Math" w:hAnsi="Cambria Math"/>
                        <w:i/>
                        <w:sz w:val="19"/>
                        <w:szCs w:val="19"/>
                        <w:lang w:val="fr-FR"/>
                      </w:rPr>
                    </m:ctrlPr>
                  </m:sSubPr>
                  <m:e>
                    <m:r>
                      <m:rPr>
                        <m:sty m:val="bi"/>
                      </m:rPr>
                      <w:rPr>
                        <w:rFonts w:ascii="Cambria Math" w:hAnsi="Cambria Math"/>
                        <w:sz w:val="19"/>
                        <w:szCs w:val="19"/>
                        <w:lang w:val="fr-FR"/>
                      </w:rPr>
                      <m:t>mkt</m:t>
                    </m:r>
                  </m:e>
                  <m:sub>
                    <m:r>
                      <m:rPr>
                        <m:sty m:val="bi"/>
                      </m:rPr>
                      <w:rPr>
                        <w:rFonts w:ascii="Cambria Math" w:hAnsi="Cambria Math"/>
                        <w:sz w:val="19"/>
                        <w:szCs w:val="19"/>
                        <w:lang w:val="fr-FR"/>
                      </w:rPr>
                      <m:t>j(t-12)</m:t>
                    </m:r>
                  </m:sub>
                </m:sSub>
              </m:oMath>
            </m:oMathPara>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160"/>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t>1,342***</w:t>
            </w:r>
            <w:r w:rsidRPr="007343C0">
              <w:rPr>
                <w:sz w:val="19"/>
                <w:szCs w:val="19"/>
                <w:lang w:val="fr-FR"/>
              </w:rPr>
              <w:br/>
              <w:t>(29,38)</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160"/>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t>1,355***</w:t>
            </w:r>
            <w:r w:rsidRPr="007343C0">
              <w:rPr>
                <w:sz w:val="19"/>
                <w:szCs w:val="19"/>
                <w:lang w:val="fr-FR"/>
              </w:rPr>
              <w:br/>
              <w:t>(28,92)</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160"/>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t>0,746***</w:t>
            </w:r>
            <w:r w:rsidRPr="007343C0">
              <w:rPr>
                <w:sz w:val="19"/>
                <w:szCs w:val="19"/>
                <w:lang w:val="fr-FR"/>
              </w:rPr>
              <w:br/>
              <w:t>(13,98)</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160"/>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t>0,742***</w:t>
            </w:r>
            <w:r w:rsidRPr="007343C0">
              <w:rPr>
                <w:sz w:val="19"/>
                <w:szCs w:val="19"/>
                <w:lang w:val="fr-FR"/>
              </w:rPr>
              <w:br/>
              <w:t>(13,87)</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40" w:after="160"/>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t>0,772***</w:t>
            </w:r>
            <w:r w:rsidRPr="007343C0">
              <w:rPr>
                <w:sz w:val="19"/>
                <w:szCs w:val="19"/>
                <w:lang w:val="fr-FR"/>
              </w:rPr>
              <w:br/>
              <w:t>(14,47)</w:t>
            </w:r>
          </w:p>
        </w:tc>
      </w:tr>
      <w:tr w:rsidR="00C71029" w:rsidRPr="007343C0" w:rsidTr="0067105B">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C71029" w:rsidRPr="007343C0" w:rsidRDefault="00C71029" w:rsidP="007343C0">
            <w:pPr>
              <w:shd w:val="clear" w:color="auto" w:fill="FFFFFF" w:themeFill="background1"/>
              <w:spacing w:before="36" w:after="36"/>
              <w:rPr>
                <w:i/>
                <w:sz w:val="19"/>
                <w:szCs w:val="19"/>
                <w:lang w:val="fr-FR"/>
              </w:rPr>
            </w:pPr>
            <w:r w:rsidRPr="007343C0">
              <w:rPr>
                <w:i/>
                <w:sz w:val="19"/>
                <w:szCs w:val="19"/>
                <w:lang w:val="fr-FR"/>
              </w:rPr>
              <w:t>Effets fixes propres au domaine technologique</w:t>
            </w:r>
          </w:p>
        </w:tc>
        <w:tc>
          <w:tcPr>
            <w:tcW w:w="1323" w:type="dxa"/>
            <w:shd w:val="clear" w:color="auto" w:fill="FFFFFF" w:themeFill="background1"/>
          </w:tcPr>
          <w:p w:rsidR="00C71029" w:rsidRPr="007343C0" w:rsidRDefault="00C71029" w:rsidP="007343C0">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lang w:val="fr-FR"/>
              </w:rPr>
            </w:pPr>
            <w:r w:rsidRPr="007343C0">
              <w:rPr>
                <w:i/>
                <w:sz w:val="19"/>
                <w:szCs w:val="19"/>
                <w:lang w:val="fr-FR"/>
              </w:rPr>
              <w:t>Oui</w:t>
            </w:r>
          </w:p>
        </w:tc>
        <w:tc>
          <w:tcPr>
            <w:tcW w:w="1323" w:type="dxa"/>
            <w:shd w:val="clear" w:color="auto" w:fill="FFFFFF" w:themeFill="background1"/>
          </w:tcPr>
          <w:p w:rsidR="00C71029" w:rsidRPr="007343C0" w:rsidRDefault="00C71029" w:rsidP="007343C0">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lang w:val="fr-FR"/>
              </w:rPr>
            </w:pPr>
            <w:r w:rsidRPr="007343C0">
              <w:rPr>
                <w:i/>
                <w:sz w:val="19"/>
                <w:szCs w:val="19"/>
                <w:lang w:val="fr-FR"/>
              </w:rPr>
              <w:t>Oui</w:t>
            </w:r>
          </w:p>
        </w:tc>
        <w:tc>
          <w:tcPr>
            <w:tcW w:w="1323" w:type="dxa"/>
            <w:shd w:val="clear" w:color="auto" w:fill="FFFFFF" w:themeFill="background1"/>
          </w:tcPr>
          <w:p w:rsidR="00C71029" w:rsidRPr="007343C0" w:rsidRDefault="00C71029" w:rsidP="007343C0">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lang w:val="fr-FR"/>
              </w:rPr>
            </w:pPr>
            <w:r w:rsidRPr="007343C0">
              <w:rPr>
                <w:i/>
                <w:sz w:val="19"/>
                <w:szCs w:val="19"/>
                <w:lang w:val="fr-FR"/>
              </w:rPr>
              <w:t>Oui</w:t>
            </w:r>
          </w:p>
        </w:tc>
        <w:tc>
          <w:tcPr>
            <w:tcW w:w="1323" w:type="dxa"/>
            <w:shd w:val="clear" w:color="auto" w:fill="FFFFFF" w:themeFill="background1"/>
          </w:tcPr>
          <w:p w:rsidR="00C71029" w:rsidRPr="007343C0" w:rsidRDefault="00C71029" w:rsidP="007343C0">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lang w:val="fr-FR"/>
              </w:rPr>
            </w:pPr>
            <w:r w:rsidRPr="007343C0">
              <w:rPr>
                <w:i/>
                <w:sz w:val="19"/>
                <w:szCs w:val="19"/>
                <w:lang w:val="fr-FR"/>
              </w:rPr>
              <w:t>Oui</w:t>
            </w:r>
          </w:p>
        </w:tc>
        <w:tc>
          <w:tcPr>
            <w:tcW w:w="1323" w:type="dxa"/>
            <w:shd w:val="clear" w:color="auto" w:fill="FFFFFF" w:themeFill="background1"/>
          </w:tcPr>
          <w:p w:rsidR="00C71029" w:rsidRPr="007343C0" w:rsidRDefault="00C71029" w:rsidP="007343C0">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lang w:val="fr-FR"/>
              </w:rPr>
            </w:pPr>
            <w:r w:rsidRPr="007343C0">
              <w:rPr>
                <w:i/>
                <w:sz w:val="19"/>
                <w:szCs w:val="19"/>
                <w:lang w:val="fr-FR"/>
              </w:rPr>
              <w:t>Oui</w:t>
            </w:r>
          </w:p>
        </w:tc>
      </w:tr>
      <w:tr w:rsidR="00C71029" w:rsidRPr="007343C0" w:rsidTr="0067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36" w:after="36"/>
              <w:rPr>
                <w:i/>
                <w:sz w:val="19"/>
                <w:szCs w:val="19"/>
                <w:lang w:val="fr-FR"/>
              </w:rPr>
            </w:pPr>
            <w:r w:rsidRPr="007343C0">
              <w:rPr>
                <w:i/>
                <w:sz w:val="19"/>
                <w:szCs w:val="19"/>
                <w:lang w:val="fr-FR"/>
              </w:rPr>
              <w:t>Effets propres à l’origine</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36" w:after="36"/>
              <w:jc w:val="center"/>
              <w:cnfStyle w:val="000000100000" w:firstRow="0" w:lastRow="0" w:firstColumn="0" w:lastColumn="0" w:oddVBand="0" w:evenVBand="0" w:oddHBand="1" w:evenHBand="0" w:firstRowFirstColumn="0" w:firstRowLastColumn="0" w:lastRowFirstColumn="0" w:lastRowLastColumn="0"/>
              <w:rPr>
                <w:i/>
                <w:sz w:val="19"/>
                <w:szCs w:val="19"/>
                <w:lang w:val="fr-FR"/>
              </w:rPr>
            </w:pPr>
            <w:r w:rsidRPr="007343C0">
              <w:rPr>
                <w:i/>
                <w:sz w:val="19"/>
                <w:szCs w:val="19"/>
                <w:lang w:val="fr-FR"/>
              </w:rPr>
              <w:t>Oui</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36" w:after="36"/>
              <w:jc w:val="center"/>
              <w:cnfStyle w:val="000000100000" w:firstRow="0" w:lastRow="0" w:firstColumn="0" w:lastColumn="0" w:oddVBand="0" w:evenVBand="0" w:oddHBand="1" w:evenHBand="0" w:firstRowFirstColumn="0" w:firstRowLastColumn="0" w:lastRowFirstColumn="0" w:lastRowLastColumn="0"/>
              <w:rPr>
                <w:i/>
                <w:sz w:val="19"/>
                <w:szCs w:val="19"/>
                <w:lang w:val="fr-FR"/>
              </w:rPr>
            </w:pPr>
            <w:r w:rsidRPr="007343C0">
              <w:rPr>
                <w:i/>
                <w:sz w:val="19"/>
                <w:szCs w:val="19"/>
                <w:lang w:val="fr-FR"/>
              </w:rPr>
              <w:t>Oui</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36" w:after="36"/>
              <w:jc w:val="center"/>
              <w:cnfStyle w:val="000000100000" w:firstRow="0" w:lastRow="0" w:firstColumn="0" w:lastColumn="0" w:oddVBand="0" w:evenVBand="0" w:oddHBand="1" w:evenHBand="0" w:firstRowFirstColumn="0" w:firstRowLastColumn="0" w:lastRowFirstColumn="0" w:lastRowLastColumn="0"/>
              <w:rPr>
                <w:i/>
                <w:sz w:val="19"/>
                <w:szCs w:val="19"/>
                <w:lang w:val="fr-FR"/>
              </w:rPr>
            </w:pPr>
            <w:r w:rsidRPr="007343C0">
              <w:rPr>
                <w:i/>
                <w:sz w:val="19"/>
                <w:szCs w:val="19"/>
                <w:lang w:val="fr-FR"/>
              </w:rPr>
              <w:t>Oui</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36" w:after="36"/>
              <w:jc w:val="center"/>
              <w:cnfStyle w:val="000000100000" w:firstRow="0" w:lastRow="0" w:firstColumn="0" w:lastColumn="0" w:oddVBand="0" w:evenVBand="0" w:oddHBand="1" w:evenHBand="0" w:firstRowFirstColumn="0" w:firstRowLastColumn="0" w:lastRowFirstColumn="0" w:lastRowLastColumn="0"/>
              <w:rPr>
                <w:i/>
                <w:sz w:val="19"/>
                <w:szCs w:val="19"/>
                <w:lang w:val="fr-FR"/>
              </w:rPr>
            </w:pPr>
            <w:r w:rsidRPr="007343C0">
              <w:rPr>
                <w:i/>
                <w:sz w:val="19"/>
                <w:szCs w:val="19"/>
                <w:lang w:val="fr-FR"/>
              </w:rPr>
              <w:t>Oui</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36" w:after="36"/>
              <w:jc w:val="center"/>
              <w:cnfStyle w:val="000000100000" w:firstRow="0" w:lastRow="0" w:firstColumn="0" w:lastColumn="0" w:oddVBand="0" w:evenVBand="0" w:oddHBand="1" w:evenHBand="0" w:firstRowFirstColumn="0" w:firstRowLastColumn="0" w:lastRowFirstColumn="0" w:lastRowLastColumn="0"/>
              <w:rPr>
                <w:i/>
                <w:sz w:val="19"/>
                <w:szCs w:val="19"/>
                <w:lang w:val="fr-FR"/>
              </w:rPr>
            </w:pPr>
            <w:r w:rsidRPr="007343C0">
              <w:rPr>
                <w:i/>
                <w:sz w:val="19"/>
                <w:szCs w:val="19"/>
                <w:lang w:val="fr-FR"/>
              </w:rPr>
              <w:t>Oui</w:t>
            </w:r>
          </w:p>
        </w:tc>
      </w:tr>
      <w:tr w:rsidR="00C71029" w:rsidRPr="007343C0" w:rsidTr="0067105B">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C71029" w:rsidRPr="007343C0" w:rsidRDefault="00C71029" w:rsidP="007343C0">
            <w:pPr>
              <w:shd w:val="clear" w:color="auto" w:fill="FFFFFF" w:themeFill="background1"/>
              <w:spacing w:before="36" w:after="120"/>
              <w:rPr>
                <w:i/>
                <w:sz w:val="19"/>
                <w:szCs w:val="19"/>
                <w:lang w:val="fr-FR"/>
              </w:rPr>
            </w:pPr>
            <w:r w:rsidRPr="007343C0">
              <w:rPr>
                <w:i/>
                <w:sz w:val="19"/>
                <w:szCs w:val="19"/>
                <w:lang w:val="fr-FR"/>
              </w:rPr>
              <w:t>Effets fixes propres au temps</w:t>
            </w:r>
          </w:p>
        </w:tc>
        <w:tc>
          <w:tcPr>
            <w:tcW w:w="1323" w:type="dxa"/>
            <w:shd w:val="clear" w:color="auto" w:fill="FFFFFF" w:themeFill="background1"/>
          </w:tcPr>
          <w:p w:rsidR="00C71029" w:rsidRPr="007343C0" w:rsidRDefault="00C71029" w:rsidP="007343C0">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lang w:val="fr-FR"/>
              </w:rPr>
            </w:pPr>
            <w:r w:rsidRPr="007343C0">
              <w:rPr>
                <w:i/>
                <w:sz w:val="19"/>
                <w:szCs w:val="19"/>
                <w:lang w:val="fr-FR"/>
              </w:rPr>
              <w:t>Oui</w:t>
            </w:r>
          </w:p>
        </w:tc>
        <w:tc>
          <w:tcPr>
            <w:tcW w:w="1323" w:type="dxa"/>
            <w:shd w:val="clear" w:color="auto" w:fill="FFFFFF" w:themeFill="background1"/>
          </w:tcPr>
          <w:p w:rsidR="00C71029" w:rsidRPr="007343C0" w:rsidRDefault="00C71029" w:rsidP="007343C0">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lang w:val="fr-FR"/>
              </w:rPr>
            </w:pPr>
            <w:r w:rsidRPr="007343C0">
              <w:rPr>
                <w:i/>
                <w:sz w:val="19"/>
                <w:szCs w:val="19"/>
                <w:lang w:val="fr-FR"/>
              </w:rPr>
              <w:t>Oui</w:t>
            </w:r>
          </w:p>
        </w:tc>
        <w:tc>
          <w:tcPr>
            <w:tcW w:w="1323" w:type="dxa"/>
            <w:shd w:val="clear" w:color="auto" w:fill="FFFFFF" w:themeFill="background1"/>
          </w:tcPr>
          <w:p w:rsidR="00C71029" w:rsidRPr="007343C0" w:rsidRDefault="00C71029" w:rsidP="007343C0">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lang w:val="fr-FR"/>
              </w:rPr>
            </w:pPr>
            <w:r w:rsidRPr="007343C0">
              <w:rPr>
                <w:i/>
                <w:sz w:val="19"/>
                <w:szCs w:val="19"/>
                <w:lang w:val="fr-FR"/>
              </w:rPr>
              <w:t>Oui</w:t>
            </w:r>
          </w:p>
        </w:tc>
        <w:tc>
          <w:tcPr>
            <w:tcW w:w="1323" w:type="dxa"/>
            <w:shd w:val="clear" w:color="auto" w:fill="FFFFFF" w:themeFill="background1"/>
          </w:tcPr>
          <w:p w:rsidR="00C71029" w:rsidRPr="007343C0" w:rsidRDefault="00C71029" w:rsidP="007343C0">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lang w:val="fr-FR"/>
              </w:rPr>
            </w:pPr>
            <w:r w:rsidRPr="007343C0">
              <w:rPr>
                <w:i/>
                <w:sz w:val="19"/>
                <w:szCs w:val="19"/>
                <w:lang w:val="fr-FR"/>
              </w:rPr>
              <w:t>Oui</w:t>
            </w:r>
          </w:p>
        </w:tc>
        <w:tc>
          <w:tcPr>
            <w:tcW w:w="1323" w:type="dxa"/>
            <w:shd w:val="clear" w:color="auto" w:fill="FFFFFF" w:themeFill="background1"/>
          </w:tcPr>
          <w:p w:rsidR="00C71029" w:rsidRPr="007343C0" w:rsidRDefault="00C71029" w:rsidP="007343C0">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i/>
                <w:sz w:val="19"/>
                <w:szCs w:val="19"/>
                <w:lang w:val="fr-FR"/>
              </w:rPr>
            </w:pPr>
            <w:r w:rsidRPr="007343C0">
              <w:rPr>
                <w:i/>
                <w:sz w:val="19"/>
                <w:szCs w:val="19"/>
                <w:lang w:val="fr-FR"/>
              </w:rPr>
              <w:t>Oui</w:t>
            </w:r>
          </w:p>
        </w:tc>
      </w:tr>
      <w:tr w:rsidR="00C71029" w:rsidRPr="007343C0" w:rsidTr="0067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36" w:after="120"/>
              <w:rPr>
                <w:sz w:val="19"/>
                <w:szCs w:val="19"/>
                <w:lang w:val="fr-FR"/>
              </w:rPr>
            </w:pPr>
            <w:r w:rsidRPr="007343C0">
              <w:rPr>
                <w:sz w:val="19"/>
                <w:szCs w:val="19"/>
                <w:lang w:val="fr-FR"/>
              </w:rPr>
              <w:t>Observations</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36" w:after="120"/>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t>1 375 911</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36" w:after="120"/>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t>1 339 373</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36" w:after="120"/>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t>1 128 006</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36" w:after="120"/>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t>1 128 006</w:t>
            </w:r>
          </w:p>
        </w:tc>
        <w:tc>
          <w:tcPr>
            <w:tcW w:w="1323" w:type="dxa"/>
            <w:tcBorders>
              <w:left w:val="none" w:sz="0" w:space="0" w:color="auto"/>
              <w:right w:val="none" w:sz="0" w:space="0" w:color="auto"/>
            </w:tcBorders>
            <w:shd w:val="clear" w:color="auto" w:fill="FFFFFF" w:themeFill="background1"/>
          </w:tcPr>
          <w:p w:rsidR="00C71029" w:rsidRPr="007343C0" w:rsidRDefault="00C71029" w:rsidP="007343C0">
            <w:pPr>
              <w:shd w:val="clear" w:color="auto" w:fill="FFFFFF" w:themeFill="background1"/>
              <w:spacing w:before="36" w:after="120"/>
              <w:jc w:val="center"/>
              <w:cnfStyle w:val="000000100000" w:firstRow="0" w:lastRow="0" w:firstColumn="0" w:lastColumn="0" w:oddVBand="0" w:evenVBand="0" w:oddHBand="1" w:evenHBand="0" w:firstRowFirstColumn="0" w:firstRowLastColumn="0" w:lastRowFirstColumn="0" w:lastRowLastColumn="0"/>
              <w:rPr>
                <w:sz w:val="19"/>
                <w:szCs w:val="19"/>
                <w:lang w:val="fr-FR"/>
              </w:rPr>
            </w:pPr>
            <w:r w:rsidRPr="007343C0">
              <w:rPr>
                <w:sz w:val="19"/>
                <w:szCs w:val="19"/>
                <w:lang w:val="fr-FR"/>
              </w:rPr>
              <w:t>1 128 006</w:t>
            </w:r>
          </w:p>
        </w:tc>
      </w:tr>
      <w:tr w:rsidR="00C71029" w:rsidRPr="007343C0" w:rsidTr="0067105B">
        <w:tc>
          <w:tcPr>
            <w:cnfStyle w:val="001000000000" w:firstRow="0" w:lastRow="0" w:firstColumn="1" w:lastColumn="0" w:oddVBand="0" w:evenVBand="0" w:oddHBand="0" w:evenHBand="0" w:firstRowFirstColumn="0" w:firstRowLastColumn="0" w:lastRowFirstColumn="0" w:lastRowLastColumn="0"/>
            <w:tcW w:w="2628" w:type="dxa"/>
            <w:shd w:val="clear" w:color="auto" w:fill="FFFFFF" w:themeFill="background1"/>
          </w:tcPr>
          <w:p w:rsidR="00C71029" w:rsidRPr="007343C0" w:rsidRDefault="00C71029" w:rsidP="007343C0">
            <w:pPr>
              <w:shd w:val="clear" w:color="auto" w:fill="FFFFFF" w:themeFill="background1"/>
              <w:spacing w:before="36" w:after="36"/>
              <w:rPr>
                <w:sz w:val="19"/>
                <w:szCs w:val="19"/>
                <w:lang w:val="fr-FR"/>
              </w:rPr>
            </w:pPr>
            <w:r w:rsidRPr="007343C0">
              <w:rPr>
                <w:sz w:val="19"/>
                <w:szCs w:val="19"/>
                <w:lang w:val="fr-FR"/>
              </w:rPr>
              <w:t>Vraisemblance logarithmique</w:t>
            </w:r>
          </w:p>
        </w:tc>
        <w:tc>
          <w:tcPr>
            <w:tcW w:w="1323" w:type="dxa"/>
            <w:shd w:val="clear" w:color="auto" w:fill="FFFFFF" w:themeFill="background1"/>
          </w:tcPr>
          <w:p w:rsidR="00C71029" w:rsidRPr="007343C0" w:rsidRDefault="00C71029" w:rsidP="007343C0">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noBreakHyphen/>
              <w:t>758 194,1</w:t>
            </w:r>
          </w:p>
        </w:tc>
        <w:tc>
          <w:tcPr>
            <w:tcW w:w="1323" w:type="dxa"/>
            <w:shd w:val="clear" w:color="auto" w:fill="FFFFFF" w:themeFill="background1"/>
          </w:tcPr>
          <w:p w:rsidR="00C71029" w:rsidRPr="007343C0" w:rsidRDefault="00C71029" w:rsidP="007343C0">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noBreakHyphen/>
              <w:t>739 586,0</w:t>
            </w:r>
          </w:p>
        </w:tc>
        <w:tc>
          <w:tcPr>
            <w:tcW w:w="1323" w:type="dxa"/>
            <w:shd w:val="clear" w:color="auto" w:fill="FFFFFF" w:themeFill="background1"/>
          </w:tcPr>
          <w:p w:rsidR="00C71029" w:rsidRPr="007343C0" w:rsidRDefault="00C71029" w:rsidP="007343C0">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noBreakHyphen/>
              <w:t>586 857,8</w:t>
            </w:r>
          </w:p>
        </w:tc>
        <w:tc>
          <w:tcPr>
            <w:tcW w:w="1323" w:type="dxa"/>
            <w:shd w:val="clear" w:color="auto" w:fill="FFFFFF" w:themeFill="background1"/>
          </w:tcPr>
          <w:p w:rsidR="00C71029" w:rsidRPr="007343C0" w:rsidRDefault="00C71029" w:rsidP="007343C0">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noBreakHyphen/>
              <w:t>586 489,4</w:t>
            </w:r>
          </w:p>
        </w:tc>
        <w:tc>
          <w:tcPr>
            <w:tcW w:w="1323" w:type="dxa"/>
            <w:shd w:val="clear" w:color="auto" w:fill="FFFFFF" w:themeFill="background1"/>
          </w:tcPr>
          <w:p w:rsidR="00C71029" w:rsidRPr="007343C0" w:rsidRDefault="00C71029" w:rsidP="007343C0">
            <w:pPr>
              <w:shd w:val="clear" w:color="auto" w:fill="FFFFFF" w:themeFill="background1"/>
              <w:spacing w:before="36" w:after="36"/>
              <w:jc w:val="center"/>
              <w:cnfStyle w:val="000000000000" w:firstRow="0" w:lastRow="0" w:firstColumn="0" w:lastColumn="0" w:oddVBand="0" w:evenVBand="0" w:oddHBand="0" w:evenHBand="0" w:firstRowFirstColumn="0" w:firstRowLastColumn="0" w:lastRowFirstColumn="0" w:lastRowLastColumn="0"/>
              <w:rPr>
                <w:sz w:val="19"/>
                <w:szCs w:val="19"/>
                <w:lang w:val="fr-FR"/>
              </w:rPr>
            </w:pPr>
            <w:r w:rsidRPr="007343C0">
              <w:rPr>
                <w:sz w:val="19"/>
                <w:szCs w:val="19"/>
                <w:lang w:val="fr-FR"/>
              </w:rPr>
              <w:noBreakHyphen/>
              <w:t>586 564,3</w:t>
            </w:r>
          </w:p>
        </w:tc>
      </w:tr>
    </w:tbl>
    <w:p w:rsidR="00C71029" w:rsidRPr="007343C0" w:rsidRDefault="00C71029" w:rsidP="007343C0">
      <w:pPr>
        <w:spacing w:before="40"/>
        <w:rPr>
          <w:sz w:val="19"/>
          <w:szCs w:val="19"/>
          <w:lang w:val="fr-FR"/>
        </w:rPr>
      </w:pPr>
      <w:r w:rsidRPr="007343C0">
        <w:rPr>
          <w:sz w:val="19"/>
          <w:szCs w:val="19"/>
          <w:lang w:val="fr-FR"/>
        </w:rPr>
        <w:t>Note : statistique z entre parenthèses;  ***</w:t>
      </w:r>
      <w:proofErr w:type="gramStart"/>
      <w:r w:rsidRPr="007343C0">
        <w:rPr>
          <w:sz w:val="19"/>
          <w:szCs w:val="19"/>
          <w:lang w:val="fr-FR"/>
        </w:rPr>
        <w:t>,*</w:t>
      </w:r>
      <w:proofErr w:type="gramEnd"/>
      <w:r w:rsidRPr="007343C0">
        <w:rPr>
          <w:sz w:val="19"/>
          <w:szCs w:val="19"/>
          <w:lang w:val="fr-FR"/>
        </w:rPr>
        <w:t>*, et * indiquent une signification statistique de 1, 5, et 10% respectivement.</w:t>
      </w:r>
    </w:p>
    <w:p w:rsidR="00C71029" w:rsidRPr="007343C0" w:rsidRDefault="00C71029" w:rsidP="007343C0">
      <w:pPr>
        <w:rPr>
          <w:sz w:val="19"/>
          <w:szCs w:val="19"/>
          <w:lang w:val="fr-FR"/>
        </w:rPr>
      </w:pPr>
      <w:r w:rsidRPr="007343C0">
        <w:rPr>
          <w:sz w:val="19"/>
          <w:szCs w:val="19"/>
          <w:lang w:val="fr-FR"/>
        </w:rPr>
        <w:br w:type="page"/>
      </w:r>
    </w:p>
    <w:p w:rsidR="00C71029" w:rsidRPr="002F4AC1" w:rsidRDefault="00C71029" w:rsidP="007343C0">
      <w:pPr>
        <w:spacing w:before="38" w:after="42"/>
        <w:rPr>
          <w:b/>
          <w:szCs w:val="22"/>
          <w:lang w:val="fr-FR"/>
        </w:rPr>
      </w:pPr>
      <w:r w:rsidRPr="002F4AC1">
        <w:rPr>
          <w:b/>
          <w:szCs w:val="22"/>
          <w:lang w:val="fr-FR"/>
        </w:rPr>
        <w:lastRenderedPageBreak/>
        <w:t xml:space="preserve">Tableau n° 2 : effets marginaux associés aux estimations </w:t>
      </w:r>
      <w:proofErr w:type="spellStart"/>
      <w:r w:rsidRPr="002F4AC1">
        <w:rPr>
          <w:b/>
          <w:szCs w:val="22"/>
          <w:lang w:val="fr-FR"/>
        </w:rPr>
        <w:t>Probit</w:t>
      </w:r>
      <w:proofErr w:type="spellEnd"/>
    </w:p>
    <w:tbl>
      <w:tblPr>
        <w:tblStyle w:val="LightShading"/>
        <w:tblW w:w="0" w:type="auto"/>
        <w:shd w:val="clear" w:color="auto" w:fill="FFFFFF" w:themeFill="background1"/>
        <w:tblLook w:val="04A0" w:firstRow="1" w:lastRow="0" w:firstColumn="1" w:lastColumn="0" w:noHBand="0" w:noVBand="1"/>
      </w:tblPr>
      <w:tblGrid>
        <w:gridCol w:w="3708"/>
        <w:gridCol w:w="1170"/>
      </w:tblGrid>
      <w:tr w:rsidR="00C71029" w:rsidRPr="002F4AC1" w:rsidTr="006710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Borders>
              <w:bottom w:val="nil"/>
            </w:tcBorders>
            <w:shd w:val="clear" w:color="auto" w:fill="FFFFFF" w:themeFill="background1"/>
          </w:tcPr>
          <w:p w:rsidR="00C71029" w:rsidRPr="002F4AC1" w:rsidRDefault="00C71029" w:rsidP="007343C0">
            <w:pPr>
              <w:shd w:val="clear" w:color="auto" w:fill="FFFFFF" w:themeFill="background1"/>
              <w:spacing w:before="40" w:after="40"/>
              <w:rPr>
                <w:rFonts w:eastAsia="Calibri"/>
                <w:b w:val="0"/>
                <w:i/>
                <w:sz w:val="17"/>
                <w:szCs w:val="17"/>
                <w:lang w:val="fr-FR"/>
              </w:rPr>
            </w:pPr>
            <w:r w:rsidRPr="002F4AC1">
              <w:rPr>
                <w:rFonts w:eastAsia="Calibri"/>
                <w:b w:val="0"/>
                <w:i/>
                <w:sz w:val="17"/>
                <w:szCs w:val="17"/>
                <w:lang w:val="fr-FR"/>
              </w:rPr>
              <w:t>Principales variables</w:t>
            </w:r>
          </w:p>
        </w:tc>
        <w:tc>
          <w:tcPr>
            <w:tcW w:w="1170" w:type="dxa"/>
            <w:tcBorders>
              <w:bottom w:val="nil"/>
            </w:tcBorders>
            <w:shd w:val="clear" w:color="auto" w:fill="FFFFFF" w:themeFill="background1"/>
          </w:tcPr>
          <w:p w:rsidR="00C71029" w:rsidRPr="002F4AC1" w:rsidRDefault="00C71029" w:rsidP="007343C0">
            <w:pPr>
              <w:shd w:val="clear" w:color="auto" w:fill="FFFFFF" w:themeFill="background1"/>
              <w:spacing w:before="40" w:after="40"/>
              <w:jc w:val="right"/>
              <w:cnfStyle w:val="100000000000" w:firstRow="1" w:lastRow="0" w:firstColumn="0" w:lastColumn="0" w:oddVBand="0" w:evenVBand="0" w:oddHBand="0" w:evenHBand="0" w:firstRowFirstColumn="0" w:firstRowLastColumn="0" w:lastRowFirstColumn="0" w:lastRowLastColumn="0"/>
              <w:rPr>
                <w:b w:val="0"/>
                <w:i/>
                <w:sz w:val="17"/>
                <w:szCs w:val="17"/>
                <w:lang w:val="fr-FR"/>
              </w:rPr>
            </w:pPr>
          </w:p>
        </w:tc>
      </w:tr>
      <w:tr w:rsidR="00C71029" w:rsidRPr="002F4AC1" w:rsidTr="0067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tcBorders>
              <w:bottom w:val="nil"/>
            </w:tcBorders>
            <w:shd w:val="clear" w:color="auto" w:fill="FFFFFF" w:themeFill="background1"/>
          </w:tcPr>
          <w:p w:rsidR="00C71029" w:rsidRPr="002F4AC1" w:rsidRDefault="00C71029" w:rsidP="007343C0">
            <w:pPr>
              <w:shd w:val="clear" w:color="auto" w:fill="FFFFFF" w:themeFill="background1"/>
              <w:spacing w:before="40" w:after="40"/>
              <w:ind w:left="270"/>
              <w:rPr>
                <w:b w:val="0"/>
                <w:sz w:val="17"/>
                <w:szCs w:val="17"/>
                <w:lang w:val="fr-FR"/>
              </w:rPr>
            </w:pPr>
            <m:oMathPara>
              <m:oMathParaPr>
                <m:jc m:val="left"/>
              </m:oMathParaPr>
              <m:oMath>
                <m:r>
                  <m:rPr>
                    <m:sty m:val="b"/>
                  </m:rPr>
                  <w:rPr>
                    <w:rFonts w:ascii="Cambria Math" w:hAnsi="Cambria Math"/>
                    <w:sz w:val="17"/>
                    <w:szCs w:val="17"/>
                    <w:lang w:val="fr-FR"/>
                  </w:rPr>
                  <m:t>ln</m:t>
                </m:r>
                <m:sSub>
                  <m:sSubPr>
                    <m:ctrlPr>
                      <w:rPr>
                        <w:rFonts w:ascii="Cambria Math" w:eastAsiaTheme="minorEastAsia" w:hAnsi="Cambria Math"/>
                        <w:b w:val="0"/>
                        <w:i/>
                        <w:sz w:val="17"/>
                        <w:szCs w:val="17"/>
                        <w:lang w:val="fr-FR"/>
                      </w:rPr>
                    </m:ctrlPr>
                  </m:sSubPr>
                  <m:e>
                    <m:r>
                      <m:rPr>
                        <m:sty m:val="bi"/>
                      </m:rPr>
                      <w:rPr>
                        <w:rFonts w:ascii="Cambria Math" w:eastAsiaTheme="minorEastAsia" w:hAnsi="Cambria Math"/>
                        <w:sz w:val="17"/>
                        <w:szCs w:val="17"/>
                        <w:lang w:val="fr-FR"/>
                      </w:rPr>
                      <m:t>f</m:t>
                    </m:r>
                  </m:e>
                  <m:sub>
                    <m:r>
                      <m:rPr>
                        <m:sty m:val="bi"/>
                      </m:rPr>
                      <w:rPr>
                        <w:rFonts w:ascii="Cambria Math" w:eastAsiaTheme="minorEastAsia" w:hAnsi="Cambria Math"/>
                        <w:sz w:val="17"/>
                        <w:szCs w:val="17"/>
                        <w:lang w:val="fr-FR"/>
                      </w:rPr>
                      <m:t>ijt</m:t>
                    </m:r>
                  </m:sub>
                </m:sSub>
              </m:oMath>
            </m:oMathPara>
          </w:p>
        </w:tc>
        <w:tc>
          <w:tcPr>
            <w:tcW w:w="1170" w:type="dxa"/>
            <w:tcBorders>
              <w:bottom w:val="nil"/>
            </w:tcBorders>
            <w:shd w:val="clear" w:color="auto" w:fill="FFFFFF" w:themeFill="background1"/>
          </w:tcPr>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0,0138</w:t>
            </w:r>
          </w:p>
        </w:tc>
      </w:tr>
      <w:tr w:rsidR="00C71029" w:rsidRPr="002F4AC1" w:rsidTr="0067105B">
        <w:tc>
          <w:tcPr>
            <w:cnfStyle w:val="001000000000" w:firstRow="0" w:lastRow="0" w:firstColumn="1" w:lastColumn="0" w:oddVBand="0" w:evenVBand="0" w:oddHBand="0" w:evenHBand="0" w:firstRowFirstColumn="0" w:firstRowLastColumn="0" w:lastRowFirstColumn="0" w:lastRowLastColumn="0"/>
            <w:tcW w:w="3708" w:type="dxa"/>
            <w:tcBorders>
              <w:top w:val="nil"/>
            </w:tcBorders>
            <w:shd w:val="clear" w:color="auto" w:fill="FFFFFF" w:themeFill="background1"/>
          </w:tcPr>
          <w:p w:rsidR="00C71029" w:rsidRPr="002F4AC1" w:rsidRDefault="00111B84" w:rsidP="007343C0">
            <w:pPr>
              <w:shd w:val="clear" w:color="auto" w:fill="FFFFFF" w:themeFill="background1"/>
              <w:spacing w:before="40" w:after="40"/>
              <w:ind w:left="270"/>
              <w:rPr>
                <w:b w:val="0"/>
                <w:sz w:val="17"/>
                <w:szCs w:val="17"/>
                <w:lang w:val="fr-FR"/>
              </w:rPr>
            </w:pPr>
            <m:oMathPara>
              <m:oMathParaPr>
                <m:jc m:val="left"/>
              </m:oMathParaPr>
              <m:oMath>
                <m:sSub>
                  <m:sSubPr>
                    <m:ctrlPr>
                      <w:rPr>
                        <w:rFonts w:ascii="Cambria Math" w:hAnsi="Cambria Math"/>
                        <w:b w:val="0"/>
                        <w:i/>
                        <w:sz w:val="17"/>
                        <w:szCs w:val="17"/>
                        <w:lang w:val="fr-FR"/>
                      </w:rPr>
                    </m:ctrlPr>
                  </m:sSubPr>
                  <m:e>
                    <m:r>
                      <m:rPr>
                        <m:sty m:val="b"/>
                      </m:rPr>
                      <w:rPr>
                        <w:rFonts w:ascii="Cambria Math" w:hAnsi="Cambria Math"/>
                        <w:sz w:val="17"/>
                        <w:szCs w:val="17"/>
                        <w:lang w:val="fr-FR"/>
                      </w:rPr>
                      <m:t>ln</m:t>
                    </m:r>
                    <m:r>
                      <m:rPr>
                        <m:sty m:val="bi"/>
                      </m:rPr>
                      <w:rPr>
                        <w:rFonts w:ascii="Cambria Math" w:hAnsi="Cambria Math"/>
                        <w:sz w:val="17"/>
                        <w:szCs w:val="17"/>
                        <w:lang w:val="fr-FR"/>
                      </w:rPr>
                      <m:t>unemp</m:t>
                    </m:r>
                  </m:e>
                  <m:sub>
                    <m:r>
                      <m:rPr>
                        <m:sty m:val="bi"/>
                      </m:rPr>
                      <w:rPr>
                        <w:rFonts w:ascii="Cambria Math" w:hAnsi="Cambria Math"/>
                        <w:sz w:val="17"/>
                        <w:szCs w:val="17"/>
                        <w:lang w:val="fr-FR"/>
                      </w:rPr>
                      <m:t>jt</m:t>
                    </m:r>
                  </m:sub>
                </m:sSub>
              </m:oMath>
            </m:oMathPara>
          </w:p>
        </w:tc>
        <w:tc>
          <w:tcPr>
            <w:tcW w:w="1170" w:type="dxa"/>
            <w:tcBorders>
              <w:top w:val="nil"/>
            </w:tcBorders>
            <w:shd w:val="clear" w:color="auto" w:fill="FFFFFF" w:themeFill="background1"/>
          </w:tcPr>
          <w:p w:rsidR="00C71029" w:rsidRPr="002F4AC1" w:rsidRDefault="00C71029" w:rsidP="007343C0">
            <w:pPr>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sz w:val="17"/>
                <w:szCs w:val="17"/>
                <w:lang w:val="fr-FR"/>
              </w:rPr>
            </w:pPr>
            <w:r w:rsidRPr="002F4AC1">
              <w:rPr>
                <w:sz w:val="17"/>
                <w:szCs w:val="17"/>
                <w:lang w:val="fr-FR"/>
              </w:rPr>
              <w:noBreakHyphen/>
              <w:t>0,0305</w:t>
            </w:r>
          </w:p>
        </w:tc>
      </w:tr>
      <w:tr w:rsidR="00C71029" w:rsidRPr="002F4AC1" w:rsidTr="0067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shd w:val="clear" w:color="auto" w:fill="FFFFFF" w:themeFill="background1"/>
          </w:tcPr>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Déposant : université</w:t>
            </w:r>
          </w:p>
        </w:tc>
        <w:tc>
          <w:tcPr>
            <w:tcW w:w="1170" w:type="dxa"/>
            <w:shd w:val="clear" w:color="auto" w:fill="FFFFFF" w:themeFill="background1"/>
          </w:tcPr>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t>0,2493</w:t>
            </w:r>
          </w:p>
        </w:tc>
      </w:tr>
      <w:tr w:rsidR="00C71029" w:rsidRPr="002F4AC1" w:rsidTr="0067105B">
        <w:tc>
          <w:tcPr>
            <w:cnfStyle w:val="001000000000" w:firstRow="0" w:lastRow="0" w:firstColumn="1" w:lastColumn="0" w:oddVBand="0" w:evenVBand="0" w:oddHBand="0" w:evenHBand="0" w:firstRowFirstColumn="0" w:firstRowLastColumn="0" w:lastRowFirstColumn="0" w:lastRowLastColumn="0"/>
            <w:tcW w:w="3708" w:type="dxa"/>
            <w:shd w:val="clear" w:color="auto" w:fill="FFFFFF" w:themeFill="background1"/>
          </w:tcPr>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Déposant : organisme de recherche public</w:t>
            </w:r>
          </w:p>
        </w:tc>
        <w:tc>
          <w:tcPr>
            <w:tcW w:w="1170" w:type="dxa"/>
            <w:shd w:val="clear" w:color="auto" w:fill="FFFFFF" w:themeFill="background1"/>
          </w:tcPr>
          <w:p w:rsidR="00C71029" w:rsidRPr="002F4AC1" w:rsidRDefault="00C71029" w:rsidP="007343C0">
            <w:pPr>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sz w:val="17"/>
                <w:szCs w:val="17"/>
                <w:lang w:val="fr-FR"/>
              </w:rPr>
            </w:pPr>
            <w:r w:rsidRPr="002F4AC1">
              <w:rPr>
                <w:sz w:val="17"/>
                <w:szCs w:val="17"/>
                <w:lang w:val="fr-FR"/>
              </w:rPr>
              <w:t>0,1049</w:t>
            </w:r>
          </w:p>
        </w:tc>
      </w:tr>
      <w:tr w:rsidR="00C71029" w:rsidRPr="002F4AC1" w:rsidTr="0067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shd w:val="clear" w:color="auto" w:fill="FFFFFF" w:themeFill="background1"/>
          </w:tcPr>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 xml:space="preserve">2 offices </w:t>
            </w:r>
          </w:p>
        </w:tc>
        <w:tc>
          <w:tcPr>
            <w:tcW w:w="1170" w:type="dxa"/>
            <w:shd w:val="clear" w:color="auto" w:fill="FFFFFF" w:themeFill="background1"/>
          </w:tcPr>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0,1924</w:t>
            </w:r>
          </w:p>
        </w:tc>
      </w:tr>
      <w:tr w:rsidR="00C71029" w:rsidRPr="002F4AC1" w:rsidTr="0067105B">
        <w:tc>
          <w:tcPr>
            <w:cnfStyle w:val="001000000000" w:firstRow="0" w:lastRow="0" w:firstColumn="1" w:lastColumn="0" w:oddVBand="0" w:evenVBand="0" w:oddHBand="0" w:evenHBand="0" w:firstRowFirstColumn="0" w:firstRowLastColumn="0" w:lastRowFirstColumn="0" w:lastRowLastColumn="0"/>
            <w:tcW w:w="3708" w:type="dxa"/>
            <w:shd w:val="clear" w:color="auto" w:fill="FFFFFF" w:themeFill="background1"/>
          </w:tcPr>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3 offices</w:t>
            </w:r>
          </w:p>
        </w:tc>
        <w:tc>
          <w:tcPr>
            <w:tcW w:w="1170" w:type="dxa"/>
            <w:shd w:val="clear" w:color="auto" w:fill="FFFFFF" w:themeFill="background1"/>
          </w:tcPr>
          <w:p w:rsidR="00C71029" w:rsidRPr="002F4AC1" w:rsidRDefault="00C71029" w:rsidP="007343C0">
            <w:pPr>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sz w:val="17"/>
                <w:szCs w:val="17"/>
                <w:lang w:val="fr-FR"/>
              </w:rPr>
            </w:pPr>
            <w:r w:rsidRPr="002F4AC1">
              <w:rPr>
                <w:sz w:val="17"/>
                <w:szCs w:val="17"/>
                <w:lang w:val="fr-FR"/>
              </w:rPr>
              <w:noBreakHyphen/>
              <w:t>0,0848</w:t>
            </w:r>
          </w:p>
        </w:tc>
      </w:tr>
      <w:tr w:rsidR="00C71029" w:rsidRPr="002F4AC1" w:rsidTr="0067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shd w:val="clear" w:color="auto" w:fill="FFFFFF" w:themeFill="background1"/>
          </w:tcPr>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4 offices</w:t>
            </w:r>
          </w:p>
        </w:tc>
        <w:tc>
          <w:tcPr>
            <w:tcW w:w="1170" w:type="dxa"/>
            <w:shd w:val="clear" w:color="auto" w:fill="FFFFFF" w:themeFill="background1"/>
          </w:tcPr>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t>0,0075</w:t>
            </w:r>
          </w:p>
        </w:tc>
      </w:tr>
      <w:tr w:rsidR="00C71029" w:rsidRPr="002F4AC1" w:rsidTr="0067105B">
        <w:tc>
          <w:tcPr>
            <w:cnfStyle w:val="001000000000" w:firstRow="0" w:lastRow="0" w:firstColumn="1" w:lastColumn="0" w:oddVBand="0" w:evenVBand="0" w:oddHBand="0" w:evenHBand="0" w:firstRowFirstColumn="0" w:firstRowLastColumn="0" w:lastRowFirstColumn="0" w:lastRowLastColumn="0"/>
            <w:tcW w:w="3708" w:type="dxa"/>
            <w:shd w:val="clear" w:color="auto" w:fill="FFFFFF" w:themeFill="background1"/>
          </w:tcPr>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5 offices</w:t>
            </w:r>
          </w:p>
        </w:tc>
        <w:tc>
          <w:tcPr>
            <w:tcW w:w="1170" w:type="dxa"/>
            <w:shd w:val="clear" w:color="auto" w:fill="FFFFFF" w:themeFill="background1"/>
          </w:tcPr>
          <w:p w:rsidR="00C71029" w:rsidRPr="002F4AC1" w:rsidRDefault="00C71029" w:rsidP="007343C0">
            <w:pPr>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sz w:val="17"/>
                <w:szCs w:val="17"/>
                <w:lang w:val="fr-FR"/>
              </w:rPr>
            </w:pPr>
            <w:r w:rsidRPr="002F4AC1">
              <w:rPr>
                <w:sz w:val="17"/>
                <w:szCs w:val="17"/>
                <w:lang w:val="fr-FR"/>
              </w:rPr>
              <w:t>0,0730</w:t>
            </w:r>
          </w:p>
        </w:tc>
      </w:tr>
      <w:tr w:rsidR="00C71029" w:rsidRPr="002F4AC1" w:rsidTr="0067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shd w:val="clear" w:color="auto" w:fill="FFFFFF" w:themeFill="background1"/>
          </w:tcPr>
          <w:p w:rsidR="00C71029" w:rsidRPr="002F4AC1" w:rsidRDefault="00C71029" w:rsidP="007343C0">
            <w:pPr>
              <w:shd w:val="clear" w:color="auto" w:fill="FFFFFF" w:themeFill="background1"/>
              <w:spacing w:before="40" w:after="120"/>
              <w:ind w:left="274"/>
              <w:rPr>
                <w:b w:val="0"/>
                <w:sz w:val="17"/>
                <w:szCs w:val="17"/>
                <w:lang w:val="fr-FR"/>
              </w:rPr>
            </w:pPr>
            <w:r w:rsidRPr="002F4AC1">
              <w:rPr>
                <w:b w:val="0"/>
                <w:sz w:val="17"/>
                <w:szCs w:val="17"/>
                <w:lang w:val="fr-FR"/>
              </w:rPr>
              <w:t>6 offices ou plus</w:t>
            </w:r>
          </w:p>
        </w:tc>
        <w:tc>
          <w:tcPr>
            <w:tcW w:w="1170" w:type="dxa"/>
            <w:shd w:val="clear" w:color="auto" w:fill="FFFFFF" w:themeFill="background1"/>
          </w:tcPr>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t>0,1620</w:t>
            </w:r>
          </w:p>
        </w:tc>
      </w:tr>
      <w:tr w:rsidR="00C71029" w:rsidRPr="002F4AC1" w:rsidTr="0067105B">
        <w:tc>
          <w:tcPr>
            <w:cnfStyle w:val="001000000000" w:firstRow="0" w:lastRow="0" w:firstColumn="1" w:lastColumn="0" w:oddVBand="0" w:evenVBand="0" w:oddHBand="0" w:evenHBand="0" w:firstRowFirstColumn="0" w:firstRowLastColumn="0" w:lastRowFirstColumn="0" w:lastRowLastColumn="0"/>
            <w:tcW w:w="3708" w:type="dxa"/>
            <w:shd w:val="clear" w:color="auto" w:fill="FFFFFF" w:themeFill="background1"/>
          </w:tcPr>
          <w:p w:rsidR="00C71029" w:rsidRPr="002F4AC1" w:rsidRDefault="00C71029" w:rsidP="007343C0">
            <w:pPr>
              <w:shd w:val="clear" w:color="auto" w:fill="FFFFFF" w:themeFill="background1"/>
              <w:spacing w:before="40" w:after="40"/>
              <w:rPr>
                <w:b w:val="0"/>
                <w:i/>
                <w:sz w:val="17"/>
                <w:szCs w:val="17"/>
                <w:lang w:val="fr-FR"/>
              </w:rPr>
            </w:pPr>
            <w:r w:rsidRPr="002F4AC1">
              <w:rPr>
                <w:b w:val="0"/>
                <w:i/>
                <w:sz w:val="17"/>
                <w:szCs w:val="17"/>
                <w:lang w:val="fr-FR"/>
              </w:rPr>
              <w:t>Domaines technologiques</w:t>
            </w:r>
          </w:p>
        </w:tc>
        <w:tc>
          <w:tcPr>
            <w:tcW w:w="1170" w:type="dxa"/>
            <w:shd w:val="clear" w:color="auto" w:fill="FFFFFF" w:themeFill="background1"/>
          </w:tcPr>
          <w:p w:rsidR="00C71029" w:rsidRPr="002F4AC1" w:rsidRDefault="00C71029" w:rsidP="007343C0">
            <w:pPr>
              <w:shd w:val="clear" w:color="auto" w:fill="FFFFFF" w:themeFill="background1"/>
              <w:spacing w:before="40" w:after="40"/>
              <w:jc w:val="right"/>
              <w:cnfStyle w:val="000000000000" w:firstRow="0" w:lastRow="0" w:firstColumn="0" w:lastColumn="0" w:oddVBand="0" w:evenVBand="0" w:oddHBand="0" w:evenHBand="0" w:firstRowFirstColumn="0" w:firstRowLastColumn="0" w:lastRowFirstColumn="0" w:lastRowLastColumn="0"/>
              <w:rPr>
                <w:sz w:val="17"/>
                <w:szCs w:val="17"/>
                <w:lang w:val="fr-FR"/>
              </w:rPr>
            </w:pPr>
          </w:p>
        </w:tc>
      </w:tr>
      <w:tr w:rsidR="00C71029" w:rsidRPr="002F4AC1" w:rsidTr="0067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shd w:val="clear" w:color="auto" w:fill="FFFFFF" w:themeFill="background1"/>
          </w:tcPr>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Produits pharmaceutiques</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Biotechnologie</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Analyse de matériels biologiques</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Chimie macromoléculaire, polymères</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Chimie de base</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Chimie fine organique</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Matériaux, métallurgie</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Chimie alimentaire</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Communication numérique</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Technologie médicale</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Méthodes de traitement des données à des fins de gestion</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Technique de surface, revêtement</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Génie chimique</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Écotechnologie</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Autres biens de consommation</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Procédés et appareils thermiques</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Manutention</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Télécommunications</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Mobilier, jeux</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Techniques de mesure</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Autres machines spéciales</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Machines</w:t>
            </w:r>
            <w:r w:rsidRPr="002F4AC1">
              <w:rPr>
                <w:b w:val="0"/>
                <w:sz w:val="17"/>
                <w:szCs w:val="17"/>
                <w:lang w:val="fr-FR"/>
              </w:rPr>
              <w:noBreakHyphen/>
              <w:t>outils</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Machines et appareils électriques, énergie électrique</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Dispositifs de commande</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Éléments mécaniques</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Technologie des microstructures, nanotechnologie</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Génie civil</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Informatique</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Transport</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Techniques audiovisuelles</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Moteurs, pompes, turbines</w:t>
            </w:r>
          </w:p>
          <w:p w:rsidR="00C71029" w:rsidRPr="002F4AC1" w:rsidRDefault="00C71029" w:rsidP="007343C0">
            <w:pPr>
              <w:shd w:val="clear" w:color="auto" w:fill="FFFFFF" w:themeFill="background1"/>
              <w:spacing w:before="40" w:after="40"/>
              <w:ind w:left="270"/>
              <w:rPr>
                <w:b w:val="0"/>
                <w:sz w:val="17"/>
                <w:szCs w:val="17"/>
                <w:lang w:val="fr-FR"/>
              </w:rPr>
            </w:pPr>
            <w:proofErr w:type="spellStart"/>
            <w:r w:rsidRPr="002F4AC1">
              <w:rPr>
                <w:b w:val="0"/>
                <w:sz w:val="17"/>
                <w:szCs w:val="17"/>
                <w:lang w:val="fr-FR"/>
              </w:rPr>
              <w:t>Semiconducteurs</w:t>
            </w:r>
            <w:proofErr w:type="spellEnd"/>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Techniques de communication de base</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Machines à fabriquer du papier et des textiles</w:t>
            </w:r>
          </w:p>
          <w:p w:rsidR="00C71029" w:rsidRPr="002F4AC1" w:rsidRDefault="00C71029" w:rsidP="007343C0">
            <w:pPr>
              <w:shd w:val="clear" w:color="auto" w:fill="FFFFFF" w:themeFill="background1"/>
              <w:spacing w:before="40" w:after="40"/>
              <w:ind w:left="270"/>
              <w:rPr>
                <w:b w:val="0"/>
                <w:sz w:val="17"/>
                <w:szCs w:val="17"/>
                <w:lang w:val="fr-FR"/>
              </w:rPr>
            </w:pPr>
            <w:r w:rsidRPr="002F4AC1">
              <w:rPr>
                <w:b w:val="0"/>
                <w:sz w:val="17"/>
                <w:szCs w:val="17"/>
                <w:lang w:val="fr-FR"/>
              </w:rPr>
              <w:t>Optique</w:t>
            </w:r>
          </w:p>
        </w:tc>
        <w:tc>
          <w:tcPr>
            <w:tcW w:w="1170" w:type="dxa"/>
            <w:shd w:val="clear" w:color="auto" w:fill="FFFFFF" w:themeFill="background1"/>
          </w:tcPr>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t>0,1609</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t>0,1007</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0,0433</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0,0458</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0,0826</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0,0865</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0,1208</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0,1387</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0,1474</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0,1593</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0,1639</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0,1812</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0,1833</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0,2249</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0,2360</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0,2758</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0,2839</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0,2850</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0,3016</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0,3024</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0,3071</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0,3103</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0,3130</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0,3217</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0,3219</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0,3252</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0,3257</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0,3421</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0,3517</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0,3609</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0,3690</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0,3841</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0,3891</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0,4174</w:t>
            </w: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p>
          <w:p w:rsidR="00C71029" w:rsidRPr="002F4AC1" w:rsidRDefault="00C71029" w:rsidP="007343C0">
            <w:pPr>
              <w:shd w:val="clear" w:color="auto" w:fill="FFFFFF" w:themeFill="background1"/>
              <w:spacing w:before="40" w:after="40"/>
              <w:jc w:val="right"/>
              <w:cnfStyle w:val="000000100000" w:firstRow="0" w:lastRow="0" w:firstColumn="0" w:lastColumn="0" w:oddVBand="0" w:evenVBand="0" w:oddHBand="1" w:evenHBand="0" w:firstRowFirstColumn="0" w:firstRowLastColumn="0" w:lastRowFirstColumn="0" w:lastRowLastColumn="0"/>
              <w:rPr>
                <w:sz w:val="17"/>
                <w:szCs w:val="17"/>
                <w:lang w:val="fr-FR"/>
              </w:rPr>
            </w:pPr>
            <w:r w:rsidRPr="002F4AC1">
              <w:rPr>
                <w:sz w:val="17"/>
                <w:szCs w:val="17"/>
                <w:lang w:val="fr-FR"/>
              </w:rPr>
              <w:noBreakHyphen/>
              <w:t>0,4266</w:t>
            </w:r>
          </w:p>
        </w:tc>
      </w:tr>
    </w:tbl>
    <w:p w:rsidR="00C71029" w:rsidRDefault="00C71029" w:rsidP="007343C0">
      <w:pPr>
        <w:spacing w:before="40"/>
        <w:rPr>
          <w:sz w:val="18"/>
          <w:szCs w:val="18"/>
          <w:lang w:val="fr-FR"/>
        </w:rPr>
      </w:pPr>
      <w:r w:rsidRPr="007343C0">
        <w:rPr>
          <w:sz w:val="18"/>
          <w:szCs w:val="18"/>
          <w:lang w:val="fr-FR"/>
        </w:rPr>
        <w:t>Note : les effets marginaux indiqués correspondent aux estimations de coefficient qui figurent dans la colonne (3) du tableau n° 1.</w:t>
      </w:r>
    </w:p>
    <w:p w:rsidR="00AD43DA" w:rsidRDefault="00AD43DA" w:rsidP="007343C0">
      <w:pPr>
        <w:spacing w:before="40"/>
        <w:rPr>
          <w:sz w:val="18"/>
          <w:szCs w:val="18"/>
          <w:lang w:val="fr-FR"/>
        </w:rPr>
      </w:pPr>
    </w:p>
    <w:p w:rsidR="00AD43DA" w:rsidRDefault="00AD43DA" w:rsidP="007343C0">
      <w:pPr>
        <w:spacing w:before="40"/>
        <w:rPr>
          <w:sz w:val="18"/>
          <w:szCs w:val="18"/>
          <w:lang w:val="fr-FR"/>
        </w:rPr>
      </w:pPr>
    </w:p>
    <w:p w:rsidR="00C71029" w:rsidRDefault="00C71029" w:rsidP="007343C0">
      <w:pPr>
        <w:pStyle w:val="Endofdocument-Annex"/>
        <w:rPr>
          <w:lang w:val="fr-FR"/>
        </w:rPr>
      </w:pPr>
      <w:r w:rsidRPr="007343C0">
        <w:rPr>
          <w:lang w:val="fr-FR"/>
        </w:rPr>
        <w:t>[Fin de l’annexe et du document]</w:t>
      </w:r>
    </w:p>
    <w:sectPr w:rsidR="00C71029" w:rsidSect="00C71029">
      <w:headerReference w:type="default" r:id="rId15"/>
      <w:footerReference w:type="default" r:id="rId16"/>
      <w:headerReference w:type="first" r:id="rId17"/>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7B8" w:rsidRDefault="003447B8">
      <w:r>
        <w:separator/>
      </w:r>
    </w:p>
  </w:endnote>
  <w:endnote w:type="continuationSeparator" w:id="0">
    <w:p w:rsidR="003447B8" w:rsidRDefault="003447B8" w:rsidP="003B38C1">
      <w:r>
        <w:separator/>
      </w:r>
    </w:p>
    <w:p w:rsidR="003447B8" w:rsidRPr="003B38C1" w:rsidRDefault="003447B8" w:rsidP="003B38C1">
      <w:pPr>
        <w:spacing w:after="60"/>
        <w:rPr>
          <w:sz w:val="17"/>
        </w:rPr>
      </w:pPr>
      <w:r>
        <w:rPr>
          <w:sz w:val="17"/>
        </w:rPr>
        <w:t>[Endnote continued from previous page]</w:t>
      </w:r>
    </w:p>
  </w:endnote>
  <w:endnote w:type="continuationNotice" w:id="1">
    <w:p w:rsidR="003447B8" w:rsidRPr="003B38C1" w:rsidRDefault="003447B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B8" w:rsidRDefault="003447B8">
    <w:pPr>
      <w:pStyle w:val="Footer"/>
      <w:jc w:val="right"/>
    </w:pPr>
  </w:p>
  <w:p w:rsidR="003447B8" w:rsidRDefault="003447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7B8" w:rsidRDefault="003447B8">
      <w:r>
        <w:separator/>
      </w:r>
    </w:p>
  </w:footnote>
  <w:footnote w:type="continuationSeparator" w:id="0">
    <w:p w:rsidR="003447B8" w:rsidRDefault="003447B8" w:rsidP="008B60B2">
      <w:r>
        <w:separator/>
      </w:r>
    </w:p>
  </w:footnote>
  <w:footnote w:type="continuationNotice" w:id="1">
    <w:p w:rsidR="003447B8" w:rsidRPr="00875590" w:rsidRDefault="007261DD" w:rsidP="008B60B2">
      <w:pPr>
        <w:spacing w:before="60"/>
        <w:jc w:val="right"/>
        <w:rPr>
          <w:sz w:val="17"/>
          <w:szCs w:val="17"/>
          <w:lang w:val="fr-CH"/>
        </w:rPr>
      </w:pPr>
      <w:r w:rsidRPr="00875590">
        <w:rPr>
          <w:sz w:val="17"/>
          <w:szCs w:val="17"/>
          <w:lang w:val="fr-CH"/>
        </w:rPr>
        <w:t>[Suite de la note page suivante</w:t>
      </w:r>
      <w:r w:rsidR="003447B8" w:rsidRPr="00875590">
        <w:rPr>
          <w:sz w:val="17"/>
          <w:szCs w:val="17"/>
          <w:lang w:val="fr-CH"/>
        </w:rPr>
        <w:t>]</w:t>
      </w:r>
    </w:p>
  </w:footnote>
  <w:footnote w:id="2">
    <w:p w:rsidR="003447B8" w:rsidRPr="00F51BEE" w:rsidRDefault="003447B8" w:rsidP="00F51BEE">
      <w:pPr>
        <w:pStyle w:val="FootnoteText"/>
        <w:rPr>
          <w:lang w:val="fr-CH"/>
        </w:rPr>
      </w:pPr>
      <w:r>
        <w:rPr>
          <w:rStyle w:val="FootnoteReference"/>
        </w:rPr>
        <w:footnoteRef/>
      </w:r>
      <w:r w:rsidRPr="00F51BEE">
        <w:rPr>
          <w:lang w:val="fr-CH"/>
        </w:rPr>
        <w:t xml:space="preserve"> </w:t>
      </w:r>
      <w:r w:rsidRPr="00F51BEE">
        <w:rPr>
          <w:lang w:val="fr-CH"/>
        </w:rPr>
        <w:tab/>
      </w:r>
      <w:r w:rsidRPr="00F51BEE">
        <w:rPr>
          <w:color w:val="000000"/>
          <w:lang w:val="fr-CH"/>
        </w:rPr>
        <w:t>Voir le Résumé présenté par le président (PCT/WG/6/23).</w:t>
      </w:r>
    </w:p>
  </w:footnote>
  <w:footnote w:id="3">
    <w:p w:rsidR="003447B8" w:rsidRPr="00E5757A" w:rsidRDefault="003447B8" w:rsidP="00720D7E">
      <w:pPr>
        <w:pStyle w:val="FootnoteText"/>
      </w:pPr>
      <w:r>
        <w:rPr>
          <w:rStyle w:val="FootnoteReference"/>
        </w:rPr>
        <w:footnoteRef/>
      </w:r>
      <w:r w:rsidRPr="00720D7E">
        <w:rPr>
          <w:lang w:val="fr-CH"/>
        </w:rPr>
        <w:t xml:space="preserve"> </w:t>
      </w:r>
      <w:r w:rsidRPr="00720D7E">
        <w:rPr>
          <w:lang w:val="fr-CH"/>
        </w:rPr>
        <w:tab/>
      </w:r>
      <w:r w:rsidR="00281007">
        <w:rPr>
          <w:color w:val="000000"/>
          <w:lang w:val="fr-CH"/>
        </w:rPr>
        <w:t>V</w:t>
      </w:r>
      <w:r w:rsidRPr="00720D7E">
        <w:rPr>
          <w:color w:val="000000"/>
          <w:lang w:val="fr-CH"/>
        </w:rPr>
        <w:t xml:space="preserve">oir de </w:t>
      </w:r>
      <w:proofErr w:type="spellStart"/>
      <w:r w:rsidRPr="00720D7E">
        <w:rPr>
          <w:color w:val="000000"/>
          <w:lang w:val="fr-CH"/>
        </w:rPr>
        <w:t>Rassenfosse</w:t>
      </w:r>
      <w:proofErr w:type="spellEnd"/>
      <w:r w:rsidRPr="00720D7E">
        <w:rPr>
          <w:color w:val="000000"/>
          <w:lang w:val="fr-CH"/>
        </w:rPr>
        <w:t>, G.</w:t>
      </w:r>
      <w:r w:rsidR="00660DB7">
        <w:rPr>
          <w:color w:val="000000"/>
          <w:lang w:val="fr-CH"/>
        </w:rPr>
        <w:t> </w:t>
      </w:r>
      <w:r w:rsidRPr="00720D7E">
        <w:rPr>
          <w:color w:val="000000"/>
          <w:lang w:val="fr-CH"/>
        </w:rPr>
        <w:t>and B.</w:t>
      </w:r>
      <w:r w:rsidR="00660DB7">
        <w:rPr>
          <w:color w:val="000000"/>
          <w:lang w:val="fr-CH"/>
        </w:rPr>
        <w:t> </w:t>
      </w:r>
      <w:r w:rsidRPr="00720D7E">
        <w:rPr>
          <w:color w:val="000000"/>
          <w:lang w:val="fr-CH"/>
        </w:rPr>
        <w:t xml:space="preserve">van </w:t>
      </w:r>
      <w:proofErr w:type="spellStart"/>
      <w:r w:rsidRPr="00720D7E">
        <w:rPr>
          <w:color w:val="000000"/>
          <w:lang w:val="fr-CH"/>
        </w:rPr>
        <w:t>Pottelsberghe</w:t>
      </w:r>
      <w:proofErr w:type="spellEnd"/>
      <w:r w:rsidRPr="00720D7E">
        <w:rPr>
          <w:color w:val="000000"/>
          <w:lang w:val="fr-CH"/>
        </w:rPr>
        <w:t>.</w:t>
      </w:r>
      <w:r w:rsidRPr="00E8028B">
        <w:rPr>
          <w:color w:val="000000"/>
          <w:lang w:val="fr-CH"/>
        </w:rPr>
        <w:t xml:space="preserve"> </w:t>
      </w:r>
      <w:r w:rsidR="00660DB7">
        <w:rPr>
          <w:color w:val="000000"/>
          <w:lang w:val="fr-CH"/>
        </w:rPr>
        <w:t xml:space="preserve"> </w:t>
      </w:r>
      <w:r w:rsidRPr="00720D7E">
        <w:t>(2012)</w:t>
      </w:r>
      <w:proofErr w:type="gramStart"/>
      <w:r w:rsidRPr="00720D7E">
        <w:t xml:space="preserve">. </w:t>
      </w:r>
      <w:r w:rsidR="00660DB7">
        <w:t xml:space="preserve"> </w:t>
      </w:r>
      <w:r w:rsidRPr="00720D7E">
        <w:rPr>
          <w:color w:val="000000"/>
        </w:rPr>
        <w:t>“</w:t>
      </w:r>
      <w:proofErr w:type="gramEnd"/>
      <w:r w:rsidRPr="00720D7E">
        <w:rPr>
          <w:color w:val="000000"/>
        </w:rPr>
        <w:t xml:space="preserve">The role of fees in patent </w:t>
      </w:r>
      <w:r w:rsidRPr="00E5757A">
        <w:t>systems</w:t>
      </w:r>
      <w:r w:rsidR="00660DB7">
        <w:t> :</w:t>
      </w:r>
      <w:r w:rsidRPr="00E5757A">
        <w:t xml:space="preserve"> Theory and evidence.”  </w:t>
      </w:r>
      <w:proofErr w:type="gramStart"/>
      <w:r w:rsidRPr="00E5757A">
        <w:t>Journal of Economic Surveys, 2(5), p.</w:t>
      </w:r>
      <w:r w:rsidR="00660DB7">
        <w:t> </w:t>
      </w:r>
      <w:r w:rsidRPr="00E5757A">
        <w:t>806.).</w:t>
      </w:r>
      <w:proofErr w:type="gramEnd"/>
      <w:r w:rsidRPr="00E5757A">
        <w:t xml:space="preserve"> </w:t>
      </w:r>
      <w:r w:rsidR="00660DB7">
        <w:t xml:space="preserve"> </w:t>
      </w:r>
    </w:p>
  </w:footnote>
  <w:footnote w:id="4">
    <w:p w:rsidR="003447B8" w:rsidRPr="003447B8" w:rsidRDefault="003447B8" w:rsidP="003447B8">
      <w:pPr>
        <w:pStyle w:val="FootnoteText"/>
        <w:rPr>
          <w:lang w:val="fr-CH"/>
        </w:rPr>
      </w:pPr>
      <w:r w:rsidRPr="00E5757A">
        <w:rPr>
          <w:rStyle w:val="FootnoteReference"/>
        </w:rPr>
        <w:footnoteRef/>
      </w:r>
      <w:r w:rsidRPr="00E5757A">
        <w:rPr>
          <w:lang w:val="fr-CH"/>
        </w:rPr>
        <w:t xml:space="preserve"> </w:t>
      </w:r>
      <w:r w:rsidRPr="00E5757A">
        <w:rPr>
          <w:lang w:val="fr-CH"/>
        </w:rPr>
        <w:tab/>
        <w:t>Avant 2004, l</w:t>
      </w:r>
      <w:r w:rsidR="00281007">
        <w:rPr>
          <w:lang w:val="fr-CH"/>
        </w:rPr>
        <w:t>e montant de l</w:t>
      </w:r>
      <w:r w:rsidRPr="00E5757A">
        <w:rPr>
          <w:lang w:val="fr-CH"/>
        </w:rPr>
        <w:t xml:space="preserve">a taxe internationale de dépôt dépendait du nombre de pays désignés dans la demande </w:t>
      </w:r>
      <w:r w:rsidR="009636B2">
        <w:rPr>
          <w:lang w:val="fr-CH"/>
        </w:rPr>
        <w:t>selon le </w:t>
      </w:r>
      <w:r w:rsidRPr="00E5757A">
        <w:rPr>
          <w:lang w:val="fr-CH"/>
        </w:rPr>
        <w:t>PCT.  Depuis</w:t>
      </w:r>
      <w:r w:rsidR="00660DB7">
        <w:rPr>
          <w:lang w:val="fr-CH"/>
        </w:rPr>
        <w:t> </w:t>
      </w:r>
      <w:r w:rsidRPr="00E5757A">
        <w:rPr>
          <w:lang w:val="fr-CH"/>
        </w:rPr>
        <w:t>2004, toutes les demandes désignent l</w:t>
      </w:r>
      <w:r w:rsidR="008204DE">
        <w:rPr>
          <w:lang w:val="fr-CH"/>
        </w:rPr>
        <w:t>’</w:t>
      </w:r>
      <w:r w:rsidRPr="00E5757A">
        <w:rPr>
          <w:lang w:val="fr-CH"/>
        </w:rPr>
        <w:t xml:space="preserve">ensemble des États membres du PCT et une taxe internationale de dépôt homogène est appliquée.  Compte tenu de cette différence structurelle, la présente étude repose uniquement </w:t>
      </w:r>
      <w:r w:rsidR="009636B2">
        <w:rPr>
          <w:lang w:val="fr-CH"/>
        </w:rPr>
        <w:t xml:space="preserve">sur </w:t>
      </w:r>
      <w:r w:rsidRPr="00E5757A">
        <w:rPr>
          <w:lang w:val="fr-CH"/>
        </w:rPr>
        <w:t xml:space="preserve">des données </w:t>
      </w:r>
      <w:r w:rsidRPr="003447B8">
        <w:rPr>
          <w:color w:val="000000"/>
          <w:lang w:val="fr-CH"/>
        </w:rPr>
        <w:t>à partir de</w:t>
      </w:r>
      <w:r w:rsidR="00660DB7">
        <w:rPr>
          <w:color w:val="000000"/>
          <w:lang w:val="fr-CH"/>
        </w:rPr>
        <w:t> </w:t>
      </w:r>
      <w:r w:rsidRPr="003447B8">
        <w:rPr>
          <w:color w:val="000000"/>
          <w:lang w:val="fr-CH"/>
        </w:rPr>
        <w:t>2004.</w:t>
      </w:r>
    </w:p>
  </w:footnote>
  <w:footnote w:id="5">
    <w:p w:rsidR="003447B8" w:rsidRPr="00E5757A" w:rsidRDefault="003447B8" w:rsidP="00EA6C0C">
      <w:pPr>
        <w:pStyle w:val="FootnoteText"/>
        <w:rPr>
          <w:lang w:val="fr-CH"/>
        </w:rPr>
      </w:pPr>
      <w:r>
        <w:rPr>
          <w:rStyle w:val="FootnoteReference"/>
        </w:rPr>
        <w:footnoteRef/>
      </w:r>
      <w:r w:rsidRPr="003447B8">
        <w:rPr>
          <w:lang w:val="fr-CH"/>
        </w:rPr>
        <w:t xml:space="preserve"> </w:t>
      </w:r>
      <w:r w:rsidRPr="003447B8">
        <w:rPr>
          <w:lang w:val="fr-CH"/>
        </w:rPr>
        <w:tab/>
      </w:r>
      <w:r w:rsidR="009636B2">
        <w:rPr>
          <w:color w:val="000000"/>
          <w:lang w:val="fr-CH"/>
        </w:rPr>
        <w:t>Il est m</w:t>
      </w:r>
      <w:r w:rsidRPr="003447B8">
        <w:rPr>
          <w:color w:val="000000"/>
          <w:lang w:val="fr-CH"/>
        </w:rPr>
        <w:t>alheureusement</w:t>
      </w:r>
      <w:r w:rsidR="009636B2">
        <w:rPr>
          <w:color w:val="000000"/>
          <w:lang w:val="fr-CH"/>
        </w:rPr>
        <w:t xml:space="preserve"> difficile d</w:t>
      </w:r>
      <w:r w:rsidR="008204DE">
        <w:rPr>
          <w:color w:val="000000"/>
          <w:lang w:val="fr-CH"/>
        </w:rPr>
        <w:t>’</w:t>
      </w:r>
      <w:r w:rsidR="009636B2">
        <w:rPr>
          <w:color w:val="000000"/>
          <w:lang w:val="fr-CH"/>
        </w:rPr>
        <w:t>obtenir d</w:t>
      </w:r>
      <w:r w:rsidRPr="003447B8">
        <w:rPr>
          <w:color w:val="000000"/>
          <w:lang w:val="fr-CH"/>
        </w:rPr>
        <w:t xml:space="preserve">es données </w:t>
      </w:r>
      <w:r w:rsidR="00281007">
        <w:rPr>
          <w:color w:val="000000"/>
          <w:lang w:val="fr-CH"/>
        </w:rPr>
        <w:t>rétrospectives</w:t>
      </w:r>
      <w:r w:rsidRPr="003447B8">
        <w:rPr>
          <w:color w:val="000000"/>
          <w:lang w:val="fr-CH"/>
        </w:rPr>
        <w:t xml:space="preserve"> </w:t>
      </w:r>
      <w:r w:rsidR="009636B2">
        <w:rPr>
          <w:color w:val="000000"/>
          <w:lang w:val="fr-CH"/>
        </w:rPr>
        <w:t>sur la taxe de transmission</w:t>
      </w:r>
      <w:r w:rsidRPr="003447B8">
        <w:rPr>
          <w:color w:val="000000"/>
          <w:lang w:val="fr-CH"/>
        </w:rPr>
        <w:t>.</w:t>
      </w:r>
      <w:r w:rsidRPr="00E8028B">
        <w:rPr>
          <w:color w:val="000000"/>
          <w:lang w:val="fr-CH"/>
        </w:rPr>
        <w:t xml:space="preserve">  </w:t>
      </w:r>
      <w:r w:rsidRPr="003447B8">
        <w:rPr>
          <w:color w:val="000000"/>
          <w:lang w:val="fr-CH"/>
        </w:rPr>
        <w:t xml:space="preserve">La présente étude ne tient donc </w:t>
      </w:r>
      <w:r w:rsidRPr="00E5757A">
        <w:rPr>
          <w:lang w:val="fr-CH"/>
        </w:rPr>
        <w:t xml:space="preserve">pas compte de </w:t>
      </w:r>
      <w:r w:rsidR="00281007">
        <w:rPr>
          <w:lang w:val="fr-CH"/>
        </w:rPr>
        <w:t>cette</w:t>
      </w:r>
      <w:r w:rsidRPr="00E5757A">
        <w:rPr>
          <w:lang w:val="fr-CH"/>
        </w:rPr>
        <w:t xml:space="preserve"> taxe.  </w:t>
      </w:r>
      <w:r w:rsidR="00EA6C0C" w:rsidRPr="00E5757A">
        <w:rPr>
          <w:lang w:val="fr-CH"/>
        </w:rPr>
        <w:t xml:space="preserve">Cependant, puisque les offices récepteurs fixent </w:t>
      </w:r>
      <w:r w:rsidR="00281007">
        <w:rPr>
          <w:lang w:val="fr-CH"/>
        </w:rPr>
        <w:t>la</w:t>
      </w:r>
      <w:r w:rsidR="00EA6C0C" w:rsidRPr="00E5757A">
        <w:rPr>
          <w:lang w:val="fr-CH"/>
        </w:rPr>
        <w:t xml:space="preserve"> taxe </w:t>
      </w:r>
      <w:r w:rsidR="00281007" w:rsidRPr="00E5757A">
        <w:rPr>
          <w:lang w:val="fr-CH"/>
        </w:rPr>
        <w:t xml:space="preserve">de transmission </w:t>
      </w:r>
      <w:r w:rsidR="00EA6C0C" w:rsidRPr="00E5757A">
        <w:rPr>
          <w:lang w:val="fr-CH"/>
        </w:rPr>
        <w:t xml:space="preserve">dans </w:t>
      </w:r>
      <w:r w:rsidR="009636B2">
        <w:rPr>
          <w:lang w:val="fr-CH"/>
        </w:rPr>
        <w:t>une</w:t>
      </w:r>
      <w:r w:rsidR="00EA6C0C" w:rsidRPr="00E5757A">
        <w:rPr>
          <w:lang w:val="fr-CH"/>
        </w:rPr>
        <w:t xml:space="preserve"> monnaie locale, les variations </w:t>
      </w:r>
      <w:r w:rsidR="009636B2">
        <w:rPr>
          <w:lang w:val="fr-CH"/>
        </w:rPr>
        <w:t>des</w:t>
      </w:r>
      <w:r w:rsidR="00EA6C0C" w:rsidRPr="00E5757A">
        <w:rPr>
          <w:lang w:val="fr-CH"/>
        </w:rPr>
        <w:t xml:space="preserve"> taux de change n</w:t>
      </w:r>
      <w:r w:rsidR="008204DE">
        <w:rPr>
          <w:lang w:val="fr-CH"/>
        </w:rPr>
        <w:t>’</w:t>
      </w:r>
      <w:r w:rsidR="00EA6C0C" w:rsidRPr="00E5757A">
        <w:rPr>
          <w:lang w:val="fr-CH"/>
        </w:rPr>
        <w:t xml:space="preserve">entraînent pas de variation de la taxe </w:t>
      </w:r>
      <w:r w:rsidR="009636B2">
        <w:rPr>
          <w:lang w:val="fr-CH"/>
        </w:rPr>
        <w:t>au fil du</w:t>
      </w:r>
      <w:r w:rsidR="00EA6C0C" w:rsidRPr="00E5757A">
        <w:rPr>
          <w:lang w:val="fr-CH"/>
        </w:rPr>
        <w:t xml:space="preserve"> temps;  les effets fixes</w:t>
      </w:r>
      <w:r w:rsidR="009636B2">
        <w:rPr>
          <w:lang w:val="fr-CH"/>
        </w:rPr>
        <w:t xml:space="preserve"> </w:t>
      </w:r>
      <w:r w:rsidR="00281007">
        <w:rPr>
          <w:lang w:val="fr-CH"/>
        </w:rPr>
        <w:t>propres</w:t>
      </w:r>
      <w:r w:rsidR="009636B2">
        <w:rPr>
          <w:lang w:val="fr-CH"/>
        </w:rPr>
        <w:t xml:space="preserve"> à l</w:t>
      </w:r>
      <w:r w:rsidR="008204DE">
        <w:rPr>
          <w:lang w:val="fr-CH"/>
        </w:rPr>
        <w:t>’</w:t>
      </w:r>
      <w:r w:rsidR="009636B2">
        <w:rPr>
          <w:lang w:val="fr-CH"/>
        </w:rPr>
        <w:t>origine et inclus</w:t>
      </w:r>
      <w:r w:rsidR="00EA6C0C" w:rsidRPr="00E5757A">
        <w:rPr>
          <w:lang w:val="fr-CH"/>
        </w:rPr>
        <w:t xml:space="preserve"> </w:t>
      </w:r>
      <w:r w:rsidR="009636B2">
        <w:rPr>
          <w:lang w:val="fr-CH"/>
        </w:rPr>
        <w:t xml:space="preserve">dans </w:t>
      </w:r>
      <w:r w:rsidR="00EA6C0C" w:rsidRPr="00E5757A">
        <w:rPr>
          <w:lang w:val="fr-CH"/>
        </w:rPr>
        <w:t xml:space="preserve">le modèle de régression </w:t>
      </w:r>
      <w:proofErr w:type="spellStart"/>
      <w:r w:rsidR="00EA6C0C" w:rsidRPr="00E5757A">
        <w:rPr>
          <w:lang w:val="fr-CH"/>
        </w:rPr>
        <w:t>Probit</w:t>
      </w:r>
      <w:proofErr w:type="spellEnd"/>
      <w:r w:rsidR="00EA6C0C" w:rsidRPr="00E5757A">
        <w:rPr>
          <w:lang w:val="fr-CH"/>
        </w:rPr>
        <w:t xml:space="preserve"> doivent</w:t>
      </w:r>
      <w:r w:rsidR="00281007">
        <w:rPr>
          <w:lang w:val="fr-CH"/>
        </w:rPr>
        <w:t xml:space="preserve"> donc</w:t>
      </w:r>
      <w:r w:rsidR="00EA6C0C" w:rsidRPr="00E5757A">
        <w:rPr>
          <w:lang w:val="fr-CH"/>
        </w:rPr>
        <w:t xml:space="preserve"> </w:t>
      </w:r>
      <w:r w:rsidR="00281007">
        <w:rPr>
          <w:lang w:val="fr-CH"/>
        </w:rPr>
        <w:t>tenir compte de</w:t>
      </w:r>
      <w:r w:rsidR="00EA6C0C" w:rsidRPr="00E5757A">
        <w:rPr>
          <w:lang w:val="fr-CH"/>
        </w:rPr>
        <w:t xml:space="preserve"> leur effet.</w:t>
      </w:r>
    </w:p>
  </w:footnote>
  <w:footnote w:id="6">
    <w:p w:rsidR="003447B8" w:rsidRPr="00EA6C0C" w:rsidRDefault="003447B8" w:rsidP="00EA6C0C">
      <w:pPr>
        <w:pStyle w:val="FootnoteText"/>
        <w:rPr>
          <w:lang w:val="fr-CH"/>
        </w:rPr>
      </w:pPr>
      <w:r w:rsidRPr="00E5757A">
        <w:rPr>
          <w:rStyle w:val="FootnoteReference"/>
        </w:rPr>
        <w:footnoteRef/>
      </w:r>
      <w:r w:rsidRPr="00E5757A">
        <w:rPr>
          <w:lang w:val="fr-CH"/>
        </w:rPr>
        <w:t xml:space="preserve"> </w:t>
      </w:r>
      <w:r w:rsidRPr="00E5757A">
        <w:rPr>
          <w:lang w:val="fr-CH"/>
        </w:rPr>
        <w:tab/>
      </w:r>
      <w:r w:rsidR="00EA6C0C" w:rsidRPr="00E5757A">
        <w:rPr>
          <w:lang w:val="fr-CH"/>
        </w:rPr>
        <w:t>Les déposants peuvent bénéficier d</w:t>
      </w:r>
      <w:r w:rsidR="008204DE">
        <w:rPr>
          <w:lang w:val="fr-CH"/>
        </w:rPr>
        <w:t>’</w:t>
      </w:r>
      <w:r w:rsidR="00EA6C0C" w:rsidRPr="00E5757A">
        <w:rPr>
          <w:lang w:val="fr-CH"/>
        </w:rPr>
        <w:t>une remise d</w:t>
      </w:r>
      <w:r w:rsidR="008204DE">
        <w:rPr>
          <w:lang w:val="fr-CH"/>
        </w:rPr>
        <w:t>’</w:t>
      </w:r>
      <w:r w:rsidR="00EA6C0C" w:rsidRPr="00E5757A">
        <w:rPr>
          <w:lang w:val="fr-CH"/>
        </w:rPr>
        <w:t>un montant compris entre 100 et 300</w:t>
      </w:r>
      <w:r w:rsidR="00660DB7">
        <w:rPr>
          <w:lang w:val="fr-CH"/>
        </w:rPr>
        <w:t> </w:t>
      </w:r>
      <w:r w:rsidR="00EA6C0C" w:rsidRPr="00E5757A">
        <w:rPr>
          <w:lang w:val="fr-CH"/>
        </w:rPr>
        <w:t>francs suisses lorsqu</w:t>
      </w:r>
      <w:r w:rsidR="008204DE">
        <w:rPr>
          <w:lang w:val="fr-CH"/>
        </w:rPr>
        <w:t>’</w:t>
      </w:r>
      <w:r w:rsidR="00EA6C0C" w:rsidRPr="00E5757A">
        <w:rPr>
          <w:lang w:val="fr-CH"/>
        </w:rPr>
        <w:t>ils déposent leur demande selon</w:t>
      </w:r>
      <w:r w:rsidR="008204DE" w:rsidRPr="00E5757A">
        <w:rPr>
          <w:lang w:val="fr-CH"/>
        </w:rPr>
        <w:t xml:space="preserve"> le</w:t>
      </w:r>
      <w:r w:rsidR="008204DE">
        <w:rPr>
          <w:lang w:val="fr-CH"/>
        </w:rPr>
        <w:t> </w:t>
      </w:r>
      <w:r w:rsidR="008204DE" w:rsidRPr="00E5757A">
        <w:rPr>
          <w:lang w:val="fr-CH"/>
        </w:rPr>
        <w:t>PCT</w:t>
      </w:r>
      <w:r w:rsidR="00EA6C0C" w:rsidRPr="00E5757A">
        <w:rPr>
          <w:lang w:val="fr-CH"/>
        </w:rPr>
        <w:t xml:space="preserve"> par la voie électronique.</w:t>
      </w:r>
      <w:r w:rsidRPr="00E5757A">
        <w:rPr>
          <w:lang w:val="fr-CH"/>
        </w:rPr>
        <w:t xml:space="preserve">  </w:t>
      </w:r>
      <w:r w:rsidR="00EA6C0C" w:rsidRPr="00E5757A">
        <w:rPr>
          <w:lang w:val="fr-CH"/>
        </w:rPr>
        <w:t>La présente étude ne tient pas compte de cette remise car l</w:t>
      </w:r>
      <w:r w:rsidR="008204DE">
        <w:rPr>
          <w:lang w:val="fr-CH"/>
        </w:rPr>
        <w:t>’</w:t>
      </w:r>
      <w:r w:rsidR="00EA6C0C" w:rsidRPr="00E5757A">
        <w:rPr>
          <w:lang w:val="fr-CH"/>
        </w:rPr>
        <w:t>échantillon sur lequel repose l</w:t>
      </w:r>
      <w:r w:rsidR="008204DE">
        <w:rPr>
          <w:lang w:val="fr-CH"/>
        </w:rPr>
        <w:t>’</w:t>
      </w:r>
      <w:r w:rsidR="00EA6C0C" w:rsidRPr="00E5757A">
        <w:rPr>
          <w:lang w:val="fr-CH"/>
        </w:rPr>
        <w:t>enquête économ</w:t>
      </w:r>
      <w:r w:rsidR="00572D4D" w:rsidRPr="00E5757A">
        <w:rPr>
          <w:lang w:val="fr-CH"/>
        </w:rPr>
        <w:t>é</w:t>
      </w:r>
      <w:r w:rsidR="00EA6C0C" w:rsidRPr="00E5757A">
        <w:rPr>
          <w:lang w:val="fr-CH"/>
        </w:rPr>
        <w:t xml:space="preserve">trique comprend des demandes de brevet pour lesquelles les déposants </w:t>
      </w:r>
      <w:r w:rsidR="00281007">
        <w:rPr>
          <w:color w:val="000000"/>
          <w:lang w:val="fr-CH"/>
        </w:rPr>
        <w:t>n’utilise</w:t>
      </w:r>
      <w:r w:rsidR="00EA6C0C" w:rsidRPr="00EA6C0C">
        <w:rPr>
          <w:color w:val="000000"/>
          <w:lang w:val="fr-CH"/>
        </w:rPr>
        <w:t xml:space="preserve">nt pas </w:t>
      </w:r>
      <w:r w:rsidR="00281007">
        <w:rPr>
          <w:color w:val="000000"/>
          <w:lang w:val="fr-CH"/>
        </w:rPr>
        <w:t>l</w:t>
      </w:r>
      <w:r w:rsidR="00EA6C0C" w:rsidRPr="00EA6C0C">
        <w:rPr>
          <w:color w:val="000000"/>
          <w:lang w:val="fr-CH"/>
        </w:rPr>
        <w:t xml:space="preserve">e </w:t>
      </w:r>
      <w:r w:rsidR="00281007">
        <w:rPr>
          <w:color w:val="000000"/>
          <w:lang w:val="fr-CH"/>
        </w:rPr>
        <w:t>système du</w:t>
      </w:r>
      <w:r w:rsidR="008204DE">
        <w:rPr>
          <w:color w:val="000000"/>
          <w:lang w:val="fr-CH"/>
        </w:rPr>
        <w:t> </w:t>
      </w:r>
      <w:r w:rsidR="008204DE" w:rsidRPr="00EA6C0C">
        <w:rPr>
          <w:color w:val="000000"/>
          <w:lang w:val="fr-CH"/>
        </w:rPr>
        <w:t>PCT</w:t>
      </w:r>
      <w:r w:rsidR="00EA6C0C" w:rsidRPr="00EA6C0C">
        <w:rPr>
          <w:color w:val="000000"/>
          <w:lang w:val="fr-CH"/>
        </w:rPr>
        <w:t xml:space="preserve"> et </w:t>
      </w:r>
      <w:r w:rsidR="00281007">
        <w:rPr>
          <w:color w:val="000000"/>
          <w:lang w:val="fr-CH"/>
        </w:rPr>
        <w:t>il est impossible de</w:t>
      </w:r>
      <w:r w:rsidR="00EA6C0C" w:rsidRPr="00EA6C0C">
        <w:rPr>
          <w:color w:val="000000"/>
          <w:lang w:val="fr-CH"/>
        </w:rPr>
        <w:t xml:space="preserve"> </w:t>
      </w:r>
      <w:r w:rsidR="0002220F">
        <w:rPr>
          <w:color w:val="000000"/>
          <w:lang w:val="fr-CH"/>
        </w:rPr>
        <w:t xml:space="preserve">déterminer </w:t>
      </w:r>
      <w:r w:rsidR="00EA6C0C" w:rsidRPr="00EA6C0C">
        <w:rPr>
          <w:color w:val="000000"/>
          <w:lang w:val="fr-CH"/>
        </w:rPr>
        <w:t>si ces déposants auraient procédé à des dépôts électroniques.</w:t>
      </w:r>
    </w:p>
  </w:footnote>
  <w:footnote w:id="7">
    <w:p w:rsidR="00EA6C0C" w:rsidRPr="00572D4D" w:rsidRDefault="00EA6C0C" w:rsidP="00572D4D">
      <w:pPr>
        <w:pStyle w:val="FootnoteText"/>
        <w:rPr>
          <w:lang w:val="fr-CH"/>
        </w:rPr>
      </w:pPr>
      <w:r>
        <w:rPr>
          <w:rStyle w:val="FootnoteReference"/>
        </w:rPr>
        <w:footnoteRef/>
      </w:r>
      <w:r w:rsidRPr="00572D4D">
        <w:rPr>
          <w:lang w:val="fr-CH"/>
        </w:rPr>
        <w:t xml:space="preserve"> </w:t>
      </w:r>
      <w:r w:rsidRPr="00572D4D">
        <w:rPr>
          <w:lang w:val="fr-CH"/>
        </w:rPr>
        <w:tab/>
      </w:r>
      <w:r w:rsidR="00572D4D" w:rsidRPr="00572D4D">
        <w:rPr>
          <w:color w:val="000000"/>
          <w:lang w:val="fr-CH"/>
        </w:rPr>
        <w:t>Les monnaies librement convertibles comprennent le dollar australien, le dollar canadien, la couronne danoise, l</w:t>
      </w:r>
      <w:r w:rsidR="008204DE">
        <w:rPr>
          <w:color w:val="000000"/>
          <w:lang w:val="fr-CH"/>
        </w:rPr>
        <w:t>’</w:t>
      </w:r>
      <w:r w:rsidR="00572D4D" w:rsidRPr="00572D4D">
        <w:rPr>
          <w:color w:val="000000"/>
          <w:lang w:val="fr-CH"/>
        </w:rPr>
        <w:t>euro, la couronne islandaise, le yen japonais, le dollar néo</w:t>
      </w:r>
      <w:r w:rsidR="008204DE">
        <w:rPr>
          <w:color w:val="000000"/>
          <w:lang w:val="fr-CH"/>
        </w:rPr>
        <w:t>-</w:t>
      </w:r>
      <w:r w:rsidR="00572D4D" w:rsidRPr="00572D4D">
        <w:rPr>
          <w:color w:val="000000"/>
          <w:lang w:val="fr-CH"/>
        </w:rPr>
        <w:t xml:space="preserve">zélandais, la couronne norvégienne, le rand </w:t>
      </w:r>
      <w:r w:rsidR="00281007">
        <w:rPr>
          <w:color w:val="000000"/>
          <w:lang w:val="fr-CH"/>
        </w:rPr>
        <w:t>s</w:t>
      </w:r>
      <w:r w:rsidR="00281007" w:rsidRPr="00572D4D">
        <w:rPr>
          <w:color w:val="000000"/>
          <w:lang w:val="fr-CH"/>
        </w:rPr>
        <w:t>ud</w:t>
      </w:r>
      <w:r w:rsidR="00281007">
        <w:rPr>
          <w:color w:val="000000"/>
          <w:lang w:val="fr-CH"/>
        </w:rPr>
        <w:t>-a</w:t>
      </w:r>
      <w:r w:rsidR="00572D4D" w:rsidRPr="00572D4D">
        <w:rPr>
          <w:color w:val="000000"/>
          <w:lang w:val="fr-CH"/>
        </w:rPr>
        <w:t>fri</w:t>
      </w:r>
      <w:r w:rsidR="00281007">
        <w:rPr>
          <w:color w:val="000000"/>
          <w:lang w:val="fr-CH"/>
        </w:rPr>
        <w:t>cain</w:t>
      </w:r>
      <w:r w:rsidR="00572D4D" w:rsidRPr="00572D4D">
        <w:rPr>
          <w:color w:val="000000"/>
          <w:lang w:val="fr-CH"/>
        </w:rPr>
        <w:t>, la couronne suédoise, le franc suisse, la livre sterling et le dollar américain.</w:t>
      </w:r>
    </w:p>
  </w:footnote>
  <w:footnote w:id="8">
    <w:p w:rsidR="006A7790" w:rsidRPr="00E5757A" w:rsidRDefault="006A7790" w:rsidP="00154478">
      <w:pPr>
        <w:pStyle w:val="FootnoteText"/>
        <w:rPr>
          <w:lang w:val="fr-CH"/>
        </w:rPr>
      </w:pPr>
      <w:r>
        <w:rPr>
          <w:rStyle w:val="FootnoteReference"/>
        </w:rPr>
        <w:footnoteRef/>
      </w:r>
      <w:r w:rsidRPr="00154478">
        <w:rPr>
          <w:lang w:val="fr-CH"/>
        </w:rPr>
        <w:t xml:space="preserve"> </w:t>
      </w:r>
      <w:r w:rsidRPr="00154478">
        <w:rPr>
          <w:lang w:val="fr-CH"/>
        </w:rPr>
        <w:tab/>
      </w:r>
      <w:r w:rsidR="00154478" w:rsidRPr="00154478">
        <w:rPr>
          <w:color w:val="000000"/>
          <w:lang w:val="fr-CH"/>
        </w:rPr>
        <w:t xml:space="preserve">Par ailleurs, il est peu probable que le nombre de </w:t>
      </w:r>
      <w:r w:rsidR="0002220F">
        <w:rPr>
          <w:lang w:val="fr-CH"/>
        </w:rPr>
        <w:t>dépôts</w:t>
      </w:r>
      <w:r w:rsidR="00154478" w:rsidRPr="00E5757A">
        <w:rPr>
          <w:lang w:val="fr-CH"/>
        </w:rPr>
        <w:t xml:space="preserve"> selon</w:t>
      </w:r>
      <w:r w:rsidR="008204DE" w:rsidRPr="00E5757A">
        <w:rPr>
          <w:lang w:val="fr-CH"/>
        </w:rPr>
        <w:t xml:space="preserve"> le</w:t>
      </w:r>
      <w:r w:rsidR="008204DE">
        <w:rPr>
          <w:lang w:val="fr-CH"/>
        </w:rPr>
        <w:t> </w:t>
      </w:r>
      <w:r w:rsidR="008204DE" w:rsidRPr="00E5757A">
        <w:rPr>
          <w:lang w:val="fr-CH"/>
        </w:rPr>
        <w:t>PCT</w:t>
      </w:r>
      <w:r w:rsidR="00154478" w:rsidRPr="00E5757A">
        <w:rPr>
          <w:lang w:val="fr-CH"/>
        </w:rPr>
        <w:t xml:space="preserve"> reste fixe dans le temps, ce qui </w:t>
      </w:r>
      <w:r w:rsidR="0002220F">
        <w:rPr>
          <w:lang w:val="fr-CH"/>
        </w:rPr>
        <w:t xml:space="preserve">soulève des </w:t>
      </w:r>
      <w:r w:rsidR="00281007">
        <w:rPr>
          <w:lang w:val="fr-CH"/>
        </w:rPr>
        <w:t xml:space="preserve">questions </w:t>
      </w:r>
      <w:r w:rsidR="00154478" w:rsidRPr="00E5757A">
        <w:rPr>
          <w:lang w:val="fr-CH"/>
        </w:rPr>
        <w:t>économétri</w:t>
      </w:r>
      <w:r w:rsidR="0002220F">
        <w:rPr>
          <w:lang w:val="fr-CH"/>
        </w:rPr>
        <w:t>qu</w:t>
      </w:r>
      <w:r w:rsidR="00154478" w:rsidRPr="00E5757A">
        <w:rPr>
          <w:lang w:val="fr-CH"/>
        </w:rPr>
        <w:t>e</w:t>
      </w:r>
      <w:r w:rsidR="00281007">
        <w:rPr>
          <w:lang w:val="fr-CH"/>
        </w:rPr>
        <w:t>s complexes</w:t>
      </w:r>
      <w:r w:rsidR="00154478" w:rsidRPr="00E5757A">
        <w:rPr>
          <w:lang w:val="fr-CH"/>
        </w:rPr>
        <w:t xml:space="preserve">.  </w:t>
      </w:r>
    </w:p>
  </w:footnote>
  <w:footnote w:id="9">
    <w:p w:rsidR="003447B8" w:rsidRPr="00E5757A" w:rsidRDefault="003447B8" w:rsidP="000A2F18">
      <w:pPr>
        <w:pStyle w:val="FootnoteText"/>
        <w:spacing w:after="120"/>
        <w:rPr>
          <w:lang w:val="fr-CH"/>
        </w:rPr>
      </w:pPr>
      <w:r w:rsidRPr="00E5757A">
        <w:rPr>
          <w:rStyle w:val="FootnoteReference"/>
        </w:rPr>
        <w:footnoteRef/>
      </w:r>
      <w:r w:rsidRPr="00E5757A">
        <w:rPr>
          <w:lang w:val="fr-CH"/>
        </w:rPr>
        <w:t xml:space="preserve"> </w:t>
      </w:r>
      <w:r w:rsidRPr="00E5757A">
        <w:rPr>
          <w:lang w:val="fr-CH"/>
        </w:rPr>
        <w:tab/>
      </w:r>
      <w:r w:rsidR="000A2F18" w:rsidRPr="00E5757A">
        <w:rPr>
          <w:lang w:val="fr-CH"/>
        </w:rPr>
        <w:t>Cette méthode ne tient pas non plus compte du fait qu</w:t>
      </w:r>
      <w:r w:rsidR="008204DE">
        <w:rPr>
          <w:lang w:val="fr-CH"/>
        </w:rPr>
        <w:t>’</w:t>
      </w:r>
      <w:r w:rsidR="000A2F18" w:rsidRPr="00E5757A">
        <w:rPr>
          <w:lang w:val="fr-CH"/>
        </w:rPr>
        <w:t>il est possible que l</w:t>
      </w:r>
      <w:r w:rsidR="00AF4EED">
        <w:rPr>
          <w:lang w:val="fr-CH"/>
        </w:rPr>
        <w:t>e montant de la</w:t>
      </w:r>
      <w:r w:rsidR="000A2F18" w:rsidRPr="00E5757A">
        <w:rPr>
          <w:lang w:val="fr-CH"/>
        </w:rPr>
        <w:t xml:space="preserve"> taxe de dépôt selon</w:t>
      </w:r>
      <w:r w:rsidR="008204DE" w:rsidRPr="00E5757A">
        <w:rPr>
          <w:lang w:val="fr-CH"/>
        </w:rPr>
        <w:t xml:space="preserve"> le</w:t>
      </w:r>
      <w:r w:rsidR="008204DE">
        <w:rPr>
          <w:lang w:val="fr-CH"/>
        </w:rPr>
        <w:t> </w:t>
      </w:r>
      <w:r w:rsidR="008204DE" w:rsidRPr="00E5757A">
        <w:rPr>
          <w:lang w:val="fr-CH"/>
        </w:rPr>
        <w:t>PCT</w:t>
      </w:r>
      <w:r w:rsidR="000A2F18" w:rsidRPr="00E5757A">
        <w:rPr>
          <w:lang w:val="fr-CH"/>
        </w:rPr>
        <w:t xml:space="preserve"> influe dès le départ</w:t>
      </w:r>
      <w:r w:rsidR="00AF4EED">
        <w:rPr>
          <w:lang w:val="fr-CH"/>
        </w:rPr>
        <w:t xml:space="preserve"> sur</w:t>
      </w:r>
      <w:r w:rsidR="000A2F18" w:rsidRPr="00E5757A">
        <w:rPr>
          <w:lang w:val="fr-CH"/>
        </w:rPr>
        <w:t xml:space="preserve"> l</w:t>
      </w:r>
      <w:r w:rsidR="00AF4EED">
        <w:rPr>
          <w:lang w:val="fr-CH"/>
        </w:rPr>
        <w:t>a</w:t>
      </w:r>
      <w:r w:rsidR="000A2F18" w:rsidRPr="00E5757A">
        <w:rPr>
          <w:lang w:val="fr-CH"/>
        </w:rPr>
        <w:t xml:space="preserve"> décision des déposants de déposer une demande établissant une priorité.</w:t>
      </w:r>
      <w:r w:rsidRPr="00E5757A">
        <w:rPr>
          <w:lang w:val="fr-CH"/>
        </w:rPr>
        <w:t xml:space="preserve">  </w:t>
      </w:r>
      <w:r w:rsidR="000A2F18" w:rsidRPr="00E5757A">
        <w:rPr>
          <w:lang w:val="fr-CH"/>
        </w:rPr>
        <w:t>Cependant, puisque les dépôts selon</w:t>
      </w:r>
      <w:r w:rsidR="008204DE" w:rsidRPr="00E5757A">
        <w:rPr>
          <w:lang w:val="fr-CH"/>
        </w:rPr>
        <w:t xml:space="preserve"> le</w:t>
      </w:r>
      <w:r w:rsidR="008204DE">
        <w:rPr>
          <w:lang w:val="fr-CH"/>
        </w:rPr>
        <w:t> </w:t>
      </w:r>
      <w:r w:rsidR="008204DE" w:rsidRPr="00E5757A">
        <w:rPr>
          <w:lang w:val="fr-CH"/>
        </w:rPr>
        <w:t>PCT</w:t>
      </w:r>
      <w:r w:rsidR="000A2F18" w:rsidRPr="00E5757A">
        <w:rPr>
          <w:lang w:val="fr-CH"/>
        </w:rPr>
        <w:t xml:space="preserve"> sont facultatifs et que la taxe internationale de dépôt selon le PCT est </w:t>
      </w:r>
      <w:r w:rsidR="00AF4EED">
        <w:rPr>
          <w:lang w:val="fr-CH"/>
        </w:rPr>
        <w:t xml:space="preserve">généralement </w:t>
      </w:r>
      <w:r w:rsidR="000A2F18" w:rsidRPr="00E5757A">
        <w:rPr>
          <w:lang w:val="fr-CH"/>
        </w:rPr>
        <w:t xml:space="preserve">faible par rapport au coût </w:t>
      </w:r>
      <w:r w:rsidR="00AF4EED">
        <w:rPr>
          <w:lang w:val="fr-CH"/>
        </w:rPr>
        <w:t>global</w:t>
      </w:r>
      <w:r w:rsidR="000A2F18" w:rsidRPr="00E5757A">
        <w:rPr>
          <w:lang w:val="fr-CH"/>
        </w:rPr>
        <w:t xml:space="preserve"> de la protection par brevet, cette méthode semble envisageable. </w:t>
      </w:r>
      <w:r w:rsidRPr="00E5757A">
        <w:rPr>
          <w:lang w:val="fr-CH"/>
        </w:rPr>
        <w:t xml:space="preserve"> </w:t>
      </w:r>
    </w:p>
  </w:footnote>
  <w:footnote w:id="10">
    <w:p w:rsidR="00347312" w:rsidRPr="00347312" w:rsidRDefault="00347312" w:rsidP="00347312">
      <w:pPr>
        <w:pStyle w:val="FootnoteText"/>
        <w:rPr>
          <w:lang w:val="fr-CH"/>
        </w:rPr>
      </w:pPr>
      <w:r w:rsidRPr="00E5757A">
        <w:rPr>
          <w:rStyle w:val="FootnoteReference"/>
        </w:rPr>
        <w:footnoteRef/>
      </w:r>
      <w:r w:rsidRPr="00E5757A">
        <w:rPr>
          <w:lang w:val="fr-CH"/>
        </w:rPr>
        <w:t xml:space="preserve"> </w:t>
      </w:r>
      <w:r w:rsidRPr="00E5757A">
        <w:rPr>
          <w:lang w:val="fr-CH"/>
        </w:rPr>
        <w:tab/>
        <w:t xml:space="preserve">Une variable muette, appelée également variable indicatrice, est une </w:t>
      </w:r>
      <w:r w:rsidRPr="00347312">
        <w:rPr>
          <w:color w:val="000000"/>
          <w:lang w:val="fr-CH"/>
        </w:rPr>
        <w:t>variable qui indique l</w:t>
      </w:r>
      <w:r w:rsidR="008204DE">
        <w:rPr>
          <w:color w:val="000000"/>
          <w:lang w:val="fr-CH"/>
        </w:rPr>
        <w:t>’</w:t>
      </w:r>
      <w:r w:rsidRPr="00347312">
        <w:rPr>
          <w:color w:val="000000"/>
          <w:lang w:val="fr-CH"/>
        </w:rPr>
        <w:t>absence ou la présence d</w:t>
      </w:r>
      <w:r w:rsidR="008204DE">
        <w:rPr>
          <w:color w:val="000000"/>
          <w:lang w:val="fr-CH"/>
        </w:rPr>
        <w:t>’</w:t>
      </w:r>
      <w:r w:rsidRPr="00347312">
        <w:rPr>
          <w:color w:val="000000"/>
          <w:lang w:val="fr-CH"/>
        </w:rPr>
        <w:t>un effet catégorique qui pourrait modifier le résultat.</w:t>
      </w:r>
    </w:p>
  </w:footnote>
  <w:footnote w:id="11">
    <w:p w:rsidR="00C71029" w:rsidRPr="00756A07" w:rsidRDefault="00C71029" w:rsidP="00C71029">
      <w:pPr>
        <w:pStyle w:val="FootnoteText"/>
        <w:spacing w:after="120"/>
        <w:rPr>
          <w:lang w:val="fr-FR"/>
        </w:rPr>
      </w:pPr>
      <w:r>
        <w:rPr>
          <w:rStyle w:val="FootnoteReference"/>
        </w:rPr>
        <w:footnoteRef/>
      </w:r>
      <w:r w:rsidRPr="00997A3C">
        <w:rPr>
          <w:lang w:val="fr-FR"/>
        </w:rPr>
        <w:t xml:space="preserve"> </w:t>
      </w:r>
      <w:r w:rsidRPr="00997A3C">
        <w:rPr>
          <w:lang w:val="fr-FR"/>
        </w:rPr>
        <w:tab/>
      </w:r>
      <w:r w:rsidRPr="00756A07">
        <w:rPr>
          <w:lang w:val="fr-FR"/>
        </w:rPr>
        <w:t xml:space="preserve">Pour attribuer des domaines technologiques, nous nous appuyons sur la table de concordance CIB – domaines technologiques publiée par l’OMPI qui établit un lien entre les symboles de la Classification internationale des brevets (CIB) et 35 domaines technologiques (voir </w:t>
      </w:r>
      <w:hyperlink r:id="rId1" w:history="1">
        <w:r w:rsidRPr="00997A3C">
          <w:rPr>
            <w:rStyle w:val="Hyperlink"/>
            <w:color w:val="auto"/>
            <w:u w:val="none"/>
            <w:lang w:val="fr-FR"/>
          </w:rPr>
          <w:t>http://www.wipo.int/ipstats/en/statistics/technology_concordance.html</w:t>
        </w:r>
      </w:hyperlink>
      <w:r w:rsidRPr="00756A07">
        <w:rPr>
          <w:lang w:val="fr-FR"/>
        </w:rPr>
        <w:t>).  Lorsqu’une demande de brevet concerne des domaines technologiques multiples, nous attribuons les domaines technologiques par fractionnement en calculant des parts égales représentant chacune un domaine technologique.</w:t>
      </w:r>
    </w:p>
  </w:footnote>
  <w:footnote w:id="12">
    <w:p w:rsidR="00C71029" w:rsidRPr="00756A07" w:rsidRDefault="00C71029" w:rsidP="00C71029">
      <w:pPr>
        <w:pStyle w:val="FootnoteText"/>
        <w:spacing w:after="120"/>
        <w:rPr>
          <w:lang w:val="fr-FR"/>
        </w:rPr>
      </w:pPr>
      <w:r w:rsidRPr="00756A07">
        <w:rPr>
          <w:rStyle w:val="FootnoteReference"/>
          <w:lang w:val="fr-FR"/>
        </w:rPr>
        <w:footnoteRef/>
      </w:r>
      <w:r w:rsidRPr="00756A07">
        <w:rPr>
          <w:lang w:val="fr-FR"/>
        </w:rPr>
        <w:tab/>
        <w:t>Pour une description détaillée de la méthode utilisée, voir l’annexe méthodologique qui figure au chapitre 4 de la publication OMPI intitulée “Rapport sur la propriété intellectuelle dans le monde : le nouveau visage de l’innovation” (OMPI, Genève).</w:t>
      </w:r>
    </w:p>
  </w:footnote>
  <w:footnote w:id="13">
    <w:p w:rsidR="00C71029" w:rsidRPr="00756A07" w:rsidRDefault="00C71029" w:rsidP="00C71029">
      <w:pPr>
        <w:pStyle w:val="FootnoteText"/>
        <w:spacing w:after="120"/>
        <w:rPr>
          <w:lang w:val="fr-FR"/>
        </w:rPr>
      </w:pPr>
      <w:r>
        <w:rPr>
          <w:rStyle w:val="FootnoteReference"/>
        </w:rPr>
        <w:footnoteRef/>
      </w:r>
      <w:r w:rsidRPr="00997A3C">
        <w:rPr>
          <w:lang w:val="fr-FR"/>
        </w:rPr>
        <w:t xml:space="preserve"> </w:t>
      </w:r>
      <w:r w:rsidRPr="00997A3C">
        <w:rPr>
          <w:lang w:val="fr-FR"/>
        </w:rPr>
        <w:tab/>
      </w:r>
      <w:r w:rsidRPr="00756A07">
        <w:rPr>
          <w:lang w:val="fr-FR"/>
        </w:rPr>
        <w:t xml:space="preserve">Le Guide du déposant du PCT est disponible à l’adresse </w:t>
      </w:r>
      <w:hyperlink r:id="rId2" w:history="1">
        <w:r w:rsidRPr="000B7499">
          <w:rPr>
            <w:rStyle w:val="Hyperlink"/>
            <w:color w:val="auto"/>
            <w:u w:val="none"/>
            <w:lang w:val="fr-FR"/>
          </w:rPr>
          <w:t>http://www.wipo.int/pct/en/appguide/index.jsp</w:t>
        </w:r>
      </w:hyperlink>
      <w:r w:rsidRPr="00756A07">
        <w:rPr>
          <w:lang w:val="fr-FR"/>
        </w:rPr>
        <w:t>.  Pour les pays qui ont rejoint la zone euro après 2004, nous avons utilisé les taux de conversion officiels de l’euro fixés au moment de l’adhésion pour étendre la série de monnaies locales.</w:t>
      </w:r>
    </w:p>
  </w:footnote>
  <w:footnote w:id="14">
    <w:p w:rsidR="00C71029" w:rsidRPr="00756A07" w:rsidRDefault="00C71029" w:rsidP="00C71029">
      <w:pPr>
        <w:pStyle w:val="FootnoteText"/>
        <w:spacing w:after="120"/>
        <w:rPr>
          <w:lang w:val="fr-FR"/>
        </w:rPr>
      </w:pPr>
      <w:r>
        <w:rPr>
          <w:rStyle w:val="FootnoteReference"/>
        </w:rPr>
        <w:footnoteRef/>
      </w:r>
      <w:r w:rsidRPr="00997A3C">
        <w:rPr>
          <w:lang w:val="fr-FR"/>
        </w:rPr>
        <w:t xml:space="preserve"> </w:t>
      </w:r>
      <w:r w:rsidRPr="00997A3C">
        <w:rPr>
          <w:lang w:val="fr-FR"/>
        </w:rPr>
        <w:tab/>
      </w:r>
      <w:r w:rsidRPr="00756A07">
        <w:rPr>
          <w:lang w:val="fr-FR"/>
        </w:rPr>
        <w:t xml:space="preserve">Nous avons également estimé toutes les caractéristiques qui figurent dans le tableau n° 1 à l’aide de la méthode du maximum de vraisemblance </w:t>
      </w:r>
      <w:proofErr w:type="spellStart"/>
      <w:r w:rsidRPr="00756A07">
        <w:rPr>
          <w:lang w:val="fr-FR"/>
        </w:rPr>
        <w:t>Logit</w:t>
      </w:r>
      <w:proofErr w:type="spellEnd"/>
      <w:r w:rsidRPr="00756A07">
        <w:rPr>
          <w:lang w:val="fr-FR"/>
        </w:rPr>
        <w:t xml:space="preserve"> et obtenu des résultats quasi-identiques en ce qui concerne les signes des coefficients et le niveau de signification statistique.</w:t>
      </w:r>
    </w:p>
  </w:footnote>
  <w:footnote w:id="15">
    <w:p w:rsidR="00C71029" w:rsidRPr="00756A07" w:rsidRDefault="00C71029" w:rsidP="00C71029">
      <w:pPr>
        <w:pStyle w:val="FootnoteText"/>
        <w:spacing w:after="120"/>
        <w:rPr>
          <w:lang w:val="fr-FR"/>
        </w:rPr>
      </w:pPr>
      <w:r w:rsidRPr="00756A07">
        <w:rPr>
          <w:rStyle w:val="FootnoteReference"/>
          <w:lang w:val="fr-FR"/>
        </w:rPr>
        <w:footnoteRef/>
      </w:r>
      <w:r w:rsidRPr="00756A07">
        <w:rPr>
          <w:lang w:val="fr-FR"/>
        </w:rPr>
        <w:t xml:space="preserve"> </w:t>
      </w:r>
      <w:r w:rsidRPr="00756A07">
        <w:rPr>
          <w:lang w:val="fr-FR"/>
        </w:rPr>
        <w:tab/>
        <w:t xml:space="preserve">Pour toutes les estimations </w:t>
      </w:r>
      <w:proofErr w:type="spellStart"/>
      <w:r w:rsidRPr="00756A07">
        <w:rPr>
          <w:lang w:val="fr-FR"/>
        </w:rPr>
        <w:t>Probit</w:t>
      </w:r>
      <w:proofErr w:type="spellEnd"/>
      <w:r w:rsidRPr="00756A07">
        <w:rPr>
          <w:lang w:val="fr-FR"/>
        </w:rPr>
        <w:t>, la variable décalée concernant la part de marché du PCT indique un coefficient positif et statistiquement significatif, comme on peut s’y attendre.</w:t>
      </w:r>
    </w:p>
  </w:footnote>
  <w:footnote w:id="16">
    <w:p w:rsidR="00C71029" w:rsidRPr="00756A07" w:rsidRDefault="00C71029" w:rsidP="00C71029">
      <w:pPr>
        <w:pStyle w:val="FootnoteText"/>
        <w:spacing w:after="120"/>
        <w:rPr>
          <w:lang w:val="fr-FR"/>
        </w:rPr>
      </w:pPr>
      <w:r w:rsidRPr="00756A07">
        <w:rPr>
          <w:rStyle w:val="FootnoteReference"/>
          <w:lang w:val="fr-FR"/>
        </w:rPr>
        <w:footnoteRef/>
      </w:r>
      <w:r w:rsidRPr="00756A07">
        <w:rPr>
          <w:lang w:val="fr-FR"/>
        </w:rPr>
        <w:t xml:space="preserve"> </w:t>
      </w:r>
      <w:r w:rsidRPr="00756A07">
        <w:rPr>
          <w:lang w:val="fr-FR"/>
        </w:rPr>
        <w:tab/>
        <w:t xml:space="preserve">Le coefficient de la variable muette concernant les membres du PCT n’est plus statistiquement </w:t>
      </w:r>
      <w:proofErr w:type="gramStart"/>
      <w:r w:rsidRPr="00756A07">
        <w:rPr>
          <w:lang w:val="fr-FR"/>
        </w:rPr>
        <w:t>significative</w:t>
      </w:r>
      <w:proofErr w:type="gramEnd"/>
      <w:r w:rsidRPr="00756A07">
        <w:rPr>
          <w:lang w:val="fr-FR"/>
        </w:rPr>
        <w:t>, ce qui témoigne de l’exclusion des observations des origines qui ne sont pas membres du PCT.</w:t>
      </w:r>
    </w:p>
  </w:footnote>
  <w:footnote w:id="17">
    <w:p w:rsidR="00C71029" w:rsidRPr="00756A07" w:rsidRDefault="00C71029" w:rsidP="00C71029">
      <w:pPr>
        <w:pStyle w:val="FootnoteText"/>
        <w:spacing w:after="120"/>
        <w:rPr>
          <w:lang w:val="fr-FR"/>
        </w:rPr>
      </w:pPr>
      <w:r w:rsidRPr="00756A07">
        <w:rPr>
          <w:rStyle w:val="FootnoteReference"/>
          <w:lang w:val="fr-FR"/>
        </w:rPr>
        <w:footnoteRef/>
      </w:r>
      <w:r w:rsidRPr="00756A07">
        <w:rPr>
          <w:lang w:val="fr-FR"/>
        </w:rPr>
        <w:t xml:space="preserve"> </w:t>
      </w:r>
      <w:r w:rsidRPr="00756A07">
        <w:rPr>
          <w:lang w:val="fr-FR"/>
        </w:rPr>
        <w:tab/>
        <w:t xml:space="preserve">Le coefficient de corrélation </w:t>
      </w:r>
      <w:proofErr w:type="spellStart"/>
      <w:r w:rsidRPr="00756A07">
        <w:rPr>
          <w:lang w:val="fr-FR"/>
        </w:rPr>
        <w:t>bivariée</w:t>
      </w:r>
      <w:proofErr w:type="spellEnd"/>
      <w:r w:rsidRPr="00756A07">
        <w:rPr>
          <w:lang w:val="fr-FR"/>
        </w:rPr>
        <w:t xml:space="preserve"> entre les variables concernant la taxe et le chômage est </w:t>
      </w:r>
      <w:r w:rsidRPr="00756A07">
        <w:rPr>
          <w:lang w:val="fr-FR"/>
        </w:rPr>
        <w:br/>
        <w:t xml:space="preserve">de </w:t>
      </w:r>
      <w:r w:rsidRPr="00756A07">
        <w:rPr>
          <w:lang w:val="fr-FR"/>
        </w:rPr>
        <w:noBreakHyphen/>
        <w:t>0,69.</w:t>
      </w:r>
    </w:p>
  </w:footnote>
  <w:footnote w:id="18">
    <w:p w:rsidR="00C71029" w:rsidRPr="00756A07" w:rsidRDefault="00C71029" w:rsidP="00C71029">
      <w:pPr>
        <w:pStyle w:val="FootnoteText"/>
        <w:spacing w:after="120"/>
        <w:rPr>
          <w:lang w:val="fr-FR"/>
        </w:rPr>
      </w:pPr>
      <w:r w:rsidRPr="00756A07">
        <w:rPr>
          <w:rStyle w:val="FootnoteReference"/>
          <w:lang w:val="fr-FR"/>
        </w:rPr>
        <w:footnoteRef/>
      </w:r>
      <w:r w:rsidRPr="00756A07">
        <w:rPr>
          <w:lang w:val="fr-FR"/>
        </w:rPr>
        <w:t xml:space="preserve"> </w:t>
      </w:r>
      <w:r w:rsidRPr="00756A07">
        <w:rPr>
          <w:lang w:val="fr-FR"/>
        </w:rPr>
        <w:tab/>
        <w:t>L’exclusion de ces 211 367 observations nous oblige également à ne pas tenir compte de la variable muette concernant les membres du PCT, du fait qu’il n’y a dans l’échantillon plus aucune origine qui ne soit pas membre du PCT.</w:t>
      </w:r>
    </w:p>
  </w:footnote>
  <w:footnote w:id="19">
    <w:p w:rsidR="00C71029" w:rsidRPr="00756A07" w:rsidRDefault="00C71029" w:rsidP="00C71029">
      <w:pPr>
        <w:pStyle w:val="FootnoteText"/>
        <w:spacing w:after="120"/>
        <w:rPr>
          <w:lang w:val="fr-FR"/>
        </w:rPr>
      </w:pPr>
      <w:r>
        <w:rPr>
          <w:rStyle w:val="FootnoteReference"/>
        </w:rPr>
        <w:footnoteRef/>
      </w:r>
      <w:r w:rsidRPr="00A87D23">
        <w:rPr>
          <w:lang w:val="fr-FR"/>
        </w:rPr>
        <w:t xml:space="preserve"> </w:t>
      </w:r>
      <w:r w:rsidRPr="00A87D23">
        <w:rPr>
          <w:lang w:val="fr-FR"/>
        </w:rPr>
        <w:tab/>
      </w:r>
      <w:r w:rsidRPr="00756A07">
        <w:rPr>
          <w:lang w:val="fr-FR"/>
        </w:rPr>
        <w:t>Nous avons calculé ces effets marginaux au moyen de la commande “</w:t>
      </w:r>
      <w:proofErr w:type="spellStart"/>
      <w:r w:rsidRPr="00756A07">
        <w:rPr>
          <w:lang w:val="fr-FR"/>
        </w:rPr>
        <w:t>margins</w:t>
      </w:r>
      <w:proofErr w:type="spellEnd"/>
      <w:r w:rsidRPr="00756A07">
        <w:rPr>
          <w:lang w:val="fr-FR"/>
        </w:rPr>
        <w:t xml:space="preserve">, </w:t>
      </w:r>
      <w:proofErr w:type="spellStart"/>
      <w:proofErr w:type="gramStart"/>
      <w:r w:rsidRPr="00756A07">
        <w:rPr>
          <w:lang w:val="fr-FR"/>
        </w:rPr>
        <w:t>dydx</w:t>
      </w:r>
      <w:proofErr w:type="spellEnd"/>
      <w:r w:rsidRPr="00756A07">
        <w:rPr>
          <w:lang w:val="fr-FR"/>
        </w:rPr>
        <w:t>(</w:t>
      </w:r>
      <w:proofErr w:type="gramEnd"/>
      <w:r w:rsidRPr="00756A07">
        <w:rPr>
          <w:i/>
          <w:lang w:val="fr-FR"/>
        </w:rPr>
        <w:t>variable</w:t>
      </w:r>
      <w:r w:rsidRPr="00756A07">
        <w:rPr>
          <w:lang w:val="fr-FR"/>
        </w:rPr>
        <w:t>)” dans STATA.</w:t>
      </w:r>
    </w:p>
  </w:footnote>
  <w:footnote w:id="20">
    <w:p w:rsidR="00C71029" w:rsidRPr="00756A07" w:rsidRDefault="00C71029" w:rsidP="00C71029">
      <w:pPr>
        <w:pStyle w:val="FootnoteText"/>
        <w:spacing w:after="120"/>
        <w:rPr>
          <w:lang w:val="fr-FR"/>
        </w:rPr>
      </w:pPr>
      <w:r w:rsidRPr="00756A07">
        <w:rPr>
          <w:rStyle w:val="FootnoteReference"/>
          <w:lang w:val="fr-FR"/>
        </w:rPr>
        <w:footnoteRef/>
      </w:r>
      <w:r w:rsidRPr="00756A07">
        <w:rPr>
          <w:lang w:val="fr-FR"/>
        </w:rPr>
        <w:t xml:space="preserve"> </w:t>
      </w:r>
      <w:r w:rsidRPr="00756A07">
        <w:rPr>
          <w:lang w:val="fr-FR"/>
        </w:rPr>
        <w:tab/>
        <w:t>Il est important de souligner que ces élasticités partent de l’hypothèse qu’il n’y a aucun changement dans la population des familles de brevets à orientation étrangère.  Il s’agit d’une hypothèse forte, en particulier si l’on tient compte de l’influence du cycle économique.</w:t>
      </w:r>
    </w:p>
  </w:footnote>
  <w:footnote w:id="21">
    <w:p w:rsidR="00C71029" w:rsidRPr="00997A3C" w:rsidRDefault="00C71029" w:rsidP="00C71029">
      <w:pPr>
        <w:pStyle w:val="FootnoteText"/>
        <w:rPr>
          <w:lang w:val="fr-FR"/>
        </w:rPr>
      </w:pPr>
      <w:r w:rsidRPr="00756A07">
        <w:rPr>
          <w:rStyle w:val="FootnoteReference"/>
          <w:lang w:val="fr-FR"/>
        </w:rPr>
        <w:footnoteRef/>
      </w:r>
      <w:r w:rsidRPr="00756A07">
        <w:rPr>
          <w:lang w:val="fr-FR"/>
        </w:rPr>
        <w:t xml:space="preserve"> </w:t>
      </w:r>
      <w:r w:rsidRPr="00756A07">
        <w:rPr>
          <w:lang w:val="fr-FR"/>
        </w:rPr>
        <w:tab/>
        <w:t>La phase internationale est assortie d’un délai de 30 mois à compter de la date de priorité et la plupart des demandes internationales revendiquent la priorité d’une demande nationale antérieure.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029" w:rsidRDefault="00C71029" w:rsidP="008D71C0">
    <w:pPr>
      <w:jc w:val="right"/>
    </w:pPr>
    <w:bookmarkStart w:id="6" w:name="Code2"/>
    <w:bookmarkEnd w:id="6"/>
    <w:r>
      <w:t>PCT/WG/7/6</w:t>
    </w:r>
  </w:p>
  <w:p w:rsidR="00C71029" w:rsidRDefault="00C71029" w:rsidP="008D71C0">
    <w:pPr>
      <w:jc w:val="right"/>
    </w:pPr>
    <w:proofErr w:type="gramStart"/>
    <w:r>
      <w:t>page</w:t>
    </w:r>
    <w:proofErr w:type="gramEnd"/>
    <w:r>
      <w:t xml:space="preserve"> </w:t>
    </w:r>
    <w:r>
      <w:fldChar w:fldCharType="begin"/>
    </w:r>
    <w:r>
      <w:instrText xml:space="preserve"> PAGE   \* MERGEFORMAT </w:instrText>
    </w:r>
    <w:r>
      <w:fldChar w:fldCharType="separate"/>
    </w:r>
    <w:r w:rsidR="00111B84">
      <w:rPr>
        <w:noProof/>
      </w:rPr>
      <w:t>10</w:t>
    </w:r>
    <w:r>
      <w:fldChar w:fldCharType="end"/>
    </w:r>
  </w:p>
  <w:p w:rsidR="00C71029" w:rsidRDefault="00C71029" w:rsidP="008D71C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F68" w:rsidRDefault="00065F68" w:rsidP="00065F68">
    <w:pPr>
      <w:pStyle w:val="Header"/>
      <w:jc w:val="right"/>
    </w:pPr>
    <w:r>
      <w:t>PCT/WG/7/6</w:t>
    </w:r>
  </w:p>
  <w:p w:rsidR="00065F68" w:rsidRDefault="00C71029" w:rsidP="00065F68">
    <w:pPr>
      <w:pStyle w:val="Header"/>
      <w:jc w:val="right"/>
    </w:pPr>
    <w:proofErr w:type="spellStart"/>
    <w:r>
      <w:t>Annexe</w:t>
    </w:r>
    <w:proofErr w:type="spellEnd"/>
    <w:r>
      <w:t xml:space="preserve">, </w:t>
    </w:r>
    <w:r w:rsidR="00065F68">
      <w:t xml:space="preserve">page </w:t>
    </w:r>
    <w:sdt>
      <w:sdtPr>
        <w:id w:val="1511179734"/>
        <w:docPartObj>
          <w:docPartGallery w:val="Page Numbers (Top of Page)"/>
          <w:docPartUnique/>
        </w:docPartObj>
      </w:sdtPr>
      <w:sdtEndPr>
        <w:rPr>
          <w:noProof/>
        </w:rPr>
      </w:sdtEndPr>
      <w:sdtContent>
        <w:r w:rsidR="00065F68">
          <w:fldChar w:fldCharType="begin"/>
        </w:r>
        <w:r w:rsidR="00065F68">
          <w:instrText xml:space="preserve"> PAGE   \* MERGEFORMAT </w:instrText>
        </w:r>
        <w:r w:rsidR="00065F68">
          <w:fldChar w:fldCharType="separate"/>
        </w:r>
        <w:r w:rsidR="00111B84">
          <w:rPr>
            <w:noProof/>
          </w:rPr>
          <w:t>3</w:t>
        </w:r>
        <w:r w:rsidR="00065F68">
          <w:rPr>
            <w:noProof/>
          </w:rPr>
          <w:fldChar w:fldCharType="end"/>
        </w:r>
      </w:sdtContent>
    </w:sdt>
  </w:p>
  <w:p w:rsidR="003447B8" w:rsidRDefault="003447B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622999"/>
      <w:docPartObj>
        <w:docPartGallery w:val="Page Numbers (Top of Page)"/>
        <w:docPartUnique/>
      </w:docPartObj>
    </w:sdtPr>
    <w:sdtEndPr>
      <w:rPr>
        <w:noProof/>
      </w:rPr>
    </w:sdtEndPr>
    <w:sdtContent>
      <w:p w:rsidR="00C71029" w:rsidRDefault="00C71029" w:rsidP="00C71029">
        <w:pPr>
          <w:pStyle w:val="Header"/>
          <w:ind w:firstLine="567"/>
          <w:jc w:val="right"/>
        </w:pPr>
        <w:r>
          <w:t>PCT/WG/7/6</w:t>
        </w:r>
      </w:p>
      <w:p w:rsidR="00C71029" w:rsidRDefault="00C71029" w:rsidP="00C71029">
        <w:pPr>
          <w:pStyle w:val="Header"/>
          <w:jc w:val="right"/>
        </w:pPr>
        <w:r>
          <w:tab/>
          <w:t>ANNEXE</w:t>
        </w:r>
      </w:p>
    </w:sdtContent>
  </w:sdt>
  <w:p w:rsidR="00C71029" w:rsidRPr="00E63EE0" w:rsidRDefault="00C71029" w:rsidP="008D71C0">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uplicates NT|WIPONew"/>
    <w:docVar w:name="TermBaseURL" w:val="empty"/>
    <w:docVar w:name="TextBases" w:val="Patents\Meetings|Patents\Other|Patents\Publications|Administrative\Meetings|Administrative\Other|Administrative\Publications|Glossaries\EN-FR"/>
    <w:docVar w:name="TextBaseURL" w:val="empty"/>
    <w:docVar w:name="UILng" w:val="en"/>
  </w:docVars>
  <w:rsids>
    <w:rsidRoot w:val="003529B2"/>
    <w:rsid w:val="000054A3"/>
    <w:rsid w:val="0002220F"/>
    <w:rsid w:val="000317B1"/>
    <w:rsid w:val="00043CAA"/>
    <w:rsid w:val="0005099A"/>
    <w:rsid w:val="00060A1C"/>
    <w:rsid w:val="00061659"/>
    <w:rsid w:val="00065F68"/>
    <w:rsid w:val="00075432"/>
    <w:rsid w:val="000968ED"/>
    <w:rsid w:val="000A2F18"/>
    <w:rsid w:val="000B0218"/>
    <w:rsid w:val="000B5C8A"/>
    <w:rsid w:val="000B7499"/>
    <w:rsid w:val="000C5CE4"/>
    <w:rsid w:val="000E4E5D"/>
    <w:rsid w:val="000F5E56"/>
    <w:rsid w:val="00111B84"/>
    <w:rsid w:val="0012233E"/>
    <w:rsid w:val="00134697"/>
    <w:rsid w:val="001362EE"/>
    <w:rsid w:val="00154478"/>
    <w:rsid w:val="001832A6"/>
    <w:rsid w:val="001A2AE0"/>
    <w:rsid w:val="00212989"/>
    <w:rsid w:val="00240D8E"/>
    <w:rsid w:val="00242E6A"/>
    <w:rsid w:val="002634C4"/>
    <w:rsid w:val="00273B52"/>
    <w:rsid w:val="00281007"/>
    <w:rsid w:val="002928D3"/>
    <w:rsid w:val="002A6AE7"/>
    <w:rsid w:val="002F1FE6"/>
    <w:rsid w:val="002F4AC1"/>
    <w:rsid w:val="002F4E68"/>
    <w:rsid w:val="00311560"/>
    <w:rsid w:val="00312F7F"/>
    <w:rsid w:val="003253B8"/>
    <w:rsid w:val="00325A9D"/>
    <w:rsid w:val="003447B8"/>
    <w:rsid w:val="00347312"/>
    <w:rsid w:val="003529B2"/>
    <w:rsid w:val="00357CBF"/>
    <w:rsid w:val="00360675"/>
    <w:rsid w:val="00361450"/>
    <w:rsid w:val="003673CF"/>
    <w:rsid w:val="003845C1"/>
    <w:rsid w:val="003A6F89"/>
    <w:rsid w:val="003B38C1"/>
    <w:rsid w:val="003F30F3"/>
    <w:rsid w:val="00423E3E"/>
    <w:rsid w:val="00427AF4"/>
    <w:rsid w:val="00462A82"/>
    <w:rsid w:val="004647DA"/>
    <w:rsid w:val="00474062"/>
    <w:rsid w:val="0047464D"/>
    <w:rsid w:val="004778D4"/>
    <w:rsid w:val="00477D6B"/>
    <w:rsid w:val="004901FA"/>
    <w:rsid w:val="00490F40"/>
    <w:rsid w:val="004C3986"/>
    <w:rsid w:val="005019FF"/>
    <w:rsid w:val="0053057A"/>
    <w:rsid w:val="00530AB6"/>
    <w:rsid w:val="00560A29"/>
    <w:rsid w:val="00570650"/>
    <w:rsid w:val="00572D4D"/>
    <w:rsid w:val="005C4E7C"/>
    <w:rsid w:val="005C6649"/>
    <w:rsid w:val="005F4D85"/>
    <w:rsid w:val="00605827"/>
    <w:rsid w:val="00627BED"/>
    <w:rsid w:val="006326E6"/>
    <w:rsid w:val="00646050"/>
    <w:rsid w:val="00660DB7"/>
    <w:rsid w:val="006655F3"/>
    <w:rsid w:val="006713CA"/>
    <w:rsid w:val="00676C5C"/>
    <w:rsid w:val="006A7790"/>
    <w:rsid w:val="006B331A"/>
    <w:rsid w:val="006B36F1"/>
    <w:rsid w:val="006D1D2C"/>
    <w:rsid w:val="00720D7E"/>
    <w:rsid w:val="007261DD"/>
    <w:rsid w:val="007343C0"/>
    <w:rsid w:val="00756A07"/>
    <w:rsid w:val="00783E82"/>
    <w:rsid w:val="007D1613"/>
    <w:rsid w:val="0080634D"/>
    <w:rsid w:val="008204DE"/>
    <w:rsid w:val="00820BA6"/>
    <w:rsid w:val="008223A9"/>
    <w:rsid w:val="00875590"/>
    <w:rsid w:val="008B2CC1"/>
    <w:rsid w:val="008B60B2"/>
    <w:rsid w:val="0090731E"/>
    <w:rsid w:val="00916EE2"/>
    <w:rsid w:val="00924FF1"/>
    <w:rsid w:val="00947FD6"/>
    <w:rsid w:val="009636B2"/>
    <w:rsid w:val="00966A22"/>
    <w:rsid w:val="0096722F"/>
    <w:rsid w:val="009748F1"/>
    <w:rsid w:val="00980843"/>
    <w:rsid w:val="00997A3C"/>
    <w:rsid w:val="009A42B5"/>
    <w:rsid w:val="009E18B8"/>
    <w:rsid w:val="009E2791"/>
    <w:rsid w:val="009E3F6F"/>
    <w:rsid w:val="009F14F7"/>
    <w:rsid w:val="009F499F"/>
    <w:rsid w:val="00A077DF"/>
    <w:rsid w:val="00A10365"/>
    <w:rsid w:val="00A42DAF"/>
    <w:rsid w:val="00A45BD8"/>
    <w:rsid w:val="00A869B7"/>
    <w:rsid w:val="00A87D23"/>
    <w:rsid w:val="00AA5AD8"/>
    <w:rsid w:val="00AC205C"/>
    <w:rsid w:val="00AD43DA"/>
    <w:rsid w:val="00AF0A6B"/>
    <w:rsid w:val="00AF4EED"/>
    <w:rsid w:val="00B05A69"/>
    <w:rsid w:val="00B10EB1"/>
    <w:rsid w:val="00B9734B"/>
    <w:rsid w:val="00BE3E96"/>
    <w:rsid w:val="00C046B3"/>
    <w:rsid w:val="00C11BFE"/>
    <w:rsid w:val="00C16982"/>
    <w:rsid w:val="00C51573"/>
    <w:rsid w:val="00C71029"/>
    <w:rsid w:val="00C8489F"/>
    <w:rsid w:val="00CA517C"/>
    <w:rsid w:val="00CD3298"/>
    <w:rsid w:val="00D00490"/>
    <w:rsid w:val="00D33A7C"/>
    <w:rsid w:val="00D35B30"/>
    <w:rsid w:val="00D45252"/>
    <w:rsid w:val="00D62E34"/>
    <w:rsid w:val="00D71B4D"/>
    <w:rsid w:val="00D93D55"/>
    <w:rsid w:val="00DA1ED2"/>
    <w:rsid w:val="00E335FE"/>
    <w:rsid w:val="00E517D6"/>
    <w:rsid w:val="00E5757A"/>
    <w:rsid w:val="00E63EE0"/>
    <w:rsid w:val="00E649B2"/>
    <w:rsid w:val="00E738E5"/>
    <w:rsid w:val="00E77F3B"/>
    <w:rsid w:val="00E8028B"/>
    <w:rsid w:val="00E979D1"/>
    <w:rsid w:val="00EA43BA"/>
    <w:rsid w:val="00EA6C0C"/>
    <w:rsid w:val="00EB5B66"/>
    <w:rsid w:val="00EC0638"/>
    <w:rsid w:val="00EC2EF9"/>
    <w:rsid w:val="00EC4E49"/>
    <w:rsid w:val="00ED77FB"/>
    <w:rsid w:val="00EE45FA"/>
    <w:rsid w:val="00F32B06"/>
    <w:rsid w:val="00F51BEE"/>
    <w:rsid w:val="00F56F7E"/>
    <w:rsid w:val="00F66152"/>
    <w:rsid w:val="00FA64B6"/>
    <w:rsid w:val="00FB0B90"/>
    <w:rsid w:val="00FC74DF"/>
    <w:rsid w:val="00FE6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FF1"/>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uiPriority w:val="99"/>
    <w:rsid w:val="00924FF1"/>
    <w:pPr>
      <w:spacing w:after="160"/>
    </w:pPr>
    <w:rPr>
      <w:sz w:val="20"/>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rsid w:val="00924FF1"/>
    <w:rPr>
      <w:rFonts w:ascii="Arial" w:eastAsia="SimSun" w:hAnsi="Arial" w:cs="Arial"/>
      <w:lang w:eastAsia="zh-CN"/>
    </w:rPr>
  </w:style>
  <w:style w:type="character" w:styleId="FootnoteReference">
    <w:name w:val="footnote reference"/>
    <w:basedOn w:val="DefaultParagraphFont"/>
    <w:uiPriority w:val="99"/>
    <w:unhideWhenUsed/>
    <w:rsid w:val="003529B2"/>
    <w:rPr>
      <w:vertAlign w:val="superscript"/>
    </w:rPr>
  </w:style>
  <w:style w:type="character" w:styleId="Hyperlink">
    <w:name w:val="Hyperlink"/>
    <w:basedOn w:val="DefaultParagraphFont"/>
    <w:uiPriority w:val="99"/>
    <w:unhideWhenUsed/>
    <w:rsid w:val="003529B2"/>
    <w:rPr>
      <w:color w:val="0000FF" w:themeColor="hyperlink"/>
      <w:u w:val="single"/>
    </w:rPr>
  </w:style>
  <w:style w:type="character" w:customStyle="1" w:styleId="FooterChar">
    <w:name w:val="Footer Char"/>
    <w:basedOn w:val="DefaultParagraphFont"/>
    <w:link w:val="Footer"/>
    <w:uiPriority w:val="99"/>
    <w:rsid w:val="00E63EE0"/>
    <w:rPr>
      <w:rFonts w:ascii="Arial" w:eastAsia="SimSun" w:hAnsi="Arial" w:cs="Arial"/>
      <w:sz w:val="22"/>
      <w:lang w:eastAsia="zh-CN"/>
    </w:rPr>
  </w:style>
  <w:style w:type="table" w:styleId="LightShading">
    <w:name w:val="Light Shading"/>
    <w:basedOn w:val="TableNormal"/>
    <w:uiPriority w:val="60"/>
    <w:rsid w:val="00E63EE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rsid w:val="00F32B06"/>
    <w:rPr>
      <w:sz w:val="16"/>
      <w:szCs w:val="16"/>
    </w:rPr>
  </w:style>
  <w:style w:type="paragraph" w:styleId="CommentSubject">
    <w:name w:val="annotation subject"/>
    <w:basedOn w:val="CommentText"/>
    <w:next w:val="CommentText"/>
    <w:link w:val="CommentSubjectChar"/>
    <w:rsid w:val="00F32B06"/>
    <w:rPr>
      <w:b/>
      <w:bCs/>
      <w:sz w:val="20"/>
    </w:rPr>
  </w:style>
  <w:style w:type="character" w:customStyle="1" w:styleId="CommentTextChar">
    <w:name w:val="Comment Text Char"/>
    <w:basedOn w:val="DefaultParagraphFont"/>
    <w:link w:val="CommentText"/>
    <w:semiHidden/>
    <w:rsid w:val="00F32B06"/>
    <w:rPr>
      <w:rFonts w:ascii="Arial" w:eastAsia="SimSun" w:hAnsi="Arial" w:cs="Arial"/>
      <w:sz w:val="18"/>
      <w:lang w:eastAsia="zh-CN"/>
    </w:rPr>
  </w:style>
  <w:style w:type="character" w:customStyle="1" w:styleId="CommentSubjectChar">
    <w:name w:val="Comment Subject Char"/>
    <w:basedOn w:val="CommentTextChar"/>
    <w:link w:val="CommentSubject"/>
    <w:rsid w:val="00F32B06"/>
    <w:rPr>
      <w:rFonts w:ascii="Arial" w:eastAsia="SimSun" w:hAnsi="Arial" w:cs="Arial"/>
      <w:b/>
      <w:bCs/>
      <w:sz w:val="18"/>
      <w:lang w:eastAsia="zh-CN"/>
    </w:rPr>
  </w:style>
  <w:style w:type="character" w:customStyle="1" w:styleId="HeaderChar">
    <w:name w:val="Header Char"/>
    <w:basedOn w:val="DefaultParagraphFont"/>
    <w:link w:val="Header"/>
    <w:uiPriority w:val="99"/>
    <w:rsid w:val="00065F6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FF1"/>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uiPriority w:val="99"/>
    <w:rsid w:val="00924FF1"/>
    <w:pPr>
      <w:spacing w:after="160"/>
    </w:pPr>
    <w:rPr>
      <w:sz w:val="20"/>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FootnoteTextChar">
    <w:name w:val="Footnote Text Char"/>
    <w:basedOn w:val="DefaultParagraphFont"/>
    <w:link w:val="FootnoteText"/>
    <w:uiPriority w:val="99"/>
    <w:rsid w:val="00924FF1"/>
    <w:rPr>
      <w:rFonts w:ascii="Arial" w:eastAsia="SimSun" w:hAnsi="Arial" w:cs="Arial"/>
      <w:lang w:eastAsia="zh-CN"/>
    </w:rPr>
  </w:style>
  <w:style w:type="character" w:styleId="FootnoteReference">
    <w:name w:val="footnote reference"/>
    <w:basedOn w:val="DefaultParagraphFont"/>
    <w:uiPriority w:val="99"/>
    <w:unhideWhenUsed/>
    <w:rsid w:val="003529B2"/>
    <w:rPr>
      <w:vertAlign w:val="superscript"/>
    </w:rPr>
  </w:style>
  <w:style w:type="character" w:styleId="Hyperlink">
    <w:name w:val="Hyperlink"/>
    <w:basedOn w:val="DefaultParagraphFont"/>
    <w:uiPriority w:val="99"/>
    <w:unhideWhenUsed/>
    <w:rsid w:val="003529B2"/>
    <w:rPr>
      <w:color w:val="0000FF" w:themeColor="hyperlink"/>
      <w:u w:val="single"/>
    </w:rPr>
  </w:style>
  <w:style w:type="character" w:customStyle="1" w:styleId="FooterChar">
    <w:name w:val="Footer Char"/>
    <w:basedOn w:val="DefaultParagraphFont"/>
    <w:link w:val="Footer"/>
    <w:uiPriority w:val="99"/>
    <w:rsid w:val="00E63EE0"/>
    <w:rPr>
      <w:rFonts w:ascii="Arial" w:eastAsia="SimSun" w:hAnsi="Arial" w:cs="Arial"/>
      <w:sz w:val="22"/>
      <w:lang w:eastAsia="zh-CN"/>
    </w:rPr>
  </w:style>
  <w:style w:type="table" w:styleId="LightShading">
    <w:name w:val="Light Shading"/>
    <w:basedOn w:val="TableNormal"/>
    <w:uiPriority w:val="60"/>
    <w:rsid w:val="00E63EE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rsid w:val="00F32B06"/>
    <w:rPr>
      <w:sz w:val="16"/>
      <w:szCs w:val="16"/>
    </w:rPr>
  </w:style>
  <w:style w:type="paragraph" w:styleId="CommentSubject">
    <w:name w:val="annotation subject"/>
    <w:basedOn w:val="CommentText"/>
    <w:next w:val="CommentText"/>
    <w:link w:val="CommentSubjectChar"/>
    <w:rsid w:val="00F32B06"/>
    <w:rPr>
      <w:b/>
      <w:bCs/>
      <w:sz w:val="20"/>
    </w:rPr>
  </w:style>
  <w:style w:type="character" w:customStyle="1" w:styleId="CommentTextChar">
    <w:name w:val="Comment Text Char"/>
    <w:basedOn w:val="DefaultParagraphFont"/>
    <w:link w:val="CommentText"/>
    <w:semiHidden/>
    <w:rsid w:val="00F32B06"/>
    <w:rPr>
      <w:rFonts w:ascii="Arial" w:eastAsia="SimSun" w:hAnsi="Arial" w:cs="Arial"/>
      <w:sz w:val="18"/>
      <w:lang w:eastAsia="zh-CN"/>
    </w:rPr>
  </w:style>
  <w:style w:type="character" w:customStyle="1" w:styleId="CommentSubjectChar">
    <w:name w:val="Comment Subject Char"/>
    <w:basedOn w:val="CommentTextChar"/>
    <w:link w:val="CommentSubject"/>
    <w:rsid w:val="00F32B06"/>
    <w:rPr>
      <w:rFonts w:ascii="Arial" w:eastAsia="SimSun" w:hAnsi="Arial" w:cs="Arial"/>
      <w:b/>
      <w:bCs/>
      <w:sz w:val="18"/>
      <w:lang w:eastAsia="zh-CN"/>
    </w:rPr>
  </w:style>
  <w:style w:type="character" w:customStyle="1" w:styleId="HeaderChar">
    <w:name w:val="Header Char"/>
    <w:basedOn w:val="DefaultParagraphFont"/>
    <w:link w:val="Header"/>
    <w:uiPriority w:val="99"/>
    <w:rsid w:val="00065F6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wipo.int/pct/en/appguide/index.jsp" TargetMode="External"/><Relationship Id="rId1" Type="http://schemas.openxmlformats.org/officeDocument/2006/relationships/hyperlink" Target="http://www.wipo.int/ipstats/en/statistics/technology_concordanc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5019C-F01E-4278-B881-1DE80DF5F790}">
  <ds:schemaRefs>
    <ds:schemaRef ds:uri="http://schemas.openxmlformats.org/officeDocument/2006/bibliography"/>
  </ds:schemaRefs>
</ds:datastoreItem>
</file>

<file path=customXml/itemProps2.xml><?xml version="1.0" encoding="utf-8"?>
<ds:datastoreItem xmlns:ds="http://schemas.openxmlformats.org/officeDocument/2006/customXml" ds:itemID="{3E3FB7C2-2E1E-4C4F-A268-C29B17A2F292}">
  <ds:schemaRefs>
    <ds:schemaRef ds:uri="http://schemas.openxmlformats.org/officeDocument/2006/bibliography"/>
  </ds:schemaRefs>
</ds:datastoreItem>
</file>

<file path=customXml/itemProps3.xml><?xml version="1.0" encoding="utf-8"?>
<ds:datastoreItem xmlns:ds="http://schemas.openxmlformats.org/officeDocument/2006/customXml" ds:itemID="{E0147A5A-55B4-43C6-84CD-606F3A46DE87}">
  <ds:schemaRefs>
    <ds:schemaRef ds:uri="http://schemas.openxmlformats.org/officeDocument/2006/bibliography"/>
  </ds:schemaRefs>
</ds:datastoreItem>
</file>

<file path=customXml/itemProps4.xml><?xml version="1.0" encoding="utf-8"?>
<ds:datastoreItem xmlns:ds="http://schemas.openxmlformats.org/officeDocument/2006/customXml" ds:itemID="{F7378A5F-6800-426E-AC3D-16D8A0A78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2</TotalTime>
  <Pages>13</Pages>
  <Words>5236</Words>
  <Characters>28216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PCT/WG/7/6</vt:lpstr>
    </vt:vector>
  </TitlesOfParts>
  <Company>WIPO</Company>
  <LinksUpToDate>false</LinksUpToDate>
  <CharactersWithSpaces>33386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PCT/WG/7/6</dc:title>
  <dc:subject>Estimating a PCT Fee Elasticity</dc:subject>
  <dc:creator>WIPO</dc:creator>
  <cp:keywords>NG/MP/mhf</cp:keywords>
  <cp:lastModifiedBy>MARLOW Thomas</cp:lastModifiedBy>
  <cp:revision>5</cp:revision>
  <cp:lastPrinted>2014-05-15T07:43:00Z</cp:lastPrinted>
  <dcterms:created xsi:type="dcterms:W3CDTF">2014-05-15T07:41:00Z</dcterms:created>
  <dcterms:modified xsi:type="dcterms:W3CDTF">2014-05-15T07:43:00Z</dcterms:modified>
</cp:coreProperties>
</file>