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56A02" w:rsidRPr="00B7599D" w:rsidTr="004B6F33">
        <w:tc>
          <w:tcPr>
            <w:tcW w:w="4513" w:type="dxa"/>
            <w:tcBorders>
              <w:bottom w:val="single" w:sz="4" w:space="0" w:color="auto"/>
            </w:tcBorders>
            <w:tcMar>
              <w:bottom w:w="170" w:type="dxa"/>
            </w:tcMar>
          </w:tcPr>
          <w:p w:rsidR="00B56A02" w:rsidRPr="00B7599D" w:rsidRDefault="00B56A02" w:rsidP="004B6F33">
            <w:pPr>
              <w:rPr>
                <w:lang w:val="fr-FR"/>
              </w:rPr>
            </w:pPr>
          </w:p>
        </w:tc>
        <w:tc>
          <w:tcPr>
            <w:tcW w:w="4337" w:type="dxa"/>
            <w:tcBorders>
              <w:bottom w:val="single" w:sz="4" w:space="0" w:color="auto"/>
            </w:tcBorders>
            <w:tcMar>
              <w:left w:w="0" w:type="dxa"/>
              <w:right w:w="0" w:type="dxa"/>
            </w:tcMar>
          </w:tcPr>
          <w:p w:rsidR="00B56A02" w:rsidRPr="00B7599D" w:rsidRDefault="00B56A02" w:rsidP="004B6F33">
            <w:pPr>
              <w:rPr>
                <w:lang w:val="fr-FR"/>
              </w:rPr>
            </w:pPr>
            <w:r w:rsidRPr="00B7599D">
              <w:rPr>
                <w:noProof/>
                <w:lang w:eastAsia="en-US"/>
              </w:rPr>
              <w:drawing>
                <wp:inline distT="0" distB="0" distL="0" distR="0" wp14:anchorId="7407F171" wp14:editId="6FC66001">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56A02" w:rsidRPr="00B7599D" w:rsidRDefault="00B56A02" w:rsidP="004B6F33">
            <w:pPr>
              <w:jc w:val="right"/>
              <w:rPr>
                <w:lang w:val="fr-FR"/>
              </w:rPr>
            </w:pPr>
            <w:r w:rsidRPr="00B7599D">
              <w:rPr>
                <w:b/>
                <w:sz w:val="40"/>
                <w:szCs w:val="40"/>
                <w:lang w:val="fr-FR"/>
              </w:rPr>
              <w:t>F</w:t>
            </w:r>
          </w:p>
        </w:tc>
      </w:tr>
      <w:tr w:rsidR="00B56A02" w:rsidRPr="00B7599D" w:rsidTr="004B6F33">
        <w:trPr>
          <w:trHeight w:hRule="exact" w:val="340"/>
        </w:trPr>
        <w:tc>
          <w:tcPr>
            <w:tcW w:w="9356" w:type="dxa"/>
            <w:gridSpan w:val="3"/>
            <w:tcBorders>
              <w:top w:val="single" w:sz="4" w:space="0" w:color="auto"/>
            </w:tcBorders>
            <w:tcMar>
              <w:top w:w="170" w:type="dxa"/>
              <w:left w:w="0" w:type="dxa"/>
              <w:right w:w="0" w:type="dxa"/>
            </w:tcMar>
            <w:vAlign w:val="bottom"/>
          </w:tcPr>
          <w:p w:rsidR="00B56A02" w:rsidRPr="00B7599D" w:rsidRDefault="00B56A02" w:rsidP="00B56A02">
            <w:pPr>
              <w:jc w:val="right"/>
              <w:rPr>
                <w:rFonts w:ascii="Arial Black" w:hAnsi="Arial Black"/>
                <w:caps/>
                <w:sz w:val="15"/>
                <w:lang w:val="fr-FR"/>
              </w:rPr>
            </w:pPr>
            <w:r w:rsidRPr="00B7599D">
              <w:rPr>
                <w:rFonts w:ascii="Arial Black" w:hAnsi="Arial Black"/>
                <w:caps/>
                <w:sz w:val="15"/>
                <w:lang w:val="fr-FR"/>
              </w:rPr>
              <w:t>PCT/WG/7/</w:t>
            </w:r>
            <w:bookmarkStart w:id="0" w:name="Code"/>
            <w:bookmarkEnd w:id="0"/>
            <w:r w:rsidRPr="00B7599D">
              <w:rPr>
                <w:rFonts w:ascii="Arial Black" w:hAnsi="Arial Black"/>
                <w:caps/>
                <w:sz w:val="15"/>
                <w:lang w:val="fr-FR"/>
              </w:rPr>
              <w:t xml:space="preserve">29 </w:t>
            </w:r>
          </w:p>
        </w:tc>
      </w:tr>
      <w:tr w:rsidR="00B56A02" w:rsidRPr="00B7599D" w:rsidTr="004B6F33">
        <w:trPr>
          <w:trHeight w:hRule="exact" w:val="170"/>
        </w:trPr>
        <w:tc>
          <w:tcPr>
            <w:tcW w:w="9356" w:type="dxa"/>
            <w:gridSpan w:val="3"/>
            <w:noWrap/>
            <w:tcMar>
              <w:left w:w="0" w:type="dxa"/>
              <w:right w:w="0" w:type="dxa"/>
            </w:tcMar>
            <w:vAlign w:val="bottom"/>
          </w:tcPr>
          <w:p w:rsidR="00B56A02" w:rsidRPr="00B7599D" w:rsidRDefault="00B56A02" w:rsidP="004B6F33">
            <w:pPr>
              <w:jc w:val="right"/>
              <w:rPr>
                <w:rFonts w:ascii="Arial Black" w:hAnsi="Arial Black"/>
                <w:caps/>
                <w:sz w:val="15"/>
                <w:lang w:val="fr-FR"/>
              </w:rPr>
            </w:pPr>
            <w:r w:rsidRPr="00B7599D">
              <w:rPr>
                <w:rFonts w:ascii="Arial Black" w:hAnsi="Arial Black"/>
                <w:caps/>
                <w:sz w:val="15"/>
                <w:lang w:val="fr-FR"/>
              </w:rPr>
              <w:t xml:space="preserve">ORIGINAL : </w:t>
            </w:r>
            <w:bookmarkStart w:id="1" w:name="Original"/>
            <w:bookmarkEnd w:id="1"/>
            <w:r w:rsidRPr="00B7599D">
              <w:rPr>
                <w:rFonts w:ascii="Arial Black" w:hAnsi="Arial Black"/>
                <w:caps/>
                <w:sz w:val="15"/>
                <w:lang w:val="fr-FR"/>
              </w:rPr>
              <w:t>anglais</w:t>
            </w:r>
          </w:p>
        </w:tc>
      </w:tr>
      <w:tr w:rsidR="00B56A02" w:rsidRPr="00B7599D" w:rsidTr="004B6F33">
        <w:trPr>
          <w:trHeight w:hRule="exact" w:val="198"/>
        </w:trPr>
        <w:tc>
          <w:tcPr>
            <w:tcW w:w="9356" w:type="dxa"/>
            <w:gridSpan w:val="3"/>
            <w:tcMar>
              <w:left w:w="0" w:type="dxa"/>
              <w:right w:w="0" w:type="dxa"/>
            </w:tcMar>
            <w:vAlign w:val="bottom"/>
          </w:tcPr>
          <w:p w:rsidR="00B56A02" w:rsidRPr="00B7599D" w:rsidRDefault="00B56A02" w:rsidP="004B6F33">
            <w:pPr>
              <w:jc w:val="right"/>
              <w:rPr>
                <w:rFonts w:ascii="Arial Black" w:hAnsi="Arial Black"/>
                <w:caps/>
                <w:sz w:val="15"/>
                <w:lang w:val="fr-FR"/>
              </w:rPr>
            </w:pPr>
            <w:r w:rsidRPr="00B7599D">
              <w:rPr>
                <w:rFonts w:ascii="Arial Black" w:hAnsi="Arial Black"/>
                <w:caps/>
                <w:sz w:val="15"/>
                <w:lang w:val="fr-FR"/>
              </w:rPr>
              <w:t xml:space="preserve">DATE : </w:t>
            </w:r>
            <w:bookmarkStart w:id="2" w:name="Date"/>
            <w:bookmarkEnd w:id="2"/>
            <w:r w:rsidRPr="00B7599D">
              <w:rPr>
                <w:rFonts w:ascii="Arial Black" w:hAnsi="Arial Black"/>
                <w:caps/>
                <w:sz w:val="15"/>
                <w:lang w:val="fr-FR"/>
              </w:rPr>
              <w:t>13 juin 2014</w:t>
            </w:r>
          </w:p>
        </w:tc>
      </w:tr>
    </w:tbl>
    <w:p w:rsidR="00B56A02" w:rsidRPr="00B7599D" w:rsidRDefault="00B56A02" w:rsidP="00B56A02">
      <w:pPr>
        <w:rPr>
          <w:lang w:val="fr-FR"/>
        </w:rPr>
      </w:pPr>
    </w:p>
    <w:p w:rsidR="00B56A02" w:rsidRPr="00B7599D" w:rsidRDefault="00B56A02" w:rsidP="00B56A02">
      <w:pPr>
        <w:rPr>
          <w:lang w:val="fr-FR"/>
        </w:rPr>
      </w:pPr>
    </w:p>
    <w:p w:rsidR="00B56A02" w:rsidRPr="00B7599D" w:rsidRDefault="00B56A02" w:rsidP="00B56A02">
      <w:pPr>
        <w:rPr>
          <w:lang w:val="fr-FR"/>
        </w:rPr>
      </w:pPr>
    </w:p>
    <w:p w:rsidR="00B56A02" w:rsidRPr="00B7599D" w:rsidRDefault="00B56A02" w:rsidP="00B56A02">
      <w:pPr>
        <w:rPr>
          <w:lang w:val="fr-FR"/>
        </w:rPr>
      </w:pPr>
    </w:p>
    <w:p w:rsidR="00B56A02" w:rsidRPr="00B7599D" w:rsidRDefault="00B56A02" w:rsidP="00B56A02">
      <w:pPr>
        <w:rPr>
          <w:lang w:val="fr-FR"/>
        </w:rPr>
      </w:pPr>
    </w:p>
    <w:p w:rsidR="00B56A02" w:rsidRPr="00B7599D" w:rsidRDefault="00B56A02" w:rsidP="00B56A02">
      <w:pPr>
        <w:rPr>
          <w:b/>
          <w:sz w:val="28"/>
          <w:szCs w:val="28"/>
          <w:lang w:val="fr-FR"/>
        </w:rPr>
      </w:pPr>
      <w:r w:rsidRPr="00B7599D">
        <w:rPr>
          <w:b/>
          <w:sz w:val="28"/>
          <w:szCs w:val="28"/>
          <w:lang w:val="fr-FR"/>
        </w:rPr>
        <w:t>Groupe de travail du Traité de coopération en matière de brevets (PCT)</w:t>
      </w:r>
    </w:p>
    <w:p w:rsidR="00B56A02" w:rsidRPr="00B7599D" w:rsidRDefault="00B56A02" w:rsidP="00B56A02">
      <w:pPr>
        <w:rPr>
          <w:lang w:val="fr-FR"/>
        </w:rPr>
      </w:pPr>
    </w:p>
    <w:p w:rsidR="00B56A02" w:rsidRPr="00B7599D" w:rsidRDefault="00B56A02" w:rsidP="00B56A02">
      <w:pPr>
        <w:rPr>
          <w:lang w:val="fr-FR"/>
        </w:rPr>
      </w:pPr>
    </w:p>
    <w:p w:rsidR="00B56A02" w:rsidRPr="00B7599D" w:rsidRDefault="00B56A02" w:rsidP="00B56A02">
      <w:pPr>
        <w:rPr>
          <w:b/>
          <w:sz w:val="24"/>
          <w:szCs w:val="24"/>
          <w:lang w:val="fr-FR"/>
        </w:rPr>
      </w:pPr>
      <w:r w:rsidRPr="00B7599D">
        <w:rPr>
          <w:b/>
          <w:sz w:val="24"/>
          <w:szCs w:val="24"/>
          <w:lang w:val="fr-FR"/>
        </w:rPr>
        <w:t>Septième session</w:t>
      </w:r>
    </w:p>
    <w:p w:rsidR="00B56A02" w:rsidRPr="00B7599D" w:rsidRDefault="00B56A02" w:rsidP="00B56A02">
      <w:pPr>
        <w:rPr>
          <w:b/>
          <w:sz w:val="24"/>
          <w:szCs w:val="24"/>
          <w:lang w:val="fr-FR"/>
        </w:rPr>
      </w:pPr>
      <w:r w:rsidRPr="00B7599D">
        <w:rPr>
          <w:b/>
          <w:sz w:val="24"/>
          <w:szCs w:val="24"/>
          <w:lang w:val="fr-FR"/>
        </w:rPr>
        <w:t>Genève, 10 – 13 juin 2014</w:t>
      </w:r>
    </w:p>
    <w:p w:rsidR="00B56A02" w:rsidRPr="00B7599D" w:rsidRDefault="00B56A02" w:rsidP="00B56A02">
      <w:pPr>
        <w:rPr>
          <w:lang w:val="fr-FR"/>
        </w:rPr>
      </w:pPr>
    </w:p>
    <w:p w:rsidR="00B56A02" w:rsidRPr="00B7599D" w:rsidRDefault="00B56A02" w:rsidP="00B56A02">
      <w:pPr>
        <w:rPr>
          <w:lang w:val="fr-FR"/>
        </w:rPr>
      </w:pPr>
    </w:p>
    <w:p w:rsidR="00B56A02" w:rsidRPr="00B7599D" w:rsidRDefault="00B56A02" w:rsidP="00B56A02">
      <w:pPr>
        <w:rPr>
          <w:lang w:val="fr-FR"/>
        </w:rPr>
      </w:pPr>
    </w:p>
    <w:p w:rsidR="005F6828" w:rsidRPr="00B7599D" w:rsidRDefault="00ED1C22" w:rsidP="00ED1C22">
      <w:pPr>
        <w:rPr>
          <w:caps/>
          <w:sz w:val="24"/>
          <w:lang w:val="fr-FR"/>
        </w:rPr>
      </w:pPr>
      <w:r w:rsidRPr="00B7599D">
        <w:rPr>
          <w:caps/>
          <w:sz w:val="24"/>
          <w:lang w:val="fr-FR"/>
        </w:rPr>
        <w:t>Résumé présenté par le président</w:t>
      </w:r>
    </w:p>
    <w:p w:rsidR="005F6828" w:rsidRPr="00B7599D" w:rsidRDefault="005F6828" w:rsidP="008B2CC1">
      <w:pPr>
        <w:rPr>
          <w:lang w:val="fr-FR"/>
        </w:rPr>
      </w:pPr>
    </w:p>
    <w:p w:rsidR="005F6828" w:rsidRPr="00B7599D" w:rsidRDefault="005F6828" w:rsidP="008B2CC1">
      <w:pPr>
        <w:rPr>
          <w:i/>
          <w:lang w:val="fr-FR"/>
        </w:rPr>
      </w:pPr>
      <w:bookmarkStart w:id="3" w:name="Prepared"/>
      <w:bookmarkEnd w:id="3"/>
    </w:p>
    <w:p w:rsidR="005F6828" w:rsidRPr="00B7599D" w:rsidRDefault="005F6828">
      <w:pPr>
        <w:rPr>
          <w:lang w:val="fr-FR"/>
        </w:rPr>
      </w:pPr>
    </w:p>
    <w:p w:rsidR="005F6828" w:rsidRDefault="005F6828">
      <w:pPr>
        <w:rPr>
          <w:lang w:val="fr-FR"/>
        </w:rPr>
      </w:pPr>
    </w:p>
    <w:p w:rsidR="00127B04" w:rsidRPr="00B7599D" w:rsidRDefault="00127B04">
      <w:pPr>
        <w:rPr>
          <w:lang w:val="fr-FR"/>
        </w:rPr>
      </w:pPr>
    </w:p>
    <w:p w:rsidR="005F6828" w:rsidRPr="00B7599D" w:rsidRDefault="00ED1C22" w:rsidP="00127B04">
      <w:pPr>
        <w:pStyle w:val="Heading1"/>
        <w:rPr>
          <w:lang w:val="fr-FR"/>
        </w:rPr>
      </w:pPr>
      <w:r w:rsidRPr="00B7599D">
        <w:rPr>
          <w:lang w:val="fr-FR"/>
        </w:rPr>
        <w:t>Point 1 de l</w:t>
      </w:r>
      <w:r w:rsidR="002F6E75" w:rsidRPr="00B7599D">
        <w:rPr>
          <w:lang w:val="fr-FR"/>
        </w:rPr>
        <w:t>’</w:t>
      </w:r>
      <w:r w:rsidRPr="00B7599D">
        <w:rPr>
          <w:lang w:val="fr-FR"/>
        </w:rPr>
        <w:t xml:space="preserve">ordre du jour : </w:t>
      </w:r>
      <w:r w:rsidRPr="00127B04">
        <w:rPr>
          <w:lang w:val="fr-FR"/>
        </w:rPr>
        <w:t>ouverture</w:t>
      </w:r>
      <w:r w:rsidRPr="00B7599D">
        <w:rPr>
          <w:lang w:val="fr-FR"/>
        </w:rPr>
        <w:t xml:space="preserve"> de la session</w:t>
      </w:r>
    </w:p>
    <w:p w:rsidR="005F6828" w:rsidRPr="00B7599D" w:rsidRDefault="00ED1C22" w:rsidP="00ED1C22">
      <w:pPr>
        <w:pStyle w:val="ONUMFS"/>
        <w:rPr>
          <w:lang w:val="fr-FR"/>
        </w:rPr>
      </w:pPr>
      <w:r w:rsidRPr="00B7599D">
        <w:rPr>
          <w:lang w:val="fr-FR"/>
        </w:rPr>
        <w:t>M.</w:t>
      </w:r>
      <w:r w:rsidR="00F436BF" w:rsidRPr="00B7599D">
        <w:rPr>
          <w:lang w:val="fr-FR"/>
        </w:rPr>
        <w:t> </w:t>
      </w:r>
      <w:r w:rsidRPr="00B7599D">
        <w:rPr>
          <w:lang w:val="fr-FR"/>
        </w:rPr>
        <w:t>Francis Gurry, Directeur général de l</w:t>
      </w:r>
      <w:r w:rsidR="002F6E75" w:rsidRPr="00B7599D">
        <w:rPr>
          <w:lang w:val="fr-FR"/>
        </w:rPr>
        <w:t>’</w:t>
      </w:r>
      <w:r w:rsidRPr="00B7599D">
        <w:rPr>
          <w:lang w:val="fr-FR"/>
        </w:rPr>
        <w:t xml:space="preserve">OMPI, a ouvert la session et souhaité la </w:t>
      </w:r>
      <w:r w:rsidR="004B6B64" w:rsidRPr="00B7599D">
        <w:rPr>
          <w:lang w:val="fr-FR"/>
        </w:rPr>
        <w:t>bienvenue aux participants.  M. </w:t>
      </w:r>
      <w:r w:rsidRPr="00B7599D">
        <w:rPr>
          <w:lang w:val="fr-FR"/>
        </w:rPr>
        <w:t>Claus</w:t>
      </w:r>
      <w:r w:rsidR="004B6B64" w:rsidRPr="00B7599D">
        <w:rPr>
          <w:lang w:val="fr-FR"/>
        </w:rPr>
        <w:t> </w:t>
      </w:r>
      <w:r w:rsidRPr="00B7599D">
        <w:rPr>
          <w:lang w:val="fr-FR"/>
        </w:rPr>
        <w:t>Matthes (OMPI) a assuré le secrétariat du groupe de travail.</w:t>
      </w:r>
    </w:p>
    <w:p w:rsidR="005F6828" w:rsidRPr="00B7599D" w:rsidRDefault="00ED1C22" w:rsidP="00ED1C22">
      <w:pPr>
        <w:pStyle w:val="Heading1"/>
        <w:rPr>
          <w:lang w:val="fr-FR"/>
        </w:rPr>
      </w:pPr>
      <w:r w:rsidRPr="00B7599D">
        <w:rPr>
          <w:lang w:val="fr-FR"/>
        </w:rPr>
        <w:t>Point</w:t>
      </w:r>
      <w:r w:rsidR="00F436BF" w:rsidRPr="00B7599D">
        <w:rPr>
          <w:lang w:val="fr-FR"/>
        </w:rPr>
        <w:t> </w:t>
      </w:r>
      <w:r w:rsidRPr="00B7599D">
        <w:rPr>
          <w:lang w:val="fr-FR"/>
        </w:rPr>
        <w:t>2 de l</w:t>
      </w:r>
      <w:r w:rsidR="002F6E75" w:rsidRPr="00B7599D">
        <w:rPr>
          <w:lang w:val="fr-FR"/>
        </w:rPr>
        <w:t>’</w:t>
      </w:r>
      <w:r w:rsidRPr="00B7599D">
        <w:rPr>
          <w:lang w:val="fr-FR"/>
        </w:rPr>
        <w:t>ordre du jour</w:t>
      </w:r>
      <w:r w:rsidR="00F436BF" w:rsidRPr="00B7599D">
        <w:rPr>
          <w:lang w:val="fr-FR"/>
        </w:rPr>
        <w:t> </w:t>
      </w:r>
      <w:r w:rsidRPr="00B7599D">
        <w:rPr>
          <w:lang w:val="fr-FR"/>
        </w:rPr>
        <w:t>: élection</w:t>
      </w:r>
      <w:r w:rsidR="00B56A02" w:rsidRPr="00B7599D">
        <w:rPr>
          <w:lang w:val="fr-FR"/>
        </w:rPr>
        <w:t xml:space="preserve"> d</w:t>
      </w:r>
      <w:r w:rsidR="002F6E75" w:rsidRPr="00B7599D">
        <w:rPr>
          <w:lang w:val="fr-FR"/>
        </w:rPr>
        <w:t>’</w:t>
      </w:r>
      <w:r w:rsidR="00B56A02" w:rsidRPr="00B7599D">
        <w:rPr>
          <w:lang w:val="fr-FR"/>
        </w:rPr>
        <w:t>un président et de deux</w:t>
      </w:r>
      <w:r w:rsidR="00F436BF" w:rsidRPr="00B7599D">
        <w:rPr>
          <w:lang w:val="fr-FR"/>
        </w:rPr>
        <w:t> </w:t>
      </w:r>
      <w:r w:rsidR="00B56A02" w:rsidRPr="00B7599D">
        <w:rPr>
          <w:lang w:val="fr-FR"/>
        </w:rPr>
        <w:t>vice</w:t>
      </w:r>
      <w:r w:rsidR="001335D6" w:rsidRPr="001335D6">
        <w:rPr>
          <w:lang w:val="fr-FR"/>
        </w:rPr>
        <w:noBreakHyphen/>
      </w:r>
      <w:r w:rsidRPr="00B7599D">
        <w:rPr>
          <w:lang w:val="fr-FR"/>
        </w:rPr>
        <w:t>présidents</w:t>
      </w:r>
    </w:p>
    <w:p w:rsidR="005F6828" w:rsidRPr="00B7599D" w:rsidRDefault="00ED1C22" w:rsidP="00ED1C22">
      <w:pPr>
        <w:pStyle w:val="ONUMFS"/>
        <w:rPr>
          <w:lang w:val="fr-FR"/>
        </w:rPr>
      </w:pPr>
      <w:r w:rsidRPr="00B7599D">
        <w:rPr>
          <w:lang w:val="fr-FR"/>
        </w:rPr>
        <w:t>Le groupe de travail a élu à l</w:t>
      </w:r>
      <w:r w:rsidR="002F6E75" w:rsidRPr="00B7599D">
        <w:rPr>
          <w:lang w:val="fr-FR"/>
        </w:rPr>
        <w:t>’</w:t>
      </w:r>
      <w:r w:rsidRPr="00B7599D">
        <w:rPr>
          <w:lang w:val="fr-FR"/>
        </w:rPr>
        <w:t>unanimité M.</w:t>
      </w:r>
      <w:r w:rsidR="00F436BF" w:rsidRPr="00B7599D">
        <w:rPr>
          <w:lang w:val="fr-FR"/>
        </w:rPr>
        <w:t> </w:t>
      </w:r>
      <w:r w:rsidRPr="00B7599D">
        <w:rPr>
          <w:lang w:val="fr-FR"/>
        </w:rPr>
        <w:t xml:space="preserve">Victor </w:t>
      </w:r>
      <w:proofErr w:type="spellStart"/>
      <w:r w:rsidRPr="00B7599D">
        <w:rPr>
          <w:lang w:val="fr-FR"/>
        </w:rPr>
        <w:t>Portelli</w:t>
      </w:r>
      <w:proofErr w:type="spellEnd"/>
      <w:r w:rsidRPr="00B7599D">
        <w:rPr>
          <w:lang w:val="fr-FR"/>
        </w:rPr>
        <w:t xml:space="preserve"> (Australie) président de la session.  Il n</w:t>
      </w:r>
      <w:r w:rsidR="002F6E75" w:rsidRPr="00B7599D">
        <w:rPr>
          <w:lang w:val="fr-FR"/>
        </w:rPr>
        <w:t>’</w:t>
      </w:r>
      <w:r w:rsidRPr="00B7599D">
        <w:rPr>
          <w:lang w:val="fr-FR"/>
        </w:rPr>
        <w:t>y a pas eu de candidatures aux postes de vice</w:t>
      </w:r>
      <w:r w:rsidR="0094312B" w:rsidRPr="0094312B">
        <w:rPr>
          <w:lang w:val="fr-FR"/>
        </w:rPr>
        <w:noBreakHyphen/>
      </w:r>
      <w:r w:rsidRPr="00B7599D">
        <w:rPr>
          <w:lang w:val="fr-FR"/>
        </w:rPr>
        <w:t>présidents.</w:t>
      </w:r>
    </w:p>
    <w:p w:rsidR="005F6828" w:rsidRPr="00B7599D" w:rsidRDefault="00ED1C22" w:rsidP="00ED1C22">
      <w:pPr>
        <w:pStyle w:val="Heading1"/>
        <w:rPr>
          <w:lang w:val="fr-FR"/>
        </w:rPr>
      </w:pPr>
      <w:r w:rsidRPr="00B7599D">
        <w:rPr>
          <w:lang w:val="fr-FR"/>
        </w:rPr>
        <w:t>Point</w:t>
      </w:r>
      <w:r w:rsidR="00F436BF" w:rsidRPr="00B7599D">
        <w:rPr>
          <w:lang w:val="fr-FR"/>
        </w:rPr>
        <w:t> </w:t>
      </w:r>
      <w:r w:rsidRPr="00B7599D">
        <w:rPr>
          <w:lang w:val="fr-FR"/>
        </w:rPr>
        <w:t>3 de l</w:t>
      </w:r>
      <w:r w:rsidR="002F6E75" w:rsidRPr="00B7599D">
        <w:rPr>
          <w:lang w:val="fr-FR"/>
        </w:rPr>
        <w:t>’</w:t>
      </w:r>
      <w:r w:rsidRPr="00B7599D">
        <w:rPr>
          <w:lang w:val="fr-FR"/>
        </w:rPr>
        <w:t>ordre du jour</w:t>
      </w:r>
      <w:r w:rsidR="00F436BF" w:rsidRPr="00B7599D">
        <w:rPr>
          <w:lang w:val="fr-FR"/>
        </w:rPr>
        <w:t> </w:t>
      </w:r>
      <w:r w:rsidRPr="00B7599D">
        <w:rPr>
          <w:lang w:val="fr-FR"/>
        </w:rPr>
        <w:t>: adoption de l</w:t>
      </w:r>
      <w:r w:rsidR="002F6E75" w:rsidRPr="00B7599D">
        <w:rPr>
          <w:lang w:val="fr-FR"/>
        </w:rPr>
        <w:t>’</w:t>
      </w:r>
      <w:r w:rsidRPr="00B7599D">
        <w:rPr>
          <w:lang w:val="fr-FR"/>
        </w:rPr>
        <w:t>ordre du jour</w:t>
      </w:r>
    </w:p>
    <w:p w:rsidR="005F6828" w:rsidRPr="00B7599D" w:rsidRDefault="00ED1C22" w:rsidP="00ED1C22">
      <w:pPr>
        <w:pStyle w:val="ONUMFS"/>
        <w:ind w:left="567"/>
        <w:rPr>
          <w:lang w:val="fr-FR"/>
        </w:rPr>
      </w:pPr>
      <w:r w:rsidRPr="00B7599D">
        <w:rPr>
          <w:lang w:val="fr-FR"/>
        </w:rPr>
        <w:t>Le groupe de travail a adopté le projet d</w:t>
      </w:r>
      <w:r w:rsidR="002F6E75" w:rsidRPr="00B7599D">
        <w:rPr>
          <w:lang w:val="fr-FR"/>
        </w:rPr>
        <w:t>’</w:t>
      </w:r>
      <w:r w:rsidRPr="00B7599D">
        <w:rPr>
          <w:lang w:val="fr-FR"/>
        </w:rPr>
        <w:t>ordre du jour révisé tel qu</w:t>
      </w:r>
      <w:r w:rsidR="002F6E75" w:rsidRPr="00B7599D">
        <w:rPr>
          <w:lang w:val="fr-FR"/>
        </w:rPr>
        <w:t>’</w:t>
      </w:r>
      <w:r w:rsidRPr="00B7599D">
        <w:rPr>
          <w:lang w:val="fr-FR"/>
        </w:rPr>
        <w:t>il était proposé dans le document PCT/WG/7/1</w:t>
      </w:r>
      <w:r w:rsidR="00F436BF" w:rsidRPr="00B7599D">
        <w:rPr>
          <w:lang w:val="fr-FR"/>
        </w:rPr>
        <w:t> </w:t>
      </w:r>
      <w:r w:rsidRPr="00B7599D">
        <w:rPr>
          <w:lang w:val="fr-FR"/>
        </w:rPr>
        <w:t>Rev.4.</w:t>
      </w:r>
    </w:p>
    <w:p w:rsidR="005F6828" w:rsidRPr="00B7599D" w:rsidRDefault="00ED1C22" w:rsidP="00ED1C22">
      <w:pPr>
        <w:pStyle w:val="Heading1"/>
        <w:rPr>
          <w:lang w:val="fr-FR"/>
        </w:rPr>
      </w:pPr>
      <w:r w:rsidRPr="00B7599D">
        <w:rPr>
          <w:lang w:val="fr-FR"/>
        </w:rPr>
        <w:t>Déclarations liminaires</w:t>
      </w:r>
    </w:p>
    <w:p w:rsidR="005F6828" w:rsidRPr="00B7599D" w:rsidRDefault="00ED1C22" w:rsidP="00ED1C22">
      <w:pPr>
        <w:pStyle w:val="ONUMFS"/>
        <w:rPr>
          <w:lang w:val="fr-FR"/>
        </w:rPr>
      </w:pPr>
      <w:r w:rsidRPr="00B7599D">
        <w:rPr>
          <w:lang w:val="fr-FR"/>
        </w:rPr>
        <w:t>La délégation du Chili a informé le groupe de travail que l</w:t>
      </w:r>
      <w:r w:rsidR="002F6E75" w:rsidRPr="00B7599D">
        <w:rPr>
          <w:lang w:val="fr-FR"/>
        </w:rPr>
        <w:t>’</w:t>
      </w:r>
      <w:r w:rsidRPr="00B7599D">
        <w:rPr>
          <w:lang w:val="fr-FR"/>
        </w:rPr>
        <w:t>Institut national de la propriété industrielle du Chili débuterait ses activités en qualité d</w:t>
      </w:r>
      <w:r w:rsidR="002F6E75" w:rsidRPr="00B7599D">
        <w:rPr>
          <w:lang w:val="fr-FR"/>
        </w:rPr>
        <w:t>’</w:t>
      </w:r>
      <w:r w:rsidRPr="00B7599D">
        <w:rPr>
          <w:lang w:val="fr-FR"/>
        </w:rPr>
        <w:t>administration chargée de la recherche internationale et de l</w:t>
      </w:r>
      <w:r w:rsidR="002F6E75" w:rsidRPr="00B7599D">
        <w:rPr>
          <w:lang w:val="fr-FR"/>
        </w:rPr>
        <w:t>’</w:t>
      </w:r>
      <w:r w:rsidRPr="00B7599D">
        <w:rPr>
          <w:lang w:val="fr-FR"/>
        </w:rPr>
        <w:t>examen préliminaire international à compter du 2</w:t>
      </w:r>
      <w:r w:rsidR="002F6E75" w:rsidRPr="00B7599D">
        <w:rPr>
          <w:lang w:val="fr-FR"/>
        </w:rPr>
        <w:t>2 octobre 20</w:t>
      </w:r>
      <w:r w:rsidRPr="00B7599D">
        <w:rPr>
          <w:lang w:val="fr-FR"/>
        </w:rPr>
        <w:t>14.</w:t>
      </w:r>
    </w:p>
    <w:p w:rsidR="005F6828" w:rsidRPr="00B7599D" w:rsidRDefault="00ED1C22" w:rsidP="00127B04">
      <w:pPr>
        <w:pStyle w:val="ONUMFS"/>
        <w:rPr>
          <w:lang w:val="fr-FR"/>
        </w:rPr>
      </w:pPr>
      <w:r w:rsidRPr="00B7599D">
        <w:rPr>
          <w:lang w:val="fr-FR"/>
        </w:rPr>
        <w:t>La délégation de Singapour a annoncé que l</w:t>
      </w:r>
      <w:r w:rsidR="002F6E75" w:rsidRPr="00B7599D">
        <w:rPr>
          <w:lang w:val="fr-FR"/>
        </w:rPr>
        <w:t>’</w:t>
      </w:r>
      <w:r w:rsidRPr="00B7599D">
        <w:rPr>
          <w:lang w:val="fr-FR"/>
        </w:rPr>
        <w:t>Office de la propriété intellectuelle de Singapour déposerait sa candidature à la nomination en qualité d</w:t>
      </w:r>
      <w:r w:rsidR="002F6E75" w:rsidRPr="00B7599D">
        <w:rPr>
          <w:lang w:val="fr-FR"/>
        </w:rPr>
        <w:t>’</w:t>
      </w:r>
      <w:r w:rsidR="00407F21">
        <w:rPr>
          <w:lang w:val="fr-FR"/>
        </w:rPr>
        <w:t>administration chargée de la </w:t>
      </w:r>
      <w:r w:rsidRPr="00B7599D">
        <w:rPr>
          <w:lang w:val="fr-FR"/>
        </w:rPr>
        <w:t>recherche internationale et de l</w:t>
      </w:r>
      <w:r w:rsidR="002F6E75" w:rsidRPr="00B7599D">
        <w:rPr>
          <w:lang w:val="fr-FR"/>
        </w:rPr>
        <w:t>’</w:t>
      </w:r>
      <w:r w:rsidRPr="00B7599D">
        <w:rPr>
          <w:lang w:val="fr-FR"/>
        </w:rPr>
        <w:t>examen préliminaire international à la session de</w:t>
      </w:r>
      <w:r w:rsidR="00F436BF" w:rsidRPr="00B7599D">
        <w:rPr>
          <w:lang w:val="fr-FR"/>
        </w:rPr>
        <w:t> </w:t>
      </w:r>
      <w:r w:rsidRPr="00B7599D">
        <w:rPr>
          <w:lang w:val="fr-FR"/>
        </w:rPr>
        <w:t>2014 de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w:t>
      </w:r>
    </w:p>
    <w:p w:rsidR="005F6828" w:rsidRPr="00B7599D" w:rsidRDefault="00ED1C22" w:rsidP="00ED1C22">
      <w:pPr>
        <w:pStyle w:val="Heading1"/>
        <w:rPr>
          <w:lang w:val="fr-FR"/>
        </w:rPr>
      </w:pPr>
      <w:r w:rsidRPr="00B7599D">
        <w:rPr>
          <w:lang w:val="fr-FR"/>
        </w:rPr>
        <w:lastRenderedPageBreak/>
        <w:t>Point</w:t>
      </w:r>
      <w:r w:rsidR="00F436BF" w:rsidRPr="00B7599D">
        <w:rPr>
          <w:lang w:val="fr-FR"/>
        </w:rPr>
        <w:t> </w:t>
      </w:r>
      <w:r w:rsidRPr="00B7599D">
        <w:rPr>
          <w:lang w:val="fr-FR"/>
        </w:rPr>
        <w:t>4 de l</w:t>
      </w:r>
      <w:r w:rsidR="002F6E75" w:rsidRPr="00B7599D">
        <w:rPr>
          <w:lang w:val="fr-FR"/>
        </w:rPr>
        <w:t>’</w:t>
      </w:r>
      <w:r w:rsidRPr="00B7599D">
        <w:rPr>
          <w:lang w:val="fr-FR"/>
        </w:rPr>
        <w:t>ordre du jour</w:t>
      </w:r>
      <w:r w:rsidR="00F436BF" w:rsidRPr="00B7599D">
        <w:rPr>
          <w:lang w:val="fr-FR"/>
        </w:rPr>
        <w:t> </w:t>
      </w:r>
      <w:r w:rsidRPr="00B7599D">
        <w:rPr>
          <w:lang w:val="fr-FR"/>
        </w:rPr>
        <w:t>: statistiques concernant</w:t>
      </w:r>
      <w:r w:rsidR="002F6E75" w:rsidRPr="00B7599D">
        <w:rPr>
          <w:lang w:val="fr-FR"/>
        </w:rPr>
        <w:t xml:space="preserve"> le PCT</w:t>
      </w:r>
    </w:p>
    <w:p w:rsidR="005F6828" w:rsidRPr="00B7599D" w:rsidRDefault="00ED1C22" w:rsidP="00ED1C22">
      <w:pPr>
        <w:pStyle w:val="ONUMFS"/>
        <w:ind w:left="567"/>
        <w:rPr>
          <w:lang w:val="fr-FR"/>
        </w:rPr>
      </w:pPr>
      <w:r w:rsidRPr="00B7599D">
        <w:rPr>
          <w:lang w:val="fr-FR"/>
        </w:rPr>
        <w:t>Le groupe de travail a pris note d</w:t>
      </w:r>
      <w:r w:rsidR="002F6E75" w:rsidRPr="00B7599D">
        <w:rPr>
          <w:lang w:val="fr-FR"/>
        </w:rPr>
        <w:t>’</w:t>
      </w:r>
      <w:r w:rsidRPr="00B7599D">
        <w:rPr>
          <w:lang w:val="fr-FR"/>
        </w:rPr>
        <w:t>un exposé du Bureau international sur les dernières statistiques relatives</w:t>
      </w:r>
      <w:r w:rsidR="002F6E75" w:rsidRPr="00B7599D">
        <w:rPr>
          <w:lang w:val="fr-FR"/>
        </w:rPr>
        <w:t xml:space="preserve"> au PCT</w:t>
      </w:r>
      <w:r w:rsidRPr="00B7599D">
        <w:rPr>
          <w:rStyle w:val="FootnoteReference"/>
          <w:lang w:val="fr-FR"/>
        </w:rPr>
        <w:footnoteReference w:id="2"/>
      </w:r>
      <w:r w:rsidRPr="00B7599D">
        <w:rPr>
          <w:lang w:val="fr-FR"/>
        </w:rPr>
        <w:t>.</w:t>
      </w:r>
    </w:p>
    <w:p w:rsidR="005F6828" w:rsidRPr="00B7599D" w:rsidRDefault="00ED1C22" w:rsidP="00ED1C22">
      <w:pPr>
        <w:pStyle w:val="Heading1"/>
        <w:rPr>
          <w:lang w:val="fr-FR"/>
        </w:rPr>
      </w:pPr>
      <w:r w:rsidRPr="00B7599D">
        <w:rPr>
          <w:lang w:val="fr-FR"/>
        </w:rPr>
        <w:t>Point</w:t>
      </w:r>
      <w:r w:rsidR="00F436BF" w:rsidRPr="00B7599D">
        <w:rPr>
          <w:lang w:val="fr-FR"/>
        </w:rPr>
        <w:t> </w:t>
      </w:r>
      <w:r w:rsidRPr="00B7599D">
        <w:rPr>
          <w:lang w:val="fr-FR"/>
        </w:rPr>
        <w:t>5 de l</w:t>
      </w:r>
      <w:r w:rsidR="002F6E75" w:rsidRPr="00B7599D">
        <w:rPr>
          <w:lang w:val="fr-FR"/>
        </w:rPr>
        <w:t>’</w:t>
      </w:r>
      <w:r w:rsidRPr="00B7599D">
        <w:rPr>
          <w:lang w:val="fr-FR"/>
        </w:rPr>
        <w:t>ordre du jour</w:t>
      </w:r>
      <w:r w:rsidR="00F436BF" w:rsidRPr="00B7599D">
        <w:rPr>
          <w:lang w:val="fr-FR"/>
        </w:rPr>
        <w:t> </w:t>
      </w:r>
      <w:r w:rsidRPr="00B7599D">
        <w:rPr>
          <w:lang w:val="fr-FR"/>
        </w:rPr>
        <w:t>: services PCT en ligne</w:t>
      </w:r>
    </w:p>
    <w:p w:rsidR="005F6828" w:rsidRPr="00B7599D" w:rsidRDefault="00ED1C22" w:rsidP="00ED1C22">
      <w:pPr>
        <w:pStyle w:val="ONUMFS"/>
        <w:rPr>
          <w:lang w:val="fr-FR"/>
        </w:rPr>
      </w:pPr>
      <w:r w:rsidRPr="00B7599D">
        <w:rPr>
          <w:lang w:val="fr-FR"/>
        </w:rPr>
        <w:t>Les délibérations ont eu lieu sur la base du document PCT/WG/7/2.</w:t>
      </w:r>
    </w:p>
    <w:p w:rsidR="005F6828" w:rsidRPr="00B7599D" w:rsidRDefault="00ED1C22" w:rsidP="00ED1C22">
      <w:pPr>
        <w:pStyle w:val="ONUMFS"/>
        <w:rPr>
          <w:lang w:val="fr-FR"/>
        </w:rPr>
      </w:pPr>
      <w:r w:rsidRPr="00B7599D">
        <w:rPr>
          <w:lang w:val="fr-FR"/>
        </w:rPr>
        <w:t>Toutes les délégations qui se sont exprimées sur cette question ont été très positives quant à l</w:t>
      </w:r>
      <w:r w:rsidR="002F6E75" w:rsidRPr="00B7599D">
        <w:rPr>
          <w:lang w:val="fr-FR"/>
        </w:rPr>
        <w:t>’</w:t>
      </w:r>
      <w:r w:rsidRPr="00B7599D">
        <w:rPr>
          <w:lang w:val="fr-FR"/>
        </w:rPr>
        <w:t>évolution des services en ligne</w:t>
      </w:r>
      <w:r w:rsidR="002F6E75" w:rsidRPr="00B7599D">
        <w:rPr>
          <w:lang w:val="fr-FR"/>
        </w:rPr>
        <w:t xml:space="preserve"> du PCT</w:t>
      </w:r>
      <w:r w:rsidRPr="00B7599D">
        <w:rPr>
          <w:lang w:val="fr-FR"/>
        </w:rPr>
        <w:t>, soulignant combien il importait de poursuivre la réduction des transmissions papier et de la saisie manuelle des données, ainsi que des erreurs découlant de la transcription manuelle.  La plupart des délégations sont convenues qu</w:t>
      </w:r>
      <w:r w:rsidR="002F6E75" w:rsidRPr="00B7599D">
        <w:rPr>
          <w:lang w:val="fr-FR"/>
        </w:rPr>
        <w:t>’</w:t>
      </w:r>
      <w:r w:rsidRPr="00B7599D">
        <w:rPr>
          <w:lang w:val="fr-FR"/>
        </w:rPr>
        <w:t>un tel système électronique se traduirait par une amélioration du respect des délais de transmission des copies de recherche à l</w:t>
      </w:r>
      <w:r w:rsidR="002F6E75" w:rsidRPr="00B7599D">
        <w:rPr>
          <w:lang w:val="fr-FR"/>
        </w:rPr>
        <w:t>’</w:t>
      </w:r>
      <w:r w:rsidRPr="00B7599D">
        <w:rPr>
          <w:lang w:val="fr-FR"/>
        </w:rPr>
        <w:t>administration chargée de la recherche internationale, des communications au Bureau international et des communications au déposant.  Restait toutefois à régler un certain nombre de questions techniques et juridiques et de nombreux petits détails, qui n</w:t>
      </w:r>
      <w:r w:rsidR="002F6E75" w:rsidRPr="00B7599D">
        <w:rPr>
          <w:lang w:val="fr-FR"/>
        </w:rPr>
        <w:t>’</w:t>
      </w:r>
      <w:r w:rsidRPr="00B7599D">
        <w:rPr>
          <w:lang w:val="fr-FR"/>
        </w:rPr>
        <w:t>étaient pas nécessairement les mêmes dans chaque État contractant.</w:t>
      </w:r>
    </w:p>
    <w:p w:rsidR="005F6828" w:rsidRPr="00B7599D" w:rsidRDefault="00ED1C22" w:rsidP="00ED1C22">
      <w:pPr>
        <w:pStyle w:val="ONUMFS"/>
        <w:rPr>
          <w:lang w:val="fr-FR"/>
        </w:rPr>
      </w:pPr>
      <w:r w:rsidRPr="00B7599D">
        <w:rPr>
          <w:lang w:val="fr-FR"/>
        </w:rPr>
        <w:t>Parmi les questions techniques à examiner figuraient notamment l</w:t>
      </w:r>
      <w:r w:rsidR="002F6E75" w:rsidRPr="00B7599D">
        <w:rPr>
          <w:lang w:val="fr-FR"/>
        </w:rPr>
        <w:t>’</w:t>
      </w:r>
      <w:r w:rsidRPr="00B7599D">
        <w:rPr>
          <w:lang w:val="fr-FR"/>
        </w:rPr>
        <w:t>absence de prise en charge des langues autres que l</w:t>
      </w:r>
      <w:r w:rsidR="002F6E75" w:rsidRPr="00B7599D">
        <w:rPr>
          <w:lang w:val="fr-FR"/>
        </w:rPr>
        <w:t>’</w:t>
      </w:r>
      <w:r w:rsidRPr="00B7599D">
        <w:rPr>
          <w:lang w:val="fr-FR"/>
        </w:rPr>
        <w:t>anglais, l</w:t>
      </w:r>
      <w:r w:rsidR="002F6E75" w:rsidRPr="00B7599D">
        <w:rPr>
          <w:lang w:val="fr-FR"/>
        </w:rPr>
        <w:t>’</w:t>
      </w:r>
      <w:r w:rsidRPr="00B7599D">
        <w:rPr>
          <w:lang w:val="fr-FR"/>
        </w:rPr>
        <w:t>absence d</w:t>
      </w:r>
      <w:r w:rsidR="002F6E75" w:rsidRPr="00B7599D">
        <w:rPr>
          <w:lang w:val="fr-FR"/>
        </w:rPr>
        <w:t>’</w:t>
      </w:r>
      <w:r w:rsidRPr="00B7599D">
        <w:rPr>
          <w:lang w:val="fr-FR"/>
        </w:rPr>
        <w:t>éditeur PDF intégré et les difficultés rencontrées pour rendre correctement les documents PDF dans certaines situations.</w:t>
      </w:r>
    </w:p>
    <w:p w:rsidR="005F6828" w:rsidRPr="00B7599D" w:rsidRDefault="00ED1C22" w:rsidP="00ED1C22">
      <w:pPr>
        <w:pStyle w:val="ONUMFS"/>
        <w:rPr>
          <w:lang w:val="fr-FR"/>
        </w:rPr>
      </w:pPr>
      <w:r w:rsidRPr="00B7599D">
        <w:rPr>
          <w:lang w:val="fr-FR"/>
        </w:rPr>
        <w:t>Les questions de procédure touchaient à la ponctualité des informations relatives aux mises à jour prévues et à la nécessité d</w:t>
      </w:r>
      <w:r w:rsidR="002F6E75" w:rsidRPr="00B7599D">
        <w:rPr>
          <w:lang w:val="fr-FR"/>
        </w:rPr>
        <w:t>’</w:t>
      </w:r>
      <w:r w:rsidRPr="00B7599D">
        <w:rPr>
          <w:lang w:val="fr-FR"/>
        </w:rPr>
        <w:t>assurer la continuité des services, s</w:t>
      </w:r>
      <w:r w:rsidR="002F6E75" w:rsidRPr="00B7599D">
        <w:rPr>
          <w:lang w:val="fr-FR"/>
        </w:rPr>
        <w:t>’</w:t>
      </w:r>
      <w:r w:rsidRPr="00B7599D">
        <w:rPr>
          <w:lang w:val="fr-FR"/>
        </w:rPr>
        <w:t>agissant notamment de la préparation des paquets aux fins de dépôt auprès des offices récepteurs qui acceptent les paquets en vue de leur transfert par l</w:t>
      </w:r>
      <w:r w:rsidR="002F6E75" w:rsidRPr="00B7599D">
        <w:rPr>
          <w:lang w:val="fr-FR"/>
        </w:rPr>
        <w:t>’</w:t>
      </w:r>
      <w:r w:rsidRPr="00B7599D">
        <w:rPr>
          <w:lang w:val="fr-FR"/>
        </w:rPr>
        <w:t xml:space="preserve">intermédiaire de serveurs Web non compatibles avec la norme de dépôt électronique utilisée par les systèmes </w:t>
      </w:r>
      <w:proofErr w:type="spellStart"/>
      <w:r w:rsidRPr="00B7599D">
        <w:rPr>
          <w:lang w:val="fr-FR"/>
        </w:rPr>
        <w:t>ePCT</w:t>
      </w:r>
      <w:proofErr w:type="spellEnd"/>
      <w:r w:rsidRPr="00B7599D">
        <w:rPr>
          <w:lang w:val="fr-FR"/>
        </w:rPr>
        <w:t xml:space="preserve"> et PCT</w:t>
      </w:r>
      <w:r w:rsidR="00407F21" w:rsidRPr="00407F21">
        <w:rPr>
          <w:lang w:val="fr-FR"/>
        </w:rPr>
        <w:noBreakHyphen/>
      </w:r>
      <w:r w:rsidRPr="00B7599D">
        <w:rPr>
          <w:lang w:val="fr-FR"/>
        </w:rPr>
        <w:t>SAFE pour la transmission des demandes internationales.</w:t>
      </w:r>
    </w:p>
    <w:p w:rsidR="005F6828" w:rsidRPr="00B7599D" w:rsidRDefault="00ED1C22" w:rsidP="00ED1C22">
      <w:pPr>
        <w:pStyle w:val="ONUMFS"/>
        <w:rPr>
          <w:lang w:val="fr-FR"/>
        </w:rPr>
      </w:pPr>
      <w:r w:rsidRPr="00B7599D">
        <w:rPr>
          <w:lang w:val="fr-FR"/>
        </w:rPr>
        <w:t>Les questions juridiques se rapportaient à des problèmes de sécurité, par exemple le fait de savoir si un déposant doit être autorisé à déposer une demande sur un serveur qui n</w:t>
      </w:r>
      <w:r w:rsidR="002F6E75" w:rsidRPr="00B7599D">
        <w:rPr>
          <w:lang w:val="fr-FR"/>
        </w:rPr>
        <w:t>’</w:t>
      </w:r>
      <w:r w:rsidRPr="00B7599D">
        <w:rPr>
          <w:lang w:val="fr-FR"/>
        </w:rPr>
        <w:t>est pas hébergé directement par l</w:t>
      </w:r>
      <w:r w:rsidR="002F6E75" w:rsidRPr="00B7599D">
        <w:rPr>
          <w:lang w:val="fr-FR"/>
        </w:rPr>
        <w:t>’</w:t>
      </w:r>
      <w:r w:rsidRPr="00B7599D">
        <w:rPr>
          <w:lang w:val="fr-FR"/>
        </w:rPr>
        <w:t>office national concerné et les procédures à mettre en place pour le paiement et la répartition des taxes entre les offices compétents.</w:t>
      </w:r>
    </w:p>
    <w:p w:rsidR="005F6828" w:rsidRPr="00B7599D" w:rsidRDefault="00ED1C22" w:rsidP="00ED1C22">
      <w:pPr>
        <w:pStyle w:val="ONUMFS"/>
        <w:rPr>
          <w:lang w:val="fr-FR"/>
        </w:rPr>
      </w:pPr>
      <w:r w:rsidRPr="00B7599D">
        <w:rPr>
          <w:lang w:val="fr-FR"/>
        </w:rPr>
        <w:t>Le Bureau international a invité les offices nationaux à passer en revue leurs exigences individuelles directement avec le Bureau international.</w:t>
      </w:r>
    </w:p>
    <w:p w:rsidR="005F6828" w:rsidRPr="00B7599D" w:rsidRDefault="00ED1C22" w:rsidP="00ED1C22">
      <w:pPr>
        <w:pStyle w:val="ONUMFS"/>
        <w:rPr>
          <w:lang w:val="fr-FR"/>
        </w:rPr>
      </w:pPr>
      <w:r w:rsidRPr="00B7599D">
        <w:rPr>
          <w:lang w:val="fr-FR"/>
        </w:rPr>
        <w:t>Parmi les points en cours d</w:t>
      </w:r>
      <w:r w:rsidR="002F6E75" w:rsidRPr="00B7599D">
        <w:rPr>
          <w:lang w:val="fr-FR"/>
        </w:rPr>
        <w:t>’</w:t>
      </w:r>
      <w:r w:rsidRPr="00B7599D">
        <w:rPr>
          <w:lang w:val="fr-FR"/>
        </w:rPr>
        <w:t>élaboration auxquels les offices attachaient une importance particulière figuraient la nécessité d</w:t>
      </w:r>
      <w:r w:rsidR="002F6E75" w:rsidRPr="00B7599D">
        <w:rPr>
          <w:lang w:val="fr-FR"/>
        </w:rPr>
        <w:t>’</w:t>
      </w:r>
      <w:r w:rsidRPr="00B7599D">
        <w:rPr>
          <w:lang w:val="fr-FR"/>
        </w:rPr>
        <w:t>autoriser la transmission par voie électronique des copies de r</w:t>
      </w:r>
      <w:r w:rsidR="00B56A02" w:rsidRPr="00B7599D">
        <w:rPr>
          <w:lang w:val="fr-FR"/>
        </w:rPr>
        <w:t>echerche de l</w:t>
      </w:r>
      <w:r w:rsidR="002F6E75" w:rsidRPr="00B7599D">
        <w:rPr>
          <w:lang w:val="fr-FR"/>
        </w:rPr>
        <w:t>’</w:t>
      </w:r>
      <w:r w:rsidR="00B56A02" w:rsidRPr="00B7599D">
        <w:rPr>
          <w:lang w:val="fr-FR"/>
        </w:rPr>
        <w:t>office récepteur</w:t>
      </w:r>
      <w:r w:rsidRPr="00B7599D">
        <w:rPr>
          <w:lang w:val="fr-FR"/>
        </w:rPr>
        <w:t xml:space="preserve"> à l</w:t>
      </w:r>
      <w:r w:rsidR="002F6E75" w:rsidRPr="00B7599D">
        <w:rPr>
          <w:lang w:val="fr-FR"/>
        </w:rPr>
        <w:t>’</w:t>
      </w:r>
      <w:r w:rsidRPr="00B7599D">
        <w:rPr>
          <w:lang w:val="fr-FR"/>
        </w:rPr>
        <w:t>administration chargée de la recherche internationale, les moyens d</w:t>
      </w:r>
      <w:r w:rsidR="002F6E75" w:rsidRPr="00B7599D">
        <w:rPr>
          <w:lang w:val="fr-FR"/>
        </w:rPr>
        <w:t>’</w:t>
      </w:r>
      <w:r w:rsidRPr="00B7599D">
        <w:rPr>
          <w:lang w:val="fr-FR"/>
        </w:rPr>
        <w:t>encourager l</w:t>
      </w:r>
      <w:r w:rsidR="002F6E75" w:rsidRPr="00B7599D">
        <w:rPr>
          <w:lang w:val="fr-FR"/>
        </w:rPr>
        <w:t>’</w:t>
      </w:r>
      <w:r w:rsidRPr="00B7599D">
        <w:rPr>
          <w:lang w:val="fr-FR"/>
        </w:rPr>
        <w:t>utilisation de documents en texte intégral et le paiement immédiat par carte de crédit des taxes à l</w:t>
      </w:r>
      <w:r w:rsidR="002F6E75" w:rsidRPr="00B7599D">
        <w:rPr>
          <w:lang w:val="fr-FR"/>
        </w:rPr>
        <w:t>’</w:t>
      </w:r>
      <w:r w:rsidRPr="00B7599D">
        <w:rPr>
          <w:lang w:val="fr-FR"/>
        </w:rPr>
        <w:t>intention du Bureau international agissant en tant qu</w:t>
      </w:r>
      <w:r w:rsidR="002F6E75" w:rsidRPr="00B7599D">
        <w:rPr>
          <w:lang w:val="fr-FR"/>
        </w:rPr>
        <w:t>’</w:t>
      </w:r>
      <w:r w:rsidRPr="00B7599D">
        <w:rPr>
          <w:lang w:val="fr-FR"/>
        </w:rPr>
        <w:t>office récepteur, possibilité que certaines délégations espéraient voir étendue sous peu à d</w:t>
      </w:r>
      <w:r w:rsidR="002F6E75" w:rsidRPr="00B7599D">
        <w:rPr>
          <w:lang w:val="fr-FR"/>
        </w:rPr>
        <w:t>’</w:t>
      </w:r>
      <w:r w:rsidRPr="00B7599D">
        <w:rPr>
          <w:lang w:val="fr-FR"/>
        </w:rPr>
        <w:t>autres offices récepteurs.</w:t>
      </w:r>
    </w:p>
    <w:p w:rsidR="005F6828" w:rsidRPr="00B7599D" w:rsidRDefault="00ED1C22" w:rsidP="00ED1C22">
      <w:pPr>
        <w:pStyle w:val="ONUMFS"/>
        <w:ind w:left="567"/>
        <w:rPr>
          <w:lang w:val="fr-FR"/>
        </w:rPr>
      </w:pPr>
      <w:r w:rsidRPr="00B7599D">
        <w:rPr>
          <w:lang w:val="fr-FR"/>
        </w:rPr>
        <w:t>Le groupe de travail a pris note du contenu du document PCT/WG/7/2.</w:t>
      </w:r>
    </w:p>
    <w:p w:rsidR="002F6E75" w:rsidRPr="00B7599D" w:rsidRDefault="00ED1C22" w:rsidP="00ED1C22">
      <w:pPr>
        <w:pStyle w:val="Heading1"/>
        <w:rPr>
          <w:lang w:val="fr-FR"/>
        </w:rPr>
      </w:pPr>
      <w:r w:rsidRPr="00B7599D">
        <w:rPr>
          <w:lang w:val="fr-FR"/>
        </w:rPr>
        <w:t>Point</w:t>
      </w:r>
      <w:r w:rsidR="00F436BF" w:rsidRPr="00B7599D">
        <w:rPr>
          <w:lang w:val="fr-FR"/>
        </w:rPr>
        <w:t> </w:t>
      </w:r>
      <w:r w:rsidRPr="00B7599D">
        <w:rPr>
          <w:lang w:val="fr-FR"/>
        </w:rPr>
        <w:t>6 de l</w:t>
      </w:r>
      <w:r w:rsidR="002F6E75" w:rsidRPr="00B7599D">
        <w:rPr>
          <w:lang w:val="fr-FR"/>
        </w:rPr>
        <w:t>’</w:t>
      </w:r>
      <w:r w:rsidRPr="00B7599D">
        <w:rPr>
          <w:lang w:val="fr-FR"/>
        </w:rPr>
        <w:t>ordre du jour</w:t>
      </w:r>
      <w:r w:rsidR="00F436BF" w:rsidRPr="00B7599D">
        <w:rPr>
          <w:lang w:val="fr-FR"/>
        </w:rPr>
        <w:t> </w:t>
      </w:r>
      <w:r w:rsidRPr="00B7599D">
        <w:rPr>
          <w:lang w:val="fr-FR"/>
        </w:rPr>
        <w:t>: ra</w:t>
      </w:r>
      <w:r w:rsidR="0094312B">
        <w:rPr>
          <w:lang w:val="fr-FR"/>
        </w:rPr>
        <w:t>pport sur la vingt et </w:t>
      </w:r>
      <w:r w:rsidRPr="00B7599D">
        <w:rPr>
          <w:lang w:val="fr-FR"/>
        </w:rPr>
        <w:t>unième réunion des administrations internationales instituées en vertu</w:t>
      </w:r>
      <w:r w:rsidR="002F6E75" w:rsidRPr="00B7599D">
        <w:rPr>
          <w:lang w:val="fr-FR"/>
        </w:rPr>
        <w:t xml:space="preserve"> du PCT</w:t>
      </w:r>
    </w:p>
    <w:p w:rsidR="005F6828" w:rsidRPr="00B7599D" w:rsidRDefault="00ED1C22" w:rsidP="00ED1C22">
      <w:pPr>
        <w:pStyle w:val="ONUMFS"/>
        <w:ind w:left="567"/>
        <w:rPr>
          <w:lang w:val="fr-FR"/>
        </w:rPr>
      </w:pPr>
      <w:r w:rsidRPr="00B7599D">
        <w:rPr>
          <w:lang w:val="fr-FR"/>
        </w:rPr>
        <w:t>Le groupe de travail a pr</w:t>
      </w:r>
      <w:r w:rsidR="0094312B">
        <w:rPr>
          <w:lang w:val="fr-FR"/>
        </w:rPr>
        <w:t>is note du rapport sur la vingt </w:t>
      </w:r>
      <w:r w:rsidRPr="00B7599D">
        <w:rPr>
          <w:lang w:val="fr-FR"/>
        </w:rPr>
        <w:t>et</w:t>
      </w:r>
      <w:r w:rsidR="0094312B">
        <w:rPr>
          <w:lang w:val="fr-FR"/>
        </w:rPr>
        <w:t> </w:t>
      </w:r>
      <w:r w:rsidRPr="00B7599D">
        <w:rPr>
          <w:lang w:val="fr-FR"/>
        </w:rPr>
        <w:t>unième Réunion des administrations internationales instituées en vertu</w:t>
      </w:r>
      <w:r w:rsidR="002F6E75" w:rsidRPr="00B7599D">
        <w:rPr>
          <w:lang w:val="fr-FR"/>
        </w:rPr>
        <w:t xml:space="preserve"> du PCT</w:t>
      </w:r>
      <w:r w:rsidRPr="00B7599D">
        <w:rPr>
          <w:lang w:val="fr-FR"/>
        </w:rPr>
        <w:t>, sur la base du résumé établi par la présidente de cette session figurant dans le document PCT/MIA/21/22 et reproduit dans l</w:t>
      </w:r>
      <w:r w:rsidR="002F6E75" w:rsidRPr="00B7599D">
        <w:rPr>
          <w:lang w:val="fr-FR"/>
        </w:rPr>
        <w:t>’</w:t>
      </w:r>
      <w:r w:rsidRPr="00B7599D">
        <w:rPr>
          <w:lang w:val="fr-FR"/>
        </w:rPr>
        <w:t>annexe du document PCT/WG/7/3.</w:t>
      </w:r>
    </w:p>
    <w:p w:rsidR="005F6828" w:rsidRPr="00B7599D" w:rsidRDefault="00ED1C22" w:rsidP="00ED1C22">
      <w:pPr>
        <w:pStyle w:val="Heading1"/>
        <w:rPr>
          <w:lang w:val="fr-FR"/>
        </w:rPr>
      </w:pPr>
      <w:r w:rsidRPr="00B7599D">
        <w:rPr>
          <w:lang w:val="fr-FR"/>
        </w:rPr>
        <w:lastRenderedPageBreak/>
        <w:t>Point</w:t>
      </w:r>
      <w:r w:rsidR="00F436BF" w:rsidRPr="00B7599D">
        <w:rPr>
          <w:lang w:val="fr-FR"/>
        </w:rPr>
        <w:t> </w:t>
      </w:r>
      <w:r w:rsidRPr="00B7599D">
        <w:rPr>
          <w:lang w:val="fr-FR"/>
        </w:rPr>
        <w:t>7 de l</w:t>
      </w:r>
      <w:r w:rsidR="002F6E75" w:rsidRPr="00B7599D">
        <w:rPr>
          <w:lang w:val="fr-FR"/>
        </w:rPr>
        <w:t>’</w:t>
      </w:r>
      <w:r w:rsidRPr="00B7599D">
        <w:rPr>
          <w:lang w:val="fr-FR"/>
        </w:rPr>
        <w:t>ordre du jour</w:t>
      </w:r>
      <w:r w:rsidR="00F436BF" w:rsidRPr="00B7599D">
        <w:rPr>
          <w:lang w:val="fr-FR"/>
        </w:rPr>
        <w:t> </w:t>
      </w:r>
      <w:r w:rsidRPr="00B7599D">
        <w:rPr>
          <w:lang w:val="fr-FR"/>
        </w:rPr>
        <w:t>: réduction des taxes pour les petites et moyennes entreprises (PME), les universités et les instituts de recherche à but non lucratif</w:t>
      </w:r>
    </w:p>
    <w:p w:rsidR="005F6828" w:rsidRPr="00B7599D" w:rsidRDefault="00ED1C22" w:rsidP="00ED1C22">
      <w:pPr>
        <w:pStyle w:val="Heading1"/>
        <w:rPr>
          <w:lang w:val="fr-FR"/>
        </w:rPr>
      </w:pPr>
      <w:r w:rsidRPr="00B7599D">
        <w:rPr>
          <w:lang w:val="fr-FR"/>
        </w:rPr>
        <w:t>Point</w:t>
      </w:r>
      <w:r w:rsidR="00F436BF" w:rsidRPr="00B7599D">
        <w:rPr>
          <w:lang w:val="fr-FR"/>
        </w:rPr>
        <w:t> </w:t>
      </w:r>
      <w:r w:rsidRPr="00B7599D">
        <w:rPr>
          <w:lang w:val="fr-FR"/>
        </w:rPr>
        <w:t>8 de l</w:t>
      </w:r>
      <w:r w:rsidR="002F6E75" w:rsidRPr="00B7599D">
        <w:rPr>
          <w:lang w:val="fr-FR"/>
        </w:rPr>
        <w:t>’</w:t>
      </w:r>
      <w:r w:rsidRPr="00B7599D">
        <w:rPr>
          <w:lang w:val="fr-FR"/>
        </w:rPr>
        <w:t>ordre du jour</w:t>
      </w:r>
      <w:r w:rsidR="00F436BF" w:rsidRPr="00B7599D">
        <w:rPr>
          <w:lang w:val="fr-FR"/>
        </w:rPr>
        <w:t> </w:t>
      </w:r>
      <w:r w:rsidRPr="00B7599D">
        <w:rPr>
          <w:lang w:val="fr-FR"/>
        </w:rPr>
        <w:t>: estimer l</w:t>
      </w:r>
      <w:r w:rsidR="002F6E75" w:rsidRPr="00B7599D">
        <w:rPr>
          <w:lang w:val="fr-FR"/>
        </w:rPr>
        <w:t>’</w:t>
      </w:r>
      <w:r w:rsidRPr="00B7599D">
        <w:rPr>
          <w:lang w:val="fr-FR"/>
        </w:rPr>
        <w:t>élasticité par rapport à la taxe de dépôt</w:t>
      </w:r>
      <w:r w:rsidR="002F6E75" w:rsidRPr="00B7599D">
        <w:rPr>
          <w:lang w:val="fr-FR"/>
        </w:rPr>
        <w:t xml:space="preserve"> du PCT</w:t>
      </w:r>
    </w:p>
    <w:p w:rsidR="005F6828" w:rsidRPr="00B7599D" w:rsidRDefault="00ED1C22" w:rsidP="00ED1C22">
      <w:pPr>
        <w:pStyle w:val="ONUMFS"/>
        <w:rPr>
          <w:lang w:val="fr-FR"/>
        </w:rPr>
      </w:pPr>
      <w:r w:rsidRPr="00B7599D">
        <w:rPr>
          <w:lang w:val="fr-FR"/>
        </w:rPr>
        <w:t>Les délibérations ont eu lieu sur la base des documents PCT/WG/7/6 et 7.</w:t>
      </w:r>
    </w:p>
    <w:p w:rsidR="005F6828" w:rsidRPr="00B7599D" w:rsidRDefault="00ED1C22" w:rsidP="00ED1C22">
      <w:pPr>
        <w:pStyle w:val="ONUMFS"/>
        <w:rPr>
          <w:lang w:val="fr-FR"/>
        </w:rPr>
      </w:pPr>
      <w:r w:rsidRPr="00B7599D">
        <w:rPr>
          <w:lang w:val="fr-FR"/>
        </w:rPr>
        <w:t>Toutes les délégations qui se sont exprimées ont salué les efforts déployés pour rendre le système</w:t>
      </w:r>
      <w:r w:rsidR="002F6E75" w:rsidRPr="00B7599D">
        <w:rPr>
          <w:lang w:val="fr-FR"/>
        </w:rPr>
        <w:t xml:space="preserve"> du PCT</w:t>
      </w:r>
      <w:r w:rsidRPr="00B7599D">
        <w:rPr>
          <w:lang w:val="fr-FR"/>
        </w:rPr>
        <w:t xml:space="preserve"> plus accessible à certaines catégories de déposants, telles que les petites et moyennes entreprises, les universités et les instituts de recherche, tout en reconnaissant cependant, comme cela avait été évoqué à la précédente session, que de nombreuses questions devaient être examinées attentivement et résolues avant que de nouvelles réductions de taxes puissent être prévues pour ces catégories de déposants.  Il a notamment été jugé particulièrement important de trouver des solutions qui permettent d</w:t>
      </w:r>
      <w:r w:rsidR="002F6E75" w:rsidRPr="00B7599D">
        <w:rPr>
          <w:lang w:val="fr-FR"/>
        </w:rPr>
        <w:t>’</w:t>
      </w:r>
      <w:r w:rsidRPr="00B7599D">
        <w:rPr>
          <w:lang w:val="fr-FR"/>
        </w:rPr>
        <w:t>instaurer ces réductions de taxes d</w:t>
      </w:r>
      <w:r w:rsidR="002F6E75" w:rsidRPr="00B7599D">
        <w:rPr>
          <w:lang w:val="fr-FR"/>
        </w:rPr>
        <w:t>’</w:t>
      </w:r>
      <w:r w:rsidRPr="00B7599D">
        <w:rPr>
          <w:lang w:val="fr-FR"/>
        </w:rPr>
        <w:t>une manière qui soit financièrement viable et sans incidence sur les recettes de l</w:t>
      </w:r>
      <w:r w:rsidR="002F6E75" w:rsidRPr="00B7599D">
        <w:rPr>
          <w:lang w:val="fr-FR"/>
        </w:rPr>
        <w:t>’</w:t>
      </w:r>
      <w:r w:rsidRPr="00B7599D">
        <w:rPr>
          <w:lang w:val="fr-FR"/>
        </w:rPr>
        <w:t>Organisation.  Dans ce contexte, plusieurs délégations ont estimé que toute nouvelle réduction des taxes</w:t>
      </w:r>
      <w:r w:rsidR="002F6E75" w:rsidRPr="00B7599D">
        <w:rPr>
          <w:lang w:val="fr-FR"/>
        </w:rPr>
        <w:t xml:space="preserve"> du PCT</w:t>
      </w:r>
      <w:r w:rsidRPr="00B7599D">
        <w:rPr>
          <w:lang w:val="fr-FR"/>
        </w:rPr>
        <w:t xml:space="preserve"> pour certaines catégories de déposants devrait être compensée par des gains d</w:t>
      </w:r>
      <w:r w:rsidR="002F6E75" w:rsidRPr="00B7599D">
        <w:rPr>
          <w:lang w:val="fr-FR"/>
        </w:rPr>
        <w:t>’</w:t>
      </w:r>
      <w:r w:rsidRPr="00B7599D">
        <w:rPr>
          <w:lang w:val="fr-FR"/>
        </w:rPr>
        <w:t>efficacité supplémentaires dans le système</w:t>
      </w:r>
      <w:r w:rsidR="002F6E75" w:rsidRPr="00B7599D">
        <w:rPr>
          <w:lang w:val="fr-FR"/>
        </w:rPr>
        <w:t xml:space="preserve"> du PCT</w:t>
      </w:r>
      <w:r w:rsidRPr="00B7599D">
        <w:rPr>
          <w:lang w:val="fr-FR"/>
        </w:rPr>
        <w:t xml:space="preserve"> et ne pas entraîner d</w:t>
      </w:r>
      <w:r w:rsidR="002F6E75" w:rsidRPr="00B7599D">
        <w:rPr>
          <w:lang w:val="fr-FR"/>
        </w:rPr>
        <w:t>’</w:t>
      </w:r>
      <w:r w:rsidRPr="00B7599D">
        <w:rPr>
          <w:lang w:val="fr-FR"/>
        </w:rPr>
        <w:t>augmentation des taxes pour d</w:t>
      </w:r>
      <w:r w:rsidR="002F6E75" w:rsidRPr="00B7599D">
        <w:rPr>
          <w:lang w:val="fr-FR"/>
        </w:rPr>
        <w:t>’</w:t>
      </w:r>
      <w:r w:rsidRPr="00B7599D">
        <w:rPr>
          <w:lang w:val="fr-FR"/>
        </w:rPr>
        <w:t>autres catégories de déposants.</w:t>
      </w:r>
    </w:p>
    <w:p w:rsidR="005F6828" w:rsidRPr="00B7599D" w:rsidRDefault="00ED1C22" w:rsidP="00ED1C22">
      <w:pPr>
        <w:pStyle w:val="ONUMFS"/>
        <w:rPr>
          <w:lang w:val="fr-FR"/>
        </w:rPr>
      </w:pPr>
      <w:r w:rsidRPr="00B7599D">
        <w:rPr>
          <w:lang w:val="fr-FR"/>
        </w:rPr>
        <w:t>Plusieurs délégations ont considéré qu</w:t>
      </w:r>
      <w:r w:rsidR="002F6E75" w:rsidRPr="00B7599D">
        <w:rPr>
          <w:lang w:val="fr-FR"/>
        </w:rPr>
        <w:t>’</w:t>
      </w:r>
      <w:r w:rsidRPr="00B7599D">
        <w:rPr>
          <w:lang w:val="fr-FR"/>
        </w:rPr>
        <w:t>il convenait de disposer d</w:t>
      </w:r>
      <w:r w:rsidR="002F6E75" w:rsidRPr="00B7599D">
        <w:rPr>
          <w:lang w:val="fr-FR"/>
        </w:rPr>
        <w:t>’</w:t>
      </w:r>
      <w:r w:rsidRPr="00B7599D">
        <w:rPr>
          <w:lang w:val="fr-FR"/>
        </w:rPr>
        <w:t>informations plus complètes pour parvenir à élaborer une définition commune des petites et moyennes entreprises aux fins des réductions des taxes</w:t>
      </w:r>
      <w:r w:rsidR="002F6E75" w:rsidRPr="00B7599D">
        <w:rPr>
          <w:lang w:val="fr-FR"/>
        </w:rPr>
        <w:t xml:space="preserve"> du PCT</w:t>
      </w:r>
      <w:r w:rsidRPr="00B7599D">
        <w:rPr>
          <w:lang w:val="fr-FR"/>
        </w:rPr>
        <w:t>.  Une délégation a suggéré que les renseignements figurant dans l</w:t>
      </w:r>
      <w:r w:rsidR="002F6E75" w:rsidRPr="00B7599D">
        <w:rPr>
          <w:lang w:val="fr-FR"/>
        </w:rPr>
        <w:t>’</w:t>
      </w:r>
      <w:r w:rsidRPr="00B7599D">
        <w:rPr>
          <w:lang w:val="fr-FR"/>
        </w:rPr>
        <w:t>annexe du document PCT/WG/7/7 soient enrichis et complétés afin de constituer à terme la base d</w:t>
      </w:r>
      <w:r w:rsidR="002F6E75" w:rsidRPr="00B7599D">
        <w:rPr>
          <w:lang w:val="fr-FR"/>
        </w:rPr>
        <w:t>’</w:t>
      </w:r>
      <w:r w:rsidRPr="00B7599D">
        <w:rPr>
          <w:lang w:val="fr-FR"/>
        </w:rPr>
        <w:t>informations détaillées et de directives à l</w:t>
      </w:r>
      <w:r w:rsidR="002F6E75" w:rsidRPr="00B7599D">
        <w:rPr>
          <w:lang w:val="fr-FR"/>
        </w:rPr>
        <w:t>’</w:t>
      </w:r>
      <w:r w:rsidRPr="00B7599D">
        <w:rPr>
          <w:lang w:val="fr-FR"/>
        </w:rPr>
        <w:t>intention des déposants, qui pourraient éventuellement être incluses dans le Guide du déposant</w:t>
      </w:r>
      <w:r w:rsidR="002F6E75" w:rsidRPr="00B7599D">
        <w:rPr>
          <w:lang w:val="fr-FR"/>
        </w:rPr>
        <w:t xml:space="preserve"> du PCT</w:t>
      </w:r>
      <w:r w:rsidRPr="00B7599D">
        <w:rPr>
          <w:lang w:val="fr-FR"/>
        </w:rPr>
        <w:t>, concernant les différentes exigences et les différents critères à observer pour bénéficier de réductions de taxes en vertu des législations et pratiques nationales.  Le représentant d</w:t>
      </w:r>
      <w:r w:rsidR="002F6E75" w:rsidRPr="00B7599D">
        <w:rPr>
          <w:lang w:val="fr-FR"/>
        </w:rPr>
        <w:t>’</w:t>
      </w:r>
      <w:r w:rsidRPr="00B7599D">
        <w:rPr>
          <w:lang w:val="fr-FR"/>
        </w:rPr>
        <w:t>un groupe d</w:t>
      </w:r>
      <w:r w:rsidR="002F6E75" w:rsidRPr="00B7599D">
        <w:rPr>
          <w:lang w:val="fr-FR"/>
        </w:rPr>
        <w:t>’</w:t>
      </w:r>
      <w:r w:rsidRPr="00B7599D">
        <w:rPr>
          <w:lang w:val="fr-FR"/>
        </w:rPr>
        <w:t>utilisateurs a suggéré que les États membres s</w:t>
      </w:r>
      <w:r w:rsidR="002F6E75" w:rsidRPr="00B7599D">
        <w:rPr>
          <w:lang w:val="fr-FR"/>
        </w:rPr>
        <w:t>’</w:t>
      </w:r>
      <w:r w:rsidRPr="00B7599D">
        <w:rPr>
          <w:lang w:val="fr-FR"/>
        </w:rPr>
        <w:t>efforcent d</w:t>
      </w:r>
      <w:r w:rsidR="002F6E75" w:rsidRPr="00B7599D">
        <w:rPr>
          <w:lang w:val="fr-FR"/>
        </w:rPr>
        <w:t>’</w:t>
      </w:r>
      <w:r w:rsidRPr="00B7599D">
        <w:rPr>
          <w:lang w:val="fr-FR"/>
        </w:rPr>
        <w:t>harmoniser la façon dont ils calculaient, en vertu de leur législation et de leurs pratiques nationales, les réductions de taxes existantes pour les petites et moyennes entreprises, les universités et les instituts de recherche, soulignant que les divergences actuelles en matière d</w:t>
      </w:r>
      <w:r w:rsidR="002F6E75" w:rsidRPr="00B7599D">
        <w:rPr>
          <w:lang w:val="fr-FR"/>
        </w:rPr>
        <w:t>’</w:t>
      </w:r>
      <w:r w:rsidRPr="00B7599D">
        <w:rPr>
          <w:lang w:val="fr-FR"/>
        </w:rPr>
        <w:t>exigences et de pratiques entravaient considérablement l</w:t>
      </w:r>
      <w:r w:rsidR="002F6E75" w:rsidRPr="00B7599D">
        <w:rPr>
          <w:lang w:val="fr-FR"/>
        </w:rPr>
        <w:t>’</w:t>
      </w:r>
      <w:r w:rsidRPr="00B7599D">
        <w:rPr>
          <w:lang w:val="fr-FR"/>
        </w:rPr>
        <w:t>accès des déposants aux réductions existantes, au point qu</w:t>
      </w:r>
      <w:r w:rsidR="002F6E75" w:rsidRPr="00B7599D">
        <w:rPr>
          <w:lang w:val="fr-FR"/>
        </w:rPr>
        <w:t>’</w:t>
      </w:r>
      <w:r w:rsidRPr="00B7599D">
        <w:rPr>
          <w:lang w:val="fr-FR"/>
        </w:rPr>
        <w:t>on les dissuadait de s</w:t>
      </w:r>
      <w:r w:rsidR="002F6E75" w:rsidRPr="00B7599D">
        <w:rPr>
          <w:lang w:val="fr-FR"/>
        </w:rPr>
        <w:t>’</w:t>
      </w:r>
      <w:r w:rsidRPr="00B7599D">
        <w:rPr>
          <w:lang w:val="fr-FR"/>
        </w:rPr>
        <w:t>en prévaloir compte tenu des risques élevés pour la demande au cas où une telle réduction de taxes aurait été accordée sur la base d</w:t>
      </w:r>
      <w:r w:rsidR="002F6E75" w:rsidRPr="00B7599D">
        <w:rPr>
          <w:lang w:val="fr-FR"/>
        </w:rPr>
        <w:t>’</w:t>
      </w:r>
      <w:r w:rsidRPr="00B7599D">
        <w:rPr>
          <w:lang w:val="fr-FR"/>
        </w:rPr>
        <w:t>informations erronées ou lacunaires fournies par le déposant.</w:t>
      </w:r>
    </w:p>
    <w:p w:rsidR="005F6828" w:rsidRPr="00B7599D" w:rsidRDefault="00ED1C22" w:rsidP="00ED1C22">
      <w:pPr>
        <w:pStyle w:val="ONUMFS"/>
        <w:rPr>
          <w:lang w:val="fr-FR"/>
        </w:rPr>
      </w:pPr>
      <w:r w:rsidRPr="00B7599D">
        <w:rPr>
          <w:lang w:val="fr-FR"/>
        </w:rPr>
        <w:t>Toutes les délégations qui ont pris la parole ont accueilli avec satisfaction l</w:t>
      </w:r>
      <w:r w:rsidR="002F6E75" w:rsidRPr="00B7599D">
        <w:rPr>
          <w:lang w:val="fr-FR"/>
        </w:rPr>
        <w:t>’</w:t>
      </w:r>
      <w:r w:rsidRPr="00B7599D">
        <w:rPr>
          <w:lang w:val="fr-FR"/>
        </w:rPr>
        <w:t>étude de l</w:t>
      </w:r>
      <w:r w:rsidR="002F6E75" w:rsidRPr="00B7599D">
        <w:rPr>
          <w:lang w:val="fr-FR"/>
        </w:rPr>
        <w:t>’</w:t>
      </w:r>
      <w:r w:rsidRPr="00B7599D">
        <w:rPr>
          <w:lang w:val="fr-FR"/>
        </w:rPr>
        <w:t>économiste en chef sur l</w:t>
      </w:r>
      <w:r w:rsidR="002F6E75" w:rsidRPr="00B7599D">
        <w:rPr>
          <w:lang w:val="fr-FR"/>
        </w:rPr>
        <w:t>’</w:t>
      </w:r>
      <w:r w:rsidRPr="00B7599D">
        <w:rPr>
          <w:lang w:val="fr-FR"/>
        </w:rPr>
        <w:t>estimation de l</w:t>
      </w:r>
      <w:r w:rsidR="002F6E75" w:rsidRPr="00B7599D">
        <w:rPr>
          <w:lang w:val="fr-FR"/>
        </w:rPr>
        <w:t>’</w:t>
      </w:r>
      <w:r w:rsidRPr="00B7599D">
        <w:rPr>
          <w:lang w:val="fr-FR"/>
        </w:rPr>
        <w:t>élasticité des dépôts par rapport aux taxes</w:t>
      </w:r>
      <w:r w:rsidR="002F6E75" w:rsidRPr="00B7599D">
        <w:rPr>
          <w:lang w:val="fr-FR"/>
        </w:rPr>
        <w:t xml:space="preserve"> du PCT</w:t>
      </w:r>
      <w:r w:rsidRPr="00B7599D">
        <w:rPr>
          <w:lang w:val="fr-FR"/>
        </w:rPr>
        <w:t>.  Une délégation a estimé que l</w:t>
      </w:r>
      <w:r w:rsidR="002F6E75" w:rsidRPr="00B7599D">
        <w:rPr>
          <w:lang w:val="fr-FR"/>
        </w:rPr>
        <w:t>’</w:t>
      </w:r>
      <w:r w:rsidRPr="00B7599D">
        <w:rPr>
          <w:lang w:val="fr-FR"/>
        </w:rPr>
        <w:t>étude aurait pu également examiner la question de l</w:t>
      </w:r>
      <w:r w:rsidR="002F6E75" w:rsidRPr="00B7599D">
        <w:rPr>
          <w:lang w:val="fr-FR"/>
        </w:rPr>
        <w:t>’</w:t>
      </w:r>
      <w:r w:rsidRPr="00B7599D">
        <w:rPr>
          <w:lang w:val="fr-FR"/>
        </w:rPr>
        <w:t>élasticité par rapport aux taxes du point de vue particulier des pays en développement qui prélevaient les taxes</w:t>
      </w:r>
      <w:r w:rsidR="002F6E75" w:rsidRPr="00B7599D">
        <w:rPr>
          <w:lang w:val="fr-FR"/>
        </w:rPr>
        <w:t xml:space="preserve"> du PCT</w:t>
      </w:r>
      <w:r w:rsidRPr="00B7599D">
        <w:rPr>
          <w:lang w:val="fr-FR"/>
        </w:rPr>
        <w:t xml:space="preserve"> dans une monnaie locale ayant fait l</w:t>
      </w:r>
      <w:r w:rsidR="002F6E75" w:rsidRPr="00B7599D">
        <w:rPr>
          <w:lang w:val="fr-FR"/>
        </w:rPr>
        <w:t>’</w:t>
      </w:r>
      <w:r w:rsidRPr="00B7599D">
        <w:rPr>
          <w:lang w:val="fr-FR"/>
        </w:rPr>
        <w:t>objet de très fortes fluctuations de change par rapport au franc suisse, en vue de déterminer si le comportement des déposants des pays en développement à faible revenu et à revenu intermédiaire par rapport aux variations de taxes différait de celui des déposants de pays à revenu élevé.</w:t>
      </w:r>
      <w:r w:rsidR="005F422B" w:rsidRPr="00B7599D">
        <w:rPr>
          <w:lang w:val="fr-FR"/>
        </w:rPr>
        <w:t xml:space="preserve">  </w:t>
      </w:r>
      <w:r w:rsidRPr="00B7599D">
        <w:rPr>
          <w:lang w:val="fr-FR"/>
        </w:rPr>
        <w:t>Plusieurs délégations ont fait part de leur intérêt pour la réalisation d</w:t>
      </w:r>
      <w:r w:rsidR="002F6E75" w:rsidRPr="00B7599D">
        <w:rPr>
          <w:lang w:val="fr-FR"/>
        </w:rPr>
        <w:t>’</w:t>
      </w:r>
      <w:r w:rsidRPr="00B7599D">
        <w:rPr>
          <w:lang w:val="fr-FR"/>
        </w:rPr>
        <w:t>autres études de l</w:t>
      </w:r>
      <w:r w:rsidR="002F6E75" w:rsidRPr="00B7599D">
        <w:rPr>
          <w:lang w:val="fr-FR"/>
        </w:rPr>
        <w:t>’</w:t>
      </w:r>
      <w:r w:rsidRPr="00B7599D">
        <w:rPr>
          <w:lang w:val="fr-FR"/>
        </w:rPr>
        <w:t>économiste en chef portant sur l</w:t>
      </w:r>
      <w:r w:rsidR="002F6E75" w:rsidRPr="00B7599D">
        <w:rPr>
          <w:lang w:val="fr-FR"/>
        </w:rPr>
        <w:t>’</w:t>
      </w:r>
      <w:r w:rsidRPr="00B7599D">
        <w:rPr>
          <w:lang w:val="fr-FR"/>
        </w:rPr>
        <w:t>incidence du montant des taxes</w:t>
      </w:r>
      <w:r w:rsidR="002F6E75" w:rsidRPr="00B7599D">
        <w:rPr>
          <w:lang w:val="fr-FR"/>
        </w:rPr>
        <w:t xml:space="preserve"> du PCT</w:t>
      </w:r>
      <w:r w:rsidRPr="00B7599D">
        <w:rPr>
          <w:lang w:val="fr-FR"/>
        </w:rPr>
        <w:t xml:space="preserve"> sur les décisions des déposants s</w:t>
      </w:r>
      <w:r w:rsidR="002F6E75" w:rsidRPr="00B7599D">
        <w:rPr>
          <w:lang w:val="fr-FR"/>
        </w:rPr>
        <w:t>’</w:t>
      </w:r>
      <w:r w:rsidRPr="00B7599D">
        <w:rPr>
          <w:lang w:val="fr-FR"/>
        </w:rPr>
        <w:t>agissant de demander une protection par brevet à l</w:t>
      </w:r>
      <w:r w:rsidR="002F6E75" w:rsidRPr="00B7599D">
        <w:rPr>
          <w:lang w:val="fr-FR"/>
        </w:rPr>
        <w:t>’</w:t>
      </w:r>
      <w:r w:rsidRPr="00B7599D">
        <w:rPr>
          <w:lang w:val="fr-FR"/>
        </w:rPr>
        <w:t>étranger, plutôt que, comme dans l</w:t>
      </w:r>
      <w:r w:rsidR="002F6E75" w:rsidRPr="00B7599D">
        <w:rPr>
          <w:lang w:val="fr-FR"/>
        </w:rPr>
        <w:t>’</w:t>
      </w:r>
      <w:r w:rsidRPr="00B7599D">
        <w:rPr>
          <w:lang w:val="fr-FR"/>
        </w:rPr>
        <w:t>étude actuelle, sur la question de savoir s</w:t>
      </w:r>
      <w:r w:rsidR="002F6E75" w:rsidRPr="00B7599D">
        <w:rPr>
          <w:lang w:val="fr-FR"/>
        </w:rPr>
        <w:t>’</w:t>
      </w:r>
      <w:r w:rsidRPr="00B7599D">
        <w:rPr>
          <w:lang w:val="fr-FR"/>
        </w:rPr>
        <w:t>il convient de rechercher cette protection par brevet via la voie de la</w:t>
      </w:r>
      <w:r w:rsidR="0094312B">
        <w:rPr>
          <w:lang w:val="fr-FR"/>
        </w:rPr>
        <w:t xml:space="preserve"> Convention de Paris ou la voie </w:t>
      </w:r>
      <w:r w:rsidRPr="00B7599D">
        <w:rPr>
          <w:lang w:val="fr-FR"/>
        </w:rPr>
        <w:t>PCT.  Plusieurs délégations ont fait part de leurs observations sur la difficulté d</w:t>
      </w:r>
      <w:r w:rsidR="002F6E75" w:rsidRPr="00B7599D">
        <w:rPr>
          <w:lang w:val="fr-FR"/>
        </w:rPr>
        <w:t>’</w:t>
      </w:r>
      <w:r w:rsidRPr="00B7599D">
        <w:rPr>
          <w:lang w:val="fr-FR"/>
        </w:rPr>
        <w:t>estimer l</w:t>
      </w:r>
      <w:r w:rsidR="002F6E75" w:rsidRPr="00B7599D">
        <w:rPr>
          <w:lang w:val="fr-FR"/>
        </w:rPr>
        <w:t>’</w:t>
      </w:r>
      <w:r w:rsidRPr="00B7599D">
        <w:rPr>
          <w:lang w:val="fr-FR"/>
        </w:rPr>
        <w:t>incidence des réductions de taxes</w:t>
      </w:r>
      <w:r w:rsidR="002F6E75" w:rsidRPr="00B7599D">
        <w:rPr>
          <w:lang w:val="fr-FR"/>
        </w:rPr>
        <w:t xml:space="preserve"> du PCT</w:t>
      </w:r>
      <w:r w:rsidRPr="00B7599D">
        <w:rPr>
          <w:lang w:val="fr-FR"/>
        </w:rPr>
        <w:t xml:space="preserve"> sur les dépôts et ont souligné la modicité relative des taxes</w:t>
      </w:r>
      <w:r w:rsidR="002F6E75" w:rsidRPr="00B7599D">
        <w:rPr>
          <w:lang w:val="fr-FR"/>
        </w:rPr>
        <w:t xml:space="preserve"> du PCT</w:t>
      </w:r>
      <w:r w:rsidRPr="00B7599D">
        <w:rPr>
          <w:lang w:val="fr-FR"/>
        </w:rPr>
        <w:t xml:space="preserve"> par rapport au coût global de l</w:t>
      </w:r>
      <w:r w:rsidR="002F6E75" w:rsidRPr="00B7599D">
        <w:rPr>
          <w:lang w:val="fr-FR"/>
        </w:rPr>
        <w:t>’</w:t>
      </w:r>
      <w:r w:rsidRPr="00B7599D">
        <w:rPr>
          <w:lang w:val="fr-FR"/>
        </w:rPr>
        <w:t>obtention d</w:t>
      </w:r>
      <w:r w:rsidR="002F6E75" w:rsidRPr="00B7599D">
        <w:rPr>
          <w:lang w:val="fr-FR"/>
        </w:rPr>
        <w:t>’</w:t>
      </w:r>
      <w:r w:rsidRPr="00B7599D">
        <w:rPr>
          <w:lang w:val="fr-FR"/>
        </w:rPr>
        <w:t>une protection par brevet au niveau international.</w:t>
      </w:r>
    </w:p>
    <w:p w:rsidR="005F6828" w:rsidRPr="00B7599D" w:rsidRDefault="00ED1C22" w:rsidP="00ED1C22">
      <w:pPr>
        <w:pStyle w:val="ONUMFS"/>
        <w:rPr>
          <w:lang w:val="fr-FR"/>
        </w:rPr>
      </w:pPr>
      <w:r w:rsidRPr="00B7599D">
        <w:rPr>
          <w:lang w:val="fr-FR"/>
        </w:rPr>
        <w:lastRenderedPageBreak/>
        <w:t>Plusieurs délégations ont appuyé la suggestion d</w:t>
      </w:r>
      <w:r w:rsidR="002F6E75" w:rsidRPr="00B7599D">
        <w:rPr>
          <w:lang w:val="fr-FR"/>
        </w:rPr>
        <w:t>’</w:t>
      </w:r>
      <w:r w:rsidRPr="00B7599D">
        <w:rPr>
          <w:lang w:val="fr-FR"/>
        </w:rPr>
        <w:t>une délégation tendant à concentrer les discussions sur de nouvelles réductions éventuelles des taxes</w:t>
      </w:r>
      <w:r w:rsidR="002F6E75" w:rsidRPr="00B7599D">
        <w:rPr>
          <w:lang w:val="fr-FR"/>
        </w:rPr>
        <w:t xml:space="preserve"> du PCT</w:t>
      </w:r>
      <w:r w:rsidRPr="00B7599D">
        <w:rPr>
          <w:lang w:val="fr-FR"/>
        </w:rPr>
        <w:t xml:space="preserve"> pour les universités, lesquelles constituent une catégorie de déposants qui, à la différence des petites et moyennes entreprises et des instituts de recherche, peut être aisément définie et pour laquelle on dispose de données relatives au nombre de demandes déposées (environ 5% en</w:t>
      </w:r>
      <w:r w:rsidR="00F436BF" w:rsidRPr="00B7599D">
        <w:rPr>
          <w:lang w:val="fr-FR"/>
        </w:rPr>
        <w:t> </w:t>
      </w:r>
      <w:r w:rsidRPr="00B7599D">
        <w:rPr>
          <w:lang w:val="fr-FR"/>
        </w:rPr>
        <w:t>2013), ce qui aiderait à déterminer l</w:t>
      </w:r>
      <w:r w:rsidR="002F6E75" w:rsidRPr="00B7599D">
        <w:rPr>
          <w:lang w:val="fr-FR"/>
        </w:rPr>
        <w:t>’</w:t>
      </w:r>
      <w:r w:rsidRPr="00B7599D">
        <w:rPr>
          <w:lang w:val="fr-FR"/>
        </w:rPr>
        <w:t>incidence de toute nouvelle réduction sur les recettes provenant des taxes</w:t>
      </w:r>
      <w:r w:rsidR="002F6E75" w:rsidRPr="00B7599D">
        <w:rPr>
          <w:lang w:val="fr-FR"/>
        </w:rPr>
        <w:t xml:space="preserve"> du PCT</w:t>
      </w:r>
      <w:r w:rsidRPr="00B7599D">
        <w:rPr>
          <w:lang w:val="fr-FR"/>
        </w:rPr>
        <w:t>.  Des préoccupations ont toutefois été exprimées par un certain nombre de délégations quant à l</w:t>
      </w:r>
      <w:r w:rsidR="002F6E75" w:rsidRPr="00B7599D">
        <w:rPr>
          <w:lang w:val="fr-FR"/>
        </w:rPr>
        <w:t>’</w:t>
      </w:r>
      <w:r w:rsidRPr="00B7599D">
        <w:rPr>
          <w:lang w:val="fr-FR"/>
        </w:rPr>
        <w:t>utilité de réductions de taxes</w:t>
      </w:r>
      <w:r w:rsidR="002F6E75" w:rsidRPr="00B7599D">
        <w:rPr>
          <w:lang w:val="fr-FR"/>
        </w:rPr>
        <w:t xml:space="preserve"> du PCT</w:t>
      </w:r>
      <w:r w:rsidRPr="00B7599D">
        <w:rPr>
          <w:lang w:val="fr-FR"/>
        </w:rPr>
        <w:t xml:space="preserve"> pour certaines grandes universités de pays développés, qui disposaient de ressources confortables et pour lesquelles les taxes relativement modiques</w:t>
      </w:r>
      <w:r w:rsidR="002F6E75" w:rsidRPr="00B7599D">
        <w:rPr>
          <w:lang w:val="fr-FR"/>
        </w:rPr>
        <w:t xml:space="preserve"> du PCT</w:t>
      </w:r>
      <w:r w:rsidRPr="00B7599D">
        <w:rPr>
          <w:lang w:val="fr-FR"/>
        </w:rPr>
        <w:t xml:space="preserve"> ne constituaient pas réellement un obstacle pour accéder au système international des brevets.  Des préoccupations ont également été exprimées quant à l</w:t>
      </w:r>
      <w:r w:rsidR="002F6E75" w:rsidRPr="00B7599D">
        <w:rPr>
          <w:lang w:val="fr-FR"/>
        </w:rPr>
        <w:t>’</w:t>
      </w:r>
      <w:r w:rsidRPr="00B7599D">
        <w:rPr>
          <w:lang w:val="fr-FR"/>
        </w:rPr>
        <w:t>utilité de réductions des taxes</w:t>
      </w:r>
      <w:r w:rsidR="002F6E75" w:rsidRPr="00B7599D">
        <w:rPr>
          <w:lang w:val="fr-FR"/>
        </w:rPr>
        <w:t xml:space="preserve"> du PCT</w:t>
      </w:r>
      <w:r w:rsidRPr="00B7599D">
        <w:rPr>
          <w:lang w:val="fr-FR"/>
        </w:rPr>
        <w:t xml:space="preserve"> pour les universités de pays en développement et de pays parmi les moins avancés où l</w:t>
      </w:r>
      <w:r w:rsidR="002F6E75" w:rsidRPr="00B7599D">
        <w:rPr>
          <w:lang w:val="fr-FR"/>
        </w:rPr>
        <w:t>’</w:t>
      </w:r>
      <w:r w:rsidRPr="00B7599D">
        <w:rPr>
          <w:lang w:val="fr-FR"/>
        </w:rPr>
        <w:t>activité en matière de recherche</w:t>
      </w:r>
      <w:r w:rsidR="0094312B" w:rsidRPr="0094312B">
        <w:rPr>
          <w:lang w:val="fr-FR"/>
        </w:rPr>
        <w:noBreakHyphen/>
      </w:r>
      <w:r w:rsidRPr="00B7599D">
        <w:rPr>
          <w:lang w:val="fr-FR"/>
        </w:rPr>
        <w:t>développement débouchant sur des dépôts de demandes de brevet était très faible, de sorte que des réductions de taxes n</w:t>
      </w:r>
      <w:r w:rsidR="002F6E75" w:rsidRPr="00B7599D">
        <w:rPr>
          <w:lang w:val="fr-FR"/>
        </w:rPr>
        <w:t>’</w:t>
      </w:r>
      <w:r w:rsidRPr="00B7599D">
        <w:rPr>
          <w:lang w:val="fr-FR"/>
        </w:rPr>
        <w:t>auraient qu</w:t>
      </w:r>
      <w:r w:rsidR="002F6E75" w:rsidRPr="00B7599D">
        <w:rPr>
          <w:lang w:val="fr-FR"/>
        </w:rPr>
        <w:t>’</w:t>
      </w:r>
      <w:r w:rsidRPr="00B7599D">
        <w:rPr>
          <w:lang w:val="fr-FR"/>
        </w:rPr>
        <w:t>un effet minime.  Il a également été souligné que les universités des pays les moins avancés bénéficiaient déjà de la réduction de 90% prévue pour tous les déposants de ces pays.</w:t>
      </w:r>
    </w:p>
    <w:p w:rsidR="002F6E75" w:rsidRPr="00B7599D" w:rsidRDefault="00ED1C22" w:rsidP="00ED1C22">
      <w:pPr>
        <w:pStyle w:val="ONUMFS"/>
        <w:ind w:left="567"/>
        <w:rPr>
          <w:lang w:val="fr-FR"/>
        </w:rPr>
      </w:pPr>
      <w:r w:rsidRPr="00B7599D">
        <w:rPr>
          <w:lang w:val="fr-FR"/>
        </w:rPr>
        <w:t>Le groupe de travail a pris note du contenu des documents PCT/WG/7/6 et 7.</w:t>
      </w:r>
    </w:p>
    <w:p w:rsidR="005F6828" w:rsidRPr="00B7599D" w:rsidRDefault="00ED1C22" w:rsidP="00ED1C22">
      <w:pPr>
        <w:pStyle w:val="ONUMFS"/>
        <w:ind w:left="567"/>
        <w:rPr>
          <w:lang w:val="fr-FR"/>
        </w:rPr>
      </w:pPr>
      <w:r w:rsidRPr="00B7599D">
        <w:rPr>
          <w:lang w:val="fr-FR"/>
        </w:rPr>
        <w:t>En ce qui concerne de nouvelles réductions de taxes pour les petites et moyennes entreprises et les instituts de recherche, le groupe de travail est convenu que les perspectives n</w:t>
      </w:r>
      <w:r w:rsidR="002F6E75" w:rsidRPr="00B7599D">
        <w:rPr>
          <w:lang w:val="fr-FR"/>
        </w:rPr>
        <w:t>’</w:t>
      </w:r>
      <w:r w:rsidRPr="00B7599D">
        <w:rPr>
          <w:lang w:val="fr-FR"/>
        </w:rPr>
        <w:t>étaient pas claires.  Les travaux sur cette question ne reprendraient que si un État membre présentait une proposition concrète.</w:t>
      </w:r>
    </w:p>
    <w:p w:rsidR="005F6828" w:rsidRPr="00B7599D" w:rsidRDefault="00ED1C22" w:rsidP="00ED1C22">
      <w:pPr>
        <w:pStyle w:val="ONUMFS"/>
        <w:ind w:left="567"/>
        <w:rPr>
          <w:lang w:val="fr-FR"/>
        </w:rPr>
      </w:pPr>
      <w:r w:rsidRPr="00B7599D">
        <w:rPr>
          <w:lang w:val="fr-FR"/>
        </w:rPr>
        <w:t>Sur une éventuelle réduction des taxes</w:t>
      </w:r>
      <w:r w:rsidR="002F6E75" w:rsidRPr="00B7599D">
        <w:rPr>
          <w:lang w:val="fr-FR"/>
        </w:rPr>
        <w:t xml:space="preserve"> du PCT</w:t>
      </w:r>
      <w:r w:rsidRPr="00B7599D">
        <w:rPr>
          <w:lang w:val="fr-FR"/>
        </w:rPr>
        <w:t xml:space="preserve"> pour les universités, le groupe de travail est parvenu à la conclusion qu</w:t>
      </w:r>
      <w:r w:rsidR="002F6E75" w:rsidRPr="00B7599D">
        <w:rPr>
          <w:lang w:val="fr-FR"/>
        </w:rPr>
        <w:t>’</w:t>
      </w:r>
      <w:r w:rsidRPr="00B7599D">
        <w:rPr>
          <w:lang w:val="fr-FR"/>
        </w:rPr>
        <w:t>il y avait un intérêt suffisant à poursuivre l</w:t>
      </w:r>
      <w:r w:rsidR="002F6E75" w:rsidRPr="00B7599D">
        <w:rPr>
          <w:lang w:val="fr-FR"/>
        </w:rPr>
        <w:t>’</w:t>
      </w:r>
      <w:r w:rsidRPr="00B7599D">
        <w:rPr>
          <w:lang w:val="fr-FR"/>
        </w:rPr>
        <w:t>examen de cette question.  Le groupe de travail a donc prié le Secrétariat de travailler avec l</w:t>
      </w:r>
      <w:r w:rsidR="002F6E75" w:rsidRPr="00B7599D">
        <w:rPr>
          <w:lang w:val="fr-FR"/>
        </w:rPr>
        <w:t>’</w:t>
      </w:r>
      <w:r w:rsidRPr="00B7599D">
        <w:rPr>
          <w:lang w:val="fr-FR"/>
        </w:rPr>
        <w:t>économiste en chef en vue de la réalisation d</w:t>
      </w:r>
      <w:r w:rsidR="002F6E75" w:rsidRPr="00B7599D">
        <w:rPr>
          <w:lang w:val="fr-FR"/>
        </w:rPr>
        <w:t>’</w:t>
      </w:r>
      <w:r w:rsidRPr="00B7599D">
        <w:rPr>
          <w:lang w:val="fr-FR"/>
        </w:rPr>
        <w:t>une étude supplémentaire sur une possible réduction des taxes pour cette catégorie de déposants uniquement, en vue de son examen à la prochaine session du groupe de travail.  Cette étude supplémentaire devrait porter sur des questions telles que l</w:t>
      </w:r>
      <w:r w:rsidR="002F6E75" w:rsidRPr="00B7599D">
        <w:rPr>
          <w:lang w:val="fr-FR"/>
        </w:rPr>
        <w:t>’</w:t>
      </w:r>
      <w:r w:rsidRPr="00B7599D">
        <w:rPr>
          <w:lang w:val="fr-FR"/>
        </w:rPr>
        <w:t>incidence probable de toute réduction de ce type sur les recettes provenant des taxes</w:t>
      </w:r>
      <w:r w:rsidR="002F6E75" w:rsidRPr="00B7599D">
        <w:rPr>
          <w:lang w:val="fr-FR"/>
        </w:rPr>
        <w:t xml:space="preserve"> du PCT</w:t>
      </w:r>
      <w:r w:rsidRPr="00B7599D">
        <w:rPr>
          <w:lang w:val="fr-FR"/>
        </w:rPr>
        <w:t>, avec des scénarios dans lesquels des niveaux de réduction différents seraient offerts aux universités des pays en développement, des pays les moins avancés et des pays développés et des estimations quant à la question de savoir si l</w:t>
      </w:r>
      <w:r w:rsidR="002F6E75" w:rsidRPr="00B7599D">
        <w:rPr>
          <w:lang w:val="fr-FR"/>
        </w:rPr>
        <w:t>’</w:t>
      </w:r>
      <w:r w:rsidRPr="00B7599D">
        <w:rPr>
          <w:lang w:val="fr-FR"/>
        </w:rPr>
        <w:t>élasticité</w:t>
      </w:r>
      <w:r w:rsidR="002F6E75" w:rsidRPr="00B7599D">
        <w:rPr>
          <w:lang w:val="fr-FR"/>
        </w:rPr>
        <w:t>-</w:t>
      </w:r>
      <w:r w:rsidRPr="00B7599D">
        <w:rPr>
          <w:lang w:val="fr-FR"/>
        </w:rPr>
        <w:t>taxes des dépôts des universités des pays en développement et des pays les moins avancés serait différente de celle des universités des pays développés.</w:t>
      </w:r>
    </w:p>
    <w:p w:rsidR="005F6828" w:rsidRPr="00B7599D" w:rsidRDefault="00ED1C22" w:rsidP="00ED1C22">
      <w:pPr>
        <w:pStyle w:val="Heading1"/>
        <w:rPr>
          <w:lang w:val="fr-FR"/>
        </w:rPr>
      </w:pPr>
      <w:r w:rsidRPr="00B7599D">
        <w:rPr>
          <w:lang w:val="fr-FR"/>
        </w:rPr>
        <w:t>Point</w:t>
      </w:r>
      <w:r w:rsidR="00F436BF" w:rsidRPr="00B7599D">
        <w:rPr>
          <w:lang w:val="fr-FR"/>
        </w:rPr>
        <w:t> </w:t>
      </w:r>
      <w:r w:rsidRPr="00B7599D">
        <w:rPr>
          <w:lang w:val="fr-FR"/>
        </w:rPr>
        <w:t>9 de l</w:t>
      </w:r>
      <w:r w:rsidR="002F6E75" w:rsidRPr="00B7599D">
        <w:rPr>
          <w:lang w:val="fr-FR"/>
        </w:rPr>
        <w:t>’</w:t>
      </w:r>
      <w:r w:rsidRPr="00B7599D">
        <w:rPr>
          <w:lang w:val="fr-FR"/>
        </w:rPr>
        <w:t>ordre du jour</w:t>
      </w:r>
      <w:r w:rsidR="00F436BF" w:rsidRPr="00B7599D">
        <w:rPr>
          <w:lang w:val="fr-FR"/>
        </w:rPr>
        <w:t> </w:t>
      </w:r>
      <w:r w:rsidRPr="00B7599D">
        <w:rPr>
          <w:lang w:val="fr-FR"/>
        </w:rPr>
        <w:t>: réductions de taxes accordées aux déposants de certains pays, notamment de pays en développement et de pays parmi les moins avancés</w:t>
      </w:r>
    </w:p>
    <w:p w:rsidR="005F6828" w:rsidRPr="00B7599D" w:rsidRDefault="00ED1C22" w:rsidP="00ED1C22">
      <w:pPr>
        <w:pStyle w:val="ONUMFS"/>
        <w:rPr>
          <w:lang w:val="fr-FR"/>
        </w:rPr>
      </w:pPr>
      <w:r w:rsidRPr="00B7599D">
        <w:rPr>
          <w:lang w:val="fr-FR"/>
        </w:rPr>
        <w:t>Les délibérations ont eu lieu sur la base du document PCT/WG/7/26.</w:t>
      </w:r>
    </w:p>
    <w:p w:rsidR="00D651C2" w:rsidRDefault="00ED1C22" w:rsidP="00ED1C22">
      <w:pPr>
        <w:pStyle w:val="ONUMFS"/>
        <w:rPr>
          <w:lang w:val="fr-FR"/>
        </w:rPr>
      </w:pPr>
      <w:r w:rsidRPr="00B7599D">
        <w:rPr>
          <w:lang w:val="fr-FR"/>
        </w:rPr>
        <w:t>Plusieurs délégations ont appuyé la proposition relative à une combinaison de facteurs fondés sur le revenu et sur l</w:t>
      </w:r>
      <w:r w:rsidR="002F6E75" w:rsidRPr="00B7599D">
        <w:rPr>
          <w:lang w:val="fr-FR"/>
        </w:rPr>
        <w:t>’</w:t>
      </w:r>
      <w:r w:rsidRPr="00B7599D">
        <w:rPr>
          <w:lang w:val="fr-FR"/>
        </w:rPr>
        <w:t>innovation, indiquant qu</w:t>
      </w:r>
      <w:r w:rsidR="002F6E75" w:rsidRPr="00B7599D">
        <w:rPr>
          <w:lang w:val="fr-FR"/>
        </w:rPr>
        <w:t>’</w:t>
      </w:r>
      <w:r w:rsidRPr="00B7599D">
        <w:rPr>
          <w:lang w:val="fr-FR"/>
        </w:rPr>
        <w:t>il s</w:t>
      </w:r>
      <w:r w:rsidR="002F6E75" w:rsidRPr="00B7599D">
        <w:rPr>
          <w:lang w:val="fr-FR"/>
        </w:rPr>
        <w:t>’</w:t>
      </w:r>
      <w:r w:rsidRPr="00B7599D">
        <w:rPr>
          <w:lang w:val="fr-FR"/>
        </w:rPr>
        <w:t>agissait d</w:t>
      </w:r>
      <w:r w:rsidR="002F6E75" w:rsidRPr="00B7599D">
        <w:rPr>
          <w:lang w:val="fr-FR"/>
        </w:rPr>
        <w:t>’</w:t>
      </w:r>
      <w:r w:rsidRPr="00B7599D">
        <w:rPr>
          <w:lang w:val="fr-FR"/>
        </w:rPr>
        <w:t>une bonne base pour une structure de réduction équitable des taxes</w:t>
      </w:r>
      <w:r w:rsidR="002F6E75" w:rsidRPr="00B7599D">
        <w:rPr>
          <w:lang w:val="fr-FR"/>
        </w:rPr>
        <w:t xml:space="preserve"> du PCT</w:t>
      </w:r>
      <w:r w:rsidRPr="00B7599D">
        <w:rPr>
          <w:lang w:val="fr-FR"/>
        </w:rPr>
        <w:t>.  Une délégation, tout en souscrivant de manière générale à la proposition, a exprimé des préoccupations quant au seuil de 25</w:t>
      </w:r>
      <w:r w:rsidR="00F436BF" w:rsidRPr="00B7599D">
        <w:rPr>
          <w:lang w:val="fr-FR"/>
        </w:rPr>
        <w:t> </w:t>
      </w:r>
      <w:r w:rsidRPr="00B7599D">
        <w:rPr>
          <w:lang w:val="fr-FR"/>
        </w:rPr>
        <w:t>000</w:t>
      </w:r>
      <w:r w:rsidR="00F436BF" w:rsidRPr="00B7599D">
        <w:rPr>
          <w:lang w:val="fr-FR"/>
        </w:rPr>
        <w:t> </w:t>
      </w:r>
      <w:r w:rsidRPr="00B7599D">
        <w:rPr>
          <w:lang w:val="fr-FR"/>
        </w:rPr>
        <w:t>dollars</w:t>
      </w:r>
      <w:r w:rsidR="00F436BF" w:rsidRPr="00B7599D">
        <w:rPr>
          <w:lang w:val="fr-FR"/>
        </w:rPr>
        <w:t> </w:t>
      </w:r>
      <w:r w:rsidRPr="00B7599D">
        <w:rPr>
          <w:lang w:val="fr-FR"/>
        </w:rPr>
        <w:t>É.</w:t>
      </w:r>
      <w:r w:rsidR="002F6E75" w:rsidRPr="00B7599D">
        <w:rPr>
          <w:lang w:val="fr-FR"/>
        </w:rPr>
        <w:t>-</w:t>
      </w:r>
      <w:r w:rsidRPr="00B7599D">
        <w:rPr>
          <w:lang w:val="fr-FR"/>
        </w:rPr>
        <w:t>U. proposé pour le critère fondé sur le revenu, soulignant qu</w:t>
      </w:r>
      <w:r w:rsidR="002F6E75" w:rsidRPr="00B7599D">
        <w:rPr>
          <w:lang w:val="fr-FR"/>
        </w:rPr>
        <w:t>’</w:t>
      </w:r>
      <w:r w:rsidRPr="00B7599D">
        <w:rPr>
          <w:lang w:val="fr-FR"/>
        </w:rPr>
        <w:t>il s</w:t>
      </w:r>
      <w:r w:rsidR="002F6E75" w:rsidRPr="00B7599D">
        <w:rPr>
          <w:lang w:val="fr-FR"/>
        </w:rPr>
        <w:t>’</w:t>
      </w:r>
      <w:r w:rsidRPr="00B7599D">
        <w:rPr>
          <w:lang w:val="fr-FR"/>
        </w:rPr>
        <w:t>agissait du double du seuil de la Banque mondiale pour le classement parmi les pays à “revenu élevé”.  Une autre délégation, tout en appuyant également la proposition d</w:t>
      </w:r>
      <w:r w:rsidR="002F6E75" w:rsidRPr="00B7599D">
        <w:rPr>
          <w:lang w:val="fr-FR"/>
        </w:rPr>
        <w:t>’</w:t>
      </w:r>
      <w:r w:rsidRPr="00B7599D">
        <w:rPr>
          <w:lang w:val="fr-FR"/>
        </w:rPr>
        <w:t>une manière générale, s</w:t>
      </w:r>
      <w:r w:rsidR="002F6E75" w:rsidRPr="00B7599D">
        <w:rPr>
          <w:lang w:val="fr-FR"/>
        </w:rPr>
        <w:t>’</w:t>
      </w:r>
      <w:r w:rsidRPr="00B7599D">
        <w:rPr>
          <w:lang w:val="fr-FR"/>
        </w:rPr>
        <w:t>est demandé si un système à plusieurs niveaux en vertu duquel les États membres bénéficieraient de différents taux de réduction des taxes ne tiendrait pas mieux compte des différences de niveau de développement entre les pays et a suggéré d</w:t>
      </w:r>
      <w:r w:rsidR="002F6E75" w:rsidRPr="00B7599D">
        <w:rPr>
          <w:lang w:val="fr-FR"/>
        </w:rPr>
        <w:t>’</w:t>
      </w:r>
      <w:r w:rsidRPr="00B7599D">
        <w:rPr>
          <w:lang w:val="fr-FR"/>
        </w:rPr>
        <w:t>utiliser les chiffres</w:t>
      </w:r>
      <w:r w:rsidR="002F6E75" w:rsidRPr="00B7599D">
        <w:rPr>
          <w:lang w:val="fr-FR"/>
        </w:rPr>
        <w:t xml:space="preserve"> du RNB</w:t>
      </w:r>
      <w:r w:rsidRPr="00B7599D">
        <w:rPr>
          <w:lang w:val="fr-FR"/>
        </w:rPr>
        <w:t xml:space="preserve"> plutôt que ceux</w:t>
      </w:r>
      <w:r w:rsidR="002F6E75" w:rsidRPr="00B7599D">
        <w:rPr>
          <w:lang w:val="fr-FR"/>
        </w:rPr>
        <w:t xml:space="preserve"> du PIB</w:t>
      </w:r>
      <w:r w:rsidRPr="00B7599D">
        <w:rPr>
          <w:lang w:val="fr-FR"/>
        </w:rPr>
        <w:t xml:space="preserve"> pour déterminer si un pays satisfaisait au critère fondé sur le revenu.  Une autre </w:t>
      </w:r>
    </w:p>
    <w:p w:rsidR="005F6828" w:rsidRPr="00B7599D" w:rsidRDefault="00ED1C22" w:rsidP="00D651C2">
      <w:pPr>
        <w:pStyle w:val="ONUMFS"/>
        <w:numPr>
          <w:ilvl w:val="0"/>
          <w:numId w:val="0"/>
        </w:numPr>
        <w:rPr>
          <w:lang w:val="fr-FR"/>
        </w:rPr>
      </w:pPr>
      <w:proofErr w:type="gramStart"/>
      <w:r w:rsidRPr="00B7599D">
        <w:rPr>
          <w:lang w:val="fr-FR"/>
        </w:rPr>
        <w:lastRenderedPageBreak/>
        <w:t>délégation</w:t>
      </w:r>
      <w:proofErr w:type="gramEnd"/>
      <w:r w:rsidRPr="00B7599D">
        <w:rPr>
          <w:lang w:val="fr-FR"/>
        </w:rPr>
        <w:t xml:space="preserve"> encore s</w:t>
      </w:r>
      <w:r w:rsidR="002F6E75" w:rsidRPr="00B7599D">
        <w:rPr>
          <w:lang w:val="fr-FR"/>
        </w:rPr>
        <w:t>’</w:t>
      </w:r>
      <w:r w:rsidRPr="00B7599D">
        <w:rPr>
          <w:lang w:val="fr-FR"/>
        </w:rPr>
        <w:t>est interrogée sur le lien entre le critère fondé sur le revenu et le critère fondé sur l</w:t>
      </w:r>
      <w:r w:rsidR="002F6E75" w:rsidRPr="00B7599D">
        <w:rPr>
          <w:lang w:val="fr-FR"/>
        </w:rPr>
        <w:t>’</w:t>
      </w:r>
      <w:r w:rsidRPr="00B7599D">
        <w:rPr>
          <w:lang w:val="fr-FR"/>
        </w:rPr>
        <w:t>innovation et a suggéré que le critère fondé sur le revenu devrait être le critère prépondérant et avoir la priorité.</w:t>
      </w:r>
    </w:p>
    <w:p w:rsidR="005F6828" w:rsidRPr="00B7599D" w:rsidRDefault="00ED1C22" w:rsidP="00ED1C22">
      <w:pPr>
        <w:pStyle w:val="ONUMFS"/>
        <w:rPr>
          <w:lang w:val="fr-FR"/>
        </w:rPr>
      </w:pPr>
      <w:r w:rsidRPr="00B7599D">
        <w:rPr>
          <w:lang w:val="fr-FR"/>
        </w:rPr>
        <w:t>Une délégation a suggéré que, s</w:t>
      </w:r>
      <w:r w:rsidR="002F6E75" w:rsidRPr="00B7599D">
        <w:rPr>
          <w:lang w:val="fr-FR"/>
        </w:rPr>
        <w:t>’</w:t>
      </w:r>
      <w:r w:rsidRPr="00B7599D">
        <w:rPr>
          <w:lang w:val="fr-FR"/>
        </w:rPr>
        <w:t>il était décidé d</w:t>
      </w:r>
      <w:r w:rsidR="002F6E75" w:rsidRPr="00B7599D">
        <w:rPr>
          <w:lang w:val="fr-FR"/>
        </w:rPr>
        <w:t>’</w:t>
      </w:r>
      <w:r w:rsidRPr="00B7599D">
        <w:rPr>
          <w:lang w:val="fr-FR"/>
        </w:rPr>
        <w:t>adopter les nouveaux critères proposés, le barème des taxes devrait être modifié afin de prévoir une révision périodique de ces critères par les États membres à intervalles de cinq</w:t>
      </w:r>
      <w:r w:rsidR="00F436BF" w:rsidRPr="00B7599D">
        <w:rPr>
          <w:lang w:val="fr-FR"/>
        </w:rPr>
        <w:t> </w:t>
      </w:r>
      <w:r w:rsidRPr="00B7599D">
        <w:rPr>
          <w:lang w:val="fr-FR"/>
        </w:rPr>
        <w:t>ans.</w:t>
      </w:r>
    </w:p>
    <w:p w:rsidR="002F6E75" w:rsidRPr="00B7599D" w:rsidRDefault="00ED1C22" w:rsidP="00ED1C22">
      <w:pPr>
        <w:pStyle w:val="ONUMFS"/>
        <w:rPr>
          <w:lang w:val="fr-FR"/>
        </w:rPr>
      </w:pPr>
      <w:r w:rsidRPr="00B7599D">
        <w:rPr>
          <w:lang w:val="fr-FR"/>
        </w:rPr>
        <w:t>La délégation du Kenya, parlant au nom du groupe des pays africains, a déclaré que la proposition actuelle ne permettrait pas d</w:t>
      </w:r>
      <w:r w:rsidR="002F6E75" w:rsidRPr="00B7599D">
        <w:rPr>
          <w:lang w:val="fr-FR"/>
        </w:rPr>
        <w:t>’</w:t>
      </w:r>
      <w:r w:rsidRPr="00B7599D">
        <w:rPr>
          <w:lang w:val="fr-FR"/>
        </w:rPr>
        <w:t>atteindre le but initial, qui était d</w:t>
      </w:r>
      <w:r w:rsidR="002F6E75" w:rsidRPr="00B7599D">
        <w:rPr>
          <w:lang w:val="fr-FR"/>
        </w:rPr>
        <w:t>’</w:t>
      </w:r>
      <w:r w:rsidRPr="00B7599D">
        <w:rPr>
          <w:lang w:val="fr-FR"/>
        </w:rPr>
        <w:t>accroître l</w:t>
      </w:r>
      <w:r w:rsidR="002F6E75" w:rsidRPr="00B7599D">
        <w:rPr>
          <w:lang w:val="fr-FR"/>
        </w:rPr>
        <w:t>’</w:t>
      </w:r>
      <w:r w:rsidRPr="00B7599D">
        <w:rPr>
          <w:lang w:val="fr-FR"/>
        </w:rPr>
        <w:t>utilisation</w:t>
      </w:r>
      <w:r w:rsidR="002F6E75" w:rsidRPr="00B7599D">
        <w:rPr>
          <w:lang w:val="fr-FR"/>
        </w:rPr>
        <w:t xml:space="preserve"> du PCT</w:t>
      </w:r>
      <w:r w:rsidRPr="00B7599D">
        <w:rPr>
          <w:lang w:val="fr-FR"/>
        </w:rPr>
        <w:t xml:space="preserve"> parmi les déposants des pays en développement et des pays les moins avancés, étant donné qu</w:t>
      </w:r>
      <w:r w:rsidR="002F6E75" w:rsidRPr="00B7599D">
        <w:rPr>
          <w:lang w:val="fr-FR"/>
        </w:rPr>
        <w:t>’</w:t>
      </w:r>
      <w:r w:rsidRPr="00B7599D">
        <w:rPr>
          <w:lang w:val="fr-FR"/>
        </w:rPr>
        <w:t>elle incluait parmi les bénéficiaires certains pays développés, en particulier cinq</w:t>
      </w:r>
      <w:r w:rsidR="00F436BF" w:rsidRPr="00B7599D">
        <w:rPr>
          <w:lang w:val="fr-FR"/>
        </w:rPr>
        <w:t> </w:t>
      </w:r>
      <w:r w:rsidRPr="00B7599D">
        <w:rPr>
          <w:lang w:val="fr-FR"/>
        </w:rPr>
        <w:t>pays de l</w:t>
      </w:r>
      <w:r w:rsidR="002F6E75" w:rsidRPr="00B7599D">
        <w:rPr>
          <w:lang w:val="fr-FR"/>
        </w:rPr>
        <w:t>’</w:t>
      </w:r>
      <w:r w:rsidRPr="00B7599D">
        <w:rPr>
          <w:lang w:val="fr-FR"/>
        </w:rPr>
        <w:t>Union européenne, alors que deux</w:t>
      </w:r>
      <w:r w:rsidR="00F436BF" w:rsidRPr="00B7599D">
        <w:rPr>
          <w:lang w:val="fr-FR"/>
        </w:rPr>
        <w:t> </w:t>
      </w:r>
      <w:r w:rsidRPr="00B7599D">
        <w:rPr>
          <w:lang w:val="fr-FR"/>
        </w:rPr>
        <w:t>pays en développement ne bénéficieraient plus de réduction des taxes.</w:t>
      </w:r>
      <w:r w:rsidR="0067787B" w:rsidRPr="00B7599D">
        <w:rPr>
          <w:lang w:val="fr-FR"/>
        </w:rPr>
        <w:t xml:space="preserve">  </w:t>
      </w:r>
      <w:r w:rsidRPr="00B7599D">
        <w:rPr>
          <w:lang w:val="fr-FR"/>
        </w:rPr>
        <w:t>Bien que la délégation reconnaisse que certains des pays développés qui bénéficieraient de réductions des taxes pouvaient avoir souffert de la crise économique, il fallait considérer que cette crise était temporaire et qu</w:t>
      </w:r>
      <w:r w:rsidR="002F6E75" w:rsidRPr="00B7599D">
        <w:rPr>
          <w:lang w:val="fr-FR"/>
        </w:rPr>
        <w:t>’</w:t>
      </w:r>
      <w:r w:rsidRPr="00B7599D">
        <w:rPr>
          <w:lang w:val="fr-FR"/>
        </w:rPr>
        <w:t xml:space="preserve">elle ne changeait rien au fait que ces pays enregistraient malgré </w:t>
      </w:r>
      <w:proofErr w:type="spellStart"/>
      <w:r w:rsidRPr="00B7599D">
        <w:rPr>
          <w:lang w:val="fr-FR"/>
        </w:rPr>
        <w:t>tout</w:t>
      </w:r>
      <w:proofErr w:type="spellEnd"/>
      <w:r w:rsidRPr="00B7599D">
        <w:rPr>
          <w:lang w:val="fr-FR"/>
        </w:rPr>
        <w:t xml:space="preserve"> des niveaux d</w:t>
      </w:r>
      <w:r w:rsidR="002F6E75" w:rsidRPr="00B7599D">
        <w:rPr>
          <w:lang w:val="fr-FR"/>
        </w:rPr>
        <w:t>’</w:t>
      </w:r>
      <w:r w:rsidRPr="00B7599D">
        <w:rPr>
          <w:lang w:val="fr-FR"/>
        </w:rPr>
        <w:t xml:space="preserve">innovation et de dépôt de demandes de brevet très élevés par rapport aux pays en développement et aux pays les </w:t>
      </w:r>
      <w:r w:rsidR="00407F21">
        <w:rPr>
          <w:lang w:val="fr-FR"/>
        </w:rPr>
        <w:t>moins avancés.  La délégation a </w:t>
      </w:r>
      <w:r w:rsidRPr="00B7599D">
        <w:rPr>
          <w:lang w:val="fr-FR"/>
        </w:rPr>
        <w:t>suggéré que les critères proposés fondés sur le revenu et l</w:t>
      </w:r>
      <w:r w:rsidR="002F6E75" w:rsidRPr="00B7599D">
        <w:rPr>
          <w:lang w:val="fr-FR"/>
        </w:rPr>
        <w:t>’</w:t>
      </w:r>
      <w:r w:rsidRPr="00B7599D">
        <w:rPr>
          <w:lang w:val="fr-FR"/>
        </w:rPr>
        <w:t>innovation soient complétés par d</w:t>
      </w:r>
      <w:r w:rsidR="002F6E75" w:rsidRPr="00B7599D">
        <w:rPr>
          <w:lang w:val="fr-FR"/>
        </w:rPr>
        <w:t>’</w:t>
      </w:r>
      <w:r w:rsidRPr="00B7599D">
        <w:rPr>
          <w:lang w:val="fr-FR"/>
        </w:rPr>
        <w:t>autres critères, tels que le niveau d</w:t>
      </w:r>
      <w:r w:rsidR="002F6E75" w:rsidRPr="00B7599D">
        <w:rPr>
          <w:lang w:val="fr-FR"/>
        </w:rPr>
        <w:t>’</w:t>
      </w:r>
      <w:r w:rsidRPr="00B7599D">
        <w:rPr>
          <w:lang w:val="fr-FR"/>
        </w:rPr>
        <w:t>innovation mesuré par l</w:t>
      </w:r>
      <w:r w:rsidR="002F6E75" w:rsidRPr="00B7599D">
        <w:rPr>
          <w:lang w:val="fr-FR"/>
        </w:rPr>
        <w:t>’</w:t>
      </w:r>
      <w:r w:rsidRPr="00B7599D">
        <w:rPr>
          <w:lang w:val="fr-FR"/>
        </w:rPr>
        <w:t>indice mondial de l</w:t>
      </w:r>
      <w:r w:rsidR="002F6E75" w:rsidRPr="00B7599D">
        <w:rPr>
          <w:lang w:val="fr-FR"/>
        </w:rPr>
        <w:t>’</w:t>
      </w:r>
      <w:r w:rsidRPr="00B7599D">
        <w:rPr>
          <w:lang w:val="fr-FR"/>
        </w:rPr>
        <w:t>innovation publié par l</w:t>
      </w:r>
      <w:r w:rsidR="002F6E75" w:rsidRPr="00B7599D">
        <w:rPr>
          <w:lang w:val="fr-FR"/>
        </w:rPr>
        <w:t>’</w:t>
      </w:r>
      <w:r w:rsidRPr="00B7599D">
        <w:rPr>
          <w:lang w:val="fr-FR"/>
        </w:rPr>
        <w:t>OMPI.</w:t>
      </w:r>
    </w:p>
    <w:p w:rsidR="005F6828" w:rsidRPr="00B7599D" w:rsidRDefault="00ED1C22" w:rsidP="00ED1C22">
      <w:pPr>
        <w:pStyle w:val="ONUMFS"/>
        <w:rPr>
          <w:lang w:val="fr-FR"/>
        </w:rPr>
      </w:pPr>
      <w:r w:rsidRPr="00B7599D">
        <w:rPr>
          <w:lang w:val="fr-FR"/>
        </w:rPr>
        <w:t>Une délégation a estimé que l</w:t>
      </w:r>
      <w:r w:rsidR="002F6E75" w:rsidRPr="00B7599D">
        <w:rPr>
          <w:lang w:val="fr-FR"/>
        </w:rPr>
        <w:t>’</w:t>
      </w:r>
      <w:r w:rsidRPr="00B7599D">
        <w:rPr>
          <w:lang w:val="fr-FR"/>
        </w:rPr>
        <w:t>excédent de recettes au titre des taxes</w:t>
      </w:r>
      <w:r w:rsidR="002F6E75" w:rsidRPr="00B7599D">
        <w:rPr>
          <w:lang w:val="fr-FR"/>
        </w:rPr>
        <w:t xml:space="preserve"> du PCT</w:t>
      </w:r>
      <w:r w:rsidRPr="00B7599D">
        <w:rPr>
          <w:lang w:val="fr-FR"/>
        </w:rPr>
        <w:t xml:space="preserve"> découlant des gains d</w:t>
      </w:r>
      <w:r w:rsidR="002F6E75" w:rsidRPr="00B7599D">
        <w:rPr>
          <w:lang w:val="fr-FR"/>
        </w:rPr>
        <w:t>’</w:t>
      </w:r>
      <w:r w:rsidRPr="00B7599D">
        <w:rPr>
          <w:lang w:val="fr-FR"/>
        </w:rPr>
        <w:t>efficacité et de productivité obtenus récemment dans le cadre de l</w:t>
      </w:r>
      <w:r w:rsidR="002F6E75" w:rsidRPr="00B7599D">
        <w:rPr>
          <w:lang w:val="fr-FR"/>
        </w:rPr>
        <w:t>’</w:t>
      </w:r>
      <w:r w:rsidRPr="00B7599D">
        <w:rPr>
          <w:lang w:val="fr-FR"/>
        </w:rPr>
        <w:t>administration du système</w:t>
      </w:r>
      <w:r w:rsidR="002F6E75" w:rsidRPr="00B7599D">
        <w:rPr>
          <w:lang w:val="fr-FR"/>
        </w:rPr>
        <w:t xml:space="preserve"> du PCT</w:t>
      </w:r>
      <w:r w:rsidRPr="00B7599D">
        <w:rPr>
          <w:lang w:val="fr-FR"/>
        </w:rPr>
        <w:t xml:space="preserve"> par le Bureau international devrait être utilisé pour baisser les taxes</w:t>
      </w:r>
      <w:r w:rsidR="002F6E75" w:rsidRPr="00B7599D">
        <w:rPr>
          <w:lang w:val="fr-FR"/>
        </w:rPr>
        <w:t xml:space="preserve"> du PCT</w:t>
      </w:r>
      <w:r w:rsidRPr="00B7599D">
        <w:rPr>
          <w:lang w:val="fr-FR"/>
        </w:rPr>
        <w:t>, dans l</w:t>
      </w:r>
      <w:r w:rsidR="002F6E75" w:rsidRPr="00B7599D">
        <w:rPr>
          <w:lang w:val="fr-FR"/>
        </w:rPr>
        <w:t>’</w:t>
      </w:r>
      <w:r w:rsidRPr="00B7599D">
        <w:rPr>
          <w:lang w:val="fr-FR"/>
        </w:rPr>
        <w:t>intérêt des déposants et de manière à promouvoir l</w:t>
      </w:r>
      <w:r w:rsidR="002F6E75" w:rsidRPr="00B7599D">
        <w:rPr>
          <w:lang w:val="fr-FR"/>
        </w:rPr>
        <w:t>’</w:t>
      </w:r>
      <w:r w:rsidRPr="00B7599D">
        <w:rPr>
          <w:lang w:val="fr-FR"/>
        </w:rPr>
        <w:t>utilisation accrue du système.  La délégation a également suggéré d</w:t>
      </w:r>
      <w:r w:rsidR="002F6E75" w:rsidRPr="00B7599D">
        <w:rPr>
          <w:lang w:val="fr-FR"/>
        </w:rPr>
        <w:t>’</w:t>
      </w:r>
      <w:r w:rsidRPr="00B7599D">
        <w:rPr>
          <w:lang w:val="fr-FR"/>
        </w:rPr>
        <w:t>envisager l</w:t>
      </w:r>
      <w:r w:rsidR="002F6E75" w:rsidRPr="00B7599D">
        <w:rPr>
          <w:lang w:val="fr-FR"/>
        </w:rPr>
        <w:t>’</w:t>
      </w:r>
      <w:r w:rsidRPr="00B7599D">
        <w:rPr>
          <w:lang w:val="fr-FR"/>
        </w:rPr>
        <w:t>introduction d</w:t>
      </w:r>
      <w:r w:rsidR="002F6E75" w:rsidRPr="00B7599D">
        <w:rPr>
          <w:lang w:val="fr-FR"/>
        </w:rPr>
        <w:t>’</w:t>
      </w:r>
      <w:r w:rsidRPr="00B7599D">
        <w:rPr>
          <w:lang w:val="fr-FR"/>
        </w:rPr>
        <w:t>un système de réduction des taxes échelonné et progressif afin de faciliter la transition entre le statut de pays bénéficiant de réductions des taxes et le statut de pays n</w:t>
      </w:r>
      <w:r w:rsidR="002F6E75" w:rsidRPr="00B7599D">
        <w:rPr>
          <w:lang w:val="fr-FR"/>
        </w:rPr>
        <w:t>’</w:t>
      </w:r>
      <w:r w:rsidRPr="00B7599D">
        <w:rPr>
          <w:lang w:val="fr-FR"/>
        </w:rPr>
        <w:t>en bénéficiant plus.</w:t>
      </w:r>
    </w:p>
    <w:p w:rsidR="005F6828" w:rsidRPr="00B7599D" w:rsidRDefault="00ED1C22" w:rsidP="00ED1C22">
      <w:pPr>
        <w:pStyle w:val="ONUMFS"/>
        <w:ind w:left="567"/>
        <w:rPr>
          <w:lang w:val="fr-FR"/>
        </w:rPr>
      </w:pPr>
      <w:r w:rsidRPr="00B7599D">
        <w:rPr>
          <w:lang w:val="fr-FR"/>
        </w:rPr>
        <w:t>À l</w:t>
      </w:r>
      <w:r w:rsidR="002F6E75" w:rsidRPr="00B7599D">
        <w:rPr>
          <w:lang w:val="fr-FR"/>
        </w:rPr>
        <w:t>’</w:t>
      </w:r>
      <w:r w:rsidRPr="00B7599D">
        <w:rPr>
          <w:lang w:val="fr-FR"/>
        </w:rPr>
        <w:t>issue de discussions informelles conduites par le président, le groupe de travail est convenu des propositions de modification du barème des taxes indiquées à l</w:t>
      </w:r>
      <w:r w:rsidR="002F6E75" w:rsidRPr="00B7599D">
        <w:rPr>
          <w:lang w:val="fr-FR"/>
        </w:rPr>
        <w:t>’</w:t>
      </w:r>
      <w:r w:rsidRPr="00B7599D">
        <w:rPr>
          <w:lang w:val="fr-FR"/>
        </w:rPr>
        <w:t>annexe</w:t>
      </w:r>
      <w:r w:rsidR="00407F21">
        <w:rPr>
          <w:lang w:val="fr-FR"/>
        </w:rPr>
        <w:t> </w:t>
      </w:r>
      <w:r w:rsidRPr="00B7599D">
        <w:rPr>
          <w:lang w:val="fr-FR"/>
        </w:rPr>
        <w:t>I du présent résumé</w:t>
      </w:r>
      <w:r w:rsidRPr="00B7599D">
        <w:rPr>
          <w:rStyle w:val="FootnoteReference"/>
          <w:lang w:val="fr-FR"/>
        </w:rPr>
        <w:footnoteReference w:id="3"/>
      </w:r>
      <w:r w:rsidRPr="00B7599D">
        <w:rPr>
          <w:lang w:val="fr-FR"/>
        </w:rPr>
        <w:t xml:space="preserve"> et des propositions de directives concernant la mise à jour de la liste des États satisfaisant aux critères donnant droit à la réduction de certaines taxes</w:t>
      </w:r>
      <w:r w:rsidR="002F6E75" w:rsidRPr="00B7599D">
        <w:rPr>
          <w:lang w:val="fr-FR"/>
        </w:rPr>
        <w:t xml:space="preserve"> du PCT</w:t>
      </w:r>
      <w:r w:rsidRPr="00B7599D">
        <w:rPr>
          <w:lang w:val="fr-FR"/>
        </w:rPr>
        <w:t xml:space="preserve"> reproduites à l</w:t>
      </w:r>
      <w:r w:rsidR="002F6E75" w:rsidRPr="00B7599D">
        <w:rPr>
          <w:lang w:val="fr-FR"/>
        </w:rPr>
        <w:t>’</w:t>
      </w:r>
      <w:r w:rsidRPr="00B7599D">
        <w:rPr>
          <w:lang w:val="fr-FR"/>
        </w:rPr>
        <w:t>annexe</w:t>
      </w:r>
      <w:r w:rsidR="00D35E91">
        <w:rPr>
          <w:lang w:val="fr-FR"/>
        </w:rPr>
        <w:t> </w:t>
      </w:r>
      <w:r w:rsidRPr="00B7599D">
        <w:rPr>
          <w:lang w:val="fr-FR"/>
        </w:rPr>
        <w:t>II du présent résumé en vue de leur soumission à l</w:t>
      </w:r>
      <w:r w:rsidR="002F6E75" w:rsidRPr="00B7599D">
        <w:rPr>
          <w:lang w:val="fr-FR"/>
        </w:rPr>
        <w:t>’</w:t>
      </w:r>
      <w:r w:rsidRPr="00B7599D">
        <w:rPr>
          <w:lang w:val="fr-FR"/>
        </w:rPr>
        <w:t xml:space="preserve">assemblée pour examen à sa prochaine session, en </w:t>
      </w:r>
      <w:r w:rsidR="002F6E75" w:rsidRPr="00B7599D">
        <w:rPr>
          <w:lang w:val="fr-FR"/>
        </w:rPr>
        <w:t>septembre 20</w:t>
      </w:r>
      <w:r w:rsidRPr="00B7599D">
        <w:rPr>
          <w:lang w:val="fr-FR"/>
        </w:rPr>
        <w:t>14, sous réserve d</w:t>
      </w:r>
      <w:r w:rsidR="002F6E75" w:rsidRPr="00B7599D">
        <w:rPr>
          <w:lang w:val="fr-FR"/>
        </w:rPr>
        <w:t>’</w:t>
      </w:r>
      <w:r w:rsidRPr="00B7599D">
        <w:rPr>
          <w:lang w:val="fr-FR"/>
        </w:rPr>
        <w:t>éventuelles modifications d</w:t>
      </w:r>
      <w:r w:rsidR="002F6E75" w:rsidRPr="00B7599D">
        <w:rPr>
          <w:lang w:val="fr-FR"/>
        </w:rPr>
        <w:t>’</w:t>
      </w:r>
      <w:r w:rsidRPr="00B7599D">
        <w:rPr>
          <w:lang w:val="fr-FR"/>
        </w:rPr>
        <w:t>ordre rédactionnel à apporter par le Secrétariat.</w:t>
      </w:r>
    </w:p>
    <w:p w:rsidR="005F6828" w:rsidRPr="00B7599D" w:rsidRDefault="00ED1C22" w:rsidP="00ED1C22">
      <w:pPr>
        <w:pStyle w:val="ONUMFS"/>
        <w:ind w:left="567"/>
        <w:rPr>
          <w:lang w:val="fr-FR"/>
        </w:rPr>
      </w:pPr>
      <w:r w:rsidRPr="00B7599D">
        <w:rPr>
          <w:lang w:val="fr-FR"/>
        </w:rPr>
        <w:t>En ce qui concerne l</w:t>
      </w:r>
      <w:r w:rsidR="002F6E75" w:rsidRPr="00B7599D">
        <w:rPr>
          <w:lang w:val="fr-FR"/>
        </w:rPr>
        <w:t>’</w:t>
      </w:r>
      <w:r w:rsidRPr="00B7599D">
        <w:rPr>
          <w:lang w:val="fr-FR"/>
        </w:rPr>
        <w:t>entrée en vigueur du barème de taxes modifié, le groupe de travail est convenu de recommander à l</w:t>
      </w:r>
      <w:r w:rsidR="002F6E75" w:rsidRPr="00B7599D">
        <w:rPr>
          <w:lang w:val="fr-FR"/>
        </w:rPr>
        <w:t>’</w:t>
      </w:r>
      <w:r w:rsidRPr="00B7599D">
        <w:rPr>
          <w:lang w:val="fr-FR"/>
        </w:rPr>
        <w:t>assemblée que les modifications présentées à l</w:t>
      </w:r>
      <w:r w:rsidR="002F6E75" w:rsidRPr="00B7599D">
        <w:rPr>
          <w:lang w:val="fr-FR"/>
        </w:rPr>
        <w:t>’</w:t>
      </w:r>
      <w:r w:rsidR="00D35E91">
        <w:rPr>
          <w:lang w:val="fr-FR"/>
        </w:rPr>
        <w:t>annexe </w:t>
      </w:r>
      <w:r w:rsidRPr="00B7599D">
        <w:rPr>
          <w:lang w:val="fr-FR"/>
        </w:rPr>
        <w:t>I en</w:t>
      </w:r>
      <w:r w:rsidR="00B56A02" w:rsidRPr="00B7599D">
        <w:rPr>
          <w:lang w:val="fr-FR"/>
        </w:rPr>
        <w:t xml:space="preserve">trent en vigueur le </w:t>
      </w:r>
      <w:r w:rsidR="002F6E75" w:rsidRPr="00B7599D">
        <w:rPr>
          <w:lang w:val="fr-FR"/>
        </w:rPr>
        <w:t>1</w:t>
      </w:r>
      <w:r w:rsidR="002F6E75" w:rsidRPr="00B7599D">
        <w:rPr>
          <w:vertAlign w:val="superscript"/>
          <w:lang w:val="fr-FR"/>
        </w:rPr>
        <w:t>er</w:t>
      </w:r>
      <w:r w:rsidR="002F6E75" w:rsidRPr="00B7599D">
        <w:rPr>
          <w:lang w:val="fr-FR"/>
        </w:rPr>
        <w:t> juillet 20</w:t>
      </w:r>
      <w:r w:rsidRPr="00B7599D">
        <w:rPr>
          <w:lang w:val="fr-FR"/>
        </w:rPr>
        <w:t>15 et soient soumises aux dispositions habituellement prévues concernant le montant payable lorsque le montant de la taxe a changé (règle</w:t>
      </w:r>
      <w:r w:rsidR="00F436BF" w:rsidRPr="00B7599D">
        <w:rPr>
          <w:lang w:val="fr-FR"/>
        </w:rPr>
        <w:t> </w:t>
      </w:r>
      <w:r w:rsidRPr="00B7599D">
        <w:rPr>
          <w:lang w:val="fr-FR"/>
        </w:rPr>
        <w:t>15.4 eu égard à la taxe internationale de dépôt</w:t>
      </w:r>
      <w:r w:rsidR="00F436BF" w:rsidRPr="00B7599D">
        <w:rPr>
          <w:lang w:val="fr-FR"/>
        </w:rPr>
        <w:t> </w:t>
      </w:r>
      <w:r w:rsidRPr="00B7599D">
        <w:rPr>
          <w:lang w:val="fr-FR"/>
        </w:rPr>
        <w:t>: le montant dû est le montant applicable à la date de réception de la demande internationale par l</w:t>
      </w:r>
      <w:r w:rsidR="002F6E75" w:rsidRPr="00B7599D">
        <w:rPr>
          <w:lang w:val="fr-FR"/>
        </w:rPr>
        <w:t>’</w:t>
      </w:r>
      <w:r w:rsidRPr="00B7599D">
        <w:rPr>
          <w:lang w:val="fr-FR"/>
        </w:rPr>
        <w:t>office récepteur;  règle</w:t>
      </w:r>
      <w:r w:rsidR="00F436BF" w:rsidRPr="00B7599D">
        <w:rPr>
          <w:lang w:val="fr-FR"/>
        </w:rPr>
        <w:t> </w:t>
      </w:r>
      <w:r w:rsidRPr="00B7599D">
        <w:rPr>
          <w:lang w:val="fr-FR"/>
        </w:rPr>
        <w:t>45</w:t>
      </w:r>
      <w:r w:rsidRPr="00B7599D">
        <w:rPr>
          <w:i/>
          <w:lang w:val="fr-FR"/>
        </w:rPr>
        <w:t>bis</w:t>
      </w:r>
      <w:r w:rsidRPr="00B7599D">
        <w:rPr>
          <w:lang w:val="fr-FR"/>
        </w:rPr>
        <w:t>.2.c) eu égard à la taxe de traitement de la recherche supplémentaire</w:t>
      </w:r>
      <w:r w:rsidR="00F436BF" w:rsidRPr="00B7599D">
        <w:rPr>
          <w:lang w:val="fr-FR"/>
        </w:rPr>
        <w:t> </w:t>
      </w:r>
      <w:r w:rsidRPr="00B7599D">
        <w:rPr>
          <w:lang w:val="fr-FR"/>
        </w:rPr>
        <w:t>: le montant dû est le montant applicable à la date à laquelle la taxe de traitement de la recherche supplémentaire est payée;  et règle</w:t>
      </w:r>
      <w:r w:rsidR="00F436BF" w:rsidRPr="00B7599D">
        <w:rPr>
          <w:lang w:val="fr-FR"/>
        </w:rPr>
        <w:t> </w:t>
      </w:r>
      <w:r w:rsidRPr="00B7599D">
        <w:rPr>
          <w:lang w:val="fr-FR"/>
        </w:rPr>
        <w:t>57.3.d) eu égard à la taxe de traitement selon le chapitre</w:t>
      </w:r>
      <w:r w:rsidR="00F436BF" w:rsidRPr="00B7599D">
        <w:rPr>
          <w:lang w:val="fr-FR"/>
        </w:rPr>
        <w:t> </w:t>
      </w:r>
      <w:r w:rsidRPr="00B7599D">
        <w:rPr>
          <w:lang w:val="fr-FR"/>
        </w:rPr>
        <w:t>II</w:t>
      </w:r>
      <w:r w:rsidR="00F436BF" w:rsidRPr="00B7599D">
        <w:rPr>
          <w:lang w:val="fr-FR"/>
        </w:rPr>
        <w:t> </w:t>
      </w:r>
      <w:r w:rsidRPr="00B7599D">
        <w:rPr>
          <w:lang w:val="fr-FR"/>
        </w:rPr>
        <w:t>: le montant dû est le montant applicable à la date à laquelle la taxe de traitement est payée).</w:t>
      </w:r>
      <w:r w:rsidR="0067787B" w:rsidRPr="00B7599D">
        <w:rPr>
          <w:lang w:val="fr-FR"/>
        </w:rPr>
        <w:t xml:space="preserve">  </w:t>
      </w:r>
      <w:r w:rsidRPr="00B7599D">
        <w:rPr>
          <w:lang w:val="fr-FR"/>
        </w:rPr>
        <w:t>En conséquence, le groupe de travail est convenu de recommander à l</w:t>
      </w:r>
      <w:r w:rsidR="002F6E75" w:rsidRPr="00B7599D">
        <w:rPr>
          <w:lang w:val="fr-FR"/>
        </w:rPr>
        <w:t>’</w:t>
      </w:r>
      <w:r w:rsidRPr="00B7599D">
        <w:rPr>
          <w:lang w:val="fr-FR"/>
        </w:rPr>
        <w:t>assemblée que les réductions de taxes s</w:t>
      </w:r>
      <w:r w:rsidR="002F6E75" w:rsidRPr="00B7599D">
        <w:rPr>
          <w:lang w:val="fr-FR"/>
        </w:rPr>
        <w:t>’</w:t>
      </w:r>
      <w:r w:rsidRPr="00B7599D">
        <w:rPr>
          <w:lang w:val="fr-FR"/>
        </w:rPr>
        <w:t>appliquent de la manière suivante</w:t>
      </w:r>
      <w:r w:rsidR="00F436BF" w:rsidRPr="00B7599D">
        <w:rPr>
          <w:lang w:val="fr-FR"/>
        </w:rPr>
        <w:t> </w:t>
      </w:r>
      <w:r w:rsidRPr="00B7599D">
        <w:rPr>
          <w:lang w:val="fr-FR"/>
        </w:rPr>
        <w:t>:</w:t>
      </w:r>
    </w:p>
    <w:p w:rsidR="005F6828" w:rsidRPr="00B7599D" w:rsidRDefault="00ED1C22" w:rsidP="00ED1C22">
      <w:pPr>
        <w:pStyle w:val="ONUMFS"/>
        <w:numPr>
          <w:ilvl w:val="1"/>
          <w:numId w:val="6"/>
        </w:numPr>
        <w:ind w:left="1134"/>
        <w:rPr>
          <w:lang w:val="fr-FR"/>
        </w:rPr>
      </w:pPr>
      <w:r w:rsidRPr="00B7599D">
        <w:rPr>
          <w:lang w:val="fr-FR"/>
        </w:rPr>
        <w:lastRenderedPageBreak/>
        <w:t>concernant la taxe internationale de dépôt, la nouvelle réduction serait applicable à toute demande internationale reçue par l</w:t>
      </w:r>
      <w:r w:rsidR="002F6E75" w:rsidRPr="00B7599D">
        <w:rPr>
          <w:lang w:val="fr-FR"/>
        </w:rPr>
        <w:t>’</w:t>
      </w:r>
      <w:r w:rsidRPr="00B7599D">
        <w:rPr>
          <w:lang w:val="fr-FR"/>
        </w:rPr>
        <w:t>office récepteur le 1</w:t>
      </w:r>
      <w:r w:rsidRPr="00B7599D">
        <w:rPr>
          <w:vertAlign w:val="superscript"/>
          <w:lang w:val="fr-FR"/>
        </w:rPr>
        <w:t>er</w:t>
      </w:r>
      <w:r w:rsidR="002F6E75" w:rsidRPr="00B7599D">
        <w:rPr>
          <w:lang w:val="fr-FR"/>
        </w:rPr>
        <w:t> juillet 20</w:t>
      </w:r>
      <w:r w:rsidRPr="00B7599D">
        <w:rPr>
          <w:lang w:val="fr-FR"/>
        </w:rPr>
        <w:t>15 ou après cette date.  La réduction actuellement en vigueur continuerait d</w:t>
      </w:r>
      <w:r w:rsidR="002F6E75" w:rsidRPr="00B7599D">
        <w:rPr>
          <w:lang w:val="fr-FR"/>
        </w:rPr>
        <w:t>’</w:t>
      </w:r>
      <w:r w:rsidRPr="00B7599D">
        <w:rPr>
          <w:lang w:val="fr-FR"/>
        </w:rPr>
        <w:t>être applicable à toute demande internationale reçue avant cette date, indépendamment de la date internationale de dépôt qui pourrait être attribuée ultérieurement à cette demande (règle</w:t>
      </w:r>
      <w:r w:rsidR="00F436BF" w:rsidRPr="00B7599D">
        <w:rPr>
          <w:lang w:val="fr-FR"/>
        </w:rPr>
        <w:t> </w:t>
      </w:r>
      <w:r w:rsidRPr="00B7599D">
        <w:rPr>
          <w:lang w:val="fr-FR"/>
        </w:rPr>
        <w:t>15.4);</w:t>
      </w:r>
    </w:p>
    <w:p w:rsidR="005F6828" w:rsidRPr="00B7599D" w:rsidRDefault="00ED1C22" w:rsidP="00ED1C22">
      <w:pPr>
        <w:pStyle w:val="ONUMFS"/>
        <w:numPr>
          <w:ilvl w:val="1"/>
          <w:numId w:val="6"/>
        </w:numPr>
        <w:ind w:left="1134"/>
        <w:rPr>
          <w:lang w:val="fr-FR"/>
        </w:rPr>
      </w:pPr>
      <w:r w:rsidRPr="00B7599D">
        <w:rPr>
          <w:lang w:val="fr-FR"/>
        </w:rPr>
        <w:t>concernant la taxe de traitement et la taxe de traitement de la recherche supplémentaire, la nouvelle réduction serait applicable à toute demande à</w:t>
      </w:r>
      <w:r w:rsidR="00F436BF" w:rsidRPr="00B7599D">
        <w:rPr>
          <w:lang w:val="fr-FR"/>
        </w:rPr>
        <w:t> </w:t>
      </w:r>
      <w:r w:rsidRPr="00B7599D">
        <w:rPr>
          <w:lang w:val="fr-FR"/>
        </w:rPr>
        <w:t>l</w:t>
      </w:r>
      <w:r w:rsidR="002F6E75" w:rsidRPr="00B7599D">
        <w:rPr>
          <w:lang w:val="fr-FR"/>
        </w:rPr>
        <w:t>’</w:t>
      </w:r>
      <w:r w:rsidRPr="00B7599D">
        <w:rPr>
          <w:lang w:val="fr-FR"/>
        </w:rPr>
        <w:t>égard de laque</w:t>
      </w:r>
      <w:r w:rsidR="00B56A02" w:rsidRPr="00B7599D">
        <w:rPr>
          <w:lang w:val="fr-FR"/>
        </w:rPr>
        <w:t xml:space="preserve">lle la taxe aura été payée le </w:t>
      </w:r>
      <w:r w:rsidR="002F6E75" w:rsidRPr="00B7599D">
        <w:rPr>
          <w:lang w:val="fr-FR"/>
        </w:rPr>
        <w:t>1</w:t>
      </w:r>
      <w:r w:rsidR="002F6E75" w:rsidRPr="00B7599D">
        <w:rPr>
          <w:vertAlign w:val="superscript"/>
          <w:lang w:val="fr-FR"/>
        </w:rPr>
        <w:t>er</w:t>
      </w:r>
      <w:r w:rsidR="002F6E75" w:rsidRPr="00B7599D">
        <w:rPr>
          <w:lang w:val="fr-FR"/>
        </w:rPr>
        <w:t> juillet 20</w:t>
      </w:r>
      <w:r w:rsidRPr="00B7599D">
        <w:rPr>
          <w:lang w:val="fr-FR"/>
        </w:rPr>
        <w:t>15 ou après cette date, quelle que soit la date à laquelle la demande de recherche internationale supplémentaire ou la demande d</w:t>
      </w:r>
      <w:r w:rsidR="002F6E75" w:rsidRPr="00B7599D">
        <w:rPr>
          <w:lang w:val="fr-FR"/>
        </w:rPr>
        <w:t>’</w:t>
      </w:r>
      <w:r w:rsidRPr="00B7599D">
        <w:rPr>
          <w:lang w:val="fr-FR"/>
        </w:rPr>
        <w:t>examen préliminaire international, respectivement, aura été présentée (règles</w:t>
      </w:r>
      <w:r w:rsidR="00F436BF" w:rsidRPr="00B7599D">
        <w:rPr>
          <w:lang w:val="fr-FR"/>
        </w:rPr>
        <w:t> </w:t>
      </w:r>
      <w:r w:rsidRPr="00B7599D">
        <w:rPr>
          <w:lang w:val="fr-FR"/>
        </w:rPr>
        <w:t>45</w:t>
      </w:r>
      <w:r w:rsidRPr="00B7599D">
        <w:rPr>
          <w:i/>
          <w:lang w:val="fr-FR"/>
        </w:rPr>
        <w:t>bis</w:t>
      </w:r>
      <w:r w:rsidRPr="00B7599D">
        <w:rPr>
          <w:lang w:val="fr-FR"/>
        </w:rPr>
        <w:t>.2.c) et 57.3.d)).</w:t>
      </w:r>
    </w:p>
    <w:p w:rsidR="005F6828" w:rsidRPr="00B7599D" w:rsidRDefault="00ED1C22" w:rsidP="00ED1C22">
      <w:pPr>
        <w:pStyle w:val="ONUMFS"/>
        <w:ind w:left="567"/>
        <w:rPr>
          <w:lang w:val="fr-FR"/>
        </w:rPr>
      </w:pPr>
      <w:r w:rsidRPr="00B7599D">
        <w:rPr>
          <w:lang w:val="fr-FR"/>
        </w:rPr>
        <w:t>Le groupe de travail a recommandé qu</w:t>
      </w:r>
      <w:r w:rsidR="002F6E75" w:rsidRPr="00B7599D">
        <w:rPr>
          <w:lang w:val="fr-FR"/>
        </w:rPr>
        <w:t>’</w:t>
      </w:r>
      <w:r w:rsidRPr="00B7599D">
        <w:rPr>
          <w:lang w:val="fr-FR"/>
        </w:rPr>
        <w:t>un rapport sur l</w:t>
      </w:r>
      <w:r w:rsidR="002F6E75" w:rsidRPr="00B7599D">
        <w:rPr>
          <w:lang w:val="fr-FR"/>
        </w:rPr>
        <w:t>’</w:t>
      </w:r>
      <w:r w:rsidRPr="00B7599D">
        <w:rPr>
          <w:lang w:val="fr-FR"/>
        </w:rPr>
        <w:t>état d</w:t>
      </w:r>
      <w:r w:rsidR="002F6E75" w:rsidRPr="00B7599D">
        <w:rPr>
          <w:lang w:val="fr-FR"/>
        </w:rPr>
        <w:t>’</w:t>
      </w:r>
      <w:r w:rsidRPr="00B7599D">
        <w:rPr>
          <w:lang w:val="fr-FR"/>
        </w:rPr>
        <w:t xml:space="preserve">avancement de la mise en </w:t>
      </w:r>
      <w:r w:rsidR="002F6E75" w:rsidRPr="00B7599D">
        <w:rPr>
          <w:lang w:val="fr-FR"/>
        </w:rPr>
        <w:t>œuvre</w:t>
      </w:r>
      <w:r w:rsidRPr="00B7599D">
        <w:rPr>
          <w:lang w:val="fr-FR"/>
        </w:rPr>
        <w:t xml:space="preserve"> soit établi deux</w:t>
      </w:r>
      <w:r w:rsidR="00F436BF" w:rsidRPr="00B7599D">
        <w:rPr>
          <w:lang w:val="fr-FR"/>
        </w:rPr>
        <w:t> </w:t>
      </w:r>
      <w:r w:rsidRPr="00B7599D">
        <w:rPr>
          <w:lang w:val="fr-FR"/>
        </w:rPr>
        <w:t>ans après l</w:t>
      </w:r>
      <w:r w:rsidR="002F6E75" w:rsidRPr="00B7599D">
        <w:rPr>
          <w:lang w:val="fr-FR"/>
        </w:rPr>
        <w:t>’</w:t>
      </w:r>
      <w:r w:rsidRPr="00B7599D">
        <w:rPr>
          <w:lang w:val="fr-FR"/>
        </w:rPr>
        <w:t>entrée en vigueur des modifications.</w:t>
      </w:r>
    </w:p>
    <w:p w:rsidR="005F6828" w:rsidRPr="00B7599D" w:rsidRDefault="00BC731E" w:rsidP="00BC731E">
      <w:pPr>
        <w:pStyle w:val="ONUMFS"/>
        <w:rPr>
          <w:lang w:val="fr-FR"/>
        </w:rPr>
      </w:pPr>
      <w:r w:rsidRPr="00B7599D">
        <w:rPr>
          <w:lang w:val="fr-FR"/>
        </w:rPr>
        <w:t xml:space="preserve">Un certain nombre de délégations ont </w:t>
      </w:r>
      <w:r w:rsidR="00B56A02" w:rsidRPr="00B7599D">
        <w:rPr>
          <w:lang w:val="fr-FR"/>
        </w:rPr>
        <w:t>déclaré fermement que</w:t>
      </w:r>
      <w:r w:rsidRPr="00B7599D">
        <w:rPr>
          <w:lang w:val="fr-FR"/>
        </w:rPr>
        <w:t xml:space="preserve"> le Comité d</w:t>
      </w:r>
      <w:r w:rsidR="002F6E75" w:rsidRPr="00B7599D">
        <w:rPr>
          <w:lang w:val="fr-FR"/>
        </w:rPr>
        <w:t>’</w:t>
      </w:r>
      <w:r w:rsidRPr="00B7599D">
        <w:rPr>
          <w:lang w:val="fr-FR"/>
        </w:rPr>
        <w:t>assistance technique du PCT prévu à l</w:t>
      </w:r>
      <w:r w:rsidR="002F6E75" w:rsidRPr="00B7599D">
        <w:rPr>
          <w:lang w:val="fr-FR"/>
        </w:rPr>
        <w:t>’</w:t>
      </w:r>
      <w:r w:rsidRPr="00B7599D">
        <w:rPr>
          <w:lang w:val="fr-FR"/>
        </w:rPr>
        <w:t>article</w:t>
      </w:r>
      <w:r w:rsidR="00F436BF" w:rsidRPr="00B7599D">
        <w:rPr>
          <w:lang w:val="fr-FR"/>
        </w:rPr>
        <w:t> </w:t>
      </w:r>
      <w:r w:rsidRPr="00B7599D">
        <w:rPr>
          <w:lang w:val="fr-FR"/>
        </w:rPr>
        <w:t>51</w:t>
      </w:r>
      <w:r w:rsidR="002F6E75" w:rsidRPr="00B7599D">
        <w:rPr>
          <w:lang w:val="fr-FR"/>
        </w:rPr>
        <w:t xml:space="preserve"> du PCT</w:t>
      </w:r>
      <w:r w:rsidRPr="00B7599D">
        <w:rPr>
          <w:lang w:val="fr-FR"/>
        </w:rPr>
        <w:t xml:space="preserve"> devrait être convoqué dans un avenir proche.</w:t>
      </w:r>
      <w:r w:rsidR="00E22934" w:rsidRPr="00B7599D">
        <w:rPr>
          <w:lang w:val="fr-FR"/>
        </w:rPr>
        <w:t xml:space="preserve">  </w:t>
      </w:r>
      <w:r w:rsidRPr="00B7599D">
        <w:rPr>
          <w:lang w:val="fr-FR"/>
        </w:rPr>
        <w:t>Une autre délégation a indiqué qu</w:t>
      </w:r>
      <w:r w:rsidR="002F6E75" w:rsidRPr="00B7599D">
        <w:rPr>
          <w:lang w:val="fr-FR"/>
        </w:rPr>
        <w:t>’</w:t>
      </w:r>
      <w:r w:rsidRPr="00B7599D">
        <w:rPr>
          <w:lang w:val="fr-FR"/>
        </w:rPr>
        <w:t>elle n</w:t>
      </w:r>
      <w:r w:rsidR="002F6E75" w:rsidRPr="00B7599D">
        <w:rPr>
          <w:lang w:val="fr-FR"/>
        </w:rPr>
        <w:t>’</w:t>
      </w:r>
      <w:r w:rsidRPr="00B7599D">
        <w:rPr>
          <w:lang w:val="fr-FR"/>
        </w:rPr>
        <w:t>était pas en mesure de souscrire à cette opinion à ce stade.</w:t>
      </w:r>
    </w:p>
    <w:p w:rsidR="002F6E75" w:rsidRPr="00B7599D" w:rsidRDefault="00BC731E" w:rsidP="00BC731E">
      <w:pPr>
        <w:pStyle w:val="Heading1"/>
        <w:rPr>
          <w:lang w:val="fr-FR"/>
        </w:rPr>
      </w:pPr>
      <w:r w:rsidRPr="00B7599D">
        <w:rPr>
          <w:lang w:val="fr-FR"/>
        </w:rPr>
        <w:t>Point</w:t>
      </w:r>
      <w:r w:rsidR="00F436BF" w:rsidRPr="00B7599D">
        <w:rPr>
          <w:lang w:val="fr-FR"/>
        </w:rPr>
        <w:t> </w:t>
      </w:r>
      <w:r w:rsidRPr="00B7599D">
        <w:rPr>
          <w:lang w:val="fr-FR"/>
        </w:rPr>
        <w:t>10 de l</w:t>
      </w:r>
      <w:r w:rsidR="002F6E75" w:rsidRPr="00B7599D">
        <w:rPr>
          <w:lang w:val="fr-FR"/>
        </w:rPr>
        <w:t>’</w:t>
      </w:r>
      <w:r w:rsidRPr="00B7599D">
        <w:rPr>
          <w:lang w:val="fr-FR"/>
        </w:rPr>
        <w:t>ordre du jour</w:t>
      </w:r>
      <w:r w:rsidR="00F436BF" w:rsidRPr="00B7599D">
        <w:rPr>
          <w:lang w:val="fr-FR"/>
        </w:rPr>
        <w:t> </w:t>
      </w:r>
      <w:r w:rsidRPr="00B7599D">
        <w:rPr>
          <w:lang w:val="fr-FR"/>
        </w:rPr>
        <w:t>: coordination de l</w:t>
      </w:r>
      <w:r w:rsidR="002F6E75" w:rsidRPr="00B7599D">
        <w:rPr>
          <w:lang w:val="fr-FR"/>
        </w:rPr>
        <w:t>’</w:t>
      </w:r>
      <w:r w:rsidRPr="00B7599D">
        <w:rPr>
          <w:lang w:val="fr-FR"/>
        </w:rPr>
        <w:t>assistance technique relevant</w:t>
      </w:r>
      <w:r w:rsidR="002F6E75" w:rsidRPr="00B7599D">
        <w:rPr>
          <w:lang w:val="fr-FR"/>
        </w:rPr>
        <w:t xml:space="preserve"> du PCT</w:t>
      </w:r>
    </w:p>
    <w:p w:rsidR="005F6828" w:rsidRPr="00B7599D" w:rsidRDefault="00BC731E" w:rsidP="00BC731E">
      <w:pPr>
        <w:pStyle w:val="ONUMFS"/>
        <w:rPr>
          <w:lang w:val="fr-FR"/>
        </w:rPr>
      </w:pPr>
      <w:r w:rsidRPr="00B7599D">
        <w:rPr>
          <w:lang w:val="fr-FR"/>
        </w:rPr>
        <w:t>Les délibérations ont eu lieu sur la base du document PCT/WG/7/14.</w:t>
      </w:r>
    </w:p>
    <w:p w:rsidR="005F6828" w:rsidRPr="00B7599D" w:rsidRDefault="00BC731E" w:rsidP="00BC731E">
      <w:pPr>
        <w:pStyle w:val="ONUMFS"/>
        <w:rPr>
          <w:lang w:val="fr-FR"/>
        </w:rPr>
      </w:pPr>
      <w:r w:rsidRPr="00B7599D">
        <w:rPr>
          <w:lang w:val="fr-FR"/>
        </w:rPr>
        <w:t>En présentant le document PCT/WG/7/14, le Secrétariat a rendu compte verbalement au groupe de travail des résultats des délibérations sur l</w:t>
      </w:r>
      <w:r w:rsidR="002F6E75" w:rsidRPr="00B7599D">
        <w:rPr>
          <w:lang w:val="fr-FR"/>
        </w:rPr>
        <w:t>’</w:t>
      </w:r>
      <w:r w:rsidRPr="00B7599D">
        <w:rPr>
          <w:lang w:val="fr-FR"/>
        </w:rPr>
        <w:t>Étude extérieure sur l</w:t>
      </w:r>
      <w:r w:rsidR="002F6E75" w:rsidRPr="00B7599D">
        <w:rPr>
          <w:lang w:val="fr-FR"/>
        </w:rPr>
        <w:t>’</w:t>
      </w:r>
      <w:r w:rsidRPr="00B7599D">
        <w:rPr>
          <w:lang w:val="fr-FR"/>
        </w:rPr>
        <w:t>assistance technique fournie par l</w:t>
      </w:r>
      <w:r w:rsidR="002F6E75" w:rsidRPr="00B7599D">
        <w:rPr>
          <w:lang w:val="fr-FR"/>
        </w:rPr>
        <w:t>’</w:t>
      </w:r>
      <w:r w:rsidRPr="00B7599D">
        <w:rPr>
          <w:lang w:val="fr-FR"/>
        </w:rPr>
        <w:t>OMPI dans le domaine de la coopér</w:t>
      </w:r>
      <w:r w:rsidR="00B56A02" w:rsidRPr="00B7599D">
        <w:rPr>
          <w:lang w:val="fr-FR"/>
        </w:rPr>
        <w:t>ation pour le développement (ci</w:t>
      </w:r>
      <w:r w:rsidR="00407F21" w:rsidRPr="00407F21">
        <w:rPr>
          <w:lang w:val="fr-FR"/>
        </w:rPr>
        <w:noBreakHyphen/>
      </w:r>
      <w:r w:rsidRPr="00B7599D">
        <w:rPr>
          <w:lang w:val="fr-FR"/>
        </w:rPr>
        <w:t>après dénommée “étude extérieure”, document CDIP/8/INF/1) et les documents connexes menées par le Comité du développement et de la propriété intellectuelle (CDIP) à sa treizième</w:t>
      </w:r>
      <w:r w:rsidR="00F436BF" w:rsidRPr="00B7599D">
        <w:rPr>
          <w:lang w:val="fr-FR"/>
        </w:rPr>
        <w:t> </w:t>
      </w:r>
      <w:r w:rsidRPr="00B7599D">
        <w:rPr>
          <w:lang w:val="fr-FR"/>
        </w:rPr>
        <w:t>session.  Faisant référence au résumé présenté par le président de cette session, le Secrétariat a indiqué que</w:t>
      </w:r>
      <w:r w:rsidR="002F6E75" w:rsidRPr="00B7599D">
        <w:rPr>
          <w:lang w:val="fr-FR"/>
        </w:rPr>
        <w:t xml:space="preserve"> le CDI</w:t>
      </w:r>
      <w:r w:rsidRPr="00B7599D">
        <w:rPr>
          <w:lang w:val="fr-FR"/>
        </w:rPr>
        <w:t>P, n</w:t>
      </w:r>
      <w:r w:rsidR="002F6E75" w:rsidRPr="00B7599D">
        <w:rPr>
          <w:lang w:val="fr-FR"/>
        </w:rPr>
        <w:t>’</w:t>
      </w:r>
      <w:r w:rsidRPr="00B7599D">
        <w:rPr>
          <w:lang w:val="fr-FR"/>
        </w:rPr>
        <w:t>ayant pu parvenir à un accord sur la manière de procéder à</w:t>
      </w:r>
      <w:r w:rsidR="00F436BF" w:rsidRPr="00B7599D">
        <w:rPr>
          <w:lang w:val="fr-FR"/>
        </w:rPr>
        <w:t> </w:t>
      </w:r>
      <w:r w:rsidRPr="00B7599D">
        <w:rPr>
          <w:lang w:val="fr-FR"/>
        </w:rPr>
        <w:t>l</w:t>
      </w:r>
      <w:r w:rsidR="002F6E75" w:rsidRPr="00B7599D">
        <w:rPr>
          <w:lang w:val="fr-FR"/>
        </w:rPr>
        <w:t>’</w:t>
      </w:r>
      <w:r w:rsidRPr="00B7599D">
        <w:rPr>
          <w:lang w:val="fr-FR"/>
        </w:rPr>
        <w:t>égard de l</w:t>
      </w:r>
      <w:r w:rsidR="002F6E75" w:rsidRPr="00B7599D">
        <w:rPr>
          <w:lang w:val="fr-FR"/>
        </w:rPr>
        <w:t>’</w:t>
      </w:r>
      <w:r w:rsidRPr="00B7599D">
        <w:rPr>
          <w:lang w:val="fr-FR"/>
        </w:rPr>
        <w:t>étude extérieure, avait décidé d</w:t>
      </w:r>
      <w:r w:rsidR="002F6E75" w:rsidRPr="00B7599D">
        <w:rPr>
          <w:lang w:val="fr-FR"/>
        </w:rPr>
        <w:t>’</w:t>
      </w:r>
      <w:r w:rsidRPr="00B7599D">
        <w:rPr>
          <w:lang w:val="fr-FR"/>
        </w:rPr>
        <w:t>examiner cette question à sa prochaine session.</w:t>
      </w:r>
    </w:p>
    <w:p w:rsidR="005F6828" w:rsidRPr="00F63008" w:rsidRDefault="00BC731E" w:rsidP="00F63008">
      <w:pPr>
        <w:pStyle w:val="ONUMFS"/>
        <w:rPr>
          <w:lang w:val="fr-FR"/>
        </w:rPr>
      </w:pPr>
      <w:r w:rsidRPr="00B7599D">
        <w:rPr>
          <w:lang w:val="fr-FR"/>
        </w:rPr>
        <w:t>La délégation de l</w:t>
      </w:r>
      <w:r w:rsidR="002F6E75" w:rsidRPr="00B7599D">
        <w:rPr>
          <w:lang w:val="fr-FR"/>
        </w:rPr>
        <w:t>’</w:t>
      </w:r>
      <w:r w:rsidRPr="00B7599D">
        <w:rPr>
          <w:lang w:val="fr-FR"/>
        </w:rPr>
        <w:t>Australie a présenté un exposé sur le programme régional d</w:t>
      </w:r>
      <w:r w:rsidR="002F6E75" w:rsidRPr="00B7599D">
        <w:rPr>
          <w:lang w:val="fr-FR"/>
        </w:rPr>
        <w:t>’</w:t>
      </w:r>
      <w:r w:rsidRPr="00B7599D">
        <w:rPr>
          <w:lang w:val="fr-FR"/>
        </w:rPr>
        <w:t>examen des brevets (</w:t>
      </w:r>
      <w:proofErr w:type="spellStart"/>
      <w:r w:rsidRPr="00B7599D">
        <w:rPr>
          <w:lang w:val="fr-FR"/>
        </w:rPr>
        <w:t>Regional</w:t>
      </w:r>
      <w:proofErr w:type="spellEnd"/>
      <w:r w:rsidRPr="00B7599D">
        <w:rPr>
          <w:lang w:val="fr-FR"/>
        </w:rPr>
        <w:t xml:space="preserve"> Patent </w:t>
      </w:r>
      <w:proofErr w:type="spellStart"/>
      <w:r w:rsidRPr="00B7599D">
        <w:rPr>
          <w:lang w:val="fr-FR"/>
        </w:rPr>
        <w:t>Examination</w:t>
      </w:r>
      <w:proofErr w:type="spellEnd"/>
      <w:r w:rsidRPr="00B7599D">
        <w:rPr>
          <w:lang w:val="fr-FR"/>
        </w:rPr>
        <w:t xml:space="preserve"> Training (RPET)) assuré par IP </w:t>
      </w:r>
      <w:proofErr w:type="spellStart"/>
      <w:r w:rsidRPr="00B7599D">
        <w:rPr>
          <w:lang w:val="fr-FR"/>
        </w:rPr>
        <w:t>Australia</w:t>
      </w:r>
      <w:proofErr w:type="spellEnd"/>
      <w:r w:rsidRPr="00B7599D">
        <w:rPr>
          <w:rStyle w:val="FootnoteReference"/>
          <w:lang w:val="fr-FR"/>
        </w:rPr>
        <w:footnoteReference w:id="4"/>
      </w:r>
      <w:r w:rsidRPr="00B7599D">
        <w:rPr>
          <w:lang w:val="fr-FR"/>
        </w:rPr>
        <w:t>.  Ce programme offre aux examinateurs des pays en développement une formation en matière d</w:t>
      </w:r>
      <w:r w:rsidR="002F6E75" w:rsidRPr="00B7599D">
        <w:rPr>
          <w:lang w:val="fr-FR"/>
        </w:rPr>
        <w:t>’</w:t>
      </w:r>
      <w:r w:rsidRPr="00B7599D">
        <w:rPr>
          <w:lang w:val="fr-FR"/>
        </w:rPr>
        <w:t>examen des brevets axée sur les compétences et fondée sur les normes de recherche et d</w:t>
      </w:r>
      <w:r w:rsidR="002F6E75" w:rsidRPr="00B7599D">
        <w:rPr>
          <w:lang w:val="fr-FR"/>
        </w:rPr>
        <w:t>’</w:t>
      </w:r>
      <w:r w:rsidRPr="00B7599D">
        <w:rPr>
          <w:lang w:val="fr-FR"/>
        </w:rPr>
        <w:t>examen</w:t>
      </w:r>
      <w:r w:rsidR="002F6E75" w:rsidRPr="00B7599D">
        <w:rPr>
          <w:lang w:val="fr-FR"/>
        </w:rPr>
        <w:t xml:space="preserve"> du PCT</w:t>
      </w:r>
      <w:r w:rsidRPr="00B7599D">
        <w:rPr>
          <w:lang w:val="fr-FR"/>
        </w:rPr>
        <w:t xml:space="preserve">.  Les formations proposées dans le cadre de ce programme ont pour la plupart été dispensées en ligne par des formateurs de IP </w:t>
      </w:r>
      <w:proofErr w:type="spellStart"/>
      <w:r w:rsidRPr="00B7599D">
        <w:rPr>
          <w:lang w:val="fr-FR"/>
        </w:rPr>
        <w:t>Australia</w:t>
      </w:r>
      <w:proofErr w:type="spellEnd"/>
      <w:r w:rsidRPr="00B7599D">
        <w:rPr>
          <w:lang w:val="fr-FR"/>
        </w:rPr>
        <w:t xml:space="preserve"> qui ont pu suivre et évaluer les progrès accomplis par les participants jusqu</w:t>
      </w:r>
      <w:r w:rsidR="002F6E75" w:rsidRPr="00B7599D">
        <w:rPr>
          <w:lang w:val="fr-FR"/>
        </w:rPr>
        <w:t>’</w:t>
      </w:r>
      <w:r w:rsidRPr="00B7599D">
        <w:rPr>
          <w:lang w:val="fr-FR"/>
        </w:rPr>
        <w:t>à ce qu</w:t>
      </w:r>
      <w:r w:rsidR="002F6E75" w:rsidRPr="00B7599D">
        <w:rPr>
          <w:lang w:val="fr-FR"/>
        </w:rPr>
        <w:t>’</w:t>
      </w:r>
      <w:r w:rsidRPr="00B7599D">
        <w:rPr>
          <w:lang w:val="fr-FR"/>
        </w:rPr>
        <w:t>ils acquièrent le niveau de compétence requis, pendant une période pouvant aller jusqu</w:t>
      </w:r>
      <w:r w:rsidR="002F6E75" w:rsidRPr="00B7599D">
        <w:rPr>
          <w:lang w:val="fr-FR"/>
        </w:rPr>
        <w:t>’</w:t>
      </w:r>
      <w:r w:rsidRPr="00B7599D">
        <w:rPr>
          <w:lang w:val="fr-FR"/>
        </w:rPr>
        <w:t>à deux</w:t>
      </w:r>
      <w:r w:rsidR="00F436BF" w:rsidRPr="00B7599D">
        <w:rPr>
          <w:lang w:val="fr-FR"/>
        </w:rPr>
        <w:t> </w:t>
      </w:r>
      <w:r w:rsidRPr="00B7599D">
        <w:rPr>
          <w:lang w:val="fr-FR"/>
        </w:rPr>
        <w:t>ans.</w:t>
      </w:r>
      <w:r w:rsidR="005F422B" w:rsidRPr="00B7599D">
        <w:rPr>
          <w:lang w:val="fr-FR"/>
        </w:rPr>
        <w:t xml:space="preserve">  </w:t>
      </w:r>
      <w:r w:rsidRPr="00B7599D">
        <w:rPr>
          <w:lang w:val="fr-FR"/>
        </w:rPr>
        <w:t>Le projet pilote lancé en</w:t>
      </w:r>
      <w:r w:rsidR="00F436BF" w:rsidRPr="00B7599D">
        <w:rPr>
          <w:lang w:val="fr-FR"/>
        </w:rPr>
        <w:t> </w:t>
      </w:r>
      <w:r w:rsidRPr="00B7599D">
        <w:rPr>
          <w:lang w:val="fr-FR"/>
        </w:rPr>
        <w:t>2013 concernait huit</w:t>
      </w:r>
      <w:r w:rsidR="00F436BF" w:rsidRPr="00B7599D">
        <w:rPr>
          <w:lang w:val="fr-FR"/>
        </w:rPr>
        <w:t> </w:t>
      </w:r>
      <w:r w:rsidRPr="00B7599D">
        <w:rPr>
          <w:lang w:val="fr-FR"/>
        </w:rPr>
        <w:t>participants de cinq</w:t>
      </w:r>
      <w:r w:rsidR="00F436BF" w:rsidRPr="00B7599D">
        <w:rPr>
          <w:lang w:val="fr-FR"/>
        </w:rPr>
        <w:t> </w:t>
      </w:r>
      <w:r w:rsidRPr="00B7599D">
        <w:rPr>
          <w:lang w:val="fr-FR"/>
        </w:rPr>
        <w:t>offices de propriété intellectuelle qui avaient pu bénéficier d</w:t>
      </w:r>
      <w:r w:rsidR="002F6E75" w:rsidRPr="00B7599D">
        <w:rPr>
          <w:lang w:val="fr-FR"/>
        </w:rPr>
        <w:t>’</w:t>
      </w:r>
      <w:r w:rsidRPr="00B7599D">
        <w:rPr>
          <w:lang w:val="fr-FR"/>
        </w:rPr>
        <w:t>un appui financier fourni au titre du Programme de coopération économique de l</w:t>
      </w:r>
      <w:r w:rsidR="002F6E75" w:rsidRPr="00B7599D">
        <w:rPr>
          <w:lang w:val="fr-FR"/>
        </w:rPr>
        <w:t>’</w:t>
      </w:r>
      <w:r w:rsidRPr="00B7599D">
        <w:rPr>
          <w:lang w:val="fr-FR"/>
        </w:rPr>
        <w:t>Accord de</w:t>
      </w:r>
      <w:r w:rsidR="002947E6">
        <w:rPr>
          <w:lang w:val="fr-FR"/>
        </w:rPr>
        <w:t xml:space="preserve"> </w:t>
      </w:r>
      <w:r w:rsidRPr="00F63008">
        <w:rPr>
          <w:lang w:val="fr-FR"/>
        </w:rPr>
        <w:t>libre</w:t>
      </w:r>
      <w:r w:rsidR="00D35E91" w:rsidRPr="00F63008">
        <w:rPr>
          <w:lang w:val="fr-FR"/>
        </w:rPr>
        <w:noBreakHyphen/>
      </w:r>
      <w:r w:rsidRPr="00F63008">
        <w:rPr>
          <w:lang w:val="fr-FR"/>
        </w:rPr>
        <w:t>échange ANASE</w:t>
      </w:r>
      <w:r w:rsidR="00D35E91" w:rsidRPr="00F63008">
        <w:rPr>
          <w:lang w:val="fr-FR"/>
        </w:rPr>
        <w:noBreakHyphen/>
      </w:r>
      <w:r w:rsidRPr="00F63008">
        <w:rPr>
          <w:lang w:val="fr-FR"/>
        </w:rPr>
        <w:t>Australie</w:t>
      </w:r>
      <w:r w:rsidR="00D35E91" w:rsidRPr="00F63008">
        <w:rPr>
          <w:lang w:val="fr-FR"/>
        </w:rPr>
        <w:noBreakHyphen/>
      </w:r>
      <w:r w:rsidRPr="00F63008">
        <w:rPr>
          <w:lang w:val="fr-FR"/>
        </w:rPr>
        <w:t>Nouvelle</w:t>
      </w:r>
      <w:r w:rsidR="00D35E91" w:rsidRPr="00F63008">
        <w:rPr>
          <w:lang w:val="fr-FR"/>
        </w:rPr>
        <w:noBreakHyphen/>
      </w:r>
      <w:r w:rsidRPr="00F63008">
        <w:rPr>
          <w:lang w:val="fr-FR"/>
        </w:rPr>
        <w:t>Zélande et par l</w:t>
      </w:r>
      <w:r w:rsidR="002F6E75" w:rsidRPr="00F63008">
        <w:rPr>
          <w:lang w:val="fr-FR"/>
        </w:rPr>
        <w:t>’</w:t>
      </w:r>
      <w:r w:rsidRPr="00F63008">
        <w:rPr>
          <w:lang w:val="fr-FR"/>
        </w:rPr>
        <w:t>OMPI.  Ce programme était en train d</w:t>
      </w:r>
      <w:r w:rsidR="002F6E75" w:rsidRPr="00F63008">
        <w:rPr>
          <w:lang w:val="fr-FR"/>
        </w:rPr>
        <w:t>’</w:t>
      </w:r>
      <w:r w:rsidRPr="00F63008">
        <w:rPr>
          <w:lang w:val="fr-FR"/>
        </w:rPr>
        <w:t>être développé cette année pour accueillir 15</w:t>
      </w:r>
      <w:r w:rsidR="00407F21" w:rsidRPr="00F63008">
        <w:rPr>
          <w:lang w:val="fr-FR"/>
        </w:rPr>
        <w:t> </w:t>
      </w:r>
      <w:r w:rsidRPr="00F63008">
        <w:rPr>
          <w:lang w:val="fr-FR"/>
        </w:rPr>
        <w:t>participants et deux</w:t>
      </w:r>
      <w:r w:rsidR="00F436BF" w:rsidRPr="00F63008">
        <w:rPr>
          <w:lang w:val="fr-FR"/>
        </w:rPr>
        <w:t> </w:t>
      </w:r>
      <w:r w:rsidRPr="00F63008">
        <w:rPr>
          <w:lang w:val="fr-FR"/>
        </w:rPr>
        <w:t>offices participants supplémentaires de la région de l</w:t>
      </w:r>
      <w:r w:rsidR="002F6E75" w:rsidRPr="00F63008">
        <w:rPr>
          <w:lang w:val="fr-FR"/>
        </w:rPr>
        <w:t>’</w:t>
      </w:r>
      <w:r w:rsidRPr="00F63008">
        <w:rPr>
          <w:lang w:val="fr-FR"/>
        </w:rPr>
        <w:t>ANASE.</w:t>
      </w:r>
    </w:p>
    <w:p w:rsidR="005F6828" w:rsidRPr="00B7599D" w:rsidRDefault="00BC731E" w:rsidP="00BC731E">
      <w:pPr>
        <w:pStyle w:val="ONUMFS"/>
        <w:rPr>
          <w:lang w:val="fr-FR"/>
        </w:rPr>
      </w:pPr>
      <w:r w:rsidRPr="00B7599D">
        <w:rPr>
          <w:lang w:val="fr-FR"/>
        </w:rPr>
        <w:t>Plusieurs délégations ont accueilli avec satisfaction le rapport du Bureau international sur les projets d</w:t>
      </w:r>
      <w:r w:rsidR="002F6E75" w:rsidRPr="00B7599D">
        <w:rPr>
          <w:lang w:val="fr-FR"/>
        </w:rPr>
        <w:t>’</w:t>
      </w:r>
      <w:r w:rsidRPr="00B7599D">
        <w:rPr>
          <w:lang w:val="fr-FR"/>
        </w:rPr>
        <w:t>assistance technique, déclarant que les informations contenues dans ce document prouvaient que les programmes d</w:t>
      </w:r>
      <w:r w:rsidR="002F6E75" w:rsidRPr="00B7599D">
        <w:rPr>
          <w:lang w:val="fr-FR"/>
        </w:rPr>
        <w:t>’</w:t>
      </w:r>
      <w:r w:rsidRPr="00B7599D">
        <w:rPr>
          <w:lang w:val="fr-FR"/>
        </w:rPr>
        <w:t>assistance technique relatifs</w:t>
      </w:r>
      <w:r w:rsidR="002F6E75" w:rsidRPr="00B7599D">
        <w:rPr>
          <w:lang w:val="fr-FR"/>
        </w:rPr>
        <w:t xml:space="preserve"> au PCT</w:t>
      </w:r>
      <w:r w:rsidRPr="00B7599D">
        <w:rPr>
          <w:lang w:val="fr-FR"/>
        </w:rPr>
        <w:t xml:space="preserve"> faisaient partie </w:t>
      </w:r>
      <w:r w:rsidRPr="00B7599D">
        <w:rPr>
          <w:lang w:val="fr-FR"/>
        </w:rPr>
        <w:lastRenderedPageBreak/>
        <w:t>intégrante des activités d</w:t>
      </w:r>
      <w:r w:rsidR="002F6E75" w:rsidRPr="00B7599D">
        <w:rPr>
          <w:lang w:val="fr-FR"/>
        </w:rPr>
        <w:t>’</w:t>
      </w:r>
      <w:r w:rsidRPr="00B7599D">
        <w:rPr>
          <w:lang w:val="fr-FR"/>
        </w:rPr>
        <w:t>assistance technique plus larges menées par l</w:t>
      </w:r>
      <w:r w:rsidR="002F6E75" w:rsidRPr="00B7599D">
        <w:rPr>
          <w:lang w:val="fr-FR"/>
        </w:rPr>
        <w:t>’</w:t>
      </w:r>
      <w:r w:rsidRPr="00B7599D">
        <w:rPr>
          <w:lang w:val="fr-FR"/>
        </w:rPr>
        <w:t>OMPI pour développer et améliorer le système</w:t>
      </w:r>
      <w:r w:rsidR="002F6E75" w:rsidRPr="00B7599D">
        <w:rPr>
          <w:lang w:val="fr-FR"/>
        </w:rPr>
        <w:t xml:space="preserve"> du PCT</w:t>
      </w:r>
      <w:r w:rsidRPr="00B7599D">
        <w:rPr>
          <w:lang w:val="fr-FR"/>
        </w:rPr>
        <w:t>.  Ces délégations ont fait valoir que l</w:t>
      </w:r>
      <w:r w:rsidR="002F6E75" w:rsidRPr="00B7599D">
        <w:rPr>
          <w:lang w:val="fr-FR"/>
        </w:rPr>
        <w:t>’</w:t>
      </w:r>
      <w:r w:rsidRPr="00B7599D">
        <w:rPr>
          <w:lang w:val="fr-FR"/>
        </w:rPr>
        <w:t>assistance technique propre</w:t>
      </w:r>
      <w:r w:rsidR="002F6E75" w:rsidRPr="00B7599D">
        <w:rPr>
          <w:lang w:val="fr-FR"/>
        </w:rPr>
        <w:t xml:space="preserve"> au PCT</w:t>
      </w:r>
      <w:r w:rsidRPr="00B7599D">
        <w:rPr>
          <w:lang w:val="fr-FR"/>
        </w:rPr>
        <w:t xml:space="preserve"> ne devrait pas être disjointe des autres formes d</w:t>
      </w:r>
      <w:r w:rsidR="002F6E75" w:rsidRPr="00B7599D">
        <w:rPr>
          <w:lang w:val="fr-FR"/>
        </w:rPr>
        <w:t>’</w:t>
      </w:r>
      <w:r w:rsidRPr="00B7599D">
        <w:rPr>
          <w:lang w:val="fr-FR"/>
        </w:rPr>
        <w:t>assistance technique assurées par l</w:t>
      </w:r>
      <w:r w:rsidR="002F6E75" w:rsidRPr="00B7599D">
        <w:rPr>
          <w:lang w:val="fr-FR"/>
        </w:rPr>
        <w:t>’</w:t>
      </w:r>
      <w:r w:rsidRPr="00B7599D">
        <w:rPr>
          <w:lang w:val="fr-FR"/>
        </w:rPr>
        <w:t>OMPI, pour que l</w:t>
      </w:r>
      <w:r w:rsidR="002F6E75" w:rsidRPr="00B7599D">
        <w:rPr>
          <w:lang w:val="fr-FR"/>
        </w:rPr>
        <w:t>’</w:t>
      </w:r>
      <w:r w:rsidRPr="00B7599D">
        <w:rPr>
          <w:lang w:val="fr-FR"/>
        </w:rPr>
        <w:t>assistance technique soit envisagée et fournie de manière efficace et pour éviter la répétition et le chevauchement des programmes.  Le groupe de travail devrait donc continuer à surseoir à l</w:t>
      </w:r>
      <w:r w:rsidR="002F6E75" w:rsidRPr="00B7599D">
        <w:rPr>
          <w:lang w:val="fr-FR"/>
        </w:rPr>
        <w:t>’</w:t>
      </w:r>
      <w:r w:rsidRPr="00B7599D">
        <w:rPr>
          <w:lang w:val="fr-FR"/>
        </w:rPr>
        <w:t>examen des suites à donner aux parties de la recommandation de la feuille de route</w:t>
      </w:r>
      <w:r w:rsidR="002F6E75" w:rsidRPr="00B7599D">
        <w:rPr>
          <w:lang w:val="fr-FR"/>
        </w:rPr>
        <w:t xml:space="preserve"> du PCT</w:t>
      </w:r>
      <w:r w:rsidRPr="00B7599D">
        <w:rPr>
          <w:lang w:val="fr-FR"/>
        </w:rPr>
        <w:t xml:space="preserve"> concernant l</w:t>
      </w:r>
      <w:r w:rsidR="002F6E75" w:rsidRPr="00B7599D">
        <w:rPr>
          <w:lang w:val="fr-FR"/>
        </w:rPr>
        <w:t>’</w:t>
      </w:r>
      <w:r w:rsidRPr="00B7599D">
        <w:rPr>
          <w:lang w:val="fr-FR"/>
        </w:rPr>
        <w:t>assistance technique en attendant les résultats des discussions sur l</w:t>
      </w:r>
      <w:r w:rsidR="002F6E75" w:rsidRPr="00B7599D">
        <w:rPr>
          <w:lang w:val="fr-FR"/>
        </w:rPr>
        <w:t>’</w:t>
      </w:r>
      <w:r w:rsidRPr="00B7599D">
        <w:rPr>
          <w:lang w:val="fr-FR"/>
        </w:rPr>
        <w:t>étude extérieure et les documents connexes au sein</w:t>
      </w:r>
      <w:r w:rsidR="002F6E75" w:rsidRPr="00B7599D">
        <w:rPr>
          <w:lang w:val="fr-FR"/>
        </w:rPr>
        <w:t xml:space="preserve"> du CDI</w:t>
      </w:r>
      <w:r w:rsidRPr="00B7599D">
        <w:rPr>
          <w:lang w:val="fr-FR"/>
        </w:rPr>
        <w:t>P, comme convenu à la cinquième</w:t>
      </w:r>
      <w:r w:rsidR="00F436BF" w:rsidRPr="00B7599D">
        <w:rPr>
          <w:lang w:val="fr-FR"/>
        </w:rPr>
        <w:t> </w:t>
      </w:r>
      <w:r w:rsidRPr="00B7599D">
        <w:rPr>
          <w:lang w:val="fr-FR"/>
        </w:rPr>
        <w:t>session du groupe de travail.</w:t>
      </w:r>
    </w:p>
    <w:p w:rsidR="005F6828" w:rsidRPr="00B7599D" w:rsidRDefault="00BC731E" w:rsidP="00BC731E">
      <w:pPr>
        <w:pStyle w:val="ONUMFS"/>
        <w:rPr>
          <w:lang w:val="fr-FR"/>
        </w:rPr>
      </w:pPr>
      <w:r w:rsidRPr="00B7599D">
        <w:rPr>
          <w:lang w:val="fr-FR"/>
        </w:rPr>
        <w:t>Plusieurs autres délégations ont été d</w:t>
      </w:r>
      <w:r w:rsidR="002F6E75" w:rsidRPr="00B7599D">
        <w:rPr>
          <w:lang w:val="fr-FR"/>
        </w:rPr>
        <w:t>’</w:t>
      </w:r>
      <w:r w:rsidRPr="00B7599D">
        <w:rPr>
          <w:lang w:val="fr-FR"/>
        </w:rPr>
        <w:t>avis que le groupe de travail devrait ouvrir les discussions sur l</w:t>
      </w:r>
      <w:r w:rsidR="002F6E75" w:rsidRPr="00B7599D">
        <w:rPr>
          <w:lang w:val="fr-FR"/>
        </w:rPr>
        <w:t>’</w:t>
      </w:r>
      <w:r w:rsidRPr="00B7599D">
        <w:rPr>
          <w:lang w:val="fr-FR"/>
        </w:rPr>
        <w:t>assistance technique dans le cadre des recommandations de la feuille de route</w:t>
      </w:r>
      <w:r w:rsidR="002F6E75" w:rsidRPr="00B7599D">
        <w:rPr>
          <w:lang w:val="fr-FR"/>
        </w:rPr>
        <w:t xml:space="preserve"> du PCT</w:t>
      </w:r>
      <w:r w:rsidRPr="00B7599D">
        <w:rPr>
          <w:lang w:val="fr-FR"/>
        </w:rPr>
        <w:t>.  Ces délégations ont estimé que le groupe de travail avait pour mandat d</w:t>
      </w:r>
      <w:r w:rsidR="002F6E75" w:rsidRPr="00B7599D">
        <w:rPr>
          <w:lang w:val="fr-FR"/>
        </w:rPr>
        <w:t>’</w:t>
      </w:r>
      <w:r w:rsidRPr="00B7599D">
        <w:rPr>
          <w:lang w:val="fr-FR"/>
        </w:rPr>
        <w:t>examiner l</w:t>
      </w:r>
      <w:r w:rsidR="002F6E75" w:rsidRPr="00B7599D">
        <w:rPr>
          <w:lang w:val="fr-FR"/>
        </w:rPr>
        <w:t>’</w:t>
      </w:r>
      <w:r w:rsidRPr="00B7599D">
        <w:rPr>
          <w:lang w:val="fr-FR"/>
        </w:rPr>
        <w:t>assistance technique propre</w:t>
      </w:r>
      <w:r w:rsidR="002F6E75" w:rsidRPr="00B7599D">
        <w:rPr>
          <w:lang w:val="fr-FR"/>
        </w:rPr>
        <w:t xml:space="preserve"> au PCT</w:t>
      </w:r>
      <w:r w:rsidRPr="00B7599D">
        <w:rPr>
          <w:lang w:val="fr-FR"/>
        </w:rPr>
        <w:t xml:space="preserve"> pour permettre aux pays en développement de bénéficier du système</w:t>
      </w:r>
      <w:r w:rsidR="002F6E75" w:rsidRPr="00B7599D">
        <w:rPr>
          <w:lang w:val="fr-FR"/>
        </w:rPr>
        <w:t xml:space="preserve"> du PCT</w:t>
      </w:r>
      <w:r w:rsidRPr="00B7599D">
        <w:rPr>
          <w:lang w:val="fr-FR"/>
        </w:rPr>
        <w:t xml:space="preserve"> alors que le rôle</w:t>
      </w:r>
      <w:r w:rsidR="002F6E75" w:rsidRPr="00B7599D">
        <w:rPr>
          <w:lang w:val="fr-FR"/>
        </w:rPr>
        <w:t xml:space="preserve"> du CDI</w:t>
      </w:r>
      <w:r w:rsidRPr="00B7599D">
        <w:rPr>
          <w:lang w:val="fr-FR"/>
        </w:rPr>
        <w:t>P consistait à examiner la question de l</w:t>
      </w:r>
      <w:r w:rsidR="002F6E75" w:rsidRPr="00B7599D">
        <w:rPr>
          <w:lang w:val="fr-FR"/>
        </w:rPr>
        <w:t>’</w:t>
      </w:r>
      <w:r w:rsidRPr="00B7599D">
        <w:rPr>
          <w:lang w:val="fr-FR"/>
        </w:rPr>
        <w:t>assistance technique d</w:t>
      </w:r>
      <w:r w:rsidR="002F6E75" w:rsidRPr="00B7599D">
        <w:rPr>
          <w:lang w:val="fr-FR"/>
        </w:rPr>
        <w:t>’</w:t>
      </w:r>
      <w:r w:rsidRPr="00B7599D">
        <w:rPr>
          <w:lang w:val="fr-FR"/>
        </w:rPr>
        <w:t>une manière plus générale.</w:t>
      </w:r>
      <w:r w:rsidR="005F422B" w:rsidRPr="00B7599D">
        <w:rPr>
          <w:lang w:val="fr-FR"/>
        </w:rPr>
        <w:t xml:space="preserve">  </w:t>
      </w:r>
      <w:r w:rsidRPr="00B7599D">
        <w:rPr>
          <w:lang w:val="fr-FR"/>
        </w:rPr>
        <w:t>L</w:t>
      </w:r>
      <w:r w:rsidR="002F6E75" w:rsidRPr="00B7599D">
        <w:rPr>
          <w:lang w:val="fr-FR"/>
        </w:rPr>
        <w:t>’</w:t>
      </w:r>
      <w:r w:rsidRPr="00B7599D">
        <w:rPr>
          <w:lang w:val="fr-FR"/>
        </w:rPr>
        <w:t>assistance technique propre</w:t>
      </w:r>
      <w:r w:rsidR="002F6E75" w:rsidRPr="00B7599D">
        <w:rPr>
          <w:lang w:val="fr-FR"/>
        </w:rPr>
        <w:t xml:space="preserve"> au PCT</w:t>
      </w:r>
      <w:r w:rsidRPr="00B7599D">
        <w:rPr>
          <w:lang w:val="fr-FR"/>
        </w:rPr>
        <w:t xml:space="preserve"> et les questions plus générales traitées par</w:t>
      </w:r>
      <w:r w:rsidR="002F6E75" w:rsidRPr="00B7599D">
        <w:rPr>
          <w:lang w:val="fr-FR"/>
        </w:rPr>
        <w:t xml:space="preserve"> le CDI</w:t>
      </w:r>
      <w:r w:rsidRPr="00B7599D">
        <w:rPr>
          <w:lang w:val="fr-FR"/>
        </w:rPr>
        <w:t xml:space="preserve">P pouvaient donc être </w:t>
      </w:r>
      <w:r w:rsidR="004B6B64" w:rsidRPr="00B7599D">
        <w:rPr>
          <w:lang w:val="fr-FR"/>
        </w:rPr>
        <w:t>examinées</w:t>
      </w:r>
      <w:r w:rsidRPr="00B7599D">
        <w:rPr>
          <w:lang w:val="fr-FR"/>
        </w:rPr>
        <w:t xml:space="preserve"> séparément.  Ces délégations ont également mis en évidence l</w:t>
      </w:r>
      <w:r w:rsidR="002F6E75" w:rsidRPr="00B7599D">
        <w:rPr>
          <w:lang w:val="fr-FR"/>
        </w:rPr>
        <w:t>’</w:t>
      </w:r>
      <w:r w:rsidRPr="00B7599D">
        <w:rPr>
          <w:lang w:val="fr-FR"/>
        </w:rPr>
        <w:t>absence de résultats dans les discussions</w:t>
      </w:r>
      <w:r w:rsidR="002F6E75" w:rsidRPr="00B7599D">
        <w:rPr>
          <w:lang w:val="fr-FR"/>
        </w:rPr>
        <w:t xml:space="preserve"> du CDI</w:t>
      </w:r>
      <w:r w:rsidRPr="00B7599D">
        <w:rPr>
          <w:lang w:val="fr-FR"/>
        </w:rPr>
        <w:t>P sur l</w:t>
      </w:r>
      <w:r w:rsidR="002F6E75" w:rsidRPr="00B7599D">
        <w:rPr>
          <w:lang w:val="fr-FR"/>
        </w:rPr>
        <w:t>’</w:t>
      </w:r>
      <w:r w:rsidRPr="00B7599D">
        <w:rPr>
          <w:lang w:val="fr-FR"/>
        </w:rPr>
        <w:t>étude extérieure, qui pourrait retarder indéfiniment l</w:t>
      </w:r>
      <w:r w:rsidR="002F6E75" w:rsidRPr="00B7599D">
        <w:rPr>
          <w:lang w:val="fr-FR"/>
        </w:rPr>
        <w:t>’</w:t>
      </w:r>
      <w:r w:rsidRPr="00B7599D">
        <w:rPr>
          <w:lang w:val="fr-FR"/>
        </w:rPr>
        <w:t>examen par le groupe de travail de la question de l</w:t>
      </w:r>
      <w:r w:rsidR="002F6E75" w:rsidRPr="00B7599D">
        <w:rPr>
          <w:lang w:val="fr-FR"/>
        </w:rPr>
        <w:t>’</w:t>
      </w:r>
      <w:r w:rsidRPr="00B7599D">
        <w:rPr>
          <w:lang w:val="fr-FR"/>
        </w:rPr>
        <w:t>assistance technique relative</w:t>
      </w:r>
      <w:r w:rsidR="002F6E75" w:rsidRPr="00B7599D">
        <w:rPr>
          <w:lang w:val="fr-FR"/>
        </w:rPr>
        <w:t xml:space="preserve"> au PCT</w:t>
      </w:r>
      <w:r w:rsidRPr="00B7599D">
        <w:rPr>
          <w:lang w:val="fr-FR"/>
        </w:rPr>
        <w:t xml:space="preserve"> et de la manière de l</w:t>
      </w:r>
      <w:r w:rsidR="002F6E75" w:rsidRPr="00B7599D">
        <w:rPr>
          <w:lang w:val="fr-FR"/>
        </w:rPr>
        <w:t>’</w:t>
      </w:r>
      <w:r w:rsidRPr="00B7599D">
        <w:rPr>
          <w:lang w:val="fr-FR"/>
        </w:rPr>
        <w:t>améliorer pour renforcer davantage les capacités dans les pays en développement, par exemple au moyen de formations sur le long terme à l</w:t>
      </w:r>
      <w:r w:rsidR="002F6E75" w:rsidRPr="00B7599D">
        <w:rPr>
          <w:lang w:val="fr-FR"/>
        </w:rPr>
        <w:t>’</w:t>
      </w:r>
      <w:r w:rsidRPr="00B7599D">
        <w:rPr>
          <w:lang w:val="fr-FR"/>
        </w:rPr>
        <w:t>intention des examinateurs de brevets.</w:t>
      </w:r>
    </w:p>
    <w:p w:rsidR="005F6828" w:rsidRPr="00B7599D" w:rsidRDefault="00BC731E" w:rsidP="00BC731E">
      <w:pPr>
        <w:pStyle w:val="ONUMFS"/>
        <w:rPr>
          <w:lang w:val="fr-FR"/>
        </w:rPr>
      </w:pPr>
      <w:r w:rsidRPr="00B7599D">
        <w:rPr>
          <w:lang w:val="fr-FR"/>
        </w:rPr>
        <w:t>En ce qui concerne la question de la formation des examinateurs de brevets, le Secrétariat a rappelé au groupe de travail, comme indiqué dans le résumé étab</w:t>
      </w:r>
      <w:r w:rsidR="004B6F33" w:rsidRPr="00B7599D">
        <w:rPr>
          <w:lang w:val="fr-FR"/>
        </w:rPr>
        <w:t>li par le président de la vingt </w:t>
      </w:r>
      <w:r w:rsidRPr="00B7599D">
        <w:rPr>
          <w:lang w:val="fr-FR"/>
        </w:rPr>
        <w:t>et</w:t>
      </w:r>
      <w:r w:rsidR="004B6F33" w:rsidRPr="00B7599D">
        <w:rPr>
          <w:lang w:val="fr-FR"/>
        </w:rPr>
        <w:t> </w:t>
      </w:r>
      <w:r w:rsidRPr="00B7599D">
        <w:rPr>
          <w:lang w:val="fr-FR"/>
        </w:rPr>
        <w:t>unième</w:t>
      </w:r>
      <w:r w:rsidR="00F436BF" w:rsidRPr="00B7599D">
        <w:rPr>
          <w:lang w:val="fr-FR"/>
        </w:rPr>
        <w:t> </w:t>
      </w:r>
      <w:r w:rsidRPr="00B7599D">
        <w:rPr>
          <w:lang w:val="fr-FR"/>
        </w:rPr>
        <w:t>session de la Réunion des administrations internationales</w:t>
      </w:r>
      <w:r w:rsidR="002F6E75" w:rsidRPr="00B7599D">
        <w:rPr>
          <w:lang w:val="fr-FR"/>
        </w:rPr>
        <w:t xml:space="preserve"> du PCT</w:t>
      </w:r>
      <w:r w:rsidRPr="00B7599D">
        <w:rPr>
          <w:lang w:val="fr-FR"/>
        </w:rPr>
        <w:t xml:space="preserve"> (voir les paragraphes</w:t>
      </w:r>
      <w:r w:rsidR="00F436BF" w:rsidRPr="00B7599D">
        <w:rPr>
          <w:lang w:val="fr-FR"/>
        </w:rPr>
        <w:t> </w:t>
      </w:r>
      <w:r w:rsidRPr="00B7599D">
        <w:rPr>
          <w:lang w:val="fr-FR"/>
        </w:rPr>
        <w:t>55 à 59 du résumé établi par le président qui figure à l</w:t>
      </w:r>
      <w:r w:rsidR="002F6E75" w:rsidRPr="00B7599D">
        <w:rPr>
          <w:lang w:val="fr-FR"/>
        </w:rPr>
        <w:t>’</w:t>
      </w:r>
      <w:r w:rsidRPr="00B7599D">
        <w:rPr>
          <w:lang w:val="fr-FR"/>
        </w:rPr>
        <w:t>annexe du document PCT/WG/7/3), que la Réunion des administrations internationales avait recommandé que le Bureau international formule des propositions visant à mieux coordonner la formation des examinateurs entre offices nationaux, en prenant en compte les questions relatives à une planification à long terme efficace, le partage des expériences en vue d</w:t>
      </w:r>
      <w:r w:rsidR="002F6E75" w:rsidRPr="00B7599D">
        <w:rPr>
          <w:lang w:val="fr-FR"/>
        </w:rPr>
        <w:t>’</w:t>
      </w:r>
      <w:r w:rsidRPr="00B7599D">
        <w:rPr>
          <w:lang w:val="fr-FR"/>
        </w:rPr>
        <w:t>assurer une formation efficace et de répondre aux besoins de formation des examinateurs avec les offices capables de faire le nécessaire à cet égard.  Le Bureau international avait l</w:t>
      </w:r>
      <w:r w:rsidR="002F6E75" w:rsidRPr="00B7599D">
        <w:rPr>
          <w:lang w:val="fr-FR"/>
        </w:rPr>
        <w:t>’</w:t>
      </w:r>
      <w:r w:rsidRPr="00B7599D">
        <w:rPr>
          <w:lang w:val="fr-FR"/>
        </w:rPr>
        <w:t>intention de présenter des propositions aux sessions de la Réunion des administrations internationales</w:t>
      </w:r>
      <w:r w:rsidR="002F6E75" w:rsidRPr="00B7599D">
        <w:rPr>
          <w:lang w:val="fr-FR"/>
        </w:rPr>
        <w:t xml:space="preserve"> du PCT</w:t>
      </w:r>
      <w:r w:rsidRPr="00B7599D">
        <w:rPr>
          <w:lang w:val="fr-FR"/>
        </w:rPr>
        <w:t xml:space="preserve"> qui se tiendraient l</w:t>
      </w:r>
      <w:r w:rsidR="002F6E75" w:rsidRPr="00B7599D">
        <w:rPr>
          <w:lang w:val="fr-FR"/>
        </w:rPr>
        <w:t>’</w:t>
      </w:r>
      <w:r w:rsidRPr="00B7599D">
        <w:rPr>
          <w:lang w:val="fr-FR"/>
        </w:rPr>
        <w:t>année prochaine et à la prochaine session du groupe de travail.  Par conséquent, les travaux sur des questions spécifiques relatives à l</w:t>
      </w:r>
      <w:r w:rsidR="002F6E75" w:rsidRPr="00B7599D">
        <w:rPr>
          <w:lang w:val="fr-FR"/>
        </w:rPr>
        <w:t>’</w:t>
      </w:r>
      <w:r w:rsidRPr="00B7599D">
        <w:rPr>
          <w:lang w:val="fr-FR"/>
        </w:rPr>
        <w:t>assistance technique, telles que, dans ce cas, la formation des examinateurs des pays en développement et des pays les moins avancés, se poursuivraient indépendamment et en complément des discussions en cours au sein</w:t>
      </w:r>
      <w:r w:rsidR="002F6E75" w:rsidRPr="00B7599D">
        <w:rPr>
          <w:lang w:val="fr-FR"/>
        </w:rPr>
        <w:t xml:space="preserve"> du CDI</w:t>
      </w:r>
      <w:r w:rsidRPr="00B7599D">
        <w:rPr>
          <w:lang w:val="fr-FR"/>
        </w:rPr>
        <w:t>P sur la question de l</w:t>
      </w:r>
      <w:r w:rsidR="002F6E75" w:rsidRPr="00B7599D">
        <w:rPr>
          <w:lang w:val="fr-FR"/>
        </w:rPr>
        <w:t>’</w:t>
      </w:r>
      <w:r w:rsidRPr="00B7599D">
        <w:rPr>
          <w:lang w:val="fr-FR"/>
        </w:rPr>
        <w:t>étude extérieure.</w:t>
      </w:r>
    </w:p>
    <w:p w:rsidR="005F6828" w:rsidRPr="00B7599D" w:rsidRDefault="00BC731E" w:rsidP="00BC731E">
      <w:pPr>
        <w:pStyle w:val="ONUMFS"/>
        <w:ind w:left="567"/>
        <w:rPr>
          <w:lang w:val="fr-FR"/>
        </w:rPr>
      </w:pPr>
      <w:r w:rsidRPr="00B7599D">
        <w:rPr>
          <w:lang w:val="fr-FR"/>
        </w:rPr>
        <w:t>Le groupe de travail a pris note du contenu du document PCT/WG/7/14.</w:t>
      </w:r>
    </w:p>
    <w:p w:rsidR="005F6828" w:rsidRPr="00B7599D" w:rsidRDefault="00BC731E" w:rsidP="002947E6">
      <w:pPr>
        <w:pStyle w:val="Heading1"/>
        <w:keepLines/>
        <w:rPr>
          <w:lang w:val="fr-FR"/>
        </w:rPr>
      </w:pPr>
      <w:r w:rsidRPr="00B7599D">
        <w:rPr>
          <w:lang w:val="fr-FR"/>
        </w:rPr>
        <w:t>Point</w:t>
      </w:r>
      <w:r w:rsidR="00F436BF" w:rsidRPr="00B7599D">
        <w:rPr>
          <w:lang w:val="fr-FR"/>
        </w:rPr>
        <w:t> </w:t>
      </w:r>
      <w:r w:rsidRPr="00B7599D">
        <w:rPr>
          <w:lang w:val="fr-FR"/>
        </w:rPr>
        <w:t>11 de l</w:t>
      </w:r>
      <w:r w:rsidR="002F6E75" w:rsidRPr="00B7599D">
        <w:rPr>
          <w:lang w:val="fr-FR"/>
        </w:rPr>
        <w:t>’</w:t>
      </w:r>
      <w:r w:rsidRPr="00B7599D">
        <w:rPr>
          <w:lang w:val="fr-FR"/>
        </w:rPr>
        <w:t>ordre du jour</w:t>
      </w:r>
      <w:r w:rsidR="00F436BF" w:rsidRPr="00B7599D">
        <w:rPr>
          <w:lang w:val="fr-FR"/>
        </w:rPr>
        <w:t> </w:t>
      </w:r>
      <w:r w:rsidRPr="00B7599D">
        <w:rPr>
          <w:lang w:val="fr-FR"/>
        </w:rPr>
        <w:t>: nomination des administrations internationales</w:t>
      </w:r>
    </w:p>
    <w:p w:rsidR="005F6828" w:rsidRPr="00B7599D" w:rsidRDefault="00BC731E" w:rsidP="002947E6">
      <w:pPr>
        <w:pStyle w:val="ONUMFS"/>
        <w:keepNext/>
        <w:keepLines/>
        <w:rPr>
          <w:lang w:val="fr-FR"/>
        </w:rPr>
      </w:pPr>
      <w:r w:rsidRPr="00B7599D">
        <w:rPr>
          <w:lang w:val="fr-FR"/>
        </w:rPr>
        <w:t>Les délibérations ont eu lieu sur la base du document PCT/WG/7/4.</w:t>
      </w:r>
    </w:p>
    <w:p w:rsidR="005F6828" w:rsidRPr="00B7599D" w:rsidRDefault="00BC731E" w:rsidP="00D651C2">
      <w:pPr>
        <w:pStyle w:val="ONUMFS"/>
        <w:keepLines/>
        <w:rPr>
          <w:lang w:val="fr-FR"/>
        </w:rPr>
      </w:pPr>
      <w:r w:rsidRPr="00B7599D">
        <w:rPr>
          <w:lang w:val="fr-FR"/>
        </w:rPr>
        <w:t xml:space="preserve">La délégation de la Hongrie, parlant au nom des pays du groupe de </w:t>
      </w:r>
      <w:proofErr w:type="spellStart"/>
      <w:r w:rsidRPr="00B7599D">
        <w:rPr>
          <w:lang w:val="fr-FR"/>
        </w:rPr>
        <w:t>Visegrad</w:t>
      </w:r>
      <w:proofErr w:type="spellEnd"/>
      <w:r w:rsidRPr="00B7599D">
        <w:rPr>
          <w:lang w:val="fr-FR"/>
        </w:rPr>
        <w:t xml:space="preserve"> (Hongrie, Pologne, République tchèque et Slovaquie), a informé le groupe de travail que les pays du groupe de </w:t>
      </w:r>
      <w:proofErr w:type="spellStart"/>
      <w:r w:rsidRPr="00B7599D">
        <w:rPr>
          <w:lang w:val="fr-FR"/>
        </w:rPr>
        <w:t>Visegrad</w:t>
      </w:r>
      <w:proofErr w:type="spellEnd"/>
      <w:r w:rsidRPr="00B7599D">
        <w:rPr>
          <w:lang w:val="fr-FR"/>
        </w:rPr>
        <w:t xml:space="preserve"> œuvraient à la création d</w:t>
      </w:r>
      <w:r w:rsidR="002F6E75" w:rsidRPr="00B7599D">
        <w:rPr>
          <w:lang w:val="fr-FR"/>
        </w:rPr>
        <w:t>’</w:t>
      </w:r>
      <w:r w:rsidRPr="00B7599D">
        <w:rPr>
          <w:lang w:val="fr-FR"/>
        </w:rPr>
        <w:t>une nouvelle administration internationale</w:t>
      </w:r>
      <w:r w:rsidR="002F6E75" w:rsidRPr="00B7599D">
        <w:rPr>
          <w:lang w:val="fr-FR"/>
        </w:rPr>
        <w:t xml:space="preserve"> du PCT</w:t>
      </w:r>
      <w:r w:rsidRPr="00B7599D">
        <w:rPr>
          <w:lang w:val="fr-FR"/>
        </w:rPr>
        <w:t>, indiquant que la présence d</w:t>
      </w:r>
      <w:r w:rsidR="002F6E75" w:rsidRPr="00B7599D">
        <w:rPr>
          <w:lang w:val="fr-FR"/>
        </w:rPr>
        <w:t>’</w:t>
      </w:r>
      <w:r w:rsidRPr="00B7599D">
        <w:rPr>
          <w:lang w:val="fr-FR"/>
        </w:rPr>
        <w:t>une administration</w:t>
      </w:r>
      <w:r w:rsidR="002F6E75" w:rsidRPr="00B7599D">
        <w:rPr>
          <w:lang w:val="fr-FR"/>
        </w:rPr>
        <w:t xml:space="preserve"> du PCT</w:t>
      </w:r>
      <w:r w:rsidRPr="00B7599D">
        <w:rPr>
          <w:lang w:val="fr-FR"/>
        </w:rPr>
        <w:t xml:space="preserve"> en Europe centrale et orientale offrirait aux utilisateurs une option efficace pour obtenir la protection par brevet à l</w:t>
      </w:r>
      <w:r w:rsidR="002F6E75" w:rsidRPr="00B7599D">
        <w:rPr>
          <w:lang w:val="fr-FR"/>
        </w:rPr>
        <w:t>’</w:t>
      </w:r>
      <w:r w:rsidRPr="00B7599D">
        <w:rPr>
          <w:lang w:val="fr-FR"/>
        </w:rPr>
        <w:t>échelle internationale.</w:t>
      </w:r>
    </w:p>
    <w:p w:rsidR="005F6828" w:rsidRPr="00B7599D" w:rsidRDefault="00BC731E" w:rsidP="00D651C2">
      <w:pPr>
        <w:pStyle w:val="ONUMFS"/>
        <w:keepLines/>
        <w:rPr>
          <w:lang w:val="fr-FR"/>
        </w:rPr>
      </w:pPr>
      <w:r w:rsidRPr="00B7599D">
        <w:rPr>
          <w:lang w:val="fr-FR"/>
        </w:rPr>
        <w:lastRenderedPageBreak/>
        <w:t>Plusieurs délégations ont convenu de la nécessité d</w:t>
      </w:r>
      <w:r w:rsidR="002F6E75" w:rsidRPr="00B7599D">
        <w:rPr>
          <w:lang w:val="fr-FR"/>
        </w:rPr>
        <w:t>’</w:t>
      </w:r>
      <w:r w:rsidRPr="00B7599D">
        <w:rPr>
          <w:lang w:val="fr-FR"/>
        </w:rPr>
        <w:t>améliorer les procédures applicables à la nomination d</w:t>
      </w:r>
      <w:r w:rsidR="002F6E75" w:rsidRPr="00B7599D">
        <w:rPr>
          <w:lang w:val="fr-FR"/>
        </w:rPr>
        <w:t>’</w:t>
      </w:r>
      <w:r w:rsidRPr="00B7599D">
        <w:rPr>
          <w:lang w:val="fr-FR"/>
        </w:rPr>
        <w:t>un office en qualité d</w:t>
      </w:r>
      <w:r w:rsidR="002F6E75" w:rsidRPr="00B7599D">
        <w:rPr>
          <w:lang w:val="fr-FR"/>
        </w:rPr>
        <w:t>’</w:t>
      </w:r>
      <w:r w:rsidRPr="00B7599D">
        <w:rPr>
          <w:lang w:val="fr-FR"/>
        </w:rPr>
        <w:t>administration internationale, notamment pour que le Comité de coopération technique</w:t>
      </w:r>
      <w:r w:rsidR="002F6E75" w:rsidRPr="00B7599D">
        <w:rPr>
          <w:lang w:val="fr-FR"/>
        </w:rPr>
        <w:t xml:space="preserve"> du PCT</w:t>
      </w:r>
      <w:r w:rsidRPr="00B7599D">
        <w:rPr>
          <w:lang w:val="fr-FR"/>
        </w:rPr>
        <w:t xml:space="preserve"> (PCT/CTC) puisse se réunir en véritable qualité d</w:t>
      </w:r>
      <w:r w:rsidR="002F6E75" w:rsidRPr="00B7599D">
        <w:rPr>
          <w:lang w:val="fr-FR"/>
        </w:rPr>
        <w:t>’</w:t>
      </w:r>
      <w:r w:rsidRPr="00B7599D">
        <w:rPr>
          <w:lang w:val="fr-FR"/>
        </w:rPr>
        <w:t>organe constitué d</w:t>
      </w:r>
      <w:r w:rsidR="002F6E75" w:rsidRPr="00B7599D">
        <w:rPr>
          <w:lang w:val="fr-FR"/>
        </w:rPr>
        <w:t>’</w:t>
      </w:r>
      <w:r w:rsidRPr="00B7599D">
        <w:rPr>
          <w:lang w:val="fr-FR"/>
        </w:rPr>
        <w:t>experts bien avant que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 xml:space="preserve"> se prononce sur la candidature.</w:t>
      </w:r>
    </w:p>
    <w:p w:rsidR="005F6828" w:rsidRPr="00B7599D" w:rsidRDefault="00BC731E" w:rsidP="00BC731E">
      <w:pPr>
        <w:pStyle w:val="ONUMFS"/>
        <w:rPr>
          <w:lang w:val="fr-FR"/>
        </w:rPr>
      </w:pPr>
      <w:r w:rsidRPr="00B7599D">
        <w:rPr>
          <w:lang w:val="fr-FR"/>
        </w:rPr>
        <w:t>Toutefois, des avis divergents ont été exprimés en ce qui concerne certaines des procédures de nomination proposées figurant au paragraphe</w:t>
      </w:r>
      <w:r w:rsidR="00F436BF" w:rsidRPr="00B7599D">
        <w:rPr>
          <w:lang w:val="fr-FR"/>
        </w:rPr>
        <w:t> </w:t>
      </w:r>
      <w:r w:rsidRPr="00B7599D">
        <w:rPr>
          <w:lang w:val="fr-FR"/>
        </w:rPr>
        <w:t>27 du document PCT/WG/7/4.</w:t>
      </w:r>
    </w:p>
    <w:p w:rsidR="005F6828" w:rsidRPr="00B7599D" w:rsidRDefault="00BC731E" w:rsidP="00BC731E">
      <w:pPr>
        <w:pStyle w:val="ONUMFS"/>
        <w:rPr>
          <w:lang w:val="fr-FR"/>
        </w:rPr>
      </w:pPr>
      <w:r w:rsidRPr="00B7599D">
        <w:rPr>
          <w:lang w:val="fr-FR"/>
        </w:rPr>
        <w:t>Plusieurs délégations ont appuyé la proposition selon laquelle un office souhaitant présenter sa nomination serait vivement encouragé à demander l</w:t>
      </w:r>
      <w:r w:rsidR="002F6E75" w:rsidRPr="00B7599D">
        <w:rPr>
          <w:lang w:val="fr-FR"/>
        </w:rPr>
        <w:t>’</w:t>
      </w:r>
      <w:r w:rsidRPr="00B7599D">
        <w:rPr>
          <w:lang w:val="fr-FR"/>
        </w:rPr>
        <w:t>assistance d</w:t>
      </w:r>
      <w:r w:rsidR="002F6E75" w:rsidRPr="00B7599D">
        <w:rPr>
          <w:lang w:val="fr-FR"/>
        </w:rPr>
        <w:t>’</w:t>
      </w:r>
      <w:r w:rsidRPr="00B7599D">
        <w:rPr>
          <w:lang w:val="fr-FR"/>
        </w:rPr>
        <w:t>une ou plusieurs administrations internationales existantes avant de soumettre une candidature formelle, afin de déterminer plus précisément dans quelle mesure il remplit les critères, comme indiqué au paragraphe</w:t>
      </w:r>
      <w:r w:rsidR="00F436BF" w:rsidRPr="00B7599D">
        <w:rPr>
          <w:lang w:val="fr-FR"/>
        </w:rPr>
        <w:t> </w:t>
      </w:r>
      <w:r w:rsidRPr="00B7599D">
        <w:rPr>
          <w:lang w:val="fr-FR"/>
        </w:rPr>
        <w:t>27.a) du document PCT/WG/7/4.</w:t>
      </w:r>
    </w:p>
    <w:p w:rsidR="005F6828" w:rsidRPr="00B7599D" w:rsidRDefault="00BC731E" w:rsidP="00BC731E">
      <w:pPr>
        <w:pStyle w:val="ONUMFS"/>
        <w:rPr>
          <w:lang w:val="fr-FR"/>
        </w:rPr>
      </w:pPr>
      <w:r w:rsidRPr="00B7599D">
        <w:rPr>
          <w:lang w:val="fr-FR"/>
        </w:rPr>
        <w:t>Alors que les délégations sont généralement convenues de la nécessité que la candidature soit soumise en temps voulu pour que les organes concernés disposent d</w:t>
      </w:r>
      <w:r w:rsidR="002F6E75" w:rsidRPr="00B7599D">
        <w:rPr>
          <w:lang w:val="fr-FR"/>
        </w:rPr>
        <w:t>’</w:t>
      </w:r>
      <w:r w:rsidRPr="00B7599D">
        <w:rPr>
          <w:lang w:val="fr-FR"/>
        </w:rPr>
        <w:t>un délai suffisant pour l</w:t>
      </w:r>
      <w:r w:rsidR="002F6E75" w:rsidRPr="00B7599D">
        <w:rPr>
          <w:lang w:val="fr-FR"/>
        </w:rPr>
        <w:t>’</w:t>
      </w:r>
      <w:r w:rsidRPr="00B7599D">
        <w:rPr>
          <w:lang w:val="fr-FR"/>
        </w:rPr>
        <w:t>examiner en détail, des divergences sont apparues quant au délai exact requis.</w:t>
      </w:r>
      <w:r w:rsidR="0067787B" w:rsidRPr="00B7599D">
        <w:rPr>
          <w:lang w:val="fr-FR"/>
        </w:rPr>
        <w:t xml:space="preserve">  </w:t>
      </w:r>
      <w:r w:rsidRPr="00B7599D">
        <w:rPr>
          <w:lang w:val="fr-FR"/>
        </w:rPr>
        <w:t>Les délégations qui avaient appuyé la proposition selon laquelle toute candidature devrait être inscrite à l</w:t>
      </w:r>
      <w:r w:rsidR="002F6E75" w:rsidRPr="00B7599D">
        <w:rPr>
          <w:lang w:val="fr-FR"/>
        </w:rPr>
        <w:t>’</w:t>
      </w:r>
      <w:r w:rsidRPr="00B7599D">
        <w:rPr>
          <w:lang w:val="fr-FR"/>
        </w:rPr>
        <w:t xml:space="preserve">ordre du jour de la prochaine Réunion des administrations internationales (PCT/MIA) (voir le paragraphe </w:t>
      </w:r>
      <w:r w:rsidRPr="00B7599D">
        <w:rPr>
          <w:lang w:val="fr-FR"/>
        </w:rPr>
        <w:fldChar w:fldCharType="begin"/>
      </w:r>
      <w:r w:rsidRPr="00B7599D">
        <w:rPr>
          <w:lang w:val="fr-FR"/>
        </w:rPr>
        <w:instrText xml:space="preserve"> REF _Ref390413645 \r \h  \* MERGEFORMAT  \* MERGEFORMAT </w:instrText>
      </w:r>
      <w:r w:rsidRPr="00B7599D">
        <w:rPr>
          <w:lang w:val="fr-FR"/>
        </w:rPr>
      </w:r>
      <w:r w:rsidRPr="00B7599D">
        <w:rPr>
          <w:lang w:val="fr-FR"/>
        </w:rPr>
        <w:fldChar w:fldCharType="separate"/>
      </w:r>
      <w:r w:rsidR="00581D24">
        <w:rPr>
          <w:lang w:val="fr-FR"/>
        </w:rPr>
        <w:t>47</w:t>
      </w:r>
      <w:r w:rsidRPr="00B7599D">
        <w:rPr>
          <w:lang w:val="fr-FR"/>
        </w:rPr>
        <w:fldChar w:fldCharType="end"/>
      </w:r>
      <w:r w:rsidRPr="00B7599D">
        <w:rPr>
          <w:lang w:val="fr-FR"/>
        </w:rPr>
        <w:t xml:space="preserve"> ci</w:t>
      </w:r>
      <w:r w:rsidR="002F6E75" w:rsidRPr="00B7599D">
        <w:rPr>
          <w:lang w:val="fr-FR"/>
        </w:rPr>
        <w:t>-</w:t>
      </w:r>
      <w:r w:rsidRPr="00B7599D">
        <w:rPr>
          <w:lang w:val="fr-FR"/>
        </w:rPr>
        <w:t>dessous) ont également appuyé la proposition selon laquelle toute candidature devrait être soumise l</w:t>
      </w:r>
      <w:r w:rsidR="002F6E75" w:rsidRPr="00B7599D">
        <w:rPr>
          <w:lang w:val="fr-FR"/>
        </w:rPr>
        <w:t>’</w:t>
      </w:r>
      <w:r w:rsidRPr="00B7599D">
        <w:rPr>
          <w:lang w:val="fr-FR"/>
        </w:rPr>
        <w:t>année qui précède l</w:t>
      </w:r>
      <w:r w:rsidR="002F6E75" w:rsidRPr="00B7599D">
        <w:rPr>
          <w:lang w:val="fr-FR"/>
        </w:rPr>
        <w:t>’</w:t>
      </w:r>
      <w:r w:rsidRPr="00B7599D">
        <w:rPr>
          <w:lang w:val="fr-FR"/>
        </w:rPr>
        <w:t>examen de celle</w:t>
      </w:r>
      <w:r w:rsidR="002F6E75" w:rsidRPr="00B7599D">
        <w:rPr>
          <w:lang w:val="fr-FR"/>
        </w:rPr>
        <w:t>-</w:t>
      </w:r>
      <w:r w:rsidRPr="00B7599D">
        <w:rPr>
          <w:lang w:val="fr-FR"/>
        </w:rPr>
        <w:t>ci par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 comme indiqué au paragraphe</w:t>
      </w:r>
      <w:r w:rsidR="00F436BF" w:rsidRPr="00B7599D">
        <w:rPr>
          <w:lang w:val="fr-FR"/>
        </w:rPr>
        <w:t> </w:t>
      </w:r>
      <w:r w:rsidRPr="00B7599D">
        <w:rPr>
          <w:lang w:val="fr-FR"/>
        </w:rPr>
        <w:t>27.b) du document PCT/WG/7/4.  Les délégations qui n</w:t>
      </w:r>
      <w:r w:rsidR="002F6E75" w:rsidRPr="00B7599D">
        <w:rPr>
          <w:lang w:val="fr-FR"/>
        </w:rPr>
        <w:t>’</w:t>
      </w:r>
      <w:r w:rsidRPr="00B7599D">
        <w:rPr>
          <w:lang w:val="fr-FR"/>
        </w:rPr>
        <w:t>avaient pas appuyé la proposition selon laquelle toute candidature devrait être inscrite à l</w:t>
      </w:r>
      <w:r w:rsidR="002F6E75" w:rsidRPr="00B7599D">
        <w:rPr>
          <w:lang w:val="fr-FR"/>
        </w:rPr>
        <w:t>’</w:t>
      </w:r>
      <w:r w:rsidRPr="00B7599D">
        <w:rPr>
          <w:lang w:val="fr-FR"/>
        </w:rPr>
        <w:t>ordre du jour de la prochaine Réunion des administrations internationales (PCT/MIA) ont estimé que, si la candidature était soumise en mars</w:t>
      </w:r>
      <w:r w:rsidR="008666D3" w:rsidRPr="008666D3">
        <w:rPr>
          <w:lang w:val="fr-FR"/>
        </w:rPr>
        <w:noBreakHyphen/>
      </w:r>
      <w:r w:rsidRPr="00B7599D">
        <w:rPr>
          <w:lang w:val="fr-FR"/>
        </w:rPr>
        <w:t>avril de l</w:t>
      </w:r>
      <w:r w:rsidR="002F6E75" w:rsidRPr="00B7599D">
        <w:rPr>
          <w:lang w:val="fr-FR"/>
        </w:rPr>
        <w:t>’</w:t>
      </w:r>
      <w:r w:rsidRPr="00B7599D">
        <w:rPr>
          <w:lang w:val="fr-FR"/>
        </w:rPr>
        <w:t>année au cours de laquelle elle était examinée par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w:t>
      </w:r>
      <w:r w:rsidR="002F6E75" w:rsidRPr="00B7599D">
        <w:rPr>
          <w:lang w:val="fr-FR"/>
        </w:rPr>
        <w:t xml:space="preserve"> le CTC</w:t>
      </w:r>
      <w:r w:rsidRPr="00B7599D">
        <w:rPr>
          <w:lang w:val="fr-FR"/>
        </w:rPr>
        <w:t xml:space="preserve"> disposerait d</w:t>
      </w:r>
      <w:r w:rsidR="002F6E75" w:rsidRPr="00B7599D">
        <w:rPr>
          <w:lang w:val="fr-FR"/>
        </w:rPr>
        <w:t>’</w:t>
      </w:r>
      <w:r w:rsidRPr="00B7599D">
        <w:rPr>
          <w:lang w:val="fr-FR"/>
        </w:rPr>
        <w:t>un délai suffisant pour examiner la candidature en détail.</w:t>
      </w:r>
    </w:p>
    <w:p w:rsidR="005F6828" w:rsidRPr="00B7599D" w:rsidRDefault="00BC731E" w:rsidP="00BC731E">
      <w:pPr>
        <w:pStyle w:val="ONUMFS"/>
        <w:rPr>
          <w:lang w:val="fr-FR"/>
        </w:rPr>
      </w:pPr>
      <w:r w:rsidRPr="00B7599D">
        <w:rPr>
          <w:lang w:val="fr-FR"/>
        </w:rPr>
        <w:t>Plusieurs délégations ont appuyé la proposition selon laquelle, pour qu</w:t>
      </w:r>
      <w:r w:rsidR="002F6E75" w:rsidRPr="00B7599D">
        <w:rPr>
          <w:lang w:val="fr-FR"/>
        </w:rPr>
        <w:t>’</w:t>
      </w:r>
      <w:r w:rsidRPr="00B7599D">
        <w:rPr>
          <w:lang w:val="fr-FR"/>
        </w:rPr>
        <w:t>une candidature puisse être soumise, l</w:t>
      </w:r>
      <w:r w:rsidR="002F6E75" w:rsidRPr="00B7599D">
        <w:rPr>
          <w:lang w:val="fr-FR"/>
        </w:rPr>
        <w:t>’</w:t>
      </w:r>
      <w:r w:rsidRPr="00B7599D">
        <w:rPr>
          <w:lang w:val="fr-FR"/>
        </w:rPr>
        <w:t>office candidat devrait remplir tous les critères matériels applicables au moment de sa nomination par l</w:t>
      </w:r>
      <w:r w:rsidR="002F6E75" w:rsidRPr="00B7599D">
        <w:rPr>
          <w:lang w:val="fr-FR"/>
        </w:rPr>
        <w:t>’</w:t>
      </w:r>
      <w:r w:rsidRPr="00B7599D">
        <w:rPr>
          <w:lang w:val="fr-FR"/>
        </w:rPr>
        <w:t xml:space="preserve">assemblée et être prêt à </w:t>
      </w:r>
      <w:r w:rsidR="00B56A02" w:rsidRPr="00B7599D">
        <w:rPr>
          <w:lang w:val="fr-FR"/>
        </w:rPr>
        <w:t>débuter ses activités</w:t>
      </w:r>
      <w:r w:rsidRPr="00B7599D">
        <w:rPr>
          <w:lang w:val="fr-FR"/>
        </w:rPr>
        <w:t xml:space="preserve"> en qualité d</w:t>
      </w:r>
      <w:r w:rsidR="002F6E75" w:rsidRPr="00B7599D">
        <w:rPr>
          <w:lang w:val="fr-FR"/>
        </w:rPr>
        <w:t>’</w:t>
      </w:r>
      <w:r w:rsidRPr="00B7599D">
        <w:rPr>
          <w:lang w:val="fr-FR"/>
        </w:rPr>
        <w:t>administration internationale dès que possible après sa nomin</w:t>
      </w:r>
      <w:r w:rsidR="00B56A02" w:rsidRPr="00B7599D">
        <w:rPr>
          <w:lang w:val="fr-FR"/>
        </w:rPr>
        <w:t>ation, au plus tard dans les 18 </w:t>
      </w:r>
      <w:r w:rsidRPr="00B7599D">
        <w:rPr>
          <w:lang w:val="fr-FR"/>
        </w:rPr>
        <w:t>mois qui suivent sa nomination, comme indiqué au paragraphe</w:t>
      </w:r>
      <w:r w:rsidR="00F436BF" w:rsidRPr="00B7599D">
        <w:rPr>
          <w:lang w:val="fr-FR"/>
        </w:rPr>
        <w:t> </w:t>
      </w:r>
      <w:r w:rsidRPr="00B7599D">
        <w:rPr>
          <w:lang w:val="fr-FR"/>
        </w:rPr>
        <w:t>27.c) du document PCT/WG/7/4.  Il a été indiqué, cependant, que le paragraphe</w:t>
      </w:r>
      <w:r w:rsidR="00F436BF" w:rsidRPr="00B7599D">
        <w:rPr>
          <w:lang w:val="fr-FR"/>
        </w:rPr>
        <w:t> </w:t>
      </w:r>
      <w:r w:rsidRPr="00B7599D">
        <w:rPr>
          <w:lang w:val="fr-FR"/>
        </w:rPr>
        <w:t>24 du document PCT/WG/7/4 suggérait qu</w:t>
      </w:r>
      <w:r w:rsidR="002F6E75" w:rsidRPr="00B7599D">
        <w:rPr>
          <w:lang w:val="fr-FR"/>
        </w:rPr>
        <w:t>’</w:t>
      </w:r>
      <w:r w:rsidRPr="00B7599D">
        <w:rPr>
          <w:lang w:val="fr-FR"/>
        </w:rPr>
        <w:t>il pourrait y avoir une exception à ce principe de base (en ce qui concerne l</w:t>
      </w:r>
      <w:r w:rsidR="002F6E75" w:rsidRPr="00B7599D">
        <w:rPr>
          <w:lang w:val="fr-FR"/>
        </w:rPr>
        <w:t>’</w:t>
      </w:r>
      <w:r w:rsidRPr="00B7599D">
        <w:rPr>
          <w:lang w:val="fr-FR"/>
        </w:rPr>
        <w:t>exigence selon laquelle l</w:t>
      </w:r>
      <w:r w:rsidR="002F6E75" w:rsidRPr="00B7599D">
        <w:rPr>
          <w:lang w:val="fr-FR"/>
        </w:rPr>
        <w:t>’</w:t>
      </w:r>
      <w:r w:rsidRPr="00B7599D">
        <w:rPr>
          <w:lang w:val="fr-FR"/>
        </w:rPr>
        <w:t>office devrait disposer d</w:t>
      </w:r>
      <w:r w:rsidR="002F6E75" w:rsidRPr="00B7599D">
        <w:rPr>
          <w:lang w:val="fr-FR"/>
        </w:rPr>
        <w:t>’</w:t>
      </w:r>
      <w:r w:rsidRPr="00B7599D">
        <w:rPr>
          <w:lang w:val="fr-FR"/>
        </w:rPr>
        <w:t>un système de gestion de la qualité au moment de sa nomination), et que des clarifications pourraient être nécessaires à cet égard.</w:t>
      </w:r>
    </w:p>
    <w:p w:rsidR="005F6828" w:rsidRPr="00B7599D" w:rsidRDefault="002551C8" w:rsidP="002551C8">
      <w:pPr>
        <w:pStyle w:val="ONUMFS"/>
        <w:rPr>
          <w:lang w:val="fr-FR"/>
        </w:rPr>
      </w:pPr>
      <w:bookmarkStart w:id="4" w:name="_Ref390413645"/>
      <w:r w:rsidRPr="00B7599D">
        <w:rPr>
          <w:lang w:val="fr-FR"/>
        </w:rPr>
        <w:t>Des avis divergents ont été exprimés en ce qui concerne la proposition selon laquelle toute candidature devrait être inscrite à l</w:t>
      </w:r>
      <w:r w:rsidR="002F6E75" w:rsidRPr="00B7599D">
        <w:rPr>
          <w:lang w:val="fr-FR"/>
        </w:rPr>
        <w:t>’</w:t>
      </w:r>
      <w:r w:rsidRPr="00B7599D">
        <w:rPr>
          <w:lang w:val="fr-FR"/>
        </w:rPr>
        <w:t>ordre du jour de la prochaine Réunion des administrations internationale</w:t>
      </w:r>
      <w:r w:rsidR="002F6E75" w:rsidRPr="00B7599D">
        <w:rPr>
          <w:lang w:val="fr-FR"/>
        </w:rPr>
        <w:t>s</w:t>
      </w:r>
      <w:r w:rsidRPr="00B7599D">
        <w:rPr>
          <w:lang w:val="fr-FR"/>
        </w:rPr>
        <w:t xml:space="preserve"> (PCT/MIA).  Plusieurs délégations ont appuyé la proposition correspondante qui figure au paragraphe</w:t>
      </w:r>
      <w:r w:rsidR="00F436BF" w:rsidRPr="00B7599D">
        <w:rPr>
          <w:lang w:val="fr-FR"/>
        </w:rPr>
        <w:t> </w:t>
      </w:r>
      <w:r w:rsidRPr="00B7599D">
        <w:rPr>
          <w:lang w:val="fr-FR"/>
        </w:rPr>
        <w:t>27.d) du document PCT/WG/7/4, notamment pour que les administrations internationales puissent examiner la candidature et donner leur avis à cet égard</w:t>
      </w:r>
      <w:r w:rsidR="002F6E75" w:rsidRPr="00B7599D">
        <w:rPr>
          <w:lang w:val="fr-FR"/>
        </w:rPr>
        <w:t xml:space="preserve"> au CTC</w:t>
      </w:r>
      <w:r w:rsidRPr="00B7599D">
        <w:rPr>
          <w:lang w:val="fr-FR"/>
        </w:rPr>
        <w:t>.  Il a été indiqué, cependant, que le rôle de la Réunion des administrations internationales</w:t>
      </w:r>
      <w:r w:rsidR="002F6E75" w:rsidRPr="00B7599D">
        <w:rPr>
          <w:lang w:val="fr-FR"/>
        </w:rPr>
        <w:t xml:space="preserve"> du PCT</w:t>
      </w:r>
      <w:r w:rsidRPr="00B7599D">
        <w:rPr>
          <w:lang w:val="fr-FR"/>
        </w:rPr>
        <w:t xml:space="preserve"> devait se limiter à donner des avis d</w:t>
      </w:r>
      <w:r w:rsidR="002F6E75" w:rsidRPr="00B7599D">
        <w:rPr>
          <w:lang w:val="fr-FR"/>
        </w:rPr>
        <w:t>’</w:t>
      </w:r>
      <w:r w:rsidRPr="00B7599D">
        <w:rPr>
          <w:lang w:val="fr-FR"/>
        </w:rPr>
        <w:t>ordre technique</w:t>
      </w:r>
      <w:r w:rsidR="002F6E75" w:rsidRPr="00B7599D">
        <w:rPr>
          <w:lang w:val="fr-FR"/>
        </w:rPr>
        <w:t xml:space="preserve"> au CTC</w:t>
      </w:r>
      <w:r w:rsidRPr="00B7599D">
        <w:rPr>
          <w:lang w:val="fr-FR"/>
        </w:rPr>
        <w:t xml:space="preserve"> uniquement.</w:t>
      </w:r>
      <w:r w:rsidR="0067787B" w:rsidRPr="00B7599D">
        <w:rPr>
          <w:lang w:val="fr-FR"/>
        </w:rPr>
        <w:t xml:space="preserve">  </w:t>
      </w:r>
      <w:bookmarkEnd w:id="4"/>
      <w:r w:rsidRPr="00B7599D">
        <w:rPr>
          <w:lang w:val="fr-FR"/>
        </w:rPr>
        <w:t>D</w:t>
      </w:r>
      <w:r w:rsidR="002F6E75" w:rsidRPr="00B7599D">
        <w:rPr>
          <w:lang w:val="fr-FR"/>
        </w:rPr>
        <w:t>’</w:t>
      </w:r>
      <w:r w:rsidRPr="00B7599D">
        <w:rPr>
          <w:lang w:val="fr-FR"/>
        </w:rPr>
        <w:t>autres délégations ont estimé cependant que la participation de la Réunion des administrations internationales</w:t>
      </w:r>
      <w:r w:rsidR="002F6E75" w:rsidRPr="00B7599D">
        <w:rPr>
          <w:lang w:val="fr-FR"/>
        </w:rPr>
        <w:t xml:space="preserve"> du PCT</w:t>
      </w:r>
      <w:r w:rsidRPr="00B7599D">
        <w:rPr>
          <w:lang w:val="fr-FR"/>
        </w:rPr>
        <w:t xml:space="preserve"> était superflue, car toutes les administrations internationales étaient également membres</w:t>
      </w:r>
      <w:r w:rsidR="002F6E75" w:rsidRPr="00B7599D">
        <w:rPr>
          <w:lang w:val="fr-FR"/>
        </w:rPr>
        <w:t xml:space="preserve"> du CTC</w:t>
      </w:r>
      <w:r w:rsidRPr="00B7599D">
        <w:rPr>
          <w:lang w:val="fr-FR"/>
        </w:rPr>
        <w:t>.  En outre, du fait que les États contractants n</w:t>
      </w:r>
      <w:r w:rsidR="002F6E75" w:rsidRPr="00B7599D">
        <w:rPr>
          <w:lang w:val="fr-FR"/>
        </w:rPr>
        <w:t>’</w:t>
      </w:r>
      <w:r w:rsidRPr="00B7599D">
        <w:rPr>
          <w:lang w:val="fr-FR"/>
        </w:rPr>
        <w:t>étaient pas tous représentés au sein de la Réunion des administrations internationales</w:t>
      </w:r>
      <w:r w:rsidR="002F6E75" w:rsidRPr="00B7599D">
        <w:rPr>
          <w:lang w:val="fr-FR"/>
        </w:rPr>
        <w:t xml:space="preserve"> du PCT</w:t>
      </w:r>
      <w:r w:rsidRPr="00B7599D">
        <w:rPr>
          <w:lang w:val="fr-FR"/>
        </w:rPr>
        <w:t>, il ne semblait pas judicieux d</w:t>
      </w:r>
      <w:r w:rsidR="002F6E75" w:rsidRPr="00B7599D">
        <w:rPr>
          <w:lang w:val="fr-FR"/>
        </w:rPr>
        <w:t>’</w:t>
      </w:r>
      <w:r w:rsidRPr="00B7599D">
        <w:rPr>
          <w:lang w:val="fr-FR"/>
        </w:rPr>
        <w:t>exiger de celle</w:t>
      </w:r>
      <w:r w:rsidR="002F6E75" w:rsidRPr="00B7599D">
        <w:rPr>
          <w:lang w:val="fr-FR"/>
        </w:rPr>
        <w:t>-</w:t>
      </w:r>
      <w:r w:rsidRPr="00B7599D">
        <w:rPr>
          <w:lang w:val="fr-FR"/>
        </w:rPr>
        <w:t>ci qu</w:t>
      </w:r>
      <w:r w:rsidR="002F6E75" w:rsidRPr="00B7599D">
        <w:rPr>
          <w:lang w:val="fr-FR"/>
        </w:rPr>
        <w:t>’</w:t>
      </w:r>
      <w:r w:rsidRPr="00B7599D">
        <w:rPr>
          <w:lang w:val="fr-FR"/>
        </w:rPr>
        <w:t>elle procède à un examen préalable de la candidature.</w:t>
      </w:r>
    </w:p>
    <w:p w:rsidR="005F6828" w:rsidRPr="00B7599D" w:rsidRDefault="002551C8" w:rsidP="00D651C2">
      <w:pPr>
        <w:pStyle w:val="ONUMFS"/>
        <w:keepLines/>
        <w:rPr>
          <w:lang w:val="fr-FR"/>
        </w:rPr>
      </w:pPr>
      <w:r w:rsidRPr="00B7599D">
        <w:rPr>
          <w:lang w:val="fr-FR"/>
        </w:rPr>
        <w:lastRenderedPageBreak/>
        <w:t>Plusieurs délégations ont appuyé sans réserve les procédures établies aux paragraphes</w:t>
      </w:r>
      <w:r w:rsidR="00F436BF" w:rsidRPr="00B7599D">
        <w:rPr>
          <w:lang w:val="fr-FR"/>
        </w:rPr>
        <w:t> </w:t>
      </w:r>
      <w:r w:rsidRPr="00B7599D">
        <w:rPr>
          <w:lang w:val="fr-FR"/>
        </w:rPr>
        <w:t>27.e) et f)</w:t>
      </w:r>
      <w:r w:rsidR="00F436BF" w:rsidRPr="00B7599D">
        <w:rPr>
          <w:lang w:val="fr-FR"/>
        </w:rPr>
        <w:t> </w:t>
      </w:r>
      <w:r w:rsidRPr="00B7599D">
        <w:rPr>
          <w:lang w:val="fr-FR"/>
        </w:rPr>
        <w:t>du document PCT/WG/7/4 concernant le rôle</w:t>
      </w:r>
      <w:r w:rsidR="002F6E75" w:rsidRPr="00B7599D">
        <w:rPr>
          <w:lang w:val="fr-FR"/>
        </w:rPr>
        <w:t xml:space="preserve"> du CTC</w:t>
      </w:r>
      <w:r w:rsidRPr="00B7599D">
        <w:rPr>
          <w:lang w:val="fr-FR"/>
        </w:rPr>
        <w:t xml:space="preserve"> et de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 à l</w:t>
      </w:r>
      <w:r w:rsidR="002F6E75" w:rsidRPr="00B7599D">
        <w:rPr>
          <w:lang w:val="fr-FR"/>
        </w:rPr>
        <w:t>’</w:t>
      </w:r>
      <w:r w:rsidRPr="00B7599D">
        <w:rPr>
          <w:lang w:val="fr-FR"/>
        </w:rPr>
        <w:t>exception des délégations qui étaient contre la participation de la Réunion des administrations internationales</w:t>
      </w:r>
      <w:r w:rsidR="002F6E75" w:rsidRPr="00B7599D">
        <w:rPr>
          <w:lang w:val="fr-FR"/>
        </w:rPr>
        <w:t xml:space="preserve"> du PCT</w:t>
      </w:r>
      <w:r w:rsidRPr="00B7599D">
        <w:rPr>
          <w:lang w:val="fr-FR"/>
        </w:rPr>
        <w:t>, qui ont suggéré de supprimer, à la première phrase du paragraphe</w:t>
      </w:r>
      <w:r w:rsidR="00F436BF" w:rsidRPr="00B7599D">
        <w:rPr>
          <w:lang w:val="fr-FR"/>
        </w:rPr>
        <w:t> </w:t>
      </w:r>
      <w:r w:rsidRPr="00B7599D">
        <w:rPr>
          <w:lang w:val="fr-FR"/>
        </w:rPr>
        <w:t>27.e), la référence à l</w:t>
      </w:r>
      <w:r w:rsidR="002F6E75" w:rsidRPr="00B7599D">
        <w:rPr>
          <w:lang w:val="fr-FR"/>
        </w:rPr>
        <w:t>’</w:t>
      </w:r>
      <w:r w:rsidRPr="00B7599D">
        <w:rPr>
          <w:lang w:val="fr-FR"/>
        </w:rPr>
        <w:t>avis donné par cet organe.</w:t>
      </w:r>
    </w:p>
    <w:p w:rsidR="005F6828" w:rsidRPr="00B7599D" w:rsidRDefault="002551C8" w:rsidP="002551C8">
      <w:pPr>
        <w:pStyle w:val="ONUMFS"/>
        <w:ind w:left="567"/>
        <w:rPr>
          <w:lang w:val="fr-FR"/>
        </w:rPr>
      </w:pPr>
      <w:r w:rsidRPr="00B7599D">
        <w:rPr>
          <w:lang w:val="fr-FR"/>
        </w:rPr>
        <w:t>À la suite de discussions informelles menées par le président, le groupe de travail est convenu de recommander à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 xml:space="preserve"> d</w:t>
      </w:r>
      <w:r w:rsidR="002F6E75" w:rsidRPr="00B7599D">
        <w:rPr>
          <w:lang w:val="fr-FR"/>
        </w:rPr>
        <w:t>’</w:t>
      </w:r>
      <w:r w:rsidRPr="00B7599D">
        <w:rPr>
          <w:lang w:val="fr-FR"/>
        </w:rPr>
        <w:t>adopter l</w:t>
      </w:r>
      <w:r w:rsidR="002F6E75" w:rsidRPr="00B7599D">
        <w:rPr>
          <w:lang w:val="fr-FR"/>
        </w:rPr>
        <w:t>’</w:t>
      </w:r>
      <w:r w:rsidRPr="00B7599D">
        <w:rPr>
          <w:lang w:val="fr-FR"/>
        </w:rPr>
        <w:t>accord de principe suivant</w:t>
      </w:r>
      <w:r w:rsidR="00F436BF" w:rsidRPr="00B7599D">
        <w:rPr>
          <w:lang w:val="fr-FR"/>
        </w:rPr>
        <w:t> </w:t>
      </w:r>
      <w:r w:rsidRPr="00B7599D">
        <w:rPr>
          <w:lang w:val="fr-FR"/>
        </w:rPr>
        <w:t>:</w:t>
      </w:r>
    </w:p>
    <w:p w:rsidR="005F6828" w:rsidRPr="00B7599D" w:rsidRDefault="002551C8" w:rsidP="002551C8">
      <w:pPr>
        <w:pStyle w:val="ONUMFS"/>
        <w:numPr>
          <w:ilvl w:val="0"/>
          <w:numId w:val="0"/>
        </w:numPr>
        <w:ind w:left="1134"/>
        <w:rPr>
          <w:lang w:val="fr-FR"/>
        </w:rPr>
      </w:pPr>
      <w:r w:rsidRPr="00B7599D">
        <w:rPr>
          <w:lang w:val="fr-FR"/>
        </w:rPr>
        <w:t>“</w:t>
      </w:r>
      <w:r w:rsidRPr="00B7599D">
        <w:rPr>
          <w:u w:val="single"/>
          <w:lang w:val="fr-FR"/>
        </w:rPr>
        <w:t>Procédures de nomination des administrations internationales</w:t>
      </w:r>
      <w:r w:rsidRPr="00B7599D">
        <w:rPr>
          <w:lang w:val="fr-FR"/>
        </w:rPr>
        <w:t>” :</w:t>
      </w:r>
    </w:p>
    <w:p w:rsidR="005F6828" w:rsidRPr="00B7599D" w:rsidRDefault="002551C8" w:rsidP="002551C8">
      <w:pPr>
        <w:pStyle w:val="ONUMFS"/>
        <w:numPr>
          <w:ilvl w:val="0"/>
          <w:numId w:val="0"/>
        </w:numPr>
        <w:ind w:left="1134"/>
        <w:rPr>
          <w:lang w:val="fr-FR"/>
        </w:rPr>
      </w:pPr>
      <w:r w:rsidRPr="00B7599D">
        <w:rPr>
          <w:lang w:val="fr-FR"/>
        </w:rPr>
        <w:t>“</w:t>
      </w:r>
      <w:proofErr w:type="gramStart"/>
      <w:r w:rsidRPr="00B7599D">
        <w:rPr>
          <w:lang w:val="fr-FR"/>
        </w:rPr>
        <w:t>a</w:t>
      </w:r>
      <w:proofErr w:type="gramEnd"/>
      <w:r w:rsidRPr="00B7599D">
        <w:rPr>
          <w:lang w:val="fr-FR"/>
        </w:rPr>
        <w:t>)</w:t>
      </w:r>
      <w:r w:rsidRPr="00B7599D">
        <w:rPr>
          <w:lang w:val="fr-FR"/>
        </w:rPr>
        <w:tab/>
        <w:t>Tout office national ou organisation intergouvernementale (ci</w:t>
      </w:r>
      <w:r w:rsidR="004B6F33" w:rsidRPr="00B7599D">
        <w:rPr>
          <w:lang w:val="fr-FR"/>
        </w:rPr>
        <w:noBreakHyphen/>
      </w:r>
      <w:r w:rsidRPr="00B7599D">
        <w:rPr>
          <w:lang w:val="fr-FR"/>
        </w:rPr>
        <w:t xml:space="preserve">après dénommés </w:t>
      </w:r>
      <w:r w:rsidR="00F436BF" w:rsidRPr="00B7599D">
        <w:rPr>
          <w:lang w:val="fr-FR"/>
        </w:rPr>
        <w:t>“</w:t>
      </w:r>
      <w:r w:rsidRPr="00B7599D">
        <w:rPr>
          <w:lang w:val="fr-FR"/>
        </w:rPr>
        <w:t>office”) souhaitant présenter sa nomination est vivement encouragé à demander l</w:t>
      </w:r>
      <w:r w:rsidR="002F6E75" w:rsidRPr="00B7599D">
        <w:rPr>
          <w:lang w:val="fr-FR"/>
        </w:rPr>
        <w:t>’</w:t>
      </w:r>
      <w:r w:rsidRPr="00B7599D">
        <w:rPr>
          <w:lang w:val="fr-FR"/>
        </w:rPr>
        <w:t>assistance d</w:t>
      </w:r>
      <w:r w:rsidR="002F6E75" w:rsidRPr="00B7599D">
        <w:rPr>
          <w:lang w:val="fr-FR"/>
        </w:rPr>
        <w:t>’</w:t>
      </w:r>
      <w:r w:rsidRPr="00B7599D">
        <w:rPr>
          <w:lang w:val="fr-FR"/>
        </w:rPr>
        <w:t>une ou plusieurs administrations internationales existantes avant de soumettre une candidature formelle, afin de déterminer plus précisément dans quelle mesure il remplit les critères.</w:t>
      </w:r>
    </w:p>
    <w:p w:rsidR="005F6828" w:rsidRPr="00B7599D" w:rsidRDefault="0066791C" w:rsidP="0066791C">
      <w:pPr>
        <w:pStyle w:val="ONUMFS"/>
        <w:numPr>
          <w:ilvl w:val="0"/>
          <w:numId w:val="0"/>
        </w:numPr>
        <w:ind w:left="1134"/>
        <w:rPr>
          <w:lang w:val="fr-FR"/>
        </w:rPr>
      </w:pPr>
      <w:r w:rsidRPr="00B7599D">
        <w:rPr>
          <w:lang w:val="fr-FR"/>
        </w:rPr>
        <w:t>“</w:t>
      </w:r>
      <w:proofErr w:type="gramStart"/>
      <w:r w:rsidRPr="00B7599D">
        <w:rPr>
          <w:lang w:val="fr-FR"/>
        </w:rPr>
        <w:t>b</w:t>
      </w:r>
      <w:proofErr w:type="gramEnd"/>
      <w:r w:rsidRPr="00B7599D">
        <w:rPr>
          <w:lang w:val="fr-FR"/>
        </w:rPr>
        <w:t>)</w:t>
      </w:r>
      <w:r w:rsidRPr="00B7599D">
        <w:rPr>
          <w:lang w:val="fr-FR"/>
        </w:rPr>
        <w:tab/>
        <w:t>Toute candidature d</w:t>
      </w:r>
      <w:r w:rsidR="002F6E75" w:rsidRPr="00B7599D">
        <w:rPr>
          <w:lang w:val="fr-FR"/>
        </w:rPr>
        <w:t>’</w:t>
      </w:r>
      <w:r w:rsidRPr="00B7599D">
        <w:rPr>
          <w:lang w:val="fr-FR"/>
        </w:rPr>
        <w:t>un office en vue de sa nomination en qualité d</w:t>
      </w:r>
      <w:r w:rsidR="002F6E75" w:rsidRPr="00B7599D">
        <w:rPr>
          <w:lang w:val="fr-FR"/>
        </w:rPr>
        <w:t>’</w:t>
      </w:r>
      <w:r w:rsidRPr="00B7599D">
        <w:rPr>
          <w:lang w:val="fr-FR"/>
        </w:rPr>
        <w:t>administration internationale doit être présentée bien avant sa soumission à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 xml:space="preserve"> afin de laisser au Comité de coopération technique</w:t>
      </w:r>
      <w:r w:rsidR="002F6E75" w:rsidRPr="00B7599D">
        <w:rPr>
          <w:lang w:val="fr-FR"/>
        </w:rPr>
        <w:t xml:space="preserve"> du PCT</w:t>
      </w:r>
      <w:r w:rsidRPr="00B7599D">
        <w:rPr>
          <w:lang w:val="fr-FR"/>
        </w:rPr>
        <w:t xml:space="preserve"> (CTC) le temps de procéder à un examen approprié.</w:t>
      </w:r>
      <w:r w:rsidR="00AE5A85" w:rsidRPr="00B7599D">
        <w:rPr>
          <w:lang w:val="fr-FR"/>
        </w:rPr>
        <w:t xml:space="preserve">  </w:t>
      </w:r>
      <w:r w:rsidRPr="00B7599D">
        <w:rPr>
          <w:lang w:val="fr-FR"/>
        </w:rPr>
        <w:t>Le CTC devrait se réunir en qualité d</w:t>
      </w:r>
      <w:r w:rsidR="002F6E75" w:rsidRPr="00B7599D">
        <w:rPr>
          <w:lang w:val="fr-FR"/>
        </w:rPr>
        <w:t>’</w:t>
      </w:r>
      <w:r w:rsidRPr="00B7599D">
        <w:rPr>
          <w:lang w:val="fr-FR"/>
        </w:rPr>
        <w:t>organe constitué d</w:t>
      </w:r>
      <w:r w:rsidR="002F6E75" w:rsidRPr="00B7599D">
        <w:rPr>
          <w:lang w:val="fr-FR"/>
        </w:rPr>
        <w:t>’</w:t>
      </w:r>
      <w:r w:rsidRPr="00B7599D">
        <w:rPr>
          <w:lang w:val="fr-FR"/>
        </w:rPr>
        <w:t>experts au moins trois mois avant l</w:t>
      </w:r>
      <w:r w:rsidR="002F6E75" w:rsidRPr="00B7599D">
        <w:rPr>
          <w:lang w:val="fr-FR"/>
        </w:rPr>
        <w:t>’</w:t>
      </w:r>
      <w:r w:rsidRPr="00B7599D">
        <w:rPr>
          <w:lang w:val="fr-FR"/>
        </w:rPr>
        <w:t>Assemblée de l</w:t>
      </w:r>
      <w:r w:rsidR="002F6E75" w:rsidRPr="00B7599D">
        <w:rPr>
          <w:lang w:val="fr-FR"/>
        </w:rPr>
        <w:t>’</w:t>
      </w:r>
      <w:r w:rsidRPr="00B7599D">
        <w:rPr>
          <w:lang w:val="fr-FR"/>
        </w:rPr>
        <w:t>Union du PCT, si possible immédiatement après une session du Groupe de travail du PCT (généralement convoquée en mai</w:t>
      </w:r>
      <w:r w:rsidR="008666D3" w:rsidRPr="008666D3">
        <w:rPr>
          <w:lang w:val="fr-FR"/>
        </w:rPr>
        <w:noBreakHyphen/>
      </w:r>
      <w:r w:rsidRPr="00B7599D">
        <w:rPr>
          <w:lang w:val="fr-FR"/>
        </w:rPr>
        <w:t>juin), afin de pouvoir donner son avis à cet égard à l</w:t>
      </w:r>
      <w:r w:rsidR="002F6E75" w:rsidRPr="00B7599D">
        <w:rPr>
          <w:lang w:val="fr-FR"/>
        </w:rPr>
        <w:t>’</w:t>
      </w:r>
      <w:r w:rsidRPr="00B7599D">
        <w:rPr>
          <w:lang w:val="fr-FR"/>
        </w:rPr>
        <w:t>Assemblée de l</w:t>
      </w:r>
      <w:r w:rsidR="002F6E75" w:rsidRPr="00B7599D">
        <w:rPr>
          <w:lang w:val="fr-FR"/>
        </w:rPr>
        <w:t>’</w:t>
      </w:r>
      <w:r w:rsidRPr="00B7599D">
        <w:rPr>
          <w:lang w:val="fr-FR"/>
        </w:rPr>
        <w:t>Union du PCT.</w:t>
      </w:r>
    </w:p>
    <w:p w:rsidR="005F6828" w:rsidRPr="00B7599D" w:rsidRDefault="00555F96" w:rsidP="00555F96">
      <w:pPr>
        <w:pStyle w:val="ONUMFS"/>
        <w:numPr>
          <w:ilvl w:val="0"/>
          <w:numId w:val="0"/>
        </w:numPr>
        <w:ind w:left="1134"/>
        <w:rPr>
          <w:lang w:val="fr-FR"/>
        </w:rPr>
      </w:pPr>
      <w:r w:rsidRPr="00B7599D">
        <w:rPr>
          <w:lang w:val="fr-FR"/>
        </w:rPr>
        <w:t>“c)</w:t>
      </w:r>
      <w:r w:rsidRPr="00B7599D">
        <w:rPr>
          <w:lang w:val="fr-FR"/>
        </w:rPr>
        <w:tab/>
        <w:t>En conséquence, une demande écrite invitant le Directeur général à convoquer</w:t>
      </w:r>
      <w:r w:rsidR="002F6E75" w:rsidRPr="00B7599D">
        <w:rPr>
          <w:lang w:val="fr-FR"/>
        </w:rPr>
        <w:t xml:space="preserve"> le CTC</w:t>
      </w:r>
      <w:r w:rsidRPr="00B7599D">
        <w:rPr>
          <w:lang w:val="fr-FR"/>
        </w:rPr>
        <w:t xml:space="preserve"> doit être envoyée par l</w:t>
      </w:r>
      <w:r w:rsidR="002F6E75" w:rsidRPr="00B7599D">
        <w:rPr>
          <w:lang w:val="fr-FR"/>
        </w:rPr>
        <w:t>’</w:t>
      </w:r>
      <w:r w:rsidRPr="00B7599D">
        <w:rPr>
          <w:lang w:val="fr-FR"/>
        </w:rPr>
        <w:t>office de préférence avant le 1</w:t>
      </w:r>
      <w:r w:rsidRPr="00B7599D">
        <w:rPr>
          <w:vertAlign w:val="superscript"/>
          <w:lang w:val="fr-FR"/>
        </w:rPr>
        <w:t>er</w:t>
      </w:r>
      <w:r w:rsidRPr="00B7599D">
        <w:rPr>
          <w:lang w:val="fr-FR"/>
        </w:rPr>
        <w:t> mars de l</w:t>
      </w:r>
      <w:r w:rsidR="002F6E75" w:rsidRPr="00B7599D">
        <w:rPr>
          <w:lang w:val="fr-FR"/>
        </w:rPr>
        <w:t>’</w:t>
      </w:r>
      <w:r w:rsidRPr="00B7599D">
        <w:rPr>
          <w:lang w:val="fr-FR"/>
        </w:rPr>
        <w:t>année au cours de laquelle la candidatur</w:t>
      </w:r>
      <w:r w:rsidR="00B56A02" w:rsidRPr="00B7599D">
        <w:rPr>
          <w:lang w:val="fr-FR"/>
        </w:rPr>
        <w:t>e</w:t>
      </w:r>
      <w:r w:rsidRPr="00B7599D">
        <w:rPr>
          <w:lang w:val="fr-FR"/>
        </w:rPr>
        <w:t xml:space="preserve"> doit être examinée par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 xml:space="preserve"> et, en tout état de cause, </w:t>
      </w:r>
      <w:r w:rsidR="00B56A02" w:rsidRPr="00B7599D">
        <w:rPr>
          <w:lang w:val="fr-FR"/>
        </w:rPr>
        <w:t>suffisamment tôt</w:t>
      </w:r>
      <w:r w:rsidRPr="00B7599D">
        <w:rPr>
          <w:lang w:val="fr-FR"/>
        </w:rPr>
        <w:t xml:space="preserve"> pour permettre au Directeur général d</w:t>
      </w:r>
      <w:r w:rsidR="002F6E75" w:rsidRPr="00B7599D">
        <w:rPr>
          <w:lang w:val="fr-FR"/>
        </w:rPr>
        <w:t>’</w:t>
      </w:r>
      <w:r w:rsidRPr="00B7599D">
        <w:rPr>
          <w:lang w:val="fr-FR"/>
        </w:rPr>
        <w:t>envoyer les lettres de convocation</w:t>
      </w:r>
      <w:r w:rsidR="002F6E75" w:rsidRPr="00B7599D">
        <w:rPr>
          <w:lang w:val="fr-FR"/>
        </w:rPr>
        <w:t xml:space="preserve"> du CTC</w:t>
      </w:r>
      <w:r w:rsidRPr="00B7599D">
        <w:rPr>
          <w:lang w:val="fr-FR"/>
        </w:rPr>
        <w:t xml:space="preserve"> d</w:t>
      </w:r>
      <w:r w:rsidR="00B56A02" w:rsidRPr="00B7599D">
        <w:rPr>
          <w:lang w:val="fr-FR"/>
        </w:rPr>
        <w:t>e</w:t>
      </w:r>
      <w:r w:rsidRPr="00B7599D">
        <w:rPr>
          <w:lang w:val="fr-FR"/>
        </w:rPr>
        <w:t>u</w:t>
      </w:r>
      <w:r w:rsidR="00B56A02" w:rsidRPr="00B7599D">
        <w:rPr>
          <w:lang w:val="fr-FR"/>
        </w:rPr>
        <w:t>x</w:t>
      </w:r>
      <w:r w:rsidR="00F436BF" w:rsidRPr="00B7599D">
        <w:rPr>
          <w:lang w:val="fr-FR"/>
        </w:rPr>
        <w:t> </w:t>
      </w:r>
      <w:r w:rsidRPr="00B7599D">
        <w:rPr>
          <w:lang w:val="fr-FR"/>
        </w:rPr>
        <w:t>mois au moins avant l</w:t>
      </w:r>
      <w:r w:rsidR="002F6E75" w:rsidRPr="00B7599D">
        <w:rPr>
          <w:lang w:val="fr-FR"/>
        </w:rPr>
        <w:t>’</w:t>
      </w:r>
      <w:r w:rsidRPr="00B7599D">
        <w:rPr>
          <w:lang w:val="fr-FR"/>
        </w:rPr>
        <w:t>ouverture de la session.</w:t>
      </w:r>
    </w:p>
    <w:p w:rsidR="005F6828" w:rsidRPr="00B7599D" w:rsidRDefault="00F436BF" w:rsidP="0004523C">
      <w:pPr>
        <w:pStyle w:val="ONUMFS"/>
        <w:numPr>
          <w:ilvl w:val="0"/>
          <w:numId w:val="0"/>
        </w:numPr>
        <w:ind w:left="1134"/>
        <w:rPr>
          <w:lang w:val="fr-FR"/>
        </w:rPr>
      </w:pPr>
      <w:r w:rsidRPr="00B7599D">
        <w:rPr>
          <w:lang w:val="fr-FR"/>
        </w:rPr>
        <w:t>“</w:t>
      </w:r>
      <w:proofErr w:type="gramStart"/>
      <w:r w:rsidR="00555F96" w:rsidRPr="00B7599D">
        <w:rPr>
          <w:lang w:val="fr-FR"/>
        </w:rPr>
        <w:t>d</w:t>
      </w:r>
      <w:proofErr w:type="gramEnd"/>
      <w:r w:rsidR="00555F96" w:rsidRPr="00B7599D">
        <w:rPr>
          <w:lang w:val="fr-FR"/>
        </w:rPr>
        <w:t>)</w:t>
      </w:r>
      <w:r w:rsidR="00555F96" w:rsidRPr="00B7599D">
        <w:rPr>
          <w:lang w:val="fr-FR"/>
        </w:rPr>
        <w:tab/>
        <w:t>Il est entendu que tout office qui présente sa candidature doit remplir tous les critères matériels applicables au moment de sa nomination par l</w:t>
      </w:r>
      <w:r w:rsidR="002F6E75" w:rsidRPr="00B7599D">
        <w:rPr>
          <w:lang w:val="fr-FR"/>
        </w:rPr>
        <w:t>’</w:t>
      </w:r>
      <w:r w:rsidR="00555F96" w:rsidRPr="00B7599D">
        <w:rPr>
          <w:lang w:val="fr-FR"/>
        </w:rPr>
        <w:t xml:space="preserve">assemblée et être prêt à </w:t>
      </w:r>
      <w:r w:rsidR="00B56A02" w:rsidRPr="00B7599D">
        <w:rPr>
          <w:lang w:val="fr-FR"/>
        </w:rPr>
        <w:t>débuter ses activités</w:t>
      </w:r>
      <w:r w:rsidR="00555F96" w:rsidRPr="00B7599D">
        <w:rPr>
          <w:lang w:val="fr-FR"/>
        </w:rPr>
        <w:t xml:space="preserve"> en qualité d</w:t>
      </w:r>
      <w:r w:rsidR="002F6E75" w:rsidRPr="00B7599D">
        <w:rPr>
          <w:lang w:val="fr-FR"/>
        </w:rPr>
        <w:t>’</w:t>
      </w:r>
      <w:r w:rsidR="00555F96" w:rsidRPr="00B7599D">
        <w:rPr>
          <w:lang w:val="fr-FR"/>
        </w:rPr>
        <w:t>administration internationale dès que possible après sa nomination, au plus tard dans les 18 mois qui suivent sa nomination.</w:t>
      </w:r>
      <w:r w:rsidR="00AE5A85" w:rsidRPr="00B7599D">
        <w:rPr>
          <w:lang w:val="fr-FR"/>
        </w:rPr>
        <w:t xml:space="preserve">  </w:t>
      </w:r>
      <w:r w:rsidR="0004523C" w:rsidRPr="00B7599D">
        <w:rPr>
          <w:lang w:val="fr-FR"/>
        </w:rPr>
        <w:t>En ce qui concerne l</w:t>
      </w:r>
      <w:r w:rsidR="002F6E75" w:rsidRPr="00B7599D">
        <w:rPr>
          <w:lang w:val="fr-FR"/>
        </w:rPr>
        <w:t>’</w:t>
      </w:r>
      <w:r w:rsidR="0004523C" w:rsidRPr="00B7599D">
        <w:rPr>
          <w:lang w:val="fr-FR"/>
        </w:rPr>
        <w:t>exigence selon laquelle l</w:t>
      </w:r>
      <w:r w:rsidR="002F6E75" w:rsidRPr="00B7599D">
        <w:rPr>
          <w:lang w:val="fr-FR"/>
        </w:rPr>
        <w:t>’</w:t>
      </w:r>
      <w:r w:rsidR="0004523C" w:rsidRPr="00B7599D">
        <w:rPr>
          <w:lang w:val="fr-FR"/>
        </w:rPr>
        <w:t>office qui présente sa candidature doit disposer d</w:t>
      </w:r>
      <w:r w:rsidR="002F6E75" w:rsidRPr="00B7599D">
        <w:rPr>
          <w:lang w:val="fr-FR"/>
        </w:rPr>
        <w:t>’</w:t>
      </w:r>
      <w:r w:rsidR="0004523C" w:rsidRPr="00B7599D">
        <w:rPr>
          <w:lang w:val="fr-FR"/>
        </w:rPr>
        <w:t>un système de gestion de la qualité et de dispositions internes en matière d</w:t>
      </w:r>
      <w:r w:rsidR="002F6E75" w:rsidRPr="00B7599D">
        <w:rPr>
          <w:lang w:val="fr-FR"/>
        </w:rPr>
        <w:t>’</w:t>
      </w:r>
      <w:r w:rsidR="0004523C" w:rsidRPr="00B7599D">
        <w:rPr>
          <w:lang w:val="fr-FR"/>
        </w:rPr>
        <w:t>évaluation conformément aux règles communes de la recherche internationale, lorsqu</w:t>
      </w:r>
      <w:r w:rsidR="002F6E75" w:rsidRPr="00B7599D">
        <w:rPr>
          <w:lang w:val="fr-FR"/>
        </w:rPr>
        <w:t>’</w:t>
      </w:r>
      <w:r w:rsidR="0004523C" w:rsidRPr="00B7599D">
        <w:rPr>
          <w:lang w:val="fr-FR"/>
        </w:rPr>
        <w:t>un tel système n</w:t>
      </w:r>
      <w:r w:rsidR="002F6E75" w:rsidRPr="00B7599D">
        <w:rPr>
          <w:lang w:val="fr-FR"/>
        </w:rPr>
        <w:t>’</w:t>
      </w:r>
      <w:r w:rsidR="0004523C" w:rsidRPr="00B7599D">
        <w:rPr>
          <w:lang w:val="fr-FR"/>
        </w:rPr>
        <w:t>est pas encore en place au moment de la nomination par l</w:t>
      </w:r>
      <w:r w:rsidR="002F6E75" w:rsidRPr="00B7599D">
        <w:rPr>
          <w:lang w:val="fr-FR"/>
        </w:rPr>
        <w:t>’</w:t>
      </w:r>
      <w:r w:rsidR="0004523C" w:rsidRPr="00B7599D">
        <w:rPr>
          <w:lang w:val="fr-FR"/>
        </w:rPr>
        <w:t>assemblée, il s</w:t>
      </w:r>
      <w:r w:rsidR="008666D3">
        <w:rPr>
          <w:lang w:val="fr-FR"/>
        </w:rPr>
        <w:t>uffit que ce système soit complè</w:t>
      </w:r>
      <w:r w:rsidR="0004523C" w:rsidRPr="00B7599D">
        <w:rPr>
          <w:lang w:val="fr-FR"/>
        </w:rPr>
        <w:t>tement programmé et, de préférence, que des systèmes similaires soient déjà opérationnels en ce qui concerne les travaux de recherche et d</w:t>
      </w:r>
      <w:r w:rsidR="002F6E75" w:rsidRPr="00B7599D">
        <w:rPr>
          <w:lang w:val="fr-FR"/>
        </w:rPr>
        <w:t>’</w:t>
      </w:r>
      <w:r w:rsidR="0004523C" w:rsidRPr="00B7599D">
        <w:rPr>
          <w:lang w:val="fr-FR"/>
        </w:rPr>
        <w:t>examen nationaux pour témoigner d</w:t>
      </w:r>
      <w:r w:rsidR="002F6E75" w:rsidRPr="00B7599D">
        <w:rPr>
          <w:lang w:val="fr-FR"/>
        </w:rPr>
        <w:t>’</w:t>
      </w:r>
      <w:r w:rsidR="0004523C" w:rsidRPr="00B7599D">
        <w:rPr>
          <w:lang w:val="fr-FR"/>
        </w:rPr>
        <w:t>une expérience appropriée.</w:t>
      </w:r>
    </w:p>
    <w:p w:rsidR="005F6828" w:rsidRPr="00B7599D" w:rsidRDefault="0004523C" w:rsidP="0004523C">
      <w:pPr>
        <w:pStyle w:val="ONUMFS"/>
        <w:numPr>
          <w:ilvl w:val="0"/>
          <w:numId w:val="0"/>
        </w:numPr>
        <w:ind w:left="1134"/>
        <w:rPr>
          <w:lang w:val="fr-FR"/>
        </w:rPr>
      </w:pPr>
      <w:r w:rsidRPr="00B7599D">
        <w:rPr>
          <w:lang w:val="fr-FR"/>
        </w:rPr>
        <w:t>“</w:t>
      </w:r>
      <w:proofErr w:type="gramStart"/>
      <w:r w:rsidRPr="00B7599D">
        <w:rPr>
          <w:lang w:val="fr-FR"/>
        </w:rPr>
        <w:t>e</w:t>
      </w:r>
      <w:proofErr w:type="gramEnd"/>
      <w:r w:rsidRPr="00B7599D">
        <w:rPr>
          <w:lang w:val="fr-FR"/>
        </w:rPr>
        <w:t>)</w:t>
      </w:r>
      <w:r w:rsidRPr="00B7599D">
        <w:rPr>
          <w:lang w:val="fr-FR"/>
        </w:rPr>
        <w:tab/>
        <w:t>Tout document étayant la candidature de l</w:t>
      </w:r>
      <w:r w:rsidR="002F6E75" w:rsidRPr="00B7599D">
        <w:rPr>
          <w:lang w:val="fr-FR"/>
        </w:rPr>
        <w:t>’</w:t>
      </w:r>
      <w:r w:rsidRPr="00B7599D">
        <w:rPr>
          <w:lang w:val="fr-FR"/>
        </w:rPr>
        <w:t>office à prendre en considération par</w:t>
      </w:r>
      <w:r w:rsidR="002F6E75" w:rsidRPr="00B7599D">
        <w:rPr>
          <w:lang w:val="fr-FR"/>
        </w:rPr>
        <w:t xml:space="preserve"> le CTC</w:t>
      </w:r>
      <w:r w:rsidRPr="00B7599D">
        <w:rPr>
          <w:lang w:val="fr-FR"/>
        </w:rPr>
        <w:t xml:space="preserve"> doit être soumis au Directeur général au plus tard deux</w:t>
      </w:r>
      <w:r w:rsidR="00F436BF" w:rsidRPr="00B7599D">
        <w:rPr>
          <w:lang w:val="fr-FR"/>
        </w:rPr>
        <w:t> </w:t>
      </w:r>
      <w:r w:rsidRPr="00B7599D">
        <w:rPr>
          <w:lang w:val="fr-FR"/>
        </w:rPr>
        <w:t>mois avant l</w:t>
      </w:r>
      <w:r w:rsidR="002F6E75" w:rsidRPr="00B7599D">
        <w:rPr>
          <w:lang w:val="fr-FR"/>
        </w:rPr>
        <w:t>’</w:t>
      </w:r>
      <w:r w:rsidRPr="00B7599D">
        <w:rPr>
          <w:lang w:val="fr-FR"/>
        </w:rPr>
        <w:t>ouverture de la session</w:t>
      </w:r>
      <w:r w:rsidR="002F6E75" w:rsidRPr="00B7599D">
        <w:rPr>
          <w:lang w:val="fr-FR"/>
        </w:rPr>
        <w:t xml:space="preserve"> du CTC</w:t>
      </w:r>
      <w:r w:rsidRPr="00B7599D">
        <w:rPr>
          <w:lang w:val="fr-FR"/>
        </w:rPr>
        <w:t>.</w:t>
      </w:r>
    </w:p>
    <w:p w:rsidR="005F6828" w:rsidRPr="00B7599D" w:rsidRDefault="00F436BF" w:rsidP="0004523C">
      <w:pPr>
        <w:pStyle w:val="ONUMFS"/>
        <w:numPr>
          <w:ilvl w:val="0"/>
          <w:numId w:val="0"/>
        </w:numPr>
        <w:ind w:left="1134"/>
        <w:rPr>
          <w:lang w:val="fr-FR"/>
        </w:rPr>
      </w:pPr>
      <w:r w:rsidRPr="00B7599D">
        <w:rPr>
          <w:lang w:val="fr-FR"/>
        </w:rPr>
        <w:t>“</w:t>
      </w:r>
      <w:r w:rsidR="0004523C" w:rsidRPr="00B7599D">
        <w:rPr>
          <w:lang w:val="fr-FR"/>
        </w:rPr>
        <w:t>f)</w:t>
      </w:r>
      <w:r w:rsidR="0004523C" w:rsidRPr="00B7599D">
        <w:rPr>
          <w:lang w:val="fr-FR"/>
        </w:rPr>
        <w:tab/>
        <w:t>La candidature doit ensuite être soumise à l</w:t>
      </w:r>
      <w:r w:rsidR="002F6E75" w:rsidRPr="00B7599D">
        <w:rPr>
          <w:lang w:val="fr-FR"/>
        </w:rPr>
        <w:t>’</w:t>
      </w:r>
      <w:r w:rsidR="0004523C" w:rsidRPr="00B7599D">
        <w:rPr>
          <w:lang w:val="fr-FR"/>
        </w:rPr>
        <w:t>Assemblée de l</w:t>
      </w:r>
      <w:r w:rsidR="002F6E75" w:rsidRPr="00B7599D">
        <w:rPr>
          <w:lang w:val="fr-FR"/>
        </w:rPr>
        <w:t>’</w:t>
      </w:r>
      <w:r w:rsidR="0004523C" w:rsidRPr="00B7599D">
        <w:rPr>
          <w:lang w:val="fr-FR"/>
        </w:rPr>
        <w:t>Union du PCT (habituellement convoquée en septembre</w:t>
      </w:r>
      <w:r w:rsidR="001F4663" w:rsidRPr="001F4663">
        <w:rPr>
          <w:lang w:val="fr-FR"/>
        </w:rPr>
        <w:noBreakHyphen/>
      </w:r>
      <w:r w:rsidR="0004523C" w:rsidRPr="00B7599D">
        <w:rPr>
          <w:lang w:val="fr-FR"/>
        </w:rPr>
        <w:t>octobre), assortie de tout avis à cet égard donné par le CTC, afin qu</w:t>
      </w:r>
      <w:r w:rsidR="002F6E75" w:rsidRPr="00B7599D">
        <w:rPr>
          <w:lang w:val="fr-FR"/>
        </w:rPr>
        <w:t>’</w:t>
      </w:r>
      <w:r w:rsidR="0004523C" w:rsidRPr="00B7599D">
        <w:rPr>
          <w:lang w:val="fr-FR"/>
        </w:rPr>
        <w:t>elle se prononce sur la candidature.</w:t>
      </w:r>
      <w:r w:rsidRPr="00B7599D">
        <w:rPr>
          <w:lang w:val="fr-FR"/>
        </w:rPr>
        <w:t>”</w:t>
      </w:r>
    </w:p>
    <w:p w:rsidR="005F6828" w:rsidRPr="00B7599D" w:rsidRDefault="0004523C" w:rsidP="0004523C">
      <w:pPr>
        <w:pStyle w:val="ONUMFS"/>
        <w:ind w:left="567"/>
        <w:rPr>
          <w:lang w:val="fr-FR"/>
        </w:rPr>
      </w:pPr>
      <w:r w:rsidRPr="00B7599D">
        <w:rPr>
          <w:lang w:val="fr-FR"/>
        </w:rPr>
        <w:lastRenderedPageBreak/>
        <w:t>Le groupe de travail est également convenu de recommander à l</w:t>
      </w:r>
      <w:r w:rsidR="002F6E75" w:rsidRPr="00B7599D">
        <w:rPr>
          <w:lang w:val="fr-FR"/>
        </w:rPr>
        <w:t>’</w:t>
      </w:r>
      <w:r w:rsidRPr="00B7599D">
        <w:rPr>
          <w:lang w:val="fr-FR"/>
        </w:rPr>
        <w:t>Assemblée de</w:t>
      </w:r>
      <w:r w:rsidR="00B56A02" w:rsidRPr="00B7599D">
        <w:rPr>
          <w:lang w:val="fr-FR"/>
        </w:rPr>
        <w:t xml:space="preserve"> l</w:t>
      </w:r>
      <w:r w:rsidR="002F6E75" w:rsidRPr="00B7599D">
        <w:rPr>
          <w:lang w:val="fr-FR"/>
        </w:rPr>
        <w:t>’</w:t>
      </w:r>
      <w:r w:rsidR="00B56A02" w:rsidRPr="00B7599D">
        <w:rPr>
          <w:lang w:val="fr-FR"/>
        </w:rPr>
        <w:t>Union</w:t>
      </w:r>
      <w:r w:rsidR="002F6E75" w:rsidRPr="00B7599D">
        <w:rPr>
          <w:lang w:val="fr-FR"/>
        </w:rPr>
        <w:t xml:space="preserve"> du PCT</w:t>
      </w:r>
      <w:r w:rsidR="00B56A02" w:rsidRPr="00B7599D">
        <w:rPr>
          <w:lang w:val="fr-FR"/>
        </w:rPr>
        <w:t xml:space="preserve"> d</w:t>
      </w:r>
      <w:r w:rsidR="002F6E75" w:rsidRPr="00B7599D">
        <w:rPr>
          <w:lang w:val="fr-FR"/>
        </w:rPr>
        <w:t>’</w:t>
      </w:r>
      <w:r w:rsidR="00B56A02" w:rsidRPr="00B7599D">
        <w:rPr>
          <w:lang w:val="fr-FR"/>
        </w:rPr>
        <w:t>adopter la</w:t>
      </w:r>
      <w:r w:rsidRPr="00B7599D">
        <w:rPr>
          <w:lang w:val="fr-FR"/>
        </w:rPr>
        <w:t xml:space="preserve"> décision ci</w:t>
      </w:r>
      <w:r w:rsidR="001335D6" w:rsidRPr="001335D6">
        <w:rPr>
          <w:lang w:val="fr-FR"/>
        </w:rPr>
        <w:noBreakHyphen/>
      </w:r>
      <w:r w:rsidRPr="00B7599D">
        <w:rPr>
          <w:lang w:val="fr-FR"/>
        </w:rPr>
        <w:t>après concernant l</w:t>
      </w:r>
      <w:r w:rsidR="002F6E75" w:rsidRPr="00B7599D">
        <w:rPr>
          <w:lang w:val="fr-FR"/>
        </w:rPr>
        <w:t>’</w:t>
      </w:r>
      <w:r w:rsidRPr="00B7599D">
        <w:rPr>
          <w:lang w:val="fr-FR"/>
        </w:rPr>
        <w:t>entrée en vigueur et les dispositions transitoires relatives à l</w:t>
      </w:r>
      <w:r w:rsidR="002F6E75" w:rsidRPr="00B7599D">
        <w:rPr>
          <w:lang w:val="fr-FR"/>
        </w:rPr>
        <w:t>’</w:t>
      </w:r>
      <w:r w:rsidRPr="00B7599D">
        <w:rPr>
          <w:lang w:val="fr-FR"/>
        </w:rPr>
        <w:t>accord de principe proposé</w:t>
      </w:r>
      <w:r w:rsidR="00F436BF" w:rsidRPr="00B7599D">
        <w:rPr>
          <w:lang w:val="fr-FR"/>
        </w:rPr>
        <w:t> </w:t>
      </w:r>
      <w:r w:rsidRPr="00B7599D">
        <w:rPr>
          <w:lang w:val="fr-FR"/>
        </w:rPr>
        <w:t>:</w:t>
      </w:r>
    </w:p>
    <w:p w:rsidR="005F6828" w:rsidRPr="00B7599D" w:rsidRDefault="00F46EFA" w:rsidP="00F46EFA">
      <w:pPr>
        <w:pStyle w:val="ONUMFS"/>
        <w:numPr>
          <w:ilvl w:val="0"/>
          <w:numId w:val="0"/>
        </w:numPr>
        <w:ind w:left="1134"/>
        <w:rPr>
          <w:lang w:val="fr-FR"/>
        </w:rPr>
      </w:pPr>
      <w:r w:rsidRPr="00B7599D">
        <w:rPr>
          <w:lang w:val="fr-FR"/>
        </w:rPr>
        <w:t>“Les procédures de nomination des administrations internationales définies dans l</w:t>
      </w:r>
      <w:r w:rsidR="002F6E75" w:rsidRPr="00B7599D">
        <w:rPr>
          <w:lang w:val="fr-FR"/>
        </w:rPr>
        <w:t>’</w:t>
      </w:r>
      <w:r w:rsidR="00B56A02" w:rsidRPr="00B7599D">
        <w:rPr>
          <w:lang w:val="fr-FR"/>
        </w:rPr>
        <w:t>accord de principe</w:t>
      </w:r>
      <w:r w:rsidRPr="00B7599D">
        <w:rPr>
          <w:lang w:val="fr-FR"/>
        </w:rPr>
        <w:t xml:space="preserve"> susmentionné s</w:t>
      </w:r>
      <w:r w:rsidR="002F6E75" w:rsidRPr="00B7599D">
        <w:rPr>
          <w:lang w:val="fr-FR"/>
        </w:rPr>
        <w:t>’</w:t>
      </w:r>
      <w:r w:rsidRPr="00B7599D">
        <w:rPr>
          <w:lang w:val="fr-FR"/>
        </w:rPr>
        <w:t>appliquent à toute candidature à la nomination en qualité d</w:t>
      </w:r>
      <w:r w:rsidR="002F6E75" w:rsidRPr="00B7599D">
        <w:rPr>
          <w:lang w:val="fr-FR"/>
        </w:rPr>
        <w:t>’</w:t>
      </w:r>
      <w:r w:rsidRPr="00B7599D">
        <w:rPr>
          <w:lang w:val="fr-FR"/>
        </w:rPr>
        <w:t>administration internationale présentée après la clôture de la présente session de l</w:t>
      </w:r>
      <w:r w:rsidR="002F6E75" w:rsidRPr="00B7599D">
        <w:rPr>
          <w:lang w:val="fr-FR"/>
        </w:rPr>
        <w:t>’</w:t>
      </w:r>
      <w:r w:rsidRPr="00B7599D">
        <w:rPr>
          <w:lang w:val="fr-FR"/>
        </w:rPr>
        <w:t>Assemblée de l</w:t>
      </w:r>
      <w:r w:rsidR="002F6E75" w:rsidRPr="00B7599D">
        <w:rPr>
          <w:lang w:val="fr-FR"/>
        </w:rPr>
        <w:t>’</w:t>
      </w:r>
      <w:r w:rsidRPr="00B7599D">
        <w:rPr>
          <w:lang w:val="fr-FR"/>
        </w:rPr>
        <w:t>Union</w:t>
      </w:r>
      <w:r w:rsidR="002F6E75" w:rsidRPr="00B7599D">
        <w:rPr>
          <w:lang w:val="fr-FR"/>
        </w:rPr>
        <w:t xml:space="preserve"> du PCT</w:t>
      </w:r>
      <w:r w:rsidRPr="00B7599D">
        <w:rPr>
          <w:lang w:val="fr-FR"/>
        </w:rPr>
        <w:t>.”</w:t>
      </w:r>
    </w:p>
    <w:p w:rsidR="005F6828" w:rsidRPr="00B7599D" w:rsidRDefault="00F46EFA" w:rsidP="00F46EFA">
      <w:pPr>
        <w:pStyle w:val="ONUMFS"/>
        <w:rPr>
          <w:lang w:val="fr-FR"/>
        </w:rPr>
      </w:pPr>
      <w:r w:rsidRPr="00B7599D">
        <w:rPr>
          <w:szCs w:val="22"/>
          <w:lang w:val="fr-FR"/>
        </w:rPr>
        <w:t>En ce qui concerne les critères matériels de nomination, toutes les délégations qui ont pris la parole partageaient l</w:t>
      </w:r>
      <w:r w:rsidR="002F6E75" w:rsidRPr="00B7599D">
        <w:rPr>
          <w:szCs w:val="22"/>
          <w:lang w:val="fr-FR"/>
        </w:rPr>
        <w:t>’</w:t>
      </w:r>
      <w:r w:rsidRPr="00B7599D">
        <w:rPr>
          <w:szCs w:val="22"/>
          <w:lang w:val="fr-FR"/>
        </w:rPr>
        <w:t>avis selon lequel il était encore trop tôt pour soumettre une proposition concrète de modification des critères actuels, comme indiqué dans le document PCT//WG//7/4.</w:t>
      </w:r>
      <w:r w:rsidR="0067787B" w:rsidRPr="00B7599D">
        <w:rPr>
          <w:lang w:val="fr-FR"/>
        </w:rPr>
        <w:t xml:space="preserve">  </w:t>
      </w:r>
      <w:r w:rsidRPr="00B7599D">
        <w:rPr>
          <w:szCs w:val="22"/>
          <w:lang w:val="fr-FR"/>
        </w:rPr>
        <w:t>Plusieurs délégations ont procédé à des échanges de vues préliminaires sur certaines des questions relatives à de nouveaux critères possibles figurant dans le document PCT/WG/7/4.  Plusieurs délégations ont estimé qu</w:t>
      </w:r>
      <w:r w:rsidR="002F6E75" w:rsidRPr="00B7599D">
        <w:rPr>
          <w:szCs w:val="22"/>
          <w:lang w:val="fr-FR"/>
        </w:rPr>
        <w:t>’</w:t>
      </w:r>
      <w:r w:rsidRPr="00B7599D">
        <w:rPr>
          <w:szCs w:val="22"/>
          <w:lang w:val="fr-FR"/>
        </w:rPr>
        <w:t>il n</w:t>
      </w:r>
      <w:r w:rsidR="002F6E75" w:rsidRPr="00B7599D">
        <w:rPr>
          <w:szCs w:val="22"/>
          <w:lang w:val="fr-FR"/>
        </w:rPr>
        <w:t>’</w:t>
      </w:r>
      <w:r w:rsidRPr="00B7599D">
        <w:rPr>
          <w:szCs w:val="22"/>
          <w:lang w:val="fr-FR"/>
        </w:rPr>
        <w:t>était peut</w:t>
      </w:r>
      <w:r w:rsidR="002F6E75" w:rsidRPr="00B7599D">
        <w:rPr>
          <w:szCs w:val="22"/>
          <w:lang w:val="fr-FR"/>
        </w:rPr>
        <w:t>-</w:t>
      </w:r>
      <w:r w:rsidRPr="00B7599D">
        <w:rPr>
          <w:szCs w:val="22"/>
          <w:lang w:val="fr-FR"/>
        </w:rPr>
        <w:t>être pas nécessaire d</w:t>
      </w:r>
      <w:r w:rsidR="002F6E75" w:rsidRPr="00B7599D">
        <w:rPr>
          <w:szCs w:val="22"/>
          <w:lang w:val="fr-FR"/>
        </w:rPr>
        <w:t>’</w:t>
      </w:r>
      <w:r w:rsidRPr="00B7599D">
        <w:rPr>
          <w:szCs w:val="22"/>
          <w:lang w:val="fr-FR"/>
        </w:rPr>
        <w:t>élaborer de nouveaux critères et que l</w:t>
      </w:r>
      <w:r w:rsidR="002F6E75" w:rsidRPr="00B7599D">
        <w:rPr>
          <w:szCs w:val="22"/>
          <w:lang w:val="fr-FR"/>
        </w:rPr>
        <w:t>’</w:t>
      </w:r>
      <w:r w:rsidRPr="00B7599D">
        <w:rPr>
          <w:szCs w:val="22"/>
          <w:lang w:val="fr-FR"/>
        </w:rPr>
        <w:t>“application” adéquate des critères existants pourrait suffire.</w:t>
      </w:r>
    </w:p>
    <w:p w:rsidR="005F6828" w:rsidRPr="00B7599D" w:rsidRDefault="00F46EFA" w:rsidP="00F46EFA">
      <w:pPr>
        <w:pStyle w:val="ONUMFS"/>
        <w:rPr>
          <w:lang w:val="fr-FR"/>
        </w:rPr>
      </w:pPr>
      <w:r w:rsidRPr="00B7599D">
        <w:rPr>
          <w:lang w:val="fr-FR"/>
        </w:rPr>
        <w:t>Le groupe de travail est convenu dans l</w:t>
      </w:r>
      <w:r w:rsidR="002F6E75" w:rsidRPr="00B7599D">
        <w:rPr>
          <w:lang w:val="fr-FR"/>
        </w:rPr>
        <w:t>’</w:t>
      </w:r>
      <w:r w:rsidRPr="00B7599D">
        <w:rPr>
          <w:lang w:val="fr-FR"/>
        </w:rPr>
        <w:t>ensemble de la nécessité que les États membres débattent de manière détaillée des enjeux et notamment des exigences en matière de qualité qu</w:t>
      </w:r>
      <w:r w:rsidR="002F6E75" w:rsidRPr="00B7599D">
        <w:rPr>
          <w:lang w:val="fr-FR"/>
        </w:rPr>
        <w:t>’</w:t>
      </w:r>
      <w:r w:rsidRPr="00B7599D">
        <w:rPr>
          <w:lang w:val="fr-FR"/>
        </w:rPr>
        <w:t>un office devrait satisfaire pour pouvoir agir efficacement en qualité d</w:t>
      </w:r>
      <w:r w:rsidR="002F6E75" w:rsidRPr="00B7599D">
        <w:rPr>
          <w:lang w:val="fr-FR"/>
        </w:rPr>
        <w:t>’</w:t>
      </w:r>
      <w:r w:rsidRPr="00B7599D">
        <w:rPr>
          <w:lang w:val="fr-FR"/>
        </w:rPr>
        <w:t xml:space="preserve">administration, et de la façon dont ces exigences pourraient être mieux exprimées dans </w:t>
      </w:r>
      <w:r w:rsidR="00407F21">
        <w:rPr>
          <w:lang w:val="fr-FR"/>
        </w:rPr>
        <w:t>les critères de nomination.  Le </w:t>
      </w:r>
      <w:r w:rsidRPr="00B7599D">
        <w:rPr>
          <w:lang w:val="fr-FR"/>
        </w:rPr>
        <w:t>groupe de travail a indiqué que la Réunion des administrations internationales</w:t>
      </w:r>
      <w:r w:rsidR="002F6E75" w:rsidRPr="00B7599D">
        <w:rPr>
          <w:lang w:val="fr-FR"/>
        </w:rPr>
        <w:t xml:space="preserve"> du PCT</w:t>
      </w:r>
      <w:r w:rsidRPr="00B7599D">
        <w:rPr>
          <w:lang w:val="fr-FR"/>
        </w:rPr>
        <w:t xml:space="preserve"> avait soumis cette question au sous</w:t>
      </w:r>
      <w:r w:rsidR="001F4663" w:rsidRPr="001F4663">
        <w:rPr>
          <w:lang w:val="fr-FR"/>
        </w:rPr>
        <w:noBreakHyphen/>
      </w:r>
      <w:r w:rsidRPr="00B7599D">
        <w:rPr>
          <w:lang w:val="fr-FR"/>
        </w:rPr>
        <w:t>groupe chargé de la qualité et est convenu d</w:t>
      </w:r>
      <w:r w:rsidR="002F6E75" w:rsidRPr="00B7599D">
        <w:rPr>
          <w:lang w:val="fr-FR"/>
        </w:rPr>
        <w:t>’</w:t>
      </w:r>
      <w:r w:rsidRPr="00B7599D">
        <w:rPr>
          <w:lang w:val="fr-FR"/>
        </w:rPr>
        <w:t>attendre les résultats des délibérations de ce sous</w:t>
      </w:r>
      <w:r w:rsidR="001F4663" w:rsidRPr="001F4663">
        <w:rPr>
          <w:lang w:val="fr-FR"/>
        </w:rPr>
        <w:noBreakHyphen/>
      </w:r>
      <w:r w:rsidRPr="00B7599D">
        <w:rPr>
          <w:lang w:val="fr-FR"/>
        </w:rPr>
        <w:t>groupe et de la Réunion des administrations internationales</w:t>
      </w:r>
      <w:r w:rsidR="002F6E75" w:rsidRPr="00B7599D">
        <w:rPr>
          <w:lang w:val="fr-FR"/>
        </w:rPr>
        <w:t xml:space="preserve"> du PCT</w:t>
      </w:r>
      <w:r w:rsidRPr="00B7599D">
        <w:rPr>
          <w:lang w:val="fr-FR"/>
        </w:rPr>
        <w:t xml:space="preserve"> avant d</w:t>
      </w:r>
      <w:r w:rsidR="002F6E75" w:rsidRPr="00B7599D">
        <w:rPr>
          <w:lang w:val="fr-FR"/>
        </w:rPr>
        <w:t>’</w:t>
      </w:r>
      <w:r w:rsidRPr="00B7599D">
        <w:rPr>
          <w:lang w:val="fr-FR"/>
        </w:rPr>
        <w:t>examiner plus avant cette question à sa prochaine session en</w:t>
      </w:r>
      <w:r w:rsidR="00F436BF" w:rsidRPr="00B7599D">
        <w:rPr>
          <w:lang w:val="fr-FR"/>
        </w:rPr>
        <w:t> </w:t>
      </w:r>
      <w:r w:rsidRPr="00B7599D">
        <w:rPr>
          <w:lang w:val="fr-FR"/>
        </w:rPr>
        <w:t>2015.</w:t>
      </w:r>
    </w:p>
    <w:p w:rsidR="005F6828" w:rsidRPr="00B7599D" w:rsidRDefault="00F46EFA" w:rsidP="00F46EFA">
      <w:pPr>
        <w:pStyle w:val="Heading1"/>
        <w:rPr>
          <w:lang w:val="fr-FR"/>
        </w:rPr>
      </w:pPr>
      <w:r w:rsidRPr="00B7599D">
        <w:rPr>
          <w:lang w:val="fr-FR"/>
        </w:rPr>
        <w:t>Point</w:t>
      </w:r>
      <w:r w:rsidR="00F436BF" w:rsidRPr="00B7599D">
        <w:rPr>
          <w:lang w:val="fr-FR"/>
        </w:rPr>
        <w:t> </w:t>
      </w:r>
      <w:r w:rsidRPr="00B7599D">
        <w:rPr>
          <w:lang w:val="fr-FR"/>
        </w:rPr>
        <w:t>12 de l</w:t>
      </w:r>
      <w:r w:rsidR="002F6E75" w:rsidRPr="00B7599D">
        <w:rPr>
          <w:lang w:val="fr-FR"/>
        </w:rPr>
        <w:t>’</w:t>
      </w:r>
      <w:r w:rsidRPr="00B7599D">
        <w:rPr>
          <w:lang w:val="fr-FR"/>
        </w:rPr>
        <w:t>ordre du jour</w:t>
      </w:r>
      <w:r w:rsidR="00F436BF" w:rsidRPr="00B7599D">
        <w:rPr>
          <w:lang w:val="fr-FR"/>
        </w:rPr>
        <w:t> </w:t>
      </w:r>
      <w:r w:rsidRPr="00B7599D">
        <w:rPr>
          <w:lang w:val="fr-FR"/>
        </w:rPr>
        <w:t>: examen d</w:t>
      </w:r>
      <w:r w:rsidR="002F6E75" w:rsidRPr="00B7599D">
        <w:rPr>
          <w:lang w:val="fr-FR"/>
        </w:rPr>
        <w:t>’</w:t>
      </w:r>
      <w:r w:rsidRPr="00B7599D">
        <w:rPr>
          <w:lang w:val="fr-FR"/>
        </w:rPr>
        <w:t>ensemble des propositions concernant</w:t>
      </w:r>
      <w:r w:rsidR="002F6E75" w:rsidRPr="00B7599D">
        <w:rPr>
          <w:lang w:val="fr-FR"/>
        </w:rPr>
        <w:t xml:space="preserve"> le PCT</w:t>
      </w:r>
      <w:r w:rsidRPr="00B7599D">
        <w:rPr>
          <w:lang w:val="fr-FR"/>
        </w:rPr>
        <w:t xml:space="preserve"> 20/20</w:t>
      </w:r>
    </w:p>
    <w:p w:rsidR="005F6828" w:rsidRPr="00B7599D" w:rsidRDefault="00F46EFA" w:rsidP="00F46EFA">
      <w:pPr>
        <w:pStyle w:val="ONUMFS"/>
        <w:rPr>
          <w:lang w:val="fr-FR"/>
        </w:rPr>
      </w:pPr>
      <w:r w:rsidRPr="00B7599D">
        <w:rPr>
          <w:lang w:val="fr-FR"/>
        </w:rPr>
        <w:t>Les délibérations ont eu lieu sur la base du document PCT/WG/7/20.</w:t>
      </w:r>
    </w:p>
    <w:p w:rsidR="005F6828" w:rsidRPr="00B7599D" w:rsidRDefault="00F46EFA" w:rsidP="00F46EFA">
      <w:pPr>
        <w:pStyle w:val="ONUMFS"/>
        <w:rPr>
          <w:lang w:val="fr-FR"/>
        </w:rPr>
      </w:pPr>
      <w:r w:rsidRPr="00B7599D">
        <w:rPr>
          <w:lang w:val="fr-FR"/>
        </w:rPr>
        <w:t>Les délégations se sont exprimées sur chacune des propositions traitées dans le document PCT/WG/7/20 qui n</w:t>
      </w:r>
      <w:r w:rsidR="002F6E75" w:rsidRPr="00B7599D">
        <w:rPr>
          <w:lang w:val="fr-FR"/>
        </w:rPr>
        <w:t>’</w:t>
      </w:r>
      <w:r w:rsidRPr="00B7599D">
        <w:rPr>
          <w:lang w:val="fr-FR"/>
        </w:rPr>
        <w:t>avaient pas fait l</w:t>
      </w:r>
      <w:r w:rsidR="002F6E75" w:rsidRPr="00B7599D">
        <w:rPr>
          <w:lang w:val="fr-FR"/>
        </w:rPr>
        <w:t>’</w:t>
      </w:r>
      <w:r w:rsidRPr="00B7599D">
        <w:rPr>
          <w:lang w:val="fr-FR"/>
        </w:rPr>
        <w:t>objet de propositions plus spécifiques durant cette session.</w:t>
      </w:r>
    </w:p>
    <w:p w:rsidR="005F6828" w:rsidRPr="00B7599D" w:rsidRDefault="00F46EFA" w:rsidP="00F46EFA">
      <w:pPr>
        <w:pStyle w:val="ONUMFS"/>
        <w:rPr>
          <w:lang w:val="fr-FR"/>
        </w:rPr>
      </w:pPr>
      <w:r w:rsidRPr="00B7599D">
        <w:rPr>
          <w:lang w:val="fr-FR"/>
        </w:rPr>
        <w:t>Plusieurs délégations ont appuyé la proposition concernant la consignation obligatoire des stratégies de recherche, indiquant que la consignation et la communication des stratégies de recherche contribueraient à améliorer la qualité des recherches et à renforcer la confiance à</w:t>
      </w:r>
      <w:r w:rsidR="00F436BF" w:rsidRPr="00B7599D">
        <w:rPr>
          <w:lang w:val="fr-FR"/>
        </w:rPr>
        <w:t> </w:t>
      </w:r>
      <w:r w:rsidRPr="00B7599D">
        <w:rPr>
          <w:lang w:val="fr-FR"/>
        </w:rPr>
        <w:t>l</w:t>
      </w:r>
      <w:r w:rsidR="002F6E75" w:rsidRPr="00B7599D">
        <w:rPr>
          <w:lang w:val="fr-FR"/>
        </w:rPr>
        <w:t>’</w:t>
      </w:r>
      <w:r w:rsidRPr="00B7599D">
        <w:rPr>
          <w:lang w:val="fr-FR"/>
        </w:rPr>
        <w:t>égard des produits du travail</w:t>
      </w:r>
      <w:r w:rsidR="002F6E75" w:rsidRPr="00B7599D">
        <w:rPr>
          <w:lang w:val="fr-FR"/>
        </w:rPr>
        <w:t xml:space="preserve"> du PCT</w:t>
      </w:r>
      <w:r w:rsidRPr="00B7599D">
        <w:rPr>
          <w:lang w:val="fr-FR"/>
        </w:rPr>
        <w:t>.</w:t>
      </w:r>
      <w:r w:rsidR="005F422B" w:rsidRPr="00B7599D">
        <w:rPr>
          <w:lang w:val="fr-FR"/>
        </w:rPr>
        <w:t xml:space="preserve">  </w:t>
      </w:r>
      <w:r w:rsidRPr="00B7599D">
        <w:rPr>
          <w:lang w:val="fr-FR"/>
        </w:rPr>
        <w:t>En attendant d</w:t>
      </w:r>
      <w:r w:rsidR="002F6E75" w:rsidRPr="00B7599D">
        <w:rPr>
          <w:lang w:val="fr-FR"/>
        </w:rPr>
        <w:t>’</w:t>
      </w:r>
      <w:r w:rsidRPr="00B7599D">
        <w:rPr>
          <w:lang w:val="fr-FR"/>
        </w:rPr>
        <w:t>autres discussions sur la question, notamment au sein du sous</w:t>
      </w:r>
      <w:r w:rsidR="001F4663" w:rsidRPr="001F4663">
        <w:rPr>
          <w:lang w:val="fr-FR"/>
        </w:rPr>
        <w:noBreakHyphen/>
      </w:r>
      <w:r w:rsidRPr="00B7599D">
        <w:rPr>
          <w:lang w:val="fr-FR"/>
        </w:rPr>
        <w:t>groupe de la Réunion des administrations internationales</w:t>
      </w:r>
      <w:r w:rsidR="002F6E75" w:rsidRPr="00B7599D">
        <w:rPr>
          <w:lang w:val="fr-FR"/>
        </w:rPr>
        <w:t xml:space="preserve"> du PCT</w:t>
      </w:r>
      <w:r w:rsidRPr="00B7599D">
        <w:rPr>
          <w:lang w:val="fr-FR"/>
        </w:rPr>
        <w:t xml:space="preserve"> chargé de la qualité, plusieurs délégations ont encouragé les administrations internationales qui jusqu</w:t>
      </w:r>
      <w:r w:rsidR="002F6E75" w:rsidRPr="00B7599D">
        <w:rPr>
          <w:lang w:val="fr-FR"/>
        </w:rPr>
        <w:t>’</w:t>
      </w:r>
      <w:r w:rsidRPr="00B7599D">
        <w:rPr>
          <w:lang w:val="fr-FR"/>
        </w:rPr>
        <w:t>à présent ne le faisaient pas à communiquer leurs stratégies de recherche, quel qu</w:t>
      </w:r>
      <w:r w:rsidR="002F6E75" w:rsidRPr="00B7599D">
        <w:rPr>
          <w:lang w:val="fr-FR"/>
        </w:rPr>
        <w:t>’</w:t>
      </w:r>
      <w:r w:rsidRPr="00B7599D">
        <w:rPr>
          <w:lang w:val="fr-FR"/>
        </w:rPr>
        <w:t>en soit le format, aux offices désignés via PATENTSCOPE.  Certaines délégations ont exprimé des préoccupations quant à la charge de travail supplémentaire que cela représenterait pour les examinateurs.  D</w:t>
      </w:r>
      <w:r w:rsidR="002F6E75" w:rsidRPr="00B7599D">
        <w:rPr>
          <w:lang w:val="fr-FR"/>
        </w:rPr>
        <w:t>’</w:t>
      </w:r>
      <w:r w:rsidRPr="00B7599D">
        <w:rPr>
          <w:lang w:val="fr-FR"/>
        </w:rPr>
        <w:t>autres délégations ont suggéré que cette charge de travail supplémentaire, minime pour une administration internationale, présenterait un avantage certain pour de nombreux offices désignés durant la phase nationale.</w:t>
      </w:r>
    </w:p>
    <w:p w:rsidR="005F6828" w:rsidRPr="00B7599D" w:rsidRDefault="00F46EFA" w:rsidP="00F46EFA">
      <w:pPr>
        <w:pStyle w:val="ONUMFS"/>
        <w:rPr>
          <w:lang w:val="fr-FR"/>
        </w:rPr>
      </w:pPr>
      <w:r w:rsidRPr="00B7599D">
        <w:rPr>
          <w:lang w:val="fr-FR"/>
        </w:rPr>
        <w:t>La délégation de l</w:t>
      </w:r>
      <w:r w:rsidR="002F6E75" w:rsidRPr="00B7599D">
        <w:rPr>
          <w:lang w:val="fr-FR"/>
        </w:rPr>
        <w:t>’</w:t>
      </w:r>
      <w:r w:rsidRPr="00B7599D">
        <w:rPr>
          <w:lang w:val="fr-FR"/>
        </w:rPr>
        <w:t>Office européen des brevets a présenté au groupe de travail des informations actualisées sur le projet pilote de recherche et d</w:t>
      </w:r>
      <w:r w:rsidR="002F6E75" w:rsidRPr="00B7599D">
        <w:rPr>
          <w:lang w:val="fr-FR"/>
        </w:rPr>
        <w:t>’</w:t>
      </w:r>
      <w:r w:rsidRPr="00B7599D">
        <w:rPr>
          <w:lang w:val="fr-FR"/>
        </w:rPr>
        <w:t>examen en collaboration.  Une évaluation interne détaillée avait confirmé la nécessité de mener un troisième projet pilote afin de fournir une base solide à toute décision future quant à la mise en œuvre d</w:t>
      </w:r>
      <w:r w:rsidR="002F6E75" w:rsidRPr="00B7599D">
        <w:rPr>
          <w:lang w:val="fr-FR"/>
        </w:rPr>
        <w:t>’</w:t>
      </w:r>
      <w:r w:rsidRPr="00B7599D">
        <w:rPr>
          <w:lang w:val="fr-FR"/>
        </w:rPr>
        <w:t>un système de recherche et d</w:t>
      </w:r>
      <w:r w:rsidR="002F6E75" w:rsidRPr="00B7599D">
        <w:rPr>
          <w:lang w:val="fr-FR"/>
        </w:rPr>
        <w:t>’</w:t>
      </w:r>
      <w:r w:rsidRPr="00B7599D">
        <w:rPr>
          <w:lang w:val="fr-FR"/>
        </w:rPr>
        <w:t>examen en collaboration, notamment pour connaître l</w:t>
      </w:r>
      <w:r w:rsidR="002F6E75" w:rsidRPr="00B7599D">
        <w:rPr>
          <w:lang w:val="fr-FR"/>
        </w:rPr>
        <w:t>’</w:t>
      </w:r>
      <w:r w:rsidRPr="00B7599D">
        <w:rPr>
          <w:lang w:val="fr-FR"/>
        </w:rPr>
        <w:t>avis des utilisateurs, affiner davantage la méthodologie et la conception du système et procéder à une analyse détaillée des coûts et des avantages, y</w:t>
      </w:r>
      <w:r w:rsidR="00F436BF" w:rsidRPr="00B7599D">
        <w:rPr>
          <w:lang w:val="fr-FR"/>
        </w:rPr>
        <w:t> </w:t>
      </w:r>
      <w:r w:rsidRPr="00B7599D">
        <w:rPr>
          <w:lang w:val="fr-FR"/>
        </w:rPr>
        <w:t>compris sur l</w:t>
      </w:r>
      <w:r w:rsidR="002F6E75" w:rsidRPr="00B7599D">
        <w:rPr>
          <w:lang w:val="fr-FR"/>
        </w:rPr>
        <w:t>’</w:t>
      </w:r>
      <w:r w:rsidRPr="00B7599D">
        <w:rPr>
          <w:lang w:val="fr-FR"/>
        </w:rPr>
        <w:t xml:space="preserve">utilisation des capacités des examinateurs et le coût du service.  Une délégation a formé le vœu que ce troisième projet pilote produise </w:t>
      </w:r>
      <w:r w:rsidRPr="00B7599D">
        <w:rPr>
          <w:lang w:val="fr-FR"/>
        </w:rPr>
        <w:lastRenderedPageBreak/>
        <w:t>suffisamment de données sur les antériorités nouvelles découvertes durant la phase nationale et sur le nombre de notifications des offices qui avaient contribué au rapport sur la recherche et l</w:t>
      </w:r>
      <w:r w:rsidR="002F6E75" w:rsidRPr="00B7599D">
        <w:rPr>
          <w:lang w:val="fr-FR"/>
        </w:rPr>
        <w:t>’</w:t>
      </w:r>
      <w:r w:rsidRPr="00B7599D">
        <w:rPr>
          <w:lang w:val="fr-FR"/>
        </w:rPr>
        <w:t>examen en collaboration.</w:t>
      </w:r>
    </w:p>
    <w:p w:rsidR="005F6828" w:rsidRPr="00B7599D" w:rsidRDefault="00F46EFA" w:rsidP="00F46EFA">
      <w:pPr>
        <w:pStyle w:val="ONUMFS"/>
        <w:rPr>
          <w:lang w:val="fr-FR"/>
        </w:rPr>
      </w:pPr>
      <w:r w:rsidRPr="00B7599D">
        <w:rPr>
          <w:lang w:val="fr-FR"/>
        </w:rPr>
        <w:t>Plusieurs délégations ont formulé des observations sur la proposition tendant à exiger une réponse à toute observation négative contenue dans les produits du travail</w:t>
      </w:r>
      <w:r w:rsidR="002F6E75" w:rsidRPr="00B7599D">
        <w:rPr>
          <w:lang w:val="fr-FR"/>
        </w:rPr>
        <w:t xml:space="preserve"> du PCT</w:t>
      </w:r>
      <w:r w:rsidRPr="00B7599D">
        <w:rPr>
          <w:lang w:val="fr-FR"/>
        </w:rPr>
        <w:t>, indiquant que cette réponse, bien qu</w:t>
      </w:r>
      <w:r w:rsidR="002F6E75" w:rsidRPr="00B7599D">
        <w:rPr>
          <w:lang w:val="fr-FR"/>
        </w:rPr>
        <w:t>’</w:t>
      </w:r>
      <w:r w:rsidRPr="00B7599D">
        <w:rPr>
          <w:lang w:val="fr-FR"/>
        </w:rPr>
        <w:t>elle puisse être utile lors de l</w:t>
      </w:r>
      <w:r w:rsidR="002F6E75" w:rsidRPr="00B7599D">
        <w:rPr>
          <w:lang w:val="fr-FR"/>
        </w:rPr>
        <w:t>’</w:t>
      </w:r>
      <w:r w:rsidRPr="00B7599D">
        <w:rPr>
          <w:lang w:val="fr-FR"/>
        </w:rPr>
        <w:t>entrée dans la phase nationale devant le même office qui avait établi le produit du travail</w:t>
      </w:r>
      <w:r w:rsidR="002F6E75" w:rsidRPr="00B7599D">
        <w:rPr>
          <w:lang w:val="fr-FR"/>
        </w:rPr>
        <w:t xml:space="preserve"> du PCT</w:t>
      </w:r>
      <w:r w:rsidRPr="00B7599D">
        <w:rPr>
          <w:lang w:val="fr-FR"/>
        </w:rPr>
        <w:t>, pourrait surcharger les déposants et n</w:t>
      </w:r>
      <w:r w:rsidR="002F6E75" w:rsidRPr="00B7599D">
        <w:rPr>
          <w:lang w:val="fr-FR"/>
        </w:rPr>
        <w:t>’</w:t>
      </w:r>
      <w:r w:rsidRPr="00B7599D">
        <w:rPr>
          <w:lang w:val="fr-FR"/>
        </w:rPr>
        <w:t>être d</w:t>
      </w:r>
      <w:r w:rsidR="002F6E75" w:rsidRPr="00B7599D">
        <w:rPr>
          <w:lang w:val="fr-FR"/>
        </w:rPr>
        <w:t>’</w:t>
      </w:r>
      <w:r w:rsidRPr="00B7599D">
        <w:rPr>
          <w:lang w:val="fr-FR"/>
        </w:rPr>
        <w:t>aucune utilité dans le cas où le déposant a l</w:t>
      </w:r>
      <w:r w:rsidR="002F6E75" w:rsidRPr="00B7599D">
        <w:rPr>
          <w:lang w:val="fr-FR"/>
        </w:rPr>
        <w:t>’</w:t>
      </w:r>
      <w:r w:rsidRPr="00B7599D">
        <w:rPr>
          <w:lang w:val="fr-FR"/>
        </w:rPr>
        <w:t>intention d</w:t>
      </w:r>
      <w:r w:rsidR="002F6E75" w:rsidRPr="00B7599D">
        <w:rPr>
          <w:lang w:val="fr-FR"/>
        </w:rPr>
        <w:t>’</w:t>
      </w:r>
      <w:r w:rsidRPr="00B7599D">
        <w:rPr>
          <w:lang w:val="fr-FR"/>
        </w:rPr>
        <w:t>apporter des modifications à la demande au moment de l</w:t>
      </w:r>
      <w:r w:rsidR="002F6E75" w:rsidRPr="00B7599D">
        <w:rPr>
          <w:lang w:val="fr-FR"/>
        </w:rPr>
        <w:t>’</w:t>
      </w:r>
      <w:r w:rsidRPr="00B7599D">
        <w:rPr>
          <w:lang w:val="fr-FR"/>
        </w:rPr>
        <w:t>entrée dans la phase nationale.</w:t>
      </w:r>
    </w:p>
    <w:p w:rsidR="005F6828" w:rsidRPr="00B7599D" w:rsidRDefault="00F46EFA" w:rsidP="00F46EFA">
      <w:pPr>
        <w:pStyle w:val="ONUMFS"/>
        <w:rPr>
          <w:lang w:val="fr-FR"/>
        </w:rPr>
      </w:pPr>
      <w:r w:rsidRPr="00B7599D">
        <w:rPr>
          <w:lang w:val="fr-FR"/>
        </w:rPr>
        <w:t>Plusieurs délégations ont estimé que</w:t>
      </w:r>
      <w:r w:rsidR="002F6E75" w:rsidRPr="00B7599D">
        <w:rPr>
          <w:lang w:val="fr-FR"/>
        </w:rPr>
        <w:t xml:space="preserve"> le PCT</w:t>
      </w:r>
      <w:r w:rsidRPr="00B7599D">
        <w:rPr>
          <w:lang w:val="fr-FR"/>
        </w:rPr>
        <w:t xml:space="preserve"> ne devrait pas réglementer la question des taxes perçues par les offices nationaux au moment de l</w:t>
      </w:r>
      <w:r w:rsidR="002F6E75" w:rsidRPr="00B7599D">
        <w:rPr>
          <w:lang w:val="fr-FR"/>
        </w:rPr>
        <w:t>’</w:t>
      </w:r>
      <w:r w:rsidRPr="00B7599D">
        <w:rPr>
          <w:lang w:val="fr-FR"/>
        </w:rPr>
        <w:t>entrée dans la phase nationale, tandis qu</w:t>
      </w:r>
      <w:r w:rsidR="002F6E75" w:rsidRPr="00B7599D">
        <w:rPr>
          <w:lang w:val="fr-FR"/>
        </w:rPr>
        <w:t>’</w:t>
      </w:r>
      <w:r w:rsidRPr="00B7599D">
        <w:rPr>
          <w:lang w:val="fr-FR"/>
        </w:rPr>
        <w:t>un représentant des utilisateurs du système a accueilli favorablement et appuyé sans réserve cette proposition.</w:t>
      </w:r>
    </w:p>
    <w:p w:rsidR="005F6828" w:rsidRPr="00B7599D" w:rsidRDefault="00F46EFA" w:rsidP="00F46EFA">
      <w:pPr>
        <w:pStyle w:val="ONUMFS"/>
        <w:ind w:left="567"/>
        <w:rPr>
          <w:lang w:val="fr-FR"/>
        </w:rPr>
      </w:pPr>
      <w:r w:rsidRPr="00B7599D">
        <w:rPr>
          <w:lang w:val="fr-FR"/>
        </w:rPr>
        <w:t>Le groupe de travail a pris note du contenu du document PCT/WG/7/20.</w:t>
      </w:r>
    </w:p>
    <w:p w:rsidR="005F6828" w:rsidRPr="00B7599D" w:rsidRDefault="00F46EFA" w:rsidP="00F46EFA">
      <w:pPr>
        <w:pStyle w:val="Heading1"/>
        <w:rPr>
          <w:lang w:val="fr-FR"/>
        </w:rPr>
      </w:pPr>
      <w:r w:rsidRPr="00B7599D">
        <w:rPr>
          <w:lang w:val="fr-FR"/>
        </w:rPr>
        <w:t>Point</w:t>
      </w:r>
      <w:r w:rsidR="00F436BF" w:rsidRPr="00B7599D">
        <w:rPr>
          <w:lang w:val="fr-FR"/>
        </w:rPr>
        <w:t> </w:t>
      </w:r>
      <w:r w:rsidRPr="00B7599D">
        <w:rPr>
          <w:lang w:val="fr-FR"/>
        </w:rPr>
        <w:t>13 de l</w:t>
      </w:r>
      <w:r w:rsidR="002F6E75" w:rsidRPr="00B7599D">
        <w:rPr>
          <w:lang w:val="fr-FR"/>
        </w:rPr>
        <w:t>’</w:t>
      </w:r>
      <w:r w:rsidRPr="00B7599D">
        <w:rPr>
          <w:lang w:val="fr-FR"/>
        </w:rPr>
        <w:t>ordre du jour</w:t>
      </w:r>
      <w:r w:rsidR="00F436BF" w:rsidRPr="00B7599D">
        <w:rPr>
          <w:lang w:val="fr-FR"/>
        </w:rPr>
        <w:t> </w:t>
      </w:r>
      <w:r w:rsidRPr="00B7599D">
        <w:rPr>
          <w:lang w:val="fr-FR"/>
        </w:rPr>
        <w:t>: intégration formelle du Patent Prosecution Highway dans</w:t>
      </w:r>
      <w:r w:rsidR="002F6E75" w:rsidRPr="00B7599D">
        <w:rPr>
          <w:lang w:val="fr-FR"/>
        </w:rPr>
        <w:t xml:space="preserve"> le PCT</w:t>
      </w:r>
    </w:p>
    <w:p w:rsidR="005F6828" w:rsidRPr="00B7599D" w:rsidRDefault="00F46EFA" w:rsidP="00F46EFA">
      <w:pPr>
        <w:pStyle w:val="ONUMFS"/>
        <w:rPr>
          <w:lang w:val="fr-FR"/>
        </w:rPr>
      </w:pPr>
      <w:r w:rsidRPr="00B7599D">
        <w:rPr>
          <w:lang w:val="fr-FR"/>
        </w:rPr>
        <w:t>Les délibérations ont eu lieu sur la base du document PCT/WG/7/21.</w:t>
      </w:r>
    </w:p>
    <w:p w:rsidR="005F6828" w:rsidRPr="00B7599D" w:rsidRDefault="00F46EFA" w:rsidP="00F46EFA">
      <w:pPr>
        <w:pStyle w:val="ONUMFS"/>
        <w:rPr>
          <w:lang w:val="fr-FR"/>
        </w:rPr>
      </w:pPr>
      <w:r w:rsidRPr="00B7599D">
        <w:rPr>
          <w:lang w:val="fr-FR"/>
        </w:rPr>
        <w:t>La délégation du Japon a présenté un exposé sur la procédure accélérée d</w:t>
      </w:r>
      <w:r w:rsidR="002F6E75" w:rsidRPr="00B7599D">
        <w:rPr>
          <w:lang w:val="fr-FR"/>
        </w:rPr>
        <w:t>’</w:t>
      </w:r>
      <w:r w:rsidRPr="00B7599D">
        <w:rPr>
          <w:lang w:val="fr-FR"/>
        </w:rPr>
        <w:t xml:space="preserve">examen des demandes de brevet (Patent </w:t>
      </w:r>
      <w:proofErr w:type="spellStart"/>
      <w:r w:rsidRPr="00B7599D">
        <w:rPr>
          <w:lang w:val="fr-FR"/>
        </w:rPr>
        <w:t>Prosecution</w:t>
      </w:r>
      <w:proofErr w:type="spellEnd"/>
      <w:r w:rsidRPr="00B7599D">
        <w:rPr>
          <w:lang w:val="fr-FR"/>
        </w:rPr>
        <w:t xml:space="preserve"> </w:t>
      </w:r>
      <w:proofErr w:type="spellStart"/>
      <w:r w:rsidRPr="00B7599D">
        <w:rPr>
          <w:lang w:val="fr-FR"/>
        </w:rPr>
        <w:t>Highway</w:t>
      </w:r>
      <w:proofErr w:type="spellEnd"/>
      <w:r w:rsidRPr="00B7599D">
        <w:rPr>
          <w:lang w:val="fr-FR"/>
        </w:rPr>
        <w:t xml:space="preserve"> – PPH)</w:t>
      </w:r>
      <w:r w:rsidRPr="00B7599D">
        <w:rPr>
          <w:rStyle w:val="FootnoteReference"/>
          <w:lang w:val="fr-FR"/>
        </w:rPr>
        <w:footnoteReference w:id="5"/>
      </w:r>
      <w:r w:rsidRPr="00B7599D">
        <w:rPr>
          <w:lang w:val="fr-FR"/>
        </w:rPr>
        <w:t>.  Parmi les avantages</w:t>
      </w:r>
      <w:r w:rsidR="002F6E75" w:rsidRPr="00B7599D">
        <w:rPr>
          <w:lang w:val="fr-FR"/>
        </w:rPr>
        <w:t xml:space="preserve"> du PPH</w:t>
      </w:r>
      <w:r w:rsidRPr="00B7599D">
        <w:rPr>
          <w:lang w:val="fr-FR"/>
        </w:rPr>
        <w:t xml:space="preserve"> figuraient un examen accéléré grâce à la réduction des délais de traitement auprès de l</w:t>
      </w:r>
      <w:r w:rsidR="002F6E75" w:rsidRPr="00B7599D">
        <w:rPr>
          <w:lang w:val="fr-FR"/>
        </w:rPr>
        <w:t>’</w:t>
      </w:r>
      <w:r w:rsidRPr="00B7599D">
        <w:rPr>
          <w:lang w:val="fr-FR"/>
        </w:rPr>
        <w:t xml:space="preserve">office de deuxième dépôt, une réduction des coûts avec la diminution des mesures prises par les offices et un renforcement de la qualité des brevets.  En </w:t>
      </w:r>
      <w:r w:rsidR="002F6E75" w:rsidRPr="00B7599D">
        <w:rPr>
          <w:lang w:val="fr-FR"/>
        </w:rPr>
        <w:t>janvier 20</w:t>
      </w:r>
      <w:r w:rsidR="00407F21">
        <w:rPr>
          <w:lang w:val="fr-FR"/>
        </w:rPr>
        <w:t>14, 32 </w:t>
      </w:r>
      <w:r w:rsidRPr="00B7599D">
        <w:rPr>
          <w:lang w:val="fr-FR"/>
        </w:rPr>
        <w:t>offices participaient au système PPH et environ 50</w:t>
      </w:r>
      <w:r w:rsidR="00F436BF" w:rsidRPr="00B7599D">
        <w:rPr>
          <w:lang w:val="fr-FR"/>
        </w:rPr>
        <w:t> </w:t>
      </w:r>
      <w:r w:rsidRPr="00B7599D">
        <w:rPr>
          <w:lang w:val="fr-FR"/>
        </w:rPr>
        <w:t>000 demandes PPH avaient été déposées dans le monde depuis l</w:t>
      </w:r>
      <w:r w:rsidR="002F6E75" w:rsidRPr="00B7599D">
        <w:rPr>
          <w:lang w:val="fr-FR"/>
        </w:rPr>
        <w:t>’</w:t>
      </w:r>
      <w:r w:rsidRPr="00B7599D">
        <w:rPr>
          <w:lang w:val="fr-FR"/>
        </w:rPr>
        <w:t>entrée en vigueur du premier accord sur la procédure accélérée d</w:t>
      </w:r>
      <w:r w:rsidR="002F6E75" w:rsidRPr="00B7599D">
        <w:rPr>
          <w:lang w:val="fr-FR"/>
        </w:rPr>
        <w:t>’</w:t>
      </w:r>
      <w:r w:rsidRPr="00B7599D">
        <w:rPr>
          <w:lang w:val="fr-FR"/>
        </w:rPr>
        <w:t>examen de demandes de brevet en</w:t>
      </w:r>
      <w:r w:rsidR="00F436BF" w:rsidRPr="00B7599D">
        <w:rPr>
          <w:lang w:val="fr-FR"/>
        </w:rPr>
        <w:t> </w:t>
      </w:r>
      <w:r w:rsidRPr="00B7599D">
        <w:rPr>
          <w:lang w:val="fr-FR"/>
        </w:rPr>
        <w:t xml:space="preserve">2006.  Un programme pilote PPH </w:t>
      </w:r>
      <w:r w:rsidR="00B56A02" w:rsidRPr="00B7599D">
        <w:rPr>
          <w:lang w:val="fr-FR"/>
        </w:rPr>
        <w:t xml:space="preserve">global </w:t>
      </w:r>
      <w:r w:rsidRPr="00B7599D">
        <w:rPr>
          <w:lang w:val="fr-FR"/>
        </w:rPr>
        <w:t xml:space="preserve">avait été mis en œuvre le </w:t>
      </w:r>
      <w:r w:rsidR="002F6E75" w:rsidRPr="00B7599D">
        <w:rPr>
          <w:lang w:val="fr-FR"/>
        </w:rPr>
        <w:t>6 janvier 20</w:t>
      </w:r>
      <w:r w:rsidR="00407F21">
        <w:rPr>
          <w:lang w:val="fr-FR"/>
        </w:rPr>
        <w:t>14 avec 17 </w:t>
      </w:r>
      <w:r w:rsidRPr="00B7599D">
        <w:rPr>
          <w:lang w:val="fr-FR"/>
        </w:rPr>
        <w:t>pays et régions, qui prévoyait des exigences simplifiées dans l</w:t>
      </w:r>
      <w:r w:rsidR="002F6E75" w:rsidRPr="00B7599D">
        <w:rPr>
          <w:lang w:val="fr-FR"/>
        </w:rPr>
        <w:t>’</w:t>
      </w:r>
      <w:r w:rsidRPr="00B7599D">
        <w:rPr>
          <w:lang w:val="fr-FR"/>
        </w:rPr>
        <w:t>intérêt des déposants.</w:t>
      </w:r>
    </w:p>
    <w:p w:rsidR="005F6828" w:rsidRPr="00B7599D" w:rsidRDefault="00F46EFA" w:rsidP="00F46EFA">
      <w:pPr>
        <w:pStyle w:val="ONUMFS"/>
        <w:rPr>
          <w:lang w:val="fr-FR"/>
        </w:rPr>
      </w:pPr>
      <w:r w:rsidRPr="00B7599D">
        <w:rPr>
          <w:lang w:val="fr-FR"/>
        </w:rPr>
        <w:t>La délégation du Royaume</w:t>
      </w:r>
      <w:r w:rsidR="002F6E75" w:rsidRPr="00B7599D">
        <w:rPr>
          <w:lang w:val="fr-FR"/>
        </w:rPr>
        <w:t>-</w:t>
      </w:r>
      <w:r w:rsidRPr="00B7599D">
        <w:rPr>
          <w:lang w:val="fr-FR"/>
        </w:rPr>
        <w:t>Uni a informé le groupe de travail qu</w:t>
      </w:r>
      <w:r w:rsidR="002F6E75" w:rsidRPr="00B7599D">
        <w:rPr>
          <w:lang w:val="fr-FR"/>
        </w:rPr>
        <w:t>’</w:t>
      </w:r>
      <w:r w:rsidRPr="00B7599D">
        <w:rPr>
          <w:lang w:val="fr-FR"/>
        </w:rPr>
        <w:t xml:space="preserve">une procédure accélérée appelée PCT (UK) </w:t>
      </w:r>
      <w:proofErr w:type="spellStart"/>
      <w:r w:rsidRPr="00B7599D">
        <w:rPr>
          <w:lang w:val="fr-FR"/>
        </w:rPr>
        <w:t>Fast</w:t>
      </w:r>
      <w:proofErr w:type="spellEnd"/>
      <w:r w:rsidRPr="00B7599D">
        <w:rPr>
          <w:lang w:val="fr-FR"/>
        </w:rPr>
        <w:t xml:space="preserve"> </w:t>
      </w:r>
      <w:proofErr w:type="spellStart"/>
      <w:r w:rsidRPr="00B7599D">
        <w:rPr>
          <w:lang w:val="fr-FR"/>
        </w:rPr>
        <w:t>Track</w:t>
      </w:r>
      <w:proofErr w:type="spellEnd"/>
      <w:r w:rsidRPr="00B7599D">
        <w:rPr>
          <w:lang w:val="fr-FR"/>
        </w:rPr>
        <w:t xml:space="preserve"> était en vigueur depuis</w:t>
      </w:r>
      <w:r w:rsidR="00F436BF" w:rsidRPr="00B7599D">
        <w:rPr>
          <w:lang w:val="fr-FR"/>
        </w:rPr>
        <w:t> </w:t>
      </w:r>
      <w:r w:rsidRPr="00B7599D">
        <w:rPr>
          <w:lang w:val="fr-FR"/>
        </w:rPr>
        <w:t>2010.  Selon ce système, une demande de traitement accéléré peut être faite sur la base d</w:t>
      </w:r>
      <w:r w:rsidR="002F6E75" w:rsidRPr="00B7599D">
        <w:rPr>
          <w:lang w:val="fr-FR"/>
        </w:rPr>
        <w:t>’</w:t>
      </w:r>
      <w:r w:rsidRPr="00B7599D">
        <w:rPr>
          <w:lang w:val="fr-FR"/>
        </w:rPr>
        <w:t>une opinion écrite ou d</w:t>
      </w:r>
      <w:r w:rsidR="002F6E75" w:rsidRPr="00B7599D">
        <w:rPr>
          <w:lang w:val="fr-FR"/>
        </w:rPr>
        <w:t>’</w:t>
      </w:r>
      <w:r w:rsidRPr="00B7599D">
        <w:rPr>
          <w:lang w:val="fr-FR"/>
        </w:rPr>
        <w:t>un rapport d</w:t>
      </w:r>
      <w:r w:rsidR="002F6E75" w:rsidRPr="00B7599D">
        <w:rPr>
          <w:lang w:val="fr-FR"/>
        </w:rPr>
        <w:t>’</w:t>
      </w:r>
      <w:r w:rsidRPr="00B7599D">
        <w:rPr>
          <w:lang w:val="fr-FR"/>
        </w:rPr>
        <w:t>examen préliminaire international sur la brevetabilité qui soient positifs, avec un examen de fond complet pour toutes les demandes.  Dans 6% des cas, les entrées dans la phase nationale auprès de l</w:t>
      </w:r>
      <w:r w:rsidR="002F6E75" w:rsidRPr="00B7599D">
        <w:rPr>
          <w:lang w:val="fr-FR"/>
        </w:rPr>
        <w:t>’</w:t>
      </w:r>
      <w:r w:rsidRPr="00B7599D">
        <w:rPr>
          <w:lang w:val="fr-FR"/>
        </w:rPr>
        <w:t>Office de la propriété intellectuelle du Royaume</w:t>
      </w:r>
      <w:r w:rsidR="00407F21" w:rsidRPr="00407F21">
        <w:rPr>
          <w:lang w:val="fr-FR"/>
        </w:rPr>
        <w:noBreakHyphen/>
      </w:r>
      <w:r w:rsidRPr="00B7599D">
        <w:rPr>
          <w:lang w:val="fr-FR"/>
        </w:rPr>
        <w:t xml:space="preserve">Uni étaient effectuées grâce au système PCT (UK) </w:t>
      </w:r>
      <w:proofErr w:type="spellStart"/>
      <w:r w:rsidRPr="00B7599D">
        <w:rPr>
          <w:lang w:val="fr-FR"/>
        </w:rPr>
        <w:t>Fast</w:t>
      </w:r>
      <w:proofErr w:type="spellEnd"/>
      <w:r w:rsidRPr="00B7599D">
        <w:rPr>
          <w:lang w:val="fr-FR"/>
        </w:rPr>
        <w:t xml:space="preserve"> </w:t>
      </w:r>
      <w:proofErr w:type="spellStart"/>
      <w:r w:rsidRPr="00B7599D">
        <w:rPr>
          <w:lang w:val="fr-FR"/>
        </w:rPr>
        <w:t>Track</w:t>
      </w:r>
      <w:proofErr w:type="spellEnd"/>
      <w:r w:rsidRPr="00B7599D">
        <w:rPr>
          <w:lang w:val="fr-FR"/>
        </w:rPr>
        <w:t>.</w:t>
      </w:r>
    </w:p>
    <w:p w:rsidR="00D651C2" w:rsidRDefault="00F46EFA" w:rsidP="00F46EFA">
      <w:pPr>
        <w:pStyle w:val="ONUMFS"/>
        <w:rPr>
          <w:lang w:val="fr-FR"/>
        </w:rPr>
      </w:pPr>
      <w:r w:rsidRPr="00B7599D">
        <w:rPr>
          <w:lang w:val="fr-FR"/>
        </w:rPr>
        <w:t>Plusieurs délégations ont appuyé les propositions et se sont dites favorables à tous les points du paragraphe</w:t>
      </w:r>
      <w:r w:rsidR="00F436BF" w:rsidRPr="00B7599D">
        <w:rPr>
          <w:lang w:val="fr-FR"/>
        </w:rPr>
        <w:t> </w:t>
      </w:r>
      <w:r w:rsidRPr="00B7599D">
        <w:rPr>
          <w:lang w:val="fr-FR"/>
        </w:rPr>
        <w:t>26 du document.  Les délégations en faveur des propositions ont fait valoir un niveau de satisfaction élevé de la part des utilisateurs des procédures simplifiées dans le cadre des accords bilatéraux relatifs</w:t>
      </w:r>
      <w:r w:rsidR="002F6E75" w:rsidRPr="00B7599D">
        <w:rPr>
          <w:lang w:val="fr-FR"/>
        </w:rPr>
        <w:t xml:space="preserve"> au PPH</w:t>
      </w:r>
      <w:r w:rsidRPr="00B7599D">
        <w:rPr>
          <w:lang w:val="fr-FR"/>
        </w:rPr>
        <w:t xml:space="preserve"> avec leur office des brevets.  Ces délégations se sont réjouies de la possibilité, pour tout office désigné proposant une procédure accélérée, de suspendre le service en cas de charge de travail élevée, bien que les préoccupations initiales concernant un afflux important de demandes PPH qui aurait des incidences sur la charge de travail des offices ne se soient pas concrétisées dans les accords bilatéraux existants.  S</w:t>
      </w:r>
      <w:r w:rsidR="002F6E75" w:rsidRPr="00B7599D">
        <w:rPr>
          <w:lang w:val="fr-FR"/>
        </w:rPr>
        <w:t>’</w:t>
      </w:r>
      <w:r w:rsidRPr="00B7599D">
        <w:rPr>
          <w:lang w:val="fr-FR"/>
        </w:rPr>
        <w:t>agissant du libellé envisagé pour le paragraphe</w:t>
      </w:r>
      <w:r w:rsidR="00F436BF" w:rsidRPr="00B7599D">
        <w:rPr>
          <w:lang w:val="fr-FR"/>
        </w:rPr>
        <w:t> </w:t>
      </w:r>
      <w:r w:rsidRPr="00B7599D">
        <w:rPr>
          <w:lang w:val="fr-FR"/>
        </w:rPr>
        <w:t>b) des règles</w:t>
      </w:r>
      <w:r w:rsidR="00F436BF" w:rsidRPr="00B7599D">
        <w:rPr>
          <w:lang w:val="fr-FR"/>
        </w:rPr>
        <w:t> </w:t>
      </w:r>
      <w:r w:rsidRPr="00B7599D">
        <w:rPr>
          <w:lang w:val="fr-FR"/>
        </w:rPr>
        <w:t>52</w:t>
      </w:r>
      <w:r w:rsidRPr="00B7599D">
        <w:rPr>
          <w:i/>
          <w:lang w:val="fr-FR"/>
        </w:rPr>
        <w:t>bis</w:t>
      </w:r>
      <w:r w:rsidRPr="00B7599D">
        <w:rPr>
          <w:lang w:val="fr-FR"/>
        </w:rPr>
        <w:t>.1 et 78</w:t>
      </w:r>
      <w:r w:rsidRPr="00B7599D">
        <w:rPr>
          <w:i/>
          <w:lang w:val="fr-FR"/>
        </w:rPr>
        <w:t>bis</w:t>
      </w:r>
      <w:r w:rsidRPr="00B7599D">
        <w:rPr>
          <w:lang w:val="fr-FR"/>
        </w:rPr>
        <w:t>.1 proposées, certaines délégations ont préféré un “droit de retrait” relatif à une notification d</w:t>
      </w:r>
      <w:r w:rsidR="002F6E75" w:rsidRPr="00B7599D">
        <w:rPr>
          <w:lang w:val="fr-FR"/>
        </w:rPr>
        <w:t>’</w:t>
      </w:r>
      <w:r w:rsidRPr="00B7599D">
        <w:rPr>
          <w:lang w:val="fr-FR"/>
        </w:rPr>
        <w:t>incompatibilité, conformément aux autres dispositions</w:t>
      </w:r>
      <w:r w:rsidR="002F6E75" w:rsidRPr="00B7599D">
        <w:rPr>
          <w:lang w:val="fr-FR"/>
        </w:rPr>
        <w:t xml:space="preserve"> du PCT</w:t>
      </w:r>
      <w:r w:rsidRPr="00B7599D">
        <w:rPr>
          <w:lang w:val="fr-FR"/>
        </w:rPr>
        <w:t>, tandis que d</w:t>
      </w:r>
      <w:r w:rsidR="002F6E75" w:rsidRPr="00B7599D">
        <w:rPr>
          <w:lang w:val="fr-FR"/>
        </w:rPr>
        <w:t>’</w:t>
      </w:r>
      <w:r w:rsidRPr="00B7599D">
        <w:rPr>
          <w:lang w:val="fr-FR"/>
        </w:rPr>
        <w:t xml:space="preserve">autres ont estimé </w:t>
      </w:r>
    </w:p>
    <w:p w:rsidR="005F6828" w:rsidRPr="00B7599D" w:rsidRDefault="00F46EFA" w:rsidP="00D651C2">
      <w:pPr>
        <w:pStyle w:val="ONUMFS"/>
        <w:numPr>
          <w:ilvl w:val="0"/>
          <w:numId w:val="0"/>
        </w:numPr>
        <w:rPr>
          <w:lang w:val="fr-FR"/>
        </w:rPr>
      </w:pPr>
      <w:proofErr w:type="gramStart"/>
      <w:r w:rsidRPr="00B7599D">
        <w:rPr>
          <w:lang w:val="fr-FR"/>
        </w:rPr>
        <w:lastRenderedPageBreak/>
        <w:t>qu</w:t>
      </w:r>
      <w:r w:rsidR="002F6E75" w:rsidRPr="00B7599D">
        <w:rPr>
          <w:lang w:val="fr-FR"/>
        </w:rPr>
        <w:t>’</w:t>
      </w:r>
      <w:r w:rsidRPr="00B7599D">
        <w:rPr>
          <w:lang w:val="fr-FR"/>
        </w:rPr>
        <w:t>une</w:t>
      </w:r>
      <w:proofErr w:type="gramEnd"/>
      <w:r w:rsidRPr="00B7599D">
        <w:rPr>
          <w:lang w:val="fr-FR"/>
        </w:rPr>
        <w:t xml:space="preserve"> “acceptation expresse” était préférable pour laisser une plus grande souplesse aux offices dans la mise en œuvre.  Les organisations représentant les utilisateurs du système</w:t>
      </w:r>
      <w:r w:rsidR="002F6E75" w:rsidRPr="00B7599D">
        <w:rPr>
          <w:lang w:val="fr-FR"/>
        </w:rPr>
        <w:t xml:space="preserve"> du PCT</w:t>
      </w:r>
      <w:r w:rsidRPr="00B7599D">
        <w:rPr>
          <w:lang w:val="fr-FR"/>
        </w:rPr>
        <w:t xml:space="preserve"> ont également approuvé d</w:t>
      </w:r>
      <w:r w:rsidR="002F6E75" w:rsidRPr="00B7599D">
        <w:rPr>
          <w:lang w:val="fr-FR"/>
        </w:rPr>
        <w:t>’</w:t>
      </w:r>
      <w:r w:rsidRPr="00B7599D">
        <w:rPr>
          <w:lang w:val="fr-FR"/>
        </w:rPr>
        <w:t>une façon générale la proposition.</w:t>
      </w:r>
    </w:p>
    <w:p w:rsidR="002F6E75" w:rsidRPr="00B7599D" w:rsidRDefault="00F46EFA" w:rsidP="00F46EFA">
      <w:pPr>
        <w:pStyle w:val="ONUMFS"/>
        <w:rPr>
          <w:lang w:val="fr-FR"/>
        </w:rPr>
      </w:pPr>
      <w:r w:rsidRPr="00B7599D">
        <w:rPr>
          <w:lang w:val="fr-FR"/>
        </w:rPr>
        <w:t>La délégation du Kenya, parlant au nom du groupe des pays africains, a estimé que la proposition était prématurée puisqu</w:t>
      </w:r>
      <w:r w:rsidR="002F6E75" w:rsidRPr="00B7599D">
        <w:rPr>
          <w:lang w:val="fr-FR"/>
        </w:rPr>
        <w:t>’</w:t>
      </w:r>
      <w:r w:rsidRPr="00B7599D">
        <w:rPr>
          <w:lang w:val="fr-FR"/>
        </w:rPr>
        <w:t>elle présupposait que tous les offices de brevets avaient les mêmes aptitudes et connaissances pour procéder à l</w:t>
      </w:r>
      <w:r w:rsidR="002F6E75" w:rsidRPr="00B7599D">
        <w:rPr>
          <w:lang w:val="fr-FR"/>
        </w:rPr>
        <w:t>’</w:t>
      </w:r>
      <w:r w:rsidRPr="00B7599D">
        <w:rPr>
          <w:lang w:val="fr-FR"/>
        </w:rPr>
        <w:t>examen, que tous les examinateurs de brevets pouvaient évaluer les rapports préliminaires internationaux sur la brevetabilité établis par les administrations internationales, que les examinateurs de brevets pouvaient recenser les insuffisances dans ces rapports et les examiner plus avant pour y remédier et que les offices désignés pouvaient proposer des modifications aux rapports qui pouvaient être prises en considération.  Pour satisfaire à ces exigences, les aptitudes et connaissances des offices de brevets devaient être d</w:t>
      </w:r>
      <w:r w:rsidR="002F6E75" w:rsidRPr="00B7599D">
        <w:rPr>
          <w:lang w:val="fr-FR"/>
        </w:rPr>
        <w:t>’</w:t>
      </w:r>
      <w:r w:rsidRPr="00B7599D">
        <w:rPr>
          <w:lang w:val="fr-FR"/>
        </w:rPr>
        <w:t>un niveau analogue, ce qui n</w:t>
      </w:r>
      <w:r w:rsidR="002F6E75" w:rsidRPr="00B7599D">
        <w:rPr>
          <w:lang w:val="fr-FR"/>
        </w:rPr>
        <w:t>’</w:t>
      </w:r>
      <w:r w:rsidRPr="00B7599D">
        <w:rPr>
          <w:lang w:val="fr-FR"/>
        </w:rPr>
        <w:t>était pas le cas.  Pour remplir ces conditions, la coopération pourrait avoir lieu dans le cadre du comité d</w:t>
      </w:r>
      <w:r w:rsidR="002F6E75" w:rsidRPr="00B7599D">
        <w:rPr>
          <w:lang w:val="fr-FR"/>
        </w:rPr>
        <w:t>’</w:t>
      </w:r>
      <w:r w:rsidRPr="00B7599D">
        <w:rPr>
          <w:lang w:val="fr-FR"/>
        </w:rPr>
        <w:t>assistance technique en vertu de l</w:t>
      </w:r>
      <w:r w:rsidR="002F6E75" w:rsidRPr="00B7599D">
        <w:rPr>
          <w:lang w:val="fr-FR"/>
        </w:rPr>
        <w:t>’</w:t>
      </w:r>
      <w:r w:rsidRPr="00B7599D">
        <w:rPr>
          <w:lang w:val="fr-FR"/>
        </w:rPr>
        <w:t>article</w:t>
      </w:r>
      <w:r w:rsidR="00F436BF" w:rsidRPr="00B7599D">
        <w:rPr>
          <w:lang w:val="fr-FR"/>
        </w:rPr>
        <w:t> </w:t>
      </w:r>
      <w:r w:rsidRPr="00B7599D">
        <w:rPr>
          <w:lang w:val="fr-FR"/>
        </w:rPr>
        <w:t>51, qui devait entrer en activité.  Par ailleurs, le traitement national accéléré dans la proposition nécessiterait que les offices offrent un traitement préférentiel aux déposants étrangers et aurait des incidences sur les éléments de flexibilité existant dans les systèmes nationaux de brevets.</w:t>
      </w:r>
    </w:p>
    <w:p w:rsidR="005F6828" w:rsidRPr="00B7599D" w:rsidRDefault="00F46EFA" w:rsidP="00F46EFA">
      <w:pPr>
        <w:pStyle w:val="ONUMFS"/>
        <w:rPr>
          <w:lang w:val="fr-FR"/>
        </w:rPr>
      </w:pPr>
      <w:r w:rsidRPr="00B7599D">
        <w:rPr>
          <w:lang w:val="fr-FR"/>
        </w:rPr>
        <w:t>La délégation du Brésil a réaffirmé et a exposé dans le déta</w:t>
      </w:r>
      <w:r w:rsidR="004B6F33" w:rsidRPr="00B7599D">
        <w:rPr>
          <w:lang w:val="fr-FR"/>
        </w:rPr>
        <w:t>il les craintes qui avaient été </w:t>
      </w:r>
      <w:r w:rsidRPr="00B7599D">
        <w:rPr>
          <w:lang w:val="fr-FR"/>
        </w:rPr>
        <w:t>exprimées durant la sixième</w:t>
      </w:r>
      <w:r w:rsidR="00F436BF" w:rsidRPr="00B7599D">
        <w:rPr>
          <w:lang w:val="fr-FR"/>
        </w:rPr>
        <w:t> </w:t>
      </w:r>
      <w:r w:rsidRPr="00B7599D">
        <w:rPr>
          <w:lang w:val="fr-FR"/>
        </w:rPr>
        <w:t>session du Groupe de travail</w:t>
      </w:r>
      <w:r w:rsidR="002F6E75" w:rsidRPr="00B7599D">
        <w:rPr>
          <w:lang w:val="fr-FR"/>
        </w:rPr>
        <w:t xml:space="preserve"> du PCT</w:t>
      </w:r>
      <w:r w:rsidR="004B6F33" w:rsidRPr="00B7599D">
        <w:rPr>
          <w:lang w:val="fr-FR"/>
        </w:rPr>
        <w:t xml:space="preserve"> et la vingt </w:t>
      </w:r>
      <w:r w:rsidRPr="00B7599D">
        <w:rPr>
          <w:lang w:val="fr-FR"/>
        </w:rPr>
        <w:t>et</w:t>
      </w:r>
      <w:r w:rsidR="004B6F33" w:rsidRPr="00B7599D">
        <w:rPr>
          <w:lang w:val="fr-FR"/>
        </w:rPr>
        <w:t> </w:t>
      </w:r>
      <w:r w:rsidRPr="00B7599D">
        <w:rPr>
          <w:lang w:val="fr-FR"/>
        </w:rPr>
        <w:t>unième</w:t>
      </w:r>
      <w:r w:rsidR="00F436BF" w:rsidRPr="00B7599D">
        <w:rPr>
          <w:lang w:val="fr-FR"/>
        </w:rPr>
        <w:t> </w:t>
      </w:r>
      <w:r w:rsidRPr="00B7599D">
        <w:rPr>
          <w:lang w:val="fr-FR"/>
        </w:rPr>
        <w:t>session de la réunion des administrations</w:t>
      </w:r>
      <w:r w:rsidR="004B6F33" w:rsidRPr="00B7599D">
        <w:rPr>
          <w:lang w:val="fr-FR"/>
        </w:rPr>
        <w:t xml:space="preserve"> internationales concernant les </w:t>
      </w:r>
      <w:r w:rsidRPr="00B7599D">
        <w:rPr>
          <w:lang w:val="fr-FR"/>
        </w:rPr>
        <w:t>éventuels effets négatifs, sur la qualité de la procédure nationale de traitement des demandes selon</w:t>
      </w:r>
      <w:r w:rsidR="002F6E75" w:rsidRPr="00B7599D">
        <w:rPr>
          <w:lang w:val="fr-FR"/>
        </w:rPr>
        <w:t xml:space="preserve"> le PCT</w:t>
      </w:r>
      <w:r w:rsidRPr="00B7599D">
        <w:rPr>
          <w:lang w:val="fr-FR"/>
        </w:rPr>
        <w:t>, d</w:t>
      </w:r>
      <w:r w:rsidR="002F6E75" w:rsidRPr="00B7599D">
        <w:rPr>
          <w:lang w:val="fr-FR"/>
        </w:rPr>
        <w:t>’</w:t>
      </w:r>
      <w:r w:rsidRPr="00B7599D">
        <w:rPr>
          <w:lang w:val="fr-FR"/>
        </w:rPr>
        <w:t>une procédure accélérée de recherche et d</w:t>
      </w:r>
      <w:r w:rsidR="002F6E75" w:rsidRPr="00B7599D">
        <w:rPr>
          <w:lang w:val="fr-FR"/>
        </w:rPr>
        <w:t>’</w:t>
      </w:r>
      <w:r w:rsidRPr="00B7599D">
        <w:rPr>
          <w:lang w:val="fr-FR"/>
        </w:rPr>
        <w:t>examen;  le bien</w:t>
      </w:r>
      <w:r w:rsidR="004B6F33" w:rsidRPr="00B7599D">
        <w:rPr>
          <w:lang w:val="fr-FR"/>
        </w:rPr>
        <w:noBreakHyphen/>
      </w:r>
      <w:r w:rsidRPr="00B7599D">
        <w:rPr>
          <w:lang w:val="fr-FR"/>
        </w:rPr>
        <w:t>fondé de l</w:t>
      </w:r>
      <w:r w:rsidR="002F6E75" w:rsidRPr="00B7599D">
        <w:rPr>
          <w:lang w:val="fr-FR"/>
        </w:rPr>
        <w:t>’</w:t>
      </w:r>
      <w:r w:rsidRPr="00B7599D">
        <w:rPr>
          <w:lang w:val="fr-FR"/>
        </w:rPr>
        <w:t>intégration dans</w:t>
      </w:r>
      <w:r w:rsidR="002F6E75" w:rsidRPr="00B7599D">
        <w:rPr>
          <w:lang w:val="fr-FR"/>
        </w:rPr>
        <w:t xml:space="preserve"> le PCT</w:t>
      </w:r>
      <w:r w:rsidRPr="00B7599D">
        <w:rPr>
          <w:lang w:val="fr-FR"/>
        </w:rPr>
        <w:t xml:space="preserve"> d</w:t>
      </w:r>
      <w:r w:rsidR="002F6E75" w:rsidRPr="00B7599D">
        <w:rPr>
          <w:lang w:val="fr-FR"/>
        </w:rPr>
        <w:t>’</w:t>
      </w:r>
      <w:r w:rsidRPr="00B7599D">
        <w:rPr>
          <w:lang w:val="fr-FR"/>
        </w:rPr>
        <w:t>un accord négocié en dehors</w:t>
      </w:r>
      <w:r w:rsidR="002F6E75" w:rsidRPr="00B7599D">
        <w:rPr>
          <w:lang w:val="fr-FR"/>
        </w:rPr>
        <w:t xml:space="preserve"> du PCT</w:t>
      </w:r>
      <w:r w:rsidRPr="00B7599D">
        <w:rPr>
          <w:lang w:val="fr-FR"/>
        </w:rPr>
        <w:t>, en vigueur sur une base limitée et pour un nombre de membres limité;  et la base juridique pour l</w:t>
      </w:r>
      <w:r w:rsidR="002F6E75" w:rsidRPr="00B7599D">
        <w:rPr>
          <w:lang w:val="fr-FR"/>
        </w:rPr>
        <w:t>’</w:t>
      </w:r>
      <w:r w:rsidRPr="00B7599D">
        <w:rPr>
          <w:lang w:val="fr-FR"/>
        </w:rPr>
        <w:t>introduction d</w:t>
      </w:r>
      <w:r w:rsidR="002F6E75" w:rsidRPr="00B7599D">
        <w:rPr>
          <w:lang w:val="fr-FR"/>
        </w:rPr>
        <w:t>’</w:t>
      </w:r>
      <w:r w:rsidRPr="00B7599D">
        <w:rPr>
          <w:lang w:val="fr-FR"/>
        </w:rPr>
        <w:t>un tel accord.</w:t>
      </w:r>
    </w:p>
    <w:p w:rsidR="005F6828" w:rsidRPr="00B7599D" w:rsidRDefault="00F46EFA" w:rsidP="00F46EFA">
      <w:pPr>
        <w:pStyle w:val="ONUMFS"/>
        <w:rPr>
          <w:rFonts w:eastAsia="Verdana"/>
          <w:lang w:val="fr-FR"/>
        </w:rPr>
      </w:pPr>
      <w:r w:rsidRPr="00B7599D">
        <w:rPr>
          <w:rFonts w:eastAsia="Verdana"/>
          <w:lang w:val="fr-FR"/>
        </w:rPr>
        <w:t>La délégation a souligné que la participation au programme PPH était en fait très restreinte, avec seulement deux</w:t>
      </w:r>
      <w:r w:rsidR="00F436BF" w:rsidRPr="00B7599D">
        <w:rPr>
          <w:rFonts w:eastAsia="Verdana"/>
          <w:lang w:val="fr-FR"/>
        </w:rPr>
        <w:t> </w:t>
      </w:r>
      <w:r w:rsidRPr="00B7599D">
        <w:rPr>
          <w:rFonts w:eastAsia="Verdana"/>
          <w:lang w:val="fr-FR"/>
        </w:rPr>
        <w:t>offices à l</w:t>
      </w:r>
      <w:r w:rsidR="002F6E75" w:rsidRPr="00B7599D">
        <w:rPr>
          <w:rFonts w:eastAsia="Verdana"/>
          <w:lang w:val="fr-FR"/>
        </w:rPr>
        <w:t>’</w:t>
      </w:r>
      <w:r w:rsidRPr="00B7599D">
        <w:rPr>
          <w:rFonts w:eastAsia="Verdana"/>
          <w:lang w:val="fr-FR"/>
        </w:rPr>
        <w:t>origine de 85% des demandes en tant qu</w:t>
      </w:r>
      <w:r w:rsidR="002F6E75" w:rsidRPr="00B7599D">
        <w:rPr>
          <w:rFonts w:eastAsia="Verdana"/>
          <w:lang w:val="fr-FR"/>
        </w:rPr>
        <w:t>’</w:t>
      </w:r>
      <w:r w:rsidRPr="00B7599D">
        <w:rPr>
          <w:rFonts w:eastAsia="Verdana"/>
          <w:lang w:val="fr-FR"/>
        </w:rPr>
        <w:t>offices de premier dépôt (qui utilisent les résultats des recherches au niveau national).  Ces deux</w:t>
      </w:r>
      <w:r w:rsidR="00F436BF" w:rsidRPr="00B7599D">
        <w:rPr>
          <w:rFonts w:eastAsia="Verdana"/>
          <w:lang w:val="fr-FR"/>
        </w:rPr>
        <w:t> </w:t>
      </w:r>
      <w:r w:rsidRPr="00B7599D">
        <w:rPr>
          <w:rFonts w:eastAsia="Verdana"/>
          <w:lang w:val="fr-FR"/>
        </w:rPr>
        <w:t>offices étaient également à l</w:t>
      </w:r>
      <w:r w:rsidR="002F6E75" w:rsidRPr="00B7599D">
        <w:rPr>
          <w:rFonts w:eastAsia="Verdana"/>
          <w:lang w:val="fr-FR"/>
        </w:rPr>
        <w:t>’</w:t>
      </w:r>
      <w:r w:rsidRPr="00B7599D">
        <w:rPr>
          <w:rFonts w:eastAsia="Verdana"/>
          <w:lang w:val="fr-FR"/>
        </w:rPr>
        <w:t>origine de 45% des demandes en tant qu</w:t>
      </w:r>
      <w:r w:rsidR="002F6E75" w:rsidRPr="00B7599D">
        <w:rPr>
          <w:rFonts w:eastAsia="Verdana"/>
          <w:lang w:val="fr-FR"/>
        </w:rPr>
        <w:t>’</w:t>
      </w:r>
      <w:r w:rsidRPr="00B7599D">
        <w:rPr>
          <w:rFonts w:eastAsia="Verdana"/>
          <w:lang w:val="fr-FR"/>
        </w:rPr>
        <w:t>offices de deuxième dépôt (qui utilisent les résultats des recherches au niveau national).  Les déposants de ces pays seraient les principaux bénéficiaires du système, et cet élément devait être pris en compte lors de l</w:t>
      </w:r>
      <w:r w:rsidR="002F6E75" w:rsidRPr="00B7599D">
        <w:rPr>
          <w:rFonts w:eastAsia="Verdana"/>
          <w:lang w:val="fr-FR"/>
        </w:rPr>
        <w:t>’</w:t>
      </w:r>
      <w:r w:rsidRPr="00B7599D">
        <w:rPr>
          <w:rFonts w:eastAsia="Verdana"/>
          <w:lang w:val="fr-FR"/>
        </w:rPr>
        <w:t>examen des avantages du point de vue d</w:t>
      </w:r>
      <w:r w:rsidR="002F6E75" w:rsidRPr="00B7599D">
        <w:rPr>
          <w:rFonts w:eastAsia="Verdana"/>
          <w:lang w:val="fr-FR"/>
        </w:rPr>
        <w:t>’</w:t>
      </w:r>
      <w:r w:rsidRPr="00B7599D">
        <w:rPr>
          <w:rFonts w:eastAsia="Verdana"/>
          <w:lang w:val="fr-FR"/>
        </w:rPr>
        <w:t>autres pays participants.  En outre, la question de la qualité des travaux des administrations internationales devait être prise en considération lors de l</w:t>
      </w:r>
      <w:r w:rsidR="002F6E75" w:rsidRPr="00B7599D">
        <w:rPr>
          <w:rFonts w:eastAsia="Verdana"/>
          <w:lang w:val="fr-FR"/>
        </w:rPr>
        <w:t>’</w:t>
      </w:r>
      <w:r w:rsidRPr="00B7599D">
        <w:rPr>
          <w:rFonts w:eastAsia="Verdana"/>
          <w:lang w:val="fr-FR"/>
        </w:rPr>
        <w:t>examen de la possibilité de proposer une procédure accélérée sur la base des résultats de leurs travaux.  Les dispositions proposées prévoyaient un “droit de retrait” mais cela n</w:t>
      </w:r>
      <w:r w:rsidR="002F6E75" w:rsidRPr="00B7599D">
        <w:rPr>
          <w:rFonts w:eastAsia="Verdana"/>
          <w:lang w:val="fr-FR"/>
        </w:rPr>
        <w:t>’</w:t>
      </w:r>
      <w:r w:rsidRPr="00B7599D">
        <w:rPr>
          <w:rFonts w:eastAsia="Verdana"/>
          <w:lang w:val="fr-FR"/>
        </w:rPr>
        <w:t>était pas satisfaisant dans le sens où cela impliquait une obligation d</w:t>
      </w:r>
      <w:r w:rsidR="002F6E75" w:rsidRPr="00B7599D">
        <w:rPr>
          <w:rFonts w:eastAsia="Verdana"/>
          <w:lang w:val="fr-FR"/>
        </w:rPr>
        <w:t>’</w:t>
      </w:r>
      <w:r w:rsidRPr="00B7599D">
        <w:rPr>
          <w:rFonts w:eastAsia="Verdana"/>
          <w:lang w:val="fr-FR"/>
        </w:rPr>
        <w:t>adhérer au système à l</w:t>
      </w:r>
      <w:r w:rsidR="002F6E75" w:rsidRPr="00B7599D">
        <w:rPr>
          <w:rFonts w:eastAsia="Verdana"/>
          <w:lang w:val="fr-FR"/>
        </w:rPr>
        <w:t>’</w:t>
      </w:r>
      <w:r w:rsidRPr="00B7599D">
        <w:rPr>
          <w:rFonts w:eastAsia="Verdana"/>
          <w:lang w:val="fr-FR"/>
        </w:rPr>
        <w:t>avenir.  Les questions liées à la charge de travail seraient également des arguments en faveur de la nécessité d</w:t>
      </w:r>
      <w:r w:rsidR="002F6E75" w:rsidRPr="00B7599D">
        <w:rPr>
          <w:rFonts w:eastAsia="Verdana"/>
          <w:lang w:val="fr-FR"/>
        </w:rPr>
        <w:t>’</w:t>
      </w:r>
      <w:r w:rsidRPr="00B7599D">
        <w:rPr>
          <w:rFonts w:eastAsia="Verdana"/>
          <w:lang w:val="fr-FR"/>
        </w:rPr>
        <w:t>offrir aux pays une souplesse suffisante pour déterminer s</w:t>
      </w:r>
      <w:r w:rsidR="002F6E75" w:rsidRPr="00B7599D">
        <w:rPr>
          <w:rFonts w:eastAsia="Verdana"/>
          <w:lang w:val="fr-FR"/>
        </w:rPr>
        <w:t>’</w:t>
      </w:r>
      <w:r w:rsidRPr="00B7599D">
        <w:rPr>
          <w:rFonts w:eastAsia="Verdana"/>
          <w:lang w:val="fr-FR"/>
        </w:rPr>
        <w:t>ils souhaitent adhérer à un programme PPH et avec qui.  Par ailleurs, la proposition ne tenait pas dûment compte d</w:t>
      </w:r>
      <w:r w:rsidR="002F6E75" w:rsidRPr="00B7599D">
        <w:rPr>
          <w:rFonts w:eastAsia="Verdana"/>
          <w:lang w:val="fr-FR"/>
        </w:rPr>
        <w:t>’</w:t>
      </w:r>
      <w:r w:rsidRPr="00B7599D">
        <w:rPr>
          <w:rFonts w:eastAsia="Verdana"/>
          <w:lang w:val="fr-FR"/>
        </w:rPr>
        <w:t>un certain nombre de recommandations du Plan d</w:t>
      </w:r>
      <w:r w:rsidR="002F6E75" w:rsidRPr="00B7599D">
        <w:rPr>
          <w:rFonts w:eastAsia="Verdana"/>
          <w:lang w:val="fr-FR"/>
        </w:rPr>
        <w:t>’</w:t>
      </w:r>
      <w:r w:rsidRPr="00B7599D">
        <w:rPr>
          <w:rFonts w:eastAsia="Verdana"/>
          <w:lang w:val="fr-FR"/>
        </w:rPr>
        <w:t>action pour le développement, en pa</w:t>
      </w:r>
      <w:r w:rsidR="00B56A02" w:rsidRPr="00B7599D">
        <w:rPr>
          <w:rFonts w:eastAsia="Verdana"/>
          <w:lang w:val="fr-FR"/>
        </w:rPr>
        <w:t>rticulier les recommandations n</w:t>
      </w:r>
      <w:r w:rsidRPr="00B7599D">
        <w:rPr>
          <w:rFonts w:eastAsia="Verdana"/>
          <w:vertAlign w:val="superscript"/>
          <w:lang w:val="fr-FR"/>
        </w:rPr>
        <w:t>os</w:t>
      </w:r>
      <w:r w:rsidRPr="00B7599D">
        <w:rPr>
          <w:rFonts w:eastAsia="Verdana"/>
          <w:lang w:val="fr-FR"/>
        </w:rPr>
        <w:t xml:space="preserve"> 15</w:t>
      </w:r>
      <w:r w:rsidRPr="00B7599D">
        <w:rPr>
          <w:rStyle w:val="FootnoteReference"/>
          <w:rFonts w:eastAsia="Verdana"/>
          <w:lang w:val="fr-FR"/>
        </w:rPr>
        <w:footnoteReference w:id="6"/>
      </w:r>
      <w:r w:rsidRPr="00B7599D">
        <w:rPr>
          <w:rFonts w:eastAsia="Verdana"/>
          <w:lang w:val="fr-FR"/>
        </w:rPr>
        <w:t xml:space="preserve"> et 17</w:t>
      </w:r>
      <w:r w:rsidRPr="00B7599D">
        <w:rPr>
          <w:rStyle w:val="FootnoteReference"/>
          <w:rFonts w:eastAsia="Verdana"/>
          <w:lang w:val="fr-FR"/>
        </w:rPr>
        <w:footnoteReference w:id="7"/>
      </w:r>
      <w:r w:rsidRPr="00B7599D">
        <w:rPr>
          <w:rFonts w:eastAsia="Verdana"/>
          <w:lang w:val="fr-FR"/>
        </w:rPr>
        <w:t>.</w:t>
      </w:r>
    </w:p>
    <w:p w:rsidR="005F6828" w:rsidRPr="00B7599D" w:rsidRDefault="00F46EFA" w:rsidP="00D651C2">
      <w:pPr>
        <w:pStyle w:val="ONUMFS"/>
        <w:keepLines/>
        <w:rPr>
          <w:lang w:val="fr-FR"/>
        </w:rPr>
      </w:pPr>
      <w:r w:rsidRPr="00B7599D">
        <w:rPr>
          <w:lang w:val="fr-FR"/>
        </w:rPr>
        <w:lastRenderedPageBreak/>
        <w:t>La délégation a en outre estimé que les propositions constituaient un excès de pouvoir.  Citant diverses dispositions de la Convention de Vienne sur le droit des traités, la délégation a</w:t>
      </w:r>
      <w:r w:rsidR="00407F21">
        <w:rPr>
          <w:lang w:val="fr-FR"/>
        </w:rPr>
        <w:t> </w:t>
      </w:r>
      <w:r w:rsidRPr="00B7599D">
        <w:rPr>
          <w:lang w:val="fr-FR"/>
        </w:rPr>
        <w:t>estimé que l</w:t>
      </w:r>
      <w:r w:rsidR="002F6E75" w:rsidRPr="00B7599D">
        <w:rPr>
          <w:lang w:val="fr-FR"/>
        </w:rPr>
        <w:t>’</w:t>
      </w:r>
      <w:r w:rsidRPr="00B7599D">
        <w:rPr>
          <w:lang w:val="fr-FR"/>
        </w:rPr>
        <w:t>intégration</w:t>
      </w:r>
      <w:r w:rsidR="002F6E75" w:rsidRPr="00B7599D">
        <w:rPr>
          <w:lang w:val="fr-FR"/>
        </w:rPr>
        <w:t xml:space="preserve"> du PPH</w:t>
      </w:r>
      <w:r w:rsidRPr="00B7599D">
        <w:rPr>
          <w:lang w:val="fr-FR"/>
        </w:rPr>
        <w:t xml:space="preserve"> dans</w:t>
      </w:r>
      <w:r w:rsidR="002F6E75" w:rsidRPr="00B7599D">
        <w:rPr>
          <w:lang w:val="fr-FR"/>
        </w:rPr>
        <w:t xml:space="preserve"> le PCT</w:t>
      </w:r>
      <w:r w:rsidRPr="00B7599D">
        <w:rPr>
          <w:lang w:val="fr-FR"/>
        </w:rPr>
        <w:t xml:space="preserve"> représentait un changement majeur du traité et des procédures appliquées par les offices désignés, dans le cadre de la phase nationale, pour le traitement dans la phase nationale d</w:t>
      </w:r>
      <w:r w:rsidR="002F6E75" w:rsidRPr="00B7599D">
        <w:rPr>
          <w:lang w:val="fr-FR"/>
        </w:rPr>
        <w:t>’</w:t>
      </w:r>
      <w:r w:rsidRPr="00B7599D">
        <w:rPr>
          <w:lang w:val="fr-FR"/>
        </w:rPr>
        <w:t>une demande selon</w:t>
      </w:r>
      <w:r w:rsidR="002F6E75" w:rsidRPr="00B7599D">
        <w:rPr>
          <w:lang w:val="fr-FR"/>
        </w:rPr>
        <w:t xml:space="preserve"> le PCT</w:t>
      </w:r>
      <w:r w:rsidRPr="00B7599D">
        <w:rPr>
          <w:lang w:val="fr-FR"/>
        </w:rPr>
        <w:t>.  Aucun article du traité ne servait de base aux accords dans le cadre</w:t>
      </w:r>
      <w:r w:rsidR="002F6E75" w:rsidRPr="00B7599D">
        <w:rPr>
          <w:lang w:val="fr-FR"/>
        </w:rPr>
        <w:t xml:space="preserve"> du PPH</w:t>
      </w:r>
      <w:r w:rsidRPr="00B7599D">
        <w:rPr>
          <w:lang w:val="fr-FR"/>
        </w:rPr>
        <w:t>.  L</w:t>
      </w:r>
      <w:r w:rsidR="002F6E75" w:rsidRPr="00B7599D">
        <w:rPr>
          <w:lang w:val="fr-FR"/>
        </w:rPr>
        <w:t>’</w:t>
      </w:r>
      <w:r w:rsidRPr="00B7599D">
        <w:rPr>
          <w:lang w:val="fr-FR"/>
        </w:rPr>
        <w:t>article</w:t>
      </w:r>
      <w:r w:rsidR="00F436BF" w:rsidRPr="00B7599D">
        <w:rPr>
          <w:lang w:val="fr-FR"/>
        </w:rPr>
        <w:t> </w:t>
      </w:r>
      <w:r w:rsidRPr="00B7599D">
        <w:rPr>
          <w:lang w:val="fr-FR"/>
        </w:rPr>
        <w:t>58.1) servait de fondement à l</w:t>
      </w:r>
      <w:r w:rsidR="002F6E75" w:rsidRPr="00B7599D">
        <w:rPr>
          <w:lang w:val="fr-FR"/>
        </w:rPr>
        <w:t>’</w:t>
      </w:r>
      <w:r w:rsidRPr="00B7599D">
        <w:rPr>
          <w:lang w:val="fr-FR"/>
        </w:rPr>
        <w:t>élaboration des règles.  Ces règles pouvaient être établies relativement</w:t>
      </w:r>
      <w:r w:rsidR="00F436BF" w:rsidRPr="00B7599D">
        <w:rPr>
          <w:lang w:val="fr-FR"/>
        </w:rPr>
        <w:t> </w:t>
      </w:r>
      <w:r w:rsidR="00407F21">
        <w:rPr>
          <w:lang w:val="fr-FR"/>
        </w:rPr>
        <w:t>: “i) </w:t>
      </w:r>
      <w:r w:rsidRPr="00B7599D">
        <w:rPr>
          <w:lang w:val="fr-FR"/>
        </w:rPr>
        <w:t>aux questions au sujet desquelles le présent traité renvoie expressément au règlement d</w:t>
      </w:r>
      <w:r w:rsidR="002F6E75" w:rsidRPr="00B7599D">
        <w:rPr>
          <w:lang w:val="fr-FR"/>
        </w:rPr>
        <w:t>’</w:t>
      </w:r>
      <w:r w:rsidRPr="00B7599D">
        <w:rPr>
          <w:lang w:val="fr-FR"/>
        </w:rPr>
        <w:t>exécution ou prévoit expressément qu</w:t>
      </w:r>
      <w:r w:rsidR="002F6E75" w:rsidRPr="00B7599D">
        <w:rPr>
          <w:lang w:val="fr-FR"/>
        </w:rPr>
        <w:t>’</w:t>
      </w:r>
      <w:r w:rsidRPr="00B7599D">
        <w:rPr>
          <w:lang w:val="fr-FR"/>
        </w:rPr>
        <w:t>elles sont ou seront l</w:t>
      </w:r>
      <w:r w:rsidR="002F6E75" w:rsidRPr="00B7599D">
        <w:rPr>
          <w:lang w:val="fr-FR"/>
        </w:rPr>
        <w:t>’</w:t>
      </w:r>
      <w:r w:rsidRPr="00B7599D">
        <w:rPr>
          <w:lang w:val="fr-FR"/>
        </w:rPr>
        <w:t>objet de prescriptions;  ii)</w:t>
      </w:r>
      <w:r w:rsidR="00F436BF" w:rsidRPr="00B7599D">
        <w:rPr>
          <w:lang w:val="fr-FR"/>
        </w:rPr>
        <w:t> </w:t>
      </w:r>
      <w:r w:rsidRPr="00B7599D">
        <w:rPr>
          <w:lang w:val="fr-FR"/>
        </w:rPr>
        <w:t>à toutes conditions, questions ou procédures d</w:t>
      </w:r>
      <w:r w:rsidR="002F6E75" w:rsidRPr="00B7599D">
        <w:rPr>
          <w:lang w:val="fr-FR"/>
        </w:rPr>
        <w:t>’</w:t>
      </w:r>
      <w:r w:rsidRPr="00B7599D">
        <w:rPr>
          <w:lang w:val="fr-FR"/>
        </w:rPr>
        <w:t>ordre administratif;  et iii)</w:t>
      </w:r>
      <w:r w:rsidR="00F436BF" w:rsidRPr="00B7599D">
        <w:rPr>
          <w:lang w:val="fr-FR"/>
        </w:rPr>
        <w:t> </w:t>
      </w:r>
      <w:r w:rsidRPr="00B7599D">
        <w:rPr>
          <w:lang w:val="fr-FR"/>
        </w:rPr>
        <w:t>à tous détails utiles en vue de l</w:t>
      </w:r>
      <w:r w:rsidR="002F6E75" w:rsidRPr="00B7599D">
        <w:rPr>
          <w:lang w:val="fr-FR"/>
        </w:rPr>
        <w:t>’</w:t>
      </w:r>
      <w:r w:rsidRPr="00B7599D">
        <w:rPr>
          <w:lang w:val="fr-FR"/>
        </w:rPr>
        <w:t>exécution des dispositions du présent traité.”  L</w:t>
      </w:r>
      <w:r w:rsidR="002F6E75" w:rsidRPr="00B7599D">
        <w:rPr>
          <w:lang w:val="fr-FR"/>
        </w:rPr>
        <w:t>’</w:t>
      </w:r>
      <w:r w:rsidRPr="00B7599D">
        <w:rPr>
          <w:lang w:val="fr-FR"/>
        </w:rPr>
        <w:t>option</w:t>
      </w:r>
      <w:r w:rsidR="004B6F33" w:rsidRPr="00B7599D">
        <w:rPr>
          <w:lang w:val="fr-FR"/>
        </w:rPr>
        <w:t> </w:t>
      </w:r>
      <w:r w:rsidRPr="00B7599D">
        <w:rPr>
          <w:lang w:val="fr-FR"/>
        </w:rPr>
        <w:t>i) n</w:t>
      </w:r>
      <w:r w:rsidR="002F6E75" w:rsidRPr="00B7599D">
        <w:rPr>
          <w:lang w:val="fr-FR"/>
        </w:rPr>
        <w:t>’</w:t>
      </w:r>
      <w:r w:rsidRPr="00B7599D">
        <w:rPr>
          <w:lang w:val="fr-FR"/>
        </w:rPr>
        <w:t>était manifestement pas applicable;  l</w:t>
      </w:r>
      <w:r w:rsidR="002F6E75" w:rsidRPr="00B7599D">
        <w:rPr>
          <w:lang w:val="fr-FR"/>
        </w:rPr>
        <w:t>’</w:t>
      </w:r>
      <w:r w:rsidRPr="00B7599D">
        <w:rPr>
          <w:lang w:val="fr-FR"/>
        </w:rPr>
        <w:t>option</w:t>
      </w:r>
      <w:r w:rsidR="004B6F33" w:rsidRPr="00B7599D">
        <w:rPr>
          <w:lang w:val="fr-FR"/>
        </w:rPr>
        <w:t> </w:t>
      </w:r>
      <w:r w:rsidRPr="00B7599D">
        <w:rPr>
          <w:lang w:val="fr-FR"/>
        </w:rPr>
        <w:t>ii) ne visait pas à compromettre l</w:t>
      </w:r>
      <w:r w:rsidR="002F6E75" w:rsidRPr="00B7599D">
        <w:rPr>
          <w:lang w:val="fr-FR"/>
        </w:rPr>
        <w:t>’</w:t>
      </w:r>
      <w:r w:rsidRPr="00B7599D">
        <w:rPr>
          <w:lang w:val="fr-FR"/>
        </w:rPr>
        <w:t>autonomie des offices nationaux pour déterminer l</w:t>
      </w:r>
      <w:r w:rsidR="002F6E75" w:rsidRPr="00B7599D">
        <w:rPr>
          <w:lang w:val="fr-FR"/>
        </w:rPr>
        <w:t>’</w:t>
      </w:r>
      <w:r w:rsidRPr="00B7599D">
        <w:rPr>
          <w:lang w:val="fr-FR"/>
        </w:rPr>
        <w:t>ordre d</w:t>
      </w:r>
      <w:r w:rsidR="002F6E75" w:rsidRPr="00B7599D">
        <w:rPr>
          <w:lang w:val="fr-FR"/>
        </w:rPr>
        <w:t>’</w:t>
      </w:r>
      <w:r w:rsidRPr="00B7599D">
        <w:rPr>
          <w:lang w:val="fr-FR"/>
        </w:rPr>
        <w:t>examen de demandes de brevet en phase nationale;  l</w:t>
      </w:r>
      <w:r w:rsidR="002F6E75" w:rsidRPr="00B7599D">
        <w:rPr>
          <w:lang w:val="fr-FR"/>
        </w:rPr>
        <w:t>’</w:t>
      </w:r>
      <w:r w:rsidRPr="00B7599D">
        <w:rPr>
          <w:lang w:val="fr-FR"/>
        </w:rPr>
        <w:t>option</w:t>
      </w:r>
      <w:r w:rsidR="004B6F33" w:rsidRPr="00B7599D">
        <w:rPr>
          <w:lang w:val="fr-FR"/>
        </w:rPr>
        <w:t> </w:t>
      </w:r>
      <w:r w:rsidRPr="00B7599D">
        <w:rPr>
          <w:lang w:val="fr-FR"/>
        </w:rPr>
        <w:t>iii) n</w:t>
      </w:r>
      <w:r w:rsidR="002F6E75" w:rsidRPr="00B7599D">
        <w:rPr>
          <w:lang w:val="fr-FR"/>
        </w:rPr>
        <w:t>’</w:t>
      </w:r>
      <w:r w:rsidRPr="00B7599D">
        <w:rPr>
          <w:lang w:val="fr-FR"/>
        </w:rPr>
        <w:t>était pas pertinente car l</w:t>
      </w:r>
      <w:r w:rsidR="002F6E75" w:rsidRPr="00B7599D">
        <w:rPr>
          <w:lang w:val="fr-FR"/>
        </w:rPr>
        <w:t>’</w:t>
      </w:r>
      <w:r w:rsidRPr="00B7599D">
        <w:rPr>
          <w:lang w:val="fr-FR"/>
        </w:rPr>
        <w:t>intégration</w:t>
      </w:r>
      <w:r w:rsidR="002F6E75" w:rsidRPr="00B7599D">
        <w:rPr>
          <w:lang w:val="fr-FR"/>
        </w:rPr>
        <w:t xml:space="preserve"> du PPH</w:t>
      </w:r>
      <w:r w:rsidRPr="00B7599D">
        <w:rPr>
          <w:lang w:val="fr-FR"/>
        </w:rPr>
        <w:t xml:space="preserve"> dans</w:t>
      </w:r>
      <w:r w:rsidR="002F6E75" w:rsidRPr="00B7599D">
        <w:rPr>
          <w:lang w:val="fr-FR"/>
        </w:rPr>
        <w:t xml:space="preserve"> le PCT</w:t>
      </w:r>
      <w:r w:rsidRPr="00B7599D">
        <w:rPr>
          <w:lang w:val="fr-FR"/>
        </w:rPr>
        <w:t xml:space="preserve"> ne pouvait pas être mise au niveau des “questions d</w:t>
      </w:r>
      <w:r w:rsidR="002F6E75" w:rsidRPr="00B7599D">
        <w:rPr>
          <w:lang w:val="fr-FR"/>
        </w:rPr>
        <w:t>’</w:t>
      </w:r>
      <w:r w:rsidRPr="00B7599D">
        <w:rPr>
          <w:lang w:val="fr-FR"/>
        </w:rPr>
        <w:t>ordre administratif” ou des “détails utiles” puisqu</w:t>
      </w:r>
      <w:r w:rsidR="002F6E75" w:rsidRPr="00B7599D">
        <w:rPr>
          <w:lang w:val="fr-FR"/>
        </w:rPr>
        <w:t>’</w:t>
      </w:r>
      <w:r w:rsidRPr="00B7599D">
        <w:rPr>
          <w:lang w:val="fr-FR"/>
        </w:rPr>
        <w:t>elle représentait un changement majeur du mode de fonctionnement du traité.</w:t>
      </w:r>
    </w:p>
    <w:p w:rsidR="005F6828" w:rsidRPr="00B7599D" w:rsidRDefault="00F46EFA" w:rsidP="00F46EFA">
      <w:pPr>
        <w:pStyle w:val="ONUMFS"/>
        <w:rPr>
          <w:lang w:val="fr-FR"/>
        </w:rPr>
      </w:pPr>
      <w:r w:rsidRPr="00B7599D">
        <w:rPr>
          <w:lang w:val="fr-FR"/>
        </w:rPr>
        <w:t>La délégation de l</w:t>
      </w:r>
      <w:r w:rsidR="002F6E75" w:rsidRPr="00B7599D">
        <w:rPr>
          <w:lang w:val="fr-FR"/>
        </w:rPr>
        <w:t>’</w:t>
      </w:r>
      <w:r w:rsidRPr="00B7599D">
        <w:rPr>
          <w:lang w:val="fr-FR"/>
        </w:rPr>
        <w:t>Inde a souligné que l</w:t>
      </w:r>
      <w:r w:rsidR="002F6E75" w:rsidRPr="00B7599D">
        <w:rPr>
          <w:lang w:val="fr-FR"/>
        </w:rPr>
        <w:t>’</w:t>
      </w:r>
      <w:r w:rsidRPr="00B7599D">
        <w:rPr>
          <w:lang w:val="fr-FR"/>
        </w:rPr>
        <w:t>Accord sur</w:t>
      </w:r>
      <w:r w:rsidR="002F6E75" w:rsidRPr="00B7599D">
        <w:rPr>
          <w:lang w:val="fr-FR"/>
        </w:rPr>
        <w:t xml:space="preserve"> les ADP</w:t>
      </w:r>
      <w:r w:rsidRPr="00B7599D">
        <w:rPr>
          <w:lang w:val="fr-FR"/>
        </w:rPr>
        <w:t>IC prévoyait des éléments de flexibilité dans le droit des brevets et elle était d</w:t>
      </w:r>
      <w:r w:rsidR="002F6E75" w:rsidRPr="00B7599D">
        <w:rPr>
          <w:lang w:val="fr-FR"/>
        </w:rPr>
        <w:t>’</w:t>
      </w:r>
      <w:r w:rsidRPr="00B7599D">
        <w:rPr>
          <w:lang w:val="fr-FR"/>
        </w:rPr>
        <w:t>avis que les propositions pouvaient entraîner une harmonisation du droit positif en encourageant la réutilisation du travail effectué sans examiner plus avant la demande dans la phase nationale.  En s</w:t>
      </w:r>
      <w:r w:rsidR="002F6E75" w:rsidRPr="00B7599D">
        <w:rPr>
          <w:lang w:val="fr-FR"/>
        </w:rPr>
        <w:t>’</w:t>
      </w:r>
      <w:r w:rsidRPr="00B7599D">
        <w:rPr>
          <w:lang w:val="fr-FR"/>
        </w:rPr>
        <w:t>ingérant dans l</w:t>
      </w:r>
      <w:r w:rsidR="002F6E75" w:rsidRPr="00B7599D">
        <w:rPr>
          <w:lang w:val="fr-FR"/>
        </w:rPr>
        <w:t>’</w:t>
      </w:r>
      <w:r w:rsidRPr="00B7599D">
        <w:rPr>
          <w:lang w:val="fr-FR"/>
        </w:rPr>
        <w:t>examen selon la législation nationale sur les brevets, les propositions allaient donc au</w:t>
      </w:r>
      <w:r w:rsidR="002F6E75" w:rsidRPr="00B7599D">
        <w:rPr>
          <w:lang w:val="fr-FR"/>
        </w:rPr>
        <w:t>-</w:t>
      </w:r>
      <w:r w:rsidRPr="00B7599D">
        <w:rPr>
          <w:lang w:val="fr-FR"/>
        </w:rPr>
        <w:t>delà de l</w:t>
      </w:r>
      <w:r w:rsidR="002F6E75" w:rsidRPr="00B7599D">
        <w:rPr>
          <w:lang w:val="fr-FR"/>
        </w:rPr>
        <w:t>’</w:t>
      </w:r>
      <w:r w:rsidRPr="00B7599D">
        <w:rPr>
          <w:lang w:val="fr-FR"/>
        </w:rPr>
        <w:t>objectif</w:t>
      </w:r>
      <w:r w:rsidR="002F6E75" w:rsidRPr="00B7599D">
        <w:rPr>
          <w:lang w:val="fr-FR"/>
        </w:rPr>
        <w:t xml:space="preserve"> du PCT</w:t>
      </w:r>
      <w:r w:rsidRPr="00B7599D">
        <w:rPr>
          <w:lang w:val="fr-FR"/>
        </w:rPr>
        <w:t>.</w:t>
      </w:r>
    </w:p>
    <w:p w:rsidR="005F6828" w:rsidRPr="00B7599D" w:rsidRDefault="00F46EFA" w:rsidP="00F46EFA">
      <w:pPr>
        <w:pStyle w:val="ONUMFS"/>
        <w:rPr>
          <w:lang w:val="fr-FR"/>
        </w:rPr>
      </w:pPr>
      <w:r w:rsidRPr="00B7599D">
        <w:rPr>
          <w:lang w:val="fr-FR"/>
        </w:rPr>
        <w:t>La délégation de l</w:t>
      </w:r>
      <w:r w:rsidR="002F6E75" w:rsidRPr="00B7599D">
        <w:rPr>
          <w:lang w:val="fr-FR"/>
        </w:rPr>
        <w:t>’</w:t>
      </w:r>
      <w:r w:rsidRPr="00B7599D">
        <w:rPr>
          <w:lang w:val="fr-FR"/>
        </w:rPr>
        <w:t>Égypte, parlant au nom du groupe du Plan d</w:t>
      </w:r>
      <w:r w:rsidR="002F6E75" w:rsidRPr="00B7599D">
        <w:rPr>
          <w:lang w:val="fr-FR"/>
        </w:rPr>
        <w:t>’</w:t>
      </w:r>
      <w:r w:rsidRPr="00B7599D">
        <w:rPr>
          <w:lang w:val="fr-FR"/>
        </w:rPr>
        <w:t>action pour le développement, a déclaré que la proposition avait le mérite de favoriser la discussion et le partage des expériences sur les programmes PPH dans les offices nationaux.  La prise en considération de ces expériences était relativement nouvelle dans les discussions sur l</w:t>
      </w:r>
      <w:r w:rsidR="002F6E75" w:rsidRPr="00B7599D">
        <w:rPr>
          <w:lang w:val="fr-FR"/>
        </w:rPr>
        <w:t>’</w:t>
      </w:r>
      <w:r w:rsidRPr="00B7599D">
        <w:rPr>
          <w:lang w:val="fr-FR"/>
        </w:rPr>
        <w:t>élaboration d</w:t>
      </w:r>
      <w:r w:rsidR="002F6E75" w:rsidRPr="00B7599D">
        <w:rPr>
          <w:lang w:val="fr-FR"/>
        </w:rPr>
        <w:t>’</w:t>
      </w:r>
      <w:r w:rsidRPr="00B7599D">
        <w:rPr>
          <w:lang w:val="fr-FR"/>
        </w:rPr>
        <w:t>un instrument international, qui devaient tenir compte des opinions de tous les États membres ainsi que des ressources techniques et des dispositions juridiques des offices de brevets des pays en développement, que ces offices soient ou non des administrations chargées de la recherche internationale et de l</w:t>
      </w:r>
      <w:r w:rsidR="002F6E75" w:rsidRPr="00B7599D">
        <w:rPr>
          <w:lang w:val="fr-FR"/>
        </w:rPr>
        <w:t>’</w:t>
      </w:r>
      <w:r w:rsidRPr="00B7599D">
        <w:rPr>
          <w:lang w:val="fr-FR"/>
        </w:rPr>
        <w:t>examen préliminaire international.</w:t>
      </w:r>
      <w:r w:rsidR="005F422B" w:rsidRPr="00B7599D">
        <w:rPr>
          <w:lang w:val="fr-FR"/>
        </w:rPr>
        <w:t xml:space="preserve">  </w:t>
      </w:r>
      <w:r w:rsidRPr="00B7599D">
        <w:rPr>
          <w:lang w:val="fr-FR"/>
        </w:rPr>
        <w:t>Ces discussions devaient également être inspirées par les recommandations relatives au Plan d</w:t>
      </w:r>
      <w:r w:rsidR="002F6E75" w:rsidRPr="00B7599D">
        <w:rPr>
          <w:lang w:val="fr-FR"/>
        </w:rPr>
        <w:t>’</w:t>
      </w:r>
      <w:r w:rsidRPr="00B7599D">
        <w:rPr>
          <w:lang w:val="fr-FR"/>
        </w:rPr>
        <w:t>action pour le développement, en particulier la recommandation n°</w:t>
      </w:r>
      <w:r w:rsidR="00F436BF" w:rsidRPr="00B7599D">
        <w:rPr>
          <w:lang w:val="fr-FR"/>
        </w:rPr>
        <w:t> </w:t>
      </w:r>
      <w:r w:rsidRPr="00B7599D">
        <w:rPr>
          <w:lang w:val="fr-FR"/>
        </w:rPr>
        <w:t>15.  Le groupe du Plan d</w:t>
      </w:r>
      <w:r w:rsidR="002F6E75" w:rsidRPr="00B7599D">
        <w:rPr>
          <w:lang w:val="fr-FR"/>
        </w:rPr>
        <w:t>’</w:t>
      </w:r>
      <w:r w:rsidRPr="00B7599D">
        <w:rPr>
          <w:lang w:val="fr-FR"/>
        </w:rPr>
        <w:t>action pour le développement a également estimé que l</w:t>
      </w:r>
      <w:r w:rsidR="002F6E75" w:rsidRPr="00B7599D">
        <w:rPr>
          <w:lang w:val="fr-FR"/>
        </w:rPr>
        <w:t>’</w:t>
      </w:r>
      <w:r w:rsidRPr="00B7599D">
        <w:rPr>
          <w:lang w:val="fr-FR"/>
        </w:rPr>
        <w:t>intégration</w:t>
      </w:r>
      <w:r w:rsidR="002F6E75" w:rsidRPr="00B7599D">
        <w:rPr>
          <w:lang w:val="fr-FR"/>
        </w:rPr>
        <w:t xml:space="preserve"> du PPH</w:t>
      </w:r>
      <w:r w:rsidRPr="00B7599D">
        <w:rPr>
          <w:lang w:val="fr-FR"/>
        </w:rPr>
        <w:t xml:space="preserve"> dans</w:t>
      </w:r>
      <w:r w:rsidR="002F6E75" w:rsidRPr="00B7599D">
        <w:rPr>
          <w:lang w:val="fr-FR"/>
        </w:rPr>
        <w:t xml:space="preserve"> le PCT</w:t>
      </w:r>
      <w:r w:rsidRPr="00B7599D">
        <w:rPr>
          <w:lang w:val="fr-FR"/>
        </w:rPr>
        <w:t xml:space="preserve"> nécessiterait la convocation d</w:t>
      </w:r>
      <w:r w:rsidR="002F6E75" w:rsidRPr="00B7599D">
        <w:rPr>
          <w:lang w:val="fr-FR"/>
        </w:rPr>
        <w:t>’</w:t>
      </w:r>
      <w:r w:rsidRPr="00B7599D">
        <w:rPr>
          <w:lang w:val="fr-FR"/>
        </w:rPr>
        <w:t>une conférence diplomatique, conformément à l</w:t>
      </w:r>
      <w:r w:rsidR="002F6E75" w:rsidRPr="00B7599D">
        <w:rPr>
          <w:lang w:val="fr-FR"/>
        </w:rPr>
        <w:t>’</w:t>
      </w:r>
      <w:r w:rsidRPr="00B7599D">
        <w:rPr>
          <w:lang w:val="fr-FR"/>
        </w:rPr>
        <w:t>article</w:t>
      </w:r>
      <w:r w:rsidR="00F436BF" w:rsidRPr="00B7599D">
        <w:rPr>
          <w:lang w:val="fr-FR"/>
        </w:rPr>
        <w:t> </w:t>
      </w:r>
      <w:r w:rsidRPr="00B7599D">
        <w:rPr>
          <w:lang w:val="fr-FR"/>
        </w:rPr>
        <w:t>60.</w:t>
      </w:r>
    </w:p>
    <w:p w:rsidR="005F6828" w:rsidRPr="00B7599D" w:rsidRDefault="00F46EFA" w:rsidP="00F46EFA">
      <w:pPr>
        <w:pStyle w:val="ONUMFS"/>
        <w:rPr>
          <w:lang w:val="fr-FR"/>
        </w:rPr>
      </w:pPr>
      <w:r w:rsidRPr="00B7599D">
        <w:rPr>
          <w:lang w:val="fr-FR"/>
        </w:rPr>
        <w:t>Plusieurs autres délégations ont appuyé les opinions exprimées par les délégations du Kenya, du Brésil, de l</w:t>
      </w:r>
      <w:r w:rsidR="002F6E75" w:rsidRPr="00B7599D">
        <w:rPr>
          <w:lang w:val="fr-FR"/>
        </w:rPr>
        <w:t>’</w:t>
      </w:r>
      <w:r w:rsidRPr="00B7599D">
        <w:rPr>
          <w:lang w:val="fr-FR"/>
        </w:rPr>
        <w:t>Inde et de l</w:t>
      </w:r>
      <w:r w:rsidR="002F6E75" w:rsidRPr="00B7599D">
        <w:rPr>
          <w:lang w:val="fr-FR"/>
        </w:rPr>
        <w:t>’</w:t>
      </w:r>
      <w:r w:rsidRPr="00B7599D">
        <w:rPr>
          <w:lang w:val="fr-FR"/>
        </w:rPr>
        <w:t>Égypte.  Une organisation non gouvernementale s</w:t>
      </w:r>
      <w:r w:rsidR="002F6E75" w:rsidRPr="00B7599D">
        <w:rPr>
          <w:lang w:val="fr-FR"/>
        </w:rPr>
        <w:t>’</w:t>
      </w:r>
      <w:r w:rsidRPr="00B7599D">
        <w:rPr>
          <w:lang w:val="fr-FR"/>
        </w:rPr>
        <w:t>est également dite favorable au document soumis par la délégation du Brésil.</w:t>
      </w:r>
    </w:p>
    <w:p w:rsidR="002F6E75" w:rsidRPr="00B7599D" w:rsidRDefault="00F46EFA" w:rsidP="00F46EFA">
      <w:pPr>
        <w:pStyle w:val="ONUMFS"/>
        <w:rPr>
          <w:lang w:val="fr-FR"/>
        </w:rPr>
      </w:pPr>
      <w:r w:rsidRPr="00B7599D">
        <w:rPr>
          <w:lang w:val="fr-FR"/>
        </w:rPr>
        <w:t>En réponse aux observations des délégations, la délégation des États</w:t>
      </w:r>
      <w:r w:rsidR="002F6E75" w:rsidRPr="00B7599D">
        <w:rPr>
          <w:lang w:val="fr-FR"/>
        </w:rPr>
        <w:t>-</w:t>
      </w:r>
      <w:r w:rsidRPr="00B7599D">
        <w:rPr>
          <w:lang w:val="fr-FR"/>
        </w:rPr>
        <w:t>Unis d</w:t>
      </w:r>
      <w:r w:rsidR="002F6E75" w:rsidRPr="00B7599D">
        <w:rPr>
          <w:lang w:val="fr-FR"/>
        </w:rPr>
        <w:t>’</w:t>
      </w:r>
      <w:r w:rsidR="00407F21">
        <w:rPr>
          <w:lang w:val="fr-FR"/>
        </w:rPr>
        <w:t>Amérique a </w:t>
      </w:r>
      <w:r w:rsidRPr="00B7599D">
        <w:rPr>
          <w:lang w:val="fr-FR"/>
        </w:rPr>
        <w:t>reconnu que la proposition ne pouvait pas rallier l</w:t>
      </w:r>
      <w:r w:rsidR="002F6E75" w:rsidRPr="00B7599D">
        <w:rPr>
          <w:lang w:val="fr-FR"/>
        </w:rPr>
        <w:t>’</w:t>
      </w:r>
      <w:r w:rsidRPr="00B7599D">
        <w:rPr>
          <w:lang w:val="fr-FR"/>
        </w:rPr>
        <w:t>unanimité à cette session.</w:t>
      </w:r>
      <w:r w:rsidR="005F422B" w:rsidRPr="00B7599D">
        <w:rPr>
          <w:lang w:val="fr-FR"/>
        </w:rPr>
        <w:t xml:space="preserve">  </w:t>
      </w:r>
      <w:r w:rsidRPr="00B7599D">
        <w:rPr>
          <w:lang w:val="fr-FR"/>
        </w:rPr>
        <w:t>La délégation contestait le point de vue selon lequel les propositions constituaient un excès de pouvoir et a estimé que les propositions correspondaient aux objectifs visés, énoncés dans le préambule</w:t>
      </w:r>
      <w:r w:rsidR="002F6E75" w:rsidRPr="00B7599D">
        <w:rPr>
          <w:lang w:val="fr-FR"/>
        </w:rPr>
        <w:t xml:space="preserve"> du PCT</w:t>
      </w:r>
      <w:r w:rsidRPr="00B7599D">
        <w:rPr>
          <w:lang w:val="fr-FR"/>
        </w:rPr>
        <w:t>.  En outre, l</w:t>
      </w:r>
      <w:r w:rsidR="002F6E75" w:rsidRPr="00B7599D">
        <w:rPr>
          <w:lang w:val="fr-FR"/>
        </w:rPr>
        <w:t>’</w:t>
      </w:r>
      <w:r w:rsidRPr="00B7599D">
        <w:rPr>
          <w:lang w:val="fr-FR"/>
        </w:rPr>
        <w:t>article</w:t>
      </w:r>
      <w:r w:rsidR="00F436BF" w:rsidRPr="00B7599D">
        <w:rPr>
          <w:lang w:val="fr-FR"/>
        </w:rPr>
        <w:t> </w:t>
      </w:r>
      <w:r w:rsidRPr="00B7599D">
        <w:rPr>
          <w:lang w:val="fr-FR"/>
        </w:rPr>
        <w:t>23.2) autorisait un déposant à présenter à un office désigné une requête expresse pour traiter et examiner en tout temps une demande internationale.</w:t>
      </w:r>
      <w:r w:rsidR="005F422B" w:rsidRPr="00B7599D">
        <w:rPr>
          <w:lang w:val="fr-FR"/>
        </w:rPr>
        <w:t xml:space="preserve">  </w:t>
      </w:r>
      <w:r w:rsidRPr="00B7599D">
        <w:rPr>
          <w:lang w:val="fr-FR"/>
        </w:rPr>
        <w:t>En outre, la délégation a souligné que les dispositions de ce type étaient clairement prévues à l</w:t>
      </w:r>
      <w:r w:rsidR="002F6E75" w:rsidRPr="00B7599D">
        <w:rPr>
          <w:lang w:val="fr-FR"/>
        </w:rPr>
        <w:t>’</w:t>
      </w:r>
      <w:r w:rsidRPr="00B7599D">
        <w:rPr>
          <w:lang w:val="fr-FR"/>
        </w:rPr>
        <w:t>article 58.1</w:t>
      </w:r>
      <w:proofErr w:type="gramStart"/>
      <w:r w:rsidRPr="00B7599D">
        <w:rPr>
          <w:lang w:val="fr-FR"/>
        </w:rPr>
        <w:t>)ii</w:t>
      </w:r>
      <w:proofErr w:type="gramEnd"/>
      <w:r w:rsidRPr="00B7599D">
        <w:rPr>
          <w:lang w:val="fr-FR"/>
        </w:rPr>
        <w:t>) et iii).</w:t>
      </w:r>
      <w:r w:rsidR="00AE2AD2" w:rsidRPr="00B7599D">
        <w:rPr>
          <w:lang w:val="fr-FR"/>
        </w:rPr>
        <w:t xml:space="preserve">  </w:t>
      </w:r>
      <w:r w:rsidRPr="00B7599D">
        <w:rPr>
          <w:lang w:val="fr-FR"/>
        </w:rPr>
        <w:t>Par ailleurs, en réponse aux observations contenues dans les paragraphes</w:t>
      </w:r>
      <w:r w:rsidR="00F436BF" w:rsidRPr="00B7599D">
        <w:rPr>
          <w:lang w:val="fr-FR"/>
        </w:rPr>
        <w:t> </w:t>
      </w:r>
      <w:r w:rsidRPr="00B7599D">
        <w:rPr>
          <w:lang w:val="fr-FR"/>
        </w:rPr>
        <w:t>18 et 19 du document présenté par la délégation du Brésil, la délégation des États</w:t>
      </w:r>
      <w:r w:rsidR="00407F21" w:rsidRPr="00407F21">
        <w:rPr>
          <w:lang w:val="fr-FR"/>
        </w:rPr>
        <w:noBreakHyphen/>
      </w:r>
      <w:r w:rsidRPr="00B7599D">
        <w:rPr>
          <w:lang w:val="fr-FR"/>
        </w:rPr>
        <w:t>Unis d</w:t>
      </w:r>
      <w:r w:rsidR="002F6E75" w:rsidRPr="00B7599D">
        <w:rPr>
          <w:lang w:val="fr-FR"/>
        </w:rPr>
        <w:t>’</w:t>
      </w:r>
      <w:r w:rsidRPr="00B7599D">
        <w:rPr>
          <w:lang w:val="fr-FR"/>
        </w:rPr>
        <w:t>Amérique a mentionné des améliorations</w:t>
      </w:r>
      <w:r w:rsidR="002F6E75" w:rsidRPr="00B7599D">
        <w:rPr>
          <w:lang w:val="fr-FR"/>
        </w:rPr>
        <w:t xml:space="preserve"> du PCT</w:t>
      </w:r>
      <w:r w:rsidRPr="00B7599D">
        <w:rPr>
          <w:lang w:val="fr-FR"/>
        </w:rPr>
        <w:t>, comme les incorporations par voie de référence et la restauration du droit de priorité, qui avaient été ajoutées au règlement d</w:t>
      </w:r>
      <w:r w:rsidR="002F6E75" w:rsidRPr="00B7599D">
        <w:rPr>
          <w:lang w:val="fr-FR"/>
        </w:rPr>
        <w:t>’</w:t>
      </w:r>
      <w:r w:rsidRPr="00B7599D">
        <w:rPr>
          <w:lang w:val="fr-FR"/>
        </w:rPr>
        <w:t>exécution sans mention explicite dans le traité à proprement parler.  Enfin, la délégation a indiqué que les offices qui avaient besoin d</w:t>
      </w:r>
      <w:r w:rsidR="002F6E75" w:rsidRPr="00B7599D">
        <w:rPr>
          <w:lang w:val="fr-FR"/>
        </w:rPr>
        <w:t>’</w:t>
      </w:r>
      <w:r w:rsidRPr="00B7599D">
        <w:rPr>
          <w:lang w:val="fr-FR"/>
        </w:rPr>
        <w:t>évaluer les coûts et les avantages</w:t>
      </w:r>
      <w:r w:rsidR="002F6E75" w:rsidRPr="00B7599D">
        <w:rPr>
          <w:lang w:val="fr-FR"/>
        </w:rPr>
        <w:t xml:space="preserve"> du PPH</w:t>
      </w:r>
      <w:r w:rsidRPr="00B7599D">
        <w:rPr>
          <w:lang w:val="fr-FR"/>
        </w:rPr>
        <w:t xml:space="preserve"> de façon plus approfondie avant d</w:t>
      </w:r>
      <w:r w:rsidR="002F6E75" w:rsidRPr="00B7599D">
        <w:rPr>
          <w:lang w:val="fr-FR"/>
        </w:rPr>
        <w:t>’</w:t>
      </w:r>
      <w:r w:rsidRPr="00B7599D">
        <w:rPr>
          <w:lang w:val="fr-FR"/>
        </w:rPr>
        <w:t>accepter la proposition devraient participer à un essai bilatéral pilote de courte durée afin de constater les effets</w:t>
      </w:r>
      <w:r w:rsidR="002F6E75" w:rsidRPr="00B7599D">
        <w:rPr>
          <w:lang w:val="fr-FR"/>
        </w:rPr>
        <w:t xml:space="preserve"> du PPH</w:t>
      </w:r>
      <w:r w:rsidRPr="00B7599D">
        <w:rPr>
          <w:lang w:val="fr-FR"/>
        </w:rPr>
        <w:t xml:space="preserve"> sur leur office et leurs déposants.</w:t>
      </w:r>
    </w:p>
    <w:p w:rsidR="005F6828" w:rsidRPr="00B7599D" w:rsidRDefault="00F46EFA" w:rsidP="00F46EFA">
      <w:pPr>
        <w:pStyle w:val="ONUMFS"/>
        <w:ind w:left="567"/>
        <w:rPr>
          <w:lang w:val="fr-FR"/>
        </w:rPr>
      </w:pPr>
      <w:r w:rsidRPr="00B7599D">
        <w:rPr>
          <w:lang w:val="fr-FR"/>
        </w:rPr>
        <w:lastRenderedPageBreak/>
        <w:t>À ce stade, le groupe de travail n</w:t>
      </w:r>
      <w:r w:rsidR="002F6E75" w:rsidRPr="00B7599D">
        <w:rPr>
          <w:lang w:val="fr-FR"/>
        </w:rPr>
        <w:t>’</w:t>
      </w:r>
      <w:r w:rsidRPr="00B7599D">
        <w:rPr>
          <w:lang w:val="fr-FR"/>
        </w:rPr>
        <w:t>a pas pu parvenir à un consensus pour donner suite à cette proposition.</w:t>
      </w:r>
    </w:p>
    <w:p w:rsidR="005F6828" w:rsidRPr="00B7599D" w:rsidRDefault="00F46EFA" w:rsidP="00F46EFA">
      <w:pPr>
        <w:pStyle w:val="Heading1"/>
        <w:rPr>
          <w:lang w:val="fr-FR" w:eastAsia="ko-KR"/>
        </w:rPr>
      </w:pPr>
      <w:r w:rsidRPr="00B7599D">
        <w:rPr>
          <w:lang w:val="fr-FR" w:eastAsia="ko-KR"/>
        </w:rPr>
        <w:t>Point</w:t>
      </w:r>
      <w:r w:rsidR="00F436BF" w:rsidRPr="00B7599D">
        <w:rPr>
          <w:lang w:val="fr-FR" w:eastAsia="ko-KR"/>
        </w:rPr>
        <w:t> </w:t>
      </w:r>
      <w:r w:rsidRPr="00B7599D">
        <w:rPr>
          <w:lang w:val="fr-FR" w:eastAsia="ko-KR"/>
        </w:rPr>
        <w:t>14 de l</w:t>
      </w:r>
      <w:r w:rsidR="002F6E75" w:rsidRPr="00B7599D">
        <w:rPr>
          <w:lang w:val="fr-FR" w:eastAsia="ko-KR"/>
        </w:rPr>
        <w:t>’</w:t>
      </w:r>
      <w:r w:rsidRPr="00B7599D">
        <w:rPr>
          <w:lang w:val="fr-FR" w:eastAsia="ko-KR"/>
        </w:rPr>
        <w:t>ordre du jour</w:t>
      </w:r>
      <w:r w:rsidR="00F436BF" w:rsidRPr="00B7599D">
        <w:rPr>
          <w:lang w:val="fr-FR" w:eastAsia="ko-KR"/>
        </w:rPr>
        <w:t> </w:t>
      </w:r>
      <w:r w:rsidRPr="00B7599D">
        <w:rPr>
          <w:lang w:val="fr-FR" w:eastAsia="ko-KR"/>
        </w:rPr>
        <w:t>: transmission par l</w:t>
      </w:r>
      <w:r w:rsidR="002F6E75" w:rsidRPr="00B7599D">
        <w:rPr>
          <w:lang w:val="fr-FR" w:eastAsia="ko-KR"/>
        </w:rPr>
        <w:t>’</w:t>
      </w:r>
      <w:r w:rsidRPr="00B7599D">
        <w:rPr>
          <w:lang w:val="fr-FR" w:eastAsia="ko-KR"/>
        </w:rPr>
        <w:t>office récepteur des résultats dE recherche et de classement antérieurs à l</w:t>
      </w:r>
      <w:r w:rsidR="002F6E75" w:rsidRPr="00B7599D">
        <w:rPr>
          <w:lang w:val="fr-FR" w:eastAsia="ko-KR"/>
        </w:rPr>
        <w:t>’</w:t>
      </w:r>
      <w:r w:rsidRPr="00B7599D">
        <w:rPr>
          <w:lang w:val="fr-FR" w:eastAsia="ko-KR"/>
        </w:rPr>
        <w:t>administration chargée de la recherche internationale</w:t>
      </w:r>
    </w:p>
    <w:p w:rsidR="005F6828" w:rsidRPr="00B7599D" w:rsidRDefault="00F46EFA" w:rsidP="00F46EFA">
      <w:pPr>
        <w:pStyle w:val="ONUMFS"/>
        <w:rPr>
          <w:szCs w:val="22"/>
          <w:lang w:val="fr-FR"/>
        </w:rPr>
      </w:pPr>
      <w:r w:rsidRPr="00B7599D">
        <w:rPr>
          <w:szCs w:val="22"/>
          <w:lang w:val="fr-FR"/>
        </w:rPr>
        <w:t>Les délibérations ont eu lieu sur la base du document PCT/WG/7/27.</w:t>
      </w:r>
    </w:p>
    <w:p w:rsidR="005F6828" w:rsidRPr="00B7599D" w:rsidRDefault="00F46EFA" w:rsidP="00F46EFA">
      <w:pPr>
        <w:pStyle w:val="ONUMFS"/>
        <w:rPr>
          <w:szCs w:val="22"/>
          <w:lang w:val="fr-FR"/>
        </w:rPr>
      </w:pPr>
      <w:r w:rsidRPr="00B7599D">
        <w:rPr>
          <w:szCs w:val="22"/>
          <w:lang w:val="fr-FR"/>
        </w:rPr>
        <w:t>Toutes les délégations qui ont pris la parole ont approuvé les principes exprimés dans la proposition.  Plusieurs délégations ont cependant fait part de leurs préoccupations quant à un ensemble de points techniques et juridiques, et ont estimé qu</w:t>
      </w:r>
      <w:r w:rsidR="002F6E75" w:rsidRPr="00B7599D">
        <w:rPr>
          <w:szCs w:val="22"/>
          <w:lang w:val="fr-FR"/>
        </w:rPr>
        <w:t>’</w:t>
      </w:r>
      <w:r w:rsidRPr="00B7599D">
        <w:rPr>
          <w:szCs w:val="22"/>
          <w:lang w:val="fr-FR"/>
        </w:rPr>
        <w:t>il était nécessaire d</w:t>
      </w:r>
      <w:r w:rsidR="002F6E75" w:rsidRPr="00B7599D">
        <w:rPr>
          <w:szCs w:val="22"/>
          <w:lang w:val="fr-FR"/>
        </w:rPr>
        <w:t>’</w:t>
      </w:r>
      <w:r w:rsidRPr="00B7599D">
        <w:rPr>
          <w:szCs w:val="22"/>
          <w:lang w:val="fr-FR"/>
        </w:rPr>
        <w:t>évaluer plus avant les effets sur les systèmes informatiques et la charge de travail des offices récepteurs.  Certaines délégations ont suggéré qu</w:t>
      </w:r>
      <w:r w:rsidR="002F6E75" w:rsidRPr="00B7599D">
        <w:rPr>
          <w:szCs w:val="22"/>
          <w:lang w:val="fr-FR"/>
        </w:rPr>
        <w:t>’</w:t>
      </w:r>
      <w:r w:rsidRPr="00B7599D">
        <w:rPr>
          <w:szCs w:val="22"/>
          <w:lang w:val="fr-FR"/>
        </w:rPr>
        <w:t>il était possible d</w:t>
      </w:r>
      <w:r w:rsidR="002F6E75" w:rsidRPr="00B7599D">
        <w:rPr>
          <w:szCs w:val="22"/>
          <w:lang w:val="fr-FR"/>
        </w:rPr>
        <w:t>’</w:t>
      </w:r>
      <w:r w:rsidRPr="00B7599D">
        <w:rPr>
          <w:szCs w:val="22"/>
          <w:lang w:val="fr-FR"/>
        </w:rPr>
        <w:t>améliorer la proposition en autorisant aussi la transmission des stratégies de recherche avec les rapports de recherche internationale.</w:t>
      </w:r>
    </w:p>
    <w:p w:rsidR="005F6828" w:rsidRPr="00B7599D" w:rsidRDefault="00F46EFA" w:rsidP="00F46EFA">
      <w:pPr>
        <w:pStyle w:val="ONUMFS"/>
        <w:rPr>
          <w:szCs w:val="22"/>
          <w:lang w:val="fr-FR"/>
        </w:rPr>
      </w:pPr>
      <w:r w:rsidRPr="00B7599D">
        <w:rPr>
          <w:szCs w:val="22"/>
          <w:lang w:val="fr-FR"/>
        </w:rPr>
        <w:t>Un problème majeur concernait la mesure dans laquelle les lois nationales permettaient l</w:t>
      </w:r>
      <w:r w:rsidR="002F6E75" w:rsidRPr="00B7599D">
        <w:rPr>
          <w:szCs w:val="22"/>
          <w:lang w:val="fr-FR"/>
        </w:rPr>
        <w:t>’</w:t>
      </w:r>
      <w:r w:rsidRPr="00B7599D">
        <w:rPr>
          <w:szCs w:val="22"/>
          <w:lang w:val="fr-FR"/>
        </w:rPr>
        <w:t>échange des informations concernées, qui étaient dans la plupart des cas issues des dossiers des demandes nationales non publiées.  Dans ce contexte se posait aussi la question de savoir comment cette proposition en faveur d</w:t>
      </w:r>
      <w:r w:rsidR="002F6E75" w:rsidRPr="00B7599D">
        <w:rPr>
          <w:szCs w:val="22"/>
          <w:lang w:val="fr-FR"/>
        </w:rPr>
        <w:t>’</w:t>
      </w:r>
      <w:r w:rsidRPr="00B7599D">
        <w:rPr>
          <w:szCs w:val="22"/>
          <w:lang w:val="fr-FR"/>
        </w:rPr>
        <w:t>un mécanisme axé sur les offices fonctionnerait avec le mécanisme axé sur le déposant pour la fourniture de résultats des recherches actuellement couverts par la règle</w:t>
      </w:r>
      <w:r w:rsidR="00F436BF" w:rsidRPr="00B7599D">
        <w:rPr>
          <w:szCs w:val="22"/>
          <w:lang w:val="fr-FR"/>
        </w:rPr>
        <w:t> </w:t>
      </w:r>
      <w:r w:rsidRPr="00B7599D">
        <w:rPr>
          <w:szCs w:val="22"/>
          <w:lang w:val="fr-FR"/>
        </w:rPr>
        <w:t>4.12 du règlement d</w:t>
      </w:r>
      <w:r w:rsidR="002F6E75" w:rsidRPr="00B7599D">
        <w:rPr>
          <w:szCs w:val="22"/>
          <w:lang w:val="fr-FR"/>
        </w:rPr>
        <w:t>’</w:t>
      </w:r>
      <w:r w:rsidRPr="00B7599D">
        <w:rPr>
          <w:szCs w:val="22"/>
          <w:lang w:val="fr-FR"/>
        </w:rPr>
        <w:t>exécution</w:t>
      </w:r>
      <w:r w:rsidR="002F6E75" w:rsidRPr="00B7599D">
        <w:rPr>
          <w:szCs w:val="22"/>
          <w:lang w:val="fr-FR"/>
        </w:rPr>
        <w:t xml:space="preserve"> du PCT</w:t>
      </w:r>
      <w:r w:rsidRPr="00B7599D">
        <w:rPr>
          <w:szCs w:val="22"/>
          <w:lang w:val="fr-FR"/>
        </w:rPr>
        <w:t>.</w:t>
      </w:r>
    </w:p>
    <w:p w:rsidR="005F6828" w:rsidRPr="00B7599D" w:rsidRDefault="00F46EFA" w:rsidP="00F46EFA">
      <w:pPr>
        <w:pStyle w:val="ONUMFS"/>
        <w:rPr>
          <w:szCs w:val="22"/>
          <w:lang w:val="fr-FR"/>
        </w:rPr>
      </w:pPr>
      <w:r w:rsidRPr="00B7599D">
        <w:rPr>
          <w:szCs w:val="22"/>
          <w:lang w:val="fr-FR"/>
        </w:rPr>
        <w:t>En réponse aux questions des délégations, il a été confirmé que</w:t>
      </w:r>
      <w:r w:rsidR="00F436BF" w:rsidRPr="00B7599D">
        <w:rPr>
          <w:szCs w:val="22"/>
          <w:lang w:val="fr-FR"/>
        </w:rPr>
        <w:t> </w:t>
      </w:r>
      <w:r w:rsidRPr="00B7599D">
        <w:rPr>
          <w:szCs w:val="22"/>
          <w:lang w:val="fr-FR"/>
        </w:rPr>
        <w:t>: i)</w:t>
      </w:r>
      <w:r w:rsidR="00F436BF" w:rsidRPr="00B7599D">
        <w:rPr>
          <w:szCs w:val="22"/>
          <w:lang w:val="fr-FR"/>
        </w:rPr>
        <w:t> </w:t>
      </w:r>
      <w:r w:rsidRPr="00B7599D">
        <w:rPr>
          <w:szCs w:val="22"/>
          <w:lang w:val="fr-FR"/>
        </w:rPr>
        <w:t>la proposition envisageait la possibilité, pour les offices récepteurs, de partager des informations qu</w:t>
      </w:r>
      <w:r w:rsidR="002F6E75" w:rsidRPr="00B7599D">
        <w:rPr>
          <w:szCs w:val="22"/>
          <w:lang w:val="fr-FR"/>
        </w:rPr>
        <w:t>’</w:t>
      </w:r>
      <w:r w:rsidRPr="00B7599D">
        <w:rPr>
          <w:szCs w:val="22"/>
          <w:lang w:val="fr-FR"/>
        </w:rPr>
        <w:t>ils détenaient concernant des recherches effectuées par d</w:t>
      </w:r>
      <w:r w:rsidR="002F6E75" w:rsidRPr="00B7599D">
        <w:rPr>
          <w:szCs w:val="22"/>
          <w:lang w:val="fr-FR"/>
        </w:rPr>
        <w:t>’</w:t>
      </w:r>
      <w:r w:rsidRPr="00B7599D">
        <w:rPr>
          <w:szCs w:val="22"/>
          <w:lang w:val="fr-FR"/>
        </w:rPr>
        <w:t>autres offices, dans la mesure où les lois ou accords concernant la détention de ces informations le permettaient et que ii)</w:t>
      </w:r>
      <w:r w:rsidR="004B6F33" w:rsidRPr="00B7599D">
        <w:rPr>
          <w:szCs w:val="22"/>
          <w:lang w:val="fr-FR"/>
        </w:rPr>
        <w:t> </w:t>
      </w:r>
      <w:r w:rsidRPr="00B7599D">
        <w:rPr>
          <w:szCs w:val="22"/>
          <w:lang w:val="fr-FR"/>
        </w:rPr>
        <w:t>la proposition envisageait la transmission des rapports de recherche dans la langue dans laquelle ils avaient été établis, sans traduction.</w:t>
      </w:r>
    </w:p>
    <w:p w:rsidR="005F6828" w:rsidRPr="00B7599D" w:rsidRDefault="00F46EFA" w:rsidP="00F46EFA">
      <w:pPr>
        <w:pStyle w:val="ONUMFS"/>
        <w:ind w:left="567"/>
        <w:rPr>
          <w:szCs w:val="22"/>
          <w:lang w:val="fr-FR"/>
        </w:rPr>
      </w:pPr>
      <w:r w:rsidRPr="00B7599D">
        <w:rPr>
          <w:szCs w:val="22"/>
          <w:lang w:val="fr-FR"/>
        </w:rPr>
        <w:t>Le groupe de travail a invité l</w:t>
      </w:r>
      <w:r w:rsidR="002F6E75" w:rsidRPr="00B7599D">
        <w:rPr>
          <w:szCs w:val="22"/>
          <w:lang w:val="fr-FR"/>
        </w:rPr>
        <w:t>’</w:t>
      </w:r>
      <w:r w:rsidRPr="00B7599D">
        <w:rPr>
          <w:szCs w:val="22"/>
          <w:lang w:val="fr-FR"/>
        </w:rPr>
        <w:t>Office européen des brevets et la délégation de la République de Corée à poursuivre les discussions avec les parties intéressées, afin de soumettre une proposition plus élaborée à la prochaine session du groupe de travail.</w:t>
      </w:r>
    </w:p>
    <w:p w:rsidR="005F6828" w:rsidRPr="00B7599D" w:rsidRDefault="00F46EFA" w:rsidP="00F46EFA">
      <w:pPr>
        <w:pStyle w:val="Heading1"/>
        <w:rPr>
          <w:lang w:val="fr-FR"/>
        </w:rPr>
      </w:pPr>
      <w:r w:rsidRPr="00B7599D">
        <w:rPr>
          <w:lang w:val="fr-FR"/>
        </w:rPr>
        <w:t>Point</w:t>
      </w:r>
      <w:r w:rsidR="00F436BF" w:rsidRPr="00B7599D">
        <w:rPr>
          <w:lang w:val="fr-FR"/>
        </w:rPr>
        <w:t> </w:t>
      </w:r>
      <w:r w:rsidRPr="00B7599D">
        <w:rPr>
          <w:lang w:val="fr-FR"/>
        </w:rPr>
        <w:t>15 de l</w:t>
      </w:r>
      <w:r w:rsidR="002F6E75" w:rsidRPr="00B7599D">
        <w:rPr>
          <w:lang w:val="fr-FR"/>
        </w:rPr>
        <w:t>’</w:t>
      </w:r>
      <w:r w:rsidRPr="00B7599D">
        <w:rPr>
          <w:lang w:val="fr-FR"/>
        </w:rPr>
        <w:t>ordre du jour</w:t>
      </w:r>
      <w:r w:rsidR="00F436BF" w:rsidRPr="00B7599D">
        <w:rPr>
          <w:lang w:val="fr-FR"/>
        </w:rPr>
        <w:t> </w:t>
      </w:r>
      <w:r w:rsidRPr="00B7599D">
        <w:rPr>
          <w:lang w:val="fr-FR"/>
        </w:rPr>
        <w:t>: littérature non</w:t>
      </w:r>
      <w:r w:rsidR="002F6E75" w:rsidRPr="00B7599D">
        <w:rPr>
          <w:lang w:val="fr-FR"/>
        </w:rPr>
        <w:t>-</w:t>
      </w:r>
      <w:r w:rsidRPr="00B7599D">
        <w:rPr>
          <w:lang w:val="fr-FR"/>
        </w:rPr>
        <w:t>brevet comprise dans la documentation minimale</w:t>
      </w:r>
      <w:r w:rsidR="002F6E75" w:rsidRPr="00B7599D">
        <w:rPr>
          <w:lang w:val="fr-FR"/>
        </w:rPr>
        <w:t xml:space="preserve"> du PCT</w:t>
      </w:r>
    </w:p>
    <w:p w:rsidR="005F6828" w:rsidRPr="00B7599D" w:rsidRDefault="00F46EFA" w:rsidP="00F46EFA">
      <w:pPr>
        <w:pStyle w:val="ONUMFS"/>
        <w:rPr>
          <w:lang w:val="fr-FR"/>
        </w:rPr>
      </w:pPr>
      <w:r w:rsidRPr="00B7599D">
        <w:rPr>
          <w:lang w:val="fr-FR"/>
        </w:rPr>
        <w:t>Les délibérations ont eu lieu sur la base du document PCT/WG/7/28.</w:t>
      </w:r>
    </w:p>
    <w:p w:rsidR="005F6828" w:rsidRPr="00B7599D" w:rsidRDefault="00F46EFA" w:rsidP="00F46EFA">
      <w:pPr>
        <w:pStyle w:val="ONUMFS"/>
        <w:rPr>
          <w:lang w:val="fr-FR"/>
        </w:rPr>
      </w:pPr>
      <w:r w:rsidRPr="00B7599D">
        <w:rPr>
          <w:lang w:val="fr-FR"/>
        </w:rPr>
        <w:t>Toutes les délégations qui ont pris la parole ont fait part de leur intérêt pour les propositions.  Une délégation a observé qu</w:t>
      </w:r>
      <w:r w:rsidR="002F6E75" w:rsidRPr="00B7599D">
        <w:rPr>
          <w:lang w:val="fr-FR"/>
        </w:rPr>
        <w:t>’</w:t>
      </w:r>
      <w:r w:rsidRPr="00B7599D">
        <w:rPr>
          <w:lang w:val="fr-FR"/>
        </w:rPr>
        <w:t>il pourrait être intéressant de soumettre cette question à l</w:t>
      </w:r>
      <w:r w:rsidR="002F6E75" w:rsidRPr="00B7599D">
        <w:rPr>
          <w:lang w:val="fr-FR"/>
        </w:rPr>
        <w:t>’</w:t>
      </w:r>
      <w:r w:rsidRPr="00B7599D">
        <w:rPr>
          <w:lang w:val="fr-FR"/>
        </w:rPr>
        <w:t>Équipe d</w:t>
      </w:r>
      <w:r w:rsidR="002F6E75" w:rsidRPr="00B7599D">
        <w:rPr>
          <w:lang w:val="fr-FR"/>
        </w:rPr>
        <w:t>’</w:t>
      </w:r>
      <w:r w:rsidRPr="00B7599D">
        <w:rPr>
          <w:lang w:val="fr-FR"/>
        </w:rPr>
        <w:t>experts chargée de la documentation minimale</w:t>
      </w:r>
      <w:r w:rsidR="002F6E75" w:rsidRPr="00B7599D">
        <w:rPr>
          <w:lang w:val="fr-FR"/>
        </w:rPr>
        <w:t xml:space="preserve"> du PCT</w:t>
      </w:r>
      <w:r w:rsidRPr="00B7599D">
        <w:rPr>
          <w:lang w:val="fr-FR"/>
        </w:rPr>
        <w:t xml:space="preserve"> afin qu</w:t>
      </w:r>
      <w:r w:rsidR="002F6E75" w:rsidRPr="00B7599D">
        <w:rPr>
          <w:lang w:val="fr-FR"/>
        </w:rPr>
        <w:t>’</w:t>
      </w:r>
      <w:r w:rsidRPr="00B7599D">
        <w:rPr>
          <w:lang w:val="fr-FR"/>
        </w:rPr>
        <w:t>elle soit étudiée en détail par des experts.</w:t>
      </w:r>
    </w:p>
    <w:p w:rsidR="005F6828" w:rsidRPr="00B7599D" w:rsidRDefault="00F46EFA" w:rsidP="00F46EFA">
      <w:pPr>
        <w:pStyle w:val="ONUMFS"/>
        <w:rPr>
          <w:lang w:val="fr-FR"/>
        </w:rPr>
      </w:pPr>
      <w:r w:rsidRPr="00B7599D">
        <w:rPr>
          <w:lang w:val="fr-FR"/>
        </w:rPr>
        <w:t>Certaines délégations ont fait part de leur crainte que les éditeurs ne souhaitent pas mettre leurs collections à disposition dans un format déterminé simplement pour faciliter la tâche des offices des brevets et il ne serait peut</w:t>
      </w:r>
      <w:r w:rsidR="002F6E75" w:rsidRPr="00B7599D">
        <w:rPr>
          <w:lang w:val="fr-FR"/>
        </w:rPr>
        <w:t>-</w:t>
      </w:r>
      <w:r w:rsidRPr="00B7599D">
        <w:rPr>
          <w:lang w:val="fr-FR"/>
        </w:rPr>
        <w:t>être pas souhaitable d</w:t>
      </w:r>
      <w:r w:rsidR="002F6E75" w:rsidRPr="00B7599D">
        <w:rPr>
          <w:lang w:val="fr-FR"/>
        </w:rPr>
        <w:t>’</w:t>
      </w:r>
      <w:r w:rsidRPr="00B7599D">
        <w:rPr>
          <w:lang w:val="fr-FR"/>
        </w:rPr>
        <w:t>exclure de la documentation minimale</w:t>
      </w:r>
      <w:r w:rsidR="002F6E75" w:rsidRPr="00B7599D">
        <w:rPr>
          <w:lang w:val="fr-FR"/>
        </w:rPr>
        <w:t xml:space="preserve"> du PCT</w:t>
      </w:r>
      <w:r w:rsidRPr="00B7599D">
        <w:rPr>
          <w:lang w:val="fr-FR"/>
        </w:rPr>
        <w:t xml:space="preserve"> des collections utiles, uniquement parce qu</w:t>
      </w:r>
      <w:r w:rsidR="002F6E75" w:rsidRPr="00B7599D">
        <w:rPr>
          <w:lang w:val="fr-FR"/>
        </w:rPr>
        <w:t>’</w:t>
      </w:r>
      <w:r w:rsidRPr="00B7599D">
        <w:rPr>
          <w:lang w:val="fr-FR"/>
        </w:rPr>
        <w:t>elles ne seraient pas disponibles dans un format donné.  En outre, la délégation d</w:t>
      </w:r>
      <w:r w:rsidR="002F6E75" w:rsidRPr="00B7599D">
        <w:rPr>
          <w:lang w:val="fr-FR"/>
        </w:rPr>
        <w:t>’</w:t>
      </w:r>
      <w:r w:rsidRPr="00B7599D">
        <w:rPr>
          <w:lang w:val="fr-FR"/>
        </w:rPr>
        <w:t>un État dont l</w:t>
      </w:r>
      <w:r w:rsidR="002F6E75" w:rsidRPr="00B7599D">
        <w:rPr>
          <w:lang w:val="fr-FR"/>
        </w:rPr>
        <w:t>’</w:t>
      </w:r>
      <w:r w:rsidRPr="00B7599D">
        <w:rPr>
          <w:lang w:val="fr-FR"/>
        </w:rPr>
        <w:t>office agissait en qualité d</w:t>
      </w:r>
      <w:r w:rsidR="002F6E75" w:rsidRPr="00B7599D">
        <w:rPr>
          <w:lang w:val="fr-FR"/>
        </w:rPr>
        <w:t>’</w:t>
      </w:r>
      <w:r w:rsidRPr="00B7599D">
        <w:rPr>
          <w:lang w:val="fr-FR"/>
        </w:rPr>
        <w:t>administration chargée de la recherche internationale a indiqué qu</w:t>
      </w:r>
      <w:r w:rsidR="002F6E75" w:rsidRPr="00B7599D">
        <w:rPr>
          <w:lang w:val="fr-FR"/>
        </w:rPr>
        <w:t>’</w:t>
      </w:r>
      <w:r w:rsidRPr="00B7599D">
        <w:rPr>
          <w:lang w:val="fr-FR"/>
        </w:rPr>
        <w:t>il préférait effectuer des recherches dans la littérature non</w:t>
      </w:r>
      <w:r w:rsidR="002F6E75" w:rsidRPr="00B7599D">
        <w:rPr>
          <w:lang w:val="fr-FR"/>
        </w:rPr>
        <w:t>-</w:t>
      </w:r>
      <w:r w:rsidRPr="00B7599D">
        <w:rPr>
          <w:lang w:val="fr-FR"/>
        </w:rPr>
        <w:t>brevet en s</w:t>
      </w:r>
      <w:r w:rsidR="002F6E75" w:rsidRPr="00B7599D">
        <w:rPr>
          <w:lang w:val="fr-FR"/>
        </w:rPr>
        <w:t>’</w:t>
      </w:r>
      <w:r w:rsidRPr="00B7599D">
        <w:rPr>
          <w:lang w:val="fr-FR"/>
        </w:rPr>
        <w:t>appuyant sur des fournisseurs commerciaux dans la mesure où cela lui évitait de devoir s</w:t>
      </w:r>
      <w:r w:rsidR="002F6E75" w:rsidRPr="00B7599D">
        <w:rPr>
          <w:lang w:val="fr-FR"/>
        </w:rPr>
        <w:t>’</w:t>
      </w:r>
      <w:r w:rsidRPr="00B7599D">
        <w:rPr>
          <w:lang w:val="fr-FR"/>
        </w:rPr>
        <w:t>assurer que les bases de données concernées étaient à jour et se prêtaient à la recherche au moyen des outils les plus modernes et efficaces.</w:t>
      </w:r>
    </w:p>
    <w:p w:rsidR="005F6828" w:rsidRPr="00B7599D" w:rsidRDefault="00F46EFA" w:rsidP="00F46EFA">
      <w:pPr>
        <w:pStyle w:val="ONUMFS"/>
        <w:rPr>
          <w:lang w:val="fr-FR"/>
        </w:rPr>
      </w:pPr>
      <w:r w:rsidRPr="00B7599D">
        <w:rPr>
          <w:lang w:val="fr-FR"/>
        </w:rPr>
        <w:t>Néanmoins, les délégations sont convenues que l</w:t>
      </w:r>
      <w:r w:rsidR="002F6E75" w:rsidRPr="00B7599D">
        <w:rPr>
          <w:lang w:val="fr-FR"/>
        </w:rPr>
        <w:t>’</w:t>
      </w:r>
      <w:r w:rsidRPr="00B7599D">
        <w:rPr>
          <w:lang w:val="fr-FR"/>
        </w:rPr>
        <w:t>accès à un nombre élevé de titres de la littérature non</w:t>
      </w:r>
      <w:r w:rsidR="002F6E75" w:rsidRPr="00B7599D">
        <w:rPr>
          <w:lang w:val="fr-FR"/>
        </w:rPr>
        <w:t>-</w:t>
      </w:r>
      <w:r w:rsidRPr="00B7599D">
        <w:rPr>
          <w:lang w:val="fr-FR"/>
        </w:rPr>
        <w:t>brevet aux fins de la recherche en matière de brevets revêtait une importance fondamentale pour l</w:t>
      </w:r>
      <w:r w:rsidR="002F6E75" w:rsidRPr="00B7599D">
        <w:rPr>
          <w:lang w:val="fr-FR"/>
        </w:rPr>
        <w:t>’</w:t>
      </w:r>
      <w:r w:rsidRPr="00B7599D">
        <w:rPr>
          <w:lang w:val="fr-FR"/>
        </w:rPr>
        <w:t>ensemble des offices et elles ont souligné que cette question présentait un intérêt particulier au regard de la recommandation n°</w:t>
      </w:r>
      <w:r w:rsidR="00F436BF" w:rsidRPr="00B7599D">
        <w:rPr>
          <w:lang w:val="fr-FR"/>
        </w:rPr>
        <w:t> </w:t>
      </w:r>
      <w:r w:rsidRPr="00B7599D">
        <w:rPr>
          <w:lang w:val="fr-FR"/>
        </w:rPr>
        <w:t>8 du Plan d</w:t>
      </w:r>
      <w:r w:rsidR="002F6E75" w:rsidRPr="00B7599D">
        <w:rPr>
          <w:lang w:val="fr-FR"/>
        </w:rPr>
        <w:t>’</w:t>
      </w:r>
      <w:r w:rsidRPr="00B7599D">
        <w:rPr>
          <w:lang w:val="fr-FR"/>
        </w:rPr>
        <w:t>action pour le développement.</w:t>
      </w:r>
    </w:p>
    <w:p w:rsidR="005F6828" w:rsidRPr="00B7599D" w:rsidRDefault="00F46EFA" w:rsidP="00F46EFA">
      <w:pPr>
        <w:pStyle w:val="ONUMFS"/>
        <w:rPr>
          <w:lang w:val="fr-FR"/>
        </w:rPr>
      </w:pPr>
      <w:r w:rsidRPr="00B7599D">
        <w:rPr>
          <w:lang w:val="fr-FR"/>
        </w:rPr>
        <w:lastRenderedPageBreak/>
        <w:t>Une délégation a observé qu</w:t>
      </w:r>
      <w:r w:rsidR="002F6E75" w:rsidRPr="00B7599D">
        <w:rPr>
          <w:lang w:val="fr-FR"/>
        </w:rPr>
        <w:t>’</w:t>
      </w:r>
      <w:r w:rsidRPr="00B7599D">
        <w:rPr>
          <w:lang w:val="fr-FR"/>
        </w:rPr>
        <w:t>il importait aussi que les offices adoptent une démarche cohérente s</w:t>
      </w:r>
      <w:r w:rsidR="002F6E75" w:rsidRPr="00B7599D">
        <w:rPr>
          <w:lang w:val="fr-FR"/>
        </w:rPr>
        <w:t>’</w:t>
      </w:r>
      <w:r w:rsidRPr="00B7599D">
        <w:rPr>
          <w:lang w:val="fr-FR"/>
        </w:rPr>
        <w:t>agissant des documents cités dans la littérature non</w:t>
      </w:r>
      <w:r w:rsidR="002F6E75" w:rsidRPr="00B7599D">
        <w:rPr>
          <w:lang w:val="fr-FR"/>
        </w:rPr>
        <w:t>-</w:t>
      </w:r>
      <w:r w:rsidRPr="00B7599D">
        <w:rPr>
          <w:lang w:val="fr-FR"/>
        </w:rPr>
        <w:t>brevet afin d</w:t>
      </w:r>
      <w:r w:rsidR="002F6E75" w:rsidRPr="00B7599D">
        <w:rPr>
          <w:lang w:val="fr-FR"/>
        </w:rPr>
        <w:t>’</w:t>
      </w:r>
      <w:r w:rsidRPr="00B7599D">
        <w:rPr>
          <w:lang w:val="fr-FR"/>
        </w:rPr>
        <w:t>assurer un accès efficace aux données.</w:t>
      </w:r>
    </w:p>
    <w:p w:rsidR="005F6828" w:rsidRPr="00B7599D" w:rsidRDefault="00F46EFA" w:rsidP="00F46EFA">
      <w:pPr>
        <w:pStyle w:val="ONUMFS"/>
        <w:ind w:left="567"/>
        <w:rPr>
          <w:lang w:val="fr-FR"/>
        </w:rPr>
      </w:pPr>
      <w:r w:rsidRPr="00B7599D">
        <w:rPr>
          <w:lang w:val="fr-FR"/>
        </w:rPr>
        <w:t>Le groupe de travail a invité la délégation de l</w:t>
      </w:r>
      <w:r w:rsidR="002F6E75" w:rsidRPr="00B7599D">
        <w:rPr>
          <w:lang w:val="fr-FR"/>
        </w:rPr>
        <w:t>’</w:t>
      </w:r>
      <w:r w:rsidRPr="00B7599D">
        <w:rPr>
          <w:lang w:val="fr-FR"/>
        </w:rPr>
        <w:t>Inde à poursuivre les discussions avec les parties intéressées en vue de soumettre une proposition améliorée au groupe de travail à sa prochaine session.</w:t>
      </w:r>
    </w:p>
    <w:p w:rsidR="005F6828" w:rsidRPr="00B7599D" w:rsidRDefault="00F46EFA" w:rsidP="00F46EFA">
      <w:pPr>
        <w:pStyle w:val="Heading1"/>
        <w:rPr>
          <w:lang w:val="fr-FR"/>
        </w:rPr>
      </w:pPr>
      <w:r w:rsidRPr="00B7599D">
        <w:rPr>
          <w:lang w:val="fr-FR"/>
        </w:rPr>
        <w:t>Point</w:t>
      </w:r>
      <w:r w:rsidR="00F436BF" w:rsidRPr="00B7599D">
        <w:rPr>
          <w:lang w:val="fr-FR"/>
        </w:rPr>
        <w:t> </w:t>
      </w:r>
      <w:r w:rsidRPr="00B7599D">
        <w:rPr>
          <w:lang w:val="fr-FR"/>
        </w:rPr>
        <w:t>16 de l</w:t>
      </w:r>
      <w:r w:rsidR="002F6E75" w:rsidRPr="00B7599D">
        <w:rPr>
          <w:lang w:val="fr-FR"/>
        </w:rPr>
        <w:t>’</w:t>
      </w:r>
      <w:r w:rsidRPr="00B7599D">
        <w:rPr>
          <w:lang w:val="fr-FR"/>
        </w:rPr>
        <w:t>ordre du jour</w:t>
      </w:r>
      <w:r w:rsidR="00F436BF" w:rsidRPr="00B7599D">
        <w:rPr>
          <w:lang w:val="fr-FR"/>
        </w:rPr>
        <w:t> </w:t>
      </w:r>
      <w:r w:rsidRPr="00B7599D">
        <w:rPr>
          <w:lang w:val="fr-FR"/>
        </w:rPr>
        <w:t>: observations par les tiers</w:t>
      </w:r>
    </w:p>
    <w:p w:rsidR="005F6828" w:rsidRPr="00B7599D" w:rsidRDefault="00F46EFA" w:rsidP="00F46EFA">
      <w:pPr>
        <w:pStyle w:val="ONUMFS"/>
        <w:rPr>
          <w:lang w:val="fr-FR"/>
        </w:rPr>
      </w:pPr>
      <w:r w:rsidRPr="00B7599D">
        <w:rPr>
          <w:lang w:val="fr-FR"/>
        </w:rPr>
        <w:t>Les délibérations ont eu lieu sur la base du document PCT/WG/7/11.</w:t>
      </w:r>
    </w:p>
    <w:p w:rsidR="005F6828" w:rsidRPr="00B7599D" w:rsidRDefault="00F46EFA" w:rsidP="00F46EFA">
      <w:pPr>
        <w:pStyle w:val="ONUMFS"/>
        <w:rPr>
          <w:lang w:val="fr-FR"/>
        </w:rPr>
      </w:pPr>
      <w:r w:rsidRPr="00B7599D">
        <w:rPr>
          <w:lang w:val="fr-FR"/>
        </w:rPr>
        <w:t>Toutes les délégations ayant pris la parole ont estimé que le système s</w:t>
      </w:r>
      <w:r w:rsidR="002F6E75" w:rsidRPr="00B7599D">
        <w:rPr>
          <w:lang w:val="fr-FR"/>
        </w:rPr>
        <w:t>’</w:t>
      </w:r>
      <w:r w:rsidRPr="00B7599D">
        <w:rPr>
          <w:lang w:val="fr-FR"/>
        </w:rPr>
        <w:t>était révélé utile et qu</w:t>
      </w:r>
      <w:r w:rsidR="002F6E75" w:rsidRPr="00B7599D">
        <w:rPr>
          <w:lang w:val="fr-FR"/>
        </w:rPr>
        <w:t>’</w:t>
      </w:r>
      <w:r w:rsidRPr="00B7599D">
        <w:rPr>
          <w:lang w:val="fr-FR"/>
        </w:rPr>
        <w:t>il pourrait être envisagé de relever au moins dans une certaine mesure la limite imposée en ce qui concerne les explications succinctes relatives à la pertinence.  Les délégations ont approuvé les évolutions prévues concernant l</w:t>
      </w:r>
      <w:r w:rsidR="002F6E75" w:rsidRPr="00B7599D">
        <w:rPr>
          <w:lang w:val="fr-FR"/>
        </w:rPr>
        <w:t>’</w:t>
      </w:r>
      <w:r w:rsidRPr="00B7599D">
        <w:rPr>
          <w:lang w:val="fr-FR"/>
        </w:rPr>
        <w:t>accès amélioré aux informations, l</w:t>
      </w:r>
      <w:r w:rsidR="002F6E75" w:rsidRPr="00B7599D">
        <w:rPr>
          <w:lang w:val="fr-FR"/>
        </w:rPr>
        <w:t>’</w:t>
      </w:r>
      <w:r w:rsidRPr="00B7599D">
        <w:rPr>
          <w:lang w:val="fr-FR"/>
        </w:rPr>
        <w:t>établissement de listes de documents et la traduction automatique.  Certaines délégations ont exprimé leur préoccupation quant à l</w:t>
      </w:r>
      <w:r w:rsidR="002F6E75" w:rsidRPr="00B7599D">
        <w:rPr>
          <w:lang w:val="fr-FR"/>
        </w:rPr>
        <w:t>’</w:t>
      </w:r>
      <w:r w:rsidRPr="00B7599D">
        <w:rPr>
          <w:lang w:val="fr-FR"/>
        </w:rPr>
        <w:t>éventuelle extension future des observations aux commentaires portant sur des aspects autres que la nouveauté ou l</w:t>
      </w:r>
      <w:r w:rsidR="002F6E75" w:rsidRPr="00B7599D">
        <w:rPr>
          <w:lang w:val="fr-FR"/>
        </w:rPr>
        <w:t>’</w:t>
      </w:r>
      <w:r w:rsidRPr="00B7599D">
        <w:rPr>
          <w:lang w:val="fr-FR"/>
        </w:rPr>
        <w:t>activité inventive, tandis que d</w:t>
      </w:r>
      <w:r w:rsidR="002F6E75" w:rsidRPr="00B7599D">
        <w:rPr>
          <w:lang w:val="fr-FR"/>
        </w:rPr>
        <w:t>’</w:t>
      </w:r>
      <w:r w:rsidRPr="00B7599D">
        <w:rPr>
          <w:lang w:val="fr-FR"/>
        </w:rPr>
        <w:t>autres ont déclaré qu</w:t>
      </w:r>
      <w:r w:rsidR="002F6E75" w:rsidRPr="00B7599D">
        <w:rPr>
          <w:lang w:val="fr-FR"/>
        </w:rPr>
        <w:t>’</w:t>
      </w:r>
      <w:r w:rsidRPr="00B7599D">
        <w:rPr>
          <w:lang w:val="fr-FR"/>
        </w:rPr>
        <w:t>elles espéraient que cette extension pourrait se faire rapidement.  Une délégation a noté la nécessité pour les offices désignés de disposer d</w:t>
      </w:r>
      <w:r w:rsidR="002F6E75" w:rsidRPr="00B7599D">
        <w:rPr>
          <w:lang w:val="fr-FR"/>
        </w:rPr>
        <w:t>’</w:t>
      </w:r>
      <w:r w:rsidRPr="00B7599D">
        <w:rPr>
          <w:lang w:val="fr-FR"/>
        </w:rPr>
        <w:t>informations utiles dans les cas d</w:t>
      </w:r>
      <w:r w:rsidR="002F6E75" w:rsidRPr="00B7599D">
        <w:rPr>
          <w:lang w:val="fr-FR"/>
        </w:rPr>
        <w:t>’</w:t>
      </w:r>
      <w:r w:rsidRPr="00B7599D">
        <w:rPr>
          <w:lang w:val="fr-FR"/>
        </w:rPr>
        <w:t>ouverture anticipée de la phase nationale.</w:t>
      </w:r>
    </w:p>
    <w:p w:rsidR="005F6828" w:rsidRPr="00B7599D" w:rsidRDefault="00F46EFA" w:rsidP="00F46EFA">
      <w:pPr>
        <w:pStyle w:val="ONUMFS"/>
        <w:rPr>
          <w:lang w:val="fr-FR"/>
        </w:rPr>
      </w:pPr>
      <w:r w:rsidRPr="00B7599D">
        <w:rPr>
          <w:lang w:val="fr-FR"/>
        </w:rPr>
        <w:t>La délégation de l</w:t>
      </w:r>
      <w:r w:rsidR="002F6E75" w:rsidRPr="00B7599D">
        <w:rPr>
          <w:lang w:val="fr-FR"/>
        </w:rPr>
        <w:t>’</w:t>
      </w:r>
      <w:r w:rsidRPr="00B7599D">
        <w:rPr>
          <w:lang w:val="fr-FR"/>
        </w:rPr>
        <w:t>Office européen des brevets a indiqué qu</w:t>
      </w:r>
      <w:r w:rsidR="002F6E75" w:rsidRPr="00B7599D">
        <w:rPr>
          <w:lang w:val="fr-FR"/>
        </w:rPr>
        <w:t>’</w:t>
      </w:r>
      <w:r w:rsidRPr="00B7599D">
        <w:rPr>
          <w:lang w:val="fr-FR"/>
        </w:rPr>
        <w:t>elle avait analysé les cas où avait commencé l</w:t>
      </w:r>
      <w:r w:rsidR="002F6E75" w:rsidRPr="00B7599D">
        <w:rPr>
          <w:lang w:val="fr-FR"/>
        </w:rPr>
        <w:t>’</w:t>
      </w:r>
      <w:r w:rsidRPr="00B7599D">
        <w:rPr>
          <w:lang w:val="fr-FR"/>
        </w:rPr>
        <w:t>examen des demandes internationales concernant lesquelles des observations par les tiers avaient été formulées.  Environ un tiers des observations comprenait des citations de documents que l</w:t>
      </w:r>
      <w:r w:rsidR="002F6E75" w:rsidRPr="00B7599D">
        <w:rPr>
          <w:lang w:val="fr-FR"/>
        </w:rPr>
        <w:t>’</w:t>
      </w:r>
      <w:r w:rsidRPr="00B7599D">
        <w:rPr>
          <w:lang w:val="fr-FR"/>
        </w:rPr>
        <w:t>examinateur avait lui</w:t>
      </w:r>
      <w:r w:rsidR="002F6E75" w:rsidRPr="00B7599D">
        <w:rPr>
          <w:lang w:val="fr-FR"/>
        </w:rPr>
        <w:t>-</w:t>
      </w:r>
      <w:r w:rsidRPr="00B7599D">
        <w:rPr>
          <w:lang w:val="fr-FR"/>
        </w:rPr>
        <w:t>même cités, ce qui était considéré comme un résultat très positif.  Plus de 20% comprenaient des citations provenant de sources auxquelles un examinateur n</w:t>
      </w:r>
      <w:r w:rsidR="002F6E75" w:rsidRPr="00B7599D">
        <w:rPr>
          <w:lang w:val="fr-FR"/>
        </w:rPr>
        <w:t>’</w:t>
      </w:r>
      <w:r w:rsidRPr="00B7599D">
        <w:rPr>
          <w:lang w:val="fr-FR"/>
        </w:rPr>
        <w:t>aurait pas facilement accès dans le cadre d</w:t>
      </w:r>
      <w:r w:rsidR="002F6E75" w:rsidRPr="00B7599D">
        <w:rPr>
          <w:lang w:val="fr-FR"/>
        </w:rPr>
        <w:t>’</w:t>
      </w:r>
      <w:r w:rsidRPr="00B7599D">
        <w:rPr>
          <w:lang w:val="fr-FR"/>
        </w:rPr>
        <w:t>une recherche normale, telles que des thèses.</w:t>
      </w:r>
    </w:p>
    <w:p w:rsidR="005F6828" w:rsidRPr="00B7599D" w:rsidRDefault="00F46EFA" w:rsidP="00F46EFA">
      <w:pPr>
        <w:pStyle w:val="ONUMFS"/>
        <w:rPr>
          <w:lang w:val="fr-FR"/>
        </w:rPr>
      </w:pPr>
      <w:r w:rsidRPr="00B7599D">
        <w:rPr>
          <w:lang w:val="fr-FR"/>
        </w:rPr>
        <w:t>Les délégations ont invité le Bureau international à continuer de superviser le système, y</w:t>
      </w:r>
      <w:r w:rsidR="00F436BF" w:rsidRPr="00B7599D">
        <w:rPr>
          <w:lang w:val="fr-FR"/>
        </w:rPr>
        <w:t> </w:t>
      </w:r>
      <w:r w:rsidRPr="00B7599D">
        <w:rPr>
          <w:lang w:val="fr-FR"/>
        </w:rPr>
        <w:t>compris en ce qui concerne l</w:t>
      </w:r>
      <w:r w:rsidR="002F6E75" w:rsidRPr="00B7599D">
        <w:rPr>
          <w:lang w:val="fr-FR"/>
        </w:rPr>
        <w:t>’</w:t>
      </w:r>
      <w:r w:rsidRPr="00B7599D">
        <w:rPr>
          <w:lang w:val="fr-FR"/>
        </w:rPr>
        <w:t>analyse de ses effets dans la pha</w:t>
      </w:r>
      <w:r w:rsidR="00407F21">
        <w:rPr>
          <w:lang w:val="fr-FR"/>
        </w:rPr>
        <w:t>se nationale.  Une délégation a </w:t>
      </w:r>
      <w:r w:rsidRPr="00B7599D">
        <w:rPr>
          <w:lang w:val="fr-FR"/>
        </w:rPr>
        <w:t>demandé des données ventilées par administration chargée de la recherche internationale afin de faciliter la mise en œuvre de procédures de qualité.  Une question ayant particulièrement appelé l</w:t>
      </w:r>
      <w:r w:rsidR="002F6E75" w:rsidRPr="00B7599D">
        <w:rPr>
          <w:lang w:val="fr-FR"/>
        </w:rPr>
        <w:t>’</w:t>
      </w:r>
      <w:r w:rsidRPr="00B7599D">
        <w:rPr>
          <w:lang w:val="fr-FR"/>
        </w:rPr>
        <w:t>attention est celle du nombre plus élevé d</w:t>
      </w:r>
      <w:r w:rsidR="002F6E75" w:rsidRPr="00B7599D">
        <w:rPr>
          <w:lang w:val="fr-FR"/>
        </w:rPr>
        <w:t>’</w:t>
      </w:r>
      <w:r w:rsidRPr="00B7599D">
        <w:rPr>
          <w:lang w:val="fr-FR"/>
        </w:rPr>
        <w:t>observations soumises au vingt</w:t>
      </w:r>
      <w:r w:rsidR="00407F21" w:rsidRPr="00407F21">
        <w:rPr>
          <w:lang w:val="fr-FR"/>
        </w:rPr>
        <w:noBreakHyphen/>
      </w:r>
      <w:r w:rsidRPr="00B7599D">
        <w:rPr>
          <w:lang w:val="fr-FR"/>
        </w:rPr>
        <w:t>huitième mois à partir de la date de priorité, ce qui ne laissait guère de possibilité d</w:t>
      </w:r>
      <w:r w:rsidR="002F6E75" w:rsidRPr="00B7599D">
        <w:rPr>
          <w:lang w:val="fr-FR"/>
        </w:rPr>
        <w:t>’</w:t>
      </w:r>
      <w:r w:rsidRPr="00B7599D">
        <w:rPr>
          <w:lang w:val="fr-FR"/>
        </w:rPr>
        <w:t>examen par le déposant ou l</w:t>
      </w:r>
      <w:r w:rsidR="002F6E75" w:rsidRPr="00B7599D">
        <w:rPr>
          <w:lang w:val="fr-FR"/>
        </w:rPr>
        <w:t>’</w:t>
      </w:r>
      <w:r w:rsidRPr="00B7599D">
        <w:rPr>
          <w:lang w:val="fr-FR"/>
        </w:rPr>
        <w:t>examinateur dans le cadre de l</w:t>
      </w:r>
      <w:r w:rsidR="002F6E75" w:rsidRPr="00B7599D">
        <w:rPr>
          <w:lang w:val="fr-FR"/>
        </w:rPr>
        <w:t>’</w:t>
      </w:r>
      <w:r w:rsidRPr="00B7599D">
        <w:rPr>
          <w:lang w:val="fr-FR"/>
        </w:rPr>
        <w:t>examen préliminaire international.  Il a été proposé d</w:t>
      </w:r>
      <w:r w:rsidR="002F6E75" w:rsidRPr="00B7599D">
        <w:rPr>
          <w:lang w:val="fr-FR"/>
        </w:rPr>
        <w:t>’</w:t>
      </w:r>
      <w:r w:rsidRPr="00B7599D">
        <w:rPr>
          <w:lang w:val="fr-FR"/>
        </w:rPr>
        <w:t>envisager d</w:t>
      </w:r>
      <w:r w:rsidR="002F6E75" w:rsidRPr="00B7599D">
        <w:rPr>
          <w:lang w:val="fr-FR"/>
        </w:rPr>
        <w:t>’</w:t>
      </w:r>
      <w:r w:rsidRPr="00B7599D">
        <w:rPr>
          <w:lang w:val="fr-FR"/>
        </w:rPr>
        <w:t>adopter des mesures d</w:t>
      </w:r>
      <w:r w:rsidR="002F6E75" w:rsidRPr="00B7599D">
        <w:rPr>
          <w:lang w:val="fr-FR"/>
        </w:rPr>
        <w:t>’</w:t>
      </w:r>
      <w:r w:rsidRPr="00B7599D">
        <w:rPr>
          <w:lang w:val="fr-FR"/>
        </w:rPr>
        <w:t>incitation ou des sanctions afin d</w:t>
      </w:r>
      <w:r w:rsidR="002F6E75" w:rsidRPr="00B7599D">
        <w:rPr>
          <w:lang w:val="fr-FR"/>
        </w:rPr>
        <w:t>’</w:t>
      </w:r>
      <w:r w:rsidRPr="00B7599D">
        <w:rPr>
          <w:lang w:val="fr-FR"/>
        </w:rPr>
        <w:t>encourager la soumission des observations à un stade plus précoce.</w:t>
      </w:r>
    </w:p>
    <w:p w:rsidR="005F6828" w:rsidRPr="00B7599D" w:rsidRDefault="00F46EFA" w:rsidP="00F46EFA">
      <w:pPr>
        <w:pStyle w:val="ONUMFS"/>
        <w:rPr>
          <w:lang w:val="fr-FR"/>
        </w:rPr>
      </w:pPr>
      <w:r w:rsidRPr="00B7599D">
        <w:rPr>
          <w:lang w:val="fr-FR"/>
        </w:rPr>
        <w:t>Les représentants des utilisateurs se sont également félicités du système et ont demandé des informations sur le respect des délais concernant la présentation des observations et les réponses des déposants, ainsi que sur la question de savoir dans quelle mesure les différents offices désignés et élus utilisaient ces observations.  Cela pourrait avoir une incidence sur la mesure dans laquelle les tiers souhaiteraient utiliser le système.</w:t>
      </w:r>
    </w:p>
    <w:p w:rsidR="005F6828" w:rsidRPr="00B7599D" w:rsidRDefault="00E11749" w:rsidP="00E11749">
      <w:pPr>
        <w:pStyle w:val="ONUMFS"/>
        <w:ind w:left="567"/>
        <w:rPr>
          <w:lang w:val="fr-FR"/>
        </w:rPr>
      </w:pPr>
      <w:r w:rsidRPr="00B7599D">
        <w:rPr>
          <w:lang w:val="fr-FR"/>
        </w:rPr>
        <w:t>Le groupe de travail a approuvé les recommandations figurant aux para</w:t>
      </w:r>
      <w:r w:rsidR="00D40337" w:rsidRPr="00B7599D">
        <w:rPr>
          <w:lang w:val="fr-FR"/>
        </w:rPr>
        <w:t>graphes </w:t>
      </w:r>
      <w:r w:rsidRPr="00B7599D">
        <w:rPr>
          <w:lang w:val="fr-FR"/>
        </w:rPr>
        <w:t xml:space="preserve">24 à 26 du document PCT/WG/7/11.  La limite imposée en ce qui concerne les explications succinctes relatives à la pertinence serait </w:t>
      </w:r>
      <w:r w:rsidR="00B56A02" w:rsidRPr="00B7599D">
        <w:rPr>
          <w:lang w:val="fr-FR"/>
        </w:rPr>
        <w:t>portée</w:t>
      </w:r>
      <w:r w:rsidRPr="00B7599D">
        <w:rPr>
          <w:lang w:val="fr-FR"/>
        </w:rPr>
        <w:t xml:space="preserve"> à 5000</w:t>
      </w:r>
      <w:r w:rsidR="00D40337" w:rsidRPr="00B7599D">
        <w:rPr>
          <w:lang w:val="fr-FR"/>
        </w:rPr>
        <w:t> </w:t>
      </w:r>
      <w:r w:rsidRPr="00B7599D">
        <w:rPr>
          <w:lang w:val="fr-FR"/>
        </w:rPr>
        <w:t>caractères.</w:t>
      </w:r>
    </w:p>
    <w:p w:rsidR="005F6828" w:rsidRPr="00B7599D" w:rsidRDefault="00E11749" w:rsidP="00E11749">
      <w:pPr>
        <w:pStyle w:val="Heading1"/>
        <w:rPr>
          <w:lang w:val="fr-FR"/>
        </w:rPr>
      </w:pPr>
      <w:r w:rsidRPr="00B7599D">
        <w:rPr>
          <w:lang w:val="fr-FR"/>
        </w:rPr>
        <w:t>point 17 de l</w:t>
      </w:r>
      <w:r w:rsidR="002F6E75" w:rsidRPr="00B7599D">
        <w:rPr>
          <w:lang w:val="fr-FR"/>
        </w:rPr>
        <w:t>’</w:t>
      </w:r>
      <w:r w:rsidRPr="00B7599D">
        <w:rPr>
          <w:lang w:val="fr-FR"/>
        </w:rPr>
        <w:t>ordre du jour</w:t>
      </w:r>
      <w:r w:rsidR="00F436BF" w:rsidRPr="00B7599D">
        <w:rPr>
          <w:lang w:val="fr-FR"/>
        </w:rPr>
        <w:t> </w:t>
      </w:r>
      <w:r w:rsidRPr="00B7599D">
        <w:rPr>
          <w:lang w:val="fr-FR"/>
        </w:rPr>
        <w:t>: E</w:t>
      </w:r>
      <w:r w:rsidR="002F6E75" w:rsidRPr="00B7599D">
        <w:rPr>
          <w:lang w:val="fr-FR"/>
        </w:rPr>
        <w:t>-</w:t>
      </w:r>
      <w:r w:rsidRPr="00B7599D">
        <w:rPr>
          <w:lang w:val="fr-FR"/>
        </w:rPr>
        <w:t>SEARCH COPY</w:t>
      </w:r>
    </w:p>
    <w:p w:rsidR="005F6828" w:rsidRPr="00B7599D" w:rsidRDefault="00E11749" w:rsidP="00E11749">
      <w:pPr>
        <w:pStyle w:val="ONUMFS"/>
        <w:rPr>
          <w:lang w:val="fr-FR"/>
        </w:rPr>
      </w:pPr>
      <w:r w:rsidRPr="00B7599D">
        <w:rPr>
          <w:lang w:val="fr-FR"/>
        </w:rPr>
        <w:t>Les délibérations ont eu lieu sur la base du document PCT/WG/7/8.</w:t>
      </w:r>
    </w:p>
    <w:p w:rsidR="005F6828" w:rsidRPr="00B7599D" w:rsidRDefault="00E11749" w:rsidP="00E11749">
      <w:pPr>
        <w:pStyle w:val="ONUMFS"/>
        <w:rPr>
          <w:lang w:val="fr-FR"/>
        </w:rPr>
      </w:pPr>
      <w:r w:rsidRPr="00B7599D">
        <w:rPr>
          <w:lang w:val="fr-FR"/>
        </w:rPr>
        <w:t>Toutes les délégations qui ont pris la parole ont souligné l</w:t>
      </w:r>
      <w:r w:rsidR="002F6E75" w:rsidRPr="00B7599D">
        <w:rPr>
          <w:lang w:val="fr-FR"/>
        </w:rPr>
        <w:t>’</w:t>
      </w:r>
      <w:r w:rsidRPr="00B7599D">
        <w:rPr>
          <w:lang w:val="fr-FR"/>
        </w:rPr>
        <w:t>importance que revêtait ce projet, notant les possibilités de renforcement de l</w:t>
      </w:r>
      <w:r w:rsidR="002F6E75" w:rsidRPr="00B7599D">
        <w:rPr>
          <w:lang w:val="fr-FR"/>
        </w:rPr>
        <w:t>’</w:t>
      </w:r>
      <w:r w:rsidRPr="00B7599D">
        <w:rPr>
          <w:lang w:val="fr-FR"/>
        </w:rPr>
        <w:t>efficacité et de la cohérence qu</w:t>
      </w:r>
      <w:r w:rsidR="002F6E75" w:rsidRPr="00B7599D">
        <w:rPr>
          <w:lang w:val="fr-FR"/>
        </w:rPr>
        <w:t>’</w:t>
      </w:r>
      <w:r w:rsidRPr="00B7599D">
        <w:rPr>
          <w:lang w:val="fr-FR"/>
        </w:rPr>
        <w:t>il offrait, et elles ont exprimé l</w:t>
      </w:r>
      <w:r w:rsidR="002F6E75" w:rsidRPr="00B7599D">
        <w:rPr>
          <w:lang w:val="fr-FR"/>
        </w:rPr>
        <w:t>’</w:t>
      </w:r>
      <w:r w:rsidRPr="00B7599D">
        <w:rPr>
          <w:lang w:val="fr-FR"/>
        </w:rPr>
        <w:t>espoir qu</w:t>
      </w:r>
      <w:r w:rsidR="002F6E75" w:rsidRPr="00B7599D">
        <w:rPr>
          <w:lang w:val="fr-FR"/>
        </w:rPr>
        <w:t>’</w:t>
      </w:r>
      <w:r w:rsidRPr="00B7599D">
        <w:rPr>
          <w:lang w:val="fr-FR"/>
        </w:rPr>
        <w:t xml:space="preserve">il serait mis en service à bref délai.  Les délégations ont souligné la </w:t>
      </w:r>
      <w:r w:rsidRPr="00B7599D">
        <w:rPr>
          <w:lang w:val="fr-FR"/>
        </w:rPr>
        <w:lastRenderedPageBreak/>
        <w:t>nécessité de faire en sorte que les transmissions de documents soient effectuées dans les délais et que le système permette d</w:t>
      </w:r>
      <w:r w:rsidR="002F6E75" w:rsidRPr="00B7599D">
        <w:rPr>
          <w:lang w:val="fr-FR"/>
        </w:rPr>
        <w:t>’</w:t>
      </w:r>
      <w:r w:rsidRPr="00B7599D">
        <w:rPr>
          <w:lang w:val="fr-FR"/>
        </w:rPr>
        <w:t>établir un lien satisfaisant avec un suivi efficace du paiement des taxes de recherche et des transferts de taxes de l</w:t>
      </w:r>
      <w:r w:rsidR="002F6E75" w:rsidRPr="00B7599D">
        <w:rPr>
          <w:lang w:val="fr-FR"/>
        </w:rPr>
        <w:t>’</w:t>
      </w:r>
      <w:r w:rsidRPr="00B7599D">
        <w:rPr>
          <w:lang w:val="fr-FR"/>
        </w:rPr>
        <w:t>office récepteur à l</w:t>
      </w:r>
      <w:r w:rsidR="002F6E75" w:rsidRPr="00B7599D">
        <w:rPr>
          <w:lang w:val="fr-FR"/>
        </w:rPr>
        <w:t>’</w:t>
      </w:r>
      <w:r w:rsidRPr="00B7599D">
        <w:rPr>
          <w:lang w:val="fr-FR"/>
        </w:rPr>
        <w:t>administration chargée de la recherche internationale.</w:t>
      </w:r>
    </w:p>
    <w:p w:rsidR="005F6828" w:rsidRPr="00B7599D" w:rsidRDefault="00E11749" w:rsidP="00E11749">
      <w:pPr>
        <w:pStyle w:val="ONUMFS"/>
        <w:ind w:left="567"/>
        <w:rPr>
          <w:lang w:val="fr-FR"/>
        </w:rPr>
      </w:pPr>
      <w:r w:rsidRPr="00B7599D">
        <w:rPr>
          <w:lang w:val="fr-FR"/>
        </w:rPr>
        <w:t>Le groupe de travail a pris note du rapport de situation et de la marche à suivre proposée dans le document PCT/WG/7/8.</w:t>
      </w:r>
    </w:p>
    <w:p w:rsidR="005F6828" w:rsidRPr="00B7599D" w:rsidRDefault="00E11749" w:rsidP="00E11749">
      <w:pPr>
        <w:pStyle w:val="Heading1"/>
        <w:rPr>
          <w:lang w:val="fr-FR"/>
        </w:rPr>
      </w:pPr>
      <w:r w:rsidRPr="00B7599D">
        <w:rPr>
          <w:lang w:val="fr-FR"/>
        </w:rPr>
        <w:t>point 18 de l</w:t>
      </w:r>
      <w:r w:rsidR="002F6E75" w:rsidRPr="00B7599D">
        <w:rPr>
          <w:lang w:val="fr-FR"/>
        </w:rPr>
        <w:t>’</w:t>
      </w:r>
      <w:r w:rsidRPr="00B7599D">
        <w:rPr>
          <w:lang w:val="fr-FR"/>
        </w:rPr>
        <w:t>ordre du jour</w:t>
      </w:r>
      <w:r w:rsidR="00F436BF" w:rsidRPr="00B7599D">
        <w:rPr>
          <w:lang w:val="fr-FR"/>
        </w:rPr>
        <w:t> </w:t>
      </w:r>
      <w:r w:rsidRPr="00B7599D">
        <w:rPr>
          <w:lang w:val="fr-FR"/>
        </w:rPr>
        <w:t>: Ouverture de la phase nationale par l</w:t>
      </w:r>
      <w:r w:rsidR="002F6E75" w:rsidRPr="00B7599D">
        <w:rPr>
          <w:lang w:val="fr-FR"/>
        </w:rPr>
        <w:t>’</w:t>
      </w:r>
      <w:r w:rsidRPr="00B7599D">
        <w:rPr>
          <w:lang w:val="fr-FR"/>
        </w:rPr>
        <w:t>intermédiaire du système ePCT</w:t>
      </w:r>
    </w:p>
    <w:p w:rsidR="005F6828" w:rsidRPr="00B7599D" w:rsidRDefault="00E11749" w:rsidP="00E11749">
      <w:pPr>
        <w:pStyle w:val="ONUMFS"/>
        <w:rPr>
          <w:lang w:val="fr-FR"/>
        </w:rPr>
      </w:pPr>
      <w:r w:rsidRPr="00B7599D">
        <w:rPr>
          <w:lang w:val="fr-FR"/>
        </w:rPr>
        <w:t>Les délibérations ont eu lieu sur la base du document PCT/WG/7/12.</w:t>
      </w:r>
    </w:p>
    <w:p w:rsidR="005F6828" w:rsidRPr="00B7599D" w:rsidRDefault="00E11749" w:rsidP="00E11749">
      <w:pPr>
        <w:pStyle w:val="ONUMFS"/>
        <w:rPr>
          <w:lang w:val="fr-FR"/>
        </w:rPr>
      </w:pPr>
      <w:r w:rsidRPr="00B7599D">
        <w:rPr>
          <w:lang w:val="fr-FR"/>
        </w:rPr>
        <w:t>Un certain nombre de délégations ont manifesté leur intérêt pour le concept d</w:t>
      </w:r>
      <w:r w:rsidR="002F6E75" w:rsidRPr="00B7599D">
        <w:rPr>
          <w:lang w:val="fr-FR"/>
        </w:rPr>
        <w:t>’</w:t>
      </w:r>
      <w:r w:rsidRPr="00B7599D">
        <w:rPr>
          <w:lang w:val="fr-FR"/>
        </w:rPr>
        <w:t>entrée dans la phase nationale par l</w:t>
      </w:r>
      <w:r w:rsidR="002F6E75" w:rsidRPr="00B7599D">
        <w:rPr>
          <w:lang w:val="fr-FR"/>
        </w:rPr>
        <w:t>’</w:t>
      </w:r>
      <w:r w:rsidRPr="00B7599D">
        <w:rPr>
          <w:lang w:val="fr-FR"/>
        </w:rPr>
        <w:t xml:space="preserve">intermédiaire du système </w:t>
      </w:r>
      <w:proofErr w:type="spellStart"/>
      <w:r w:rsidRPr="00B7599D">
        <w:rPr>
          <w:lang w:val="fr-FR"/>
        </w:rPr>
        <w:t>ePCT</w:t>
      </w:r>
      <w:proofErr w:type="spellEnd"/>
      <w:r w:rsidRPr="00B7599D">
        <w:rPr>
          <w:lang w:val="fr-FR"/>
        </w:rPr>
        <w:t>, notant les avantages potentiels que pouvait représenter pour les déposants et les offices une procédure simple susceptible de réduire les retards et les erreurs.  Un certain nombre de questions juridiques et techniques devaient encore être abordées, notamment la manière de déterminer la date de soumission des documents et des données, les possibilités de confusion entre les différents délais pour les différents offices désignés et la manière de faire en sorte que toutes les exigences particulières des différents pays soient recensées et décrites de manière satisfaisante.</w:t>
      </w:r>
    </w:p>
    <w:p w:rsidR="005F6828" w:rsidRPr="00B7599D" w:rsidRDefault="00E11749" w:rsidP="00E11749">
      <w:pPr>
        <w:pStyle w:val="ONUMFS"/>
        <w:rPr>
          <w:lang w:val="fr-FR"/>
        </w:rPr>
      </w:pPr>
      <w:r w:rsidRPr="00B7599D">
        <w:rPr>
          <w:lang w:val="fr-FR"/>
        </w:rPr>
        <w:t>Le paiement des taxes pourrait constituer un problème majeur.  Dans la plupart des cas, l</w:t>
      </w:r>
      <w:r w:rsidR="002F6E75" w:rsidRPr="00B7599D">
        <w:rPr>
          <w:lang w:val="fr-FR"/>
        </w:rPr>
        <w:t>’</w:t>
      </w:r>
      <w:r w:rsidRPr="00B7599D">
        <w:rPr>
          <w:lang w:val="fr-FR"/>
        </w:rPr>
        <w:t>ouverture de la phase nationale n</w:t>
      </w:r>
      <w:r w:rsidR="002F6E75" w:rsidRPr="00B7599D">
        <w:rPr>
          <w:lang w:val="fr-FR"/>
        </w:rPr>
        <w:t>’</w:t>
      </w:r>
      <w:r w:rsidRPr="00B7599D">
        <w:rPr>
          <w:lang w:val="fr-FR"/>
        </w:rPr>
        <w:t>est pas complète tant que le paiement n</w:t>
      </w:r>
      <w:r w:rsidR="002F6E75" w:rsidRPr="00B7599D">
        <w:rPr>
          <w:lang w:val="fr-FR"/>
        </w:rPr>
        <w:t>’</w:t>
      </w:r>
      <w:r w:rsidRPr="00B7599D">
        <w:rPr>
          <w:lang w:val="fr-FR"/>
        </w:rPr>
        <w:t>a pas été reçu par l</w:t>
      </w:r>
      <w:r w:rsidR="002F6E75" w:rsidRPr="00B7599D">
        <w:rPr>
          <w:lang w:val="fr-FR"/>
        </w:rPr>
        <w:t>’</w:t>
      </w:r>
      <w:r w:rsidRPr="00B7599D">
        <w:rPr>
          <w:lang w:val="fr-FR"/>
        </w:rPr>
        <w:t>office désigné.  Cette condition pourrait ne pas être prise en considération ou alors il pourrait être très difficile de faire correspondre les paiements avec les documents et les données, en particulier si le système n</w:t>
      </w:r>
      <w:r w:rsidR="002F6E75" w:rsidRPr="00B7599D">
        <w:rPr>
          <w:lang w:val="fr-FR"/>
        </w:rPr>
        <w:t>’</w:t>
      </w:r>
      <w:r w:rsidRPr="00B7599D">
        <w:rPr>
          <w:lang w:val="fr-FR"/>
        </w:rPr>
        <w:t>est pas en mesure d</w:t>
      </w:r>
      <w:r w:rsidR="002F6E75" w:rsidRPr="00B7599D">
        <w:rPr>
          <w:lang w:val="fr-FR"/>
        </w:rPr>
        <w:t>’</w:t>
      </w:r>
      <w:r w:rsidRPr="00B7599D">
        <w:rPr>
          <w:lang w:val="fr-FR"/>
        </w:rPr>
        <w:t>attribuer un numéro de demande nationale dès la soumission des documents et des données.  Un mécanisme de paiement centralisé pourrait constituer une solution, mais il devrait lui</w:t>
      </w:r>
      <w:r w:rsidR="002F6E75" w:rsidRPr="00B7599D">
        <w:rPr>
          <w:lang w:val="fr-FR"/>
        </w:rPr>
        <w:t>-</w:t>
      </w:r>
      <w:r w:rsidRPr="00B7599D">
        <w:rPr>
          <w:lang w:val="fr-FR"/>
        </w:rPr>
        <w:t>même, avant d</w:t>
      </w:r>
      <w:r w:rsidR="002F6E75" w:rsidRPr="00B7599D">
        <w:rPr>
          <w:lang w:val="fr-FR"/>
        </w:rPr>
        <w:t>’</w:t>
      </w:r>
      <w:r w:rsidRPr="00B7599D">
        <w:rPr>
          <w:lang w:val="fr-FR"/>
        </w:rPr>
        <w:t>être considéré comme acceptable, faire l</w:t>
      </w:r>
      <w:r w:rsidR="002F6E75" w:rsidRPr="00B7599D">
        <w:rPr>
          <w:lang w:val="fr-FR"/>
        </w:rPr>
        <w:t>’</w:t>
      </w:r>
      <w:r w:rsidRPr="00B7599D">
        <w:rPr>
          <w:lang w:val="fr-FR"/>
        </w:rPr>
        <w:t>objet d</w:t>
      </w:r>
      <w:r w:rsidR="002F6E75" w:rsidRPr="00B7599D">
        <w:rPr>
          <w:lang w:val="fr-FR"/>
        </w:rPr>
        <w:t>’</w:t>
      </w:r>
      <w:r w:rsidRPr="00B7599D">
        <w:rPr>
          <w:lang w:val="fr-FR"/>
        </w:rPr>
        <w:t>un examen attentif par certains États contractants tant sur le plan juridique qu</w:t>
      </w:r>
      <w:r w:rsidR="002F6E75" w:rsidRPr="00B7599D">
        <w:rPr>
          <w:lang w:val="fr-FR"/>
        </w:rPr>
        <w:t>’</w:t>
      </w:r>
      <w:r w:rsidRPr="00B7599D">
        <w:rPr>
          <w:lang w:val="fr-FR"/>
        </w:rPr>
        <w:t>au niveau des procédures.</w:t>
      </w:r>
    </w:p>
    <w:p w:rsidR="002F6E75" w:rsidRPr="00B7599D" w:rsidRDefault="00E11749" w:rsidP="00E11749">
      <w:pPr>
        <w:pStyle w:val="ONUMFS"/>
        <w:rPr>
          <w:lang w:val="fr-FR"/>
        </w:rPr>
      </w:pPr>
      <w:r w:rsidRPr="00B7599D">
        <w:rPr>
          <w:lang w:val="fr-FR"/>
        </w:rPr>
        <w:t>L</w:t>
      </w:r>
      <w:r w:rsidR="002F6E75" w:rsidRPr="00B7599D">
        <w:rPr>
          <w:lang w:val="fr-FR"/>
        </w:rPr>
        <w:t>’</w:t>
      </w:r>
      <w:r w:rsidRPr="00B7599D">
        <w:rPr>
          <w:lang w:val="fr-FR"/>
        </w:rPr>
        <w:t>autre problème majeur concerne le rôle du mandataire local.  De l</w:t>
      </w:r>
      <w:r w:rsidR="002F6E75" w:rsidRPr="00B7599D">
        <w:rPr>
          <w:lang w:val="fr-FR"/>
        </w:rPr>
        <w:t>’</w:t>
      </w:r>
      <w:r w:rsidRPr="00B7599D">
        <w:rPr>
          <w:lang w:val="fr-FR"/>
        </w:rPr>
        <w:t>avis d</w:t>
      </w:r>
      <w:r w:rsidR="002F6E75" w:rsidRPr="00B7599D">
        <w:rPr>
          <w:lang w:val="fr-FR"/>
        </w:rPr>
        <w:t>’</w:t>
      </w:r>
      <w:r w:rsidRPr="00B7599D">
        <w:rPr>
          <w:lang w:val="fr-FR"/>
        </w:rPr>
        <w:t>un certain nombre de délégations, il serait essentiel de désigner un mandataire local qui serait appelé à jouer un rôle fondamental en vue de s</w:t>
      </w:r>
      <w:r w:rsidR="002F6E75" w:rsidRPr="00B7599D">
        <w:rPr>
          <w:lang w:val="fr-FR"/>
        </w:rPr>
        <w:t>’</w:t>
      </w:r>
      <w:r w:rsidRPr="00B7599D">
        <w:rPr>
          <w:lang w:val="fr-FR"/>
        </w:rPr>
        <w:t>assurer que l</w:t>
      </w:r>
      <w:r w:rsidR="002F6E75" w:rsidRPr="00B7599D">
        <w:rPr>
          <w:lang w:val="fr-FR"/>
        </w:rPr>
        <w:t>’</w:t>
      </w:r>
      <w:r w:rsidRPr="00B7599D">
        <w:rPr>
          <w:lang w:val="fr-FR"/>
        </w:rPr>
        <w:t>entrée dans la phase nationale se fasse de manière satisfaisante.  Il conviendrait de mettre en place des mécanismes afin de faire en sorte que ce mandataire puisse être indiqué à l</w:t>
      </w:r>
      <w:r w:rsidR="002F6E75" w:rsidRPr="00B7599D">
        <w:rPr>
          <w:lang w:val="fr-FR"/>
        </w:rPr>
        <w:t>’</w:t>
      </w:r>
      <w:r w:rsidRPr="00B7599D">
        <w:rPr>
          <w:lang w:val="fr-FR"/>
        </w:rPr>
        <w:t>avance et soit en mesure de refuser le mandat si nécessaire, par exemple en raison d</w:t>
      </w:r>
      <w:r w:rsidR="002F6E75" w:rsidRPr="00B7599D">
        <w:rPr>
          <w:lang w:val="fr-FR"/>
        </w:rPr>
        <w:t>’</w:t>
      </w:r>
      <w:r w:rsidRPr="00B7599D">
        <w:rPr>
          <w:lang w:val="fr-FR"/>
        </w:rPr>
        <w:t>un conflit d</w:t>
      </w:r>
      <w:r w:rsidR="002F6E75" w:rsidRPr="00B7599D">
        <w:rPr>
          <w:lang w:val="fr-FR"/>
        </w:rPr>
        <w:t>’</w:t>
      </w:r>
      <w:r w:rsidRPr="00B7599D">
        <w:rPr>
          <w:lang w:val="fr-FR"/>
        </w:rPr>
        <w:t>intérêts.</w:t>
      </w:r>
    </w:p>
    <w:p w:rsidR="005F6828" w:rsidRPr="00B7599D" w:rsidRDefault="00E11749" w:rsidP="00E11749">
      <w:pPr>
        <w:pStyle w:val="ONUMFS"/>
        <w:rPr>
          <w:lang w:val="fr-FR"/>
        </w:rPr>
      </w:pPr>
      <w:r w:rsidRPr="00B7599D">
        <w:rPr>
          <w:lang w:val="fr-FR"/>
        </w:rPr>
        <w:t>Les groupes d</w:t>
      </w:r>
      <w:r w:rsidR="002F6E75" w:rsidRPr="00B7599D">
        <w:rPr>
          <w:lang w:val="fr-FR"/>
        </w:rPr>
        <w:t>’</w:t>
      </w:r>
      <w:r w:rsidRPr="00B7599D">
        <w:rPr>
          <w:lang w:val="fr-FR"/>
        </w:rPr>
        <w:t>utilisateurs ont présenté une liste détaillée de questions à examiner, y</w:t>
      </w:r>
      <w:r w:rsidR="00F436BF" w:rsidRPr="00B7599D">
        <w:rPr>
          <w:lang w:val="fr-FR"/>
        </w:rPr>
        <w:t> </w:t>
      </w:r>
      <w:r w:rsidRPr="00B7599D">
        <w:rPr>
          <w:lang w:val="fr-FR"/>
        </w:rPr>
        <w:t>compris des questions d</w:t>
      </w:r>
      <w:r w:rsidR="002F6E75" w:rsidRPr="00B7599D">
        <w:rPr>
          <w:lang w:val="fr-FR"/>
        </w:rPr>
        <w:t>’</w:t>
      </w:r>
      <w:r w:rsidRPr="00B7599D">
        <w:rPr>
          <w:lang w:val="fr-FR"/>
        </w:rPr>
        <w:t>intérêt général et d</w:t>
      </w:r>
      <w:r w:rsidR="002F6E75" w:rsidRPr="00B7599D">
        <w:rPr>
          <w:lang w:val="fr-FR"/>
        </w:rPr>
        <w:t>’</w:t>
      </w:r>
      <w:r w:rsidRPr="00B7599D">
        <w:rPr>
          <w:lang w:val="fr-FR"/>
        </w:rPr>
        <w:t>autres concernant plus particulièrement certains États désignés.</w:t>
      </w:r>
    </w:p>
    <w:p w:rsidR="005F6828" w:rsidRPr="00B7599D" w:rsidRDefault="00E11749" w:rsidP="00E11749">
      <w:pPr>
        <w:pStyle w:val="ONUMFS"/>
        <w:ind w:left="567"/>
        <w:rPr>
          <w:lang w:val="fr-FR"/>
        </w:rPr>
      </w:pPr>
      <w:r w:rsidRPr="00B7599D">
        <w:rPr>
          <w:lang w:val="fr-FR"/>
        </w:rPr>
        <w:t>Le groupe de travail est convenu que le Bureau international continuerait d</w:t>
      </w:r>
      <w:r w:rsidR="002F6E75" w:rsidRPr="00B7599D">
        <w:rPr>
          <w:lang w:val="fr-FR"/>
        </w:rPr>
        <w:t>’</w:t>
      </w:r>
      <w:r w:rsidRPr="00B7599D">
        <w:rPr>
          <w:lang w:val="fr-FR"/>
        </w:rPr>
        <w:t>améliorer le concept en concertation avec toutes les parties intéressées et en tenant compte des observations formulées.</w:t>
      </w:r>
    </w:p>
    <w:p w:rsidR="005F6828" w:rsidRPr="00B7599D" w:rsidRDefault="00E11749" w:rsidP="00E11749">
      <w:pPr>
        <w:pStyle w:val="Heading1"/>
        <w:rPr>
          <w:lang w:val="fr-FR"/>
        </w:rPr>
      </w:pPr>
      <w:r w:rsidRPr="00B7599D">
        <w:rPr>
          <w:lang w:val="fr-FR"/>
        </w:rPr>
        <w:t>Point</w:t>
      </w:r>
      <w:r w:rsidR="00F436BF" w:rsidRPr="00B7599D">
        <w:rPr>
          <w:lang w:val="fr-FR"/>
        </w:rPr>
        <w:t> </w:t>
      </w:r>
      <w:r w:rsidRPr="00B7599D">
        <w:rPr>
          <w:lang w:val="fr-FR"/>
        </w:rPr>
        <w:t>19 de l</w:t>
      </w:r>
      <w:r w:rsidR="002F6E75" w:rsidRPr="00B7599D">
        <w:rPr>
          <w:lang w:val="fr-FR"/>
        </w:rPr>
        <w:t>’</w:t>
      </w:r>
      <w:r w:rsidRPr="00B7599D">
        <w:rPr>
          <w:lang w:val="fr-FR"/>
        </w:rPr>
        <w:t>ordre du jour</w:t>
      </w:r>
      <w:r w:rsidR="00F436BF" w:rsidRPr="00B7599D">
        <w:rPr>
          <w:lang w:val="fr-FR"/>
        </w:rPr>
        <w:t> </w:t>
      </w:r>
      <w:r w:rsidRPr="00B7599D">
        <w:rPr>
          <w:lang w:val="fr-FR"/>
        </w:rPr>
        <w:t>: retards et cas de force majeure concernant les communications électroniques</w:t>
      </w:r>
    </w:p>
    <w:p w:rsidR="005F6828" w:rsidRPr="00B7599D" w:rsidRDefault="00E11749" w:rsidP="00E11749">
      <w:pPr>
        <w:pStyle w:val="ONUMFS"/>
        <w:rPr>
          <w:lang w:val="fr-FR"/>
        </w:rPr>
      </w:pPr>
      <w:r w:rsidRPr="00B7599D">
        <w:rPr>
          <w:lang w:val="fr-FR"/>
        </w:rPr>
        <w:t>Les délibérations ont eu lieu sur la base du document PCT/WG/7/24.</w:t>
      </w:r>
    </w:p>
    <w:p w:rsidR="00D651C2" w:rsidRDefault="00E11749" w:rsidP="00E11749">
      <w:pPr>
        <w:pStyle w:val="ONUMFS"/>
        <w:rPr>
          <w:lang w:val="fr-FR"/>
        </w:rPr>
      </w:pPr>
      <w:r w:rsidRPr="00B7599D">
        <w:rPr>
          <w:lang w:val="fr-FR"/>
        </w:rPr>
        <w:t>Toutes les délégations qui se sont exprimées sont convenues que la question d</w:t>
      </w:r>
      <w:r w:rsidR="002F6E75" w:rsidRPr="00B7599D">
        <w:rPr>
          <w:lang w:val="fr-FR"/>
        </w:rPr>
        <w:t>’</w:t>
      </w:r>
      <w:r w:rsidRPr="00B7599D">
        <w:rPr>
          <w:lang w:val="fr-FR"/>
        </w:rPr>
        <w:t>une protection appropriée en cas de défaillance des systèmes de communication électronique était importante.  Cependant, la proposition de modification de la règle</w:t>
      </w:r>
      <w:r w:rsidR="00F436BF" w:rsidRPr="00B7599D">
        <w:rPr>
          <w:lang w:val="fr-FR"/>
        </w:rPr>
        <w:t> </w:t>
      </w:r>
      <w:r w:rsidRPr="00B7599D">
        <w:rPr>
          <w:lang w:val="fr-FR"/>
        </w:rPr>
        <w:t>80.5 était considérée comme trop normative et il a été jugé préférable de laisser la question à l</w:t>
      </w:r>
      <w:r w:rsidR="002F6E75" w:rsidRPr="00B7599D">
        <w:rPr>
          <w:lang w:val="fr-FR"/>
        </w:rPr>
        <w:t>’</w:t>
      </w:r>
      <w:r w:rsidRPr="00B7599D">
        <w:rPr>
          <w:lang w:val="fr-FR"/>
        </w:rPr>
        <w:t xml:space="preserve">appréciation des offices </w:t>
      </w:r>
    </w:p>
    <w:p w:rsidR="005F6828" w:rsidRPr="00B7599D" w:rsidRDefault="00E11749" w:rsidP="00D651C2">
      <w:pPr>
        <w:pStyle w:val="ONUMFS"/>
        <w:numPr>
          <w:ilvl w:val="0"/>
          <w:numId w:val="0"/>
        </w:numPr>
        <w:rPr>
          <w:lang w:val="fr-FR"/>
        </w:rPr>
      </w:pPr>
      <w:proofErr w:type="gramStart"/>
      <w:r w:rsidRPr="00B7599D">
        <w:rPr>
          <w:lang w:val="fr-FR"/>
        </w:rPr>
        <w:lastRenderedPageBreak/>
        <w:t>nationaux</w:t>
      </w:r>
      <w:proofErr w:type="gramEnd"/>
      <w:r w:rsidRPr="00B7599D">
        <w:rPr>
          <w:lang w:val="fr-FR"/>
        </w:rPr>
        <w:t xml:space="preserve"> concernés.  Certaines délégations ont appuyé la proposition de modification de la règle</w:t>
      </w:r>
      <w:r w:rsidR="00F436BF" w:rsidRPr="00B7599D">
        <w:rPr>
          <w:lang w:val="fr-FR"/>
        </w:rPr>
        <w:t> </w:t>
      </w:r>
      <w:r w:rsidRPr="00B7599D">
        <w:rPr>
          <w:lang w:val="fr-FR"/>
        </w:rPr>
        <w:t>82</w:t>
      </w:r>
      <w:r w:rsidRPr="00B7599D">
        <w:rPr>
          <w:i/>
          <w:lang w:val="fr-FR"/>
        </w:rPr>
        <w:t>quater</w:t>
      </w:r>
      <w:r w:rsidRPr="00B7599D">
        <w:rPr>
          <w:lang w:val="fr-FR"/>
        </w:rPr>
        <w:t>, mais d</w:t>
      </w:r>
      <w:r w:rsidR="002F6E75" w:rsidRPr="00B7599D">
        <w:rPr>
          <w:lang w:val="fr-FR"/>
        </w:rPr>
        <w:t>’</w:t>
      </w:r>
      <w:r w:rsidRPr="00B7599D">
        <w:rPr>
          <w:lang w:val="fr-FR"/>
        </w:rPr>
        <w:t>autres ont jugé qu</w:t>
      </w:r>
      <w:r w:rsidR="002F6E75" w:rsidRPr="00B7599D">
        <w:rPr>
          <w:lang w:val="fr-FR"/>
        </w:rPr>
        <w:t>’</w:t>
      </w:r>
      <w:r w:rsidRPr="00B7599D">
        <w:rPr>
          <w:lang w:val="fr-FR"/>
        </w:rPr>
        <w:t>elle manquait de clarté ou qu</w:t>
      </w:r>
      <w:r w:rsidR="002F6E75" w:rsidRPr="00B7599D">
        <w:rPr>
          <w:lang w:val="fr-FR"/>
        </w:rPr>
        <w:t>’</w:t>
      </w:r>
      <w:r w:rsidRPr="00B7599D">
        <w:rPr>
          <w:lang w:val="fr-FR"/>
        </w:rPr>
        <w:t>elle ne s</w:t>
      </w:r>
      <w:r w:rsidR="002F6E75" w:rsidRPr="00B7599D">
        <w:rPr>
          <w:lang w:val="fr-FR"/>
        </w:rPr>
        <w:t>’</w:t>
      </w:r>
      <w:r w:rsidRPr="00B7599D">
        <w:rPr>
          <w:lang w:val="fr-FR"/>
        </w:rPr>
        <w:t>accompagnait d</w:t>
      </w:r>
      <w:r w:rsidR="002F6E75" w:rsidRPr="00B7599D">
        <w:rPr>
          <w:lang w:val="fr-FR"/>
        </w:rPr>
        <w:t>’</w:t>
      </w:r>
      <w:r w:rsidRPr="00B7599D">
        <w:rPr>
          <w:lang w:val="fr-FR"/>
        </w:rPr>
        <w:t>aucun avantage particulier par rapport aux dispositions de la règle existante.</w:t>
      </w:r>
    </w:p>
    <w:p w:rsidR="005F6828" w:rsidRPr="00B7599D" w:rsidRDefault="00E11749" w:rsidP="00E11749">
      <w:pPr>
        <w:pStyle w:val="ONUMFS"/>
        <w:rPr>
          <w:lang w:val="fr-FR"/>
        </w:rPr>
      </w:pPr>
      <w:r w:rsidRPr="00B7599D">
        <w:rPr>
          <w:lang w:val="fr-FR"/>
        </w:rPr>
        <w:t>Des représentants d</w:t>
      </w:r>
      <w:r w:rsidR="002F6E75" w:rsidRPr="00B7599D">
        <w:rPr>
          <w:lang w:val="fr-FR"/>
        </w:rPr>
        <w:t>’</w:t>
      </w:r>
      <w:r w:rsidRPr="00B7599D">
        <w:rPr>
          <w:lang w:val="fr-FR"/>
        </w:rPr>
        <w:t>utilisateurs ont exprimé l</w:t>
      </w:r>
      <w:r w:rsidR="002F6E75" w:rsidRPr="00B7599D">
        <w:rPr>
          <w:lang w:val="fr-FR"/>
        </w:rPr>
        <w:t>’</w:t>
      </w:r>
      <w:r w:rsidRPr="00B7599D">
        <w:rPr>
          <w:lang w:val="fr-FR"/>
        </w:rPr>
        <w:t>espoir qu</w:t>
      </w:r>
      <w:r w:rsidR="002F6E75" w:rsidRPr="00B7599D">
        <w:rPr>
          <w:lang w:val="fr-FR"/>
        </w:rPr>
        <w:t>’</w:t>
      </w:r>
      <w:r w:rsidRPr="00B7599D">
        <w:rPr>
          <w:lang w:val="fr-FR"/>
        </w:rPr>
        <w:t>un arrangement puisse être trouvé, qui offrirait une protection adéquate aux déposants qui n</w:t>
      </w:r>
      <w:r w:rsidR="002F6E75" w:rsidRPr="00B7599D">
        <w:rPr>
          <w:lang w:val="fr-FR"/>
        </w:rPr>
        <w:t>’</w:t>
      </w:r>
      <w:r w:rsidRPr="00B7599D">
        <w:rPr>
          <w:lang w:val="fr-FR"/>
        </w:rPr>
        <w:t>ont pas respecté les délais en raison de problèmes techniques indépendants de leur volonté, et que des éclaircissements puissent être fournis, à la fois au niveau des règles et de la fourniture d</w:t>
      </w:r>
      <w:r w:rsidR="002F6E75" w:rsidRPr="00B7599D">
        <w:rPr>
          <w:lang w:val="fr-FR"/>
        </w:rPr>
        <w:t>’</w:t>
      </w:r>
      <w:r w:rsidRPr="00B7599D">
        <w:rPr>
          <w:lang w:val="fr-FR"/>
        </w:rPr>
        <w:t>informations actualisées sur l</w:t>
      </w:r>
      <w:r w:rsidR="002F6E75" w:rsidRPr="00B7599D">
        <w:rPr>
          <w:lang w:val="fr-FR"/>
        </w:rPr>
        <w:t>’</w:t>
      </w:r>
      <w:r w:rsidRPr="00B7599D">
        <w:rPr>
          <w:lang w:val="fr-FR"/>
        </w:rPr>
        <w:t>existence éventuelle de problèmes techniques et sur les autres moyens de communication disponibles en cas de défaillance des principaux systèmes.</w:t>
      </w:r>
    </w:p>
    <w:p w:rsidR="005F6828" w:rsidRPr="00B7599D" w:rsidRDefault="00E11749" w:rsidP="00E11749">
      <w:pPr>
        <w:pStyle w:val="ONUMFS"/>
        <w:ind w:left="567"/>
        <w:rPr>
          <w:lang w:val="fr-FR"/>
        </w:rPr>
      </w:pPr>
      <w:r w:rsidRPr="00B7599D">
        <w:rPr>
          <w:lang w:val="fr-FR"/>
        </w:rPr>
        <w:t>Le groupe de travail a noté que le Bureau international allait continuer de chercher des moyens juridiques et techniques de réduire les risques, pour les déposants, d</w:t>
      </w:r>
      <w:r w:rsidR="002F6E75" w:rsidRPr="00B7599D">
        <w:rPr>
          <w:lang w:val="fr-FR"/>
        </w:rPr>
        <w:t>’</w:t>
      </w:r>
      <w:r w:rsidRPr="00B7599D">
        <w:rPr>
          <w:lang w:val="fr-FR"/>
        </w:rPr>
        <w:t>une éventuelle défaillance des systèmes informatiques.</w:t>
      </w:r>
    </w:p>
    <w:p w:rsidR="005F6828" w:rsidRPr="00B7599D" w:rsidRDefault="00E11749" w:rsidP="00E11749">
      <w:pPr>
        <w:pStyle w:val="ONUMFS"/>
        <w:rPr>
          <w:lang w:val="fr-FR"/>
        </w:rPr>
      </w:pPr>
      <w:r w:rsidRPr="00B7599D">
        <w:rPr>
          <w:lang w:val="fr-FR"/>
        </w:rPr>
        <w:t>Le Bureau international a invité les États contractants à fournir des informations sur les lois ou procédures nationales qui prévoyaient la protection des utilisateurs en cas de défaillance des systèmes de communication électronique, ce qui pourrait servir de base à des mesures plus appropriées pour traiter les questions considérées.</w:t>
      </w:r>
    </w:p>
    <w:p w:rsidR="005F6828" w:rsidRPr="00B7599D" w:rsidRDefault="00E11749" w:rsidP="00E11749">
      <w:pPr>
        <w:pStyle w:val="Heading1"/>
        <w:rPr>
          <w:lang w:val="fr-FR"/>
        </w:rPr>
      </w:pPr>
      <w:r w:rsidRPr="00B7599D">
        <w:rPr>
          <w:lang w:val="fr-FR"/>
        </w:rPr>
        <w:t>Point</w:t>
      </w:r>
      <w:r w:rsidR="00F436BF" w:rsidRPr="00B7599D">
        <w:rPr>
          <w:lang w:val="fr-FR"/>
        </w:rPr>
        <w:t> </w:t>
      </w:r>
      <w:r w:rsidRPr="00B7599D">
        <w:rPr>
          <w:lang w:val="fr-FR"/>
        </w:rPr>
        <w:t>20 de l</w:t>
      </w:r>
      <w:r w:rsidR="002F6E75" w:rsidRPr="00B7599D">
        <w:rPr>
          <w:lang w:val="fr-FR"/>
        </w:rPr>
        <w:t>’</w:t>
      </w:r>
      <w:r w:rsidRPr="00B7599D">
        <w:rPr>
          <w:lang w:val="fr-FR"/>
        </w:rPr>
        <w:t>ordre du jour</w:t>
      </w:r>
      <w:r w:rsidR="00F436BF" w:rsidRPr="00B7599D">
        <w:rPr>
          <w:lang w:val="fr-FR"/>
        </w:rPr>
        <w:t> </w:t>
      </w:r>
      <w:r w:rsidRPr="00B7599D">
        <w:rPr>
          <w:lang w:val="fr-FR"/>
        </w:rPr>
        <w:t>: fuseaux horaires utilisés pour les transmissions sous forme électronique</w:t>
      </w:r>
    </w:p>
    <w:p w:rsidR="005F6828" w:rsidRPr="00B7599D" w:rsidRDefault="00E11749" w:rsidP="00E11749">
      <w:pPr>
        <w:pStyle w:val="ONUMFS"/>
        <w:rPr>
          <w:lang w:val="fr-FR"/>
        </w:rPr>
      </w:pPr>
      <w:r w:rsidRPr="00B7599D">
        <w:rPr>
          <w:lang w:val="fr-FR"/>
        </w:rPr>
        <w:t>Les délibérations ont eu lieu sur la base du document PCT/WG/7/25.</w:t>
      </w:r>
    </w:p>
    <w:p w:rsidR="005F6828" w:rsidRPr="00B7599D" w:rsidRDefault="00E11749" w:rsidP="00E11749">
      <w:pPr>
        <w:pStyle w:val="ONUMFS"/>
        <w:rPr>
          <w:lang w:val="fr-FR"/>
        </w:rPr>
      </w:pPr>
      <w:r w:rsidRPr="00B7599D">
        <w:rPr>
          <w:lang w:val="fr-FR"/>
        </w:rPr>
        <w:t>Toutes les délégations qui se sont exprimées ont estimé qu</w:t>
      </w:r>
      <w:r w:rsidR="002F6E75" w:rsidRPr="00B7599D">
        <w:rPr>
          <w:lang w:val="fr-FR"/>
        </w:rPr>
        <w:t>’</w:t>
      </w:r>
      <w:r w:rsidRPr="00B7599D">
        <w:rPr>
          <w:lang w:val="fr-FR"/>
        </w:rPr>
        <w:t>il n</w:t>
      </w:r>
      <w:r w:rsidR="002F6E75" w:rsidRPr="00B7599D">
        <w:rPr>
          <w:lang w:val="fr-FR"/>
        </w:rPr>
        <w:t>’</w:t>
      </w:r>
      <w:r w:rsidRPr="00B7599D">
        <w:rPr>
          <w:lang w:val="fr-FR"/>
        </w:rPr>
        <w:t>y avait pas lieu, à ce stade, de modifier les arrangements existants, selon lesquels les dates étaient attribuées en fonction de l</w:t>
      </w:r>
      <w:r w:rsidR="002F6E75" w:rsidRPr="00B7599D">
        <w:rPr>
          <w:lang w:val="fr-FR"/>
        </w:rPr>
        <w:t>’</w:t>
      </w:r>
      <w:r w:rsidRPr="00B7599D">
        <w:rPr>
          <w:lang w:val="fr-FR"/>
        </w:rPr>
        <w:t>heure au siège de l</w:t>
      </w:r>
      <w:r w:rsidR="002F6E75" w:rsidRPr="00B7599D">
        <w:rPr>
          <w:lang w:val="fr-FR"/>
        </w:rPr>
        <w:t>’</w:t>
      </w:r>
      <w:r w:rsidRPr="00B7599D">
        <w:rPr>
          <w:lang w:val="fr-FR"/>
        </w:rPr>
        <w:t>office concerné.  S</w:t>
      </w:r>
      <w:r w:rsidR="002F6E75" w:rsidRPr="00B7599D">
        <w:rPr>
          <w:lang w:val="fr-FR"/>
        </w:rPr>
        <w:t>’</w:t>
      </w:r>
      <w:r w:rsidRPr="00B7599D">
        <w:rPr>
          <w:lang w:val="fr-FR"/>
        </w:rPr>
        <w:t>il pouvait être considéré que les propositions visaient à offrir des conditions identiques aux déposants des différents États, les arrangements existants étaient clairs et compatibles avec les pratiques nationales.  Les délais qui s</w:t>
      </w:r>
      <w:r w:rsidR="002F6E75" w:rsidRPr="00B7599D">
        <w:rPr>
          <w:lang w:val="fr-FR"/>
        </w:rPr>
        <w:t>’</w:t>
      </w:r>
      <w:r w:rsidRPr="00B7599D">
        <w:rPr>
          <w:lang w:val="fr-FR"/>
        </w:rPr>
        <w:t>appliquaient aux dépôts pour chaque office étaient bien compris et correspondaient généralement aux jours ouvrables dans les États concernés.</w:t>
      </w:r>
      <w:r w:rsidR="00682AF1" w:rsidRPr="00B7599D">
        <w:rPr>
          <w:lang w:val="fr-FR"/>
        </w:rPr>
        <w:t xml:space="preserve">  </w:t>
      </w:r>
      <w:r w:rsidRPr="00B7599D">
        <w:rPr>
          <w:lang w:val="fr-FR"/>
        </w:rPr>
        <w:t>Des doutes ont été exprimés quant à la question de savoir si les propositions seraient compatibles avec l</w:t>
      </w:r>
      <w:r w:rsidR="002F6E75" w:rsidRPr="00B7599D">
        <w:rPr>
          <w:lang w:val="fr-FR"/>
        </w:rPr>
        <w:t>’</w:t>
      </w:r>
      <w:r w:rsidRPr="00B7599D">
        <w:rPr>
          <w:lang w:val="fr-FR"/>
        </w:rPr>
        <w:t>article</w:t>
      </w:r>
      <w:r w:rsidR="00F436BF" w:rsidRPr="00B7599D">
        <w:rPr>
          <w:lang w:val="fr-FR"/>
        </w:rPr>
        <w:t> </w:t>
      </w:r>
      <w:r w:rsidRPr="00B7599D">
        <w:rPr>
          <w:lang w:val="fr-FR"/>
        </w:rPr>
        <w:t>11.  Il a été suggéré que toute proposition concernant les dates devrait être indépendante du moyen de transmission considéré (papier ou électronique).  Une délégation s</w:t>
      </w:r>
      <w:r w:rsidR="002F6E75" w:rsidRPr="00B7599D">
        <w:rPr>
          <w:lang w:val="fr-FR"/>
        </w:rPr>
        <w:t>’</w:t>
      </w:r>
      <w:r w:rsidRPr="00B7599D">
        <w:rPr>
          <w:lang w:val="fr-FR"/>
        </w:rPr>
        <w:t>est dite convaincue que le grand nombre de demandes internationales transmises selon la règle</w:t>
      </w:r>
      <w:r w:rsidR="00F436BF" w:rsidRPr="00B7599D">
        <w:rPr>
          <w:lang w:val="fr-FR"/>
        </w:rPr>
        <w:t> </w:t>
      </w:r>
      <w:r w:rsidRPr="00B7599D">
        <w:rPr>
          <w:lang w:val="fr-FR"/>
        </w:rPr>
        <w:t>19.4 par l</w:t>
      </w:r>
      <w:r w:rsidR="002F6E75" w:rsidRPr="00B7599D">
        <w:rPr>
          <w:lang w:val="fr-FR"/>
        </w:rPr>
        <w:t>’</w:t>
      </w:r>
      <w:r w:rsidRPr="00B7599D">
        <w:rPr>
          <w:lang w:val="fr-FR"/>
        </w:rPr>
        <w:t>office récepteur des États</w:t>
      </w:r>
      <w:r w:rsidR="00407F21" w:rsidRPr="00407F21">
        <w:rPr>
          <w:lang w:val="fr-FR"/>
        </w:rPr>
        <w:noBreakHyphen/>
      </w:r>
      <w:r w:rsidRPr="00B7599D">
        <w:rPr>
          <w:lang w:val="fr-FR"/>
        </w:rPr>
        <w:t>Unis d</w:t>
      </w:r>
      <w:r w:rsidR="002F6E75" w:rsidRPr="00B7599D">
        <w:rPr>
          <w:lang w:val="fr-FR"/>
        </w:rPr>
        <w:t>’</w:t>
      </w:r>
      <w:r w:rsidRPr="00B7599D">
        <w:rPr>
          <w:lang w:val="fr-FR"/>
        </w:rPr>
        <w:t>Amérique au Bureau international agissant en tant qu</w:t>
      </w:r>
      <w:r w:rsidR="002F6E75" w:rsidRPr="00B7599D">
        <w:rPr>
          <w:lang w:val="fr-FR"/>
        </w:rPr>
        <w:t>’</w:t>
      </w:r>
      <w:r w:rsidRPr="00B7599D">
        <w:rPr>
          <w:lang w:val="fr-FR"/>
        </w:rPr>
        <w:t>office récepteur ne reflétait généralement pas l</w:t>
      </w:r>
      <w:r w:rsidR="002F6E75" w:rsidRPr="00B7599D">
        <w:rPr>
          <w:lang w:val="fr-FR"/>
        </w:rPr>
        <w:t>’</w:t>
      </w:r>
      <w:r w:rsidRPr="00B7599D">
        <w:rPr>
          <w:lang w:val="fr-FR"/>
        </w:rPr>
        <w:t>usage de l</w:t>
      </w:r>
      <w:r w:rsidR="002F6E75" w:rsidRPr="00B7599D">
        <w:rPr>
          <w:lang w:val="fr-FR"/>
        </w:rPr>
        <w:t>’</w:t>
      </w:r>
      <w:r w:rsidRPr="00B7599D">
        <w:rPr>
          <w:lang w:val="fr-FR"/>
        </w:rPr>
        <w:t>office afin de profiter d</w:t>
      </w:r>
      <w:r w:rsidR="002F6E75" w:rsidRPr="00B7599D">
        <w:rPr>
          <w:lang w:val="fr-FR"/>
        </w:rPr>
        <w:t>’</w:t>
      </w:r>
      <w:r w:rsidRPr="00B7599D">
        <w:rPr>
          <w:lang w:val="fr-FR"/>
        </w:rPr>
        <w:t>un fuseau horaire plus avantageux.  Dans tous les cas, ainsi que l</w:t>
      </w:r>
      <w:r w:rsidR="002F6E75" w:rsidRPr="00B7599D">
        <w:rPr>
          <w:lang w:val="fr-FR"/>
        </w:rPr>
        <w:t>’</w:t>
      </w:r>
      <w:r w:rsidRPr="00B7599D">
        <w:rPr>
          <w:lang w:val="fr-FR"/>
        </w:rPr>
        <w:t>indiquait le document de travail, il était souhaitable d</w:t>
      </w:r>
      <w:r w:rsidR="002F6E75" w:rsidRPr="00B7599D">
        <w:rPr>
          <w:lang w:val="fr-FR"/>
        </w:rPr>
        <w:t>’</w:t>
      </w:r>
      <w:r w:rsidRPr="00B7599D">
        <w:rPr>
          <w:lang w:val="fr-FR"/>
        </w:rPr>
        <w:t>encourager les déposants à déposer les demandes internationales et à soumettre les autres documents sans attendre le dernier moment.</w:t>
      </w:r>
    </w:p>
    <w:p w:rsidR="005F6828" w:rsidRPr="00581D24" w:rsidRDefault="00E11749" w:rsidP="00581D24">
      <w:pPr>
        <w:pStyle w:val="ONUMFS"/>
        <w:rPr>
          <w:lang w:val="fr-FR"/>
        </w:rPr>
      </w:pPr>
      <w:r w:rsidRPr="00B7599D">
        <w:rPr>
          <w:lang w:val="fr-FR"/>
        </w:rPr>
        <w:t>Un représentant des utilisateurs a indiqué que certains utilisateurs comprenaient l</w:t>
      </w:r>
      <w:r w:rsidR="002F6E75" w:rsidRPr="00B7599D">
        <w:rPr>
          <w:lang w:val="fr-FR"/>
        </w:rPr>
        <w:t>’</w:t>
      </w:r>
      <w:r w:rsidRPr="00B7599D">
        <w:rPr>
          <w:lang w:val="fr-FR"/>
        </w:rPr>
        <w:t>intérêt de l</w:t>
      </w:r>
      <w:r w:rsidR="002F6E75" w:rsidRPr="00B7599D">
        <w:rPr>
          <w:lang w:val="fr-FR"/>
        </w:rPr>
        <w:t>’</w:t>
      </w:r>
      <w:r w:rsidRPr="00B7599D">
        <w:rPr>
          <w:lang w:val="fr-FR"/>
        </w:rPr>
        <w:t>option qui prévoyait qu</w:t>
      </w:r>
      <w:r w:rsidR="002F6E75" w:rsidRPr="00B7599D">
        <w:rPr>
          <w:lang w:val="fr-FR"/>
        </w:rPr>
        <w:t>’</w:t>
      </w:r>
      <w:r w:rsidRPr="00B7599D">
        <w:rPr>
          <w:lang w:val="fr-FR"/>
        </w:rPr>
        <w:t>un autre fuseau horaire soit utilisé spécialement par le Bureau international.  Un autre représentant a fait observer qu</w:t>
      </w:r>
      <w:r w:rsidR="002F6E75" w:rsidRPr="00B7599D">
        <w:rPr>
          <w:lang w:val="fr-FR"/>
        </w:rPr>
        <w:t>’</w:t>
      </w:r>
      <w:r w:rsidRPr="00B7599D">
        <w:rPr>
          <w:lang w:val="fr-FR"/>
        </w:rPr>
        <w:t>une proposition ne devait pas compromettre les arrangements existants, selon lesquels des déposants d</w:t>
      </w:r>
      <w:r w:rsidR="002F6E75" w:rsidRPr="00B7599D">
        <w:rPr>
          <w:lang w:val="fr-FR"/>
        </w:rPr>
        <w:t>’</w:t>
      </w:r>
      <w:r w:rsidRPr="00B7599D">
        <w:rPr>
          <w:lang w:val="fr-FR"/>
        </w:rPr>
        <w:t>États situés à l</w:t>
      </w:r>
      <w:r w:rsidR="002F6E75" w:rsidRPr="00B7599D">
        <w:rPr>
          <w:lang w:val="fr-FR"/>
        </w:rPr>
        <w:t>’</w:t>
      </w:r>
      <w:r w:rsidRPr="00B7599D">
        <w:rPr>
          <w:lang w:val="fr-FR"/>
        </w:rPr>
        <w:t xml:space="preserve">ouest </w:t>
      </w:r>
      <w:r w:rsidRPr="00581D24">
        <w:rPr>
          <w:lang w:val="fr-FR"/>
        </w:rPr>
        <w:t>des États</w:t>
      </w:r>
      <w:r w:rsidR="00407F21" w:rsidRPr="00581D24">
        <w:rPr>
          <w:lang w:val="fr-FR"/>
        </w:rPr>
        <w:noBreakHyphen/>
      </w:r>
      <w:r w:rsidRPr="00581D24">
        <w:rPr>
          <w:lang w:val="fr-FR"/>
        </w:rPr>
        <w:t>Unis d</w:t>
      </w:r>
      <w:r w:rsidR="002F6E75" w:rsidRPr="00581D24">
        <w:rPr>
          <w:lang w:val="fr-FR"/>
        </w:rPr>
        <w:t>’</w:t>
      </w:r>
      <w:r w:rsidRPr="00581D24">
        <w:rPr>
          <w:lang w:val="fr-FR"/>
        </w:rPr>
        <w:t>Amérique pouvaient garantir des dates de dépôt après minuit dans le fuseau horaire du siège de l</w:t>
      </w:r>
      <w:r w:rsidR="002F6E75" w:rsidRPr="00581D24">
        <w:rPr>
          <w:lang w:val="fr-FR"/>
        </w:rPr>
        <w:t>’</w:t>
      </w:r>
      <w:r w:rsidRPr="00581D24">
        <w:rPr>
          <w:lang w:val="fr-FR"/>
        </w:rPr>
        <w:t>Office des brevets et des marques des États</w:t>
      </w:r>
      <w:r w:rsidR="00407F21" w:rsidRPr="00581D24">
        <w:rPr>
          <w:lang w:val="fr-FR"/>
        </w:rPr>
        <w:noBreakHyphen/>
      </w:r>
      <w:r w:rsidRPr="00581D24">
        <w:rPr>
          <w:lang w:val="fr-FR"/>
        </w:rPr>
        <w:t>Unis d</w:t>
      </w:r>
      <w:r w:rsidR="002F6E75" w:rsidRPr="00581D24">
        <w:rPr>
          <w:lang w:val="fr-FR"/>
        </w:rPr>
        <w:t>’</w:t>
      </w:r>
      <w:r w:rsidRPr="00581D24">
        <w:rPr>
          <w:lang w:val="fr-FR"/>
        </w:rPr>
        <w:t>Amérique en transmettant des documents sur papier par courrier exprès.</w:t>
      </w:r>
    </w:p>
    <w:p w:rsidR="005F6828" w:rsidRPr="00B7599D" w:rsidRDefault="00E11749" w:rsidP="00E11749">
      <w:pPr>
        <w:pStyle w:val="ONUMFS"/>
        <w:ind w:left="567"/>
        <w:rPr>
          <w:lang w:val="fr-FR"/>
        </w:rPr>
      </w:pPr>
      <w:r w:rsidRPr="00B7599D">
        <w:rPr>
          <w:lang w:val="fr-FR"/>
        </w:rPr>
        <w:t>Le groupe de travail a noté que les propositions exposées dans le document PCT/WG/7/25 n</w:t>
      </w:r>
      <w:r w:rsidR="002F6E75" w:rsidRPr="00B7599D">
        <w:rPr>
          <w:lang w:val="fr-FR"/>
        </w:rPr>
        <w:t>’</w:t>
      </w:r>
      <w:r w:rsidRPr="00B7599D">
        <w:rPr>
          <w:lang w:val="fr-FR"/>
        </w:rPr>
        <w:t>avaient reçu aucun appui.</w:t>
      </w:r>
    </w:p>
    <w:p w:rsidR="002F6E75" w:rsidRPr="00B7599D" w:rsidRDefault="00E11749" w:rsidP="00D651C2">
      <w:pPr>
        <w:pStyle w:val="Heading1"/>
        <w:keepLines/>
        <w:rPr>
          <w:lang w:val="fr-FR"/>
        </w:rPr>
      </w:pPr>
      <w:r w:rsidRPr="00B7599D">
        <w:rPr>
          <w:lang w:val="fr-FR"/>
        </w:rPr>
        <w:lastRenderedPageBreak/>
        <w:t>Point</w:t>
      </w:r>
      <w:r w:rsidR="00F436BF" w:rsidRPr="00B7599D">
        <w:rPr>
          <w:lang w:val="fr-FR"/>
        </w:rPr>
        <w:t> </w:t>
      </w:r>
      <w:r w:rsidRPr="00B7599D">
        <w:rPr>
          <w:lang w:val="fr-FR"/>
        </w:rPr>
        <w:t>21 de l</w:t>
      </w:r>
      <w:r w:rsidR="002F6E75" w:rsidRPr="00B7599D">
        <w:rPr>
          <w:lang w:val="fr-FR"/>
        </w:rPr>
        <w:t>’</w:t>
      </w:r>
      <w:r w:rsidRPr="00B7599D">
        <w:rPr>
          <w:lang w:val="fr-FR"/>
        </w:rPr>
        <w:t>ordre du jour</w:t>
      </w:r>
      <w:r w:rsidR="00F436BF" w:rsidRPr="00B7599D">
        <w:rPr>
          <w:lang w:val="fr-FR"/>
        </w:rPr>
        <w:t> </w:t>
      </w:r>
      <w:r w:rsidRPr="00B7599D">
        <w:rPr>
          <w:lang w:val="fr-FR"/>
        </w:rPr>
        <w:t>: norme relative au listage des séquences selon</w:t>
      </w:r>
      <w:r w:rsidR="002F6E75" w:rsidRPr="00B7599D">
        <w:rPr>
          <w:lang w:val="fr-FR"/>
        </w:rPr>
        <w:t xml:space="preserve"> le PCT</w:t>
      </w:r>
    </w:p>
    <w:p w:rsidR="005F6828" w:rsidRPr="00B7599D" w:rsidRDefault="00E11749" w:rsidP="00D651C2">
      <w:pPr>
        <w:pStyle w:val="ONUMFS"/>
        <w:keepNext/>
        <w:keepLines/>
        <w:rPr>
          <w:lang w:val="fr-FR"/>
        </w:rPr>
      </w:pPr>
      <w:r w:rsidRPr="00B7599D">
        <w:rPr>
          <w:lang w:val="fr-FR"/>
        </w:rPr>
        <w:t>Les délibérations ont eu lieu sur la base du document PCT/WG/7/9.</w:t>
      </w:r>
    </w:p>
    <w:p w:rsidR="005F6828" w:rsidRPr="00B7599D" w:rsidRDefault="00E11749" w:rsidP="00E11749">
      <w:pPr>
        <w:pStyle w:val="ONUMFS"/>
        <w:rPr>
          <w:lang w:val="fr-FR"/>
        </w:rPr>
      </w:pPr>
      <w:r w:rsidRPr="00B7599D">
        <w:rPr>
          <w:lang w:val="fr-FR"/>
        </w:rPr>
        <w:t>L</w:t>
      </w:r>
      <w:r w:rsidR="002F6E75" w:rsidRPr="00B7599D">
        <w:rPr>
          <w:lang w:val="fr-FR"/>
        </w:rPr>
        <w:t>’</w:t>
      </w:r>
      <w:r w:rsidRPr="00B7599D">
        <w:rPr>
          <w:lang w:val="fr-FR"/>
        </w:rPr>
        <w:t>Office européen des brevets, agissant en qualité de responsable de l</w:t>
      </w:r>
      <w:r w:rsidR="002F6E75" w:rsidRPr="00B7599D">
        <w:rPr>
          <w:lang w:val="fr-FR"/>
        </w:rPr>
        <w:t>’</w:t>
      </w:r>
      <w:r w:rsidRPr="00B7599D">
        <w:rPr>
          <w:lang w:val="fr-FR"/>
        </w:rPr>
        <w:t>équipe d</w:t>
      </w:r>
      <w:r w:rsidR="002F6E75" w:rsidRPr="00B7599D">
        <w:rPr>
          <w:lang w:val="fr-FR"/>
        </w:rPr>
        <w:t>’</w:t>
      </w:r>
      <w:r w:rsidRPr="00B7599D">
        <w:rPr>
          <w:lang w:val="fr-FR"/>
        </w:rPr>
        <w:t>experts concernée, a indiqué que le projet de norme</w:t>
      </w:r>
      <w:r w:rsidR="00F436BF" w:rsidRPr="00B7599D">
        <w:rPr>
          <w:lang w:val="fr-FR"/>
        </w:rPr>
        <w:t> </w:t>
      </w:r>
      <w:r w:rsidRPr="00B7599D">
        <w:rPr>
          <w:lang w:val="fr-FR"/>
        </w:rPr>
        <w:t>ST.26 de l</w:t>
      </w:r>
      <w:r w:rsidR="002F6E75" w:rsidRPr="00B7599D">
        <w:rPr>
          <w:lang w:val="fr-FR"/>
        </w:rPr>
        <w:t>’</w:t>
      </w:r>
      <w:r w:rsidRPr="00B7599D">
        <w:rPr>
          <w:lang w:val="fr-FR"/>
        </w:rPr>
        <w:t>OMPI avait été officieusement accepté à la récente session du Comité des normes de l</w:t>
      </w:r>
      <w:r w:rsidR="002F6E75" w:rsidRPr="00B7599D">
        <w:rPr>
          <w:lang w:val="fr-FR"/>
        </w:rPr>
        <w:t>’</w:t>
      </w:r>
      <w:r w:rsidRPr="00B7599D">
        <w:rPr>
          <w:lang w:val="fr-FR"/>
        </w:rPr>
        <w:t>OMPI, mais qu</w:t>
      </w:r>
      <w:r w:rsidR="002F6E75" w:rsidRPr="00B7599D">
        <w:rPr>
          <w:lang w:val="fr-FR"/>
        </w:rPr>
        <w:t>’</w:t>
      </w:r>
      <w:r w:rsidRPr="00B7599D">
        <w:rPr>
          <w:lang w:val="fr-FR"/>
        </w:rPr>
        <w:t>aucune décision n</w:t>
      </w:r>
      <w:r w:rsidR="002F6E75" w:rsidRPr="00B7599D">
        <w:rPr>
          <w:lang w:val="fr-FR"/>
        </w:rPr>
        <w:t>’</w:t>
      </w:r>
      <w:r w:rsidRPr="00B7599D">
        <w:rPr>
          <w:lang w:val="fr-FR"/>
        </w:rPr>
        <w:t>avait été prise car l</w:t>
      </w:r>
      <w:r w:rsidR="002F6E75" w:rsidRPr="00B7599D">
        <w:rPr>
          <w:lang w:val="fr-FR"/>
        </w:rPr>
        <w:t>’</w:t>
      </w:r>
      <w:r w:rsidRPr="00B7599D">
        <w:rPr>
          <w:lang w:val="fr-FR"/>
        </w:rPr>
        <w:t>ordre du jour de la session n</w:t>
      </w:r>
      <w:r w:rsidR="002F6E75" w:rsidRPr="00B7599D">
        <w:rPr>
          <w:lang w:val="fr-FR"/>
        </w:rPr>
        <w:t>’</w:t>
      </w:r>
      <w:r w:rsidRPr="00B7599D">
        <w:rPr>
          <w:lang w:val="fr-FR"/>
        </w:rPr>
        <w:t>avait pas été adopté.  Il a été souhaité que l</w:t>
      </w:r>
      <w:r w:rsidR="002F6E75" w:rsidRPr="00B7599D">
        <w:rPr>
          <w:lang w:val="fr-FR"/>
        </w:rPr>
        <w:t>’</w:t>
      </w:r>
      <w:r w:rsidRPr="00B7599D">
        <w:rPr>
          <w:lang w:val="fr-FR"/>
        </w:rPr>
        <w:t>accord soit prochainement officialisé.  L</w:t>
      </w:r>
      <w:r w:rsidR="002F6E75" w:rsidRPr="00B7599D">
        <w:rPr>
          <w:lang w:val="fr-FR"/>
        </w:rPr>
        <w:t>’</w:t>
      </w:r>
      <w:r w:rsidRPr="00B7599D">
        <w:rPr>
          <w:lang w:val="fr-FR"/>
        </w:rPr>
        <w:t>équipe d</w:t>
      </w:r>
      <w:r w:rsidR="002F6E75" w:rsidRPr="00B7599D">
        <w:rPr>
          <w:lang w:val="fr-FR"/>
        </w:rPr>
        <w:t>’</w:t>
      </w:r>
      <w:r w:rsidRPr="00B7599D">
        <w:rPr>
          <w:lang w:val="fr-FR"/>
        </w:rPr>
        <w:t>experts allait à présent effectuer une évaluation technique des exigences en ce qui concerne des dispositions transitoires avant la fin de l</w:t>
      </w:r>
      <w:r w:rsidR="002F6E75" w:rsidRPr="00B7599D">
        <w:rPr>
          <w:lang w:val="fr-FR"/>
        </w:rPr>
        <w:t>’</w:t>
      </w:r>
      <w:r w:rsidRPr="00B7599D">
        <w:rPr>
          <w:lang w:val="fr-FR"/>
        </w:rPr>
        <w:t>année, en vue de présenter un rapport à la session de</w:t>
      </w:r>
      <w:r w:rsidR="00F436BF" w:rsidRPr="00B7599D">
        <w:rPr>
          <w:lang w:val="fr-FR"/>
        </w:rPr>
        <w:t> </w:t>
      </w:r>
      <w:r w:rsidRPr="00B7599D">
        <w:rPr>
          <w:lang w:val="fr-FR"/>
        </w:rPr>
        <w:t>2015 du comité.</w:t>
      </w:r>
    </w:p>
    <w:p w:rsidR="005F6828" w:rsidRPr="00B7599D" w:rsidRDefault="00E11749" w:rsidP="00E11749">
      <w:pPr>
        <w:pStyle w:val="ONUMFS"/>
        <w:ind w:left="567"/>
        <w:rPr>
          <w:lang w:val="fr-FR"/>
        </w:rPr>
      </w:pPr>
      <w:r w:rsidRPr="00B7599D">
        <w:rPr>
          <w:lang w:val="fr-FR"/>
        </w:rPr>
        <w:t>Le groupe de travail a pris note du contenu du document PCT/WG/7/9.</w:t>
      </w:r>
    </w:p>
    <w:p w:rsidR="002F6E75" w:rsidRPr="00B7599D" w:rsidRDefault="00E11749" w:rsidP="00E11749">
      <w:pPr>
        <w:pStyle w:val="Heading1"/>
        <w:rPr>
          <w:lang w:val="fr-FR"/>
        </w:rPr>
      </w:pPr>
      <w:r w:rsidRPr="00B7599D">
        <w:rPr>
          <w:lang w:val="fr-FR"/>
        </w:rPr>
        <w:t>Point</w:t>
      </w:r>
      <w:r w:rsidR="00F436BF" w:rsidRPr="00B7599D">
        <w:rPr>
          <w:lang w:val="fr-FR"/>
        </w:rPr>
        <w:t> </w:t>
      </w:r>
      <w:r w:rsidRPr="00B7599D">
        <w:rPr>
          <w:lang w:val="fr-FR"/>
        </w:rPr>
        <w:t>22 de l</w:t>
      </w:r>
      <w:r w:rsidR="002F6E75" w:rsidRPr="00B7599D">
        <w:rPr>
          <w:lang w:val="fr-FR"/>
        </w:rPr>
        <w:t>’</w:t>
      </w:r>
      <w:r w:rsidRPr="00B7599D">
        <w:rPr>
          <w:lang w:val="fr-FR"/>
        </w:rPr>
        <w:t>ordre du jour</w:t>
      </w:r>
      <w:r w:rsidR="00F436BF" w:rsidRPr="00B7599D">
        <w:rPr>
          <w:lang w:val="fr-FR"/>
        </w:rPr>
        <w:t> </w:t>
      </w:r>
      <w:r w:rsidRPr="00B7599D">
        <w:rPr>
          <w:lang w:val="fr-FR"/>
        </w:rPr>
        <w:t>: révision de la norme</w:t>
      </w:r>
      <w:r w:rsidR="00F436BF" w:rsidRPr="00B7599D">
        <w:rPr>
          <w:lang w:val="fr-FR"/>
        </w:rPr>
        <w:t> </w:t>
      </w:r>
      <w:r w:rsidRPr="00B7599D">
        <w:rPr>
          <w:lang w:val="fr-FR"/>
        </w:rPr>
        <w:t>ST.14 de l</w:t>
      </w:r>
      <w:r w:rsidR="002F6E75" w:rsidRPr="00B7599D">
        <w:rPr>
          <w:lang w:val="fr-FR"/>
        </w:rPr>
        <w:t>’</w:t>
      </w:r>
      <w:r w:rsidRPr="00B7599D">
        <w:rPr>
          <w:lang w:val="fr-FR"/>
        </w:rPr>
        <w:t>OMPI</w:t>
      </w:r>
    </w:p>
    <w:p w:rsidR="005F6828" w:rsidRPr="00B7599D" w:rsidRDefault="00E11749" w:rsidP="00E11749">
      <w:pPr>
        <w:pStyle w:val="ONUMFS"/>
        <w:rPr>
          <w:lang w:val="fr-FR"/>
        </w:rPr>
      </w:pPr>
      <w:r w:rsidRPr="00B7599D">
        <w:rPr>
          <w:lang w:val="fr-FR"/>
        </w:rPr>
        <w:t>Les délibérations ont eu lieu sur la base du document PCT/WG/7/5.</w:t>
      </w:r>
    </w:p>
    <w:p w:rsidR="005F6828" w:rsidRPr="00B7599D" w:rsidRDefault="00E11749" w:rsidP="00E11749">
      <w:pPr>
        <w:pStyle w:val="ONUMFS"/>
        <w:rPr>
          <w:lang w:val="fr-FR"/>
        </w:rPr>
      </w:pPr>
      <w:r w:rsidRPr="00B7599D">
        <w:rPr>
          <w:lang w:val="fr-FR"/>
        </w:rPr>
        <w:t>Une délégation a réitéré son opposition à l</w:t>
      </w:r>
      <w:r w:rsidR="002F6E75" w:rsidRPr="00B7599D">
        <w:rPr>
          <w:lang w:val="fr-FR"/>
        </w:rPr>
        <w:t>’</w:t>
      </w:r>
      <w:r w:rsidRPr="00B7599D">
        <w:rPr>
          <w:lang w:val="fr-FR"/>
        </w:rPr>
        <w:t>abolition de la catégorie</w:t>
      </w:r>
      <w:r w:rsidR="004B6F33" w:rsidRPr="00B7599D">
        <w:rPr>
          <w:lang w:val="fr-FR"/>
        </w:rPr>
        <w:t> </w:t>
      </w:r>
      <w:r w:rsidRPr="00B7599D">
        <w:rPr>
          <w:lang w:val="fr-FR"/>
        </w:rPr>
        <w:t>“X”, précisant que les avantages énumérés dans cette proposition ne seraient prochainement plus applicables et que seuls les inconvénients demeureraient.  Une autre délégation a noté l</w:t>
      </w:r>
      <w:r w:rsidR="002F6E75" w:rsidRPr="00B7599D">
        <w:rPr>
          <w:lang w:val="fr-FR"/>
        </w:rPr>
        <w:t>’</w:t>
      </w:r>
      <w:r w:rsidRPr="00B7599D">
        <w:rPr>
          <w:lang w:val="fr-FR"/>
        </w:rPr>
        <w:t>absence d</w:t>
      </w:r>
      <w:r w:rsidR="002F6E75" w:rsidRPr="00B7599D">
        <w:rPr>
          <w:lang w:val="fr-FR"/>
        </w:rPr>
        <w:t>’</w:t>
      </w:r>
      <w:r w:rsidRPr="00B7599D">
        <w:rPr>
          <w:lang w:val="fr-FR"/>
        </w:rPr>
        <w:t>un consensus sur cette question, mais a répété qu</w:t>
      </w:r>
      <w:r w:rsidR="002F6E75" w:rsidRPr="00B7599D">
        <w:rPr>
          <w:lang w:val="fr-FR"/>
        </w:rPr>
        <w:t>’</w:t>
      </w:r>
      <w:r w:rsidRPr="00B7599D">
        <w:rPr>
          <w:lang w:val="fr-FR"/>
        </w:rPr>
        <w:t>elle p</w:t>
      </w:r>
      <w:r w:rsidR="004B6F33" w:rsidRPr="00B7599D">
        <w:rPr>
          <w:lang w:val="fr-FR"/>
        </w:rPr>
        <w:t>référait que, si les catégories </w:t>
      </w:r>
      <w:r w:rsidRPr="00B7599D">
        <w:rPr>
          <w:lang w:val="fr-FR"/>
        </w:rPr>
        <w:t>“N” et “I”</w:t>
      </w:r>
      <w:r w:rsidR="004B6F33" w:rsidRPr="00B7599D">
        <w:rPr>
          <w:lang w:val="fr-FR"/>
        </w:rPr>
        <w:t xml:space="preserve"> étaient adoptées, la catégorie </w:t>
      </w:r>
      <w:r w:rsidRPr="00B7599D">
        <w:rPr>
          <w:lang w:val="fr-FR"/>
        </w:rPr>
        <w:t>“X” soit éliminée après une brève période transitoire.</w:t>
      </w:r>
    </w:p>
    <w:p w:rsidR="005F6828" w:rsidRPr="00B7599D" w:rsidRDefault="00E11749" w:rsidP="00E11749">
      <w:pPr>
        <w:pStyle w:val="ONUMFS"/>
        <w:ind w:left="567"/>
        <w:rPr>
          <w:lang w:val="fr-FR"/>
        </w:rPr>
      </w:pPr>
      <w:r w:rsidRPr="00B7599D">
        <w:rPr>
          <w:lang w:val="fr-FR"/>
        </w:rPr>
        <w:t>Le groupe de travail a pris note du contenu du document PCT/WG/7/5.</w:t>
      </w:r>
    </w:p>
    <w:p w:rsidR="005F6828" w:rsidRPr="00B7599D" w:rsidRDefault="00E11749" w:rsidP="00E11749">
      <w:pPr>
        <w:pStyle w:val="Heading1"/>
        <w:rPr>
          <w:lang w:val="fr-FR"/>
        </w:rPr>
      </w:pPr>
      <w:r w:rsidRPr="00B7599D">
        <w:rPr>
          <w:lang w:val="fr-FR"/>
        </w:rPr>
        <w:t>Point</w:t>
      </w:r>
      <w:r w:rsidR="00F436BF" w:rsidRPr="00B7599D">
        <w:rPr>
          <w:lang w:val="fr-FR"/>
        </w:rPr>
        <w:t> </w:t>
      </w:r>
      <w:r w:rsidRPr="00B7599D">
        <w:rPr>
          <w:lang w:val="fr-FR"/>
        </w:rPr>
        <w:t>23 de l</w:t>
      </w:r>
      <w:r w:rsidR="002F6E75" w:rsidRPr="00B7599D">
        <w:rPr>
          <w:lang w:val="fr-FR"/>
        </w:rPr>
        <w:t>’</w:t>
      </w:r>
      <w:r w:rsidRPr="00B7599D">
        <w:rPr>
          <w:lang w:val="fr-FR"/>
        </w:rPr>
        <w:t>ordre du jour</w:t>
      </w:r>
      <w:r w:rsidR="00F436BF" w:rsidRPr="00B7599D">
        <w:rPr>
          <w:lang w:val="fr-FR"/>
        </w:rPr>
        <w:t> </w:t>
      </w:r>
      <w:r w:rsidRPr="00B7599D">
        <w:rPr>
          <w:lang w:val="fr-FR"/>
        </w:rPr>
        <w:t>: dessins en couleur dans les demandes internationales</w:t>
      </w:r>
    </w:p>
    <w:p w:rsidR="005F6828" w:rsidRPr="00B7599D" w:rsidRDefault="00E11749" w:rsidP="00E11749">
      <w:pPr>
        <w:pStyle w:val="ONUMFS"/>
        <w:rPr>
          <w:lang w:val="fr-FR"/>
        </w:rPr>
      </w:pPr>
      <w:r w:rsidRPr="00B7599D">
        <w:rPr>
          <w:lang w:val="fr-FR"/>
        </w:rPr>
        <w:t>Les délibérations ont eu lieu sur la base du document PCT/WG/7/10.</w:t>
      </w:r>
    </w:p>
    <w:p w:rsidR="005F6828" w:rsidRPr="00B7599D" w:rsidRDefault="00E11749" w:rsidP="00E11749">
      <w:pPr>
        <w:pStyle w:val="ONUMFS"/>
        <w:rPr>
          <w:lang w:val="fr-FR"/>
        </w:rPr>
      </w:pPr>
      <w:r w:rsidRPr="00B7599D">
        <w:rPr>
          <w:lang w:val="fr-FR"/>
        </w:rPr>
        <w:t>Toutes les délégations qui se sont exprimées ont reconnu qu</w:t>
      </w:r>
      <w:r w:rsidR="002F6E75" w:rsidRPr="00B7599D">
        <w:rPr>
          <w:lang w:val="fr-FR"/>
        </w:rPr>
        <w:t>’</w:t>
      </w:r>
      <w:r w:rsidRPr="00B7599D">
        <w:rPr>
          <w:lang w:val="fr-FR"/>
        </w:rPr>
        <w:t>il était important de permettre les dessins en couleur dans les demandes internationales.  Il a été observé que le calendrier des modifications devrait tenir compte de la nécessité de garantir que les dessins en couleur puissent être inclus dans les bases de données pour la recherche ainsi que dans les systèmes de traitement des demandes internationales à proprement parler.</w:t>
      </w:r>
    </w:p>
    <w:p w:rsidR="005F6828" w:rsidRPr="00B7599D" w:rsidRDefault="00E11749" w:rsidP="00E11749">
      <w:pPr>
        <w:pStyle w:val="ONUMFS"/>
        <w:rPr>
          <w:lang w:val="fr-FR"/>
        </w:rPr>
      </w:pPr>
      <w:r w:rsidRPr="00B7599D">
        <w:rPr>
          <w:lang w:val="fr-FR"/>
        </w:rPr>
        <w:t>En réponse aux préoccupations selon lesquelles cette méthode pourrait créer la confusion, du fait que la règle</w:t>
      </w:r>
      <w:r w:rsidR="00F436BF" w:rsidRPr="00B7599D">
        <w:rPr>
          <w:lang w:val="fr-FR"/>
        </w:rPr>
        <w:t> </w:t>
      </w:r>
      <w:r w:rsidRPr="00B7599D">
        <w:rPr>
          <w:lang w:val="fr-FR"/>
        </w:rPr>
        <w:t>11.13 continuerait d</w:t>
      </w:r>
      <w:r w:rsidR="002F6E75" w:rsidRPr="00B7599D">
        <w:rPr>
          <w:lang w:val="fr-FR"/>
        </w:rPr>
        <w:t>’</w:t>
      </w:r>
      <w:r w:rsidRPr="00B7599D">
        <w:rPr>
          <w:lang w:val="fr-FR"/>
        </w:rPr>
        <w:t>indiquer que les dessins devaient être en noir et blanc, le Bureau international a souligné que, puisqu</w:t>
      </w:r>
      <w:r w:rsidR="002F6E75" w:rsidRPr="00B7599D">
        <w:rPr>
          <w:lang w:val="fr-FR"/>
        </w:rPr>
        <w:t>’</w:t>
      </w:r>
      <w:r w:rsidRPr="00B7599D">
        <w:rPr>
          <w:lang w:val="fr-FR"/>
        </w:rPr>
        <w:t>il faudrait modifier la législation nationale de presque tous les États contractants, il ne serait pas possible de modifier cette règle pendant longtemps.  La solution proposée par ailleurs pourrait être mise en œuvre bien plus rapidement.  En outre, s</w:t>
      </w:r>
      <w:r w:rsidR="002F6E75" w:rsidRPr="00B7599D">
        <w:rPr>
          <w:lang w:val="fr-FR"/>
        </w:rPr>
        <w:t>’</w:t>
      </w:r>
      <w:r w:rsidRPr="00B7599D">
        <w:rPr>
          <w:lang w:val="fr-FR"/>
        </w:rPr>
        <w:t>il existait effectivement un risque de confusion, cette méthode ne s</w:t>
      </w:r>
      <w:r w:rsidR="002F6E75" w:rsidRPr="00B7599D">
        <w:rPr>
          <w:lang w:val="fr-FR"/>
        </w:rPr>
        <w:t>’</w:t>
      </w:r>
      <w:r w:rsidRPr="00B7599D">
        <w:rPr>
          <w:lang w:val="fr-FR"/>
        </w:rPr>
        <w:t>accompagnait d</w:t>
      </w:r>
      <w:r w:rsidR="002F6E75" w:rsidRPr="00B7599D">
        <w:rPr>
          <w:lang w:val="fr-FR"/>
        </w:rPr>
        <w:t>’</w:t>
      </w:r>
      <w:r w:rsidRPr="00B7599D">
        <w:rPr>
          <w:lang w:val="fr-FR"/>
        </w:rPr>
        <w:t>aucune incohérence dans les conditions de traitement définies dans le règlement d</w:t>
      </w:r>
      <w:r w:rsidR="002F6E75" w:rsidRPr="00B7599D">
        <w:rPr>
          <w:lang w:val="fr-FR"/>
        </w:rPr>
        <w:t>’</w:t>
      </w:r>
      <w:r w:rsidRPr="00B7599D">
        <w:rPr>
          <w:lang w:val="fr-FR"/>
        </w:rPr>
        <w:t>exécution</w:t>
      </w:r>
      <w:r w:rsidR="00F436BF" w:rsidRPr="00B7599D">
        <w:rPr>
          <w:lang w:val="fr-FR"/>
        </w:rPr>
        <w:t> </w:t>
      </w:r>
      <w:r w:rsidRPr="00B7599D">
        <w:rPr>
          <w:lang w:val="fr-FR"/>
        </w:rPr>
        <w:t>: la règle</w:t>
      </w:r>
      <w:r w:rsidR="00F436BF" w:rsidRPr="00B7599D">
        <w:rPr>
          <w:lang w:val="fr-FR"/>
        </w:rPr>
        <w:t> </w:t>
      </w:r>
      <w:r w:rsidRPr="00B7599D">
        <w:rPr>
          <w:lang w:val="fr-FR"/>
        </w:rPr>
        <w:t>11 fixait les critères les plus stricts que les offices désignés pouvaient appliquer.  Toutefois, aux fins du traitement en phase internationale, les offices récepteurs devaient, selon la règle</w:t>
      </w:r>
      <w:r w:rsidR="00F436BF" w:rsidRPr="00B7599D">
        <w:rPr>
          <w:lang w:val="fr-FR"/>
        </w:rPr>
        <w:t> </w:t>
      </w:r>
      <w:r w:rsidRPr="00B7599D">
        <w:rPr>
          <w:lang w:val="fr-FR"/>
        </w:rPr>
        <w:t>26.3, contrôler la conformité de la demande internationale aux conditions matérielles mentionnées à la règle</w:t>
      </w:r>
      <w:r w:rsidR="00F436BF" w:rsidRPr="00B7599D">
        <w:rPr>
          <w:lang w:val="fr-FR"/>
        </w:rPr>
        <w:t> </w:t>
      </w:r>
      <w:r w:rsidRPr="00B7599D">
        <w:rPr>
          <w:lang w:val="fr-FR"/>
        </w:rPr>
        <w:t>11 seulement dans la mesure où ces conditions doivent être remplies aux fins d</w:t>
      </w:r>
      <w:r w:rsidR="002F6E75" w:rsidRPr="00B7599D">
        <w:rPr>
          <w:lang w:val="fr-FR"/>
        </w:rPr>
        <w:t>’</w:t>
      </w:r>
      <w:r w:rsidRPr="00B7599D">
        <w:rPr>
          <w:lang w:val="fr-FR"/>
        </w:rPr>
        <w:t>une publication internationale raisonnablement uniforme.  Une fois la publication en couleur possible, les offices récepteurs ne devraient pas émettre d</w:t>
      </w:r>
      <w:r w:rsidR="002F6E75" w:rsidRPr="00B7599D">
        <w:rPr>
          <w:lang w:val="fr-FR"/>
        </w:rPr>
        <w:t>’</w:t>
      </w:r>
      <w:r w:rsidRPr="00B7599D">
        <w:rPr>
          <w:lang w:val="fr-FR"/>
        </w:rPr>
        <w:t>objections, bien que le soin serait laissé aux offices désignés d</w:t>
      </w:r>
      <w:r w:rsidR="002F6E75" w:rsidRPr="00B7599D">
        <w:rPr>
          <w:lang w:val="fr-FR"/>
        </w:rPr>
        <w:t>’</w:t>
      </w:r>
      <w:r w:rsidRPr="00B7599D">
        <w:rPr>
          <w:lang w:val="fr-FR"/>
        </w:rPr>
        <w:t>agir de la sorte si cela était prévu par leur législation nationale.</w:t>
      </w:r>
    </w:p>
    <w:p w:rsidR="005F6828" w:rsidRPr="00B7599D" w:rsidRDefault="00E11749" w:rsidP="00E11749">
      <w:pPr>
        <w:pStyle w:val="ONUMFS"/>
        <w:ind w:left="567"/>
        <w:rPr>
          <w:lang w:val="fr-FR"/>
        </w:rPr>
      </w:pPr>
      <w:r w:rsidRPr="00B7599D">
        <w:rPr>
          <w:lang w:val="fr-FR"/>
        </w:rPr>
        <w:t>Le groupe de travail a approuvé la ligne d</w:t>
      </w:r>
      <w:r w:rsidR="002F6E75" w:rsidRPr="00B7599D">
        <w:rPr>
          <w:lang w:val="fr-FR"/>
        </w:rPr>
        <w:t>’</w:t>
      </w:r>
      <w:r w:rsidRPr="00B7599D">
        <w:rPr>
          <w:lang w:val="fr-FR"/>
        </w:rPr>
        <w:t>action proposée dans les paragraphes</w:t>
      </w:r>
      <w:r w:rsidR="00F436BF" w:rsidRPr="00B7599D">
        <w:rPr>
          <w:lang w:val="fr-FR"/>
        </w:rPr>
        <w:t> </w:t>
      </w:r>
      <w:r w:rsidRPr="00B7599D">
        <w:rPr>
          <w:lang w:val="fr-FR"/>
        </w:rPr>
        <w:t>19 à 28 du document PCT/WG/7/10.</w:t>
      </w:r>
    </w:p>
    <w:p w:rsidR="005F6828" w:rsidRPr="00B7599D" w:rsidRDefault="00E11749" w:rsidP="00D651C2">
      <w:pPr>
        <w:pStyle w:val="Heading1"/>
        <w:keepLines/>
        <w:rPr>
          <w:lang w:val="fr-FR"/>
        </w:rPr>
      </w:pPr>
      <w:r w:rsidRPr="00B7599D">
        <w:rPr>
          <w:lang w:val="fr-FR"/>
        </w:rPr>
        <w:lastRenderedPageBreak/>
        <w:t>Point</w:t>
      </w:r>
      <w:r w:rsidR="00F436BF" w:rsidRPr="00B7599D">
        <w:rPr>
          <w:lang w:val="fr-FR"/>
        </w:rPr>
        <w:t> </w:t>
      </w:r>
      <w:r w:rsidRPr="00B7599D">
        <w:rPr>
          <w:lang w:val="fr-FR"/>
        </w:rPr>
        <w:t>24 de l</w:t>
      </w:r>
      <w:r w:rsidR="002F6E75" w:rsidRPr="00B7599D">
        <w:rPr>
          <w:lang w:val="fr-FR"/>
        </w:rPr>
        <w:t>’</w:t>
      </w:r>
      <w:r w:rsidRPr="00B7599D">
        <w:rPr>
          <w:lang w:val="fr-FR"/>
        </w:rPr>
        <w:t>ordre du jour</w:t>
      </w:r>
      <w:r w:rsidR="00F436BF" w:rsidRPr="00B7599D">
        <w:rPr>
          <w:lang w:val="fr-FR"/>
        </w:rPr>
        <w:t> </w:t>
      </w:r>
      <w:r w:rsidRPr="00B7599D">
        <w:rPr>
          <w:lang w:val="fr-FR"/>
        </w:rPr>
        <w:t>: options ou conséquences à prévoir lorsque le déposant est invité à choisir une administration compétente chargée de la recherche internationale et que celle qui a été choisie se déclare non compétente</w:t>
      </w:r>
    </w:p>
    <w:p w:rsidR="005F6828" w:rsidRPr="00B7599D" w:rsidRDefault="00E11749" w:rsidP="00E11749">
      <w:pPr>
        <w:pStyle w:val="ONUMFS"/>
        <w:rPr>
          <w:lang w:val="fr-FR"/>
        </w:rPr>
      </w:pPr>
      <w:r w:rsidRPr="00B7599D">
        <w:rPr>
          <w:lang w:val="fr-FR"/>
        </w:rPr>
        <w:t>Les délibérations ont eu lieu sur la base du document PCT/WG/7/22.</w:t>
      </w:r>
    </w:p>
    <w:p w:rsidR="005F6828" w:rsidRPr="00B7599D" w:rsidRDefault="00E11749" w:rsidP="00E11749">
      <w:pPr>
        <w:pStyle w:val="ONUMFS"/>
        <w:ind w:left="567"/>
        <w:rPr>
          <w:lang w:val="fr-FR"/>
        </w:rPr>
      </w:pPr>
      <w:r w:rsidRPr="00B7599D">
        <w:rPr>
          <w:lang w:val="fr-FR"/>
        </w:rPr>
        <w:t>Le groupe de travail a approuvé les propositions de modification des Directives à l</w:t>
      </w:r>
      <w:r w:rsidR="002F6E75" w:rsidRPr="00B7599D">
        <w:rPr>
          <w:lang w:val="fr-FR"/>
        </w:rPr>
        <w:t>’</w:t>
      </w:r>
      <w:r w:rsidRPr="00B7599D">
        <w:rPr>
          <w:lang w:val="fr-FR"/>
        </w:rPr>
        <w:t xml:space="preserve">usage des offices récepteurs </w:t>
      </w:r>
      <w:r w:rsidR="00B56A02" w:rsidRPr="00B7599D">
        <w:rPr>
          <w:lang w:val="fr-FR"/>
        </w:rPr>
        <w:t>figurant</w:t>
      </w:r>
      <w:r w:rsidRPr="00B7599D">
        <w:rPr>
          <w:lang w:val="fr-FR"/>
        </w:rPr>
        <w:t xml:space="preserve"> dans l</w:t>
      </w:r>
      <w:r w:rsidR="002F6E75" w:rsidRPr="00B7599D">
        <w:rPr>
          <w:lang w:val="fr-FR"/>
        </w:rPr>
        <w:t>’</w:t>
      </w:r>
      <w:r w:rsidRPr="00B7599D">
        <w:rPr>
          <w:lang w:val="fr-FR"/>
        </w:rPr>
        <w:t>annexe du document PCT/WG/7/22.</w:t>
      </w:r>
    </w:p>
    <w:p w:rsidR="005F6828" w:rsidRPr="00B7599D" w:rsidRDefault="00E11749" w:rsidP="00E11749">
      <w:pPr>
        <w:pStyle w:val="Heading1"/>
        <w:rPr>
          <w:lang w:val="fr-FR"/>
        </w:rPr>
      </w:pPr>
      <w:r w:rsidRPr="00B7599D">
        <w:rPr>
          <w:lang w:val="fr-FR"/>
        </w:rPr>
        <w:t>Point</w:t>
      </w:r>
      <w:r w:rsidR="00F436BF" w:rsidRPr="00B7599D">
        <w:rPr>
          <w:lang w:val="fr-FR"/>
        </w:rPr>
        <w:t> </w:t>
      </w:r>
      <w:r w:rsidRPr="00B7599D">
        <w:rPr>
          <w:lang w:val="fr-FR"/>
        </w:rPr>
        <w:t>25 de l</w:t>
      </w:r>
      <w:r w:rsidR="002F6E75" w:rsidRPr="00B7599D">
        <w:rPr>
          <w:lang w:val="fr-FR"/>
        </w:rPr>
        <w:t>’</w:t>
      </w:r>
      <w:r w:rsidRPr="00B7599D">
        <w:rPr>
          <w:lang w:val="fr-FR"/>
        </w:rPr>
        <w:t>ordre du jour</w:t>
      </w:r>
      <w:r w:rsidR="00F436BF" w:rsidRPr="00B7599D">
        <w:rPr>
          <w:lang w:val="fr-FR"/>
        </w:rPr>
        <w:t> </w:t>
      </w:r>
      <w:r w:rsidRPr="00B7599D">
        <w:rPr>
          <w:lang w:val="fr-FR"/>
        </w:rPr>
        <w:t>: traitement d</w:t>
      </w:r>
      <w:r w:rsidR="002F6E75" w:rsidRPr="00B7599D">
        <w:rPr>
          <w:lang w:val="fr-FR"/>
        </w:rPr>
        <w:t>’</w:t>
      </w:r>
      <w:r w:rsidRPr="00B7599D">
        <w:rPr>
          <w:lang w:val="fr-FR"/>
        </w:rPr>
        <w:t>un listage des séquences soumis dans une demande internationale à la date du dépôt international</w:t>
      </w:r>
    </w:p>
    <w:p w:rsidR="005F6828" w:rsidRPr="00B7599D" w:rsidRDefault="00E11749" w:rsidP="00E11749">
      <w:pPr>
        <w:pStyle w:val="ONUMFS"/>
        <w:rPr>
          <w:lang w:val="fr-FR"/>
        </w:rPr>
      </w:pPr>
      <w:r w:rsidRPr="00B7599D">
        <w:rPr>
          <w:lang w:val="fr-FR"/>
        </w:rPr>
        <w:t>Les délibérations ont eu lieu sur la base du document PCT/WG/7/23.</w:t>
      </w:r>
    </w:p>
    <w:p w:rsidR="005F6828" w:rsidRPr="00B7599D" w:rsidRDefault="00E11749" w:rsidP="00E11749">
      <w:pPr>
        <w:pStyle w:val="ONUMFS"/>
        <w:ind w:left="567"/>
        <w:rPr>
          <w:lang w:val="fr-FR"/>
        </w:rPr>
      </w:pPr>
      <w:r w:rsidRPr="00B7599D">
        <w:rPr>
          <w:lang w:val="fr-FR"/>
        </w:rPr>
        <w:t>Le groupe de travail est convenu que les objectifs visés dans les propositions figu</w:t>
      </w:r>
      <w:r w:rsidR="00581D24">
        <w:rPr>
          <w:lang w:val="fr-FR"/>
        </w:rPr>
        <w:t>rant dans le document PCT/WG/7/</w:t>
      </w:r>
      <w:r w:rsidRPr="00B7599D">
        <w:rPr>
          <w:lang w:val="fr-FR"/>
        </w:rPr>
        <w:t>23 peuvent être tout à fait atteints grâce à une modification des Directives à l</w:t>
      </w:r>
      <w:r w:rsidR="002F6E75" w:rsidRPr="00B7599D">
        <w:rPr>
          <w:lang w:val="fr-FR"/>
        </w:rPr>
        <w:t>’</w:t>
      </w:r>
      <w:r w:rsidRPr="00B7599D">
        <w:rPr>
          <w:lang w:val="fr-FR"/>
        </w:rPr>
        <w:t>usage des offices récepteurs et il a appuyé le principe visé par les propositions, sous réserve des observations formulées ci</w:t>
      </w:r>
      <w:r w:rsidR="004B6F33" w:rsidRPr="00B7599D">
        <w:rPr>
          <w:lang w:val="fr-FR"/>
        </w:rPr>
        <w:noBreakHyphen/>
      </w:r>
      <w:r w:rsidRPr="00B7599D">
        <w:rPr>
          <w:lang w:val="fr-FR"/>
        </w:rPr>
        <w:t>après.</w:t>
      </w:r>
      <w:r w:rsidR="003E50FB" w:rsidRPr="00B7599D">
        <w:rPr>
          <w:lang w:val="fr-FR"/>
        </w:rPr>
        <w:t xml:space="preserve">  </w:t>
      </w:r>
      <w:r w:rsidRPr="00B7599D">
        <w:rPr>
          <w:lang w:val="fr-FR"/>
        </w:rPr>
        <w:t>Une proposition révisée pourrait faire l</w:t>
      </w:r>
      <w:r w:rsidR="002F6E75" w:rsidRPr="00B7599D">
        <w:rPr>
          <w:lang w:val="fr-FR"/>
        </w:rPr>
        <w:t>’</w:t>
      </w:r>
      <w:r w:rsidRPr="00B7599D">
        <w:rPr>
          <w:lang w:val="fr-FR"/>
        </w:rPr>
        <w:t>objet de consultations au moyen d</w:t>
      </w:r>
      <w:r w:rsidR="002F6E75" w:rsidRPr="00B7599D">
        <w:rPr>
          <w:lang w:val="fr-FR"/>
        </w:rPr>
        <w:t>’</w:t>
      </w:r>
      <w:r w:rsidRPr="00B7599D">
        <w:rPr>
          <w:lang w:val="fr-FR"/>
        </w:rPr>
        <w:t>une circulaire PCT, sur la base d</w:t>
      </w:r>
      <w:r w:rsidR="002F6E75" w:rsidRPr="00B7599D">
        <w:rPr>
          <w:lang w:val="fr-FR"/>
        </w:rPr>
        <w:t>’</w:t>
      </w:r>
      <w:r w:rsidRPr="00B7599D">
        <w:rPr>
          <w:lang w:val="fr-FR"/>
        </w:rPr>
        <w:t>un projet révisé à établir par la délégation</w:t>
      </w:r>
      <w:r w:rsidR="002F6E75" w:rsidRPr="00B7599D">
        <w:rPr>
          <w:lang w:val="fr-FR"/>
        </w:rPr>
        <w:t xml:space="preserve"> des États-</w:t>
      </w:r>
      <w:r w:rsidRPr="00B7599D">
        <w:rPr>
          <w:lang w:val="fr-FR"/>
        </w:rPr>
        <w:t>Unis d</w:t>
      </w:r>
      <w:r w:rsidR="002F6E75" w:rsidRPr="00B7599D">
        <w:rPr>
          <w:lang w:val="fr-FR"/>
        </w:rPr>
        <w:t>’</w:t>
      </w:r>
      <w:r w:rsidRPr="00B7599D">
        <w:rPr>
          <w:lang w:val="fr-FR"/>
        </w:rPr>
        <w:t>Amérique.</w:t>
      </w:r>
    </w:p>
    <w:p w:rsidR="005F6828" w:rsidRPr="00B7599D" w:rsidRDefault="000A2CA6" w:rsidP="000A2CA6">
      <w:pPr>
        <w:pStyle w:val="ONUMFS"/>
        <w:rPr>
          <w:lang w:val="fr-FR"/>
        </w:rPr>
      </w:pPr>
      <w:r w:rsidRPr="00B7599D">
        <w:rPr>
          <w:lang w:val="fr-FR"/>
        </w:rPr>
        <w:t>Concernant les craintes émises selon lesquelles cette proposition pourrait être considérée comme une réintroduction des dépôts en “mode mixte”, il a été souligné que les fondements de la fourniture de listages des séquences par voie électronique conjointement avec des demandes internationales déposées sur papier avaien</w:t>
      </w:r>
      <w:r w:rsidR="002F6E75" w:rsidRPr="00B7599D">
        <w:rPr>
          <w:lang w:val="fr-FR"/>
        </w:rPr>
        <w:t>t été supprimés avec effet au 1</w:t>
      </w:r>
      <w:r w:rsidR="002F6E75" w:rsidRPr="00B7599D">
        <w:rPr>
          <w:vertAlign w:val="superscript"/>
          <w:lang w:val="fr-FR"/>
        </w:rPr>
        <w:t>er</w:t>
      </w:r>
      <w:r w:rsidR="002F6E75" w:rsidRPr="00B7599D">
        <w:rPr>
          <w:lang w:val="fr-FR"/>
        </w:rPr>
        <w:t> juillet 20</w:t>
      </w:r>
      <w:r w:rsidRPr="00B7599D">
        <w:rPr>
          <w:lang w:val="fr-FR"/>
        </w:rPr>
        <w:t>09 et il n</w:t>
      </w:r>
      <w:r w:rsidR="002F6E75" w:rsidRPr="00B7599D">
        <w:rPr>
          <w:lang w:val="fr-FR"/>
        </w:rPr>
        <w:t>’</w:t>
      </w:r>
      <w:r w:rsidRPr="00B7599D">
        <w:rPr>
          <w:lang w:val="fr-FR"/>
        </w:rPr>
        <w:t>y avait eu aucune incidence à cet égard.</w:t>
      </w:r>
    </w:p>
    <w:p w:rsidR="005F6828" w:rsidRPr="00B7599D" w:rsidRDefault="000A2CA6" w:rsidP="000A2CA6">
      <w:pPr>
        <w:pStyle w:val="ONUMFS"/>
        <w:rPr>
          <w:lang w:val="fr-FR"/>
        </w:rPr>
      </w:pPr>
      <w:r w:rsidRPr="00B7599D">
        <w:rPr>
          <w:lang w:val="fr-FR"/>
        </w:rPr>
        <w:t>Les délégations ont noté qu</w:t>
      </w:r>
      <w:r w:rsidR="002F6E75" w:rsidRPr="00B7599D">
        <w:rPr>
          <w:lang w:val="fr-FR"/>
        </w:rPr>
        <w:t>’</w:t>
      </w:r>
      <w:r w:rsidRPr="00B7599D">
        <w:rPr>
          <w:lang w:val="fr-FR"/>
        </w:rPr>
        <w:t>il serait peut</w:t>
      </w:r>
      <w:r w:rsidR="002F6E75" w:rsidRPr="00B7599D">
        <w:rPr>
          <w:lang w:val="fr-FR"/>
        </w:rPr>
        <w:t>-</w:t>
      </w:r>
      <w:r w:rsidRPr="00B7599D">
        <w:rPr>
          <w:lang w:val="fr-FR"/>
        </w:rPr>
        <w:t>être souhaitable d</w:t>
      </w:r>
      <w:r w:rsidR="002F6E75" w:rsidRPr="00B7599D">
        <w:rPr>
          <w:lang w:val="fr-FR"/>
        </w:rPr>
        <w:t>’</w:t>
      </w:r>
      <w:r w:rsidRPr="00B7599D">
        <w:rPr>
          <w:lang w:val="fr-FR"/>
        </w:rPr>
        <w:t>indiquer expressément qu</w:t>
      </w:r>
      <w:r w:rsidR="002F6E75" w:rsidRPr="00B7599D">
        <w:rPr>
          <w:lang w:val="fr-FR"/>
        </w:rPr>
        <w:t>’</w:t>
      </w:r>
      <w:r w:rsidRPr="00B7599D">
        <w:rPr>
          <w:lang w:val="fr-FR"/>
        </w:rPr>
        <w:t>il n</w:t>
      </w:r>
      <w:r w:rsidR="002F6E75" w:rsidRPr="00B7599D">
        <w:rPr>
          <w:lang w:val="fr-FR"/>
        </w:rPr>
        <w:t>’</w:t>
      </w:r>
      <w:r w:rsidRPr="00B7599D">
        <w:rPr>
          <w:lang w:val="fr-FR"/>
        </w:rPr>
        <w:t>était pas nécessaire d</w:t>
      </w:r>
      <w:r w:rsidR="002F6E75" w:rsidRPr="00B7599D">
        <w:rPr>
          <w:lang w:val="fr-FR"/>
        </w:rPr>
        <w:t>’</w:t>
      </w:r>
      <w:r w:rsidRPr="00B7599D">
        <w:rPr>
          <w:lang w:val="fr-FR"/>
        </w:rPr>
        <w:t>apporter une correction lorsqu</w:t>
      </w:r>
      <w:r w:rsidR="002F6E75" w:rsidRPr="00B7599D">
        <w:rPr>
          <w:lang w:val="fr-FR"/>
        </w:rPr>
        <w:t>’</w:t>
      </w:r>
      <w:r w:rsidRPr="00B7599D">
        <w:rPr>
          <w:lang w:val="fr-FR"/>
        </w:rPr>
        <w:t>il était clair qu</w:t>
      </w:r>
      <w:r w:rsidR="002F6E75" w:rsidRPr="00B7599D">
        <w:rPr>
          <w:lang w:val="fr-FR"/>
        </w:rPr>
        <w:t>’</w:t>
      </w:r>
      <w:r w:rsidRPr="00B7599D">
        <w:rPr>
          <w:lang w:val="fr-FR"/>
        </w:rPr>
        <w:t>aucun problème ne se posait, comme lorsqu</w:t>
      </w:r>
      <w:r w:rsidR="002F6E75" w:rsidRPr="00B7599D">
        <w:rPr>
          <w:lang w:val="fr-FR"/>
        </w:rPr>
        <w:t>’</w:t>
      </w:r>
      <w:r w:rsidRPr="00B7599D">
        <w:rPr>
          <w:lang w:val="fr-FR"/>
        </w:rPr>
        <w:t>un listage des séquences en format texte avait été fourni aux fins de la recherche internationale, en même temps qu</w:t>
      </w:r>
      <w:r w:rsidR="002F6E75" w:rsidRPr="00B7599D">
        <w:rPr>
          <w:lang w:val="fr-FR"/>
        </w:rPr>
        <w:t>’</w:t>
      </w:r>
      <w:r w:rsidRPr="00B7599D">
        <w:rPr>
          <w:lang w:val="fr-FR"/>
        </w:rPr>
        <w:t>une déclaration attestant de son caractère identique avec le listage des séquences en format PDF, et que le déposant aurait la possibilité de demander que les corrections effectuées d</w:t>
      </w:r>
      <w:r w:rsidR="002F6E75" w:rsidRPr="00B7599D">
        <w:rPr>
          <w:lang w:val="fr-FR"/>
        </w:rPr>
        <w:t>’</w:t>
      </w:r>
      <w:r w:rsidRPr="00B7599D">
        <w:rPr>
          <w:lang w:val="fr-FR"/>
        </w:rPr>
        <w:t>office par erreur soient annulées.</w:t>
      </w:r>
    </w:p>
    <w:p w:rsidR="005F6828" w:rsidRPr="00B7599D" w:rsidRDefault="000A2CA6" w:rsidP="000A2CA6">
      <w:pPr>
        <w:pStyle w:val="ONUMFS"/>
        <w:rPr>
          <w:lang w:val="fr-FR"/>
        </w:rPr>
      </w:pPr>
      <w:r w:rsidRPr="00B7599D">
        <w:rPr>
          <w:lang w:val="fr-FR"/>
        </w:rPr>
        <w:t>Une délégation a observé que si, malgré les modifications apportées aux Directives à l</w:t>
      </w:r>
      <w:r w:rsidR="002F6E75" w:rsidRPr="00B7599D">
        <w:rPr>
          <w:lang w:val="fr-FR"/>
        </w:rPr>
        <w:t>’</w:t>
      </w:r>
      <w:r w:rsidRPr="00B7599D">
        <w:rPr>
          <w:lang w:val="fr-FR"/>
        </w:rPr>
        <w:t>usage des offices récepteurs, une demande internationale entrait dans la phase nationale sans que soit effectuée une correction afin de préciser qu</w:t>
      </w:r>
      <w:r w:rsidR="002F6E75" w:rsidRPr="00B7599D">
        <w:rPr>
          <w:lang w:val="fr-FR"/>
        </w:rPr>
        <w:t>’</w:t>
      </w:r>
      <w:r w:rsidRPr="00B7599D">
        <w:rPr>
          <w:lang w:val="fr-FR"/>
        </w:rPr>
        <w:t>un listage des séquences faisait partie de la demande internationale, les conséquences relèveraient de la législation nationale.</w:t>
      </w:r>
    </w:p>
    <w:p w:rsidR="005F6828" w:rsidRPr="00B7599D" w:rsidRDefault="000A2CA6" w:rsidP="000A2CA6">
      <w:pPr>
        <w:pStyle w:val="Heading1"/>
        <w:rPr>
          <w:lang w:val="fr-FR"/>
        </w:rPr>
      </w:pPr>
      <w:r w:rsidRPr="00B7599D">
        <w:rPr>
          <w:lang w:val="fr-FR"/>
        </w:rPr>
        <w:t>Point</w:t>
      </w:r>
      <w:r w:rsidR="00F436BF" w:rsidRPr="00B7599D">
        <w:rPr>
          <w:lang w:val="fr-FR"/>
        </w:rPr>
        <w:t> </w:t>
      </w:r>
      <w:r w:rsidRPr="00B7599D">
        <w:rPr>
          <w:lang w:val="fr-FR"/>
        </w:rPr>
        <w:t>26 de l</w:t>
      </w:r>
      <w:r w:rsidR="002F6E75" w:rsidRPr="00B7599D">
        <w:rPr>
          <w:lang w:val="fr-FR"/>
        </w:rPr>
        <w:t>’</w:t>
      </w:r>
      <w:r w:rsidRPr="00B7599D">
        <w:rPr>
          <w:lang w:val="fr-FR"/>
        </w:rPr>
        <w:t>ordre du jour</w:t>
      </w:r>
      <w:r w:rsidR="00F436BF" w:rsidRPr="00B7599D">
        <w:rPr>
          <w:lang w:val="fr-FR"/>
        </w:rPr>
        <w:t> </w:t>
      </w:r>
      <w:r w:rsidRPr="00B7599D">
        <w:rPr>
          <w:lang w:val="fr-FR"/>
        </w:rPr>
        <w:t>: clarification de la procédure concernant l</w:t>
      </w:r>
      <w:r w:rsidR="002F6E75" w:rsidRPr="00B7599D">
        <w:rPr>
          <w:lang w:val="fr-FR"/>
        </w:rPr>
        <w:t>’</w:t>
      </w:r>
      <w:r w:rsidRPr="00B7599D">
        <w:rPr>
          <w:lang w:val="fr-FR"/>
        </w:rPr>
        <w:t>incorporation par renvoi de parties manquantes</w:t>
      </w:r>
    </w:p>
    <w:p w:rsidR="005F6828" w:rsidRPr="00B7599D" w:rsidRDefault="000A2CA6" w:rsidP="000A2CA6">
      <w:pPr>
        <w:pStyle w:val="ONUMFS"/>
        <w:rPr>
          <w:lang w:val="fr-FR"/>
        </w:rPr>
      </w:pPr>
      <w:r w:rsidRPr="00B7599D">
        <w:rPr>
          <w:lang w:val="fr-FR"/>
        </w:rPr>
        <w:t>Les délibérations ont eu lieu sur la base du document PCT/WG/7/19.</w:t>
      </w:r>
    </w:p>
    <w:p w:rsidR="005F6828" w:rsidRPr="00B7599D" w:rsidRDefault="000A2CA6" w:rsidP="000A2CA6">
      <w:pPr>
        <w:pStyle w:val="ONUMFS"/>
        <w:rPr>
          <w:lang w:val="fr-FR"/>
        </w:rPr>
      </w:pPr>
      <w:r w:rsidRPr="00B7599D">
        <w:rPr>
          <w:lang w:val="fr-FR"/>
        </w:rPr>
        <w:t>Les délégations qui ont pris la parole ont admis que les dispositions juridiques relatives à l</w:t>
      </w:r>
      <w:r w:rsidR="002F6E75" w:rsidRPr="00B7599D">
        <w:rPr>
          <w:lang w:val="fr-FR"/>
        </w:rPr>
        <w:t>’</w:t>
      </w:r>
      <w:r w:rsidRPr="00B7599D">
        <w:rPr>
          <w:lang w:val="fr-FR"/>
        </w:rPr>
        <w:t>incorporation par renvoi de parties manquantes devaient être clarifiées, mais des opinions divergentes ont été exprimées quant à la manière dont il conviendrait de s</w:t>
      </w:r>
      <w:r w:rsidR="002F6E75" w:rsidRPr="00B7599D">
        <w:rPr>
          <w:lang w:val="fr-FR"/>
        </w:rPr>
        <w:t>’</w:t>
      </w:r>
      <w:r w:rsidRPr="00B7599D">
        <w:rPr>
          <w:lang w:val="fr-FR"/>
        </w:rPr>
        <w:t>y prendre.  Le compromis proposé au paragraphe</w:t>
      </w:r>
      <w:r w:rsidR="00F436BF" w:rsidRPr="00B7599D">
        <w:rPr>
          <w:lang w:val="fr-FR"/>
        </w:rPr>
        <w:t> </w:t>
      </w:r>
      <w:r w:rsidRPr="00B7599D">
        <w:rPr>
          <w:lang w:val="fr-FR"/>
        </w:rPr>
        <w:t>16 du document n</w:t>
      </w:r>
      <w:r w:rsidR="002F6E75" w:rsidRPr="00B7599D">
        <w:rPr>
          <w:lang w:val="fr-FR"/>
        </w:rPr>
        <w:t>’</w:t>
      </w:r>
      <w:r w:rsidRPr="00B7599D">
        <w:rPr>
          <w:lang w:val="fr-FR"/>
        </w:rPr>
        <w:t>a toutefois guère été appuyé.  Toute clarification semble donc nécessiter des concessions significatives de la part des membres du groupe de travail.</w:t>
      </w:r>
    </w:p>
    <w:p w:rsidR="002F6E75" w:rsidRPr="00B7599D" w:rsidRDefault="000A2CA6" w:rsidP="000A2CA6">
      <w:pPr>
        <w:pStyle w:val="ONUMFS"/>
        <w:rPr>
          <w:lang w:val="fr-FR"/>
        </w:rPr>
      </w:pPr>
      <w:r w:rsidRPr="00B7599D">
        <w:rPr>
          <w:lang w:val="fr-FR"/>
        </w:rPr>
        <w:t>Concernant la question de savoir si une demande internationale pouvait revendiquer la priorité d</w:t>
      </w:r>
      <w:r w:rsidR="002F6E75" w:rsidRPr="00B7599D">
        <w:rPr>
          <w:lang w:val="fr-FR"/>
        </w:rPr>
        <w:t>’</w:t>
      </w:r>
      <w:r w:rsidRPr="00B7599D">
        <w:rPr>
          <w:lang w:val="fr-FR"/>
        </w:rPr>
        <w:t>une demande antérieure portant la même date de dépôt que la demande internationale, le groupe de travail est convenu d</w:t>
      </w:r>
      <w:r w:rsidR="002F6E75" w:rsidRPr="00B7599D">
        <w:rPr>
          <w:lang w:val="fr-FR"/>
        </w:rPr>
        <w:t>’</w:t>
      </w:r>
      <w:r w:rsidRPr="00B7599D">
        <w:rPr>
          <w:lang w:val="fr-FR"/>
        </w:rPr>
        <w:t>examiner cette question à sa prochaine session en vue de formuler sur le sujet une opinion qui serait soumise pour examen à l</w:t>
      </w:r>
      <w:r w:rsidR="002F6E75" w:rsidRPr="00B7599D">
        <w:rPr>
          <w:lang w:val="fr-FR"/>
        </w:rPr>
        <w:t>’</w:t>
      </w:r>
      <w:r w:rsidRPr="00B7599D">
        <w:rPr>
          <w:lang w:val="fr-FR"/>
        </w:rPr>
        <w:t>Assemblée de l</w:t>
      </w:r>
      <w:r w:rsidR="002F6E75" w:rsidRPr="00B7599D">
        <w:rPr>
          <w:lang w:val="fr-FR"/>
        </w:rPr>
        <w:t>’</w:t>
      </w:r>
      <w:r w:rsidRPr="00B7599D">
        <w:rPr>
          <w:lang w:val="fr-FR"/>
        </w:rPr>
        <w:t>Union de Paris, en sa qualité d</w:t>
      </w:r>
      <w:r w:rsidR="002F6E75" w:rsidRPr="00B7599D">
        <w:rPr>
          <w:lang w:val="fr-FR"/>
        </w:rPr>
        <w:t>’</w:t>
      </w:r>
      <w:r w:rsidRPr="00B7599D">
        <w:rPr>
          <w:lang w:val="fr-FR"/>
        </w:rPr>
        <w:t>organe de décision compétent.</w:t>
      </w:r>
    </w:p>
    <w:p w:rsidR="005F6828" w:rsidRPr="00B7599D" w:rsidRDefault="000A2CA6" w:rsidP="000A2CA6">
      <w:pPr>
        <w:pStyle w:val="ONUMFS"/>
        <w:ind w:left="567"/>
        <w:rPr>
          <w:lang w:val="fr-FR"/>
        </w:rPr>
      </w:pPr>
      <w:r w:rsidRPr="00B7599D">
        <w:rPr>
          <w:lang w:val="fr-FR"/>
        </w:rPr>
        <w:lastRenderedPageBreak/>
        <w:t>Le groupe de travail a demandé au Bureau international de continuer à collaborer avec les offices intéressés au sujet de l</w:t>
      </w:r>
      <w:r w:rsidR="002F6E75" w:rsidRPr="00B7599D">
        <w:rPr>
          <w:lang w:val="fr-FR"/>
        </w:rPr>
        <w:t>’</w:t>
      </w:r>
      <w:r w:rsidRPr="00B7599D">
        <w:rPr>
          <w:lang w:val="fr-FR"/>
        </w:rPr>
        <w:t>incorporation par renvoi des parties manquantes et de présenter un document sur la question à sa prochaine session.  Il a également demandé au Bureau international d</w:t>
      </w:r>
      <w:r w:rsidR="002F6E75" w:rsidRPr="00B7599D">
        <w:rPr>
          <w:lang w:val="fr-FR"/>
        </w:rPr>
        <w:t>’</w:t>
      </w:r>
      <w:r w:rsidRPr="00B7599D">
        <w:rPr>
          <w:lang w:val="fr-FR"/>
        </w:rPr>
        <w:t>établir un document de travail sur la question des revendications de priorité portant sur la même date, qui serait soumis pour examen au groupe de travail à sa prochaine session.</w:t>
      </w:r>
    </w:p>
    <w:p w:rsidR="005F6828" w:rsidRPr="00B7599D" w:rsidRDefault="000A2CA6" w:rsidP="000A2CA6">
      <w:pPr>
        <w:pStyle w:val="Heading1"/>
        <w:rPr>
          <w:lang w:val="fr-FR"/>
        </w:rPr>
      </w:pPr>
      <w:r w:rsidRPr="00B7599D">
        <w:rPr>
          <w:lang w:val="fr-FR"/>
        </w:rPr>
        <w:t>Point</w:t>
      </w:r>
      <w:r w:rsidR="00F436BF" w:rsidRPr="00B7599D">
        <w:rPr>
          <w:lang w:val="fr-FR"/>
        </w:rPr>
        <w:t> </w:t>
      </w:r>
      <w:r w:rsidRPr="00B7599D">
        <w:rPr>
          <w:lang w:val="fr-FR"/>
        </w:rPr>
        <w:t>27 de l</w:t>
      </w:r>
      <w:r w:rsidR="002F6E75" w:rsidRPr="00B7599D">
        <w:rPr>
          <w:lang w:val="fr-FR"/>
        </w:rPr>
        <w:t>’</w:t>
      </w:r>
      <w:r w:rsidRPr="00B7599D">
        <w:rPr>
          <w:lang w:val="fr-FR"/>
        </w:rPr>
        <w:t>ordre du jour</w:t>
      </w:r>
      <w:r w:rsidR="00F436BF" w:rsidRPr="00B7599D">
        <w:rPr>
          <w:lang w:val="fr-FR"/>
        </w:rPr>
        <w:t> </w:t>
      </w:r>
      <w:r w:rsidRPr="00B7599D">
        <w:rPr>
          <w:lang w:val="fr-FR"/>
        </w:rPr>
        <w:t>: droit d</w:t>
      </w:r>
      <w:r w:rsidR="002F6E75" w:rsidRPr="00B7599D">
        <w:rPr>
          <w:lang w:val="fr-FR"/>
        </w:rPr>
        <w:t>’</w:t>
      </w:r>
      <w:r w:rsidRPr="00B7599D">
        <w:rPr>
          <w:lang w:val="fr-FR"/>
        </w:rPr>
        <w:t>exercer auprès du Bureau international agissant en qualité d</w:t>
      </w:r>
      <w:r w:rsidR="002F6E75" w:rsidRPr="00B7599D">
        <w:rPr>
          <w:lang w:val="fr-FR"/>
        </w:rPr>
        <w:t>’</w:t>
      </w:r>
      <w:r w:rsidRPr="00B7599D">
        <w:rPr>
          <w:lang w:val="fr-FR"/>
        </w:rPr>
        <w:t>office récepteur</w:t>
      </w:r>
    </w:p>
    <w:p w:rsidR="005F6828" w:rsidRPr="00B7599D" w:rsidRDefault="000A2CA6" w:rsidP="000A2CA6">
      <w:pPr>
        <w:pStyle w:val="ONUMFS"/>
        <w:rPr>
          <w:lang w:val="fr-FR"/>
        </w:rPr>
      </w:pPr>
      <w:r w:rsidRPr="00B7599D">
        <w:rPr>
          <w:lang w:val="fr-FR"/>
        </w:rPr>
        <w:t>Les délibérations ont eu lieu sur la base du document PCT/WG/7/13.</w:t>
      </w:r>
    </w:p>
    <w:p w:rsidR="005F6828" w:rsidRPr="00B7599D" w:rsidRDefault="000A2CA6" w:rsidP="000A2CA6">
      <w:pPr>
        <w:pStyle w:val="ONUMFS"/>
        <w:rPr>
          <w:lang w:val="fr-FR"/>
        </w:rPr>
      </w:pPr>
      <w:r w:rsidRPr="00B7599D">
        <w:rPr>
          <w:lang w:val="fr-FR"/>
        </w:rPr>
        <w:t>Tout en comprenant parfaitement la logique sous</w:t>
      </w:r>
      <w:r w:rsidR="002F6E75" w:rsidRPr="00B7599D">
        <w:rPr>
          <w:lang w:val="fr-FR"/>
        </w:rPr>
        <w:t>-</w:t>
      </w:r>
      <w:r w:rsidRPr="00B7599D">
        <w:rPr>
          <w:lang w:val="fr-FR"/>
        </w:rPr>
        <w:t>tendant la proposition, toutes les délégations qui ont pris la parole ont exprimé leur préoccupation quant à ses effets.  Telle qu</w:t>
      </w:r>
      <w:r w:rsidR="002F6E75" w:rsidRPr="00B7599D">
        <w:rPr>
          <w:lang w:val="fr-FR"/>
        </w:rPr>
        <w:t>’</w:t>
      </w:r>
      <w:r w:rsidRPr="00B7599D">
        <w:rPr>
          <w:lang w:val="fr-FR"/>
        </w:rPr>
        <w:t xml:space="preserve">elle était présentée, la proposition visait </w:t>
      </w:r>
      <w:proofErr w:type="gramStart"/>
      <w:r w:rsidRPr="00B7599D">
        <w:rPr>
          <w:lang w:val="fr-FR"/>
        </w:rPr>
        <w:t>à permettre</w:t>
      </w:r>
      <w:proofErr w:type="gramEnd"/>
      <w:r w:rsidRPr="00B7599D">
        <w:rPr>
          <w:lang w:val="fr-FR"/>
        </w:rPr>
        <w:t xml:space="preserve"> à toute personne de représenter une autre personne, quels que soient ses compétences, sa nationalité ou son domicile.  Même si cette pratique était limitée aux spécialistes possédant les compétences requises, les délégations ont considéré qu</w:t>
      </w:r>
      <w:r w:rsidR="002F6E75" w:rsidRPr="00B7599D">
        <w:rPr>
          <w:lang w:val="fr-FR"/>
        </w:rPr>
        <w:t>’</w:t>
      </w:r>
      <w:r w:rsidRPr="00B7599D">
        <w:rPr>
          <w:lang w:val="fr-FR"/>
        </w:rPr>
        <w:t>elle supprimerait des garde</w:t>
      </w:r>
      <w:r w:rsidR="002F6E75" w:rsidRPr="00B7599D">
        <w:rPr>
          <w:lang w:val="fr-FR"/>
        </w:rPr>
        <w:t>-</w:t>
      </w:r>
      <w:r w:rsidRPr="00B7599D">
        <w:rPr>
          <w:lang w:val="fr-FR"/>
        </w:rPr>
        <w:t>fous essentiels, dans la mesure où un déposant ou un office qui ne serait pas satisfait du mandataire pourrait recourir aux procédures prévues par son office national.  De plus, un mandataire provenant d</w:t>
      </w:r>
      <w:r w:rsidR="002F6E75" w:rsidRPr="00B7599D">
        <w:rPr>
          <w:lang w:val="fr-FR"/>
        </w:rPr>
        <w:t>’</w:t>
      </w:r>
      <w:r w:rsidRPr="00B7599D">
        <w:rPr>
          <w:lang w:val="fr-FR"/>
        </w:rPr>
        <w:t>un État autre que celui du déposant pourrait ne pas être informé des exigences juridiques nationales, y</w:t>
      </w:r>
      <w:r w:rsidR="00F436BF" w:rsidRPr="00B7599D">
        <w:rPr>
          <w:lang w:val="fr-FR"/>
        </w:rPr>
        <w:t> </w:t>
      </w:r>
      <w:r w:rsidRPr="00B7599D">
        <w:rPr>
          <w:lang w:val="fr-FR"/>
        </w:rPr>
        <w:t>compris les restrictions relatives aux dépôts étrangers.</w:t>
      </w:r>
    </w:p>
    <w:p w:rsidR="005F6828" w:rsidRPr="00B7599D" w:rsidRDefault="000A2CA6" w:rsidP="000A2CA6">
      <w:pPr>
        <w:pStyle w:val="ONUMFS"/>
        <w:rPr>
          <w:lang w:val="fr-FR"/>
        </w:rPr>
      </w:pPr>
      <w:r w:rsidRPr="00B7599D">
        <w:rPr>
          <w:lang w:val="fr-FR"/>
        </w:rPr>
        <w:t>Une délégation a suggéré que la solution la plus appropriée au problème consisterait à sensibiliser les utilisateurs, mais qu</w:t>
      </w:r>
      <w:r w:rsidR="002F6E75" w:rsidRPr="00B7599D">
        <w:rPr>
          <w:lang w:val="fr-FR"/>
        </w:rPr>
        <w:t>’</w:t>
      </w:r>
      <w:r w:rsidRPr="00B7599D">
        <w:rPr>
          <w:lang w:val="fr-FR"/>
        </w:rPr>
        <w:t>il serait peut</w:t>
      </w:r>
      <w:r w:rsidR="002F6E75" w:rsidRPr="00B7599D">
        <w:rPr>
          <w:lang w:val="fr-FR"/>
        </w:rPr>
        <w:t>-</w:t>
      </w:r>
      <w:r w:rsidRPr="00B7599D">
        <w:rPr>
          <w:lang w:val="fr-FR"/>
        </w:rPr>
        <w:t>être judicieux d</w:t>
      </w:r>
      <w:r w:rsidR="002F6E75" w:rsidRPr="00B7599D">
        <w:rPr>
          <w:lang w:val="fr-FR"/>
        </w:rPr>
        <w:t>’</w:t>
      </w:r>
      <w:r w:rsidRPr="00B7599D">
        <w:rPr>
          <w:lang w:val="fr-FR"/>
        </w:rPr>
        <w:t>autoriser une personne qui n</w:t>
      </w:r>
      <w:r w:rsidR="002F6E75" w:rsidRPr="00B7599D">
        <w:rPr>
          <w:lang w:val="fr-FR"/>
        </w:rPr>
        <w:t>’</w:t>
      </w:r>
      <w:r w:rsidRPr="00B7599D">
        <w:rPr>
          <w:lang w:val="fr-FR"/>
        </w:rPr>
        <w:t>aurait pas été valablement désignée comme mandataire auprès du Bureau international agissant en qualité d</w:t>
      </w:r>
      <w:r w:rsidR="002F6E75" w:rsidRPr="00B7599D">
        <w:rPr>
          <w:lang w:val="fr-FR"/>
        </w:rPr>
        <w:t>’</w:t>
      </w:r>
      <w:r w:rsidRPr="00B7599D">
        <w:rPr>
          <w:lang w:val="fr-FR"/>
        </w:rPr>
        <w:t>office récepteur d</w:t>
      </w:r>
      <w:r w:rsidR="002F6E75" w:rsidRPr="00B7599D">
        <w:rPr>
          <w:lang w:val="fr-FR"/>
        </w:rPr>
        <w:t>’</w:t>
      </w:r>
      <w:r w:rsidRPr="00B7599D">
        <w:rPr>
          <w:lang w:val="fr-FR"/>
        </w:rPr>
        <w:t>exercer ses fonctions uniquement dans la mesure requise pour transférer la qualité de mandataire à une personne compétente pour agir en cette qualité au nom du déposant concerné.</w:t>
      </w:r>
    </w:p>
    <w:p w:rsidR="005F6828" w:rsidRPr="00B7599D" w:rsidRDefault="000A2CA6" w:rsidP="000A2CA6">
      <w:pPr>
        <w:pStyle w:val="ONUMFS"/>
        <w:rPr>
          <w:lang w:val="fr-FR"/>
        </w:rPr>
      </w:pPr>
      <w:r w:rsidRPr="00B7599D">
        <w:rPr>
          <w:lang w:val="fr-FR"/>
        </w:rPr>
        <w:t>Les représentants des utilisateurs ont indiqué qu</w:t>
      </w:r>
      <w:r w:rsidR="002F6E75" w:rsidRPr="00B7599D">
        <w:rPr>
          <w:lang w:val="fr-FR"/>
        </w:rPr>
        <w:t>’</w:t>
      </w:r>
      <w:r w:rsidRPr="00B7599D">
        <w:rPr>
          <w:lang w:val="fr-FR"/>
        </w:rPr>
        <w:t>il était essentiel que le mandataire ait le même domicile ou la même nationalité que le déposant afin de faire en sorte que le manque de connaissance des lois locales ne donne pas lieu à une perte de droits sur le marché national du déposant.</w:t>
      </w:r>
    </w:p>
    <w:p w:rsidR="005F6828" w:rsidRPr="00B7599D" w:rsidRDefault="000A2CA6" w:rsidP="000A2CA6">
      <w:pPr>
        <w:pStyle w:val="ONUMFS"/>
        <w:ind w:left="567"/>
        <w:rPr>
          <w:lang w:val="fr-FR"/>
        </w:rPr>
      </w:pPr>
      <w:r w:rsidRPr="00B7599D">
        <w:rPr>
          <w:lang w:val="fr-FR"/>
        </w:rPr>
        <w:t xml:space="preserve">Le groupe de travail a noté que les propositions </w:t>
      </w:r>
      <w:r w:rsidR="00B56A02" w:rsidRPr="00B7599D">
        <w:rPr>
          <w:lang w:val="fr-FR"/>
        </w:rPr>
        <w:t>exposées</w:t>
      </w:r>
      <w:r w:rsidRPr="00B7599D">
        <w:rPr>
          <w:lang w:val="fr-FR"/>
        </w:rPr>
        <w:t xml:space="preserve"> dans le document PCT/WG/7/13 n</w:t>
      </w:r>
      <w:r w:rsidR="002F6E75" w:rsidRPr="00B7599D">
        <w:rPr>
          <w:lang w:val="fr-FR"/>
        </w:rPr>
        <w:t>’</w:t>
      </w:r>
      <w:r w:rsidRPr="00B7599D">
        <w:rPr>
          <w:lang w:val="fr-FR"/>
        </w:rPr>
        <w:t>avaient pas été appuyées.</w:t>
      </w:r>
    </w:p>
    <w:p w:rsidR="005F6828" w:rsidRPr="00B7599D" w:rsidRDefault="000A2CA6" w:rsidP="000A2CA6">
      <w:pPr>
        <w:pStyle w:val="Heading1"/>
        <w:rPr>
          <w:lang w:val="fr-FR"/>
        </w:rPr>
      </w:pPr>
      <w:r w:rsidRPr="00B7599D">
        <w:rPr>
          <w:lang w:val="fr-FR"/>
        </w:rPr>
        <w:t>Point</w:t>
      </w:r>
      <w:r w:rsidR="00F436BF" w:rsidRPr="00B7599D">
        <w:rPr>
          <w:lang w:val="fr-FR"/>
        </w:rPr>
        <w:t> </w:t>
      </w:r>
      <w:r w:rsidRPr="00B7599D">
        <w:rPr>
          <w:lang w:val="fr-FR"/>
        </w:rPr>
        <w:t>28 de l</w:t>
      </w:r>
      <w:r w:rsidR="002F6E75" w:rsidRPr="00B7599D">
        <w:rPr>
          <w:lang w:val="fr-FR"/>
        </w:rPr>
        <w:t>’</w:t>
      </w:r>
      <w:r w:rsidRPr="00B7599D">
        <w:rPr>
          <w:lang w:val="fr-FR"/>
        </w:rPr>
        <w:t>ordre du jour</w:t>
      </w:r>
      <w:r w:rsidR="00F436BF" w:rsidRPr="00B7599D">
        <w:rPr>
          <w:lang w:val="fr-FR"/>
        </w:rPr>
        <w:t> </w:t>
      </w:r>
      <w:r w:rsidRPr="00B7599D">
        <w:rPr>
          <w:lang w:val="fr-FR"/>
        </w:rPr>
        <w:t>: pouvoir général</w:t>
      </w:r>
    </w:p>
    <w:p w:rsidR="005F6828" w:rsidRPr="00B7599D" w:rsidRDefault="000A2CA6" w:rsidP="000A2CA6">
      <w:pPr>
        <w:pStyle w:val="ONUMFS"/>
        <w:rPr>
          <w:lang w:val="fr-FR"/>
        </w:rPr>
      </w:pPr>
      <w:r w:rsidRPr="00B7599D">
        <w:rPr>
          <w:lang w:val="fr-FR"/>
        </w:rPr>
        <w:t>Les délibérations ont eu lieu sur la base du document PCT/WG/7/16.</w:t>
      </w:r>
    </w:p>
    <w:p w:rsidR="005F6828" w:rsidRPr="00B7599D" w:rsidRDefault="000A2CA6" w:rsidP="000A2CA6">
      <w:pPr>
        <w:pStyle w:val="ONUMFS"/>
        <w:ind w:left="567"/>
        <w:rPr>
          <w:lang w:val="fr-FR"/>
        </w:rPr>
      </w:pPr>
      <w:r w:rsidRPr="00B7599D">
        <w:rPr>
          <w:lang w:val="fr-FR"/>
        </w:rPr>
        <w:t>Le groupe de travail a approuvé les propositions figurant dans l</w:t>
      </w:r>
      <w:r w:rsidR="002F6E75" w:rsidRPr="00B7599D">
        <w:rPr>
          <w:lang w:val="fr-FR"/>
        </w:rPr>
        <w:t>’</w:t>
      </w:r>
      <w:r w:rsidRPr="00B7599D">
        <w:rPr>
          <w:lang w:val="fr-FR"/>
        </w:rPr>
        <w:t>annexe du document PCT/WG/7/16 dans la perspective de leur soumission à l</w:t>
      </w:r>
      <w:r w:rsidR="002F6E75" w:rsidRPr="00B7599D">
        <w:rPr>
          <w:lang w:val="fr-FR"/>
        </w:rPr>
        <w:t>’</w:t>
      </w:r>
      <w:r w:rsidRPr="00B7599D">
        <w:rPr>
          <w:lang w:val="fr-FR"/>
        </w:rPr>
        <w:t xml:space="preserve">assemblée pour examen à sa prochaine session, prévue en </w:t>
      </w:r>
      <w:r w:rsidR="002F6E75" w:rsidRPr="00B7599D">
        <w:rPr>
          <w:lang w:val="fr-FR"/>
        </w:rPr>
        <w:t>septembre 20</w:t>
      </w:r>
      <w:r w:rsidRPr="00B7599D">
        <w:rPr>
          <w:lang w:val="fr-FR"/>
        </w:rPr>
        <w:t>14, sous réserve d</w:t>
      </w:r>
      <w:r w:rsidR="002F6E75" w:rsidRPr="00B7599D">
        <w:rPr>
          <w:lang w:val="fr-FR"/>
        </w:rPr>
        <w:t>’</w:t>
      </w:r>
      <w:r w:rsidRPr="00B7599D">
        <w:rPr>
          <w:lang w:val="fr-FR"/>
        </w:rPr>
        <w:t>autres modifications d</w:t>
      </w:r>
      <w:r w:rsidR="002F6E75" w:rsidRPr="00B7599D">
        <w:rPr>
          <w:lang w:val="fr-FR"/>
        </w:rPr>
        <w:t>’</w:t>
      </w:r>
      <w:r w:rsidRPr="00B7599D">
        <w:rPr>
          <w:lang w:val="fr-FR"/>
        </w:rPr>
        <w:t>ordre rédactionnel apportées par le Secrétariat, y</w:t>
      </w:r>
      <w:r w:rsidR="00F436BF" w:rsidRPr="00B7599D">
        <w:rPr>
          <w:lang w:val="fr-FR"/>
        </w:rPr>
        <w:t> </w:t>
      </w:r>
      <w:r w:rsidRPr="00B7599D">
        <w:rPr>
          <w:lang w:val="fr-FR"/>
        </w:rPr>
        <w:t>compris une éventuelle clarification de la règle</w:t>
      </w:r>
      <w:r w:rsidR="00F436BF" w:rsidRPr="00B7599D">
        <w:rPr>
          <w:lang w:val="fr-FR"/>
        </w:rPr>
        <w:t> </w:t>
      </w:r>
      <w:r w:rsidRPr="00B7599D">
        <w:rPr>
          <w:lang w:val="fr-FR"/>
        </w:rPr>
        <w:t>90.5.d) tendant à ce qu</w:t>
      </w:r>
      <w:r w:rsidR="002F6E75" w:rsidRPr="00B7599D">
        <w:rPr>
          <w:lang w:val="fr-FR"/>
        </w:rPr>
        <w:t>’</w:t>
      </w:r>
      <w:r w:rsidRPr="00B7599D">
        <w:rPr>
          <w:lang w:val="fr-FR"/>
        </w:rPr>
        <w:t>il ne soit pas nécessaire de remettre une copie du pouvoir général si l</w:t>
      </w:r>
      <w:r w:rsidR="002F6E75" w:rsidRPr="00B7599D">
        <w:rPr>
          <w:lang w:val="fr-FR"/>
        </w:rPr>
        <w:t>’</w:t>
      </w:r>
      <w:r w:rsidRPr="00B7599D">
        <w:rPr>
          <w:lang w:val="fr-FR"/>
        </w:rPr>
        <w:t>office en avait déjà un en sa possession.</w:t>
      </w:r>
    </w:p>
    <w:p w:rsidR="005F6828" w:rsidRPr="00B7599D" w:rsidRDefault="000A2CA6" w:rsidP="000A2CA6">
      <w:pPr>
        <w:pStyle w:val="Heading1"/>
        <w:rPr>
          <w:lang w:val="fr-FR"/>
        </w:rPr>
      </w:pPr>
      <w:r w:rsidRPr="00B7599D">
        <w:rPr>
          <w:lang w:val="fr-FR"/>
        </w:rPr>
        <w:t>Point</w:t>
      </w:r>
      <w:r w:rsidR="00F436BF" w:rsidRPr="00B7599D">
        <w:rPr>
          <w:lang w:val="fr-FR"/>
        </w:rPr>
        <w:t> </w:t>
      </w:r>
      <w:r w:rsidRPr="00B7599D">
        <w:rPr>
          <w:lang w:val="fr-FR"/>
        </w:rPr>
        <w:t>29 de l</w:t>
      </w:r>
      <w:r w:rsidR="002F6E75" w:rsidRPr="00B7599D">
        <w:rPr>
          <w:lang w:val="fr-FR"/>
        </w:rPr>
        <w:t>’</w:t>
      </w:r>
      <w:r w:rsidRPr="00B7599D">
        <w:rPr>
          <w:lang w:val="fr-FR"/>
        </w:rPr>
        <w:t>ordre du jour</w:t>
      </w:r>
      <w:r w:rsidR="00F436BF" w:rsidRPr="00B7599D">
        <w:rPr>
          <w:lang w:val="fr-FR"/>
        </w:rPr>
        <w:t> </w:t>
      </w:r>
      <w:r w:rsidRPr="00B7599D">
        <w:rPr>
          <w:lang w:val="fr-FR"/>
        </w:rPr>
        <w:t>: exclusion de certains renseignements de la mise à la disposition du public</w:t>
      </w:r>
    </w:p>
    <w:p w:rsidR="005F6828" w:rsidRPr="00B7599D" w:rsidRDefault="000A2CA6" w:rsidP="000A2CA6">
      <w:pPr>
        <w:pStyle w:val="ONUMFS"/>
        <w:rPr>
          <w:lang w:val="fr-FR"/>
        </w:rPr>
      </w:pPr>
      <w:r w:rsidRPr="00B7599D">
        <w:rPr>
          <w:lang w:val="fr-FR"/>
        </w:rPr>
        <w:t>Les délibérations ont eu lieu sur la base du document PCT/WG/7/18.</w:t>
      </w:r>
    </w:p>
    <w:p w:rsidR="005F6828" w:rsidRPr="00B7599D" w:rsidRDefault="000A2CA6" w:rsidP="000A2CA6">
      <w:pPr>
        <w:pStyle w:val="ONUMFS"/>
        <w:rPr>
          <w:lang w:val="fr-FR"/>
        </w:rPr>
      </w:pPr>
      <w:r w:rsidRPr="00B7599D">
        <w:rPr>
          <w:lang w:val="fr-FR"/>
        </w:rPr>
        <w:t>Toutes les délégations qui ont pris la parole ont appuyé en principe ce mécanisme visant à omettre de la publication certains renseignements personnels ou sensibles et à restreindre l</w:t>
      </w:r>
      <w:r w:rsidR="002F6E75" w:rsidRPr="00B7599D">
        <w:rPr>
          <w:lang w:val="fr-FR"/>
        </w:rPr>
        <w:t>’</w:t>
      </w:r>
      <w:r w:rsidRPr="00B7599D">
        <w:rPr>
          <w:lang w:val="fr-FR"/>
        </w:rPr>
        <w:t>accès du public à ces renseignements.  Toutefois, les délégations ont considéré que le critère proposé, selon lequel les renseignements porteraient atteinte aux intérêts personnels ou patrimoniaux d</w:t>
      </w:r>
      <w:r w:rsidR="002F6E75" w:rsidRPr="00B7599D">
        <w:rPr>
          <w:lang w:val="fr-FR"/>
        </w:rPr>
        <w:t>’</w:t>
      </w:r>
      <w:r w:rsidRPr="00B7599D">
        <w:rPr>
          <w:lang w:val="fr-FR"/>
        </w:rPr>
        <w:t xml:space="preserve">une personne physique ou morale, était trop faible;  les conditions relatives à la </w:t>
      </w:r>
      <w:r w:rsidRPr="00B7599D">
        <w:rPr>
          <w:lang w:val="fr-FR"/>
        </w:rPr>
        <w:lastRenderedPageBreak/>
        <w:t>restriction de l</w:t>
      </w:r>
      <w:r w:rsidR="002F6E75" w:rsidRPr="00B7599D">
        <w:rPr>
          <w:lang w:val="fr-FR"/>
        </w:rPr>
        <w:t>’</w:t>
      </w:r>
      <w:r w:rsidRPr="00B7599D">
        <w:rPr>
          <w:lang w:val="fr-FR"/>
        </w:rPr>
        <w:t>accès aux renseignements en vertu de la législation nationale étaient plus strictes, telles que la nécessité d</w:t>
      </w:r>
      <w:r w:rsidR="002F6E75" w:rsidRPr="00B7599D">
        <w:rPr>
          <w:lang w:val="fr-FR"/>
        </w:rPr>
        <w:t>’</w:t>
      </w:r>
      <w:r w:rsidRPr="00B7599D">
        <w:rPr>
          <w:lang w:val="fr-FR"/>
        </w:rPr>
        <w:t>établir que les renseignements avaient été soumis de manière non intentionnelle, n</w:t>
      </w:r>
      <w:r w:rsidR="002F6E75" w:rsidRPr="00B7599D">
        <w:rPr>
          <w:lang w:val="fr-FR"/>
        </w:rPr>
        <w:t>’</w:t>
      </w:r>
      <w:r w:rsidRPr="00B7599D">
        <w:rPr>
          <w:lang w:val="fr-FR"/>
        </w:rPr>
        <w:t>étaient pas pertinents pour déterminer la brevetabilité, causeraient un préjudice irréparable, ou que les intérêts légitimes de la personne physique ou morale concernée l</w:t>
      </w:r>
      <w:r w:rsidR="002F6E75" w:rsidRPr="00B7599D">
        <w:rPr>
          <w:lang w:val="fr-FR"/>
        </w:rPr>
        <w:t>’</w:t>
      </w:r>
      <w:r w:rsidRPr="00B7599D">
        <w:rPr>
          <w:lang w:val="fr-FR"/>
        </w:rPr>
        <w:t>emportaient sur l</w:t>
      </w:r>
      <w:r w:rsidR="002F6E75" w:rsidRPr="00B7599D">
        <w:rPr>
          <w:lang w:val="fr-FR"/>
        </w:rPr>
        <w:t>’</w:t>
      </w:r>
      <w:r w:rsidRPr="00B7599D">
        <w:rPr>
          <w:lang w:val="fr-FR"/>
        </w:rPr>
        <w:t>intérêt public dans la divulgation des renseignements.  Une délégation a proposé de définir dans les instructions administratives les types de renseignements qui pourraient être omis de la publication ou faire l</w:t>
      </w:r>
      <w:r w:rsidR="002F6E75" w:rsidRPr="00B7599D">
        <w:rPr>
          <w:lang w:val="fr-FR"/>
        </w:rPr>
        <w:t>’</w:t>
      </w:r>
      <w:r w:rsidRPr="00B7599D">
        <w:rPr>
          <w:lang w:val="fr-FR"/>
        </w:rPr>
        <w:t>objet d</w:t>
      </w:r>
      <w:r w:rsidR="002F6E75" w:rsidRPr="00B7599D">
        <w:rPr>
          <w:lang w:val="fr-FR"/>
        </w:rPr>
        <w:t>’</w:t>
      </w:r>
      <w:r w:rsidRPr="00B7599D">
        <w:rPr>
          <w:lang w:val="fr-FR"/>
        </w:rPr>
        <w:t>une restriction d</w:t>
      </w:r>
      <w:r w:rsidR="002F6E75" w:rsidRPr="00B7599D">
        <w:rPr>
          <w:lang w:val="fr-FR"/>
        </w:rPr>
        <w:t>’</w:t>
      </w:r>
      <w:r w:rsidRPr="00B7599D">
        <w:rPr>
          <w:lang w:val="fr-FR"/>
        </w:rPr>
        <w:t>accès du public.</w:t>
      </w:r>
    </w:p>
    <w:p w:rsidR="005F6828" w:rsidRPr="00B7599D" w:rsidRDefault="002B12D4" w:rsidP="002B12D4">
      <w:pPr>
        <w:pStyle w:val="ONUMFS"/>
        <w:ind w:left="567"/>
        <w:rPr>
          <w:lang w:val="fr-FR"/>
        </w:rPr>
      </w:pPr>
      <w:r w:rsidRPr="00B7599D">
        <w:rPr>
          <w:lang w:val="fr-FR"/>
        </w:rPr>
        <w:t>Le groupe de travail est convenu que le Bureau international examinerait les propositions plus en détail, en tenant compte des observations formulées par les délégations.</w:t>
      </w:r>
    </w:p>
    <w:p w:rsidR="005F6828" w:rsidRPr="00B7599D" w:rsidRDefault="002B12D4" w:rsidP="002B12D4">
      <w:pPr>
        <w:pStyle w:val="Heading1"/>
        <w:rPr>
          <w:lang w:val="fr-FR"/>
        </w:rPr>
      </w:pPr>
      <w:r w:rsidRPr="00B7599D">
        <w:rPr>
          <w:lang w:val="fr-FR"/>
        </w:rPr>
        <w:t>Point</w:t>
      </w:r>
      <w:r w:rsidR="00F436BF" w:rsidRPr="00B7599D">
        <w:rPr>
          <w:lang w:val="fr-FR"/>
        </w:rPr>
        <w:t> </w:t>
      </w:r>
      <w:r w:rsidRPr="00B7599D">
        <w:rPr>
          <w:lang w:val="fr-FR"/>
        </w:rPr>
        <w:t>30 de l</w:t>
      </w:r>
      <w:r w:rsidR="002F6E75" w:rsidRPr="00B7599D">
        <w:rPr>
          <w:lang w:val="fr-FR"/>
        </w:rPr>
        <w:t>’</w:t>
      </w:r>
      <w:r w:rsidRPr="00B7599D">
        <w:rPr>
          <w:lang w:val="fr-FR"/>
        </w:rPr>
        <w:t>ordre du jour</w:t>
      </w:r>
      <w:r w:rsidR="00F436BF" w:rsidRPr="00B7599D">
        <w:rPr>
          <w:lang w:val="fr-FR"/>
        </w:rPr>
        <w:t> </w:t>
      </w:r>
      <w:r w:rsidRPr="00B7599D">
        <w:rPr>
          <w:lang w:val="fr-FR"/>
        </w:rPr>
        <w:t>: déclarations ou autres preuves reçues dans le cadre d</w:t>
      </w:r>
      <w:r w:rsidR="002F6E75" w:rsidRPr="00B7599D">
        <w:rPr>
          <w:lang w:val="fr-FR"/>
        </w:rPr>
        <w:t>’</w:t>
      </w:r>
      <w:r w:rsidRPr="00B7599D">
        <w:rPr>
          <w:lang w:val="fr-FR"/>
        </w:rPr>
        <w:t>une requête en restauration du droit de priorité</w:t>
      </w:r>
    </w:p>
    <w:p w:rsidR="005F6828" w:rsidRPr="00B7599D" w:rsidRDefault="002B12D4" w:rsidP="002B12D4">
      <w:pPr>
        <w:pStyle w:val="ONUMFS"/>
        <w:rPr>
          <w:lang w:val="fr-FR"/>
        </w:rPr>
      </w:pPr>
      <w:r w:rsidRPr="00B7599D">
        <w:rPr>
          <w:lang w:val="fr-FR"/>
        </w:rPr>
        <w:t>Les délibérations ont eu lieu sur la base du document PCT/WG/7/17.</w:t>
      </w:r>
    </w:p>
    <w:p w:rsidR="005F6828" w:rsidRPr="00B7599D" w:rsidRDefault="002B12D4" w:rsidP="002B12D4">
      <w:pPr>
        <w:pStyle w:val="ONUMFS"/>
        <w:rPr>
          <w:lang w:val="fr-FR"/>
        </w:rPr>
      </w:pPr>
      <w:r w:rsidRPr="00B7599D">
        <w:rPr>
          <w:lang w:val="fr-FR"/>
        </w:rPr>
        <w:t>Plusieurs délégations ont appuyé les propositions.  Toutefois, une délégation a exprimé sa préoccupation quant au fait que les propositions pourraient donner lieu à la publication par un office désigné, sans le consentement du déposant, de renseignements personnels sensibles ayant été fournis au Bureau international par l</w:t>
      </w:r>
      <w:r w:rsidR="002F6E75" w:rsidRPr="00B7599D">
        <w:rPr>
          <w:lang w:val="fr-FR"/>
        </w:rPr>
        <w:t>’</w:t>
      </w:r>
      <w:r w:rsidRPr="00B7599D">
        <w:rPr>
          <w:lang w:val="fr-FR"/>
        </w:rPr>
        <w:t>office récepteur.  Cette délégation a donc proposé que les offices récepteurs préservent leur droit de ne pas fournir au Bureau international des renseignements personnels sensibles;  ces renseignements pourraient être définis dans les instructions administratives.  Les offices désignés pourraient néanmoins demander ces renseignements au déposant si nécessaire.</w:t>
      </w:r>
    </w:p>
    <w:p w:rsidR="005F6828" w:rsidRPr="00B7599D" w:rsidRDefault="002B12D4" w:rsidP="002B12D4">
      <w:pPr>
        <w:pStyle w:val="ONUMFS"/>
        <w:rPr>
          <w:lang w:val="fr-FR"/>
        </w:rPr>
      </w:pPr>
      <w:r w:rsidRPr="00B7599D">
        <w:rPr>
          <w:lang w:val="fr-FR"/>
        </w:rPr>
        <w:t>En réponse à la question d</w:t>
      </w:r>
      <w:r w:rsidR="002F6E75" w:rsidRPr="00B7599D">
        <w:rPr>
          <w:lang w:val="fr-FR"/>
        </w:rPr>
        <w:t>’</w:t>
      </w:r>
      <w:r w:rsidRPr="00B7599D">
        <w:rPr>
          <w:lang w:val="fr-FR"/>
        </w:rPr>
        <w:t>une délégation, le Bureau international a confirmé que, à son avis, un office désigné avait le droit d</w:t>
      </w:r>
      <w:r w:rsidR="002F6E75" w:rsidRPr="00B7599D">
        <w:rPr>
          <w:lang w:val="fr-FR"/>
        </w:rPr>
        <w:t>’</w:t>
      </w:r>
      <w:r w:rsidRPr="00B7599D">
        <w:rPr>
          <w:lang w:val="fr-FR"/>
        </w:rPr>
        <w:t>exiger du déposant la traduction de toute déclaration ou preuve nécessaire aux fins d</w:t>
      </w:r>
      <w:r w:rsidR="002F6E75" w:rsidRPr="00B7599D">
        <w:rPr>
          <w:lang w:val="fr-FR"/>
        </w:rPr>
        <w:t>’</w:t>
      </w:r>
      <w:r w:rsidRPr="00B7599D">
        <w:rPr>
          <w:lang w:val="fr-FR"/>
        </w:rPr>
        <w:t>un réexamen visé à la règle 49</w:t>
      </w:r>
      <w:r w:rsidRPr="00581D24">
        <w:rPr>
          <w:i/>
          <w:lang w:val="fr-FR"/>
        </w:rPr>
        <w:t>ter</w:t>
      </w:r>
      <w:r w:rsidRPr="00B7599D">
        <w:rPr>
          <w:lang w:val="fr-FR"/>
        </w:rPr>
        <w:t>.1.d).</w:t>
      </w:r>
    </w:p>
    <w:p w:rsidR="005F6828" w:rsidRPr="00B7599D" w:rsidRDefault="002B12D4" w:rsidP="002B12D4">
      <w:pPr>
        <w:pStyle w:val="ONUMFS"/>
        <w:ind w:left="567"/>
        <w:rPr>
          <w:lang w:val="fr-FR"/>
        </w:rPr>
      </w:pPr>
      <w:r w:rsidRPr="00B7599D">
        <w:rPr>
          <w:lang w:val="fr-FR"/>
        </w:rPr>
        <w:t>Le groupe de travail est convenu que le Bureau international examinerait les propositions plus en détail, en tenant compte des observations formulées par les délégations.</w:t>
      </w:r>
    </w:p>
    <w:p w:rsidR="005F6828" w:rsidRPr="00B7599D" w:rsidRDefault="002B12D4" w:rsidP="002B12D4">
      <w:pPr>
        <w:pStyle w:val="Heading1"/>
        <w:rPr>
          <w:lang w:val="fr-FR"/>
        </w:rPr>
      </w:pPr>
      <w:r w:rsidRPr="00B7599D">
        <w:rPr>
          <w:lang w:val="fr-FR"/>
        </w:rPr>
        <w:t>Point</w:t>
      </w:r>
      <w:r w:rsidR="00F436BF" w:rsidRPr="00B7599D">
        <w:rPr>
          <w:lang w:val="fr-FR"/>
        </w:rPr>
        <w:t> </w:t>
      </w:r>
      <w:r w:rsidRPr="00B7599D">
        <w:rPr>
          <w:lang w:val="fr-FR"/>
        </w:rPr>
        <w:t>31 de l</w:t>
      </w:r>
      <w:r w:rsidR="002F6E75" w:rsidRPr="00B7599D">
        <w:rPr>
          <w:lang w:val="fr-FR"/>
        </w:rPr>
        <w:t>’</w:t>
      </w:r>
      <w:r w:rsidRPr="00B7599D">
        <w:rPr>
          <w:lang w:val="fr-FR"/>
        </w:rPr>
        <w:t>ordre du jour</w:t>
      </w:r>
      <w:r w:rsidR="00F436BF" w:rsidRPr="00B7599D">
        <w:rPr>
          <w:lang w:val="fr-FR"/>
        </w:rPr>
        <w:t> </w:t>
      </w:r>
      <w:r w:rsidRPr="00B7599D">
        <w:rPr>
          <w:lang w:val="fr-FR"/>
        </w:rPr>
        <w:t>: diverses propositions de modification du règlement d</w:t>
      </w:r>
      <w:r w:rsidR="002F6E75" w:rsidRPr="00B7599D">
        <w:rPr>
          <w:lang w:val="fr-FR"/>
        </w:rPr>
        <w:t>’</w:t>
      </w:r>
      <w:r w:rsidRPr="00B7599D">
        <w:rPr>
          <w:lang w:val="fr-FR"/>
        </w:rPr>
        <w:t>exécution</w:t>
      </w:r>
      <w:r w:rsidR="002F6E75" w:rsidRPr="00B7599D">
        <w:rPr>
          <w:lang w:val="fr-FR"/>
        </w:rPr>
        <w:t xml:space="preserve"> du PCT</w:t>
      </w:r>
    </w:p>
    <w:p w:rsidR="005F6828" w:rsidRPr="00B7599D" w:rsidRDefault="002B12D4" w:rsidP="002B12D4">
      <w:pPr>
        <w:pStyle w:val="ONUMFS"/>
        <w:rPr>
          <w:lang w:val="fr-FR"/>
        </w:rPr>
      </w:pPr>
      <w:r w:rsidRPr="00B7599D">
        <w:rPr>
          <w:lang w:val="fr-FR"/>
        </w:rPr>
        <w:t>Les délibérations ont eu lieu sur la base du document PCT/WG/7/15.</w:t>
      </w:r>
    </w:p>
    <w:p w:rsidR="005F6828" w:rsidRPr="00B7599D" w:rsidRDefault="002B12D4" w:rsidP="002B12D4">
      <w:pPr>
        <w:pStyle w:val="ONUMFS"/>
        <w:rPr>
          <w:lang w:val="fr-FR"/>
        </w:rPr>
      </w:pPr>
      <w:r w:rsidRPr="00B7599D">
        <w:rPr>
          <w:lang w:val="fr-FR"/>
        </w:rPr>
        <w:t>Une délégation, tout en déclarant n</w:t>
      </w:r>
      <w:r w:rsidR="002F6E75" w:rsidRPr="00B7599D">
        <w:rPr>
          <w:lang w:val="fr-FR"/>
        </w:rPr>
        <w:t>’</w:t>
      </w:r>
      <w:r w:rsidRPr="00B7599D">
        <w:rPr>
          <w:lang w:val="fr-FR"/>
        </w:rPr>
        <w:t>avoir aucune objection à</w:t>
      </w:r>
      <w:r w:rsidR="00F436BF" w:rsidRPr="00B7599D">
        <w:rPr>
          <w:lang w:val="fr-FR"/>
        </w:rPr>
        <w:t> </w:t>
      </w:r>
      <w:r w:rsidRPr="00B7599D">
        <w:rPr>
          <w:lang w:val="fr-FR"/>
        </w:rPr>
        <w:t>l</w:t>
      </w:r>
      <w:r w:rsidR="002F6E75" w:rsidRPr="00B7599D">
        <w:rPr>
          <w:lang w:val="fr-FR"/>
        </w:rPr>
        <w:t>’</w:t>
      </w:r>
      <w:r w:rsidRPr="00B7599D">
        <w:rPr>
          <w:lang w:val="fr-FR"/>
        </w:rPr>
        <w:t>égard de la proposition visant à modifier la règle</w:t>
      </w:r>
      <w:r w:rsidR="00F436BF" w:rsidRPr="00B7599D">
        <w:rPr>
          <w:lang w:val="fr-FR"/>
        </w:rPr>
        <w:t> </w:t>
      </w:r>
      <w:r w:rsidRPr="00B7599D">
        <w:rPr>
          <w:lang w:val="fr-FR"/>
        </w:rPr>
        <w:t>49</w:t>
      </w:r>
      <w:r w:rsidRPr="00B7599D">
        <w:rPr>
          <w:i/>
          <w:lang w:val="fr-FR"/>
        </w:rPr>
        <w:t>ter</w:t>
      </w:r>
      <w:r w:rsidRPr="00B7599D">
        <w:rPr>
          <w:lang w:val="fr-FR"/>
        </w:rPr>
        <w:t>.2.b)i), a proposé que tous les délais prévus dans cette règle soient portés à deux</w:t>
      </w:r>
      <w:r w:rsidR="00F436BF" w:rsidRPr="00B7599D">
        <w:rPr>
          <w:lang w:val="fr-FR"/>
        </w:rPr>
        <w:t> </w:t>
      </w:r>
      <w:r w:rsidRPr="00B7599D">
        <w:rPr>
          <w:lang w:val="fr-FR"/>
        </w:rPr>
        <w:t>mois, en conformité avec la majorité des délais prévus dans le Traité sur le droit des brevets.  Tout en admettant que cela serait généralement souhaitable, le Bureau international a indiqué qu</w:t>
      </w:r>
      <w:r w:rsidR="002F6E75" w:rsidRPr="00B7599D">
        <w:rPr>
          <w:lang w:val="fr-FR"/>
        </w:rPr>
        <w:t>’</w:t>
      </w:r>
      <w:r w:rsidRPr="00B7599D">
        <w:rPr>
          <w:lang w:val="fr-FR"/>
        </w:rPr>
        <w:t>il préférerait maintenir la proposition sous sa forme actuelle, car elle ne nécessiterait pas d</w:t>
      </w:r>
      <w:r w:rsidR="002F6E75" w:rsidRPr="00B7599D">
        <w:rPr>
          <w:lang w:val="fr-FR"/>
        </w:rPr>
        <w:t>’</w:t>
      </w:r>
      <w:r w:rsidRPr="00B7599D">
        <w:rPr>
          <w:lang w:val="fr-FR"/>
        </w:rPr>
        <w:t>apporter des changements à la législation des États contractants et pourrait donc être mise en œuvre rapidement, étant entendu que les États étaient toujours libres d</w:t>
      </w:r>
      <w:r w:rsidR="002F6E75" w:rsidRPr="00B7599D">
        <w:rPr>
          <w:lang w:val="fr-FR"/>
        </w:rPr>
        <w:t>’</w:t>
      </w:r>
      <w:r w:rsidRPr="00B7599D">
        <w:rPr>
          <w:lang w:val="fr-FR"/>
        </w:rPr>
        <w:t>offrir des délais plus favorables si leur législation nationale l</w:t>
      </w:r>
      <w:r w:rsidR="002F6E75" w:rsidRPr="00B7599D">
        <w:rPr>
          <w:lang w:val="fr-FR"/>
        </w:rPr>
        <w:t>’</w:t>
      </w:r>
      <w:r w:rsidRPr="00B7599D">
        <w:rPr>
          <w:lang w:val="fr-FR"/>
        </w:rPr>
        <w:t>autorisait.</w:t>
      </w:r>
    </w:p>
    <w:p w:rsidR="005F6828" w:rsidRPr="00B7599D" w:rsidRDefault="002B12D4" w:rsidP="002B12D4">
      <w:pPr>
        <w:pStyle w:val="ONUMFS"/>
        <w:ind w:left="567"/>
        <w:rPr>
          <w:lang w:val="fr-FR"/>
        </w:rPr>
      </w:pPr>
      <w:r w:rsidRPr="00B7599D">
        <w:rPr>
          <w:lang w:val="fr-FR"/>
        </w:rPr>
        <w:t>Le groupe de travail a approuvé les propositions de modification du règlement d</w:t>
      </w:r>
      <w:r w:rsidR="002F6E75" w:rsidRPr="00B7599D">
        <w:rPr>
          <w:lang w:val="fr-FR"/>
        </w:rPr>
        <w:t>’</w:t>
      </w:r>
      <w:r w:rsidRPr="00B7599D">
        <w:rPr>
          <w:lang w:val="fr-FR"/>
        </w:rPr>
        <w:t>exécution</w:t>
      </w:r>
      <w:r w:rsidR="002F6E75" w:rsidRPr="00B7599D">
        <w:rPr>
          <w:lang w:val="fr-FR"/>
        </w:rPr>
        <w:t xml:space="preserve"> du PCT</w:t>
      </w:r>
      <w:r w:rsidRPr="00B7599D">
        <w:rPr>
          <w:lang w:val="fr-FR"/>
        </w:rPr>
        <w:t xml:space="preserve"> figurant dans l</w:t>
      </w:r>
      <w:r w:rsidR="002F6E75" w:rsidRPr="00B7599D">
        <w:rPr>
          <w:lang w:val="fr-FR"/>
        </w:rPr>
        <w:t>’</w:t>
      </w:r>
      <w:r w:rsidRPr="00B7599D">
        <w:rPr>
          <w:lang w:val="fr-FR"/>
        </w:rPr>
        <w:t>annexe du document PCT/WG/7/15, dans la perspective de leur soumission à l</w:t>
      </w:r>
      <w:r w:rsidR="002F6E75" w:rsidRPr="00B7599D">
        <w:rPr>
          <w:lang w:val="fr-FR"/>
        </w:rPr>
        <w:t>’</w:t>
      </w:r>
      <w:r w:rsidRPr="00B7599D">
        <w:rPr>
          <w:lang w:val="fr-FR"/>
        </w:rPr>
        <w:t xml:space="preserve">assemblée pour examen à sa prochaine session, en </w:t>
      </w:r>
      <w:r w:rsidR="002F6E75" w:rsidRPr="00B7599D">
        <w:rPr>
          <w:lang w:val="fr-FR"/>
        </w:rPr>
        <w:t>septembre 20</w:t>
      </w:r>
      <w:r w:rsidRPr="00B7599D">
        <w:rPr>
          <w:lang w:val="fr-FR"/>
        </w:rPr>
        <w:t>14.</w:t>
      </w:r>
    </w:p>
    <w:p w:rsidR="005F6828" w:rsidRPr="00B7599D" w:rsidRDefault="002B12D4" w:rsidP="00D651C2">
      <w:pPr>
        <w:pStyle w:val="Heading1"/>
        <w:rPr>
          <w:lang w:val="fr-FR"/>
        </w:rPr>
      </w:pPr>
      <w:r w:rsidRPr="00B7599D">
        <w:rPr>
          <w:lang w:val="fr-FR"/>
        </w:rPr>
        <w:lastRenderedPageBreak/>
        <w:t>Point 32 de l</w:t>
      </w:r>
      <w:r w:rsidR="002F6E75" w:rsidRPr="00B7599D">
        <w:rPr>
          <w:lang w:val="fr-FR"/>
        </w:rPr>
        <w:t>’</w:t>
      </w:r>
      <w:r w:rsidRPr="00B7599D">
        <w:rPr>
          <w:lang w:val="fr-FR"/>
        </w:rPr>
        <w:t>ordre du jour : questions diverses</w:t>
      </w:r>
    </w:p>
    <w:p w:rsidR="005F6828" w:rsidRPr="00B7599D" w:rsidRDefault="002B12D4" w:rsidP="00D651C2">
      <w:pPr>
        <w:pStyle w:val="Heading2"/>
        <w:keepLines/>
        <w:rPr>
          <w:lang w:val="fr-FR"/>
        </w:rPr>
      </w:pPr>
      <w:r w:rsidRPr="00B7599D">
        <w:rPr>
          <w:lang w:val="fr-FR"/>
        </w:rPr>
        <w:t>LANGUE du rapport</w:t>
      </w:r>
    </w:p>
    <w:p w:rsidR="005F6828" w:rsidRPr="00B7599D" w:rsidRDefault="002B12D4" w:rsidP="00D651C2">
      <w:pPr>
        <w:pStyle w:val="ONUMFS"/>
        <w:keepNext/>
        <w:rPr>
          <w:lang w:val="fr-FR"/>
        </w:rPr>
      </w:pPr>
      <w:r w:rsidRPr="00B7599D">
        <w:rPr>
          <w:lang w:val="fr-FR"/>
        </w:rPr>
        <w:t>En réponse à une suggestion du Secrétariat visant à établir une transcription des délibérations du groupe de travail, en anglais seulement, à titre de rapport du groupe de travail, plusieurs délégations ont rappelé que des discussions sur la politique linguistique de l</w:t>
      </w:r>
      <w:r w:rsidR="002F6E75" w:rsidRPr="00B7599D">
        <w:rPr>
          <w:lang w:val="fr-FR"/>
        </w:rPr>
        <w:t>’</w:t>
      </w:r>
      <w:r w:rsidRPr="00B7599D">
        <w:rPr>
          <w:lang w:val="fr-FR"/>
        </w:rPr>
        <w:t>OMPI étaient en cours</w:t>
      </w:r>
      <w:r w:rsidR="00B56A02" w:rsidRPr="00B7599D">
        <w:rPr>
          <w:lang w:val="fr-FR"/>
        </w:rPr>
        <w:t xml:space="preserve"> </w:t>
      </w:r>
      <w:r w:rsidRPr="00B7599D">
        <w:rPr>
          <w:lang w:val="fr-FR"/>
        </w:rPr>
        <w:t>au sein du Comité du programme et budget, qui était le seul organe compétent pour examiner et trancher cette question.</w:t>
      </w:r>
    </w:p>
    <w:p w:rsidR="005F6828" w:rsidRPr="00B7599D" w:rsidRDefault="002B12D4" w:rsidP="002B12D4">
      <w:pPr>
        <w:pStyle w:val="ONUMFS"/>
        <w:ind w:left="567"/>
        <w:rPr>
          <w:lang w:val="fr-FR"/>
        </w:rPr>
      </w:pPr>
      <w:r w:rsidRPr="00B7599D">
        <w:rPr>
          <w:lang w:val="fr-FR"/>
        </w:rPr>
        <w:t>Le groupe de travail a pris note du fait qu</w:t>
      </w:r>
      <w:r w:rsidR="002F6E75" w:rsidRPr="00B7599D">
        <w:rPr>
          <w:lang w:val="fr-FR"/>
        </w:rPr>
        <w:t>’</w:t>
      </w:r>
      <w:r w:rsidRPr="00B7599D">
        <w:rPr>
          <w:lang w:val="fr-FR"/>
        </w:rPr>
        <w:t xml:space="preserve">un rapport </w:t>
      </w:r>
      <w:r w:rsidRPr="00B7599D">
        <w:rPr>
          <w:i/>
          <w:lang w:val="fr-FR"/>
        </w:rPr>
        <w:t>in extenso</w:t>
      </w:r>
      <w:r w:rsidRPr="00B7599D">
        <w:rPr>
          <w:lang w:val="fr-FR"/>
        </w:rPr>
        <w:t xml:space="preserve"> serait établi en six</w:t>
      </w:r>
      <w:r w:rsidR="00F436BF" w:rsidRPr="00B7599D">
        <w:rPr>
          <w:lang w:val="fr-FR"/>
        </w:rPr>
        <w:t> </w:t>
      </w:r>
      <w:r w:rsidRPr="00B7599D">
        <w:rPr>
          <w:lang w:val="fr-FR"/>
        </w:rPr>
        <w:t>l</w:t>
      </w:r>
      <w:r w:rsidR="00B56A02" w:rsidRPr="00B7599D">
        <w:rPr>
          <w:lang w:val="fr-FR"/>
        </w:rPr>
        <w:t>angues et adopté par corresponda</w:t>
      </w:r>
      <w:r w:rsidRPr="00B7599D">
        <w:rPr>
          <w:lang w:val="fr-FR"/>
        </w:rPr>
        <w:t>nce.</w:t>
      </w:r>
    </w:p>
    <w:p w:rsidR="005F6828" w:rsidRPr="00B7599D" w:rsidRDefault="002B12D4" w:rsidP="002B12D4">
      <w:pPr>
        <w:pStyle w:val="Heading2"/>
        <w:rPr>
          <w:lang w:val="fr-FR"/>
        </w:rPr>
      </w:pPr>
      <w:r w:rsidRPr="00B7599D">
        <w:rPr>
          <w:lang w:val="fr-FR"/>
        </w:rPr>
        <w:t>Travaux futurs</w:t>
      </w:r>
    </w:p>
    <w:p w:rsidR="005F6828" w:rsidRPr="00B7599D" w:rsidRDefault="002B12D4" w:rsidP="002B12D4">
      <w:pPr>
        <w:pStyle w:val="ONUMFS"/>
        <w:ind w:left="567"/>
        <w:rPr>
          <w:lang w:val="fr-FR"/>
        </w:rPr>
      </w:pPr>
      <w:r w:rsidRPr="00B7599D">
        <w:rPr>
          <w:lang w:val="fr-FR"/>
        </w:rPr>
        <w:t>Le groupe de travail est convenu de recommander à l</w:t>
      </w:r>
      <w:r w:rsidR="002F6E75" w:rsidRPr="00B7599D">
        <w:rPr>
          <w:lang w:val="fr-FR"/>
        </w:rPr>
        <w:t>’</w:t>
      </w:r>
      <w:r w:rsidRPr="00B7599D">
        <w:rPr>
          <w:lang w:val="fr-FR"/>
        </w:rPr>
        <w:t xml:space="preserve">assemblée que, sous réserve de fonds suffisants, une session du groupe de travail soit convoquée entre les sessions de </w:t>
      </w:r>
      <w:r w:rsidR="002F6E75" w:rsidRPr="00B7599D">
        <w:rPr>
          <w:lang w:val="fr-FR"/>
        </w:rPr>
        <w:t>septembre 20</w:t>
      </w:r>
      <w:r w:rsidRPr="00B7599D">
        <w:rPr>
          <w:lang w:val="fr-FR"/>
        </w:rPr>
        <w:t>14 et septembre</w:t>
      </w:r>
      <w:r w:rsidR="004B6F33" w:rsidRPr="00B7599D">
        <w:rPr>
          <w:lang w:val="fr-FR"/>
        </w:rPr>
        <w:noBreakHyphen/>
      </w:r>
      <w:r w:rsidRPr="00B7599D">
        <w:rPr>
          <w:lang w:val="fr-FR"/>
        </w:rPr>
        <w:t>octobre 2015 de l</w:t>
      </w:r>
      <w:r w:rsidR="002F6E75" w:rsidRPr="00B7599D">
        <w:rPr>
          <w:lang w:val="fr-FR"/>
        </w:rPr>
        <w:t>’</w:t>
      </w:r>
      <w:r w:rsidRPr="00B7599D">
        <w:rPr>
          <w:lang w:val="fr-FR"/>
        </w:rPr>
        <w:t>assemblée et que l</w:t>
      </w:r>
      <w:r w:rsidR="002F6E75" w:rsidRPr="00B7599D">
        <w:rPr>
          <w:lang w:val="fr-FR"/>
        </w:rPr>
        <w:t>’</w:t>
      </w:r>
      <w:r w:rsidRPr="00B7599D">
        <w:rPr>
          <w:lang w:val="fr-FR"/>
        </w:rPr>
        <w:t>assistance financière octroyée pour permettre à certaines délégations de participer à la session en cours soit reconduite pour permettre la participation de certaines délégations à la prochaine session.</w:t>
      </w:r>
    </w:p>
    <w:p w:rsidR="005F6828" w:rsidRPr="00B7599D" w:rsidRDefault="002B12D4" w:rsidP="002B12D4">
      <w:pPr>
        <w:pStyle w:val="ONUMFS"/>
        <w:rPr>
          <w:lang w:val="fr-FR"/>
        </w:rPr>
      </w:pPr>
      <w:r w:rsidRPr="00B7599D">
        <w:rPr>
          <w:lang w:val="fr-FR"/>
        </w:rPr>
        <w:t>Le Bureau international a indiqué que la huitième</w:t>
      </w:r>
      <w:r w:rsidR="00F436BF" w:rsidRPr="00B7599D">
        <w:rPr>
          <w:lang w:val="fr-FR"/>
        </w:rPr>
        <w:t> </w:t>
      </w:r>
      <w:r w:rsidRPr="00B7599D">
        <w:rPr>
          <w:lang w:val="fr-FR"/>
        </w:rPr>
        <w:t>session du groupe de travail était provis</w:t>
      </w:r>
      <w:r w:rsidR="00911A90">
        <w:rPr>
          <w:lang w:val="fr-FR"/>
        </w:rPr>
        <w:t>oirement prévue à Genève en mai</w:t>
      </w:r>
      <w:r w:rsidR="007F6E8E">
        <w:rPr>
          <w:lang w:val="fr-FR"/>
        </w:rPr>
        <w:t>/</w:t>
      </w:r>
      <w:r w:rsidRPr="00B7599D">
        <w:rPr>
          <w:lang w:val="fr-FR"/>
        </w:rPr>
        <w:t>juin 2015.</w:t>
      </w:r>
    </w:p>
    <w:p w:rsidR="005F6828" w:rsidRPr="00B7599D" w:rsidRDefault="002B12D4" w:rsidP="002B12D4">
      <w:pPr>
        <w:pStyle w:val="Heading1"/>
        <w:rPr>
          <w:lang w:val="fr-FR"/>
        </w:rPr>
      </w:pPr>
      <w:r w:rsidRPr="00B7599D">
        <w:rPr>
          <w:lang w:val="fr-FR"/>
        </w:rPr>
        <w:t>Point 33 de l</w:t>
      </w:r>
      <w:r w:rsidR="002F6E75" w:rsidRPr="00B7599D">
        <w:rPr>
          <w:lang w:val="fr-FR"/>
        </w:rPr>
        <w:t>’</w:t>
      </w:r>
      <w:r w:rsidRPr="00B7599D">
        <w:rPr>
          <w:lang w:val="fr-FR"/>
        </w:rPr>
        <w:t>ordre du jour : résumé présenté par le président</w:t>
      </w:r>
    </w:p>
    <w:p w:rsidR="005F6828" w:rsidRPr="00B7599D" w:rsidRDefault="002B12D4" w:rsidP="002B12D4">
      <w:pPr>
        <w:pStyle w:val="ONUMFS"/>
        <w:ind w:left="567"/>
        <w:rPr>
          <w:lang w:val="fr-FR"/>
        </w:rPr>
      </w:pPr>
      <w:r w:rsidRPr="00B7599D">
        <w:rPr>
          <w:lang w:val="fr-FR"/>
        </w:rPr>
        <w:t>Le groupe de travail a noté que le présent document constituait un résumé établi sous la responsabilité du président et que le compte rendu officiel figurerait dans le rapport de la session.</w:t>
      </w:r>
    </w:p>
    <w:p w:rsidR="005F6828" w:rsidRPr="00B7599D" w:rsidRDefault="002B12D4" w:rsidP="002B12D4">
      <w:pPr>
        <w:pStyle w:val="Heading1"/>
        <w:rPr>
          <w:lang w:val="fr-FR"/>
        </w:rPr>
      </w:pPr>
      <w:r w:rsidRPr="00B7599D">
        <w:rPr>
          <w:lang w:val="fr-FR"/>
        </w:rPr>
        <w:t>Point</w:t>
      </w:r>
      <w:r w:rsidR="00F436BF" w:rsidRPr="00B7599D">
        <w:rPr>
          <w:lang w:val="fr-FR"/>
        </w:rPr>
        <w:t> </w:t>
      </w:r>
      <w:r w:rsidRPr="00B7599D">
        <w:rPr>
          <w:lang w:val="fr-FR"/>
        </w:rPr>
        <w:t>34 de l</w:t>
      </w:r>
      <w:r w:rsidR="002F6E75" w:rsidRPr="00B7599D">
        <w:rPr>
          <w:lang w:val="fr-FR"/>
        </w:rPr>
        <w:t>’</w:t>
      </w:r>
      <w:r w:rsidRPr="00B7599D">
        <w:rPr>
          <w:lang w:val="fr-FR"/>
        </w:rPr>
        <w:t>ordre du jour</w:t>
      </w:r>
      <w:r w:rsidR="00F436BF" w:rsidRPr="00B7599D">
        <w:rPr>
          <w:lang w:val="fr-FR"/>
        </w:rPr>
        <w:t> </w:t>
      </w:r>
      <w:r w:rsidRPr="00B7599D">
        <w:rPr>
          <w:lang w:val="fr-FR"/>
        </w:rPr>
        <w:t>: clôture de la session</w:t>
      </w:r>
    </w:p>
    <w:p w:rsidR="005F6828" w:rsidRPr="00B7599D" w:rsidRDefault="002B12D4" w:rsidP="00911A90">
      <w:pPr>
        <w:pStyle w:val="ONUMFS"/>
        <w:spacing w:after="0"/>
        <w:rPr>
          <w:lang w:val="fr-FR"/>
        </w:rPr>
      </w:pPr>
      <w:r w:rsidRPr="00B7599D">
        <w:rPr>
          <w:lang w:val="fr-FR"/>
        </w:rPr>
        <w:t>Le président a prononcé la clôture de la session le 13 </w:t>
      </w:r>
      <w:r w:rsidR="002F6E75" w:rsidRPr="00B7599D">
        <w:rPr>
          <w:lang w:val="fr-FR"/>
        </w:rPr>
        <w:t>juin 20</w:t>
      </w:r>
      <w:r w:rsidRPr="00B7599D">
        <w:rPr>
          <w:lang w:val="fr-FR"/>
        </w:rPr>
        <w:t>14.</w:t>
      </w:r>
    </w:p>
    <w:p w:rsidR="005F6828" w:rsidRDefault="005F6828" w:rsidP="00911A90">
      <w:pPr>
        <w:pStyle w:val="Endofdocument-Annex"/>
        <w:rPr>
          <w:lang w:val="fr-FR"/>
        </w:rPr>
      </w:pPr>
    </w:p>
    <w:p w:rsidR="00911A90" w:rsidRDefault="00911A90" w:rsidP="00911A90">
      <w:pPr>
        <w:pStyle w:val="Endofdocument-Annex"/>
        <w:rPr>
          <w:lang w:val="fr-FR"/>
        </w:rPr>
      </w:pPr>
    </w:p>
    <w:p w:rsidR="00911A90" w:rsidRPr="00B7599D" w:rsidRDefault="00911A90" w:rsidP="00911A90">
      <w:pPr>
        <w:pStyle w:val="Endofdocument-Annex"/>
        <w:rPr>
          <w:lang w:val="fr-FR"/>
        </w:rPr>
      </w:pPr>
    </w:p>
    <w:p w:rsidR="001C263E" w:rsidRPr="00B7599D" w:rsidRDefault="002B12D4" w:rsidP="002B12D4">
      <w:pPr>
        <w:pStyle w:val="Endofdocument-Annex"/>
        <w:rPr>
          <w:lang w:val="fr-FR"/>
        </w:rPr>
        <w:sectPr w:rsidR="001C263E" w:rsidRPr="00B7599D" w:rsidSect="00954D1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B7599D">
        <w:rPr>
          <w:lang w:val="fr-FR"/>
        </w:rPr>
        <w:t>[Les annexes suivent]</w:t>
      </w:r>
    </w:p>
    <w:p w:rsidR="00D651C2" w:rsidRPr="00B7599D" w:rsidRDefault="00D651C2" w:rsidP="00D651C2">
      <w:pPr>
        <w:jc w:val="center"/>
        <w:rPr>
          <w:rFonts w:eastAsia="Times New Roman" w:cs="Times New Roman"/>
          <w:sz w:val="20"/>
          <w:lang w:val="fr-FR" w:eastAsia="en-US"/>
        </w:rPr>
      </w:pPr>
      <w:r w:rsidRPr="00B7599D">
        <w:rPr>
          <w:rFonts w:eastAsia="Times New Roman" w:cs="Times New Roman"/>
          <w:sz w:val="20"/>
          <w:lang w:val="fr-FR" w:eastAsia="en-US"/>
        </w:rPr>
        <w:lastRenderedPageBreak/>
        <w:t>PROPOSITION DE MODIFICATION DU RÈGLEMENT D’EXÉCUTION DU PCT :</w:t>
      </w:r>
    </w:p>
    <w:p w:rsidR="00B7599D" w:rsidRPr="00B7599D" w:rsidRDefault="00D651C2" w:rsidP="00D651C2">
      <w:pPr>
        <w:jc w:val="center"/>
        <w:rPr>
          <w:rFonts w:eastAsia="Times New Roman" w:cs="Times New Roman"/>
          <w:sz w:val="20"/>
          <w:lang w:val="fr-FR" w:eastAsia="en-US"/>
        </w:rPr>
      </w:pPr>
      <w:r w:rsidRPr="00B7599D">
        <w:rPr>
          <w:rFonts w:eastAsia="Times New Roman" w:cs="Times New Roman"/>
          <w:sz w:val="20"/>
          <w:lang w:val="fr-FR" w:eastAsia="en-US"/>
        </w:rPr>
        <w:t>BARÈME DE TAXES</w:t>
      </w:r>
    </w:p>
    <w:p w:rsidR="005D6563" w:rsidRPr="00B7599D" w:rsidRDefault="00D651C2" w:rsidP="00D651C2">
      <w:pPr>
        <w:spacing w:after="120" w:line="260" w:lineRule="exact"/>
        <w:ind w:left="1588"/>
        <w:rPr>
          <w:rFonts w:eastAsia="Times New Roman" w:cs="Times New Roman"/>
          <w:i/>
          <w:sz w:val="16"/>
          <w:szCs w:val="24"/>
          <w:lang w:val="fr-FR" w:eastAsia="en-US"/>
        </w:rPr>
      </w:pPr>
      <w:r w:rsidRPr="00B7599D">
        <w:rPr>
          <w:rFonts w:eastAsia="Times New Roman" w:cs="Times New Roman"/>
          <w:i/>
          <w:sz w:val="16"/>
          <w:szCs w:val="24"/>
          <w:lang w:val="fr-FR" w:eastAsia="en-US"/>
        </w:rPr>
        <w:t xml:space="preserve"> </w:t>
      </w:r>
      <w:r w:rsidR="005D6563" w:rsidRPr="00B7599D">
        <w:rPr>
          <w:rFonts w:eastAsia="Times New Roman" w:cs="Times New Roman"/>
          <w:i/>
          <w:sz w:val="16"/>
          <w:szCs w:val="24"/>
          <w:lang w:val="fr-FR" w:eastAsia="en-US"/>
        </w:rPr>
        <w:t>(</w:t>
      </w:r>
      <w:proofErr w:type="gramStart"/>
      <w:r w:rsidR="005D6563" w:rsidRPr="00B7599D">
        <w:rPr>
          <w:rFonts w:eastAsia="Times New Roman" w:cs="Times New Roman"/>
          <w:i/>
          <w:sz w:val="16"/>
          <w:lang w:val="fr-FR" w:eastAsia="en-US"/>
        </w:rPr>
        <w:t>version</w:t>
      </w:r>
      <w:proofErr w:type="gramEnd"/>
      <w:r w:rsidR="005D6563" w:rsidRPr="00B7599D">
        <w:rPr>
          <w:rFonts w:eastAsia="Times New Roman" w:cs="Times New Roman"/>
          <w:i/>
          <w:sz w:val="16"/>
          <w:lang w:val="fr-FR" w:eastAsia="en-US"/>
        </w:rPr>
        <w:t xml:space="preserve"> modifiée proposée qui entrerait en vigueur le 1</w:t>
      </w:r>
      <w:r w:rsidR="005D6563" w:rsidRPr="00B7599D">
        <w:rPr>
          <w:rFonts w:eastAsia="Times New Roman" w:cs="Times New Roman"/>
          <w:i/>
          <w:sz w:val="16"/>
          <w:vertAlign w:val="superscript"/>
          <w:lang w:val="fr-FR" w:eastAsia="en-US"/>
        </w:rPr>
        <w:t>er</w:t>
      </w:r>
      <w:r w:rsidR="005D6563" w:rsidRPr="00B7599D">
        <w:rPr>
          <w:rFonts w:eastAsia="Times New Roman" w:cs="Times New Roman"/>
          <w:i/>
          <w:sz w:val="16"/>
          <w:lang w:val="fr-FR" w:eastAsia="en-US"/>
        </w:rPr>
        <w:t> j</w:t>
      </w:r>
      <w:r>
        <w:rPr>
          <w:rFonts w:eastAsia="Times New Roman" w:cs="Times New Roman"/>
          <w:i/>
          <w:sz w:val="16"/>
          <w:lang w:val="fr-FR" w:eastAsia="en-US"/>
        </w:rPr>
        <w:t>uillet</w:t>
      </w:r>
      <w:r w:rsidR="005D6563" w:rsidRPr="00B7599D">
        <w:rPr>
          <w:rFonts w:eastAsia="Times New Roman" w:cs="Times New Roman"/>
          <w:i/>
          <w:sz w:val="16"/>
          <w:lang w:val="fr-FR" w:eastAsia="en-US"/>
        </w:rPr>
        <w:t> 2015</w:t>
      </w:r>
      <w:r w:rsidR="005D6563" w:rsidRPr="00B7599D">
        <w:rPr>
          <w:rFonts w:eastAsia="Times New Roman" w:cs="Times New Roman"/>
          <w:i/>
          <w:sz w:val="16"/>
          <w:szCs w:val="24"/>
          <w:lang w:val="fr-FR" w:eastAsia="en-US"/>
        </w:rPr>
        <w:t>)</w:t>
      </w:r>
    </w:p>
    <w:tbl>
      <w:tblPr>
        <w:tblW w:w="0" w:type="auto"/>
        <w:jc w:val="center"/>
        <w:tblInd w:w="38" w:type="dxa"/>
        <w:tblLayout w:type="fixed"/>
        <w:tblCellMar>
          <w:left w:w="56" w:type="dxa"/>
          <w:right w:w="56" w:type="dxa"/>
        </w:tblCellMar>
        <w:tblLook w:val="0000" w:firstRow="0" w:lastRow="0" w:firstColumn="0" w:lastColumn="0" w:noHBand="0" w:noVBand="0"/>
      </w:tblPr>
      <w:tblGrid>
        <w:gridCol w:w="578"/>
        <w:gridCol w:w="5536"/>
        <w:gridCol w:w="848"/>
        <w:gridCol w:w="2113"/>
        <w:gridCol w:w="33"/>
      </w:tblGrid>
      <w:tr w:rsidR="00BF7BA8" w:rsidRPr="00681DA8" w:rsidTr="00BF7BA8">
        <w:trPr>
          <w:gridAfter w:val="1"/>
          <w:wAfter w:w="33" w:type="dxa"/>
          <w:jc w:val="center"/>
        </w:trPr>
        <w:tc>
          <w:tcPr>
            <w:tcW w:w="6114" w:type="dxa"/>
            <w:gridSpan w:val="2"/>
          </w:tcPr>
          <w:p w:rsidR="00BF7BA8" w:rsidRPr="00BD0FE3" w:rsidRDefault="00BF7BA8" w:rsidP="00973319">
            <w:pPr>
              <w:pStyle w:val="Tabletext"/>
              <w:keepNext w:val="0"/>
              <w:keepLines w:val="0"/>
              <w:rPr>
                <w:rFonts w:cs="Arial"/>
                <w:b/>
                <w:sz w:val="20"/>
                <w:szCs w:val="20"/>
                <w:lang w:val="fr-FR"/>
              </w:rPr>
            </w:pPr>
            <w:r w:rsidRPr="00BD0FE3">
              <w:rPr>
                <w:rFonts w:cs="Arial"/>
                <w:b/>
                <w:sz w:val="20"/>
                <w:szCs w:val="20"/>
                <w:lang w:val="fr-FR"/>
              </w:rPr>
              <w:t>Taxes</w:t>
            </w:r>
          </w:p>
          <w:p w:rsidR="00BF7BA8" w:rsidRPr="00681DA8" w:rsidRDefault="00BF7BA8" w:rsidP="00973319">
            <w:pPr>
              <w:pStyle w:val="Tabletext"/>
              <w:rPr>
                <w:rFonts w:cs="Arial"/>
                <w:sz w:val="20"/>
                <w:szCs w:val="20"/>
                <w:lang w:val="fr-FR"/>
              </w:rPr>
            </w:pPr>
          </w:p>
        </w:tc>
        <w:tc>
          <w:tcPr>
            <w:tcW w:w="2961" w:type="dxa"/>
            <w:gridSpan w:val="2"/>
          </w:tcPr>
          <w:p w:rsidR="00BF7BA8" w:rsidRPr="00BD0FE3" w:rsidRDefault="00BF7BA8" w:rsidP="00973319">
            <w:pPr>
              <w:pStyle w:val="Tabletext"/>
              <w:rPr>
                <w:rFonts w:cs="Arial"/>
                <w:b/>
                <w:sz w:val="20"/>
                <w:szCs w:val="20"/>
                <w:lang w:val="fr-FR"/>
              </w:rPr>
            </w:pPr>
            <w:r w:rsidRPr="00BD0FE3">
              <w:rPr>
                <w:rFonts w:cs="Arial"/>
                <w:b/>
                <w:sz w:val="20"/>
                <w:szCs w:val="20"/>
                <w:lang w:val="fr-FR"/>
              </w:rPr>
              <w:t>Montants</w:t>
            </w:r>
          </w:p>
        </w:tc>
      </w:tr>
      <w:tr w:rsidR="00BF7BA8" w:rsidRPr="00581D24"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1.</w:t>
            </w:r>
          </w:p>
        </w:tc>
        <w:tc>
          <w:tcPr>
            <w:tcW w:w="5536" w:type="dxa"/>
          </w:tcPr>
          <w:p w:rsidR="00BF7BA8" w:rsidRPr="00681DA8" w:rsidRDefault="00BF7BA8" w:rsidP="00973319">
            <w:pPr>
              <w:pStyle w:val="Tabletext"/>
              <w:rPr>
                <w:rFonts w:cs="Arial"/>
                <w:sz w:val="20"/>
                <w:szCs w:val="20"/>
                <w:lang w:val="fr-FR"/>
              </w:rPr>
            </w:pPr>
            <w:r w:rsidRPr="00681DA8">
              <w:rPr>
                <w:rFonts w:cs="Arial"/>
                <w:sz w:val="20"/>
                <w:szCs w:val="20"/>
                <w:lang w:val="fr-FR"/>
              </w:rPr>
              <w:t>Taxe internationale de dépôt </w:t>
            </w:r>
            <w:proofErr w:type="gramStart"/>
            <w:r w:rsidRPr="00681DA8">
              <w:rPr>
                <w:rFonts w:cs="Arial"/>
                <w:sz w:val="20"/>
                <w:szCs w:val="20"/>
                <w:lang w:val="fr-FR"/>
              </w:rPr>
              <w:t>:</w:t>
            </w:r>
            <w:proofErr w:type="gramEnd"/>
            <w:r w:rsidRPr="00681DA8">
              <w:rPr>
                <w:rFonts w:cs="Arial"/>
                <w:sz w:val="20"/>
                <w:szCs w:val="20"/>
                <w:lang w:val="fr-FR"/>
              </w:rPr>
              <w:br/>
              <w:t>(règle 15.2)</w:t>
            </w:r>
          </w:p>
        </w:tc>
        <w:tc>
          <w:tcPr>
            <w:tcW w:w="848" w:type="dxa"/>
          </w:tcPr>
          <w:p w:rsidR="00BF7BA8" w:rsidRPr="00681DA8" w:rsidRDefault="00BF7BA8" w:rsidP="00973319">
            <w:pPr>
              <w:pStyle w:val="Tabletext"/>
              <w:tabs>
                <w:tab w:val="right" w:pos="658"/>
              </w:tabs>
              <w:rPr>
                <w:rFonts w:cs="Arial"/>
                <w:sz w:val="20"/>
                <w:szCs w:val="20"/>
                <w:lang w:val="fr-FR"/>
              </w:rPr>
            </w:pPr>
            <w:r w:rsidRPr="00681DA8">
              <w:rPr>
                <w:rFonts w:cs="Arial"/>
                <w:sz w:val="20"/>
                <w:szCs w:val="20"/>
                <w:lang w:val="fr-FR"/>
              </w:rPr>
              <w:tab/>
              <w:t>1 330</w:t>
            </w:r>
          </w:p>
          <w:p w:rsidR="00BF7BA8" w:rsidRPr="00681DA8" w:rsidRDefault="00BF7BA8" w:rsidP="00973319">
            <w:pPr>
              <w:pStyle w:val="Tabletext"/>
              <w:tabs>
                <w:tab w:val="right" w:pos="658"/>
              </w:tabs>
              <w:rPr>
                <w:rFonts w:cs="Arial"/>
                <w:sz w:val="20"/>
                <w:szCs w:val="20"/>
                <w:lang w:val="fr-FR"/>
              </w:rPr>
            </w:pPr>
            <w:r w:rsidRPr="00681DA8">
              <w:rPr>
                <w:rFonts w:cs="Arial"/>
                <w:sz w:val="20"/>
                <w:szCs w:val="20"/>
                <w:lang w:val="fr-FR"/>
              </w:rPr>
              <w:tab/>
              <w:t>15</w:t>
            </w:r>
          </w:p>
        </w:tc>
        <w:tc>
          <w:tcPr>
            <w:tcW w:w="2146" w:type="dxa"/>
            <w:gridSpan w:val="2"/>
          </w:tcPr>
          <w:p w:rsidR="00BF7BA8" w:rsidRPr="00681DA8" w:rsidRDefault="00BF7BA8" w:rsidP="00973319">
            <w:pPr>
              <w:pStyle w:val="Tabletext"/>
              <w:rPr>
                <w:rFonts w:cs="Arial"/>
                <w:sz w:val="20"/>
                <w:szCs w:val="20"/>
                <w:lang w:val="fr-FR"/>
              </w:rPr>
            </w:pPr>
            <w:r w:rsidRPr="00681DA8">
              <w:rPr>
                <w:rFonts w:cs="Arial"/>
                <w:sz w:val="20"/>
                <w:szCs w:val="20"/>
                <w:lang w:val="fr-FR"/>
              </w:rPr>
              <w:t>francs suisses plus</w:t>
            </w:r>
          </w:p>
          <w:p w:rsidR="00BF7BA8" w:rsidRPr="00681DA8" w:rsidRDefault="00BF7BA8" w:rsidP="00973319">
            <w:pPr>
              <w:pStyle w:val="Tabletext"/>
              <w:rPr>
                <w:rFonts w:cs="Arial"/>
                <w:sz w:val="20"/>
                <w:szCs w:val="20"/>
                <w:lang w:val="fr-FR"/>
              </w:rPr>
            </w:pPr>
            <w:r w:rsidRPr="00681DA8">
              <w:rPr>
                <w:rFonts w:cs="Arial"/>
                <w:sz w:val="20"/>
                <w:szCs w:val="20"/>
                <w:lang w:val="fr-FR"/>
              </w:rPr>
              <w:t>francs suisses par feuille de la demande internationale à compter de la 31</w:t>
            </w:r>
            <w:r w:rsidRPr="00681DA8">
              <w:rPr>
                <w:rFonts w:cs="Arial"/>
                <w:sz w:val="20"/>
                <w:szCs w:val="20"/>
                <w:vertAlign w:val="superscript"/>
                <w:lang w:val="fr-FR"/>
              </w:rPr>
              <w:t>e</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2.</w:t>
            </w:r>
          </w:p>
        </w:tc>
        <w:tc>
          <w:tcPr>
            <w:tcW w:w="5536" w:type="dxa"/>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 xml:space="preserve">Taxe de traitement de la recherche supplémentaire </w:t>
            </w:r>
            <w:proofErr w:type="gramStart"/>
            <w:r w:rsidRPr="00681DA8">
              <w:rPr>
                <w:rFonts w:cs="Arial"/>
                <w:sz w:val="20"/>
                <w:szCs w:val="20"/>
                <w:lang w:val="fr-FR"/>
              </w:rPr>
              <w:t>:</w:t>
            </w:r>
            <w:proofErr w:type="gramEnd"/>
            <w:r w:rsidRPr="00681DA8">
              <w:rPr>
                <w:rFonts w:cs="Arial"/>
                <w:sz w:val="20"/>
                <w:szCs w:val="20"/>
                <w:lang w:val="fr-FR"/>
              </w:rPr>
              <w:br/>
              <w:t xml:space="preserve">(règle 45bis.2) </w:t>
            </w:r>
          </w:p>
        </w:tc>
        <w:tc>
          <w:tcPr>
            <w:tcW w:w="848" w:type="dxa"/>
          </w:tcPr>
          <w:p w:rsidR="00BF7BA8" w:rsidRPr="00681DA8" w:rsidRDefault="00BF7BA8" w:rsidP="00973319">
            <w:pPr>
              <w:pStyle w:val="Tabletext"/>
              <w:keepNext w:val="0"/>
              <w:keepLines w:val="0"/>
              <w:tabs>
                <w:tab w:val="right" w:pos="658"/>
              </w:tabs>
              <w:rPr>
                <w:rFonts w:cs="Arial"/>
                <w:sz w:val="20"/>
                <w:szCs w:val="20"/>
                <w:lang w:val="fr-FR"/>
              </w:rPr>
            </w:pPr>
            <w:r w:rsidRPr="00681DA8">
              <w:rPr>
                <w:rFonts w:cs="Arial"/>
                <w:sz w:val="20"/>
                <w:szCs w:val="20"/>
                <w:lang w:val="fr-FR"/>
              </w:rPr>
              <w:tab/>
              <w:t>200</w:t>
            </w:r>
          </w:p>
        </w:tc>
        <w:tc>
          <w:tcPr>
            <w:tcW w:w="2146" w:type="dxa"/>
            <w:gridSpan w:val="2"/>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francs suisses</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3.</w:t>
            </w:r>
          </w:p>
        </w:tc>
        <w:tc>
          <w:tcPr>
            <w:tcW w:w="5536" w:type="dxa"/>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 xml:space="preserve">Taxe de traitement </w:t>
            </w:r>
            <w:proofErr w:type="gramStart"/>
            <w:r w:rsidRPr="00681DA8">
              <w:rPr>
                <w:rFonts w:cs="Arial"/>
                <w:sz w:val="20"/>
                <w:szCs w:val="20"/>
                <w:lang w:val="fr-FR"/>
              </w:rPr>
              <w:t>:</w:t>
            </w:r>
            <w:proofErr w:type="gramEnd"/>
            <w:r w:rsidRPr="00681DA8">
              <w:rPr>
                <w:rFonts w:cs="Arial"/>
                <w:sz w:val="20"/>
                <w:szCs w:val="20"/>
                <w:lang w:val="fr-FR"/>
              </w:rPr>
              <w:br/>
              <w:t>(règle 57.2)</w:t>
            </w:r>
          </w:p>
        </w:tc>
        <w:tc>
          <w:tcPr>
            <w:tcW w:w="848" w:type="dxa"/>
          </w:tcPr>
          <w:p w:rsidR="00BF7BA8" w:rsidRPr="00681DA8" w:rsidRDefault="00BF7BA8" w:rsidP="00973319">
            <w:pPr>
              <w:pStyle w:val="Tabletext"/>
              <w:keepNext w:val="0"/>
              <w:keepLines w:val="0"/>
              <w:tabs>
                <w:tab w:val="right" w:pos="658"/>
              </w:tabs>
              <w:rPr>
                <w:rFonts w:cs="Arial"/>
                <w:sz w:val="20"/>
                <w:szCs w:val="20"/>
                <w:lang w:val="fr-FR"/>
              </w:rPr>
            </w:pPr>
            <w:r w:rsidRPr="00681DA8">
              <w:rPr>
                <w:rFonts w:cs="Arial"/>
                <w:sz w:val="20"/>
                <w:szCs w:val="20"/>
                <w:lang w:val="fr-FR"/>
              </w:rPr>
              <w:tab/>
              <w:t>200</w:t>
            </w:r>
          </w:p>
        </w:tc>
        <w:tc>
          <w:tcPr>
            <w:tcW w:w="2146" w:type="dxa"/>
            <w:gridSpan w:val="2"/>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francs suisses</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p>
        </w:tc>
        <w:tc>
          <w:tcPr>
            <w:tcW w:w="5536" w:type="dxa"/>
          </w:tcPr>
          <w:p w:rsidR="00BF7BA8" w:rsidRPr="00681DA8" w:rsidRDefault="00BF7BA8" w:rsidP="00973319">
            <w:pPr>
              <w:pStyle w:val="Tabletext"/>
              <w:keepNext w:val="0"/>
              <w:keepLines w:val="0"/>
              <w:rPr>
                <w:rFonts w:cs="Arial"/>
                <w:sz w:val="20"/>
                <w:szCs w:val="20"/>
                <w:lang w:val="fr-FR"/>
              </w:rPr>
            </w:pPr>
          </w:p>
        </w:tc>
        <w:tc>
          <w:tcPr>
            <w:tcW w:w="848" w:type="dxa"/>
          </w:tcPr>
          <w:p w:rsidR="00BF7BA8" w:rsidRPr="00681DA8" w:rsidRDefault="00BF7BA8" w:rsidP="00973319">
            <w:pPr>
              <w:pStyle w:val="Tabletext"/>
              <w:keepNext w:val="0"/>
              <w:keepLines w:val="0"/>
              <w:tabs>
                <w:tab w:val="right" w:pos="658"/>
              </w:tabs>
              <w:rPr>
                <w:rFonts w:cs="Arial"/>
                <w:sz w:val="20"/>
                <w:szCs w:val="20"/>
                <w:lang w:val="fr-FR"/>
              </w:rPr>
            </w:pPr>
          </w:p>
        </w:tc>
        <w:tc>
          <w:tcPr>
            <w:tcW w:w="2146" w:type="dxa"/>
            <w:gridSpan w:val="2"/>
          </w:tcPr>
          <w:p w:rsidR="00BF7BA8" w:rsidRPr="00681DA8" w:rsidRDefault="00BF7BA8" w:rsidP="00973319">
            <w:pPr>
              <w:pStyle w:val="Tabletext"/>
              <w:keepNext w:val="0"/>
              <w:keepLines w:val="0"/>
              <w:rPr>
                <w:rFonts w:cs="Arial"/>
                <w:sz w:val="20"/>
                <w:szCs w:val="20"/>
                <w:lang w:val="fr-FR"/>
              </w:rPr>
            </w:pPr>
          </w:p>
        </w:tc>
      </w:tr>
      <w:tr w:rsidR="00BF7BA8" w:rsidRPr="00681DA8" w:rsidTr="00BF7BA8">
        <w:trPr>
          <w:cantSplit/>
          <w:jc w:val="center"/>
        </w:trPr>
        <w:tc>
          <w:tcPr>
            <w:tcW w:w="9108" w:type="dxa"/>
            <w:gridSpan w:val="5"/>
          </w:tcPr>
          <w:p w:rsidR="00BF7BA8" w:rsidRPr="00B15DC3" w:rsidRDefault="00BF7BA8" w:rsidP="00973319">
            <w:pPr>
              <w:pStyle w:val="Tabletext"/>
              <w:keepNext w:val="0"/>
              <w:keepLines w:val="0"/>
              <w:rPr>
                <w:rFonts w:cs="Arial"/>
                <w:b/>
                <w:sz w:val="20"/>
                <w:szCs w:val="20"/>
                <w:lang w:val="fr-FR"/>
              </w:rPr>
            </w:pPr>
            <w:r w:rsidRPr="00B15DC3">
              <w:rPr>
                <w:rFonts w:cs="Arial"/>
                <w:b/>
                <w:sz w:val="20"/>
                <w:szCs w:val="20"/>
                <w:lang w:val="fr-FR"/>
              </w:rPr>
              <w:t>Réductions</w:t>
            </w:r>
          </w:p>
          <w:p w:rsidR="00BF7BA8" w:rsidRPr="00681DA8" w:rsidRDefault="00BF7BA8" w:rsidP="00973319">
            <w:pPr>
              <w:pStyle w:val="Tabletext"/>
              <w:keepNext w:val="0"/>
              <w:keepLines w:val="0"/>
              <w:rPr>
                <w:rFonts w:cs="Arial"/>
                <w:sz w:val="20"/>
                <w:szCs w:val="20"/>
                <w:lang w:val="fr-FR"/>
              </w:rPr>
            </w:pPr>
          </w:p>
        </w:tc>
      </w:tr>
      <w:tr w:rsidR="00BF7BA8" w:rsidRPr="00581D24"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4.</w:t>
            </w:r>
          </w:p>
        </w:tc>
        <w:tc>
          <w:tcPr>
            <w:tcW w:w="8530" w:type="dxa"/>
            <w:gridSpan w:val="4"/>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La taxe internationale de dépôt est réduite du montant suivant si la demande internationale est, conformément aux instructions administratives, déposée :</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p>
        </w:tc>
        <w:tc>
          <w:tcPr>
            <w:tcW w:w="5536" w:type="dxa"/>
          </w:tcPr>
          <w:p w:rsidR="00BF7BA8" w:rsidRPr="00B15DC3" w:rsidRDefault="00BF7BA8" w:rsidP="00973319">
            <w:pPr>
              <w:pStyle w:val="Tabletext"/>
              <w:keepNext w:val="0"/>
              <w:keepLines w:val="0"/>
              <w:ind w:left="567" w:hanging="567"/>
              <w:rPr>
                <w:rFonts w:cs="Arial"/>
                <w:strike/>
                <w:color w:val="FF0000"/>
                <w:sz w:val="20"/>
                <w:szCs w:val="20"/>
                <w:lang w:val="fr-FR"/>
              </w:rPr>
            </w:pPr>
            <w:r w:rsidRPr="00B15DC3">
              <w:rPr>
                <w:rFonts w:cs="Arial"/>
                <w:strike/>
                <w:color w:val="FF0000"/>
                <w:sz w:val="20"/>
                <w:szCs w:val="20"/>
                <w:lang w:val="fr-FR"/>
              </w:rPr>
              <w:t>a)</w:t>
            </w:r>
            <w:r w:rsidRPr="00B15DC3">
              <w:rPr>
                <w:rFonts w:cs="Arial"/>
                <w:strike/>
                <w:color w:val="FF0000"/>
                <w:sz w:val="20"/>
                <w:szCs w:val="20"/>
                <w:lang w:val="fr-FR"/>
              </w:rPr>
              <w:tab/>
              <w:t>sur papier avec une copie sous forme électronique, en format à codage de caractères, de la requête et de l’abrégé :</w:t>
            </w:r>
          </w:p>
        </w:tc>
        <w:tc>
          <w:tcPr>
            <w:tcW w:w="848" w:type="dxa"/>
          </w:tcPr>
          <w:p w:rsidR="00BF7BA8" w:rsidRPr="00B15DC3" w:rsidRDefault="00BF7BA8" w:rsidP="00973319">
            <w:pPr>
              <w:pStyle w:val="Tabletext"/>
              <w:keepNext w:val="0"/>
              <w:keepLines w:val="0"/>
              <w:tabs>
                <w:tab w:val="right" w:pos="658"/>
              </w:tabs>
              <w:rPr>
                <w:rFonts w:cs="Arial"/>
                <w:strike/>
                <w:color w:val="FF0000"/>
                <w:sz w:val="20"/>
                <w:szCs w:val="20"/>
                <w:lang w:val="fr-FR"/>
              </w:rPr>
            </w:pPr>
            <w:r w:rsidRPr="00B15DC3">
              <w:rPr>
                <w:rFonts w:cs="Arial"/>
                <w:strike/>
                <w:color w:val="FF0000"/>
                <w:sz w:val="20"/>
                <w:szCs w:val="20"/>
                <w:u w:val="single"/>
                <w:lang w:val="fr-FR"/>
              </w:rPr>
              <w:br/>
            </w:r>
            <w:r w:rsidRPr="00B15DC3">
              <w:rPr>
                <w:rFonts w:cs="Arial"/>
                <w:strike/>
                <w:color w:val="FF0000"/>
                <w:sz w:val="20"/>
                <w:szCs w:val="20"/>
                <w:lang w:val="fr-FR"/>
              </w:rPr>
              <w:tab/>
              <w:t xml:space="preserve">100 </w:t>
            </w:r>
          </w:p>
          <w:p w:rsidR="00BF7BA8" w:rsidRPr="00B15DC3" w:rsidRDefault="00BF7BA8" w:rsidP="00973319">
            <w:pPr>
              <w:pStyle w:val="Tabletext"/>
              <w:keepNext w:val="0"/>
              <w:keepLines w:val="0"/>
              <w:tabs>
                <w:tab w:val="right" w:pos="658"/>
              </w:tabs>
              <w:rPr>
                <w:rFonts w:cs="Arial"/>
                <w:strike/>
                <w:color w:val="FF0000"/>
                <w:sz w:val="20"/>
                <w:szCs w:val="20"/>
                <w:lang w:val="fr-FR"/>
              </w:rPr>
            </w:pPr>
          </w:p>
        </w:tc>
        <w:tc>
          <w:tcPr>
            <w:tcW w:w="2146" w:type="dxa"/>
            <w:gridSpan w:val="2"/>
          </w:tcPr>
          <w:p w:rsidR="00BF7BA8" w:rsidRPr="00B15DC3" w:rsidRDefault="00BF7BA8" w:rsidP="00973319">
            <w:pPr>
              <w:pStyle w:val="Tabletext"/>
              <w:keepNext w:val="0"/>
              <w:keepLines w:val="0"/>
              <w:rPr>
                <w:rFonts w:cs="Arial"/>
                <w:strike/>
                <w:color w:val="FF0000"/>
                <w:sz w:val="20"/>
                <w:szCs w:val="20"/>
                <w:lang w:val="fr-FR"/>
              </w:rPr>
            </w:pPr>
          </w:p>
          <w:p w:rsidR="00BF7BA8" w:rsidRPr="00B15DC3" w:rsidRDefault="00BF7BA8" w:rsidP="00973319">
            <w:pPr>
              <w:pStyle w:val="Tabletext"/>
              <w:keepNext w:val="0"/>
              <w:keepLines w:val="0"/>
              <w:rPr>
                <w:rFonts w:cs="Arial"/>
                <w:strike/>
                <w:color w:val="FF0000"/>
                <w:sz w:val="20"/>
                <w:szCs w:val="20"/>
                <w:lang w:val="fr-FR"/>
              </w:rPr>
            </w:pPr>
            <w:r w:rsidRPr="00B15DC3">
              <w:rPr>
                <w:rFonts w:cs="Arial"/>
                <w:strike/>
                <w:color w:val="FF0000"/>
                <w:sz w:val="20"/>
                <w:szCs w:val="20"/>
                <w:lang w:val="fr-FR"/>
              </w:rPr>
              <w:t>francs suisses</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p>
        </w:tc>
        <w:tc>
          <w:tcPr>
            <w:tcW w:w="5536" w:type="dxa"/>
          </w:tcPr>
          <w:p w:rsidR="00BF7BA8" w:rsidRPr="00681DA8" w:rsidRDefault="00BF7BA8" w:rsidP="00973319">
            <w:pPr>
              <w:pStyle w:val="Tabletext"/>
              <w:keepNext w:val="0"/>
              <w:keepLines w:val="0"/>
              <w:ind w:left="567" w:hanging="567"/>
              <w:rPr>
                <w:rFonts w:cs="Arial"/>
                <w:sz w:val="20"/>
                <w:szCs w:val="20"/>
                <w:lang w:val="fr-FR"/>
              </w:rPr>
            </w:pPr>
            <w:r w:rsidRPr="00E90F0F">
              <w:rPr>
                <w:rFonts w:cs="Arial"/>
                <w:strike/>
                <w:color w:val="FF0000"/>
                <w:sz w:val="20"/>
                <w:szCs w:val="20"/>
                <w:lang w:val="fr-FR"/>
              </w:rPr>
              <w:t>b)</w:t>
            </w:r>
            <w:r w:rsidRPr="006814D2">
              <w:rPr>
                <w:rFonts w:cs="Arial"/>
                <w:color w:val="1F497D"/>
                <w:sz w:val="20"/>
                <w:szCs w:val="20"/>
                <w:u w:val="single"/>
                <w:lang w:val="fr-FR"/>
              </w:rPr>
              <w:t>a)</w:t>
            </w:r>
            <w:r w:rsidRPr="00681DA8">
              <w:rPr>
                <w:rFonts w:cs="Arial"/>
                <w:sz w:val="20"/>
                <w:szCs w:val="20"/>
                <w:lang w:val="fr-FR"/>
              </w:rPr>
              <w:tab/>
              <w:t>sous forme électronique, la requête n’étant pas en format à codage de caractères :</w:t>
            </w:r>
          </w:p>
        </w:tc>
        <w:tc>
          <w:tcPr>
            <w:tcW w:w="848" w:type="dxa"/>
          </w:tcPr>
          <w:p w:rsidR="00BF7BA8" w:rsidRPr="00681DA8" w:rsidRDefault="00BF7BA8" w:rsidP="00973319">
            <w:pPr>
              <w:pStyle w:val="Tabletext"/>
              <w:keepNext w:val="0"/>
              <w:keepLines w:val="0"/>
              <w:tabs>
                <w:tab w:val="right" w:pos="658"/>
              </w:tabs>
              <w:rPr>
                <w:rFonts w:cs="Arial"/>
                <w:sz w:val="20"/>
                <w:szCs w:val="20"/>
                <w:lang w:val="fr-FR"/>
              </w:rPr>
            </w:pPr>
            <w:r w:rsidRPr="00681DA8">
              <w:rPr>
                <w:rFonts w:cs="Arial"/>
                <w:sz w:val="20"/>
                <w:szCs w:val="20"/>
                <w:lang w:val="fr-FR"/>
              </w:rPr>
              <w:tab/>
              <w:t xml:space="preserve">100 </w:t>
            </w:r>
          </w:p>
          <w:p w:rsidR="00BF7BA8" w:rsidRPr="00681DA8" w:rsidRDefault="00BF7BA8" w:rsidP="00973319">
            <w:pPr>
              <w:pStyle w:val="Tabletext"/>
              <w:keepNext w:val="0"/>
              <w:keepLines w:val="0"/>
              <w:tabs>
                <w:tab w:val="right" w:pos="658"/>
              </w:tabs>
              <w:rPr>
                <w:rFonts w:cs="Arial"/>
                <w:sz w:val="20"/>
                <w:szCs w:val="20"/>
                <w:lang w:val="fr-FR"/>
              </w:rPr>
            </w:pPr>
          </w:p>
        </w:tc>
        <w:tc>
          <w:tcPr>
            <w:tcW w:w="2146" w:type="dxa"/>
            <w:gridSpan w:val="2"/>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francs suisses</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p>
        </w:tc>
        <w:tc>
          <w:tcPr>
            <w:tcW w:w="5536" w:type="dxa"/>
          </w:tcPr>
          <w:p w:rsidR="00BF7BA8" w:rsidRPr="00681DA8" w:rsidRDefault="00BF7BA8" w:rsidP="00973319">
            <w:pPr>
              <w:pStyle w:val="Tabletext"/>
              <w:keepNext w:val="0"/>
              <w:keepLines w:val="0"/>
              <w:ind w:left="567" w:hanging="567"/>
              <w:rPr>
                <w:rFonts w:cs="Arial"/>
                <w:sz w:val="20"/>
                <w:szCs w:val="20"/>
                <w:lang w:val="fr-FR"/>
              </w:rPr>
            </w:pPr>
            <w:r w:rsidRPr="00E90F0F">
              <w:rPr>
                <w:rFonts w:cs="Arial"/>
                <w:strike/>
                <w:color w:val="FF0000"/>
                <w:sz w:val="20"/>
                <w:szCs w:val="20"/>
                <w:lang w:val="fr-FR"/>
              </w:rPr>
              <w:t>c)</w:t>
            </w:r>
            <w:r w:rsidRPr="006814D2">
              <w:rPr>
                <w:rFonts w:cs="Arial"/>
                <w:color w:val="1F497D"/>
                <w:sz w:val="20"/>
                <w:szCs w:val="20"/>
                <w:u w:val="single"/>
                <w:lang w:val="fr-FR"/>
              </w:rPr>
              <w:t>b)</w:t>
            </w:r>
            <w:r w:rsidRPr="00681DA8">
              <w:rPr>
                <w:rFonts w:cs="Arial"/>
                <w:sz w:val="20"/>
                <w:szCs w:val="20"/>
                <w:lang w:val="fr-FR"/>
              </w:rPr>
              <w:tab/>
              <w:t>sous forme électronique, la requête étant en format à codage de caractères :</w:t>
            </w:r>
          </w:p>
        </w:tc>
        <w:tc>
          <w:tcPr>
            <w:tcW w:w="848" w:type="dxa"/>
          </w:tcPr>
          <w:p w:rsidR="00BF7BA8" w:rsidRPr="00681DA8" w:rsidRDefault="00BF7BA8" w:rsidP="00973319">
            <w:pPr>
              <w:pStyle w:val="Tabletext"/>
              <w:keepNext w:val="0"/>
              <w:keepLines w:val="0"/>
              <w:tabs>
                <w:tab w:val="right" w:pos="658"/>
              </w:tabs>
              <w:rPr>
                <w:rFonts w:cs="Arial"/>
                <w:sz w:val="20"/>
                <w:szCs w:val="20"/>
                <w:lang w:val="fr-FR"/>
              </w:rPr>
            </w:pPr>
            <w:r w:rsidRPr="00681DA8">
              <w:rPr>
                <w:rFonts w:cs="Arial"/>
                <w:sz w:val="20"/>
                <w:szCs w:val="20"/>
                <w:lang w:val="fr-FR"/>
              </w:rPr>
              <w:tab/>
              <w:t xml:space="preserve">200 </w:t>
            </w:r>
          </w:p>
          <w:p w:rsidR="00BF7BA8" w:rsidRPr="00681DA8" w:rsidRDefault="00BF7BA8" w:rsidP="00973319">
            <w:pPr>
              <w:pStyle w:val="Tabletext"/>
              <w:keepNext w:val="0"/>
              <w:keepLines w:val="0"/>
              <w:tabs>
                <w:tab w:val="right" w:pos="658"/>
              </w:tabs>
              <w:rPr>
                <w:rFonts w:cs="Arial"/>
                <w:sz w:val="20"/>
                <w:szCs w:val="20"/>
                <w:lang w:val="fr-FR"/>
              </w:rPr>
            </w:pPr>
          </w:p>
        </w:tc>
        <w:tc>
          <w:tcPr>
            <w:tcW w:w="2146" w:type="dxa"/>
            <w:gridSpan w:val="2"/>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francs suisses</w:t>
            </w:r>
          </w:p>
        </w:tc>
      </w:tr>
      <w:tr w:rsidR="00BF7BA8" w:rsidRPr="00681DA8" w:rsidTr="00BF7BA8">
        <w:trPr>
          <w:cantSplit/>
          <w:jc w:val="center"/>
        </w:trPr>
        <w:tc>
          <w:tcPr>
            <w:tcW w:w="578" w:type="dxa"/>
          </w:tcPr>
          <w:p w:rsidR="00BF7BA8" w:rsidRPr="00681DA8" w:rsidRDefault="00BF7BA8" w:rsidP="00973319">
            <w:pPr>
              <w:pStyle w:val="Tabletext"/>
              <w:keepNext w:val="0"/>
              <w:keepLines w:val="0"/>
              <w:rPr>
                <w:rFonts w:cs="Arial"/>
                <w:sz w:val="20"/>
                <w:szCs w:val="20"/>
                <w:lang w:val="fr-FR"/>
              </w:rPr>
            </w:pPr>
          </w:p>
        </w:tc>
        <w:tc>
          <w:tcPr>
            <w:tcW w:w="5536" w:type="dxa"/>
          </w:tcPr>
          <w:p w:rsidR="00BF7BA8" w:rsidRPr="00681DA8" w:rsidRDefault="00BF7BA8" w:rsidP="00973319">
            <w:pPr>
              <w:pStyle w:val="Tabletext"/>
              <w:keepNext w:val="0"/>
              <w:keepLines w:val="0"/>
              <w:ind w:left="567" w:hanging="567"/>
              <w:rPr>
                <w:rFonts w:cs="Arial"/>
                <w:sz w:val="20"/>
                <w:szCs w:val="20"/>
                <w:lang w:val="fr-FR"/>
              </w:rPr>
            </w:pPr>
            <w:r w:rsidRPr="00E90F0F">
              <w:rPr>
                <w:rFonts w:cs="Arial"/>
                <w:strike/>
                <w:color w:val="FF0000"/>
                <w:sz w:val="20"/>
                <w:szCs w:val="20"/>
                <w:lang w:val="fr-FR"/>
              </w:rPr>
              <w:t>d)</w:t>
            </w:r>
            <w:r w:rsidRPr="006814D2">
              <w:rPr>
                <w:rFonts w:cs="Arial"/>
                <w:color w:val="1F497D"/>
                <w:sz w:val="20"/>
                <w:szCs w:val="20"/>
                <w:u w:val="single"/>
                <w:lang w:val="fr-FR"/>
              </w:rPr>
              <w:t>c)</w:t>
            </w:r>
            <w:r w:rsidRPr="00681DA8">
              <w:rPr>
                <w:rFonts w:cs="Arial"/>
                <w:sz w:val="20"/>
                <w:szCs w:val="20"/>
                <w:lang w:val="fr-FR"/>
              </w:rPr>
              <w:tab/>
              <w:t>sous forme électronique, la requête, la description, les revendications et l’abrégé étant en format à codage de caractères</w:t>
            </w:r>
          </w:p>
        </w:tc>
        <w:tc>
          <w:tcPr>
            <w:tcW w:w="848" w:type="dxa"/>
          </w:tcPr>
          <w:p w:rsidR="00BF7BA8" w:rsidRPr="00681DA8" w:rsidRDefault="00BF7BA8" w:rsidP="00973319">
            <w:pPr>
              <w:pStyle w:val="Tabletext"/>
              <w:keepNext w:val="0"/>
              <w:keepLines w:val="0"/>
              <w:tabs>
                <w:tab w:val="right" w:pos="658"/>
              </w:tabs>
              <w:rPr>
                <w:rFonts w:cs="Arial"/>
                <w:sz w:val="20"/>
                <w:szCs w:val="20"/>
                <w:lang w:val="fr-FR"/>
              </w:rPr>
            </w:pPr>
            <w:r w:rsidRPr="00681DA8">
              <w:rPr>
                <w:rFonts w:cs="Arial"/>
                <w:sz w:val="20"/>
                <w:szCs w:val="20"/>
                <w:u w:val="single"/>
                <w:lang w:val="fr-FR"/>
              </w:rPr>
              <w:br/>
            </w:r>
            <w:r w:rsidRPr="00681DA8">
              <w:rPr>
                <w:rFonts w:cs="Arial"/>
                <w:sz w:val="20"/>
                <w:szCs w:val="20"/>
                <w:lang w:val="fr-FR"/>
              </w:rPr>
              <w:tab/>
              <w:t xml:space="preserve">300 </w:t>
            </w:r>
          </w:p>
        </w:tc>
        <w:tc>
          <w:tcPr>
            <w:tcW w:w="2146" w:type="dxa"/>
            <w:gridSpan w:val="2"/>
          </w:tcPr>
          <w:p w:rsidR="00BF7BA8" w:rsidRPr="00681DA8" w:rsidRDefault="00BF7BA8" w:rsidP="00973319">
            <w:pPr>
              <w:pStyle w:val="Tabletext"/>
              <w:keepNext w:val="0"/>
              <w:keepLines w:val="0"/>
              <w:rPr>
                <w:rFonts w:cs="Arial"/>
                <w:sz w:val="20"/>
                <w:szCs w:val="20"/>
                <w:lang w:val="fr-FR"/>
              </w:rPr>
            </w:pPr>
          </w:p>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francs suisses</w:t>
            </w:r>
          </w:p>
        </w:tc>
      </w:tr>
      <w:tr w:rsidR="00BF7BA8" w:rsidRPr="00581D24" w:rsidTr="00BF7BA8">
        <w:trPr>
          <w:cantSplit/>
          <w:jc w:val="center"/>
        </w:trPr>
        <w:tc>
          <w:tcPr>
            <w:tcW w:w="578" w:type="dxa"/>
          </w:tcPr>
          <w:p w:rsidR="00BF7BA8" w:rsidRPr="00681DA8" w:rsidRDefault="00BF7BA8" w:rsidP="00973319">
            <w:pPr>
              <w:pStyle w:val="Tabletext"/>
              <w:keepNext w:val="0"/>
              <w:keepLines w:val="0"/>
              <w:spacing w:line="480" w:lineRule="auto"/>
              <w:rPr>
                <w:rFonts w:cs="Arial"/>
                <w:sz w:val="20"/>
                <w:szCs w:val="20"/>
                <w:lang w:val="fr-FR"/>
              </w:rPr>
            </w:pPr>
            <w:r w:rsidRPr="00681DA8">
              <w:rPr>
                <w:rFonts w:cs="Arial"/>
                <w:sz w:val="20"/>
                <w:szCs w:val="20"/>
                <w:lang w:val="fr-FR"/>
              </w:rPr>
              <w:t>5.</w:t>
            </w:r>
          </w:p>
        </w:tc>
        <w:tc>
          <w:tcPr>
            <w:tcW w:w="8530" w:type="dxa"/>
            <w:gridSpan w:val="4"/>
          </w:tcPr>
          <w:p w:rsidR="00BF7BA8" w:rsidRPr="00681DA8" w:rsidRDefault="00BF7BA8" w:rsidP="00973319">
            <w:pPr>
              <w:pStyle w:val="Tabletext"/>
              <w:keepNext w:val="0"/>
              <w:keepLines w:val="0"/>
              <w:rPr>
                <w:rFonts w:cs="Arial"/>
                <w:sz w:val="20"/>
                <w:szCs w:val="20"/>
                <w:lang w:val="fr-FR"/>
              </w:rPr>
            </w:pPr>
            <w:r w:rsidRPr="00681DA8">
              <w:rPr>
                <w:rFonts w:cs="Arial"/>
                <w:sz w:val="20"/>
                <w:szCs w:val="20"/>
                <w:lang w:val="fr-FR"/>
              </w:rPr>
              <w:t>La taxe internationale de dépôt prévue au point 1 (compte tenu, le cas échéant, de la réduction prévue au point 4), la taxe de traitement de la recherche supplémentaire prévue au point 2 et la taxe de traitement prévue au point 3 sont réduites de 90% si la demande internationale est déposée par :</w:t>
            </w:r>
          </w:p>
          <w:p w:rsidR="00BF7BA8" w:rsidRPr="00132FAE" w:rsidRDefault="00BF7BA8" w:rsidP="00973319">
            <w:pPr>
              <w:pStyle w:val="Tabletext"/>
              <w:keepNext w:val="0"/>
              <w:keepLines w:val="0"/>
              <w:rPr>
                <w:rFonts w:cs="Arial"/>
                <w:lang w:val="fr-FR"/>
              </w:rPr>
            </w:pPr>
          </w:p>
          <w:p w:rsidR="00BF7BA8" w:rsidRPr="00681DA8" w:rsidRDefault="00BF7BA8" w:rsidP="00973319">
            <w:pPr>
              <w:pStyle w:val="Tabletext"/>
              <w:keepNext w:val="0"/>
              <w:keepLines w:val="0"/>
              <w:ind w:left="567" w:hanging="567"/>
              <w:rPr>
                <w:rFonts w:cs="Arial"/>
                <w:sz w:val="20"/>
                <w:szCs w:val="20"/>
                <w:lang w:val="fr-FR"/>
              </w:rPr>
            </w:pPr>
            <w:r w:rsidRPr="00681DA8">
              <w:rPr>
                <w:rFonts w:cs="Arial"/>
                <w:sz w:val="20"/>
                <w:szCs w:val="20"/>
                <w:lang w:val="fr-FR"/>
              </w:rPr>
              <w:t>a)</w:t>
            </w:r>
            <w:r w:rsidRPr="00681DA8">
              <w:rPr>
                <w:rFonts w:cs="Arial"/>
                <w:sz w:val="20"/>
                <w:szCs w:val="20"/>
                <w:lang w:val="fr-FR"/>
              </w:rPr>
              <w:tab/>
              <w:t xml:space="preserve">un déposant qui est une personne physique ressortissante d’un État, et est domicilié dans un État, </w:t>
            </w:r>
            <w:r w:rsidRPr="00681DA8">
              <w:rPr>
                <w:rStyle w:val="RInsertedText"/>
                <w:rFonts w:cs="Arial"/>
                <w:sz w:val="20"/>
                <w:szCs w:val="20"/>
                <w:lang w:val="fr-FR"/>
              </w:rPr>
              <w:t>qui figure sur la liste des États</w:t>
            </w:r>
            <w:r w:rsidRPr="00681DA8">
              <w:rPr>
                <w:rFonts w:cs="Arial"/>
                <w:sz w:val="20"/>
                <w:szCs w:val="20"/>
                <w:lang w:val="fr-FR"/>
              </w:rPr>
              <w:t xml:space="preserve"> où le </w:t>
            </w:r>
            <w:r w:rsidRPr="00681DA8">
              <w:rPr>
                <w:rStyle w:val="RInsertedText"/>
                <w:rFonts w:cs="Arial"/>
                <w:sz w:val="20"/>
                <w:szCs w:val="20"/>
                <w:lang w:val="fr-FR"/>
              </w:rPr>
              <w:t>produit intérieur brut</w:t>
            </w:r>
            <w:r w:rsidRPr="00681DA8">
              <w:rPr>
                <w:rFonts w:cs="Arial"/>
                <w:sz w:val="20"/>
                <w:szCs w:val="20"/>
                <w:lang w:val="fr-FR"/>
              </w:rPr>
              <w:t xml:space="preserve"> par habitant </w:t>
            </w:r>
            <w:r w:rsidRPr="00681DA8">
              <w:rPr>
                <w:rStyle w:val="RDeletedText"/>
                <w:rFonts w:cs="Arial"/>
                <w:sz w:val="20"/>
                <w:szCs w:val="20"/>
                <w:lang w:val="fr-FR"/>
              </w:rPr>
              <w:t>revenu national</w:t>
            </w:r>
            <w:r w:rsidRPr="00681DA8">
              <w:rPr>
                <w:rFonts w:cs="Arial"/>
                <w:strike/>
                <w:color w:val="FF0000"/>
                <w:sz w:val="20"/>
                <w:szCs w:val="20"/>
                <w:lang w:val="fr-FR"/>
              </w:rPr>
              <w:t xml:space="preserve"> retenu pour arrêter son barème des contributions au titre des années 1995, 1996 et 1997 </w:t>
            </w:r>
            <w:r w:rsidRPr="00681DA8">
              <w:rPr>
                <w:rFonts w:cs="Arial"/>
                <w:sz w:val="20"/>
                <w:szCs w:val="20"/>
                <w:lang w:val="fr-FR"/>
              </w:rPr>
              <w:t xml:space="preserve">est inférieur </w:t>
            </w:r>
            <w:r>
              <w:rPr>
                <w:rFonts w:cs="Arial"/>
                <w:color w:val="0000FF"/>
                <w:sz w:val="20"/>
                <w:szCs w:val="20"/>
                <w:u w:val="single"/>
                <w:lang w:val="fr-FR"/>
              </w:rPr>
              <w:t>à 25</w:t>
            </w:r>
            <w:r w:rsidRPr="00681DA8">
              <w:rPr>
                <w:rFonts w:cs="Arial"/>
                <w:color w:val="0000FF"/>
                <w:sz w:val="20"/>
                <w:szCs w:val="20"/>
                <w:u w:val="single"/>
                <w:lang w:val="fr-FR"/>
              </w:rPr>
              <w:t> 000</w:t>
            </w:r>
            <w:r w:rsidRPr="00681DA8">
              <w:rPr>
                <w:rFonts w:cs="Arial"/>
                <w:sz w:val="20"/>
                <w:szCs w:val="20"/>
                <w:lang w:val="fr-FR"/>
              </w:rPr>
              <w:t xml:space="preserve"> </w:t>
            </w:r>
            <w:r w:rsidRPr="00681DA8">
              <w:rPr>
                <w:rFonts w:cs="Arial"/>
                <w:strike/>
                <w:color w:val="FF0000"/>
                <w:sz w:val="20"/>
                <w:szCs w:val="20"/>
                <w:lang w:val="fr-FR"/>
              </w:rPr>
              <w:t>3000</w:t>
            </w:r>
            <w:r w:rsidRPr="00681DA8">
              <w:rPr>
                <w:rFonts w:cs="Arial"/>
                <w:sz w:val="20"/>
                <w:szCs w:val="20"/>
                <w:lang w:val="fr-FR"/>
              </w:rPr>
              <w:t xml:space="preserve"> dollars des États</w:t>
            </w:r>
            <w:r w:rsidRPr="00681DA8">
              <w:rPr>
                <w:rFonts w:cs="Arial"/>
                <w:sz w:val="20"/>
                <w:szCs w:val="20"/>
                <w:lang w:val="fr-FR"/>
              </w:rPr>
              <w:noBreakHyphen/>
              <w:t>Unis d’Amérique</w:t>
            </w:r>
            <w:r w:rsidRPr="00681DA8">
              <w:rPr>
                <w:rFonts w:ascii="Times New Roman" w:hAnsi="Times New Roman" w:cs="Arial"/>
                <w:sz w:val="20"/>
                <w:szCs w:val="20"/>
                <w:lang w:val="fr-FR"/>
              </w:rPr>
              <w:t xml:space="preserve"> </w:t>
            </w:r>
            <w:r w:rsidRPr="00681DA8">
              <w:rPr>
                <w:rFonts w:cs="Arial"/>
                <w:sz w:val="20"/>
                <w:szCs w:val="20"/>
                <w:lang w:val="fr-FR"/>
              </w:rPr>
              <w:t xml:space="preserve">(déterminé d’après les données publiées par l’Organisation des Nations Unies concernant </w:t>
            </w:r>
            <w:r w:rsidRPr="00681DA8">
              <w:rPr>
                <w:rFonts w:cs="Arial"/>
                <w:color w:val="0000FF"/>
                <w:sz w:val="20"/>
                <w:szCs w:val="20"/>
                <w:u w:val="single"/>
                <w:lang w:val="fr-FR"/>
              </w:rPr>
              <w:t>le</w:t>
            </w:r>
            <w:r w:rsidRPr="00681DA8">
              <w:rPr>
                <w:rStyle w:val="RInsertedText"/>
                <w:rFonts w:cs="Arial"/>
                <w:sz w:val="20"/>
                <w:szCs w:val="20"/>
                <w:lang w:val="fr-FR"/>
              </w:rPr>
              <w:t xml:space="preserve"> produit intérieur brut moyen </w:t>
            </w:r>
            <w:r w:rsidRPr="00681DA8">
              <w:rPr>
                <w:rFonts w:cs="Arial"/>
                <w:strike/>
                <w:color w:val="FF0000"/>
                <w:sz w:val="20"/>
                <w:szCs w:val="20"/>
                <w:lang w:val="fr-FR"/>
              </w:rPr>
              <w:t>revenu national moyen</w:t>
            </w:r>
            <w:r w:rsidRPr="00681DA8">
              <w:rPr>
                <w:rFonts w:cs="Arial"/>
                <w:sz w:val="20"/>
                <w:szCs w:val="20"/>
                <w:lang w:val="fr-FR"/>
              </w:rPr>
              <w:t xml:space="preserve"> par habitant</w:t>
            </w:r>
            <w:r w:rsidRPr="00681DA8">
              <w:rPr>
                <w:rFonts w:cs="Arial"/>
                <w:strike/>
                <w:color w:val="FF0000"/>
                <w:sz w:val="20"/>
                <w:szCs w:val="20"/>
                <w:lang w:val="fr-FR"/>
              </w:rPr>
              <w:t xml:space="preserve"> sur quatre ans</w:t>
            </w:r>
            <w:r w:rsidRPr="00681DA8">
              <w:rPr>
                <w:rFonts w:cs="Arial"/>
                <w:sz w:val="20"/>
                <w:szCs w:val="20"/>
                <w:lang w:val="fr-FR"/>
              </w:rPr>
              <w:t xml:space="preserve"> </w:t>
            </w:r>
            <w:r w:rsidRPr="00681DA8">
              <w:rPr>
                <w:rStyle w:val="RInsertedText"/>
                <w:rFonts w:cs="Arial"/>
                <w:sz w:val="20"/>
                <w:szCs w:val="20"/>
                <w:lang w:val="fr-FR"/>
              </w:rPr>
              <w:t>sur les dix dernières années, exprimé en dollars des États</w:t>
            </w:r>
            <w:r w:rsidRPr="00681DA8">
              <w:rPr>
                <w:rStyle w:val="RInsertedText"/>
                <w:rFonts w:cs="Arial"/>
                <w:sz w:val="20"/>
                <w:szCs w:val="20"/>
                <w:lang w:val="fr-FR"/>
              </w:rPr>
              <w:noBreakHyphen/>
              <w:t>Unis d’Améri</w:t>
            </w:r>
            <w:r>
              <w:rPr>
                <w:rStyle w:val="RInsertedText"/>
                <w:rFonts w:cs="Arial"/>
                <w:sz w:val="20"/>
                <w:szCs w:val="20"/>
                <w:lang w:val="fr-FR"/>
              </w:rPr>
              <w:t>que constants par rapport à 2005</w:t>
            </w:r>
            <w:r w:rsidRPr="00681DA8">
              <w:rPr>
                <w:rFonts w:cs="Arial"/>
                <w:sz w:val="20"/>
                <w:szCs w:val="20"/>
                <w:u w:val="single"/>
                <w:lang w:val="fr-FR"/>
              </w:rPr>
              <w:t>),</w:t>
            </w:r>
            <w:r w:rsidRPr="00681DA8">
              <w:rPr>
                <w:rStyle w:val="RInsertedText"/>
                <w:rFonts w:cs="Arial"/>
                <w:sz w:val="20"/>
                <w:szCs w:val="20"/>
                <w:lang w:val="fr-FR"/>
              </w:rPr>
              <w:t xml:space="preserve"> et dont les ressortissants et les résidents qui sont des personnes physiques ont déposé moins de dix demandes internationales par an </w:t>
            </w:r>
            <w:r>
              <w:rPr>
                <w:rStyle w:val="RInsertedText"/>
                <w:rFonts w:cs="Arial"/>
                <w:sz w:val="20"/>
                <w:szCs w:val="20"/>
                <w:lang w:val="fr-FR"/>
              </w:rPr>
              <w:t>(</w:t>
            </w:r>
            <w:r w:rsidRPr="00681DA8">
              <w:rPr>
                <w:rStyle w:val="RInsertedText"/>
                <w:rFonts w:cs="Arial"/>
                <w:sz w:val="20"/>
                <w:szCs w:val="20"/>
                <w:lang w:val="fr-FR"/>
              </w:rPr>
              <w:t>pour un million de personnes</w:t>
            </w:r>
            <w:r>
              <w:rPr>
                <w:rStyle w:val="RInsertedText"/>
                <w:rFonts w:cs="Arial"/>
                <w:sz w:val="20"/>
                <w:szCs w:val="20"/>
                <w:lang w:val="fr-FR"/>
              </w:rPr>
              <w:t>)</w:t>
            </w:r>
            <w:r w:rsidRPr="00681DA8">
              <w:rPr>
                <w:rStyle w:val="RInsertedText"/>
                <w:rFonts w:cs="Arial"/>
                <w:sz w:val="20"/>
                <w:szCs w:val="20"/>
                <w:lang w:val="fr-FR"/>
              </w:rPr>
              <w:t xml:space="preserve"> </w:t>
            </w:r>
            <w:r>
              <w:rPr>
                <w:rStyle w:val="RInsertedText"/>
                <w:rFonts w:cs="Arial"/>
                <w:sz w:val="20"/>
                <w:szCs w:val="20"/>
                <w:lang w:val="fr-FR"/>
              </w:rPr>
              <w:t xml:space="preserve">ou moins de 50 demandes internationales par an (en chiffres absolus) </w:t>
            </w:r>
            <w:r w:rsidRPr="00681DA8">
              <w:rPr>
                <w:rStyle w:val="RInsertedText"/>
                <w:rFonts w:cs="Arial"/>
                <w:sz w:val="20"/>
                <w:szCs w:val="20"/>
                <w:lang w:val="fr-FR"/>
              </w:rPr>
              <w:t>selon les données publiées par le Bureau international concernant le nombre moyen de dépôts annuels sur les cinq dernières années</w:t>
            </w:r>
            <w:r w:rsidRPr="00681DA8">
              <w:rPr>
                <w:rStyle w:val="RInsertedText"/>
                <w:rFonts w:cs="Arial"/>
                <w:strike/>
                <w:color w:val="FF0000"/>
                <w:sz w:val="20"/>
                <w:szCs w:val="20"/>
                <w:lang w:val="fr-FR"/>
              </w:rPr>
              <w:t xml:space="preserve"> ou, en attendant la décision de l’Assemblée de l’Union du PCT sur les critères applicables expressément indiqués dans le présent sous alinéa, qui est ressortissant d’un des États suivants et y est domicilié : Antigua et Barbuda, Bahreïn, Barbade, Émirats arabes unis, Jamahiriya arabe libyenne, Oman, Seychelles, Singapour et Trinité et Tobago</w:t>
            </w:r>
            <w:r w:rsidRPr="00CD0D12">
              <w:rPr>
                <w:rStyle w:val="RInsertedText"/>
                <w:rFonts w:cs="Arial"/>
                <w:sz w:val="20"/>
                <w:szCs w:val="20"/>
                <w:lang w:val="fr-FR"/>
              </w:rPr>
              <w:t>;</w:t>
            </w:r>
            <w:r>
              <w:rPr>
                <w:rStyle w:val="RInsertedText"/>
                <w:rFonts w:cs="Arial"/>
                <w:sz w:val="20"/>
                <w:szCs w:val="20"/>
                <w:lang w:val="fr-FR"/>
              </w:rPr>
              <w:t xml:space="preserve">  </w:t>
            </w:r>
            <w:r w:rsidRPr="00681DA8">
              <w:rPr>
                <w:rFonts w:cs="Arial"/>
                <w:sz w:val="20"/>
                <w:szCs w:val="20"/>
                <w:lang w:val="fr-FR"/>
              </w:rPr>
              <w:t>ou</w:t>
            </w:r>
          </w:p>
          <w:p w:rsidR="00BF7BA8" w:rsidRPr="00132FAE" w:rsidRDefault="00BF7BA8" w:rsidP="00973319">
            <w:pPr>
              <w:pStyle w:val="Tabletext"/>
              <w:keepNext w:val="0"/>
              <w:keepLines w:val="0"/>
              <w:ind w:left="567" w:hanging="567"/>
              <w:rPr>
                <w:rFonts w:cs="Arial"/>
                <w:lang w:val="fr-FR"/>
              </w:rPr>
            </w:pPr>
          </w:p>
          <w:p w:rsidR="00BF7BA8" w:rsidRDefault="00BF7BA8" w:rsidP="00973319">
            <w:pPr>
              <w:pStyle w:val="Tabletext"/>
              <w:keepNext w:val="0"/>
              <w:keepLines w:val="0"/>
              <w:ind w:left="567" w:hanging="567"/>
              <w:rPr>
                <w:sz w:val="20"/>
                <w:szCs w:val="20"/>
                <w:lang w:val="fr-FR"/>
              </w:rPr>
            </w:pPr>
            <w:r w:rsidRPr="00D651C2">
              <w:rPr>
                <w:sz w:val="20"/>
                <w:szCs w:val="20"/>
                <w:lang w:val="fr-FR"/>
              </w:rPr>
              <w:t>b)</w:t>
            </w:r>
            <w:r w:rsidRPr="00681DA8">
              <w:rPr>
                <w:lang w:val="fr-FR"/>
              </w:rPr>
              <w:tab/>
            </w:r>
            <w:r w:rsidRPr="00132FAE">
              <w:rPr>
                <w:sz w:val="20"/>
                <w:szCs w:val="20"/>
                <w:lang w:val="fr-FR"/>
              </w:rPr>
              <w:t xml:space="preserve">un déposant qui est personne physique ou une personne morale ressortissante d’un État, et est domiciliée dans un État, qui </w:t>
            </w:r>
            <w:r w:rsidRPr="00132FAE">
              <w:rPr>
                <w:strike/>
                <w:color w:val="FF0000"/>
                <w:sz w:val="20"/>
                <w:szCs w:val="20"/>
                <w:lang w:val="fr-FR"/>
              </w:rPr>
              <w:t>est</w:t>
            </w:r>
            <w:r w:rsidRPr="00132FAE">
              <w:rPr>
                <w:sz w:val="20"/>
                <w:szCs w:val="20"/>
                <w:lang w:val="fr-FR"/>
              </w:rPr>
              <w:t xml:space="preserve"> </w:t>
            </w:r>
            <w:r w:rsidRPr="00132FAE">
              <w:rPr>
                <w:color w:val="0000FF"/>
                <w:sz w:val="20"/>
                <w:szCs w:val="20"/>
                <w:u w:val="single"/>
                <w:lang w:val="fr-FR"/>
              </w:rPr>
              <w:t>figure sur la liste des États</w:t>
            </w:r>
            <w:r w:rsidRPr="00132FAE">
              <w:rPr>
                <w:sz w:val="20"/>
                <w:szCs w:val="20"/>
                <w:lang w:val="fr-FR"/>
              </w:rPr>
              <w:t xml:space="preserve"> classé</w:t>
            </w:r>
            <w:r w:rsidRPr="00132FAE">
              <w:rPr>
                <w:color w:val="0000FF"/>
                <w:sz w:val="20"/>
                <w:szCs w:val="20"/>
                <w:u w:val="single"/>
                <w:lang w:val="fr-FR"/>
              </w:rPr>
              <w:t>s par</w:t>
            </w:r>
            <w:r w:rsidRPr="00132FAE">
              <w:rPr>
                <w:sz w:val="20"/>
                <w:szCs w:val="20"/>
                <w:lang w:val="fr-FR"/>
              </w:rPr>
              <w:t xml:space="preserve"> </w:t>
            </w:r>
            <w:r w:rsidRPr="00132FAE">
              <w:rPr>
                <w:color w:val="0000FF"/>
                <w:sz w:val="20"/>
                <w:szCs w:val="20"/>
                <w:u w:val="single"/>
                <w:lang w:val="fr-FR"/>
              </w:rPr>
              <w:t>l’Organisation des Nations Unies</w:t>
            </w:r>
            <w:r w:rsidRPr="00132FAE">
              <w:rPr>
                <w:sz w:val="20"/>
                <w:szCs w:val="20"/>
                <w:lang w:val="fr-FR"/>
              </w:rPr>
              <w:t xml:space="preserve"> dans la catégorie des pays les moins avancés </w:t>
            </w:r>
            <w:r w:rsidRPr="00132FAE">
              <w:rPr>
                <w:strike/>
                <w:color w:val="FF0000"/>
                <w:sz w:val="20"/>
                <w:szCs w:val="20"/>
                <w:lang w:val="fr-FR"/>
              </w:rPr>
              <w:t>par l’Organisation des Nations Unies</w:t>
            </w:r>
            <w:r w:rsidRPr="00132FAE">
              <w:rPr>
                <w:sz w:val="20"/>
                <w:szCs w:val="20"/>
                <w:lang w:val="fr-FR"/>
              </w:rPr>
              <w:t xml:space="preserve">, </w:t>
            </w:r>
          </w:p>
          <w:p w:rsidR="00BF7BA8" w:rsidRPr="00132FAE" w:rsidRDefault="00BF7BA8" w:rsidP="00973319">
            <w:pPr>
              <w:pStyle w:val="Tabletext"/>
              <w:keepNext w:val="0"/>
              <w:keepLines w:val="0"/>
              <w:ind w:left="567" w:hanging="567"/>
              <w:rPr>
                <w:lang w:val="fr-FR"/>
              </w:rPr>
            </w:pPr>
          </w:p>
          <w:p w:rsidR="00BF7BA8" w:rsidRPr="00681DA8" w:rsidRDefault="00BF7BA8" w:rsidP="00973319">
            <w:pPr>
              <w:pStyle w:val="Tabletext"/>
              <w:keepNext w:val="0"/>
              <w:keepLines w:val="0"/>
              <w:rPr>
                <w:rFonts w:cs="Arial"/>
                <w:sz w:val="20"/>
                <w:szCs w:val="20"/>
                <w:lang w:val="fr-FR"/>
              </w:rPr>
            </w:pPr>
            <w:r w:rsidRPr="00132FAE">
              <w:rPr>
                <w:sz w:val="20"/>
                <w:szCs w:val="20"/>
                <w:lang w:val="fr-FR"/>
              </w:rPr>
              <w:t xml:space="preserve">étant entendu que, s’il y a plusieurs déposants, chacun d’entre eux doit satisfaire au moins à l’un des critères énoncés au point 5 a) ou b).  </w:t>
            </w:r>
            <w:r w:rsidRPr="00132FAE">
              <w:rPr>
                <w:rStyle w:val="RInsertedText"/>
                <w:rFonts w:cs="Arial"/>
                <w:sz w:val="20"/>
                <w:szCs w:val="20"/>
                <w:lang w:val="fr-FR"/>
              </w:rPr>
              <w:t>Les listes d’États visées aux points a) et b) sont mises à jour par le Directeur général au moins tous les cinq ans conformément aux directives données par l’assemblée.</w:t>
            </w:r>
            <w:r>
              <w:rPr>
                <w:rStyle w:val="RInsertedText"/>
                <w:rFonts w:cs="Arial"/>
                <w:sz w:val="20"/>
                <w:szCs w:val="20"/>
                <w:lang w:val="fr-FR"/>
              </w:rPr>
              <w:t xml:space="preserve">  Les critères énoncés aux points a) et b) sont réexaminés par l’assemblée au moins tous les cinq ans.</w:t>
            </w:r>
          </w:p>
        </w:tc>
      </w:tr>
    </w:tbl>
    <w:p w:rsidR="00BF7BA8" w:rsidRDefault="00BF7BA8" w:rsidP="00D651C2">
      <w:pPr>
        <w:pStyle w:val="Endofdocument"/>
        <w:rPr>
          <w:lang w:val="fr-FR"/>
        </w:rPr>
      </w:pPr>
      <w:r>
        <w:rPr>
          <w:lang w:val="fr-FR"/>
        </w:rPr>
        <w:t>[L’annexe II suit]</w:t>
      </w:r>
    </w:p>
    <w:p w:rsidR="00BF7BA8" w:rsidRPr="00B7599D" w:rsidRDefault="00BF7BA8" w:rsidP="001C263E">
      <w:pPr>
        <w:pStyle w:val="Endofdocument"/>
        <w:rPr>
          <w:lang w:val="fr-FR"/>
        </w:rPr>
        <w:sectPr w:rsidR="00BF7BA8" w:rsidRPr="00B7599D" w:rsidSect="004B6F33">
          <w:headerReference w:type="default" r:id="rId13"/>
          <w:headerReference w:type="first" r:id="rId14"/>
          <w:footerReference w:type="first" r:id="rId15"/>
          <w:pgSz w:w="11907" w:h="16840" w:code="9"/>
          <w:pgMar w:top="567" w:right="851" w:bottom="1418" w:left="1418" w:header="510" w:footer="1021" w:gutter="0"/>
          <w:cols w:space="720"/>
          <w:titlePg/>
        </w:sectPr>
      </w:pPr>
    </w:p>
    <w:p w:rsidR="005F6828" w:rsidRPr="00B7599D" w:rsidRDefault="005F6828" w:rsidP="005F6828">
      <w:pPr>
        <w:ind w:left="284"/>
        <w:jc w:val="center"/>
        <w:rPr>
          <w:lang w:val="fr-FR"/>
        </w:rPr>
      </w:pPr>
      <w:r w:rsidRPr="00B7599D">
        <w:rPr>
          <w:lang w:val="fr-FR"/>
        </w:rPr>
        <w:lastRenderedPageBreak/>
        <w:t>PROPOSITION DE DIRECTIVES CONCERNANT LA MISE À JOUR DES LISTES</w:t>
      </w:r>
      <w:r w:rsidR="004D3DF9">
        <w:rPr>
          <w:lang w:val="fr-FR"/>
        </w:rPr>
        <w:br/>
      </w:r>
      <w:r w:rsidRPr="00B7599D">
        <w:rPr>
          <w:lang w:val="fr-FR"/>
        </w:rPr>
        <w:t>DES ÉTATS SATISFAISANT AUX CRITÈRES DONNANT DROIT</w:t>
      </w:r>
      <w:r w:rsidR="004D3DF9">
        <w:rPr>
          <w:lang w:val="fr-FR"/>
        </w:rPr>
        <w:br/>
      </w:r>
      <w:r w:rsidRPr="00B7599D">
        <w:rPr>
          <w:lang w:val="fr-FR"/>
        </w:rPr>
        <w:t>À LA RÉDU</w:t>
      </w:r>
      <w:r w:rsidR="004D3DF9">
        <w:rPr>
          <w:lang w:val="fr-FR"/>
        </w:rPr>
        <w:t xml:space="preserve">CTION DE CERTAINES TAXES </w:t>
      </w:r>
      <w:r w:rsidR="004D3DF9" w:rsidRPr="00D322AC">
        <w:rPr>
          <w:lang w:val="fr-FR"/>
        </w:rPr>
        <w:t>DU </w:t>
      </w:r>
      <w:r w:rsidRPr="004D3DF9">
        <w:rPr>
          <w:lang w:val="fr-FR"/>
        </w:rPr>
        <w:t>PCT</w:t>
      </w:r>
    </w:p>
    <w:p w:rsidR="005F6828" w:rsidRPr="00B7599D" w:rsidRDefault="005F6828" w:rsidP="001C263E">
      <w:pPr>
        <w:rPr>
          <w:lang w:val="fr-FR"/>
        </w:rPr>
      </w:pPr>
    </w:p>
    <w:p w:rsidR="005F6828" w:rsidRPr="00B7599D" w:rsidRDefault="005F6828" w:rsidP="005F6828">
      <w:pPr>
        <w:pStyle w:val="ONUME"/>
        <w:numPr>
          <w:ilvl w:val="0"/>
          <w:numId w:val="0"/>
        </w:numPr>
        <w:rPr>
          <w:lang w:val="fr-FR"/>
        </w:rPr>
      </w:pPr>
      <w:r w:rsidRPr="00B7599D">
        <w:rPr>
          <w:lang w:val="fr-FR"/>
        </w:rPr>
        <w:t>L</w:t>
      </w:r>
      <w:r w:rsidR="002F6E75" w:rsidRPr="00B7599D">
        <w:rPr>
          <w:lang w:val="fr-FR"/>
        </w:rPr>
        <w:t>’</w:t>
      </w:r>
      <w:r w:rsidRPr="00B7599D">
        <w:rPr>
          <w:lang w:val="fr-FR"/>
        </w:rPr>
        <w:t>assemblée établit ci</w:t>
      </w:r>
      <w:r w:rsidR="004B6F33" w:rsidRPr="00B7599D">
        <w:rPr>
          <w:lang w:val="fr-FR"/>
        </w:rPr>
        <w:noBreakHyphen/>
      </w:r>
      <w:r w:rsidRPr="00B7599D">
        <w:rPr>
          <w:lang w:val="fr-FR"/>
        </w:rPr>
        <w:t>après les directives mentionnées dans le barème de taxes, étant entendu que, sur la base de l</w:t>
      </w:r>
      <w:r w:rsidR="002F6E75" w:rsidRPr="00B7599D">
        <w:rPr>
          <w:lang w:val="fr-FR"/>
        </w:rPr>
        <w:t>’</w:t>
      </w:r>
      <w:r w:rsidRPr="00B7599D">
        <w:rPr>
          <w:lang w:val="fr-FR"/>
        </w:rPr>
        <w:t>expérience acquise, elle peut modifier à tout moment ces directives :</w:t>
      </w:r>
    </w:p>
    <w:p w:rsidR="005F6828" w:rsidRPr="00B7599D" w:rsidRDefault="005F6828" w:rsidP="005F6828">
      <w:pPr>
        <w:pStyle w:val="ONUME"/>
        <w:numPr>
          <w:ilvl w:val="0"/>
          <w:numId w:val="8"/>
        </w:numPr>
        <w:rPr>
          <w:lang w:val="fr-FR"/>
        </w:rPr>
      </w:pPr>
      <w:r w:rsidRPr="00B7599D">
        <w:rPr>
          <w:lang w:val="fr-FR"/>
        </w:rPr>
        <w:t>Cinq années après l</w:t>
      </w:r>
      <w:r w:rsidR="002F6E75" w:rsidRPr="00B7599D">
        <w:rPr>
          <w:lang w:val="fr-FR"/>
        </w:rPr>
        <w:t>’</w:t>
      </w:r>
      <w:r w:rsidRPr="00B7599D">
        <w:rPr>
          <w:lang w:val="fr-FR"/>
        </w:rPr>
        <w:t>établissement de la première liste des États satisfaisant aux critères visés au point</w:t>
      </w:r>
      <w:r w:rsidR="00F436BF" w:rsidRPr="00B7599D">
        <w:rPr>
          <w:lang w:val="fr-FR"/>
        </w:rPr>
        <w:t> </w:t>
      </w:r>
      <w:r w:rsidRPr="00B7599D">
        <w:rPr>
          <w:lang w:val="fr-FR"/>
        </w:rPr>
        <w:t>5.a) et b)</w:t>
      </w:r>
      <w:r w:rsidR="00F436BF" w:rsidRPr="00B7599D">
        <w:rPr>
          <w:lang w:val="fr-FR"/>
        </w:rPr>
        <w:t> </w:t>
      </w:r>
      <w:r w:rsidRPr="00B7599D">
        <w:rPr>
          <w:lang w:val="fr-FR"/>
        </w:rPr>
        <w:t>du barème de tax</w:t>
      </w:r>
      <w:r w:rsidR="004B6B64" w:rsidRPr="00B7599D">
        <w:rPr>
          <w:lang w:val="fr-FR"/>
        </w:rPr>
        <w:t>es, puis tous les cinq</w:t>
      </w:r>
      <w:r w:rsidR="00F436BF" w:rsidRPr="00B7599D">
        <w:rPr>
          <w:lang w:val="fr-FR"/>
        </w:rPr>
        <w:t> </w:t>
      </w:r>
      <w:r w:rsidR="004B6B64" w:rsidRPr="00B7599D">
        <w:rPr>
          <w:lang w:val="fr-FR"/>
        </w:rPr>
        <w:t>ans, le D</w:t>
      </w:r>
      <w:r w:rsidRPr="00B7599D">
        <w:rPr>
          <w:lang w:val="fr-FR"/>
        </w:rPr>
        <w:t xml:space="preserve">irecteur général établit des projets de listes des États qui </w:t>
      </w:r>
      <w:r w:rsidR="00074548">
        <w:rPr>
          <w:lang w:val="fr-FR"/>
        </w:rPr>
        <w:t>satisfont a priori</w:t>
      </w:r>
      <w:r w:rsidRPr="00B7599D">
        <w:rPr>
          <w:lang w:val="fr-FR"/>
        </w:rPr>
        <w:t xml:space="preserve"> aux critères mentionnés</w:t>
      </w:r>
    </w:p>
    <w:p w:rsidR="005F6828" w:rsidRPr="00B7599D" w:rsidRDefault="005F6828" w:rsidP="005F6828">
      <w:pPr>
        <w:pStyle w:val="ONUME"/>
        <w:numPr>
          <w:ilvl w:val="0"/>
          <w:numId w:val="0"/>
        </w:numPr>
        <w:ind w:left="567"/>
        <w:rPr>
          <w:lang w:val="fr-FR"/>
        </w:rPr>
      </w:pPr>
      <w:r w:rsidRPr="00B7599D">
        <w:rPr>
          <w:lang w:val="fr-FR"/>
        </w:rPr>
        <w:t>i)</w:t>
      </w:r>
      <w:r w:rsidRPr="00B7599D">
        <w:rPr>
          <w:lang w:val="fr-FR"/>
        </w:rPr>
        <w:tab/>
        <w:t>au point</w:t>
      </w:r>
      <w:r w:rsidR="00F436BF" w:rsidRPr="00B7599D">
        <w:rPr>
          <w:lang w:val="fr-FR"/>
        </w:rPr>
        <w:t> </w:t>
      </w:r>
      <w:r w:rsidRPr="00B7599D">
        <w:rPr>
          <w:lang w:val="fr-FR"/>
        </w:rPr>
        <w:t>5.a) du barème de taxes selon les données publiées par l</w:t>
      </w:r>
      <w:r w:rsidR="002F6E75" w:rsidRPr="00B7599D">
        <w:rPr>
          <w:lang w:val="fr-FR"/>
        </w:rPr>
        <w:t>’</w:t>
      </w:r>
      <w:r w:rsidRPr="00B7599D">
        <w:rPr>
          <w:lang w:val="fr-FR"/>
        </w:rPr>
        <w:t xml:space="preserve">Organisation des Nations Unies concernant le produit intérieur brut par habitant sur la moyenne des </w:t>
      </w:r>
      <w:r w:rsidR="00F436BF" w:rsidRPr="00B7599D">
        <w:rPr>
          <w:lang w:val="fr-FR"/>
        </w:rPr>
        <w:t>10 </w:t>
      </w:r>
      <w:r w:rsidRPr="00B7599D">
        <w:rPr>
          <w:lang w:val="fr-FR"/>
        </w:rPr>
        <w:t>dernières années au moins deux</w:t>
      </w:r>
      <w:r w:rsidR="00F436BF" w:rsidRPr="00B7599D">
        <w:rPr>
          <w:lang w:val="fr-FR"/>
        </w:rPr>
        <w:t> </w:t>
      </w:r>
      <w:r w:rsidRPr="00B7599D">
        <w:rPr>
          <w:lang w:val="fr-FR"/>
        </w:rPr>
        <w:t>semaines avant le premier jour de la session de l</w:t>
      </w:r>
      <w:r w:rsidR="002F6E75" w:rsidRPr="00B7599D">
        <w:rPr>
          <w:lang w:val="fr-FR"/>
        </w:rPr>
        <w:t>’</w:t>
      </w:r>
      <w:r w:rsidRPr="00B7599D">
        <w:rPr>
          <w:lang w:val="fr-FR"/>
        </w:rPr>
        <w:t>assemblée;</w:t>
      </w:r>
    </w:p>
    <w:p w:rsidR="005F6828" w:rsidRPr="00B7599D" w:rsidRDefault="005F6828" w:rsidP="005F6828">
      <w:pPr>
        <w:pStyle w:val="ONUME"/>
        <w:numPr>
          <w:ilvl w:val="0"/>
          <w:numId w:val="0"/>
        </w:numPr>
        <w:ind w:left="567"/>
        <w:rPr>
          <w:lang w:val="fr-FR"/>
        </w:rPr>
      </w:pPr>
      <w:r w:rsidRPr="00B7599D">
        <w:rPr>
          <w:lang w:val="fr-FR"/>
        </w:rPr>
        <w:t>ii)</w:t>
      </w:r>
      <w:r w:rsidRPr="00B7599D">
        <w:rPr>
          <w:lang w:val="fr-FR"/>
        </w:rPr>
        <w:tab/>
        <w:t>au point 5.b) du barème de taxes selon la liste la plus récente des pays classés par l</w:t>
      </w:r>
      <w:r w:rsidR="002F6E75" w:rsidRPr="00B7599D">
        <w:rPr>
          <w:lang w:val="fr-FR"/>
        </w:rPr>
        <w:t>’</w:t>
      </w:r>
      <w:r w:rsidRPr="00B7599D">
        <w:rPr>
          <w:lang w:val="fr-FR"/>
        </w:rPr>
        <w:t>Organisation des Nations Unies dans la catégorie des pays les moins avancés, publiée au moins deux semaines avant le premier jour de cette session de l</w:t>
      </w:r>
      <w:r w:rsidR="002F6E75" w:rsidRPr="00B7599D">
        <w:rPr>
          <w:lang w:val="fr-FR"/>
        </w:rPr>
        <w:t>’</w:t>
      </w:r>
      <w:r w:rsidRPr="00B7599D">
        <w:rPr>
          <w:lang w:val="fr-FR"/>
        </w:rPr>
        <w:t>assemblée;</w:t>
      </w:r>
    </w:p>
    <w:p w:rsidR="005F6828" w:rsidRPr="00B7599D" w:rsidRDefault="005F6828" w:rsidP="005F6828">
      <w:pPr>
        <w:pStyle w:val="ONUME"/>
        <w:numPr>
          <w:ilvl w:val="0"/>
          <w:numId w:val="0"/>
        </w:numPr>
        <w:rPr>
          <w:lang w:val="fr-FR"/>
        </w:rPr>
      </w:pPr>
      <w:proofErr w:type="gramStart"/>
      <w:r w:rsidRPr="00B7599D">
        <w:rPr>
          <w:lang w:val="fr-FR"/>
        </w:rPr>
        <w:t>et</w:t>
      </w:r>
      <w:proofErr w:type="gramEnd"/>
      <w:r w:rsidRPr="00B7599D">
        <w:rPr>
          <w:lang w:val="fr-FR"/>
        </w:rPr>
        <w:t xml:space="preserve"> il communique ces listes aux États contractants du PCT et aux États ayant le statut d</w:t>
      </w:r>
      <w:r w:rsidR="002F6E75" w:rsidRPr="00B7599D">
        <w:rPr>
          <w:lang w:val="fr-FR"/>
        </w:rPr>
        <w:t>’</w:t>
      </w:r>
      <w:r w:rsidRPr="00B7599D">
        <w:rPr>
          <w:lang w:val="fr-FR"/>
        </w:rPr>
        <w:t>observateur auprès de l</w:t>
      </w:r>
      <w:r w:rsidR="002F6E75" w:rsidRPr="00B7599D">
        <w:rPr>
          <w:lang w:val="fr-FR"/>
        </w:rPr>
        <w:t>’</w:t>
      </w:r>
      <w:r w:rsidRPr="00B7599D">
        <w:rPr>
          <w:lang w:val="fr-FR"/>
        </w:rPr>
        <w:t>assemblée, pour qu</w:t>
      </w:r>
      <w:r w:rsidR="002F6E75" w:rsidRPr="00B7599D">
        <w:rPr>
          <w:lang w:val="fr-FR"/>
        </w:rPr>
        <w:t>’</w:t>
      </w:r>
      <w:r w:rsidRPr="00B7599D">
        <w:rPr>
          <w:lang w:val="fr-FR"/>
        </w:rPr>
        <w:t>ils formulent des observations avant la fin de la session.</w:t>
      </w:r>
    </w:p>
    <w:p w:rsidR="005F6828" w:rsidRPr="00B7599D" w:rsidRDefault="005F6828" w:rsidP="005F6828">
      <w:pPr>
        <w:pStyle w:val="ONUME"/>
        <w:rPr>
          <w:lang w:val="fr-FR"/>
        </w:rPr>
      </w:pPr>
      <w:r w:rsidRPr="00B7599D">
        <w:rPr>
          <w:lang w:val="fr-FR"/>
        </w:rPr>
        <w:t>À l</w:t>
      </w:r>
      <w:r w:rsidR="002F6E75" w:rsidRPr="00B7599D">
        <w:rPr>
          <w:lang w:val="fr-FR"/>
        </w:rPr>
        <w:t>’</w:t>
      </w:r>
      <w:r w:rsidRPr="00B7599D">
        <w:rPr>
          <w:lang w:val="fr-FR"/>
        </w:rPr>
        <w:t>issue de la session, le Directeur général établit de nouvelles listes en tenant compte des observations formulées.</w:t>
      </w:r>
      <w:r w:rsidR="001C263E" w:rsidRPr="00B7599D">
        <w:rPr>
          <w:lang w:val="fr-FR"/>
        </w:rPr>
        <w:t xml:space="preserve">  </w:t>
      </w:r>
      <w:r w:rsidRPr="00B7599D">
        <w:rPr>
          <w:lang w:val="fr-FR"/>
        </w:rPr>
        <w:t>Les listes révisées prennent effet le premier jour de l</w:t>
      </w:r>
      <w:r w:rsidR="002F6E75" w:rsidRPr="00B7599D">
        <w:rPr>
          <w:lang w:val="fr-FR"/>
        </w:rPr>
        <w:t>’</w:t>
      </w:r>
      <w:r w:rsidRPr="00B7599D">
        <w:rPr>
          <w:lang w:val="fr-FR"/>
        </w:rPr>
        <w:t>année civile suivant la session susmentionnée et sont utilisées pour déte</w:t>
      </w:r>
      <w:bookmarkStart w:id="5" w:name="_GoBack"/>
      <w:bookmarkEnd w:id="5"/>
      <w:r w:rsidRPr="00B7599D">
        <w:rPr>
          <w:lang w:val="fr-FR"/>
        </w:rPr>
        <w:t>rminer, conformément aux règles 15.4, 45</w:t>
      </w:r>
      <w:r w:rsidRPr="00B7599D">
        <w:rPr>
          <w:i/>
          <w:lang w:val="fr-FR"/>
        </w:rPr>
        <w:t>bis</w:t>
      </w:r>
      <w:r w:rsidRPr="00B7599D">
        <w:rPr>
          <w:lang w:val="fr-FR"/>
        </w:rPr>
        <w:t>.2.c) et 57.3.d), si un État satisfait aux critères donnant droit à la réduction, visée aux points 5.a) et 5.b), respectivement, du barème de taxes, de toute taxe due.  Les listes révisées sont publiées dans la Gazette.</w:t>
      </w:r>
    </w:p>
    <w:p w:rsidR="005F6828" w:rsidRPr="00B7599D" w:rsidRDefault="006777CB" w:rsidP="005D6563">
      <w:pPr>
        <w:pStyle w:val="ONUME"/>
        <w:spacing w:after="0"/>
        <w:rPr>
          <w:lang w:val="fr-FR"/>
        </w:rPr>
      </w:pPr>
      <w:r w:rsidRPr="00B7599D">
        <w:rPr>
          <w:lang w:val="fr-FR"/>
        </w:rPr>
        <w:t>Lorsqu</w:t>
      </w:r>
      <w:r w:rsidR="002F6E75" w:rsidRPr="00B7599D">
        <w:rPr>
          <w:lang w:val="fr-FR"/>
        </w:rPr>
        <w:t>’</w:t>
      </w:r>
      <w:r w:rsidRPr="00B7599D">
        <w:rPr>
          <w:lang w:val="fr-FR"/>
        </w:rPr>
        <w:t>un État ne figure pas sur une liste donnée mais que, par la suite, il satisfait aux critères applicables pour figurer sur cette liste à la suite de la publication, à l</w:t>
      </w:r>
      <w:r w:rsidR="002F6E75" w:rsidRPr="00B7599D">
        <w:rPr>
          <w:lang w:val="fr-FR"/>
        </w:rPr>
        <w:t>’</w:t>
      </w:r>
      <w:r w:rsidRPr="00B7599D">
        <w:rPr>
          <w:lang w:val="fr-FR"/>
        </w:rPr>
        <w:t>expiration du délai de deux semaines avant le premier jour de la session ordinaire de l</w:t>
      </w:r>
      <w:r w:rsidR="002F6E75" w:rsidRPr="00B7599D">
        <w:rPr>
          <w:lang w:val="fr-FR"/>
        </w:rPr>
        <w:t>’</w:t>
      </w:r>
      <w:r w:rsidRPr="00B7599D">
        <w:rPr>
          <w:lang w:val="fr-FR"/>
        </w:rPr>
        <w:t>assemblée visée à l</w:t>
      </w:r>
      <w:r w:rsidR="002F6E75" w:rsidRPr="00B7599D">
        <w:rPr>
          <w:lang w:val="fr-FR"/>
        </w:rPr>
        <w:t>’</w:t>
      </w:r>
      <w:r w:rsidRPr="00B7599D">
        <w:rPr>
          <w:lang w:val="fr-FR"/>
        </w:rPr>
        <w:t>alinéa 1, de données révisées concernant le revenu national par habitant publiées par l</w:t>
      </w:r>
      <w:r w:rsidR="002F6E75" w:rsidRPr="00B7599D">
        <w:rPr>
          <w:lang w:val="fr-FR"/>
        </w:rPr>
        <w:t>’</w:t>
      </w:r>
      <w:r w:rsidRPr="00B7599D">
        <w:rPr>
          <w:lang w:val="fr-FR"/>
        </w:rPr>
        <w:t>Organisation des Nations Unies, ou d</w:t>
      </w:r>
      <w:r w:rsidR="002F6E75" w:rsidRPr="00B7599D">
        <w:rPr>
          <w:lang w:val="fr-FR"/>
        </w:rPr>
        <w:t>’</w:t>
      </w:r>
      <w:r w:rsidRPr="00B7599D">
        <w:rPr>
          <w:lang w:val="fr-FR"/>
        </w:rPr>
        <w:t>une liste révisée des États classés dans la catégorie des pays les moins avancés par l</w:t>
      </w:r>
      <w:r w:rsidR="002F6E75" w:rsidRPr="00B7599D">
        <w:rPr>
          <w:lang w:val="fr-FR"/>
        </w:rPr>
        <w:t>’</w:t>
      </w:r>
      <w:r w:rsidRPr="00B7599D">
        <w:rPr>
          <w:lang w:val="fr-FR"/>
        </w:rPr>
        <w:t>Organisation des Nations Unies, cet État peut demander au Directeur général de réviser la liste pertinente des États afin de l</w:t>
      </w:r>
      <w:r w:rsidR="002F6E75" w:rsidRPr="00B7599D">
        <w:rPr>
          <w:lang w:val="fr-FR"/>
        </w:rPr>
        <w:t>’</w:t>
      </w:r>
      <w:r w:rsidRPr="00B7599D">
        <w:rPr>
          <w:lang w:val="fr-FR"/>
        </w:rPr>
        <w:t>y inclure.</w:t>
      </w:r>
      <w:r w:rsidR="001C263E" w:rsidRPr="00B7599D">
        <w:rPr>
          <w:lang w:val="fr-FR"/>
        </w:rPr>
        <w:t xml:space="preserve">  </w:t>
      </w:r>
      <w:r w:rsidRPr="00B7599D">
        <w:rPr>
          <w:lang w:val="fr-FR"/>
        </w:rPr>
        <w:t>Cette liste révisée prend effet à la date que fixe le Directeur général, cette date se situant dans un délai ne dépassant pas trois mois à partir de la date de réception de la demande.</w:t>
      </w:r>
      <w:r w:rsidR="001C263E" w:rsidRPr="00B7599D">
        <w:rPr>
          <w:lang w:val="fr-FR"/>
        </w:rPr>
        <w:t xml:space="preserve">  </w:t>
      </w:r>
      <w:r w:rsidRPr="00B7599D">
        <w:rPr>
          <w:lang w:val="fr-FR"/>
        </w:rPr>
        <w:t>Les listes révisées sont publiées dans la Gazette.</w:t>
      </w:r>
    </w:p>
    <w:p w:rsidR="005F6828" w:rsidRPr="00B7599D" w:rsidRDefault="005F6828" w:rsidP="005D6563">
      <w:pPr>
        <w:pStyle w:val="ONUME"/>
        <w:numPr>
          <w:ilvl w:val="0"/>
          <w:numId w:val="0"/>
        </w:numPr>
        <w:spacing w:after="0"/>
        <w:rPr>
          <w:lang w:val="fr-FR"/>
        </w:rPr>
      </w:pPr>
    </w:p>
    <w:p w:rsidR="005D6563" w:rsidRPr="00B7599D" w:rsidRDefault="005D6563" w:rsidP="005D6563">
      <w:pPr>
        <w:pStyle w:val="ONUME"/>
        <w:numPr>
          <w:ilvl w:val="0"/>
          <w:numId w:val="0"/>
        </w:numPr>
        <w:spacing w:after="0"/>
        <w:rPr>
          <w:lang w:val="fr-FR"/>
        </w:rPr>
      </w:pPr>
    </w:p>
    <w:p w:rsidR="005D6563" w:rsidRPr="00B7599D" w:rsidRDefault="005D6563" w:rsidP="005D6563">
      <w:pPr>
        <w:pStyle w:val="ONUME"/>
        <w:numPr>
          <w:ilvl w:val="0"/>
          <w:numId w:val="0"/>
        </w:numPr>
        <w:spacing w:after="0"/>
        <w:rPr>
          <w:lang w:val="fr-FR"/>
        </w:rPr>
      </w:pPr>
    </w:p>
    <w:p w:rsidR="005F6828" w:rsidRPr="00B7599D" w:rsidRDefault="006777CB" w:rsidP="005D6563">
      <w:pPr>
        <w:pStyle w:val="Endofdocument-Annex"/>
        <w:rPr>
          <w:lang w:val="fr-FR"/>
        </w:rPr>
      </w:pPr>
      <w:r w:rsidRPr="00B7599D">
        <w:rPr>
          <w:lang w:val="fr-FR"/>
        </w:rPr>
        <w:t>[Fin de l</w:t>
      </w:r>
      <w:r w:rsidR="002F6E75" w:rsidRPr="00B7599D">
        <w:rPr>
          <w:lang w:val="fr-FR"/>
        </w:rPr>
        <w:t>’</w:t>
      </w:r>
      <w:r w:rsidRPr="00B7599D">
        <w:rPr>
          <w:lang w:val="fr-FR"/>
        </w:rPr>
        <w:t>annexe II et du document]</w:t>
      </w:r>
    </w:p>
    <w:p w:rsidR="005F6828" w:rsidRPr="00B7599D" w:rsidRDefault="005F6828" w:rsidP="00FE05B0">
      <w:pPr>
        <w:pStyle w:val="Endofdocument-Annex"/>
        <w:rPr>
          <w:lang w:val="fr-FR"/>
        </w:rPr>
      </w:pPr>
    </w:p>
    <w:p w:rsidR="005F6828" w:rsidRPr="00B7599D" w:rsidRDefault="005F6828" w:rsidP="00FE05B0">
      <w:pPr>
        <w:pStyle w:val="Endofdocument-Annex"/>
        <w:rPr>
          <w:lang w:val="fr-FR"/>
        </w:rPr>
      </w:pPr>
    </w:p>
    <w:p w:rsidR="005F6828" w:rsidRPr="00B7599D" w:rsidRDefault="005F6828" w:rsidP="00FE05B0">
      <w:pPr>
        <w:pStyle w:val="Endofdocument-Annex"/>
        <w:rPr>
          <w:lang w:val="fr-FR"/>
        </w:rPr>
      </w:pPr>
    </w:p>
    <w:p w:rsidR="009E7853" w:rsidRPr="00B7599D" w:rsidRDefault="009E7853" w:rsidP="00FE05B0">
      <w:pPr>
        <w:pStyle w:val="Endofdocument-Annex"/>
        <w:rPr>
          <w:lang w:val="fr-FR"/>
        </w:rPr>
      </w:pPr>
    </w:p>
    <w:sectPr w:rsidR="009E7853" w:rsidRPr="00B7599D" w:rsidSect="00954D12">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58" w:rsidRDefault="00954458">
      <w:r>
        <w:separator/>
      </w:r>
    </w:p>
  </w:endnote>
  <w:endnote w:type="continuationSeparator" w:id="0">
    <w:p w:rsidR="00954458" w:rsidRDefault="00954458" w:rsidP="003B38C1">
      <w:r>
        <w:separator/>
      </w:r>
    </w:p>
    <w:p w:rsidR="00954458" w:rsidRPr="003B38C1" w:rsidRDefault="00954458" w:rsidP="003B38C1">
      <w:pPr>
        <w:spacing w:after="60"/>
        <w:rPr>
          <w:sz w:val="17"/>
        </w:rPr>
      </w:pPr>
      <w:r>
        <w:rPr>
          <w:sz w:val="17"/>
        </w:rPr>
        <w:t>[Endnote continued from previous page]</w:t>
      </w:r>
    </w:p>
  </w:endnote>
  <w:endnote w:type="continuationNotice" w:id="1">
    <w:p w:rsidR="00954458" w:rsidRPr="003B38C1" w:rsidRDefault="009544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9D" w:rsidRDefault="00B75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9D" w:rsidRPr="00B7599D" w:rsidRDefault="00B7599D" w:rsidP="00B75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58" w:rsidRDefault="00954458">
      <w:r>
        <w:separator/>
      </w:r>
    </w:p>
  </w:footnote>
  <w:footnote w:type="continuationSeparator" w:id="0">
    <w:p w:rsidR="00954458" w:rsidRDefault="00954458" w:rsidP="008B60B2">
      <w:r>
        <w:separator/>
      </w:r>
    </w:p>
    <w:p w:rsidR="00954458" w:rsidRPr="00ED77FB" w:rsidRDefault="00954458" w:rsidP="008B60B2">
      <w:pPr>
        <w:spacing w:after="60"/>
        <w:rPr>
          <w:sz w:val="17"/>
          <w:szCs w:val="17"/>
        </w:rPr>
      </w:pPr>
      <w:r w:rsidRPr="00ED77FB">
        <w:rPr>
          <w:sz w:val="17"/>
          <w:szCs w:val="17"/>
        </w:rPr>
        <w:t>[Footnote continued from previous page]</w:t>
      </w:r>
    </w:p>
  </w:footnote>
  <w:footnote w:type="continuationNotice" w:id="1">
    <w:p w:rsidR="00954458" w:rsidRPr="00ED77FB" w:rsidRDefault="00954458" w:rsidP="008B60B2">
      <w:pPr>
        <w:spacing w:before="60"/>
        <w:jc w:val="right"/>
        <w:rPr>
          <w:sz w:val="17"/>
          <w:szCs w:val="17"/>
        </w:rPr>
      </w:pPr>
      <w:r w:rsidRPr="00ED77FB">
        <w:rPr>
          <w:sz w:val="17"/>
          <w:szCs w:val="17"/>
        </w:rPr>
        <w:t>[Footnote continued on next page]</w:t>
      </w:r>
    </w:p>
  </w:footnote>
  <w:footnote w:id="2">
    <w:p w:rsidR="004B6F33" w:rsidRPr="001335D6" w:rsidRDefault="004B6F33" w:rsidP="00ED1C22">
      <w:pPr>
        <w:pStyle w:val="FootnoteText"/>
        <w:rPr>
          <w:lang w:val="fr-FR"/>
        </w:rPr>
      </w:pPr>
      <w:r>
        <w:rPr>
          <w:rStyle w:val="FootnoteReference"/>
        </w:rPr>
        <w:footnoteRef/>
      </w:r>
      <w:r w:rsidRPr="00ED1C22">
        <w:rPr>
          <w:lang w:val="fr-FR"/>
        </w:rPr>
        <w:t xml:space="preserve"> </w:t>
      </w:r>
      <w:r w:rsidRPr="00ED1C22">
        <w:rPr>
          <w:lang w:val="fr-FR"/>
        </w:rPr>
        <w:tab/>
      </w:r>
      <w:r w:rsidRPr="001335D6">
        <w:rPr>
          <w:lang w:val="fr-FR"/>
        </w:rPr>
        <w:t xml:space="preserve">Le texte de l’exposé peut être consulté sur le site Web de l’OMPI à l’adresse </w:t>
      </w:r>
      <w:r w:rsidRPr="002947E6">
        <w:rPr>
          <w:i/>
          <w:lang w:val="fr-FR"/>
        </w:rPr>
        <w:t>http:/</w:t>
      </w:r>
      <w:r w:rsidR="00581D24">
        <w:rPr>
          <w:i/>
          <w:lang w:val="fr-FR"/>
        </w:rPr>
        <w:t>/www.wipo.int/edocs/mdocs/pct/en</w:t>
      </w:r>
      <w:r w:rsidRPr="002947E6">
        <w:rPr>
          <w:i/>
          <w:lang w:val="fr-FR"/>
        </w:rPr>
        <w:t>/pct_wg_7/pct_wg_7_statistics.pptx.</w:t>
      </w:r>
    </w:p>
  </w:footnote>
  <w:footnote w:id="3">
    <w:p w:rsidR="004B6F33" w:rsidRPr="00ED1C22" w:rsidRDefault="004B6F33" w:rsidP="00ED1C22">
      <w:pPr>
        <w:pStyle w:val="FootnoteText"/>
        <w:rPr>
          <w:lang w:val="fr-FR"/>
        </w:rPr>
      </w:pPr>
      <w:r>
        <w:rPr>
          <w:rStyle w:val="FootnoteReference"/>
        </w:rPr>
        <w:footnoteRef/>
      </w:r>
      <w:r w:rsidRPr="00ED1C22">
        <w:rPr>
          <w:lang w:val="fr-FR"/>
        </w:rPr>
        <w:t xml:space="preserve"> </w:t>
      </w:r>
      <w:r w:rsidRPr="00ED1C22">
        <w:rPr>
          <w:lang w:val="fr-FR"/>
        </w:rPr>
        <w:tab/>
      </w:r>
      <w:r w:rsidRPr="001335D6">
        <w:rPr>
          <w:lang w:val="fr-FR"/>
        </w:rPr>
        <w:t>Voir également les paragraphes</w:t>
      </w:r>
      <w:r w:rsidR="001335D6">
        <w:rPr>
          <w:lang w:val="fr-FR"/>
        </w:rPr>
        <w:t xml:space="preserve"> 143 à 145 ci</w:t>
      </w:r>
      <w:r w:rsidR="001335D6" w:rsidRPr="001335D6">
        <w:rPr>
          <w:lang w:val="fr-FR"/>
        </w:rPr>
        <w:noBreakHyphen/>
      </w:r>
      <w:r w:rsidRPr="001335D6">
        <w:rPr>
          <w:lang w:val="fr-FR"/>
        </w:rPr>
        <w:t xml:space="preserve">après, concernant la proposition de suppression du point 4.a) du barème de taxes arrêtée par le groupe de travail </w:t>
      </w:r>
      <w:r w:rsidRPr="00ED1C22">
        <w:rPr>
          <w:color w:val="000000"/>
          <w:lang w:val="fr-FR"/>
        </w:rPr>
        <w:t>en vue de sa présentation à l'assemblée pour examen à sa prochaine session, en septembre 2014.</w:t>
      </w:r>
    </w:p>
  </w:footnote>
  <w:footnote w:id="4">
    <w:p w:rsidR="004B6F33" w:rsidRPr="00BC731E" w:rsidRDefault="004B6F33" w:rsidP="00BC731E">
      <w:pPr>
        <w:pStyle w:val="FootnoteText"/>
        <w:rPr>
          <w:lang w:val="fr-FR"/>
        </w:rPr>
      </w:pPr>
      <w:r>
        <w:rPr>
          <w:rStyle w:val="FootnoteReference"/>
        </w:rPr>
        <w:footnoteRef/>
      </w:r>
      <w:r w:rsidRPr="00BC731E">
        <w:rPr>
          <w:lang w:val="fr-FR"/>
        </w:rPr>
        <w:t xml:space="preserve"> </w:t>
      </w:r>
      <w:r w:rsidRPr="00BC731E">
        <w:rPr>
          <w:lang w:val="fr-FR"/>
        </w:rPr>
        <w:tab/>
      </w:r>
      <w:r w:rsidRPr="001335D6">
        <w:rPr>
          <w:lang w:val="fr-FR"/>
        </w:rPr>
        <w:t xml:space="preserve">Le texte de l’exposé peut être consulté sur le site Web de l’OMPI à l’adresse </w:t>
      </w:r>
      <w:r w:rsidRPr="002947E6">
        <w:rPr>
          <w:i/>
          <w:color w:val="000000"/>
          <w:lang w:val="fr-FR"/>
        </w:rPr>
        <w:t>http://www.wipo.int/edocs/mdocs/pct/en/pct_wg_7/pct_wg_7_presentation_rpet.ppt</w:t>
      </w:r>
      <w:r w:rsidRPr="00BC731E">
        <w:rPr>
          <w:color w:val="008000"/>
          <w:lang w:val="fr-FR"/>
        </w:rPr>
        <w:t>.</w:t>
      </w:r>
    </w:p>
  </w:footnote>
  <w:footnote w:id="5">
    <w:p w:rsidR="004B6F33" w:rsidRPr="00F46EFA" w:rsidRDefault="004B6F33" w:rsidP="00F46EFA">
      <w:pPr>
        <w:pStyle w:val="FootnoteText"/>
        <w:rPr>
          <w:lang w:val="fr-FR"/>
        </w:rPr>
      </w:pPr>
      <w:r>
        <w:rPr>
          <w:rStyle w:val="FootnoteReference"/>
        </w:rPr>
        <w:footnoteRef/>
      </w:r>
      <w:r w:rsidRPr="00F46EFA">
        <w:rPr>
          <w:lang w:val="fr-FR"/>
        </w:rPr>
        <w:t xml:space="preserve"> </w:t>
      </w:r>
      <w:r w:rsidRPr="00F46EFA">
        <w:rPr>
          <w:lang w:val="fr-FR"/>
        </w:rPr>
        <w:tab/>
      </w:r>
      <w:r w:rsidRPr="001335D6">
        <w:rPr>
          <w:lang w:val="fr-FR"/>
        </w:rPr>
        <w:t xml:space="preserve">Le texte de l’exposé peut être consulté sur le site Web de l’OMPI à l’adresse </w:t>
      </w:r>
      <w:r w:rsidRPr="002947E6">
        <w:rPr>
          <w:i/>
          <w:color w:val="000000"/>
          <w:lang w:val="fr-FR"/>
        </w:rPr>
        <w:t>http://www.wipo.int/edocs/mdocs/pct/en/pct_wg_7/pct_wg_7_presentation_pph.ppt</w:t>
      </w:r>
      <w:r w:rsidRPr="00F46EFA">
        <w:rPr>
          <w:color w:val="008000"/>
          <w:lang w:val="fr-FR"/>
        </w:rPr>
        <w:t>.</w:t>
      </w:r>
    </w:p>
  </w:footnote>
  <w:footnote w:id="6">
    <w:p w:rsidR="004B6F33" w:rsidRPr="001335D6" w:rsidRDefault="004B6F33" w:rsidP="00F46EFA">
      <w:pPr>
        <w:pStyle w:val="FootnoteText"/>
        <w:rPr>
          <w:lang w:val="fr-FR"/>
        </w:rPr>
      </w:pPr>
      <w:r>
        <w:rPr>
          <w:rStyle w:val="FootnoteReference"/>
        </w:rPr>
        <w:footnoteRef/>
      </w:r>
      <w:r w:rsidRPr="00F46EFA">
        <w:rPr>
          <w:lang w:val="fr-FR"/>
        </w:rPr>
        <w:t xml:space="preserve"> </w:t>
      </w:r>
      <w:r w:rsidRPr="00F46EFA">
        <w:rPr>
          <w:lang w:val="fr-FR"/>
        </w:rPr>
        <w:tab/>
      </w:r>
      <w:r w:rsidRPr="001335D6">
        <w:rPr>
          <w:lang w:val="fr-FR"/>
        </w:rPr>
        <w:t>Recommandation n° 15 : “Les activités d’</w:t>
      </w:r>
      <w:r w:rsidR="001335D6">
        <w:rPr>
          <w:lang w:val="fr-FR"/>
        </w:rPr>
        <w:t>établissement de normes doivent </w:t>
      </w:r>
      <w:r w:rsidRPr="001335D6">
        <w:rPr>
          <w:lang w:val="fr-FR"/>
        </w:rPr>
        <w:t>: être exhaustives et réalisées à l’initiative des membres;  prendre en considération les différents niveaux de développement;  établir un équilibre entre les coûts et les avantages;  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 être conformes au principe de neutralité du Secrétariat de l’OMPI.”</w:t>
      </w:r>
    </w:p>
  </w:footnote>
  <w:footnote w:id="7">
    <w:p w:rsidR="004B6F33" w:rsidRPr="00F46EFA" w:rsidRDefault="004B6F33" w:rsidP="00F46EFA">
      <w:pPr>
        <w:pStyle w:val="FootnoteText"/>
        <w:rPr>
          <w:lang w:val="fr-FR"/>
        </w:rPr>
      </w:pPr>
      <w:r w:rsidRPr="001335D6">
        <w:rPr>
          <w:rStyle w:val="FootnoteReference"/>
        </w:rPr>
        <w:footnoteRef/>
      </w:r>
      <w:r w:rsidRPr="001335D6">
        <w:rPr>
          <w:lang w:val="fr-FR"/>
        </w:rPr>
        <w:t xml:space="preserve"> </w:t>
      </w:r>
      <w:r w:rsidRPr="001335D6">
        <w:rPr>
          <w:lang w:val="fr-FR"/>
        </w:rPr>
        <w:tab/>
        <w:t>Recommandation n° 17 : “Dans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3" w:rsidRDefault="004B6F33" w:rsidP="00477D6B">
    <w:pPr>
      <w:jc w:val="right"/>
    </w:pPr>
    <w:r>
      <w:t>PCT/WG/7/29</w:t>
    </w:r>
  </w:p>
  <w:p w:rsidR="004B6F33" w:rsidRDefault="004B6F33" w:rsidP="00477D6B">
    <w:pPr>
      <w:jc w:val="right"/>
    </w:pPr>
    <w:proofErr w:type="gramStart"/>
    <w:r>
      <w:t>page</w:t>
    </w:r>
    <w:proofErr w:type="gramEnd"/>
    <w:r>
      <w:t xml:space="preserve"> </w:t>
    </w:r>
    <w:r>
      <w:fldChar w:fldCharType="begin"/>
    </w:r>
    <w:r>
      <w:instrText xml:space="preserve"> PAGE  \* MERGEFORMAT </w:instrText>
    </w:r>
    <w:r>
      <w:fldChar w:fldCharType="separate"/>
    </w:r>
    <w:r w:rsidR="00581D24">
      <w:rPr>
        <w:noProof/>
      </w:rPr>
      <w:t>22</w:t>
    </w:r>
    <w:r>
      <w:fldChar w:fldCharType="end"/>
    </w:r>
  </w:p>
  <w:p w:rsidR="004B6F33" w:rsidRDefault="004B6F3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3" w:rsidRDefault="004B6F33" w:rsidP="00954D1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3" w:rsidRPr="00771CBE" w:rsidRDefault="004B6F33" w:rsidP="004B6F33">
    <w:pPr>
      <w:jc w:val="right"/>
    </w:pPr>
    <w:r w:rsidRPr="00771CBE">
      <w:t>PCT/WG/7</w:t>
    </w:r>
    <w:r w:rsidRPr="00FE05B0">
      <w:t>/29</w:t>
    </w:r>
  </w:p>
  <w:p w:rsidR="004B6F33" w:rsidRDefault="004B6F33" w:rsidP="00F20DF5">
    <w:pPr>
      <w:jc w:val="right"/>
    </w:pPr>
    <w:proofErr w:type="spellStart"/>
    <w:r>
      <w:t>Annex</w:t>
    </w:r>
    <w:r w:rsidR="00BF7BA8">
      <w:t>e</w:t>
    </w:r>
    <w:proofErr w:type="spellEnd"/>
    <w:r>
      <w:t xml:space="preserve"> I, page 2</w:t>
    </w:r>
  </w:p>
  <w:p w:rsidR="004B6F33" w:rsidRPr="00E36013" w:rsidRDefault="004B6F33" w:rsidP="004B6F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3" w:rsidRDefault="004B6F33" w:rsidP="00954D12">
    <w:pPr>
      <w:jc w:val="right"/>
    </w:pPr>
    <w:r>
      <w:t>PCT/WG/7/29</w:t>
    </w:r>
  </w:p>
  <w:p w:rsidR="004B6F33" w:rsidRDefault="004B6F33" w:rsidP="00954D12">
    <w:pPr>
      <w:jc w:val="right"/>
    </w:pPr>
    <w:r>
      <w:t>ANNEXE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33" w:rsidRDefault="004B6F33" w:rsidP="00954D12">
    <w:pPr>
      <w:jc w:val="right"/>
    </w:pPr>
    <w:r>
      <w:t>PCT/WG/7/29</w:t>
    </w:r>
  </w:p>
  <w:p w:rsidR="004B6F33" w:rsidRDefault="004B6F33" w:rsidP="00954D12">
    <w:pPr>
      <w:jc w:val="right"/>
    </w:pPr>
    <w:r>
      <w:t>ANNEXE II</w:t>
    </w:r>
  </w:p>
  <w:p w:rsidR="004B6F33" w:rsidRDefault="004B6F33" w:rsidP="00954D1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53524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2C396E"/>
    <w:multiLevelType w:val="multilevel"/>
    <w:tmpl w:val="D98EB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A712C91"/>
    <w:multiLevelType w:val="multilevel"/>
    <w:tmpl w:val="EB04A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Glossaries\EN-FR|Patents\Meetings|Patents\Other|Patents\Publications|Trademarks\Meetings|Trademarks\Other|Trademarks\Publications|Treaties\Model Laws|Treaties\Other Laws and Agreements|Treaties\WIPO-administered|IP in General\Academy|IP in General\Arbitration and Mediation|IP in General\Meetings|IP in General\Other|IP in General\Press Room|IP in General\Publications"/>
    <w:docVar w:name="TextBaseURL" w:val="empty"/>
    <w:docVar w:name="UILng" w:val="en"/>
  </w:docVars>
  <w:rsids>
    <w:rsidRoot w:val="004565B1"/>
    <w:rsid w:val="00015035"/>
    <w:rsid w:val="0003404A"/>
    <w:rsid w:val="00036834"/>
    <w:rsid w:val="00043CAA"/>
    <w:rsid w:val="0004523C"/>
    <w:rsid w:val="0005099A"/>
    <w:rsid w:val="0006194C"/>
    <w:rsid w:val="00070EF4"/>
    <w:rsid w:val="00074548"/>
    <w:rsid w:val="00075432"/>
    <w:rsid w:val="000968ED"/>
    <w:rsid w:val="000A2CA6"/>
    <w:rsid w:val="000C53E3"/>
    <w:rsid w:val="000D45D1"/>
    <w:rsid w:val="000F5E56"/>
    <w:rsid w:val="00100A38"/>
    <w:rsid w:val="00121033"/>
    <w:rsid w:val="00127B04"/>
    <w:rsid w:val="001335D6"/>
    <w:rsid w:val="001362EE"/>
    <w:rsid w:val="00137AF4"/>
    <w:rsid w:val="00153FA2"/>
    <w:rsid w:val="00170599"/>
    <w:rsid w:val="00172DB6"/>
    <w:rsid w:val="00176383"/>
    <w:rsid w:val="001832A6"/>
    <w:rsid w:val="0018750A"/>
    <w:rsid w:val="001C263E"/>
    <w:rsid w:val="001E0FFD"/>
    <w:rsid w:val="001F4663"/>
    <w:rsid w:val="00210FE2"/>
    <w:rsid w:val="002113CB"/>
    <w:rsid w:val="0024093C"/>
    <w:rsid w:val="00242E6A"/>
    <w:rsid w:val="002551C8"/>
    <w:rsid w:val="002634C4"/>
    <w:rsid w:val="002928D3"/>
    <w:rsid w:val="002947E6"/>
    <w:rsid w:val="002B12D4"/>
    <w:rsid w:val="002C3C39"/>
    <w:rsid w:val="002F1FE6"/>
    <w:rsid w:val="002F4E68"/>
    <w:rsid w:val="002F6E75"/>
    <w:rsid w:val="00310767"/>
    <w:rsid w:val="00310C57"/>
    <w:rsid w:val="00312F7F"/>
    <w:rsid w:val="003176F1"/>
    <w:rsid w:val="0033522D"/>
    <w:rsid w:val="00336478"/>
    <w:rsid w:val="00361450"/>
    <w:rsid w:val="0036547D"/>
    <w:rsid w:val="003673CF"/>
    <w:rsid w:val="00382EA8"/>
    <w:rsid w:val="003845C1"/>
    <w:rsid w:val="00391CF7"/>
    <w:rsid w:val="00393F57"/>
    <w:rsid w:val="00394259"/>
    <w:rsid w:val="003A53A4"/>
    <w:rsid w:val="003A6F89"/>
    <w:rsid w:val="003A74CB"/>
    <w:rsid w:val="003B38C1"/>
    <w:rsid w:val="003E50FB"/>
    <w:rsid w:val="003F4021"/>
    <w:rsid w:val="00407F21"/>
    <w:rsid w:val="00423E3E"/>
    <w:rsid w:val="00427AF4"/>
    <w:rsid w:val="00434CBE"/>
    <w:rsid w:val="004565B1"/>
    <w:rsid w:val="004647DA"/>
    <w:rsid w:val="0046613A"/>
    <w:rsid w:val="0047030A"/>
    <w:rsid w:val="00471C05"/>
    <w:rsid w:val="00474062"/>
    <w:rsid w:val="00477D6B"/>
    <w:rsid w:val="004B6B64"/>
    <w:rsid w:val="004B6F33"/>
    <w:rsid w:val="004D3DF9"/>
    <w:rsid w:val="005019FF"/>
    <w:rsid w:val="00510551"/>
    <w:rsid w:val="00520FF2"/>
    <w:rsid w:val="00526E37"/>
    <w:rsid w:val="0053057A"/>
    <w:rsid w:val="00530AB6"/>
    <w:rsid w:val="005507F4"/>
    <w:rsid w:val="00555F96"/>
    <w:rsid w:val="00560A29"/>
    <w:rsid w:val="00581D24"/>
    <w:rsid w:val="005838B4"/>
    <w:rsid w:val="005B1560"/>
    <w:rsid w:val="005C148E"/>
    <w:rsid w:val="005C6649"/>
    <w:rsid w:val="005D6563"/>
    <w:rsid w:val="005F422B"/>
    <w:rsid w:val="005F6828"/>
    <w:rsid w:val="00605827"/>
    <w:rsid w:val="0062407D"/>
    <w:rsid w:val="00632804"/>
    <w:rsid w:val="00636CBE"/>
    <w:rsid w:val="00646050"/>
    <w:rsid w:val="00646AB2"/>
    <w:rsid w:val="0066791C"/>
    <w:rsid w:val="006713CA"/>
    <w:rsid w:val="00674E3F"/>
    <w:rsid w:val="00676C5C"/>
    <w:rsid w:val="006777CB"/>
    <w:rsid w:val="0067787B"/>
    <w:rsid w:val="00682AF1"/>
    <w:rsid w:val="006C5185"/>
    <w:rsid w:val="006D1303"/>
    <w:rsid w:val="006E2145"/>
    <w:rsid w:val="006F30B2"/>
    <w:rsid w:val="007249A0"/>
    <w:rsid w:val="007347DF"/>
    <w:rsid w:val="00752752"/>
    <w:rsid w:val="0076091A"/>
    <w:rsid w:val="00771CBE"/>
    <w:rsid w:val="007742CD"/>
    <w:rsid w:val="00790AE2"/>
    <w:rsid w:val="007945BD"/>
    <w:rsid w:val="00794BD7"/>
    <w:rsid w:val="007B00A6"/>
    <w:rsid w:val="007B70E3"/>
    <w:rsid w:val="007D1120"/>
    <w:rsid w:val="007D1613"/>
    <w:rsid w:val="007F6E8E"/>
    <w:rsid w:val="008015B7"/>
    <w:rsid w:val="00803DB6"/>
    <w:rsid w:val="00820990"/>
    <w:rsid w:val="00835558"/>
    <w:rsid w:val="008666D3"/>
    <w:rsid w:val="008821FD"/>
    <w:rsid w:val="00883D0A"/>
    <w:rsid w:val="008854FD"/>
    <w:rsid w:val="008867A0"/>
    <w:rsid w:val="00897D98"/>
    <w:rsid w:val="008B2CC1"/>
    <w:rsid w:val="008B60B2"/>
    <w:rsid w:val="008E6C5F"/>
    <w:rsid w:val="008F07B6"/>
    <w:rsid w:val="0090731E"/>
    <w:rsid w:val="00911A16"/>
    <w:rsid w:val="00911A90"/>
    <w:rsid w:val="00916219"/>
    <w:rsid w:val="00916EE2"/>
    <w:rsid w:val="0094312B"/>
    <w:rsid w:val="00954458"/>
    <w:rsid w:val="00954D12"/>
    <w:rsid w:val="00966A22"/>
    <w:rsid w:val="0096722F"/>
    <w:rsid w:val="009761A1"/>
    <w:rsid w:val="00980843"/>
    <w:rsid w:val="00992528"/>
    <w:rsid w:val="009B7E29"/>
    <w:rsid w:val="009C3779"/>
    <w:rsid w:val="009D498E"/>
    <w:rsid w:val="009E2791"/>
    <w:rsid w:val="009E3F6F"/>
    <w:rsid w:val="009E6D8F"/>
    <w:rsid w:val="009E7853"/>
    <w:rsid w:val="009F499F"/>
    <w:rsid w:val="009F7125"/>
    <w:rsid w:val="00A279C4"/>
    <w:rsid w:val="00A42DAF"/>
    <w:rsid w:val="00A45BD8"/>
    <w:rsid w:val="00A63CDB"/>
    <w:rsid w:val="00A869B7"/>
    <w:rsid w:val="00A92D9D"/>
    <w:rsid w:val="00AA5808"/>
    <w:rsid w:val="00AA5AD8"/>
    <w:rsid w:val="00AA64AC"/>
    <w:rsid w:val="00AC205C"/>
    <w:rsid w:val="00AD5649"/>
    <w:rsid w:val="00AE2AD2"/>
    <w:rsid w:val="00AE5A85"/>
    <w:rsid w:val="00AF0A6B"/>
    <w:rsid w:val="00B05A69"/>
    <w:rsid w:val="00B40816"/>
    <w:rsid w:val="00B41351"/>
    <w:rsid w:val="00B435BD"/>
    <w:rsid w:val="00B52C94"/>
    <w:rsid w:val="00B56A02"/>
    <w:rsid w:val="00B7599D"/>
    <w:rsid w:val="00B8255D"/>
    <w:rsid w:val="00B9734B"/>
    <w:rsid w:val="00BC731E"/>
    <w:rsid w:val="00BE2EE1"/>
    <w:rsid w:val="00BF7BA8"/>
    <w:rsid w:val="00C071C6"/>
    <w:rsid w:val="00C11BFE"/>
    <w:rsid w:val="00C13CB4"/>
    <w:rsid w:val="00C153AE"/>
    <w:rsid w:val="00C34237"/>
    <w:rsid w:val="00C60D5C"/>
    <w:rsid w:val="00C61130"/>
    <w:rsid w:val="00C94465"/>
    <w:rsid w:val="00CA2658"/>
    <w:rsid w:val="00CA365A"/>
    <w:rsid w:val="00CB0D40"/>
    <w:rsid w:val="00D10DF5"/>
    <w:rsid w:val="00D22203"/>
    <w:rsid w:val="00D322AC"/>
    <w:rsid w:val="00D32521"/>
    <w:rsid w:val="00D35E91"/>
    <w:rsid w:val="00D40337"/>
    <w:rsid w:val="00D45252"/>
    <w:rsid w:val="00D56BF2"/>
    <w:rsid w:val="00D6087F"/>
    <w:rsid w:val="00D651C2"/>
    <w:rsid w:val="00D71B4D"/>
    <w:rsid w:val="00D871E7"/>
    <w:rsid w:val="00D93D55"/>
    <w:rsid w:val="00DB3824"/>
    <w:rsid w:val="00DE4C01"/>
    <w:rsid w:val="00E11749"/>
    <w:rsid w:val="00E21E0D"/>
    <w:rsid w:val="00E22934"/>
    <w:rsid w:val="00E335FE"/>
    <w:rsid w:val="00E40520"/>
    <w:rsid w:val="00E552A6"/>
    <w:rsid w:val="00E766B5"/>
    <w:rsid w:val="00E84471"/>
    <w:rsid w:val="00E979D1"/>
    <w:rsid w:val="00EC1B5C"/>
    <w:rsid w:val="00EC4E49"/>
    <w:rsid w:val="00ED1C22"/>
    <w:rsid w:val="00ED77FB"/>
    <w:rsid w:val="00EE45FA"/>
    <w:rsid w:val="00F20DF5"/>
    <w:rsid w:val="00F436BF"/>
    <w:rsid w:val="00F46EFA"/>
    <w:rsid w:val="00F57419"/>
    <w:rsid w:val="00F60FF4"/>
    <w:rsid w:val="00F63008"/>
    <w:rsid w:val="00F65DE1"/>
    <w:rsid w:val="00F66152"/>
    <w:rsid w:val="00FA1118"/>
    <w:rsid w:val="00FE05B0"/>
    <w:rsid w:val="00FE74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127B04"/>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422B"/>
    <w:rPr>
      <w:rFonts w:ascii="Arial" w:eastAsia="SimSun" w:hAnsi="Arial" w:cs="Arial"/>
      <w:sz w:val="22"/>
      <w:lang w:eastAsia="zh-CN"/>
    </w:rPr>
  </w:style>
  <w:style w:type="character" w:customStyle="1" w:styleId="Heading1Char">
    <w:name w:val="Heading 1 Char"/>
    <w:basedOn w:val="DefaultParagraphFont"/>
    <w:link w:val="Heading1"/>
    <w:rsid w:val="00127B04"/>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954D12"/>
    <w:rPr>
      <w:rFonts w:ascii="Arial" w:eastAsia="SimSun" w:hAnsi="Arial" w:cs="Arial"/>
      <w:sz w:val="18"/>
      <w:lang w:eastAsia="zh-CN"/>
    </w:rPr>
  </w:style>
  <w:style w:type="character" w:styleId="FootnoteReference">
    <w:name w:val="footnote reference"/>
    <w:basedOn w:val="DefaultParagraphFont"/>
    <w:rsid w:val="0067787B"/>
    <w:rPr>
      <w:vertAlign w:val="superscript"/>
    </w:rPr>
  </w:style>
  <w:style w:type="paragraph" w:styleId="Revision">
    <w:name w:val="Revision"/>
    <w:hidden/>
    <w:uiPriority w:val="99"/>
    <w:semiHidden/>
    <w:rsid w:val="007347DF"/>
    <w:rPr>
      <w:rFonts w:ascii="Arial" w:eastAsia="SimSun" w:hAnsi="Arial" w:cs="Arial"/>
      <w:sz w:val="22"/>
      <w:lang w:eastAsia="zh-CN"/>
    </w:rPr>
  </w:style>
  <w:style w:type="character" w:customStyle="1" w:styleId="RInsertedText">
    <w:name w:val="RInsertedText"/>
    <w:basedOn w:val="DefaultParagraphFont"/>
    <w:rsid w:val="001C263E"/>
    <w:rPr>
      <w:color w:val="0000FF"/>
      <w:u w:val="single"/>
    </w:rPr>
  </w:style>
  <w:style w:type="paragraph" w:customStyle="1" w:styleId="DecisionInvitingPara">
    <w:name w:val="Decision Inviting Para."/>
    <w:basedOn w:val="Normal"/>
    <w:rsid w:val="001C263E"/>
    <w:pPr>
      <w:spacing w:after="120" w:line="260" w:lineRule="exact"/>
      <w:ind w:left="5534" w:hanging="567"/>
    </w:pPr>
    <w:rPr>
      <w:rFonts w:eastAsia="Times New Roman" w:cs="Times New Roman"/>
      <w:i/>
      <w:sz w:val="20"/>
      <w:lang w:eastAsia="en-US"/>
    </w:rPr>
  </w:style>
  <w:style w:type="paragraph" w:customStyle="1" w:styleId="Endofdocument">
    <w:name w:val="End of document"/>
    <w:basedOn w:val="Normal"/>
    <w:rsid w:val="001C263E"/>
    <w:pPr>
      <w:spacing w:after="120" w:line="260" w:lineRule="exact"/>
      <w:ind w:left="5534" w:hanging="567"/>
    </w:pPr>
    <w:rPr>
      <w:rFonts w:eastAsia="Times New Roman" w:cs="Times New Roman"/>
      <w:sz w:val="20"/>
      <w:lang w:eastAsia="en-US"/>
    </w:rPr>
  </w:style>
  <w:style w:type="paragraph" w:customStyle="1" w:styleId="Tabletext">
    <w:name w:val="Table text"/>
    <w:basedOn w:val="Normal"/>
    <w:rsid w:val="001C263E"/>
    <w:pPr>
      <w:keepNext/>
      <w:keepLines/>
    </w:pPr>
    <w:rPr>
      <w:rFonts w:eastAsia="Times New Roman" w:cs="Times New Roman"/>
      <w:snapToGrid w:val="0"/>
      <w:sz w:val="16"/>
      <w:szCs w:val="16"/>
      <w:lang w:eastAsia="en-US"/>
    </w:rPr>
  </w:style>
  <w:style w:type="character" w:styleId="Hyperlink">
    <w:name w:val="Hyperlink"/>
    <w:basedOn w:val="DefaultParagraphFont"/>
    <w:rsid w:val="007B70E3"/>
    <w:rPr>
      <w:color w:val="0000FF" w:themeColor="hyperlink"/>
      <w:u w:val="single"/>
    </w:rPr>
  </w:style>
  <w:style w:type="character" w:styleId="FollowedHyperlink">
    <w:name w:val="FollowedHyperlink"/>
    <w:basedOn w:val="DefaultParagraphFont"/>
    <w:rsid w:val="007B70E3"/>
    <w:rPr>
      <w:color w:val="800080" w:themeColor="followedHyperlink"/>
      <w:u w:val="single"/>
    </w:rPr>
  </w:style>
  <w:style w:type="character" w:customStyle="1" w:styleId="RItalic">
    <w:name w:val="RItalic"/>
    <w:rsid w:val="00F20DF5"/>
    <w:rPr>
      <w:i/>
    </w:rPr>
  </w:style>
  <w:style w:type="character" w:customStyle="1" w:styleId="FooterChar">
    <w:name w:val="Footer Char"/>
    <w:basedOn w:val="DefaultParagraphFont"/>
    <w:link w:val="Footer"/>
    <w:rsid w:val="00AA5808"/>
    <w:rPr>
      <w:rFonts w:ascii="Arial" w:eastAsia="SimSun" w:hAnsi="Arial" w:cs="Arial"/>
      <w:sz w:val="22"/>
      <w:lang w:eastAsia="zh-CN"/>
    </w:rPr>
  </w:style>
  <w:style w:type="character" w:customStyle="1" w:styleId="RDeletedText">
    <w:name w:val="RDeletedText"/>
    <w:rsid w:val="00B7599D"/>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127B04"/>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422B"/>
    <w:rPr>
      <w:rFonts w:ascii="Arial" w:eastAsia="SimSun" w:hAnsi="Arial" w:cs="Arial"/>
      <w:sz w:val="22"/>
      <w:lang w:eastAsia="zh-CN"/>
    </w:rPr>
  </w:style>
  <w:style w:type="character" w:customStyle="1" w:styleId="Heading1Char">
    <w:name w:val="Heading 1 Char"/>
    <w:basedOn w:val="DefaultParagraphFont"/>
    <w:link w:val="Heading1"/>
    <w:rsid w:val="00127B04"/>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954D12"/>
    <w:rPr>
      <w:rFonts w:ascii="Arial" w:eastAsia="SimSun" w:hAnsi="Arial" w:cs="Arial"/>
      <w:sz w:val="18"/>
      <w:lang w:eastAsia="zh-CN"/>
    </w:rPr>
  </w:style>
  <w:style w:type="character" w:styleId="FootnoteReference">
    <w:name w:val="footnote reference"/>
    <w:basedOn w:val="DefaultParagraphFont"/>
    <w:rsid w:val="0067787B"/>
    <w:rPr>
      <w:vertAlign w:val="superscript"/>
    </w:rPr>
  </w:style>
  <w:style w:type="paragraph" w:styleId="Revision">
    <w:name w:val="Revision"/>
    <w:hidden/>
    <w:uiPriority w:val="99"/>
    <w:semiHidden/>
    <w:rsid w:val="007347DF"/>
    <w:rPr>
      <w:rFonts w:ascii="Arial" w:eastAsia="SimSun" w:hAnsi="Arial" w:cs="Arial"/>
      <w:sz w:val="22"/>
      <w:lang w:eastAsia="zh-CN"/>
    </w:rPr>
  </w:style>
  <w:style w:type="character" w:customStyle="1" w:styleId="RInsertedText">
    <w:name w:val="RInsertedText"/>
    <w:basedOn w:val="DefaultParagraphFont"/>
    <w:rsid w:val="001C263E"/>
    <w:rPr>
      <w:color w:val="0000FF"/>
      <w:u w:val="single"/>
    </w:rPr>
  </w:style>
  <w:style w:type="paragraph" w:customStyle="1" w:styleId="DecisionInvitingPara">
    <w:name w:val="Decision Inviting Para."/>
    <w:basedOn w:val="Normal"/>
    <w:rsid w:val="001C263E"/>
    <w:pPr>
      <w:spacing w:after="120" w:line="260" w:lineRule="exact"/>
      <w:ind w:left="5534" w:hanging="567"/>
    </w:pPr>
    <w:rPr>
      <w:rFonts w:eastAsia="Times New Roman" w:cs="Times New Roman"/>
      <w:i/>
      <w:sz w:val="20"/>
      <w:lang w:eastAsia="en-US"/>
    </w:rPr>
  </w:style>
  <w:style w:type="paragraph" w:customStyle="1" w:styleId="Endofdocument">
    <w:name w:val="End of document"/>
    <w:basedOn w:val="Normal"/>
    <w:rsid w:val="001C263E"/>
    <w:pPr>
      <w:spacing w:after="120" w:line="260" w:lineRule="exact"/>
      <w:ind w:left="5534" w:hanging="567"/>
    </w:pPr>
    <w:rPr>
      <w:rFonts w:eastAsia="Times New Roman" w:cs="Times New Roman"/>
      <w:sz w:val="20"/>
      <w:lang w:eastAsia="en-US"/>
    </w:rPr>
  </w:style>
  <w:style w:type="paragraph" w:customStyle="1" w:styleId="Tabletext">
    <w:name w:val="Table text"/>
    <w:basedOn w:val="Normal"/>
    <w:rsid w:val="001C263E"/>
    <w:pPr>
      <w:keepNext/>
      <w:keepLines/>
    </w:pPr>
    <w:rPr>
      <w:rFonts w:eastAsia="Times New Roman" w:cs="Times New Roman"/>
      <w:snapToGrid w:val="0"/>
      <w:sz w:val="16"/>
      <w:szCs w:val="16"/>
      <w:lang w:eastAsia="en-US"/>
    </w:rPr>
  </w:style>
  <w:style w:type="character" w:styleId="Hyperlink">
    <w:name w:val="Hyperlink"/>
    <w:basedOn w:val="DefaultParagraphFont"/>
    <w:rsid w:val="007B70E3"/>
    <w:rPr>
      <w:color w:val="0000FF" w:themeColor="hyperlink"/>
      <w:u w:val="single"/>
    </w:rPr>
  </w:style>
  <w:style w:type="character" w:styleId="FollowedHyperlink">
    <w:name w:val="FollowedHyperlink"/>
    <w:basedOn w:val="DefaultParagraphFont"/>
    <w:rsid w:val="007B70E3"/>
    <w:rPr>
      <w:color w:val="800080" w:themeColor="followedHyperlink"/>
      <w:u w:val="single"/>
    </w:rPr>
  </w:style>
  <w:style w:type="character" w:customStyle="1" w:styleId="RItalic">
    <w:name w:val="RItalic"/>
    <w:rsid w:val="00F20DF5"/>
    <w:rPr>
      <w:i/>
    </w:rPr>
  </w:style>
  <w:style w:type="character" w:customStyle="1" w:styleId="FooterChar">
    <w:name w:val="Footer Char"/>
    <w:basedOn w:val="DefaultParagraphFont"/>
    <w:link w:val="Footer"/>
    <w:rsid w:val="00AA5808"/>
    <w:rPr>
      <w:rFonts w:ascii="Arial" w:eastAsia="SimSun" w:hAnsi="Arial" w:cs="Arial"/>
      <w:sz w:val="22"/>
      <w:lang w:eastAsia="zh-CN"/>
    </w:rPr>
  </w:style>
  <w:style w:type="character" w:customStyle="1" w:styleId="RDeletedText">
    <w:name w:val="RDeletedText"/>
    <w:rsid w:val="00B7599D"/>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B37-77A2-42EC-9923-9399DF51CEB6}">
  <ds:schemaRefs>
    <ds:schemaRef ds:uri="http://schemas.openxmlformats.org/officeDocument/2006/bibliography"/>
  </ds:schemaRefs>
</ds:datastoreItem>
</file>

<file path=customXml/itemProps2.xml><?xml version="1.0" encoding="utf-8"?>
<ds:datastoreItem xmlns:ds="http://schemas.openxmlformats.org/officeDocument/2006/customXml" ds:itemID="{21B9475A-A4A5-434A-8128-D47B7024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42</TotalTime>
  <Pages>24</Pages>
  <Words>13121</Words>
  <Characters>71767</Characters>
  <Application>Microsoft Office Word</Application>
  <DocSecurity>0</DocSecurity>
  <Lines>598</Lines>
  <Paragraphs>169</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84719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Summary by the Chair</dc:subject>
  <dc:creator>MARLOW Thomas</dc:creator>
  <cp:keywords>JCH/mhf</cp:keywords>
  <cp:lastModifiedBy>MARLOW Thomas</cp:lastModifiedBy>
  <cp:revision>8</cp:revision>
  <cp:lastPrinted>2014-06-27T16:11:00Z</cp:lastPrinted>
  <dcterms:created xsi:type="dcterms:W3CDTF">2014-06-27T15:24:00Z</dcterms:created>
  <dcterms:modified xsi:type="dcterms:W3CDTF">2014-06-30T07:44:00Z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410019142</vt:i4>
  </property>
</Properties>
</file>