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62BB0" w:rsidRPr="00E102FC" w:rsidTr="00855B37">
        <w:tc>
          <w:tcPr>
            <w:tcW w:w="4513" w:type="dxa"/>
            <w:tcBorders>
              <w:bottom w:val="single" w:sz="4" w:space="0" w:color="auto"/>
            </w:tcBorders>
            <w:tcMar>
              <w:bottom w:w="170" w:type="dxa"/>
            </w:tcMar>
          </w:tcPr>
          <w:p w:rsidR="00062BB0" w:rsidRPr="00E102FC" w:rsidRDefault="00062BB0" w:rsidP="00855B37">
            <w:pPr>
              <w:rPr>
                <w:lang w:val="fr-FR"/>
              </w:rPr>
            </w:pPr>
            <w:bookmarkStart w:id="0" w:name="TitleOfDoc"/>
            <w:bookmarkEnd w:id="0"/>
          </w:p>
        </w:tc>
        <w:tc>
          <w:tcPr>
            <w:tcW w:w="4337" w:type="dxa"/>
            <w:tcBorders>
              <w:bottom w:val="single" w:sz="4" w:space="0" w:color="auto"/>
            </w:tcBorders>
            <w:tcMar>
              <w:left w:w="0" w:type="dxa"/>
              <w:right w:w="0" w:type="dxa"/>
            </w:tcMar>
          </w:tcPr>
          <w:p w:rsidR="00062BB0" w:rsidRPr="00E102FC" w:rsidRDefault="00062BB0" w:rsidP="00855B37">
            <w:pPr>
              <w:rPr>
                <w:lang w:val="fr-FR"/>
              </w:rPr>
            </w:pPr>
            <w:r w:rsidRPr="00E102FC">
              <w:rPr>
                <w:noProof/>
                <w:lang w:eastAsia="en-US"/>
              </w:rPr>
              <w:drawing>
                <wp:inline distT="0" distB="0" distL="0" distR="0" wp14:anchorId="76EB3BAB" wp14:editId="395D0DA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62BB0" w:rsidRPr="00E102FC" w:rsidRDefault="00062BB0" w:rsidP="00855B37">
            <w:pPr>
              <w:jc w:val="right"/>
              <w:rPr>
                <w:lang w:val="fr-FR"/>
              </w:rPr>
            </w:pPr>
            <w:r w:rsidRPr="00E102FC">
              <w:rPr>
                <w:b/>
                <w:sz w:val="40"/>
                <w:szCs w:val="40"/>
                <w:lang w:val="fr-FR"/>
              </w:rPr>
              <w:t>F</w:t>
            </w:r>
          </w:p>
        </w:tc>
      </w:tr>
      <w:tr w:rsidR="00062BB0" w:rsidRPr="00E102FC" w:rsidTr="00855B37">
        <w:trPr>
          <w:trHeight w:hRule="exact" w:val="340"/>
        </w:trPr>
        <w:tc>
          <w:tcPr>
            <w:tcW w:w="9356" w:type="dxa"/>
            <w:gridSpan w:val="3"/>
            <w:tcBorders>
              <w:top w:val="single" w:sz="4" w:space="0" w:color="auto"/>
            </w:tcBorders>
            <w:tcMar>
              <w:top w:w="170" w:type="dxa"/>
              <w:left w:w="0" w:type="dxa"/>
              <w:right w:w="0" w:type="dxa"/>
            </w:tcMar>
            <w:vAlign w:val="bottom"/>
          </w:tcPr>
          <w:p w:rsidR="00062BB0" w:rsidRPr="00E102FC" w:rsidRDefault="00062BB0" w:rsidP="00062BB0">
            <w:pPr>
              <w:jc w:val="right"/>
              <w:rPr>
                <w:rFonts w:ascii="Arial Black" w:hAnsi="Arial Black"/>
                <w:caps/>
                <w:sz w:val="15"/>
                <w:lang w:val="fr-FR"/>
              </w:rPr>
            </w:pPr>
            <w:r w:rsidRPr="00E102FC">
              <w:rPr>
                <w:rFonts w:ascii="Arial Black" w:hAnsi="Arial Black"/>
                <w:caps/>
                <w:sz w:val="15"/>
                <w:lang w:val="fr-FR"/>
              </w:rPr>
              <w:t>PCT/WG/7/</w:t>
            </w:r>
            <w:bookmarkStart w:id="1" w:name="Code"/>
            <w:bookmarkEnd w:id="1"/>
            <w:r w:rsidRPr="00E102FC">
              <w:rPr>
                <w:rFonts w:ascii="Arial Black" w:hAnsi="Arial Black"/>
                <w:caps/>
                <w:sz w:val="15"/>
                <w:lang w:val="fr-FR"/>
              </w:rPr>
              <w:t xml:space="preserve">20 </w:t>
            </w:r>
          </w:p>
        </w:tc>
      </w:tr>
      <w:tr w:rsidR="00062BB0" w:rsidRPr="00E102FC" w:rsidTr="00855B37">
        <w:trPr>
          <w:trHeight w:hRule="exact" w:val="170"/>
        </w:trPr>
        <w:tc>
          <w:tcPr>
            <w:tcW w:w="9356" w:type="dxa"/>
            <w:gridSpan w:val="3"/>
            <w:noWrap/>
            <w:tcMar>
              <w:left w:w="0" w:type="dxa"/>
              <w:right w:w="0" w:type="dxa"/>
            </w:tcMar>
            <w:vAlign w:val="bottom"/>
          </w:tcPr>
          <w:p w:rsidR="00062BB0" w:rsidRPr="00E102FC" w:rsidRDefault="00062BB0" w:rsidP="00855B37">
            <w:pPr>
              <w:jc w:val="right"/>
              <w:rPr>
                <w:rFonts w:ascii="Arial Black" w:hAnsi="Arial Black"/>
                <w:caps/>
                <w:sz w:val="15"/>
                <w:lang w:val="fr-FR"/>
              </w:rPr>
            </w:pPr>
            <w:r w:rsidRPr="00E102FC">
              <w:rPr>
                <w:rFonts w:ascii="Arial Black" w:hAnsi="Arial Black"/>
                <w:caps/>
                <w:sz w:val="15"/>
                <w:lang w:val="fr-FR"/>
              </w:rPr>
              <w:t xml:space="preserve">ORIGINAL : </w:t>
            </w:r>
            <w:bookmarkStart w:id="2" w:name="Original"/>
            <w:bookmarkEnd w:id="2"/>
            <w:r w:rsidRPr="00E102FC">
              <w:rPr>
                <w:rFonts w:ascii="Arial Black" w:hAnsi="Arial Black"/>
                <w:caps/>
                <w:sz w:val="15"/>
                <w:lang w:val="fr-FR"/>
              </w:rPr>
              <w:t>anglais</w:t>
            </w:r>
          </w:p>
        </w:tc>
      </w:tr>
      <w:tr w:rsidR="00062BB0" w:rsidRPr="00E102FC" w:rsidTr="00855B37">
        <w:trPr>
          <w:trHeight w:hRule="exact" w:val="198"/>
        </w:trPr>
        <w:tc>
          <w:tcPr>
            <w:tcW w:w="9356" w:type="dxa"/>
            <w:gridSpan w:val="3"/>
            <w:tcMar>
              <w:left w:w="0" w:type="dxa"/>
              <w:right w:w="0" w:type="dxa"/>
            </w:tcMar>
            <w:vAlign w:val="bottom"/>
          </w:tcPr>
          <w:p w:rsidR="00062BB0" w:rsidRPr="00E102FC" w:rsidRDefault="00062BB0" w:rsidP="00062BB0">
            <w:pPr>
              <w:jc w:val="right"/>
              <w:rPr>
                <w:rFonts w:ascii="Arial Black" w:hAnsi="Arial Black"/>
                <w:caps/>
                <w:sz w:val="15"/>
                <w:lang w:val="fr-FR"/>
              </w:rPr>
            </w:pPr>
            <w:r w:rsidRPr="00E102FC">
              <w:rPr>
                <w:rFonts w:ascii="Arial Black" w:hAnsi="Arial Black"/>
                <w:caps/>
                <w:sz w:val="15"/>
                <w:lang w:val="fr-FR"/>
              </w:rPr>
              <w:t xml:space="preserve">DATE : </w:t>
            </w:r>
            <w:bookmarkStart w:id="3" w:name="Date"/>
            <w:bookmarkEnd w:id="3"/>
            <w:r w:rsidRPr="00E102FC">
              <w:rPr>
                <w:rFonts w:ascii="Arial Black" w:hAnsi="Arial Black"/>
                <w:caps/>
                <w:sz w:val="15"/>
                <w:lang w:val="fr-FR"/>
              </w:rPr>
              <w:t>23 mai 2014</w:t>
            </w:r>
          </w:p>
        </w:tc>
      </w:tr>
    </w:tbl>
    <w:p w:rsidR="00062BB0" w:rsidRPr="00E102FC" w:rsidRDefault="00062BB0" w:rsidP="00062BB0">
      <w:pPr>
        <w:rPr>
          <w:lang w:val="fr-FR"/>
        </w:rPr>
      </w:pPr>
    </w:p>
    <w:p w:rsidR="00062BB0" w:rsidRPr="00E102FC" w:rsidRDefault="00062BB0" w:rsidP="00062BB0">
      <w:pPr>
        <w:rPr>
          <w:lang w:val="fr-FR"/>
        </w:rPr>
      </w:pPr>
    </w:p>
    <w:p w:rsidR="00062BB0" w:rsidRPr="00E102FC" w:rsidRDefault="00062BB0" w:rsidP="00062BB0">
      <w:pPr>
        <w:rPr>
          <w:lang w:val="fr-FR"/>
        </w:rPr>
      </w:pPr>
    </w:p>
    <w:p w:rsidR="00062BB0" w:rsidRPr="00E102FC" w:rsidRDefault="00062BB0" w:rsidP="00062BB0">
      <w:pPr>
        <w:rPr>
          <w:lang w:val="fr-FR"/>
        </w:rPr>
      </w:pPr>
    </w:p>
    <w:p w:rsidR="00062BB0" w:rsidRPr="00E102FC" w:rsidRDefault="00062BB0" w:rsidP="00062BB0">
      <w:pPr>
        <w:rPr>
          <w:lang w:val="fr-FR"/>
        </w:rPr>
      </w:pPr>
    </w:p>
    <w:p w:rsidR="00062BB0" w:rsidRPr="00E102FC" w:rsidRDefault="00062BB0" w:rsidP="00062BB0">
      <w:pPr>
        <w:rPr>
          <w:b/>
          <w:sz w:val="28"/>
          <w:szCs w:val="28"/>
          <w:lang w:val="fr-FR"/>
        </w:rPr>
      </w:pPr>
      <w:r w:rsidRPr="00E102FC">
        <w:rPr>
          <w:b/>
          <w:sz w:val="28"/>
          <w:szCs w:val="28"/>
          <w:lang w:val="fr-FR"/>
        </w:rPr>
        <w:t>Groupe de travail du Traité de coopération en matière de brevets (PCT)</w:t>
      </w:r>
    </w:p>
    <w:p w:rsidR="00062BB0" w:rsidRPr="00E102FC" w:rsidRDefault="00062BB0" w:rsidP="00062BB0">
      <w:pPr>
        <w:rPr>
          <w:lang w:val="fr-FR"/>
        </w:rPr>
      </w:pPr>
    </w:p>
    <w:p w:rsidR="00062BB0" w:rsidRPr="00E102FC" w:rsidRDefault="00062BB0" w:rsidP="00062BB0">
      <w:pPr>
        <w:rPr>
          <w:lang w:val="fr-FR"/>
        </w:rPr>
      </w:pPr>
    </w:p>
    <w:p w:rsidR="00062BB0" w:rsidRPr="00E102FC" w:rsidRDefault="00062BB0" w:rsidP="00062BB0">
      <w:pPr>
        <w:rPr>
          <w:b/>
          <w:sz w:val="24"/>
          <w:szCs w:val="24"/>
          <w:lang w:val="fr-FR"/>
        </w:rPr>
      </w:pPr>
      <w:r w:rsidRPr="00E102FC">
        <w:rPr>
          <w:b/>
          <w:sz w:val="24"/>
          <w:szCs w:val="24"/>
          <w:lang w:val="fr-FR"/>
        </w:rPr>
        <w:t>Septième session</w:t>
      </w:r>
    </w:p>
    <w:p w:rsidR="00062BB0" w:rsidRPr="00E102FC" w:rsidRDefault="00062BB0" w:rsidP="00062BB0">
      <w:pPr>
        <w:rPr>
          <w:b/>
          <w:sz w:val="24"/>
          <w:szCs w:val="24"/>
          <w:lang w:val="fr-FR"/>
        </w:rPr>
      </w:pPr>
      <w:r w:rsidRPr="00E102FC">
        <w:rPr>
          <w:b/>
          <w:sz w:val="24"/>
          <w:szCs w:val="24"/>
          <w:lang w:val="fr-FR"/>
        </w:rPr>
        <w:t>Genève, 10 – 13 juin 2014</w:t>
      </w:r>
    </w:p>
    <w:p w:rsidR="00062BB0" w:rsidRPr="00E102FC" w:rsidRDefault="00062BB0" w:rsidP="00062BB0">
      <w:pPr>
        <w:rPr>
          <w:lang w:val="fr-FR"/>
        </w:rPr>
      </w:pPr>
    </w:p>
    <w:p w:rsidR="00062BB0" w:rsidRPr="00E102FC" w:rsidRDefault="00062BB0" w:rsidP="00062BB0">
      <w:pPr>
        <w:rPr>
          <w:lang w:val="fr-FR"/>
        </w:rPr>
      </w:pPr>
    </w:p>
    <w:p w:rsidR="00062BB0" w:rsidRPr="00E102FC" w:rsidRDefault="00062BB0" w:rsidP="00062BB0">
      <w:pPr>
        <w:rPr>
          <w:lang w:val="fr-FR"/>
        </w:rPr>
      </w:pPr>
    </w:p>
    <w:p w:rsidR="0076581C" w:rsidRPr="00E102FC" w:rsidRDefault="00297FED" w:rsidP="00D73627">
      <w:pPr>
        <w:rPr>
          <w:caps/>
          <w:sz w:val="24"/>
          <w:lang w:val="fr-FR"/>
        </w:rPr>
      </w:pPr>
      <w:r w:rsidRPr="00E102FC">
        <w:rPr>
          <w:sz w:val="24"/>
          <w:lang w:val="fr-FR"/>
        </w:rPr>
        <w:t>EXAMEN D</w:t>
      </w:r>
      <w:r w:rsidR="00DD1942" w:rsidRPr="00E102FC">
        <w:rPr>
          <w:sz w:val="24"/>
          <w:lang w:val="fr-FR"/>
        </w:rPr>
        <w:t>’</w:t>
      </w:r>
      <w:r w:rsidRPr="00E102FC">
        <w:rPr>
          <w:sz w:val="24"/>
          <w:lang w:val="fr-FR"/>
        </w:rPr>
        <w:t>ENSEMBLE DES</w:t>
      </w:r>
      <w:r w:rsidR="00A77AB8">
        <w:rPr>
          <w:sz w:val="24"/>
          <w:lang w:val="fr-FR"/>
        </w:rPr>
        <w:t xml:space="preserve"> PROPOSITIONS CONCERNANT LE PCT </w:t>
      </w:r>
      <w:r w:rsidRPr="00E102FC">
        <w:rPr>
          <w:sz w:val="24"/>
          <w:lang w:val="fr-FR"/>
        </w:rPr>
        <w:t>20/20</w:t>
      </w:r>
    </w:p>
    <w:p w:rsidR="0076581C" w:rsidRPr="00E102FC" w:rsidRDefault="0076581C" w:rsidP="008B2CC1">
      <w:pPr>
        <w:rPr>
          <w:lang w:val="fr-FR"/>
        </w:rPr>
      </w:pPr>
    </w:p>
    <w:p w:rsidR="00DD1942" w:rsidRPr="00E102FC" w:rsidRDefault="00D73627" w:rsidP="00D73627">
      <w:pPr>
        <w:rPr>
          <w:i/>
          <w:lang w:val="fr-FR"/>
        </w:rPr>
      </w:pPr>
      <w:bookmarkStart w:id="4" w:name="Prepared"/>
      <w:bookmarkEnd w:id="4"/>
      <w:r w:rsidRPr="00E102FC">
        <w:rPr>
          <w:i/>
          <w:lang w:val="fr-FR"/>
        </w:rPr>
        <w:t xml:space="preserve">Document </w:t>
      </w:r>
      <w:r w:rsidR="00E40F74">
        <w:rPr>
          <w:i/>
          <w:lang w:val="fr-FR"/>
        </w:rPr>
        <w:t>soumis</w:t>
      </w:r>
      <w:bookmarkStart w:id="5" w:name="_GoBack"/>
      <w:bookmarkEnd w:id="5"/>
      <w:r w:rsidRPr="00E102FC">
        <w:rPr>
          <w:i/>
          <w:lang w:val="fr-FR"/>
        </w:rPr>
        <w:t xml:space="preserve"> par les États</w:t>
      </w:r>
      <w:r w:rsidR="00B20659" w:rsidRPr="00E102FC">
        <w:rPr>
          <w:i/>
          <w:lang w:val="fr-FR"/>
        </w:rPr>
        <w:noBreakHyphen/>
      </w:r>
      <w:r w:rsidRPr="00E102FC">
        <w:rPr>
          <w:i/>
          <w:lang w:val="fr-FR"/>
        </w:rPr>
        <w:t>Unis d</w:t>
      </w:r>
      <w:r w:rsidR="00DD1942" w:rsidRPr="00E102FC">
        <w:rPr>
          <w:i/>
          <w:lang w:val="fr-FR"/>
        </w:rPr>
        <w:t>’</w:t>
      </w:r>
      <w:r w:rsidRPr="00E102FC">
        <w:rPr>
          <w:i/>
          <w:lang w:val="fr-FR"/>
        </w:rPr>
        <w:t>Amérique et le Royaume</w:t>
      </w:r>
      <w:r w:rsidR="00B20659" w:rsidRPr="00E102FC">
        <w:rPr>
          <w:i/>
          <w:lang w:val="fr-FR"/>
        </w:rPr>
        <w:noBreakHyphen/>
      </w:r>
      <w:r w:rsidRPr="00E102FC">
        <w:rPr>
          <w:i/>
          <w:lang w:val="fr-FR"/>
        </w:rPr>
        <w:t>Uni</w:t>
      </w:r>
    </w:p>
    <w:p w:rsidR="0076581C" w:rsidRPr="00E102FC" w:rsidRDefault="0076581C">
      <w:pPr>
        <w:rPr>
          <w:lang w:val="fr-FR"/>
        </w:rPr>
      </w:pPr>
    </w:p>
    <w:p w:rsidR="0076581C" w:rsidRDefault="0076581C" w:rsidP="0053057A">
      <w:pPr>
        <w:rPr>
          <w:lang w:val="fr-FR"/>
        </w:rPr>
      </w:pPr>
    </w:p>
    <w:p w:rsidR="00D45653" w:rsidRPr="00E102FC" w:rsidRDefault="00D45653" w:rsidP="0053057A">
      <w:pPr>
        <w:rPr>
          <w:lang w:val="fr-FR"/>
        </w:rPr>
      </w:pPr>
    </w:p>
    <w:p w:rsidR="0076581C" w:rsidRDefault="00D45653" w:rsidP="00D45653">
      <w:pPr>
        <w:pStyle w:val="Heading1"/>
        <w:rPr>
          <w:lang w:val="fr-FR"/>
        </w:rPr>
      </w:pPr>
      <w:r w:rsidRPr="00E102FC">
        <w:rPr>
          <w:lang w:val="fr-FR"/>
        </w:rPr>
        <w:t>Résumé</w:t>
      </w:r>
    </w:p>
    <w:p w:rsidR="00D45653" w:rsidRPr="00D45653" w:rsidRDefault="00D45653" w:rsidP="00D45653">
      <w:pPr>
        <w:rPr>
          <w:lang w:val="fr-FR"/>
        </w:rPr>
      </w:pPr>
    </w:p>
    <w:p w:rsidR="0076581C" w:rsidRPr="00E102FC" w:rsidRDefault="00D73627" w:rsidP="00C90A12">
      <w:pPr>
        <w:pStyle w:val="ONUMFS"/>
        <w:rPr>
          <w:lang w:val="fr-FR"/>
        </w:rPr>
      </w:pPr>
      <w:r w:rsidRPr="00E102FC">
        <w:rPr>
          <w:lang w:val="fr-FR"/>
        </w:rPr>
        <w:t xml:space="preserve">Le présent document se rapporte aux différentes propositions exposées dans </w:t>
      </w:r>
      <w:r w:rsidR="004B2B26" w:rsidRPr="00E102FC">
        <w:rPr>
          <w:lang w:val="fr-FR"/>
        </w:rPr>
        <w:t>la</w:t>
      </w:r>
      <w:r w:rsidRPr="00E102FC">
        <w:rPr>
          <w:lang w:val="fr-FR"/>
        </w:rPr>
        <w:t xml:space="preserve"> proposition conjointe intitulée </w:t>
      </w:r>
      <w:r w:rsidR="00297FED" w:rsidRPr="00E102FC">
        <w:rPr>
          <w:lang w:val="fr-FR"/>
        </w:rPr>
        <w:t>“</w:t>
      </w:r>
      <w:r w:rsidR="00A77AB8">
        <w:rPr>
          <w:lang w:val="fr-FR"/>
        </w:rPr>
        <w:t>PCT </w:t>
      </w:r>
      <w:r w:rsidRPr="00E102FC">
        <w:rPr>
          <w:lang w:val="fr-FR"/>
        </w:rPr>
        <w:t>20/20</w:t>
      </w:r>
      <w:r w:rsidR="00297FED" w:rsidRPr="00E102FC">
        <w:rPr>
          <w:lang w:val="fr-FR"/>
        </w:rPr>
        <w:t>”</w:t>
      </w:r>
      <w:r w:rsidRPr="00E102FC">
        <w:rPr>
          <w:lang w:val="fr-FR"/>
        </w:rPr>
        <w:t>, qui rassemblait 12 propositions relatives à la poursuite de l</w:t>
      </w:r>
      <w:r w:rsidR="00DD1942" w:rsidRPr="00E102FC">
        <w:rPr>
          <w:lang w:val="fr-FR"/>
        </w:rPr>
        <w:t>’</w:t>
      </w:r>
      <w:r w:rsidRPr="00E102FC">
        <w:rPr>
          <w:lang w:val="fr-FR"/>
        </w:rPr>
        <w:t>amélioration du système</w:t>
      </w:r>
      <w:r w:rsidR="00DD1942" w:rsidRPr="00E102FC">
        <w:rPr>
          <w:lang w:val="fr-FR"/>
        </w:rPr>
        <w:t xml:space="preserve"> du PCT</w:t>
      </w:r>
      <w:r w:rsidRPr="00E102FC">
        <w:rPr>
          <w:lang w:val="fr-FR"/>
        </w:rPr>
        <w:t>.</w:t>
      </w:r>
      <w:r w:rsidR="00D467A8" w:rsidRPr="00E102FC">
        <w:rPr>
          <w:lang w:val="fr-FR"/>
        </w:rPr>
        <w:t xml:space="preserve"> </w:t>
      </w:r>
      <w:r w:rsidR="006533F0" w:rsidRPr="00E102FC">
        <w:rPr>
          <w:lang w:val="fr-FR"/>
        </w:rPr>
        <w:t xml:space="preserve"> </w:t>
      </w:r>
      <w:r w:rsidR="00136AC3" w:rsidRPr="00E102FC">
        <w:rPr>
          <w:lang w:val="fr-FR"/>
        </w:rPr>
        <w:t xml:space="preserve">Il traite plus précisément de la situation actuelle des </w:t>
      </w:r>
      <w:r w:rsidR="001733D1">
        <w:rPr>
          <w:lang w:val="fr-FR"/>
        </w:rPr>
        <w:t>différentes</w:t>
      </w:r>
      <w:r w:rsidR="00136AC3" w:rsidRPr="00E102FC">
        <w:rPr>
          <w:lang w:val="fr-FR"/>
        </w:rPr>
        <w:t xml:space="preserve"> propos</w:t>
      </w:r>
      <w:r w:rsidR="00A77AB8">
        <w:rPr>
          <w:lang w:val="fr-FR"/>
        </w:rPr>
        <w:t>itions relatives au concept PCT </w:t>
      </w:r>
      <w:r w:rsidR="00136AC3" w:rsidRPr="00E102FC">
        <w:rPr>
          <w:lang w:val="fr-FR"/>
        </w:rPr>
        <w:t xml:space="preserve">20/20 ainsi que des prochaines étapes </w:t>
      </w:r>
      <w:r w:rsidR="00AB3503" w:rsidRPr="00E102FC">
        <w:rPr>
          <w:lang w:val="fr-FR"/>
        </w:rPr>
        <w:t>envisagées</w:t>
      </w:r>
      <w:r w:rsidR="00136AC3" w:rsidRPr="00E102FC">
        <w:rPr>
          <w:lang w:val="fr-FR"/>
        </w:rPr>
        <w:t xml:space="preserve"> concernant ces propositions et d</w:t>
      </w:r>
      <w:r w:rsidR="00DD1942" w:rsidRPr="00E102FC">
        <w:rPr>
          <w:lang w:val="fr-FR"/>
        </w:rPr>
        <w:t>’</w:t>
      </w:r>
      <w:r w:rsidR="00136AC3" w:rsidRPr="00E102FC">
        <w:rPr>
          <w:lang w:val="fr-FR"/>
        </w:rPr>
        <w:t>autres propositions d</w:t>
      </w:r>
      <w:r w:rsidR="00DD1942" w:rsidRPr="00E102FC">
        <w:rPr>
          <w:lang w:val="fr-FR"/>
        </w:rPr>
        <w:t>’</w:t>
      </w:r>
      <w:r w:rsidR="00136AC3" w:rsidRPr="00E102FC">
        <w:rPr>
          <w:lang w:val="fr-FR"/>
        </w:rPr>
        <w:t>amélioration</w:t>
      </w:r>
      <w:r w:rsidR="00DD1942" w:rsidRPr="00E102FC">
        <w:rPr>
          <w:lang w:val="fr-FR"/>
        </w:rPr>
        <w:t xml:space="preserve"> du PCT</w:t>
      </w:r>
      <w:r w:rsidR="00136AC3" w:rsidRPr="00E102FC">
        <w:rPr>
          <w:lang w:val="fr-FR"/>
        </w:rPr>
        <w:t>.</w:t>
      </w:r>
    </w:p>
    <w:p w:rsidR="0076581C" w:rsidRDefault="00AB3503" w:rsidP="00D45653">
      <w:pPr>
        <w:pStyle w:val="Heading1"/>
        <w:rPr>
          <w:lang w:val="fr-FR"/>
        </w:rPr>
      </w:pPr>
      <w:r w:rsidRPr="00E102FC">
        <w:rPr>
          <w:lang w:val="fr-FR"/>
        </w:rPr>
        <w:t>Rappel</w:t>
      </w:r>
    </w:p>
    <w:p w:rsidR="00D45653" w:rsidRPr="00D45653" w:rsidRDefault="00D45653" w:rsidP="00D45653">
      <w:pPr>
        <w:rPr>
          <w:lang w:val="fr-FR"/>
        </w:rPr>
      </w:pPr>
    </w:p>
    <w:p w:rsidR="0076581C" w:rsidRPr="00E102FC" w:rsidRDefault="00136AC3" w:rsidP="00C90A12">
      <w:pPr>
        <w:pStyle w:val="ONUMFS"/>
        <w:rPr>
          <w:rFonts w:eastAsia="Arial"/>
          <w:lang w:val="fr-FR"/>
        </w:rPr>
      </w:pPr>
      <w:r w:rsidRPr="00E102FC">
        <w:rPr>
          <w:rFonts w:eastAsia="Arial"/>
          <w:lang w:val="fr-FR"/>
        </w:rPr>
        <w:t>À la cinquième session du Groupe de travail du </w:t>
      </w:r>
      <w:r w:rsidR="00D14AF8">
        <w:rPr>
          <w:rFonts w:eastAsia="Arial"/>
          <w:lang w:val="fr-FR"/>
        </w:rPr>
        <w:t xml:space="preserve">PCT tenue à Genève du 29 mai au </w:t>
      </w:r>
      <w:r w:rsidRPr="00E102FC">
        <w:rPr>
          <w:rFonts w:eastAsia="Arial"/>
          <w:lang w:val="fr-FR"/>
        </w:rPr>
        <w:t>1</w:t>
      </w:r>
      <w:r w:rsidRPr="00E102FC">
        <w:rPr>
          <w:rFonts w:eastAsia="Arial"/>
          <w:vertAlign w:val="superscript"/>
          <w:lang w:val="fr-FR"/>
        </w:rPr>
        <w:t>er</w:t>
      </w:r>
      <w:r w:rsidRPr="00E102FC">
        <w:rPr>
          <w:rFonts w:eastAsia="Arial"/>
          <w:lang w:val="fr-FR"/>
        </w:rPr>
        <w:t> juin 2012, 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et le Royaume</w:t>
      </w:r>
      <w:r w:rsidR="00B20659" w:rsidRPr="00E102FC">
        <w:rPr>
          <w:rFonts w:eastAsia="Arial"/>
          <w:lang w:val="fr-FR"/>
        </w:rPr>
        <w:noBreakHyphen/>
      </w:r>
      <w:r w:rsidRPr="00E102FC">
        <w:rPr>
          <w:rFonts w:eastAsia="Arial"/>
          <w:lang w:val="fr-FR"/>
        </w:rPr>
        <w:t xml:space="preserve">Uni ont présenté une proposition commune intitulée </w:t>
      </w:r>
      <w:r w:rsidR="00297FED" w:rsidRPr="00E102FC">
        <w:rPr>
          <w:rFonts w:eastAsia="Arial"/>
          <w:lang w:val="fr-FR"/>
        </w:rPr>
        <w:t>“</w:t>
      </w:r>
      <w:r w:rsidRPr="00E102FC">
        <w:rPr>
          <w:rFonts w:eastAsia="Arial"/>
          <w:lang w:val="fr-FR"/>
        </w:rPr>
        <w:t>PCT 20/20</w:t>
      </w:r>
      <w:r w:rsidR="00297FED" w:rsidRPr="00E102FC">
        <w:rPr>
          <w:rFonts w:eastAsia="Arial"/>
          <w:lang w:val="fr-FR"/>
        </w:rPr>
        <w:t>”</w:t>
      </w:r>
      <w:r w:rsidRPr="00E102FC">
        <w:rPr>
          <w:rFonts w:eastAsia="Arial"/>
          <w:lang w:val="fr-FR"/>
        </w:rPr>
        <w:t xml:space="preserve">, contenant 12 propositions </w:t>
      </w:r>
      <w:r w:rsidR="00AB3503" w:rsidRPr="00E102FC">
        <w:rPr>
          <w:rFonts w:eastAsia="Arial"/>
          <w:lang w:val="fr-FR"/>
        </w:rPr>
        <w:t>relatives à la poursuite de</w:t>
      </w:r>
      <w:r w:rsidRPr="00E102FC">
        <w:rPr>
          <w:rFonts w:eastAsia="Arial"/>
          <w:lang w:val="fr-FR"/>
        </w:rPr>
        <w:t xml:space="preserve"> l</w:t>
      </w:r>
      <w:r w:rsidR="00DD1942" w:rsidRPr="00E102FC">
        <w:rPr>
          <w:rFonts w:eastAsia="Arial"/>
          <w:lang w:val="fr-FR"/>
        </w:rPr>
        <w:t>’</w:t>
      </w:r>
      <w:r w:rsidRPr="00E102FC">
        <w:rPr>
          <w:rFonts w:eastAsia="Arial"/>
          <w:lang w:val="fr-FR"/>
        </w:rPr>
        <w:t>amélioration du système du PCT (document PCT/WG/5/18).</w:t>
      </w:r>
      <w:r w:rsidR="00D467A8" w:rsidRPr="00E102FC">
        <w:rPr>
          <w:rFonts w:eastAsia="Arial"/>
          <w:lang w:val="fr-FR"/>
        </w:rPr>
        <w:t xml:space="preserve">  </w:t>
      </w:r>
      <w:r w:rsidR="00AB3503" w:rsidRPr="00E102FC">
        <w:rPr>
          <w:rFonts w:eastAsia="Arial"/>
          <w:lang w:val="fr-FR"/>
        </w:rPr>
        <w:t>C</w:t>
      </w:r>
      <w:r w:rsidRPr="00E102FC">
        <w:rPr>
          <w:rFonts w:eastAsia="Arial"/>
          <w:lang w:val="fr-FR"/>
        </w:rPr>
        <w:t>es propositions ont été appuyées à des degrés divers par le groupe de travail (voir les paragraphes 27 à</w:t>
      </w:r>
      <w:r w:rsidR="00B20659" w:rsidRPr="00E102FC">
        <w:rPr>
          <w:rFonts w:eastAsia="Arial"/>
          <w:lang w:val="fr-FR"/>
        </w:rPr>
        <w:t> </w:t>
      </w:r>
      <w:r w:rsidRPr="00E102FC">
        <w:rPr>
          <w:rFonts w:eastAsia="Arial"/>
          <w:lang w:val="fr-FR"/>
        </w:rPr>
        <w:t>29 du résumé présenté par la présidente de la cinquième session, document PCT/WG/5/21).</w:t>
      </w:r>
      <w:r w:rsidR="00D467A8" w:rsidRPr="00E102FC">
        <w:rPr>
          <w:rFonts w:eastAsia="Arial"/>
          <w:lang w:val="fr-FR"/>
        </w:rPr>
        <w:t xml:space="preserve">  </w:t>
      </w:r>
      <w:r w:rsidRPr="00E102FC">
        <w:rPr>
          <w:rFonts w:eastAsia="Arial"/>
          <w:lang w:val="fr-FR"/>
        </w:rPr>
        <w:t>À la suite de</w:t>
      </w:r>
      <w:r w:rsidR="00AB3503" w:rsidRPr="00E102FC">
        <w:rPr>
          <w:rFonts w:eastAsia="Arial"/>
          <w:lang w:val="fr-FR"/>
        </w:rPr>
        <w:t xml:space="preserve"> ce</w:t>
      </w:r>
      <w:r w:rsidRPr="00E102FC">
        <w:rPr>
          <w:rFonts w:eastAsia="Arial"/>
          <w:lang w:val="fr-FR"/>
        </w:rPr>
        <w:t>s discussions, les délégations des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et du Royaume</w:t>
      </w:r>
      <w:r w:rsidR="00B20659" w:rsidRPr="00E102FC">
        <w:rPr>
          <w:rFonts w:eastAsia="Arial"/>
          <w:lang w:val="fr-FR"/>
        </w:rPr>
        <w:noBreakHyphen/>
      </w:r>
      <w:r w:rsidRPr="00E102FC">
        <w:rPr>
          <w:rFonts w:eastAsia="Arial"/>
          <w:lang w:val="fr-FR"/>
        </w:rPr>
        <w:t>Uni ont accepté d</w:t>
      </w:r>
      <w:r w:rsidR="00DD1942" w:rsidRPr="00E102FC">
        <w:rPr>
          <w:rFonts w:eastAsia="Arial"/>
          <w:lang w:val="fr-FR"/>
        </w:rPr>
        <w:t>’</w:t>
      </w:r>
      <w:r w:rsidRPr="00E102FC">
        <w:rPr>
          <w:rFonts w:eastAsia="Arial"/>
          <w:lang w:val="fr-FR"/>
        </w:rPr>
        <w:t>approfondir les différentes propositions et de fournir davantage de précisions sur la suite à donner aux propositions, en vue de leur examen à la prochaine session du groupe de travail.</w:t>
      </w:r>
    </w:p>
    <w:p w:rsidR="00DD1942" w:rsidRPr="00E102FC" w:rsidRDefault="00136AC3" w:rsidP="00C90A12">
      <w:pPr>
        <w:pStyle w:val="ONUMFS"/>
        <w:rPr>
          <w:rFonts w:eastAsia="Arial"/>
          <w:lang w:val="fr-FR"/>
        </w:rPr>
      </w:pPr>
      <w:r w:rsidRPr="00E102FC">
        <w:rPr>
          <w:rFonts w:eastAsia="Arial"/>
          <w:lang w:val="fr-FR"/>
        </w:rPr>
        <w:t>Compte tenu des discussions tenues et des observations reçues durant la cinquième session du groupe de travail, 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et le Royaume</w:t>
      </w:r>
      <w:r w:rsidR="00B20659" w:rsidRPr="00E102FC">
        <w:rPr>
          <w:rFonts w:eastAsia="Arial"/>
          <w:lang w:val="fr-FR"/>
        </w:rPr>
        <w:noBreakHyphen/>
      </w:r>
      <w:r w:rsidRPr="00E102FC">
        <w:rPr>
          <w:rFonts w:eastAsia="Arial"/>
          <w:lang w:val="fr-FR"/>
        </w:rPr>
        <w:t>Uni ont établi des versions révisées des propositions originales d</w:t>
      </w:r>
      <w:r w:rsidR="00DD1942" w:rsidRPr="00E102FC">
        <w:rPr>
          <w:rFonts w:eastAsia="Arial"/>
          <w:lang w:val="fr-FR"/>
        </w:rPr>
        <w:t>’</w:t>
      </w:r>
      <w:r w:rsidRPr="00E102FC">
        <w:rPr>
          <w:rFonts w:eastAsia="Arial"/>
          <w:lang w:val="fr-FR"/>
        </w:rPr>
        <w:t>amélioration du système du PCT.  Ces</w:t>
      </w:r>
      <w:r w:rsidR="00B20659" w:rsidRPr="00E102FC">
        <w:rPr>
          <w:rFonts w:eastAsia="Arial"/>
          <w:lang w:val="fr-FR"/>
        </w:rPr>
        <w:t> </w:t>
      </w:r>
      <w:r w:rsidRPr="00E102FC">
        <w:rPr>
          <w:rFonts w:eastAsia="Arial"/>
          <w:lang w:val="fr-FR"/>
        </w:rPr>
        <w:t xml:space="preserve">propositions révisées et plus détaillées ont été communiquées par le Bureau international </w:t>
      </w:r>
      <w:r w:rsidRPr="00E102FC">
        <w:rPr>
          <w:rFonts w:eastAsia="Arial"/>
          <w:lang w:val="fr-FR"/>
        </w:rPr>
        <w:lastRenderedPageBreak/>
        <w:t>dans une circulaire (annexe I de la circulaire C.</w:t>
      </w:r>
      <w:r w:rsidR="006533F0" w:rsidRPr="00E102FC">
        <w:rPr>
          <w:rFonts w:eastAsia="Arial"/>
          <w:lang w:val="fr-FR"/>
        </w:rPr>
        <w:t> </w:t>
      </w:r>
      <w:r w:rsidRPr="00E102FC">
        <w:rPr>
          <w:rFonts w:eastAsia="Arial"/>
          <w:lang w:val="fr-FR"/>
        </w:rPr>
        <w:t>PCT</w:t>
      </w:r>
      <w:r w:rsidR="00B20659" w:rsidRPr="00E102FC">
        <w:rPr>
          <w:rFonts w:eastAsia="Arial"/>
          <w:lang w:val="fr-FR"/>
        </w:rPr>
        <w:t> </w:t>
      </w:r>
      <w:r w:rsidRPr="00E102FC">
        <w:rPr>
          <w:rFonts w:eastAsia="Arial"/>
          <w:lang w:val="fr-FR"/>
        </w:rPr>
        <w:t>1364, datée du 2</w:t>
      </w:r>
      <w:r w:rsidR="00DD1942" w:rsidRPr="00E102FC">
        <w:rPr>
          <w:rFonts w:eastAsia="Arial"/>
          <w:lang w:val="fr-FR"/>
        </w:rPr>
        <w:t>0 décembre</w:t>
      </w:r>
      <w:r w:rsidRPr="00E102FC">
        <w:rPr>
          <w:rFonts w:eastAsia="Arial"/>
          <w:lang w:val="fr-FR"/>
        </w:rPr>
        <w:t> 2012) adressée aux offices de tous les États contractants</w:t>
      </w:r>
      <w:r w:rsidR="00DD1942" w:rsidRPr="00E102FC">
        <w:rPr>
          <w:rFonts w:eastAsia="Arial"/>
          <w:lang w:val="fr-FR"/>
        </w:rPr>
        <w:t xml:space="preserve"> du PCT</w:t>
      </w:r>
      <w:r w:rsidRPr="00E102FC">
        <w:rPr>
          <w:rFonts w:eastAsia="Arial"/>
          <w:lang w:val="fr-FR"/>
        </w:rPr>
        <w:t xml:space="preserve"> et aux autres parties intéressées.</w:t>
      </w:r>
      <w:r w:rsidR="00D467A8" w:rsidRPr="00E102FC">
        <w:rPr>
          <w:rFonts w:eastAsia="Arial"/>
          <w:lang w:val="fr-FR"/>
        </w:rPr>
        <w:t xml:space="preserve">  </w:t>
      </w:r>
      <w:r w:rsidRPr="00E102FC">
        <w:rPr>
          <w:rFonts w:eastAsia="Arial"/>
          <w:lang w:val="fr-FR"/>
        </w:rPr>
        <w:t>Cette circulaire visait expressément à donner aux offices une possibilité d</w:t>
      </w:r>
      <w:r w:rsidR="00DD1942" w:rsidRPr="00E102FC">
        <w:rPr>
          <w:rFonts w:eastAsia="Arial"/>
          <w:lang w:val="fr-FR"/>
        </w:rPr>
        <w:t>’</w:t>
      </w:r>
      <w:r w:rsidRPr="00E102FC">
        <w:rPr>
          <w:rFonts w:eastAsia="Arial"/>
          <w:lang w:val="fr-FR"/>
        </w:rPr>
        <w:t>examiner les propositions de manière plus approfondie et de solliciter les contributions de leurs utilisateurs à cet égard.</w:t>
      </w:r>
      <w:r w:rsidR="00ED40AA" w:rsidRPr="00E102FC">
        <w:rPr>
          <w:rFonts w:eastAsia="Arial"/>
          <w:lang w:val="fr-FR"/>
        </w:rPr>
        <w:t xml:space="preserve"> </w:t>
      </w:r>
      <w:r w:rsidR="006533F0" w:rsidRPr="00E102FC">
        <w:rPr>
          <w:rFonts w:eastAsia="Arial"/>
          <w:lang w:val="fr-FR"/>
        </w:rPr>
        <w:t xml:space="preserve"> </w:t>
      </w:r>
      <w:r w:rsidRPr="00E102FC">
        <w:rPr>
          <w:rFonts w:eastAsia="Arial"/>
          <w:lang w:val="fr-FR"/>
        </w:rPr>
        <w:t>Elle invitait les destinataires à examiner ces propositions révisées et à faire part de leurs observations sur celles</w:t>
      </w:r>
      <w:r w:rsidR="00B20659" w:rsidRPr="00E102FC">
        <w:rPr>
          <w:rFonts w:eastAsia="Arial"/>
          <w:lang w:val="fr-FR"/>
        </w:rPr>
        <w:noBreakHyphen/>
      </w:r>
      <w:r w:rsidRPr="00E102FC">
        <w:rPr>
          <w:rFonts w:eastAsia="Arial"/>
          <w:lang w:val="fr-FR"/>
        </w:rPr>
        <w:t>ci.</w:t>
      </w:r>
    </w:p>
    <w:p w:rsidR="0076581C" w:rsidRPr="00E102FC" w:rsidRDefault="00136AC3" w:rsidP="00C90A12">
      <w:pPr>
        <w:pStyle w:val="ONUMFS"/>
        <w:rPr>
          <w:rFonts w:eastAsia="Arial"/>
          <w:lang w:val="fr-FR"/>
        </w:rPr>
      </w:pPr>
      <w:r w:rsidRPr="00E102FC">
        <w:rPr>
          <w:rFonts w:eastAsia="Arial"/>
          <w:lang w:val="fr-FR"/>
        </w:rPr>
        <w:t xml:space="preserve">Trente et une réponses ont été reçues à cette circulaire, provenant de </w:t>
      </w:r>
      <w:r w:rsidR="002D2D00">
        <w:rPr>
          <w:rFonts w:eastAsia="Arial"/>
          <w:lang w:val="fr-FR"/>
        </w:rPr>
        <w:t>24 </w:t>
      </w:r>
      <w:r w:rsidRPr="00E102FC">
        <w:rPr>
          <w:rFonts w:eastAsia="Arial"/>
          <w:lang w:val="fr-FR"/>
        </w:rPr>
        <w:t>offices nationaux ou régionaux et de sept</w:t>
      </w:r>
      <w:r w:rsidR="006533F0" w:rsidRPr="00E102FC">
        <w:rPr>
          <w:rFonts w:eastAsia="Arial"/>
          <w:lang w:val="fr-FR"/>
        </w:rPr>
        <w:t> </w:t>
      </w:r>
      <w:r w:rsidRPr="00E102FC">
        <w:rPr>
          <w:rFonts w:eastAsia="Arial"/>
          <w:lang w:val="fr-FR"/>
        </w:rPr>
        <w:t>groupes d</w:t>
      </w:r>
      <w:r w:rsidR="00DD1942" w:rsidRPr="00E102FC">
        <w:rPr>
          <w:rFonts w:eastAsia="Arial"/>
          <w:lang w:val="fr-FR"/>
        </w:rPr>
        <w:t>’</w:t>
      </w:r>
      <w:r w:rsidRPr="00E102FC">
        <w:rPr>
          <w:rFonts w:eastAsia="Arial"/>
          <w:lang w:val="fr-FR"/>
        </w:rPr>
        <w:t>utilisateurs.</w:t>
      </w:r>
    </w:p>
    <w:p w:rsidR="00DD1942" w:rsidRPr="00E102FC" w:rsidRDefault="00136AC3" w:rsidP="00C90A12">
      <w:pPr>
        <w:pStyle w:val="ONUMFS"/>
        <w:rPr>
          <w:rFonts w:eastAsia="Arial"/>
          <w:lang w:val="fr-FR"/>
        </w:rPr>
      </w:pPr>
      <w:r w:rsidRPr="00E102FC">
        <w:rPr>
          <w:rFonts w:eastAsia="Arial"/>
          <w:lang w:val="fr-FR"/>
        </w:rPr>
        <w:t>Les propositions plus détaillées ont également été examinées aux vingtième et vingt</w:t>
      </w:r>
      <w:r w:rsidR="002D2D00">
        <w:rPr>
          <w:rFonts w:eastAsia="Arial"/>
          <w:lang w:val="fr-FR"/>
        </w:rPr>
        <w:t> </w:t>
      </w:r>
      <w:r w:rsidRPr="00E102FC">
        <w:rPr>
          <w:rFonts w:eastAsia="Arial"/>
          <w:lang w:val="fr-FR"/>
        </w:rPr>
        <w:t>et</w:t>
      </w:r>
      <w:r w:rsidR="002D2D00">
        <w:rPr>
          <w:rFonts w:eastAsia="Arial"/>
          <w:lang w:val="fr-FR"/>
        </w:rPr>
        <w:t> </w:t>
      </w:r>
      <w:r w:rsidRPr="00E102FC">
        <w:rPr>
          <w:rFonts w:eastAsia="Arial"/>
          <w:lang w:val="fr-FR"/>
        </w:rPr>
        <w:t xml:space="preserve">unième Réunions des administrations internationales du PCT tenues respectivement à Munich du 6 au </w:t>
      </w:r>
      <w:r w:rsidR="00DD1942" w:rsidRPr="00E102FC">
        <w:rPr>
          <w:rFonts w:eastAsia="Arial"/>
          <w:lang w:val="fr-FR"/>
        </w:rPr>
        <w:t>8 février 20</w:t>
      </w:r>
      <w:r w:rsidRPr="00E102FC">
        <w:rPr>
          <w:rFonts w:eastAsia="Arial"/>
          <w:lang w:val="fr-FR"/>
        </w:rPr>
        <w:t xml:space="preserve">13 et à </w:t>
      </w:r>
      <w:r w:rsidR="00D14AF8">
        <w:rPr>
          <w:rFonts w:eastAsia="Arial"/>
          <w:lang w:val="fr-FR"/>
        </w:rPr>
        <w:t>Tel</w:t>
      </w:r>
      <w:r w:rsidR="00D14AF8">
        <w:rPr>
          <w:rFonts w:eastAsia="Arial"/>
          <w:lang w:val="fr-FR"/>
        </w:rPr>
        <w:noBreakHyphen/>
      </w:r>
      <w:r w:rsidR="001733D1">
        <w:rPr>
          <w:rFonts w:eastAsia="Arial"/>
          <w:lang w:val="fr-FR"/>
        </w:rPr>
        <w:t>Aviv</w:t>
      </w:r>
      <w:r w:rsidRPr="00E102FC">
        <w:rPr>
          <w:rFonts w:eastAsia="Arial"/>
          <w:lang w:val="fr-FR"/>
        </w:rPr>
        <w:t xml:space="preserve"> du 11</w:t>
      </w:r>
      <w:r w:rsidR="00D14AF8">
        <w:rPr>
          <w:rFonts w:eastAsia="Arial"/>
          <w:lang w:val="fr-FR"/>
        </w:rPr>
        <w:t xml:space="preserve"> </w:t>
      </w:r>
      <w:r w:rsidRPr="00E102FC">
        <w:rPr>
          <w:rFonts w:eastAsia="Arial"/>
          <w:lang w:val="fr-FR"/>
        </w:rPr>
        <w:t>au 1</w:t>
      </w:r>
      <w:r w:rsidR="00DD1942" w:rsidRPr="00E102FC">
        <w:rPr>
          <w:rFonts w:eastAsia="Arial"/>
          <w:lang w:val="fr-FR"/>
        </w:rPr>
        <w:t>3 février 20</w:t>
      </w:r>
      <w:r w:rsidRPr="00E102FC">
        <w:rPr>
          <w:rFonts w:eastAsia="Arial"/>
          <w:lang w:val="fr-FR"/>
        </w:rPr>
        <w:t>14.</w:t>
      </w:r>
      <w:r w:rsidR="00D467A8" w:rsidRPr="00E102FC">
        <w:rPr>
          <w:rFonts w:eastAsia="Arial"/>
          <w:lang w:val="fr-FR"/>
        </w:rPr>
        <w:t xml:space="preserve">  </w:t>
      </w:r>
      <w:r w:rsidR="002E6015" w:rsidRPr="00E102FC">
        <w:rPr>
          <w:rFonts w:eastAsia="Arial"/>
          <w:lang w:val="fr-FR"/>
        </w:rPr>
        <w:t>Les résumés de ces discussions figurent respectivement aux paragraphes</w:t>
      </w:r>
      <w:r w:rsidR="006533F0" w:rsidRPr="00E102FC">
        <w:rPr>
          <w:rFonts w:eastAsia="Arial"/>
          <w:lang w:val="fr-FR"/>
        </w:rPr>
        <w:t> </w:t>
      </w:r>
      <w:r w:rsidR="00D14AF8">
        <w:rPr>
          <w:rFonts w:eastAsia="Arial"/>
          <w:lang w:val="fr-FR"/>
        </w:rPr>
        <w:t>52 à </w:t>
      </w:r>
      <w:r w:rsidR="002E6015" w:rsidRPr="00E102FC">
        <w:rPr>
          <w:rFonts w:eastAsia="Arial"/>
          <w:lang w:val="fr-FR"/>
        </w:rPr>
        <w:t>102 de l</w:t>
      </w:r>
      <w:r w:rsidR="00DD1942" w:rsidRPr="00E102FC">
        <w:rPr>
          <w:rFonts w:eastAsia="Arial"/>
          <w:lang w:val="fr-FR"/>
        </w:rPr>
        <w:t>’</w:t>
      </w:r>
      <w:r w:rsidR="002E6015" w:rsidRPr="00E102FC">
        <w:rPr>
          <w:rFonts w:eastAsia="Arial"/>
          <w:lang w:val="fr-FR"/>
        </w:rPr>
        <w:t>annexe du document PCT/WG/6/3 et aux paragraphes</w:t>
      </w:r>
      <w:r w:rsidR="006533F0" w:rsidRPr="00E102FC">
        <w:rPr>
          <w:rFonts w:eastAsia="Arial"/>
          <w:lang w:val="fr-FR"/>
        </w:rPr>
        <w:t> </w:t>
      </w:r>
      <w:r w:rsidR="002E6015" w:rsidRPr="00E102FC">
        <w:rPr>
          <w:rFonts w:eastAsia="Arial"/>
          <w:lang w:val="fr-FR"/>
        </w:rPr>
        <w:t>22 à</w:t>
      </w:r>
      <w:r w:rsidR="00B20659" w:rsidRPr="00E102FC">
        <w:rPr>
          <w:rFonts w:eastAsia="Arial"/>
          <w:lang w:val="fr-FR"/>
        </w:rPr>
        <w:t> </w:t>
      </w:r>
      <w:r w:rsidR="002E6015" w:rsidRPr="00E102FC">
        <w:rPr>
          <w:rFonts w:eastAsia="Arial"/>
          <w:lang w:val="fr-FR"/>
        </w:rPr>
        <w:t>35 de l</w:t>
      </w:r>
      <w:r w:rsidR="00DD1942" w:rsidRPr="00E102FC">
        <w:rPr>
          <w:rFonts w:eastAsia="Arial"/>
          <w:lang w:val="fr-FR"/>
        </w:rPr>
        <w:t>’</w:t>
      </w:r>
      <w:r w:rsidR="002E6015" w:rsidRPr="00E102FC">
        <w:rPr>
          <w:rFonts w:eastAsia="Arial"/>
          <w:lang w:val="fr-FR"/>
        </w:rPr>
        <w:t>annexe du document PCT/WG/7/3.</w:t>
      </w:r>
    </w:p>
    <w:p w:rsidR="0076581C" w:rsidRPr="00E102FC" w:rsidRDefault="002E6015" w:rsidP="00C90A12">
      <w:pPr>
        <w:pStyle w:val="ONUMFS"/>
        <w:rPr>
          <w:rFonts w:eastAsia="Arial"/>
          <w:lang w:val="fr-FR"/>
        </w:rPr>
      </w:pPr>
      <w:r w:rsidRPr="00E102FC">
        <w:rPr>
          <w:rFonts w:eastAsia="Arial"/>
          <w:lang w:val="fr-FR"/>
        </w:rPr>
        <w:t>Les propositions révisées et détaillées relatives</w:t>
      </w:r>
      <w:r w:rsidR="00DD1942" w:rsidRPr="00E102FC">
        <w:rPr>
          <w:rFonts w:eastAsia="Arial"/>
          <w:lang w:val="fr-FR"/>
        </w:rPr>
        <w:t xml:space="preserve"> au PCT</w:t>
      </w:r>
      <w:r w:rsidRPr="00E102FC">
        <w:rPr>
          <w:rFonts w:eastAsia="Arial"/>
          <w:lang w:val="fr-FR"/>
        </w:rPr>
        <w:t> 20/20 figurant dans la circulaire ont été reproduites dans l</w:t>
      </w:r>
      <w:r w:rsidR="00DD1942" w:rsidRPr="00E102FC">
        <w:rPr>
          <w:rFonts w:eastAsia="Arial"/>
          <w:lang w:val="fr-FR"/>
        </w:rPr>
        <w:t>’</w:t>
      </w:r>
      <w:r w:rsidRPr="00E102FC">
        <w:rPr>
          <w:rFonts w:eastAsia="Arial"/>
          <w:lang w:val="fr-FR"/>
        </w:rPr>
        <w:t>annexe du document PCT/WG/6/15.</w:t>
      </w:r>
    </w:p>
    <w:p w:rsidR="00DD1942" w:rsidRDefault="00D45653" w:rsidP="00D45653">
      <w:pPr>
        <w:pStyle w:val="Heading1"/>
        <w:rPr>
          <w:lang w:val="fr-FR"/>
        </w:rPr>
      </w:pPr>
      <w:r>
        <w:rPr>
          <w:lang w:val="fr-FR"/>
        </w:rPr>
        <w:t>E</w:t>
      </w:r>
      <w:r w:rsidRPr="00E102FC">
        <w:rPr>
          <w:lang w:val="fr-FR"/>
        </w:rPr>
        <w:t xml:space="preserve">xamen de la situation actuelle des différentes propositions relevant du </w:t>
      </w:r>
      <w:r>
        <w:rPr>
          <w:lang w:val="fr-FR"/>
        </w:rPr>
        <w:t>PCT</w:t>
      </w:r>
      <w:r w:rsidRPr="00E102FC">
        <w:rPr>
          <w:lang w:val="fr-FR"/>
        </w:rPr>
        <w:t> 20/20</w:t>
      </w:r>
    </w:p>
    <w:p w:rsidR="00D45653" w:rsidRPr="00D45653" w:rsidRDefault="00D45653" w:rsidP="00D45653">
      <w:pPr>
        <w:rPr>
          <w:lang w:val="fr-FR"/>
        </w:rPr>
      </w:pPr>
    </w:p>
    <w:p w:rsidR="0076581C" w:rsidRPr="00E102FC" w:rsidRDefault="002E6015" w:rsidP="00C90A12">
      <w:pPr>
        <w:pStyle w:val="ONUMFS"/>
        <w:rPr>
          <w:rFonts w:eastAsia="Arial"/>
          <w:lang w:val="fr-FR"/>
        </w:rPr>
      </w:pPr>
      <w:r w:rsidRPr="00E102FC">
        <w:rPr>
          <w:rFonts w:eastAsia="Arial"/>
          <w:bCs/>
          <w:lang w:val="fr-FR"/>
        </w:rPr>
        <w:t>Les différentes propositions et les observations reçues en réponse à la circulaire ainsi que les discussions qui ont eu lieu à la vingtième Réunion des administrations internationales et à la sixième</w:t>
      </w:r>
      <w:r w:rsidR="006533F0" w:rsidRPr="00E102FC">
        <w:rPr>
          <w:rFonts w:eastAsia="Arial"/>
          <w:bCs/>
          <w:lang w:val="fr-FR"/>
        </w:rPr>
        <w:t> </w:t>
      </w:r>
      <w:r w:rsidRPr="00E102FC">
        <w:rPr>
          <w:rFonts w:eastAsia="Arial"/>
          <w:bCs/>
          <w:lang w:val="fr-FR"/>
        </w:rPr>
        <w:t>session du Groupe de travail</w:t>
      </w:r>
      <w:r w:rsidR="00DD1942" w:rsidRPr="00E102FC">
        <w:rPr>
          <w:rFonts w:eastAsia="Arial"/>
          <w:bCs/>
          <w:lang w:val="fr-FR"/>
        </w:rPr>
        <w:t xml:space="preserve"> du PCT</w:t>
      </w:r>
      <w:r w:rsidRPr="00E102FC">
        <w:rPr>
          <w:rFonts w:eastAsia="Arial"/>
          <w:bCs/>
          <w:lang w:val="fr-FR"/>
        </w:rPr>
        <w:t xml:space="preserve"> sont récapitulées ci</w:t>
      </w:r>
      <w:r w:rsidR="00B20659" w:rsidRPr="00E102FC">
        <w:rPr>
          <w:rFonts w:eastAsia="Arial"/>
          <w:bCs/>
          <w:lang w:val="fr-FR"/>
        </w:rPr>
        <w:noBreakHyphen/>
      </w:r>
      <w:r w:rsidRPr="00E102FC">
        <w:rPr>
          <w:rFonts w:eastAsia="Arial"/>
          <w:bCs/>
          <w:lang w:val="fr-FR"/>
        </w:rPr>
        <w:t>après.</w:t>
      </w:r>
    </w:p>
    <w:p w:rsidR="0076581C" w:rsidRDefault="00D45653" w:rsidP="00D45653">
      <w:pPr>
        <w:pStyle w:val="Heading2"/>
        <w:rPr>
          <w:lang w:val="fr-FR"/>
        </w:rPr>
      </w:pPr>
      <w:r>
        <w:rPr>
          <w:lang w:val="fr-FR"/>
        </w:rPr>
        <w:t>M</w:t>
      </w:r>
      <w:r w:rsidRPr="00E102FC">
        <w:rPr>
          <w:lang w:val="fr-FR"/>
        </w:rPr>
        <w:t>odifications en libre service (92</w:t>
      </w:r>
      <w:r w:rsidRPr="00E102FC">
        <w:rPr>
          <w:i/>
          <w:lang w:val="fr-FR"/>
        </w:rPr>
        <w:t>bis</w:t>
      </w:r>
      <w:r w:rsidRPr="00E102FC">
        <w:rPr>
          <w:lang w:val="fr-FR"/>
        </w:rPr>
        <w:t>/revendications de priorité)</w:t>
      </w:r>
    </w:p>
    <w:p w:rsidR="00D45653" w:rsidRPr="00D45653" w:rsidRDefault="00D45653" w:rsidP="00D45653">
      <w:pPr>
        <w:rPr>
          <w:lang w:val="fr-FR"/>
        </w:rPr>
      </w:pPr>
    </w:p>
    <w:p w:rsidR="0076581C" w:rsidRPr="00E102FC" w:rsidRDefault="002E6015" w:rsidP="00C90A12">
      <w:pPr>
        <w:pStyle w:val="ONUMFS"/>
        <w:rPr>
          <w:rFonts w:eastAsia="Arial"/>
          <w:lang w:val="fr-FR"/>
        </w:rPr>
      </w:pPr>
      <w:r w:rsidRPr="00E102FC">
        <w:rPr>
          <w:rFonts w:eastAsia="Arial"/>
          <w:bCs/>
          <w:lang w:val="fr-FR"/>
        </w:rPr>
        <w:t>Les propositions pl</w:t>
      </w:r>
      <w:r w:rsidR="009875DE">
        <w:rPr>
          <w:rFonts w:eastAsia="Arial"/>
          <w:bCs/>
          <w:lang w:val="fr-FR"/>
        </w:rPr>
        <w:t>us détaillées concernant le PCT </w:t>
      </w:r>
      <w:r w:rsidRPr="00E102FC">
        <w:rPr>
          <w:rFonts w:eastAsia="Arial"/>
          <w:bCs/>
          <w:lang w:val="fr-FR"/>
        </w:rPr>
        <w:t>20/20 comprenaient des propositions spécifiques visant à doter le système ePCT de l</w:t>
      </w:r>
      <w:r w:rsidR="00DD1942" w:rsidRPr="00E102FC">
        <w:rPr>
          <w:rFonts w:eastAsia="Arial"/>
          <w:bCs/>
          <w:lang w:val="fr-FR"/>
        </w:rPr>
        <w:t>’</w:t>
      </w:r>
      <w:r w:rsidRPr="00E102FC">
        <w:rPr>
          <w:rFonts w:eastAsia="Arial"/>
          <w:bCs/>
          <w:lang w:val="fr-FR"/>
        </w:rPr>
        <w:t>OMPI de diverses fonctionnalités, dont l</w:t>
      </w:r>
      <w:r w:rsidR="00DD1942" w:rsidRPr="00E102FC">
        <w:rPr>
          <w:rFonts w:eastAsia="Arial"/>
          <w:bCs/>
          <w:lang w:val="fr-FR"/>
        </w:rPr>
        <w:t>’</w:t>
      </w:r>
      <w:r w:rsidRPr="00E102FC">
        <w:rPr>
          <w:rFonts w:eastAsia="Arial"/>
          <w:bCs/>
          <w:lang w:val="fr-FR"/>
        </w:rPr>
        <w:t>élimination d</w:t>
      </w:r>
      <w:r w:rsidR="00DD1942" w:rsidRPr="00E102FC">
        <w:rPr>
          <w:rFonts w:eastAsia="Arial"/>
          <w:bCs/>
          <w:lang w:val="fr-FR"/>
        </w:rPr>
        <w:t>’</w:t>
      </w:r>
      <w:r w:rsidRPr="00E102FC">
        <w:rPr>
          <w:rFonts w:eastAsia="Arial"/>
          <w:bCs/>
          <w:lang w:val="fr-FR"/>
        </w:rPr>
        <w:t>une grande partie des vérifications et validations effectuées manuellement par le personnel du Bureau international, la faculté d</w:t>
      </w:r>
      <w:r w:rsidR="00DD1942" w:rsidRPr="00E102FC">
        <w:rPr>
          <w:rFonts w:eastAsia="Arial"/>
          <w:bCs/>
          <w:lang w:val="fr-FR"/>
        </w:rPr>
        <w:t>’</w:t>
      </w:r>
      <w:r w:rsidRPr="00E102FC">
        <w:rPr>
          <w:rFonts w:eastAsia="Arial"/>
          <w:bCs/>
          <w:lang w:val="fr-FR"/>
        </w:rPr>
        <w:t>envoyer automatiquement à l</w:t>
      </w:r>
      <w:r w:rsidR="00DD1942" w:rsidRPr="00E102FC">
        <w:rPr>
          <w:rFonts w:eastAsia="Arial"/>
          <w:bCs/>
          <w:lang w:val="fr-FR"/>
        </w:rPr>
        <w:t>’</w:t>
      </w:r>
      <w:r w:rsidRPr="00E102FC">
        <w:rPr>
          <w:rFonts w:eastAsia="Arial"/>
          <w:bCs/>
          <w:lang w:val="fr-FR"/>
        </w:rPr>
        <w:t>ensemble des déposants des notifications lorsque certains changements sont apportés ainsi que la mise en place d</w:t>
      </w:r>
      <w:r w:rsidR="00DD1942" w:rsidRPr="00E102FC">
        <w:rPr>
          <w:rFonts w:eastAsia="Arial"/>
          <w:bCs/>
          <w:lang w:val="fr-FR"/>
        </w:rPr>
        <w:t>’</w:t>
      </w:r>
      <w:r w:rsidRPr="00E102FC">
        <w:rPr>
          <w:rFonts w:eastAsia="Arial"/>
          <w:bCs/>
          <w:lang w:val="fr-FR"/>
        </w:rPr>
        <w:t>un</w:t>
      </w:r>
      <w:r w:rsidR="007149F4" w:rsidRPr="00E102FC">
        <w:rPr>
          <w:rFonts w:eastAsia="Arial"/>
          <w:bCs/>
          <w:lang w:val="fr-FR"/>
        </w:rPr>
        <w:t xml:space="preserve">e catégorie </w:t>
      </w:r>
      <w:r w:rsidRPr="00E102FC">
        <w:rPr>
          <w:rFonts w:eastAsia="Arial"/>
          <w:bCs/>
          <w:lang w:val="fr-FR"/>
        </w:rPr>
        <w:t>d</w:t>
      </w:r>
      <w:r w:rsidR="00DD1942" w:rsidRPr="00E102FC">
        <w:rPr>
          <w:rFonts w:eastAsia="Arial"/>
          <w:bCs/>
          <w:lang w:val="fr-FR"/>
        </w:rPr>
        <w:t>’</w:t>
      </w:r>
      <w:r w:rsidRPr="00E102FC">
        <w:rPr>
          <w:rFonts w:eastAsia="Arial"/>
          <w:bCs/>
          <w:lang w:val="fr-FR"/>
        </w:rPr>
        <w:t>utilisateur</w:t>
      </w:r>
      <w:r w:rsidR="007149F4" w:rsidRPr="00E102FC">
        <w:rPr>
          <w:rFonts w:eastAsia="Arial"/>
          <w:bCs/>
          <w:lang w:val="fr-FR"/>
        </w:rPr>
        <w:t>s</w:t>
      </w:r>
      <w:r w:rsidRPr="00E102FC">
        <w:rPr>
          <w:rFonts w:eastAsia="Arial"/>
          <w:bCs/>
          <w:lang w:val="fr-FR"/>
        </w:rPr>
        <w:t xml:space="preserve"> appelé</w:t>
      </w:r>
      <w:r w:rsidR="007149F4" w:rsidRPr="00E102FC">
        <w:rPr>
          <w:rFonts w:eastAsia="Arial"/>
          <w:bCs/>
          <w:lang w:val="fr-FR"/>
        </w:rPr>
        <w:t>s</w:t>
      </w:r>
      <w:r w:rsidRPr="00E102FC">
        <w:rPr>
          <w:rFonts w:eastAsia="Arial"/>
          <w:bCs/>
          <w:lang w:val="fr-FR"/>
        </w:rPr>
        <w:t xml:space="preserve"> détenteur</w:t>
      </w:r>
      <w:r w:rsidR="007149F4" w:rsidRPr="00E102FC">
        <w:rPr>
          <w:rFonts w:eastAsia="Arial"/>
          <w:bCs/>
          <w:lang w:val="fr-FR"/>
        </w:rPr>
        <w:t>s</w:t>
      </w:r>
      <w:r w:rsidRPr="00E102FC">
        <w:rPr>
          <w:rFonts w:eastAsia="Arial"/>
          <w:bCs/>
          <w:lang w:val="fr-FR"/>
        </w:rPr>
        <w:t xml:space="preserve"> agréé</w:t>
      </w:r>
      <w:r w:rsidR="007149F4" w:rsidRPr="00E102FC">
        <w:rPr>
          <w:rFonts w:eastAsia="Arial"/>
          <w:bCs/>
          <w:lang w:val="fr-FR"/>
        </w:rPr>
        <w:t>s</w:t>
      </w:r>
      <w:r w:rsidRPr="00E102FC">
        <w:rPr>
          <w:rFonts w:eastAsia="Arial"/>
          <w:bCs/>
          <w:lang w:val="fr-FR"/>
        </w:rPr>
        <w:t>, qui aurai</w:t>
      </w:r>
      <w:r w:rsidR="007149F4" w:rsidRPr="00E102FC">
        <w:rPr>
          <w:rFonts w:eastAsia="Arial"/>
          <w:bCs/>
          <w:lang w:val="fr-FR"/>
        </w:rPr>
        <w:t>en</w:t>
      </w:r>
      <w:r w:rsidRPr="00E102FC">
        <w:rPr>
          <w:rFonts w:eastAsia="Arial"/>
          <w:bCs/>
          <w:lang w:val="fr-FR"/>
        </w:rPr>
        <w:t>t la faculté d</w:t>
      </w:r>
      <w:r w:rsidR="00DD1942" w:rsidRPr="00E102FC">
        <w:rPr>
          <w:rFonts w:eastAsia="Arial"/>
          <w:bCs/>
          <w:lang w:val="fr-FR"/>
        </w:rPr>
        <w:t>’</w:t>
      </w:r>
      <w:r w:rsidRPr="00E102FC">
        <w:rPr>
          <w:rFonts w:eastAsia="Arial"/>
          <w:bCs/>
          <w:lang w:val="fr-FR"/>
        </w:rPr>
        <w:t>apporter toute modification à la demande, y compris son retrait, sans aucune intervention de la part du Bureau international.</w:t>
      </w:r>
    </w:p>
    <w:p w:rsidR="0076581C" w:rsidRPr="00E102FC" w:rsidRDefault="002E6015" w:rsidP="00C90A12">
      <w:pPr>
        <w:pStyle w:val="ONUMFS"/>
        <w:rPr>
          <w:rFonts w:eastAsia="Arial"/>
          <w:lang w:val="fr-FR"/>
        </w:rPr>
      </w:pPr>
      <w:r w:rsidRPr="00E102FC">
        <w:rPr>
          <w:rFonts w:eastAsia="Arial"/>
          <w:bCs/>
          <w:lang w:val="fr-FR"/>
        </w:rPr>
        <w:t>Les propositions spécifiques ont reçu un assez large soutien dans les réponses à la circulaire ainsi qu</w:t>
      </w:r>
      <w:r w:rsidR="00DD1942" w:rsidRPr="00E102FC">
        <w:rPr>
          <w:rFonts w:eastAsia="Arial"/>
          <w:bCs/>
          <w:lang w:val="fr-FR"/>
        </w:rPr>
        <w:t>’</w:t>
      </w:r>
      <w:r w:rsidRPr="00E102FC">
        <w:rPr>
          <w:rFonts w:eastAsia="Arial"/>
          <w:bCs/>
          <w:lang w:val="fr-FR"/>
        </w:rPr>
        <w:t>au cours des délibérations du groupe de travail et des administrations internationales.</w:t>
      </w:r>
    </w:p>
    <w:p w:rsidR="0076581C" w:rsidRPr="00E102FC" w:rsidRDefault="002E6015" w:rsidP="00C90A12">
      <w:pPr>
        <w:pStyle w:val="ONUMFS"/>
        <w:rPr>
          <w:rFonts w:eastAsia="Arial"/>
          <w:lang w:val="fr-FR"/>
        </w:rPr>
      </w:pPr>
      <w:r w:rsidRPr="00E102FC">
        <w:rPr>
          <w:rFonts w:eastAsia="Arial"/>
          <w:bCs/>
          <w:lang w:val="fr-FR"/>
        </w:rPr>
        <w:t>En conséquence, ces propositions ont été transmises au Bureau international pour une future incorporation dans le système ePCT, le cas échéant.</w:t>
      </w:r>
    </w:p>
    <w:p w:rsidR="0076581C" w:rsidRDefault="00D45653" w:rsidP="00D45653">
      <w:pPr>
        <w:pStyle w:val="Heading2"/>
        <w:rPr>
          <w:lang w:val="fr-FR"/>
        </w:rPr>
      </w:pPr>
      <w:r>
        <w:rPr>
          <w:lang w:val="fr-FR"/>
        </w:rPr>
        <w:t>Mo</w:t>
      </w:r>
      <w:r w:rsidRPr="00E102FC">
        <w:rPr>
          <w:lang w:val="fr-FR"/>
        </w:rPr>
        <w:t>difications re</w:t>
      </w:r>
      <w:r>
        <w:rPr>
          <w:lang w:val="fr-FR"/>
        </w:rPr>
        <w:t>streintes au titre du chapitre I</w:t>
      </w:r>
    </w:p>
    <w:p w:rsidR="00D45653" w:rsidRPr="00D45653" w:rsidRDefault="00D45653" w:rsidP="00D45653">
      <w:pPr>
        <w:rPr>
          <w:lang w:val="fr-FR"/>
        </w:rPr>
      </w:pPr>
    </w:p>
    <w:p w:rsidR="0076581C" w:rsidRPr="00E102FC" w:rsidRDefault="00756E55" w:rsidP="00C90A12">
      <w:pPr>
        <w:pStyle w:val="ONUMFS"/>
        <w:rPr>
          <w:rFonts w:eastAsia="Arial"/>
          <w:lang w:val="fr-FR"/>
        </w:rPr>
      </w:pPr>
      <w:r w:rsidRPr="00E102FC">
        <w:rPr>
          <w:bCs/>
          <w:lang w:val="fr-FR"/>
        </w:rPr>
        <w:t>Les propositions plus détaillées concernant le PCT</w:t>
      </w:r>
      <w:r w:rsidR="009875DE">
        <w:rPr>
          <w:bCs/>
          <w:lang w:val="fr-FR"/>
        </w:rPr>
        <w:t> </w:t>
      </w:r>
      <w:r w:rsidRPr="00E102FC">
        <w:rPr>
          <w:bCs/>
          <w:lang w:val="fr-FR"/>
        </w:rPr>
        <w:t xml:space="preserve">20/20 comprenaient des propositions spécifiques visant à modifier les règles 20 et 91 afin de prévoir </w:t>
      </w:r>
      <w:r w:rsidR="0076581C" w:rsidRPr="00E102FC">
        <w:rPr>
          <w:bCs/>
          <w:lang w:val="fr-FR"/>
        </w:rPr>
        <w:t>respectivement</w:t>
      </w:r>
      <w:r w:rsidR="00DE17C8">
        <w:rPr>
          <w:bCs/>
          <w:lang w:val="fr-FR"/>
        </w:rPr>
        <w:t xml:space="preserve"> i) le </w:t>
      </w:r>
      <w:r w:rsidRPr="00E102FC">
        <w:rPr>
          <w:bCs/>
          <w:lang w:val="fr-FR"/>
        </w:rPr>
        <w:t>remplacement de séries entières de descriptions, de revendications ou de dessins et</w:t>
      </w:r>
      <w:r w:rsidR="00DE17C8">
        <w:rPr>
          <w:bCs/>
          <w:lang w:val="fr-FR"/>
        </w:rPr>
        <w:t> </w:t>
      </w:r>
      <w:r w:rsidRPr="00E102FC">
        <w:rPr>
          <w:bCs/>
          <w:lang w:val="fr-FR"/>
        </w:rPr>
        <w:t>ii)</w:t>
      </w:r>
      <w:r w:rsidR="006533F0" w:rsidRPr="00E102FC">
        <w:rPr>
          <w:bCs/>
          <w:lang w:val="fr-FR"/>
        </w:rPr>
        <w:t> </w:t>
      </w:r>
      <w:r w:rsidRPr="00E102FC">
        <w:rPr>
          <w:bCs/>
          <w:lang w:val="fr-FR"/>
        </w:rPr>
        <w:t>la</w:t>
      </w:r>
      <w:r w:rsidR="00DE17C8">
        <w:rPr>
          <w:bCs/>
          <w:lang w:val="fr-FR"/>
        </w:rPr>
        <w:t xml:space="preserve"> </w:t>
      </w:r>
      <w:r w:rsidRPr="00E102FC">
        <w:rPr>
          <w:bCs/>
          <w:lang w:val="fr-FR"/>
        </w:rPr>
        <w:t>nouvelle numérotation des revendications ayant été manifestement mal numérotées lors du dépôt.</w:t>
      </w:r>
    </w:p>
    <w:p w:rsidR="0076581C" w:rsidRPr="00E102FC" w:rsidRDefault="00756E55" w:rsidP="00C90A12">
      <w:pPr>
        <w:pStyle w:val="ONUMFS"/>
        <w:rPr>
          <w:rFonts w:eastAsia="Arial"/>
          <w:lang w:val="fr-FR"/>
        </w:rPr>
      </w:pPr>
      <w:r w:rsidRPr="00E102FC">
        <w:rPr>
          <w:rFonts w:eastAsia="Arial"/>
          <w:bCs/>
          <w:lang w:val="fr-FR"/>
        </w:rPr>
        <w:t>Les réponses à la circulaire témoignaient d</w:t>
      </w:r>
      <w:r w:rsidR="00DD1942" w:rsidRPr="00E102FC">
        <w:rPr>
          <w:rFonts w:eastAsia="Arial"/>
          <w:bCs/>
          <w:lang w:val="fr-FR"/>
        </w:rPr>
        <w:t>’</w:t>
      </w:r>
      <w:r w:rsidRPr="00E102FC">
        <w:rPr>
          <w:rFonts w:eastAsia="Arial"/>
          <w:bCs/>
          <w:lang w:val="fr-FR"/>
        </w:rPr>
        <w:t>un assez large soutien.</w:t>
      </w:r>
      <w:r w:rsidR="0081645F" w:rsidRPr="00E102FC">
        <w:rPr>
          <w:rFonts w:eastAsia="Arial"/>
          <w:bCs/>
          <w:lang w:val="fr-FR"/>
        </w:rPr>
        <w:t xml:space="preserve">  </w:t>
      </w:r>
      <w:r w:rsidRPr="00E102FC">
        <w:rPr>
          <w:rFonts w:eastAsia="Arial"/>
          <w:bCs/>
          <w:lang w:val="fr-FR"/>
        </w:rPr>
        <w:t>En outre, les administrations étaient d</w:t>
      </w:r>
      <w:r w:rsidR="00DD1942" w:rsidRPr="00E102FC">
        <w:rPr>
          <w:rFonts w:eastAsia="Arial"/>
          <w:bCs/>
          <w:lang w:val="fr-FR"/>
        </w:rPr>
        <w:t>’</w:t>
      </w:r>
      <w:r w:rsidRPr="00E102FC">
        <w:rPr>
          <w:rFonts w:eastAsia="Arial"/>
          <w:bCs/>
          <w:lang w:val="fr-FR"/>
        </w:rPr>
        <w:t>une manière générale favorables aux principes sur lesquels reposaient ces propositions.</w:t>
      </w:r>
      <w:r w:rsidR="0081645F" w:rsidRPr="00E102FC">
        <w:rPr>
          <w:rFonts w:eastAsia="Arial"/>
          <w:bCs/>
          <w:lang w:val="fr-FR"/>
        </w:rPr>
        <w:t xml:space="preserve">  </w:t>
      </w:r>
      <w:r w:rsidRPr="00E102FC">
        <w:rPr>
          <w:rFonts w:eastAsia="Arial"/>
          <w:bCs/>
          <w:lang w:val="fr-FR"/>
        </w:rPr>
        <w:t>Toutefois, elles sont également convenues qu</w:t>
      </w:r>
      <w:r w:rsidR="00DD1942" w:rsidRPr="00E102FC">
        <w:rPr>
          <w:rFonts w:eastAsia="Arial"/>
          <w:bCs/>
          <w:lang w:val="fr-FR"/>
        </w:rPr>
        <w:t>’</w:t>
      </w:r>
      <w:r w:rsidRPr="00E102FC">
        <w:rPr>
          <w:rFonts w:eastAsia="Arial"/>
          <w:bCs/>
          <w:lang w:val="fr-FR"/>
        </w:rPr>
        <w:t>il était nécessaire d</w:t>
      </w:r>
      <w:r w:rsidR="00DD1942" w:rsidRPr="00E102FC">
        <w:rPr>
          <w:rFonts w:eastAsia="Arial"/>
          <w:bCs/>
          <w:lang w:val="fr-FR"/>
        </w:rPr>
        <w:t>’</w:t>
      </w:r>
      <w:r w:rsidRPr="00E102FC">
        <w:rPr>
          <w:rFonts w:eastAsia="Arial"/>
          <w:bCs/>
          <w:lang w:val="fr-FR"/>
        </w:rPr>
        <w:t xml:space="preserve">établir le cadre juridique et les procédures appropriés avant de les mettre en </w:t>
      </w:r>
      <w:r w:rsidR="0076581C" w:rsidRPr="00E102FC">
        <w:rPr>
          <w:rFonts w:eastAsia="Arial"/>
          <w:bCs/>
          <w:lang w:val="fr-FR"/>
        </w:rPr>
        <w:t>œuvre</w:t>
      </w:r>
      <w:r w:rsidRPr="00E102FC">
        <w:rPr>
          <w:rFonts w:eastAsia="Arial"/>
          <w:bCs/>
          <w:lang w:val="fr-FR"/>
        </w:rPr>
        <w:t>.</w:t>
      </w:r>
    </w:p>
    <w:p w:rsidR="0076581C" w:rsidRPr="00E102FC" w:rsidRDefault="00756E55" w:rsidP="00C90A12">
      <w:pPr>
        <w:pStyle w:val="ONUMFS"/>
        <w:rPr>
          <w:rFonts w:eastAsia="Arial"/>
          <w:lang w:val="fr-FR"/>
        </w:rPr>
      </w:pPr>
      <w:r w:rsidRPr="00E102FC">
        <w:rPr>
          <w:rFonts w:eastAsia="Arial"/>
          <w:bCs/>
          <w:lang w:val="fr-FR"/>
        </w:rPr>
        <w:lastRenderedPageBreak/>
        <w:t>En ce qui concerne la proposition de modification de la règle 20, celle</w:t>
      </w:r>
      <w:r w:rsidR="00B20659" w:rsidRPr="00E102FC">
        <w:rPr>
          <w:rFonts w:eastAsia="Arial"/>
          <w:bCs/>
          <w:lang w:val="fr-FR"/>
        </w:rPr>
        <w:noBreakHyphen/>
      </w:r>
      <w:r w:rsidRPr="00E102FC">
        <w:rPr>
          <w:rFonts w:eastAsia="Arial"/>
          <w:bCs/>
          <w:lang w:val="fr-FR"/>
        </w:rPr>
        <w:t>ci est directement liée à la question actuellement soulevée par l</w:t>
      </w:r>
      <w:r w:rsidR="00DD1942" w:rsidRPr="00E102FC">
        <w:rPr>
          <w:rFonts w:eastAsia="Arial"/>
          <w:bCs/>
          <w:lang w:val="fr-FR"/>
        </w:rPr>
        <w:t>’</w:t>
      </w:r>
      <w:r w:rsidRPr="00E102FC">
        <w:rPr>
          <w:rFonts w:eastAsia="Arial"/>
          <w:bCs/>
          <w:lang w:val="fr-FR"/>
        </w:rPr>
        <w:t>Office européen des brevets concernant l</w:t>
      </w:r>
      <w:r w:rsidR="00DD1942" w:rsidRPr="00E102FC">
        <w:rPr>
          <w:rFonts w:eastAsia="Arial"/>
          <w:bCs/>
          <w:lang w:val="fr-FR"/>
        </w:rPr>
        <w:t>’</w:t>
      </w:r>
      <w:r w:rsidRPr="00E102FC">
        <w:rPr>
          <w:rFonts w:eastAsia="Arial"/>
          <w:bCs/>
          <w:lang w:val="fr-FR"/>
        </w:rPr>
        <w:t>incorporation par renvoi de descriptions ou de séries de revendications complètes.</w:t>
      </w:r>
      <w:r w:rsidR="0081645F" w:rsidRPr="00E102FC">
        <w:rPr>
          <w:rFonts w:eastAsia="Arial"/>
          <w:bCs/>
          <w:lang w:val="fr-FR"/>
        </w:rPr>
        <w:t xml:space="preserve"> </w:t>
      </w:r>
      <w:r w:rsidR="007C451B" w:rsidRPr="00E102FC">
        <w:rPr>
          <w:rFonts w:eastAsia="Arial"/>
          <w:bCs/>
          <w:lang w:val="fr-FR"/>
        </w:rPr>
        <w:t xml:space="preserve"> </w:t>
      </w:r>
      <w:r w:rsidRPr="00E102FC">
        <w:rPr>
          <w:rFonts w:eastAsia="Arial"/>
          <w:bCs/>
          <w:lang w:val="fr-FR"/>
        </w:rPr>
        <w:t>Compte tenu du lien entre les deux</w:t>
      </w:r>
      <w:r w:rsidR="006533F0" w:rsidRPr="00E102FC">
        <w:rPr>
          <w:rFonts w:eastAsia="Arial"/>
          <w:bCs/>
          <w:lang w:val="fr-FR"/>
        </w:rPr>
        <w:t> </w:t>
      </w:r>
      <w:r w:rsidRPr="00E102FC">
        <w:rPr>
          <w:rFonts w:eastAsia="Arial"/>
          <w:bCs/>
          <w:lang w:val="fr-FR"/>
        </w:rPr>
        <w:t>propositions, nous estimons à ce stade qu</w:t>
      </w:r>
      <w:r w:rsidR="00DD1942" w:rsidRPr="00E102FC">
        <w:rPr>
          <w:rFonts w:eastAsia="Arial"/>
          <w:bCs/>
          <w:lang w:val="fr-FR"/>
        </w:rPr>
        <w:t>’</w:t>
      </w:r>
      <w:r w:rsidRPr="00E102FC">
        <w:rPr>
          <w:rFonts w:eastAsia="Arial"/>
          <w:bCs/>
          <w:lang w:val="fr-FR"/>
        </w:rPr>
        <w:t>il convient de s</w:t>
      </w:r>
      <w:r w:rsidR="00DD1942" w:rsidRPr="00E102FC">
        <w:rPr>
          <w:rFonts w:eastAsia="Arial"/>
          <w:bCs/>
          <w:lang w:val="fr-FR"/>
        </w:rPr>
        <w:t>’</w:t>
      </w:r>
      <w:r w:rsidRPr="00E102FC">
        <w:rPr>
          <w:rFonts w:eastAsia="Arial"/>
          <w:bCs/>
          <w:lang w:val="fr-FR"/>
        </w:rPr>
        <w:t>entendre sur l</w:t>
      </w:r>
      <w:r w:rsidR="00DD1942" w:rsidRPr="00E102FC">
        <w:rPr>
          <w:rFonts w:eastAsia="Arial"/>
          <w:bCs/>
          <w:lang w:val="fr-FR"/>
        </w:rPr>
        <w:t>’</w:t>
      </w:r>
      <w:r w:rsidRPr="00E102FC">
        <w:rPr>
          <w:rFonts w:eastAsia="Arial"/>
          <w:bCs/>
          <w:lang w:val="fr-FR"/>
        </w:rPr>
        <w:t>interprétation des règles relatives à l</w:t>
      </w:r>
      <w:r w:rsidR="00DD1942" w:rsidRPr="00E102FC">
        <w:rPr>
          <w:rFonts w:eastAsia="Arial"/>
          <w:bCs/>
          <w:lang w:val="fr-FR"/>
        </w:rPr>
        <w:t>’</w:t>
      </w:r>
      <w:r w:rsidRPr="00E102FC">
        <w:rPr>
          <w:rFonts w:eastAsia="Arial"/>
          <w:bCs/>
          <w:lang w:val="fr-FR"/>
        </w:rPr>
        <w:t>incorporation avant de donner suite à cette proposition, que nous soumettrons alors de nouveau au groupe de travail pour examen.</w:t>
      </w:r>
    </w:p>
    <w:p w:rsidR="0076581C" w:rsidRDefault="00DE17C8" w:rsidP="00DE17C8">
      <w:pPr>
        <w:pStyle w:val="Heading2"/>
        <w:rPr>
          <w:lang w:val="fr-FR"/>
        </w:rPr>
      </w:pPr>
      <w:r>
        <w:rPr>
          <w:lang w:val="fr-FR"/>
        </w:rPr>
        <w:t>S</w:t>
      </w:r>
      <w:r w:rsidRPr="00E102FC">
        <w:rPr>
          <w:lang w:val="fr-FR"/>
        </w:rPr>
        <w:t>implification du retrait des demandes internationales</w:t>
      </w:r>
    </w:p>
    <w:p w:rsidR="00DE17C8" w:rsidRPr="00DE17C8" w:rsidRDefault="00DE17C8" w:rsidP="00DE17C8">
      <w:pPr>
        <w:rPr>
          <w:lang w:val="fr-FR"/>
        </w:rPr>
      </w:pPr>
    </w:p>
    <w:p w:rsidR="0076581C" w:rsidRPr="00E102FC" w:rsidRDefault="00756E55" w:rsidP="00C90A12">
      <w:pPr>
        <w:pStyle w:val="ONUMFS"/>
        <w:rPr>
          <w:rFonts w:eastAsia="Arial"/>
          <w:lang w:val="fr-FR"/>
        </w:rPr>
      </w:pPr>
      <w:r w:rsidRPr="00E102FC">
        <w:rPr>
          <w:bCs/>
          <w:lang w:val="fr-FR"/>
        </w:rPr>
        <w:t>Les propositions plus détaillées concernant le PCT 20/20 comprenaient des propositions spécifiques visant à faire en sorte que les demandes internationales puissent être retirées sans la signature des déposants dans certaines situations très strictement délimitées.</w:t>
      </w:r>
    </w:p>
    <w:p w:rsidR="0076581C" w:rsidRPr="00E102FC" w:rsidRDefault="00756E55" w:rsidP="00C90A12">
      <w:pPr>
        <w:pStyle w:val="ONUMFS"/>
        <w:rPr>
          <w:rFonts w:eastAsia="Arial"/>
          <w:lang w:val="fr-FR"/>
        </w:rPr>
      </w:pPr>
      <w:r w:rsidRPr="00E102FC">
        <w:rPr>
          <w:rFonts w:eastAsia="Arial"/>
          <w:lang w:val="fr-FR"/>
        </w:rPr>
        <w:t>Bien qu</w:t>
      </w:r>
      <w:r w:rsidR="00DD1942" w:rsidRPr="00E102FC">
        <w:rPr>
          <w:rFonts w:eastAsia="Arial"/>
          <w:lang w:val="fr-FR"/>
        </w:rPr>
        <w:t>’</w:t>
      </w:r>
      <w:r w:rsidRPr="00E102FC">
        <w:rPr>
          <w:rFonts w:eastAsia="Arial"/>
          <w:lang w:val="fr-FR"/>
        </w:rPr>
        <w:t xml:space="preserve">elle ait </w:t>
      </w:r>
      <w:r w:rsidR="00156238" w:rsidRPr="00E102FC">
        <w:rPr>
          <w:rFonts w:eastAsia="Arial"/>
          <w:lang w:val="fr-FR"/>
        </w:rPr>
        <w:t xml:space="preserve">recueilli </w:t>
      </w:r>
      <w:r w:rsidRPr="00E102FC">
        <w:rPr>
          <w:rFonts w:eastAsia="Arial"/>
          <w:lang w:val="fr-FR"/>
        </w:rPr>
        <w:t>un soutien considérable de la part des groupes d</w:t>
      </w:r>
      <w:r w:rsidR="00DD1942" w:rsidRPr="00E102FC">
        <w:rPr>
          <w:rFonts w:eastAsia="Arial"/>
          <w:lang w:val="fr-FR"/>
        </w:rPr>
        <w:t>’</w:t>
      </w:r>
      <w:r w:rsidRPr="00E102FC">
        <w:rPr>
          <w:rFonts w:eastAsia="Arial"/>
          <w:lang w:val="fr-FR"/>
        </w:rPr>
        <w:t xml:space="preserve">utilisateurs ayant répondu à la circulaire, cette proposition a </w:t>
      </w:r>
      <w:r w:rsidR="00156238" w:rsidRPr="00E102FC">
        <w:rPr>
          <w:rFonts w:eastAsia="Arial"/>
          <w:lang w:val="fr-FR"/>
        </w:rPr>
        <w:t xml:space="preserve">reçu </w:t>
      </w:r>
      <w:r w:rsidRPr="00E102FC">
        <w:rPr>
          <w:rFonts w:eastAsia="Arial"/>
          <w:lang w:val="fr-FR"/>
        </w:rPr>
        <w:t>un accueil plus mitigé des États membres et des administrations.</w:t>
      </w:r>
      <w:r w:rsidR="004E0D8C" w:rsidRPr="00E102FC">
        <w:rPr>
          <w:rFonts w:eastAsia="Arial"/>
          <w:lang w:val="fr-FR"/>
        </w:rPr>
        <w:t xml:space="preserve"> </w:t>
      </w:r>
      <w:r w:rsidR="006533F0" w:rsidRPr="00E102FC">
        <w:rPr>
          <w:rFonts w:eastAsia="Arial"/>
          <w:lang w:val="fr-FR"/>
        </w:rPr>
        <w:t xml:space="preserve"> </w:t>
      </w:r>
      <w:r w:rsidRPr="00E102FC">
        <w:rPr>
          <w:rFonts w:eastAsia="Arial"/>
          <w:lang w:val="fr-FR"/>
        </w:rPr>
        <w:t>Plus précisément, des préoccupations ont été exprimées quant à la mise en place des garanties appropriées.</w:t>
      </w:r>
    </w:p>
    <w:p w:rsidR="00DD1942" w:rsidRPr="00E102FC" w:rsidRDefault="005D4190" w:rsidP="00C90A12">
      <w:pPr>
        <w:pStyle w:val="ONUMFS"/>
        <w:rPr>
          <w:rFonts w:eastAsia="Arial"/>
          <w:lang w:val="fr-FR"/>
        </w:rPr>
      </w:pPr>
      <w:r w:rsidRPr="00E102FC">
        <w:rPr>
          <w:rFonts w:eastAsia="Arial"/>
          <w:lang w:val="fr-FR"/>
        </w:rPr>
        <w:t>Il convient également de noter que les modifications apportées à la législation des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en vertu de la loi sur la promotion de l</w:t>
      </w:r>
      <w:r w:rsidR="00DD1942" w:rsidRPr="00E102FC">
        <w:rPr>
          <w:rFonts w:eastAsia="Arial"/>
          <w:lang w:val="fr-FR"/>
        </w:rPr>
        <w:t>’</w:t>
      </w:r>
      <w:r w:rsidRPr="00E102FC">
        <w:rPr>
          <w:rFonts w:eastAsia="Arial"/>
          <w:lang w:val="fr-FR"/>
        </w:rPr>
        <w:t>invention (America Invents Act) concernant la personne du déposant pour 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et notamment le fait que celui</w:t>
      </w:r>
      <w:r w:rsidR="00B20659" w:rsidRPr="00E102FC">
        <w:rPr>
          <w:rFonts w:eastAsia="Arial"/>
          <w:lang w:val="fr-FR"/>
        </w:rPr>
        <w:noBreakHyphen/>
      </w:r>
      <w:r w:rsidRPr="00E102FC">
        <w:rPr>
          <w:rFonts w:eastAsia="Arial"/>
          <w:lang w:val="fr-FR"/>
        </w:rPr>
        <w:t>ci ne doit plus nécessairement être l</w:t>
      </w:r>
      <w:r w:rsidR="00DD1942" w:rsidRPr="00E102FC">
        <w:rPr>
          <w:rFonts w:eastAsia="Arial"/>
          <w:lang w:val="fr-FR"/>
        </w:rPr>
        <w:t>’</w:t>
      </w:r>
      <w:r w:rsidRPr="00E102FC">
        <w:rPr>
          <w:rFonts w:eastAsia="Arial"/>
          <w:lang w:val="fr-FR"/>
        </w:rPr>
        <w:t>inventeur, ont probablement simplifié la situation étant donné que la plupart des demandes mentionnent désormais uniquement le cessionnaire en qualité de déposant.</w:t>
      </w:r>
      <w:r w:rsidR="00B35FA2" w:rsidRPr="00E102FC">
        <w:rPr>
          <w:rFonts w:eastAsia="Arial"/>
          <w:lang w:val="fr-FR"/>
        </w:rPr>
        <w:t xml:space="preserve">  </w:t>
      </w:r>
      <w:r w:rsidRPr="00E102FC">
        <w:rPr>
          <w:rFonts w:eastAsia="Arial"/>
          <w:lang w:val="fr-FR"/>
        </w:rPr>
        <w:t>Par conséquent, une seule signature est nécessaire pour donner effet à un retrait.</w:t>
      </w:r>
    </w:p>
    <w:p w:rsidR="0076581C" w:rsidRPr="00E102FC" w:rsidRDefault="007149B0" w:rsidP="00C90A12">
      <w:pPr>
        <w:pStyle w:val="ONUMFS"/>
        <w:rPr>
          <w:rFonts w:eastAsia="Arial"/>
          <w:lang w:val="fr-FR"/>
        </w:rPr>
      </w:pPr>
      <w:r w:rsidRPr="00E102FC">
        <w:rPr>
          <w:rFonts w:eastAsia="Arial"/>
          <w:lang w:val="fr-FR"/>
        </w:rPr>
        <w:t>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et le Royaume</w:t>
      </w:r>
      <w:r w:rsidR="00B20659" w:rsidRPr="00E102FC">
        <w:rPr>
          <w:rFonts w:eastAsia="Arial"/>
          <w:lang w:val="fr-FR"/>
        </w:rPr>
        <w:noBreakHyphen/>
      </w:r>
      <w:r w:rsidRPr="00E102FC">
        <w:rPr>
          <w:rFonts w:eastAsia="Arial"/>
          <w:lang w:val="fr-FR"/>
        </w:rPr>
        <w:t>Uni suivront de près la situation pour voir s</w:t>
      </w:r>
      <w:r w:rsidR="00DD1942" w:rsidRPr="00E102FC">
        <w:rPr>
          <w:rFonts w:eastAsia="Arial"/>
          <w:lang w:val="fr-FR"/>
        </w:rPr>
        <w:t>’</w:t>
      </w:r>
      <w:r w:rsidRPr="00E102FC">
        <w:rPr>
          <w:rFonts w:eastAsia="Arial"/>
          <w:lang w:val="fr-FR"/>
        </w:rPr>
        <w:t>il est toujours nécessaire d</w:t>
      </w:r>
      <w:r w:rsidR="00DD1942" w:rsidRPr="00E102FC">
        <w:rPr>
          <w:rFonts w:eastAsia="Arial"/>
          <w:lang w:val="fr-FR"/>
        </w:rPr>
        <w:t>’</w:t>
      </w:r>
      <w:r w:rsidRPr="00E102FC">
        <w:rPr>
          <w:rFonts w:eastAsia="Arial"/>
          <w:lang w:val="fr-FR"/>
        </w:rPr>
        <w:t>assouplir les exigences, auquel cas toutes les observations et préoccupations exprimées seront prises en considération en vue de la poursuite des discussions sur cette question.</w:t>
      </w:r>
    </w:p>
    <w:p w:rsidR="0076581C" w:rsidRDefault="00DE17C8" w:rsidP="00DE17C8">
      <w:pPr>
        <w:pStyle w:val="Heading2"/>
        <w:rPr>
          <w:lang w:val="fr-FR"/>
        </w:rPr>
      </w:pPr>
      <w:r>
        <w:rPr>
          <w:lang w:val="fr-FR"/>
        </w:rPr>
        <w:t>H</w:t>
      </w:r>
      <w:r w:rsidRPr="00E102FC">
        <w:rPr>
          <w:lang w:val="fr-FR"/>
        </w:rPr>
        <w:t>armonisation des réductions de taxes pour les demandes entrées en phase nationale</w:t>
      </w:r>
    </w:p>
    <w:p w:rsidR="00DE17C8" w:rsidRPr="00DE17C8" w:rsidRDefault="00DE17C8" w:rsidP="00DE17C8">
      <w:pPr>
        <w:rPr>
          <w:lang w:val="fr-FR"/>
        </w:rPr>
      </w:pPr>
    </w:p>
    <w:p w:rsidR="0076581C" w:rsidRPr="00E102FC" w:rsidRDefault="00B4416C" w:rsidP="00C90A12">
      <w:pPr>
        <w:pStyle w:val="ONUMFS"/>
        <w:rPr>
          <w:rFonts w:eastAsia="Arial"/>
          <w:lang w:val="fr-FR"/>
        </w:rPr>
      </w:pPr>
      <w:r w:rsidRPr="00E102FC">
        <w:rPr>
          <w:bCs/>
          <w:lang w:val="fr-FR"/>
        </w:rPr>
        <w:t>Les propositions plus détaillées concernant le PCT 20/20 comprenaient des propositions spécifiques visant à modifier la règle 49 afin de prévoir une réduction des taxes de 50% pour les demandes entrées en nationale qui contiennent uniquement des revendications signalées comme remplissant les critères de l</w:t>
      </w:r>
      <w:r w:rsidR="00DD1942" w:rsidRPr="00E102FC">
        <w:rPr>
          <w:bCs/>
          <w:lang w:val="fr-FR"/>
        </w:rPr>
        <w:t>’</w:t>
      </w:r>
      <w:r w:rsidR="002D2D00">
        <w:rPr>
          <w:bCs/>
          <w:lang w:val="fr-FR"/>
        </w:rPr>
        <w:t>article 33.2) à </w:t>
      </w:r>
      <w:r w:rsidRPr="00E102FC">
        <w:rPr>
          <w:bCs/>
          <w:lang w:val="fr-FR"/>
        </w:rPr>
        <w:t>4) du PCT par une administration chargée de la recherche internationale ou une administration chargée de l</w:t>
      </w:r>
      <w:r w:rsidR="00DD1942" w:rsidRPr="00E102FC">
        <w:rPr>
          <w:bCs/>
          <w:lang w:val="fr-FR"/>
        </w:rPr>
        <w:t>’</w:t>
      </w:r>
      <w:r w:rsidRPr="00E102FC">
        <w:rPr>
          <w:bCs/>
          <w:lang w:val="fr-FR"/>
        </w:rPr>
        <w:t>examen préliminaire international.</w:t>
      </w:r>
    </w:p>
    <w:p w:rsidR="0076581C" w:rsidRPr="00E102FC" w:rsidRDefault="00B4416C" w:rsidP="00C90A12">
      <w:pPr>
        <w:pStyle w:val="ONUMFS"/>
        <w:rPr>
          <w:rFonts w:eastAsia="Arial"/>
          <w:lang w:val="fr-FR"/>
        </w:rPr>
      </w:pPr>
      <w:r w:rsidRPr="00E102FC">
        <w:rPr>
          <w:rFonts w:eastAsia="Arial"/>
          <w:lang w:val="fr-FR"/>
        </w:rPr>
        <w:t>Bien que le soutien à la proposition ait été considérable de la part des groupes d</w:t>
      </w:r>
      <w:r w:rsidR="00DD1942" w:rsidRPr="00E102FC">
        <w:rPr>
          <w:rFonts w:eastAsia="Arial"/>
          <w:lang w:val="fr-FR"/>
        </w:rPr>
        <w:t>’</w:t>
      </w:r>
      <w:r w:rsidRPr="00E102FC">
        <w:rPr>
          <w:rFonts w:eastAsia="Arial"/>
          <w:lang w:val="fr-FR"/>
        </w:rPr>
        <w:t xml:space="preserve">utilisateurs ayant répondu à la circulaire, il a été très limité de la part des États membres </w:t>
      </w:r>
      <w:r w:rsidR="00345601" w:rsidRPr="00E102FC">
        <w:rPr>
          <w:rFonts w:eastAsia="Arial"/>
          <w:lang w:val="fr-FR"/>
        </w:rPr>
        <w:t>qui se sont exprimés sur cette question</w:t>
      </w:r>
      <w:r w:rsidRPr="00E102FC">
        <w:rPr>
          <w:rFonts w:eastAsia="Arial"/>
          <w:lang w:val="fr-FR"/>
        </w:rPr>
        <w:t>.</w:t>
      </w:r>
      <w:r w:rsidR="0081645F" w:rsidRPr="00E102FC">
        <w:rPr>
          <w:rFonts w:eastAsia="Arial"/>
          <w:lang w:val="fr-FR"/>
        </w:rPr>
        <w:t xml:space="preserve">  </w:t>
      </w:r>
      <w:r w:rsidRPr="00E102FC">
        <w:rPr>
          <w:rFonts w:eastAsia="Arial"/>
          <w:lang w:val="fr-FR"/>
        </w:rPr>
        <w:t>De vives inquiétudes ont été exprimées quant à l</w:t>
      </w:r>
      <w:r w:rsidR="00DD1942" w:rsidRPr="00E102FC">
        <w:rPr>
          <w:rFonts w:eastAsia="Arial"/>
          <w:lang w:val="fr-FR"/>
        </w:rPr>
        <w:t>’</w:t>
      </w:r>
      <w:r w:rsidRPr="00E102FC">
        <w:rPr>
          <w:rFonts w:eastAsia="Arial"/>
          <w:lang w:val="fr-FR"/>
        </w:rPr>
        <w:t>impact éventuel sur les recettes et quant à la position selon laquelle les taxes perçues au titre de la phase nationale devraient être entièrement du ressort des offices nationaux.</w:t>
      </w:r>
    </w:p>
    <w:p w:rsidR="0076581C" w:rsidRPr="00E102FC" w:rsidRDefault="00B4416C" w:rsidP="00C90A12">
      <w:pPr>
        <w:pStyle w:val="ONUMFS"/>
        <w:rPr>
          <w:rFonts w:eastAsia="Arial"/>
          <w:lang w:val="fr-FR"/>
        </w:rPr>
      </w:pPr>
      <w:r w:rsidRPr="00E102FC">
        <w:rPr>
          <w:rFonts w:eastAsia="Arial"/>
          <w:lang w:val="fr-FR"/>
        </w:rPr>
        <w:t>Compte tenu des préoccupations exprimées par les États membres et les administrations au sujet de l</w:t>
      </w:r>
      <w:r w:rsidR="00DD1942" w:rsidRPr="00E102FC">
        <w:rPr>
          <w:rFonts w:eastAsia="Arial"/>
          <w:lang w:val="fr-FR"/>
        </w:rPr>
        <w:t>’</w:t>
      </w:r>
      <w:r w:rsidRPr="00E102FC">
        <w:rPr>
          <w:rFonts w:eastAsia="Arial"/>
          <w:lang w:val="fr-FR"/>
        </w:rPr>
        <w:t>incidence de cette proposition, il ne semble guère probable qu</w:t>
      </w:r>
      <w:r w:rsidR="00DD1942" w:rsidRPr="00E102FC">
        <w:rPr>
          <w:rFonts w:eastAsia="Arial"/>
          <w:lang w:val="fr-FR"/>
        </w:rPr>
        <w:t>’</w:t>
      </w:r>
      <w:r w:rsidRPr="00E102FC">
        <w:rPr>
          <w:rFonts w:eastAsia="Arial"/>
          <w:lang w:val="fr-FR"/>
        </w:rPr>
        <w:t>un consensus puisse être atteint, et 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 xml:space="preserve">Amérique et </w:t>
      </w:r>
      <w:r w:rsidR="002D2D00">
        <w:rPr>
          <w:rFonts w:eastAsia="Arial"/>
          <w:lang w:val="fr-FR"/>
        </w:rPr>
        <w:t>le</w:t>
      </w:r>
      <w:r w:rsidRPr="00E102FC">
        <w:rPr>
          <w:rFonts w:eastAsia="Arial"/>
          <w:lang w:val="fr-FR"/>
        </w:rPr>
        <w:t xml:space="preserve"> Royaume</w:t>
      </w:r>
      <w:r w:rsidR="00B20659" w:rsidRPr="00E102FC">
        <w:rPr>
          <w:rFonts w:eastAsia="Arial"/>
          <w:lang w:val="fr-FR"/>
        </w:rPr>
        <w:noBreakHyphen/>
      </w:r>
      <w:r w:rsidRPr="00E102FC">
        <w:rPr>
          <w:rFonts w:eastAsia="Arial"/>
          <w:lang w:val="fr-FR"/>
        </w:rPr>
        <w:t>Uni n</w:t>
      </w:r>
      <w:r w:rsidR="00DD1942" w:rsidRPr="00E102FC">
        <w:rPr>
          <w:rFonts w:eastAsia="Arial"/>
          <w:lang w:val="fr-FR"/>
        </w:rPr>
        <w:t>’</w:t>
      </w:r>
      <w:r w:rsidRPr="00E102FC">
        <w:rPr>
          <w:rFonts w:eastAsia="Arial"/>
          <w:lang w:val="fr-FR"/>
        </w:rPr>
        <w:t>ont pas l</w:t>
      </w:r>
      <w:r w:rsidR="00DD1942" w:rsidRPr="00E102FC">
        <w:rPr>
          <w:rFonts w:eastAsia="Arial"/>
          <w:lang w:val="fr-FR"/>
        </w:rPr>
        <w:t>’</w:t>
      </w:r>
      <w:r w:rsidRPr="00E102FC">
        <w:rPr>
          <w:rFonts w:eastAsia="Arial"/>
          <w:lang w:val="fr-FR"/>
        </w:rPr>
        <w:t>intention de pousser cette proposition plus avant à ce stade.</w:t>
      </w:r>
      <w:r w:rsidR="008D63A3" w:rsidRPr="00E102FC">
        <w:rPr>
          <w:rFonts w:eastAsia="Arial"/>
          <w:lang w:val="fr-FR"/>
        </w:rPr>
        <w:t xml:space="preserve"> </w:t>
      </w:r>
      <w:r w:rsidR="00D653A9" w:rsidRPr="00E102FC">
        <w:rPr>
          <w:rFonts w:eastAsia="Arial"/>
          <w:lang w:val="fr-FR"/>
        </w:rPr>
        <w:t xml:space="preserve"> </w:t>
      </w:r>
      <w:r w:rsidR="00933F31" w:rsidRPr="00E102FC">
        <w:rPr>
          <w:rFonts w:eastAsia="Arial"/>
          <w:lang w:val="fr-FR"/>
        </w:rPr>
        <w:t>Nous continuons néanmoins de penser qu</w:t>
      </w:r>
      <w:r w:rsidR="00DD1942" w:rsidRPr="00E102FC">
        <w:rPr>
          <w:rFonts w:eastAsia="Arial"/>
          <w:lang w:val="fr-FR"/>
        </w:rPr>
        <w:t>’</w:t>
      </w:r>
      <w:r w:rsidR="00933F31" w:rsidRPr="00E102FC">
        <w:rPr>
          <w:rFonts w:eastAsia="Arial"/>
          <w:lang w:val="fr-FR"/>
        </w:rPr>
        <w:t>une telle réduction de taxes serait, dans l</w:t>
      </w:r>
      <w:r w:rsidR="00DD1942" w:rsidRPr="00E102FC">
        <w:rPr>
          <w:rFonts w:eastAsia="Arial"/>
          <w:lang w:val="fr-FR"/>
        </w:rPr>
        <w:t>’</w:t>
      </w:r>
      <w:r w:rsidR="00933F31" w:rsidRPr="00E102FC">
        <w:rPr>
          <w:rFonts w:eastAsia="Arial"/>
          <w:lang w:val="fr-FR"/>
        </w:rPr>
        <w:t>ensemble, suffisamment substantielle pour inciter les déposants à présenter uniquement, dans leurs demandes entrées dans la phase nationale, des revendications satisfaisant aux conditions de nouveauté, d</w:t>
      </w:r>
      <w:r w:rsidR="00DD1942" w:rsidRPr="00E102FC">
        <w:rPr>
          <w:rFonts w:eastAsia="Arial"/>
          <w:lang w:val="fr-FR"/>
        </w:rPr>
        <w:t>’</w:t>
      </w:r>
      <w:r w:rsidR="00933F31" w:rsidRPr="00E102FC">
        <w:rPr>
          <w:rFonts w:eastAsia="Arial"/>
          <w:lang w:val="fr-FR"/>
        </w:rPr>
        <w:t>activité inventive et d</w:t>
      </w:r>
      <w:r w:rsidR="00DD1942" w:rsidRPr="00E102FC">
        <w:rPr>
          <w:rFonts w:eastAsia="Arial"/>
          <w:lang w:val="fr-FR"/>
        </w:rPr>
        <w:t>’</w:t>
      </w:r>
      <w:r w:rsidR="00933F31" w:rsidRPr="00E102FC">
        <w:rPr>
          <w:rFonts w:eastAsia="Arial"/>
          <w:lang w:val="fr-FR"/>
        </w:rPr>
        <w:t xml:space="preserve">application industrielle. </w:t>
      </w:r>
      <w:r w:rsidR="00D653A9" w:rsidRPr="00E102FC">
        <w:rPr>
          <w:rFonts w:eastAsia="Arial"/>
          <w:lang w:val="fr-FR"/>
        </w:rPr>
        <w:t xml:space="preserve"> </w:t>
      </w:r>
      <w:r w:rsidR="00933F31" w:rsidRPr="00E102FC">
        <w:rPr>
          <w:rFonts w:eastAsia="Arial"/>
          <w:lang w:val="fr-FR"/>
        </w:rPr>
        <w:t>Cela réduirait efficacement le coût de la procédure de protection par brevet selon le PCT en produisant les avantages que l</w:t>
      </w:r>
      <w:r w:rsidR="00DD1942" w:rsidRPr="00E102FC">
        <w:rPr>
          <w:rFonts w:eastAsia="Arial"/>
          <w:lang w:val="fr-FR"/>
        </w:rPr>
        <w:t>’</w:t>
      </w:r>
      <w:r w:rsidR="00933F31" w:rsidRPr="00E102FC">
        <w:rPr>
          <w:rFonts w:eastAsia="Arial"/>
          <w:lang w:val="fr-FR"/>
        </w:rPr>
        <w:t xml:space="preserve">on constate actuellement avec le Patent Prosecution </w:t>
      </w:r>
      <w:r w:rsidR="00933F31" w:rsidRPr="00E102FC">
        <w:rPr>
          <w:rFonts w:eastAsia="Arial"/>
          <w:lang w:val="fr-FR"/>
        </w:rPr>
        <w:lastRenderedPageBreak/>
        <w:t>Highway, par exemple une diminution du nombre d</w:t>
      </w:r>
      <w:r w:rsidR="00DD1942" w:rsidRPr="00E102FC">
        <w:rPr>
          <w:rFonts w:eastAsia="Arial"/>
          <w:lang w:val="fr-FR"/>
        </w:rPr>
        <w:t>’</w:t>
      </w:r>
      <w:r w:rsidR="00933F31" w:rsidRPr="00E102FC">
        <w:rPr>
          <w:rFonts w:eastAsia="Arial"/>
          <w:lang w:val="fr-FR"/>
        </w:rPr>
        <w:t>actions par cession, un taux d</w:t>
      </w:r>
      <w:r w:rsidR="00DD1942" w:rsidRPr="00E102FC">
        <w:rPr>
          <w:rFonts w:eastAsia="Arial"/>
          <w:lang w:val="fr-FR"/>
        </w:rPr>
        <w:t>’</w:t>
      </w:r>
      <w:r w:rsidR="00933F31" w:rsidRPr="00E102FC">
        <w:rPr>
          <w:rFonts w:eastAsia="Arial"/>
          <w:lang w:val="fr-FR"/>
        </w:rPr>
        <w:t>acceptation plus élevé et un taux de recours réduit.</w:t>
      </w:r>
      <w:r w:rsidR="00D653A9" w:rsidRPr="00E102FC">
        <w:rPr>
          <w:rFonts w:eastAsia="Arial"/>
          <w:lang w:val="fr-FR"/>
        </w:rPr>
        <w:t xml:space="preserve">  </w:t>
      </w:r>
      <w:r w:rsidR="00933F31" w:rsidRPr="00E102FC">
        <w:rPr>
          <w:rFonts w:eastAsia="Arial"/>
          <w:lang w:val="fr-FR"/>
        </w:rPr>
        <w:t>C</w:t>
      </w:r>
      <w:r w:rsidR="00DD1942" w:rsidRPr="00E102FC">
        <w:rPr>
          <w:rFonts w:eastAsia="Arial"/>
          <w:lang w:val="fr-FR"/>
        </w:rPr>
        <w:t>’</w:t>
      </w:r>
      <w:r w:rsidR="00933F31" w:rsidRPr="00E102FC">
        <w:rPr>
          <w:rFonts w:eastAsia="Arial"/>
          <w:lang w:val="fr-FR"/>
        </w:rPr>
        <w:t xml:space="preserve">est pourquoi nous invitons instamment tous les offices nationaux à réexaminer leurs taxes de manière à mettre en </w:t>
      </w:r>
      <w:r w:rsidR="0076581C" w:rsidRPr="00E102FC">
        <w:rPr>
          <w:rFonts w:eastAsia="Arial"/>
          <w:lang w:val="fr-FR"/>
        </w:rPr>
        <w:t>œuvre</w:t>
      </w:r>
      <w:r w:rsidR="00933F31" w:rsidRPr="00E102FC">
        <w:rPr>
          <w:rFonts w:eastAsia="Arial"/>
          <w:lang w:val="fr-FR"/>
        </w:rPr>
        <w:t xml:space="preserve"> cette proposition de manière unilatérale.</w:t>
      </w:r>
    </w:p>
    <w:p w:rsidR="00DD1942" w:rsidRDefault="00DE17C8" w:rsidP="00DE17C8">
      <w:pPr>
        <w:pStyle w:val="Heading2"/>
        <w:rPr>
          <w:lang w:val="fr-FR"/>
        </w:rPr>
      </w:pPr>
      <w:r>
        <w:rPr>
          <w:lang w:val="fr-FR"/>
        </w:rPr>
        <w:t>R</w:t>
      </w:r>
      <w:r w:rsidRPr="00E102FC">
        <w:rPr>
          <w:lang w:val="fr-FR"/>
        </w:rPr>
        <w:t>éduction des taxes internationales pour les petites et microentités</w:t>
      </w:r>
    </w:p>
    <w:p w:rsidR="00DE17C8" w:rsidRPr="00DE17C8" w:rsidRDefault="00DE17C8" w:rsidP="00DE17C8">
      <w:pPr>
        <w:rPr>
          <w:lang w:val="fr-FR"/>
        </w:rPr>
      </w:pPr>
    </w:p>
    <w:p w:rsidR="0076581C" w:rsidRPr="00E102FC" w:rsidRDefault="00933F31" w:rsidP="00C90A12">
      <w:pPr>
        <w:pStyle w:val="ONUMFS"/>
        <w:rPr>
          <w:rFonts w:eastAsia="Arial"/>
          <w:lang w:val="fr-FR"/>
        </w:rPr>
      </w:pPr>
      <w:r w:rsidRPr="00E102FC">
        <w:rPr>
          <w:bCs/>
          <w:lang w:val="fr-FR"/>
        </w:rPr>
        <w:t xml:space="preserve">Les propositions plus détaillées concernant le PCT 20/20 comprenaient des propositions spécifiques visant à établir </w:t>
      </w:r>
      <w:r w:rsidR="002D2D00">
        <w:rPr>
          <w:bCs/>
          <w:lang w:val="fr-FR"/>
        </w:rPr>
        <w:t>une</w:t>
      </w:r>
      <w:r w:rsidRPr="00E102FC">
        <w:rPr>
          <w:bCs/>
          <w:lang w:val="fr-FR"/>
        </w:rPr>
        <w:t xml:space="preserve"> nouvelle règle 16</w:t>
      </w:r>
      <w:r w:rsidRPr="00E102FC">
        <w:rPr>
          <w:bCs/>
          <w:i/>
          <w:lang w:val="fr-FR"/>
        </w:rPr>
        <w:t>ter</w:t>
      </w:r>
      <w:r w:rsidRPr="00E102FC">
        <w:rPr>
          <w:bCs/>
          <w:lang w:val="fr-FR"/>
        </w:rPr>
        <w:t xml:space="preserve"> prévoyant des réductions de taxes dans la phase internationale s</w:t>
      </w:r>
      <w:r w:rsidR="00DD1942" w:rsidRPr="00E102FC">
        <w:rPr>
          <w:bCs/>
          <w:lang w:val="fr-FR"/>
        </w:rPr>
        <w:t>’</w:t>
      </w:r>
      <w:r w:rsidR="00D14AF8">
        <w:rPr>
          <w:bCs/>
          <w:lang w:val="fr-FR"/>
        </w:rPr>
        <w:t>élevant à 50% et </w:t>
      </w:r>
      <w:r w:rsidRPr="00E102FC">
        <w:rPr>
          <w:bCs/>
          <w:lang w:val="fr-FR"/>
        </w:rPr>
        <w:t>75% respectivement pour les petites entités et les microentités.</w:t>
      </w:r>
    </w:p>
    <w:p w:rsidR="0076581C" w:rsidRPr="00E102FC" w:rsidRDefault="00933F31" w:rsidP="00C90A12">
      <w:pPr>
        <w:pStyle w:val="ONUMFS"/>
        <w:rPr>
          <w:rFonts w:eastAsia="Arial"/>
          <w:lang w:val="fr-FR"/>
        </w:rPr>
      </w:pPr>
      <w:r w:rsidRPr="00E102FC">
        <w:rPr>
          <w:rFonts w:eastAsia="Arial"/>
          <w:lang w:val="fr-FR"/>
        </w:rPr>
        <w:t>Là encore, bien que la proposition ait reçu un soutien considérable de la part des groupes d</w:t>
      </w:r>
      <w:r w:rsidR="00DD1942" w:rsidRPr="00E102FC">
        <w:rPr>
          <w:rFonts w:eastAsia="Arial"/>
          <w:lang w:val="fr-FR"/>
        </w:rPr>
        <w:t>’</w:t>
      </w:r>
      <w:r w:rsidRPr="00E102FC">
        <w:rPr>
          <w:rFonts w:eastAsia="Arial"/>
          <w:lang w:val="fr-FR"/>
        </w:rPr>
        <w:t>utilisateurs ayant répondu à la circulaire, l</w:t>
      </w:r>
      <w:r w:rsidR="00DD1942" w:rsidRPr="00E102FC">
        <w:rPr>
          <w:rFonts w:eastAsia="Arial"/>
          <w:lang w:val="fr-FR"/>
        </w:rPr>
        <w:t>’</w:t>
      </w:r>
      <w:r w:rsidRPr="00E102FC">
        <w:rPr>
          <w:rFonts w:eastAsia="Arial"/>
          <w:lang w:val="fr-FR"/>
        </w:rPr>
        <w:t>appui de la part des États membres et des administrations a été très limité.</w:t>
      </w:r>
      <w:r w:rsidR="00873FA9" w:rsidRPr="00E102FC">
        <w:rPr>
          <w:rFonts w:eastAsia="Arial"/>
          <w:lang w:val="fr-FR"/>
        </w:rPr>
        <w:t xml:space="preserve">  </w:t>
      </w:r>
      <w:r w:rsidR="00891482" w:rsidRPr="00E102FC">
        <w:rPr>
          <w:rFonts w:eastAsia="Arial"/>
          <w:lang w:val="fr-FR"/>
        </w:rPr>
        <w:t>La préoccupation le plus souvent exprimée par les États membres et les administrations, en dehors de celle relative aux incidences potentielles sur les recettes, était liée à l</w:t>
      </w:r>
      <w:r w:rsidR="00DD1942" w:rsidRPr="00E102FC">
        <w:rPr>
          <w:rFonts w:eastAsia="Arial"/>
          <w:lang w:val="fr-FR"/>
        </w:rPr>
        <w:t>’</w:t>
      </w:r>
      <w:r w:rsidR="00891482" w:rsidRPr="00E102FC">
        <w:rPr>
          <w:rFonts w:eastAsia="Arial"/>
          <w:lang w:val="fr-FR"/>
        </w:rPr>
        <w:t>extrême difficulté de trouver des définitions et des taux de réduction acceptables par tous les offices concernés.</w:t>
      </w:r>
    </w:p>
    <w:p w:rsidR="0076581C" w:rsidRPr="00E102FC" w:rsidRDefault="00891482" w:rsidP="00C90A12">
      <w:pPr>
        <w:pStyle w:val="ONUMFS"/>
        <w:rPr>
          <w:rFonts w:eastAsia="Arial"/>
          <w:lang w:val="fr-FR"/>
        </w:rPr>
      </w:pPr>
      <w:r w:rsidRPr="00E102FC">
        <w:rPr>
          <w:rFonts w:eastAsia="Arial"/>
          <w:lang w:val="fr-FR"/>
        </w:rPr>
        <w:t>De même que pour la proposition relative aux réductions de taxes dans la phase nationale, compte tenu des graves préoccupations exprimées par les États membres et les administrations concernant l</w:t>
      </w:r>
      <w:r w:rsidR="00DD1942" w:rsidRPr="00E102FC">
        <w:rPr>
          <w:rFonts w:eastAsia="Arial"/>
          <w:lang w:val="fr-FR"/>
        </w:rPr>
        <w:t>’</w:t>
      </w:r>
      <w:r w:rsidRPr="00E102FC">
        <w:rPr>
          <w:rFonts w:eastAsia="Arial"/>
          <w:lang w:val="fr-FR"/>
        </w:rPr>
        <w:t>incidence de cette proposition, il ne semble guère possible de parvenir à un consensus, de sorte que 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et le Royaume</w:t>
      </w:r>
      <w:r w:rsidR="00B20659" w:rsidRPr="00E102FC">
        <w:rPr>
          <w:rFonts w:eastAsia="Arial"/>
          <w:lang w:val="fr-FR"/>
        </w:rPr>
        <w:noBreakHyphen/>
      </w:r>
      <w:r w:rsidRPr="00E102FC">
        <w:rPr>
          <w:rFonts w:eastAsia="Arial"/>
          <w:lang w:val="fr-FR"/>
        </w:rPr>
        <w:t>Uni n</w:t>
      </w:r>
      <w:r w:rsidR="00DD1942" w:rsidRPr="00E102FC">
        <w:rPr>
          <w:rFonts w:eastAsia="Arial"/>
          <w:lang w:val="fr-FR"/>
        </w:rPr>
        <w:t>’</w:t>
      </w:r>
      <w:r w:rsidRPr="00E102FC">
        <w:rPr>
          <w:rFonts w:eastAsia="Arial"/>
          <w:lang w:val="fr-FR"/>
        </w:rPr>
        <w:t>ont pas l</w:t>
      </w:r>
      <w:r w:rsidR="00DD1942" w:rsidRPr="00E102FC">
        <w:rPr>
          <w:rFonts w:eastAsia="Arial"/>
          <w:lang w:val="fr-FR"/>
        </w:rPr>
        <w:t>’</w:t>
      </w:r>
      <w:r w:rsidRPr="00E102FC">
        <w:rPr>
          <w:rFonts w:eastAsia="Arial"/>
          <w:lang w:val="fr-FR"/>
        </w:rPr>
        <w:t>intention de pousser cette proposition plus avant à ce stade.</w:t>
      </w:r>
      <w:r w:rsidR="00061610" w:rsidRPr="00E102FC">
        <w:rPr>
          <w:rFonts w:eastAsia="Arial"/>
          <w:lang w:val="fr-FR"/>
        </w:rPr>
        <w:t xml:space="preserve"> </w:t>
      </w:r>
      <w:r w:rsidR="006533F0" w:rsidRPr="00E102FC">
        <w:rPr>
          <w:rFonts w:eastAsia="Arial"/>
          <w:lang w:val="fr-FR"/>
        </w:rPr>
        <w:t xml:space="preserve"> </w:t>
      </w:r>
      <w:r w:rsidRPr="00E102FC">
        <w:rPr>
          <w:rFonts w:eastAsia="Arial"/>
          <w:lang w:val="fr-FR"/>
        </w:rPr>
        <w:t>Nous continuons néanmoins de penser qu</w:t>
      </w:r>
      <w:r w:rsidR="00DD1942" w:rsidRPr="00E102FC">
        <w:rPr>
          <w:rFonts w:eastAsia="Arial"/>
          <w:lang w:val="fr-FR"/>
        </w:rPr>
        <w:t>’</w:t>
      </w:r>
      <w:r w:rsidRPr="00E102FC">
        <w:rPr>
          <w:rFonts w:eastAsia="Arial"/>
          <w:lang w:val="fr-FR"/>
        </w:rPr>
        <w:t>une telle réduction de taxes en faveur des déposants qui sont de petites et microentités du monde entier serait de nature à faciliter le développement des petites entreprises en réduisant les coûts de dépôt et de traitement dans la phase internationale.</w:t>
      </w:r>
      <w:r w:rsidR="00061610" w:rsidRPr="00E102FC">
        <w:rPr>
          <w:rFonts w:eastAsia="Arial"/>
          <w:lang w:val="fr-FR"/>
        </w:rPr>
        <w:t xml:space="preserve">  </w:t>
      </w:r>
      <w:r w:rsidR="00670ACD">
        <w:rPr>
          <w:rFonts w:eastAsia="Arial"/>
          <w:lang w:val="fr-FR"/>
        </w:rPr>
        <w:t>Une </w:t>
      </w:r>
      <w:r w:rsidRPr="00E102FC">
        <w:rPr>
          <w:rFonts w:eastAsia="Arial"/>
          <w:lang w:val="fr-FR"/>
        </w:rPr>
        <w:t>réduction pour les petites et microentités pourrait permettre aux petites entreprises du monde entier d</w:t>
      </w:r>
      <w:r w:rsidR="00DD1942" w:rsidRPr="00E102FC">
        <w:rPr>
          <w:rFonts w:eastAsia="Arial"/>
          <w:lang w:val="fr-FR"/>
        </w:rPr>
        <w:t>’</w:t>
      </w:r>
      <w:r w:rsidRPr="00E102FC">
        <w:rPr>
          <w:rFonts w:eastAsia="Arial"/>
          <w:lang w:val="fr-FR"/>
        </w:rPr>
        <w:t>utiliser davantage le système</w:t>
      </w:r>
      <w:r w:rsidR="00DD1942" w:rsidRPr="00E102FC">
        <w:rPr>
          <w:rFonts w:eastAsia="Arial"/>
          <w:lang w:val="fr-FR"/>
        </w:rPr>
        <w:t xml:space="preserve"> du PCT</w:t>
      </w:r>
      <w:r w:rsidRPr="00E102FC">
        <w:rPr>
          <w:rFonts w:eastAsia="Arial"/>
          <w:lang w:val="fr-FR"/>
        </w:rPr>
        <w:t xml:space="preserve"> et l</w:t>
      </w:r>
      <w:r w:rsidR="00DD1942" w:rsidRPr="00E102FC">
        <w:rPr>
          <w:rFonts w:eastAsia="Arial"/>
          <w:lang w:val="fr-FR"/>
        </w:rPr>
        <w:t>’</w:t>
      </w:r>
      <w:r w:rsidRPr="00E102FC">
        <w:rPr>
          <w:rFonts w:eastAsia="Arial"/>
          <w:lang w:val="fr-FR"/>
        </w:rPr>
        <w:t>amélioration de l</w:t>
      </w:r>
      <w:r w:rsidR="00DD1942" w:rsidRPr="00E102FC">
        <w:rPr>
          <w:rFonts w:eastAsia="Arial"/>
          <w:lang w:val="fr-FR"/>
        </w:rPr>
        <w:t>’</w:t>
      </w:r>
      <w:r w:rsidRPr="00E102FC">
        <w:rPr>
          <w:rFonts w:eastAsia="Arial"/>
          <w:lang w:val="fr-FR"/>
        </w:rPr>
        <w:t>accessibilité du système pour les petites entreprises contribuerait à renforcer le soutien en faveur du PCT et des systèmes de brevets à l</w:t>
      </w:r>
      <w:r w:rsidR="00DD1942" w:rsidRPr="00E102FC">
        <w:rPr>
          <w:rFonts w:eastAsia="Arial"/>
          <w:lang w:val="fr-FR"/>
        </w:rPr>
        <w:t>’</w:t>
      </w:r>
      <w:r w:rsidRPr="00E102FC">
        <w:rPr>
          <w:rFonts w:eastAsia="Arial"/>
          <w:lang w:val="fr-FR"/>
        </w:rPr>
        <w:t>échelle internationale.</w:t>
      </w:r>
      <w:r w:rsidR="00061610" w:rsidRPr="00E102FC">
        <w:rPr>
          <w:rFonts w:eastAsia="Arial"/>
          <w:lang w:val="fr-FR"/>
        </w:rPr>
        <w:t xml:space="preserve">  </w:t>
      </w:r>
      <w:r w:rsidRPr="00E102FC">
        <w:rPr>
          <w:rFonts w:eastAsia="Arial"/>
          <w:lang w:val="fr-FR"/>
        </w:rPr>
        <w:t>C</w:t>
      </w:r>
      <w:r w:rsidR="00DD1942" w:rsidRPr="00E102FC">
        <w:rPr>
          <w:rFonts w:eastAsia="Arial"/>
          <w:lang w:val="fr-FR"/>
        </w:rPr>
        <w:t>’</w:t>
      </w:r>
      <w:r w:rsidRPr="00E102FC">
        <w:rPr>
          <w:rFonts w:eastAsia="Arial"/>
          <w:lang w:val="fr-FR"/>
        </w:rPr>
        <w:t xml:space="preserve">est pourquoi nous invitons instamment tous les États membres à envisager les avantages potentiels pour les petites entreprises </w:t>
      </w:r>
      <w:r w:rsidR="00345601" w:rsidRPr="00E102FC">
        <w:rPr>
          <w:rFonts w:eastAsia="Arial"/>
          <w:lang w:val="fr-FR"/>
        </w:rPr>
        <w:t xml:space="preserve">pouvant découler </w:t>
      </w:r>
      <w:r w:rsidRPr="00E102FC">
        <w:rPr>
          <w:rFonts w:eastAsia="Arial"/>
          <w:lang w:val="fr-FR"/>
        </w:rPr>
        <w:t xml:space="preserve">de la mise en </w:t>
      </w:r>
      <w:r w:rsidR="00DD1942" w:rsidRPr="00E102FC">
        <w:rPr>
          <w:rFonts w:eastAsia="Arial"/>
          <w:lang w:val="fr-FR"/>
        </w:rPr>
        <w:t>œuvre</w:t>
      </w:r>
      <w:r w:rsidRPr="00E102FC">
        <w:rPr>
          <w:rFonts w:eastAsia="Arial"/>
          <w:lang w:val="fr-FR"/>
        </w:rPr>
        <w:t xml:space="preserve"> unilatérale de cette proposition, si la législation nationale applicable le permet.</w:t>
      </w:r>
    </w:p>
    <w:p w:rsidR="0076581C" w:rsidRPr="00E102FC" w:rsidRDefault="0076581C" w:rsidP="00C90A12">
      <w:pPr>
        <w:pStyle w:val="ONUMFS"/>
        <w:rPr>
          <w:rFonts w:eastAsia="Arial"/>
          <w:lang w:val="fr-FR"/>
        </w:rPr>
      </w:pPr>
      <w:r w:rsidRPr="00E102FC">
        <w:rPr>
          <w:rFonts w:eastAsia="Arial"/>
          <w:lang w:val="fr-FR"/>
        </w:rPr>
        <w:t>À cet égard, il convient de noter que 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00D14AF8">
        <w:rPr>
          <w:rFonts w:eastAsia="Arial"/>
          <w:lang w:val="fr-FR"/>
        </w:rPr>
        <w:t>Amérique, outre la réduction de </w:t>
      </w:r>
      <w:r w:rsidRPr="00E102FC">
        <w:rPr>
          <w:rFonts w:eastAsia="Arial"/>
          <w:lang w:val="fr-FR"/>
        </w:rPr>
        <w:t>50% des taxes nationales appliquée depuis longtemps en faveur des petites entités, offrent égalem</w:t>
      </w:r>
      <w:r w:rsidR="00D14AF8">
        <w:rPr>
          <w:rFonts w:eastAsia="Arial"/>
          <w:lang w:val="fr-FR"/>
        </w:rPr>
        <w:t>ent depuis peu une réduction de </w:t>
      </w:r>
      <w:r w:rsidRPr="00E102FC">
        <w:rPr>
          <w:rFonts w:eastAsia="Arial"/>
          <w:lang w:val="fr-FR"/>
        </w:rPr>
        <w:t xml:space="preserve">75% </w:t>
      </w:r>
      <w:r w:rsidR="00345601" w:rsidRPr="00E102FC">
        <w:rPr>
          <w:rFonts w:eastAsia="Arial"/>
          <w:lang w:val="fr-FR"/>
        </w:rPr>
        <w:t>aux</w:t>
      </w:r>
      <w:r w:rsidRPr="00E102FC">
        <w:rPr>
          <w:rFonts w:eastAsia="Arial"/>
          <w:lang w:val="fr-FR"/>
        </w:rPr>
        <w:t xml:space="preserve"> déposants ayant la qualité de microentité.</w:t>
      </w:r>
      <w:r w:rsidR="00873FA9" w:rsidRPr="00E102FC">
        <w:rPr>
          <w:rFonts w:eastAsia="Arial"/>
          <w:lang w:val="fr-FR"/>
        </w:rPr>
        <w:t xml:space="preserve"> </w:t>
      </w:r>
      <w:r w:rsidR="00225E54" w:rsidRPr="00E102FC">
        <w:rPr>
          <w:rFonts w:eastAsia="Arial"/>
          <w:lang w:val="fr-FR"/>
        </w:rPr>
        <w:t xml:space="preserve"> </w:t>
      </w:r>
      <w:r w:rsidRPr="00E102FC">
        <w:rPr>
          <w:rFonts w:eastAsia="Arial"/>
          <w:lang w:val="fr-FR"/>
        </w:rPr>
        <w:t>Par ailleurs, l</w:t>
      </w:r>
      <w:r w:rsidR="00752251" w:rsidRPr="00E102FC">
        <w:rPr>
          <w:bCs/>
          <w:lang w:val="fr-FR"/>
        </w:rPr>
        <w:t>’Office des brevets et des marques des États</w:t>
      </w:r>
      <w:r w:rsidR="00752251" w:rsidRPr="00E102FC">
        <w:rPr>
          <w:bCs/>
          <w:lang w:val="fr-FR"/>
        </w:rPr>
        <w:noBreakHyphen/>
        <w:t>Unis d’Amérique</w:t>
      </w:r>
      <w:r w:rsidRPr="00E102FC">
        <w:rPr>
          <w:rFonts w:eastAsia="Arial"/>
          <w:lang w:val="fr-FR"/>
        </w:rPr>
        <w:t xml:space="preserve"> propose depuis </w:t>
      </w:r>
      <w:r w:rsidR="002D2D00">
        <w:rPr>
          <w:rFonts w:eastAsia="Arial"/>
          <w:lang w:val="fr-FR"/>
        </w:rPr>
        <w:t>quelque</w:t>
      </w:r>
      <w:r w:rsidRPr="00E102FC">
        <w:rPr>
          <w:rFonts w:eastAsia="Arial"/>
          <w:lang w:val="fr-FR"/>
        </w:rPr>
        <w:t xml:space="preserve"> temps aux petites et microentités des réductions des taxes qu</w:t>
      </w:r>
      <w:r w:rsidR="00DD1942" w:rsidRPr="00E102FC">
        <w:rPr>
          <w:rFonts w:eastAsia="Arial"/>
          <w:lang w:val="fr-FR"/>
        </w:rPr>
        <w:t>’</w:t>
      </w:r>
      <w:r w:rsidRPr="00E102FC">
        <w:rPr>
          <w:rFonts w:eastAsia="Arial"/>
          <w:lang w:val="fr-FR"/>
        </w:rPr>
        <w:t>il exige également au cours de la phase internationale.</w:t>
      </w:r>
      <w:r w:rsidR="00873FA9" w:rsidRPr="00E102FC">
        <w:rPr>
          <w:rFonts w:eastAsia="Arial"/>
          <w:lang w:val="fr-FR"/>
        </w:rPr>
        <w:t xml:space="preserve"> </w:t>
      </w:r>
      <w:r w:rsidR="00DF3346" w:rsidRPr="00E102FC">
        <w:rPr>
          <w:rFonts w:eastAsia="Arial"/>
          <w:lang w:val="fr-FR"/>
        </w:rPr>
        <w:t xml:space="preserve"> </w:t>
      </w:r>
      <w:r w:rsidR="00DE60B9" w:rsidRPr="00E102FC">
        <w:rPr>
          <w:rFonts w:eastAsia="Arial"/>
          <w:lang w:val="fr-FR"/>
        </w:rPr>
        <w:t>Là encore, nous ne pouvons qu</w:t>
      </w:r>
      <w:r w:rsidR="00DD1942" w:rsidRPr="00E102FC">
        <w:rPr>
          <w:rFonts w:eastAsia="Arial"/>
          <w:lang w:val="fr-FR"/>
        </w:rPr>
        <w:t>’</w:t>
      </w:r>
      <w:r w:rsidR="00DE60B9" w:rsidRPr="00E102FC">
        <w:rPr>
          <w:rFonts w:eastAsia="Arial"/>
          <w:lang w:val="fr-FR"/>
        </w:rPr>
        <w:t xml:space="preserve">encourager toutes les administrations à envisager de prendre des mesures unilatérales semblables concernant cet aspect </w:t>
      </w:r>
      <w:r w:rsidR="00670ACD">
        <w:rPr>
          <w:rFonts w:eastAsia="Arial"/>
          <w:lang w:val="fr-FR"/>
        </w:rPr>
        <w:t>du programme conjoint UK/US PCT </w:t>
      </w:r>
      <w:r w:rsidR="00DE60B9" w:rsidRPr="00E102FC">
        <w:rPr>
          <w:rFonts w:eastAsia="Arial"/>
          <w:lang w:val="fr-FR"/>
        </w:rPr>
        <w:t>20/20.</w:t>
      </w:r>
    </w:p>
    <w:p w:rsidR="0076581C" w:rsidRPr="00E102FC" w:rsidRDefault="00DE60B9" w:rsidP="00C90A12">
      <w:pPr>
        <w:pStyle w:val="ONUMFS"/>
        <w:rPr>
          <w:rFonts w:eastAsia="Arial"/>
          <w:lang w:val="fr-FR"/>
        </w:rPr>
      </w:pPr>
      <w:r w:rsidRPr="00E102FC">
        <w:rPr>
          <w:rFonts w:eastAsia="Arial"/>
          <w:lang w:val="fr-FR"/>
        </w:rPr>
        <w:t>En outre, si les États membres peuvent estimer qu</w:t>
      </w:r>
      <w:r w:rsidR="00DD1942" w:rsidRPr="00E102FC">
        <w:rPr>
          <w:rFonts w:eastAsia="Arial"/>
          <w:lang w:val="fr-FR"/>
        </w:rPr>
        <w:t>’</w:t>
      </w:r>
      <w:r w:rsidRPr="00E102FC">
        <w:rPr>
          <w:rFonts w:eastAsia="Arial"/>
          <w:lang w:val="fr-FR"/>
        </w:rPr>
        <w:t>il serait trop difficile de parvenir à un accord sur la définition de ce qui constitue une petite ou microentité, compte tenu des conclusions concernant l</w:t>
      </w:r>
      <w:r w:rsidR="00DD1942" w:rsidRPr="00E102FC">
        <w:rPr>
          <w:rFonts w:eastAsia="Arial"/>
          <w:lang w:val="fr-FR"/>
        </w:rPr>
        <w:t>’</w:t>
      </w:r>
      <w:r w:rsidRPr="00E102FC">
        <w:rPr>
          <w:rFonts w:eastAsia="Arial"/>
          <w:lang w:val="fr-FR"/>
        </w:rPr>
        <w:t>effet des fluctuations de la taxe internationale de dépôt sur les universités qui sont exposées dans le document PCT/WG/7/6 les États</w:t>
      </w:r>
      <w:r w:rsidR="00B20659" w:rsidRPr="00E102FC">
        <w:rPr>
          <w:rFonts w:eastAsia="Arial"/>
          <w:lang w:val="fr-FR"/>
        </w:rPr>
        <w:noBreakHyphen/>
      </w:r>
      <w:r w:rsidRPr="00E102FC">
        <w:rPr>
          <w:rFonts w:eastAsia="Arial"/>
          <w:lang w:val="fr-FR"/>
        </w:rPr>
        <w:t>Unis d</w:t>
      </w:r>
      <w:r w:rsidR="00DD1942" w:rsidRPr="00E102FC">
        <w:rPr>
          <w:rFonts w:eastAsia="Arial"/>
          <w:lang w:val="fr-FR"/>
        </w:rPr>
        <w:t>’</w:t>
      </w:r>
      <w:r w:rsidRPr="00E102FC">
        <w:rPr>
          <w:rFonts w:eastAsia="Arial"/>
          <w:lang w:val="fr-FR"/>
        </w:rPr>
        <w:t>Amérique et le Royaume</w:t>
      </w:r>
      <w:r w:rsidR="00B20659" w:rsidRPr="00E102FC">
        <w:rPr>
          <w:rFonts w:eastAsia="Arial"/>
          <w:lang w:val="fr-FR"/>
        </w:rPr>
        <w:noBreakHyphen/>
      </w:r>
      <w:r w:rsidRPr="00E102FC">
        <w:rPr>
          <w:rFonts w:eastAsia="Arial"/>
          <w:lang w:val="fr-FR"/>
        </w:rPr>
        <w:t xml:space="preserve">Uni invitent instamment le Bureau international à envisager la possibilité de prévoir une </w:t>
      </w:r>
      <w:r w:rsidR="004B2B26" w:rsidRPr="00E102FC">
        <w:rPr>
          <w:rFonts w:eastAsia="Arial"/>
          <w:lang w:val="fr-FR"/>
        </w:rPr>
        <w:t>réduction</w:t>
      </w:r>
      <w:r w:rsidRPr="00E102FC">
        <w:rPr>
          <w:rFonts w:eastAsia="Arial"/>
          <w:lang w:val="fr-FR"/>
        </w:rPr>
        <w:t xml:space="preserve"> appropriée de la taxe internationale de dépôt en faveur des universités.</w:t>
      </w:r>
    </w:p>
    <w:p w:rsidR="0076581C" w:rsidRDefault="00DE17C8" w:rsidP="00DE17C8">
      <w:pPr>
        <w:pStyle w:val="Heading2"/>
        <w:keepLines/>
        <w:rPr>
          <w:lang w:val="fr-FR"/>
        </w:rPr>
      </w:pPr>
      <w:r>
        <w:rPr>
          <w:lang w:val="fr-FR"/>
        </w:rPr>
        <w:lastRenderedPageBreak/>
        <w:t>I</w:t>
      </w:r>
      <w:r w:rsidRPr="00E102FC">
        <w:rPr>
          <w:lang w:val="fr-FR"/>
        </w:rPr>
        <w:t>ntégration des phases nationale et internationale, utilisation du rapport de recherche selon le </w:t>
      </w:r>
      <w:r>
        <w:rPr>
          <w:lang w:val="fr-FR"/>
        </w:rPr>
        <w:t>PCT</w:t>
      </w:r>
      <w:r w:rsidRPr="00E102FC">
        <w:rPr>
          <w:lang w:val="fr-FR"/>
        </w:rPr>
        <w:t xml:space="preserve"> en tant que première action quant au fond dans le cadre de la phase nationale, exigence d’une réponse aux observations négatives pendant la phase nationale</w:t>
      </w:r>
    </w:p>
    <w:p w:rsidR="00DE17C8" w:rsidRPr="00DE17C8" w:rsidRDefault="00DE17C8" w:rsidP="00DE17C8">
      <w:pPr>
        <w:keepNext/>
        <w:keepLines/>
        <w:rPr>
          <w:lang w:val="fr-FR"/>
        </w:rPr>
      </w:pPr>
    </w:p>
    <w:p w:rsidR="0076581C" w:rsidRPr="00E102FC" w:rsidRDefault="00113676" w:rsidP="00DE17C8">
      <w:pPr>
        <w:pStyle w:val="ONUMFS"/>
        <w:keepNext/>
        <w:keepLines/>
        <w:rPr>
          <w:rFonts w:eastAsia="Arial"/>
          <w:szCs w:val="22"/>
          <w:lang w:val="fr-FR"/>
        </w:rPr>
      </w:pPr>
      <w:r w:rsidRPr="00E102FC">
        <w:rPr>
          <w:rFonts w:eastAsia="Arial"/>
          <w:szCs w:val="22"/>
          <w:lang w:val="fr-FR"/>
        </w:rPr>
        <w:t>Sous sa forme initiale, cette proposition envisageait trois</w:t>
      </w:r>
      <w:r w:rsidR="006533F0" w:rsidRPr="00E102FC">
        <w:rPr>
          <w:rFonts w:eastAsia="Arial"/>
          <w:szCs w:val="22"/>
          <w:lang w:val="fr-FR"/>
        </w:rPr>
        <w:t> </w:t>
      </w:r>
      <w:r w:rsidRPr="00E102FC">
        <w:rPr>
          <w:rFonts w:eastAsia="Arial"/>
          <w:szCs w:val="22"/>
          <w:lang w:val="fr-FR"/>
        </w:rPr>
        <w:t>types d</w:t>
      </w:r>
      <w:r w:rsidR="00DD1942" w:rsidRPr="00E102FC">
        <w:rPr>
          <w:rFonts w:eastAsia="Arial"/>
          <w:szCs w:val="22"/>
          <w:lang w:val="fr-FR"/>
        </w:rPr>
        <w:t>’</w:t>
      </w:r>
      <w:r w:rsidRPr="00E102FC">
        <w:rPr>
          <w:rFonts w:eastAsia="Arial"/>
          <w:szCs w:val="22"/>
          <w:lang w:val="fr-FR"/>
        </w:rPr>
        <w:t>intégration des phases nationale et internationale : a)</w:t>
      </w:r>
      <w:r w:rsidR="00F67EB1" w:rsidRPr="00E102FC">
        <w:rPr>
          <w:rFonts w:eastAsia="Arial"/>
          <w:szCs w:val="22"/>
          <w:lang w:val="fr-FR"/>
        </w:rPr>
        <w:t> </w:t>
      </w:r>
      <w:r w:rsidRPr="00E102FC">
        <w:rPr>
          <w:rFonts w:eastAsia="Arial"/>
          <w:szCs w:val="22"/>
          <w:lang w:val="fr-FR"/>
        </w:rPr>
        <w:t>le choix d</w:t>
      </w:r>
      <w:r w:rsidR="00DD1942" w:rsidRPr="00E102FC">
        <w:rPr>
          <w:rFonts w:eastAsia="Arial"/>
          <w:szCs w:val="22"/>
          <w:lang w:val="fr-FR"/>
        </w:rPr>
        <w:t>’</w:t>
      </w:r>
      <w:r w:rsidRPr="00E102FC">
        <w:rPr>
          <w:rFonts w:eastAsia="Arial"/>
          <w:szCs w:val="22"/>
          <w:lang w:val="fr-FR"/>
        </w:rPr>
        <w:t>une administration chargée de la recherche internationale serait également considéré comme l</w:t>
      </w:r>
      <w:r w:rsidR="00DD1942" w:rsidRPr="00E102FC">
        <w:rPr>
          <w:rFonts w:eastAsia="Arial"/>
          <w:szCs w:val="22"/>
          <w:lang w:val="fr-FR"/>
        </w:rPr>
        <w:t>’</w:t>
      </w:r>
      <w:r w:rsidRPr="00E102FC">
        <w:rPr>
          <w:rFonts w:eastAsia="Arial"/>
          <w:szCs w:val="22"/>
          <w:lang w:val="fr-FR"/>
        </w:rPr>
        <w:t>ouverture de la phase nationale devant cet office;  b)</w:t>
      </w:r>
      <w:r w:rsidR="00F67EB1" w:rsidRPr="00E102FC">
        <w:rPr>
          <w:rFonts w:eastAsia="Arial"/>
          <w:szCs w:val="22"/>
          <w:lang w:val="fr-FR"/>
        </w:rPr>
        <w:t> </w:t>
      </w:r>
      <w:r w:rsidRPr="00E102FC">
        <w:rPr>
          <w:rFonts w:eastAsia="Arial"/>
          <w:szCs w:val="22"/>
          <w:lang w:val="fr-FR"/>
        </w:rPr>
        <w:t>exiger, au moment de l</w:t>
      </w:r>
      <w:r w:rsidR="00DD1942" w:rsidRPr="00E102FC">
        <w:rPr>
          <w:rFonts w:eastAsia="Arial"/>
          <w:szCs w:val="22"/>
          <w:lang w:val="fr-FR"/>
        </w:rPr>
        <w:t>’</w:t>
      </w:r>
      <w:r w:rsidRPr="00E102FC">
        <w:rPr>
          <w:rFonts w:eastAsia="Arial"/>
          <w:szCs w:val="22"/>
          <w:lang w:val="fr-FR"/>
        </w:rPr>
        <w:t>ouverture de la phase nationale, une réponse complète à toute observation négative en suspens formulée par l</w:t>
      </w:r>
      <w:r w:rsidR="00DD1942" w:rsidRPr="00E102FC">
        <w:rPr>
          <w:rFonts w:eastAsia="Arial"/>
          <w:szCs w:val="22"/>
          <w:lang w:val="fr-FR"/>
        </w:rPr>
        <w:t>’</w:t>
      </w:r>
      <w:r w:rsidRPr="00E102FC">
        <w:rPr>
          <w:rFonts w:eastAsia="Arial"/>
          <w:szCs w:val="22"/>
          <w:lang w:val="fr-FR"/>
        </w:rPr>
        <w:t>administration chargée de la recherche internationale ou l</w:t>
      </w:r>
      <w:r w:rsidR="00DD1942" w:rsidRPr="00E102FC">
        <w:rPr>
          <w:rFonts w:eastAsia="Arial"/>
          <w:szCs w:val="22"/>
          <w:lang w:val="fr-FR"/>
        </w:rPr>
        <w:t>’</w:t>
      </w:r>
      <w:r w:rsidRPr="00E102FC">
        <w:rPr>
          <w:rFonts w:eastAsia="Arial"/>
          <w:szCs w:val="22"/>
          <w:lang w:val="fr-FR"/>
        </w:rPr>
        <w:t>administration chargée de l</w:t>
      </w:r>
      <w:r w:rsidR="00DD1942" w:rsidRPr="00E102FC">
        <w:rPr>
          <w:rFonts w:eastAsia="Arial"/>
          <w:szCs w:val="22"/>
          <w:lang w:val="fr-FR"/>
        </w:rPr>
        <w:t>’</w:t>
      </w:r>
      <w:r w:rsidRPr="00E102FC">
        <w:rPr>
          <w:rFonts w:eastAsia="Arial"/>
          <w:szCs w:val="22"/>
          <w:lang w:val="fr-FR"/>
        </w:rPr>
        <w:t xml:space="preserve">examen </w:t>
      </w:r>
      <w:r w:rsidR="00D14AF8">
        <w:rPr>
          <w:rFonts w:eastAsia="Arial"/>
          <w:szCs w:val="22"/>
          <w:lang w:val="fr-FR"/>
        </w:rPr>
        <w:t>préliminaire international;  et </w:t>
      </w:r>
      <w:r w:rsidRPr="00E102FC">
        <w:rPr>
          <w:rFonts w:eastAsia="Arial"/>
          <w:szCs w:val="22"/>
          <w:lang w:val="fr-FR"/>
        </w:rPr>
        <w:t>c)</w:t>
      </w:r>
      <w:r w:rsidR="006533F0" w:rsidRPr="00E102FC">
        <w:rPr>
          <w:rFonts w:eastAsia="Arial"/>
          <w:szCs w:val="22"/>
          <w:lang w:val="fr-FR"/>
        </w:rPr>
        <w:t> </w:t>
      </w:r>
      <w:r w:rsidRPr="00E102FC">
        <w:rPr>
          <w:rFonts w:eastAsia="Arial"/>
          <w:szCs w:val="22"/>
          <w:lang w:val="fr-FR"/>
        </w:rPr>
        <w:t>lorsqu</w:t>
      </w:r>
      <w:r w:rsidR="00DD1942" w:rsidRPr="00E102FC">
        <w:rPr>
          <w:rFonts w:eastAsia="Arial"/>
          <w:szCs w:val="22"/>
          <w:lang w:val="fr-FR"/>
        </w:rPr>
        <w:t>’</w:t>
      </w:r>
      <w:r w:rsidRPr="00E102FC">
        <w:rPr>
          <w:rFonts w:eastAsia="Arial"/>
          <w:szCs w:val="22"/>
          <w:lang w:val="fr-FR"/>
        </w:rPr>
        <w:t>une première décision quant au fond a été rendue par l</w:t>
      </w:r>
      <w:r w:rsidR="00DD1942" w:rsidRPr="00E102FC">
        <w:rPr>
          <w:rFonts w:eastAsia="Arial"/>
          <w:szCs w:val="22"/>
          <w:lang w:val="fr-FR"/>
        </w:rPr>
        <w:t>’</w:t>
      </w:r>
      <w:r w:rsidRPr="00E102FC">
        <w:rPr>
          <w:rFonts w:eastAsia="Arial"/>
          <w:szCs w:val="22"/>
          <w:lang w:val="fr-FR"/>
        </w:rPr>
        <w:t>administration chargée de la recherche internationale en sa qualité d</w:t>
      </w:r>
      <w:r w:rsidR="00DD1942" w:rsidRPr="00E102FC">
        <w:rPr>
          <w:rFonts w:eastAsia="Arial"/>
          <w:szCs w:val="22"/>
          <w:lang w:val="fr-FR"/>
        </w:rPr>
        <w:t>’</w:t>
      </w:r>
      <w:r w:rsidRPr="00E102FC">
        <w:rPr>
          <w:rFonts w:eastAsia="Arial"/>
          <w:szCs w:val="22"/>
          <w:lang w:val="fr-FR"/>
        </w:rPr>
        <w:t>office national à</w:t>
      </w:r>
      <w:r w:rsidR="006533F0" w:rsidRPr="00E102FC">
        <w:rPr>
          <w:rFonts w:eastAsia="Arial"/>
          <w:szCs w:val="22"/>
          <w:lang w:val="fr-FR"/>
        </w:rPr>
        <w:t> </w:t>
      </w:r>
      <w:r w:rsidRPr="00E102FC">
        <w:rPr>
          <w:rFonts w:eastAsia="Arial"/>
          <w:szCs w:val="22"/>
          <w:lang w:val="fr-FR"/>
        </w:rPr>
        <w:t>l</w:t>
      </w:r>
      <w:r w:rsidR="00DD1942" w:rsidRPr="00E102FC">
        <w:rPr>
          <w:rFonts w:eastAsia="Arial"/>
          <w:szCs w:val="22"/>
          <w:lang w:val="fr-FR"/>
        </w:rPr>
        <w:t>’</w:t>
      </w:r>
      <w:r w:rsidRPr="00E102FC">
        <w:rPr>
          <w:rFonts w:eastAsia="Arial"/>
          <w:szCs w:val="22"/>
          <w:lang w:val="fr-FR"/>
        </w:rPr>
        <w:t>égard d</w:t>
      </w:r>
      <w:r w:rsidR="00DD1942" w:rsidRPr="00E102FC">
        <w:rPr>
          <w:rFonts w:eastAsia="Arial"/>
          <w:szCs w:val="22"/>
          <w:lang w:val="fr-FR"/>
        </w:rPr>
        <w:t>’</w:t>
      </w:r>
      <w:r w:rsidRPr="00E102FC">
        <w:rPr>
          <w:rFonts w:eastAsia="Arial"/>
          <w:szCs w:val="22"/>
          <w:lang w:val="fr-FR"/>
        </w:rPr>
        <w:t>une demande principale ou de la même famille, l</w:t>
      </w:r>
      <w:r w:rsidR="00DD1942" w:rsidRPr="00E102FC">
        <w:rPr>
          <w:rFonts w:eastAsia="Arial"/>
          <w:szCs w:val="22"/>
          <w:lang w:val="fr-FR"/>
        </w:rPr>
        <w:t>’</w:t>
      </w:r>
      <w:r w:rsidRPr="00E102FC">
        <w:rPr>
          <w:rFonts w:eastAsia="Arial"/>
          <w:szCs w:val="22"/>
          <w:lang w:val="fr-FR"/>
        </w:rPr>
        <w:t>administration chargée de la recherche internationale l</w:t>
      </w:r>
      <w:r w:rsidR="00DD1942" w:rsidRPr="00E102FC">
        <w:rPr>
          <w:rFonts w:eastAsia="Arial"/>
          <w:szCs w:val="22"/>
          <w:lang w:val="fr-FR"/>
        </w:rPr>
        <w:t>’</w:t>
      </w:r>
      <w:r w:rsidRPr="00E102FC">
        <w:rPr>
          <w:rFonts w:eastAsia="Arial"/>
          <w:szCs w:val="22"/>
          <w:lang w:val="fr-FR"/>
        </w:rPr>
        <w:t>adopterait en tant que rapport de recherche internationale ou opinion écrite lorsque les revendications sont identiques.</w:t>
      </w:r>
    </w:p>
    <w:p w:rsidR="0076581C" w:rsidRPr="00E102FC" w:rsidRDefault="00803883" w:rsidP="00C90A12">
      <w:pPr>
        <w:pStyle w:val="ONUMFS"/>
        <w:rPr>
          <w:rFonts w:eastAsia="Arial"/>
          <w:lang w:val="fr-FR"/>
        </w:rPr>
      </w:pPr>
      <w:r w:rsidRPr="00E102FC">
        <w:rPr>
          <w:rFonts w:eastAsia="Arial"/>
          <w:lang w:val="fr-FR"/>
        </w:rPr>
        <w:t xml:space="preserve">Après examen des réponses des États membres et des administrations, et compte tenu notamment de la révision en profondeur des </w:t>
      </w:r>
      <w:r w:rsidR="004B2B26" w:rsidRPr="00E102FC">
        <w:rPr>
          <w:rFonts w:eastAsia="Arial"/>
          <w:lang w:val="fr-FR"/>
        </w:rPr>
        <w:t>législations</w:t>
      </w:r>
      <w:r w:rsidRPr="00E102FC">
        <w:rPr>
          <w:rFonts w:eastAsia="Arial"/>
          <w:lang w:val="fr-FR"/>
        </w:rPr>
        <w:t xml:space="preserve"> et pratiques nationales qui découlerait de la mise en </w:t>
      </w:r>
      <w:r w:rsidR="004B2B26" w:rsidRPr="00E102FC">
        <w:rPr>
          <w:rFonts w:eastAsia="Arial"/>
          <w:lang w:val="fr-FR"/>
        </w:rPr>
        <w:t>œuvre</w:t>
      </w:r>
      <w:r w:rsidRPr="00E102FC">
        <w:rPr>
          <w:rFonts w:eastAsia="Arial"/>
          <w:lang w:val="fr-FR"/>
        </w:rPr>
        <w:t xml:space="preserve"> des mesures visées aux points</w:t>
      </w:r>
      <w:r w:rsidR="006533F0" w:rsidRPr="00E102FC">
        <w:rPr>
          <w:rFonts w:eastAsia="Arial"/>
          <w:lang w:val="fr-FR"/>
        </w:rPr>
        <w:t> </w:t>
      </w:r>
      <w:r w:rsidRPr="00E102FC">
        <w:rPr>
          <w:rFonts w:eastAsia="Arial"/>
          <w:lang w:val="fr-FR"/>
        </w:rPr>
        <w:t>a) et</w:t>
      </w:r>
      <w:r w:rsidR="00B20659" w:rsidRPr="00E102FC">
        <w:rPr>
          <w:rFonts w:eastAsia="Arial"/>
          <w:lang w:val="fr-FR"/>
        </w:rPr>
        <w:t> </w:t>
      </w:r>
      <w:r w:rsidRPr="00E102FC">
        <w:rPr>
          <w:rFonts w:eastAsia="Arial"/>
          <w:lang w:val="fr-FR"/>
        </w:rPr>
        <w:t>c), il a été décidé que le seul type d</w:t>
      </w:r>
      <w:r w:rsidR="00DD1942" w:rsidRPr="00E102FC">
        <w:rPr>
          <w:rFonts w:eastAsia="Arial"/>
          <w:lang w:val="fr-FR"/>
        </w:rPr>
        <w:t>’</w:t>
      </w:r>
      <w:r w:rsidRPr="00E102FC">
        <w:rPr>
          <w:rFonts w:eastAsia="Arial"/>
          <w:lang w:val="fr-FR"/>
        </w:rPr>
        <w:t>intégration pouvant se prêter à une poursuite de l</w:t>
      </w:r>
      <w:r w:rsidR="00DD1942" w:rsidRPr="00E102FC">
        <w:rPr>
          <w:rFonts w:eastAsia="Arial"/>
          <w:lang w:val="fr-FR"/>
        </w:rPr>
        <w:t>’</w:t>
      </w:r>
      <w:r w:rsidRPr="00E102FC">
        <w:rPr>
          <w:rFonts w:eastAsia="Arial"/>
          <w:lang w:val="fr-FR"/>
        </w:rPr>
        <w:t>examen à ce stade était l</w:t>
      </w:r>
      <w:r w:rsidR="00DD1942" w:rsidRPr="00E102FC">
        <w:rPr>
          <w:rFonts w:eastAsia="Arial"/>
          <w:lang w:val="fr-FR"/>
        </w:rPr>
        <w:t>’</w:t>
      </w:r>
      <w:r w:rsidRPr="00E102FC">
        <w:rPr>
          <w:rFonts w:eastAsia="Arial"/>
          <w:lang w:val="fr-FR"/>
        </w:rPr>
        <w:t>exigence relative à la fourniture d</w:t>
      </w:r>
      <w:r w:rsidR="00DD1942" w:rsidRPr="00E102FC">
        <w:rPr>
          <w:rFonts w:eastAsia="Arial"/>
          <w:lang w:val="fr-FR"/>
        </w:rPr>
        <w:t>’</w:t>
      </w:r>
      <w:r w:rsidRPr="00E102FC">
        <w:rPr>
          <w:rFonts w:eastAsia="Arial"/>
          <w:lang w:val="fr-FR"/>
        </w:rPr>
        <w:t>une réponse complète à toute indication négative en suspens formulée par l</w:t>
      </w:r>
      <w:r w:rsidR="00DD1942" w:rsidRPr="00E102FC">
        <w:rPr>
          <w:rFonts w:eastAsia="Arial"/>
          <w:lang w:val="fr-FR"/>
        </w:rPr>
        <w:t>’</w:t>
      </w:r>
      <w:r w:rsidRPr="00E102FC">
        <w:rPr>
          <w:rFonts w:eastAsia="Arial"/>
          <w:lang w:val="fr-FR"/>
        </w:rPr>
        <w:t xml:space="preserve">administration </w:t>
      </w:r>
      <w:r w:rsidR="004B2B26" w:rsidRPr="00E102FC">
        <w:rPr>
          <w:rFonts w:eastAsia="Arial"/>
          <w:lang w:val="fr-FR"/>
        </w:rPr>
        <w:t>chargée</w:t>
      </w:r>
      <w:r w:rsidRPr="00E102FC">
        <w:rPr>
          <w:rFonts w:eastAsia="Arial"/>
          <w:lang w:val="fr-FR"/>
        </w:rPr>
        <w:t xml:space="preserve"> de la recherche internationale ou de l</w:t>
      </w:r>
      <w:r w:rsidR="00DD1942" w:rsidRPr="00E102FC">
        <w:rPr>
          <w:rFonts w:eastAsia="Arial"/>
          <w:lang w:val="fr-FR"/>
        </w:rPr>
        <w:t>’</w:t>
      </w:r>
      <w:r w:rsidRPr="00E102FC">
        <w:rPr>
          <w:rFonts w:eastAsia="Arial"/>
          <w:lang w:val="fr-FR"/>
        </w:rPr>
        <w:t>examen préliminaire international.</w:t>
      </w:r>
      <w:r w:rsidR="00EF2556" w:rsidRPr="00E102FC">
        <w:rPr>
          <w:rFonts w:eastAsia="Arial"/>
          <w:lang w:val="fr-FR"/>
        </w:rPr>
        <w:t xml:space="preserve"> </w:t>
      </w:r>
      <w:r w:rsidR="002B44E0" w:rsidRPr="00E102FC">
        <w:rPr>
          <w:rFonts w:eastAsia="Arial"/>
          <w:lang w:val="fr-FR"/>
        </w:rPr>
        <w:t xml:space="preserve"> </w:t>
      </w:r>
      <w:r w:rsidRPr="00E102FC">
        <w:rPr>
          <w:rFonts w:eastAsia="Arial"/>
          <w:lang w:val="fr-FR"/>
        </w:rPr>
        <w:t>C</w:t>
      </w:r>
      <w:r w:rsidR="00DD1942" w:rsidRPr="00E102FC">
        <w:rPr>
          <w:rFonts w:eastAsia="Arial"/>
          <w:lang w:val="fr-FR"/>
        </w:rPr>
        <w:t>’</w:t>
      </w:r>
      <w:r w:rsidRPr="00E102FC">
        <w:rPr>
          <w:rFonts w:eastAsia="Arial"/>
          <w:lang w:val="fr-FR"/>
        </w:rPr>
        <w:t xml:space="preserve">est pourquoi une proposition à cet effet a été présentée </w:t>
      </w:r>
      <w:r w:rsidR="00F67EB1" w:rsidRPr="00E102FC">
        <w:rPr>
          <w:rFonts w:eastAsia="Arial"/>
          <w:lang w:val="fr-FR"/>
        </w:rPr>
        <w:t>lors des dernières</w:t>
      </w:r>
      <w:r w:rsidRPr="00E102FC">
        <w:rPr>
          <w:rFonts w:eastAsia="Arial"/>
          <w:lang w:val="fr-FR"/>
        </w:rPr>
        <w:t xml:space="preserve"> réunions du groupe de travail et des administrations internationales.</w:t>
      </w:r>
    </w:p>
    <w:p w:rsidR="0076581C" w:rsidRPr="00E102FC" w:rsidRDefault="002B4517" w:rsidP="00C90A12">
      <w:pPr>
        <w:pStyle w:val="ONUMFS"/>
        <w:rPr>
          <w:rFonts w:eastAsia="Arial"/>
          <w:lang w:val="fr-FR"/>
        </w:rPr>
      </w:pPr>
      <w:r w:rsidRPr="00E102FC">
        <w:rPr>
          <w:rFonts w:eastAsia="Arial"/>
          <w:lang w:val="fr-FR"/>
        </w:rPr>
        <w:t>Bien que ce principe ait recueilli un soutien important, compte tenu des préoccupations exprimées par les États membres et les administrations il a été décidé qu</w:t>
      </w:r>
      <w:r w:rsidR="00DD1942" w:rsidRPr="00E102FC">
        <w:rPr>
          <w:rFonts w:eastAsia="Arial"/>
          <w:lang w:val="fr-FR"/>
        </w:rPr>
        <w:t>’</w:t>
      </w:r>
      <w:r w:rsidRPr="00E102FC">
        <w:rPr>
          <w:rFonts w:eastAsia="Arial"/>
          <w:lang w:val="fr-FR"/>
        </w:rPr>
        <w:t>il convenait de poursuivre l</w:t>
      </w:r>
      <w:r w:rsidR="00DD1942" w:rsidRPr="00E102FC">
        <w:rPr>
          <w:rFonts w:eastAsia="Arial"/>
          <w:lang w:val="fr-FR"/>
        </w:rPr>
        <w:t>’</w:t>
      </w:r>
      <w:r w:rsidRPr="00E102FC">
        <w:rPr>
          <w:rFonts w:eastAsia="Arial"/>
          <w:lang w:val="fr-FR"/>
        </w:rPr>
        <w:t>examen de cette question avant de présenter de nouvelles propositions.</w:t>
      </w:r>
      <w:r w:rsidR="00CD5AE7" w:rsidRPr="00E102FC">
        <w:rPr>
          <w:rFonts w:eastAsia="Arial"/>
          <w:lang w:val="fr-FR"/>
        </w:rPr>
        <w:t xml:space="preserve"> </w:t>
      </w:r>
      <w:r w:rsidR="006533F0" w:rsidRPr="00E102FC">
        <w:rPr>
          <w:rFonts w:eastAsia="Arial"/>
          <w:lang w:val="fr-FR"/>
        </w:rPr>
        <w:t xml:space="preserve"> </w:t>
      </w:r>
      <w:r w:rsidRPr="00E102FC">
        <w:rPr>
          <w:rFonts w:eastAsia="Arial"/>
          <w:lang w:val="fr-FR"/>
        </w:rPr>
        <w:t xml:space="preserve">À cet égard, nous continuons de penser que la mise en </w:t>
      </w:r>
      <w:r w:rsidR="004B2B26" w:rsidRPr="00E102FC">
        <w:rPr>
          <w:rFonts w:eastAsia="Arial"/>
          <w:lang w:val="fr-FR"/>
        </w:rPr>
        <w:t>œuvre</w:t>
      </w:r>
      <w:r w:rsidRPr="00E102FC">
        <w:rPr>
          <w:rFonts w:eastAsia="Arial"/>
          <w:lang w:val="fr-FR"/>
        </w:rPr>
        <w:t xml:space="preserve"> de cette proposition entraînerait des gains d</w:t>
      </w:r>
      <w:r w:rsidR="00DD1942" w:rsidRPr="00E102FC">
        <w:rPr>
          <w:rFonts w:eastAsia="Arial"/>
          <w:lang w:val="fr-FR"/>
        </w:rPr>
        <w:t>’</w:t>
      </w:r>
      <w:r w:rsidRPr="00E102FC">
        <w:rPr>
          <w:rFonts w:eastAsia="Arial"/>
          <w:lang w:val="fr-FR"/>
        </w:rPr>
        <w:t>efficacité importants, contribuerait à réduire la répétition des travaux effectués par les offices nationaux et régionaux et faciliterait l</w:t>
      </w:r>
      <w:r w:rsidR="00DD1942" w:rsidRPr="00E102FC">
        <w:rPr>
          <w:rFonts w:eastAsia="Arial"/>
          <w:lang w:val="fr-FR"/>
        </w:rPr>
        <w:t>’</w:t>
      </w:r>
      <w:r w:rsidRPr="00E102FC">
        <w:rPr>
          <w:rFonts w:eastAsia="Arial"/>
          <w:lang w:val="fr-FR"/>
        </w:rPr>
        <w:t>instruction des demandes internationales dans la phase nationale ou régionale.</w:t>
      </w:r>
      <w:r w:rsidR="00B17571" w:rsidRPr="00E102FC">
        <w:rPr>
          <w:rFonts w:eastAsia="Arial"/>
          <w:lang w:val="fr-FR"/>
        </w:rPr>
        <w:t xml:space="preserve"> </w:t>
      </w:r>
      <w:r w:rsidR="005A76F1" w:rsidRPr="00E102FC">
        <w:rPr>
          <w:rFonts w:eastAsia="Arial"/>
          <w:lang w:val="fr-FR"/>
        </w:rPr>
        <w:t xml:space="preserve"> </w:t>
      </w:r>
      <w:r w:rsidR="00CB0979" w:rsidRPr="00E102FC">
        <w:rPr>
          <w:rFonts w:eastAsia="Arial"/>
          <w:lang w:val="fr-FR"/>
        </w:rPr>
        <w:t>C</w:t>
      </w:r>
      <w:r w:rsidR="00DD1942" w:rsidRPr="00E102FC">
        <w:rPr>
          <w:rFonts w:eastAsia="Arial"/>
          <w:lang w:val="fr-FR"/>
        </w:rPr>
        <w:t>’</w:t>
      </w:r>
      <w:r w:rsidR="00CB0979" w:rsidRPr="00E102FC">
        <w:rPr>
          <w:rFonts w:eastAsia="Arial"/>
          <w:lang w:val="fr-FR"/>
        </w:rPr>
        <w:t>est pourquoi les États</w:t>
      </w:r>
      <w:r w:rsidR="00B20659" w:rsidRPr="00E102FC">
        <w:rPr>
          <w:rFonts w:eastAsia="Arial"/>
          <w:lang w:val="fr-FR"/>
        </w:rPr>
        <w:noBreakHyphen/>
      </w:r>
      <w:r w:rsidR="00CB0979" w:rsidRPr="00E102FC">
        <w:rPr>
          <w:rFonts w:eastAsia="Arial"/>
          <w:lang w:val="fr-FR"/>
        </w:rPr>
        <w:t>Unis d</w:t>
      </w:r>
      <w:r w:rsidR="00DD1942" w:rsidRPr="00E102FC">
        <w:rPr>
          <w:rFonts w:eastAsia="Arial"/>
          <w:lang w:val="fr-FR"/>
        </w:rPr>
        <w:t>’</w:t>
      </w:r>
      <w:r w:rsidR="00CB0979" w:rsidRPr="00E102FC">
        <w:rPr>
          <w:rFonts w:eastAsia="Arial"/>
          <w:lang w:val="fr-FR"/>
        </w:rPr>
        <w:t xml:space="preserve">Amérique envisagent une mise en </w:t>
      </w:r>
      <w:r w:rsidR="004B2B26" w:rsidRPr="00E102FC">
        <w:rPr>
          <w:rFonts w:eastAsia="Arial"/>
          <w:lang w:val="fr-FR"/>
        </w:rPr>
        <w:t>œuvre</w:t>
      </w:r>
      <w:r w:rsidR="00CB0979" w:rsidRPr="00E102FC">
        <w:rPr>
          <w:rFonts w:eastAsia="Arial"/>
          <w:lang w:val="fr-FR"/>
        </w:rPr>
        <w:t xml:space="preserve"> unilatérale de cette proposition, éventuellement à titre pilote, afin de recueillir plus de données sur les avantages qu</w:t>
      </w:r>
      <w:r w:rsidR="00DD1942" w:rsidRPr="00E102FC">
        <w:rPr>
          <w:rFonts w:eastAsia="Arial"/>
          <w:lang w:val="fr-FR"/>
        </w:rPr>
        <w:t>’</w:t>
      </w:r>
      <w:r w:rsidR="00CB0979" w:rsidRPr="00E102FC">
        <w:rPr>
          <w:rFonts w:eastAsia="Arial"/>
          <w:lang w:val="fr-FR"/>
        </w:rPr>
        <w:t>elle peut procurer aux offices nationaux et régionaux.</w:t>
      </w:r>
      <w:r w:rsidR="00B17571" w:rsidRPr="00E102FC">
        <w:rPr>
          <w:rFonts w:eastAsia="Arial"/>
          <w:lang w:val="fr-FR"/>
        </w:rPr>
        <w:t xml:space="preserve"> </w:t>
      </w:r>
      <w:r w:rsidR="005A76F1" w:rsidRPr="00E102FC">
        <w:rPr>
          <w:rFonts w:eastAsia="Arial"/>
          <w:lang w:val="fr-FR"/>
        </w:rPr>
        <w:t xml:space="preserve"> </w:t>
      </w:r>
      <w:r w:rsidR="00D14AF8">
        <w:rPr>
          <w:rFonts w:eastAsia="Arial"/>
          <w:lang w:val="fr-FR"/>
        </w:rPr>
        <w:t>Les </w:t>
      </w:r>
      <w:r w:rsidR="00CB0979" w:rsidRPr="00E102FC">
        <w:rPr>
          <w:rFonts w:eastAsia="Arial"/>
          <w:lang w:val="fr-FR"/>
        </w:rPr>
        <w:t>données ainsi recueillies seront partagées avec les États membres lors d</w:t>
      </w:r>
      <w:r w:rsidR="00DD1942" w:rsidRPr="00E102FC">
        <w:rPr>
          <w:rFonts w:eastAsia="Arial"/>
          <w:lang w:val="fr-FR"/>
        </w:rPr>
        <w:t>’</w:t>
      </w:r>
      <w:r w:rsidR="00CB0979" w:rsidRPr="00E102FC">
        <w:rPr>
          <w:rFonts w:eastAsia="Arial"/>
          <w:lang w:val="fr-FR"/>
        </w:rPr>
        <w:t>une prochaine session du groupe de travail.</w:t>
      </w:r>
    </w:p>
    <w:p w:rsidR="0076581C" w:rsidRDefault="00DE17C8" w:rsidP="00DE17C8">
      <w:pPr>
        <w:pStyle w:val="Heading2"/>
        <w:rPr>
          <w:lang w:val="fr-FR"/>
        </w:rPr>
      </w:pPr>
      <w:r>
        <w:rPr>
          <w:lang w:val="fr-FR"/>
        </w:rPr>
        <w:t>C</w:t>
      </w:r>
      <w:r w:rsidRPr="00E102FC">
        <w:rPr>
          <w:lang w:val="fr-FR"/>
        </w:rPr>
        <w:t xml:space="preserve">onsignation obligatoire de la </w:t>
      </w:r>
      <w:r>
        <w:rPr>
          <w:lang w:val="fr-FR"/>
        </w:rPr>
        <w:t>stratégie</w:t>
      </w:r>
      <w:r w:rsidRPr="00E102FC">
        <w:rPr>
          <w:lang w:val="fr-FR"/>
        </w:rPr>
        <w:t xml:space="preserve"> de recherche</w:t>
      </w:r>
    </w:p>
    <w:p w:rsidR="00DE17C8" w:rsidRPr="00DE17C8" w:rsidRDefault="00DE17C8" w:rsidP="00DE17C8">
      <w:pPr>
        <w:rPr>
          <w:lang w:val="fr-FR"/>
        </w:rPr>
      </w:pPr>
    </w:p>
    <w:p w:rsidR="0076581C" w:rsidRPr="00E102FC" w:rsidRDefault="002D2D00" w:rsidP="00C90A12">
      <w:pPr>
        <w:pStyle w:val="ONUMFS"/>
        <w:rPr>
          <w:rFonts w:eastAsia="Arial"/>
          <w:lang w:val="fr-FR"/>
        </w:rPr>
      </w:pPr>
      <w:r>
        <w:rPr>
          <w:bCs/>
          <w:lang w:val="fr-FR"/>
        </w:rPr>
        <w:t>Cette</w:t>
      </w:r>
      <w:r w:rsidR="00CB0979" w:rsidRPr="00E102FC">
        <w:rPr>
          <w:bCs/>
          <w:lang w:val="fr-FR"/>
        </w:rPr>
        <w:t xml:space="preserve"> proposition relevant</w:t>
      </w:r>
      <w:r w:rsidR="00DD1942" w:rsidRPr="00E102FC">
        <w:rPr>
          <w:bCs/>
          <w:lang w:val="fr-FR"/>
        </w:rPr>
        <w:t xml:space="preserve"> du PCT</w:t>
      </w:r>
      <w:r w:rsidR="009875DE">
        <w:rPr>
          <w:bCs/>
          <w:lang w:val="fr-FR"/>
        </w:rPr>
        <w:t> </w:t>
      </w:r>
      <w:r w:rsidR="00CB0979" w:rsidRPr="00E102FC">
        <w:rPr>
          <w:bCs/>
          <w:lang w:val="fr-FR"/>
        </w:rPr>
        <w:t>20/20 a fait l</w:t>
      </w:r>
      <w:r w:rsidR="00DD1942" w:rsidRPr="00E102FC">
        <w:rPr>
          <w:bCs/>
          <w:lang w:val="fr-FR"/>
        </w:rPr>
        <w:t>’</w:t>
      </w:r>
      <w:r w:rsidR="00CB0979" w:rsidRPr="00E102FC">
        <w:rPr>
          <w:bCs/>
          <w:lang w:val="fr-FR"/>
        </w:rPr>
        <w:t>objet d</w:t>
      </w:r>
      <w:r w:rsidR="00DD1942" w:rsidRPr="00E102FC">
        <w:rPr>
          <w:bCs/>
          <w:lang w:val="fr-FR"/>
        </w:rPr>
        <w:t>’</w:t>
      </w:r>
      <w:r w:rsidR="00CB0979" w:rsidRPr="00E102FC">
        <w:rPr>
          <w:bCs/>
          <w:lang w:val="fr-FR"/>
        </w:rPr>
        <w:t>une proposition distincte présentée à la sixième</w:t>
      </w:r>
      <w:r w:rsidR="006533F0" w:rsidRPr="00E102FC">
        <w:rPr>
          <w:bCs/>
          <w:lang w:val="fr-FR"/>
        </w:rPr>
        <w:t> </w:t>
      </w:r>
      <w:r w:rsidR="00CB0979" w:rsidRPr="00E102FC">
        <w:rPr>
          <w:bCs/>
          <w:lang w:val="fr-FR"/>
        </w:rPr>
        <w:t>session du Groupe de travail</w:t>
      </w:r>
      <w:r w:rsidR="00DD1942" w:rsidRPr="00E102FC">
        <w:rPr>
          <w:bCs/>
          <w:lang w:val="fr-FR"/>
        </w:rPr>
        <w:t xml:space="preserve"> du PCT</w:t>
      </w:r>
      <w:r w:rsidR="00CB0979" w:rsidRPr="00E102FC">
        <w:rPr>
          <w:bCs/>
          <w:lang w:val="fr-FR"/>
        </w:rPr>
        <w:t xml:space="preserve"> (document PCT/WG/6/19), visant à modifier les Directives concernant la recherche internationale et l</w:t>
      </w:r>
      <w:r w:rsidR="00DD1942" w:rsidRPr="00E102FC">
        <w:rPr>
          <w:bCs/>
          <w:lang w:val="fr-FR"/>
        </w:rPr>
        <w:t>’</w:t>
      </w:r>
      <w:r w:rsidR="00CB0979" w:rsidRPr="00E102FC">
        <w:rPr>
          <w:bCs/>
          <w:lang w:val="fr-FR"/>
        </w:rPr>
        <w:t>examen préliminaire international de sorte que, au moment de la transmission du rapport de recherche internationale au Bureau international, l</w:t>
      </w:r>
      <w:r w:rsidR="00DD1942" w:rsidRPr="00E102FC">
        <w:rPr>
          <w:bCs/>
          <w:lang w:val="fr-FR"/>
        </w:rPr>
        <w:t>’</w:t>
      </w:r>
      <w:r w:rsidR="00CB0979" w:rsidRPr="00E102FC">
        <w:rPr>
          <w:bCs/>
          <w:lang w:val="fr-FR"/>
        </w:rPr>
        <w:t>administration chargée de la recherche internationale fournisse également à ce dernier une copie de la stratégie de recherche utilisée pour effectuer la recherche internationale, quel que soit le format dans lequel la stratégie de recherche est actuellement consignée par l</w:t>
      </w:r>
      <w:r w:rsidR="00DD1942" w:rsidRPr="00E102FC">
        <w:rPr>
          <w:bCs/>
          <w:lang w:val="fr-FR"/>
        </w:rPr>
        <w:t>’</w:t>
      </w:r>
      <w:r w:rsidR="00CB0979" w:rsidRPr="00E102FC">
        <w:rPr>
          <w:bCs/>
          <w:lang w:val="fr-FR"/>
        </w:rPr>
        <w:t>administration chargée de la recherche internationale.</w:t>
      </w:r>
    </w:p>
    <w:p w:rsidR="00DD1942" w:rsidRPr="00E102FC" w:rsidRDefault="00CB0979" w:rsidP="00C90A12">
      <w:pPr>
        <w:pStyle w:val="ONUMFS"/>
        <w:rPr>
          <w:lang w:val="fr-FR"/>
        </w:rPr>
      </w:pPr>
      <w:r w:rsidRPr="00E102FC">
        <w:rPr>
          <w:bCs/>
          <w:lang w:val="fr-FR"/>
        </w:rPr>
        <w:t>Ce document indiquait que la communication des stratégies de recherche répondrait à trois</w:t>
      </w:r>
      <w:r w:rsidR="006533F0" w:rsidRPr="00E102FC">
        <w:rPr>
          <w:bCs/>
          <w:lang w:val="fr-FR"/>
        </w:rPr>
        <w:t> </w:t>
      </w:r>
      <w:r w:rsidRPr="00E102FC">
        <w:rPr>
          <w:bCs/>
          <w:lang w:val="fr-FR"/>
        </w:rPr>
        <w:t>objectifs :</w:t>
      </w:r>
    </w:p>
    <w:p w:rsidR="0076581C" w:rsidRPr="00E102FC" w:rsidRDefault="00F52483" w:rsidP="00DE17C8">
      <w:pPr>
        <w:pStyle w:val="ONUMFS"/>
        <w:numPr>
          <w:ilvl w:val="1"/>
          <w:numId w:val="20"/>
        </w:numPr>
        <w:rPr>
          <w:lang w:val="fr-FR"/>
        </w:rPr>
      </w:pPr>
      <w:r>
        <w:rPr>
          <w:lang w:val="fr-FR"/>
        </w:rPr>
        <w:t>e</w:t>
      </w:r>
      <w:r w:rsidR="00CB0979" w:rsidRPr="00E102FC">
        <w:rPr>
          <w:lang w:val="fr-FR"/>
        </w:rPr>
        <w:t>lle permettrait de mettre ces informations importantes immédiatement à la disposition des offices nationaux, ce qui renforcerait la transparence et la confiance en ce qui concerne le travail effectué par l</w:t>
      </w:r>
      <w:r w:rsidR="00DD1942" w:rsidRPr="00E102FC">
        <w:rPr>
          <w:lang w:val="fr-FR"/>
        </w:rPr>
        <w:t>’</w:t>
      </w:r>
      <w:r w:rsidR="00CB0979" w:rsidRPr="00E102FC">
        <w:rPr>
          <w:lang w:val="fr-FR"/>
        </w:rPr>
        <w:t>administration chargée de la recherche internationale.</w:t>
      </w:r>
      <w:r w:rsidR="00190C03" w:rsidRPr="00E102FC">
        <w:rPr>
          <w:lang w:val="fr-FR"/>
        </w:rPr>
        <w:t xml:space="preserve">  </w:t>
      </w:r>
      <w:r w:rsidR="00CB0979" w:rsidRPr="00E102FC">
        <w:rPr>
          <w:lang w:val="fr-FR"/>
        </w:rPr>
        <w:lastRenderedPageBreak/>
        <w:t>Les offices nationaux pourront ainsi, grâce au partage des tâches, effectuer des recherches plus efficaces;</w:t>
      </w:r>
    </w:p>
    <w:p w:rsidR="0076581C" w:rsidRPr="00E102FC" w:rsidRDefault="00F52483" w:rsidP="00DE17C8">
      <w:pPr>
        <w:pStyle w:val="ONUMFS"/>
        <w:numPr>
          <w:ilvl w:val="1"/>
          <w:numId w:val="20"/>
        </w:numPr>
        <w:rPr>
          <w:lang w:val="fr-FR"/>
        </w:rPr>
      </w:pPr>
      <w:r>
        <w:rPr>
          <w:lang w:val="fr-FR"/>
        </w:rPr>
        <w:t>e</w:t>
      </w:r>
      <w:r w:rsidR="00CB0979" w:rsidRPr="00E102FC">
        <w:rPr>
          <w:lang w:val="fr-FR"/>
        </w:rPr>
        <w:t>lle permettrait aux offices de prendre connaissance des divers formats dans lesquels ces stratégies sont consignées et, sur la base de l</w:t>
      </w:r>
      <w:r w:rsidR="00DD1942" w:rsidRPr="00E102FC">
        <w:rPr>
          <w:lang w:val="fr-FR"/>
        </w:rPr>
        <w:t>’</w:t>
      </w:r>
      <w:r w:rsidR="00CB0979" w:rsidRPr="00E102FC">
        <w:rPr>
          <w:lang w:val="fr-FR"/>
        </w:rPr>
        <w:t>expérience acquise dans l</w:t>
      </w:r>
      <w:r w:rsidR="00DD1942" w:rsidRPr="00E102FC">
        <w:rPr>
          <w:lang w:val="fr-FR"/>
        </w:rPr>
        <w:t>’</w:t>
      </w:r>
      <w:r w:rsidR="00CB0979" w:rsidRPr="00E102FC">
        <w:rPr>
          <w:lang w:val="fr-FR"/>
        </w:rPr>
        <w:t>utilisation des différents formats, de prendre des décisions plus éclairées quant aux éléments les plus utiles de chaque format au moment de formuler une recommandation sur un format uniforme utilisé par tous les offices à l</w:t>
      </w:r>
      <w:r w:rsidR="00DD1942" w:rsidRPr="00E102FC">
        <w:rPr>
          <w:lang w:val="fr-FR"/>
        </w:rPr>
        <w:t>’</w:t>
      </w:r>
      <w:r w:rsidR="00CB0979" w:rsidRPr="00E102FC">
        <w:rPr>
          <w:lang w:val="fr-FR"/>
        </w:rPr>
        <w:t>avenir;  et</w:t>
      </w:r>
    </w:p>
    <w:p w:rsidR="0076581C" w:rsidRPr="00E102FC" w:rsidRDefault="00F52483" w:rsidP="00DE17C8">
      <w:pPr>
        <w:pStyle w:val="ONUMFS"/>
        <w:numPr>
          <w:ilvl w:val="1"/>
          <w:numId w:val="20"/>
        </w:numPr>
        <w:rPr>
          <w:lang w:val="fr-FR"/>
        </w:rPr>
      </w:pPr>
      <w:r>
        <w:rPr>
          <w:lang w:val="fr-FR"/>
        </w:rPr>
        <w:t>e</w:t>
      </w:r>
      <w:r w:rsidR="002762E1" w:rsidRPr="00E102FC">
        <w:rPr>
          <w:lang w:val="fr-FR"/>
        </w:rPr>
        <w:t>lle permettrait de rendre ces informations accessibles et, par la même occasion, de répondre aux préoccupations exprimées en ce qui concerne le temps consacré par les examinateurs à formuler des explications concernant la portée de la recherche dans un format différent de celui qu</w:t>
      </w:r>
      <w:r w:rsidR="00DD1942" w:rsidRPr="00E102FC">
        <w:rPr>
          <w:lang w:val="fr-FR"/>
        </w:rPr>
        <w:t>’</w:t>
      </w:r>
      <w:r w:rsidR="002762E1" w:rsidRPr="00E102FC">
        <w:rPr>
          <w:lang w:val="fr-FR"/>
        </w:rPr>
        <w:t>ils utilisent actuellement, tout en répondant aux préoccupations exprimées concernant les investissements en informatique nécessaires pour intégrer ce changement de format de consignation.</w:t>
      </w:r>
    </w:p>
    <w:p w:rsidR="0076581C" w:rsidRPr="00E102FC" w:rsidRDefault="002762E1" w:rsidP="00C90A12">
      <w:pPr>
        <w:pStyle w:val="ONUMFS"/>
        <w:rPr>
          <w:bCs/>
          <w:lang w:val="fr-FR"/>
        </w:rPr>
      </w:pPr>
      <w:r w:rsidRPr="00E102FC">
        <w:rPr>
          <w:bCs/>
          <w:lang w:val="fr-FR"/>
        </w:rPr>
        <w:t xml:space="preserve">Après avoir examiné la question, le groupe de travail a recommandé </w:t>
      </w:r>
      <w:r w:rsidR="00297FED" w:rsidRPr="00E102FC">
        <w:rPr>
          <w:bCs/>
          <w:lang w:val="fr-FR"/>
        </w:rPr>
        <w:t>“</w:t>
      </w:r>
      <w:r w:rsidRPr="00E102FC">
        <w:rPr>
          <w:bCs/>
          <w:lang w:val="fr-FR"/>
        </w:rPr>
        <w:t>que le Sous</w:t>
      </w:r>
      <w:r w:rsidR="00B20659" w:rsidRPr="00E102FC">
        <w:rPr>
          <w:bCs/>
          <w:lang w:val="fr-FR"/>
        </w:rPr>
        <w:noBreakHyphen/>
      </w:r>
      <w:r w:rsidRPr="00E102FC">
        <w:rPr>
          <w:bCs/>
          <w:lang w:val="fr-FR"/>
        </w:rPr>
        <w:t xml:space="preserve">groupe </w:t>
      </w:r>
      <w:r w:rsidR="007D292C" w:rsidRPr="00E102FC">
        <w:rPr>
          <w:bCs/>
          <w:lang w:val="fr-FR"/>
        </w:rPr>
        <w:t xml:space="preserve">de la Réunion des administrations internationales </w:t>
      </w:r>
      <w:r w:rsidR="00156238">
        <w:rPr>
          <w:bCs/>
          <w:lang w:val="fr-FR"/>
        </w:rPr>
        <w:t>du</w:t>
      </w:r>
      <w:r w:rsidR="007D292C" w:rsidRPr="00E102FC">
        <w:rPr>
          <w:bCs/>
          <w:lang w:val="fr-FR"/>
        </w:rPr>
        <w:t xml:space="preserve"> PCT </w:t>
      </w:r>
      <w:r w:rsidRPr="00E102FC">
        <w:rPr>
          <w:bCs/>
          <w:lang w:val="fr-FR"/>
        </w:rPr>
        <w:t>chargé de la qualité continue à examiner cette question en se concentrant en premier lieu sur l</w:t>
      </w:r>
      <w:r w:rsidR="00DD1942" w:rsidRPr="00E102FC">
        <w:rPr>
          <w:bCs/>
          <w:lang w:val="fr-FR"/>
        </w:rPr>
        <w:t>’</w:t>
      </w:r>
      <w:r w:rsidRPr="00E102FC">
        <w:rPr>
          <w:bCs/>
          <w:lang w:val="fr-FR"/>
        </w:rPr>
        <w:t>élaboration d</w:t>
      </w:r>
      <w:r w:rsidR="00DD1942" w:rsidRPr="00E102FC">
        <w:rPr>
          <w:bCs/>
          <w:lang w:val="fr-FR"/>
        </w:rPr>
        <w:t>’</w:t>
      </w:r>
      <w:r w:rsidRPr="00E102FC">
        <w:rPr>
          <w:bCs/>
          <w:lang w:val="fr-FR"/>
        </w:rPr>
        <w:t>un format harmonisé, et que les administrations internationales partagent des informations sur les formats de présentation de la stratégie de recherche pour contribuer à faire progresser les travaux le plus rapidement possible</w:t>
      </w:r>
      <w:r w:rsidR="00297FED" w:rsidRPr="00E102FC">
        <w:rPr>
          <w:bCs/>
          <w:lang w:val="fr-FR"/>
        </w:rPr>
        <w:t>”</w:t>
      </w:r>
      <w:r w:rsidRPr="00E102FC">
        <w:rPr>
          <w:bCs/>
          <w:lang w:val="fr-FR"/>
        </w:rPr>
        <w:t xml:space="preserve"> (voir le paragraphe 39 du document PCT/WG/6/23).</w:t>
      </w:r>
    </w:p>
    <w:p w:rsidR="00DD1942" w:rsidRPr="00E102FC" w:rsidRDefault="002762E1" w:rsidP="00C90A12">
      <w:pPr>
        <w:pStyle w:val="ONUMFS"/>
        <w:rPr>
          <w:bCs/>
          <w:lang w:val="fr-FR"/>
        </w:rPr>
      </w:pPr>
      <w:r w:rsidRPr="00E102FC">
        <w:rPr>
          <w:bCs/>
          <w:lang w:val="fr-FR"/>
        </w:rPr>
        <w:t xml:space="preserve">À leur dernière réunion, les administrations sont convenues de mener un projet pilote dans le cadre duquel les administrations échangeraient des informations limitées sur la recherche dans un format proposé par </w:t>
      </w:r>
      <w:r w:rsidR="00F04CC3" w:rsidRPr="00E102FC">
        <w:rPr>
          <w:rFonts w:eastAsia="Arial"/>
          <w:bCs/>
          <w:lang w:val="fr-FR"/>
        </w:rPr>
        <w:t>l’Office européen des brevets</w:t>
      </w:r>
      <w:r w:rsidRPr="00E102FC">
        <w:rPr>
          <w:bCs/>
          <w:lang w:val="fr-FR"/>
        </w:rPr>
        <w:t>.</w:t>
      </w:r>
    </w:p>
    <w:p w:rsidR="0076581C" w:rsidRPr="00E102FC" w:rsidRDefault="002762E1" w:rsidP="00C90A12">
      <w:pPr>
        <w:pStyle w:val="ONUMFS"/>
        <w:rPr>
          <w:bCs/>
          <w:lang w:val="fr-FR"/>
        </w:rPr>
      </w:pPr>
      <w:r w:rsidRPr="00E102FC">
        <w:rPr>
          <w:bCs/>
          <w:lang w:val="fr-FR"/>
        </w:rPr>
        <w:t>Les États</w:t>
      </w:r>
      <w:r w:rsidR="00B20659" w:rsidRPr="00E102FC">
        <w:rPr>
          <w:bCs/>
          <w:lang w:val="fr-FR"/>
        </w:rPr>
        <w:noBreakHyphen/>
      </w:r>
      <w:r w:rsidRPr="00E102FC">
        <w:rPr>
          <w:bCs/>
          <w:lang w:val="fr-FR"/>
        </w:rPr>
        <w:t>Unis d</w:t>
      </w:r>
      <w:r w:rsidR="00DD1942" w:rsidRPr="00E102FC">
        <w:rPr>
          <w:bCs/>
          <w:lang w:val="fr-FR"/>
        </w:rPr>
        <w:t>’</w:t>
      </w:r>
      <w:r w:rsidRPr="00E102FC">
        <w:rPr>
          <w:bCs/>
          <w:lang w:val="fr-FR"/>
        </w:rPr>
        <w:t>Amérique et le Royaume</w:t>
      </w:r>
      <w:r w:rsidR="00B20659" w:rsidRPr="00E102FC">
        <w:rPr>
          <w:bCs/>
          <w:lang w:val="fr-FR"/>
        </w:rPr>
        <w:noBreakHyphen/>
      </w:r>
      <w:r w:rsidRPr="00E102FC">
        <w:rPr>
          <w:bCs/>
          <w:lang w:val="fr-FR"/>
        </w:rPr>
        <w:t>Uni restent convaincus que, pour les raisons indiquées au paragraphe</w:t>
      </w:r>
      <w:r w:rsidR="006533F0" w:rsidRPr="00E102FC">
        <w:rPr>
          <w:bCs/>
          <w:lang w:val="fr-FR"/>
        </w:rPr>
        <w:t> </w:t>
      </w:r>
      <w:r w:rsidRPr="00E102FC">
        <w:rPr>
          <w:bCs/>
          <w:lang w:val="fr-FR"/>
        </w:rPr>
        <w:t>26, la communication des stratégies de recherche par les administrations devrait être obligatoire.</w:t>
      </w:r>
      <w:r w:rsidR="005A76F1" w:rsidRPr="00E102FC">
        <w:rPr>
          <w:bCs/>
          <w:lang w:val="fr-FR"/>
        </w:rPr>
        <w:t xml:space="preserve"> </w:t>
      </w:r>
      <w:r w:rsidR="00783E3D" w:rsidRPr="00E102FC">
        <w:rPr>
          <w:bCs/>
          <w:lang w:val="fr-FR"/>
        </w:rPr>
        <w:t xml:space="preserve"> </w:t>
      </w:r>
      <w:r w:rsidRPr="00E102FC">
        <w:rPr>
          <w:bCs/>
          <w:lang w:val="fr-FR"/>
        </w:rPr>
        <w:t xml:space="preserve">Toutefois, compte tenu du projet pilote qui a été arrêté, nous ne présenterons pas de </w:t>
      </w:r>
      <w:r w:rsidR="002D2D00">
        <w:rPr>
          <w:bCs/>
          <w:lang w:val="fr-FR"/>
        </w:rPr>
        <w:t>nouvelle</w:t>
      </w:r>
      <w:r w:rsidRPr="00E102FC">
        <w:rPr>
          <w:bCs/>
          <w:lang w:val="fr-FR"/>
        </w:rPr>
        <w:t xml:space="preserve"> proposition sur cette question à ce stade.</w:t>
      </w:r>
    </w:p>
    <w:p w:rsidR="0076581C" w:rsidRDefault="00F52483" w:rsidP="00F52483">
      <w:pPr>
        <w:pStyle w:val="Heading2"/>
        <w:rPr>
          <w:lang w:val="fr-FR"/>
        </w:rPr>
      </w:pPr>
      <w:r>
        <w:rPr>
          <w:lang w:val="fr-FR"/>
        </w:rPr>
        <w:t>R</w:t>
      </w:r>
      <w:r w:rsidRPr="00E102FC">
        <w:rPr>
          <w:lang w:val="fr-FR"/>
        </w:rPr>
        <w:t>echerche en collaboration (2 + offices), suppression de la recherche internationale supplémentaire</w:t>
      </w:r>
    </w:p>
    <w:p w:rsidR="00F52483" w:rsidRPr="00F52483" w:rsidRDefault="00F52483" w:rsidP="00F52483">
      <w:pPr>
        <w:rPr>
          <w:lang w:val="fr-FR"/>
        </w:rPr>
      </w:pPr>
    </w:p>
    <w:p w:rsidR="0076581C" w:rsidRPr="00E102FC" w:rsidRDefault="002762E1" w:rsidP="00C90A12">
      <w:pPr>
        <w:pStyle w:val="ONUMFS"/>
        <w:rPr>
          <w:bCs/>
          <w:lang w:val="fr-FR"/>
        </w:rPr>
      </w:pPr>
      <w:r w:rsidRPr="00E102FC">
        <w:rPr>
          <w:bCs/>
          <w:lang w:val="fr-FR"/>
        </w:rPr>
        <w:t>Les propositions plus détaillées concernant le PCT 20/20 comprenaient un examen plus approfondi de ce qu</w:t>
      </w:r>
      <w:r w:rsidR="00DD1942" w:rsidRPr="00E102FC">
        <w:rPr>
          <w:bCs/>
          <w:lang w:val="fr-FR"/>
        </w:rPr>
        <w:t>’</w:t>
      </w:r>
      <w:r w:rsidRPr="00E102FC">
        <w:rPr>
          <w:bCs/>
          <w:lang w:val="fr-FR"/>
        </w:rPr>
        <w:t>implique la recherche en collaboration, sans pour autant contenir de propositions spécifiques pour sa mise en œuvre.</w:t>
      </w:r>
    </w:p>
    <w:p w:rsidR="00DD1942" w:rsidRPr="00E102FC" w:rsidRDefault="002762E1" w:rsidP="00C90A12">
      <w:pPr>
        <w:pStyle w:val="ONUMFS"/>
        <w:rPr>
          <w:bCs/>
          <w:lang w:val="fr-FR"/>
        </w:rPr>
      </w:pPr>
      <w:r w:rsidRPr="00E102FC">
        <w:rPr>
          <w:bCs/>
          <w:lang w:val="fr-FR"/>
        </w:rPr>
        <w:t>L</w:t>
      </w:r>
      <w:r w:rsidR="00DD1942" w:rsidRPr="00E102FC">
        <w:rPr>
          <w:bCs/>
          <w:lang w:val="fr-FR"/>
        </w:rPr>
        <w:t>’</w:t>
      </w:r>
      <w:r w:rsidRPr="00E102FC">
        <w:rPr>
          <w:bCs/>
          <w:lang w:val="fr-FR"/>
        </w:rPr>
        <w:t>Office des brevets et des marques des États</w:t>
      </w:r>
      <w:r w:rsidR="00B20659" w:rsidRPr="00E102FC">
        <w:rPr>
          <w:bCs/>
          <w:lang w:val="fr-FR"/>
        </w:rPr>
        <w:noBreakHyphen/>
      </w:r>
      <w:r w:rsidRPr="00E102FC">
        <w:rPr>
          <w:bCs/>
          <w:lang w:val="fr-FR"/>
        </w:rPr>
        <w:t>Unis d</w:t>
      </w:r>
      <w:r w:rsidR="00DD1942" w:rsidRPr="00E102FC">
        <w:rPr>
          <w:bCs/>
          <w:lang w:val="fr-FR"/>
        </w:rPr>
        <w:t>’</w:t>
      </w:r>
      <w:r w:rsidRPr="00E102FC">
        <w:rPr>
          <w:bCs/>
          <w:lang w:val="fr-FR"/>
        </w:rPr>
        <w:t>Amérique, l</w:t>
      </w:r>
      <w:r w:rsidR="00DD1942" w:rsidRPr="00E102FC">
        <w:rPr>
          <w:bCs/>
          <w:lang w:val="fr-FR"/>
        </w:rPr>
        <w:t>’</w:t>
      </w:r>
      <w:r w:rsidRPr="00E102FC">
        <w:rPr>
          <w:bCs/>
          <w:lang w:val="fr-FR"/>
        </w:rPr>
        <w:t>Office européen des brevets et l</w:t>
      </w:r>
      <w:r w:rsidR="00DD1942" w:rsidRPr="00E102FC">
        <w:rPr>
          <w:bCs/>
          <w:lang w:val="fr-FR"/>
        </w:rPr>
        <w:t>’</w:t>
      </w:r>
      <w:r w:rsidRPr="00E102FC">
        <w:rPr>
          <w:bCs/>
          <w:lang w:val="fr-FR"/>
        </w:rPr>
        <w:t>Office coréen de la propriété intellectuelle ont participé à un projet pilote de recherche et d</w:t>
      </w:r>
      <w:r w:rsidR="00DD1942" w:rsidRPr="00E102FC">
        <w:rPr>
          <w:bCs/>
          <w:lang w:val="fr-FR"/>
        </w:rPr>
        <w:t>’</w:t>
      </w:r>
      <w:r w:rsidRPr="00E102FC">
        <w:rPr>
          <w:bCs/>
          <w:lang w:val="fr-FR"/>
        </w:rPr>
        <w:t>examen en collaboration concernant des demandes selon le PCT.</w:t>
      </w:r>
      <w:r w:rsidR="00C92D91" w:rsidRPr="00E102FC">
        <w:rPr>
          <w:bCs/>
          <w:lang w:val="fr-FR"/>
        </w:rPr>
        <w:t xml:space="preserve">  </w:t>
      </w:r>
      <w:r w:rsidRPr="00E102FC">
        <w:rPr>
          <w:bCs/>
          <w:lang w:val="fr-FR"/>
        </w:rPr>
        <w:t>Le rapport sur la phase II du projet pilote a été présenté à la sixième</w:t>
      </w:r>
      <w:r w:rsidR="006533F0" w:rsidRPr="00E102FC">
        <w:rPr>
          <w:bCs/>
          <w:lang w:val="fr-FR"/>
        </w:rPr>
        <w:t> </w:t>
      </w:r>
      <w:r w:rsidRPr="00E102FC">
        <w:rPr>
          <w:bCs/>
          <w:lang w:val="fr-FR"/>
        </w:rPr>
        <w:t>session du Groupe de travail</w:t>
      </w:r>
      <w:r w:rsidR="00DD1942" w:rsidRPr="00E102FC">
        <w:rPr>
          <w:bCs/>
          <w:lang w:val="fr-FR"/>
        </w:rPr>
        <w:t xml:space="preserve"> du PCT</w:t>
      </w:r>
      <w:r w:rsidRPr="00E102FC">
        <w:rPr>
          <w:bCs/>
          <w:lang w:val="fr-FR"/>
        </w:rPr>
        <w:t xml:space="preserve"> dans le document PCT/WG/6/22.</w:t>
      </w:r>
    </w:p>
    <w:p w:rsidR="0076581C" w:rsidRPr="00E102FC" w:rsidRDefault="00D87D38" w:rsidP="00C90A12">
      <w:pPr>
        <w:pStyle w:val="ONUMFS"/>
        <w:rPr>
          <w:bCs/>
          <w:lang w:val="fr-FR"/>
        </w:rPr>
      </w:pPr>
      <w:r w:rsidRPr="00E102FC">
        <w:rPr>
          <w:bCs/>
          <w:lang w:val="fr-FR"/>
        </w:rPr>
        <w:t>Depuis lors, les trois</w:t>
      </w:r>
      <w:r w:rsidR="006533F0" w:rsidRPr="00E102FC">
        <w:rPr>
          <w:bCs/>
          <w:lang w:val="fr-FR"/>
        </w:rPr>
        <w:t> </w:t>
      </w:r>
      <w:r w:rsidRPr="00E102FC">
        <w:rPr>
          <w:bCs/>
          <w:lang w:val="fr-FR"/>
        </w:rPr>
        <w:t>administrations participantes ont été contactées par plusieurs autres administrations qui souhaitaient soit participer à une troisième</w:t>
      </w:r>
      <w:r w:rsidR="00A97E15">
        <w:rPr>
          <w:bCs/>
          <w:lang w:val="fr-FR"/>
        </w:rPr>
        <w:t> </w:t>
      </w:r>
      <w:r w:rsidRPr="00E102FC">
        <w:rPr>
          <w:bCs/>
          <w:lang w:val="fr-FR"/>
        </w:rPr>
        <w:t>phase du projet soit démarrer un projet pilote distinct.</w:t>
      </w:r>
    </w:p>
    <w:p w:rsidR="00DD1942" w:rsidRPr="00E102FC" w:rsidRDefault="00D87D38" w:rsidP="00C90A12">
      <w:pPr>
        <w:pStyle w:val="ONUMFS"/>
        <w:rPr>
          <w:bCs/>
          <w:lang w:val="fr-FR"/>
        </w:rPr>
      </w:pPr>
      <w:r w:rsidRPr="00E102FC">
        <w:rPr>
          <w:bCs/>
          <w:lang w:val="fr-FR"/>
        </w:rPr>
        <w:t>Les trois</w:t>
      </w:r>
      <w:r w:rsidR="006533F0" w:rsidRPr="00E102FC">
        <w:rPr>
          <w:bCs/>
          <w:lang w:val="fr-FR"/>
        </w:rPr>
        <w:t> </w:t>
      </w:r>
      <w:r w:rsidRPr="00E102FC">
        <w:rPr>
          <w:bCs/>
          <w:lang w:val="fr-FR"/>
        </w:rPr>
        <w:t>offices évaluent la possibilité de passer à une troisième</w:t>
      </w:r>
      <w:r w:rsidR="00A97E15">
        <w:rPr>
          <w:bCs/>
          <w:lang w:val="fr-FR"/>
        </w:rPr>
        <w:t> </w:t>
      </w:r>
      <w:r w:rsidRPr="00E102FC">
        <w:rPr>
          <w:bCs/>
          <w:lang w:val="fr-FR"/>
        </w:rPr>
        <w:t>phase du projet pilote en y associant d</w:t>
      </w:r>
      <w:r w:rsidR="00DD1942" w:rsidRPr="00E102FC">
        <w:rPr>
          <w:bCs/>
          <w:lang w:val="fr-FR"/>
        </w:rPr>
        <w:t>’</w:t>
      </w:r>
      <w:r w:rsidRPr="00E102FC">
        <w:rPr>
          <w:bCs/>
          <w:lang w:val="fr-FR"/>
        </w:rPr>
        <w:t xml:space="preserve">autres administrations ou de mettre en </w:t>
      </w:r>
      <w:r w:rsidR="004B2B26" w:rsidRPr="00E102FC">
        <w:rPr>
          <w:bCs/>
          <w:lang w:val="fr-FR"/>
        </w:rPr>
        <w:t>œuvre</w:t>
      </w:r>
      <w:r w:rsidRPr="00E102FC">
        <w:rPr>
          <w:bCs/>
          <w:lang w:val="fr-FR"/>
        </w:rPr>
        <w:t xml:space="preserve"> des projets pilotes supplémentaires et tiendront le groupe de travail informé de l</w:t>
      </w:r>
      <w:r w:rsidR="00DD1942" w:rsidRPr="00E102FC">
        <w:rPr>
          <w:bCs/>
          <w:lang w:val="fr-FR"/>
        </w:rPr>
        <w:t>’</w:t>
      </w:r>
      <w:r w:rsidRPr="00E102FC">
        <w:rPr>
          <w:bCs/>
          <w:lang w:val="fr-FR"/>
        </w:rPr>
        <w:t>évolution de la situation dans ce domaine.</w:t>
      </w:r>
    </w:p>
    <w:p w:rsidR="0076581C" w:rsidRDefault="00F52483" w:rsidP="00F52483">
      <w:pPr>
        <w:pStyle w:val="Heading2"/>
        <w:keepLines/>
        <w:rPr>
          <w:lang w:val="fr-FR"/>
        </w:rPr>
      </w:pPr>
      <w:r>
        <w:rPr>
          <w:lang w:val="fr-FR"/>
        </w:rPr>
        <w:lastRenderedPageBreak/>
        <w:t>R</w:t>
      </w:r>
      <w:r w:rsidRPr="00E102FC">
        <w:rPr>
          <w:lang w:val="fr-FR"/>
        </w:rPr>
        <w:t>echerches complémentaires obligatoires</w:t>
      </w:r>
    </w:p>
    <w:p w:rsidR="00F52483" w:rsidRPr="00F52483" w:rsidRDefault="00F52483" w:rsidP="00F52483">
      <w:pPr>
        <w:keepNext/>
        <w:keepLines/>
        <w:rPr>
          <w:lang w:val="fr-FR"/>
        </w:rPr>
      </w:pPr>
    </w:p>
    <w:p w:rsidR="00DD1942" w:rsidRPr="00E102FC" w:rsidRDefault="002A086E" w:rsidP="00F52483">
      <w:pPr>
        <w:pStyle w:val="ONUMFS"/>
        <w:keepNext/>
        <w:keepLines/>
        <w:rPr>
          <w:bCs/>
          <w:lang w:val="fr-FR"/>
        </w:rPr>
      </w:pPr>
      <w:r w:rsidRPr="00E102FC">
        <w:rPr>
          <w:bCs/>
          <w:lang w:val="fr-FR"/>
        </w:rPr>
        <w:t>Cette proposition relevant</w:t>
      </w:r>
      <w:r w:rsidR="00DD1942" w:rsidRPr="00E102FC">
        <w:rPr>
          <w:bCs/>
          <w:lang w:val="fr-FR"/>
        </w:rPr>
        <w:t xml:space="preserve"> du PCT</w:t>
      </w:r>
      <w:r w:rsidR="00A97E15">
        <w:rPr>
          <w:bCs/>
          <w:lang w:val="fr-FR"/>
        </w:rPr>
        <w:t> </w:t>
      </w:r>
      <w:r w:rsidRPr="00E102FC">
        <w:rPr>
          <w:bCs/>
          <w:lang w:val="fr-FR"/>
        </w:rPr>
        <w:t>20/20 a fait l</w:t>
      </w:r>
      <w:r w:rsidR="00DD1942" w:rsidRPr="00E102FC">
        <w:rPr>
          <w:bCs/>
          <w:lang w:val="fr-FR"/>
        </w:rPr>
        <w:t>’</w:t>
      </w:r>
      <w:r w:rsidRPr="00E102FC">
        <w:rPr>
          <w:bCs/>
          <w:lang w:val="fr-FR"/>
        </w:rPr>
        <w:t>objet d</w:t>
      </w:r>
      <w:r w:rsidR="00DD1942" w:rsidRPr="00E102FC">
        <w:rPr>
          <w:bCs/>
          <w:lang w:val="fr-FR"/>
        </w:rPr>
        <w:t>’</w:t>
      </w:r>
      <w:r w:rsidRPr="00E102FC">
        <w:rPr>
          <w:bCs/>
          <w:lang w:val="fr-FR"/>
        </w:rPr>
        <w:t>une proposition distincte présentée à la sixième</w:t>
      </w:r>
      <w:r w:rsidR="006533F0" w:rsidRPr="00E102FC">
        <w:rPr>
          <w:bCs/>
          <w:lang w:val="fr-FR"/>
        </w:rPr>
        <w:t> </w:t>
      </w:r>
      <w:r w:rsidRPr="00E102FC">
        <w:rPr>
          <w:bCs/>
          <w:lang w:val="fr-FR"/>
        </w:rPr>
        <w:t>session du groupe de travail dans le document PCT/WG/6/18.  Plus précisément, le document PCT/WG/6/18 contenait des propositions visant expressément à modifier le règlement d</w:t>
      </w:r>
      <w:r w:rsidR="00DD1942" w:rsidRPr="00E102FC">
        <w:rPr>
          <w:bCs/>
          <w:lang w:val="fr-FR"/>
        </w:rPr>
        <w:t>’</w:t>
      </w:r>
      <w:r w:rsidRPr="00E102FC">
        <w:rPr>
          <w:bCs/>
          <w:lang w:val="fr-FR"/>
        </w:rPr>
        <w:t>exécution, les instructions administratives et les Directives concernant la recherche internationale et l</w:t>
      </w:r>
      <w:r w:rsidR="00DD1942" w:rsidRPr="00E102FC">
        <w:rPr>
          <w:bCs/>
          <w:lang w:val="fr-FR"/>
        </w:rPr>
        <w:t>’</w:t>
      </w:r>
      <w:r w:rsidRPr="00E102FC">
        <w:rPr>
          <w:bCs/>
          <w:lang w:val="fr-FR"/>
        </w:rPr>
        <w:t xml:space="preserve">examen préliminaire international </w:t>
      </w:r>
      <w:r w:rsidR="007D292C" w:rsidRPr="00E102FC">
        <w:rPr>
          <w:bCs/>
          <w:lang w:val="fr-FR"/>
        </w:rPr>
        <w:t xml:space="preserve">selon le PCT </w:t>
      </w:r>
      <w:r w:rsidRPr="00E102FC">
        <w:rPr>
          <w:bCs/>
          <w:lang w:val="fr-FR"/>
        </w:rPr>
        <w:t>de manière à faire des recherches complémentaires une partie obligatoire du processus d</w:t>
      </w:r>
      <w:r w:rsidR="00DD1942" w:rsidRPr="00E102FC">
        <w:rPr>
          <w:bCs/>
          <w:lang w:val="fr-FR"/>
        </w:rPr>
        <w:t>’</w:t>
      </w:r>
      <w:r w:rsidRPr="00E102FC">
        <w:rPr>
          <w:bCs/>
          <w:lang w:val="fr-FR"/>
        </w:rPr>
        <w:t>examen selon le chapitre II.</w:t>
      </w:r>
    </w:p>
    <w:p w:rsidR="0076581C" w:rsidRPr="00E102FC" w:rsidRDefault="002A086E" w:rsidP="00C90A12">
      <w:pPr>
        <w:pStyle w:val="ONUMFS"/>
        <w:rPr>
          <w:bCs/>
          <w:lang w:val="fr-FR"/>
        </w:rPr>
      </w:pPr>
      <w:r w:rsidRPr="00E102FC">
        <w:rPr>
          <w:bCs/>
          <w:lang w:val="fr-FR"/>
        </w:rPr>
        <w:t>Cette proposition a été approuvée par le groupe de travail et adoptée par l</w:t>
      </w:r>
      <w:r w:rsidR="00DD1942" w:rsidRPr="00E102FC">
        <w:rPr>
          <w:bCs/>
          <w:lang w:val="fr-FR"/>
        </w:rPr>
        <w:t>’</w:t>
      </w:r>
      <w:r w:rsidRPr="00E102FC">
        <w:rPr>
          <w:bCs/>
          <w:lang w:val="fr-FR"/>
        </w:rPr>
        <w:t>Assemblée de l</w:t>
      </w:r>
      <w:r w:rsidR="00DD1942" w:rsidRPr="00E102FC">
        <w:rPr>
          <w:bCs/>
          <w:lang w:val="fr-FR"/>
        </w:rPr>
        <w:t>’</w:t>
      </w:r>
      <w:r w:rsidRPr="00E102FC">
        <w:rPr>
          <w:bCs/>
          <w:lang w:val="fr-FR"/>
        </w:rPr>
        <w:t>Union</w:t>
      </w:r>
      <w:r w:rsidR="00DD1942" w:rsidRPr="00E102FC">
        <w:rPr>
          <w:bCs/>
          <w:lang w:val="fr-FR"/>
        </w:rPr>
        <w:t xml:space="preserve"> du PCT</w:t>
      </w:r>
      <w:r w:rsidRPr="00E102FC">
        <w:rPr>
          <w:bCs/>
          <w:lang w:val="fr-FR"/>
        </w:rPr>
        <w:t xml:space="preserve"> à sa quarante</w:t>
      </w:r>
      <w:r w:rsidR="00B20659" w:rsidRPr="00E102FC">
        <w:rPr>
          <w:bCs/>
          <w:lang w:val="fr-FR"/>
        </w:rPr>
        <w:noBreakHyphen/>
      </w:r>
      <w:r w:rsidRPr="00E102FC">
        <w:rPr>
          <w:bCs/>
          <w:lang w:val="fr-FR"/>
        </w:rPr>
        <w:t>quatrième</w:t>
      </w:r>
      <w:r w:rsidR="006533F0" w:rsidRPr="00E102FC">
        <w:rPr>
          <w:bCs/>
          <w:lang w:val="fr-FR"/>
        </w:rPr>
        <w:t> </w:t>
      </w:r>
      <w:r w:rsidRPr="00E102FC">
        <w:rPr>
          <w:bCs/>
          <w:lang w:val="fr-FR"/>
        </w:rPr>
        <w:t>session en septembre</w:t>
      </w:r>
      <w:r w:rsidR="00B20659" w:rsidRPr="00E102FC">
        <w:rPr>
          <w:bCs/>
          <w:lang w:val="fr-FR"/>
        </w:rPr>
        <w:noBreakHyphen/>
      </w:r>
      <w:r w:rsidR="00DD1942" w:rsidRPr="00E102FC">
        <w:rPr>
          <w:bCs/>
          <w:lang w:val="fr-FR"/>
        </w:rPr>
        <w:t>octobre 20</w:t>
      </w:r>
      <w:r w:rsidR="00B20659" w:rsidRPr="00E102FC">
        <w:rPr>
          <w:bCs/>
          <w:lang w:val="fr-FR"/>
        </w:rPr>
        <w:t>13 (voir les paragraphes 25 à </w:t>
      </w:r>
      <w:r w:rsidRPr="00E102FC">
        <w:rPr>
          <w:bCs/>
          <w:lang w:val="fr-FR"/>
        </w:rPr>
        <w:t>30 du document PCT/A/44/5).</w:t>
      </w:r>
    </w:p>
    <w:p w:rsidR="0076581C" w:rsidRDefault="00F52483" w:rsidP="00F52483">
      <w:pPr>
        <w:pStyle w:val="Heading2"/>
        <w:rPr>
          <w:lang w:val="fr-FR"/>
        </w:rPr>
      </w:pPr>
      <w:r>
        <w:rPr>
          <w:lang w:val="fr-FR"/>
        </w:rPr>
        <w:t>É</w:t>
      </w:r>
      <w:r w:rsidRPr="00E102FC">
        <w:rPr>
          <w:lang w:val="fr-FR"/>
        </w:rPr>
        <w:t>laboration et mise en œuvre d’u</w:t>
      </w:r>
      <w:r>
        <w:rPr>
          <w:lang w:val="fr-FR"/>
        </w:rPr>
        <w:t>n système de dossier mondial et </w:t>
      </w:r>
      <w:r w:rsidRPr="00E102FC">
        <w:rPr>
          <w:lang w:val="fr-FR"/>
        </w:rPr>
        <w:t>intégration dudit système dans le </w:t>
      </w:r>
      <w:r>
        <w:rPr>
          <w:lang w:val="fr-FR"/>
        </w:rPr>
        <w:t>PCT</w:t>
      </w:r>
    </w:p>
    <w:p w:rsidR="00F52483" w:rsidRPr="00F52483" w:rsidRDefault="00F52483" w:rsidP="00F52483">
      <w:pPr>
        <w:rPr>
          <w:lang w:val="fr-FR"/>
        </w:rPr>
      </w:pPr>
    </w:p>
    <w:p w:rsidR="0076581C" w:rsidRPr="00E102FC" w:rsidRDefault="002A086E" w:rsidP="00C90A12">
      <w:pPr>
        <w:pStyle w:val="ONUMFS"/>
        <w:rPr>
          <w:lang w:val="fr-FR"/>
        </w:rPr>
      </w:pPr>
      <w:r w:rsidRPr="00E102FC">
        <w:rPr>
          <w:lang w:val="fr-FR"/>
        </w:rPr>
        <w:t>Les propositions plus détaillées concernant le PCT 20/20 comprenaient un examen plus approfondi de ce qu</w:t>
      </w:r>
      <w:r w:rsidR="00DD1942" w:rsidRPr="00E102FC">
        <w:rPr>
          <w:lang w:val="fr-FR"/>
        </w:rPr>
        <w:t>’</w:t>
      </w:r>
      <w:r w:rsidRPr="00E102FC">
        <w:rPr>
          <w:lang w:val="fr-FR"/>
        </w:rPr>
        <w:t>implique le dossier mondial, sans pour autant contenir de propositions spécifiques pour sa mise en œuvre.</w:t>
      </w:r>
    </w:p>
    <w:p w:rsidR="0076581C" w:rsidRPr="00E102FC" w:rsidRDefault="002A086E" w:rsidP="00C90A12">
      <w:pPr>
        <w:pStyle w:val="ONUMFS"/>
        <w:rPr>
          <w:bCs/>
          <w:lang w:val="fr-FR"/>
        </w:rPr>
      </w:pPr>
      <w:r w:rsidRPr="00E102FC">
        <w:rPr>
          <w:bCs/>
          <w:lang w:val="fr-FR"/>
        </w:rPr>
        <w:t>En règle générale, les États membres, les administrations et les utilisateurs ont indiqué qu</w:t>
      </w:r>
      <w:r w:rsidR="00DD1942" w:rsidRPr="00E102FC">
        <w:rPr>
          <w:bCs/>
          <w:lang w:val="fr-FR"/>
        </w:rPr>
        <w:t>’</w:t>
      </w:r>
      <w:r w:rsidRPr="00E102FC">
        <w:rPr>
          <w:bCs/>
          <w:lang w:val="fr-FR"/>
        </w:rPr>
        <w:t xml:space="preserve">ils accueillaient </w:t>
      </w:r>
      <w:r w:rsidR="007D292C" w:rsidRPr="00E102FC">
        <w:rPr>
          <w:bCs/>
          <w:lang w:val="fr-FR"/>
        </w:rPr>
        <w:t xml:space="preserve">favorablement </w:t>
      </w:r>
      <w:r w:rsidRPr="00E102FC">
        <w:rPr>
          <w:bCs/>
          <w:lang w:val="fr-FR"/>
        </w:rPr>
        <w:t>et appuyaient la notion de dossier mondial et attendaient avec i</w:t>
      </w:r>
      <w:r w:rsidR="007D292C" w:rsidRPr="00E102FC">
        <w:rPr>
          <w:bCs/>
          <w:lang w:val="fr-FR"/>
        </w:rPr>
        <w:t>ntérêt</w:t>
      </w:r>
      <w:r w:rsidRPr="00E102FC">
        <w:rPr>
          <w:bCs/>
          <w:lang w:val="fr-FR"/>
        </w:rPr>
        <w:t xml:space="preserve"> l</w:t>
      </w:r>
      <w:r w:rsidR="00DD1942" w:rsidRPr="00E102FC">
        <w:rPr>
          <w:bCs/>
          <w:lang w:val="fr-FR"/>
        </w:rPr>
        <w:t>’</w:t>
      </w:r>
      <w:r w:rsidRPr="00E102FC">
        <w:rPr>
          <w:bCs/>
          <w:lang w:val="fr-FR"/>
        </w:rPr>
        <w:t>élaboration de plans plus précis.</w:t>
      </w:r>
    </w:p>
    <w:p w:rsidR="0076581C" w:rsidRPr="00E102FC" w:rsidRDefault="00DB50F1" w:rsidP="00C90A12">
      <w:pPr>
        <w:pStyle w:val="ONUMFS"/>
        <w:rPr>
          <w:bCs/>
          <w:lang w:val="fr-FR"/>
        </w:rPr>
      </w:pPr>
      <w:r w:rsidRPr="00E102FC">
        <w:rPr>
          <w:bCs/>
          <w:lang w:val="fr-FR"/>
        </w:rPr>
        <w:t>Nous continuons de penser que le dossier mondial présentera notamment les avantages suivants : facilitation des dépôts croisés;  portail unique de gestion des demandes croisées;  suppression de la nécessité de déposer des documents identiques auprès de plusieurs offices (documents de priorité, citations de l</w:t>
      </w:r>
      <w:r w:rsidR="00DD1942" w:rsidRPr="00E102FC">
        <w:rPr>
          <w:bCs/>
          <w:lang w:val="fr-FR"/>
        </w:rPr>
        <w:t>’</w:t>
      </w:r>
      <w:r w:rsidRPr="00E102FC">
        <w:rPr>
          <w:bCs/>
          <w:lang w:val="fr-FR"/>
        </w:rPr>
        <w:t>état de la technique, etc.);  et réduction des coûts grâce à l</w:t>
      </w:r>
      <w:r w:rsidR="00DD1942" w:rsidRPr="00E102FC">
        <w:rPr>
          <w:bCs/>
          <w:lang w:val="fr-FR"/>
        </w:rPr>
        <w:t>’</w:t>
      </w:r>
      <w:r w:rsidRPr="00E102FC">
        <w:rPr>
          <w:bCs/>
          <w:lang w:val="fr-FR"/>
        </w:rPr>
        <w:t>utilisation d</w:t>
      </w:r>
      <w:r w:rsidR="00DD1942" w:rsidRPr="00E102FC">
        <w:rPr>
          <w:bCs/>
          <w:lang w:val="fr-FR"/>
        </w:rPr>
        <w:t>’</w:t>
      </w:r>
      <w:r w:rsidRPr="00E102FC">
        <w:rPr>
          <w:bCs/>
          <w:lang w:val="fr-FR"/>
        </w:rPr>
        <w:t xml:space="preserve">outils modernes de traduction automatique. </w:t>
      </w:r>
      <w:r w:rsidR="00B54FB4" w:rsidRPr="00E102FC">
        <w:rPr>
          <w:bCs/>
          <w:lang w:val="fr-FR"/>
        </w:rPr>
        <w:t xml:space="preserve"> </w:t>
      </w:r>
      <w:r w:rsidRPr="00E102FC">
        <w:rPr>
          <w:bCs/>
          <w:lang w:val="fr-FR"/>
        </w:rPr>
        <w:t>Il offrira aux offices de propriété intellectuelle des possibilités énormes de partage du travail en termes non seulement d</w:t>
      </w:r>
      <w:r w:rsidR="00DD1942" w:rsidRPr="00E102FC">
        <w:rPr>
          <w:bCs/>
          <w:lang w:val="fr-FR"/>
        </w:rPr>
        <w:t>’</w:t>
      </w:r>
      <w:r w:rsidRPr="00E102FC">
        <w:rPr>
          <w:bCs/>
          <w:lang w:val="fr-FR"/>
        </w:rPr>
        <w:t>échange d</w:t>
      </w:r>
      <w:r w:rsidR="00DD1942" w:rsidRPr="00E102FC">
        <w:rPr>
          <w:bCs/>
          <w:lang w:val="fr-FR"/>
        </w:rPr>
        <w:t>’</w:t>
      </w:r>
      <w:r w:rsidRPr="00E102FC">
        <w:rPr>
          <w:bCs/>
          <w:lang w:val="fr-FR"/>
        </w:rPr>
        <w:t>information mais également de collaboration entre examinateurs, autant d</w:t>
      </w:r>
      <w:r w:rsidR="00DD1942" w:rsidRPr="00E102FC">
        <w:rPr>
          <w:bCs/>
          <w:lang w:val="fr-FR"/>
        </w:rPr>
        <w:t>’</w:t>
      </w:r>
      <w:r w:rsidRPr="00E102FC">
        <w:rPr>
          <w:bCs/>
          <w:lang w:val="fr-FR"/>
        </w:rPr>
        <w:t>activités qui favorisent l</w:t>
      </w:r>
      <w:r w:rsidR="00DD1942" w:rsidRPr="00E102FC">
        <w:rPr>
          <w:bCs/>
          <w:lang w:val="fr-FR"/>
        </w:rPr>
        <w:t>’</w:t>
      </w:r>
      <w:r w:rsidRPr="00E102FC">
        <w:rPr>
          <w:bCs/>
          <w:lang w:val="fr-FR"/>
        </w:rPr>
        <w:t>amélioration de la qualité des brevets au niveau mondial.</w:t>
      </w:r>
    </w:p>
    <w:p w:rsidR="0076581C" w:rsidRPr="00E102FC" w:rsidRDefault="00DB50F1" w:rsidP="00C90A12">
      <w:pPr>
        <w:pStyle w:val="ONUMFS"/>
        <w:rPr>
          <w:bCs/>
          <w:lang w:val="fr-FR"/>
        </w:rPr>
      </w:pPr>
      <w:r w:rsidRPr="00E102FC">
        <w:rPr>
          <w:bCs/>
          <w:lang w:val="fr-FR"/>
        </w:rPr>
        <w:t>En collaboration avec ses partenaires de l</w:t>
      </w:r>
      <w:r w:rsidR="00DD1942" w:rsidRPr="00E102FC">
        <w:rPr>
          <w:bCs/>
          <w:lang w:val="fr-FR"/>
        </w:rPr>
        <w:t>’</w:t>
      </w:r>
      <w:r w:rsidRPr="00E102FC">
        <w:rPr>
          <w:bCs/>
          <w:lang w:val="fr-FR"/>
        </w:rPr>
        <w:t>IP5 et compte tenu du lien avec le système ePCT de l</w:t>
      </w:r>
      <w:r w:rsidR="00DD1942" w:rsidRPr="00E102FC">
        <w:rPr>
          <w:bCs/>
          <w:lang w:val="fr-FR"/>
        </w:rPr>
        <w:t>’</w:t>
      </w:r>
      <w:r w:rsidRPr="00E102FC">
        <w:rPr>
          <w:bCs/>
          <w:lang w:val="fr-FR"/>
        </w:rPr>
        <w:t xml:space="preserve">OMPI, </w:t>
      </w:r>
      <w:r w:rsidR="004D7461">
        <w:rPr>
          <w:bCs/>
          <w:lang w:val="fr-FR"/>
        </w:rPr>
        <w:t>l</w:t>
      </w:r>
      <w:r w:rsidR="004D7461" w:rsidRPr="00E102FC">
        <w:rPr>
          <w:bCs/>
          <w:lang w:val="fr-FR"/>
        </w:rPr>
        <w:t>’Office des brevets et des marques des États</w:t>
      </w:r>
      <w:r w:rsidR="004D7461" w:rsidRPr="00E102FC">
        <w:rPr>
          <w:bCs/>
          <w:lang w:val="fr-FR"/>
        </w:rPr>
        <w:noBreakHyphen/>
        <w:t>Unis d’Amérique</w:t>
      </w:r>
      <w:r w:rsidRPr="00E102FC">
        <w:rPr>
          <w:bCs/>
          <w:lang w:val="fr-FR"/>
        </w:rPr>
        <w:t xml:space="preserve"> poursuit l</w:t>
      </w:r>
      <w:r w:rsidR="00DD1942" w:rsidRPr="00E102FC">
        <w:rPr>
          <w:bCs/>
          <w:lang w:val="fr-FR"/>
        </w:rPr>
        <w:t>’</w:t>
      </w:r>
      <w:r w:rsidRPr="00E102FC">
        <w:rPr>
          <w:bCs/>
          <w:lang w:val="fr-FR"/>
        </w:rPr>
        <w:t>élaboration du dossier mondial et espère présenter une proposition plus concrète concernant son incorporation dans le système</w:t>
      </w:r>
      <w:r w:rsidR="00DD1942" w:rsidRPr="00E102FC">
        <w:rPr>
          <w:bCs/>
          <w:lang w:val="fr-FR"/>
        </w:rPr>
        <w:t xml:space="preserve"> du PCT</w:t>
      </w:r>
      <w:r w:rsidRPr="00E102FC">
        <w:rPr>
          <w:bCs/>
          <w:lang w:val="fr-FR"/>
        </w:rPr>
        <w:t xml:space="preserve"> lors d</w:t>
      </w:r>
      <w:r w:rsidR="00DD1942" w:rsidRPr="00E102FC">
        <w:rPr>
          <w:bCs/>
          <w:lang w:val="fr-FR"/>
        </w:rPr>
        <w:t>’</w:t>
      </w:r>
      <w:r w:rsidRPr="00E102FC">
        <w:rPr>
          <w:bCs/>
          <w:lang w:val="fr-FR"/>
        </w:rPr>
        <w:t>une prochaine session du groupe de travail.</w:t>
      </w:r>
    </w:p>
    <w:p w:rsidR="0076581C" w:rsidRDefault="00F52483" w:rsidP="00F52483">
      <w:pPr>
        <w:pStyle w:val="Heading2"/>
        <w:rPr>
          <w:lang w:val="fr-FR"/>
        </w:rPr>
      </w:pPr>
      <w:r>
        <w:rPr>
          <w:lang w:val="fr-FR"/>
        </w:rPr>
        <w:t>I</w:t>
      </w:r>
      <w:r w:rsidRPr="00E102FC">
        <w:rPr>
          <w:lang w:val="fr-FR"/>
        </w:rPr>
        <w:t xml:space="preserve">ntégration officielle du </w:t>
      </w:r>
      <w:r>
        <w:rPr>
          <w:lang w:val="fr-FR"/>
        </w:rPr>
        <w:t>P</w:t>
      </w:r>
      <w:r w:rsidRPr="00E102FC">
        <w:rPr>
          <w:lang w:val="fr-FR"/>
        </w:rPr>
        <w:t xml:space="preserve">atent </w:t>
      </w:r>
      <w:r>
        <w:rPr>
          <w:lang w:val="fr-FR"/>
        </w:rPr>
        <w:t>P</w:t>
      </w:r>
      <w:r w:rsidRPr="00E102FC">
        <w:rPr>
          <w:lang w:val="fr-FR"/>
        </w:rPr>
        <w:t xml:space="preserve">rosecution </w:t>
      </w:r>
      <w:r>
        <w:rPr>
          <w:lang w:val="fr-FR"/>
        </w:rPr>
        <w:t>H</w:t>
      </w:r>
      <w:r w:rsidRPr="00E102FC">
        <w:rPr>
          <w:lang w:val="fr-FR"/>
        </w:rPr>
        <w:t>ighway dans le </w:t>
      </w:r>
      <w:r>
        <w:rPr>
          <w:lang w:val="fr-FR"/>
        </w:rPr>
        <w:t>PCT</w:t>
      </w:r>
      <w:r w:rsidRPr="00E102FC">
        <w:rPr>
          <w:lang w:val="fr-FR"/>
        </w:rPr>
        <w:t>, procédure accélérée pour les demandes entrées dans la phase nationale, amélioration de la réutilisation des travaux du </w:t>
      </w:r>
      <w:r>
        <w:rPr>
          <w:lang w:val="fr-FR"/>
        </w:rPr>
        <w:t>PCT</w:t>
      </w:r>
      <w:r w:rsidR="00A97E15">
        <w:rPr>
          <w:lang w:val="fr-FR"/>
        </w:rPr>
        <w:t xml:space="preserve"> dans </w:t>
      </w:r>
      <w:r w:rsidRPr="00E102FC">
        <w:rPr>
          <w:lang w:val="fr-FR"/>
        </w:rPr>
        <w:t>la phase nationale</w:t>
      </w:r>
    </w:p>
    <w:p w:rsidR="00914ADA" w:rsidRPr="00914ADA" w:rsidRDefault="00914ADA" w:rsidP="00914ADA">
      <w:pPr>
        <w:rPr>
          <w:lang w:val="fr-FR"/>
        </w:rPr>
      </w:pPr>
    </w:p>
    <w:p w:rsidR="0076581C" w:rsidRPr="00E102FC" w:rsidRDefault="00E974FE" w:rsidP="00C90A12">
      <w:pPr>
        <w:pStyle w:val="ONUMFS"/>
        <w:rPr>
          <w:bCs/>
          <w:lang w:val="fr-FR"/>
        </w:rPr>
      </w:pPr>
      <w:r w:rsidRPr="00E102FC">
        <w:rPr>
          <w:bCs/>
          <w:lang w:val="fr-FR"/>
        </w:rPr>
        <w:t>Une proposition spécifique concernant l</w:t>
      </w:r>
      <w:r w:rsidR="00DD1942" w:rsidRPr="00E102FC">
        <w:rPr>
          <w:bCs/>
          <w:lang w:val="fr-FR"/>
        </w:rPr>
        <w:t>’</w:t>
      </w:r>
      <w:r w:rsidRPr="00E102FC">
        <w:rPr>
          <w:bCs/>
          <w:lang w:val="fr-FR"/>
        </w:rPr>
        <w:t>intégration officielle</w:t>
      </w:r>
      <w:r w:rsidR="0064083D">
        <w:rPr>
          <w:bCs/>
          <w:lang w:val="fr-FR"/>
        </w:rPr>
        <w:t xml:space="preserve"> du Patent Prosecution Highway</w:t>
      </w:r>
      <w:r w:rsidRPr="00E102FC">
        <w:rPr>
          <w:bCs/>
          <w:lang w:val="fr-FR"/>
        </w:rPr>
        <w:t xml:space="preserve"> dans</w:t>
      </w:r>
      <w:r w:rsidR="00DD1942" w:rsidRPr="00E102FC">
        <w:rPr>
          <w:bCs/>
          <w:lang w:val="fr-FR"/>
        </w:rPr>
        <w:t xml:space="preserve"> le PCT</w:t>
      </w:r>
      <w:r w:rsidRPr="00E102FC">
        <w:rPr>
          <w:bCs/>
          <w:lang w:val="fr-FR"/>
        </w:rPr>
        <w:t xml:space="preserve"> a été présentée à la sixième</w:t>
      </w:r>
      <w:r w:rsidR="006533F0" w:rsidRPr="00E102FC">
        <w:rPr>
          <w:bCs/>
          <w:lang w:val="fr-FR"/>
        </w:rPr>
        <w:t> </w:t>
      </w:r>
      <w:r w:rsidRPr="00E102FC">
        <w:rPr>
          <w:bCs/>
          <w:lang w:val="fr-FR"/>
        </w:rPr>
        <w:t>session du groupe de travail dans le document PCT/WG/6/17.</w:t>
      </w:r>
    </w:p>
    <w:p w:rsidR="0076581C" w:rsidRPr="00E102FC" w:rsidRDefault="00E974FE" w:rsidP="00C90A12">
      <w:pPr>
        <w:pStyle w:val="ONUMFS"/>
        <w:rPr>
          <w:bCs/>
          <w:lang w:val="fr-FR"/>
        </w:rPr>
      </w:pPr>
      <w:r w:rsidRPr="00E102FC">
        <w:rPr>
          <w:bCs/>
          <w:lang w:val="fr-FR"/>
        </w:rPr>
        <w:t>Bien que des préoccupations aient été exprimées, le rapport du groupe de travail indique que la majorité des délégations qui ont pris la parole ont fait part d</w:t>
      </w:r>
      <w:r w:rsidR="00DD1942" w:rsidRPr="00E102FC">
        <w:rPr>
          <w:bCs/>
          <w:lang w:val="fr-FR"/>
        </w:rPr>
        <w:t>’</w:t>
      </w:r>
      <w:r w:rsidRPr="00E102FC">
        <w:rPr>
          <w:bCs/>
          <w:lang w:val="fr-FR"/>
        </w:rPr>
        <w:t>un certain soutien à cette proposition et de la volonté d</w:t>
      </w:r>
      <w:r w:rsidR="00DD1942" w:rsidRPr="00E102FC">
        <w:rPr>
          <w:bCs/>
          <w:lang w:val="fr-FR"/>
        </w:rPr>
        <w:t>’</w:t>
      </w:r>
      <w:r w:rsidRPr="00E102FC">
        <w:rPr>
          <w:bCs/>
          <w:lang w:val="fr-FR"/>
        </w:rPr>
        <w:t>envisager des propositions visant à remédier aux préoccupations exprimées ou, au contraire, de se prévaloir de la notification d</w:t>
      </w:r>
      <w:r w:rsidR="00DD1942" w:rsidRPr="00E102FC">
        <w:rPr>
          <w:bCs/>
          <w:lang w:val="fr-FR"/>
        </w:rPr>
        <w:t>’</w:t>
      </w:r>
      <w:r w:rsidRPr="00E102FC">
        <w:rPr>
          <w:bCs/>
          <w:lang w:val="fr-FR"/>
        </w:rPr>
        <w:t>incompatibilité proposée.</w:t>
      </w:r>
      <w:r w:rsidR="00D27FA4" w:rsidRPr="00E102FC">
        <w:rPr>
          <w:bCs/>
          <w:lang w:val="fr-FR"/>
        </w:rPr>
        <w:t xml:space="preserve">  </w:t>
      </w:r>
      <w:r w:rsidR="002B56DB" w:rsidRPr="00E102FC">
        <w:rPr>
          <w:bCs/>
          <w:lang w:val="fr-FR"/>
        </w:rPr>
        <w:t>Deux</w:t>
      </w:r>
      <w:r w:rsidR="006533F0" w:rsidRPr="00E102FC">
        <w:rPr>
          <w:bCs/>
          <w:lang w:val="fr-FR"/>
        </w:rPr>
        <w:t> </w:t>
      </w:r>
      <w:r w:rsidR="002B56DB" w:rsidRPr="00E102FC">
        <w:rPr>
          <w:bCs/>
          <w:lang w:val="fr-FR"/>
        </w:rPr>
        <w:t>délégations ont fait part de leur opposition directe à la proposition.</w:t>
      </w:r>
    </w:p>
    <w:p w:rsidR="0076581C" w:rsidRPr="00E102FC" w:rsidRDefault="002B56DB" w:rsidP="00C90A12">
      <w:pPr>
        <w:pStyle w:val="ONUMFS"/>
        <w:rPr>
          <w:bCs/>
          <w:lang w:val="fr-FR"/>
        </w:rPr>
      </w:pPr>
      <w:r w:rsidRPr="00E102FC">
        <w:rPr>
          <w:bCs/>
          <w:lang w:val="fr-FR"/>
        </w:rPr>
        <w:t>Cette proposition a ensuite été examinée à la vingt et unième Réunion des administrations internationales</w:t>
      </w:r>
      <w:r w:rsidR="00DD1942" w:rsidRPr="00E102FC">
        <w:rPr>
          <w:bCs/>
          <w:lang w:val="fr-FR"/>
        </w:rPr>
        <w:t xml:space="preserve"> du PCT</w:t>
      </w:r>
      <w:r w:rsidRPr="00E102FC">
        <w:rPr>
          <w:bCs/>
          <w:lang w:val="fr-FR"/>
        </w:rPr>
        <w:t xml:space="preserve"> et fait l</w:t>
      </w:r>
      <w:r w:rsidR="00DD1942" w:rsidRPr="00E102FC">
        <w:rPr>
          <w:bCs/>
          <w:lang w:val="fr-FR"/>
        </w:rPr>
        <w:t>’</w:t>
      </w:r>
      <w:r w:rsidRPr="00E102FC">
        <w:rPr>
          <w:bCs/>
          <w:lang w:val="fr-FR"/>
        </w:rPr>
        <w:t>objet d</w:t>
      </w:r>
      <w:r w:rsidR="00DD1942" w:rsidRPr="00E102FC">
        <w:rPr>
          <w:bCs/>
          <w:lang w:val="fr-FR"/>
        </w:rPr>
        <w:t>’</w:t>
      </w:r>
      <w:r w:rsidRPr="00E102FC">
        <w:rPr>
          <w:bCs/>
          <w:lang w:val="fr-FR"/>
        </w:rPr>
        <w:t>un document distinct soumis à la présente session du groupe de travail (document PCT/WG/7/21).</w:t>
      </w:r>
    </w:p>
    <w:p w:rsidR="0076581C" w:rsidRDefault="00914ADA" w:rsidP="00914ADA">
      <w:pPr>
        <w:pStyle w:val="Heading2"/>
        <w:rPr>
          <w:lang w:val="fr-FR"/>
        </w:rPr>
      </w:pPr>
      <w:r>
        <w:rPr>
          <w:lang w:val="fr-FR"/>
        </w:rPr>
        <w:lastRenderedPageBreak/>
        <w:t>M</w:t>
      </w:r>
      <w:r w:rsidRPr="00E102FC">
        <w:rPr>
          <w:lang w:val="fr-FR"/>
        </w:rPr>
        <w:t>ise à disposition de l’opinion écrite de l’administr</w:t>
      </w:r>
      <w:r w:rsidR="00670ACD">
        <w:rPr>
          <w:lang w:val="fr-FR"/>
        </w:rPr>
        <w:t>ation chargée de </w:t>
      </w:r>
      <w:r w:rsidRPr="00E102FC">
        <w:rPr>
          <w:lang w:val="fr-FR"/>
        </w:rPr>
        <w:t>la recherche internationale après la publication internationale</w:t>
      </w:r>
    </w:p>
    <w:p w:rsidR="00914ADA" w:rsidRPr="00914ADA" w:rsidRDefault="00914ADA" w:rsidP="00914ADA">
      <w:pPr>
        <w:rPr>
          <w:lang w:val="fr-FR"/>
        </w:rPr>
      </w:pPr>
    </w:p>
    <w:p w:rsidR="00DD1942" w:rsidRPr="00E102FC" w:rsidRDefault="002B56DB" w:rsidP="00C90A12">
      <w:pPr>
        <w:pStyle w:val="ONUMFS"/>
        <w:rPr>
          <w:bCs/>
          <w:lang w:val="fr-FR"/>
        </w:rPr>
      </w:pPr>
      <w:r w:rsidRPr="00E102FC">
        <w:rPr>
          <w:bCs/>
          <w:lang w:val="fr-FR"/>
        </w:rPr>
        <w:t>Cette proposition relevant</w:t>
      </w:r>
      <w:r w:rsidR="00DD1942" w:rsidRPr="00E102FC">
        <w:rPr>
          <w:bCs/>
          <w:lang w:val="fr-FR"/>
        </w:rPr>
        <w:t xml:space="preserve"> du PCT</w:t>
      </w:r>
      <w:r w:rsidR="00A97E15">
        <w:rPr>
          <w:bCs/>
          <w:lang w:val="fr-FR"/>
        </w:rPr>
        <w:t> </w:t>
      </w:r>
      <w:r w:rsidRPr="00E102FC">
        <w:rPr>
          <w:bCs/>
          <w:lang w:val="fr-FR"/>
        </w:rPr>
        <w:t>20/20 a fait l</w:t>
      </w:r>
      <w:r w:rsidR="00DD1942" w:rsidRPr="00E102FC">
        <w:rPr>
          <w:bCs/>
          <w:lang w:val="fr-FR"/>
        </w:rPr>
        <w:t>’</w:t>
      </w:r>
      <w:r w:rsidRPr="00E102FC">
        <w:rPr>
          <w:bCs/>
          <w:lang w:val="fr-FR"/>
        </w:rPr>
        <w:t>objet d</w:t>
      </w:r>
      <w:r w:rsidR="00DD1942" w:rsidRPr="00E102FC">
        <w:rPr>
          <w:bCs/>
          <w:lang w:val="fr-FR"/>
        </w:rPr>
        <w:t>’</w:t>
      </w:r>
      <w:r w:rsidRPr="00E102FC">
        <w:rPr>
          <w:bCs/>
          <w:lang w:val="fr-FR"/>
        </w:rPr>
        <w:t>une proposition distincte présentée au groupe de travail dans le document PCT/WG/6/13.  Plus précisément, le document PCT/WG/6/13 contenait des propositions concrètes de modification du règlement d</w:t>
      </w:r>
      <w:r w:rsidR="00DD1942" w:rsidRPr="00E102FC">
        <w:rPr>
          <w:bCs/>
          <w:lang w:val="fr-FR"/>
        </w:rPr>
        <w:t>’</w:t>
      </w:r>
      <w:r w:rsidRPr="00E102FC">
        <w:rPr>
          <w:bCs/>
          <w:lang w:val="fr-FR"/>
        </w:rPr>
        <w:t>exécution</w:t>
      </w:r>
      <w:r w:rsidR="00DD1942" w:rsidRPr="00E102FC">
        <w:rPr>
          <w:bCs/>
          <w:lang w:val="fr-FR"/>
        </w:rPr>
        <w:t xml:space="preserve"> du PCT</w:t>
      </w:r>
      <w:r w:rsidRPr="00E102FC">
        <w:rPr>
          <w:bCs/>
          <w:lang w:val="fr-FR"/>
        </w:rPr>
        <w:t xml:space="preserve"> en vertu desquelles l</w:t>
      </w:r>
      <w:r w:rsidR="00DD1942" w:rsidRPr="00E102FC">
        <w:rPr>
          <w:bCs/>
          <w:lang w:val="fr-FR"/>
        </w:rPr>
        <w:t>’</w:t>
      </w:r>
      <w:r w:rsidRPr="00E102FC">
        <w:rPr>
          <w:bCs/>
          <w:lang w:val="fr-FR"/>
        </w:rPr>
        <w:t>opinion écrite de l</w:t>
      </w:r>
      <w:r w:rsidR="00DD1942" w:rsidRPr="00E102FC">
        <w:rPr>
          <w:bCs/>
          <w:lang w:val="fr-FR"/>
        </w:rPr>
        <w:t>’</w:t>
      </w:r>
      <w:r w:rsidRPr="00E102FC">
        <w:rPr>
          <w:bCs/>
          <w:lang w:val="fr-FR"/>
        </w:rPr>
        <w:t xml:space="preserve">administration chargée de la recherche internationale serait mise à disposition </w:t>
      </w:r>
      <w:r w:rsidR="00F32279" w:rsidRPr="00E102FC">
        <w:rPr>
          <w:bCs/>
          <w:lang w:val="fr-FR"/>
        </w:rPr>
        <w:t>à bref délai</w:t>
      </w:r>
      <w:r w:rsidRPr="00E102FC">
        <w:rPr>
          <w:bCs/>
          <w:lang w:val="fr-FR"/>
        </w:rPr>
        <w:t xml:space="preserve"> après la publication internationale pour toutes les demandes internationales ayant fait l</w:t>
      </w:r>
      <w:r w:rsidR="00DD1942" w:rsidRPr="00E102FC">
        <w:rPr>
          <w:bCs/>
          <w:lang w:val="fr-FR"/>
        </w:rPr>
        <w:t>’</w:t>
      </w:r>
      <w:r w:rsidRPr="00E102FC">
        <w:rPr>
          <w:bCs/>
          <w:lang w:val="fr-FR"/>
        </w:rPr>
        <w:t>objet d</w:t>
      </w:r>
      <w:r w:rsidR="00DD1942" w:rsidRPr="00E102FC">
        <w:rPr>
          <w:bCs/>
          <w:lang w:val="fr-FR"/>
        </w:rPr>
        <w:t>’</w:t>
      </w:r>
      <w:r w:rsidRPr="00E102FC">
        <w:rPr>
          <w:bCs/>
          <w:lang w:val="fr-FR"/>
        </w:rPr>
        <w:t>une opinion écrite.</w:t>
      </w:r>
    </w:p>
    <w:p w:rsidR="0076581C" w:rsidRPr="00E102FC" w:rsidRDefault="002B56DB" w:rsidP="00C90A12">
      <w:pPr>
        <w:pStyle w:val="ONUMFS"/>
        <w:rPr>
          <w:rFonts w:eastAsia="Arial"/>
          <w:bCs/>
          <w:lang w:val="fr-FR"/>
        </w:rPr>
      </w:pPr>
      <w:r w:rsidRPr="00E102FC">
        <w:rPr>
          <w:bCs/>
          <w:lang w:val="fr-FR"/>
        </w:rPr>
        <w:t>Cette proposition a également été approuvée par le groupe de travail et adoptée par l</w:t>
      </w:r>
      <w:r w:rsidR="00DD1942" w:rsidRPr="00E102FC">
        <w:rPr>
          <w:bCs/>
          <w:lang w:val="fr-FR"/>
        </w:rPr>
        <w:t>’</w:t>
      </w:r>
      <w:r w:rsidRPr="00E102FC">
        <w:rPr>
          <w:bCs/>
          <w:lang w:val="fr-FR"/>
        </w:rPr>
        <w:t>Assemblée de l</w:t>
      </w:r>
      <w:r w:rsidR="00DD1942" w:rsidRPr="00E102FC">
        <w:rPr>
          <w:bCs/>
          <w:lang w:val="fr-FR"/>
        </w:rPr>
        <w:t>’</w:t>
      </w:r>
      <w:r w:rsidRPr="00E102FC">
        <w:rPr>
          <w:bCs/>
          <w:lang w:val="fr-FR"/>
        </w:rPr>
        <w:t>Union</w:t>
      </w:r>
      <w:r w:rsidR="00DD1942" w:rsidRPr="00E102FC">
        <w:rPr>
          <w:bCs/>
          <w:lang w:val="fr-FR"/>
        </w:rPr>
        <w:t xml:space="preserve"> du PCT</w:t>
      </w:r>
      <w:r w:rsidRPr="00E102FC">
        <w:rPr>
          <w:bCs/>
          <w:lang w:val="fr-FR"/>
        </w:rPr>
        <w:t xml:space="preserve"> à sa quarante</w:t>
      </w:r>
      <w:r w:rsidR="00B20659" w:rsidRPr="00E102FC">
        <w:rPr>
          <w:bCs/>
          <w:lang w:val="fr-FR"/>
        </w:rPr>
        <w:noBreakHyphen/>
      </w:r>
      <w:r w:rsidRPr="00E102FC">
        <w:rPr>
          <w:bCs/>
          <w:lang w:val="fr-FR"/>
        </w:rPr>
        <w:t>quatrième</w:t>
      </w:r>
      <w:r w:rsidR="006533F0" w:rsidRPr="00E102FC">
        <w:rPr>
          <w:bCs/>
          <w:lang w:val="fr-FR"/>
        </w:rPr>
        <w:t> </w:t>
      </w:r>
      <w:r w:rsidRPr="00E102FC">
        <w:rPr>
          <w:bCs/>
          <w:lang w:val="fr-FR"/>
        </w:rPr>
        <w:t>session en septembre</w:t>
      </w:r>
      <w:r w:rsidR="00B20659" w:rsidRPr="00E102FC">
        <w:rPr>
          <w:bCs/>
          <w:lang w:val="fr-FR"/>
        </w:rPr>
        <w:noBreakHyphen/>
      </w:r>
      <w:r w:rsidR="00DD1942" w:rsidRPr="00E102FC">
        <w:rPr>
          <w:bCs/>
          <w:lang w:val="fr-FR"/>
        </w:rPr>
        <w:t>octobre 20</w:t>
      </w:r>
      <w:r w:rsidR="00914ADA">
        <w:rPr>
          <w:bCs/>
          <w:lang w:val="fr-FR"/>
        </w:rPr>
        <w:t>13 (voir les paragraphes 25 à </w:t>
      </w:r>
      <w:r w:rsidRPr="00E102FC">
        <w:rPr>
          <w:bCs/>
          <w:lang w:val="fr-FR"/>
        </w:rPr>
        <w:t>30 du document PCT/A/44/5).</w:t>
      </w:r>
    </w:p>
    <w:p w:rsidR="0076581C" w:rsidRDefault="00914ADA" w:rsidP="00914ADA">
      <w:pPr>
        <w:pStyle w:val="Heading1"/>
        <w:rPr>
          <w:lang w:val="fr-FR"/>
        </w:rPr>
      </w:pPr>
      <w:r>
        <w:rPr>
          <w:lang w:val="fr-FR"/>
        </w:rPr>
        <w:t>À</w:t>
      </w:r>
      <w:r w:rsidRPr="00E102FC">
        <w:rPr>
          <w:lang w:val="fr-FR"/>
        </w:rPr>
        <w:t xml:space="preserve"> plus longue échéance</w:t>
      </w:r>
    </w:p>
    <w:p w:rsidR="00914ADA" w:rsidRPr="00914ADA" w:rsidRDefault="00914ADA" w:rsidP="00914ADA">
      <w:pPr>
        <w:rPr>
          <w:lang w:val="fr-FR"/>
        </w:rPr>
      </w:pPr>
    </w:p>
    <w:p w:rsidR="0076581C" w:rsidRPr="00E102FC" w:rsidRDefault="002B56DB" w:rsidP="00C90A12">
      <w:pPr>
        <w:pStyle w:val="ONUMFS"/>
        <w:rPr>
          <w:rFonts w:eastAsia="Arial"/>
          <w:lang w:val="fr-FR"/>
        </w:rPr>
      </w:pPr>
      <w:r w:rsidRPr="00E102FC">
        <w:rPr>
          <w:rFonts w:eastAsia="Arial"/>
          <w:lang w:val="fr-FR"/>
        </w:rPr>
        <w:t>Depuis l</w:t>
      </w:r>
      <w:r w:rsidR="00DD1942" w:rsidRPr="00E102FC">
        <w:rPr>
          <w:rFonts w:eastAsia="Arial"/>
          <w:lang w:val="fr-FR"/>
        </w:rPr>
        <w:t>’</w:t>
      </w:r>
      <w:r w:rsidRPr="00E102FC">
        <w:rPr>
          <w:rFonts w:eastAsia="Arial"/>
          <w:lang w:val="fr-FR"/>
        </w:rPr>
        <w:t>introduction de la feuille de route</w:t>
      </w:r>
      <w:r w:rsidR="00DD1942" w:rsidRPr="00E102FC">
        <w:rPr>
          <w:rFonts w:eastAsia="Arial"/>
          <w:lang w:val="fr-FR"/>
        </w:rPr>
        <w:t xml:space="preserve"> du PCT</w:t>
      </w:r>
      <w:r w:rsidRPr="00E102FC">
        <w:rPr>
          <w:rFonts w:eastAsia="Arial"/>
          <w:lang w:val="fr-FR"/>
        </w:rPr>
        <w:t xml:space="preserve"> par le Bureau internat</w:t>
      </w:r>
      <w:r w:rsidR="00914ADA">
        <w:rPr>
          <w:rFonts w:eastAsia="Arial"/>
          <w:lang w:val="fr-FR"/>
        </w:rPr>
        <w:t>ional, outre la proposition PCT </w:t>
      </w:r>
      <w:r w:rsidRPr="00E102FC">
        <w:rPr>
          <w:rFonts w:eastAsia="Arial"/>
          <w:lang w:val="fr-FR"/>
        </w:rPr>
        <w:t xml:space="preserve">20/20, plusieurs offices ont présenté leurs propres </w:t>
      </w:r>
      <w:r w:rsidR="004B2B26" w:rsidRPr="00E102FC">
        <w:rPr>
          <w:rFonts w:eastAsia="Arial"/>
          <w:lang w:val="fr-FR"/>
        </w:rPr>
        <w:t>propositions</w:t>
      </w:r>
      <w:r w:rsidRPr="00E102FC">
        <w:rPr>
          <w:rFonts w:eastAsia="Arial"/>
          <w:lang w:val="fr-FR"/>
        </w:rPr>
        <w:t xml:space="preserve"> d</w:t>
      </w:r>
      <w:r w:rsidR="00DD1942" w:rsidRPr="00E102FC">
        <w:rPr>
          <w:rFonts w:eastAsia="Arial"/>
          <w:lang w:val="fr-FR"/>
        </w:rPr>
        <w:t>’</w:t>
      </w:r>
      <w:r w:rsidRPr="00E102FC">
        <w:rPr>
          <w:rFonts w:eastAsia="Arial"/>
          <w:lang w:val="fr-FR"/>
        </w:rPr>
        <w:t>amélioration du système</w:t>
      </w:r>
      <w:r w:rsidR="00DD1942" w:rsidRPr="00E102FC">
        <w:rPr>
          <w:rFonts w:eastAsia="Arial"/>
          <w:lang w:val="fr-FR"/>
        </w:rPr>
        <w:t xml:space="preserve"> du PCT</w:t>
      </w:r>
      <w:r w:rsidRPr="00E102FC">
        <w:rPr>
          <w:rFonts w:eastAsia="Arial"/>
          <w:lang w:val="fr-FR"/>
        </w:rPr>
        <w:t>, notamment l</w:t>
      </w:r>
      <w:r w:rsidR="00DD1942" w:rsidRPr="00E102FC">
        <w:rPr>
          <w:rFonts w:eastAsia="Arial"/>
          <w:lang w:val="fr-FR"/>
        </w:rPr>
        <w:t>’</w:t>
      </w:r>
      <w:r w:rsidRPr="00E102FC">
        <w:rPr>
          <w:rFonts w:eastAsia="Arial"/>
          <w:lang w:val="fr-FR"/>
        </w:rPr>
        <w:t>Office européen des brevets, l</w:t>
      </w:r>
      <w:r w:rsidR="00DD1942" w:rsidRPr="00E102FC">
        <w:rPr>
          <w:rFonts w:eastAsia="Arial"/>
          <w:lang w:val="fr-FR"/>
        </w:rPr>
        <w:t>’</w:t>
      </w:r>
      <w:r w:rsidRPr="00E102FC">
        <w:rPr>
          <w:rFonts w:eastAsia="Arial"/>
          <w:lang w:val="fr-FR"/>
        </w:rPr>
        <w:t>Office des brevets du Japon et l</w:t>
      </w:r>
      <w:r w:rsidR="00DD1942" w:rsidRPr="00E102FC">
        <w:rPr>
          <w:rFonts w:eastAsia="Arial"/>
          <w:lang w:val="fr-FR"/>
        </w:rPr>
        <w:t>’</w:t>
      </w:r>
      <w:r w:rsidRPr="00E102FC">
        <w:rPr>
          <w:rFonts w:eastAsia="Arial"/>
          <w:lang w:val="fr-FR"/>
        </w:rPr>
        <w:t>Office coréen de la propriété intellectuelle.</w:t>
      </w:r>
      <w:r w:rsidR="00017BE4" w:rsidRPr="00E102FC">
        <w:rPr>
          <w:rFonts w:eastAsia="Arial"/>
          <w:lang w:val="fr-FR"/>
        </w:rPr>
        <w:t xml:space="preserve">  </w:t>
      </w:r>
      <w:r w:rsidR="00AC3B6A" w:rsidRPr="00E102FC">
        <w:rPr>
          <w:rFonts w:eastAsia="Arial"/>
          <w:lang w:val="fr-FR"/>
        </w:rPr>
        <w:t>Dans le contexte des réunions des offices de l</w:t>
      </w:r>
      <w:r w:rsidR="00DD1942" w:rsidRPr="00E102FC">
        <w:rPr>
          <w:rFonts w:eastAsia="Arial"/>
          <w:lang w:val="fr-FR"/>
        </w:rPr>
        <w:t>’</w:t>
      </w:r>
      <w:r w:rsidR="00AC3B6A" w:rsidRPr="00E102FC">
        <w:rPr>
          <w:rFonts w:eastAsia="Arial"/>
          <w:lang w:val="fr-FR"/>
        </w:rPr>
        <w:t>IP5, les États</w:t>
      </w:r>
      <w:r w:rsidR="00B20659" w:rsidRPr="00E102FC">
        <w:rPr>
          <w:rFonts w:eastAsia="Arial"/>
          <w:lang w:val="fr-FR"/>
        </w:rPr>
        <w:noBreakHyphen/>
      </w:r>
      <w:r w:rsidR="00AC3B6A" w:rsidRPr="00E102FC">
        <w:rPr>
          <w:rFonts w:eastAsia="Arial"/>
          <w:lang w:val="fr-FR"/>
        </w:rPr>
        <w:t>Unis d</w:t>
      </w:r>
      <w:r w:rsidR="00DD1942" w:rsidRPr="00E102FC">
        <w:rPr>
          <w:rFonts w:eastAsia="Arial"/>
          <w:lang w:val="fr-FR"/>
        </w:rPr>
        <w:t>’</w:t>
      </w:r>
      <w:r w:rsidR="00AC3B6A" w:rsidRPr="00E102FC">
        <w:rPr>
          <w:rFonts w:eastAsia="Arial"/>
          <w:lang w:val="fr-FR"/>
        </w:rPr>
        <w:t>Amérique sont convenus de passer en revue les différents plans afin de recenser les points communs et les propositions susceptibles de faire l</w:t>
      </w:r>
      <w:r w:rsidR="00DD1942" w:rsidRPr="00E102FC">
        <w:rPr>
          <w:rFonts w:eastAsia="Arial"/>
          <w:lang w:val="fr-FR"/>
        </w:rPr>
        <w:t>’</w:t>
      </w:r>
      <w:r w:rsidR="00AC3B6A" w:rsidRPr="00E102FC">
        <w:rPr>
          <w:rFonts w:eastAsia="Arial"/>
          <w:lang w:val="fr-FR"/>
        </w:rPr>
        <w:t>objet d</w:t>
      </w:r>
      <w:r w:rsidR="00DD1942" w:rsidRPr="00E102FC">
        <w:rPr>
          <w:rFonts w:eastAsia="Arial"/>
          <w:lang w:val="fr-FR"/>
        </w:rPr>
        <w:t>’</w:t>
      </w:r>
      <w:r w:rsidR="00AC3B6A" w:rsidRPr="00E102FC">
        <w:rPr>
          <w:rFonts w:eastAsia="Arial"/>
          <w:lang w:val="fr-FR"/>
        </w:rPr>
        <w:t>un accord.</w:t>
      </w:r>
      <w:r w:rsidR="00440D6C" w:rsidRPr="00E102FC">
        <w:rPr>
          <w:rFonts w:eastAsia="Arial"/>
          <w:lang w:val="fr-FR"/>
        </w:rPr>
        <w:t xml:space="preserve">  </w:t>
      </w:r>
      <w:r w:rsidR="00AC3B6A" w:rsidRPr="00E102FC">
        <w:rPr>
          <w:rFonts w:eastAsia="Arial"/>
          <w:lang w:val="fr-FR"/>
        </w:rPr>
        <w:t>Après discussion avec nos partenaires de l</w:t>
      </w:r>
      <w:r w:rsidR="00DD1942" w:rsidRPr="00E102FC">
        <w:rPr>
          <w:rFonts w:eastAsia="Arial"/>
          <w:lang w:val="fr-FR"/>
        </w:rPr>
        <w:t>’</w:t>
      </w:r>
      <w:r w:rsidR="00AC3B6A" w:rsidRPr="00E102FC">
        <w:rPr>
          <w:rFonts w:eastAsia="Arial"/>
          <w:lang w:val="fr-FR"/>
        </w:rPr>
        <w:t>IP5, cet examen devrait déboucher sur une série de propositions à présenter lors d</w:t>
      </w:r>
      <w:r w:rsidR="00DD1942" w:rsidRPr="00E102FC">
        <w:rPr>
          <w:rFonts w:eastAsia="Arial"/>
          <w:lang w:val="fr-FR"/>
        </w:rPr>
        <w:t>’</w:t>
      </w:r>
      <w:r w:rsidR="00AC3B6A" w:rsidRPr="00E102FC">
        <w:rPr>
          <w:rFonts w:eastAsia="Arial"/>
          <w:lang w:val="fr-FR"/>
        </w:rPr>
        <w:t>une prochaine session du groupe de travail.</w:t>
      </w:r>
    </w:p>
    <w:p w:rsidR="00C90A12" w:rsidRPr="007D6D7D" w:rsidRDefault="00AC3B6A" w:rsidP="00914ADA">
      <w:pPr>
        <w:pStyle w:val="ONUMFS"/>
        <w:ind w:left="5533"/>
        <w:rPr>
          <w:i/>
          <w:lang w:val="fr-FR"/>
        </w:rPr>
      </w:pPr>
      <w:r w:rsidRPr="007D6D7D">
        <w:rPr>
          <w:i/>
          <w:lang w:val="fr-FR"/>
        </w:rPr>
        <w:t>Le groupe de travail est invité à examiner le présent document et à faire part de ses observations à cet égard.</w:t>
      </w:r>
    </w:p>
    <w:p w:rsidR="00914ADA" w:rsidRDefault="00914ADA" w:rsidP="00914ADA">
      <w:pPr>
        <w:pStyle w:val="Endofdocument-Annex"/>
        <w:rPr>
          <w:lang w:val="fr-FR"/>
        </w:rPr>
      </w:pPr>
    </w:p>
    <w:p w:rsidR="00914ADA" w:rsidRDefault="00914ADA" w:rsidP="00914ADA">
      <w:pPr>
        <w:pStyle w:val="Endofdocument-Annex"/>
        <w:rPr>
          <w:lang w:val="fr-FR"/>
        </w:rPr>
      </w:pPr>
    </w:p>
    <w:p w:rsidR="00C90A12" w:rsidRDefault="00AC3B6A" w:rsidP="00914ADA">
      <w:pPr>
        <w:pStyle w:val="Endofdocument-Annex"/>
        <w:rPr>
          <w:rFonts w:eastAsia="Arial"/>
          <w:lang w:val="fr-FR"/>
        </w:rPr>
      </w:pPr>
      <w:r w:rsidRPr="00E102FC">
        <w:rPr>
          <w:lang w:val="fr-FR"/>
        </w:rPr>
        <w:t>[Fin du document]</w:t>
      </w:r>
    </w:p>
    <w:p w:rsidR="0006398B" w:rsidRPr="00E102FC" w:rsidRDefault="0006398B" w:rsidP="00914ADA">
      <w:pPr>
        <w:pStyle w:val="Endofdocument-Annex"/>
        <w:rPr>
          <w:rFonts w:eastAsia="Arial"/>
          <w:lang w:val="fr-FR"/>
        </w:rPr>
      </w:pPr>
    </w:p>
    <w:sectPr w:rsidR="0006398B" w:rsidRPr="00E102FC" w:rsidSect="0079144D">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AA7" w:rsidRDefault="00104AA7">
      <w:r>
        <w:separator/>
      </w:r>
    </w:p>
  </w:endnote>
  <w:endnote w:type="continuationSeparator" w:id="0">
    <w:p w:rsidR="00104AA7" w:rsidRDefault="00104AA7" w:rsidP="003B38C1">
      <w:r>
        <w:separator/>
      </w:r>
    </w:p>
    <w:p w:rsidR="00104AA7" w:rsidRPr="003B38C1" w:rsidRDefault="00104AA7" w:rsidP="003B38C1">
      <w:pPr>
        <w:spacing w:after="60"/>
        <w:rPr>
          <w:sz w:val="17"/>
        </w:rPr>
      </w:pPr>
      <w:r>
        <w:rPr>
          <w:sz w:val="17"/>
        </w:rPr>
        <w:t>[Endnote continued from previous page]</w:t>
      </w:r>
    </w:p>
  </w:endnote>
  <w:endnote w:type="continuationNotice" w:id="1">
    <w:p w:rsidR="00104AA7" w:rsidRPr="003B38C1" w:rsidRDefault="00104A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BB0" w:rsidRPr="00062BB0" w:rsidRDefault="00062BB0" w:rsidP="00752251">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AA7" w:rsidRDefault="00104AA7">
      <w:r>
        <w:separator/>
      </w:r>
    </w:p>
  </w:footnote>
  <w:footnote w:type="continuationSeparator" w:id="0">
    <w:p w:rsidR="00104AA7" w:rsidRDefault="00104AA7" w:rsidP="008B60B2">
      <w:r>
        <w:separator/>
      </w:r>
    </w:p>
    <w:p w:rsidR="00104AA7" w:rsidRPr="00ED77FB" w:rsidRDefault="00104AA7" w:rsidP="008B60B2">
      <w:pPr>
        <w:spacing w:after="60"/>
        <w:rPr>
          <w:sz w:val="17"/>
          <w:szCs w:val="17"/>
        </w:rPr>
      </w:pPr>
      <w:r w:rsidRPr="00ED77FB">
        <w:rPr>
          <w:sz w:val="17"/>
          <w:szCs w:val="17"/>
        </w:rPr>
        <w:t>[Footnote continued from previous page]</w:t>
      </w:r>
    </w:p>
  </w:footnote>
  <w:footnote w:type="continuationNotice" w:id="1">
    <w:p w:rsidR="00104AA7" w:rsidRPr="00ED77FB" w:rsidRDefault="00104A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477D6B">
    <w:pPr>
      <w:jc w:val="right"/>
    </w:pPr>
    <w:bookmarkStart w:id="6" w:name="Code2"/>
    <w:bookmarkEnd w:id="6"/>
    <w:r>
      <w:t>PCT/</w:t>
    </w:r>
    <w:r w:rsidR="00172138">
      <w:t>WG</w:t>
    </w:r>
    <w:r w:rsidR="00435C51" w:rsidRPr="00435C51">
      <w:t>/</w:t>
    </w:r>
    <w:r w:rsidR="00172138">
      <w:t>7</w:t>
    </w:r>
    <w:r w:rsidR="00435C51" w:rsidRPr="00435C51">
      <w:t>/</w:t>
    </w:r>
    <w:r w:rsidR="00AE79B2">
      <w:t>20</w:t>
    </w:r>
  </w:p>
  <w:p w:rsidR="00FB0573" w:rsidRDefault="0072505B" w:rsidP="00477D6B">
    <w:pPr>
      <w:jc w:val="right"/>
    </w:pPr>
    <w:r>
      <w:t>p</w:t>
    </w:r>
    <w:r w:rsidR="00FB0573">
      <w:t xml:space="preserve">age </w:t>
    </w:r>
    <w:r w:rsidR="00FE4E16">
      <w:fldChar w:fldCharType="begin"/>
    </w:r>
    <w:r w:rsidR="004A3D1B">
      <w:instrText xml:space="preserve"> PAGE   \* MERGEFORMAT </w:instrText>
    </w:r>
    <w:r w:rsidR="00FE4E16">
      <w:fldChar w:fldCharType="separate"/>
    </w:r>
    <w:r w:rsidR="00E40F74">
      <w:rPr>
        <w:noProof/>
      </w:rPr>
      <w:t>8</w:t>
    </w:r>
    <w:r w:rsidR="00FE4E16">
      <w:rPr>
        <w:noProof/>
      </w:rPr>
      <w:fldChar w:fldCharType="end"/>
    </w:r>
  </w:p>
  <w:p w:rsidR="00FB0573" w:rsidRDefault="00FB057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8246E0" w:rsidRDefault="00FB0573" w:rsidP="0006398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6223E4"/>
    <w:lvl w:ilvl="0">
      <w:start w:val="1"/>
      <w:numFmt w:val="decimal"/>
      <w:lvlText w:val="%1."/>
      <w:lvlJc w:val="left"/>
      <w:pPr>
        <w:tabs>
          <w:tab w:val="num" w:pos="1209"/>
        </w:tabs>
        <w:ind w:left="1209" w:hanging="360"/>
      </w:pPr>
    </w:lvl>
  </w:abstractNum>
  <w:abstractNum w:abstractNumId="1">
    <w:nsid w:val="FFFFFF7E"/>
    <w:multiLevelType w:val="singleLevel"/>
    <w:tmpl w:val="32D46310"/>
    <w:lvl w:ilvl="0">
      <w:start w:val="1"/>
      <w:numFmt w:val="decimal"/>
      <w:lvlText w:val="%1."/>
      <w:lvlJc w:val="left"/>
      <w:pPr>
        <w:tabs>
          <w:tab w:val="num" w:pos="926"/>
        </w:tabs>
        <w:ind w:left="926" w:hanging="360"/>
      </w:pPr>
    </w:lvl>
  </w:abstractNum>
  <w:abstractNum w:abstractNumId="2">
    <w:nsid w:val="FFFFFF7F"/>
    <w:multiLevelType w:val="singleLevel"/>
    <w:tmpl w:val="9BE08658"/>
    <w:lvl w:ilvl="0">
      <w:start w:val="1"/>
      <w:numFmt w:val="decimal"/>
      <w:lvlText w:val="%1."/>
      <w:lvlJc w:val="left"/>
      <w:pPr>
        <w:tabs>
          <w:tab w:val="num" w:pos="643"/>
        </w:tabs>
        <w:ind w:left="643" w:hanging="360"/>
      </w:pPr>
    </w:lvl>
  </w:abstractNum>
  <w:abstractNum w:abstractNumId="3">
    <w:nsid w:val="FFFFFF81"/>
    <w:multiLevelType w:val="singleLevel"/>
    <w:tmpl w:val="5FB2CD6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34AF24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5C8FDAA"/>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2164524A"/>
    <w:lvl w:ilvl="0">
      <w:start w:val="1"/>
      <w:numFmt w:val="decimal"/>
      <w:lvlText w:val="%1."/>
      <w:lvlJc w:val="left"/>
      <w:pPr>
        <w:tabs>
          <w:tab w:val="num" w:pos="360"/>
        </w:tabs>
        <w:ind w:left="360" w:hanging="360"/>
      </w:pPr>
    </w:lvl>
  </w:abstractNum>
  <w:abstractNum w:abstractNumId="7">
    <w:nsid w:val="FFFFFF89"/>
    <w:multiLevelType w:val="singleLevel"/>
    <w:tmpl w:val="989C06D8"/>
    <w:lvl w:ilvl="0">
      <w:start w:val="1"/>
      <w:numFmt w:val="bullet"/>
      <w:lvlText w:val=""/>
      <w:lvlJc w:val="left"/>
      <w:pPr>
        <w:tabs>
          <w:tab w:val="num" w:pos="360"/>
        </w:tabs>
        <w:ind w:left="360" w:hanging="360"/>
      </w:pPr>
      <w:rPr>
        <w:rFonts w:ascii="Symbol" w:hAnsi="Symbol" w:hint="default"/>
      </w:rPr>
    </w:lvl>
  </w:abstractNum>
  <w:abstractNum w:abstractNumId="8">
    <w:nsid w:val="06CD29E3"/>
    <w:multiLevelType w:val="multilevel"/>
    <w:tmpl w:val="A8B84CA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3160D1"/>
    <w:multiLevelType w:val="multilevel"/>
    <w:tmpl w:val="EE12DD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EE7DAE"/>
    <w:multiLevelType w:val="hybridMultilevel"/>
    <w:tmpl w:val="B25CFD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8B1ACE"/>
    <w:multiLevelType w:val="hybridMultilevel"/>
    <w:tmpl w:val="EC8EA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C745B9A"/>
    <w:multiLevelType w:val="hybridMultilevel"/>
    <w:tmpl w:val="4F2A586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F066A"/>
    <w:multiLevelType w:val="hybridMultilevel"/>
    <w:tmpl w:val="5C78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A1659"/>
    <w:multiLevelType w:val="hybridMultilevel"/>
    <w:tmpl w:val="09FEB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14"/>
  </w:num>
  <w:num w:numId="5">
    <w:abstractNumId w:val="8"/>
  </w:num>
  <w:num w:numId="6">
    <w:abstractNumId w:val="10"/>
  </w:num>
  <w:num w:numId="7">
    <w:abstractNumId w:val="16"/>
  </w:num>
  <w:num w:numId="8">
    <w:abstractNumId w:val="7"/>
  </w:num>
  <w:num w:numId="9">
    <w:abstractNumId w:val="5"/>
  </w:num>
  <w:num w:numId="10">
    <w:abstractNumId w:val="4"/>
  </w:num>
  <w:num w:numId="11">
    <w:abstractNumId w:val="3"/>
  </w:num>
  <w:num w:numId="12">
    <w:abstractNumId w:val="14"/>
  </w:num>
  <w:num w:numId="13">
    <w:abstractNumId w:val="2"/>
  </w:num>
  <w:num w:numId="14">
    <w:abstractNumId w:val="1"/>
  </w:num>
  <w:num w:numId="15">
    <w:abstractNumId w:val="0"/>
  </w:num>
  <w:num w:numId="16">
    <w:abstractNumId w:val="8"/>
  </w:num>
  <w:num w:numId="17">
    <w:abstractNumId w:val="10"/>
  </w:num>
  <w:num w:numId="18">
    <w:abstractNumId w:val="14"/>
  </w:num>
  <w:num w:numId="19">
    <w:abstractNumId w:val="8"/>
  </w:num>
  <w:num w:numId="20">
    <w:abstractNumId w:val="10"/>
  </w:num>
  <w:num w:numId="21">
    <w:abstractNumId w:val="17"/>
  </w:num>
  <w:num w:numId="22">
    <w:abstractNumId w:val="18"/>
  </w:num>
  <w:num w:numId="23">
    <w:abstractNumId w:val="13"/>
  </w:num>
  <w:num w:numId="24">
    <w:abstractNumId w:val="15"/>
  </w:num>
  <w:num w:numId="25">
    <w:abstractNumId w:val="1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4E17B8"/>
    <w:rsid w:val="00001699"/>
    <w:rsid w:val="00017BE4"/>
    <w:rsid w:val="0002326C"/>
    <w:rsid w:val="00024366"/>
    <w:rsid w:val="00043CAA"/>
    <w:rsid w:val="00061610"/>
    <w:rsid w:val="00062BB0"/>
    <w:rsid w:val="0006398B"/>
    <w:rsid w:val="00064320"/>
    <w:rsid w:val="00075432"/>
    <w:rsid w:val="00083473"/>
    <w:rsid w:val="0009233B"/>
    <w:rsid w:val="00092853"/>
    <w:rsid w:val="000968ED"/>
    <w:rsid w:val="000B1E37"/>
    <w:rsid w:val="000F3EE3"/>
    <w:rsid w:val="000F5E56"/>
    <w:rsid w:val="00104AA7"/>
    <w:rsid w:val="00104C84"/>
    <w:rsid w:val="00113676"/>
    <w:rsid w:val="001138B5"/>
    <w:rsid w:val="001238F9"/>
    <w:rsid w:val="00132F6D"/>
    <w:rsid w:val="001362EE"/>
    <w:rsid w:val="00136AC3"/>
    <w:rsid w:val="00156238"/>
    <w:rsid w:val="00157D64"/>
    <w:rsid w:val="0017105A"/>
    <w:rsid w:val="00172138"/>
    <w:rsid w:val="001733D1"/>
    <w:rsid w:val="001832A6"/>
    <w:rsid w:val="00190C03"/>
    <w:rsid w:val="00194891"/>
    <w:rsid w:val="00197DFA"/>
    <w:rsid w:val="001B5899"/>
    <w:rsid w:val="001E5432"/>
    <w:rsid w:val="00200036"/>
    <w:rsid w:val="002173BA"/>
    <w:rsid w:val="00225E54"/>
    <w:rsid w:val="0026255F"/>
    <w:rsid w:val="002634C4"/>
    <w:rsid w:val="00266841"/>
    <w:rsid w:val="002762E1"/>
    <w:rsid w:val="00281499"/>
    <w:rsid w:val="002928D3"/>
    <w:rsid w:val="00297FED"/>
    <w:rsid w:val="002A086E"/>
    <w:rsid w:val="002A339D"/>
    <w:rsid w:val="002A7BAC"/>
    <w:rsid w:val="002B44E0"/>
    <w:rsid w:val="002B4517"/>
    <w:rsid w:val="002B56DB"/>
    <w:rsid w:val="002D2D00"/>
    <w:rsid w:val="002E2CE2"/>
    <w:rsid w:val="002E6015"/>
    <w:rsid w:val="002E7EBB"/>
    <w:rsid w:val="002F1FE6"/>
    <w:rsid w:val="002F4E68"/>
    <w:rsid w:val="002F54BC"/>
    <w:rsid w:val="00304606"/>
    <w:rsid w:val="003112C3"/>
    <w:rsid w:val="00312F7F"/>
    <w:rsid w:val="00326B6F"/>
    <w:rsid w:val="00345601"/>
    <w:rsid w:val="00357BF0"/>
    <w:rsid w:val="00361450"/>
    <w:rsid w:val="003673CF"/>
    <w:rsid w:val="003845C1"/>
    <w:rsid w:val="003A6F89"/>
    <w:rsid w:val="003B38C1"/>
    <w:rsid w:val="00423AAA"/>
    <w:rsid w:val="00423E3E"/>
    <w:rsid w:val="00427AF4"/>
    <w:rsid w:val="00435C51"/>
    <w:rsid w:val="00440D6C"/>
    <w:rsid w:val="00441CD3"/>
    <w:rsid w:val="004434E4"/>
    <w:rsid w:val="00451E52"/>
    <w:rsid w:val="004542EE"/>
    <w:rsid w:val="004647DA"/>
    <w:rsid w:val="00474062"/>
    <w:rsid w:val="00477D6B"/>
    <w:rsid w:val="004877C9"/>
    <w:rsid w:val="004A3D1B"/>
    <w:rsid w:val="004B2B26"/>
    <w:rsid w:val="004B5575"/>
    <w:rsid w:val="004D7461"/>
    <w:rsid w:val="004E0D8C"/>
    <w:rsid w:val="004E17B8"/>
    <w:rsid w:val="004E4C96"/>
    <w:rsid w:val="005019FF"/>
    <w:rsid w:val="00513261"/>
    <w:rsid w:val="0053057A"/>
    <w:rsid w:val="005553C0"/>
    <w:rsid w:val="00560A29"/>
    <w:rsid w:val="00563952"/>
    <w:rsid w:val="005A2546"/>
    <w:rsid w:val="005A6D63"/>
    <w:rsid w:val="005A76F1"/>
    <w:rsid w:val="005C6649"/>
    <w:rsid w:val="005D4190"/>
    <w:rsid w:val="00605827"/>
    <w:rsid w:val="00613BF4"/>
    <w:rsid w:val="00617F76"/>
    <w:rsid w:val="00624AB1"/>
    <w:rsid w:val="00634D93"/>
    <w:rsid w:val="0064083D"/>
    <w:rsid w:val="00646050"/>
    <w:rsid w:val="00647C72"/>
    <w:rsid w:val="00650CE2"/>
    <w:rsid w:val="006533F0"/>
    <w:rsid w:val="006618E4"/>
    <w:rsid w:val="00664AD8"/>
    <w:rsid w:val="00665455"/>
    <w:rsid w:val="00670ACD"/>
    <w:rsid w:val="006713CA"/>
    <w:rsid w:val="00676C5C"/>
    <w:rsid w:val="006A304C"/>
    <w:rsid w:val="006A4A17"/>
    <w:rsid w:val="006C7E4D"/>
    <w:rsid w:val="006D751E"/>
    <w:rsid w:val="007075B2"/>
    <w:rsid w:val="007149B0"/>
    <w:rsid w:val="007149F4"/>
    <w:rsid w:val="007237CF"/>
    <w:rsid w:val="0072505B"/>
    <w:rsid w:val="00737D5C"/>
    <w:rsid w:val="0074480B"/>
    <w:rsid w:val="00752251"/>
    <w:rsid w:val="00756E55"/>
    <w:rsid w:val="0076581C"/>
    <w:rsid w:val="007729D9"/>
    <w:rsid w:val="00773F7B"/>
    <w:rsid w:val="00783E3D"/>
    <w:rsid w:val="00787D7C"/>
    <w:rsid w:val="0079144D"/>
    <w:rsid w:val="007A05CC"/>
    <w:rsid w:val="007A2BDD"/>
    <w:rsid w:val="007B2D55"/>
    <w:rsid w:val="007C1BA0"/>
    <w:rsid w:val="007C451B"/>
    <w:rsid w:val="007D1613"/>
    <w:rsid w:val="007D292C"/>
    <w:rsid w:val="007D6D7D"/>
    <w:rsid w:val="007D7228"/>
    <w:rsid w:val="0080245A"/>
    <w:rsid w:val="00803883"/>
    <w:rsid w:val="00804123"/>
    <w:rsid w:val="008115A3"/>
    <w:rsid w:val="0081645F"/>
    <w:rsid w:val="00823A5B"/>
    <w:rsid w:val="0083584F"/>
    <w:rsid w:val="008416C5"/>
    <w:rsid w:val="00866DB2"/>
    <w:rsid w:val="00873FA9"/>
    <w:rsid w:val="0088054E"/>
    <w:rsid w:val="00891482"/>
    <w:rsid w:val="008977E0"/>
    <w:rsid w:val="008B1001"/>
    <w:rsid w:val="008B2CC1"/>
    <w:rsid w:val="008B60B2"/>
    <w:rsid w:val="008C4654"/>
    <w:rsid w:val="008C571C"/>
    <w:rsid w:val="008D63A3"/>
    <w:rsid w:val="0090731E"/>
    <w:rsid w:val="00912505"/>
    <w:rsid w:val="00914ADA"/>
    <w:rsid w:val="00916EE2"/>
    <w:rsid w:val="0092469F"/>
    <w:rsid w:val="00933601"/>
    <w:rsid w:val="00933F31"/>
    <w:rsid w:val="00941220"/>
    <w:rsid w:val="00966A22"/>
    <w:rsid w:val="0096722F"/>
    <w:rsid w:val="00970FF6"/>
    <w:rsid w:val="009767C2"/>
    <w:rsid w:val="0097719E"/>
    <w:rsid w:val="00980843"/>
    <w:rsid w:val="009875DE"/>
    <w:rsid w:val="00993DF7"/>
    <w:rsid w:val="009E2791"/>
    <w:rsid w:val="009E3F6F"/>
    <w:rsid w:val="009F499F"/>
    <w:rsid w:val="00A00635"/>
    <w:rsid w:val="00A0784F"/>
    <w:rsid w:val="00A22571"/>
    <w:rsid w:val="00A2265D"/>
    <w:rsid w:val="00A42DAF"/>
    <w:rsid w:val="00A45BD8"/>
    <w:rsid w:val="00A77AB8"/>
    <w:rsid w:val="00A81C3D"/>
    <w:rsid w:val="00A847D1"/>
    <w:rsid w:val="00A8548C"/>
    <w:rsid w:val="00A869B7"/>
    <w:rsid w:val="00A9501E"/>
    <w:rsid w:val="00A97E15"/>
    <w:rsid w:val="00AA69EF"/>
    <w:rsid w:val="00AB3503"/>
    <w:rsid w:val="00AB4C13"/>
    <w:rsid w:val="00AC205C"/>
    <w:rsid w:val="00AC3B6A"/>
    <w:rsid w:val="00AE62C7"/>
    <w:rsid w:val="00AE79B2"/>
    <w:rsid w:val="00AE7F37"/>
    <w:rsid w:val="00AF0A6B"/>
    <w:rsid w:val="00AF568B"/>
    <w:rsid w:val="00B05A69"/>
    <w:rsid w:val="00B157BA"/>
    <w:rsid w:val="00B17571"/>
    <w:rsid w:val="00B20659"/>
    <w:rsid w:val="00B25500"/>
    <w:rsid w:val="00B30256"/>
    <w:rsid w:val="00B35FA2"/>
    <w:rsid w:val="00B4416C"/>
    <w:rsid w:val="00B54FB4"/>
    <w:rsid w:val="00B552E3"/>
    <w:rsid w:val="00B61E80"/>
    <w:rsid w:val="00B9734B"/>
    <w:rsid w:val="00BC2554"/>
    <w:rsid w:val="00BD1017"/>
    <w:rsid w:val="00C11BFE"/>
    <w:rsid w:val="00C12919"/>
    <w:rsid w:val="00C1299E"/>
    <w:rsid w:val="00C205EF"/>
    <w:rsid w:val="00C52E06"/>
    <w:rsid w:val="00C55BD8"/>
    <w:rsid w:val="00C60973"/>
    <w:rsid w:val="00C67B7D"/>
    <w:rsid w:val="00C8195C"/>
    <w:rsid w:val="00C90A12"/>
    <w:rsid w:val="00C92D91"/>
    <w:rsid w:val="00C95B9D"/>
    <w:rsid w:val="00CA2D97"/>
    <w:rsid w:val="00CB0979"/>
    <w:rsid w:val="00CD5AE7"/>
    <w:rsid w:val="00CE19ED"/>
    <w:rsid w:val="00CF42B1"/>
    <w:rsid w:val="00CF537F"/>
    <w:rsid w:val="00D03BCB"/>
    <w:rsid w:val="00D06340"/>
    <w:rsid w:val="00D12C8D"/>
    <w:rsid w:val="00D14AF8"/>
    <w:rsid w:val="00D27FA4"/>
    <w:rsid w:val="00D44BDC"/>
    <w:rsid w:val="00D44E7E"/>
    <w:rsid w:val="00D45252"/>
    <w:rsid w:val="00D45653"/>
    <w:rsid w:val="00D467A8"/>
    <w:rsid w:val="00D5480E"/>
    <w:rsid w:val="00D57388"/>
    <w:rsid w:val="00D653A9"/>
    <w:rsid w:val="00D701A6"/>
    <w:rsid w:val="00D71B4D"/>
    <w:rsid w:val="00D73627"/>
    <w:rsid w:val="00D87D38"/>
    <w:rsid w:val="00D93A12"/>
    <w:rsid w:val="00D93D55"/>
    <w:rsid w:val="00D95B26"/>
    <w:rsid w:val="00DB50F1"/>
    <w:rsid w:val="00DD1942"/>
    <w:rsid w:val="00DE17C8"/>
    <w:rsid w:val="00DE60B9"/>
    <w:rsid w:val="00DF3346"/>
    <w:rsid w:val="00E04DD1"/>
    <w:rsid w:val="00E0610E"/>
    <w:rsid w:val="00E102FC"/>
    <w:rsid w:val="00E335FE"/>
    <w:rsid w:val="00E40F74"/>
    <w:rsid w:val="00E47A86"/>
    <w:rsid w:val="00E568A5"/>
    <w:rsid w:val="00E84A76"/>
    <w:rsid w:val="00E85118"/>
    <w:rsid w:val="00E93714"/>
    <w:rsid w:val="00E93B47"/>
    <w:rsid w:val="00E974FE"/>
    <w:rsid w:val="00EA2FA7"/>
    <w:rsid w:val="00EB3EB2"/>
    <w:rsid w:val="00EC4E49"/>
    <w:rsid w:val="00ED40AA"/>
    <w:rsid w:val="00ED6A2F"/>
    <w:rsid w:val="00ED77FB"/>
    <w:rsid w:val="00EE45FA"/>
    <w:rsid w:val="00EF2556"/>
    <w:rsid w:val="00F03243"/>
    <w:rsid w:val="00F04CC3"/>
    <w:rsid w:val="00F07F00"/>
    <w:rsid w:val="00F10338"/>
    <w:rsid w:val="00F10FFE"/>
    <w:rsid w:val="00F178FC"/>
    <w:rsid w:val="00F22B4C"/>
    <w:rsid w:val="00F32279"/>
    <w:rsid w:val="00F52483"/>
    <w:rsid w:val="00F603AB"/>
    <w:rsid w:val="00F6135D"/>
    <w:rsid w:val="00F66152"/>
    <w:rsid w:val="00F67EB1"/>
    <w:rsid w:val="00F96F26"/>
    <w:rsid w:val="00FA42D5"/>
    <w:rsid w:val="00FB0573"/>
    <w:rsid w:val="00FC4C3D"/>
    <w:rsid w:val="00FC6B95"/>
    <w:rsid w:val="00FD4AFB"/>
    <w:rsid w:val="00FD518A"/>
    <w:rsid w:val="00FE4E16"/>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E04DD1"/>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uiPriority w:val="34"/>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E04DD1"/>
    <w:pPr>
      <w:keepNext/>
      <w:keepLines/>
      <w:pageBreakBefore/>
      <w:spacing w:before="240" w:line="480" w:lineRule="auto"/>
      <w:jc w:val="center"/>
    </w:pPr>
    <w:rPr>
      <w:rFonts w:eastAsia="Arial Unicode MS" w:cs="Times New Roman"/>
      <w:b/>
      <w:snapToGrid w:val="0"/>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E04DD1"/>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D06340"/>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unhideWhenUsed/>
    <w:rsid w:val="0081645F"/>
    <w:rPr>
      <w:rFonts w:ascii="Times New Roman" w:eastAsia="Calibri" w:hAnsi="Times New Roman" w:cs="Times New Roman"/>
      <w:sz w:val="20"/>
      <w:lang w:eastAsia="en-US"/>
    </w:rPr>
  </w:style>
  <w:style w:type="character" w:customStyle="1" w:styleId="FootnoteTextChar">
    <w:name w:val="Footnote Text Char"/>
    <w:link w:val="FootnoteText"/>
    <w:uiPriority w:val="99"/>
    <w:rsid w:val="0081645F"/>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E04DD1"/>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uiPriority w:val="34"/>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E04DD1"/>
    <w:pPr>
      <w:keepNext/>
      <w:keepLines/>
      <w:pageBreakBefore/>
      <w:spacing w:before="240" w:line="480" w:lineRule="auto"/>
      <w:jc w:val="center"/>
    </w:pPr>
    <w:rPr>
      <w:rFonts w:eastAsia="Arial Unicode MS" w:cs="Times New Roman"/>
      <w:b/>
      <w:snapToGrid w:val="0"/>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E04DD1"/>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D06340"/>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unhideWhenUsed/>
    <w:rsid w:val="0081645F"/>
    <w:rPr>
      <w:rFonts w:ascii="Times New Roman" w:eastAsia="Calibri" w:hAnsi="Times New Roman" w:cs="Times New Roman"/>
      <w:sz w:val="20"/>
      <w:lang w:eastAsia="en-US"/>
    </w:rPr>
  </w:style>
  <w:style w:type="character" w:customStyle="1" w:styleId="FootnoteTextChar">
    <w:name w:val="Footnote Text Char"/>
    <w:link w:val="FootnoteText"/>
    <w:uiPriority w:val="99"/>
    <w:rsid w:val="0081645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6256A-4B38-4F81-B6BF-EBD4238AE1FF}">
  <ds:schemaRefs>
    <ds:schemaRef ds:uri="http://schemas.openxmlformats.org/officeDocument/2006/bibliography"/>
  </ds:schemaRefs>
</ds:datastoreItem>
</file>

<file path=customXml/itemProps2.xml><?xml version="1.0" encoding="utf-8"?>
<ds:datastoreItem xmlns:ds="http://schemas.openxmlformats.org/officeDocument/2006/customXml" ds:itemID="{9B6C2191-0E9B-4BF0-8590-D3BB6ECB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3878</Words>
  <Characters>21568</Characters>
  <Application>Microsoft Office Word</Application>
  <DocSecurity>0</DocSecurity>
  <Lines>431</Lines>
  <Paragraphs>145</Paragraphs>
  <ScaleCrop>false</ScaleCrop>
  <HeadingPairs>
    <vt:vector size="2" baseType="variant">
      <vt:variant>
        <vt:lpstr>Title</vt:lpstr>
      </vt:variant>
      <vt:variant>
        <vt:i4>1</vt:i4>
      </vt:variant>
    </vt:vector>
  </HeadingPairs>
  <TitlesOfParts>
    <vt:vector size="1" baseType="lpstr">
      <vt:lpstr>PCT/WG/7/20</vt:lpstr>
    </vt:vector>
  </TitlesOfParts>
  <Company>WIPO</Company>
  <LinksUpToDate>false</LinksUpToDate>
  <CharactersWithSpaces>25301</CharactersWithSpaces>
  <SharedDoc>false</SharedDoc>
  <HLinks>
    <vt:vector size="6" baseType="variant">
      <vt:variant>
        <vt:i4>1441799</vt:i4>
      </vt:variant>
      <vt:variant>
        <vt:i4>0</vt:i4>
      </vt:variant>
      <vt:variant>
        <vt:i4>0</vt:i4>
      </vt:variant>
      <vt:variant>
        <vt:i4>5</vt:i4>
      </vt:variant>
      <vt:variant>
        <vt:lpwstr>http://helix-1.uspto.gov/asxgen/GlobalDossier.wmv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PCT/WG/7/20</dc:title>
  <dc:subject>General Discussion of PCT 20/20 Proposals</dc:subject>
  <dc:creator>WIPO</dc:creator>
  <cp:keywords>JCH/ko</cp:keywords>
  <cp:lastModifiedBy>MARLOW Thomas</cp:lastModifiedBy>
  <cp:revision>11</cp:revision>
  <cp:lastPrinted>2014-05-28T15:43:00Z</cp:lastPrinted>
  <dcterms:created xsi:type="dcterms:W3CDTF">2014-05-28T15:33:00Z</dcterms:created>
  <dcterms:modified xsi:type="dcterms:W3CDTF">2014-05-28T16:03:00Z</dcterms:modified>
</cp:coreProperties>
</file>