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5D75" w14:textId="77777777" w:rsidR="008B2CC1" w:rsidRPr="00144ABC" w:rsidRDefault="00DB0349" w:rsidP="00DB0349">
      <w:pPr>
        <w:spacing w:after="120"/>
        <w:jc w:val="right"/>
        <w:rPr>
          <w:lang w:val="fr-FR"/>
        </w:rPr>
      </w:pPr>
      <w:r w:rsidRPr="00144ABC">
        <w:rPr>
          <w:noProof/>
          <w:lang w:val="fr-FR" w:eastAsia="en-US"/>
        </w:rPr>
        <w:drawing>
          <wp:inline distT="0" distB="0" distL="0" distR="0" wp14:anchorId="46F90767" wp14:editId="5A9DC20C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144ABC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712A3912" wp14:editId="7BDC6B42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A298F25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B9F0E44" w14:textId="7F378B42" w:rsidR="008B2CC1" w:rsidRPr="00144ABC" w:rsidRDefault="00FC45E7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144ABC">
        <w:rPr>
          <w:rFonts w:ascii="Arial Black" w:hAnsi="Arial Black"/>
          <w:caps/>
          <w:sz w:val="15"/>
          <w:szCs w:val="15"/>
          <w:lang w:val="fr-FR"/>
        </w:rPr>
        <w:t>pct</w:t>
      </w:r>
      <w:r w:rsidR="00AE7C04" w:rsidRPr="00144ABC">
        <w:rPr>
          <w:rFonts w:ascii="Arial Black" w:hAnsi="Arial Black"/>
          <w:caps/>
          <w:sz w:val="15"/>
          <w:szCs w:val="15"/>
          <w:lang w:val="fr-FR"/>
        </w:rPr>
        <w:t>/</w:t>
      </w:r>
      <w:r w:rsidRPr="00144ABC">
        <w:rPr>
          <w:rFonts w:ascii="Arial Black" w:hAnsi="Arial Black"/>
          <w:caps/>
          <w:sz w:val="15"/>
          <w:szCs w:val="15"/>
          <w:lang w:val="fr-FR"/>
        </w:rPr>
        <w:t>wg</w:t>
      </w:r>
      <w:r w:rsidR="00AE7C04" w:rsidRPr="00144ABC">
        <w:rPr>
          <w:rFonts w:ascii="Arial Black" w:hAnsi="Arial Black"/>
          <w:caps/>
          <w:sz w:val="15"/>
          <w:szCs w:val="15"/>
          <w:lang w:val="fr-FR"/>
        </w:rPr>
        <w:t>/</w:t>
      </w:r>
      <w:r w:rsidRPr="00144ABC">
        <w:rPr>
          <w:rFonts w:ascii="Arial Black" w:hAnsi="Arial Black"/>
          <w:caps/>
          <w:sz w:val="15"/>
          <w:szCs w:val="15"/>
          <w:lang w:val="fr-FR"/>
        </w:rPr>
        <w:t>1</w:t>
      </w:r>
      <w:r w:rsidR="004A4984" w:rsidRPr="00144ABC">
        <w:rPr>
          <w:rFonts w:ascii="Arial Black" w:hAnsi="Arial Black"/>
          <w:caps/>
          <w:sz w:val="15"/>
          <w:szCs w:val="15"/>
          <w:lang w:val="fr-FR"/>
        </w:rPr>
        <w:t>9</w:t>
      </w:r>
      <w:r w:rsidR="00D04414" w:rsidRPr="00144ABC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F801EA" w:rsidRPr="00144ABC">
        <w:rPr>
          <w:rFonts w:ascii="Arial Black" w:hAnsi="Arial Black"/>
          <w:caps/>
          <w:sz w:val="15"/>
          <w:szCs w:val="15"/>
          <w:lang w:val="fr-FR"/>
        </w:rPr>
        <w:t>8</w:t>
      </w:r>
    </w:p>
    <w:bookmarkEnd w:id="0"/>
    <w:p w14:paraId="1FF352D2" w14:textId="2144C0D7" w:rsidR="008B2CC1" w:rsidRPr="00144ABC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144ABC">
        <w:rPr>
          <w:rFonts w:ascii="Arial Black" w:hAnsi="Arial Black"/>
          <w:caps/>
          <w:sz w:val="15"/>
          <w:szCs w:val="15"/>
          <w:lang w:val="fr-FR"/>
        </w:rPr>
        <w:t>Original</w:t>
      </w:r>
      <w:r w:rsidR="00C35B54" w:rsidRPr="00144ABC">
        <w:rPr>
          <w:rFonts w:ascii="Arial Black" w:hAnsi="Arial Black"/>
          <w:caps/>
          <w:sz w:val="15"/>
          <w:szCs w:val="15"/>
          <w:lang w:val="fr-FR"/>
        </w:rPr>
        <w:t> :</w:t>
      </w:r>
      <w:r w:rsidRPr="00144ABC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F801EA" w:rsidRPr="00144ABC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54BD0F8A" w14:textId="4B4CC889" w:rsidR="008B2CC1" w:rsidRPr="00144ABC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144ABC">
        <w:rPr>
          <w:rFonts w:ascii="Arial Black" w:hAnsi="Arial Black"/>
          <w:caps/>
          <w:sz w:val="15"/>
          <w:szCs w:val="15"/>
          <w:lang w:val="fr-FR"/>
        </w:rPr>
        <w:t>date</w:t>
      </w:r>
      <w:r w:rsidR="00C35B54" w:rsidRPr="00144ABC">
        <w:rPr>
          <w:rFonts w:ascii="Arial Black" w:hAnsi="Arial Black"/>
          <w:caps/>
          <w:sz w:val="15"/>
          <w:szCs w:val="15"/>
          <w:lang w:val="fr-FR"/>
        </w:rPr>
        <w:t> :</w:t>
      </w:r>
      <w:r w:rsidRPr="00144ABC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F801EA" w:rsidRPr="00144ABC">
        <w:rPr>
          <w:rFonts w:ascii="Arial Black" w:hAnsi="Arial Black"/>
          <w:caps/>
          <w:sz w:val="15"/>
          <w:szCs w:val="15"/>
          <w:lang w:val="fr-FR"/>
        </w:rPr>
        <w:t>19 décembre 2025</w:t>
      </w:r>
    </w:p>
    <w:bookmarkEnd w:id="2"/>
    <w:p w14:paraId="740A0562" w14:textId="77777777" w:rsidR="00C40E15" w:rsidRPr="00144ABC" w:rsidRDefault="00BB16AB" w:rsidP="00A003A7">
      <w:pPr>
        <w:spacing w:after="600"/>
        <w:rPr>
          <w:b/>
          <w:sz w:val="28"/>
          <w:szCs w:val="28"/>
          <w:lang w:val="fr-FR"/>
        </w:rPr>
      </w:pPr>
      <w:r w:rsidRPr="00144ABC">
        <w:rPr>
          <w:b/>
          <w:sz w:val="28"/>
          <w:szCs w:val="28"/>
          <w:lang w:val="fr-FR"/>
        </w:rPr>
        <w:t>Groupe de travail du Traité de coopération en matière de brevets (PCT)</w:t>
      </w:r>
    </w:p>
    <w:p w14:paraId="3F7D8227" w14:textId="60F6E7FA" w:rsidR="008B2CC1" w:rsidRPr="00144ABC" w:rsidRDefault="004010C2" w:rsidP="008B2CC1">
      <w:pPr>
        <w:rPr>
          <w:b/>
          <w:sz w:val="24"/>
          <w:szCs w:val="24"/>
          <w:lang w:val="fr-FR"/>
        </w:rPr>
      </w:pPr>
      <w:r w:rsidRPr="00144ABC">
        <w:rPr>
          <w:b/>
          <w:sz w:val="24"/>
          <w:szCs w:val="24"/>
          <w:lang w:val="fr-FR"/>
        </w:rPr>
        <w:t>Dix</w:t>
      </w:r>
      <w:r w:rsidR="00B71345">
        <w:rPr>
          <w:b/>
          <w:sz w:val="24"/>
          <w:szCs w:val="24"/>
          <w:lang w:val="fr-FR"/>
        </w:rPr>
        <w:noBreakHyphen/>
      </w:r>
      <w:r w:rsidR="004A4984" w:rsidRPr="00144ABC">
        <w:rPr>
          <w:b/>
          <w:sz w:val="24"/>
          <w:szCs w:val="24"/>
          <w:lang w:val="fr-FR"/>
        </w:rPr>
        <w:t>ne</w:t>
      </w:r>
      <w:r w:rsidR="003500BE" w:rsidRPr="00144ABC">
        <w:rPr>
          <w:b/>
          <w:sz w:val="24"/>
          <w:szCs w:val="24"/>
          <w:lang w:val="fr-FR"/>
        </w:rPr>
        <w:t>u</w:t>
      </w:r>
      <w:r w:rsidR="004A4984" w:rsidRPr="00144ABC">
        <w:rPr>
          <w:b/>
          <w:sz w:val="24"/>
          <w:szCs w:val="24"/>
          <w:lang w:val="fr-FR"/>
        </w:rPr>
        <w:t>v</w:t>
      </w:r>
      <w:r w:rsidR="00C35B54" w:rsidRPr="00144ABC">
        <w:rPr>
          <w:b/>
          <w:sz w:val="24"/>
          <w:szCs w:val="24"/>
          <w:lang w:val="fr-FR"/>
        </w:rPr>
        <w:t>ième session</w:t>
      </w:r>
    </w:p>
    <w:p w14:paraId="4CF6EE41" w14:textId="77777777" w:rsidR="008B2CC1" w:rsidRPr="00144ABC" w:rsidRDefault="00BB16AB" w:rsidP="00DB0349">
      <w:pPr>
        <w:spacing w:after="720"/>
        <w:rPr>
          <w:b/>
          <w:sz w:val="24"/>
          <w:szCs w:val="24"/>
          <w:lang w:val="fr-FR"/>
        </w:rPr>
      </w:pPr>
      <w:r w:rsidRPr="00144ABC">
        <w:rPr>
          <w:b/>
          <w:sz w:val="24"/>
          <w:szCs w:val="24"/>
          <w:lang w:val="fr-FR"/>
        </w:rPr>
        <w:t xml:space="preserve">Genève, </w:t>
      </w:r>
      <w:r w:rsidR="004A4984" w:rsidRPr="00144ABC">
        <w:rPr>
          <w:b/>
          <w:sz w:val="24"/>
          <w:szCs w:val="24"/>
          <w:lang w:val="fr-FR"/>
        </w:rPr>
        <w:t>2</w:t>
      </w:r>
      <w:r w:rsidR="004010C2" w:rsidRPr="00144ABC">
        <w:rPr>
          <w:b/>
          <w:sz w:val="24"/>
          <w:szCs w:val="24"/>
          <w:lang w:val="fr-FR"/>
        </w:rPr>
        <w:t xml:space="preserve"> – </w:t>
      </w:r>
      <w:r w:rsidR="004A4984" w:rsidRPr="00144ABC">
        <w:rPr>
          <w:b/>
          <w:sz w:val="24"/>
          <w:szCs w:val="24"/>
          <w:lang w:val="fr-FR"/>
        </w:rPr>
        <w:t>6</w:t>
      </w:r>
      <w:r w:rsidR="004010C2" w:rsidRPr="00144ABC">
        <w:rPr>
          <w:b/>
          <w:sz w:val="24"/>
          <w:szCs w:val="24"/>
          <w:lang w:val="fr-FR"/>
        </w:rPr>
        <w:t> février 202</w:t>
      </w:r>
      <w:r w:rsidR="004A4984" w:rsidRPr="00144ABC">
        <w:rPr>
          <w:b/>
          <w:sz w:val="24"/>
          <w:szCs w:val="24"/>
          <w:lang w:val="fr-FR"/>
        </w:rPr>
        <w:t>6</w:t>
      </w:r>
    </w:p>
    <w:p w14:paraId="2E9C8865" w14:textId="2973FF98" w:rsidR="00F801EA" w:rsidRPr="00144ABC" w:rsidRDefault="00F801EA" w:rsidP="00F801EA">
      <w:pPr>
        <w:spacing w:after="360"/>
        <w:rPr>
          <w:caps/>
          <w:sz w:val="24"/>
          <w:lang w:val="fr-FR"/>
        </w:rPr>
      </w:pPr>
      <w:bookmarkStart w:id="3" w:name="TitleOfDoc"/>
      <w:r w:rsidRPr="00144ABC">
        <w:rPr>
          <w:caps/>
          <w:sz w:val="24"/>
          <w:lang w:val="fr-FR"/>
        </w:rPr>
        <w:t>Acceptation des documents par le Bureau international au nom de l</w:t>
      </w:r>
      <w:r w:rsidR="00C35B54" w:rsidRPr="00144ABC">
        <w:rPr>
          <w:caps/>
          <w:sz w:val="24"/>
          <w:lang w:val="fr-FR"/>
        </w:rPr>
        <w:t>’</w:t>
      </w:r>
      <w:r w:rsidRPr="00144ABC">
        <w:rPr>
          <w:caps/>
          <w:sz w:val="24"/>
          <w:lang w:val="fr-FR"/>
        </w:rPr>
        <w:t>administration compétente</w:t>
      </w:r>
    </w:p>
    <w:p w14:paraId="46295EC3" w14:textId="77777777" w:rsidR="00F801EA" w:rsidRPr="00144ABC" w:rsidRDefault="00F801EA" w:rsidP="00F801EA">
      <w:pPr>
        <w:spacing w:after="960"/>
        <w:rPr>
          <w:i/>
          <w:lang w:val="fr-FR"/>
        </w:rPr>
      </w:pPr>
      <w:bookmarkStart w:id="4" w:name="Prepared"/>
      <w:bookmarkEnd w:id="3"/>
      <w:r w:rsidRPr="00144ABC">
        <w:rPr>
          <w:i/>
          <w:lang w:val="fr-FR"/>
        </w:rPr>
        <w:t>Document établi par le Bureau international</w:t>
      </w:r>
    </w:p>
    <w:bookmarkEnd w:id="4"/>
    <w:p w14:paraId="3C253109" w14:textId="77777777" w:rsidR="00F801EA" w:rsidRPr="00144ABC" w:rsidRDefault="00F801EA" w:rsidP="00C35B54">
      <w:pPr>
        <w:pStyle w:val="Heading1"/>
        <w:rPr>
          <w:lang w:val="fr-FR"/>
        </w:rPr>
      </w:pPr>
      <w:r w:rsidRPr="00144ABC">
        <w:rPr>
          <w:lang w:val="fr-FR"/>
        </w:rPr>
        <w:t>Résumé</w:t>
      </w:r>
    </w:p>
    <w:p w14:paraId="79D70A12" w14:textId="3A1218C8" w:rsidR="00F801EA" w:rsidRPr="00144ABC" w:rsidRDefault="00F801EA" w:rsidP="00C35B54">
      <w:pPr>
        <w:pStyle w:val="ONUMFS"/>
        <w:rPr>
          <w:lang w:val="fr-FR"/>
        </w:rPr>
      </w:pPr>
      <w:r w:rsidRPr="00144ABC">
        <w:rPr>
          <w:lang w:val="fr-FR"/>
        </w:rPr>
        <w:t>L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annexe contient des propositions relatives à une règle qui permettrait au Bureau international de recevoir, au nom d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un office national, en sa qualité d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office récepteur, d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administration chargée de la recherche internationale, d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administration indiquée pour la recherche internationale supplémentaire ou d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administration chargée de l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examen préliminaire international (administration compétente), la correspondance destinée à cette administration nationale, et de transmettre cette correspondance à l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administration compétente en la traitant comme si elle avait été reçue par celle</w:t>
      </w:r>
      <w:r w:rsidR="00B71345">
        <w:rPr>
          <w:lang w:val="fr-FR"/>
        </w:rPr>
        <w:noBreakHyphen/>
      </w:r>
      <w:r w:rsidRPr="00144ABC">
        <w:rPr>
          <w:lang w:val="fr-FR"/>
        </w:rPr>
        <w:t>ci à la date de sa réception par le Bureau international.</w:t>
      </w:r>
    </w:p>
    <w:p w14:paraId="49AA52A5" w14:textId="77777777" w:rsidR="00F801EA" w:rsidRPr="00144ABC" w:rsidRDefault="00F801EA" w:rsidP="00C35B54">
      <w:pPr>
        <w:pStyle w:val="Heading1"/>
        <w:rPr>
          <w:lang w:val="fr-FR"/>
        </w:rPr>
      </w:pPr>
      <w:r w:rsidRPr="00144ABC">
        <w:rPr>
          <w:lang w:val="fr-FR"/>
        </w:rPr>
        <w:t>Rappel</w:t>
      </w:r>
    </w:p>
    <w:p w14:paraId="26315265" w14:textId="006CC1ED" w:rsidR="00F801EA" w:rsidRPr="00144ABC" w:rsidRDefault="00F801EA" w:rsidP="00C35B54">
      <w:pPr>
        <w:pStyle w:val="ONUMFS"/>
        <w:rPr>
          <w:lang w:val="fr-FR"/>
        </w:rPr>
      </w:pPr>
      <w:r w:rsidRPr="00144ABC">
        <w:rPr>
          <w:lang w:val="fr-FR"/>
        </w:rPr>
        <w:t>À la dix</w:t>
      </w:r>
      <w:r w:rsidR="00B71345">
        <w:rPr>
          <w:lang w:val="fr-FR"/>
        </w:rPr>
        <w:noBreakHyphen/>
      </w:r>
      <w:r w:rsidRPr="00144ABC">
        <w:rPr>
          <w:lang w:val="fr-FR"/>
        </w:rPr>
        <w:t>sept</w:t>
      </w:r>
      <w:r w:rsidR="00C35B54" w:rsidRPr="00144ABC">
        <w:rPr>
          <w:lang w:val="fr-FR"/>
        </w:rPr>
        <w:t>ième session</w:t>
      </w:r>
      <w:r w:rsidRPr="00144ABC">
        <w:rPr>
          <w:lang w:val="fr-FR"/>
        </w:rPr>
        <w:t xml:space="preserve"> du Groupe de travail</w:t>
      </w:r>
      <w:r w:rsidR="00C35B54" w:rsidRPr="00144ABC">
        <w:rPr>
          <w:lang w:val="fr-FR"/>
        </w:rPr>
        <w:t xml:space="preserve"> du PCT</w:t>
      </w:r>
      <w:r w:rsidRPr="00144ABC">
        <w:rPr>
          <w:lang w:val="fr-FR"/>
        </w:rPr>
        <w:t>, des discussions ont eu lieu sur une proposition du Brésil visant à ce que les offices récepteurs exigent que les demandes soient déposées et que les documents déposés ultérieurement soient transmis uniquement sous forme électroniq</w:t>
      </w:r>
      <w:r w:rsidR="00144ABC" w:rsidRPr="00144ABC">
        <w:rPr>
          <w:lang w:val="fr-FR"/>
        </w:rPr>
        <w:t>ue.  La</w:t>
      </w:r>
      <w:r w:rsidRPr="00144ABC">
        <w:rPr>
          <w:lang w:val="fr-FR"/>
        </w:rPr>
        <w:t xml:space="preserve"> proposition a été approuvée, étant entendu que (entre autres mesures de sauvegarde) cette option n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était pas disponible pour l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office récepteur du Bureau international, qui a accepté une disposition de la règle 89</w:t>
      </w:r>
      <w:r w:rsidRPr="00144ABC">
        <w:rPr>
          <w:i/>
          <w:lang w:val="fr-FR"/>
        </w:rPr>
        <w:t>bis</w:t>
      </w:r>
      <w:r w:rsidRPr="00144ABC">
        <w:rPr>
          <w:lang w:val="fr-FR"/>
        </w:rPr>
        <w:t>.</w:t>
      </w:r>
      <w:proofErr w:type="gramStart"/>
      <w:r w:rsidRPr="00144ABC">
        <w:rPr>
          <w:lang w:val="fr-FR"/>
        </w:rPr>
        <w:t>1.d</w:t>
      </w:r>
      <w:proofErr w:type="gramEnd"/>
      <w:r w:rsidR="00B71345">
        <w:rPr>
          <w:lang w:val="fr-FR"/>
        </w:rPr>
        <w:noBreakHyphen/>
      </w:r>
      <w:r w:rsidRPr="00144ABC">
        <w:rPr>
          <w:i/>
          <w:lang w:val="fr-FR"/>
        </w:rPr>
        <w:t>bis</w:t>
      </w:r>
      <w:r w:rsidRPr="00144ABC">
        <w:rPr>
          <w:lang w:val="fr-FR"/>
        </w:rPr>
        <w:t>) l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obligeant à continuer à accepter les demandes et les documents sur papier jusqu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à ce que la règle soit à nouveau modifi</w:t>
      </w:r>
      <w:r w:rsidR="00144ABC" w:rsidRPr="00144ABC">
        <w:rPr>
          <w:lang w:val="fr-FR"/>
        </w:rPr>
        <w:t>ée.  Le</w:t>
      </w:r>
      <w:r w:rsidRPr="00144ABC">
        <w:rPr>
          <w:lang w:val="fr-FR"/>
        </w:rPr>
        <w:t>s règles proposées ont été approuvées par l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Assemblée de l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Union</w:t>
      </w:r>
      <w:r w:rsidR="00C35B54" w:rsidRPr="00144ABC">
        <w:rPr>
          <w:lang w:val="fr-FR"/>
        </w:rPr>
        <w:t xml:space="preserve"> du PCT</w:t>
      </w:r>
      <w:r w:rsidRPr="00144ABC">
        <w:rPr>
          <w:lang w:val="fr-FR"/>
        </w:rPr>
        <w:t xml:space="preserve"> et sont entrées en vigueur le</w:t>
      </w:r>
      <w:r w:rsidR="00C35B54" w:rsidRPr="00144ABC">
        <w:rPr>
          <w:lang w:val="fr-FR"/>
        </w:rPr>
        <w:t xml:space="preserve"> 1</w:t>
      </w:r>
      <w:r w:rsidR="00C35B54" w:rsidRPr="00144ABC">
        <w:rPr>
          <w:vertAlign w:val="superscript"/>
          <w:lang w:val="fr-FR"/>
        </w:rPr>
        <w:t>er</w:t>
      </w:r>
      <w:r w:rsidR="00C35B54" w:rsidRPr="00144ABC">
        <w:rPr>
          <w:lang w:val="fr-FR"/>
        </w:rPr>
        <w:t> juillet 20</w:t>
      </w:r>
      <w:r w:rsidRPr="00144ABC">
        <w:rPr>
          <w:lang w:val="fr-FR"/>
        </w:rPr>
        <w:t>25.</w:t>
      </w:r>
    </w:p>
    <w:p w14:paraId="4D32A6FC" w14:textId="15004E60" w:rsidR="00F801EA" w:rsidRPr="00144ABC" w:rsidRDefault="00F801EA" w:rsidP="00C35B54">
      <w:pPr>
        <w:pStyle w:val="ONUMFS"/>
        <w:rPr>
          <w:lang w:val="fr-FR"/>
        </w:rPr>
      </w:pPr>
      <w:r w:rsidRPr="00144ABC">
        <w:rPr>
          <w:lang w:val="fr-FR"/>
        </w:rPr>
        <w:lastRenderedPageBreak/>
        <w:t>Une délégation a demandé au Bureau international s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il serait disposé à accepter également des documents sur papier au nom des offices nationaux qui souhaitaient accepter les documents fournis après le dépôt de la demande internationale uniquement sous forme électronique.</w:t>
      </w:r>
    </w:p>
    <w:p w14:paraId="2B3CF787" w14:textId="1189439E" w:rsidR="00F801EA" w:rsidRPr="00144ABC" w:rsidRDefault="00F801EA" w:rsidP="00C35B54">
      <w:pPr>
        <w:pStyle w:val="ONUMFS"/>
        <w:rPr>
          <w:lang w:val="fr-FR"/>
        </w:rPr>
      </w:pPr>
      <w:r w:rsidRPr="00144ABC">
        <w:rPr>
          <w:lang w:val="fr-FR"/>
        </w:rPr>
        <w:t>Le Bureau international a répondu que ce service ne serait utilisé que très ponctuelleme</w:t>
      </w:r>
      <w:r w:rsidR="00144ABC" w:rsidRPr="00144ABC">
        <w:rPr>
          <w:lang w:val="fr-FR"/>
        </w:rPr>
        <w:t>nt.  Pa</w:t>
      </w:r>
      <w:r w:rsidRPr="00144ABC">
        <w:rPr>
          <w:lang w:val="fr-FR"/>
        </w:rPr>
        <w:t>r conséquent, le travail consistant à recevoir, numériser et transmettre les documents serait insignifiant et, en principe, il serait disposé à offrir ce servi</w:t>
      </w:r>
      <w:r w:rsidR="00144ABC" w:rsidRPr="00144ABC">
        <w:rPr>
          <w:lang w:val="fr-FR"/>
        </w:rPr>
        <w:t>ce.  To</w:t>
      </w:r>
      <w:r w:rsidRPr="00144ABC">
        <w:rPr>
          <w:lang w:val="fr-FR"/>
        </w:rPr>
        <w:t>utefois, il n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était pas certain que les offices nationaux, en leur qualité d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office récepteur, d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administration chargée de la recherche internationale ou d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administration chargée de l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examen préliminaire international, seraient en mesure de traiter les documents comme ayant été reçus à la date à laquelle ils ont été reçus par le Bureau internation</w:t>
      </w:r>
      <w:r w:rsidR="00144ABC" w:rsidRPr="00144ABC">
        <w:rPr>
          <w:lang w:val="fr-FR"/>
        </w:rPr>
        <w:t>al.  Il</w:t>
      </w:r>
      <w:r w:rsidRPr="00144ABC">
        <w:rPr>
          <w:lang w:val="fr-FR"/>
        </w:rPr>
        <w:t xml:space="preserve"> était possible qu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ils ne soient traités comme reçus qu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au moment où ils étaient effectivement reçus par l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office concerné, ce qui pouvait entraîner l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inobservation par le déposant du dernier délai pour intervenir.</w:t>
      </w:r>
    </w:p>
    <w:p w14:paraId="5CF0B1AF" w14:textId="77777777" w:rsidR="00F801EA" w:rsidRPr="00144ABC" w:rsidRDefault="00F801EA" w:rsidP="00C35B54">
      <w:pPr>
        <w:pStyle w:val="ONUMFS"/>
        <w:rPr>
          <w:lang w:val="fr-FR"/>
        </w:rPr>
      </w:pPr>
      <w:r w:rsidRPr="00144ABC">
        <w:rPr>
          <w:lang w:val="fr-FR"/>
        </w:rPr>
        <w:t>Par conséquent, le Bureau international ne recommanderait un tel arrangement que si une base juridique claire était fournie à cet effet.</w:t>
      </w:r>
    </w:p>
    <w:p w14:paraId="18DD76E5" w14:textId="2E09569D" w:rsidR="00F801EA" w:rsidRPr="00144ABC" w:rsidRDefault="00F801EA" w:rsidP="00C35B54">
      <w:pPr>
        <w:pStyle w:val="ONUMFS"/>
        <w:rPr>
          <w:lang w:val="fr-FR"/>
        </w:rPr>
      </w:pPr>
      <w:r w:rsidRPr="00144ABC">
        <w:rPr>
          <w:lang w:val="fr-FR"/>
        </w:rPr>
        <w:t>À l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heure actuelle, il existe une base juridique spécifique qui oblige un office à considérer un document comme ayant été reçu à la date à laquelle il a été reçu par le Bureau international ou un autre office dans un seul cas particuli</w:t>
      </w:r>
      <w:r w:rsidR="00144ABC" w:rsidRPr="00144ABC">
        <w:rPr>
          <w:lang w:val="fr-FR"/>
        </w:rPr>
        <w:t>er.  Pl</w:t>
      </w:r>
      <w:r w:rsidRPr="00144ABC">
        <w:rPr>
          <w:lang w:val="fr-FR"/>
        </w:rPr>
        <w:t>us précisément, la règle 59.3 prévoit qu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une demande soumise à une administration selon</w:t>
      </w:r>
      <w:r w:rsidR="00C35B54" w:rsidRPr="00144ABC">
        <w:rPr>
          <w:lang w:val="fr-FR"/>
        </w:rPr>
        <w:t xml:space="preserve"> le PCT</w:t>
      </w:r>
      <w:r w:rsidRPr="00144ABC">
        <w:rPr>
          <w:lang w:val="fr-FR"/>
        </w:rPr>
        <w:t xml:space="preserve"> (</w:t>
      </w:r>
      <w:r w:rsidR="00C35B54" w:rsidRPr="00144ABC">
        <w:rPr>
          <w:lang w:val="fr-FR"/>
        </w:rPr>
        <w:t>y compris</w:t>
      </w:r>
      <w:r w:rsidRPr="00144ABC">
        <w:rPr>
          <w:lang w:val="fr-FR"/>
        </w:rPr>
        <w:t xml:space="preserve"> le Bureau international) qui n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est pas compétente pour l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examen préliminaire international de cette demande internationale doit être transmise à l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administration chargée de l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examen préliminaire international compétente, qui doit alors traiter la demande comme ayant été reçue à la date à laquelle elle a été reçue par l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administration qui n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est pas compétente.</w:t>
      </w:r>
    </w:p>
    <w:p w14:paraId="0326ED63" w14:textId="5D673A65" w:rsidR="00F801EA" w:rsidRPr="00144ABC" w:rsidRDefault="00F801EA" w:rsidP="00C35B54">
      <w:pPr>
        <w:pStyle w:val="ONUMFS"/>
        <w:rPr>
          <w:lang w:val="fr-FR"/>
        </w:rPr>
      </w:pPr>
      <w:r w:rsidRPr="00144ABC">
        <w:rPr>
          <w:lang w:val="fr-FR"/>
        </w:rPr>
        <w:t xml:space="preserve">Le système </w:t>
      </w:r>
      <w:proofErr w:type="spellStart"/>
      <w:r w:rsidRPr="00144ABC">
        <w:rPr>
          <w:lang w:val="fr-FR"/>
        </w:rPr>
        <w:t>ePCT</w:t>
      </w:r>
      <w:proofErr w:type="spellEnd"/>
      <w:r w:rsidRPr="00144ABC">
        <w:rPr>
          <w:lang w:val="fr-FR"/>
        </w:rPr>
        <w:t xml:space="preserve"> offre un effet similaire et de plus grande portée grâce au service de routage électronique des documents auquel 101 offices ont adhé</w:t>
      </w:r>
      <w:r w:rsidR="00144ABC" w:rsidRPr="00144ABC">
        <w:rPr>
          <w:lang w:val="fr-FR"/>
        </w:rPr>
        <w:t>ré.  Da</w:t>
      </w:r>
      <w:r w:rsidRPr="00144ABC">
        <w:rPr>
          <w:lang w:val="fr-FR"/>
        </w:rPr>
        <w:t xml:space="preserve">ns ce cas, les documents peuvent être téléchargés par voie électronique dans le système </w:t>
      </w:r>
      <w:proofErr w:type="spellStart"/>
      <w:r w:rsidRPr="00144ABC">
        <w:rPr>
          <w:lang w:val="fr-FR"/>
        </w:rPr>
        <w:t>ePCT</w:t>
      </w:r>
      <w:proofErr w:type="spellEnd"/>
      <w:r w:rsidRPr="00144ABC">
        <w:rPr>
          <w:lang w:val="fr-FR"/>
        </w:rPr>
        <w:t>, où ils sont enregistrés comme ayant été reçus à une date donnée selon le fuseau horaire de cet office et sont stockés sur un serveur pour l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offi</w:t>
      </w:r>
      <w:r w:rsidR="00144ABC" w:rsidRPr="00144ABC">
        <w:rPr>
          <w:lang w:val="fr-FR"/>
        </w:rPr>
        <w:t>ce.  Da</w:t>
      </w:r>
      <w:r w:rsidRPr="00144ABC">
        <w:rPr>
          <w:lang w:val="fr-FR"/>
        </w:rPr>
        <w:t>ns certains cas, il s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agit du serveur que l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 xml:space="preserve">office utilise pour les documents utilisés dans le cadre de son travail de traitement dans la phase </w:t>
      </w:r>
      <w:proofErr w:type="gramStart"/>
      <w:r w:rsidRPr="00144ABC">
        <w:rPr>
          <w:lang w:val="fr-FR"/>
        </w:rPr>
        <w:t xml:space="preserve">internationale; </w:t>
      </w:r>
      <w:r w:rsidR="0019690A" w:rsidRPr="00144ABC">
        <w:rPr>
          <w:lang w:val="fr-FR"/>
        </w:rPr>
        <w:t xml:space="preserve"> </w:t>
      </w:r>
      <w:r w:rsidRPr="00144ABC">
        <w:rPr>
          <w:lang w:val="fr-FR"/>
        </w:rPr>
        <w:t>dans</w:t>
      </w:r>
      <w:proofErr w:type="gramEnd"/>
      <w:r w:rsidRPr="00144ABC">
        <w:rPr>
          <w:lang w:val="fr-FR"/>
        </w:rPr>
        <w:t xml:space="preserve"> les autres cas, le serveur est considéré comme faisant partie de l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office et il est convenu de respecter la date conformément aux conditions d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utilisati</w:t>
      </w:r>
      <w:r w:rsidR="00144ABC" w:rsidRPr="00144ABC">
        <w:rPr>
          <w:lang w:val="fr-FR"/>
        </w:rPr>
        <w:t>on.  To</w:t>
      </w:r>
      <w:r w:rsidRPr="00144ABC">
        <w:rPr>
          <w:lang w:val="fr-FR"/>
        </w:rPr>
        <w:t>utefois, dans les deux</w:t>
      </w:r>
      <w:r w:rsidR="0019690A" w:rsidRPr="00144ABC">
        <w:rPr>
          <w:lang w:val="fr-FR"/>
        </w:rPr>
        <w:t> </w:t>
      </w:r>
      <w:r w:rsidRPr="00144ABC">
        <w:rPr>
          <w:lang w:val="fr-FR"/>
        </w:rPr>
        <w:t>cas, bien que le Bureau international fournisse le service, le document est légalement considéré comme ayant été remis directement à l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offi</w:t>
      </w:r>
      <w:r w:rsidR="00144ABC" w:rsidRPr="00144ABC">
        <w:rPr>
          <w:lang w:val="fr-FR"/>
        </w:rPr>
        <w:t>ce.  De</w:t>
      </w:r>
      <w:r w:rsidRPr="00144ABC">
        <w:rPr>
          <w:lang w:val="fr-FR"/>
        </w:rPr>
        <w:t xml:space="preserve"> plus, cela ne s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applique qu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aux documents soumis par voie électronique et par l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intermédiaire du service approprié et ne concerne pas les documents reçus sur papier.</w:t>
      </w:r>
    </w:p>
    <w:p w14:paraId="076D994E" w14:textId="0A88D443" w:rsidR="00F801EA" w:rsidRPr="00144ABC" w:rsidRDefault="00F801EA" w:rsidP="00C35B54">
      <w:pPr>
        <w:pStyle w:val="Heading1"/>
        <w:rPr>
          <w:lang w:val="fr-FR"/>
        </w:rPr>
      </w:pPr>
      <w:r w:rsidRPr="00144ABC">
        <w:rPr>
          <w:lang w:val="fr-FR"/>
        </w:rPr>
        <w:t>Extension possible des dispositions de la règle 59.3 à d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autres communications</w:t>
      </w:r>
    </w:p>
    <w:p w14:paraId="129EEA81" w14:textId="3218ADCC" w:rsidR="00F801EA" w:rsidRPr="00144ABC" w:rsidRDefault="00F801EA" w:rsidP="00C35B54">
      <w:pPr>
        <w:pStyle w:val="ONUMFS"/>
        <w:rPr>
          <w:lang w:val="fr-FR"/>
        </w:rPr>
      </w:pPr>
      <w:r w:rsidRPr="00144ABC">
        <w:rPr>
          <w:lang w:val="fr-FR"/>
        </w:rPr>
        <w:t>Pour régler la question visée au paragraphe 3, il semble nécessaire de prévoir une règle similaire à la règle 59.3, mais applicable à tout type de document et à tout type d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administration compétente pour une action au niveau internation</w:t>
      </w:r>
      <w:r w:rsidR="00144ABC" w:rsidRPr="00144ABC">
        <w:rPr>
          <w:lang w:val="fr-FR"/>
        </w:rPr>
        <w:t>al.  L’a</w:t>
      </w:r>
      <w:r w:rsidRPr="00144ABC">
        <w:rPr>
          <w:lang w:val="fr-FR"/>
        </w:rPr>
        <w:t>nnexe du présent document contient une proposition de modification de la règle 92 à cet effet.</w:t>
      </w:r>
    </w:p>
    <w:p w14:paraId="759724ED" w14:textId="5C382B87" w:rsidR="00F801EA" w:rsidRPr="00144ABC" w:rsidRDefault="00F801EA" w:rsidP="00C35B54">
      <w:pPr>
        <w:pStyle w:val="ONUMFS"/>
        <w:rPr>
          <w:lang w:val="fr-FR"/>
        </w:rPr>
      </w:pPr>
      <w:r w:rsidRPr="00144ABC">
        <w:rPr>
          <w:lang w:val="fr-FR"/>
        </w:rPr>
        <w:t>Si le Bureau international recevait une correspondance destinée à un autre office, il la transmettrait rapidement par les mêmes services électroniques que ceux utilisés pour la correspondance avec l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office concer</w:t>
      </w:r>
      <w:r w:rsidR="00144ABC" w:rsidRPr="00144ABC">
        <w:rPr>
          <w:lang w:val="fr-FR"/>
        </w:rPr>
        <w:t>né.  Le</w:t>
      </w:r>
      <w:r w:rsidRPr="00144ABC">
        <w:rPr>
          <w:lang w:val="fr-FR"/>
        </w:rPr>
        <w:t>s documents reçus sur papier seraient généralement numérisés et transmis dans un délai d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un ou deux</w:t>
      </w:r>
      <w:r w:rsidR="0019690A" w:rsidRPr="00144ABC">
        <w:rPr>
          <w:lang w:val="fr-FR"/>
        </w:rPr>
        <w:t> </w:t>
      </w:r>
      <w:r w:rsidRPr="00144ABC">
        <w:rPr>
          <w:lang w:val="fr-FR"/>
        </w:rPr>
        <w:t>jours ouvrables.</w:t>
      </w:r>
    </w:p>
    <w:p w14:paraId="42709364" w14:textId="44F602F4" w:rsidR="00F801EA" w:rsidRPr="00144ABC" w:rsidRDefault="00F801EA" w:rsidP="00C35B54">
      <w:pPr>
        <w:pStyle w:val="ONUMFS"/>
        <w:rPr>
          <w:lang w:val="fr-FR"/>
        </w:rPr>
      </w:pPr>
      <w:r w:rsidRPr="00144ABC">
        <w:rPr>
          <w:lang w:val="fr-FR"/>
        </w:rPr>
        <w:t xml:space="preserve">Il convient de noter que le service </w:t>
      </w:r>
      <w:proofErr w:type="spellStart"/>
      <w:r w:rsidRPr="00144ABC">
        <w:rPr>
          <w:lang w:val="fr-FR"/>
        </w:rPr>
        <w:t>ePCT</w:t>
      </w:r>
      <w:proofErr w:type="spellEnd"/>
      <w:r w:rsidRPr="00144ABC">
        <w:rPr>
          <w:lang w:val="fr-FR"/>
        </w:rPr>
        <w:t xml:space="preserve"> de routage électronique ne relèverait pas du champ d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application de la règle proposée et continuerait à fonctionner selon les modalités existant</w:t>
      </w:r>
      <w:r w:rsidR="00144ABC" w:rsidRPr="00144ABC">
        <w:rPr>
          <w:lang w:val="fr-FR"/>
        </w:rPr>
        <w:t>es.  Lo</w:t>
      </w:r>
      <w:r w:rsidRPr="00144ABC">
        <w:rPr>
          <w:lang w:val="fr-FR"/>
        </w:rPr>
        <w:t>rsqu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 xml:space="preserve">un déposant télécharge un document sur ce service en indiquant </w:t>
      </w:r>
      <w:r w:rsidRPr="00144ABC">
        <w:rPr>
          <w:lang w:val="fr-FR"/>
        </w:rPr>
        <w:lastRenderedPageBreak/>
        <w:t>expressément qu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il est destiné à un office national, ce document n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est pas considéré comme ayant été reçu par le Bureau international, mais par l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office lui</w:t>
      </w:r>
      <w:r w:rsidR="00B71345">
        <w:rPr>
          <w:lang w:val="fr-FR"/>
        </w:rPr>
        <w:noBreakHyphen/>
      </w:r>
      <w:r w:rsidRPr="00144ABC">
        <w:rPr>
          <w:lang w:val="fr-FR"/>
        </w:rPr>
        <w:t>mê</w:t>
      </w:r>
      <w:r w:rsidR="00144ABC" w:rsidRPr="00144ABC">
        <w:rPr>
          <w:lang w:val="fr-FR"/>
        </w:rPr>
        <w:t>me.  Ce</w:t>
      </w:r>
      <w:r w:rsidRPr="00144ABC">
        <w:rPr>
          <w:lang w:val="fr-FR"/>
        </w:rPr>
        <w:t>s documents seraient horodatés</w:t>
      </w:r>
      <w:r w:rsidR="00B71345">
        <w:rPr>
          <w:lang w:val="fr-FR"/>
        </w:rPr>
        <w:t xml:space="preserve"> </w:t>
      </w:r>
      <w:r w:rsidRPr="00144ABC">
        <w:rPr>
          <w:lang w:val="fr-FR"/>
        </w:rPr>
        <w:t>selon l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heure en vigueur dans cet office et acheminés de la manière habituelle pour ce servi</w:t>
      </w:r>
      <w:r w:rsidR="00144ABC" w:rsidRPr="00144ABC">
        <w:rPr>
          <w:lang w:val="fr-FR"/>
        </w:rPr>
        <w:t>ce.  La</w:t>
      </w:r>
      <w:r w:rsidRPr="00144ABC">
        <w:rPr>
          <w:lang w:val="fr-FR"/>
        </w:rPr>
        <w:t xml:space="preserve"> règle proposée pourrait toutefois s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appliquer aux documents téléchargés par l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 xml:space="preserve">intermédiaire du système </w:t>
      </w:r>
      <w:proofErr w:type="spellStart"/>
      <w:r w:rsidRPr="00144ABC">
        <w:rPr>
          <w:lang w:val="fr-FR"/>
        </w:rPr>
        <w:t>ePCT</w:t>
      </w:r>
      <w:proofErr w:type="spellEnd"/>
      <w:r w:rsidRPr="00144ABC">
        <w:rPr>
          <w:lang w:val="fr-FR"/>
        </w:rPr>
        <w:t xml:space="preserve"> adressés par erreur au Bureau international et transmis ultérieurement.</w:t>
      </w:r>
    </w:p>
    <w:p w14:paraId="73D34C26" w14:textId="34C5584F" w:rsidR="00F801EA" w:rsidRPr="00144ABC" w:rsidRDefault="00F801EA" w:rsidP="00C35B54">
      <w:pPr>
        <w:pStyle w:val="ONUMFS"/>
        <w:ind w:left="5533"/>
        <w:rPr>
          <w:i/>
          <w:lang w:val="fr-FR"/>
        </w:rPr>
      </w:pPr>
      <w:r w:rsidRPr="00144ABC">
        <w:rPr>
          <w:i/>
          <w:lang w:val="fr-FR"/>
        </w:rPr>
        <w:t>Le groupe de travail est invité à examiner les propositions de modification de la règle 92 figurant dans l</w:t>
      </w:r>
      <w:r w:rsidR="00C35B54" w:rsidRPr="00144ABC">
        <w:rPr>
          <w:i/>
          <w:lang w:val="fr-FR"/>
        </w:rPr>
        <w:t>’</w:t>
      </w:r>
      <w:r w:rsidRPr="00144ABC">
        <w:rPr>
          <w:i/>
          <w:lang w:val="fr-FR"/>
        </w:rPr>
        <w:t xml:space="preserve">annexe du </w:t>
      </w:r>
      <w:r w:rsidR="00C35B54" w:rsidRPr="00144ABC">
        <w:rPr>
          <w:i/>
          <w:lang w:val="fr-FR"/>
        </w:rPr>
        <w:t>document</w:t>
      </w:r>
      <w:r w:rsidR="00B71345">
        <w:rPr>
          <w:i/>
          <w:lang w:val="fr-FR"/>
        </w:rPr>
        <w:t> </w:t>
      </w:r>
      <w:r w:rsidR="00C35B54" w:rsidRPr="00144ABC">
        <w:rPr>
          <w:i/>
          <w:lang w:val="fr-FR"/>
        </w:rPr>
        <w:t>PC</w:t>
      </w:r>
      <w:r w:rsidRPr="00144ABC">
        <w:rPr>
          <w:i/>
          <w:lang w:val="fr-FR"/>
        </w:rPr>
        <w:t>T/WG/19/8.</w:t>
      </w:r>
    </w:p>
    <w:p w14:paraId="5BF00CEB" w14:textId="2507878A" w:rsidR="00F801EA" w:rsidRPr="00144ABC" w:rsidRDefault="00F801EA" w:rsidP="00C35B54">
      <w:pPr>
        <w:pStyle w:val="Endofdocument-Annex"/>
        <w:sectPr w:rsidR="00F801EA" w:rsidRPr="00144ABC" w:rsidSect="00CD4A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144ABC">
        <w:t>[L</w:t>
      </w:r>
      <w:r w:rsidR="00C35B54" w:rsidRPr="00144ABC">
        <w:t>’</w:t>
      </w:r>
      <w:r w:rsidRPr="00144ABC">
        <w:t>annexe suit]</w:t>
      </w:r>
    </w:p>
    <w:p w14:paraId="4D8E0F82" w14:textId="46EABB13" w:rsidR="00F801EA" w:rsidRPr="00144ABC" w:rsidRDefault="00F801EA" w:rsidP="00C35B54">
      <w:pPr>
        <w:spacing w:before="480" w:after="360"/>
        <w:jc w:val="center"/>
        <w:rPr>
          <w:lang w:val="fr-FR"/>
        </w:rPr>
      </w:pPr>
      <w:r w:rsidRPr="00144ABC">
        <w:rPr>
          <w:lang w:val="fr-FR"/>
        </w:rPr>
        <w:lastRenderedPageBreak/>
        <w:t>PROPOSITIONS DE MODIFICATION DU RÈGLEMENT D</w:t>
      </w:r>
      <w:r w:rsidR="00C35B54" w:rsidRPr="00144ABC">
        <w:rPr>
          <w:lang w:val="fr-FR"/>
        </w:rPr>
        <w:t>’</w:t>
      </w:r>
      <w:r w:rsidRPr="00144ABC">
        <w:rPr>
          <w:lang w:val="fr-FR"/>
        </w:rPr>
        <w:t>EXÉCUTION DU PCT</w:t>
      </w:r>
      <w:r w:rsidRPr="00144ABC">
        <w:rPr>
          <w:rStyle w:val="FootnoteReference"/>
          <w:lang w:val="fr-FR"/>
        </w:rPr>
        <w:footnoteReference w:id="2"/>
      </w:r>
    </w:p>
    <w:p w14:paraId="7FBFDEAA" w14:textId="34C33D47" w:rsidR="00C35B54" w:rsidRPr="00144ABC" w:rsidRDefault="00C35B54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en-US"/>
          <w14:ligatures w14:val="standardContextual"/>
        </w:rPr>
      </w:pPr>
      <w:r w:rsidRPr="00144ABC">
        <w:rPr>
          <w:lang w:val="fr-FR"/>
        </w:rPr>
        <w:fldChar w:fldCharType="begin"/>
      </w:r>
      <w:r w:rsidRPr="00144ABC">
        <w:rPr>
          <w:lang w:val="fr-FR"/>
        </w:rPr>
        <w:instrText xml:space="preserve"> TOC \h \z \t "Leg SubRule #;2;Leg # Title;1" </w:instrText>
      </w:r>
      <w:r w:rsidRPr="00144ABC">
        <w:rPr>
          <w:lang w:val="fr-FR"/>
        </w:rPr>
        <w:fldChar w:fldCharType="separate"/>
      </w:r>
      <w:hyperlink w:anchor="_Toc218508242" w:history="1">
        <w:r w:rsidRPr="00144ABC">
          <w:rPr>
            <w:rStyle w:val="Hyperlink"/>
            <w:noProof/>
            <w:lang w:val="fr-FR"/>
          </w:rPr>
          <w:t>Règle 92  Correspondance</w:t>
        </w:r>
        <w:r w:rsidRPr="00144ABC">
          <w:rPr>
            <w:noProof/>
            <w:webHidden/>
            <w:lang w:val="fr-FR"/>
          </w:rPr>
          <w:tab/>
        </w:r>
        <w:r w:rsidRPr="00144ABC">
          <w:rPr>
            <w:noProof/>
            <w:webHidden/>
            <w:lang w:val="fr-FR"/>
          </w:rPr>
          <w:fldChar w:fldCharType="begin"/>
        </w:r>
        <w:r w:rsidRPr="00144ABC">
          <w:rPr>
            <w:noProof/>
            <w:webHidden/>
            <w:lang w:val="fr-FR"/>
          </w:rPr>
          <w:instrText xml:space="preserve"> PAGEREF _Toc218508242 \h </w:instrText>
        </w:r>
        <w:r w:rsidRPr="00144ABC">
          <w:rPr>
            <w:noProof/>
            <w:webHidden/>
            <w:lang w:val="fr-FR"/>
          </w:rPr>
        </w:r>
        <w:r w:rsidRPr="00144ABC">
          <w:rPr>
            <w:noProof/>
            <w:webHidden/>
            <w:lang w:val="fr-FR"/>
          </w:rPr>
          <w:fldChar w:fldCharType="separate"/>
        </w:r>
        <w:r w:rsidR="00253245">
          <w:rPr>
            <w:noProof/>
            <w:webHidden/>
            <w:lang w:val="fr-FR"/>
          </w:rPr>
          <w:t>2</w:t>
        </w:r>
        <w:r w:rsidRPr="00144ABC">
          <w:rPr>
            <w:noProof/>
            <w:webHidden/>
            <w:lang w:val="fr-FR"/>
          </w:rPr>
          <w:fldChar w:fldCharType="end"/>
        </w:r>
      </w:hyperlink>
    </w:p>
    <w:p w14:paraId="7ECE1BFC" w14:textId="00B26781" w:rsidR="00C35B54" w:rsidRPr="00144ABC" w:rsidRDefault="00C35B54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en-US"/>
          <w14:ligatures w14:val="standardContextual"/>
        </w:rPr>
      </w:pPr>
      <w:hyperlink w:anchor="_Toc218508243" w:history="1">
        <w:r w:rsidRPr="00144ABC">
          <w:rPr>
            <w:rStyle w:val="Hyperlink"/>
            <w:noProof/>
            <w:lang w:val="fr-FR"/>
          </w:rPr>
          <w:t>92.1  [Sans changement]  </w:t>
        </w:r>
        <w:r w:rsidRPr="00144ABC">
          <w:rPr>
            <w:rStyle w:val="Hyperlink"/>
            <w:i/>
            <w:noProof/>
            <w:lang w:val="fr-FR"/>
          </w:rPr>
          <w:t>Lettre d’accompagnement et signature</w:t>
        </w:r>
        <w:r w:rsidRPr="00144ABC">
          <w:rPr>
            <w:noProof/>
            <w:webHidden/>
            <w:lang w:val="fr-FR"/>
          </w:rPr>
          <w:tab/>
        </w:r>
        <w:r w:rsidRPr="00144ABC">
          <w:rPr>
            <w:noProof/>
            <w:webHidden/>
            <w:lang w:val="fr-FR"/>
          </w:rPr>
          <w:fldChar w:fldCharType="begin"/>
        </w:r>
        <w:r w:rsidRPr="00144ABC">
          <w:rPr>
            <w:noProof/>
            <w:webHidden/>
            <w:lang w:val="fr-FR"/>
          </w:rPr>
          <w:instrText xml:space="preserve"> PAGEREF _Toc218508243 \h </w:instrText>
        </w:r>
        <w:r w:rsidRPr="00144ABC">
          <w:rPr>
            <w:noProof/>
            <w:webHidden/>
            <w:lang w:val="fr-FR"/>
          </w:rPr>
        </w:r>
        <w:r w:rsidRPr="00144ABC">
          <w:rPr>
            <w:noProof/>
            <w:webHidden/>
            <w:lang w:val="fr-FR"/>
          </w:rPr>
          <w:fldChar w:fldCharType="separate"/>
        </w:r>
        <w:r w:rsidR="00253245">
          <w:rPr>
            <w:noProof/>
            <w:webHidden/>
            <w:lang w:val="fr-FR"/>
          </w:rPr>
          <w:t>2</w:t>
        </w:r>
        <w:r w:rsidRPr="00144ABC">
          <w:rPr>
            <w:noProof/>
            <w:webHidden/>
            <w:lang w:val="fr-FR"/>
          </w:rPr>
          <w:fldChar w:fldCharType="end"/>
        </w:r>
      </w:hyperlink>
    </w:p>
    <w:p w14:paraId="4414990B" w14:textId="543B290F" w:rsidR="00C35B54" w:rsidRPr="00144ABC" w:rsidRDefault="00C35B54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en-US"/>
          <w14:ligatures w14:val="standardContextual"/>
        </w:rPr>
      </w:pPr>
      <w:hyperlink w:anchor="_Toc218508244" w:history="1">
        <w:r w:rsidRPr="00144ABC">
          <w:rPr>
            <w:rStyle w:val="Hyperlink"/>
            <w:noProof/>
            <w:lang w:val="fr-FR"/>
          </w:rPr>
          <w:t>92.2  [Sans changement]  </w:t>
        </w:r>
        <w:r w:rsidRPr="00144ABC">
          <w:rPr>
            <w:rStyle w:val="Hyperlink"/>
            <w:i/>
            <w:noProof/>
            <w:lang w:val="fr-FR"/>
          </w:rPr>
          <w:t>Langues</w:t>
        </w:r>
        <w:r w:rsidRPr="00144ABC">
          <w:rPr>
            <w:noProof/>
            <w:webHidden/>
            <w:lang w:val="fr-FR"/>
          </w:rPr>
          <w:tab/>
        </w:r>
        <w:r w:rsidRPr="00144ABC">
          <w:rPr>
            <w:noProof/>
            <w:webHidden/>
            <w:lang w:val="fr-FR"/>
          </w:rPr>
          <w:fldChar w:fldCharType="begin"/>
        </w:r>
        <w:r w:rsidRPr="00144ABC">
          <w:rPr>
            <w:noProof/>
            <w:webHidden/>
            <w:lang w:val="fr-FR"/>
          </w:rPr>
          <w:instrText xml:space="preserve"> PAGEREF _Toc218508244 \h </w:instrText>
        </w:r>
        <w:r w:rsidRPr="00144ABC">
          <w:rPr>
            <w:noProof/>
            <w:webHidden/>
            <w:lang w:val="fr-FR"/>
          </w:rPr>
        </w:r>
        <w:r w:rsidRPr="00144ABC">
          <w:rPr>
            <w:noProof/>
            <w:webHidden/>
            <w:lang w:val="fr-FR"/>
          </w:rPr>
          <w:fldChar w:fldCharType="separate"/>
        </w:r>
        <w:r w:rsidR="00253245">
          <w:rPr>
            <w:noProof/>
            <w:webHidden/>
            <w:lang w:val="fr-FR"/>
          </w:rPr>
          <w:t>2</w:t>
        </w:r>
        <w:r w:rsidRPr="00144ABC">
          <w:rPr>
            <w:noProof/>
            <w:webHidden/>
            <w:lang w:val="fr-FR"/>
          </w:rPr>
          <w:fldChar w:fldCharType="end"/>
        </w:r>
      </w:hyperlink>
    </w:p>
    <w:p w14:paraId="654016A2" w14:textId="15F6580E" w:rsidR="00C35B54" w:rsidRPr="00144ABC" w:rsidRDefault="00C35B54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en-US"/>
          <w14:ligatures w14:val="standardContextual"/>
        </w:rPr>
      </w:pPr>
      <w:hyperlink w:anchor="_Toc218508245" w:history="1">
        <w:r w:rsidRPr="00144ABC">
          <w:rPr>
            <w:rStyle w:val="Hyperlink"/>
            <w:noProof/>
            <w:lang w:val="fr-FR"/>
          </w:rPr>
          <w:t>92.3  [Sans changement]  </w:t>
        </w:r>
        <w:r w:rsidRPr="00144ABC">
          <w:rPr>
            <w:rStyle w:val="Hyperlink"/>
            <w:i/>
            <w:noProof/>
            <w:lang w:val="fr-FR"/>
          </w:rPr>
          <w:t>Expéditions postales effectuées par les offices nationaux et les organisations intergouvernementales</w:t>
        </w:r>
        <w:r w:rsidRPr="00144ABC">
          <w:rPr>
            <w:noProof/>
            <w:webHidden/>
            <w:lang w:val="fr-FR"/>
          </w:rPr>
          <w:tab/>
        </w:r>
        <w:r w:rsidRPr="00144ABC">
          <w:rPr>
            <w:noProof/>
            <w:webHidden/>
            <w:lang w:val="fr-FR"/>
          </w:rPr>
          <w:fldChar w:fldCharType="begin"/>
        </w:r>
        <w:r w:rsidRPr="00144ABC">
          <w:rPr>
            <w:noProof/>
            <w:webHidden/>
            <w:lang w:val="fr-FR"/>
          </w:rPr>
          <w:instrText xml:space="preserve"> PAGEREF _Toc218508245 \h </w:instrText>
        </w:r>
        <w:r w:rsidRPr="00144ABC">
          <w:rPr>
            <w:noProof/>
            <w:webHidden/>
            <w:lang w:val="fr-FR"/>
          </w:rPr>
        </w:r>
        <w:r w:rsidRPr="00144ABC">
          <w:rPr>
            <w:noProof/>
            <w:webHidden/>
            <w:lang w:val="fr-FR"/>
          </w:rPr>
          <w:fldChar w:fldCharType="separate"/>
        </w:r>
        <w:r w:rsidR="00253245">
          <w:rPr>
            <w:noProof/>
            <w:webHidden/>
            <w:lang w:val="fr-FR"/>
          </w:rPr>
          <w:t>2</w:t>
        </w:r>
        <w:r w:rsidRPr="00144ABC">
          <w:rPr>
            <w:noProof/>
            <w:webHidden/>
            <w:lang w:val="fr-FR"/>
          </w:rPr>
          <w:fldChar w:fldCharType="end"/>
        </w:r>
      </w:hyperlink>
    </w:p>
    <w:p w14:paraId="66B1244F" w14:textId="68E28653" w:rsidR="00C35B54" w:rsidRPr="00144ABC" w:rsidRDefault="00C35B54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en-US"/>
          <w14:ligatures w14:val="standardContextual"/>
        </w:rPr>
      </w:pPr>
      <w:hyperlink w:anchor="_Toc218508246" w:history="1">
        <w:r w:rsidRPr="00144ABC">
          <w:rPr>
            <w:rStyle w:val="Hyperlink"/>
            <w:noProof/>
            <w:lang w:val="fr-FR"/>
          </w:rPr>
          <w:t>92.4  [Sans changement]  </w:t>
        </w:r>
        <w:r w:rsidRPr="00144ABC">
          <w:rPr>
            <w:rStyle w:val="Hyperlink"/>
            <w:i/>
            <w:noProof/>
            <w:lang w:val="fr-FR"/>
          </w:rPr>
          <w:t>Utilisation de télégraphes, téléimprimeurs, télécopieurs, etc.</w:t>
        </w:r>
        <w:r w:rsidRPr="00144ABC">
          <w:rPr>
            <w:noProof/>
            <w:webHidden/>
            <w:lang w:val="fr-FR"/>
          </w:rPr>
          <w:tab/>
        </w:r>
        <w:r w:rsidRPr="00144ABC">
          <w:rPr>
            <w:noProof/>
            <w:webHidden/>
            <w:lang w:val="fr-FR"/>
          </w:rPr>
          <w:fldChar w:fldCharType="begin"/>
        </w:r>
        <w:r w:rsidRPr="00144ABC">
          <w:rPr>
            <w:noProof/>
            <w:webHidden/>
            <w:lang w:val="fr-FR"/>
          </w:rPr>
          <w:instrText xml:space="preserve"> PAGEREF _Toc218508246 \h </w:instrText>
        </w:r>
        <w:r w:rsidRPr="00144ABC">
          <w:rPr>
            <w:noProof/>
            <w:webHidden/>
            <w:lang w:val="fr-FR"/>
          </w:rPr>
        </w:r>
        <w:r w:rsidRPr="00144ABC">
          <w:rPr>
            <w:noProof/>
            <w:webHidden/>
            <w:lang w:val="fr-FR"/>
          </w:rPr>
          <w:fldChar w:fldCharType="separate"/>
        </w:r>
        <w:r w:rsidR="00253245">
          <w:rPr>
            <w:noProof/>
            <w:webHidden/>
            <w:lang w:val="fr-FR"/>
          </w:rPr>
          <w:t>2</w:t>
        </w:r>
        <w:r w:rsidRPr="00144ABC">
          <w:rPr>
            <w:noProof/>
            <w:webHidden/>
            <w:lang w:val="fr-FR"/>
          </w:rPr>
          <w:fldChar w:fldCharType="end"/>
        </w:r>
      </w:hyperlink>
    </w:p>
    <w:p w14:paraId="34CAD446" w14:textId="48CD313C" w:rsidR="00C35B54" w:rsidRPr="00144ABC" w:rsidRDefault="00C35B54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en-US"/>
          <w14:ligatures w14:val="standardContextual"/>
        </w:rPr>
      </w:pPr>
      <w:hyperlink w:anchor="_Toc218508247" w:history="1">
        <w:r w:rsidRPr="00144ABC">
          <w:rPr>
            <w:rStyle w:val="Hyperlink"/>
            <w:noProof/>
            <w:lang w:val="fr-FR"/>
          </w:rPr>
          <w:t>92.5  </w:t>
        </w:r>
        <w:r w:rsidRPr="00144ABC">
          <w:rPr>
            <w:rStyle w:val="Hyperlink"/>
            <w:i/>
            <w:noProof/>
            <w:lang w:val="fr-FR"/>
          </w:rPr>
          <w:t>Transmission de la correspondance à l’administration compétente</w:t>
        </w:r>
        <w:r w:rsidRPr="00144ABC">
          <w:rPr>
            <w:noProof/>
            <w:webHidden/>
            <w:lang w:val="fr-FR"/>
          </w:rPr>
          <w:tab/>
        </w:r>
        <w:r w:rsidRPr="00144ABC">
          <w:rPr>
            <w:noProof/>
            <w:webHidden/>
            <w:lang w:val="fr-FR"/>
          </w:rPr>
          <w:fldChar w:fldCharType="begin"/>
        </w:r>
        <w:r w:rsidRPr="00144ABC">
          <w:rPr>
            <w:noProof/>
            <w:webHidden/>
            <w:lang w:val="fr-FR"/>
          </w:rPr>
          <w:instrText xml:space="preserve"> PAGEREF _Toc218508247 \h </w:instrText>
        </w:r>
        <w:r w:rsidRPr="00144ABC">
          <w:rPr>
            <w:noProof/>
            <w:webHidden/>
            <w:lang w:val="fr-FR"/>
          </w:rPr>
        </w:r>
        <w:r w:rsidRPr="00144ABC">
          <w:rPr>
            <w:noProof/>
            <w:webHidden/>
            <w:lang w:val="fr-FR"/>
          </w:rPr>
          <w:fldChar w:fldCharType="separate"/>
        </w:r>
        <w:r w:rsidR="00253245">
          <w:rPr>
            <w:noProof/>
            <w:webHidden/>
            <w:lang w:val="fr-FR"/>
          </w:rPr>
          <w:t>2</w:t>
        </w:r>
        <w:r w:rsidRPr="00144ABC">
          <w:rPr>
            <w:noProof/>
            <w:webHidden/>
            <w:lang w:val="fr-FR"/>
          </w:rPr>
          <w:fldChar w:fldCharType="end"/>
        </w:r>
      </w:hyperlink>
    </w:p>
    <w:p w14:paraId="37B0155E" w14:textId="643E58A5" w:rsidR="00F801EA" w:rsidRPr="00144ABC" w:rsidRDefault="00C35B54" w:rsidP="00F801EA">
      <w:pPr>
        <w:rPr>
          <w:lang w:val="fr-FR"/>
        </w:rPr>
      </w:pPr>
      <w:r w:rsidRPr="00144ABC">
        <w:rPr>
          <w:lang w:val="fr-FR"/>
        </w:rPr>
        <w:fldChar w:fldCharType="end"/>
      </w:r>
    </w:p>
    <w:p w14:paraId="79308C57" w14:textId="77777777" w:rsidR="00F801EA" w:rsidRPr="00144ABC" w:rsidRDefault="00F801EA" w:rsidP="00F801EA">
      <w:pPr>
        <w:pStyle w:val="ONUME"/>
        <w:numPr>
          <w:ilvl w:val="0"/>
          <w:numId w:val="0"/>
        </w:numPr>
        <w:rPr>
          <w:lang w:val="fr-FR"/>
        </w:rPr>
      </w:pPr>
    </w:p>
    <w:p w14:paraId="567C4F5F" w14:textId="77777777" w:rsidR="00F801EA" w:rsidRPr="00144ABC" w:rsidRDefault="00F801EA" w:rsidP="00F801EA">
      <w:pPr>
        <w:pStyle w:val="LegTitle"/>
      </w:pPr>
      <w:bookmarkStart w:id="5" w:name="_Toc218508242"/>
      <w:r w:rsidRPr="00144ABC">
        <w:lastRenderedPageBreak/>
        <w:t xml:space="preserve">Règle 92 </w:t>
      </w:r>
      <w:r w:rsidRPr="00144ABC">
        <w:br/>
        <w:t>Correspondance</w:t>
      </w:r>
      <w:bookmarkEnd w:id="5"/>
    </w:p>
    <w:p w14:paraId="79FDC706" w14:textId="5634DA62" w:rsidR="00F801EA" w:rsidRPr="00144ABC" w:rsidRDefault="00F801EA" w:rsidP="00F801EA">
      <w:pPr>
        <w:pStyle w:val="LegSubRule"/>
        <w:keepLines w:val="0"/>
        <w:outlineLvl w:val="0"/>
      </w:pPr>
      <w:bookmarkStart w:id="6" w:name="_Toc218508243"/>
      <w:proofErr w:type="gramStart"/>
      <w:r w:rsidRPr="00144ABC">
        <w:t>92.1  [</w:t>
      </w:r>
      <w:proofErr w:type="gramEnd"/>
      <w:r w:rsidRPr="00144ABC">
        <w:t xml:space="preserve">Sans </w:t>
      </w:r>
      <w:proofErr w:type="gramStart"/>
      <w:r w:rsidRPr="00144ABC">
        <w:t>changement]</w:t>
      </w:r>
      <w:r w:rsidR="00C35B54" w:rsidRPr="00144ABC">
        <w:t>  </w:t>
      </w:r>
      <w:r w:rsidRPr="00144ABC">
        <w:rPr>
          <w:i/>
        </w:rPr>
        <w:t>Lettre</w:t>
      </w:r>
      <w:proofErr w:type="gramEnd"/>
      <w:r w:rsidRPr="00144ABC">
        <w:rPr>
          <w:i/>
        </w:rPr>
        <w:t xml:space="preserve"> d</w:t>
      </w:r>
      <w:r w:rsidR="00C35B54" w:rsidRPr="00144ABC">
        <w:rPr>
          <w:i/>
        </w:rPr>
        <w:t>’</w:t>
      </w:r>
      <w:r w:rsidRPr="00144ABC">
        <w:rPr>
          <w:i/>
        </w:rPr>
        <w:t>accompagnement et signature</w:t>
      </w:r>
      <w:bookmarkEnd w:id="6"/>
    </w:p>
    <w:p w14:paraId="17C93761" w14:textId="65D444FD" w:rsidR="00F801EA" w:rsidRPr="00144ABC" w:rsidRDefault="00F801EA" w:rsidP="00F801EA">
      <w:pPr>
        <w:pStyle w:val="LegSubRule"/>
      </w:pPr>
      <w:bookmarkStart w:id="7" w:name="_Toc218508244"/>
      <w:proofErr w:type="gramStart"/>
      <w:r w:rsidRPr="00144ABC">
        <w:t>92.2  [</w:t>
      </w:r>
      <w:proofErr w:type="gramEnd"/>
      <w:r w:rsidRPr="00144ABC">
        <w:t xml:space="preserve">Sans </w:t>
      </w:r>
      <w:proofErr w:type="gramStart"/>
      <w:r w:rsidRPr="00144ABC">
        <w:t>changement]</w:t>
      </w:r>
      <w:r w:rsidR="00C35B54" w:rsidRPr="00144ABC">
        <w:t>  </w:t>
      </w:r>
      <w:r w:rsidRPr="00144ABC">
        <w:rPr>
          <w:i/>
        </w:rPr>
        <w:t>Langues</w:t>
      </w:r>
      <w:bookmarkEnd w:id="7"/>
      <w:proofErr w:type="gramEnd"/>
    </w:p>
    <w:p w14:paraId="1D5E4401" w14:textId="6BD42DA2" w:rsidR="00F801EA" w:rsidRPr="00144ABC" w:rsidRDefault="00F801EA" w:rsidP="00C35B54">
      <w:pPr>
        <w:pStyle w:val="LegSubRule"/>
        <w:tabs>
          <w:tab w:val="clear" w:pos="510"/>
        </w:tabs>
        <w:spacing w:after="240" w:line="240" w:lineRule="auto"/>
        <w:ind w:left="0" w:firstLine="0"/>
        <w:jc w:val="left"/>
        <w:outlineLvl w:val="0"/>
      </w:pPr>
      <w:bookmarkStart w:id="8" w:name="_Toc218508245"/>
      <w:proofErr w:type="gramStart"/>
      <w:r w:rsidRPr="00144ABC">
        <w:t>92.3  [</w:t>
      </w:r>
      <w:proofErr w:type="gramEnd"/>
      <w:r w:rsidRPr="00144ABC">
        <w:t xml:space="preserve">Sans </w:t>
      </w:r>
      <w:proofErr w:type="gramStart"/>
      <w:r w:rsidRPr="00144ABC">
        <w:t>changement]</w:t>
      </w:r>
      <w:r w:rsidR="00C35B54" w:rsidRPr="00144ABC">
        <w:t>  </w:t>
      </w:r>
      <w:r w:rsidRPr="00144ABC">
        <w:rPr>
          <w:i/>
        </w:rPr>
        <w:t>Expéditions</w:t>
      </w:r>
      <w:proofErr w:type="gramEnd"/>
      <w:r w:rsidRPr="00144ABC">
        <w:rPr>
          <w:i/>
        </w:rPr>
        <w:t xml:space="preserve"> postales effectuées par les offices nationaux et les organisations intergouvernementales</w:t>
      </w:r>
      <w:bookmarkEnd w:id="8"/>
    </w:p>
    <w:p w14:paraId="4463A3F1" w14:textId="62082A00" w:rsidR="00F801EA" w:rsidRPr="00144ABC" w:rsidRDefault="00F801EA" w:rsidP="00F801EA">
      <w:pPr>
        <w:pStyle w:val="LegSubRule"/>
        <w:outlineLvl w:val="0"/>
      </w:pPr>
      <w:bookmarkStart w:id="9" w:name="_Toc218508246"/>
      <w:proofErr w:type="gramStart"/>
      <w:r w:rsidRPr="00144ABC">
        <w:t>92.4  [</w:t>
      </w:r>
      <w:proofErr w:type="gramEnd"/>
      <w:r w:rsidRPr="00144ABC">
        <w:t xml:space="preserve">Sans </w:t>
      </w:r>
      <w:proofErr w:type="gramStart"/>
      <w:r w:rsidRPr="00144ABC">
        <w:t>changement]</w:t>
      </w:r>
      <w:r w:rsidR="00C35B54" w:rsidRPr="00144ABC">
        <w:t>  </w:t>
      </w:r>
      <w:r w:rsidRPr="00144ABC">
        <w:rPr>
          <w:i/>
        </w:rPr>
        <w:t>Utilisation</w:t>
      </w:r>
      <w:proofErr w:type="gramEnd"/>
      <w:r w:rsidRPr="00144ABC">
        <w:rPr>
          <w:i/>
        </w:rPr>
        <w:t xml:space="preserve"> de télégraphes, téléimprimeurs, télécopieurs, etc.</w:t>
      </w:r>
      <w:bookmarkEnd w:id="9"/>
    </w:p>
    <w:p w14:paraId="3D953CA0" w14:textId="6E4032D7" w:rsidR="00F801EA" w:rsidRPr="00144ABC" w:rsidRDefault="00F801EA" w:rsidP="00F801EA">
      <w:pPr>
        <w:pStyle w:val="LegSubRule"/>
        <w:tabs>
          <w:tab w:val="clear" w:pos="510"/>
        </w:tabs>
        <w:ind w:left="709" w:hanging="709"/>
        <w:outlineLvl w:val="0"/>
        <w:rPr>
          <w:rStyle w:val="LegAddedText"/>
        </w:rPr>
      </w:pPr>
      <w:bookmarkStart w:id="10" w:name="_Toc218508247"/>
      <w:bookmarkStart w:id="11" w:name="_Hlk216960089"/>
      <w:proofErr w:type="gramStart"/>
      <w:r w:rsidRPr="00144ABC">
        <w:rPr>
          <w:rStyle w:val="LegAddedText"/>
        </w:rPr>
        <w:t>92.5  </w:t>
      </w:r>
      <w:r w:rsidRPr="00144ABC">
        <w:rPr>
          <w:rStyle w:val="LegAddedText"/>
          <w:i/>
        </w:rPr>
        <w:t>Transmission</w:t>
      </w:r>
      <w:proofErr w:type="gramEnd"/>
      <w:r w:rsidRPr="00144ABC">
        <w:rPr>
          <w:rStyle w:val="LegAddedText"/>
          <w:i/>
        </w:rPr>
        <w:t xml:space="preserve"> de la correspondance à l</w:t>
      </w:r>
      <w:r w:rsidR="00C35B54" w:rsidRPr="00144ABC">
        <w:rPr>
          <w:rStyle w:val="LegAddedText"/>
          <w:i/>
        </w:rPr>
        <w:t>’</w:t>
      </w:r>
      <w:r w:rsidRPr="00144ABC">
        <w:rPr>
          <w:rStyle w:val="LegAddedText"/>
          <w:i/>
        </w:rPr>
        <w:t>administration compétente</w:t>
      </w:r>
      <w:bookmarkEnd w:id="10"/>
    </w:p>
    <w:p w14:paraId="2143AB6E" w14:textId="2FEB5113" w:rsidR="00F801EA" w:rsidRPr="00144ABC" w:rsidRDefault="00F801EA" w:rsidP="00C35B54">
      <w:pPr>
        <w:pStyle w:val="Lega"/>
        <w:tabs>
          <w:tab w:val="clear" w:pos="454"/>
          <w:tab w:val="left" w:pos="567"/>
        </w:tabs>
        <w:rPr>
          <w:rStyle w:val="LegAddedText"/>
        </w:rPr>
      </w:pPr>
      <w:r w:rsidRPr="00144ABC">
        <w:tab/>
      </w:r>
      <w:r w:rsidRPr="00144ABC">
        <w:rPr>
          <w:rStyle w:val="LegAddedText"/>
        </w:rPr>
        <w:t xml:space="preserve">a)  Si </w:t>
      </w:r>
      <w:r w:rsidR="00C35B54" w:rsidRPr="00144ABC">
        <w:rPr>
          <w:rStyle w:val="LegAddedText"/>
        </w:rPr>
        <w:t>à l’égard</w:t>
      </w:r>
      <w:r w:rsidRPr="00144ABC">
        <w:rPr>
          <w:rStyle w:val="LegAddedText"/>
        </w:rPr>
        <w:t xml:space="preserve"> d</w:t>
      </w:r>
      <w:r w:rsidR="00C35B54" w:rsidRPr="00144ABC">
        <w:rPr>
          <w:rStyle w:val="LegAddedText"/>
        </w:rPr>
        <w:t>’</w:t>
      </w:r>
      <w:r w:rsidRPr="00144ABC">
        <w:rPr>
          <w:rStyle w:val="LegAddedText"/>
        </w:rPr>
        <w:t>une correspondance soumise au Bureau international un office national est compétent pour agir en sa qualité d</w:t>
      </w:r>
      <w:r w:rsidR="00C35B54" w:rsidRPr="00144ABC">
        <w:rPr>
          <w:rStyle w:val="LegAddedText"/>
        </w:rPr>
        <w:t>’</w:t>
      </w:r>
      <w:r w:rsidRPr="00144ABC">
        <w:rPr>
          <w:rStyle w:val="LegAddedText"/>
        </w:rPr>
        <w:t>office récepteur, d</w:t>
      </w:r>
      <w:r w:rsidR="00C35B54" w:rsidRPr="00144ABC">
        <w:rPr>
          <w:rStyle w:val="LegAddedText"/>
        </w:rPr>
        <w:t>’</w:t>
      </w:r>
      <w:r w:rsidRPr="00144ABC">
        <w:rPr>
          <w:rStyle w:val="LegAddedText"/>
        </w:rPr>
        <w:t>administration chargée de la recherche internationale, d</w:t>
      </w:r>
      <w:r w:rsidR="00C35B54" w:rsidRPr="00144ABC">
        <w:rPr>
          <w:rStyle w:val="LegAddedText"/>
        </w:rPr>
        <w:t>’</w:t>
      </w:r>
      <w:r w:rsidRPr="00144ABC">
        <w:rPr>
          <w:rStyle w:val="LegAddedText"/>
        </w:rPr>
        <w:t>administration indiquée pour la recherche internationale supplémentaire ou d</w:t>
      </w:r>
      <w:r w:rsidR="00C35B54" w:rsidRPr="00144ABC">
        <w:rPr>
          <w:rStyle w:val="LegAddedText"/>
        </w:rPr>
        <w:t>’</w:t>
      </w:r>
      <w:r w:rsidRPr="00144ABC">
        <w:rPr>
          <w:rStyle w:val="LegAddedText"/>
        </w:rPr>
        <w:t>administration chargée de l</w:t>
      </w:r>
      <w:r w:rsidR="00C35B54" w:rsidRPr="00144ABC">
        <w:rPr>
          <w:rStyle w:val="LegAddedText"/>
        </w:rPr>
        <w:t>’</w:t>
      </w:r>
      <w:r w:rsidRPr="00144ABC">
        <w:rPr>
          <w:rStyle w:val="LegAddedText"/>
        </w:rPr>
        <w:t>examen préliminaire international, le Bureau international, sous réserve de l</w:t>
      </w:r>
      <w:r w:rsidR="00C35B54" w:rsidRPr="00144ABC">
        <w:rPr>
          <w:rStyle w:val="LegAddedText"/>
        </w:rPr>
        <w:t>’</w:t>
      </w:r>
      <w:r w:rsidRPr="00144ABC">
        <w:rPr>
          <w:rStyle w:val="LegAddedText"/>
        </w:rPr>
        <w:t>alinéa</w:t>
      </w:r>
      <w:r w:rsidR="00C35B54" w:rsidRPr="00144ABC">
        <w:rPr>
          <w:rStyle w:val="LegAddedText"/>
        </w:rPr>
        <w:t> </w:t>
      </w:r>
      <w:r w:rsidRPr="00144ABC">
        <w:rPr>
          <w:rStyle w:val="LegAddedText"/>
        </w:rPr>
        <w:t>b), appose la date de réception sur la correspondance et la transmet à bref délai à l</w:t>
      </w:r>
      <w:r w:rsidR="00C35B54" w:rsidRPr="00144ABC">
        <w:rPr>
          <w:rStyle w:val="LegAddedText"/>
        </w:rPr>
        <w:t>’</w:t>
      </w:r>
      <w:r w:rsidRPr="00144ABC">
        <w:rPr>
          <w:rStyle w:val="LegAddedText"/>
        </w:rPr>
        <w:t>administration compétente.</w:t>
      </w:r>
    </w:p>
    <w:p w14:paraId="3C14649E" w14:textId="1211CFA5" w:rsidR="00F801EA" w:rsidRPr="00144ABC" w:rsidRDefault="00F801EA" w:rsidP="00C35B54">
      <w:pPr>
        <w:pStyle w:val="Lega"/>
        <w:tabs>
          <w:tab w:val="clear" w:pos="454"/>
          <w:tab w:val="left" w:pos="567"/>
        </w:tabs>
        <w:rPr>
          <w:rStyle w:val="LegAddedText"/>
        </w:rPr>
      </w:pPr>
      <w:r w:rsidRPr="00144ABC">
        <w:tab/>
      </w:r>
      <w:r w:rsidRPr="00144ABC">
        <w:rPr>
          <w:rStyle w:val="LegAddedText"/>
        </w:rPr>
        <w:t>b)  Lorsque plus d</w:t>
      </w:r>
      <w:r w:rsidR="00C35B54" w:rsidRPr="00144ABC">
        <w:rPr>
          <w:rStyle w:val="LegAddedText"/>
        </w:rPr>
        <w:t>’</w:t>
      </w:r>
      <w:r w:rsidRPr="00144ABC">
        <w:rPr>
          <w:rStyle w:val="LegAddedText"/>
        </w:rPr>
        <w:t>un office ou le Bureau international sont compétents pour agir, le Bureau international décide à quel office la correspondance doit être transmise ou, le cas échéant, agit lui</w:t>
      </w:r>
      <w:r w:rsidR="00B71345">
        <w:rPr>
          <w:rStyle w:val="LegAddedText"/>
        </w:rPr>
        <w:noBreakHyphen/>
      </w:r>
      <w:r w:rsidRPr="00144ABC">
        <w:rPr>
          <w:rStyle w:val="LegAddedText"/>
        </w:rPr>
        <w:t>même.</w:t>
      </w:r>
    </w:p>
    <w:p w14:paraId="7564CA13" w14:textId="0DE9CCEC" w:rsidR="00F801EA" w:rsidRPr="00144ABC" w:rsidRDefault="00F801EA" w:rsidP="00C35B54">
      <w:pPr>
        <w:pStyle w:val="Lega"/>
        <w:tabs>
          <w:tab w:val="clear" w:pos="454"/>
          <w:tab w:val="left" w:pos="567"/>
        </w:tabs>
        <w:rPr>
          <w:rStyle w:val="LegAddedText"/>
        </w:rPr>
      </w:pPr>
      <w:r w:rsidRPr="00144ABC">
        <w:tab/>
      </w:r>
      <w:r w:rsidRPr="00144ABC">
        <w:rPr>
          <w:rStyle w:val="LegAddedText"/>
        </w:rPr>
        <w:t>c)</w:t>
      </w:r>
      <w:r w:rsidR="00C35B54" w:rsidRPr="00144ABC">
        <w:rPr>
          <w:rStyle w:val="LegAddedText"/>
        </w:rPr>
        <w:t>  </w:t>
      </w:r>
      <w:r w:rsidRPr="00144ABC">
        <w:rPr>
          <w:rStyle w:val="LegAddedText"/>
        </w:rPr>
        <w:t>Lorsque la correspondance est transmise à une administration compétente en application de l</w:t>
      </w:r>
      <w:r w:rsidR="00C35B54" w:rsidRPr="00144ABC">
        <w:rPr>
          <w:rStyle w:val="LegAddedText"/>
        </w:rPr>
        <w:t>’alinéa a)</w:t>
      </w:r>
      <w:r w:rsidRPr="00144ABC">
        <w:rPr>
          <w:rStyle w:val="LegAddedText"/>
        </w:rPr>
        <w:t>, elle est réputée avoir été reçue pour le compte de cette administration à la date qui y a été apposée conformément à l</w:t>
      </w:r>
      <w:r w:rsidR="00C35B54" w:rsidRPr="00144ABC">
        <w:rPr>
          <w:rStyle w:val="LegAddedText"/>
        </w:rPr>
        <w:t>’alinéa a)</w:t>
      </w:r>
      <w:r w:rsidRPr="00144ABC">
        <w:rPr>
          <w:rStyle w:val="LegAddedText"/>
        </w:rPr>
        <w:t xml:space="preserve"> et la correspondance ainsi transmise est réputée avoir été reçue par ladite administration à cette date.</w:t>
      </w:r>
    </w:p>
    <w:bookmarkEnd w:id="11"/>
    <w:p w14:paraId="3FF8CDB9" w14:textId="171C975C" w:rsidR="000F5E56" w:rsidRPr="00144ABC" w:rsidRDefault="00F801EA" w:rsidP="00C35B54">
      <w:pPr>
        <w:pStyle w:val="Endofdocument-Annex"/>
      </w:pPr>
      <w:r w:rsidRPr="00144ABC">
        <w:t>[Fin de l</w:t>
      </w:r>
      <w:r w:rsidR="00C35B54" w:rsidRPr="00144ABC">
        <w:t>’</w:t>
      </w:r>
      <w:r w:rsidRPr="00144ABC">
        <w:t>annexe et du document]</w:t>
      </w:r>
    </w:p>
    <w:sectPr w:rsidR="000F5E56" w:rsidRPr="00144ABC" w:rsidSect="00CD4AE9">
      <w:headerReference w:type="default" r:id="rId14"/>
      <w:head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B9B87" w14:textId="77777777" w:rsidR="00F801EA" w:rsidRDefault="00F801EA">
      <w:r>
        <w:separator/>
      </w:r>
    </w:p>
  </w:endnote>
  <w:endnote w:type="continuationSeparator" w:id="0">
    <w:p w14:paraId="4935273C" w14:textId="77777777" w:rsidR="00F801EA" w:rsidRPr="009D30E6" w:rsidRDefault="00F801EA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72F00C4" w14:textId="77777777" w:rsidR="00F801EA" w:rsidRPr="009D30E6" w:rsidRDefault="00F801EA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206C9E97" w14:textId="77777777" w:rsidR="00F801EA" w:rsidRPr="009D30E6" w:rsidRDefault="00F801EA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FB029" w14:textId="77777777" w:rsidR="00B71345" w:rsidRDefault="00B71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96C9D" w14:textId="77777777" w:rsidR="00B71345" w:rsidRDefault="00B713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D9007" w14:textId="77777777" w:rsidR="00B71345" w:rsidRDefault="00B71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E77BC" w14:textId="77777777" w:rsidR="00F801EA" w:rsidRDefault="00F801EA">
      <w:r>
        <w:separator/>
      </w:r>
    </w:p>
  </w:footnote>
  <w:footnote w:type="continuationSeparator" w:id="0">
    <w:p w14:paraId="40290774" w14:textId="77777777" w:rsidR="00F801EA" w:rsidRDefault="00F801EA" w:rsidP="007461F1">
      <w:r>
        <w:separator/>
      </w:r>
    </w:p>
    <w:p w14:paraId="010FCF73" w14:textId="77777777" w:rsidR="00F801EA" w:rsidRPr="009D30E6" w:rsidRDefault="00F801EA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5A78D498" w14:textId="77777777" w:rsidR="00F801EA" w:rsidRPr="009D30E6" w:rsidRDefault="00F801EA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4A6698E4" w14:textId="22EE5CF9" w:rsidR="00F801EA" w:rsidRDefault="00F801EA" w:rsidP="00C35B54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>
        <w:t xml:space="preserve"> </w:t>
      </w:r>
      <w:r w:rsidR="00C35B54">
        <w:tab/>
      </w:r>
      <w:r>
        <w:t>Le texte qu</w:t>
      </w:r>
      <w:r w:rsidR="00DC122A">
        <w:t>’</w:t>
      </w:r>
      <w:r>
        <w:t>il est proposé d</w:t>
      </w:r>
      <w:r w:rsidR="00DC122A">
        <w:t>’</w:t>
      </w:r>
      <w:r>
        <w:t>ajouter est souligné et celui qu</w:t>
      </w:r>
      <w:r w:rsidR="00DC122A">
        <w:t>’</w:t>
      </w:r>
      <w:r>
        <w:t>il est proposé de supprimer est biffé.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0A55" w14:textId="77777777" w:rsidR="00B71345" w:rsidRDefault="00B713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2F1B" w14:textId="77777777" w:rsidR="00F801EA" w:rsidRDefault="00F801EA" w:rsidP="00477D6B">
    <w:pPr>
      <w:jc w:val="right"/>
    </w:pPr>
    <w:r>
      <w:t>PCT/WG/19/8</w:t>
    </w:r>
  </w:p>
  <w:p w14:paraId="26A44E3E" w14:textId="161981FE" w:rsidR="00F801EA" w:rsidRDefault="00F801EA" w:rsidP="00CD4AE9">
    <w:pPr>
      <w:spacing w:after="480"/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08C77" w14:textId="77777777" w:rsidR="00B71345" w:rsidRDefault="00B7134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0E0D" w14:textId="0F5F6E03" w:rsidR="00F16975" w:rsidRDefault="00F801EA" w:rsidP="00477D6B">
    <w:pPr>
      <w:jc w:val="right"/>
    </w:pPr>
    <w:bookmarkStart w:id="12" w:name="Code2"/>
    <w:bookmarkEnd w:id="12"/>
    <w:r>
      <w:t>PCT/WG/19/8</w:t>
    </w:r>
  </w:p>
  <w:p w14:paraId="7757CD65" w14:textId="33B87A97" w:rsidR="004F4E31" w:rsidRDefault="00CD4AE9" w:rsidP="004A4984">
    <w:pPr>
      <w:spacing w:after="480"/>
      <w:jc w:val="right"/>
    </w:pPr>
    <w:r>
      <w:t xml:space="preserve">Annexe, </w:t>
    </w:r>
    <w:r w:rsidR="00F16975">
      <w:t>page</w:t>
    </w:r>
    <w:r w:rsidR="004A4984"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4F4E31">
      <w:rPr>
        <w:noProof/>
      </w:rPr>
      <w:t>2</w:t>
    </w:r>
    <w:r w:rsidR="00F16975"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BBD62" w14:textId="77777777" w:rsidR="00CD4AE9" w:rsidRDefault="00CD4AE9" w:rsidP="00CD4AE9">
    <w:pPr>
      <w:jc w:val="right"/>
    </w:pPr>
    <w:r>
      <w:t>PCT/WG/19/8</w:t>
    </w:r>
  </w:p>
  <w:p w14:paraId="33BD25DB" w14:textId="14920899" w:rsidR="00CD4AE9" w:rsidRDefault="00CD4AE9" w:rsidP="00CD4AE9">
    <w:pPr>
      <w:spacing w:after="480"/>
      <w:jc w:val="right"/>
    </w:pPr>
    <w: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174231">
    <w:abstractNumId w:val="2"/>
  </w:num>
  <w:num w:numId="2" w16cid:durableId="2057001410">
    <w:abstractNumId w:val="4"/>
  </w:num>
  <w:num w:numId="3" w16cid:durableId="345792481">
    <w:abstractNumId w:val="0"/>
  </w:num>
  <w:num w:numId="4" w16cid:durableId="1567110324">
    <w:abstractNumId w:val="5"/>
  </w:num>
  <w:num w:numId="5" w16cid:durableId="1715153223">
    <w:abstractNumId w:val="1"/>
  </w:num>
  <w:num w:numId="6" w16cid:durableId="1732314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1EA"/>
    <w:rsid w:val="00011B7D"/>
    <w:rsid w:val="00050E4E"/>
    <w:rsid w:val="00075432"/>
    <w:rsid w:val="000F3F68"/>
    <w:rsid w:val="000F5E56"/>
    <w:rsid w:val="001362EE"/>
    <w:rsid w:val="00144ABC"/>
    <w:rsid w:val="001832A6"/>
    <w:rsid w:val="00195C6E"/>
    <w:rsid w:val="0019690A"/>
    <w:rsid w:val="001B266A"/>
    <w:rsid w:val="001D3D56"/>
    <w:rsid w:val="001D4860"/>
    <w:rsid w:val="00240654"/>
    <w:rsid w:val="00253245"/>
    <w:rsid w:val="002634C4"/>
    <w:rsid w:val="002D4918"/>
    <w:rsid w:val="002E4D1A"/>
    <w:rsid w:val="002F16BC"/>
    <w:rsid w:val="002F4E68"/>
    <w:rsid w:val="00315FCA"/>
    <w:rsid w:val="003500BE"/>
    <w:rsid w:val="003845C1"/>
    <w:rsid w:val="003A1BCD"/>
    <w:rsid w:val="004008A2"/>
    <w:rsid w:val="004010C2"/>
    <w:rsid w:val="004025DF"/>
    <w:rsid w:val="00423E3E"/>
    <w:rsid w:val="00427AF4"/>
    <w:rsid w:val="004647DA"/>
    <w:rsid w:val="00477D6B"/>
    <w:rsid w:val="004A4984"/>
    <w:rsid w:val="004D6471"/>
    <w:rsid w:val="004F4E31"/>
    <w:rsid w:val="00525B63"/>
    <w:rsid w:val="00547476"/>
    <w:rsid w:val="00561DB8"/>
    <w:rsid w:val="00567A4C"/>
    <w:rsid w:val="005E6516"/>
    <w:rsid w:val="00605827"/>
    <w:rsid w:val="00636CE5"/>
    <w:rsid w:val="00676936"/>
    <w:rsid w:val="006B0DB5"/>
    <w:rsid w:val="006E4243"/>
    <w:rsid w:val="00703D74"/>
    <w:rsid w:val="007461F1"/>
    <w:rsid w:val="0075224E"/>
    <w:rsid w:val="007D0CB1"/>
    <w:rsid w:val="007D6961"/>
    <w:rsid w:val="007F07CB"/>
    <w:rsid w:val="00810CEF"/>
    <w:rsid w:val="0081208D"/>
    <w:rsid w:val="00842A13"/>
    <w:rsid w:val="00892E32"/>
    <w:rsid w:val="008B2CC1"/>
    <w:rsid w:val="008E7930"/>
    <w:rsid w:val="0090731E"/>
    <w:rsid w:val="00966A22"/>
    <w:rsid w:val="00974CD6"/>
    <w:rsid w:val="009812C6"/>
    <w:rsid w:val="009D30E6"/>
    <w:rsid w:val="009E3F6F"/>
    <w:rsid w:val="009F499F"/>
    <w:rsid w:val="00A003A7"/>
    <w:rsid w:val="00A02BD3"/>
    <w:rsid w:val="00A16BD6"/>
    <w:rsid w:val="00A31F1C"/>
    <w:rsid w:val="00AA1F20"/>
    <w:rsid w:val="00AC0AE4"/>
    <w:rsid w:val="00AD61DB"/>
    <w:rsid w:val="00AE7C04"/>
    <w:rsid w:val="00B71345"/>
    <w:rsid w:val="00B87BCF"/>
    <w:rsid w:val="00BA62D4"/>
    <w:rsid w:val="00BB16AB"/>
    <w:rsid w:val="00C05880"/>
    <w:rsid w:val="00C35B54"/>
    <w:rsid w:val="00C40E15"/>
    <w:rsid w:val="00C664C8"/>
    <w:rsid w:val="00C76A79"/>
    <w:rsid w:val="00CA15F5"/>
    <w:rsid w:val="00CD4AE9"/>
    <w:rsid w:val="00CF0460"/>
    <w:rsid w:val="00D04414"/>
    <w:rsid w:val="00D2360B"/>
    <w:rsid w:val="00D45252"/>
    <w:rsid w:val="00D66514"/>
    <w:rsid w:val="00D71B4D"/>
    <w:rsid w:val="00D75C1E"/>
    <w:rsid w:val="00D93D55"/>
    <w:rsid w:val="00DB0349"/>
    <w:rsid w:val="00DC122A"/>
    <w:rsid w:val="00DD5E4B"/>
    <w:rsid w:val="00DD6A16"/>
    <w:rsid w:val="00E0091A"/>
    <w:rsid w:val="00E203AA"/>
    <w:rsid w:val="00E527A5"/>
    <w:rsid w:val="00E76456"/>
    <w:rsid w:val="00E972D5"/>
    <w:rsid w:val="00EE71CB"/>
    <w:rsid w:val="00F16975"/>
    <w:rsid w:val="00F66152"/>
    <w:rsid w:val="00F801EA"/>
    <w:rsid w:val="00FC45E7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9F7289"/>
  <w15:docId w15:val="{8C7BD9E7-3FC8-4808-9A20-91B4B2B7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35B54"/>
    <w:pPr>
      <w:keepNext/>
      <w:spacing w:before="240" w:after="1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C35B54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LegSubRule">
    <w:name w:val="Leg SubRule #"/>
    <w:basedOn w:val="Normal"/>
    <w:rsid w:val="00F801EA"/>
    <w:pPr>
      <w:keepNext/>
      <w:keepLines/>
      <w:tabs>
        <w:tab w:val="left" w:pos="510"/>
      </w:tabs>
      <w:spacing w:before="119" w:line="480" w:lineRule="auto"/>
      <w:ind w:left="533" w:hanging="533"/>
      <w:jc w:val="both"/>
    </w:pPr>
    <w:rPr>
      <w:lang w:val="fr-FR"/>
    </w:rPr>
  </w:style>
  <w:style w:type="paragraph" w:customStyle="1" w:styleId="Lega">
    <w:name w:val="Leg (a)"/>
    <w:basedOn w:val="Normal"/>
    <w:rsid w:val="00F801EA"/>
    <w:pPr>
      <w:tabs>
        <w:tab w:val="left" w:pos="454"/>
      </w:tabs>
      <w:spacing w:before="119" w:line="480" w:lineRule="auto"/>
    </w:pPr>
    <w:rPr>
      <w:rFonts w:eastAsia="Times New Roman" w:cs="Times New Roman"/>
      <w:snapToGrid w:val="0"/>
      <w:lang w:val="fr-FR" w:eastAsia="en-US"/>
    </w:rPr>
  </w:style>
  <w:style w:type="paragraph" w:customStyle="1" w:styleId="LegTitle">
    <w:name w:val="Leg # Title"/>
    <w:basedOn w:val="Normal"/>
    <w:next w:val="Normal"/>
    <w:rsid w:val="00F801EA"/>
    <w:pPr>
      <w:keepNext/>
      <w:keepLines/>
      <w:pageBreakBefore/>
      <w:spacing w:before="240" w:line="480" w:lineRule="auto"/>
      <w:jc w:val="center"/>
    </w:pPr>
    <w:rPr>
      <w:b/>
      <w:lang w:val="fr-FR"/>
    </w:rPr>
  </w:style>
  <w:style w:type="character" w:customStyle="1" w:styleId="LegAddedText">
    <w:name w:val="Leg Added Text"/>
    <w:basedOn w:val="DefaultParagraphFont"/>
    <w:uiPriority w:val="1"/>
    <w:qFormat/>
    <w:rsid w:val="00F801EA"/>
    <w:rPr>
      <w:color w:val="0000FF"/>
      <w:u w:val="single"/>
    </w:rPr>
  </w:style>
  <w:style w:type="character" w:styleId="FootnoteReference">
    <w:name w:val="footnote reference"/>
    <w:basedOn w:val="DefaultParagraphFont"/>
    <w:semiHidden/>
    <w:unhideWhenUsed/>
    <w:rsid w:val="00F801EA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C35B5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35B54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35B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WG_19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PCT_WG_19 (F)</Template>
  <TotalTime>7</TotalTime>
  <Pages>5</Pages>
  <Words>1231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PCT/WG/19/8</vt:lpstr>
    </vt:vector>
  </TitlesOfParts>
  <Company>WIPO</Company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PCT/WG/19/8</dc:title>
  <dc:subject>Acceptation des documents par le Bureau international au nom de l’administration compétente</dc:subject>
  <dc:creator>OLIVIÉ Karen</dc:creator>
  <cp:keywords/>
  <cp:lastModifiedBy>MARLOW Thomas</cp:lastModifiedBy>
  <cp:revision>4</cp:revision>
  <cp:lastPrinted>2026-01-05T11:53:00Z</cp:lastPrinted>
  <dcterms:created xsi:type="dcterms:W3CDTF">2026-01-05T11:47:00Z</dcterms:created>
  <dcterms:modified xsi:type="dcterms:W3CDTF">2026-01-05T11:56:00Z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1804b41c-f5ce-4cd7-b19d-43a1a9e37eff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2023-12-13T09:50:34Z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d6920425-abd4-40e4-8909-326fc76f66f6</vt:lpwstr>
  </property>
  <property fmtid="{D5CDD505-2E9C-101B-9397-08002B2CF9AE}" pid="14" name="MSIP_Label_20773ee6-353b-4fb9-a59d-0b94c8c67bea_ContentBits">
    <vt:lpwstr>0</vt:lpwstr>
  </property>
</Properties>
</file>