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4031" w14:textId="77777777" w:rsidR="008B2CC1" w:rsidRPr="0022208C" w:rsidRDefault="00DB0349" w:rsidP="0022208C">
      <w:pPr>
        <w:spacing w:after="120"/>
        <w:jc w:val="right"/>
        <w:rPr>
          <w:lang w:val="fr-FR"/>
        </w:rPr>
      </w:pPr>
      <w:r w:rsidRPr="0022208C">
        <w:rPr>
          <w:noProof/>
          <w:lang w:val="fr-FR" w:eastAsia="en-US"/>
        </w:rPr>
        <w:drawing>
          <wp:inline distT="0" distB="0" distL="0" distR="0" wp14:anchorId="4FEC2F41" wp14:editId="32DDAD3A">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22208C">
        <w:rPr>
          <w:rFonts w:ascii="Arial Black" w:hAnsi="Arial Black"/>
          <w:caps/>
          <w:noProof/>
          <w:sz w:val="15"/>
          <w:szCs w:val="15"/>
          <w:lang w:val="fr-FR" w:eastAsia="en-US"/>
        </w:rPr>
        <mc:AlternateContent>
          <mc:Choice Requires="wps">
            <w:drawing>
              <wp:inline distT="0" distB="0" distL="0" distR="0" wp14:anchorId="7D4B5106" wp14:editId="4D7053E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1B8EEA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F308079" w14:textId="7E75D893" w:rsidR="008B2CC1" w:rsidRPr="0022208C" w:rsidRDefault="00FC45E7" w:rsidP="0022208C">
      <w:pPr>
        <w:jc w:val="right"/>
        <w:rPr>
          <w:rFonts w:ascii="Arial Black" w:hAnsi="Arial Black"/>
          <w:caps/>
          <w:sz w:val="15"/>
          <w:szCs w:val="15"/>
          <w:lang w:val="fr-FR"/>
        </w:rPr>
      </w:pPr>
      <w:r w:rsidRPr="0022208C">
        <w:rPr>
          <w:rFonts w:ascii="Arial Black" w:hAnsi="Arial Black"/>
          <w:caps/>
          <w:sz w:val="15"/>
          <w:szCs w:val="15"/>
          <w:lang w:val="fr-FR"/>
        </w:rPr>
        <w:t>pct</w:t>
      </w:r>
      <w:r w:rsidR="00AE7C04" w:rsidRPr="0022208C">
        <w:rPr>
          <w:rFonts w:ascii="Arial Black" w:hAnsi="Arial Black"/>
          <w:caps/>
          <w:sz w:val="15"/>
          <w:szCs w:val="15"/>
          <w:lang w:val="fr-FR"/>
        </w:rPr>
        <w:t>/</w:t>
      </w:r>
      <w:r w:rsidRPr="0022208C">
        <w:rPr>
          <w:rFonts w:ascii="Arial Black" w:hAnsi="Arial Black"/>
          <w:caps/>
          <w:sz w:val="15"/>
          <w:szCs w:val="15"/>
          <w:lang w:val="fr-FR"/>
        </w:rPr>
        <w:t>wg</w:t>
      </w:r>
      <w:r w:rsidR="00AE7C04" w:rsidRPr="0022208C">
        <w:rPr>
          <w:rFonts w:ascii="Arial Black" w:hAnsi="Arial Black"/>
          <w:caps/>
          <w:sz w:val="15"/>
          <w:szCs w:val="15"/>
          <w:lang w:val="fr-FR"/>
        </w:rPr>
        <w:t>/</w:t>
      </w:r>
      <w:r w:rsidRPr="0022208C">
        <w:rPr>
          <w:rFonts w:ascii="Arial Black" w:hAnsi="Arial Black"/>
          <w:caps/>
          <w:sz w:val="15"/>
          <w:szCs w:val="15"/>
          <w:lang w:val="fr-FR"/>
        </w:rPr>
        <w:t>1</w:t>
      </w:r>
      <w:r w:rsidR="004A4984" w:rsidRPr="0022208C">
        <w:rPr>
          <w:rFonts w:ascii="Arial Black" w:hAnsi="Arial Black"/>
          <w:caps/>
          <w:sz w:val="15"/>
          <w:szCs w:val="15"/>
          <w:lang w:val="fr-FR"/>
        </w:rPr>
        <w:t>9</w:t>
      </w:r>
      <w:r w:rsidR="00D04414" w:rsidRPr="0022208C">
        <w:rPr>
          <w:rFonts w:ascii="Arial Black" w:hAnsi="Arial Black"/>
          <w:caps/>
          <w:sz w:val="15"/>
          <w:szCs w:val="15"/>
          <w:lang w:val="fr-FR"/>
        </w:rPr>
        <w:t>/</w:t>
      </w:r>
      <w:bookmarkStart w:id="0" w:name="Code"/>
      <w:r w:rsidR="00663F3D" w:rsidRPr="0022208C">
        <w:rPr>
          <w:rFonts w:ascii="Arial Black" w:hAnsi="Arial Black"/>
          <w:caps/>
          <w:sz w:val="15"/>
          <w:szCs w:val="15"/>
          <w:lang w:val="fr-FR"/>
        </w:rPr>
        <w:t>5</w:t>
      </w:r>
    </w:p>
    <w:bookmarkEnd w:id="0"/>
    <w:p w14:paraId="62BD98A4" w14:textId="4A2CD7B1" w:rsidR="008B2CC1" w:rsidRPr="0022208C" w:rsidRDefault="00DB0349" w:rsidP="0022208C">
      <w:pPr>
        <w:jc w:val="right"/>
        <w:rPr>
          <w:rFonts w:ascii="Arial Black" w:hAnsi="Arial Black"/>
          <w:caps/>
          <w:sz w:val="15"/>
          <w:szCs w:val="15"/>
          <w:lang w:val="fr-FR"/>
        </w:rPr>
      </w:pPr>
      <w:r w:rsidRPr="0022208C">
        <w:rPr>
          <w:rFonts w:ascii="Arial Black" w:hAnsi="Arial Black"/>
          <w:caps/>
          <w:sz w:val="15"/>
          <w:szCs w:val="15"/>
          <w:lang w:val="fr-FR"/>
        </w:rPr>
        <w:t>Original</w:t>
      </w:r>
      <w:r w:rsidR="00487257" w:rsidRPr="0022208C">
        <w:rPr>
          <w:rFonts w:ascii="Arial Black" w:hAnsi="Arial Black"/>
          <w:caps/>
          <w:sz w:val="15"/>
          <w:szCs w:val="15"/>
          <w:lang w:val="fr-FR"/>
        </w:rPr>
        <w:t> :</w:t>
      </w:r>
      <w:r w:rsidRPr="0022208C">
        <w:rPr>
          <w:rFonts w:ascii="Arial Black" w:hAnsi="Arial Black"/>
          <w:caps/>
          <w:sz w:val="15"/>
          <w:szCs w:val="15"/>
          <w:lang w:val="fr-FR"/>
        </w:rPr>
        <w:t xml:space="preserve"> </w:t>
      </w:r>
      <w:bookmarkStart w:id="1" w:name="Original"/>
      <w:r w:rsidR="00663F3D" w:rsidRPr="0022208C">
        <w:rPr>
          <w:rFonts w:ascii="Arial Black" w:hAnsi="Arial Black"/>
          <w:caps/>
          <w:sz w:val="15"/>
          <w:szCs w:val="15"/>
          <w:lang w:val="fr-FR"/>
        </w:rPr>
        <w:t>anglais</w:t>
      </w:r>
    </w:p>
    <w:bookmarkEnd w:id="1"/>
    <w:p w14:paraId="1E95C0FE" w14:textId="0FC9BA30" w:rsidR="008B2CC1" w:rsidRPr="0022208C" w:rsidRDefault="00DB0349" w:rsidP="0022208C">
      <w:pPr>
        <w:spacing w:after="1200"/>
        <w:jc w:val="right"/>
        <w:rPr>
          <w:rFonts w:ascii="Arial Black" w:hAnsi="Arial Black"/>
          <w:caps/>
          <w:sz w:val="15"/>
          <w:szCs w:val="15"/>
          <w:lang w:val="fr-FR"/>
        </w:rPr>
      </w:pPr>
      <w:r w:rsidRPr="0022208C">
        <w:rPr>
          <w:rFonts w:ascii="Arial Black" w:hAnsi="Arial Black"/>
          <w:caps/>
          <w:sz w:val="15"/>
          <w:szCs w:val="15"/>
          <w:lang w:val="fr-FR"/>
        </w:rPr>
        <w:t>date</w:t>
      </w:r>
      <w:r w:rsidR="00487257" w:rsidRPr="0022208C">
        <w:rPr>
          <w:rFonts w:ascii="Arial Black" w:hAnsi="Arial Black"/>
          <w:caps/>
          <w:sz w:val="15"/>
          <w:szCs w:val="15"/>
          <w:lang w:val="fr-FR"/>
        </w:rPr>
        <w:t> :</w:t>
      </w:r>
      <w:r w:rsidRPr="0022208C">
        <w:rPr>
          <w:rFonts w:ascii="Arial Black" w:hAnsi="Arial Black"/>
          <w:caps/>
          <w:sz w:val="15"/>
          <w:szCs w:val="15"/>
          <w:lang w:val="fr-FR"/>
        </w:rPr>
        <w:t xml:space="preserve"> </w:t>
      </w:r>
      <w:bookmarkStart w:id="2" w:name="Date"/>
      <w:r w:rsidR="00663F3D" w:rsidRPr="0022208C">
        <w:rPr>
          <w:rFonts w:ascii="Arial Black" w:hAnsi="Arial Black"/>
          <w:caps/>
          <w:sz w:val="15"/>
          <w:szCs w:val="15"/>
          <w:lang w:val="fr-FR"/>
        </w:rPr>
        <w:t>15 décembre 2025</w:t>
      </w:r>
    </w:p>
    <w:bookmarkEnd w:id="2"/>
    <w:p w14:paraId="72199BF3" w14:textId="77777777" w:rsidR="00C40E15" w:rsidRPr="0022208C" w:rsidRDefault="00BB16AB" w:rsidP="0022208C">
      <w:pPr>
        <w:spacing w:after="600"/>
        <w:rPr>
          <w:b/>
          <w:sz w:val="28"/>
          <w:szCs w:val="28"/>
          <w:lang w:val="fr-FR"/>
        </w:rPr>
      </w:pPr>
      <w:r w:rsidRPr="0022208C">
        <w:rPr>
          <w:b/>
          <w:sz w:val="28"/>
          <w:szCs w:val="28"/>
          <w:lang w:val="fr-FR"/>
        </w:rPr>
        <w:t>Groupe de travail du Traité de coopération en matière de brevets (PCT)</w:t>
      </w:r>
    </w:p>
    <w:p w14:paraId="5B80A4A6" w14:textId="12CC82D0" w:rsidR="008B2CC1" w:rsidRPr="0022208C" w:rsidRDefault="004010C2" w:rsidP="0022208C">
      <w:pPr>
        <w:rPr>
          <w:b/>
          <w:sz w:val="24"/>
          <w:szCs w:val="24"/>
          <w:lang w:val="fr-FR"/>
        </w:rPr>
      </w:pPr>
      <w:r w:rsidRPr="0022208C">
        <w:rPr>
          <w:b/>
          <w:sz w:val="24"/>
          <w:szCs w:val="24"/>
          <w:lang w:val="fr-FR"/>
        </w:rPr>
        <w:t>Dix</w:t>
      </w:r>
      <w:r w:rsidR="0022208C">
        <w:rPr>
          <w:b/>
          <w:sz w:val="24"/>
          <w:szCs w:val="24"/>
          <w:lang w:val="fr-FR"/>
        </w:rPr>
        <w:noBreakHyphen/>
      </w:r>
      <w:r w:rsidR="004A4984" w:rsidRPr="0022208C">
        <w:rPr>
          <w:b/>
          <w:sz w:val="24"/>
          <w:szCs w:val="24"/>
          <w:lang w:val="fr-FR"/>
        </w:rPr>
        <w:t>ne</w:t>
      </w:r>
      <w:r w:rsidR="003500BE" w:rsidRPr="0022208C">
        <w:rPr>
          <w:b/>
          <w:sz w:val="24"/>
          <w:szCs w:val="24"/>
          <w:lang w:val="fr-FR"/>
        </w:rPr>
        <w:t>u</w:t>
      </w:r>
      <w:r w:rsidR="004A4984" w:rsidRPr="0022208C">
        <w:rPr>
          <w:b/>
          <w:sz w:val="24"/>
          <w:szCs w:val="24"/>
          <w:lang w:val="fr-FR"/>
        </w:rPr>
        <w:t>v</w:t>
      </w:r>
      <w:r w:rsidR="00487257" w:rsidRPr="0022208C">
        <w:rPr>
          <w:b/>
          <w:sz w:val="24"/>
          <w:szCs w:val="24"/>
          <w:lang w:val="fr-FR"/>
        </w:rPr>
        <w:t>ième session</w:t>
      </w:r>
    </w:p>
    <w:p w14:paraId="71395961" w14:textId="77777777" w:rsidR="008B2CC1" w:rsidRPr="0022208C" w:rsidRDefault="00BB16AB" w:rsidP="0022208C">
      <w:pPr>
        <w:spacing w:after="720"/>
        <w:rPr>
          <w:b/>
          <w:sz w:val="24"/>
          <w:szCs w:val="24"/>
          <w:lang w:val="fr-FR"/>
        </w:rPr>
      </w:pPr>
      <w:r w:rsidRPr="0022208C">
        <w:rPr>
          <w:b/>
          <w:sz w:val="24"/>
          <w:szCs w:val="24"/>
          <w:lang w:val="fr-FR"/>
        </w:rPr>
        <w:t xml:space="preserve">Genève, </w:t>
      </w:r>
      <w:r w:rsidR="004A4984" w:rsidRPr="0022208C">
        <w:rPr>
          <w:b/>
          <w:sz w:val="24"/>
          <w:szCs w:val="24"/>
          <w:lang w:val="fr-FR"/>
        </w:rPr>
        <w:t>2</w:t>
      </w:r>
      <w:r w:rsidR="004010C2" w:rsidRPr="0022208C">
        <w:rPr>
          <w:b/>
          <w:sz w:val="24"/>
          <w:szCs w:val="24"/>
          <w:lang w:val="fr-FR"/>
        </w:rPr>
        <w:t xml:space="preserve"> – </w:t>
      </w:r>
      <w:r w:rsidR="004A4984" w:rsidRPr="0022208C">
        <w:rPr>
          <w:b/>
          <w:sz w:val="24"/>
          <w:szCs w:val="24"/>
          <w:lang w:val="fr-FR"/>
        </w:rPr>
        <w:t>6</w:t>
      </w:r>
      <w:r w:rsidR="004010C2" w:rsidRPr="0022208C">
        <w:rPr>
          <w:b/>
          <w:sz w:val="24"/>
          <w:szCs w:val="24"/>
          <w:lang w:val="fr-FR"/>
        </w:rPr>
        <w:t> février 202</w:t>
      </w:r>
      <w:r w:rsidR="004A4984" w:rsidRPr="0022208C">
        <w:rPr>
          <w:b/>
          <w:sz w:val="24"/>
          <w:szCs w:val="24"/>
          <w:lang w:val="fr-FR"/>
        </w:rPr>
        <w:t>6</w:t>
      </w:r>
    </w:p>
    <w:p w14:paraId="1EA1C5A8" w14:textId="08EFC954" w:rsidR="00663F3D" w:rsidRPr="0022208C" w:rsidRDefault="00663F3D" w:rsidP="0022208C">
      <w:pPr>
        <w:spacing w:after="360"/>
        <w:rPr>
          <w:caps/>
          <w:sz w:val="24"/>
          <w:lang w:val="fr-FR"/>
        </w:rPr>
      </w:pPr>
      <w:bookmarkStart w:id="3" w:name="TitleOfDoc"/>
      <w:r w:rsidRPr="0022208C">
        <w:rPr>
          <w:caps/>
          <w:sz w:val="24"/>
          <w:lang w:val="fr-FR"/>
        </w:rPr>
        <w:t>Mode de dépôt pour l</w:t>
      </w:r>
      <w:r w:rsidR="00487257" w:rsidRPr="0022208C">
        <w:rPr>
          <w:caps/>
          <w:sz w:val="24"/>
          <w:lang w:val="fr-FR"/>
        </w:rPr>
        <w:t>’</w:t>
      </w:r>
      <w:r w:rsidRPr="0022208C">
        <w:rPr>
          <w:caps/>
          <w:sz w:val="24"/>
          <w:lang w:val="fr-FR"/>
        </w:rPr>
        <w:t>ouverture de la phase nationale devant les offices désignés</w:t>
      </w:r>
    </w:p>
    <w:p w14:paraId="3F2888BC" w14:textId="77777777" w:rsidR="00663F3D" w:rsidRPr="0022208C" w:rsidRDefault="00663F3D" w:rsidP="0022208C">
      <w:pPr>
        <w:spacing w:after="960"/>
        <w:rPr>
          <w:i/>
          <w:lang w:val="fr-FR"/>
        </w:rPr>
      </w:pPr>
      <w:bookmarkStart w:id="4" w:name="Prepared"/>
      <w:bookmarkEnd w:id="3"/>
      <w:r w:rsidRPr="0022208C">
        <w:rPr>
          <w:i/>
          <w:lang w:val="fr-FR"/>
        </w:rPr>
        <w:t>Document établi par le Bureau international</w:t>
      </w:r>
    </w:p>
    <w:bookmarkEnd w:id="4"/>
    <w:p w14:paraId="111271D0" w14:textId="77777777" w:rsidR="00663F3D" w:rsidRPr="0022208C" w:rsidRDefault="00663F3D" w:rsidP="0022208C">
      <w:pPr>
        <w:pStyle w:val="Heading1"/>
        <w:rPr>
          <w:lang w:val="fr-FR"/>
        </w:rPr>
      </w:pPr>
      <w:r w:rsidRPr="0022208C">
        <w:rPr>
          <w:lang w:val="fr-FR"/>
        </w:rPr>
        <w:t>Résumé</w:t>
      </w:r>
    </w:p>
    <w:p w14:paraId="0BA4E00E" w14:textId="7D164C6A" w:rsidR="00663F3D" w:rsidRPr="0022208C" w:rsidRDefault="00663F3D" w:rsidP="0022208C">
      <w:pPr>
        <w:pStyle w:val="ONUMFS"/>
        <w:rPr>
          <w:lang w:val="fr-FR"/>
        </w:rPr>
      </w:pPr>
      <w:r w:rsidRPr="0022208C">
        <w:rPr>
          <w:lang w:val="fr-FR"/>
        </w:rPr>
        <w:t>Le présent document contient des propositions de modification du règlement d</w:t>
      </w:r>
      <w:r w:rsidR="00487257" w:rsidRPr="0022208C">
        <w:rPr>
          <w:lang w:val="fr-FR"/>
        </w:rPr>
        <w:t>’</w:t>
      </w:r>
      <w:r w:rsidRPr="0022208C">
        <w:rPr>
          <w:lang w:val="fr-FR"/>
        </w:rPr>
        <w:t>exécution visant à préciser les circonstances dans lesquelles un office désigné peut exiger l</w:t>
      </w:r>
      <w:r w:rsidR="00487257" w:rsidRPr="0022208C">
        <w:rPr>
          <w:lang w:val="fr-FR"/>
        </w:rPr>
        <w:t>’</w:t>
      </w:r>
      <w:r w:rsidRPr="0022208C">
        <w:rPr>
          <w:lang w:val="fr-FR"/>
        </w:rPr>
        <w:t>utilisation de systèmes électroniques pour que le déposant accomplisse les actes visés à l</w:t>
      </w:r>
      <w:r w:rsidR="00487257" w:rsidRPr="0022208C">
        <w:rPr>
          <w:lang w:val="fr-FR"/>
        </w:rPr>
        <w:t>’</w:t>
      </w:r>
      <w:r w:rsidRPr="0022208C">
        <w:rPr>
          <w:lang w:val="fr-FR"/>
        </w:rPr>
        <w:t>article 22 afin que la demande puisse entrer dans la phase nationale.</w:t>
      </w:r>
    </w:p>
    <w:p w14:paraId="4F3421FF" w14:textId="4A4F65C1" w:rsidR="00663F3D" w:rsidRPr="0022208C" w:rsidRDefault="00663F3D" w:rsidP="0022208C">
      <w:pPr>
        <w:pStyle w:val="ONUMFS"/>
        <w:rPr>
          <w:lang w:val="fr-FR"/>
        </w:rPr>
      </w:pPr>
      <w:r w:rsidRPr="0022208C">
        <w:rPr>
          <w:lang w:val="fr-FR"/>
        </w:rPr>
        <w:t>Plus précisément, il devrait être permis de rendre obligatoire l</w:t>
      </w:r>
      <w:r w:rsidR="00487257" w:rsidRPr="0022208C">
        <w:rPr>
          <w:lang w:val="fr-FR"/>
        </w:rPr>
        <w:t>’</w:t>
      </w:r>
      <w:r w:rsidRPr="0022208C">
        <w:rPr>
          <w:lang w:val="fr-FR"/>
        </w:rPr>
        <w:t>utilisation de systèmes électroniques aux fins de l</w:t>
      </w:r>
      <w:r w:rsidR="00487257" w:rsidRPr="0022208C">
        <w:rPr>
          <w:lang w:val="fr-FR"/>
        </w:rPr>
        <w:t>’</w:t>
      </w:r>
      <w:r w:rsidRPr="0022208C">
        <w:rPr>
          <w:lang w:val="fr-FR"/>
        </w:rPr>
        <w:t>ouverture de la phase nationale, mais</w:t>
      </w:r>
      <w:r w:rsidR="00487257" w:rsidRPr="0022208C">
        <w:rPr>
          <w:lang w:val="fr-FR"/>
        </w:rPr>
        <w:t> :</w:t>
      </w:r>
    </w:p>
    <w:p w14:paraId="1E091439" w14:textId="38DB2F5C" w:rsidR="00663F3D" w:rsidRPr="0022208C" w:rsidRDefault="00663F3D" w:rsidP="0022208C">
      <w:pPr>
        <w:pStyle w:val="ONUMFS"/>
        <w:numPr>
          <w:ilvl w:val="1"/>
          <w:numId w:val="6"/>
        </w:numPr>
        <w:rPr>
          <w:lang w:val="fr-FR"/>
        </w:rPr>
      </w:pPr>
      <w:proofErr w:type="gramStart"/>
      <w:r w:rsidRPr="0022208C">
        <w:rPr>
          <w:lang w:val="fr-FR"/>
        </w:rPr>
        <w:t>il</w:t>
      </w:r>
      <w:proofErr w:type="gramEnd"/>
      <w:r w:rsidRPr="0022208C">
        <w:rPr>
          <w:lang w:val="fr-FR"/>
        </w:rPr>
        <w:t xml:space="preserve"> devrait toujours exister une option accessible aux déposants non</w:t>
      </w:r>
      <w:r w:rsidR="0022208C">
        <w:rPr>
          <w:lang w:val="fr-FR"/>
        </w:rPr>
        <w:noBreakHyphen/>
      </w:r>
      <w:r w:rsidRPr="0022208C">
        <w:rPr>
          <w:lang w:val="fr-FR"/>
        </w:rPr>
        <w:t>résidents sans qu</w:t>
      </w:r>
      <w:r w:rsidR="00487257" w:rsidRPr="0022208C">
        <w:rPr>
          <w:lang w:val="fr-FR"/>
        </w:rPr>
        <w:t>’</w:t>
      </w:r>
      <w:r w:rsidRPr="0022208C">
        <w:rPr>
          <w:lang w:val="fr-FR"/>
        </w:rPr>
        <w:t>il soit nécessaire de faire appel à un mandataire local;</w:t>
      </w:r>
    </w:p>
    <w:p w14:paraId="5D59875A" w14:textId="5B3561EB" w:rsidR="00663F3D" w:rsidRPr="0022208C" w:rsidRDefault="00663F3D" w:rsidP="0022208C">
      <w:pPr>
        <w:pStyle w:val="ONUMFS"/>
        <w:numPr>
          <w:ilvl w:val="1"/>
          <w:numId w:val="6"/>
        </w:numPr>
        <w:rPr>
          <w:lang w:val="fr-FR"/>
        </w:rPr>
      </w:pPr>
      <w:proofErr w:type="gramStart"/>
      <w:r w:rsidRPr="0022208C">
        <w:rPr>
          <w:lang w:val="fr-FR"/>
        </w:rPr>
        <w:t>il</w:t>
      </w:r>
      <w:proofErr w:type="gramEnd"/>
      <w:r w:rsidRPr="0022208C">
        <w:rPr>
          <w:lang w:val="fr-FR"/>
        </w:rPr>
        <w:t xml:space="preserve"> ne devrait pas être obligatoire de fournir des documents et des renseignements autres que ceux spécifiés à l</w:t>
      </w:r>
      <w:r w:rsidR="00487257" w:rsidRPr="0022208C">
        <w:rPr>
          <w:lang w:val="fr-FR"/>
        </w:rPr>
        <w:t>’</w:t>
      </w:r>
      <w:r w:rsidRPr="0022208C">
        <w:rPr>
          <w:lang w:val="fr-FR"/>
        </w:rPr>
        <w:t xml:space="preserve">article 22; </w:t>
      </w:r>
      <w:r w:rsidR="00D07BEB" w:rsidRPr="0022208C">
        <w:rPr>
          <w:lang w:val="fr-FR"/>
        </w:rPr>
        <w:t xml:space="preserve"> </w:t>
      </w:r>
      <w:r w:rsidRPr="0022208C">
        <w:rPr>
          <w:lang w:val="fr-FR"/>
        </w:rPr>
        <w:t>et</w:t>
      </w:r>
    </w:p>
    <w:p w14:paraId="4EAA6DD2" w14:textId="282FE0EF" w:rsidR="00663F3D" w:rsidRPr="0022208C" w:rsidRDefault="00663F3D" w:rsidP="0022208C">
      <w:pPr>
        <w:pStyle w:val="ONUMFS"/>
        <w:numPr>
          <w:ilvl w:val="1"/>
          <w:numId w:val="6"/>
        </w:numPr>
        <w:rPr>
          <w:lang w:val="fr-FR"/>
        </w:rPr>
      </w:pPr>
      <w:proofErr w:type="gramStart"/>
      <w:r w:rsidRPr="0022208C">
        <w:rPr>
          <w:lang w:val="fr-FR"/>
        </w:rPr>
        <w:t>il</w:t>
      </w:r>
      <w:proofErr w:type="gramEnd"/>
      <w:r w:rsidRPr="0022208C">
        <w:rPr>
          <w:lang w:val="fr-FR"/>
        </w:rPr>
        <w:t xml:space="preserve"> devrait exister un niveau minimum de garantie dans le cas où un service pour l</w:t>
      </w:r>
      <w:r w:rsidR="00487257" w:rsidRPr="0022208C">
        <w:rPr>
          <w:lang w:val="fr-FR"/>
        </w:rPr>
        <w:t>’</w:t>
      </w:r>
      <w:r w:rsidRPr="0022208C">
        <w:rPr>
          <w:lang w:val="fr-FR"/>
        </w:rPr>
        <w:t>entrée dans la phase nationale est indisponible (ce qui devrait en principe s</w:t>
      </w:r>
      <w:r w:rsidR="00487257" w:rsidRPr="0022208C">
        <w:rPr>
          <w:lang w:val="fr-FR"/>
        </w:rPr>
        <w:t>’</w:t>
      </w:r>
      <w:r w:rsidRPr="0022208C">
        <w:rPr>
          <w:lang w:val="fr-FR"/>
        </w:rPr>
        <w:t>appliquer à tout service, et pas seulement à un service électronique unique).</w:t>
      </w:r>
    </w:p>
    <w:p w14:paraId="7B44013B" w14:textId="77777777" w:rsidR="00663F3D" w:rsidRPr="0022208C" w:rsidRDefault="00663F3D" w:rsidP="0022208C">
      <w:pPr>
        <w:pStyle w:val="Heading1"/>
        <w:rPr>
          <w:lang w:val="fr-FR"/>
        </w:rPr>
      </w:pPr>
      <w:r w:rsidRPr="0022208C">
        <w:rPr>
          <w:lang w:val="fr-FR"/>
        </w:rPr>
        <w:lastRenderedPageBreak/>
        <w:t>Rappel</w:t>
      </w:r>
    </w:p>
    <w:p w14:paraId="7AF01C81" w14:textId="6BEC9A99" w:rsidR="00663F3D" w:rsidRPr="0022208C" w:rsidRDefault="00663F3D" w:rsidP="0022208C">
      <w:pPr>
        <w:pStyle w:val="ONUMFS"/>
        <w:keepNext/>
        <w:rPr>
          <w:lang w:val="fr-FR"/>
        </w:rPr>
      </w:pPr>
      <w:r w:rsidRPr="0022208C">
        <w:rPr>
          <w:lang w:val="fr-FR"/>
        </w:rPr>
        <w:t>L</w:t>
      </w:r>
      <w:r w:rsidR="00487257" w:rsidRPr="0022208C">
        <w:rPr>
          <w:lang w:val="fr-FR"/>
        </w:rPr>
        <w:t>’</w:t>
      </w:r>
      <w:r w:rsidRPr="0022208C">
        <w:rPr>
          <w:lang w:val="fr-FR"/>
        </w:rPr>
        <w:t>article 22.1) énonce comme suit les actes à accomplir pour entrer dans la phase nationale (ci</w:t>
      </w:r>
      <w:r w:rsidR="0022208C">
        <w:rPr>
          <w:lang w:val="fr-FR"/>
        </w:rPr>
        <w:noBreakHyphen/>
      </w:r>
      <w:r w:rsidRPr="0022208C">
        <w:rPr>
          <w:lang w:val="fr-FR"/>
        </w:rPr>
        <w:t>après dénommés “actes visés à l</w:t>
      </w:r>
      <w:r w:rsidR="00487257" w:rsidRPr="0022208C">
        <w:rPr>
          <w:lang w:val="fr-FR"/>
        </w:rPr>
        <w:t>’article 2</w:t>
      </w:r>
      <w:r w:rsidRPr="0022208C">
        <w:rPr>
          <w:lang w:val="fr-FR"/>
        </w:rPr>
        <w:t>2”)</w:t>
      </w:r>
      <w:r w:rsidR="00487257" w:rsidRPr="0022208C">
        <w:rPr>
          <w:lang w:val="fr-FR"/>
        </w:rPr>
        <w:t> :</w:t>
      </w:r>
    </w:p>
    <w:p w14:paraId="68828C9A" w14:textId="7B54AC0E" w:rsidR="00663F3D" w:rsidRPr="0022208C" w:rsidRDefault="00663F3D" w:rsidP="0022208C">
      <w:pPr>
        <w:pStyle w:val="ONUMFS"/>
        <w:numPr>
          <w:ilvl w:val="0"/>
          <w:numId w:val="0"/>
        </w:numPr>
        <w:tabs>
          <w:tab w:val="left" w:pos="1134"/>
        </w:tabs>
        <w:ind w:left="567"/>
        <w:rPr>
          <w:lang w:val="fr-FR"/>
        </w:rPr>
      </w:pPr>
      <w:r w:rsidRPr="0022208C">
        <w:rPr>
          <w:lang w:val="fr-FR"/>
        </w:rPr>
        <w:t>“1)</w:t>
      </w:r>
      <w:r w:rsidR="0022208C">
        <w:rPr>
          <w:lang w:val="fr-FR"/>
        </w:rPr>
        <w:tab/>
      </w:r>
      <w:r w:rsidRPr="0022208C">
        <w:rPr>
          <w:lang w:val="fr-FR"/>
        </w:rPr>
        <w:t>Le déposant remet à chaque office désigné une copie de la demande internationale (sauf si la communication visée à l</w:t>
      </w:r>
      <w:r w:rsidR="00487257" w:rsidRPr="0022208C">
        <w:rPr>
          <w:lang w:val="fr-FR"/>
        </w:rPr>
        <w:t>’</w:t>
      </w:r>
      <w:r w:rsidRPr="0022208C">
        <w:rPr>
          <w:lang w:val="fr-FR"/>
        </w:rPr>
        <w:t>article 20 a déjà eu lieu) et une traduction (telle qu</w:t>
      </w:r>
      <w:r w:rsidR="00487257" w:rsidRPr="0022208C">
        <w:rPr>
          <w:lang w:val="fr-FR"/>
        </w:rPr>
        <w:t>’</w:t>
      </w:r>
      <w:r w:rsidRPr="0022208C">
        <w:rPr>
          <w:lang w:val="fr-FR"/>
        </w:rPr>
        <w:t>elle est prescrite) de cette demande et lui paie (le cas échéant) la taxe nationale au plus tard à l</w:t>
      </w:r>
      <w:r w:rsidR="00487257" w:rsidRPr="0022208C">
        <w:rPr>
          <w:lang w:val="fr-FR"/>
        </w:rPr>
        <w:t>’</w:t>
      </w:r>
      <w:r w:rsidRPr="0022208C">
        <w:rPr>
          <w:lang w:val="fr-FR"/>
        </w:rPr>
        <w:t>expiration d</w:t>
      </w:r>
      <w:r w:rsidR="00487257" w:rsidRPr="0022208C">
        <w:rPr>
          <w:lang w:val="fr-FR"/>
        </w:rPr>
        <w:t>’</w:t>
      </w:r>
      <w:r w:rsidRPr="0022208C">
        <w:rPr>
          <w:lang w:val="fr-FR"/>
        </w:rPr>
        <w:t>un délai de trente mois à compter de la date de priori</w:t>
      </w:r>
      <w:r w:rsidR="00E443AA" w:rsidRPr="0022208C">
        <w:rPr>
          <w:lang w:val="fr-FR"/>
        </w:rPr>
        <w:t>té.  Da</w:t>
      </w:r>
      <w:r w:rsidRPr="0022208C">
        <w:rPr>
          <w:lang w:val="fr-FR"/>
        </w:rPr>
        <w:t>ns le cas où le nom de l</w:t>
      </w:r>
      <w:r w:rsidR="00487257" w:rsidRPr="0022208C">
        <w:rPr>
          <w:lang w:val="fr-FR"/>
        </w:rPr>
        <w:t>’</w:t>
      </w:r>
      <w:r w:rsidRPr="0022208C">
        <w:rPr>
          <w:lang w:val="fr-FR"/>
        </w:rPr>
        <w:t>inventeur et les autres renseignements, prescrits par la législation de l</w:t>
      </w:r>
      <w:r w:rsidR="00487257" w:rsidRPr="0022208C">
        <w:rPr>
          <w:lang w:val="fr-FR"/>
        </w:rPr>
        <w:t>’</w:t>
      </w:r>
      <w:r w:rsidRPr="0022208C">
        <w:rPr>
          <w:lang w:val="fr-FR"/>
        </w:rPr>
        <w:t>État désigné, relatifs à l</w:t>
      </w:r>
      <w:r w:rsidR="00487257" w:rsidRPr="0022208C">
        <w:rPr>
          <w:lang w:val="fr-FR"/>
        </w:rPr>
        <w:t>’</w:t>
      </w:r>
      <w:r w:rsidRPr="0022208C">
        <w:rPr>
          <w:lang w:val="fr-FR"/>
        </w:rPr>
        <w:t>inventeur ne sont pas exigés dès le dépôt d</w:t>
      </w:r>
      <w:r w:rsidR="00487257" w:rsidRPr="0022208C">
        <w:rPr>
          <w:lang w:val="fr-FR"/>
        </w:rPr>
        <w:t>’</w:t>
      </w:r>
      <w:r w:rsidRPr="0022208C">
        <w:rPr>
          <w:lang w:val="fr-FR"/>
        </w:rPr>
        <w:t>une demande nationale, le déposant doit, s</w:t>
      </w:r>
      <w:r w:rsidR="00487257" w:rsidRPr="0022208C">
        <w:rPr>
          <w:lang w:val="fr-FR"/>
        </w:rPr>
        <w:t>’</w:t>
      </w:r>
      <w:r w:rsidRPr="0022208C">
        <w:rPr>
          <w:lang w:val="fr-FR"/>
        </w:rPr>
        <w:t>ils ne figurent pas déjà dans la requête, les communiquer à l</w:t>
      </w:r>
      <w:r w:rsidR="00487257" w:rsidRPr="0022208C">
        <w:rPr>
          <w:lang w:val="fr-FR"/>
        </w:rPr>
        <w:t>’</w:t>
      </w:r>
      <w:r w:rsidRPr="0022208C">
        <w:rPr>
          <w:lang w:val="fr-FR"/>
        </w:rPr>
        <w:t>office national de cet État ou à l</w:t>
      </w:r>
      <w:r w:rsidR="00487257" w:rsidRPr="0022208C">
        <w:rPr>
          <w:lang w:val="fr-FR"/>
        </w:rPr>
        <w:t>’</w:t>
      </w:r>
      <w:r w:rsidRPr="0022208C">
        <w:rPr>
          <w:lang w:val="fr-FR"/>
        </w:rPr>
        <w:t>office agissant pour ce dernier au plus tard à l</w:t>
      </w:r>
      <w:r w:rsidR="00487257" w:rsidRPr="0022208C">
        <w:rPr>
          <w:lang w:val="fr-FR"/>
        </w:rPr>
        <w:t>’</w:t>
      </w:r>
      <w:r w:rsidRPr="0022208C">
        <w:rPr>
          <w:lang w:val="fr-FR"/>
        </w:rPr>
        <w:t>expiration d</w:t>
      </w:r>
      <w:r w:rsidR="00487257" w:rsidRPr="0022208C">
        <w:rPr>
          <w:lang w:val="fr-FR"/>
        </w:rPr>
        <w:t>’</w:t>
      </w:r>
      <w:r w:rsidRPr="0022208C">
        <w:rPr>
          <w:lang w:val="fr-FR"/>
        </w:rPr>
        <w:t>un délai de trente mois à compter de la date de priorité”</w:t>
      </w:r>
      <w:r w:rsidR="0022208C">
        <w:rPr>
          <w:lang w:val="fr-FR"/>
        </w:rPr>
        <w:t>.</w:t>
      </w:r>
    </w:p>
    <w:p w14:paraId="7358E701" w14:textId="75DC1FDC" w:rsidR="00663F3D" w:rsidRPr="0022208C" w:rsidRDefault="00663F3D" w:rsidP="0022208C">
      <w:pPr>
        <w:pStyle w:val="ONUMFS"/>
        <w:rPr>
          <w:lang w:val="fr-FR"/>
        </w:rPr>
      </w:pPr>
      <w:r w:rsidRPr="0022208C">
        <w:rPr>
          <w:lang w:val="fr-FR"/>
        </w:rPr>
        <w:t>Les alinéas 2) et</w:t>
      </w:r>
      <w:r w:rsidR="0022208C">
        <w:rPr>
          <w:lang w:val="fr-FR"/>
        </w:rPr>
        <w:t> </w:t>
      </w:r>
      <w:r w:rsidRPr="0022208C">
        <w:rPr>
          <w:lang w:val="fr-FR"/>
        </w:rPr>
        <w:t>3) de l</w:t>
      </w:r>
      <w:r w:rsidR="00487257" w:rsidRPr="0022208C">
        <w:rPr>
          <w:lang w:val="fr-FR"/>
        </w:rPr>
        <w:t>’</w:t>
      </w:r>
      <w:r w:rsidRPr="0022208C">
        <w:rPr>
          <w:lang w:val="fr-FR"/>
        </w:rPr>
        <w:t>article 22 apportent des précisions en ce qui concerne le cas dans lequel l</w:t>
      </w:r>
      <w:r w:rsidR="00487257" w:rsidRPr="0022208C">
        <w:rPr>
          <w:lang w:val="fr-FR"/>
        </w:rPr>
        <w:t>’</w:t>
      </w:r>
      <w:r w:rsidRPr="0022208C">
        <w:rPr>
          <w:lang w:val="fr-FR"/>
        </w:rPr>
        <w:t>administration chargée de la recherche internationale déclare qu</w:t>
      </w:r>
      <w:r w:rsidR="00487257" w:rsidRPr="0022208C">
        <w:rPr>
          <w:lang w:val="fr-FR"/>
        </w:rPr>
        <w:t>’</w:t>
      </w:r>
      <w:r w:rsidRPr="0022208C">
        <w:rPr>
          <w:lang w:val="fr-FR"/>
        </w:rPr>
        <w:t>aucun rapport de recherche internationale ne sera établi et que les législations nationales peuvent fixer des délais qui expirent plus tard.</w:t>
      </w:r>
    </w:p>
    <w:p w14:paraId="34A30341" w14:textId="5D1A2259" w:rsidR="00663F3D" w:rsidRPr="0022208C" w:rsidRDefault="00663F3D" w:rsidP="0022208C">
      <w:pPr>
        <w:pStyle w:val="ONUMFS"/>
        <w:rPr>
          <w:lang w:val="fr-FR"/>
        </w:rPr>
      </w:pPr>
      <w:r w:rsidRPr="0022208C">
        <w:rPr>
          <w:lang w:val="fr-FR"/>
        </w:rPr>
        <w:t>Les actes visés à l</w:t>
      </w:r>
      <w:r w:rsidR="00487257" w:rsidRPr="0022208C">
        <w:rPr>
          <w:lang w:val="fr-FR"/>
        </w:rPr>
        <w:t>’</w:t>
      </w:r>
      <w:r w:rsidRPr="0022208C">
        <w:rPr>
          <w:lang w:val="fr-FR"/>
        </w:rPr>
        <w:t>article 22 prévoient la fourniture de documents dans certains cas et le paiement d</w:t>
      </w:r>
      <w:r w:rsidR="00487257" w:rsidRPr="0022208C">
        <w:rPr>
          <w:lang w:val="fr-FR"/>
        </w:rPr>
        <w:t>’</w:t>
      </w:r>
      <w:r w:rsidRPr="0022208C">
        <w:rPr>
          <w:lang w:val="fr-FR"/>
        </w:rPr>
        <w:t>une taxe nationale dans la plupart des c</w:t>
      </w:r>
      <w:r w:rsidR="00E443AA" w:rsidRPr="0022208C">
        <w:rPr>
          <w:lang w:val="fr-FR"/>
        </w:rPr>
        <w:t>as.  Il</w:t>
      </w:r>
      <w:r w:rsidRPr="0022208C">
        <w:rPr>
          <w:lang w:val="fr-FR"/>
        </w:rPr>
        <w:t xml:space="preserve"> s</w:t>
      </w:r>
      <w:r w:rsidR="00487257" w:rsidRPr="0022208C">
        <w:rPr>
          <w:lang w:val="fr-FR"/>
        </w:rPr>
        <w:t>’</w:t>
      </w:r>
      <w:r w:rsidRPr="0022208C">
        <w:rPr>
          <w:lang w:val="fr-FR"/>
        </w:rPr>
        <w:t>agit généralement d</w:t>
      </w:r>
      <w:r w:rsidR="00487257" w:rsidRPr="0022208C">
        <w:rPr>
          <w:lang w:val="fr-FR"/>
        </w:rPr>
        <w:t>’</w:t>
      </w:r>
      <w:r w:rsidRPr="0022208C">
        <w:rPr>
          <w:lang w:val="fr-FR"/>
        </w:rPr>
        <w:t>actes distincts, qui doivent tous deux (ou tous, lorsque plusieurs documents sont nécessaires) être accomplis dans le même délai, bien que les systèmes manuels et électroniques puissent permettre de les réaliser simultanément.</w:t>
      </w:r>
    </w:p>
    <w:p w14:paraId="6CC0B20C" w14:textId="1D332FE4" w:rsidR="00663F3D" w:rsidRPr="0022208C" w:rsidRDefault="00663F3D" w:rsidP="0022208C">
      <w:pPr>
        <w:pStyle w:val="ONUMFS"/>
        <w:rPr>
          <w:lang w:val="fr-FR"/>
        </w:rPr>
      </w:pPr>
      <w:r w:rsidRPr="0022208C">
        <w:rPr>
          <w:lang w:val="fr-FR"/>
        </w:rPr>
        <w:t>À la quinz</w:t>
      </w:r>
      <w:r w:rsidR="00487257" w:rsidRPr="0022208C">
        <w:rPr>
          <w:lang w:val="fr-FR"/>
        </w:rPr>
        <w:t>ième session</w:t>
      </w:r>
      <w:r w:rsidRPr="0022208C">
        <w:rPr>
          <w:lang w:val="fr-FR"/>
        </w:rPr>
        <w:t xml:space="preserve"> du groupe de travail tenue en octobre 2022, le Brésil a présenté une proposition de modification des règles 89</w:t>
      </w:r>
      <w:r w:rsidRPr="0022208C">
        <w:rPr>
          <w:i/>
          <w:lang w:val="fr-FR"/>
        </w:rPr>
        <w:t>bis</w:t>
      </w:r>
      <w:r w:rsidRPr="0022208C">
        <w:rPr>
          <w:lang w:val="fr-FR"/>
        </w:rPr>
        <w:t>.1 et 89</w:t>
      </w:r>
      <w:r w:rsidRPr="0022208C">
        <w:rPr>
          <w:i/>
          <w:lang w:val="fr-FR"/>
        </w:rPr>
        <w:t>bis</w:t>
      </w:r>
      <w:r w:rsidRPr="0022208C">
        <w:rPr>
          <w:lang w:val="fr-FR"/>
        </w:rPr>
        <w:t>.2 visant à permettre aux offices récepteurs d</w:t>
      </w:r>
      <w:r w:rsidR="00487257" w:rsidRPr="0022208C">
        <w:rPr>
          <w:lang w:val="fr-FR"/>
        </w:rPr>
        <w:t>’</w:t>
      </w:r>
      <w:r w:rsidRPr="0022208C">
        <w:rPr>
          <w:lang w:val="fr-FR"/>
        </w:rPr>
        <w:t>exiger le dépôt de demandes internationales, la présentation des documents déposés ultérieurement et l</w:t>
      </w:r>
      <w:r w:rsidR="00487257" w:rsidRPr="0022208C">
        <w:rPr>
          <w:lang w:val="fr-FR"/>
        </w:rPr>
        <w:t>’</w:t>
      </w:r>
      <w:r w:rsidRPr="0022208C">
        <w:rPr>
          <w:lang w:val="fr-FR"/>
        </w:rPr>
        <w:t xml:space="preserve">entrée dans la phase nationale uniquement sous forme électronique et non sur papier (voir le </w:t>
      </w:r>
      <w:r w:rsidR="00487257" w:rsidRPr="0022208C">
        <w:rPr>
          <w:lang w:val="fr-FR"/>
        </w:rPr>
        <w:t>document</w:t>
      </w:r>
      <w:r w:rsidR="0022208C">
        <w:rPr>
          <w:lang w:val="fr-FR"/>
        </w:rPr>
        <w:t> </w:t>
      </w:r>
      <w:r w:rsidR="00487257" w:rsidRPr="0022208C">
        <w:rPr>
          <w:lang w:val="fr-FR"/>
        </w:rPr>
        <w:t>PC</w:t>
      </w:r>
      <w:r w:rsidRPr="0022208C">
        <w:rPr>
          <w:lang w:val="fr-FR"/>
        </w:rPr>
        <w:t>T/WG/15/13).  La proposition de modification révisée de la règle 89</w:t>
      </w:r>
      <w:r w:rsidRPr="0022208C">
        <w:rPr>
          <w:i/>
          <w:lang w:val="fr-FR"/>
        </w:rPr>
        <w:t>bis</w:t>
      </w:r>
      <w:r w:rsidRPr="0022208C">
        <w:rPr>
          <w:lang w:val="fr-FR"/>
        </w:rPr>
        <w:t xml:space="preserve"> concernant le dépôt de demandes internationales et la présentation des documents déposés ultérieurement a été examinée à la dix</w:t>
      </w:r>
      <w:r w:rsidR="0022208C">
        <w:rPr>
          <w:lang w:val="fr-FR"/>
        </w:rPr>
        <w:noBreakHyphen/>
      </w:r>
      <w:r w:rsidRPr="0022208C">
        <w:rPr>
          <w:lang w:val="fr-FR"/>
        </w:rPr>
        <w:t>sept</w:t>
      </w:r>
      <w:r w:rsidR="00487257" w:rsidRPr="0022208C">
        <w:rPr>
          <w:lang w:val="fr-FR"/>
        </w:rPr>
        <w:t>ième session</w:t>
      </w:r>
      <w:r w:rsidRPr="0022208C">
        <w:rPr>
          <w:lang w:val="fr-FR"/>
        </w:rPr>
        <w:t xml:space="preserve"> du Groupe de travail du PCT en février 2024 (voir le </w:t>
      </w:r>
      <w:r w:rsidR="00487257" w:rsidRPr="0022208C">
        <w:rPr>
          <w:lang w:val="fr-FR"/>
        </w:rPr>
        <w:t>document</w:t>
      </w:r>
      <w:r w:rsidR="0022208C">
        <w:rPr>
          <w:lang w:val="fr-FR"/>
        </w:rPr>
        <w:t> </w:t>
      </w:r>
      <w:r w:rsidR="00487257" w:rsidRPr="0022208C">
        <w:rPr>
          <w:lang w:val="fr-FR"/>
        </w:rPr>
        <w:t>PC</w:t>
      </w:r>
      <w:r w:rsidRPr="0022208C">
        <w:rPr>
          <w:lang w:val="fr-FR"/>
        </w:rPr>
        <w:t>T/WG/17/15) et adoptée par l</w:t>
      </w:r>
      <w:r w:rsidR="00487257" w:rsidRPr="0022208C">
        <w:rPr>
          <w:lang w:val="fr-FR"/>
        </w:rPr>
        <w:t>’</w:t>
      </w:r>
      <w:r w:rsidRPr="0022208C">
        <w:rPr>
          <w:lang w:val="fr-FR"/>
        </w:rPr>
        <w:t>Assemblée de l</w:t>
      </w:r>
      <w:r w:rsidR="00487257" w:rsidRPr="0022208C">
        <w:rPr>
          <w:lang w:val="fr-FR"/>
        </w:rPr>
        <w:t>’</w:t>
      </w:r>
      <w:r w:rsidRPr="0022208C">
        <w:rPr>
          <w:lang w:val="fr-FR"/>
        </w:rPr>
        <w:t xml:space="preserve">Union du PCT en juillet 2024 (voir le </w:t>
      </w:r>
      <w:r w:rsidR="00487257" w:rsidRPr="0022208C">
        <w:rPr>
          <w:lang w:val="fr-FR"/>
        </w:rPr>
        <w:t>document</w:t>
      </w:r>
      <w:r w:rsidR="0022208C">
        <w:rPr>
          <w:lang w:val="fr-FR"/>
        </w:rPr>
        <w:t> </w:t>
      </w:r>
      <w:r w:rsidR="00487257" w:rsidRPr="0022208C">
        <w:rPr>
          <w:lang w:val="fr-FR"/>
        </w:rPr>
        <w:t>PC</w:t>
      </w:r>
      <w:r w:rsidRPr="0022208C">
        <w:rPr>
          <w:lang w:val="fr-FR"/>
        </w:rPr>
        <w:t>T/A/56/3).</w:t>
      </w:r>
    </w:p>
    <w:p w14:paraId="377B639B" w14:textId="1814C839" w:rsidR="00663F3D" w:rsidRPr="0022208C" w:rsidRDefault="00663F3D" w:rsidP="0022208C">
      <w:pPr>
        <w:pStyle w:val="ONUMFS"/>
        <w:rPr>
          <w:lang w:val="fr-FR"/>
        </w:rPr>
      </w:pPr>
      <w:r w:rsidRPr="0022208C">
        <w:rPr>
          <w:lang w:val="fr-FR"/>
        </w:rPr>
        <w:t>Le groupe de travail a invité le Bureau international à étudier les questions concernant l</w:t>
      </w:r>
      <w:r w:rsidR="00487257" w:rsidRPr="0022208C">
        <w:rPr>
          <w:lang w:val="fr-FR"/>
        </w:rPr>
        <w:t>’</w:t>
      </w:r>
      <w:r w:rsidRPr="0022208C">
        <w:rPr>
          <w:lang w:val="fr-FR"/>
        </w:rPr>
        <w:t xml:space="preserve">entrée dans la phase nationale par voie électronique uniquement (voir le paragraphe 39.ii) du Résumé présenté par la présidente, </w:t>
      </w:r>
      <w:r w:rsidR="00487257" w:rsidRPr="0022208C">
        <w:rPr>
          <w:lang w:val="fr-FR"/>
        </w:rPr>
        <w:t>document</w:t>
      </w:r>
      <w:r w:rsidR="0022208C">
        <w:rPr>
          <w:lang w:val="fr-FR"/>
        </w:rPr>
        <w:t> </w:t>
      </w:r>
      <w:r w:rsidR="00487257" w:rsidRPr="0022208C">
        <w:rPr>
          <w:lang w:val="fr-FR"/>
        </w:rPr>
        <w:t>PC</w:t>
      </w:r>
      <w:r w:rsidRPr="0022208C">
        <w:rPr>
          <w:lang w:val="fr-FR"/>
        </w:rPr>
        <w:t>T/WG/15/19).</w:t>
      </w:r>
    </w:p>
    <w:p w14:paraId="13A904DB" w14:textId="5700BCDA" w:rsidR="00663F3D" w:rsidRPr="0022208C" w:rsidRDefault="00663F3D" w:rsidP="0022208C">
      <w:pPr>
        <w:pStyle w:val="ONUMFS"/>
        <w:rPr>
          <w:lang w:val="fr-FR"/>
        </w:rPr>
      </w:pPr>
      <w:r w:rsidRPr="0022208C">
        <w:rPr>
          <w:lang w:val="fr-FR"/>
        </w:rPr>
        <w:t>À la dix</w:t>
      </w:r>
      <w:r w:rsidR="0022208C">
        <w:rPr>
          <w:lang w:val="fr-FR"/>
        </w:rPr>
        <w:noBreakHyphen/>
      </w:r>
      <w:r w:rsidRPr="0022208C">
        <w:rPr>
          <w:lang w:val="fr-FR"/>
        </w:rPr>
        <w:t>huit</w:t>
      </w:r>
      <w:r w:rsidR="00487257" w:rsidRPr="0022208C">
        <w:rPr>
          <w:lang w:val="fr-FR"/>
        </w:rPr>
        <w:t>ième session</w:t>
      </w:r>
      <w:r w:rsidRPr="0022208C">
        <w:rPr>
          <w:lang w:val="fr-FR"/>
        </w:rPr>
        <w:t xml:space="preserve"> du groupe de travail tenue en </w:t>
      </w:r>
      <w:r w:rsidR="00487257" w:rsidRPr="0022208C">
        <w:rPr>
          <w:lang w:val="fr-FR"/>
        </w:rPr>
        <w:t>février 20</w:t>
      </w:r>
      <w:r w:rsidRPr="0022208C">
        <w:rPr>
          <w:lang w:val="fr-FR"/>
        </w:rPr>
        <w:t>25, le Bureau international a présenté un document (PCT/WG/18/4</w:t>
      </w:r>
      <w:r w:rsidR="00D07BEB" w:rsidRPr="0022208C">
        <w:rPr>
          <w:lang w:val="fr-FR"/>
        </w:rPr>
        <w:t> </w:t>
      </w:r>
      <w:proofErr w:type="spellStart"/>
      <w:r w:rsidRPr="0022208C">
        <w:rPr>
          <w:lang w:val="fr-FR"/>
        </w:rPr>
        <w:t>Rev</w:t>
      </w:r>
      <w:proofErr w:type="spellEnd"/>
      <w:r w:rsidRPr="0022208C">
        <w:rPr>
          <w:lang w:val="fr-FR"/>
        </w:rPr>
        <w:t>.) portant sur les questions relatives à l</w:t>
      </w:r>
      <w:r w:rsidR="00487257" w:rsidRPr="0022208C">
        <w:rPr>
          <w:lang w:val="fr-FR"/>
        </w:rPr>
        <w:t>’</w:t>
      </w:r>
      <w:r w:rsidRPr="0022208C">
        <w:rPr>
          <w:lang w:val="fr-FR"/>
        </w:rPr>
        <w:t>ouverture de la phase nationale par voie électronique uniqueme</w:t>
      </w:r>
      <w:r w:rsidR="00E443AA" w:rsidRPr="0022208C">
        <w:rPr>
          <w:lang w:val="fr-FR"/>
        </w:rPr>
        <w:t>nt.  Le</w:t>
      </w:r>
      <w:r w:rsidRPr="0022208C">
        <w:rPr>
          <w:lang w:val="fr-FR"/>
        </w:rPr>
        <w:t xml:space="preserve"> paragraphe 22 de ce document, reproduit ci</w:t>
      </w:r>
      <w:r w:rsidR="0022208C">
        <w:rPr>
          <w:lang w:val="fr-FR"/>
        </w:rPr>
        <w:noBreakHyphen/>
      </w:r>
      <w:r w:rsidRPr="0022208C">
        <w:rPr>
          <w:lang w:val="fr-FR"/>
        </w:rPr>
        <w:t>après, présente la conclusion de cette étude</w:t>
      </w:r>
      <w:r w:rsidR="00487257" w:rsidRPr="0022208C">
        <w:rPr>
          <w:lang w:val="fr-FR"/>
        </w:rPr>
        <w:t> :</w:t>
      </w:r>
    </w:p>
    <w:p w14:paraId="562C0D57" w14:textId="16D21593" w:rsidR="00663F3D" w:rsidRPr="0022208C" w:rsidRDefault="00663F3D" w:rsidP="0022208C">
      <w:pPr>
        <w:pStyle w:val="ONUMFS"/>
        <w:numPr>
          <w:ilvl w:val="0"/>
          <w:numId w:val="0"/>
        </w:numPr>
        <w:ind w:left="567"/>
        <w:rPr>
          <w:lang w:val="fr-FR"/>
        </w:rPr>
      </w:pPr>
      <w:r w:rsidRPr="0022208C">
        <w:rPr>
          <w:lang w:val="fr-FR"/>
        </w:rPr>
        <w:t xml:space="preserve">“22. </w:t>
      </w:r>
      <w:r w:rsidR="00D07BEB" w:rsidRPr="0022208C">
        <w:rPr>
          <w:lang w:val="fr-FR"/>
        </w:rPr>
        <w:t xml:space="preserve"> </w:t>
      </w:r>
      <w:r w:rsidRPr="0022208C">
        <w:rPr>
          <w:lang w:val="fr-FR"/>
        </w:rPr>
        <w:t>Selon le Bureau international, un office désigné peut exiger d</w:t>
      </w:r>
      <w:r w:rsidR="00487257" w:rsidRPr="0022208C">
        <w:rPr>
          <w:lang w:val="fr-FR"/>
        </w:rPr>
        <w:t>’</w:t>
      </w:r>
      <w:r w:rsidRPr="0022208C">
        <w:rPr>
          <w:lang w:val="fr-FR"/>
        </w:rPr>
        <w:t>un déposant qu</w:t>
      </w:r>
      <w:r w:rsidR="00487257" w:rsidRPr="0022208C">
        <w:rPr>
          <w:lang w:val="fr-FR"/>
        </w:rPr>
        <w:t>’</w:t>
      </w:r>
      <w:r w:rsidRPr="0022208C">
        <w:rPr>
          <w:lang w:val="fr-FR"/>
        </w:rPr>
        <w:t>il utilise un système électronique comme seul moyen pour l</w:t>
      </w:r>
      <w:r w:rsidR="00487257" w:rsidRPr="0022208C">
        <w:rPr>
          <w:lang w:val="fr-FR"/>
        </w:rPr>
        <w:t>’</w:t>
      </w:r>
      <w:r w:rsidRPr="0022208C">
        <w:rPr>
          <w:lang w:val="fr-FR"/>
        </w:rPr>
        <w:t>ouverture de la phase nationale, pour autant que</w:t>
      </w:r>
      <w:r w:rsidR="00487257" w:rsidRPr="0022208C">
        <w:rPr>
          <w:lang w:val="fr-FR"/>
        </w:rPr>
        <w:t> :</w:t>
      </w:r>
    </w:p>
    <w:p w14:paraId="73089CE4" w14:textId="7A599669" w:rsidR="00663F3D" w:rsidRPr="0022208C" w:rsidRDefault="0022208C" w:rsidP="0022208C">
      <w:pPr>
        <w:pStyle w:val="ONUMFS"/>
        <w:numPr>
          <w:ilvl w:val="0"/>
          <w:numId w:val="0"/>
        </w:numPr>
        <w:ind w:left="1134"/>
        <w:rPr>
          <w:lang w:val="fr-FR"/>
        </w:rPr>
      </w:pPr>
      <w:r>
        <w:rPr>
          <w:lang w:val="fr-FR"/>
        </w:rPr>
        <w:t>“</w:t>
      </w:r>
      <w:r w:rsidR="00663F3D" w:rsidRPr="0022208C">
        <w:rPr>
          <w:lang w:val="fr-FR"/>
        </w:rPr>
        <w:t>a)</w:t>
      </w:r>
      <w:r w:rsidR="00663F3D" w:rsidRPr="0022208C">
        <w:rPr>
          <w:lang w:val="fr-FR"/>
        </w:rPr>
        <w:tab/>
        <w:t>le système électronique n</w:t>
      </w:r>
      <w:r w:rsidR="00487257" w:rsidRPr="0022208C">
        <w:rPr>
          <w:lang w:val="fr-FR"/>
        </w:rPr>
        <w:t>’</w:t>
      </w:r>
      <w:r w:rsidR="00663F3D" w:rsidRPr="0022208C">
        <w:rPr>
          <w:lang w:val="fr-FR"/>
        </w:rPr>
        <w:t>exige pas du déposant qu</w:t>
      </w:r>
      <w:r w:rsidR="00487257" w:rsidRPr="0022208C">
        <w:rPr>
          <w:lang w:val="fr-FR"/>
        </w:rPr>
        <w:t>’</w:t>
      </w:r>
      <w:r w:rsidR="00663F3D" w:rsidRPr="0022208C">
        <w:rPr>
          <w:lang w:val="fr-FR"/>
        </w:rPr>
        <w:t>il fournisse plus d</w:t>
      </w:r>
      <w:r w:rsidR="00487257" w:rsidRPr="0022208C">
        <w:rPr>
          <w:lang w:val="fr-FR"/>
        </w:rPr>
        <w:t>’</w:t>
      </w:r>
      <w:r w:rsidR="00663F3D" w:rsidRPr="0022208C">
        <w:rPr>
          <w:lang w:val="fr-FR"/>
        </w:rPr>
        <w:t>informations ou prenne plus de mesures que les actes visés à l</w:t>
      </w:r>
      <w:r w:rsidR="00487257" w:rsidRPr="0022208C">
        <w:rPr>
          <w:lang w:val="fr-FR"/>
        </w:rPr>
        <w:t>’</w:t>
      </w:r>
      <w:r w:rsidR="00663F3D" w:rsidRPr="0022208C">
        <w:rPr>
          <w:lang w:val="fr-FR"/>
        </w:rPr>
        <w:t>article 22.1);</w:t>
      </w:r>
    </w:p>
    <w:p w14:paraId="2C77D250" w14:textId="59EC27C3" w:rsidR="00663F3D" w:rsidRPr="0022208C" w:rsidRDefault="0022208C" w:rsidP="0022208C">
      <w:pPr>
        <w:pStyle w:val="ONUMFS"/>
        <w:numPr>
          <w:ilvl w:val="0"/>
          <w:numId w:val="0"/>
        </w:numPr>
        <w:ind w:left="1134"/>
        <w:rPr>
          <w:lang w:val="fr-FR"/>
        </w:rPr>
      </w:pPr>
      <w:r>
        <w:rPr>
          <w:lang w:val="fr-FR"/>
        </w:rPr>
        <w:t>“</w:t>
      </w:r>
      <w:r w:rsidR="00663F3D" w:rsidRPr="0022208C">
        <w:rPr>
          <w:lang w:val="fr-FR"/>
        </w:rPr>
        <w:t>b)</w:t>
      </w:r>
      <w:r w:rsidR="00663F3D" w:rsidRPr="0022208C">
        <w:rPr>
          <w:lang w:val="fr-FR"/>
        </w:rPr>
        <w:tab/>
        <w:t>le système soit facilement utilisable par les déposants résidents ou non</w:t>
      </w:r>
      <w:r>
        <w:rPr>
          <w:lang w:val="fr-FR"/>
        </w:rPr>
        <w:noBreakHyphen/>
      </w:r>
      <w:r w:rsidR="00663F3D" w:rsidRPr="0022208C">
        <w:rPr>
          <w:lang w:val="fr-FR"/>
        </w:rPr>
        <w:t>résidents sans qu</w:t>
      </w:r>
      <w:r w:rsidR="00487257" w:rsidRPr="0022208C">
        <w:rPr>
          <w:lang w:val="fr-FR"/>
        </w:rPr>
        <w:t>’</w:t>
      </w:r>
      <w:r w:rsidR="00663F3D" w:rsidRPr="0022208C">
        <w:rPr>
          <w:lang w:val="fr-FR"/>
        </w:rPr>
        <w:t xml:space="preserve">il soit nécessaire de faire appel à un mandataire local; </w:t>
      </w:r>
      <w:r w:rsidR="00D07BEB" w:rsidRPr="0022208C">
        <w:rPr>
          <w:lang w:val="fr-FR"/>
        </w:rPr>
        <w:t xml:space="preserve"> </w:t>
      </w:r>
      <w:r w:rsidR="00663F3D" w:rsidRPr="0022208C">
        <w:rPr>
          <w:lang w:val="fr-FR"/>
        </w:rPr>
        <w:t>et</w:t>
      </w:r>
    </w:p>
    <w:p w14:paraId="0BCC07BB" w14:textId="25139EF2" w:rsidR="00663F3D" w:rsidRPr="0022208C" w:rsidRDefault="0022208C" w:rsidP="0022208C">
      <w:pPr>
        <w:pStyle w:val="ONUMFS"/>
        <w:numPr>
          <w:ilvl w:val="0"/>
          <w:numId w:val="0"/>
        </w:numPr>
        <w:ind w:left="1134"/>
        <w:rPr>
          <w:lang w:val="fr-FR"/>
        </w:rPr>
      </w:pPr>
      <w:r>
        <w:rPr>
          <w:lang w:val="fr-FR"/>
        </w:rPr>
        <w:t>“</w:t>
      </w:r>
      <w:r w:rsidR="00663F3D" w:rsidRPr="0022208C">
        <w:rPr>
          <w:lang w:val="fr-FR"/>
        </w:rPr>
        <w:t>c)</w:t>
      </w:r>
      <w:r w:rsidR="00663F3D" w:rsidRPr="0022208C">
        <w:rPr>
          <w:lang w:val="fr-FR"/>
        </w:rPr>
        <w:tab/>
        <w:t>que des garanties soient en place, couvrant au moins le cas où l</w:t>
      </w:r>
      <w:r w:rsidR="00487257" w:rsidRPr="0022208C">
        <w:rPr>
          <w:lang w:val="fr-FR"/>
        </w:rPr>
        <w:t>’</w:t>
      </w:r>
      <w:r w:rsidR="00663F3D" w:rsidRPr="0022208C">
        <w:rPr>
          <w:lang w:val="fr-FR"/>
        </w:rPr>
        <w:t>inobservation du délai pour l</w:t>
      </w:r>
      <w:r w:rsidR="00487257" w:rsidRPr="0022208C">
        <w:rPr>
          <w:lang w:val="fr-FR"/>
        </w:rPr>
        <w:t>’</w:t>
      </w:r>
      <w:r w:rsidR="00663F3D" w:rsidRPr="0022208C">
        <w:rPr>
          <w:lang w:val="fr-FR"/>
        </w:rPr>
        <w:t>ouverture de la phase nationale est due à une incapacité d</w:t>
      </w:r>
      <w:r w:rsidR="00487257" w:rsidRPr="0022208C">
        <w:rPr>
          <w:lang w:val="fr-FR"/>
        </w:rPr>
        <w:t>’</w:t>
      </w:r>
      <w:r w:rsidR="00663F3D" w:rsidRPr="0022208C">
        <w:rPr>
          <w:lang w:val="fr-FR"/>
        </w:rPr>
        <w:t xml:space="preserve">utiliser le service électronique, équivalente à une </w:t>
      </w:r>
      <w:r w:rsidR="00487257" w:rsidRPr="0022208C">
        <w:rPr>
          <w:lang w:val="fr-FR"/>
        </w:rPr>
        <w:t>‘</w:t>
      </w:r>
      <w:r w:rsidR="00663F3D" w:rsidRPr="0022208C">
        <w:rPr>
          <w:lang w:val="fr-FR"/>
        </w:rPr>
        <w:t>interruption des services postaux</w:t>
      </w:r>
      <w:r w:rsidR="00487257" w:rsidRPr="0022208C">
        <w:rPr>
          <w:lang w:val="fr-FR"/>
        </w:rPr>
        <w:t>’</w:t>
      </w:r>
      <w:r w:rsidR="00663F3D" w:rsidRPr="0022208C">
        <w:rPr>
          <w:lang w:val="fr-FR"/>
        </w:rPr>
        <w:t>”</w:t>
      </w:r>
      <w:r>
        <w:rPr>
          <w:lang w:val="fr-FR"/>
        </w:rPr>
        <w:t>.</w:t>
      </w:r>
    </w:p>
    <w:p w14:paraId="2D513B0B" w14:textId="12C17630" w:rsidR="00663F3D" w:rsidRPr="0022208C" w:rsidRDefault="00663F3D" w:rsidP="0022208C">
      <w:pPr>
        <w:pStyle w:val="ONUMFS"/>
        <w:rPr>
          <w:lang w:val="fr-FR"/>
        </w:rPr>
      </w:pPr>
      <w:r w:rsidRPr="0022208C">
        <w:rPr>
          <w:lang w:val="fr-FR"/>
        </w:rPr>
        <w:lastRenderedPageBreak/>
        <w:t xml:space="preserve">Compte tenu de cette conclusion, le </w:t>
      </w:r>
      <w:r w:rsidR="00487257" w:rsidRPr="0022208C">
        <w:rPr>
          <w:lang w:val="fr-FR"/>
        </w:rPr>
        <w:t>document</w:t>
      </w:r>
      <w:r w:rsidR="0022208C">
        <w:rPr>
          <w:lang w:val="fr-FR"/>
        </w:rPr>
        <w:t> </w:t>
      </w:r>
      <w:r w:rsidR="00487257" w:rsidRPr="0022208C">
        <w:rPr>
          <w:lang w:val="fr-FR"/>
        </w:rPr>
        <w:t>PC</w:t>
      </w:r>
      <w:r w:rsidRPr="0022208C">
        <w:rPr>
          <w:lang w:val="fr-FR"/>
        </w:rPr>
        <w:t>T/WG/18/4</w:t>
      </w:r>
      <w:r w:rsidR="00D07BEB" w:rsidRPr="0022208C">
        <w:rPr>
          <w:lang w:val="fr-FR"/>
        </w:rPr>
        <w:t> </w:t>
      </w:r>
      <w:proofErr w:type="spellStart"/>
      <w:r w:rsidRPr="0022208C">
        <w:rPr>
          <w:lang w:val="fr-FR"/>
        </w:rPr>
        <w:t>Rev</w:t>
      </w:r>
      <w:proofErr w:type="spellEnd"/>
      <w:r w:rsidRPr="0022208C">
        <w:rPr>
          <w:lang w:val="fr-FR"/>
        </w:rPr>
        <w:t xml:space="preserve">. </w:t>
      </w:r>
      <w:proofErr w:type="gramStart"/>
      <w:r w:rsidRPr="0022208C">
        <w:rPr>
          <w:lang w:val="fr-FR"/>
        </w:rPr>
        <w:t>proposait</w:t>
      </w:r>
      <w:proofErr w:type="gramEnd"/>
      <w:r w:rsidRPr="0022208C">
        <w:rPr>
          <w:lang w:val="fr-FR"/>
        </w:rPr>
        <w:t xml:space="preserve"> des modifications du règlement d</w:t>
      </w:r>
      <w:r w:rsidR="00487257" w:rsidRPr="0022208C">
        <w:rPr>
          <w:lang w:val="fr-FR"/>
        </w:rPr>
        <w:t>’</w:t>
      </w:r>
      <w:r w:rsidRPr="0022208C">
        <w:rPr>
          <w:lang w:val="fr-FR"/>
        </w:rPr>
        <w:t>exécution</w:t>
      </w:r>
      <w:r w:rsidR="00487257" w:rsidRPr="0022208C">
        <w:rPr>
          <w:lang w:val="fr-FR"/>
        </w:rPr>
        <w:t xml:space="preserve"> du PCT</w:t>
      </w:r>
      <w:r w:rsidRPr="0022208C">
        <w:rPr>
          <w:lang w:val="fr-FR"/>
        </w:rPr>
        <w:t xml:space="preserve"> visant à établir un ensemble clair de normes minimales concernant les conditions et les garanties nécessaires pour assurer que le système électronique d</w:t>
      </w:r>
      <w:r w:rsidR="00487257" w:rsidRPr="0022208C">
        <w:rPr>
          <w:lang w:val="fr-FR"/>
        </w:rPr>
        <w:t>’</w:t>
      </w:r>
      <w:r w:rsidRPr="0022208C">
        <w:rPr>
          <w:lang w:val="fr-FR"/>
        </w:rPr>
        <w:t>ouverture de la phase nationale réponde aux conditions du traité et fournisse un service fiable aux déposants.</w:t>
      </w:r>
    </w:p>
    <w:p w14:paraId="2052F1FC" w14:textId="67F1B919" w:rsidR="00663F3D" w:rsidRPr="0022208C" w:rsidRDefault="00663F3D" w:rsidP="0022208C">
      <w:pPr>
        <w:pStyle w:val="ONUMFS"/>
        <w:rPr>
          <w:lang w:val="fr-FR"/>
        </w:rPr>
      </w:pPr>
      <w:r w:rsidRPr="0022208C">
        <w:rPr>
          <w:lang w:val="fr-FR"/>
        </w:rPr>
        <w:t>Le groupe de travail était globalement d</w:t>
      </w:r>
      <w:r w:rsidR="00487257" w:rsidRPr="0022208C">
        <w:rPr>
          <w:lang w:val="fr-FR"/>
        </w:rPr>
        <w:t>’</w:t>
      </w:r>
      <w:r w:rsidRPr="0022208C">
        <w:rPr>
          <w:lang w:val="fr-FR"/>
        </w:rPr>
        <w:t>accord avec les arguments avancés et la nécessité d</w:t>
      </w:r>
      <w:r w:rsidR="00487257" w:rsidRPr="0022208C">
        <w:rPr>
          <w:lang w:val="fr-FR"/>
        </w:rPr>
        <w:t>’</w:t>
      </w:r>
      <w:r w:rsidRPr="0022208C">
        <w:rPr>
          <w:lang w:val="fr-FR"/>
        </w:rPr>
        <w:t>apporter des modifications au règlement d</w:t>
      </w:r>
      <w:r w:rsidR="00487257" w:rsidRPr="0022208C">
        <w:rPr>
          <w:lang w:val="fr-FR"/>
        </w:rPr>
        <w:t>’</w:t>
      </w:r>
      <w:r w:rsidRPr="0022208C">
        <w:rPr>
          <w:lang w:val="fr-FR"/>
        </w:rPr>
        <w:t>exécution afin de préciser les conditions minimales relatives à un système électronique d</w:t>
      </w:r>
      <w:r w:rsidR="00487257" w:rsidRPr="0022208C">
        <w:rPr>
          <w:lang w:val="fr-FR"/>
        </w:rPr>
        <w:t>’</w:t>
      </w:r>
      <w:r w:rsidRPr="0022208C">
        <w:rPr>
          <w:lang w:val="fr-FR"/>
        </w:rPr>
        <w:t>ouverture de la phase nationa</w:t>
      </w:r>
      <w:r w:rsidR="00E443AA" w:rsidRPr="0022208C">
        <w:rPr>
          <w:lang w:val="fr-FR"/>
        </w:rPr>
        <w:t>le.  Ce</w:t>
      </w:r>
      <w:r w:rsidRPr="0022208C">
        <w:rPr>
          <w:lang w:val="fr-FR"/>
        </w:rPr>
        <w:t>pendant, un certain nombre de préoccupations ont été exprimées concernant certains détai</w:t>
      </w:r>
      <w:r w:rsidR="00E443AA" w:rsidRPr="0022208C">
        <w:rPr>
          <w:lang w:val="fr-FR"/>
        </w:rPr>
        <w:t>ls.  Il</w:t>
      </w:r>
      <w:r w:rsidRPr="0022208C">
        <w:rPr>
          <w:lang w:val="fr-FR"/>
        </w:rPr>
        <w:t xml:space="preserve"> a également été indiqué que certaines questions examinées s</w:t>
      </w:r>
      <w:r w:rsidR="00487257" w:rsidRPr="0022208C">
        <w:rPr>
          <w:lang w:val="fr-FR"/>
        </w:rPr>
        <w:t>’</w:t>
      </w:r>
      <w:r w:rsidRPr="0022208C">
        <w:rPr>
          <w:lang w:val="fr-FR"/>
        </w:rPr>
        <w:t>appliqueraient également à l</w:t>
      </w:r>
      <w:r w:rsidR="00487257" w:rsidRPr="0022208C">
        <w:rPr>
          <w:lang w:val="fr-FR"/>
        </w:rPr>
        <w:t>’</w:t>
      </w:r>
      <w:r w:rsidRPr="0022208C">
        <w:rPr>
          <w:lang w:val="fr-FR"/>
        </w:rPr>
        <w:t>accomplissement des actes visés à l</w:t>
      </w:r>
      <w:r w:rsidR="00487257" w:rsidRPr="0022208C">
        <w:rPr>
          <w:lang w:val="fr-FR"/>
        </w:rPr>
        <w:t>’</w:t>
      </w:r>
      <w:r w:rsidRPr="0022208C">
        <w:rPr>
          <w:lang w:val="fr-FR"/>
        </w:rPr>
        <w:t>article 22 autrement que par des moyens électroniques.</w:t>
      </w:r>
    </w:p>
    <w:p w14:paraId="291A13FC" w14:textId="77777777" w:rsidR="00663F3D" w:rsidRPr="0022208C" w:rsidRDefault="00663F3D" w:rsidP="0022208C">
      <w:pPr>
        <w:pStyle w:val="Heading1"/>
        <w:rPr>
          <w:lang w:val="fr-FR"/>
        </w:rPr>
      </w:pPr>
      <w:bookmarkStart w:id="5" w:name="_Hlk215822224"/>
      <w:r w:rsidRPr="0022208C">
        <w:rPr>
          <w:lang w:val="fr-FR"/>
        </w:rPr>
        <w:t>Recours à un mandataire local</w:t>
      </w:r>
    </w:p>
    <w:p w14:paraId="687D704E" w14:textId="4121B37A" w:rsidR="00663F3D" w:rsidRPr="0022208C" w:rsidRDefault="00663F3D" w:rsidP="0022208C">
      <w:pPr>
        <w:pStyle w:val="ONUMFS"/>
        <w:rPr>
          <w:rFonts w:eastAsiaTheme="minorEastAsia"/>
          <w:lang w:val="fr-FR"/>
        </w:rPr>
      </w:pPr>
      <w:r w:rsidRPr="0022208C">
        <w:rPr>
          <w:lang w:val="fr-FR"/>
        </w:rPr>
        <w:t>À la dix</w:t>
      </w:r>
      <w:r w:rsidR="0022208C">
        <w:rPr>
          <w:lang w:val="fr-FR"/>
        </w:rPr>
        <w:noBreakHyphen/>
      </w:r>
      <w:r w:rsidRPr="0022208C">
        <w:rPr>
          <w:lang w:val="fr-FR"/>
        </w:rPr>
        <w:t>huit</w:t>
      </w:r>
      <w:r w:rsidR="00487257" w:rsidRPr="0022208C">
        <w:rPr>
          <w:lang w:val="fr-FR"/>
        </w:rPr>
        <w:t>ième session</w:t>
      </w:r>
      <w:r w:rsidRPr="0022208C">
        <w:rPr>
          <w:lang w:val="fr-FR"/>
        </w:rPr>
        <w:t>, un certain nombre de délégations ont demandé des précisions concernant la déclaration selon laquelle les offices désignés ne peuvent exiger le recours à un mandataire local pour accomplir les actes prévus à l</w:t>
      </w:r>
      <w:r w:rsidR="00487257" w:rsidRPr="0022208C">
        <w:rPr>
          <w:lang w:val="fr-FR"/>
        </w:rPr>
        <w:t>’</w:t>
      </w:r>
      <w:r w:rsidRPr="0022208C">
        <w:rPr>
          <w:lang w:val="fr-FR"/>
        </w:rPr>
        <w:t>article 22 au nom d</w:t>
      </w:r>
      <w:r w:rsidR="00487257" w:rsidRPr="0022208C">
        <w:rPr>
          <w:lang w:val="fr-FR"/>
        </w:rPr>
        <w:t>’</w:t>
      </w:r>
      <w:r w:rsidRPr="0022208C">
        <w:rPr>
          <w:lang w:val="fr-FR"/>
        </w:rPr>
        <w:t>un déposant non</w:t>
      </w:r>
      <w:r w:rsidR="0022208C">
        <w:rPr>
          <w:lang w:val="fr-FR"/>
        </w:rPr>
        <w:noBreakHyphen/>
      </w:r>
      <w:r w:rsidRPr="0022208C">
        <w:rPr>
          <w:lang w:val="fr-FR"/>
        </w:rPr>
        <w:t>résident.</w:t>
      </w:r>
    </w:p>
    <w:p w14:paraId="2F4A3E4C" w14:textId="52F5D7F6" w:rsidR="00663F3D" w:rsidRPr="0022208C" w:rsidRDefault="00663F3D" w:rsidP="0022208C">
      <w:pPr>
        <w:pStyle w:val="ONUMFS"/>
        <w:rPr>
          <w:lang w:val="fr-FR"/>
        </w:rPr>
      </w:pPr>
      <w:bookmarkStart w:id="6" w:name="_Hlk215824301"/>
      <w:r w:rsidRPr="0022208C">
        <w:rPr>
          <w:lang w:val="fr-FR"/>
        </w:rPr>
        <w:t>Selon le Bureau international, l</w:t>
      </w:r>
      <w:r w:rsidR="00487257" w:rsidRPr="0022208C">
        <w:rPr>
          <w:lang w:val="fr-FR"/>
        </w:rPr>
        <w:t>’</w:t>
      </w:r>
      <w:r w:rsidRPr="0022208C">
        <w:rPr>
          <w:lang w:val="fr-FR"/>
        </w:rPr>
        <w:t>article 22.1) contient une liste exhaustive des conditions que les offices désignés peuvent demander aux déposants de remplir pour entrer dans la phase nationale.</w:t>
      </w:r>
      <w:r w:rsidR="00D07BEB" w:rsidRPr="0022208C">
        <w:rPr>
          <w:lang w:val="fr-FR"/>
        </w:rPr>
        <w:t xml:space="preserve"> </w:t>
      </w:r>
      <w:r w:rsidRPr="0022208C">
        <w:rPr>
          <w:lang w:val="fr-FR"/>
        </w:rPr>
        <w:t xml:space="preserve"> Cela n</w:t>
      </w:r>
      <w:r w:rsidR="00487257" w:rsidRPr="0022208C">
        <w:rPr>
          <w:lang w:val="fr-FR"/>
        </w:rPr>
        <w:t>’</w:t>
      </w:r>
      <w:r w:rsidRPr="0022208C">
        <w:rPr>
          <w:lang w:val="fr-FR"/>
        </w:rPr>
        <w:t>inclut pas la possibilité d</w:t>
      </w:r>
      <w:r w:rsidR="00487257" w:rsidRPr="0022208C">
        <w:rPr>
          <w:lang w:val="fr-FR"/>
        </w:rPr>
        <w:t>’</w:t>
      </w:r>
      <w:r w:rsidRPr="0022208C">
        <w:rPr>
          <w:lang w:val="fr-FR"/>
        </w:rPr>
        <w:t>exiger que les actes soient accomplis par un mandataire local.</w:t>
      </w:r>
      <w:r w:rsidR="00D07BEB" w:rsidRPr="0022208C">
        <w:rPr>
          <w:lang w:val="fr-FR"/>
        </w:rPr>
        <w:t xml:space="preserve"> </w:t>
      </w:r>
      <w:r w:rsidRPr="0022208C">
        <w:rPr>
          <w:lang w:val="fr-FR"/>
        </w:rPr>
        <w:t xml:space="preserve"> L</w:t>
      </w:r>
      <w:r w:rsidR="00487257" w:rsidRPr="0022208C">
        <w:rPr>
          <w:lang w:val="fr-FR"/>
        </w:rPr>
        <w:t>’</w:t>
      </w:r>
      <w:r w:rsidRPr="0022208C">
        <w:rPr>
          <w:lang w:val="fr-FR"/>
        </w:rPr>
        <w:t>article 27.7) et la règle 53</w:t>
      </w:r>
      <w:r w:rsidRPr="0022208C">
        <w:rPr>
          <w:i/>
          <w:iCs/>
          <w:lang w:val="fr-FR"/>
        </w:rPr>
        <w:t>bis</w:t>
      </w:r>
      <w:r w:rsidRPr="0022208C">
        <w:rPr>
          <w:lang w:val="fr-FR"/>
        </w:rPr>
        <w:t>.1.b) permettent à un office national d</w:t>
      </w:r>
      <w:r w:rsidR="00487257" w:rsidRPr="0022208C">
        <w:rPr>
          <w:lang w:val="fr-FR"/>
        </w:rPr>
        <w:t>’</w:t>
      </w:r>
      <w:r w:rsidRPr="0022208C">
        <w:rPr>
          <w:lang w:val="fr-FR"/>
        </w:rPr>
        <w:t>exiger que le déposant soit représenté par un mandataire “une fois que le traitement de la demande internationale a commencé au sein de l</w:t>
      </w:r>
      <w:r w:rsidR="00487257" w:rsidRPr="0022208C">
        <w:rPr>
          <w:lang w:val="fr-FR"/>
        </w:rPr>
        <w:t>’</w:t>
      </w:r>
      <w:r w:rsidRPr="0022208C">
        <w:rPr>
          <w:lang w:val="fr-FR"/>
        </w:rPr>
        <w:t>office désigné”.</w:t>
      </w:r>
      <w:r w:rsidR="00D07BEB" w:rsidRPr="0022208C">
        <w:rPr>
          <w:lang w:val="fr-FR"/>
        </w:rPr>
        <w:t xml:space="preserve"> </w:t>
      </w:r>
      <w:r w:rsidRPr="0022208C">
        <w:rPr>
          <w:lang w:val="fr-FR"/>
        </w:rPr>
        <w:t xml:space="preserve"> Toutefois, cela ne s</w:t>
      </w:r>
      <w:r w:rsidR="00487257" w:rsidRPr="0022208C">
        <w:rPr>
          <w:lang w:val="fr-FR"/>
        </w:rPr>
        <w:t>’</w:t>
      </w:r>
      <w:r w:rsidRPr="0022208C">
        <w:rPr>
          <w:lang w:val="fr-FR"/>
        </w:rPr>
        <w:t>applique pas à l</w:t>
      </w:r>
      <w:r w:rsidR="00487257" w:rsidRPr="0022208C">
        <w:rPr>
          <w:lang w:val="fr-FR"/>
        </w:rPr>
        <w:t>’</w:t>
      </w:r>
      <w:r w:rsidRPr="0022208C">
        <w:rPr>
          <w:lang w:val="fr-FR"/>
        </w:rPr>
        <w:t>accomplissement des actes visés à l</w:t>
      </w:r>
      <w:r w:rsidR="00487257" w:rsidRPr="0022208C">
        <w:rPr>
          <w:lang w:val="fr-FR"/>
        </w:rPr>
        <w:t>’</w:t>
      </w:r>
      <w:r w:rsidRPr="0022208C">
        <w:rPr>
          <w:lang w:val="fr-FR"/>
        </w:rPr>
        <w:t xml:space="preserve">article 22 proprement dits. </w:t>
      </w:r>
      <w:r w:rsidR="00D07BEB" w:rsidRPr="0022208C">
        <w:rPr>
          <w:lang w:val="fr-FR"/>
        </w:rPr>
        <w:t xml:space="preserve"> </w:t>
      </w:r>
      <w:r w:rsidRPr="0022208C">
        <w:rPr>
          <w:lang w:val="fr-FR"/>
        </w:rPr>
        <w:t>La règle 51</w:t>
      </w:r>
      <w:r w:rsidRPr="0022208C">
        <w:rPr>
          <w:i/>
          <w:iCs/>
          <w:lang w:val="fr-FR"/>
        </w:rPr>
        <w:t>bis</w:t>
      </w:r>
      <w:r w:rsidRPr="0022208C">
        <w:rPr>
          <w:lang w:val="fr-FR"/>
        </w:rPr>
        <w:t>.3.b) exige (le soulignement a été ajouté par le Bureau international) que</w:t>
      </w:r>
      <w:r w:rsidR="00487257" w:rsidRPr="0022208C">
        <w:rPr>
          <w:lang w:val="fr-FR"/>
        </w:rPr>
        <w:t> :</w:t>
      </w:r>
      <w:bookmarkEnd w:id="6"/>
    </w:p>
    <w:p w14:paraId="4E44BAE8" w14:textId="6B7F8E45" w:rsidR="00663F3D" w:rsidRPr="0022208C" w:rsidRDefault="00663F3D" w:rsidP="0022208C">
      <w:pPr>
        <w:pStyle w:val="ONUMFS"/>
        <w:numPr>
          <w:ilvl w:val="0"/>
          <w:numId w:val="0"/>
        </w:numPr>
        <w:ind w:left="567"/>
        <w:rPr>
          <w:lang w:val="fr-FR"/>
        </w:rPr>
      </w:pPr>
      <w:r w:rsidRPr="0022208C">
        <w:rPr>
          <w:lang w:val="fr-FR"/>
        </w:rPr>
        <w:t>“Si une exigence de la législation nationale applicable par l</w:t>
      </w:r>
      <w:r w:rsidR="00487257" w:rsidRPr="0022208C">
        <w:rPr>
          <w:lang w:val="fr-FR"/>
        </w:rPr>
        <w:t>’</w:t>
      </w:r>
      <w:r w:rsidRPr="0022208C">
        <w:rPr>
          <w:lang w:val="fr-FR"/>
        </w:rPr>
        <w:t>office désigné que ce dernier peut appliquer conformément à l</w:t>
      </w:r>
      <w:r w:rsidR="00487257" w:rsidRPr="0022208C">
        <w:rPr>
          <w:lang w:val="fr-FR"/>
        </w:rPr>
        <w:t>’</w:t>
      </w:r>
      <w:r w:rsidRPr="0022208C">
        <w:rPr>
          <w:lang w:val="fr-FR"/>
        </w:rPr>
        <w:t xml:space="preserve">article 27.6) </w:t>
      </w:r>
      <w:r w:rsidRPr="0022208C">
        <w:rPr>
          <w:u w:val="single"/>
          <w:lang w:val="fr-FR"/>
        </w:rPr>
        <w:t>ou 7)</w:t>
      </w:r>
      <w:r w:rsidRPr="0022208C">
        <w:rPr>
          <w:lang w:val="fr-FR"/>
        </w:rPr>
        <w:t xml:space="preserve"> n</w:t>
      </w:r>
      <w:r w:rsidR="00487257" w:rsidRPr="0022208C">
        <w:rPr>
          <w:lang w:val="fr-FR"/>
        </w:rPr>
        <w:t>’</w:t>
      </w:r>
      <w:r w:rsidRPr="0022208C">
        <w:rPr>
          <w:lang w:val="fr-FR"/>
        </w:rPr>
        <w:t>est pas déjà satisfaite dans le délai applicable à l</w:t>
      </w:r>
      <w:r w:rsidR="00487257" w:rsidRPr="0022208C">
        <w:rPr>
          <w:lang w:val="fr-FR"/>
        </w:rPr>
        <w:t>’</w:t>
      </w:r>
      <w:r w:rsidRPr="0022208C">
        <w:rPr>
          <w:lang w:val="fr-FR"/>
        </w:rPr>
        <w:t>observation des exigences selon l</w:t>
      </w:r>
      <w:r w:rsidR="00487257" w:rsidRPr="0022208C">
        <w:rPr>
          <w:lang w:val="fr-FR"/>
        </w:rPr>
        <w:t>’</w:t>
      </w:r>
      <w:r w:rsidRPr="0022208C">
        <w:rPr>
          <w:lang w:val="fr-FR"/>
        </w:rPr>
        <w:t xml:space="preserve">article 22, </w:t>
      </w:r>
      <w:r w:rsidRPr="0022208C">
        <w:rPr>
          <w:u w:val="single"/>
          <w:lang w:val="fr-FR"/>
        </w:rPr>
        <w:t>le déposant doit avoir la possibilité de s</w:t>
      </w:r>
      <w:r w:rsidR="00487257" w:rsidRPr="0022208C">
        <w:rPr>
          <w:u w:val="single"/>
          <w:lang w:val="fr-FR"/>
        </w:rPr>
        <w:t>’</w:t>
      </w:r>
      <w:r w:rsidRPr="0022208C">
        <w:rPr>
          <w:u w:val="single"/>
          <w:lang w:val="fr-FR"/>
        </w:rPr>
        <w:t>y conformer après l</w:t>
      </w:r>
      <w:r w:rsidR="00487257" w:rsidRPr="0022208C">
        <w:rPr>
          <w:u w:val="single"/>
          <w:lang w:val="fr-FR"/>
        </w:rPr>
        <w:t>’</w:t>
      </w:r>
      <w:r w:rsidRPr="0022208C">
        <w:rPr>
          <w:u w:val="single"/>
          <w:lang w:val="fr-FR"/>
        </w:rPr>
        <w:t>expiration de ce délai</w:t>
      </w:r>
      <w:r w:rsidRPr="0022208C">
        <w:rPr>
          <w:lang w:val="fr-FR"/>
        </w:rPr>
        <w:t>”</w:t>
      </w:r>
      <w:r w:rsidR="0022208C">
        <w:rPr>
          <w:lang w:val="fr-FR"/>
        </w:rPr>
        <w:t>.</w:t>
      </w:r>
    </w:p>
    <w:p w14:paraId="3DC33331" w14:textId="68709231" w:rsidR="00663F3D" w:rsidRPr="0022208C" w:rsidRDefault="00663F3D" w:rsidP="0022208C">
      <w:pPr>
        <w:pStyle w:val="ONUMFS"/>
        <w:rPr>
          <w:lang w:val="fr-FR"/>
        </w:rPr>
      </w:pPr>
      <w:r w:rsidRPr="0022208C">
        <w:rPr>
          <w:lang w:val="fr-FR"/>
        </w:rPr>
        <w:t>Le Bureau international convient qu</w:t>
      </w:r>
      <w:r w:rsidR="00487257" w:rsidRPr="0022208C">
        <w:rPr>
          <w:lang w:val="fr-FR"/>
        </w:rPr>
        <w:t>’</w:t>
      </w:r>
      <w:r w:rsidRPr="0022208C">
        <w:rPr>
          <w:lang w:val="fr-FR"/>
        </w:rPr>
        <w:t>il serait judicieux pour un déposant non</w:t>
      </w:r>
      <w:r w:rsidR="0022208C">
        <w:rPr>
          <w:lang w:val="fr-FR"/>
        </w:rPr>
        <w:noBreakHyphen/>
      </w:r>
      <w:r w:rsidRPr="0022208C">
        <w:rPr>
          <w:lang w:val="fr-FR"/>
        </w:rPr>
        <w:t>résident de faire appel à un mandataire local qualifié pour établir la demande internationale aux fins de l</w:t>
      </w:r>
      <w:r w:rsidR="00487257" w:rsidRPr="0022208C">
        <w:rPr>
          <w:lang w:val="fr-FR"/>
        </w:rPr>
        <w:t>’</w:t>
      </w:r>
      <w:r w:rsidRPr="0022208C">
        <w:rPr>
          <w:lang w:val="fr-FR"/>
        </w:rPr>
        <w:t>ouverture de la phase nationale et pour accomplir les actes visés à l</w:t>
      </w:r>
      <w:r w:rsidR="00487257" w:rsidRPr="0022208C">
        <w:rPr>
          <w:lang w:val="fr-FR"/>
        </w:rPr>
        <w:t>’</w:t>
      </w:r>
      <w:r w:rsidRPr="0022208C">
        <w:rPr>
          <w:lang w:val="fr-FR"/>
        </w:rPr>
        <w:t>article 22, afin d</w:t>
      </w:r>
      <w:r w:rsidR="00487257" w:rsidRPr="0022208C">
        <w:rPr>
          <w:lang w:val="fr-FR"/>
        </w:rPr>
        <w:t>’</w:t>
      </w:r>
      <w:r w:rsidRPr="0022208C">
        <w:rPr>
          <w:lang w:val="fr-FR"/>
        </w:rPr>
        <w:t>éviter des erreurs qui pourraient être difficiles à rectifi</w:t>
      </w:r>
      <w:r w:rsidR="00E443AA" w:rsidRPr="0022208C">
        <w:rPr>
          <w:lang w:val="fr-FR"/>
        </w:rPr>
        <w:t>er.  Né</w:t>
      </w:r>
      <w:r w:rsidRPr="0022208C">
        <w:rPr>
          <w:lang w:val="fr-FR"/>
        </w:rPr>
        <w:t>anmoins, les déposants non</w:t>
      </w:r>
      <w:r w:rsidR="0022208C">
        <w:rPr>
          <w:lang w:val="fr-FR"/>
        </w:rPr>
        <w:noBreakHyphen/>
      </w:r>
      <w:r w:rsidRPr="0022208C">
        <w:rPr>
          <w:lang w:val="fr-FR"/>
        </w:rPr>
        <w:t>résidents doivent pouvoir soumettre tous les documents requis et acquitter toutes les taxes nationales exigées pour que le traitement dans la phase nationale puisse débuter.</w:t>
      </w:r>
    </w:p>
    <w:p w14:paraId="048FC1A3" w14:textId="7DE791FA" w:rsidR="00663F3D" w:rsidRPr="0022208C" w:rsidRDefault="00663F3D" w:rsidP="0022208C">
      <w:pPr>
        <w:pStyle w:val="ONUMFS"/>
        <w:rPr>
          <w:lang w:val="fr-FR"/>
        </w:rPr>
      </w:pPr>
      <w:r w:rsidRPr="0022208C">
        <w:rPr>
          <w:lang w:val="fr-FR"/>
        </w:rPr>
        <w:t>Cela ne signifie pas que tous les systèmes électroniques mis à disposition par les offices désignés aux fins de l</w:t>
      </w:r>
      <w:r w:rsidR="00487257" w:rsidRPr="0022208C">
        <w:rPr>
          <w:lang w:val="fr-FR"/>
        </w:rPr>
        <w:t>’</w:t>
      </w:r>
      <w:r w:rsidRPr="0022208C">
        <w:rPr>
          <w:lang w:val="fr-FR"/>
        </w:rPr>
        <w:t>ouverture de la phase nationale doivent être utilisables par les non</w:t>
      </w:r>
      <w:r w:rsidR="0022208C">
        <w:rPr>
          <w:lang w:val="fr-FR"/>
        </w:rPr>
        <w:noBreakHyphen/>
      </w:r>
      <w:r w:rsidRPr="0022208C">
        <w:rPr>
          <w:lang w:val="fr-FR"/>
        </w:rPr>
        <w:t>résidents et les personnes qui ne sont pas des conseils qualifiés au niveau loc</w:t>
      </w:r>
      <w:r w:rsidR="00E443AA" w:rsidRPr="0022208C">
        <w:rPr>
          <w:lang w:val="fr-FR"/>
        </w:rPr>
        <w:t>al.  To</w:t>
      </w:r>
      <w:r w:rsidRPr="0022208C">
        <w:rPr>
          <w:lang w:val="fr-FR"/>
        </w:rPr>
        <w:t>utefois, si tel n</w:t>
      </w:r>
      <w:r w:rsidR="00487257" w:rsidRPr="0022208C">
        <w:rPr>
          <w:lang w:val="fr-FR"/>
        </w:rPr>
        <w:t>’</w:t>
      </w:r>
      <w:r w:rsidRPr="0022208C">
        <w:rPr>
          <w:lang w:val="fr-FR"/>
        </w:rPr>
        <w:t>est pas le cas, une solution de remplacement pratique doit être prévue.</w:t>
      </w:r>
    </w:p>
    <w:p w14:paraId="1A042DBC" w14:textId="77777777" w:rsidR="00663F3D" w:rsidRPr="0022208C" w:rsidRDefault="00663F3D" w:rsidP="0022208C">
      <w:pPr>
        <w:pStyle w:val="Heading1"/>
        <w:rPr>
          <w:lang w:val="fr-FR"/>
        </w:rPr>
      </w:pPr>
      <w:r w:rsidRPr="0022208C">
        <w:rPr>
          <w:lang w:val="fr-FR"/>
        </w:rPr>
        <w:t>Garanties</w:t>
      </w:r>
    </w:p>
    <w:p w14:paraId="2D5B3C85" w14:textId="772A8BAF" w:rsidR="00663F3D" w:rsidRPr="0022208C" w:rsidRDefault="00663F3D" w:rsidP="0022208C">
      <w:pPr>
        <w:pStyle w:val="ONUMFS"/>
        <w:rPr>
          <w:lang w:val="fr-FR"/>
        </w:rPr>
      </w:pPr>
      <w:r w:rsidRPr="0022208C">
        <w:rPr>
          <w:lang w:val="fr-FR"/>
        </w:rPr>
        <w:t>À la dix</w:t>
      </w:r>
      <w:r w:rsidR="0022208C">
        <w:rPr>
          <w:lang w:val="fr-FR"/>
        </w:rPr>
        <w:noBreakHyphen/>
      </w:r>
      <w:r w:rsidRPr="0022208C">
        <w:rPr>
          <w:lang w:val="fr-FR"/>
        </w:rPr>
        <w:t>huit</w:t>
      </w:r>
      <w:r w:rsidR="00487257" w:rsidRPr="0022208C">
        <w:rPr>
          <w:lang w:val="fr-FR"/>
        </w:rPr>
        <w:t>ième session</w:t>
      </w:r>
      <w:r w:rsidRPr="0022208C">
        <w:rPr>
          <w:lang w:val="fr-FR"/>
        </w:rPr>
        <w:t>, il a été généralement convenu que les offices désignés devaient offrir des garanties afin que les déposants ne perdent pas leurs droits en raison de l</w:t>
      </w:r>
      <w:r w:rsidR="00487257" w:rsidRPr="0022208C">
        <w:rPr>
          <w:lang w:val="fr-FR"/>
        </w:rPr>
        <w:t>’</w:t>
      </w:r>
      <w:r w:rsidRPr="0022208C">
        <w:rPr>
          <w:lang w:val="fr-FR"/>
        </w:rPr>
        <w:t>indisponibilité des systèmes électroniqu</w:t>
      </w:r>
      <w:r w:rsidR="00E443AA" w:rsidRPr="0022208C">
        <w:rPr>
          <w:lang w:val="fr-FR"/>
        </w:rPr>
        <w:t>es.  Ce</w:t>
      </w:r>
      <w:r w:rsidRPr="0022208C">
        <w:rPr>
          <w:lang w:val="fr-FR"/>
        </w:rPr>
        <w:t>pendant, les propositions spécifiques ont été jugées dans certains cas comme manquant de clarté et dans d</w:t>
      </w:r>
      <w:r w:rsidR="00487257" w:rsidRPr="0022208C">
        <w:rPr>
          <w:lang w:val="fr-FR"/>
        </w:rPr>
        <w:t>’</w:t>
      </w:r>
      <w:r w:rsidRPr="0022208C">
        <w:rPr>
          <w:lang w:val="fr-FR"/>
        </w:rPr>
        <w:t>autres comme étant trop spécifiques sans nécessairement produire l</w:t>
      </w:r>
      <w:r w:rsidR="00487257" w:rsidRPr="0022208C">
        <w:rPr>
          <w:lang w:val="fr-FR"/>
        </w:rPr>
        <w:t>’</w:t>
      </w:r>
      <w:r w:rsidRPr="0022208C">
        <w:rPr>
          <w:lang w:val="fr-FR"/>
        </w:rPr>
        <w:t>effet escompté.</w:t>
      </w:r>
    </w:p>
    <w:p w14:paraId="202D8F23" w14:textId="39C0484C" w:rsidR="00663F3D" w:rsidRPr="0022208C" w:rsidRDefault="00663F3D" w:rsidP="0022208C">
      <w:pPr>
        <w:pStyle w:val="ONUMFS"/>
        <w:rPr>
          <w:lang w:val="fr-FR"/>
        </w:rPr>
      </w:pPr>
      <w:r w:rsidRPr="0022208C">
        <w:rPr>
          <w:lang w:val="fr-FR"/>
        </w:rPr>
        <w:t>Après un examen plus approfondi, le Bureau international estime que les conditions spécifiques d</w:t>
      </w:r>
      <w:r w:rsidR="00487257" w:rsidRPr="0022208C">
        <w:rPr>
          <w:lang w:val="fr-FR"/>
        </w:rPr>
        <w:t>’</w:t>
      </w:r>
      <w:r w:rsidRPr="0022208C">
        <w:rPr>
          <w:lang w:val="fr-FR"/>
        </w:rPr>
        <w:t>une disposition de garantie sont susceptibles de dépendre de facteurs propres à chaque office, tels que les autres moyens disponibles pour entrer dans la phase nationale et leur facilité d</w:t>
      </w:r>
      <w:r w:rsidR="00487257" w:rsidRPr="0022208C">
        <w:rPr>
          <w:lang w:val="fr-FR"/>
        </w:rPr>
        <w:t>’</w:t>
      </w:r>
      <w:r w:rsidRPr="0022208C">
        <w:rPr>
          <w:lang w:val="fr-FR"/>
        </w:rPr>
        <w:t>utilisation à court terme si la voie électronique principale est indisponib</w:t>
      </w:r>
      <w:r w:rsidR="00E443AA" w:rsidRPr="0022208C">
        <w:rPr>
          <w:lang w:val="fr-FR"/>
        </w:rPr>
        <w:t>le.  En</w:t>
      </w:r>
      <w:r w:rsidRPr="0022208C">
        <w:rPr>
          <w:lang w:val="fr-FR"/>
        </w:rPr>
        <w:t xml:space="preserve"> </w:t>
      </w:r>
      <w:r w:rsidRPr="0022208C">
        <w:rPr>
          <w:lang w:val="fr-FR"/>
        </w:rPr>
        <w:lastRenderedPageBreak/>
        <w:t>outre, il ne semble pas pratique de fixer une durée spécifique pendant laquelle un système doit être indisponible avant que des mesures correctives ne soient exigé</w:t>
      </w:r>
      <w:r w:rsidR="00E443AA" w:rsidRPr="0022208C">
        <w:rPr>
          <w:lang w:val="fr-FR"/>
        </w:rPr>
        <w:t>es.  La</w:t>
      </w:r>
      <w:r w:rsidRPr="0022208C">
        <w:rPr>
          <w:lang w:val="fr-FR"/>
        </w:rPr>
        <w:t xml:space="preserve"> durée “raisonnable” d</w:t>
      </w:r>
      <w:r w:rsidR="00487257" w:rsidRPr="0022208C">
        <w:rPr>
          <w:lang w:val="fr-FR"/>
        </w:rPr>
        <w:t>’</w:t>
      </w:r>
      <w:r w:rsidRPr="0022208C">
        <w:rPr>
          <w:lang w:val="fr-FR"/>
        </w:rPr>
        <w:t>indisponibilité justifiant une mesure corrective dépendra de facteurs tels que l</w:t>
      </w:r>
      <w:r w:rsidR="00487257" w:rsidRPr="0022208C">
        <w:rPr>
          <w:lang w:val="fr-FR"/>
        </w:rPr>
        <w:t>’</w:t>
      </w:r>
      <w:r w:rsidRPr="0022208C">
        <w:rPr>
          <w:lang w:val="fr-FR"/>
        </w:rPr>
        <w:t>heure de la panne, la durée habituelle d</w:t>
      </w:r>
      <w:r w:rsidR="00487257" w:rsidRPr="0022208C">
        <w:rPr>
          <w:lang w:val="fr-FR"/>
        </w:rPr>
        <w:t>’</w:t>
      </w:r>
      <w:r w:rsidRPr="0022208C">
        <w:rPr>
          <w:lang w:val="fr-FR"/>
        </w:rPr>
        <w:t>utilisation du système et, pour les déposants souhaitant utiliser un système depuis un autre pays, l</w:t>
      </w:r>
      <w:r w:rsidR="00487257" w:rsidRPr="0022208C">
        <w:rPr>
          <w:lang w:val="fr-FR"/>
        </w:rPr>
        <w:t>’</w:t>
      </w:r>
      <w:r w:rsidRPr="0022208C">
        <w:rPr>
          <w:lang w:val="fr-FR"/>
        </w:rPr>
        <w:t>heure dans ce pays.</w:t>
      </w:r>
    </w:p>
    <w:p w14:paraId="0ED8FCDF" w14:textId="1D533CFD" w:rsidR="00663F3D" w:rsidRPr="0022208C" w:rsidRDefault="00663F3D" w:rsidP="0022208C">
      <w:pPr>
        <w:pStyle w:val="ONUMFS"/>
        <w:rPr>
          <w:lang w:val="fr-FR"/>
        </w:rPr>
      </w:pPr>
      <w:r w:rsidRPr="0022208C">
        <w:rPr>
          <w:lang w:val="fr-FR"/>
        </w:rPr>
        <w:t>Il est donc proposé d</w:t>
      </w:r>
      <w:r w:rsidR="00487257" w:rsidRPr="0022208C">
        <w:rPr>
          <w:lang w:val="fr-FR"/>
        </w:rPr>
        <w:t>’</w:t>
      </w:r>
      <w:r w:rsidRPr="0022208C">
        <w:rPr>
          <w:lang w:val="fr-FR"/>
        </w:rPr>
        <w:t>inclure une condition qui souligne la nécessité d</w:t>
      </w:r>
      <w:r w:rsidR="00487257" w:rsidRPr="0022208C">
        <w:rPr>
          <w:lang w:val="fr-FR"/>
        </w:rPr>
        <w:t>’</w:t>
      </w:r>
      <w:r w:rsidRPr="0022208C">
        <w:rPr>
          <w:lang w:val="fr-FR"/>
        </w:rPr>
        <w:t>une garantie et prévoit certains paramètres, mais laisse à l</w:t>
      </w:r>
      <w:r w:rsidR="00487257" w:rsidRPr="0022208C">
        <w:rPr>
          <w:lang w:val="fr-FR"/>
        </w:rPr>
        <w:t>’</w:t>
      </w:r>
      <w:r w:rsidRPr="0022208C">
        <w:rPr>
          <w:lang w:val="fr-FR"/>
        </w:rPr>
        <w:t>office désigné le soin de décider des éléments qu</w:t>
      </w:r>
      <w:r w:rsidR="00487257" w:rsidRPr="0022208C">
        <w:rPr>
          <w:lang w:val="fr-FR"/>
        </w:rPr>
        <w:t>’</w:t>
      </w:r>
      <w:r w:rsidRPr="0022208C">
        <w:rPr>
          <w:lang w:val="fr-FR"/>
        </w:rPr>
        <w:t>il juge appropri</w:t>
      </w:r>
      <w:r w:rsidR="00E443AA" w:rsidRPr="0022208C">
        <w:rPr>
          <w:lang w:val="fr-FR"/>
        </w:rPr>
        <w:t>és.  Ce</w:t>
      </w:r>
      <w:r w:rsidRPr="0022208C">
        <w:rPr>
          <w:lang w:val="fr-FR"/>
        </w:rPr>
        <w:t>s garanties devraient donner à l</w:t>
      </w:r>
      <w:r w:rsidR="00487257" w:rsidRPr="0022208C">
        <w:rPr>
          <w:lang w:val="fr-FR"/>
        </w:rPr>
        <w:t>’</w:t>
      </w:r>
      <w:r w:rsidRPr="0022208C">
        <w:rPr>
          <w:lang w:val="fr-FR"/>
        </w:rPr>
        <w:t>office désigné une certaine souplesse pour accepter les entrées tardives dans la phase nationale en fonction des circonstances propres à chaque situation, qui sont normalement traitées administrativement sans nécessiter d</w:t>
      </w:r>
      <w:r w:rsidR="00487257" w:rsidRPr="0022208C">
        <w:rPr>
          <w:lang w:val="fr-FR"/>
        </w:rPr>
        <w:t>’</w:t>
      </w:r>
      <w:r w:rsidRPr="0022208C">
        <w:rPr>
          <w:lang w:val="fr-FR"/>
        </w:rPr>
        <w:t>argumentation ni de preuve.</w:t>
      </w:r>
    </w:p>
    <w:p w14:paraId="3569B19B" w14:textId="7F573F5A" w:rsidR="00663F3D" w:rsidRPr="0022208C" w:rsidRDefault="00663F3D" w:rsidP="0022208C">
      <w:pPr>
        <w:pStyle w:val="ONUMFS"/>
        <w:rPr>
          <w:lang w:val="fr-FR"/>
        </w:rPr>
      </w:pPr>
      <w:r w:rsidRPr="0022208C">
        <w:rPr>
          <w:lang w:val="fr-FR"/>
        </w:rPr>
        <w:t>Cette question ne devrait généralement pas être traitée dans le cadre d</w:t>
      </w:r>
      <w:r w:rsidR="00487257" w:rsidRPr="0022208C">
        <w:rPr>
          <w:lang w:val="fr-FR"/>
        </w:rPr>
        <w:t>’</w:t>
      </w:r>
      <w:r w:rsidRPr="0022208C">
        <w:rPr>
          <w:lang w:val="fr-FR"/>
        </w:rPr>
        <w:t>un rétablissement des droits en vertu de la règle 49.6, car la procédure pourrait s</w:t>
      </w:r>
      <w:r w:rsidR="00487257" w:rsidRPr="0022208C">
        <w:rPr>
          <w:lang w:val="fr-FR"/>
        </w:rPr>
        <w:t>’</w:t>
      </w:r>
      <w:r w:rsidRPr="0022208C">
        <w:rPr>
          <w:lang w:val="fr-FR"/>
        </w:rPr>
        <w:t>avérer fastidieuse dans le cas où l</w:t>
      </w:r>
      <w:r w:rsidR="00487257" w:rsidRPr="0022208C">
        <w:rPr>
          <w:lang w:val="fr-FR"/>
        </w:rPr>
        <w:t>’</w:t>
      </w:r>
      <w:r w:rsidRPr="0022208C">
        <w:rPr>
          <w:lang w:val="fr-FR"/>
        </w:rPr>
        <w:t>office est normalement déjà au courant du problème à l</w:t>
      </w:r>
      <w:r w:rsidR="00487257" w:rsidRPr="0022208C">
        <w:rPr>
          <w:lang w:val="fr-FR"/>
        </w:rPr>
        <w:t>’</w:t>
      </w:r>
      <w:r w:rsidRPr="0022208C">
        <w:rPr>
          <w:lang w:val="fr-FR"/>
        </w:rPr>
        <w:t>origine du reta</w:t>
      </w:r>
      <w:r w:rsidR="00E443AA" w:rsidRPr="0022208C">
        <w:rPr>
          <w:lang w:val="fr-FR"/>
        </w:rPr>
        <w:t>rd.  En</w:t>
      </w:r>
      <w:r w:rsidRPr="0022208C">
        <w:rPr>
          <w:lang w:val="fr-FR"/>
        </w:rPr>
        <w:t xml:space="preserve"> outre, 10 offices désignés ont déclaré que cette disposition était incompatible avec leur législation nationale.</w:t>
      </w:r>
    </w:p>
    <w:p w14:paraId="32CF62CC" w14:textId="77777777" w:rsidR="00663F3D" w:rsidRPr="0022208C" w:rsidRDefault="00663F3D" w:rsidP="0022208C">
      <w:pPr>
        <w:pStyle w:val="Heading1"/>
        <w:rPr>
          <w:lang w:val="fr-FR"/>
        </w:rPr>
      </w:pPr>
      <w:r w:rsidRPr="0022208C">
        <w:rPr>
          <w:lang w:val="fr-FR"/>
        </w:rPr>
        <w:t>Compatibilité avec le Traité sur le droit des brevets</w:t>
      </w:r>
    </w:p>
    <w:p w14:paraId="590DFDA1" w14:textId="7700B1F8" w:rsidR="00663F3D" w:rsidRPr="0022208C" w:rsidRDefault="00663F3D" w:rsidP="0022208C">
      <w:pPr>
        <w:pStyle w:val="ONUMFS"/>
        <w:rPr>
          <w:lang w:val="fr-FR"/>
        </w:rPr>
      </w:pPr>
      <w:r w:rsidRPr="0022208C">
        <w:rPr>
          <w:lang w:val="fr-FR"/>
        </w:rPr>
        <w:t xml:space="preserve">Comme indiqué dans le </w:t>
      </w:r>
      <w:r w:rsidR="00487257" w:rsidRPr="0022208C">
        <w:rPr>
          <w:lang w:val="fr-FR"/>
        </w:rPr>
        <w:t>document</w:t>
      </w:r>
      <w:r w:rsidR="0022208C">
        <w:rPr>
          <w:lang w:val="fr-FR"/>
        </w:rPr>
        <w:t> </w:t>
      </w:r>
      <w:r w:rsidR="00487257" w:rsidRPr="0022208C">
        <w:rPr>
          <w:lang w:val="fr-FR"/>
        </w:rPr>
        <w:t>PC</w:t>
      </w:r>
      <w:r w:rsidRPr="0022208C">
        <w:rPr>
          <w:lang w:val="fr-FR"/>
        </w:rPr>
        <w:t>T/WG/17/15, les actes requis pour respecter le délai prévu à l</w:t>
      </w:r>
      <w:r w:rsidR="00487257" w:rsidRPr="0022208C">
        <w:rPr>
          <w:lang w:val="fr-FR"/>
        </w:rPr>
        <w:t>’</w:t>
      </w:r>
      <w:r w:rsidRPr="0022208C">
        <w:rPr>
          <w:lang w:val="fr-FR"/>
        </w:rPr>
        <w:t>article 22 pour entrer dans la phase nationale ne sont pas soumis aux dispositions</w:t>
      </w:r>
      <w:r w:rsidR="00487257" w:rsidRPr="0022208C">
        <w:rPr>
          <w:lang w:val="fr-FR"/>
        </w:rPr>
        <w:t xml:space="preserve"> du </w:t>
      </w:r>
      <w:r w:rsidR="00E443AA" w:rsidRPr="0022208C">
        <w:rPr>
          <w:lang w:val="fr-FR"/>
        </w:rPr>
        <w:t>PLT.  To</w:t>
      </w:r>
      <w:r w:rsidRPr="0022208C">
        <w:rPr>
          <w:lang w:val="fr-FR"/>
        </w:rPr>
        <w:t>utefois, dans un souci de cohérence, il se peut que les parties contractantes</w:t>
      </w:r>
      <w:r w:rsidR="00487257" w:rsidRPr="0022208C">
        <w:rPr>
          <w:lang w:val="fr-FR"/>
        </w:rPr>
        <w:t xml:space="preserve"> au PLT</w:t>
      </w:r>
      <w:r w:rsidRPr="0022208C">
        <w:rPr>
          <w:lang w:val="fr-FR"/>
        </w:rPr>
        <w:t xml:space="preserve"> autorisent la présentation sur papier des documents requis aux fins de l</w:t>
      </w:r>
      <w:r w:rsidR="00487257" w:rsidRPr="0022208C">
        <w:rPr>
          <w:lang w:val="fr-FR"/>
        </w:rPr>
        <w:t>’</w:t>
      </w:r>
      <w:r w:rsidRPr="0022208C">
        <w:rPr>
          <w:lang w:val="fr-FR"/>
        </w:rPr>
        <w:t>ouverture de la phase nationa</w:t>
      </w:r>
      <w:r w:rsidR="00E443AA" w:rsidRPr="0022208C">
        <w:rPr>
          <w:lang w:val="fr-FR"/>
        </w:rPr>
        <w:t>le.  Il</w:t>
      </w:r>
      <w:r w:rsidRPr="0022208C">
        <w:rPr>
          <w:lang w:val="fr-FR"/>
        </w:rPr>
        <w:t xml:space="preserve"> est probable toutefois que ces mêmes documents doivent être renvoyés par voie électroniq</w:t>
      </w:r>
      <w:r w:rsidR="00E443AA" w:rsidRPr="0022208C">
        <w:rPr>
          <w:lang w:val="fr-FR"/>
        </w:rPr>
        <w:t>ue.  Da</w:t>
      </w:r>
      <w:r w:rsidRPr="0022208C">
        <w:rPr>
          <w:lang w:val="fr-FR"/>
        </w:rPr>
        <w:t>ns le cas du dépôt de la demande internationale, cette option est expressément prévue à la règle 89</w:t>
      </w:r>
      <w:r w:rsidRPr="0022208C">
        <w:rPr>
          <w:i/>
          <w:iCs/>
          <w:lang w:val="fr-FR"/>
        </w:rPr>
        <w:t>bis</w:t>
      </w:r>
      <w:r w:rsidRPr="0022208C">
        <w:rPr>
          <w:lang w:val="fr-FR"/>
        </w:rPr>
        <w:t>.1.d</w:t>
      </w:r>
      <w:r w:rsidR="0022208C">
        <w:rPr>
          <w:lang w:val="fr-FR"/>
        </w:rPr>
        <w:noBreakHyphen/>
      </w:r>
      <w:r w:rsidRPr="0022208C">
        <w:rPr>
          <w:i/>
          <w:iCs/>
          <w:lang w:val="fr-FR"/>
        </w:rPr>
        <w:t>ter</w:t>
      </w:r>
      <w:r w:rsidRPr="0022208C">
        <w:rPr>
          <w:lang w:val="fr-FR"/>
        </w:rPr>
        <w:t>) depuis le</w:t>
      </w:r>
      <w:r w:rsidR="00487257" w:rsidRPr="0022208C">
        <w:rPr>
          <w:lang w:val="fr-FR"/>
        </w:rPr>
        <w:t xml:space="preserve"> 1</w:t>
      </w:r>
      <w:r w:rsidR="00487257" w:rsidRPr="0022208C">
        <w:rPr>
          <w:vertAlign w:val="superscript"/>
          <w:lang w:val="fr-FR"/>
        </w:rPr>
        <w:t>er</w:t>
      </w:r>
      <w:r w:rsidR="00487257" w:rsidRPr="0022208C">
        <w:rPr>
          <w:lang w:val="fr-FR"/>
        </w:rPr>
        <w:t> juillet 20</w:t>
      </w:r>
      <w:r w:rsidRPr="0022208C">
        <w:rPr>
          <w:lang w:val="fr-FR"/>
        </w:rPr>
        <w:t>25.  En général, le règlement d</w:t>
      </w:r>
      <w:r w:rsidR="00487257" w:rsidRPr="0022208C">
        <w:rPr>
          <w:lang w:val="fr-FR"/>
        </w:rPr>
        <w:t>’</w:t>
      </w:r>
      <w:r w:rsidRPr="0022208C">
        <w:rPr>
          <w:lang w:val="fr-FR"/>
        </w:rPr>
        <w:t>exécution ne cherche pas à normaliser les procédures des offices désignés autant que celles des offices récepteurs, et il ne semble pas nécessaire de prévoir une disposition spécifique à cet égard.</w:t>
      </w:r>
    </w:p>
    <w:p w14:paraId="08C7FB4F" w14:textId="3E81311A" w:rsidR="00663F3D" w:rsidRPr="0022208C" w:rsidRDefault="00663F3D" w:rsidP="0022208C">
      <w:pPr>
        <w:pStyle w:val="Heading1"/>
        <w:rPr>
          <w:lang w:val="fr-FR"/>
        </w:rPr>
      </w:pPr>
      <w:r w:rsidRPr="0022208C">
        <w:rPr>
          <w:lang w:val="fr-FR"/>
        </w:rPr>
        <w:t>Services centralisés pour l</w:t>
      </w:r>
      <w:r w:rsidR="00487257" w:rsidRPr="0022208C">
        <w:rPr>
          <w:lang w:val="fr-FR"/>
        </w:rPr>
        <w:t>’</w:t>
      </w:r>
      <w:r w:rsidRPr="0022208C">
        <w:rPr>
          <w:lang w:val="fr-FR"/>
        </w:rPr>
        <w:t>entrée dans la phase nationale par voie électronique</w:t>
      </w:r>
    </w:p>
    <w:p w14:paraId="7B00B5CD" w14:textId="5BFA70EB" w:rsidR="00663F3D" w:rsidRPr="0022208C" w:rsidRDefault="00663F3D" w:rsidP="0022208C">
      <w:pPr>
        <w:pStyle w:val="ONUMFS"/>
        <w:rPr>
          <w:lang w:val="fr-FR"/>
        </w:rPr>
      </w:pPr>
      <w:r w:rsidRPr="0022208C">
        <w:rPr>
          <w:lang w:val="fr-FR"/>
        </w:rPr>
        <w:t>À la neuv</w:t>
      </w:r>
      <w:r w:rsidR="00487257" w:rsidRPr="0022208C">
        <w:rPr>
          <w:lang w:val="fr-FR"/>
        </w:rPr>
        <w:t>ième session</w:t>
      </w:r>
      <w:r w:rsidRPr="0022208C">
        <w:rPr>
          <w:lang w:val="fr-FR"/>
        </w:rPr>
        <w:t xml:space="preserve"> du groupe de travail, le Bureau international a présenté une version test d</w:t>
      </w:r>
      <w:r w:rsidR="00487257" w:rsidRPr="0022208C">
        <w:rPr>
          <w:lang w:val="fr-FR"/>
        </w:rPr>
        <w:t>’</w:t>
      </w:r>
      <w:r w:rsidRPr="0022208C">
        <w:rPr>
          <w:lang w:val="fr-FR"/>
        </w:rPr>
        <w:t>une plateforme destinée à permettre aux déposants d</w:t>
      </w:r>
      <w:r w:rsidR="00487257" w:rsidRPr="0022208C">
        <w:rPr>
          <w:lang w:val="fr-FR"/>
        </w:rPr>
        <w:t>’</w:t>
      </w:r>
      <w:r w:rsidRPr="0022208C">
        <w:rPr>
          <w:lang w:val="fr-FR"/>
        </w:rPr>
        <w:t xml:space="preserve">utiliser le système ePCT pour les aider à entrer dans la phase nationale devant les offices désignés participants (voir le </w:t>
      </w:r>
      <w:r w:rsidR="00487257" w:rsidRPr="0022208C">
        <w:rPr>
          <w:lang w:val="fr-FR"/>
        </w:rPr>
        <w:t>document</w:t>
      </w:r>
      <w:r w:rsidR="0022208C">
        <w:rPr>
          <w:lang w:val="fr-FR"/>
        </w:rPr>
        <w:t> </w:t>
      </w:r>
      <w:r w:rsidR="00487257" w:rsidRPr="0022208C">
        <w:rPr>
          <w:lang w:val="fr-FR"/>
        </w:rPr>
        <w:t>PC</w:t>
      </w:r>
      <w:r w:rsidRPr="0022208C">
        <w:rPr>
          <w:lang w:val="fr-FR"/>
        </w:rPr>
        <w:t>T/WG/9/24).  Ce service n</w:t>
      </w:r>
      <w:r w:rsidR="00487257" w:rsidRPr="0022208C">
        <w:rPr>
          <w:lang w:val="fr-FR"/>
        </w:rPr>
        <w:t>’</w:t>
      </w:r>
      <w:r w:rsidRPr="0022208C">
        <w:rPr>
          <w:lang w:val="fr-FR"/>
        </w:rPr>
        <w:t>a pas été développé davantage à l</w:t>
      </w:r>
      <w:r w:rsidR="00487257" w:rsidRPr="0022208C">
        <w:rPr>
          <w:lang w:val="fr-FR"/>
        </w:rPr>
        <w:t>’</w:t>
      </w:r>
      <w:r w:rsidRPr="0022208C">
        <w:rPr>
          <w:lang w:val="fr-FR"/>
        </w:rPr>
        <w:t>époque, mais il pourrait être amélioré afin d</w:t>
      </w:r>
      <w:r w:rsidR="00487257" w:rsidRPr="0022208C">
        <w:rPr>
          <w:lang w:val="fr-FR"/>
        </w:rPr>
        <w:t>’</w:t>
      </w:r>
      <w:r w:rsidRPr="0022208C">
        <w:rPr>
          <w:lang w:val="fr-FR"/>
        </w:rPr>
        <w:t>offrir soit un système électronique principal d</w:t>
      </w:r>
      <w:r w:rsidR="00487257" w:rsidRPr="0022208C">
        <w:rPr>
          <w:lang w:val="fr-FR"/>
        </w:rPr>
        <w:t>’</w:t>
      </w:r>
      <w:r w:rsidRPr="0022208C">
        <w:rPr>
          <w:lang w:val="fr-FR"/>
        </w:rPr>
        <w:t>ouverture de la phase nationale pour les offices, soit une autre solution permettant de garder toutes les options ouvert</w:t>
      </w:r>
      <w:r w:rsidR="00E443AA" w:rsidRPr="0022208C">
        <w:rPr>
          <w:lang w:val="fr-FR"/>
        </w:rPr>
        <w:t>es.  Il</w:t>
      </w:r>
      <w:r w:rsidRPr="0022208C">
        <w:rPr>
          <w:lang w:val="fr-FR"/>
        </w:rPr>
        <w:t xml:space="preserve"> convient toutefois de noter que le service ePCT n</w:t>
      </w:r>
      <w:r w:rsidR="00487257" w:rsidRPr="0022208C">
        <w:rPr>
          <w:lang w:val="fr-FR"/>
        </w:rPr>
        <w:t>’</w:t>
      </w:r>
      <w:r w:rsidRPr="0022208C">
        <w:rPr>
          <w:lang w:val="fr-FR"/>
        </w:rPr>
        <w:t>offre pas encore la possibilité de centraliser le paiement des taxes pour les offices nationaux, mais prend en charge uniquement le paiement des taxes qui doivent être perçues par le Bureau international.</w:t>
      </w:r>
    </w:p>
    <w:p w14:paraId="654B6AD6" w14:textId="5A89D34D" w:rsidR="00663F3D" w:rsidRPr="0022208C" w:rsidRDefault="00663F3D" w:rsidP="0022208C">
      <w:pPr>
        <w:pStyle w:val="Heading1"/>
        <w:rPr>
          <w:lang w:val="fr-FR"/>
        </w:rPr>
      </w:pPr>
      <w:r w:rsidRPr="0022208C">
        <w:rPr>
          <w:lang w:val="fr-FR"/>
        </w:rPr>
        <w:t>Propositions de modification du règlement d</w:t>
      </w:r>
      <w:r w:rsidR="00487257" w:rsidRPr="0022208C">
        <w:rPr>
          <w:lang w:val="fr-FR"/>
        </w:rPr>
        <w:t>’</w:t>
      </w:r>
      <w:r w:rsidRPr="0022208C">
        <w:rPr>
          <w:lang w:val="fr-FR"/>
        </w:rPr>
        <w:t>exécution</w:t>
      </w:r>
    </w:p>
    <w:bookmarkEnd w:id="5"/>
    <w:p w14:paraId="194E8D34" w14:textId="6E97FF8D" w:rsidR="00663F3D" w:rsidRPr="0022208C" w:rsidRDefault="00663F3D" w:rsidP="0022208C">
      <w:pPr>
        <w:pStyle w:val="ONUMFS"/>
        <w:rPr>
          <w:lang w:val="fr-FR"/>
        </w:rPr>
      </w:pPr>
      <w:r w:rsidRPr="0022208C">
        <w:rPr>
          <w:lang w:val="fr-FR"/>
        </w:rPr>
        <w:t>L</w:t>
      </w:r>
      <w:r w:rsidR="00487257" w:rsidRPr="0022208C">
        <w:rPr>
          <w:lang w:val="fr-FR"/>
        </w:rPr>
        <w:t>’</w:t>
      </w:r>
      <w:r w:rsidRPr="0022208C">
        <w:rPr>
          <w:lang w:val="fr-FR"/>
        </w:rPr>
        <w:t>annexe contient les modifications qu</w:t>
      </w:r>
      <w:r w:rsidR="00487257" w:rsidRPr="0022208C">
        <w:rPr>
          <w:lang w:val="fr-FR"/>
        </w:rPr>
        <w:t>’</w:t>
      </w:r>
      <w:r w:rsidRPr="0022208C">
        <w:rPr>
          <w:lang w:val="fr-FR"/>
        </w:rPr>
        <w:t>il est proposé d</w:t>
      </w:r>
      <w:r w:rsidR="00487257" w:rsidRPr="0022208C">
        <w:rPr>
          <w:lang w:val="fr-FR"/>
        </w:rPr>
        <w:t>’</w:t>
      </w:r>
      <w:r w:rsidRPr="0022208C">
        <w:rPr>
          <w:lang w:val="fr-FR"/>
        </w:rPr>
        <w:t>apporter à la règle 49.4 afin de préciser les obligations des offices désignés qui souhaitent exiger l</w:t>
      </w:r>
      <w:r w:rsidR="00487257" w:rsidRPr="0022208C">
        <w:rPr>
          <w:lang w:val="fr-FR"/>
        </w:rPr>
        <w:t>’</w:t>
      </w:r>
      <w:r w:rsidRPr="0022208C">
        <w:rPr>
          <w:lang w:val="fr-FR"/>
        </w:rPr>
        <w:t>utilisation de systèmes électroniques pour l</w:t>
      </w:r>
      <w:r w:rsidR="00487257" w:rsidRPr="0022208C">
        <w:rPr>
          <w:lang w:val="fr-FR"/>
        </w:rPr>
        <w:t>’</w:t>
      </w:r>
      <w:r w:rsidRPr="0022208C">
        <w:rPr>
          <w:lang w:val="fr-FR"/>
        </w:rPr>
        <w:t>ouverture de la phase nationa</w:t>
      </w:r>
      <w:r w:rsidR="00E443AA" w:rsidRPr="0022208C">
        <w:rPr>
          <w:lang w:val="fr-FR"/>
        </w:rPr>
        <w:t>le.  Ce</w:t>
      </w:r>
      <w:r w:rsidRPr="0022208C">
        <w:rPr>
          <w:lang w:val="fr-FR"/>
        </w:rPr>
        <w:t>lles</w:t>
      </w:r>
      <w:r w:rsidR="0022208C">
        <w:rPr>
          <w:lang w:val="fr-FR"/>
        </w:rPr>
        <w:noBreakHyphen/>
      </w:r>
      <w:r w:rsidRPr="0022208C">
        <w:rPr>
          <w:lang w:val="fr-FR"/>
        </w:rPr>
        <w:t>ci prévoient également des garanties qui doivent s</w:t>
      </w:r>
      <w:r w:rsidR="00487257" w:rsidRPr="0022208C">
        <w:rPr>
          <w:lang w:val="fr-FR"/>
        </w:rPr>
        <w:t>’</w:t>
      </w:r>
      <w:r w:rsidRPr="0022208C">
        <w:rPr>
          <w:lang w:val="fr-FR"/>
        </w:rPr>
        <w:t>appliquer dans tous les c</w:t>
      </w:r>
      <w:r w:rsidR="00E443AA" w:rsidRPr="0022208C">
        <w:rPr>
          <w:lang w:val="fr-FR"/>
        </w:rPr>
        <w:t>as.  En</w:t>
      </w:r>
      <w:r w:rsidRPr="0022208C">
        <w:rPr>
          <w:lang w:val="fr-FR"/>
        </w:rPr>
        <w:t xml:space="preserve"> principe, les garanties proposées s</w:t>
      </w:r>
      <w:r w:rsidR="00487257" w:rsidRPr="0022208C">
        <w:rPr>
          <w:lang w:val="fr-FR"/>
        </w:rPr>
        <w:t>’</w:t>
      </w:r>
      <w:r w:rsidRPr="0022208C">
        <w:rPr>
          <w:lang w:val="fr-FR"/>
        </w:rPr>
        <w:t>étendent à l</w:t>
      </w:r>
      <w:r w:rsidR="00487257" w:rsidRPr="0022208C">
        <w:rPr>
          <w:lang w:val="fr-FR"/>
        </w:rPr>
        <w:t>’</w:t>
      </w:r>
      <w:r w:rsidRPr="0022208C">
        <w:rPr>
          <w:lang w:val="fr-FR"/>
        </w:rPr>
        <w:t>accomplissement, en personne ou par courrier, des actes visés à l</w:t>
      </w:r>
      <w:r w:rsidR="00487257" w:rsidRPr="0022208C">
        <w:rPr>
          <w:lang w:val="fr-FR"/>
        </w:rPr>
        <w:t>’</w:t>
      </w:r>
      <w:r w:rsidRPr="0022208C">
        <w:rPr>
          <w:lang w:val="fr-FR"/>
        </w:rPr>
        <w:t>article 22.  Toutefois, le respect des règles 80.5 (expiration un jour chômé si l</w:t>
      </w:r>
      <w:r w:rsidR="00487257" w:rsidRPr="0022208C">
        <w:rPr>
          <w:lang w:val="fr-FR"/>
        </w:rPr>
        <w:t>’</w:t>
      </w:r>
      <w:r w:rsidRPr="0022208C">
        <w:rPr>
          <w:lang w:val="fr-FR"/>
        </w:rPr>
        <w:t>office est fermé) ou 82 (perturbations dans le service postal) devrait généralement suffire à couvrir de tels cas.</w:t>
      </w:r>
    </w:p>
    <w:p w14:paraId="758BC839" w14:textId="128DF035" w:rsidR="00663F3D" w:rsidRPr="0022208C" w:rsidRDefault="00663F3D" w:rsidP="0022208C">
      <w:pPr>
        <w:pStyle w:val="ONUMFS"/>
        <w:rPr>
          <w:lang w:val="fr-FR"/>
        </w:rPr>
      </w:pPr>
      <w:r w:rsidRPr="0022208C">
        <w:rPr>
          <w:lang w:val="fr-FR"/>
        </w:rPr>
        <w:t>L</w:t>
      </w:r>
      <w:r w:rsidR="00487257" w:rsidRPr="0022208C">
        <w:rPr>
          <w:lang w:val="fr-FR"/>
        </w:rPr>
        <w:t>’alinéa a)</w:t>
      </w:r>
      <w:r w:rsidRPr="0022208C">
        <w:rPr>
          <w:lang w:val="fr-FR"/>
        </w:rPr>
        <w:t xml:space="preserve"> proposé reprend le texte actuel de la règle 49.4 et prévoit une exception à l</w:t>
      </w:r>
      <w:r w:rsidR="00487257" w:rsidRPr="0022208C">
        <w:rPr>
          <w:lang w:val="fr-FR"/>
        </w:rPr>
        <w:t>’</w:t>
      </w:r>
      <w:r w:rsidRPr="0022208C">
        <w:rPr>
          <w:lang w:val="fr-FR"/>
        </w:rPr>
        <w:t>indication selon laquelle l</w:t>
      </w:r>
      <w:r w:rsidR="00487257" w:rsidRPr="0022208C">
        <w:rPr>
          <w:lang w:val="fr-FR"/>
        </w:rPr>
        <w:t>’</w:t>
      </w:r>
      <w:r w:rsidRPr="0022208C">
        <w:rPr>
          <w:lang w:val="fr-FR"/>
        </w:rPr>
        <w:t>utilisation d</w:t>
      </w:r>
      <w:r w:rsidR="00487257" w:rsidRPr="0022208C">
        <w:rPr>
          <w:lang w:val="fr-FR"/>
        </w:rPr>
        <w:t>’</w:t>
      </w:r>
      <w:r w:rsidRPr="0022208C">
        <w:rPr>
          <w:lang w:val="fr-FR"/>
        </w:rPr>
        <w:t>un formulaire national ne peut être obligatoire, étant donné que, en principe, tout système électronique permettant au déposant de saisir ou de confirmer des renseignements peut être considéré comme un formulaire.</w:t>
      </w:r>
    </w:p>
    <w:p w14:paraId="0E8D25BA" w14:textId="51ADA1D4" w:rsidR="00663F3D" w:rsidRPr="0022208C" w:rsidRDefault="00663F3D" w:rsidP="0022208C">
      <w:pPr>
        <w:pStyle w:val="ONUMFS"/>
        <w:rPr>
          <w:lang w:val="fr-FR"/>
        </w:rPr>
      </w:pPr>
      <w:r w:rsidRPr="0022208C">
        <w:rPr>
          <w:lang w:val="fr-FR"/>
        </w:rPr>
        <w:lastRenderedPageBreak/>
        <w:t>L</w:t>
      </w:r>
      <w:r w:rsidR="00487257" w:rsidRPr="0022208C">
        <w:rPr>
          <w:lang w:val="fr-FR"/>
        </w:rPr>
        <w:t>’alinéa b)</w:t>
      </w:r>
      <w:r w:rsidRPr="0022208C">
        <w:rPr>
          <w:lang w:val="fr-FR"/>
        </w:rPr>
        <w:t xml:space="preserve"> précise ensuite que les offices peuvent déterminer les moyens qu</w:t>
      </w:r>
      <w:r w:rsidR="00487257" w:rsidRPr="0022208C">
        <w:rPr>
          <w:lang w:val="fr-FR"/>
        </w:rPr>
        <w:t>’</w:t>
      </w:r>
      <w:r w:rsidRPr="0022208C">
        <w:rPr>
          <w:lang w:val="fr-FR"/>
        </w:rPr>
        <w:t>ils souhaitent pour l</w:t>
      </w:r>
      <w:r w:rsidR="00487257" w:rsidRPr="0022208C">
        <w:rPr>
          <w:lang w:val="fr-FR"/>
        </w:rPr>
        <w:t>’</w:t>
      </w:r>
      <w:r w:rsidRPr="0022208C">
        <w:rPr>
          <w:lang w:val="fr-FR"/>
        </w:rPr>
        <w:t>accomplissement des actes visés à l</w:t>
      </w:r>
      <w:r w:rsidR="00487257" w:rsidRPr="0022208C">
        <w:rPr>
          <w:lang w:val="fr-FR"/>
        </w:rPr>
        <w:t>’</w:t>
      </w:r>
      <w:r w:rsidRPr="0022208C">
        <w:rPr>
          <w:lang w:val="fr-FR"/>
        </w:rPr>
        <w:t>article 22, mais qu</w:t>
      </w:r>
      <w:r w:rsidR="00487257" w:rsidRPr="0022208C">
        <w:rPr>
          <w:lang w:val="fr-FR"/>
        </w:rPr>
        <w:t>’</w:t>
      </w:r>
      <w:r w:rsidRPr="0022208C">
        <w:rPr>
          <w:lang w:val="fr-FR"/>
        </w:rPr>
        <w:t>ils doivent prévoir au moins un moyen que les déposants non</w:t>
      </w:r>
      <w:r w:rsidR="0022208C">
        <w:rPr>
          <w:lang w:val="fr-FR"/>
        </w:rPr>
        <w:noBreakHyphen/>
      </w:r>
      <w:r w:rsidRPr="0022208C">
        <w:rPr>
          <w:lang w:val="fr-FR"/>
        </w:rPr>
        <w:t>résidents peuvent utiliser sans devoir avoir recours à un mandataire local et sans devoir remplir un formulaire spécifique, hormis pour fournir les informations nécessaires à l</w:t>
      </w:r>
      <w:r w:rsidR="00487257" w:rsidRPr="0022208C">
        <w:rPr>
          <w:lang w:val="fr-FR"/>
        </w:rPr>
        <w:t>’</w:t>
      </w:r>
      <w:r w:rsidRPr="0022208C">
        <w:rPr>
          <w:lang w:val="fr-FR"/>
        </w:rPr>
        <w:t>identification de la demande et permettre la communication avec le déposant ou le mandataire.</w:t>
      </w:r>
    </w:p>
    <w:p w14:paraId="57ECFD27" w14:textId="1BF66613" w:rsidR="00663F3D" w:rsidRPr="0022208C" w:rsidRDefault="00663F3D" w:rsidP="0022208C">
      <w:pPr>
        <w:pStyle w:val="ONUMFS"/>
        <w:rPr>
          <w:lang w:val="fr-FR"/>
        </w:rPr>
      </w:pPr>
      <w:r w:rsidRPr="0022208C">
        <w:rPr>
          <w:lang w:val="fr-FR"/>
        </w:rPr>
        <w:t>Certains offices exploitent des services qui récupèrent les renseignements en temps réel (généralement à l</w:t>
      </w:r>
      <w:r w:rsidR="00487257" w:rsidRPr="0022208C">
        <w:rPr>
          <w:lang w:val="fr-FR"/>
        </w:rPr>
        <w:t>’</w:t>
      </w:r>
      <w:r w:rsidRPr="0022208C">
        <w:rPr>
          <w:lang w:val="fr-FR"/>
        </w:rPr>
        <w:t>aide des services Web PATENTSCOPE) afin de remplir un grand “formulaire” à l</w:t>
      </w:r>
      <w:r w:rsidR="00487257" w:rsidRPr="0022208C">
        <w:rPr>
          <w:lang w:val="fr-FR"/>
        </w:rPr>
        <w:t>’</w:t>
      </w:r>
      <w:r w:rsidRPr="0022208C">
        <w:rPr>
          <w:lang w:val="fr-FR"/>
        </w:rPr>
        <w:t>écran, que le déposant vérifie et accepte ensui</w:t>
      </w:r>
      <w:r w:rsidR="00E443AA" w:rsidRPr="0022208C">
        <w:rPr>
          <w:lang w:val="fr-FR"/>
        </w:rPr>
        <w:t>te.  L’e</w:t>
      </w:r>
      <w:r w:rsidRPr="0022208C">
        <w:rPr>
          <w:lang w:val="fr-FR"/>
        </w:rPr>
        <w:t>xpression “sans avoir à fournir d</w:t>
      </w:r>
      <w:r w:rsidR="00487257" w:rsidRPr="0022208C">
        <w:rPr>
          <w:lang w:val="fr-FR"/>
        </w:rPr>
        <w:t>’</w:t>
      </w:r>
      <w:r w:rsidRPr="0022208C">
        <w:rPr>
          <w:lang w:val="fr-FR"/>
        </w:rPr>
        <w:t>autres renseignements que…” vise à confirmer que de telles dispositions doivent être considérées comme acceptables même dans le cadre d</w:t>
      </w:r>
      <w:r w:rsidR="00487257" w:rsidRPr="0022208C">
        <w:rPr>
          <w:lang w:val="fr-FR"/>
        </w:rPr>
        <w:t>’</w:t>
      </w:r>
      <w:r w:rsidRPr="0022208C">
        <w:rPr>
          <w:lang w:val="fr-FR"/>
        </w:rPr>
        <w:t>un service obligatoire, mais que le déposant ne doit pas être tenu de fournir toutes les informations dans le délai prévu à l</w:t>
      </w:r>
      <w:r w:rsidR="00487257" w:rsidRPr="0022208C">
        <w:rPr>
          <w:lang w:val="fr-FR"/>
        </w:rPr>
        <w:t>’</w:t>
      </w:r>
      <w:r w:rsidRPr="0022208C">
        <w:rPr>
          <w:lang w:val="fr-FR"/>
        </w:rPr>
        <w:t>article 22 en cas d</w:t>
      </w:r>
      <w:r w:rsidR="00487257" w:rsidRPr="0022208C">
        <w:rPr>
          <w:lang w:val="fr-FR"/>
        </w:rPr>
        <w:t>’</w:t>
      </w:r>
      <w:r w:rsidRPr="0022208C">
        <w:rPr>
          <w:lang w:val="fr-FR"/>
        </w:rPr>
        <w:t>échec de la récupération des renseignements.</w:t>
      </w:r>
    </w:p>
    <w:p w14:paraId="39B89DEE" w14:textId="0B80014B" w:rsidR="00663F3D" w:rsidRPr="0022208C" w:rsidRDefault="00663F3D" w:rsidP="0022208C">
      <w:pPr>
        <w:pStyle w:val="ONUMFS"/>
        <w:rPr>
          <w:lang w:val="fr-FR"/>
        </w:rPr>
      </w:pPr>
      <w:r w:rsidRPr="0022208C">
        <w:rPr>
          <w:lang w:val="fr-FR"/>
        </w:rPr>
        <w:t>En règle générale, dans le règlement d</w:t>
      </w:r>
      <w:r w:rsidR="00487257" w:rsidRPr="0022208C">
        <w:rPr>
          <w:lang w:val="fr-FR"/>
        </w:rPr>
        <w:t>’</w:t>
      </w:r>
      <w:r w:rsidRPr="0022208C">
        <w:rPr>
          <w:lang w:val="fr-FR"/>
        </w:rPr>
        <w:t>exécution, on entend par “communication avec le déposant” toute communication avec le mandataire, lorsqu</w:t>
      </w:r>
      <w:r w:rsidR="00487257" w:rsidRPr="0022208C">
        <w:rPr>
          <w:lang w:val="fr-FR"/>
        </w:rPr>
        <w:t>’</w:t>
      </w:r>
      <w:r w:rsidRPr="0022208C">
        <w:rPr>
          <w:lang w:val="fr-FR"/>
        </w:rPr>
        <w:t xml:space="preserve">il en a été constitué </w:t>
      </w:r>
      <w:r w:rsidR="00E443AA" w:rsidRPr="0022208C">
        <w:rPr>
          <w:lang w:val="fr-FR"/>
        </w:rPr>
        <w:t>un.  Co</w:t>
      </w:r>
      <w:r w:rsidRPr="0022208C">
        <w:rPr>
          <w:lang w:val="fr-FR"/>
        </w:rPr>
        <w:t xml:space="preserve">mme </w:t>
      </w:r>
      <w:proofErr w:type="gramStart"/>
      <w:r w:rsidRPr="0022208C">
        <w:rPr>
          <w:lang w:val="fr-FR"/>
        </w:rPr>
        <w:t>suite aux</w:t>
      </w:r>
      <w:proofErr w:type="gramEnd"/>
      <w:r w:rsidRPr="0022208C">
        <w:rPr>
          <w:lang w:val="fr-FR"/>
        </w:rPr>
        <w:t xml:space="preserve"> commentaires formulés lors de la dix</w:t>
      </w:r>
      <w:r w:rsidR="0022208C">
        <w:rPr>
          <w:lang w:val="fr-FR"/>
        </w:rPr>
        <w:noBreakHyphen/>
      </w:r>
      <w:r w:rsidRPr="0022208C">
        <w:rPr>
          <w:lang w:val="fr-FR"/>
        </w:rPr>
        <w:t>huit</w:t>
      </w:r>
      <w:r w:rsidR="00487257" w:rsidRPr="0022208C">
        <w:rPr>
          <w:lang w:val="fr-FR"/>
        </w:rPr>
        <w:t>ième session</w:t>
      </w:r>
      <w:r w:rsidRPr="0022208C">
        <w:rPr>
          <w:lang w:val="fr-FR"/>
        </w:rPr>
        <w:t xml:space="preserve"> du groupe de travail, l</w:t>
      </w:r>
      <w:r w:rsidR="00487257" w:rsidRPr="0022208C">
        <w:rPr>
          <w:lang w:val="fr-FR"/>
        </w:rPr>
        <w:t>’alinéa b)</w:t>
      </w:r>
      <w:r w:rsidRPr="0022208C">
        <w:rPr>
          <w:lang w:val="fr-FR"/>
        </w:rPr>
        <w:t>iii) renvoie expressément à la fois au déposant et à tout mandataire, car la distinction peut être importante dans ce cas.</w:t>
      </w:r>
    </w:p>
    <w:p w14:paraId="7A8F885A" w14:textId="555C4532" w:rsidR="00663F3D" w:rsidRPr="0022208C" w:rsidRDefault="00663F3D" w:rsidP="0022208C">
      <w:pPr>
        <w:pStyle w:val="ONUMFS"/>
        <w:rPr>
          <w:lang w:val="fr-FR"/>
        </w:rPr>
      </w:pPr>
      <w:r w:rsidRPr="0022208C">
        <w:rPr>
          <w:lang w:val="fr-FR"/>
        </w:rPr>
        <w:t>L</w:t>
      </w:r>
      <w:r w:rsidR="00487257" w:rsidRPr="0022208C">
        <w:rPr>
          <w:lang w:val="fr-FR"/>
        </w:rPr>
        <w:t>’alinéa c)</w:t>
      </w:r>
      <w:r w:rsidRPr="0022208C">
        <w:rPr>
          <w:lang w:val="fr-FR"/>
        </w:rPr>
        <w:t xml:space="preserve"> prévoit l</w:t>
      </w:r>
      <w:r w:rsidR="00487257" w:rsidRPr="0022208C">
        <w:rPr>
          <w:lang w:val="fr-FR"/>
        </w:rPr>
        <w:t>’</w:t>
      </w:r>
      <w:r w:rsidRPr="0022208C">
        <w:rPr>
          <w:lang w:val="fr-FR"/>
        </w:rPr>
        <w:t>obligation pour l</w:t>
      </w:r>
      <w:r w:rsidR="00487257" w:rsidRPr="0022208C">
        <w:rPr>
          <w:lang w:val="fr-FR"/>
        </w:rPr>
        <w:t>’</w:t>
      </w:r>
      <w:r w:rsidRPr="0022208C">
        <w:rPr>
          <w:lang w:val="fr-FR"/>
        </w:rPr>
        <w:t>office désigné de veiller à ce qu</w:t>
      </w:r>
      <w:r w:rsidR="00487257" w:rsidRPr="0022208C">
        <w:rPr>
          <w:lang w:val="fr-FR"/>
        </w:rPr>
        <w:t>’</w:t>
      </w:r>
      <w:r w:rsidRPr="0022208C">
        <w:rPr>
          <w:lang w:val="fr-FR"/>
        </w:rPr>
        <w:t>il existe une garantie permettant d</w:t>
      </w:r>
      <w:r w:rsidR="00487257" w:rsidRPr="0022208C">
        <w:rPr>
          <w:lang w:val="fr-FR"/>
        </w:rPr>
        <w:t>’</w:t>
      </w:r>
      <w:r w:rsidRPr="0022208C">
        <w:rPr>
          <w:lang w:val="fr-FR"/>
        </w:rPr>
        <w:t>excuser les retards dans l</w:t>
      </w:r>
      <w:r w:rsidR="00487257" w:rsidRPr="0022208C">
        <w:rPr>
          <w:lang w:val="fr-FR"/>
        </w:rPr>
        <w:t>’</w:t>
      </w:r>
      <w:r w:rsidRPr="0022208C">
        <w:rPr>
          <w:lang w:val="fr-FR"/>
        </w:rPr>
        <w:t>accomplissement des actes visés à l</w:t>
      </w:r>
      <w:r w:rsidR="00487257" w:rsidRPr="0022208C">
        <w:rPr>
          <w:lang w:val="fr-FR"/>
        </w:rPr>
        <w:t>’</w:t>
      </w:r>
      <w:r w:rsidRPr="0022208C">
        <w:rPr>
          <w:lang w:val="fr-FR"/>
        </w:rPr>
        <w:t>article 22 s</w:t>
      </w:r>
      <w:r w:rsidR="00487257" w:rsidRPr="0022208C">
        <w:rPr>
          <w:lang w:val="fr-FR"/>
        </w:rPr>
        <w:t>’</w:t>
      </w:r>
      <w:r w:rsidRPr="0022208C">
        <w:rPr>
          <w:lang w:val="fr-FR"/>
        </w:rPr>
        <w:t>ils résultent de l</w:t>
      </w:r>
      <w:r w:rsidR="00487257" w:rsidRPr="0022208C">
        <w:rPr>
          <w:lang w:val="fr-FR"/>
        </w:rPr>
        <w:t>’</w:t>
      </w:r>
      <w:r w:rsidRPr="0022208C">
        <w:rPr>
          <w:lang w:val="fr-FR"/>
        </w:rPr>
        <w:t>indisponibilité d</w:t>
      </w:r>
      <w:r w:rsidR="00487257" w:rsidRPr="0022208C">
        <w:rPr>
          <w:lang w:val="fr-FR"/>
        </w:rPr>
        <w:t>’</w:t>
      </w:r>
      <w:r w:rsidRPr="0022208C">
        <w:rPr>
          <w:lang w:val="fr-FR"/>
        </w:rPr>
        <w:t>un moyen spécifié pour accomplir ces actes.</w:t>
      </w:r>
    </w:p>
    <w:p w14:paraId="6F6EDD2D" w14:textId="4A99A3D5" w:rsidR="00663F3D" w:rsidRPr="0022208C" w:rsidRDefault="00663F3D" w:rsidP="0022208C">
      <w:pPr>
        <w:pStyle w:val="ONUMFS"/>
        <w:rPr>
          <w:lang w:val="fr-FR"/>
        </w:rPr>
      </w:pPr>
      <w:r w:rsidRPr="0022208C">
        <w:rPr>
          <w:lang w:val="fr-FR"/>
        </w:rPr>
        <w:t xml:space="preserve">Contrairement au projet de règle 82.2 proposé dans le </w:t>
      </w:r>
      <w:r w:rsidR="00487257" w:rsidRPr="0022208C">
        <w:rPr>
          <w:lang w:val="fr-FR"/>
        </w:rPr>
        <w:t>document</w:t>
      </w:r>
      <w:r w:rsidR="0022208C">
        <w:rPr>
          <w:lang w:val="fr-FR"/>
        </w:rPr>
        <w:t> </w:t>
      </w:r>
      <w:r w:rsidR="00487257" w:rsidRPr="0022208C">
        <w:rPr>
          <w:lang w:val="fr-FR"/>
        </w:rPr>
        <w:t>PC</w:t>
      </w:r>
      <w:r w:rsidRPr="0022208C">
        <w:rPr>
          <w:lang w:val="fr-FR"/>
        </w:rPr>
        <w:t>T/WG/18/4</w:t>
      </w:r>
      <w:r w:rsidR="00D07BEB" w:rsidRPr="0022208C">
        <w:rPr>
          <w:lang w:val="fr-FR"/>
        </w:rPr>
        <w:t> </w:t>
      </w:r>
      <w:proofErr w:type="spellStart"/>
      <w:r w:rsidRPr="0022208C">
        <w:rPr>
          <w:lang w:val="fr-FR"/>
        </w:rPr>
        <w:t>Rev</w:t>
      </w:r>
      <w:proofErr w:type="spellEnd"/>
      <w:r w:rsidRPr="0022208C">
        <w:rPr>
          <w:lang w:val="fr-FR"/>
        </w:rPr>
        <w:t>., l</w:t>
      </w:r>
      <w:r w:rsidR="00487257" w:rsidRPr="0022208C">
        <w:rPr>
          <w:lang w:val="fr-FR"/>
        </w:rPr>
        <w:t>’</w:t>
      </w:r>
      <w:r w:rsidRPr="0022208C">
        <w:rPr>
          <w:lang w:val="fr-FR"/>
        </w:rPr>
        <w:t>objet de la règle actuellement proposée n</w:t>
      </w:r>
      <w:r w:rsidR="00487257" w:rsidRPr="0022208C">
        <w:rPr>
          <w:lang w:val="fr-FR"/>
        </w:rPr>
        <w:t>’</w:t>
      </w:r>
      <w:r w:rsidRPr="0022208C">
        <w:rPr>
          <w:lang w:val="fr-FR"/>
        </w:rPr>
        <w:t>est pas de faire référence à une “longue période” d</w:t>
      </w:r>
      <w:r w:rsidR="00487257" w:rsidRPr="0022208C">
        <w:rPr>
          <w:lang w:val="fr-FR"/>
        </w:rPr>
        <w:t>’</w:t>
      </w:r>
      <w:r w:rsidRPr="0022208C">
        <w:rPr>
          <w:lang w:val="fr-FR"/>
        </w:rPr>
        <w:t>indisponibilité, que ce soit de manière générale ou en tant que période défin</w:t>
      </w:r>
      <w:r w:rsidR="00E443AA" w:rsidRPr="0022208C">
        <w:rPr>
          <w:lang w:val="fr-FR"/>
        </w:rPr>
        <w:t>ie.  Au</w:t>
      </w:r>
      <w:r w:rsidRPr="0022208C">
        <w:rPr>
          <w:lang w:val="fr-FR"/>
        </w:rPr>
        <w:t xml:space="preserve"> lieu de cela, la forme que prendra cette garantie relèvera du droit national, mais devrait tenir compte de trois</w:t>
      </w:r>
      <w:r w:rsidR="00D07BEB" w:rsidRPr="0022208C">
        <w:rPr>
          <w:lang w:val="fr-FR"/>
        </w:rPr>
        <w:t> </w:t>
      </w:r>
      <w:r w:rsidRPr="0022208C">
        <w:rPr>
          <w:lang w:val="fr-FR"/>
        </w:rPr>
        <w:t>facteurs (ou prévoir des solutions de rechange plus souples qui les rendent inutiles)</w:t>
      </w:r>
      <w:r w:rsidR="00487257" w:rsidRPr="0022208C">
        <w:rPr>
          <w:lang w:val="fr-FR"/>
        </w:rPr>
        <w:t> :</w:t>
      </w:r>
    </w:p>
    <w:p w14:paraId="0B280A8D" w14:textId="4C0CCAF3" w:rsidR="00663F3D" w:rsidRPr="0022208C" w:rsidRDefault="00663F3D" w:rsidP="0022208C">
      <w:pPr>
        <w:pStyle w:val="ONUMFS"/>
        <w:numPr>
          <w:ilvl w:val="1"/>
          <w:numId w:val="6"/>
        </w:numPr>
        <w:rPr>
          <w:lang w:val="fr-FR"/>
        </w:rPr>
      </w:pPr>
      <w:r w:rsidRPr="0022208C">
        <w:rPr>
          <w:lang w:val="fr-FR"/>
        </w:rPr>
        <w:t>“résultant de cette indisponibilité”</w:t>
      </w:r>
      <w:r w:rsidR="00487257" w:rsidRPr="0022208C">
        <w:rPr>
          <w:lang w:val="fr-FR"/>
        </w:rPr>
        <w:t> :</w:t>
      </w:r>
      <w:r w:rsidRPr="0022208C">
        <w:rPr>
          <w:lang w:val="fr-FR"/>
        </w:rPr>
        <w:t xml:space="preserve"> On peut raisonnablement supposer que l</w:t>
      </w:r>
      <w:r w:rsidR="00487257" w:rsidRPr="0022208C">
        <w:rPr>
          <w:lang w:val="fr-FR"/>
        </w:rPr>
        <w:t>’</w:t>
      </w:r>
      <w:r w:rsidRPr="0022208C">
        <w:rPr>
          <w:lang w:val="fr-FR"/>
        </w:rPr>
        <w:t>indisponibilité du système est un facteur important dans tout retard – l</w:t>
      </w:r>
      <w:r w:rsidR="00487257" w:rsidRPr="0022208C">
        <w:rPr>
          <w:lang w:val="fr-FR"/>
        </w:rPr>
        <w:t>’</w:t>
      </w:r>
      <w:r w:rsidRPr="0022208C">
        <w:rPr>
          <w:lang w:val="fr-FR"/>
        </w:rPr>
        <w:t>indisponibilité des systèmes pendant une très courte période ne devrait pas nécessairement excuser le retard dans l</w:t>
      </w:r>
      <w:r w:rsidR="00487257" w:rsidRPr="0022208C">
        <w:rPr>
          <w:lang w:val="fr-FR"/>
        </w:rPr>
        <w:t>’</w:t>
      </w:r>
      <w:r w:rsidRPr="0022208C">
        <w:rPr>
          <w:lang w:val="fr-FR"/>
        </w:rPr>
        <w:t>accomplissement des actes.</w:t>
      </w:r>
    </w:p>
    <w:p w14:paraId="1A2978CD" w14:textId="21D2B0E9" w:rsidR="00663F3D" w:rsidRPr="0022208C" w:rsidRDefault="00663F3D" w:rsidP="0022208C">
      <w:pPr>
        <w:pStyle w:val="ONUMFS"/>
        <w:numPr>
          <w:ilvl w:val="1"/>
          <w:numId w:val="6"/>
        </w:numPr>
        <w:rPr>
          <w:lang w:val="fr-FR"/>
        </w:rPr>
      </w:pPr>
      <w:r w:rsidRPr="0022208C">
        <w:rPr>
          <w:lang w:val="fr-FR"/>
        </w:rPr>
        <w:t>“à moins qu</w:t>
      </w:r>
      <w:r w:rsidR="00487257" w:rsidRPr="0022208C">
        <w:rPr>
          <w:lang w:val="fr-FR"/>
        </w:rPr>
        <w:t>’</w:t>
      </w:r>
      <w:r w:rsidRPr="0022208C">
        <w:rPr>
          <w:lang w:val="fr-FR"/>
        </w:rPr>
        <w:t>un autre moyen d</w:t>
      </w:r>
      <w:r w:rsidR="00487257" w:rsidRPr="0022208C">
        <w:rPr>
          <w:lang w:val="fr-FR"/>
        </w:rPr>
        <w:t>’</w:t>
      </w:r>
      <w:r w:rsidRPr="0022208C">
        <w:rPr>
          <w:lang w:val="fr-FR"/>
        </w:rPr>
        <w:t>accomplir ces actes n</w:t>
      </w:r>
      <w:r w:rsidR="00487257" w:rsidRPr="0022208C">
        <w:rPr>
          <w:lang w:val="fr-FR"/>
        </w:rPr>
        <w:t>’</w:t>
      </w:r>
      <w:r w:rsidRPr="0022208C">
        <w:rPr>
          <w:lang w:val="fr-FR"/>
        </w:rPr>
        <w:t>ait été pratiquement accessible au déposant”</w:t>
      </w:r>
      <w:r w:rsidR="00487257" w:rsidRPr="0022208C">
        <w:rPr>
          <w:lang w:val="fr-FR"/>
        </w:rPr>
        <w:t> :</w:t>
      </w:r>
      <w:r w:rsidRPr="0022208C">
        <w:rPr>
          <w:lang w:val="fr-FR"/>
        </w:rPr>
        <w:t xml:space="preserve"> On peut s</w:t>
      </w:r>
      <w:r w:rsidR="00487257" w:rsidRPr="0022208C">
        <w:rPr>
          <w:lang w:val="fr-FR"/>
        </w:rPr>
        <w:t>’</w:t>
      </w:r>
      <w:r w:rsidRPr="0022208C">
        <w:rPr>
          <w:lang w:val="fr-FR"/>
        </w:rPr>
        <w:t>attendre à ce que les déposants essaient un autre service qui leur est facilement accessib</w:t>
      </w:r>
      <w:r w:rsidR="00E443AA" w:rsidRPr="0022208C">
        <w:rPr>
          <w:lang w:val="fr-FR"/>
        </w:rPr>
        <w:t>le.  La</w:t>
      </w:r>
      <w:r w:rsidRPr="0022208C">
        <w:rPr>
          <w:lang w:val="fr-FR"/>
        </w:rPr>
        <w:t xml:space="preserve"> possibilité de soumettre un document papier n</w:t>
      </w:r>
      <w:r w:rsidR="00487257" w:rsidRPr="0022208C">
        <w:rPr>
          <w:lang w:val="fr-FR"/>
        </w:rPr>
        <w:t>’</w:t>
      </w:r>
      <w:r w:rsidRPr="0022208C">
        <w:rPr>
          <w:lang w:val="fr-FR"/>
        </w:rPr>
        <w:t>est généralement pas une option pratique si aucun système électronique n</w:t>
      </w:r>
      <w:r w:rsidR="00487257" w:rsidRPr="0022208C">
        <w:rPr>
          <w:lang w:val="fr-FR"/>
        </w:rPr>
        <w:t>’</w:t>
      </w:r>
      <w:r w:rsidRPr="0022208C">
        <w:rPr>
          <w:lang w:val="fr-FR"/>
        </w:rPr>
        <w:t>est disponible le dernier jour du délai prévu à l</w:t>
      </w:r>
      <w:r w:rsidR="00487257" w:rsidRPr="0022208C">
        <w:rPr>
          <w:lang w:val="fr-FR"/>
        </w:rPr>
        <w:t>’</w:t>
      </w:r>
      <w:r w:rsidRPr="0022208C">
        <w:rPr>
          <w:lang w:val="fr-FR"/>
        </w:rPr>
        <w:t>article 22, pas plus que le recours à un autre service nécessitant une procédure d</w:t>
      </w:r>
      <w:r w:rsidR="00487257" w:rsidRPr="0022208C">
        <w:rPr>
          <w:lang w:val="fr-FR"/>
        </w:rPr>
        <w:t>’</w:t>
      </w:r>
      <w:r w:rsidRPr="0022208C">
        <w:rPr>
          <w:lang w:val="fr-FR"/>
        </w:rPr>
        <w:t>enregistrement avec examen manuel avant de pouvoir être utilisé, ou à un service qui ne figure pas dans le Guide du déposant</w:t>
      </w:r>
      <w:r w:rsidR="00487257" w:rsidRPr="0022208C">
        <w:rPr>
          <w:lang w:val="fr-FR"/>
        </w:rPr>
        <w:t xml:space="preserve"> du PCT</w:t>
      </w:r>
      <w:r w:rsidRPr="0022208C">
        <w:rPr>
          <w:lang w:val="fr-FR"/>
        </w:rPr>
        <w:t xml:space="preserve"> et qui, par conséquent, pourrait ne pas être connu du déposant.</w:t>
      </w:r>
    </w:p>
    <w:p w14:paraId="440BFF14" w14:textId="473CE971" w:rsidR="00663F3D" w:rsidRPr="0022208C" w:rsidRDefault="00663F3D" w:rsidP="0022208C">
      <w:pPr>
        <w:pStyle w:val="ONUMFS"/>
        <w:numPr>
          <w:ilvl w:val="1"/>
          <w:numId w:val="6"/>
        </w:numPr>
        <w:rPr>
          <w:lang w:val="fr-FR"/>
        </w:rPr>
      </w:pPr>
      <w:r w:rsidRPr="0022208C">
        <w:rPr>
          <w:lang w:val="fr-FR"/>
        </w:rPr>
        <w:t>“Le déposant n</w:t>
      </w:r>
      <w:r w:rsidR="00487257" w:rsidRPr="0022208C">
        <w:rPr>
          <w:lang w:val="fr-FR"/>
        </w:rPr>
        <w:t>’</w:t>
      </w:r>
      <w:r w:rsidRPr="0022208C">
        <w:rPr>
          <w:lang w:val="fr-FR"/>
        </w:rPr>
        <w:t>est pas tenu de fournir la preuve d</w:t>
      </w:r>
      <w:r w:rsidR="00487257" w:rsidRPr="0022208C">
        <w:rPr>
          <w:lang w:val="fr-FR"/>
        </w:rPr>
        <w:t>’</w:t>
      </w:r>
      <w:r w:rsidRPr="0022208C">
        <w:rPr>
          <w:lang w:val="fr-FR"/>
        </w:rPr>
        <w:t>une indisponibilité connue de l</w:t>
      </w:r>
      <w:r w:rsidR="00487257" w:rsidRPr="0022208C">
        <w:rPr>
          <w:lang w:val="fr-FR"/>
        </w:rPr>
        <w:t>’</w:t>
      </w:r>
      <w:r w:rsidRPr="0022208C">
        <w:rPr>
          <w:lang w:val="fr-FR"/>
        </w:rPr>
        <w:t>office désigné”</w:t>
      </w:r>
      <w:r w:rsidR="00487257" w:rsidRPr="0022208C">
        <w:rPr>
          <w:lang w:val="fr-FR"/>
        </w:rPr>
        <w:t> :</w:t>
      </w:r>
      <w:r w:rsidRPr="0022208C">
        <w:rPr>
          <w:lang w:val="fr-FR"/>
        </w:rPr>
        <w:t xml:space="preserve"> L</w:t>
      </w:r>
      <w:r w:rsidR="00487257" w:rsidRPr="0022208C">
        <w:rPr>
          <w:lang w:val="fr-FR"/>
        </w:rPr>
        <w:t>’</w:t>
      </w:r>
      <w:r w:rsidRPr="0022208C">
        <w:rPr>
          <w:lang w:val="fr-FR"/>
        </w:rPr>
        <w:t>office est généralement informé des interruptions de ses servic</w:t>
      </w:r>
      <w:r w:rsidR="00E443AA" w:rsidRPr="0022208C">
        <w:rPr>
          <w:lang w:val="fr-FR"/>
        </w:rPr>
        <w:t>es.  Lo</w:t>
      </w:r>
      <w:r w:rsidRPr="0022208C">
        <w:rPr>
          <w:lang w:val="fr-FR"/>
        </w:rPr>
        <w:t>rsqu</w:t>
      </w:r>
      <w:r w:rsidR="00487257" w:rsidRPr="0022208C">
        <w:rPr>
          <w:lang w:val="fr-FR"/>
        </w:rPr>
        <w:t>’</w:t>
      </w:r>
      <w:r w:rsidRPr="0022208C">
        <w:rPr>
          <w:lang w:val="fr-FR"/>
        </w:rPr>
        <w:t>une interruption est connue et que des mesures sont prises rapidement après celle</w:t>
      </w:r>
      <w:r w:rsidR="0022208C">
        <w:rPr>
          <w:lang w:val="fr-FR"/>
        </w:rPr>
        <w:noBreakHyphen/>
      </w:r>
      <w:r w:rsidRPr="0022208C">
        <w:rPr>
          <w:lang w:val="fr-FR"/>
        </w:rPr>
        <w:t>ci (le jour ouvrable suivant la fin de l</w:t>
      </w:r>
      <w:r w:rsidR="00487257" w:rsidRPr="0022208C">
        <w:rPr>
          <w:lang w:val="fr-FR"/>
        </w:rPr>
        <w:t>’</w:t>
      </w:r>
      <w:r w:rsidRPr="0022208C">
        <w:rPr>
          <w:lang w:val="fr-FR"/>
        </w:rPr>
        <w:t>interruption), l</w:t>
      </w:r>
      <w:r w:rsidR="00487257" w:rsidRPr="0022208C">
        <w:rPr>
          <w:lang w:val="fr-FR"/>
        </w:rPr>
        <w:t>’</w:t>
      </w:r>
      <w:r w:rsidRPr="0022208C">
        <w:rPr>
          <w:lang w:val="fr-FR"/>
        </w:rPr>
        <w:t>excuse pour retard doit normalement être appliquée administrativement sans aucune action particulière de la part du déposant, en supposant que l</w:t>
      </w:r>
      <w:r w:rsidR="00487257" w:rsidRPr="0022208C">
        <w:rPr>
          <w:lang w:val="fr-FR"/>
        </w:rPr>
        <w:t>’</w:t>
      </w:r>
      <w:r w:rsidRPr="0022208C">
        <w:rPr>
          <w:lang w:val="fr-FR"/>
        </w:rPr>
        <w:t>interruption ait été la cause du reta</w:t>
      </w:r>
      <w:r w:rsidR="00E443AA" w:rsidRPr="0022208C">
        <w:rPr>
          <w:lang w:val="fr-FR"/>
        </w:rPr>
        <w:t>rd.  Da</w:t>
      </w:r>
      <w:r w:rsidRPr="0022208C">
        <w:rPr>
          <w:lang w:val="fr-FR"/>
        </w:rPr>
        <w:t>ns tous les cas, le déposant ne devrait pas être tenu de prouver que le retard n</w:t>
      </w:r>
      <w:r w:rsidR="00487257" w:rsidRPr="0022208C">
        <w:rPr>
          <w:lang w:val="fr-FR"/>
        </w:rPr>
        <w:t>’</w:t>
      </w:r>
      <w:r w:rsidRPr="0022208C">
        <w:rPr>
          <w:lang w:val="fr-FR"/>
        </w:rPr>
        <w:t>est “pas intentionnel” ou qu</w:t>
      </w:r>
      <w:r w:rsidR="00487257" w:rsidRPr="0022208C">
        <w:rPr>
          <w:lang w:val="fr-FR"/>
        </w:rPr>
        <w:t>’</w:t>
      </w:r>
      <w:r w:rsidRPr="0022208C">
        <w:rPr>
          <w:lang w:val="fr-FR"/>
        </w:rPr>
        <w:t>il s</w:t>
      </w:r>
      <w:r w:rsidR="00487257" w:rsidRPr="0022208C">
        <w:rPr>
          <w:lang w:val="fr-FR"/>
        </w:rPr>
        <w:t>’</w:t>
      </w:r>
      <w:r w:rsidRPr="0022208C">
        <w:rPr>
          <w:lang w:val="fr-FR"/>
        </w:rPr>
        <w:t>est produit “bien que toute la diligence requise ait été exercée”, comme ce serait le cas pour le rétablissement des droits en vertu de la règle 49.6.</w:t>
      </w:r>
    </w:p>
    <w:p w14:paraId="1B457B5C" w14:textId="76DAB0AE" w:rsidR="00663F3D" w:rsidRPr="0022208C" w:rsidRDefault="00663F3D" w:rsidP="0022208C">
      <w:pPr>
        <w:pStyle w:val="ONUMFS"/>
        <w:rPr>
          <w:lang w:val="fr-FR"/>
        </w:rPr>
      </w:pPr>
      <w:r w:rsidRPr="0022208C">
        <w:rPr>
          <w:lang w:val="fr-FR"/>
        </w:rPr>
        <w:t>L</w:t>
      </w:r>
      <w:r w:rsidR="00487257" w:rsidRPr="0022208C">
        <w:rPr>
          <w:lang w:val="fr-FR"/>
        </w:rPr>
        <w:t>’alinéa d)</w:t>
      </w:r>
      <w:r w:rsidRPr="0022208C">
        <w:rPr>
          <w:lang w:val="fr-FR"/>
        </w:rPr>
        <w:t xml:space="preserve"> exige que les offices désignés notifient les nouvelles options au Bureau international afin qu</w:t>
      </w:r>
      <w:r w:rsidR="00487257" w:rsidRPr="0022208C">
        <w:rPr>
          <w:lang w:val="fr-FR"/>
        </w:rPr>
        <w:t>’</w:t>
      </w:r>
      <w:r w:rsidRPr="0022208C">
        <w:rPr>
          <w:lang w:val="fr-FR"/>
        </w:rPr>
        <w:t xml:space="preserve">elles soient publiées dans la </w:t>
      </w:r>
      <w:r w:rsidRPr="0022208C">
        <w:rPr>
          <w:i/>
          <w:iCs/>
          <w:lang w:val="fr-FR"/>
        </w:rPr>
        <w:t>Gazette</w:t>
      </w:r>
      <w:r w:rsidR="00487257" w:rsidRPr="0022208C">
        <w:rPr>
          <w:i/>
          <w:iCs/>
          <w:lang w:val="fr-FR"/>
        </w:rPr>
        <w:t xml:space="preserve"> du </w:t>
      </w:r>
      <w:r w:rsidR="00E443AA" w:rsidRPr="0022208C">
        <w:rPr>
          <w:i/>
          <w:iCs/>
          <w:lang w:val="fr-FR"/>
        </w:rPr>
        <w:t xml:space="preserve">PCT.  </w:t>
      </w:r>
      <w:r w:rsidR="00E443AA" w:rsidRPr="0022208C">
        <w:rPr>
          <w:lang w:val="fr-FR"/>
        </w:rPr>
        <w:t>Ce</w:t>
      </w:r>
      <w:r w:rsidRPr="0022208C">
        <w:rPr>
          <w:lang w:val="fr-FR"/>
        </w:rPr>
        <w:t xml:space="preserve">s renseignements </w:t>
      </w:r>
      <w:r w:rsidRPr="0022208C">
        <w:rPr>
          <w:lang w:val="fr-FR"/>
        </w:rPr>
        <w:lastRenderedPageBreak/>
        <w:t xml:space="preserve">figureraient également dans le </w:t>
      </w:r>
      <w:r w:rsidRPr="0022208C">
        <w:rPr>
          <w:i/>
          <w:iCs/>
          <w:lang w:val="fr-FR"/>
        </w:rPr>
        <w:t>Guide du déposant</w:t>
      </w:r>
      <w:r w:rsidR="00487257" w:rsidRPr="0022208C">
        <w:rPr>
          <w:i/>
          <w:iCs/>
          <w:lang w:val="fr-FR"/>
        </w:rPr>
        <w:t xml:space="preserve"> du </w:t>
      </w:r>
      <w:r w:rsidR="00E443AA" w:rsidRPr="0022208C">
        <w:rPr>
          <w:i/>
          <w:iCs/>
          <w:lang w:val="fr-FR"/>
        </w:rPr>
        <w:t xml:space="preserve">PCT.  </w:t>
      </w:r>
      <w:r w:rsidR="00E443AA" w:rsidRPr="0022208C">
        <w:rPr>
          <w:lang w:val="fr-FR"/>
        </w:rPr>
        <w:t>Lo</w:t>
      </w:r>
      <w:r w:rsidRPr="0022208C">
        <w:rPr>
          <w:lang w:val="fr-FR"/>
        </w:rPr>
        <w:t>rsqu</w:t>
      </w:r>
      <w:r w:rsidR="00487257" w:rsidRPr="0022208C">
        <w:rPr>
          <w:lang w:val="fr-FR"/>
        </w:rPr>
        <w:t>’</w:t>
      </w:r>
      <w:r w:rsidRPr="0022208C">
        <w:rPr>
          <w:lang w:val="fr-FR"/>
        </w:rPr>
        <w:t>un nouveau service est mis en place pour en remplacer un ancien, par exemple lorsqu</w:t>
      </w:r>
      <w:r w:rsidR="00487257" w:rsidRPr="0022208C">
        <w:rPr>
          <w:lang w:val="fr-FR"/>
        </w:rPr>
        <w:t>’</w:t>
      </w:r>
      <w:r w:rsidRPr="0022208C">
        <w:rPr>
          <w:lang w:val="fr-FR"/>
        </w:rPr>
        <w:t>un système de dépôt électronique devient obligatoire et que l</w:t>
      </w:r>
      <w:r w:rsidR="00487257" w:rsidRPr="0022208C">
        <w:rPr>
          <w:lang w:val="fr-FR"/>
        </w:rPr>
        <w:t>’</w:t>
      </w:r>
      <w:r w:rsidRPr="0022208C">
        <w:rPr>
          <w:lang w:val="fr-FR"/>
        </w:rPr>
        <w:t>option papier n</w:t>
      </w:r>
      <w:r w:rsidR="00487257" w:rsidRPr="0022208C">
        <w:rPr>
          <w:lang w:val="fr-FR"/>
        </w:rPr>
        <w:t>’</w:t>
      </w:r>
      <w:r w:rsidRPr="0022208C">
        <w:rPr>
          <w:lang w:val="fr-FR"/>
        </w:rPr>
        <w:t>est plus disponible, l</w:t>
      </w:r>
      <w:r w:rsidR="00487257" w:rsidRPr="0022208C">
        <w:rPr>
          <w:lang w:val="fr-FR"/>
        </w:rPr>
        <w:t>’</w:t>
      </w:r>
      <w:r w:rsidRPr="0022208C">
        <w:rPr>
          <w:lang w:val="fr-FR"/>
        </w:rPr>
        <w:t>ancien service doit rester disponible pendant au moins deux</w:t>
      </w:r>
      <w:r w:rsidR="00D07BEB" w:rsidRPr="0022208C">
        <w:rPr>
          <w:lang w:val="fr-FR"/>
        </w:rPr>
        <w:t> </w:t>
      </w:r>
      <w:r w:rsidRPr="0022208C">
        <w:rPr>
          <w:lang w:val="fr-FR"/>
        </w:rPr>
        <w:t xml:space="preserve">mois après la publication de la notification correspondante dans la </w:t>
      </w:r>
      <w:r w:rsidRPr="0022208C">
        <w:rPr>
          <w:i/>
          <w:iCs/>
          <w:lang w:val="fr-FR"/>
        </w:rPr>
        <w:t>Gazette</w:t>
      </w:r>
      <w:r w:rsidR="00487257" w:rsidRPr="0022208C">
        <w:rPr>
          <w:i/>
          <w:iCs/>
          <w:lang w:val="fr-FR"/>
        </w:rPr>
        <w:t xml:space="preserve"> du </w:t>
      </w:r>
      <w:r w:rsidR="00E443AA" w:rsidRPr="0022208C">
        <w:rPr>
          <w:i/>
          <w:iCs/>
          <w:lang w:val="fr-FR"/>
        </w:rPr>
        <w:t xml:space="preserve">PCT.  </w:t>
      </w:r>
      <w:r w:rsidR="00E443AA" w:rsidRPr="0022208C">
        <w:rPr>
          <w:lang w:val="fr-FR"/>
        </w:rPr>
        <w:t>Af</w:t>
      </w:r>
      <w:r w:rsidRPr="0022208C">
        <w:rPr>
          <w:lang w:val="fr-FR"/>
        </w:rPr>
        <w:t>in d</w:t>
      </w:r>
      <w:r w:rsidR="00487257" w:rsidRPr="0022208C">
        <w:rPr>
          <w:lang w:val="fr-FR"/>
        </w:rPr>
        <w:t>’</w:t>
      </w:r>
      <w:r w:rsidRPr="0022208C">
        <w:rPr>
          <w:lang w:val="fr-FR"/>
        </w:rPr>
        <w:t>éviter que tous les offices désignés aient à notifier les conditions conventionnelles existantes, une disposition transitoire préciserait que la règle s</w:t>
      </w:r>
      <w:r w:rsidR="00487257" w:rsidRPr="0022208C">
        <w:rPr>
          <w:lang w:val="fr-FR"/>
        </w:rPr>
        <w:t>’</w:t>
      </w:r>
      <w:r w:rsidRPr="0022208C">
        <w:rPr>
          <w:lang w:val="fr-FR"/>
        </w:rPr>
        <w:t>applique uniquement dans les cas où les conditions sont modifiées après l</w:t>
      </w:r>
      <w:r w:rsidR="00487257" w:rsidRPr="0022208C">
        <w:rPr>
          <w:lang w:val="fr-FR"/>
        </w:rPr>
        <w:t>’</w:t>
      </w:r>
      <w:r w:rsidRPr="0022208C">
        <w:rPr>
          <w:lang w:val="fr-FR"/>
        </w:rPr>
        <w:t>entrée en vigueur de la règ</w:t>
      </w:r>
      <w:r w:rsidR="00E443AA" w:rsidRPr="0022208C">
        <w:rPr>
          <w:lang w:val="fr-FR"/>
        </w:rPr>
        <w:t>le.  Le</w:t>
      </w:r>
      <w:r w:rsidRPr="0022208C">
        <w:rPr>
          <w:lang w:val="fr-FR"/>
        </w:rPr>
        <w:t xml:space="preserve">s offices désignés sont néanmoins vivement encouragés à vérifier les informations existantes dans le chapitre national pertinent du </w:t>
      </w:r>
      <w:r w:rsidRPr="0022208C">
        <w:rPr>
          <w:i/>
          <w:iCs/>
          <w:lang w:val="fr-FR"/>
        </w:rPr>
        <w:t>Guide du déposant</w:t>
      </w:r>
      <w:r w:rsidR="00487257" w:rsidRPr="0022208C">
        <w:rPr>
          <w:i/>
          <w:iCs/>
          <w:lang w:val="fr-FR"/>
        </w:rPr>
        <w:t xml:space="preserve"> du PCT</w:t>
      </w:r>
      <w:r w:rsidRPr="0022208C">
        <w:rPr>
          <w:lang w:val="fr-FR"/>
        </w:rPr>
        <w:t xml:space="preserve"> et à informer le Bureau international de toute erreur ou omission devant être rectifiée.</w:t>
      </w:r>
    </w:p>
    <w:p w14:paraId="539A2AC6" w14:textId="0AB3F0BD" w:rsidR="00663F3D" w:rsidRPr="0022208C" w:rsidRDefault="00663F3D" w:rsidP="0022208C">
      <w:pPr>
        <w:pStyle w:val="ONUMFS"/>
        <w:rPr>
          <w:lang w:val="fr-FR"/>
        </w:rPr>
      </w:pPr>
      <w:r w:rsidRPr="0022208C">
        <w:rPr>
          <w:lang w:val="fr-FR"/>
        </w:rPr>
        <w:t>La règle 49.4 est rédigée au regard des actes accomplis auprès de l</w:t>
      </w:r>
      <w:r w:rsidR="00487257" w:rsidRPr="0022208C">
        <w:rPr>
          <w:lang w:val="fr-FR"/>
        </w:rPr>
        <w:t>’</w:t>
      </w:r>
      <w:r w:rsidRPr="0022208C">
        <w:rPr>
          <w:lang w:val="fr-FR"/>
        </w:rPr>
        <w:t>office désig</w:t>
      </w:r>
      <w:r w:rsidR="00E443AA" w:rsidRPr="0022208C">
        <w:rPr>
          <w:lang w:val="fr-FR"/>
        </w:rPr>
        <w:t>né.  La</w:t>
      </w:r>
      <w:r w:rsidRPr="0022208C">
        <w:rPr>
          <w:lang w:val="fr-FR"/>
        </w:rPr>
        <w:t xml:space="preserve"> règle 76.5 existante permettra d</w:t>
      </w:r>
      <w:r w:rsidR="00487257" w:rsidRPr="0022208C">
        <w:rPr>
          <w:lang w:val="fr-FR"/>
        </w:rPr>
        <w:t>’</w:t>
      </w:r>
      <w:r w:rsidRPr="0022208C">
        <w:rPr>
          <w:lang w:val="fr-FR"/>
        </w:rPr>
        <w:t>appliquer les dispositions équivalentes également aux offices élus sans autre modification.</w:t>
      </w:r>
    </w:p>
    <w:p w14:paraId="5C67CA2A" w14:textId="3C412582" w:rsidR="00663F3D" w:rsidRPr="0022208C" w:rsidRDefault="00663F3D" w:rsidP="0022208C">
      <w:pPr>
        <w:pStyle w:val="ONUMFS"/>
        <w:ind w:left="5533"/>
        <w:rPr>
          <w:i/>
          <w:lang w:val="fr-FR"/>
        </w:rPr>
      </w:pPr>
      <w:r w:rsidRPr="0022208C">
        <w:rPr>
          <w:i/>
          <w:lang w:val="fr-FR"/>
        </w:rPr>
        <w:t>Le groupe de travail est invité à formuler des observations sur les propositions de modification du règlement d</w:t>
      </w:r>
      <w:r w:rsidR="00487257" w:rsidRPr="0022208C">
        <w:rPr>
          <w:i/>
          <w:lang w:val="fr-FR"/>
        </w:rPr>
        <w:t>’</w:t>
      </w:r>
      <w:r w:rsidRPr="0022208C">
        <w:rPr>
          <w:i/>
          <w:lang w:val="fr-FR"/>
        </w:rPr>
        <w:t>exécution figurant dans l</w:t>
      </w:r>
      <w:r w:rsidR="00487257" w:rsidRPr="0022208C">
        <w:rPr>
          <w:i/>
          <w:lang w:val="fr-FR"/>
        </w:rPr>
        <w:t>’</w:t>
      </w:r>
      <w:r w:rsidRPr="0022208C">
        <w:rPr>
          <w:i/>
          <w:lang w:val="fr-FR"/>
        </w:rPr>
        <w:t xml:space="preserve">annexe du </w:t>
      </w:r>
      <w:r w:rsidR="00487257" w:rsidRPr="0022208C">
        <w:rPr>
          <w:i/>
          <w:lang w:val="fr-FR"/>
        </w:rPr>
        <w:t>document</w:t>
      </w:r>
      <w:r w:rsidR="0022208C" w:rsidRPr="0022208C">
        <w:rPr>
          <w:i/>
          <w:lang w:val="fr-FR"/>
        </w:rPr>
        <w:t> </w:t>
      </w:r>
      <w:r w:rsidR="00487257" w:rsidRPr="0022208C">
        <w:rPr>
          <w:i/>
          <w:lang w:val="fr-FR"/>
        </w:rPr>
        <w:t>PC</w:t>
      </w:r>
      <w:r w:rsidRPr="0022208C">
        <w:rPr>
          <w:i/>
          <w:lang w:val="fr-FR"/>
        </w:rPr>
        <w:t>T/WG/19/5.</w:t>
      </w:r>
    </w:p>
    <w:p w14:paraId="2F95140D" w14:textId="38E77973" w:rsidR="00663F3D" w:rsidRPr="0022208C" w:rsidRDefault="00663F3D" w:rsidP="0022208C">
      <w:pPr>
        <w:pStyle w:val="Endofdocument-Annex"/>
        <w:sectPr w:rsidR="00663F3D" w:rsidRPr="0022208C" w:rsidSect="0022208C">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pPr>
      <w:r w:rsidRPr="0022208C">
        <w:t>[L</w:t>
      </w:r>
      <w:r w:rsidR="00487257" w:rsidRPr="0022208C">
        <w:t>’</w:t>
      </w:r>
      <w:r w:rsidRPr="0022208C">
        <w:t>annexe suit]</w:t>
      </w:r>
    </w:p>
    <w:p w14:paraId="79A99556" w14:textId="5966F77E" w:rsidR="00663F3D" w:rsidRPr="0022208C" w:rsidRDefault="00663F3D" w:rsidP="0022208C">
      <w:pPr>
        <w:spacing w:before="480" w:after="480"/>
        <w:jc w:val="center"/>
        <w:rPr>
          <w:caps/>
          <w:lang w:val="fr-FR"/>
        </w:rPr>
      </w:pPr>
      <w:r w:rsidRPr="0022208C">
        <w:rPr>
          <w:caps/>
          <w:lang w:val="fr-FR"/>
        </w:rPr>
        <w:lastRenderedPageBreak/>
        <w:t>Propositions de modification du règlement d</w:t>
      </w:r>
      <w:r w:rsidR="00487257" w:rsidRPr="0022208C">
        <w:rPr>
          <w:caps/>
          <w:lang w:val="fr-FR"/>
        </w:rPr>
        <w:t>’</w:t>
      </w:r>
      <w:r w:rsidRPr="0022208C">
        <w:rPr>
          <w:caps/>
          <w:lang w:val="fr-FR"/>
        </w:rPr>
        <w:t>exécution</w:t>
      </w:r>
      <w:r w:rsidR="00487257" w:rsidRPr="0022208C">
        <w:rPr>
          <w:caps/>
          <w:lang w:val="fr-FR"/>
        </w:rPr>
        <w:t xml:space="preserve"> du PCT</w:t>
      </w:r>
      <w:r w:rsidRPr="0022208C">
        <w:rPr>
          <w:rStyle w:val="FootnoteReference"/>
          <w:caps/>
          <w:lang w:val="fr-FR"/>
        </w:rPr>
        <w:footnoteReference w:id="2"/>
      </w:r>
    </w:p>
    <w:p w14:paraId="4EA01C12" w14:textId="571BC8CB" w:rsidR="00416DA9" w:rsidRDefault="00416DA9">
      <w:pPr>
        <w:pStyle w:val="TOC1"/>
        <w:rPr>
          <w:rFonts w:asciiTheme="minorHAnsi" w:eastAsiaTheme="minorEastAsia" w:hAnsiTheme="minorHAnsi" w:cstheme="minorBidi"/>
          <w:noProof/>
          <w:kern w:val="2"/>
          <w:sz w:val="24"/>
          <w:szCs w:val="24"/>
          <w:lang w:eastAsia="en-US"/>
          <w14:ligatures w14:val="standardContextual"/>
        </w:rPr>
      </w:pPr>
      <w:r w:rsidRPr="00416DA9">
        <w:rPr>
          <w:lang w:val="fr-FR"/>
        </w:rPr>
        <w:fldChar w:fldCharType="begin"/>
      </w:r>
      <w:r w:rsidRPr="00416DA9">
        <w:rPr>
          <w:lang w:val="fr-FR"/>
        </w:rPr>
        <w:instrText xml:space="preserve"> TOC \t "Leg # Title;1;Leg SubRule #;2" </w:instrText>
      </w:r>
      <w:r w:rsidRPr="00416DA9">
        <w:rPr>
          <w:lang w:val="fr-FR"/>
        </w:rPr>
        <w:fldChar w:fldCharType="separate"/>
      </w:r>
      <w:r>
        <w:rPr>
          <w:noProof/>
        </w:rPr>
        <w:t>Règle 49  Copie, traduction et taxe selon l’article 22</w:t>
      </w:r>
      <w:r>
        <w:rPr>
          <w:noProof/>
        </w:rPr>
        <w:tab/>
      </w:r>
      <w:r>
        <w:rPr>
          <w:noProof/>
        </w:rPr>
        <w:fldChar w:fldCharType="begin"/>
      </w:r>
      <w:r>
        <w:rPr>
          <w:noProof/>
        </w:rPr>
        <w:instrText xml:space="preserve"> PAGEREF _Toc217047427 \h </w:instrText>
      </w:r>
      <w:r>
        <w:rPr>
          <w:noProof/>
        </w:rPr>
      </w:r>
      <w:r>
        <w:rPr>
          <w:noProof/>
        </w:rPr>
        <w:fldChar w:fldCharType="separate"/>
      </w:r>
      <w:r w:rsidR="00721BD1">
        <w:rPr>
          <w:noProof/>
        </w:rPr>
        <w:t>2</w:t>
      </w:r>
      <w:r>
        <w:rPr>
          <w:noProof/>
        </w:rPr>
        <w:fldChar w:fldCharType="end"/>
      </w:r>
    </w:p>
    <w:p w14:paraId="6F61BED2" w14:textId="08884307" w:rsidR="00416DA9" w:rsidRDefault="00416DA9" w:rsidP="00416DA9">
      <w:pPr>
        <w:pStyle w:val="TOC2"/>
        <w:rPr>
          <w:rFonts w:asciiTheme="minorHAnsi" w:eastAsiaTheme="minorEastAsia" w:hAnsiTheme="minorHAnsi" w:cstheme="minorBidi"/>
          <w:kern w:val="2"/>
          <w:sz w:val="24"/>
          <w:szCs w:val="24"/>
          <w:lang w:eastAsia="en-US"/>
          <w14:ligatures w14:val="standardContextual"/>
        </w:rPr>
      </w:pPr>
      <w:r>
        <w:t>49.1 à 49.3</w:t>
      </w:r>
      <w:r w:rsidRPr="00B3565C">
        <w:rPr>
          <w:i/>
        </w:rPr>
        <w:t>  [Sans changement]</w:t>
      </w:r>
      <w:r>
        <w:tab/>
      </w:r>
      <w:r>
        <w:fldChar w:fldCharType="begin"/>
      </w:r>
      <w:r>
        <w:instrText xml:space="preserve"> PAGEREF _Toc217047428 \h </w:instrText>
      </w:r>
      <w:r>
        <w:fldChar w:fldCharType="separate"/>
      </w:r>
      <w:r w:rsidR="00721BD1">
        <w:t>2</w:t>
      </w:r>
      <w:r>
        <w:fldChar w:fldCharType="end"/>
      </w:r>
    </w:p>
    <w:p w14:paraId="13E267CB" w14:textId="40DDC50F" w:rsidR="00416DA9" w:rsidRPr="00416DA9" w:rsidRDefault="00416DA9" w:rsidP="00416DA9">
      <w:pPr>
        <w:pStyle w:val="TOC2"/>
        <w:rPr>
          <w:rFonts w:asciiTheme="minorHAnsi" w:eastAsiaTheme="minorEastAsia" w:hAnsiTheme="minorHAnsi" w:cstheme="minorBidi"/>
          <w:kern w:val="2"/>
          <w:sz w:val="24"/>
          <w:szCs w:val="24"/>
          <w:lang w:eastAsia="en-US"/>
          <w14:ligatures w14:val="standardContextual"/>
        </w:rPr>
      </w:pPr>
      <w:r w:rsidRPr="00416DA9">
        <w:t>49.4  </w:t>
      </w:r>
      <w:r w:rsidRPr="00416DA9">
        <w:rPr>
          <w:u w:val="single"/>
        </w:rPr>
        <w:t>Moyens pour l’accomplissement des actes visés à l’article 22</w:t>
      </w:r>
      <w:r w:rsidRPr="00416DA9">
        <w:t xml:space="preserve"> </w:t>
      </w:r>
      <w:r w:rsidRPr="00416DA9">
        <w:rPr>
          <w:strike/>
        </w:rPr>
        <w:t>Utilisation d’un formulaire national</w:t>
      </w:r>
      <w:r w:rsidRPr="00416DA9">
        <w:tab/>
      </w:r>
      <w:r w:rsidRPr="00416DA9">
        <w:fldChar w:fldCharType="begin"/>
      </w:r>
      <w:r w:rsidRPr="00416DA9">
        <w:instrText xml:space="preserve"> PAGEREF _Toc217047429 \h </w:instrText>
      </w:r>
      <w:r w:rsidRPr="00416DA9">
        <w:fldChar w:fldCharType="separate"/>
      </w:r>
      <w:r w:rsidR="00721BD1">
        <w:t>2</w:t>
      </w:r>
      <w:r w:rsidRPr="00416DA9">
        <w:fldChar w:fldCharType="end"/>
      </w:r>
    </w:p>
    <w:p w14:paraId="6FB480A1" w14:textId="5325102C" w:rsidR="00416DA9" w:rsidRDefault="00416DA9" w:rsidP="00416DA9">
      <w:pPr>
        <w:pStyle w:val="TOC2"/>
        <w:rPr>
          <w:rFonts w:asciiTheme="minorHAnsi" w:eastAsiaTheme="minorEastAsia" w:hAnsiTheme="minorHAnsi" w:cstheme="minorBidi"/>
          <w:kern w:val="2"/>
          <w:sz w:val="24"/>
          <w:szCs w:val="24"/>
          <w:lang w:eastAsia="en-US"/>
          <w14:ligatures w14:val="standardContextual"/>
        </w:rPr>
      </w:pPr>
      <w:r>
        <w:t>49.5 et 49.6  </w:t>
      </w:r>
      <w:r w:rsidRPr="00B3565C">
        <w:rPr>
          <w:i/>
        </w:rPr>
        <w:t>[Sans changement]</w:t>
      </w:r>
      <w:r>
        <w:tab/>
      </w:r>
      <w:r>
        <w:fldChar w:fldCharType="begin"/>
      </w:r>
      <w:r>
        <w:instrText xml:space="preserve"> PAGEREF _Toc217047430 \h </w:instrText>
      </w:r>
      <w:r>
        <w:fldChar w:fldCharType="separate"/>
      </w:r>
      <w:r w:rsidR="00721BD1">
        <w:t>2</w:t>
      </w:r>
      <w:r>
        <w:fldChar w:fldCharType="end"/>
      </w:r>
    </w:p>
    <w:p w14:paraId="79D2EF63" w14:textId="7AB78EEE" w:rsidR="00663F3D" w:rsidRPr="0022208C" w:rsidRDefault="00416DA9" w:rsidP="0022208C">
      <w:pPr>
        <w:spacing w:after="220"/>
        <w:rPr>
          <w:lang w:val="fr-FR"/>
        </w:rPr>
      </w:pPr>
      <w:r w:rsidRPr="00416DA9">
        <w:rPr>
          <w:lang w:val="fr-FR"/>
        </w:rPr>
        <w:fldChar w:fldCharType="end"/>
      </w:r>
    </w:p>
    <w:p w14:paraId="3D935A2E" w14:textId="6D9E4322" w:rsidR="00487257" w:rsidRPr="0022208C" w:rsidRDefault="00663F3D" w:rsidP="0022208C">
      <w:pPr>
        <w:pStyle w:val="LegTitle"/>
      </w:pPr>
      <w:bookmarkStart w:id="7" w:name="_Toc217047427"/>
      <w:r w:rsidRPr="0022208C">
        <w:lastRenderedPageBreak/>
        <w:t>Règle 49</w:t>
      </w:r>
      <w:r w:rsidR="00487257" w:rsidRPr="0022208C">
        <w:t xml:space="preserve"> </w:t>
      </w:r>
      <w:r w:rsidR="00487257" w:rsidRPr="00416DA9">
        <w:rPr>
          <w:vanish/>
        </w:rPr>
        <w:t>–</w:t>
      </w:r>
      <w:r w:rsidRPr="0022208C">
        <w:br/>
        <w:t>Copie, traduction et taxe selon l</w:t>
      </w:r>
      <w:r w:rsidR="00487257" w:rsidRPr="0022208C">
        <w:t>’</w:t>
      </w:r>
      <w:r w:rsidRPr="0022208C">
        <w:t>article 22</w:t>
      </w:r>
      <w:bookmarkEnd w:id="7"/>
    </w:p>
    <w:p w14:paraId="4694B8EC" w14:textId="1398A258" w:rsidR="00663F3D" w:rsidRPr="0022208C" w:rsidRDefault="00663F3D" w:rsidP="0022208C">
      <w:pPr>
        <w:pStyle w:val="LegSubRule"/>
        <w:keepNext w:val="0"/>
        <w:outlineLvl w:val="0"/>
        <w:rPr>
          <w:rFonts w:cs="Arial"/>
          <w:i/>
          <w:iCs/>
        </w:rPr>
      </w:pPr>
      <w:bookmarkStart w:id="8" w:name="_Toc188454088"/>
      <w:bookmarkStart w:id="9" w:name="_Toc217047428"/>
      <w:bookmarkStart w:id="10" w:name="_Toc183609107"/>
      <w:r w:rsidRPr="0022208C">
        <w:t>49.1 à 49.3</w:t>
      </w:r>
      <w:r w:rsidR="0022208C">
        <w:rPr>
          <w:i/>
        </w:rPr>
        <w:t>  </w:t>
      </w:r>
      <w:r w:rsidRPr="0022208C">
        <w:rPr>
          <w:i/>
        </w:rPr>
        <w:t>[Sans changement]</w:t>
      </w:r>
      <w:bookmarkEnd w:id="8"/>
      <w:bookmarkEnd w:id="9"/>
    </w:p>
    <w:p w14:paraId="52870C80" w14:textId="0D0455E2" w:rsidR="00663F3D" w:rsidRPr="0022208C" w:rsidRDefault="00663F3D" w:rsidP="0022208C">
      <w:pPr>
        <w:pStyle w:val="LegSubRule"/>
        <w:keepNext w:val="0"/>
        <w:outlineLvl w:val="0"/>
        <w:rPr>
          <w:rFonts w:cs="Arial"/>
          <w:i/>
        </w:rPr>
      </w:pPr>
      <w:bookmarkStart w:id="11" w:name="_Toc188454089"/>
      <w:bookmarkStart w:id="12" w:name="_Toc217047429"/>
      <w:r w:rsidRPr="0022208C">
        <w:t>49.4</w:t>
      </w:r>
      <w:r w:rsidR="0022208C">
        <w:t>  </w:t>
      </w:r>
      <w:r w:rsidRPr="0022208C">
        <w:rPr>
          <w:i/>
          <w:color w:val="0000FF"/>
          <w:u w:val="single"/>
        </w:rPr>
        <w:t>Moyens pour l</w:t>
      </w:r>
      <w:r w:rsidR="00487257" w:rsidRPr="0022208C">
        <w:rPr>
          <w:i/>
          <w:color w:val="0000FF"/>
          <w:u w:val="single"/>
        </w:rPr>
        <w:t>’</w:t>
      </w:r>
      <w:r w:rsidRPr="0022208C">
        <w:rPr>
          <w:i/>
          <w:color w:val="0000FF"/>
          <w:u w:val="single"/>
        </w:rPr>
        <w:t>accomplissement des actes visés à l</w:t>
      </w:r>
      <w:r w:rsidR="00487257" w:rsidRPr="0022208C">
        <w:rPr>
          <w:i/>
          <w:color w:val="0000FF"/>
          <w:u w:val="single"/>
        </w:rPr>
        <w:t>’</w:t>
      </w:r>
      <w:r w:rsidRPr="0022208C">
        <w:rPr>
          <w:i/>
          <w:color w:val="0000FF"/>
          <w:u w:val="single"/>
        </w:rPr>
        <w:t>article 22</w:t>
      </w:r>
      <w:r w:rsidRPr="0022208C">
        <w:rPr>
          <w:color w:val="0000FF"/>
        </w:rPr>
        <w:t xml:space="preserve"> </w:t>
      </w:r>
      <w:r w:rsidRPr="0022208C">
        <w:rPr>
          <w:i/>
          <w:strike/>
          <w:color w:val="C00000"/>
        </w:rPr>
        <w:t>Utilisation d</w:t>
      </w:r>
      <w:r w:rsidR="00487257" w:rsidRPr="0022208C">
        <w:rPr>
          <w:i/>
          <w:strike/>
          <w:color w:val="C00000"/>
        </w:rPr>
        <w:t>’</w:t>
      </w:r>
      <w:r w:rsidRPr="0022208C">
        <w:rPr>
          <w:i/>
          <w:strike/>
          <w:color w:val="C00000"/>
        </w:rPr>
        <w:t>un formulaire national</w:t>
      </w:r>
      <w:bookmarkEnd w:id="10"/>
      <w:bookmarkEnd w:id="11"/>
      <w:bookmarkEnd w:id="12"/>
    </w:p>
    <w:p w14:paraId="21F77161" w14:textId="3EB90763" w:rsidR="00663F3D" w:rsidRPr="0022208C" w:rsidRDefault="00663F3D" w:rsidP="0022208C">
      <w:pPr>
        <w:pStyle w:val="Lega"/>
        <w:tabs>
          <w:tab w:val="clear" w:pos="454"/>
          <w:tab w:val="left" w:pos="567"/>
          <w:tab w:val="left" w:pos="1134"/>
        </w:tabs>
        <w:rPr>
          <w:rFonts w:cs="Arial"/>
        </w:rPr>
      </w:pPr>
      <w:r w:rsidRPr="0022208C">
        <w:rPr>
          <w:color w:val="0000FF"/>
        </w:rPr>
        <w:tab/>
      </w:r>
      <w:r w:rsidRPr="0022208C">
        <w:rPr>
          <w:color w:val="0000FF"/>
          <w:u w:val="single"/>
        </w:rPr>
        <w:t>a)</w:t>
      </w:r>
      <w:r w:rsidRPr="0022208C">
        <w:rPr>
          <w:color w:val="0000FF"/>
          <w:u w:val="single"/>
        </w:rPr>
        <w:tab/>
        <w:t>Sous réserve de l</w:t>
      </w:r>
      <w:r w:rsidR="00487257" w:rsidRPr="0022208C">
        <w:rPr>
          <w:color w:val="0000FF"/>
          <w:u w:val="single"/>
        </w:rPr>
        <w:t>’</w:t>
      </w:r>
      <w:r w:rsidRPr="0022208C">
        <w:rPr>
          <w:color w:val="0000FF"/>
          <w:u w:val="single"/>
        </w:rPr>
        <w:t>alinéa b), a</w:t>
      </w:r>
      <w:r w:rsidRPr="0022208C">
        <w:rPr>
          <w:strike/>
          <w:color w:val="C00000"/>
        </w:rPr>
        <w:t>A</w:t>
      </w:r>
      <w:r w:rsidRPr="0022208C">
        <w:t>ucun déposant n</w:t>
      </w:r>
      <w:r w:rsidR="00487257" w:rsidRPr="0022208C">
        <w:t>’</w:t>
      </w:r>
      <w:r w:rsidRPr="0022208C">
        <w:t>est tenu d</w:t>
      </w:r>
      <w:r w:rsidR="00487257" w:rsidRPr="0022208C">
        <w:t>’</w:t>
      </w:r>
      <w:r w:rsidRPr="0022208C">
        <w:t>utiliser un formulaire national lorsqu</w:t>
      </w:r>
      <w:r w:rsidR="00487257" w:rsidRPr="0022208C">
        <w:t>’</w:t>
      </w:r>
      <w:r w:rsidRPr="0022208C">
        <w:t>il accomplit les actes visés à l</w:t>
      </w:r>
      <w:r w:rsidR="00487257" w:rsidRPr="0022208C">
        <w:t>’</w:t>
      </w:r>
      <w:r w:rsidRPr="0022208C">
        <w:t>article 22.</w:t>
      </w:r>
    </w:p>
    <w:p w14:paraId="2CC558C7" w14:textId="5EE4EB80" w:rsidR="00663F3D" w:rsidRPr="0022208C" w:rsidRDefault="00663F3D" w:rsidP="0022208C">
      <w:pPr>
        <w:pStyle w:val="Lega"/>
        <w:tabs>
          <w:tab w:val="clear" w:pos="454"/>
          <w:tab w:val="left" w:pos="567"/>
          <w:tab w:val="left" w:pos="1134"/>
        </w:tabs>
        <w:rPr>
          <w:rFonts w:cs="Arial"/>
          <w:color w:val="0000FF"/>
          <w:u w:val="single"/>
        </w:rPr>
      </w:pPr>
      <w:r w:rsidRPr="0022208C">
        <w:rPr>
          <w:color w:val="0000FF"/>
        </w:rPr>
        <w:tab/>
      </w:r>
      <w:r w:rsidRPr="0022208C">
        <w:rPr>
          <w:color w:val="0000FF"/>
          <w:u w:val="single"/>
        </w:rPr>
        <w:t>b)</w:t>
      </w:r>
      <w:r w:rsidRPr="0022208C">
        <w:rPr>
          <w:color w:val="0000FF"/>
          <w:u w:val="single"/>
        </w:rPr>
        <w:tab/>
        <w:t>Tout office désigné peut prescrire des conditions relatives aux moyens d</w:t>
      </w:r>
      <w:r w:rsidR="00487257" w:rsidRPr="0022208C">
        <w:rPr>
          <w:color w:val="0000FF"/>
          <w:u w:val="single"/>
        </w:rPr>
        <w:t>’</w:t>
      </w:r>
      <w:r w:rsidRPr="0022208C">
        <w:rPr>
          <w:color w:val="0000FF"/>
          <w:u w:val="single"/>
        </w:rPr>
        <w:t>accomplir les actes visés à l</w:t>
      </w:r>
      <w:r w:rsidR="00487257" w:rsidRPr="0022208C">
        <w:rPr>
          <w:color w:val="0000FF"/>
          <w:u w:val="single"/>
        </w:rPr>
        <w:t>’</w:t>
      </w:r>
      <w:r w:rsidRPr="0022208C">
        <w:rPr>
          <w:color w:val="0000FF"/>
          <w:u w:val="single"/>
        </w:rPr>
        <w:t>article 22, pour autant qu</w:t>
      </w:r>
      <w:r w:rsidR="00487257" w:rsidRPr="0022208C">
        <w:rPr>
          <w:color w:val="0000FF"/>
          <w:u w:val="single"/>
        </w:rPr>
        <w:t>’</w:t>
      </w:r>
      <w:r w:rsidRPr="0022208C">
        <w:rPr>
          <w:color w:val="0000FF"/>
          <w:u w:val="single"/>
        </w:rPr>
        <w:t>au moins l</w:t>
      </w:r>
      <w:r w:rsidR="00487257" w:rsidRPr="0022208C">
        <w:rPr>
          <w:color w:val="0000FF"/>
          <w:u w:val="single"/>
        </w:rPr>
        <w:t>’</w:t>
      </w:r>
      <w:r w:rsidRPr="0022208C">
        <w:rPr>
          <w:color w:val="0000FF"/>
          <w:u w:val="single"/>
        </w:rPr>
        <w:t>un de ces moyens n</w:t>
      </w:r>
      <w:r w:rsidR="00487257" w:rsidRPr="0022208C">
        <w:rPr>
          <w:color w:val="0000FF"/>
          <w:u w:val="single"/>
        </w:rPr>
        <w:t>’</w:t>
      </w:r>
      <w:r w:rsidRPr="0022208C">
        <w:rPr>
          <w:color w:val="0000FF"/>
          <w:u w:val="single"/>
        </w:rPr>
        <w:t>exige pas du déposant</w:t>
      </w:r>
      <w:r w:rsidR="00487257" w:rsidRPr="0022208C">
        <w:rPr>
          <w:color w:val="0000FF"/>
          <w:u w:val="single"/>
        </w:rPr>
        <w:t> :</w:t>
      </w:r>
    </w:p>
    <w:p w14:paraId="2E1EDD34" w14:textId="0746D88C" w:rsidR="00487257" w:rsidRPr="0022208C" w:rsidRDefault="00663F3D" w:rsidP="00416DA9">
      <w:pPr>
        <w:pStyle w:val="Lega"/>
        <w:tabs>
          <w:tab w:val="clear" w:pos="454"/>
          <w:tab w:val="left" w:pos="1134"/>
          <w:tab w:val="left" w:pos="1701"/>
        </w:tabs>
        <w:rPr>
          <w:color w:val="0000FF"/>
          <w:u w:val="single"/>
        </w:rPr>
      </w:pPr>
      <w:r w:rsidRPr="0022208C">
        <w:rPr>
          <w:color w:val="0000FF"/>
        </w:rPr>
        <w:tab/>
      </w:r>
      <w:r w:rsidRPr="0022208C">
        <w:rPr>
          <w:color w:val="0000FF"/>
          <w:u w:val="single"/>
        </w:rPr>
        <w:t>i)</w:t>
      </w:r>
      <w:r w:rsidRPr="0022208C">
        <w:rPr>
          <w:color w:val="0000FF"/>
          <w:u w:val="single"/>
        </w:rPr>
        <w:tab/>
        <w:t>de disposer d</w:t>
      </w:r>
      <w:r w:rsidR="00487257" w:rsidRPr="0022208C">
        <w:rPr>
          <w:color w:val="0000FF"/>
          <w:u w:val="single"/>
        </w:rPr>
        <w:t>’</w:t>
      </w:r>
      <w:r w:rsidRPr="0022208C">
        <w:rPr>
          <w:color w:val="0000FF"/>
          <w:u w:val="single"/>
        </w:rPr>
        <w:t>un domicile ou d</w:t>
      </w:r>
      <w:r w:rsidR="00487257" w:rsidRPr="0022208C">
        <w:rPr>
          <w:color w:val="0000FF"/>
          <w:u w:val="single"/>
        </w:rPr>
        <w:t>’</w:t>
      </w:r>
      <w:r w:rsidRPr="0022208C">
        <w:rPr>
          <w:color w:val="0000FF"/>
          <w:u w:val="single"/>
        </w:rPr>
        <w:t>une adresse dans l</w:t>
      </w:r>
      <w:r w:rsidR="00487257" w:rsidRPr="0022208C">
        <w:rPr>
          <w:color w:val="0000FF"/>
          <w:u w:val="single"/>
        </w:rPr>
        <w:t>’</w:t>
      </w:r>
      <w:r w:rsidRPr="0022208C">
        <w:rPr>
          <w:color w:val="0000FF"/>
          <w:u w:val="single"/>
        </w:rPr>
        <w:t>État de l</w:t>
      </w:r>
      <w:r w:rsidR="00487257" w:rsidRPr="0022208C">
        <w:rPr>
          <w:color w:val="0000FF"/>
          <w:u w:val="single"/>
        </w:rPr>
        <w:t>’</w:t>
      </w:r>
      <w:r w:rsidRPr="0022208C">
        <w:rPr>
          <w:color w:val="0000FF"/>
          <w:u w:val="single"/>
        </w:rPr>
        <w:t>office désigné;</w:t>
      </w:r>
    </w:p>
    <w:p w14:paraId="5F8B2879" w14:textId="232498B3" w:rsidR="00487257" w:rsidRPr="0022208C" w:rsidRDefault="00663F3D" w:rsidP="00416DA9">
      <w:pPr>
        <w:pStyle w:val="Lega"/>
        <w:tabs>
          <w:tab w:val="clear" w:pos="454"/>
          <w:tab w:val="left" w:pos="1134"/>
          <w:tab w:val="left" w:pos="1701"/>
        </w:tabs>
        <w:rPr>
          <w:color w:val="0000FF"/>
          <w:u w:val="single"/>
        </w:rPr>
      </w:pPr>
      <w:r w:rsidRPr="0022208C">
        <w:rPr>
          <w:color w:val="0000FF"/>
        </w:rPr>
        <w:tab/>
      </w:r>
      <w:r w:rsidRPr="0022208C">
        <w:rPr>
          <w:color w:val="0000FF"/>
          <w:u w:val="single"/>
        </w:rPr>
        <w:t>ii)</w:t>
      </w:r>
      <w:r w:rsidRPr="0022208C">
        <w:rPr>
          <w:color w:val="0000FF"/>
          <w:u w:val="single"/>
        </w:rPr>
        <w:tab/>
        <w:t>de désigner un mandataire ayant le droit d</w:t>
      </w:r>
      <w:r w:rsidR="00487257" w:rsidRPr="0022208C">
        <w:rPr>
          <w:color w:val="0000FF"/>
          <w:u w:val="single"/>
        </w:rPr>
        <w:t>’</w:t>
      </w:r>
      <w:r w:rsidRPr="0022208C">
        <w:rPr>
          <w:color w:val="0000FF"/>
          <w:u w:val="single"/>
        </w:rPr>
        <w:t>exercer auprès de cet office;  ou</w:t>
      </w:r>
    </w:p>
    <w:p w14:paraId="445E9CEE" w14:textId="1C46CF7F" w:rsidR="00663F3D" w:rsidRPr="0022208C" w:rsidRDefault="00663F3D" w:rsidP="00416DA9">
      <w:pPr>
        <w:pStyle w:val="Lega"/>
        <w:tabs>
          <w:tab w:val="clear" w:pos="454"/>
          <w:tab w:val="left" w:pos="1134"/>
          <w:tab w:val="left" w:pos="1701"/>
        </w:tabs>
        <w:rPr>
          <w:rFonts w:cs="Arial"/>
          <w:color w:val="0000FF"/>
          <w:u w:val="single"/>
        </w:rPr>
      </w:pPr>
      <w:r w:rsidRPr="0022208C">
        <w:rPr>
          <w:color w:val="0000FF"/>
        </w:rPr>
        <w:tab/>
      </w:r>
      <w:r w:rsidRPr="0022208C">
        <w:rPr>
          <w:color w:val="0000FF"/>
          <w:u w:val="single"/>
        </w:rPr>
        <w:t>iii)</w:t>
      </w:r>
      <w:r w:rsidRPr="0022208C">
        <w:rPr>
          <w:color w:val="0000FF"/>
          <w:u w:val="single"/>
        </w:rPr>
        <w:tab/>
        <w:t>de fournir des renseignements au</w:t>
      </w:r>
      <w:r w:rsidR="0022208C">
        <w:rPr>
          <w:color w:val="0000FF"/>
          <w:u w:val="single"/>
        </w:rPr>
        <w:noBreakHyphen/>
      </w:r>
      <w:r w:rsidRPr="0022208C">
        <w:rPr>
          <w:color w:val="0000FF"/>
          <w:u w:val="single"/>
        </w:rPr>
        <w:t>delà du minimum requis pour identifier la demande internationale et communiquer avec le déposant ou, le cas échéant, avec le mandataire.</w:t>
      </w:r>
    </w:p>
    <w:p w14:paraId="7CB73744" w14:textId="7F83FC4D" w:rsidR="00663F3D" w:rsidRPr="0022208C" w:rsidRDefault="00663F3D" w:rsidP="00416DA9">
      <w:pPr>
        <w:pStyle w:val="Lega"/>
        <w:tabs>
          <w:tab w:val="clear" w:pos="454"/>
          <w:tab w:val="left" w:pos="567"/>
          <w:tab w:val="left" w:pos="1134"/>
        </w:tabs>
        <w:rPr>
          <w:rFonts w:cs="Arial"/>
          <w:color w:val="0000FF"/>
        </w:rPr>
      </w:pPr>
      <w:r w:rsidRPr="0022208C">
        <w:rPr>
          <w:color w:val="0000FF"/>
        </w:rPr>
        <w:tab/>
      </w:r>
      <w:r w:rsidRPr="0022208C">
        <w:rPr>
          <w:color w:val="0000FF"/>
          <w:u w:val="single"/>
        </w:rPr>
        <w:t>c)</w:t>
      </w:r>
      <w:r w:rsidRPr="0022208C">
        <w:rPr>
          <w:color w:val="0000FF"/>
          <w:u w:val="single"/>
        </w:rPr>
        <w:tab/>
        <w:t>Lorsque l</w:t>
      </w:r>
      <w:r w:rsidR="00487257" w:rsidRPr="0022208C">
        <w:rPr>
          <w:color w:val="0000FF"/>
          <w:u w:val="single"/>
        </w:rPr>
        <w:t>’</w:t>
      </w:r>
      <w:r w:rsidRPr="0022208C">
        <w:rPr>
          <w:color w:val="0000FF"/>
          <w:u w:val="single"/>
        </w:rPr>
        <w:t>un des moyens visés à l</w:t>
      </w:r>
      <w:r w:rsidR="00487257" w:rsidRPr="0022208C">
        <w:rPr>
          <w:color w:val="0000FF"/>
          <w:u w:val="single"/>
        </w:rPr>
        <w:t>’alinéa b)</w:t>
      </w:r>
      <w:r w:rsidRPr="0022208C">
        <w:rPr>
          <w:color w:val="0000FF"/>
          <w:u w:val="single"/>
        </w:rPr>
        <w:t xml:space="preserve"> est indisponible et ne peut être utilisé par les déposants pour accomplir les actes visés à l</w:t>
      </w:r>
      <w:r w:rsidR="00487257" w:rsidRPr="0022208C">
        <w:rPr>
          <w:color w:val="0000FF"/>
          <w:u w:val="single"/>
        </w:rPr>
        <w:t>’</w:t>
      </w:r>
      <w:r w:rsidRPr="0022208C">
        <w:rPr>
          <w:color w:val="0000FF"/>
          <w:u w:val="single"/>
        </w:rPr>
        <w:t>article 22, les offices désignés excusent tout retard résultant de cette indisponibilité, à moins qu</w:t>
      </w:r>
      <w:r w:rsidR="00487257" w:rsidRPr="0022208C">
        <w:rPr>
          <w:color w:val="0000FF"/>
          <w:u w:val="single"/>
        </w:rPr>
        <w:t>’</w:t>
      </w:r>
      <w:r w:rsidRPr="0022208C">
        <w:rPr>
          <w:color w:val="0000FF"/>
          <w:u w:val="single"/>
        </w:rPr>
        <w:t>un autre moyen d</w:t>
      </w:r>
      <w:r w:rsidR="00487257" w:rsidRPr="0022208C">
        <w:rPr>
          <w:color w:val="0000FF"/>
          <w:u w:val="single"/>
        </w:rPr>
        <w:t>’</w:t>
      </w:r>
      <w:r w:rsidRPr="0022208C">
        <w:rPr>
          <w:color w:val="0000FF"/>
          <w:u w:val="single"/>
        </w:rPr>
        <w:t>accomplir ces actes ait été pratiquement accessible au déposa</w:t>
      </w:r>
      <w:r w:rsidR="00E443AA" w:rsidRPr="0022208C">
        <w:rPr>
          <w:color w:val="0000FF"/>
          <w:u w:val="single"/>
        </w:rPr>
        <w:t>nt.  Le</w:t>
      </w:r>
      <w:r w:rsidRPr="0022208C">
        <w:rPr>
          <w:color w:val="0000FF"/>
          <w:u w:val="single"/>
        </w:rPr>
        <w:t xml:space="preserve"> déposant n</w:t>
      </w:r>
      <w:r w:rsidR="00487257" w:rsidRPr="0022208C">
        <w:rPr>
          <w:color w:val="0000FF"/>
          <w:u w:val="single"/>
        </w:rPr>
        <w:t>’</w:t>
      </w:r>
      <w:r w:rsidRPr="0022208C">
        <w:rPr>
          <w:color w:val="0000FF"/>
          <w:u w:val="single"/>
        </w:rPr>
        <w:t>est pas tenu de fournir la preuve d</w:t>
      </w:r>
      <w:r w:rsidR="00487257" w:rsidRPr="0022208C">
        <w:rPr>
          <w:color w:val="0000FF"/>
          <w:u w:val="single"/>
        </w:rPr>
        <w:t>’</w:t>
      </w:r>
      <w:r w:rsidRPr="0022208C">
        <w:rPr>
          <w:color w:val="0000FF"/>
          <w:u w:val="single"/>
        </w:rPr>
        <w:t>une indisponibilité connue de l</w:t>
      </w:r>
      <w:r w:rsidR="00487257" w:rsidRPr="0022208C">
        <w:rPr>
          <w:color w:val="0000FF"/>
          <w:u w:val="single"/>
        </w:rPr>
        <w:t>’</w:t>
      </w:r>
      <w:r w:rsidRPr="0022208C">
        <w:rPr>
          <w:color w:val="0000FF"/>
          <w:u w:val="single"/>
        </w:rPr>
        <w:t>office désigné.</w:t>
      </w:r>
    </w:p>
    <w:p w14:paraId="1BD01F9F" w14:textId="54EA3CB0" w:rsidR="00663F3D" w:rsidRPr="0022208C" w:rsidRDefault="00663F3D" w:rsidP="00416DA9">
      <w:pPr>
        <w:pStyle w:val="Lega"/>
        <w:tabs>
          <w:tab w:val="clear" w:pos="454"/>
          <w:tab w:val="left" w:pos="567"/>
          <w:tab w:val="left" w:pos="1134"/>
        </w:tabs>
        <w:rPr>
          <w:rFonts w:cs="Arial"/>
          <w:color w:val="0000FF"/>
          <w:u w:val="single"/>
        </w:rPr>
      </w:pPr>
      <w:r w:rsidRPr="0022208C">
        <w:rPr>
          <w:color w:val="0000FF"/>
        </w:rPr>
        <w:tab/>
      </w:r>
      <w:r w:rsidRPr="0022208C">
        <w:rPr>
          <w:color w:val="0000FF"/>
          <w:u w:val="single"/>
        </w:rPr>
        <w:t>d)</w:t>
      </w:r>
      <w:r w:rsidRPr="0022208C">
        <w:rPr>
          <w:color w:val="0000FF"/>
          <w:u w:val="single"/>
        </w:rPr>
        <w:tab/>
        <w:t>Chaque office désigné notifie au Bureau international toute condition visée à l</w:t>
      </w:r>
      <w:r w:rsidR="00487257" w:rsidRPr="0022208C">
        <w:rPr>
          <w:color w:val="0000FF"/>
          <w:u w:val="single"/>
        </w:rPr>
        <w:t>’</w:t>
      </w:r>
      <w:r w:rsidRPr="0022208C">
        <w:rPr>
          <w:color w:val="0000FF"/>
          <w:u w:val="single"/>
        </w:rPr>
        <w:t>alinéa b).  Le Bureau international publie à bref délai toute notification de ce type dans la gazet</w:t>
      </w:r>
      <w:r w:rsidR="00E443AA" w:rsidRPr="0022208C">
        <w:rPr>
          <w:color w:val="0000FF"/>
          <w:u w:val="single"/>
        </w:rPr>
        <w:t>te.  Le</w:t>
      </w:r>
      <w:r w:rsidRPr="0022208C">
        <w:rPr>
          <w:color w:val="0000FF"/>
          <w:u w:val="single"/>
        </w:rPr>
        <w:t>s conditions qui restreignent les options existantes permettant d</w:t>
      </w:r>
      <w:r w:rsidR="00487257" w:rsidRPr="0022208C">
        <w:rPr>
          <w:color w:val="0000FF"/>
          <w:u w:val="single"/>
        </w:rPr>
        <w:t>’</w:t>
      </w:r>
      <w:r w:rsidRPr="0022208C">
        <w:rPr>
          <w:color w:val="0000FF"/>
          <w:u w:val="single"/>
        </w:rPr>
        <w:t>accomplir les actes visés à l</w:t>
      </w:r>
      <w:r w:rsidR="00487257" w:rsidRPr="0022208C">
        <w:rPr>
          <w:color w:val="0000FF"/>
          <w:u w:val="single"/>
        </w:rPr>
        <w:t>’</w:t>
      </w:r>
      <w:r w:rsidRPr="0022208C">
        <w:rPr>
          <w:color w:val="0000FF"/>
          <w:u w:val="single"/>
        </w:rPr>
        <w:t>article 22 prennent effet au plus tôt deux mois après la date de leur publication dans la gazette.</w:t>
      </w:r>
    </w:p>
    <w:p w14:paraId="1A59CA3D" w14:textId="5E27FD16" w:rsidR="00663F3D" w:rsidRPr="0022208C" w:rsidRDefault="00663F3D" w:rsidP="0022208C">
      <w:pPr>
        <w:pStyle w:val="LegSubRule"/>
        <w:keepNext w:val="0"/>
        <w:keepLines w:val="0"/>
        <w:outlineLvl w:val="0"/>
        <w:rPr>
          <w:rFonts w:cs="Arial"/>
          <w:i/>
          <w:iCs/>
        </w:rPr>
      </w:pPr>
      <w:bookmarkStart w:id="13" w:name="_Toc188454090"/>
      <w:bookmarkStart w:id="14" w:name="_Toc217047430"/>
      <w:r w:rsidRPr="0022208C">
        <w:t>49.5 et 49.6</w:t>
      </w:r>
      <w:r w:rsidR="00416DA9">
        <w:t>  </w:t>
      </w:r>
      <w:r w:rsidRPr="0022208C">
        <w:rPr>
          <w:i/>
        </w:rPr>
        <w:t>[Sans changement]</w:t>
      </w:r>
      <w:bookmarkEnd w:id="13"/>
      <w:bookmarkEnd w:id="14"/>
    </w:p>
    <w:p w14:paraId="648EA8BC" w14:textId="24CFB7BE" w:rsidR="000F5E56" w:rsidRPr="0022208C" w:rsidRDefault="00663F3D" w:rsidP="0022208C">
      <w:pPr>
        <w:pStyle w:val="Endofdocument-Annex"/>
      </w:pPr>
      <w:r w:rsidRPr="0022208C">
        <w:t>[Fin de l</w:t>
      </w:r>
      <w:r w:rsidR="00487257" w:rsidRPr="0022208C">
        <w:t>’</w:t>
      </w:r>
      <w:r w:rsidRPr="0022208C">
        <w:t>annexe et du document]</w:t>
      </w:r>
    </w:p>
    <w:sectPr w:rsidR="000F5E56" w:rsidRPr="0022208C" w:rsidSect="0022208C">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B9E73" w14:textId="77777777" w:rsidR="00663F3D" w:rsidRDefault="00663F3D">
      <w:r>
        <w:separator/>
      </w:r>
    </w:p>
  </w:endnote>
  <w:endnote w:type="continuationSeparator" w:id="0">
    <w:p w14:paraId="604AB1BF" w14:textId="77777777" w:rsidR="00663F3D" w:rsidRPr="009D30E6" w:rsidRDefault="00663F3D" w:rsidP="00D45252">
      <w:pPr>
        <w:rPr>
          <w:sz w:val="17"/>
          <w:szCs w:val="17"/>
        </w:rPr>
      </w:pPr>
      <w:r w:rsidRPr="009D30E6">
        <w:rPr>
          <w:sz w:val="17"/>
          <w:szCs w:val="17"/>
        </w:rPr>
        <w:separator/>
      </w:r>
    </w:p>
    <w:p w14:paraId="2C91D7FC" w14:textId="77777777" w:rsidR="00663F3D" w:rsidRPr="009D30E6" w:rsidRDefault="00663F3D" w:rsidP="00D45252">
      <w:pPr>
        <w:spacing w:after="60"/>
        <w:rPr>
          <w:sz w:val="17"/>
          <w:szCs w:val="17"/>
        </w:rPr>
      </w:pPr>
      <w:r w:rsidRPr="009D30E6">
        <w:rPr>
          <w:sz w:val="17"/>
          <w:szCs w:val="17"/>
        </w:rPr>
        <w:t>[Suite de la note de la page précédente]</w:t>
      </w:r>
    </w:p>
  </w:endnote>
  <w:endnote w:type="continuationNotice" w:id="1">
    <w:p w14:paraId="12180A81" w14:textId="77777777" w:rsidR="00663F3D" w:rsidRPr="009D30E6" w:rsidRDefault="00663F3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603CC" w14:textId="77777777" w:rsidR="00663F3D" w:rsidRDefault="00663F3D">
      <w:r>
        <w:separator/>
      </w:r>
    </w:p>
  </w:footnote>
  <w:footnote w:type="continuationSeparator" w:id="0">
    <w:p w14:paraId="0CD353B3" w14:textId="77777777" w:rsidR="00663F3D" w:rsidRDefault="00663F3D" w:rsidP="007461F1">
      <w:r>
        <w:separator/>
      </w:r>
    </w:p>
    <w:p w14:paraId="223EA1D1" w14:textId="77777777" w:rsidR="00663F3D" w:rsidRPr="009D30E6" w:rsidRDefault="00663F3D" w:rsidP="007461F1">
      <w:pPr>
        <w:spacing w:after="60"/>
        <w:rPr>
          <w:sz w:val="17"/>
          <w:szCs w:val="17"/>
        </w:rPr>
      </w:pPr>
      <w:r w:rsidRPr="009D30E6">
        <w:rPr>
          <w:sz w:val="17"/>
          <w:szCs w:val="17"/>
        </w:rPr>
        <w:t>[Suite de la note de la page précédente]</w:t>
      </w:r>
    </w:p>
  </w:footnote>
  <w:footnote w:type="continuationNotice" w:id="1">
    <w:p w14:paraId="44797D37" w14:textId="77777777" w:rsidR="00663F3D" w:rsidRPr="009D30E6" w:rsidRDefault="00663F3D" w:rsidP="007461F1">
      <w:pPr>
        <w:spacing w:before="60"/>
        <w:jc w:val="right"/>
        <w:rPr>
          <w:sz w:val="17"/>
          <w:szCs w:val="17"/>
        </w:rPr>
      </w:pPr>
      <w:r w:rsidRPr="009D30E6">
        <w:rPr>
          <w:sz w:val="17"/>
          <w:szCs w:val="17"/>
        </w:rPr>
        <w:t>[Suite de la note page suivante]</w:t>
      </w:r>
    </w:p>
  </w:footnote>
  <w:footnote w:id="2">
    <w:p w14:paraId="0C34D6CC" w14:textId="661E48EA" w:rsidR="00663F3D" w:rsidRPr="0048502C" w:rsidRDefault="00663F3D" w:rsidP="00663F3D">
      <w:pPr>
        <w:pStyle w:val="FootnoteText"/>
      </w:pPr>
      <w:r>
        <w:rPr>
          <w:rStyle w:val="FootnoteReference"/>
        </w:rPr>
        <w:footnoteRef/>
      </w:r>
      <w:r>
        <w:t xml:space="preserve"> </w:t>
      </w:r>
      <w:r>
        <w:tab/>
        <w:t>Le texte qu</w:t>
      </w:r>
      <w:r w:rsidR="00CB3E10">
        <w:t>’</w:t>
      </w:r>
      <w:r>
        <w:t>il est proposé d</w:t>
      </w:r>
      <w:r w:rsidR="00CB3E10">
        <w:t>’</w:t>
      </w:r>
      <w:r>
        <w:t>ajouter est souligné et celui qu</w:t>
      </w:r>
      <w:r w:rsidR="00CB3E10">
        <w:t>’</w:t>
      </w:r>
      <w:r>
        <w:t>il est proposé de supprimer est biffé.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0C80" w14:textId="77777777" w:rsidR="00663F3D" w:rsidRDefault="00663F3D" w:rsidP="00477D6B">
    <w:pPr>
      <w:jc w:val="right"/>
    </w:pPr>
    <w:r>
      <w:t>PCT/WG/19/5</w:t>
    </w:r>
  </w:p>
  <w:p w14:paraId="28E973C7" w14:textId="77777777" w:rsidR="00663F3D" w:rsidRDefault="00663F3D" w:rsidP="00D96D27">
    <w:pPr>
      <w:spacing w:after="220"/>
      <w:jc w:val="right"/>
    </w:pPr>
    <w:proofErr w:type="gramStart"/>
    <w:r>
      <w:t>page</w:t>
    </w:r>
    <w:proofErr w:type="gramEnd"/>
    <w:r>
      <w:t>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B311" w14:textId="3BE311AE" w:rsidR="00663F3D" w:rsidRDefault="00663F3D" w:rsidP="006F2C72">
    <w:pPr>
      <w:pStyle w:val="Header"/>
      <w:tabs>
        <w:tab w:val="clear" w:pos="4536"/>
        <w:tab w:val="clear" w:pos="9072"/>
        <w:tab w:val="left" w:pos="9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9D93" w14:textId="77777777" w:rsidR="00D96D27" w:rsidRDefault="00D96D27" w:rsidP="00D96D27">
    <w:pPr>
      <w:jc w:val="right"/>
    </w:pPr>
    <w:r>
      <w:t>PCT/WG/19/5</w:t>
    </w:r>
  </w:p>
  <w:p w14:paraId="6105066A" w14:textId="1CD59653" w:rsidR="00D96D27" w:rsidRDefault="00D96D27" w:rsidP="00D96D27">
    <w:pPr>
      <w:spacing w:after="220"/>
      <w:jc w:val="right"/>
    </w:pPr>
    <w:r>
      <w:t>Annexe, page </w:t>
    </w:r>
    <w:r>
      <w:fldChar w:fldCharType="begin"/>
    </w:r>
    <w:r>
      <w:instrText xml:space="preserve"> PAGE  \* MERGEFORMAT </w:instrText>
    </w:r>
    <w:r>
      <w:fldChar w:fldCharType="separate"/>
    </w:r>
    <w:r>
      <w:t>6</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0690" w14:textId="77777777" w:rsidR="00D96D27" w:rsidRDefault="00D96D27" w:rsidP="00D96D27">
    <w:pPr>
      <w:jc w:val="right"/>
    </w:pPr>
    <w:r>
      <w:t>PCT/WG/19/5</w:t>
    </w:r>
  </w:p>
  <w:p w14:paraId="32CE8659" w14:textId="46C454DA" w:rsidR="00D96D27" w:rsidRDefault="00D96D27" w:rsidP="00D96D27">
    <w:pPr>
      <w:spacing w:after="22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3D"/>
    <w:rsid w:val="00011B7D"/>
    <w:rsid w:val="00050E4E"/>
    <w:rsid w:val="00075432"/>
    <w:rsid w:val="000F3F68"/>
    <w:rsid w:val="000F5E56"/>
    <w:rsid w:val="001362EE"/>
    <w:rsid w:val="001832A6"/>
    <w:rsid w:val="00195C6E"/>
    <w:rsid w:val="001B266A"/>
    <w:rsid w:val="001D3D56"/>
    <w:rsid w:val="001D4860"/>
    <w:rsid w:val="0022208C"/>
    <w:rsid w:val="00240654"/>
    <w:rsid w:val="002634C4"/>
    <w:rsid w:val="002D4918"/>
    <w:rsid w:val="002E4D1A"/>
    <w:rsid w:val="002F16BC"/>
    <w:rsid w:val="002F4E68"/>
    <w:rsid w:val="00315FCA"/>
    <w:rsid w:val="003500BE"/>
    <w:rsid w:val="003845C1"/>
    <w:rsid w:val="003A1BCD"/>
    <w:rsid w:val="004008A2"/>
    <w:rsid w:val="004010C2"/>
    <w:rsid w:val="004025DF"/>
    <w:rsid w:val="00416DA9"/>
    <w:rsid w:val="00423E3E"/>
    <w:rsid w:val="00427AF4"/>
    <w:rsid w:val="004647DA"/>
    <w:rsid w:val="00477D6B"/>
    <w:rsid w:val="00487257"/>
    <w:rsid w:val="004A4984"/>
    <w:rsid w:val="004D6471"/>
    <w:rsid w:val="004F4E31"/>
    <w:rsid w:val="00525B63"/>
    <w:rsid w:val="00547476"/>
    <w:rsid w:val="00561DB8"/>
    <w:rsid w:val="00567A4C"/>
    <w:rsid w:val="005E6516"/>
    <w:rsid w:val="00605827"/>
    <w:rsid w:val="00636CE5"/>
    <w:rsid w:val="00663F3D"/>
    <w:rsid w:val="00676936"/>
    <w:rsid w:val="006B0DB5"/>
    <w:rsid w:val="006E4243"/>
    <w:rsid w:val="00703D74"/>
    <w:rsid w:val="00721BD1"/>
    <w:rsid w:val="007461F1"/>
    <w:rsid w:val="0075224E"/>
    <w:rsid w:val="007D0CB1"/>
    <w:rsid w:val="007D6961"/>
    <w:rsid w:val="007F07CB"/>
    <w:rsid w:val="00810CEF"/>
    <w:rsid w:val="0081208D"/>
    <w:rsid w:val="00842A13"/>
    <w:rsid w:val="00892E32"/>
    <w:rsid w:val="008B2CC1"/>
    <w:rsid w:val="008E7930"/>
    <w:rsid w:val="0090731E"/>
    <w:rsid w:val="00966A22"/>
    <w:rsid w:val="00974CD6"/>
    <w:rsid w:val="009D30E6"/>
    <w:rsid w:val="009D4BD6"/>
    <w:rsid w:val="009E3F6F"/>
    <w:rsid w:val="009F499F"/>
    <w:rsid w:val="00A003A7"/>
    <w:rsid w:val="00A02BD3"/>
    <w:rsid w:val="00A16BD6"/>
    <w:rsid w:val="00AA1F20"/>
    <w:rsid w:val="00AC0AE4"/>
    <w:rsid w:val="00AD61DB"/>
    <w:rsid w:val="00AE7C04"/>
    <w:rsid w:val="00B87BCF"/>
    <w:rsid w:val="00BA62D4"/>
    <w:rsid w:val="00BB16AB"/>
    <w:rsid w:val="00C00276"/>
    <w:rsid w:val="00C05880"/>
    <w:rsid w:val="00C40E15"/>
    <w:rsid w:val="00C664C8"/>
    <w:rsid w:val="00C76A79"/>
    <w:rsid w:val="00CA15F5"/>
    <w:rsid w:val="00CB3E10"/>
    <w:rsid w:val="00CD2EE9"/>
    <w:rsid w:val="00CF0460"/>
    <w:rsid w:val="00D04414"/>
    <w:rsid w:val="00D07BEB"/>
    <w:rsid w:val="00D45252"/>
    <w:rsid w:val="00D71B4D"/>
    <w:rsid w:val="00D75C1E"/>
    <w:rsid w:val="00D93D55"/>
    <w:rsid w:val="00D96D27"/>
    <w:rsid w:val="00DB0349"/>
    <w:rsid w:val="00DD5E4B"/>
    <w:rsid w:val="00DD6A16"/>
    <w:rsid w:val="00E0091A"/>
    <w:rsid w:val="00E203AA"/>
    <w:rsid w:val="00E443AA"/>
    <w:rsid w:val="00E527A5"/>
    <w:rsid w:val="00E76456"/>
    <w:rsid w:val="00EE71CB"/>
    <w:rsid w:val="00F16975"/>
    <w:rsid w:val="00F66152"/>
    <w:rsid w:val="00F9722A"/>
    <w:rsid w:val="00FC45E7"/>
    <w:rsid w:val="00FD2656"/>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25C21"/>
  <w15:docId w15:val="{82AC2D7B-4908-47A6-A724-AA23C93A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663F3D"/>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LegTitle">
    <w:name w:val="Leg # Title"/>
    <w:basedOn w:val="Normal"/>
    <w:next w:val="Normal"/>
    <w:rsid w:val="00663F3D"/>
    <w:pPr>
      <w:keepNext/>
      <w:keepLines/>
      <w:pageBreakBefore/>
      <w:spacing w:before="240" w:after="240" w:line="360" w:lineRule="auto"/>
      <w:jc w:val="center"/>
    </w:pPr>
    <w:rPr>
      <w:rFonts w:eastAsia="Times New Roman" w:cs="Times New Roman"/>
      <w:b/>
      <w:noProof/>
      <w:snapToGrid w:val="0"/>
      <w:lang w:val="fr-FR" w:eastAsia="en-US"/>
    </w:rPr>
  </w:style>
  <w:style w:type="paragraph" w:customStyle="1" w:styleId="LegSubRule">
    <w:name w:val="Leg SubRule #"/>
    <w:basedOn w:val="Normal"/>
    <w:rsid w:val="00663F3D"/>
    <w:pPr>
      <w:keepNext/>
      <w:keepLines/>
      <w:tabs>
        <w:tab w:val="left" w:pos="510"/>
      </w:tabs>
      <w:spacing w:before="119" w:after="240" w:line="360" w:lineRule="auto"/>
      <w:ind w:left="533" w:hanging="533"/>
    </w:pPr>
    <w:rPr>
      <w:rFonts w:eastAsia="Times New Roman" w:cs="Times New Roman"/>
      <w:noProof/>
      <w:snapToGrid w:val="0"/>
      <w:lang w:val="fr-FR" w:eastAsia="en-US"/>
    </w:rPr>
  </w:style>
  <w:style w:type="paragraph" w:customStyle="1" w:styleId="Lega">
    <w:name w:val="Leg (a)"/>
    <w:basedOn w:val="Normal"/>
    <w:link w:val="LegaChar"/>
    <w:rsid w:val="00663F3D"/>
    <w:pPr>
      <w:tabs>
        <w:tab w:val="left" w:pos="454"/>
      </w:tabs>
      <w:spacing w:before="119" w:after="240" w:line="360" w:lineRule="auto"/>
    </w:pPr>
    <w:rPr>
      <w:rFonts w:eastAsia="Times New Roman" w:cs="Times New Roman"/>
      <w:noProof/>
      <w:snapToGrid w:val="0"/>
      <w:lang w:val="fr-FR" w:eastAsia="en-US"/>
    </w:rPr>
  </w:style>
  <w:style w:type="character" w:customStyle="1" w:styleId="LegaChar">
    <w:name w:val="Leg (a) Char"/>
    <w:link w:val="Lega"/>
    <w:rsid w:val="00663F3D"/>
    <w:rPr>
      <w:rFonts w:ascii="Arial" w:hAnsi="Arial"/>
      <w:noProof/>
      <w:snapToGrid w:val="0"/>
      <w:sz w:val="22"/>
      <w:lang w:val="fr-FR" w:eastAsia="en-US"/>
    </w:rPr>
  </w:style>
  <w:style w:type="character" w:styleId="FootnoteReference">
    <w:name w:val="footnote reference"/>
    <w:basedOn w:val="DefaultParagraphFont"/>
    <w:semiHidden/>
    <w:unhideWhenUsed/>
    <w:rsid w:val="00663F3D"/>
    <w:rPr>
      <w:vertAlign w:val="superscript"/>
    </w:rPr>
  </w:style>
  <w:style w:type="character" w:styleId="Hyperlink">
    <w:name w:val="Hyperlink"/>
    <w:basedOn w:val="DefaultParagraphFont"/>
    <w:uiPriority w:val="99"/>
    <w:unhideWhenUsed/>
    <w:rsid w:val="00D96D27"/>
    <w:rPr>
      <w:color w:val="0000FF" w:themeColor="hyperlink"/>
      <w:u w:val="single"/>
    </w:rPr>
  </w:style>
  <w:style w:type="paragraph" w:styleId="TOC1">
    <w:name w:val="toc 1"/>
    <w:basedOn w:val="Normal"/>
    <w:next w:val="Normal"/>
    <w:autoRedefine/>
    <w:uiPriority w:val="39"/>
    <w:unhideWhenUsed/>
    <w:rsid w:val="00D96D27"/>
    <w:pPr>
      <w:tabs>
        <w:tab w:val="right" w:leader="dot" w:pos="9345"/>
      </w:tabs>
      <w:spacing w:after="100"/>
    </w:pPr>
    <w:rPr>
      <w:lang w:val="en-US"/>
    </w:rPr>
  </w:style>
  <w:style w:type="paragraph" w:styleId="TOC2">
    <w:name w:val="toc 2"/>
    <w:basedOn w:val="Normal"/>
    <w:next w:val="Normal"/>
    <w:autoRedefine/>
    <w:uiPriority w:val="39"/>
    <w:unhideWhenUsed/>
    <w:rsid w:val="00416DA9"/>
    <w:pPr>
      <w:tabs>
        <w:tab w:val="right" w:leader="dot" w:pos="9345"/>
      </w:tabs>
      <w:spacing w:after="100"/>
      <w:ind w:left="220"/>
    </w:pPr>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PCT_WG_19 (F).dotm</Template>
  <TotalTime>54</TotalTime>
  <Pages>8</Pages>
  <Words>3167</Words>
  <Characters>17635</Characters>
  <Application>Microsoft Office Word</Application>
  <DocSecurity>0</DocSecurity>
  <Lines>275</Lines>
  <Paragraphs>88</Paragraphs>
  <ScaleCrop>false</ScaleCrop>
  <HeadingPairs>
    <vt:vector size="2" baseType="variant">
      <vt:variant>
        <vt:lpstr>Title</vt:lpstr>
      </vt:variant>
      <vt:variant>
        <vt:i4>1</vt:i4>
      </vt:variant>
    </vt:vector>
  </HeadingPairs>
  <TitlesOfParts>
    <vt:vector size="1" baseType="lpstr">
      <vt:lpstr>PCT/WG/19/5</vt:lpstr>
    </vt:vector>
  </TitlesOfParts>
  <Company>WIPO</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PCT/WG/19/5</dc:title>
  <dc:creator>OLIVIÉ Karen</dc:creator>
  <cp:keywords/>
  <cp:lastModifiedBy>RICHARDSON Michael</cp:lastModifiedBy>
  <cp:revision>8</cp:revision>
  <cp:lastPrinted>2011-05-19T12:37:00Z</cp:lastPrinted>
  <dcterms:created xsi:type="dcterms:W3CDTF">2025-12-19T10:43:00Z</dcterms:created>
  <dcterms:modified xsi:type="dcterms:W3CDTF">2025-12-19T14:17:00Z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