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4B44" w14:textId="77777777" w:rsidR="008B2CC1" w:rsidRPr="0029721C" w:rsidRDefault="00DB0349" w:rsidP="0029721C">
      <w:pPr>
        <w:spacing w:after="120"/>
        <w:jc w:val="right"/>
        <w:rPr>
          <w:lang w:val="fr-FR"/>
        </w:rPr>
      </w:pPr>
      <w:r w:rsidRPr="0029721C">
        <w:rPr>
          <w:noProof/>
          <w:lang w:val="fr-FR" w:eastAsia="en-US"/>
        </w:rPr>
        <w:drawing>
          <wp:inline distT="0" distB="0" distL="0" distR="0" wp14:anchorId="197E0893" wp14:editId="131BB77D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721C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95ADFD9" wp14:editId="1E4A4C7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B7766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C8B2E45" w14:textId="53AD21E1" w:rsidR="008B2CC1" w:rsidRPr="0029721C" w:rsidRDefault="00FC45E7" w:rsidP="0029721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9721C"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29721C">
        <w:rPr>
          <w:rFonts w:ascii="Arial Black" w:hAnsi="Arial Black"/>
          <w:caps/>
          <w:sz w:val="15"/>
          <w:szCs w:val="15"/>
          <w:lang w:val="fr-FR"/>
        </w:rPr>
        <w:t>/</w:t>
      </w:r>
      <w:r w:rsidRPr="0029721C"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29721C">
        <w:rPr>
          <w:rFonts w:ascii="Arial Black" w:hAnsi="Arial Black"/>
          <w:caps/>
          <w:sz w:val="15"/>
          <w:szCs w:val="15"/>
          <w:lang w:val="fr-FR"/>
        </w:rPr>
        <w:t>/</w:t>
      </w:r>
      <w:r w:rsidRPr="0029721C">
        <w:rPr>
          <w:rFonts w:ascii="Arial Black" w:hAnsi="Arial Black"/>
          <w:caps/>
          <w:sz w:val="15"/>
          <w:szCs w:val="15"/>
          <w:lang w:val="fr-FR"/>
        </w:rPr>
        <w:t>1</w:t>
      </w:r>
      <w:r w:rsidR="004010C2" w:rsidRPr="0029721C">
        <w:rPr>
          <w:rFonts w:ascii="Arial Black" w:hAnsi="Arial Black"/>
          <w:caps/>
          <w:sz w:val="15"/>
          <w:szCs w:val="15"/>
          <w:lang w:val="fr-FR"/>
        </w:rPr>
        <w:t>7</w:t>
      </w:r>
      <w:r w:rsidR="00D04414" w:rsidRPr="0029721C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9D5F5D" w:rsidRPr="0029721C">
        <w:rPr>
          <w:rFonts w:ascii="Arial Black" w:hAnsi="Arial Black"/>
          <w:caps/>
          <w:sz w:val="15"/>
          <w:szCs w:val="15"/>
          <w:lang w:val="fr-FR"/>
        </w:rPr>
        <w:t>21</w:t>
      </w:r>
    </w:p>
    <w:bookmarkEnd w:id="0"/>
    <w:p w14:paraId="227ADA3F" w14:textId="4A8188BB" w:rsidR="008B2CC1" w:rsidRPr="0029721C" w:rsidRDefault="00DB0349" w:rsidP="0029721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9721C">
        <w:rPr>
          <w:rFonts w:ascii="Arial Black" w:hAnsi="Arial Black"/>
          <w:caps/>
          <w:sz w:val="15"/>
          <w:szCs w:val="15"/>
          <w:lang w:val="fr-FR"/>
        </w:rPr>
        <w:t>Original</w:t>
      </w:r>
      <w:r w:rsidR="00F1395C">
        <w:rPr>
          <w:rFonts w:ascii="Arial Black" w:hAnsi="Arial Black"/>
          <w:caps/>
          <w:sz w:val="15"/>
          <w:szCs w:val="15"/>
          <w:lang w:val="fr-FR"/>
        </w:rPr>
        <w:t> :</w:t>
      </w:r>
      <w:r w:rsidRPr="0029721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9D5F5D" w:rsidRPr="0029721C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5E1359CF" w14:textId="2452FBEE" w:rsidR="008B2CC1" w:rsidRPr="0029721C" w:rsidRDefault="00DB0349" w:rsidP="0029721C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9721C">
        <w:rPr>
          <w:rFonts w:ascii="Arial Black" w:hAnsi="Arial Black"/>
          <w:caps/>
          <w:sz w:val="15"/>
          <w:szCs w:val="15"/>
          <w:lang w:val="fr-FR"/>
        </w:rPr>
        <w:t>date</w:t>
      </w:r>
      <w:r w:rsidR="00F1395C">
        <w:rPr>
          <w:rFonts w:ascii="Arial Black" w:hAnsi="Arial Black"/>
          <w:caps/>
          <w:sz w:val="15"/>
          <w:szCs w:val="15"/>
          <w:lang w:val="fr-FR"/>
        </w:rPr>
        <w:t> :</w:t>
      </w:r>
      <w:r w:rsidRPr="0029721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9D5F5D" w:rsidRPr="0029721C">
        <w:rPr>
          <w:rFonts w:ascii="Arial Black" w:hAnsi="Arial Black"/>
          <w:caps/>
          <w:sz w:val="15"/>
          <w:szCs w:val="15"/>
          <w:lang w:val="fr-FR"/>
        </w:rPr>
        <w:t>21</w:t>
      </w:r>
      <w:r w:rsidR="00003E69" w:rsidRPr="0029721C">
        <w:rPr>
          <w:rFonts w:ascii="Arial Black" w:hAnsi="Arial Black"/>
          <w:caps/>
          <w:sz w:val="15"/>
          <w:szCs w:val="15"/>
          <w:lang w:val="fr-FR"/>
        </w:rPr>
        <w:t> </w:t>
      </w:r>
      <w:r w:rsidR="00653ADB" w:rsidRPr="0029721C">
        <w:rPr>
          <w:rFonts w:ascii="Arial Black" w:hAnsi="Arial Black"/>
          <w:caps/>
          <w:sz w:val="15"/>
          <w:szCs w:val="15"/>
          <w:lang w:val="fr-FR"/>
        </w:rPr>
        <w:t>février 20</w:t>
      </w:r>
      <w:r w:rsidR="009D5F5D" w:rsidRPr="0029721C">
        <w:rPr>
          <w:rFonts w:ascii="Arial Black" w:hAnsi="Arial Black"/>
          <w:caps/>
          <w:sz w:val="15"/>
          <w:szCs w:val="15"/>
          <w:lang w:val="fr-FR"/>
        </w:rPr>
        <w:t>24</w:t>
      </w:r>
    </w:p>
    <w:bookmarkEnd w:id="2"/>
    <w:p w14:paraId="27693983" w14:textId="77777777" w:rsidR="00C40E15" w:rsidRPr="0029721C" w:rsidRDefault="00BB16AB" w:rsidP="0029721C">
      <w:pPr>
        <w:spacing w:after="600"/>
        <w:rPr>
          <w:b/>
          <w:sz w:val="28"/>
          <w:szCs w:val="28"/>
          <w:lang w:val="fr-FR"/>
        </w:rPr>
      </w:pPr>
      <w:r w:rsidRPr="0029721C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0AD00BDE" w14:textId="3D6745D6" w:rsidR="008B2CC1" w:rsidRPr="0029721C" w:rsidRDefault="004010C2" w:rsidP="0029721C">
      <w:pPr>
        <w:rPr>
          <w:b/>
          <w:sz w:val="24"/>
          <w:szCs w:val="24"/>
          <w:lang w:val="fr-FR"/>
        </w:rPr>
      </w:pPr>
      <w:r w:rsidRPr="0029721C">
        <w:rPr>
          <w:b/>
          <w:sz w:val="24"/>
          <w:szCs w:val="24"/>
          <w:lang w:val="fr-FR"/>
        </w:rPr>
        <w:t>Dix</w:t>
      </w:r>
      <w:r w:rsidR="00F1395C">
        <w:rPr>
          <w:b/>
          <w:sz w:val="24"/>
          <w:szCs w:val="24"/>
          <w:lang w:val="fr-FR"/>
        </w:rPr>
        <w:t>-</w:t>
      </w:r>
      <w:r w:rsidRPr="0029721C">
        <w:rPr>
          <w:b/>
          <w:sz w:val="24"/>
          <w:szCs w:val="24"/>
          <w:lang w:val="fr-FR"/>
        </w:rPr>
        <w:t>sept</w:t>
      </w:r>
      <w:r w:rsidR="00F1395C">
        <w:rPr>
          <w:b/>
          <w:sz w:val="24"/>
          <w:szCs w:val="24"/>
          <w:lang w:val="fr-FR"/>
        </w:rPr>
        <w:t>ième session</w:t>
      </w:r>
    </w:p>
    <w:p w14:paraId="6A63FCBE" w14:textId="77777777" w:rsidR="008B2CC1" w:rsidRPr="0029721C" w:rsidRDefault="00BB16AB" w:rsidP="0029721C">
      <w:pPr>
        <w:spacing w:after="720"/>
        <w:rPr>
          <w:b/>
          <w:sz w:val="24"/>
          <w:szCs w:val="24"/>
          <w:lang w:val="fr-FR"/>
        </w:rPr>
      </w:pPr>
      <w:r w:rsidRPr="0029721C">
        <w:rPr>
          <w:b/>
          <w:sz w:val="24"/>
          <w:szCs w:val="24"/>
          <w:lang w:val="fr-FR"/>
        </w:rPr>
        <w:t xml:space="preserve">Genève, </w:t>
      </w:r>
      <w:r w:rsidR="004010C2" w:rsidRPr="0029721C">
        <w:rPr>
          <w:b/>
          <w:sz w:val="24"/>
          <w:szCs w:val="24"/>
          <w:lang w:val="fr-FR"/>
        </w:rPr>
        <w:t>19 – 21 février 2024</w:t>
      </w:r>
    </w:p>
    <w:p w14:paraId="35C96CB9" w14:textId="406A2DD1" w:rsidR="009D5F5D" w:rsidRPr="0029721C" w:rsidRDefault="009D5F5D" w:rsidP="0029721C">
      <w:pPr>
        <w:spacing w:after="360"/>
        <w:rPr>
          <w:caps/>
          <w:sz w:val="24"/>
          <w:lang w:val="fr-FR"/>
        </w:rPr>
      </w:pPr>
      <w:bookmarkStart w:id="3" w:name="TitleOfDoc"/>
      <w:bookmarkStart w:id="4" w:name="Prepared"/>
      <w:r w:rsidRPr="0029721C">
        <w:rPr>
          <w:caps/>
          <w:sz w:val="24"/>
          <w:lang w:val="fr-FR"/>
        </w:rPr>
        <w:t>résumé présenté par la présidente</w:t>
      </w:r>
    </w:p>
    <w:bookmarkEnd w:id="3"/>
    <w:p w14:paraId="7B453ACC" w14:textId="667D81A2" w:rsidR="00525B63" w:rsidRPr="0029721C" w:rsidRDefault="00525B63" w:rsidP="0029721C">
      <w:pPr>
        <w:spacing w:after="960"/>
        <w:rPr>
          <w:i/>
          <w:lang w:val="fr-FR"/>
        </w:rPr>
      </w:pPr>
    </w:p>
    <w:bookmarkEnd w:id="4"/>
    <w:p w14:paraId="2D94C152" w14:textId="689C44F2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Ouverture de la session</w:t>
      </w:r>
    </w:p>
    <w:p w14:paraId="3EC93E15" w14:textId="5EE14392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>La présidente du groupe de travail, Mme</w:t>
      </w:r>
      <w:r w:rsidR="00E548BE" w:rsidRPr="0029721C">
        <w:rPr>
          <w:lang w:val="fr-FR"/>
        </w:rPr>
        <w:t> </w:t>
      </w:r>
      <w:r w:rsidRPr="0029721C">
        <w:rPr>
          <w:lang w:val="fr-FR"/>
        </w:rPr>
        <w:t>Dong Cheng (Chine), a ouvert la sessi</w:t>
      </w:r>
      <w:r w:rsidR="00286099" w:rsidRPr="0029721C">
        <w:rPr>
          <w:lang w:val="fr-FR"/>
        </w:rPr>
        <w:t>on</w:t>
      </w:r>
      <w:r w:rsidR="00286099">
        <w:rPr>
          <w:lang w:val="fr-FR"/>
        </w:rPr>
        <w:t xml:space="preserve">.  </w:t>
      </w:r>
      <w:r w:rsidR="00286099" w:rsidRPr="0029721C">
        <w:rPr>
          <w:lang w:val="fr-FR"/>
        </w:rPr>
        <w:t>Mm</w:t>
      </w:r>
      <w:r w:rsidRPr="0029721C">
        <w:rPr>
          <w:lang w:val="fr-FR"/>
        </w:rPr>
        <w:t>e</w:t>
      </w:r>
      <w:r w:rsidR="00E548BE" w:rsidRPr="0029721C">
        <w:rPr>
          <w:lang w:val="fr-FR"/>
        </w:rPr>
        <w:t> </w:t>
      </w:r>
      <w:r w:rsidRPr="0029721C">
        <w:rPr>
          <w:lang w:val="fr-FR"/>
        </w:rPr>
        <w:t>Lisa</w:t>
      </w:r>
      <w:r w:rsidR="0029721C">
        <w:rPr>
          <w:lang w:val="fr-FR"/>
        </w:rPr>
        <w:t> </w:t>
      </w:r>
      <w:r w:rsidRPr="0029721C">
        <w:rPr>
          <w:lang w:val="fr-FR"/>
        </w:rPr>
        <w:t>Jorgenson, vice</w:t>
      </w:r>
      <w:r w:rsidR="00F1395C">
        <w:rPr>
          <w:lang w:val="fr-FR"/>
        </w:rPr>
        <w:t>-</w:t>
      </w:r>
      <w:r w:rsidRPr="0029721C">
        <w:rPr>
          <w:lang w:val="fr-FR"/>
        </w:rPr>
        <w:t>directrice générale</w:t>
      </w:r>
      <w:r w:rsidR="00183DEF">
        <w:rPr>
          <w:lang w:val="fr-FR"/>
        </w:rPr>
        <w:t>,</w:t>
      </w:r>
      <w:r w:rsidRPr="0029721C">
        <w:rPr>
          <w:lang w:val="fr-FR"/>
        </w:rPr>
        <w:t xml:space="preserve"> Secteur des brevets et de la technologie, a souhaité la bienvenue aux participants au nom de M.</w:t>
      </w:r>
      <w:r w:rsidR="00E548BE" w:rsidRPr="0029721C">
        <w:rPr>
          <w:lang w:val="fr-FR"/>
        </w:rPr>
        <w:t> </w:t>
      </w:r>
      <w:r w:rsidR="00F1395C">
        <w:rPr>
          <w:lang w:val="fr-FR"/>
        </w:rPr>
        <w:t>Daren Tang</w:t>
      </w:r>
      <w:r w:rsidRPr="0029721C">
        <w:rPr>
          <w:lang w:val="fr-FR"/>
        </w:rPr>
        <w:t>, Directeur général de l</w:t>
      </w:r>
      <w:r w:rsidR="00F1395C">
        <w:rPr>
          <w:lang w:val="fr-FR"/>
        </w:rPr>
        <w:t>’</w:t>
      </w:r>
      <w:r w:rsidRPr="0029721C">
        <w:rPr>
          <w:lang w:val="fr-FR"/>
        </w:rPr>
        <w:t>OMPI.  M.</w:t>
      </w:r>
      <w:r w:rsidR="00E548BE" w:rsidRPr="0029721C">
        <w:rPr>
          <w:lang w:val="fr-FR"/>
        </w:rPr>
        <w:t> </w:t>
      </w:r>
      <w:r w:rsidRPr="0029721C">
        <w:rPr>
          <w:lang w:val="fr-FR"/>
        </w:rPr>
        <w:t>Michael</w:t>
      </w:r>
      <w:r w:rsidR="0029721C">
        <w:rPr>
          <w:lang w:val="fr-FR"/>
        </w:rPr>
        <w:t> </w:t>
      </w:r>
      <w:r w:rsidRPr="0029721C">
        <w:rPr>
          <w:lang w:val="fr-FR"/>
        </w:rPr>
        <w:t>Richardson (OMPI) a assuré le secrétariat du groupe de travail.</w:t>
      </w:r>
    </w:p>
    <w:p w14:paraId="495F768F" w14:textId="5530F7E3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La liste des participants figure dans le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T/WG/17/INF/2.</w:t>
      </w:r>
    </w:p>
    <w:p w14:paraId="6E541800" w14:textId="4B1E03B3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2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Adoption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</w:p>
    <w:p w14:paraId="2B299FDA" w14:textId="69F1755C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>Le groupe de travail a adopté le projet d</w:t>
      </w:r>
      <w:r w:rsidR="00F1395C">
        <w:rPr>
          <w:lang w:val="fr-FR"/>
        </w:rPr>
        <w:t>’</w:t>
      </w:r>
      <w:r w:rsidRPr="0029721C">
        <w:rPr>
          <w:lang w:val="fr-FR"/>
        </w:rPr>
        <w:t xml:space="preserve">ordre du jour révisé figurant dans le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</w:t>
      </w:r>
      <w:r w:rsidR="00E548BE" w:rsidRPr="0029721C">
        <w:rPr>
          <w:lang w:val="fr-FR"/>
        </w:rPr>
        <w:t> </w:t>
      </w:r>
      <w:r w:rsidRPr="0029721C">
        <w:rPr>
          <w:lang w:val="fr-FR"/>
        </w:rPr>
        <w:t>Prov. 2</w:t>
      </w:r>
      <w:r w:rsidR="00183DEF">
        <w:rPr>
          <w:lang w:val="fr-FR"/>
        </w:rPr>
        <w:t>,</w:t>
      </w:r>
      <w:r w:rsidRPr="0029721C">
        <w:rPr>
          <w:lang w:val="fr-FR"/>
        </w:rPr>
        <w:t xml:space="preserve"> le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 xml:space="preserve">T/WG/17/5 au </w:t>
      </w:r>
      <w:r w:rsidR="00653ADB" w:rsidRPr="0029721C">
        <w:rPr>
          <w:lang w:val="fr-FR"/>
        </w:rPr>
        <w:t>point 1</w:t>
      </w:r>
      <w:r w:rsidRPr="0029721C">
        <w:rPr>
          <w:lang w:val="fr-FR"/>
        </w:rPr>
        <w:t xml:space="preserve">8 ayant été remplacé par le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T/WG/17/5</w:t>
      </w:r>
      <w:r w:rsidR="00E548BE" w:rsidRPr="0029721C">
        <w:rPr>
          <w:lang w:val="fr-FR"/>
        </w:rPr>
        <w:t> </w:t>
      </w:r>
      <w:r w:rsidRPr="0029721C">
        <w:rPr>
          <w:lang w:val="fr-FR"/>
        </w:rPr>
        <w:t>Rev.</w:t>
      </w:r>
    </w:p>
    <w:p w14:paraId="76E63EBD" w14:textId="5EF183D7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3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Élection du deuxième vice</w:t>
      </w:r>
      <w:r w:rsidR="00F1395C">
        <w:rPr>
          <w:lang w:val="fr-FR"/>
        </w:rPr>
        <w:t>-</w:t>
      </w:r>
      <w:r w:rsidR="009D5F5D" w:rsidRPr="0029721C">
        <w:rPr>
          <w:lang w:val="fr-FR"/>
        </w:rPr>
        <w:t>président de la session et du bureau de la dix</w:t>
      </w:r>
      <w:r w:rsidR="00F1395C">
        <w:rPr>
          <w:lang w:val="fr-FR"/>
        </w:rPr>
        <w:t>-</w:t>
      </w:r>
      <w:r w:rsidR="009D5F5D" w:rsidRPr="0029721C">
        <w:rPr>
          <w:lang w:val="fr-FR"/>
        </w:rPr>
        <w:t>huit</w:t>
      </w:r>
      <w:r w:rsidR="00F1395C">
        <w:rPr>
          <w:lang w:val="fr-FR"/>
        </w:rPr>
        <w:t>ième session</w:t>
      </w:r>
    </w:p>
    <w:p w14:paraId="7A01E2F9" w14:textId="40FFE280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>Il n</w:t>
      </w:r>
      <w:r w:rsidR="00F1395C">
        <w:rPr>
          <w:lang w:val="fr-FR"/>
        </w:rPr>
        <w:t>’</w:t>
      </w:r>
      <w:r w:rsidRPr="0029721C">
        <w:rPr>
          <w:lang w:val="fr-FR"/>
        </w:rPr>
        <w:t>y a pas eu de candidature au poste de deuxième vice</w:t>
      </w:r>
      <w:r w:rsidR="00F1395C">
        <w:rPr>
          <w:lang w:val="fr-FR"/>
        </w:rPr>
        <w:t>-</w:t>
      </w:r>
      <w:r w:rsidRPr="0029721C">
        <w:rPr>
          <w:lang w:val="fr-FR"/>
        </w:rPr>
        <w:t>président pour la présente session.</w:t>
      </w:r>
    </w:p>
    <w:p w14:paraId="356D76A6" w14:textId="1397269A" w:rsidR="009D5F5D" w:rsidRPr="008254B7" w:rsidRDefault="009D5F5D" w:rsidP="00EB53B5">
      <w:pPr>
        <w:pStyle w:val="ONUMFS"/>
        <w:tabs>
          <w:tab w:val="clear" w:pos="1844"/>
          <w:tab w:val="num" w:pos="1134"/>
        </w:tabs>
        <w:ind w:left="567"/>
        <w:rPr>
          <w:iCs/>
          <w:lang w:val="fr-FR"/>
        </w:rPr>
      </w:pPr>
      <w:r w:rsidRPr="008254B7">
        <w:rPr>
          <w:iCs/>
          <w:lang w:val="fr-FR"/>
        </w:rPr>
        <w:t>Le groupe de travail a élu à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unanimité Mme</w:t>
      </w:r>
      <w:r w:rsidR="00E548BE" w:rsidRPr="008254B7">
        <w:rPr>
          <w:iCs/>
          <w:lang w:val="fr-FR"/>
        </w:rPr>
        <w:t> </w:t>
      </w:r>
      <w:r w:rsidRPr="008254B7">
        <w:rPr>
          <w:iCs/>
          <w:lang w:val="fr-FR"/>
        </w:rPr>
        <w:t>Aleksandra Mihailović (Serbie) présidente pour un mandat devant commencer à courir dès la fin de la présente session et s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appliquer à la dix</w:t>
      </w:r>
      <w:r w:rsidR="00F1395C">
        <w:rPr>
          <w:iCs/>
          <w:lang w:val="fr-FR"/>
        </w:rPr>
        <w:t>-</w:t>
      </w:r>
      <w:r w:rsidRPr="008254B7">
        <w:rPr>
          <w:iCs/>
          <w:lang w:val="fr-FR"/>
        </w:rPr>
        <w:t>huit</w:t>
      </w:r>
      <w:r w:rsidR="00F1395C">
        <w:rPr>
          <w:iCs/>
          <w:lang w:val="fr-FR"/>
        </w:rPr>
        <w:t>ième session</w:t>
      </w:r>
      <w:r w:rsidRPr="008254B7">
        <w:rPr>
          <w:iCs/>
          <w:lang w:val="fr-FR"/>
        </w:rPr>
        <w:t>.</w:t>
      </w:r>
    </w:p>
    <w:p w14:paraId="436D9273" w14:textId="1B440C2F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lastRenderedPageBreak/>
        <w:t>Point 4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Statistiques</w:t>
      </w:r>
      <w:r w:rsidRPr="0029721C">
        <w:rPr>
          <w:lang w:val="fr-FR"/>
        </w:rPr>
        <w:t xml:space="preserve"> du PCT</w:t>
      </w:r>
    </w:p>
    <w:p w14:paraId="5D981EF1" w14:textId="787528C5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>Le groupe de travail a pris note d</w:t>
      </w:r>
      <w:r w:rsidR="00F1395C">
        <w:rPr>
          <w:lang w:val="fr-FR"/>
        </w:rPr>
        <w:t>’</w:t>
      </w:r>
      <w:r w:rsidRPr="0029721C">
        <w:rPr>
          <w:lang w:val="fr-FR"/>
        </w:rPr>
        <w:t>un exposé du Bureau international sur les récentes statistiques concernant</w:t>
      </w:r>
      <w:r w:rsidR="00653ADB" w:rsidRPr="0029721C">
        <w:rPr>
          <w:lang w:val="fr-FR"/>
        </w:rPr>
        <w:t xml:space="preserve"> le PCT</w:t>
      </w:r>
      <w:r w:rsidRPr="0029721C">
        <w:rPr>
          <w:rStyle w:val="FootnoteReference"/>
          <w:lang w:val="fr-FR"/>
        </w:rPr>
        <w:footnoteReference w:id="2"/>
      </w:r>
      <w:r w:rsidRPr="0029721C">
        <w:rPr>
          <w:lang w:val="fr-FR"/>
        </w:rPr>
        <w:t>.</w:t>
      </w:r>
    </w:p>
    <w:p w14:paraId="2FE7E33C" w14:textId="35158259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5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Réunion des administrations internationales instituées en vertu du PCT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Rapport de la trentième réunion</w:t>
      </w:r>
    </w:p>
    <w:p w14:paraId="6E054CE9" w14:textId="63D45408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T/WG/17/2.</w:t>
      </w:r>
    </w:p>
    <w:p w14:paraId="5C6477DC" w14:textId="72402A34" w:rsidR="009D5F5D" w:rsidRPr="008254B7" w:rsidRDefault="009D5F5D" w:rsidP="00EB53B5">
      <w:pPr>
        <w:pStyle w:val="ONUMFS"/>
        <w:tabs>
          <w:tab w:val="clear" w:pos="1844"/>
          <w:tab w:val="num" w:pos="1134"/>
        </w:tabs>
        <w:ind w:left="567"/>
        <w:rPr>
          <w:iCs/>
          <w:lang w:val="fr-FR"/>
        </w:rPr>
      </w:pPr>
      <w:r w:rsidRPr="008254B7">
        <w:rPr>
          <w:iCs/>
          <w:lang w:val="fr-FR"/>
        </w:rPr>
        <w:t>Le groupe de travail est invité à prendre note du résumé établi par le président de la trentième Réunion des administrations internationales instituées en vertu</w:t>
      </w:r>
      <w:r w:rsidR="00653ADB" w:rsidRPr="008254B7">
        <w:rPr>
          <w:iCs/>
          <w:lang w:val="fr-FR"/>
        </w:rPr>
        <w:t xml:space="preserve"> du PCT</w:t>
      </w:r>
      <w:r w:rsidRPr="008254B7">
        <w:rPr>
          <w:iCs/>
          <w:lang w:val="fr-FR"/>
        </w:rPr>
        <w:t xml:space="preserve"> (</w:t>
      </w:r>
      <w:r w:rsidR="00F1395C" w:rsidRPr="008254B7">
        <w:rPr>
          <w:iCs/>
          <w:lang w:val="fr-FR"/>
        </w:rPr>
        <w:t>document</w:t>
      </w:r>
      <w:r w:rsidR="000953E0">
        <w:rPr>
          <w:iCs/>
          <w:lang w:val="fr-FR"/>
        </w:rPr>
        <w:t> </w:t>
      </w:r>
      <w:r w:rsidR="00F1395C" w:rsidRPr="008254B7">
        <w:rPr>
          <w:iCs/>
          <w:lang w:val="fr-FR"/>
        </w:rPr>
        <w:t>PC</w:t>
      </w:r>
      <w:r w:rsidRPr="008254B7">
        <w:rPr>
          <w:iCs/>
          <w:lang w:val="fr-FR"/>
        </w:rPr>
        <w:t>T/MIA/30/10), reproduit dans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 xml:space="preserve">annexe du </w:t>
      </w:r>
      <w:r w:rsidR="00F1395C" w:rsidRPr="008254B7">
        <w:rPr>
          <w:iCs/>
          <w:lang w:val="fr-FR"/>
        </w:rPr>
        <w:t>document</w:t>
      </w:r>
      <w:r w:rsidR="000953E0">
        <w:rPr>
          <w:iCs/>
          <w:lang w:val="fr-FR"/>
        </w:rPr>
        <w:t> </w:t>
      </w:r>
      <w:r w:rsidR="00F1395C" w:rsidRPr="008254B7">
        <w:rPr>
          <w:iCs/>
          <w:lang w:val="fr-FR"/>
        </w:rPr>
        <w:t>PC</w:t>
      </w:r>
      <w:r w:rsidRPr="008254B7">
        <w:rPr>
          <w:iCs/>
          <w:lang w:val="fr-FR"/>
        </w:rPr>
        <w:t>T/WG/17/2.</w:t>
      </w:r>
    </w:p>
    <w:p w14:paraId="15571E72" w14:textId="4C54CD91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6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Coordination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assistance technique relevant</w:t>
      </w:r>
      <w:r w:rsidRPr="0029721C">
        <w:rPr>
          <w:lang w:val="fr-FR"/>
        </w:rPr>
        <w:t xml:space="preserve"> du PCT</w:t>
      </w:r>
    </w:p>
    <w:p w14:paraId="4A37C7FE" w14:textId="703D2DCF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T/WG/17/19.</w:t>
      </w:r>
    </w:p>
    <w:p w14:paraId="5900272D" w14:textId="5EBD96E3" w:rsidR="009D5F5D" w:rsidRPr="008254B7" w:rsidRDefault="009D5F5D" w:rsidP="00EB53B5">
      <w:pPr>
        <w:pStyle w:val="ONUMFS"/>
        <w:tabs>
          <w:tab w:val="clear" w:pos="1844"/>
          <w:tab w:val="num" w:pos="1134"/>
        </w:tabs>
        <w:ind w:left="567"/>
        <w:rPr>
          <w:iCs/>
          <w:lang w:val="fr-FR"/>
        </w:rPr>
      </w:pPr>
      <w:r w:rsidRPr="008254B7">
        <w:rPr>
          <w:iCs/>
          <w:lang w:val="fr-FR"/>
        </w:rPr>
        <w:t xml:space="preserve">Le groupe de travail a pris note du contenu du </w:t>
      </w:r>
      <w:r w:rsidR="00F1395C" w:rsidRPr="008254B7">
        <w:rPr>
          <w:iCs/>
          <w:lang w:val="fr-FR"/>
        </w:rPr>
        <w:t>document</w:t>
      </w:r>
      <w:r w:rsidR="000953E0">
        <w:rPr>
          <w:iCs/>
          <w:lang w:val="fr-FR"/>
        </w:rPr>
        <w:t> </w:t>
      </w:r>
      <w:r w:rsidR="00F1395C" w:rsidRPr="008254B7">
        <w:rPr>
          <w:iCs/>
          <w:lang w:val="fr-FR"/>
        </w:rPr>
        <w:t>PC</w:t>
      </w:r>
      <w:r w:rsidRPr="008254B7">
        <w:rPr>
          <w:iCs/>
          <w:lang w:val="fr-FR"/>
        </w:rPr>
        <w:t>T/WG/17/19.</w:t>
      </w:r>
    </w:p>
    <w:p w14:paraId="75EBC342" w14:textId="142F02CB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7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Coordination de la formation des examinateurs de brevets</w:t>
      </w:r>
    </w:p>
    <w:p w14:paraId="70AEB9FA" w14:textId="36B156BB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T/WG/17/11.</w:t>
      </w:r>
    </w:p>
    <w:p w14:paraId="7A21A786" w14:textId="77777777" w:rsidR="009D5F5D" w:rsidRPr="008254B7" w:rsidRDefault="009D5F5D" w:rsidP="008254B7">
      <w:pPr>
        <w:pStyle w:val="ONUMFS"/>
        <w:ind w:left="1134" w:hanging="567"/>
        <w:rPr>
          <w:iCs/>
          <w:lang w:val="fr-FR"/>
        </w:rPr>
      </w:pPr>
      <w:r w:rsidRPr="008254B7">
        <w:rPr>
          <w:iCs/>
          <w:lang w:val="fr-FR"/>
        </w:rPr>
        <w:t>Le groupe de travail</w:t>
      </w:r>
    </w:p>
    <w:p w14:paraId="795144D6" w14:textId="6E2355B3" w:rsidR="00653ADB" w:rsidRPr="008254B7" w:rsidRDefault="009D5F5D" w:rsidP="008254B7">
      <w:pPr>
        <w:pStyle w:val="ONUMFS"/>
        <w:numPr>
          <w:ilvl w:val="1"/>
          <w:numId w:val="6"/>
        </w:numPr>
        <w:ind w:left="1134" w:firstLine="0"/>
        <w:rPr>
          <w:iCs/>
          <w:lang w:val="fr-FR"/>
        </w:rPr>
      </w:pPr>
      <w:r w:rsidRPr="008254B7">
        <w:rPr>
          <w:iCs/>
          <w:lang w:val="fr-FR"/>
        </w:rPr>
        <w:t>a pris note des réponses à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enquête relative à la coordination de la formation des examinateurs de brevets pour les offices de petite ou moyenne taille;</w:t>
      </w:r>
    </w:p>
    <w:p w14:paraId="34411A17" w14:textId="5BDB1710" w:rsidR="009D5F5D" w:rsidRPr="008254B7" w:rsidRDefault="009D5F5D" w:rsidP="008254B7">
      <w:pPr>
        <w:pStyle w:val="ONUMFS"/>
        <w:numPr>
          <w:ilvl w:val="1"/>
          <w:numId w:val="6"/>
        </w:numPr>
        <w:ind w:left="1134" w:firstLine="0"/>
        <w:rPr>
          <w:iCs/>
          <w:lang w:val="fr-FR"/>
        </w:rPr>
      </w:pPr>
      <w:r w:rsidRPr="008254B7">
        <w:rPr>
          <w:iCs/>
          <w:lang w:val="fr-FR"/>
        </w:rPr>
        <w:t>a pris note des propositions visant à établir d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autres documents d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introduction à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examen des brevets à inclure dans le registre des ressources d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apprentissage en ligne en cours d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élaboration et à ajouter à ce registre une plateforme électronique de mise en réseau;  et</w:t>
      </w:r>
    </w:p>
    <w:p w14:paraId="4092C563" w14:textId="59D18483" w:rsidR="009D5F5D" w:rsidRPr="008254B7" w:rsidRDefault="009D5F5D" w:rsidP="008254B7">
      <w:pPr>
        <w:pStyle w:val="ONUMFS"/>
        <w:numPr>
          <w:ilvl w:val="1"/>
          <w:numId w:val="6"/>
        </w:numPr>
        <w:ind w:left="1134" w:firstLine="0"/>
        <w:rPr>
          <w:iCs/>
          <w:lang w:val="fr-FR"/>
        </w:rPr>
      </w:pPr>
      <w:r w:rsidRPr="008254B7">
        <w:rPr>
          <w:iCs/>
          <w:lang w:val="fr-FR"/>
        </w:rPr>
        <w:t>a invité le Bureau international à continuer de travailler avec les offices intéressés à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élaboration de matériel de formation, en tenant compte des observations formulées dans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enquête relative à la coordination de la formation des examinateurs de brevets pour les offices de petite ou moyenne taille et au cours de la session.</w:t>
      </w:r>
    </w:p>
    <w:p w14:paraId="59AB496B" w14:textId="77D5E3FE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8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Services en ligne</w:t>
      </w:r>
      <w:r w:rsidRPr="0029721C">
        <w:rPr>
          <w:lang w:val="fr-FR"/>
        </w:rPr>
        <w:t xml:space="preserve"> du PCT</w:t>
      </w:r>
    </w:p>
    <w:p w14:paraId="1B2C81A3" w14:textId="0FD85DA0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T/WG/17/20.</w:t>
      </w:r>
    </w:p>
    <w:p w14:paraId="1576160C" w14:textId="7A4FBC5F" w:rsidR="009D5F5D" w:rsidRPr="008254B7" w:rsidRDefault="009D5F5D" w:rsidP="00EB53B5">
      <w:pPr>
        <w:pStyle w:val="ONUMFS"/>
        <w:tabs>
          <w:tab w:val="clear" w:pos="1844"/>
          <w:tab w:val="num" w:pos="1134"/>
        </w:tabs>
        <w:ind w:left="567"/>
        <w:rPr>
          <w:iCs/>
          <w:lang w:val="fr-FR"/>
        </w:rPr>
      </w:pPr>
      <w:r w:rsidRPr="008254B7">
        <w:rPr>
          <w:iCs/>
          <w:lang w:val="fr-FR"/>
        </w:rPr>
        <w:t xml:space="preserve">Le groupe de travail a pris note du contenu du </w:t>
      </w:r>
      <w:r w:rsidR="00F1395C" w:rsidRPr="008254B7">
        <w:rPr>
          <w:iCs/>
          <w:lang w:val="fr-FR"/>
        </w:rPr>
        <w:t>document</w:t>
      </w:r>
      <w:r w:rsidR="000953E0">
        <w:rPr>
          <w:iCs/>
          <w:lang w:val="fr-FR"/>
        </w:rPr>
        <w:t> </w:t>
      </w:r>
      <w:r w:rsidR="00F1395C" w:rsidRPr="008254B7">
        <w:rPr>
          <w:iCs/>
          <w:lang w:val="fr-FR"/>
        </w:rPr>
        <w:t>PC</w:t>
      </w:r>
      <w:r w:rsidRPr="008254B7">
        <w:rPr>
          <w:iCs/>
          <w:lang w:val="fr-FR"/>
        </w:rPr>
        <w:t>T/WG/17/20 et a invité le Bureau international à poursuivre le développement des services en ligne en tenant compte des observations formulées.</w:t>
      </w:r>
    </w:p>
    <w:p w14:paraId="6E3876F0" w14:textId="6C50338D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9</w:t>
      </w:r>
      <w:r w:rsidR="009D5F5D" w:rsidRPr="0029721C">
        <w:rPr>
          <w:lang w:val="fr-FR"/>
        </w:rPr>
        <w:t xml:space="preserve">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Mode de dépôt des demandes internationales et des documents connexes</w:t>
      </w:r>
    </w:p>
    <w:p w14:paraId="0737D851" w14:textId="293927C8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T/WG/17/15.</w:t>
      </w:r>
    </w:p>
    <w:p w14:paraId="04724A1C" w14:textId="77777777" w:rsidR="009D5F5D" w:rsidRPr="008254B7" w:rsidRDefault="009D5F5D" w:rsidP="006869BB">
      <w:pPr>
        <w:pStyle w:val="ONUMFS"/>
        <w:keepNext/>
        <w:tabs>
          <w:tab w:val="num" w:pos="1134"/>
        </w:tabs>
        <w:ind w:left="1134" w:hanging="567"/>
        <w:rPr>
          <w:iCs/>
          <w:lang w:val="fr-FR"/>
        </w:rPr>
      </w:pPr>
      <w:r w:rsidRPr="008254B7">
        <w:rPr>
          <w:iCs/>
          <w:lang w:val="fr-FR"/>
        </w:rPr>
        <w:lastRenderedPageBreak/>
        <w:t>Le groupe de travail</w:t>
      </w:r>
    </w:p>
    <w:p w14:paraId="2F91CDDE" w14:textId="7A6886A1" w:rsidR="009D5F5D" w:rsidRPr="008254B7" w:rsidRDefault="009D5F5D" w:rsidP="006869BB">
      <w:pPr>
        <w:pStyle w:val="ONUMFS"/>
        <w:keepNext/>
        <w:numPr>
          <w:ilvl w:val="1"/>
          <w:numId w:val="6"/>
        </w:numPr>
        <w:ind w:left="1134" w:firstLine="0"/>
        <w:rPr>
          <w:iCs/>
          <w:lang w:val="fr-FR"/>
        </w:rPr>
      </w:pPr>
      <w:r w:rsidRPr="008254B7">
        <w:rPr>
          <w:iCs/>
          <w:lang w:val="fr-FR"/>
        </w:rPr>
        <w:t xml:space="preserve">a approuvé les propositions de modification de la </w:t>
      </w:r>
      <w:r w:rsidR="00653ADB" w:rsidRPr="008254B7">
        <w:rPr>
          <w:iCs/>
          <w:lang w:val="fr-FR"/>
        </w:rPr>
        <w:t>règle 8</w:t>
      </w:r>
      <w:r w:rsidRPr="008254B7">
        <w:rPr>
          <w:iCs/>
          <w:lang w:val="fr-FR"/>
        </w:rPr>
        <w:t>9</w:t>
      </w:r>
      <w:r w:rsidRPr="008254B7">
        <w:rPr>
          <w:i/>
          <w:lang w:val="fr-FR"/>
        </w:rPr>
        <w:t>bis</w:t>
      </w:r>
      <w:r w:rsidRPr="008254B7">
        <w:rPr>
          <w:iCs/>
          <w:lang w:val="fr-FR"/>
        </w:rPr>
        <w:t xml:space="preserve"> figurant à l</w:t>
      </w:r>
      <w:r w:rsidR="00F1395C">
        <w:rPr>
          <w:iCs/>
          <w:lang w:val="fr-FR"/>
        </w:rPr>
        <w:t>’</w:t>
      </w:r>
      <w:r w:rsidR="00653ADB" w:rsidRPr="008254B7">
        <w:rPr>
          <w:iCs/>
          <w:lang w:val="fr-FR"/>
        </w:rPr>
        <w:t>annexe I</w:t>
      </w:r>
      <w:r w:rsidRPr="008254B7">
        <w:rPr>
          <w:iCs/>
          <w:lang w:val="fr-FR"/>
        </w:rPr>
        <w:t xml:space="preserve"> du </w:t>
      </w:r>
      <w:r w:rsidR="00F1395C" w:rsidRPr="008254B7">
        <w:rPr>
          <w:iCs/>
          <w:lang w:val="fr-FR"/>
        </w:rPr>
        <w:t>document</w:t>
      </w:r>
      <w:r w:rsidR="000953E0">
        <w:rPr>
          <w:iCs/>
          <w:lang w:val="fr-FR"/>
        </w:rPr>
        <w:t> </w:t>
      </w:r>
      <w:r w:rsidR="00F1395C" w:rsidRPr="008254B7">
        <w:rPr>
          <w:iCs/>
          <w:lang w:val="fr-FR"/>
        </w:rPr>
        <w:t>PC</w:t>
      </w:r>
      <w:r w:rsidRPr="008254B7">
        <w:rPr>
          <w:iCs/>
          <w:lang w:val="fr-FR"/>
        </w:rPr>
        <w:t>T/WG/17/15 en vue de leur soumission à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assemblée;  et</w:t>
      </w:r>
    </w:p>
    <w:p w14:paraId="0793923F" w14:textId="39EA9EEA" w:rsidR="009D5F5D" w:rsidRPr="008254B7" w:rsidRDefault="009D5F5D" w:rsidP="008254B7">
      <w:pPr>
        <w:pStyle w:val="ONUMFS"/>
        <w:numPr>
          <w:ilvl w:val="1"/>
          <w:numId w:val="6"/>
        </w:numPr>
        <w:ind w:left="1134" w:firstLine="0"/>
        <w:rPr>
          <w:iCs/>
          <w:lang w:val="fr-FR"/>
        </w:rPr>
      </w:pPr>
      <w:r w:rsidRPr="008254B7">
        <w:rPr>
          <w:iCs/>
          <w:lang w:val="fr-FR"/>
        </w:rPr>
        <w:t>a invité le Bureau international à élaborer les propositions de modification des instructions administratives</w:t>
      </w:r>
      <w:r w:rsidR="00653ADB" w:rsidRPr="008254B7">
        <w:rPr>
          <w:iCs/>
          <w:lang w:val="fr-FR"/>
        </w:rPr>
        <w:t xml:space="preserve"> du PCT</w:t>
      </w:r>
      <w:r w:rsidRPr="008254B7">
        <w:rPr>
          <w:iCs/>
          <w:lang w:val="fr-FR"/>
        </w:rPr>
        <w:t xml:space="preserve"> et des directives à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 xml:space="preserve">usage des offices récepteurs qui seraient nécessaires à la mise en œuvre des modifications de la </w:t>
      </w:r>
      <w:r w:rsidR="00653ADB" w:rsidRPr="008254B7">
        <w:rPr>
          <w:iCs/>
          <w:lang w:val="fr-FR"/>
        </w:rPr>
        <w:t>règle 8</w:t>
      </w:r>
      <w:r w:rsidRPr="008254B7">
        <w:rPr>
          <w:iCs/>
          <w:lang w:val="fr-FR"/>
        </w:rPr>
        <w:t>9</w:t>
      </w:r>
      <w:r w:rsidRPr="00724DBD">
        <w:rPr>
          <w:i/>
          <w:lang w:val="fr-FR"/>
        </w:rPr>
        <w:t>bis</w:t>
      </w:r>
      <w:r w:rsidRPr="008254B7">
        <w:rPr>
          <w:iCs/>
          <w:lang w:val="fr-FR"/>
        </w:rPr>
        <w:t xml:space="preserve"> si elles étaient adoptées par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assemblée et à consulter les offices et les administrations à cet égard, en tenant compte de la proposition figurant à l</w:t>
      </w:r>
      <w:r w:rsidR="00F1395C">
        <w:rPr>
          <w:iCs/>
          <w:lang w:val="fr-FR"/>
        </w:rPr>
        <w:t>’</w:t>
      </w:r>
      <w:r w:rsidR="00653ADB" w:rsidRPr="008254B7">
        <w:rPr>
          <w:iCs/>
          <w:lang w:val="fr-FR"/>
        </w:rPr>
        <w:t>annexe I</w:t>
      </w:r>
      <w:r w:rsidRPr="008254B7">
        <w:rPr>
          <w:iCs/>
          <w:lang w:val="fr-FR"/>
        </w:rPr>
        <w:t xml:space="preserve">I du </w:t>
      </w:r>
      <w:r w:rsidR="00F1395C" w:rsidRPr="008254B7">
        <w:rPr>
          <w:iCs/>
          <w:lang w:val="fr-FR"/>
        </w:rPr>
        <w:t>document</w:t>
      </w:r>
      <w:r w:rsidR="000953E0">
        <w:rPr>
          <w:iCs/>
          <w:lang w:val="fr-FR"/>
        </w:rPr>
        <w:t> </w:t>
      </w:r>
      <w:r w:rsidR="00F1395C" w:rsidRPr="008254B7">
        <w:rPr>
          <w:iCs/>
          <w:lang w:val="fr-FR"/>
        </w:rPr>
        <w:t>PC</w:t>
      </w:r>
      <w:r w:rsidRPr="008254B7">
        <w:rPr>
          <w:iCs/>
          <w:lang w:val="fr-FR"/>
        </w:rPr>
        <w:t>T/WG/17/15 et des observations formulées.</w:t>
      </w:r>
    </w:p>
    <w:p w14:paraId="435E3123" w14:textId="3BA14D60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0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Mesures juridiques d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appui au traitement électronique</w:t>
      </w:r>
    </w:p>
    <w:p w14:paraId="0F8FD2AD" w14:textId="2A86827F" w:rsidR="009D5F5D" w:rsidRPr="0029721C" w:rsidRDefault="009D5F5D" w:rsidP="00EB53B5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T/WG/17/9.</w:t>
      </w:r>
    </w:p>
    <w:p w14:paraId="1B91EADA" w14:textId="5AB290CC" w:rsidR="009D5F5D" w:rsidRPr="008254B7" w:rsidRDefault="009D5F5D" w:rsidP="00EB53B5">
      <w:pPr>
        <w:pStyle w:val="ONUMFS"/>
        <w:tabs>
          <w:tab w:val="clear" w:pos="1844"/>
          <w:tab w:val="num" w:pos="1134"/>
        </w:tabs>
        <w:ind w:left="567"/>
        <w:rPr>
          <w:iCs/>
          <w:lang w:val="fr-FR"/>
        </w:rPr>
      </w:pPr>
      <w:r w:rsidRPr="008254B7">
        <w:rPr>
          <w:iCs/>
          <w:lang w:val="fr-FR"/>
        </w:rPr>
        <w:t>Le groupe de travail a invité le Bureau international à examiner les observations formulées et à présenter de nouvelles propositions lors d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une prochaine session du groupe de travail.</w:t>
      </w:r>
    </w:p>
    <w:p w14:paraId="47EB62EB" w14:textId="66BB06AE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1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Protection des données personnelles dans le cadre</w:t>
      </w:r>
      <w:r w:rsidRPr="0029721C">
        <w:rPr>
          <w:lang w:val="fr-FR"/>
        </w:rPr>
        <w:t xml:space="preserve"> du PCT</w:t>
      </w:r>
    </w:p>
    <w:p w14:paraId="2C3EB447" w14:textId="5ECEEDFE" w:rsidR="009D5F5D" w:rsidRDefault="009D5F5D" w:rsidP="00D251A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T/WG/17/8.</w:t>
      </w:r>
    </w:p>
    <w:p w14:paraId="76F2E89D" w14:textId="17A59434" w:rsidR="008254B7" w:rsidRPr="008254B7" w:rsidRDefault="008254B7" w:rsidP="00D251A0">
      <w:pPr>
        <w:pStyle w:val="ONUMFS"/>
        <w:tabs>
          <w:tab w:val="clear" w:pos="1844"/>
          <w:tab w:val="num" w:pos="1134"/>
        </w:tabs>
        <w:ind w:left="567"/>
        <w:rPr>
          <w:lang w:val="fr-FR"/>
        </w:rPr>
      </w:pPr>
      <w:r w:rsidRPr="008254B7">
        <w:rPr>
          <w:lang w:val="fr-FR"/>
        </w:rPr>
        <w:t>Le groupe de travail a pris note du contenu du document</w:t>
      </w:r>
      <w:r w:rsidR="000953E0">
        <w:rPr>
          <w:lang w:val="fr-FR"/>
        </w:rPr>
        <w:t> </w:t>
      </w:r>
      <w:r w:rsidRPr="008254B7">
        <w:rPr>
          <w:lang w:val="fr-FR"/>
        </w:rPr>
        <w:t>PCT/WG/17/8.</w:t>
      </w:r>
    </w:p>
    <w:p w14:paraId="7C96D8A3" w14:textId="78331609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2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Langues de communication avec le Bureau international</w:t>
      </w:r>
    </w:p>
    <w:p w14:paraId="4201E50B" w14:textId="3B00F9BB" w:rsidR="009D5F5D" w:rsidRDefault="009D5F5D" w:rsidP="00D251A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T/WG/17/6.</w:t>
      </w:r>
    </w:p>
    <w:p w14:paraId="5A7773D9" w14:textId="5AEA164B" w:rsidR="008254B7" w:rsidRPr="008254B7" w:rsidRDefault="008254B7" w:rsidP="00D251A0">
      <w:pPr>
        <w:pStyle w:val="ONUMFS"/>
        <w:tabs>
          <w:tab w:val="clear" w:pos="1844"/>
          <w:tab w:val="num" w:pos="1134"/>
        </w:tabs>
        <w:ind w:left="567"/>
      </w:pPr>
      <w:r w:rsidRPr="008254B7">
        <w:t xml:space="preserve">Le groupe de travail a approuvé la proposition de modification de la </w:t>
      </w:r>
      <w:r w:rsidR="00F1395C" w:rsidRPr="008254B7">
        <w:t>règle</w:t>
      </w:r>
      <w:r w:rsidR="00F1395C">
        <w:t> </w:t>
      </w:r>
      <w:r w:rsidR="00F1395C" w:rsidRPr="008254B7">
        <w:t>9</w:t>
      </w:r>
      <w:r w:rsidRPr="008254B7">
        <w:t>2 figurant à l</w:t>
      </w:r>
      <w:r w:rsidR="00F1395C">
        <w:t>’</w:t>
      </w:r>
      <w:r w:rsidRPr="008254B7">
        <w:t>annexe du document</w:t>
      </w:r>
      <w:r w:rsidR="000953E0">
        <w:t> </w:t>
      </w:r>
      <w:r w:rsidRPr="008254B7">
        <w:t>PCT/WG/17/6 en vue de sa soumission à l</w:t>
      </w:r>
      <w:r w:rsidR="00F1395C">
        <w:t>’</w:t>
      </w:r>
      <w:r w:rsidRPr="008254B7">
        <w:t>assemblée.</w:t>
      </w:r>
    </w:p>
    <w:p w14:paraId="5DBCAC57" w14:textId="707C91F0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3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Nouvelle modification de la règle 26.3</w:t>
      </w:r>
      <w:r w:rsidR="009D5F5D" w:rsidRPr="00A80E1F">
        <w:rPr>
          <w:i/>
          <w:caps w:val="0"/>
          <w:lang w:val="fr-FR"/>
        </w:rPr>
        <w:t>ter</w:t>
      </w:r>
      <w:r w:rsidR="009D5F5D" w:rsidRPr="0029721C">
        <w:rPr>
          <w:lang w:val="fr-FR"/>
        </w:rPr>
        <w:t xml:space="preserve"> – Invitation à corriger des irrégularités en vertu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article 3.4)</w:t>
      </w:r>
      <w:r w:rsidR="009D5F5D" w:rsidRPr="00A80E1F">
        <w:rPr>
          <w:caps w:val="0"/>
          <w:lang w:val="fr-FR"/>
        </w:rPr>
        <w:t>i</w:t>
      </w:r>
      <w:r w:rsidR="009D5F5D" w:rsidRPr="0029721C">
        <w:rPr>
          <w:lang w:val="fr-FR"/>
        </w:rPr>
        <w:t>)</w:t>
      </w:r>
    </w:p>
    <w:p w14:paraId="2A2C5B2D" w14:textId="25467307" w:rsidR="009D5F5D" w:rsidRDefault="009D5F5D" w:rsidP="00D251A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T/WG/17/7.</w:t>
      </w:r>
    </w:p>
    <w:p w14:paraId="7EC7BE91" w14:textId="77777777" w:rsidR="008254B7" w:rsidRPr="008254B7" w:rsidRDefault="008254B7" w:rsidP="00D251A0">
      <w:pPr>
        <w:pStyle w:val="ONUMFS"/>
        <w:tabs>
          <w:tab w:val="clear" w:pos="1844"/>
          <w:tab w:val="num" w:pos="1134"/>
        </w:tabs>
        <w:ind w:left="567"/>
        <w:rPr>
          <w:lang w:val="fr-FR"/>
        </w:rPr>
      </w:pPr>
      <w:r w:rsidRPr="008254B7">
        <w:rPr>
          <w:lang w:val="fr-FR"/>
        </w:rPr>
        <w:t>Le groupe de travail</w:t>
      </w:r>
    </w:p>
    <w:p w14:paraId="68668048" w14:textId="5DD0277A" w:rsidR="008254B7" w:rsidRDefault="00D251A0" w:rsidP="00553250">
      <w:pPr>
        <w:pStyle w:val="ONUMFS"/>
        <w:numPr>
          <w:ilvl w:val="1"/>
          <w:numId w:val="6"/>
        </w:numPr>
        <w:tabs>
          <w:tab w:val="left" w:pos="1701"/>
        </w:tabs>
        <w:ind w:left="1134" w:firstLine="0"/>
        <w:rPr>
          <w:lang w:val="fr-FR"/>
        </w:rPr>
      </w:pPr>
      <w:r>
        <w:rPr>
          <w:lang w:val="fr-FR"/>
        </w:rPr>
        <w:t xml:space="preserve">a </w:t>
      </w:r>
      <w:r w:rsidR="008254B7" w:rsidRPr="008254B7">
        <w:rPr>
          <w:lang w:val="fr-FR"/>
        </w:rPr>
        <w:t xml:space="preserve">approuvé la proposition de modification de la </w:t>
      </w:r>
      <w:r w:rsidR="00F1395C" w:rsidRPr="008254B7">
        <w:rPr>
          <w:lang w:val="fr-FR"/>
        </w:rPr>
        <w:t>règle</w:t>
      </w:r>
      <w:r w:rsidR="00F1395C">
        <w:rPr>
          <w:lang w:val="fr-FR"/>
        </w:rPr>
        <w:t> </w:t>
      </w:r>
      <w:r w:rsidR="00E30923">
        <w:rPr>
          <w:lang w:val="fr-FR"/>
        </w:rPr>
        <w:t>26</w:t>
      </w:r>
      <w:r w:rsidR="00E30923" w:rsidRPr="008254B7">
        <w:rPr>
          <w:lang w:val="fr-FR"/>
        </w:rPr>
        <w:t xml:space="preserve"> </w:t>
      </w:r>
      <w:r w:rsidR="008254B7" w:rsidRPr="008254B7">
        <w:rPr>
          <w:lang w:val="fr-FR"/>
        </w:rPr>
        <w:t>figurant à l</w:t>
      </w:r>
      <w:r w:rsidR="00F1395C">
        <w:rPr>
          <w:lang w:val="fr-FR"/>
        </w:rPr>
        <w:t>’</w:t>
      </w:r>
      <w:r w:rsidR="00F1395C" w:rsidRPr="008254B7">
        <w:rPr>
          <w:lang w:val="fr-FR"/>
        </w:rPr>
        <w:t>annexe</w:t>
      </w:r>
      <w:r w:rsidR="00F1395C">
        <w:rPr>
          <w:lang w:val="fr-FR"/>
        </w:rPr>
        <w:t> </w:t>
      </w:r>
      <w:r w:rsidR="00F1395C" w:rsidRPr="008254B7">
        <w:rPr>
          <w:lang w:val="fr-FR"/>
        </w:rPr>
        <w:t>I</w:t>
      </w:r>
      <w:r w:rsidR="008254B7" w:rsidRPr="008254B7">
        <w:rPr>
          <w:lang w:val="fr-FR"/>
        </w:rPr>
        <w:t xml:space="preserve"> du document</w:t>
      </w:r>
      <w:r w:rsidR="000953E0">
        <w:rPr>
          <w:lang w:val="fr-FR"/>
        </w:rPr>
        <w:t> </w:t>
      </w:r>
      <w:r w:rsidR="008254B7" w:rsidRPr="008254B7">
        <w:rPr>
          <w:lang w:val="fr-FR"/>
        </w:rPr>
        <w:t>PCT/WG/17/21 en vue de sa soumission à l</w:t>
      </w:r>
      <w:r w:rsidR="00F1395C">
        <w:rPr>
          <w:lang w:val="fr-FR"/>
        </w:rPr>
        <w:t>’</w:t>
      </w:r>
      <w:r w:rsidR="008254B7" w:rsidRPr="008254B7">
        <w:rPr>
          <w:lang w:val="fr-FR"/>
        </w:rPr>
        <w:t>assemblée;  et</w:t>
      </w:r>
    </w:p>
    <w:p w14:paraId="2F27B05C" w14:textId="4E933277" w:rsidR="008254B7" w:rsidRPr="008254B7" w:rsidRDefault="008254B7" w:rsidP="00553250">
      <w:pPr>
        <w:pStyle w:val="ONUMFS"/>
        <w:numPr>
          <w:ilvl w:val="1"/>
          <w:numId w:val="6"/>
        </w:numPr>
        <w:ind w:left="1134" w:firstLine="0"/>
        <w:rPr>
          <w:lang w:val="fr-FR"/>
        </w:rPr>
      </w:pPr>
      <w:r w:rsidRPr="008254B7">
        <w:rPr>
          <w:lang w:val="fr-FR"/>
        </w:rPr>
        <w:t>a invité le Bureau international à élaborer les propositions de modification des instructions administratives</w:t>
      </w:r>
      <w:r w:rsidR="00F1395C" w:rsidRPr="008254B7">
        <w:rPr>
          <w:lang w:val="fr-FR"/>
        </w:rPr>
        <w:t xml:space="preserve"> du</w:t>
      </w:r>
      <w:r w:rsidR="00F1395C">
        <w:rPr>
          <w:lang w:val="fr-FR"/>
        </w:rPr>
        <w:t> </w:t>
      </w:r>
      <w:r w:rsidR="00F1395C" w:rsidRPr="008254B7">
        <w:rPr>
          <w:lang w:val="fr-FR"/>
        </w:rPr>
        <w:t>PCT</w:t>
      </w:r>
      <w:r w:rsidR="00D54CFD" w:rsidRPr="00D54CFD">
        <w:rPr>
          <w:lang w:val="fr-FR"/>
        </w:rPr>
        <w:t>, des directives concernant la recherche internationale et l’examen préliminaire international</w:t>
      </w:r>
      <w:r w:rsidRPr="008254B7">
        <w:rPr>
          <w:lang w:val="fr-FR"/>
        </w:rPr>
        <w:t xml:space="preserve"> et des directives à l</w:t>
      </w:r>
      <w:r w:rsidR="00F1395C">
        <w:rPr>
          <w:lang w:val="fr-FR"/>
        </w:rPr>
        <w:t>’</w:t>
      </w:r>
      <w:r w:rsidRPr="008254B7">
        <w:rPr>
          <w:lang w:val="fr-FR"/>
        </w:rPr>
        <w:t xml:space="preserve">usage des offices récepteurs qui seraient nécessaires à la mise en œuvre des modifications de la </w:t>
      </w:r>
      <w:r w:rsidR="00F1395C" w:rsidRPr="008254B7">
        <w:rPr>
          <w:lang w:val="fr-FR"/>
        </w:rPr>
        <w:t>règle</w:t>
      </w:r>
      <w:r w:rsidR="00F1395C">
        <w:rPr>
          <w:lang w:val="fr-FR"/>
        </w:rPr>
        <w:t> </w:t>
      </w:r>
      <w:r w:rsidR="00E30923">
        <w:rPr>
          <w:lang w:val="fr-FR"/>
        </w:rPr>
        <w:t>26</w:t>
      </w:r>
      <w:r w:rsidR="00E30923" w:rsidRPr="008254B7">
        <w:rPr>
          <w:lang w:val="fr-FR"/>
        </w:rPr>
        <w:t xml:space="preserve"> </w:t>
      </w:r>
      <w:r w:rsidRPr="008254B7">
        <w:rPr>
          <w:lang w:val="fr-FR"/>
        </w:rPr>
        <w:t>si elles étaient adoptées par l</w:t>
      </w:r>
      <w:r w:rsidR="00F1395C">
        <w:rPr>
          <w:lang w:val="fr-FR"/>
        </w:rPr>
        <w:t>’</w:t>
      </w:r>
      <w:r w:rsidRPr="008254B7">
        <w:rPr>
          <w:lang w:val="fr-FR"/>
        </w:rPr>
        <w:t>assemblée et à consulter les offices et les administrations à cet égard, en tenant compte de la proposition figurant à l</w:t>
      </w:r>
      <w:r w:rsidR="00F1395C">
        <w:rPr>
          <w:lang w:val="fr-FR"/>
        </w:rPr>
        <w:t>’</w:t>
      </w:r>
      <w:r w:rsidR="00F1395C" w:rsidRPr="008254B7">
        <w:rPr>
          <w:lang w:val="fr-FR"/>
        </w:rPr>
        <w:t>annexe</w:t>
      </w:r>
      <w:r w:rsidR="00F1395C">
        <w:rPr>
          <w:lang w:val="fr-FR"/>
        </w:rPr>
        <w:t> </w:t>
      </w:r>
      <w:r w:rsidR="00F1395C" w:rsidRPr="008254B7">
        <w:rPr>
          <w:lang w:val="fr-FR"/>
        </w:rPr>
        <w:t>I</w:t>
      </w:r>
      <w:r w:rsidRPr="008254B7">
        <w:rPr>
          <w:lang w:val="fr-FR"/>
        </w:rPr>
        <w:t>I du document</w:t>
      </w:r>
      <w:r w:rsidR="000953E0">
        <w:rPr>
          <w:lang w:val="fr-FR"/>
        </w:rPr>
        <w:t> </w:t>
      </w:r>
      <w:r w:rsidRPr="008254B7">
        <w:rPr>
          <w:lang w:val="fr-FR"/>
        </w:rPr>
        <w:t>PCT/WG/17/7 et des observations formulées.</w:t>
      </w:r>
    </w:p>
    <w:p w14:paraId="02B29176" w14:textId="368F0EC7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4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Citation de divulgations non écrites</w:t>
      </w:r>
    </w:p>
    <w:p w14:paraId="1783139E" w14:textId="4C547D4A" w:rsidR="009D5F5D" w:rsidRDefault="009D5F5D" w:rsidP="00553250">
      <w:pPr>
        <w:pStyle w:val="ONUMFS"/>
        <w:tabs>
          <w:tab w:val="clear" w:pos="1844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T/WG/17/10.</w:t>
      </w:r>
    </w:p>
    <w:p w14:paraId="10A35FB1" w14:textId="77777777" w:rsidR="00590F80" w:rsidRDefault="00590F80" w:rsidP="006869BB">
      <w:pPr>
        <w:pStyle w:val="ONUMFS"/>
        <w:keepNext/>
        <w:tabs>
          <w:tab w:val="clear" w:pos="1844"/>
          <w:tab w:val="num" w:pos="567"/>
        </w:tabs>
        <w:ind w:left="567"/>
      </w:pPr>
      <w:r w:rsidRPr="00590F80">
        <w:lastRenderedPageBreak/>
        <w:t>Le groupe de travai</w:t>
      </w:r>
      <w:r>
        <w:t>l</w:t>
      </w:r>
    </w:p>
    <w:p w14:paraId="0F8C36B1" w14:textId="13339335" w:rsidR="00590F80" w:rsidRPr="00590F80" w:rsidRDefault="00590F80" w:rsidP="006869BB">
      <w:pPr>
        <w:pStyle w:val="ListParagraph"/>
        <w:keepNext/>
        <w:numPr>
          <w:ilvl w:val="1"/>
          <w:numId w:val="6"/>
        </w:numPr>
        <w:ind w:left="1134" w:firstLine="0"/>
      </w:pPr>
      <w:r w:rsidRPr="00590F80">
        <w:t xml:space="preserve">a approuvé les propositions de modification des </w:t>
      </w:r>
      <w:r w:rsidR="00F1395C" w:rsidRPr="00590F80">
        <w:t>règles</w:t>
      </w:r>
      <w:r w:rsidR="00F1395C">
        <w:t> </w:t>
      </w:r>
      <w:r w:rsidR="00F1395C" w:rsidRPr="00590F80">
        <w:t>3</w:t>
      </w:r>
      <w:r w:rsidRPr="00590F80">
        <w:t>3 et 64 figurant à l</w:t>
      </w:r>
      <w:r w:rsidR="00F1395C">
        <w:t>’</w:t>
      </w:r>
      <w:r w:rsidR="00F1395C" w:rsidRPr="00590F80">
        <w:t>annexe</w:t>
      </w:r>
      <w:r w:rsidR="00F1395C">
        <w:t> </w:t>
      </w:r>
      <w:r w:rsidR="00F1395C" w:rsidRPr="00590F80">
        <w:t>I</w:t>
      </w:r>
      <w:r w:rsidRPr="00590F80">
        <w:t>I du document</w:t>
      </w:r>
      <w:r w:rsidR="000953E0">
        <w:t> </w:t>
      </w:r>
      <w:r w:rsidRPr="00590F80">
        <w:t>PCT/WG/17/21 en vue de leur soumission à l</w:t>
      </w:r>
      <w:r w:rsidR="00F1395C">
        <w:t>’</w:t>
      </w:r>
      <w:r w:rsidRPr="00590F80">
        <w:t>assemblée;  et</w:t>
      </w:r>
    </w:p>
    <w:p w14:paraId="230252A7" w14:textId="7A7DA4F2" w:rsidR="00590F80" w:rsidRPr="00590F80" w:rsidRDefault="00590F80" w:rsidP="00553250">
      <w:pPr>
        <w:pStyle w:val="ONUMFS"/>
        <w:numPr>
          <w:ilvl w:val="1"/>
          <w:numId w:val="6"/>
        </w:numPr>
        <w:ind w:left="1134" w:firstLine="0"/>
      </w:pPr>
      <w:r w:rsidRPr="00590F80">
        <w:t>a invité le Bureau international à élaborer les propositions de modification des instructions administratives</w:t>
      </w:r>
      <w:r w:rsidR="00F1395C" w:rsidRPr="00590F80">
        <w:t xml:space="preserve"> du</w:t>
      </w:r>
      <w:r w:rsidR="00F1395C">
        <w:t> </w:t>
      </w:r>
      <w:r w:rsidR="00F1395C" w:rsidRPr="00590F80">
        <w:t>PCT</w:t>
      </w:r>
      <w:r w:rsidRPr="00590F80">
        <w:t xml:space="preserve"> et des directives concernant la recherche internationale et l</w:t>
      </w:r>
      <w:r w:rsidR="00F1395C">
        <w:t>’</w:t>
      </w:r>
      <w:r w:rsidRPr="00590F80">
        <w:t>examen préliminaire international qui seraient nécessaires à la mise en œuvre des modifications si elles étaient adoptées par l</w:t>
      </w:r>
      <w:r w:rsidR="00F1395C">
        <w:t>’</w:t>
      </w:r>
      <w:r w:rsidRPr="00590F80">
        <w:t>assemblée et à consulter les offices et les administrations à cet égard, en tenant compte des observations formulées.</w:t>
      </w:r>
    </w:p>
    <w:p w14:paraId="1A944D46" w14:textId="2D6FB37E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5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Rapport concernant les enquêtes sur les stratégies de recherche</w:t>
      </w:r>
    </w:p>
    <w:p w14:paraId="46653BBD" w14:textId="58AC3815" w:rsidR="009D5F5D" w:rsidRDefault="009D5F5D" w:rsidP="0055325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T/WG/17/14.</w:t>
      </w:r>
    </w:p>
    <w:p w14:paraId="38C390E5" w14:textId="60017E1B" w:rsidR="00590F80" w:rsidRPr="00590F80" w:rsidRDefault="00590F80" w:rsidP="00553250">
      <w:pPr>
        <w:pStyle w:val="ONUMFS"/>
        <w:tabs>
          <w:tab w:val="clear" w:pos="1844"/>
          <w:tab w:val="num" w:pos="1134"/>
        </w:tabs>
        <w:ind w:left="567"/>
      </w:pPr>
      <w:r w:rsidRPr="00590F80">
        <w:t>Le groupe de travail a pris note du contenu du document</w:t>
      </w:r>
      <w:r w:rsidR="000953E0">
        <w:t> </w:t>
      </w:r>
      <w:r w:rsidRPr="00590F80">
        <w:t>PCT/WG/17/14.</w:t>
      </w:r>
    </w:p>
    <w:p w14:paraId="34B19C2D" w14:textId="599E915B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6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Dessins en couleur</w:t>
      </w:r>
    </w:p>
    <w:p w14:paraId="1CC12E03" w14:textId="6F4AD30B" w:rsidR="009D5F5D" w:rsidRDefault="009D5F5D" w:rsidP="0055325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T/WG/17/12.</w:t>
      </w:r>
    </w:p>
    <w:p w14:paraId="516285B4" w14:textId="49D8F018" w:rsidR="00590F80" w:rsidRPr="00590F80" w:rsidRDefault="00590F80" w:rsidP="00553250">
      <w:pPr>
        <w:pStyle w:val="ONUMFS"/>
        <w:tabs>
          <w:tab w:val="clear" w:pos="1844"/>
          <w:tab w:val="num" w:pos="567"/>
          <w:tab w:val="left" w:pos="1134"/>
        </w:tabs>
        <w:ind w:left="567"/>
        <w:rPr>
          <w:lang w:val="fr-FR"/>
        </w:rPr>
      </w:pPr>
      <w:r w:rsidRPr="00590F80">
        <w:rPr>
          <w:lang w:val="fr-FR"/>
        </w:rPr>
        <w:t xml:space="preserve">Le groupe de travail a invité le Bureau international à se pencher sur la question de savoir comment modifier la </w:t>
      </w:r>
      <w:r w:rsidR="00F1395C" w:rsidRPr="00590F80">
        <w:rPr>
          <w:lang w:val="fr-FR"/>
        </w:rPr>
        <w:t>règle</w:t>
      </w:r>
      <w:r w:rsidR="00F1395C">
        <w:rPr>
          <w:lang w:val="fr-FR"/>
        </w:rPr>
        <w:t> </w:t>
      </w:r>
      <w:r w:rsidR="00F1395C" w:rsidRPr="00590F80">
        <w:rPr>
          <w:lang w:val="fr-FR"/>
        </w:rPr>
        <w:t>1</w:t>
      </w:r>
      <w:r w:rsidRPr="00590F80">
        <w:rPr>
          <w:lang w:val="fr-FR"/>
        </w:rPr>
        <w:t>1 de manière à permettre le dépôt et le traitement des demandes internationales contenant des dessins en couleur, en tenant compte des observations formulées.</w:t>
      </w:r>
    </w:p>
    <w:p w14:paraId="3A0EDD64" w14:textId="0255709D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7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Identifiant mondial dans le cadre</w:t>
      </w:r>
      <w:r w:rsidRPr="0029721C">
        <w:rPr>
          <w:lang w:val="fr-FR"/>
        </w:rPr>
        <w:t xml:space="preserve"> du PCT</w:t>
      </w:r>
    </w:p>
    <w:p w14:paraId="675016EC" w14:textId="26E242AD" w:rsidR="009D5F5D" w:rsidRDefault="009D5F5D" w:rsidP="0055325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T/WG/17/13.</w:t>
      </w:r>
    </w:p>
    <w:p w14:paraId="2127F4C2" w14:textId="05E20113" w:rsidR="00590F80" w:rsidRPr="0029721C" w:rsidRDefault="00590F80" w:rsidP="00553250">
      <w:pPr>
        <w:pStyle w:val="ONUMFS"/>
        <w:tabs>
          <w:tab w:val="clear" w:pos="1844"/>
          <w:tab w:val="left" w:pos="1134"/>
        </w:tabs>
        <w:ind w:left="567"/>
        <w:rPr>
          <w:lang w:val="fr-FR"/>
        </w:rPr>
      </w:pPr>
      <w:r w:rsidRPr="00590F80">
        <w:rPr>
          <w:lang w:val="fr-FR"/>
        </w:rPr>
        <w:t>Le groupe de travail a pris note du contenu du document</w:t>
      </w:r>
      <w:r w:rsidR="000953E0">
        <w:rPr>
          <w:lang w:val="fr-FR"/>
        </w:rPr>
        <w:t> </w:t>
      </w:r>
      <w:r w:rsidRPr="00590F80">
        <w:rPr>
          <w:lang w:val="fr-FR"/>
        </w:rPr>
        <w:t>PCT/WG/17/13.</w:t>
      </w:r>
    </w:p>
    <w:p w14:paraId="068C5486" w14:textId="52E67B87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8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Critères de réduction des taxes accordées aux déposants de certains pays, notamment les pays en développement et les pays les moins avancés</w:t>
      </w:r>
    </w:p>
    <w:p w14:paraId="509344A9" w14:textId="7917849F" w:rsidR="009D5F5D" w:rsidRDefault="009D5F5D" w:rsidP="0055325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T/WG/17/5</w:t>
      </w:r>
      <w:r w:rsidR="00E548BE" w:rsidRPr="0029721C">
        <w:rPr>
          <w:lang w:val="fr-FR"/>
        </w:rPr>
        <w:t> </w:t>
      </w:r>
      <w:r w:rsidRPr="0029721C">
        <w:rPr>
          <w:lang w:val="fr-FR"/>
        </w:rPr>
        <w:t>Rev.</w:t>
      </w:r>
    </w:p>
    <w:p w14:paraId="6FCF42FB" w14:textId="6526F8CE" w:rsidR="00590F80" w:rsidRDefault="00590F80" w:rsidP="00553250">
      <w:pPr>
        <w:pStyle w:val="ONUMFS"/>
        <w:tabs>
          <w:tab w:val="clear" w:pos="1844"/>
          <w:tab w:val="num" w:pos="1134"/>
        </w:tabs>
        <w:ind w:left="567"/>
        <w:rPr>
          <w:lang w:val="fr-FR"/>
        </w:rPr>
      </w:pPr>
      <w:r w:rsidRPr="00590F80">
        <w:rPr>
          <w:lang w:val="fr-FR"/>
        </w:rPr>
        <w:t>Le groupe de travail est convenu de recommander à l</w:t>
      </w:r>
      <w:r w:rsidR="00F1395C">
        <w:rPr>
          <w:lang w:val="fr-FR"/>
        </w:rPr>
        <w:t>’</w:t>
      </w:r>
      <w:r w:rsidRPr="00590F80">
        <w:rPr>
          <w:lang w:val="fr-FR"/>
        </w:rPr>
        <w:t>assemblée</w:t>
      </w:r>
      <w:r w:rsidR="00F1395C">
        <w:rPr>
          <w:lang w:val="fr-FR"/>
        </w:rPr>
        <w:t> :</w:t>
      </w:r>
    </w:p>
    <w:p w14:paraId="536947C1" w14:textId="05961E07" w:rsidR="00590F80" w:rsidRDefault="00590F80" w:rsidP="00553250">
      <w:pPr>
        <w:pStyle w:val="ONUMFS"/>
        <w:numPr>
          <w:ilvl w:val="1"/>
          <w:numId w:val="6"/>
        </w:numPr>
        <w:ind w:left="1134" w:firstLine="0"/>
        <w:rPr>
          <w:lang w:val="fr-FR"/>
        </w:rPr>
      </w:pPr>
      <w:r w:rsidRPr="00590F80">
        <w:rPr>
          <w:lang w:val="fr-FR"/>
        </w:rPr>
        <w:t xml:space="preserve">que les critères énoncés au </w:t>
      </w:r>
      <w:r w:rsidR="00F1395C" w:rsidRPr="00590F80">
        <w:rPr>
          <w:lang w:val="fr-FR"/>
        </w:rPr>
        <w:t>point</w:t>
      </w:r>
      <w:r w:rsidR="00F1395C">
        <w:rPr>
          <w:lang w:val="fr-FR"/>
        </w:rPr>
        <w:t> </w:t>
      </w:r>
      <w:r w:rsidR="00F1395C" w:rsidRPr="00590F80">
        <w:rPr>
          <w:lang w:val="fr-FR"/>
        </w:rPr>
        <w:t>5</w:t>
      </w:r>
      <w:r w:rsidRPr="00590F80">
        <w:rPr>
          <w:lang w:val="fr-FR"/>
        </w:rPr>
        <w:t xml:space="preserve"> du barème de taxes</w:t>
      </w:r>
      <w:r w:rsidR="00F1395C" w:rsidRPr="00590F80">
        <w:rPr>
          <w:lang w:val="fr-FR"/>
        </w:rPr>
        <w:t xml:space="preserve"> du</w:t>
      </w:r>
      <w:r w:rsidR="00F1395C">
        <w:rPr>
          <w:lang w:val="fr-FR"/>
        </w:rPr>
        <w:t> </w:t>
      </w:r>
      <w:r w:rsidR="00F1395C" w:rsidRPr="00590F80">
        <w:rPr>
          <w:lang w:val="fr-FR"/>
        </w:rPr>
        <w:t>PCT</w:t>
      </w:r>
      <w:r w:rsidRPr="00590F80">
        <w:rPr>
          <w:lang w:val="fr-FR"/>
        </w:rPr>
        <w:t xml:space="preserve"> soient maintenus et que l</w:t>
      </w:r>
      <w:r w:rsidR="00F1395C">
        <w:rPr>
          <w:lang w:val="fr-FR"/>
        </w:rPr>
        <w:t>’</w:t>
      </w:r>
      <w:r w:rsidRPr="00590F80">
        <w:rPr>
          <w:lang w:val="fr-FR"/>
        </w:rPr>
        <w:t>assemblée les réexamine dans cinq</w:t>
      </w:r>
      <w:r w:rsidR="004A6368">
        <w:rPr>
          <w:lang w:val="fr-FR"/>
        </w:rPr>
        <w:t> </w:t>
      </w:r>
      <w:r w:rsidRPr="00590F80">
        <w:rPr>
          <w:lang w:val="fr-FR"/>
        </w:rPr>
        <w:t>ans;</w:t>
      </w:r>
    </w:p>
    <w:p w14:paraId="1593AA74" w14:textId="5F3CA350" w:rsidR="00590F80" w:rsidRPr="00590F80" w:rsidRDefault="00590F80" w:rsidP="00553250">
      <w:pPr>
        <w:pStyle w:val="ONUMFS"/>
        <w:numPr>
          <w:ilvl w:val="1"/>
          <w:numId w:val="6"/>
        </w:numPr>
        <w:ind w:left="1134" w:firstLine="0"/>
        <w:rPr>
          <w:lang w:val="fr-FR"/>
        </w:rPr>
      </w:pPr>
      <w:r w:rsidRPr="00590F80">
        <w:rPr>
          <w:lang w:val="fr-FR"/>
        </w:rPr>
        <w:t>que les propositions de modification des Directives concernant la mise à jour des listes des États satisfaisant aux critères donnant droit à la réduction de certaines taxes</w:t>
      </w:r>
      <w:r w:rsidR="00F1395C" w:rsidRPr="00590F80">
        <w:rPr>
          <w:lang w:val="fr-FR"/>
        </w:rPr>
        <w:t xml:space="preserve"> du</w:t>
      </w:r>
      <w:r w:rsidR="00F1395C">
        <w:rPr>
          <w:lang w:val="fr-FR"/>
        </w:rPr>
        <w:t> </w:t>
      </w:r>
      <w:r w:rsidR="00F1395C" w:rsidRPr="00590F80">
        <w:rPr>
          <w:lang w:val="fr-FR"/>
        </w:rPr>
        <w:t>PCT</w:t>
      </w:r>
      <w:r w:rsidR="00E30923">
        <w:rPr>
          <w:lang w:val="fr-FR"/>
        </w:rPr>
        <w:t>,</w:t>
      </w:r>
      <w:r w:rsidRPr="00590F80">
        <w:rPr>
          <w:lang w:val="fr-FR"/>
        </w:rPr>
        <w:t xml:space="preserve"> figurant à l</w:t>
      </w:r>
      <w:r w:rsidR="00F1395C">
        <w:rPr>
          <w:lang w:val="fr-FR"/>
        </w:rPr>
        <w:t>’</w:t>
      </w:r>
      <w:r w:rsidR="00F1395C" w:rsidRPr="00590F80">
        <w:rPr>
          <w:lang w:val="fr-FR"/>
        </w:rPr>
        <w:t>annexe</w:t>
      </w:r>
      <w:r w:rsidR="00F1395C">
        <w:rPr>
          <w:lang w:val="fr-FR"/>
        </w:rPr>
        <w:t> </w:t>
      </w:r>
      <w:r w:rsidR="00F1395C" w:rsidRPr="00590F80">
        <w:rPr>
          <w:lang w:val="fr-FR"/>
        </w:rPr>
        <w:t>I</w:t>
      </w:r>
      <w:r w:rsidRPr="00590F80">
        <w:rPr>
          <w:lang w:val="fr-FR"/>
        </w:rPr>
        <w:t>I du document</w:t>
      </w:r>
      <w:r w:rsidR="000953E0">
        <w:rPr>
          <w:lang w:val="fr-FR"/>
        </w:rPr>
        <w:t> </w:t>
      </w:r>
      <w:r w:rsidRPr="00590F80">
        <w:rPr>
          <w:lang w:val="fr-FR"/>
        </w:rPr>
        <w:t>PCT/WG/17/5</w:t>
      </w:r>
      <w:r>
        <w:rPr>
          <w:lang w:val="fr-FR"/>
        </w:rPr>
        <w:t> </w:t>
      </w:r>
      <w:r w:rsidRPr="00590F80">
        <w:rPr>
          <w:lang w:val="fr-FR"/>
        </w:rPr>
        <w:t>Rev.</w:t>
      </w:r>
      <w:r w:rsidR="00E30923">
        <w:rPr>
          <w:lang w:val="fr-FR"/>
        </w:rPr>
        <w:t>,</w:t>
      </w:r>
      <w:r w:rsidRPr="00590F80">
        <w:rPr>
          <w:lang w:val="fr-FR"/>
        </w:rPr>
        <w:t xml:space="preserve"> soient adoptées</w:t>
      </w:r>
      <w:r w:rsidR="00E30923">
        <w:rPr>
          <w:lang w:val="fr-FR"/>
        </w:rPr>
        <w:t xml:space="preserve">.  </w:t>
      </w:r>
    </w:p>
    <w:p w14:paraId="3CBDF923" w14:textId="053D7675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1</w:t>
      </w:r>
      <w:r w:rsidR="009D5F5D" w:rsidRPr="0029721C">
        <w:rPr>
          <w:lang w:val="fr-FR"/>
        </w:rPr>
        <w:t>9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Listages de séquences</w:t>
      </w:r>
    </w:p>
    <w:p w14:paraId="5F0B8336" w14:textId="7904C737" w:rsidR="009D5F5D" w:rsidRPr="008254B7" w:rsidRDefault="009D5F5D" w:rsidP="008254B7">
      <w:pPr>
        <w:pStyle w:val="Heading2"/>
        <w:ind w:left="567"/>
      </w:pPr>
      <w:r w:rsidRPr="008254B7">
        <w:t>Mise en œuvre de la norme</w:t>
      </w:r>
      <w:r w:rsidR="00E548BE" w:rsidRPr="008254B7">
        <w:t> </w:t>
      </w:r>
      <w:r w:rsidRPr="008254B7">
        <w:t>ST.26 de l</w:t>
      </w:r>
      <w:r w:rsidR="00F1395C">
        <w:t>’</w:t>
      </w:r>
      <w:r w:rsidRPr="008254B7">
        <w:t>OMPI dans le cadre</w:t>
      </w:r>
      <w:r w:rsidR="00653ADB" w:rsidRPr="008254B7">
        <w:t xml:space="preserve"> du PCT</w:t>
      </w:r>
    </w:p>
    <w:p w14:paraId="57B5A41B" w14:textId="45F16510" w:rsidR="009D5F5D" w:rsidRDefault="009D5F5D" w:rsidP="0055325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T/WG/17/3.</w:t>
      </w:r>
    </w:p>
    <w:p w14:paraId="3C4F94C4" w14:textId="32EEC824" w:rsidR="00590F80" w:rsidRPr="00590F80" w:rsidRDefault="00590F80" w:rsidP="00590F80">
      <w:pPr>
        <w:pStyle w:val="ONUMFS"/>
        <w:tabs>
          <w:tab w:val="clear" w:pos="1844"/>
          <w:tab w:val="num" w:pos="567"/>
        </w:tabs>
        <w:ind w:left="567"/>
        <w:rPr>
          <w:lang w:val="fr-FR"/>
        </w:rPr>
      </w:pPr>
      <w:r w:rsidRPr="00590F80">
        <w:rPr>
          <w:lang w:val="fr-FR"/>
        </w:rPr>
        <w:t>Le groupe de travail a pris note du contenu du document</w:t>
      </w:r>
      <w:r w:rsidR="000953E0">
        <w:rPr>
          <w:lang w:val="fr-FR"/>
        </w:rPr>
        <w:t> </w:t>
      </w:r>
      <w:r w:rsidRPr="00590F80">
        <w:rPr>
          <w:lang w:val="fr-FR"/>
        </w:rPr>
        <w:t>PCT/WG/17/3.</w:t>
      </w:r>
    </w:p>
    <w:p w14:paraId="1611BE80" w14:textId="3B880451" w:rsidR="00003E69" w:rsidRPr="0029721C" w:rsidRDefault="009D5F5D" w:rsidP="008254B7">
      <w:pPr>
        <w:pStyle w:val="Heading2"/>
        <w:ind w:left="567"/>
      </w:pPr>
      <w:r w:rsidRPr="0029721C">
        <w:lastRenderedPageBreak/>
        <w:t>Rapport sur l</w:t>
      </w:r>
      <w:r w:rsidR="00F1395C">
        <w:t>’</w:t>
      </w:r>
      <w:r w:rsidRPr="0029721C">
        <w:t>état d</w:t>
      </w:r>
      <w:r w:rsidR="00F1395C">
        <w:t>’</w:t>
      </w:r>
      <w:r w:rsidRPr="0029721C">
        <w:t>avancement des travaux de l</w:t>
      </w:r>
      <w:r w:rsidR="00F1395C">
        <w:t>’</w:t>
      </w:r>
      <w:r w:rsidRPr="0029721C">
        <w:t>Équipe d</w:t>
      </w:r>
      <w:r w:rsidR="00F1395C">
        <w:t>’</w:t>
      </w:r>
      <w:r w:rsidRPr="0029721C">
        <w:t>experts chargée de la norme relative aux listages de séquences</w:t>
      </w:r>
    </w:p>
    <w:p w14:paraId="336A4313" w14:textId="20C9695A" w:rsidR="00590F80" w:rsidRDefault="009D5F5D" w:rsidP="0055325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T/WG/17/18.</w:t>
      </w:r>
    </w:p>
    <w:p w14:paraId="5F10EA76" w14:textId="22D47751" w:rsidR="00590F80" w:rsidRPr="00590F80" w:rsidRDefault="00590F80" w:rsidP="00590F80">
      <w:pPr>
        <w:pStyle w:val="ONUMFS"/>
        <w:tabs>
          <w:tab w:val="clear" w:pos="1844"/>
          <w:tab w:val="num" w:pos="567"/>
        </w:tabs>
        <w:ind w:left="567"/>
        <w:rPr>
          <w:lang w:val="fr-FR"/>
        </w:rPr>
      </w:pPr>
      <w:r>
        <w:rPr>
          <w:lang w:val="fr-FR"/>
        </w:rPr>
        <w:t>L</w:t>
      </w:r>
      <w:r w:rsidRPr="00590F80">
        <w:rPr>
          <w:lang w:val="fr-FR"/>
        </w:rPr>
        <w:t>e groupe de travail a pris note du contenu du document</w:t>
      </w:r>
      <w:r w:rsidR="000953E0">
        <w:rPr>
          <w:lang w:val="fr-FR"/>
        </w:rPr>
        <w:t> </w:t>
      </w:r>
      <w:r w:rsidRPr="00590F80">
        <w:rPr>
          <w:lang w:val="fr-FR"/>
        </w:rPr>
        <w:t>PCT/WG/17/18.</w:t>
      </w:r>
    </w:p>
    <w:p w14:paraId="14C2E8DC" w14:textId="0A645860" w:rsidR="009D5F5D" w:rsidRPr="0029721C" w:rsidRDefault="009D5F5D" w:rsidP="008254B7">
      <w:pPr>
        <w:pStyle w:val="Heading2"/>
        <w:ind w:left="567"/>
      </w:pPr>
      <w:r w:rsidRPr="0029721C">
        <w:t>Transmission des listages de séquences dans le cadre des documents de priorité</w:t>
      </w:r>
    </w:p>
    <w:p w14:paraId="146BF81F" w14:textId="229CA5F6" w:rsidR="009D5F5D" w:rsidRDefault="009D5F5D" w:rsidP="0055325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T/WG/17/4.</w:t>
      </w:r>
    </w:p>
    <w:p w14:paraId="7D38961F" w14:textId="4673E099" w:rsidR="00590F80" w:rsidRPr="00590F80" w:rsidRDefault="00590F80" w:rsidP="00590F80">
      <w:pPr>
        <w:pStyle w:val="ONUMFS"/>
        <w:tabs>
          <w:tab w:val="clear" w:pos="1844"/>
          <w:tab w:val="num" w:pos="567"/>
        </w:tabs>
        <w:ind w:left="567"/>
        <w:rPr>
          <w:lang w:val="fr-FR"/>
        </w:rPr>
      </w:pPr>
      <w:r w:rsidRPr="00590F80">
        <w:rPr>
          <w:lang w:val="fr-FR"/>
        </w:rPr>
        <w:t>Le groupe de travail a pris note du contenu du document</w:t>
      </w:r>
      <w:r w:rsidR="000953E0">
        <w:rPr>
          <w:lang w:val="fr-FR"/>
        </w:rPr>
        <w:t> </w:t>
      </w:r>
      <w:r w:rsidRPr="00590F80">
        <w:rPr>
          <w:lang w:val="fr-FR"/>
        </w:rPr>
        <w:t>PCT/WG/17/4.</w:t>
      </w:r>
    </w:p>
    <w:p w14:paraId="0D1A7995" w14:textId="22A21269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2</w:t>
      </w:r>
      <w:r w:rsidR="009D5F5D" w:rsidRPr="0029721C">
        <w:rPr>
          <w:lang w:val="fr-FR"/>
        </w:rPr>
        <w:t>0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Équipe d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experts chargée de la documentation minimale</w:t>
      </w:r>
      <w:r w:rsidRPr="0029721C">
        <w:rPr>
          <w:lang w:val="fr-FR"/>
        </w:rPr>
        <w:t xml:space="preserve"> du PCT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Rapport sur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état d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avancement des travaux</w:t>
      </w:r>
    </w:p>
    <w:p w14:paraId="4BB70512" w14:textId="4188C85C" w:rsidR="009D5F5D" w:rsidRDefault="009D5F5D" w:rsidP="00553250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T/WG/17/16.</w:t>
      </w:r>
    </w:p>
    <w:p w14:paraId="3902C489" w14:textId="0DD5741B" w:rsidR="00590F80" w:rsidRPr="00590F80" w:rsidRDefault="00590F80" w:rsidP="00590F80">
      <w:pPr>
        <w:pStyle w:val="ONUMFS"/>
        <w:tabs>
          <w:tab w:val="clear" w:pos="1844"/>
          <w:tab w:val="num" w:pos="567"/>
        </w:tabs>
        <w:ind w:left="567"/>
        <w:rPr>
          <w:lang w:val="fr-FR"/>
        </w:rPr>
      </w:pPr>
      <w:r w:rsidRPr="00590F80">
        <w:rPr>
          <w:lang w:val="fr-FR"/>
        </w:rPr>
        <w:t>Le groupe de travail a pris note du contenu du document</w:t>
      </w:r>
      <w:r w:rsidR="000953E0">
        <w:rPr>
          <w:lang w:val="fr-FR"/>
        </w:rPr>
        <w:t> </w:t>
      </w:r>
      <w:r w:rsidRPr="00590F80">
        <w:rPr>
          <w:lang w:val="fr-FR"/>
        </w:rPr>
        <w:t>PCT/WG/17/16.</w:t>
      </w:r>
    </w:p>
    <w:p w14:paraId="474A695E" w14:textId="5D2EE458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2</w:t>
      </w:r>
      <w:r w:rsidR="009D5F5D" w:rsidRPr="0029721C">
        <w:rPr>
          <w:lang w:val="fr-FR"/>
        </w:rPr>
        <w:t>1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Rapport </w:t>
      </w:r>
      <w:r w:rsidR="001D0A6B">
        <w:rPr>
          <w:lang w:val="fr-FR"/>
        </w:rPr>
        <w:t xml:space="preserve">Final </w:t>
      </w:r>
      <w:r w:rsidR="009D5F5D" w:rsidRPr="0029721C">
        <w:rPr>
          <w:lang w:val="fr-FR"/>
        </w:rPr>
        <w:t>du projet de recherche et d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examen en collaboration dans le cadre</w:t>
      </w:r>
      <w:r w:rsidRPr="0029721C">
        <w:rPr>
          <w:lang w:val="fr-FR"/>
        </w:rPr>
        <w:t xml:space="preserve"> du PCT</w:t>
      </w:r>
      <w:r w:rsidR="009D5F5D" w:rsidRPr="0029721C">
        <w:rPr>
          <w:lang w:val="fr-FR"/>
        </w:rPr>
        <w:t xml:space="preserve"> mené par les offices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IP5</w:t>
      </w:r>
    </w:p>
    <w:p w14:paraId="0CB90F39" w14:textId="6AC64492" w:rsidR="009D5F5D" w:rsidRDefault="009D5F5D" w:rsidP="00874CAF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 xml:space="preserve">Les délibérations ont eu lieu sur la base du </w:t>
      </w:r>
      <w:r w:rsidR="00F1395C" w:rsidRPr="0029721C">
        <w:rPr>
          <w:lang w:val="fr-FR"/>
        </w:rPr>
        <w:t>document</w:t>
      </w:r>
      <w:r w:rsidR="000953E0">
        <w:rPr>
          <w:lang w:val="fr-FR"/>
        </w:rPr>
        <w:t> </w:t>
      </w:r>
      <w:r w:rsidR="00F1395C" w:rsidRPr="0029721C">
        <w:rPr>
          <w:lang w:val="fr-FR"/>
        </w:rPr>
        <w:t>PC</w:t>
      </w:r>
      <w:r w:rsidRPr="0029721C">
        <w:rPr>
          <w:lang w:val="fr-FR"/>
        </w:rPr>
        <w:t>T/WG/17/17.</w:t>
      </w:r>
    </w:p>
    <w:p w14:paraId="72E965BB" w14:textId="12D12243" w:rsidR="00590F80" w:rsidRPr="00590F80" w:rsidRDefault="00590F80" w:rsidP="00590F80">
      <w:pPr>
        <w:pStyle w:val="ONUMFS"/>
        <w:tabs>
          <w:tab w:val="clear" w:pos="1844"/>
          <w:tab w:val="num" w:pos="567"/>
        </w:tabs>
        <w:ind w:left="567"/>
        <w:rPr>
          <w:lang w:val="fr-FR"/>
        </w:rPr>
      </w:pPr>
      <w:r w:rsidRPr="00590F80">
        <w:rPr>
          <w:lang w:val="fr-FR"/>
        </w:rPr>
        <w:t>Le groupe de travail a pris note du contenu du document</w:t>
      </w:r>
      <w:r w:rsidR="000953E0">
        <w:rPr>
          <w:lang w:val="fr-FR"/>
        </w:rPr>
        <w:t> </w:t>
      </w:r>
      <w:r w:rsidRPr="00590F80">
        <w:rPr>
          <w:lang w:val="fr-FR"/>
        </w:rPr>
        <w:t>PCT/WG/17/17.</w:t>
      </w:r>
    </w:p>
    <w:p w14:paraId="2757E3D1" w14:textId="1D851D0E" w:rsidR="00653ADB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2</w:t>
      </w:r>
      <w:r w:rsidR="009D5F5D" w:rsidRPr="0029721C">
        <w:rPr>
          <w:lang w:val="fr-FR"/>
        </w:rPr>
        <w:t>2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Atelier d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échange d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informations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Procédure accélérée d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examen de demandes de brevet (PPH) dans le cadre</w:t>
      </w:r>
      <w:r w:rsidRPr="0029721C">
        <w:rPr>
          <w:lang w:val="fr-FR"/>
        </w:rPr>
        <w:t xml:space="preserve"> du PCT</w:t>
      </w:r>
    </w:p>
    <w:p w14:paraId="6639F6EF" w14:textId="0420BEBC" w:rsidR="009D5F5D" w:rsidRPr="0029721C" w:rsidRDefault="009D5F5D" w:rsidP="00874CAF">
      <w:pPr>
        <w:pStyle w:val="ONUMFS"/>
        <w:tabs>
          <w:tab w:val="clear" w:pos="1844"/>
          <w:tab w:val="num" w:pos="567"/>
        </w:tabs>
        <w:ind w:left="0"/>
        <w:rPr>
          <w:lang w:val="fr-FR"/>
        </w:rPr>
      </w:pPr>
      <w:r w:rsidRPr="0029721C">
        <w:rPr>
          <w:lang w:val="fr-FR"/>
        </w:rPr>
        <w:t>Le groupe de travail a tenu une séance d</w:t>
      </w:r>
      <w:r w:rsidR="00F1395C">
        <w:rPr>
          <w:lang w:val="fr-FR"/>
        </w:rPr>
        <w:t>’</w:t>
      </w:r>
      <w:r w:rsidRPr="0029721C">
        <w:rPr>
          <w:lang w:val="fr-FR"/>
        </w:rPr>
        <w:t>échange d</w:t>
      </w:r>
      <w:r w:rsidR="00F1395C">
        <w:rPr>
          <w:lang w:val="fr-FR"/>
        </w:rPr>
        <w:t>’</w:t>
      </w:r>
      <w:r w:rsidRPr="0029721C">
        <w:rPr>
          <w:lang w:val="fr-FR"/>
        </w:rPr>
        <w:t>informations sur la Procédure accélérée d</w:t>
      </w:r>
      <w:r w:rsidR="00F1395C">
        <w:rPr>
          <w:lang w:val="fr-FR"/>
        </w:rPr>
        <w:t>’</w:t>
      </w:r>
      <w:r w:rsidRPr="0029721C">
        <w:rPr>
          <w:lang w:val="fr-FR"/>
        </w:rPr>
        <w:t>examen de demandes de brevet (PPH) dans le cadre du PCT</w:t>
      </w:r>
      <w:r w:rsidRPr="0029721C">
        <w:rPr>
          <w:rStyle w:val="FootnoteReference"/>
          <w:lang w:val="fr-FR"/>
        </w:rPr>
        <w:footnoteReference w:id="3"/>
      </w:r>
      <w:r w:rsidRPr="0029721C">
        <w:rPr>
          <w:lang w:val="fr-FR"/>
        </w:rPr>
        <w:t>.</w:t>
      </w:r>
    </w:p>
    <w:p w14:paraId="58C32CED" w14:textId="3472219D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2</w:t>
      </w:r>
      <w:r w:rsidR="009D5F5D" w:rsidRPr="0029721C">
        <w:rPr>
          <w:lang w:val="fr-FR"/>
        </w:rPr>
        <w:t>3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Questions diverses</w:t>
      </w:r>
    </w:p>
    <w:p w14:paraId="529F74D6" w14:textId="6B5C3A87" w:rsidR="009D5F5D" w:rsidRPr="008254B7" w:rsidRDefault="009D5F5D" w:rsidP="00874CAF">
      <w:pPr>
        <w:pStyle w:val="ONUMFS"/>
        <w:tabs>
          <w:tab w:val="clear" w:pos="1844"/>
          <w:tab w:val="num" w:pos="1134"/>
        </w:tabs>
        <w:ind w:left="567"/>
        <w:rPr>
          <w:iCs/>
          <w:lang w:val="fr-FR"/>
        </w:rPr>
      </w:pPr>
      <w:r w:rsidRPr="008254B7">
        <w:rPr>
          <w:iCs/>
          <w:lang w:val="fr-FR"/>
        </w:rPr>
        <w:t>Le Bureau international a indiqué que la dix</w:t>
      </w:r>
      <w:r w:rsidR="00F1395C">
        <w:rPr>
          <w:iCs/>
          <w:lang w:val="fr-FR"/>
        </w:rPr>
        <w:t>-</w:t>
      </w:r>
      <w:r w:rsidRPr="008254B7">
        <w:rPr>
          <w:iCs/>
          <w:lang w:val="fr-FR"/>
        </w:rPr>
        <w:t>huit</w:t>
      </w:r>
      <w:r w:rsidR="00F1395C">
        <w:rPr>
          <w:iCs/>
          <w:lang w:val="fr-FR"/>
        </w:rPr>
        <w:t>ième session</w:t>
      </w:r>
      <w:r w:rsidRPr="008254B7">
        <w:rPr>
          <w:iCs/>
          <w:lang w:val="fr-FR"/>
        </w:rPr>
        <w:t xml:space="preserve"> du groupe de travail se tiendrait probablement vers février ou </w:t>
      </w:r>
      <w:r w:rsidR="00653ADB" w:rsidRPr="008254B7">
        <w:rPr>
          <w:iCs/>
          <w:lang w:val="fr-FR"/>
        </w:rPr>
        <w:t>mars 20</w:t>
      </w:r>
      <w:r w:rsidRPr="008254B7">
        <w:rPr>
          <w:iCs/>
          <w:lang w:val="fr-FR"/>
        </w:rPr>
        <w:t>25 et a noté que les discussions informelles se poursuivraient dans l</w:t>
      </w:r>
      <w:r w:rsidR="00F1395C">
        <w:rPr>
          <w:iCs/>
          <w:lang w:val="fr-FR"/>
        </w:rPr>
        <w:t>’</w:t>
      </w:r>
      <w:r w:rsidRPr="008254B7">
        <w:rPr>
          <w:iCs/>
          <w:lang w:val="fr-FR"/>
        </w:rPr>
        <w:t>intervalle pour tenter de progresser, en particulier sur les questions techniques concernant le développement du traitement en texte intégral et les dessins en couleur.</w:t>
      </w:r>
    </w:p>
    <w:p w14:paraId="4A520F6E" w14:textId="0D42FA58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2</w:t>
      </w:r>
      <w:r w:rsidR="009D5F5D" w:rsidRPr="0029721C">
        <w:rPr>
          <w:lang w:val="fr-FR"/>
        </w:rPr>
        <w:t>4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Résumé présenté par la présidente</w:t>
      </w:r>
    </w:p>
    <w:p w14:paraId="4926D90F" w14:textId="77777777" w:rsidR="009D5F5D" w:rsidRPr="008254B7" w:rsidRDefault="009D5F5D" w:rsidP="00874CAF">
      <w:pPr>
        <w:pStyle w:val="ONUMFS"/>
        <w:tabs>
          <w:tab w:val="clear" w:pos="1844"/>
          <w:tab w:val="num" w:pos="1134"/>
        </w:tabs>
        <w:ind w:left="567"/>
        <w:rPr>
          <w:iCs/>
          <w:lang w:val="fr-FR"/>
        </w:rPr>
      </w:pPr>
      <w:r w:rsidRPr="008254B7">
        <w:rPr>
          <w:iCs/>
          <w:lang w:val="fr-FR"/>
        </w:rPr>
        <w:t>Le groupe de travail a pris note du présent résumé, établi sous la responsabilité de la présidente.</w:t>
      </w:r>
    </w:p>
    <w:p w14:paraId="7261F614" w14:textId="2DEC81C0" w:rsidR="009D5F5D" w:rsidRPr="0029721C" w:rsidRDefault="00653ADB" w:rsidP="008254B7">
      <w:pPr>
        <w:pStyle w:val="Heading1"/>
        <w:rPr>
          <w:lang w:val="fr-FR"/>
        </w:rPr>
      </w:pPr>
      <w:r w:rsidRPr="0029721C">
        <w:rPr>
          <w:lang w:val="fr-FR"/>
        </w:rPr>
        <w:t>Point 2</w:t>
      </w:r>
      <w:r w:rsidR="009D5F5D" w:rsidRPr="0029721C">
        <w:rPr>
          <w:lang w:val="fr-FR"/>
        </w:rPr>
        <w:t>5 de l</w:t>
      </w:r>
      <w:r w:rsidR="00F1395C">
        <w:rPr>
          <w:lang w:val="fr-FR"/>
        </w:rPr>
        <w:t>’</w:t>
      </w:r>
      <w:r w:rsidR="009D5F5D" w:rsidRPr="0029721C">
        <w:rPr>
          <w:lang w:val="fr-FR"/>
        </w:rPr>
        <w:t>ordre du jour</w:t>
      </w:r>
      <w:r w:rsidR="00F1395C">
        <w:rPr>
          <w:lang w:val="fr-FR"/>
        </w:rPr>
        <w:t> :</w:t>
      </w:r>
      <w:r w:rsidR="009D5F5D" w:rsidRPr="0029721C">
        <w:rPr>
          <w:lang w:val="fr-FR"/>
        </w:rPr>
        <w:t xml:space="preserve"> Clôture de la session</w:t>
      </w:r>
    </w:p>
    <w:p w14:paraId="79764BC0" w14:textId="2B3B55A5" w:rsidR="009D5F5D" w:rsidRPr="0029721C" w:rsidRDefault="009D5F5D" w:rsidP="00874CAF">
      <w:pPr>
        <w:pStyle w:val="ONUMFS"/>
        <w:tabs>
          <w:tab w:val="clear" w:pos="1844"/>
          <w:tab w:val="num" w:pos="567"/>
        </w:tabs>
        <w:spacing w:after="480"/>
        <w:ind w:left="0"/>
        <w:rPr>
          <w:lang w:val="fr-FR"/>
        </w:rPr>
      </w:pPr>
      <w:r w:rsidRPr="0029721C">
        <w:rPr>
          <w:lang w:val="fr-FR"/>
        </w:rPr>
        <w:t>La présidente a prononcé la clôture de la session le 2</w:t>
      </w:r>
      <w:r w:rsidR="00653ADB" w:rsidRPr="0029721C">
        <w:rPr>
          <w:lang w:val="fr-FR"/>
        </w:rPr>
        <w:t>1 février 20</w:t>
      </w:r>
      <w:r w:rsidRPr="0029721C">
        <w:rPr>
          <w:lang w:val="fr-FR"/>
        </w:rPr>
        <w:t>24.</w:t>
      </w:r>
    </w:p>
    <w:p w14:paraId="7BED45BB" w14:textId="77777777" w:rsidR="00590F80" w:rsidRDefault="009D5F5D" w:rsidP="0029721C">
      <w:pPr>
        <w:pStyle w:val="Endofdocument-Annex"/>
        <w:spacing w:before="720"/>
        <w:rPr>
          <w:lang w:val="fr-FR"/>
        </w:rPr>
        <w:sectPr w:rsidR="00590F80" w:rsidSect="009D5F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9721C">
        <w:rPr>
          <w:lang w:val="fr-FR"/>
        </w:rPr>
        <w:t>[</w:t>
      </w:r>
      <w:r w:rsidR="00590F80">
        <w:rPr>
          <w:lang w:val="fr-FR"/>
        </w:rPr>
        <w:t>Les annexes suivent</w:t>
      </w:r>
      <w:r w:rsidRPr="0029721C">
        <w:rPr>
          <w:lang w:val="fr-FR"/>
        </w:rPr>
        <w:t>]</w:t>
      </w:r>
    </w:p>
    <w:p w14:paraId="5797C4A9" w14:textId="0E3530C4" w:rsidR="00844068" w:rsidRPr="00844068" w:rsidRDefault="00844068" w:rsidP="00844068">
      <w:pPr>
        <w:jc w:val="center"/>
      </w:pPr>
      <w:r w:rsidRPr="00844068">
        <w:lastRenderedPageBreak/>
        <w:t>PROPOSITIONS DE MODIFICATION DU RÈGLEMENT D</w:t>
      </w:r>
      <w:r w:rsidR="00F1395C">
        <w:t>’</w:t>
      </w:r>
      <w:r w:rsidRPr="00844068">
        <w:t>EXÉCUTION DU PCT</w:t>
      </w:r>
    </w:p>
    <w:p w14:paraId="74606CEB" w14:textId="2D02A91E" w:rsidR="00844068" w:rsidRPr="00844068" w:rsidRDefault="00844068" w:rsidP="00844068">
      <w:pPr>
        <w:jc w:val="center"/>
      </w:pPr>
      <w:r w:rsidRPr="00844068">
        <w:t>VISÉES AU POINT</w:t>
      </w:r>
      <w:r w:rsidR="000953E0">
        <w:t> </w:t>
      </w:r>
      <w:r w:rsidRPr="00844068">
        <w:t>13 DE L</w:t>
      </w:r>
      <w:r w:rsidR="00F1395C">
        <w:t>’</w:t>
      </w:r>
      <w:r w:rsidRPr="00844068">
        <w:t>ORDRE DU JOUR</w:t>
      </w:r>
    </w:p>
    <w:p w14:paraId="323F784C" w14:textId="77777777" w:rsidR="00844068" w:rsidRPr="00844068" w:rsidRDefault="00844068" w:rsidP="00844068"/>
    <w:p w14:paraId="47F6B814" w14:textId="2D4F5724" w:rsidR="00844068" w:rsidRPr="00844068" w:rsidRDefault="00844068" w:rsidP="00844068">
      <w:pPr>
        <w:pStyle w:val="LegTitle"/>
        <w:pageBreakBefore w:val="0"/>
      </w:pPr>
      <w:bookmarkStart w:id="6" w:name="_Toc114584490"/>
      <w:bookmarkStart w:id="7" w:name="_Toc114827706"/>
      <w:bookmarkStart w:id="8" w:name="_Toc156400646"/>
      <w:r w:rsidRPr="00844068">
        <w:t xml:space="preserve">Règle 26 </w:t>
      </w:r>
      <w:r w:rsidRPr="00724DBD">
        <w:rPr>
          <w:vanish/>
        </w:rPr>
        <w:t xml:space="preserve"> </w:t>
      </w:r>
      <w:r w:rsidRPr="00844068">
        <w:br/>
      </w:r>
      <w:bookmarkEnd w:id="6"/>
      <w:r w:rsidRPr="00844068">
        <w:t>Contrôle et correction de certains éléments de la demande internationale auprès de l</w:t>
      </w:r>
      <w:r w:rsidR="00F1395C">
        <w:t>’</w:t>
      </w:r>
      <w:r w:rsidRPr="00844068">
        <w:t>office récepteur</w:t>
      </w:r>
      <w:bookmarkEnd w:id="7"/>
      <w:bookmarkEnd w:id="8"/>
    </w:p>
    <w:p w14:paraId="5F00A125" w14:textId="48A9A44E" w:rsidR="00844068" w:rsidRPr="00844068" w:rsidRDefault="00844068" w:rsidP="00BC6731">
      <w:pPr>
        <w:pStyle w:val="ONUMFS"/>
        <w:numPr>
          <w:ilvl w:val="0"/>
          <w:numId w:val="0"/>
        </w:numPr>
        <w:spacing w:line="360" w:lineRule="auto"/>
        <w:rPr>
          <w:i/>
          <w:iCs/>
        </w:rPr>
      </w:pPr>
      <w:bookmarkStart w:id="9" w:name="_Toc114827707"/>
      <w:bookmarkStart w:id="10" w:name="_Toc156400647"/>
      <w:r w:rsidRPr="00844068">
        <w:t>26.1 à 26.3</w:t>
      </w:r>
      <w:r w:rsidRPr="006777A8">
        <w:rPr>
          <w:i/>
          <w:iCs/>
        </w:rPr>
        <w:t>bis</w:t>
      </w:r>
      <w:r>
        <w:t>   </w:t>
      </w:r>
      <w:r w:rsidRPr="00844068">
        <w:rPr>
          <w:i/>
          <w:iCs/>
        </w:rPr>
        <w:t>[Sans changement]</w:t>
      </w:r>
      <w:bookmarkEnd w:id="9"/>
      <w:bookmarkEnd w:id="10"/>
    </w:p>
    <w:p w14:paraId="68D5C9AB" w14:textId="2F11187B" w:rsidR="00BC6731" w:rsidRDefault="00844068" w:rsidP="00BC6731">
      <w:pPr>
        <w:pStyle w:val="ONUMFS"/>
        <w:numPr>
          <w:ilvl w:val="0"/>
          <w:numId w:val="0"/>
        </w:numPr>
        <w:spacing w:line="360" w:lineRule="auto"/>
        <w:rPr>
          <w:i/>
          <w:iCs/>
        </w:rPr>
      </w:pPr>
      <w:bookmarkStart w:id="11" w:name="_Toc114827710"/>
      <w:bookmarkStart w:id="12" w:name="_Toc156400648"/>
      <w:r w:rsidRPr="006777A8">
        <w:t>26.3</w:t>
      </w:r>
      <w:r w:rsidRPr="006777A8">
        <w:rPr>
          <w:i/>
          <w:iCs/>
        </w:rPr>
        <w:t>ter</w:t>
      </w:r>
      <w:r>
        <w:rPr>
          <w:i/>
          <w:iCs/>
        </w:rPr>
        <w:t>   </w:t>
      </w:r>
      <w:r w:rsidRPr="00844068">
        <w:rPr>
          <w:i/>
          <w:iCs/>
        </w:rPr>
        <w:t>Invitation à corriger des irrégularités en vertu de l</w:t>
      </w:r>
      <w:r w:rsidR="00F1395C">
        <w:rPr>
          <w:i/>
          <w:iCs/>
        </w:rPr>
        <w:t>’</w:t>
      </w:r>
      <w:r w:rsidRPr="00844068">
        <w:rPr>
          <w:i/>
          <w:iCs/>
        </w:rPr>
        <w:t>article 3.4)i)</w:t>
      </w:r>
      <w:bookmarkEnd w:id="11"/>
      <w:bookmarkEnd w:id="12"/>
    </w:p>
    <w:p w14:paraId="2EC21297" w14:textId="175A6D1C" w:rsidR="00BC6731" w:rsidRPr="00BC6731" w:rsidRDefault="00844068" w:rsidP="00BC6731">
      <w:pPr>
        <w:pStyle w:val="ONUMFS"/>
        <w:numPr>
          <w:ilvl w:val="0"/>
          <w:numId w:val="0"/>
        </w:numPr>
        <w:spacing w:line="360" w:lineRule="auto"/>
        <w:rPr>
          <w:i/>
          <w:iCs/>
        </w:rPr>
      </w:pPr>
      <w:r w:rsidRPr="00844068">
        <w:t>a) Lorsque l</w:t>
      </w:r>
      <w:r w:rsidR="00F1395C">
        <w:t>’</w:t>
      </w:r>
      <w:r w:rsidRPr="00844068">
        <w:t>abrégé ou tout texte contenu dans les dessins est déposé dans une langue qui est différente de celle, sous réserve des règles 12.1</w:t>
      </w:r>
      <w:r w:rsidRPr="00844068">
        <w:rPr>
          <w:i/>
        </w:rPr>
        <w:t>bis</w:t>
      </w:r>
      <w:r w:rsidRPr="00844068">
        <w:t xml:space="preserve"> et 26.3</w:t>
      </w:r>
      <w:r w:rsidRPr="00844068">
        <w:rPr>
          <w:i/>
        </w:rPr>
        <w:t>ter.</w:t>
      </w:r>
      <w:r w:rsidRPr="00844068">
        <w:t>e), de la description et des revendications, l</w:t>
      </w:r>
      <w:r w:rsidR="00F1395C">
        <w:t>’</w:t>
      </w:r>
      <w:r w:rsidRPr="00844068">
        <w:t>office récepteur, sauf</w:t>
      </w:r>
    </w:p>
    <w:p w14:paraId="5A41460E" w14:textId="77777777" w:rsidR="00BC6731" w:rsidRPr="00BC6731" w:rsidRDefault="00844068" w:rsidP="00BC6731">
      <w:pPr>
        <w:pStyle w:val="ONUMFS"/>
        <w:numPr>
          <w:ilvl w:val="1"/>
          <w:numId w:val="6"/>
        </w:numPr>
        <w:spacing w:line="360" w:lineRule="auto"/>
        <w:ind w:left="0" w:firstLine="567"/>
        <w:rPr>
          <w:rStyle w:val="Deletedtext"/>
          <w:strike w:val="0"/>
          <w:color w:val="auto"/>
        </w:rPr>
      </w:pPr>
      <w:r w:rsidRPr="00BC6731">
        <w:t xml:space="preserve">si une traduction de la demande internationale est exigée en vertu de la règle 12.3.a) </w:t>
      </w:r>
      <w:r w:rsidRPr="00BC6731">
        <w:rPr>
          <w:rFonts w:eastAsia="Times New Roman" w:cs="Times New Roman"/>
          <w:noProof/>
          <w:snapToGrid w:val="0"/>
          <w:color w:val="0000FF"/>
          <w:u w:val="single"/>
          <w:lang w:val="fr-FR" w:eastAsia="en-US"/>
        </w:rPr>
        <w:t>dans</w:t>
      </w:r>
      <w:r w:rsidRPr="00BC6731">
        <w:rPr>
          <w:u w:val="single"/>
        </w:rPr>
        <w:t xml:space="preserve"> </w:t>
      </w:r>
      <w:r w:rsidRPr="00BC6731">
        <w:rPr>
          <w:rFonts w:eastAsia="Times New Roman" w:cs="Times New Roman"/>
          <w:noProof/>
          <w:snapToGrid w:val="0"/>
          <w:color w:val="0000FF"/>
          <w:u w:val="single"/>
          <w:lang w:val="fr-FR" w:eastAsia="en-US"/>
        </w:rPr>
        <w:t>la langue dans laquelle la demande internationale doit être publiée</w:t>
      </w:r>
      <w:r w:rsidR="00BC6731" w:rsidRPr="00BC6731">
        <w:t xml:space="preserve">, </w:t>
      </w:r>
      <w:r w:rsidRPr="00BC6731">
        <w:t>ou</w:t>
      </w:r>
    </w:p>
    <w:p w14:paraId="2C339125" w14:textId="5EAB2D5F" w:rsidR="00844068" w:rsidRPr="00BC6731" w:rsidRDefault="00844068" w:rsidP="00BC6731">
      <w:pPr>
        <w:pStyle w:val="ONUMFS"/>
        <w:numPr>
          <w:ilvl w:val="1"/>
          <w:numId w:val="6"/>
        </w:numPr>
        <w:spacing w:line="360" w:lineRule="auto"/>
        <w:ind w:left="0" w:firstLine="567"/>
      </w:pPr>
      <w:r w:rsidRPr="00BC6731">
        <w:t>si l</w:t>
      </w:r>
      <w:r w:rsidR="00F1395C">
        <w:t>’</w:t>
      </w:r>
      <w:r w:rsidRPr="00BC6731">
        <w:t>abrégé ou le texte contenu dans les dessins est rédigé dans la langue dans laquelle la demande internationale doit être publiée,</w:t>
      </w:r>
    </w:p>
    <w:p w14:paraId="22FF471D" w14:textId="25ACDF37" w:rsidR="00F1395C" w:rsidRDefault="00844068" w:rsidP="00BC6731">
      <w:pPr>
        <w:pStyle w:val="ONUMFS"/>
        <w:numPr>
          <w:ilvl w:val="0"/>
          <w:numId w:val="0"/>
        </w:numPr>
        <w:spacing w:line="360" w:lineRule="auto"/>
        <w:rPr>
          <w:rStyle w:val="Deletedtext"/>
          <w:color w:val="auto"/>
        </w:rPr>
      </w:pPr>
      <w:r w:rsidRPr="00844068">
        <w:t>invite le déposant à remettre une traduction de l</w:t>
      </w:r>
      <w:r w:rsidR="00F1395C">
        <w:t>’</w:t>
      </w:r>
      <w:r w:rsidRPr="00844068">
        <w:t>abrégé ou du texte contenu dans les dessins dans la langue dans laquelle la demande internationale doit être publi</w:t>
      </w:r>
      <w:r w:rsidR="00286099" w:rsidRPr="00844068">
        <w:t>ée</w:t>
      </w:r>
      <w:r w:rsidR="00286099">
        <w:t xml:space="preserve">.  </w:t>
      </w:r>
      <w:r w:rsidR="00286099" w:rsidRPr="00844068">
        <w:t>Le</w:t>
      </w:r>
      <w:r w:rsidRPr="00844068">
        <w:t>s règles 26.1, 26.2, 26.3, 26.3</w:t>
      </w:r>
      <w:r w:rsidRPr="00844068">
        <w:rPr>
          <w:i/>
        </w:rPr>
        <w:t>bis</w:t>
      </w:r>
      <w:r w:rsidRPr="00844068">
        <w:t>, 26.5 et 29.1 s</w:t>
      </w:r>
      <w:r w:rsidR="00F1395C">
        <w:t>’</w:t>
      </w:r>
      <w:r w:rsidRPr="00844068">
        <w:t xml:space="preserve">appliquent </w:t>
      </w:r>
      <w:r w:rsidRPr="00844068">
        <w:rPr>
          <w:i/>
        </w:rPr>
        <w:t>mutatis mutandis</w:t>
      </w:r>
      <w:r w:rsidRPr="00844068">
        <w:t>.</w:t>
      </w:r>
    </w:p>
    <w:p w14:paraId="5500BB77" w14:textId="3DE4FFD9" w:rsidR="00844068" w:rsidRPr="00BC6731" w:rsidRDefault="00844068" w:rsidP="00BC6731">
      <w:pPr>
        <w:pStyle w:val="ONUMFS"/>
        <w:numPr>
          <w:ilvl w:val="0"/>
          <w:numId w:val="0"/>
        </w:numPr>
        <w:spacing w:after="480"/>
        <w:rPr>
          <w:strike/>
        </w:rPr>
      </w:pPr>
      <w:r w:rsidRPr="00844068">
        <w:t>b) à e)</w:t>
      </w:r>
      <w:r w:rsidR="00BC6731">
        <w:t>   </w:t>
      </w:r>
      <w:r w:rsidRPr="00BC6731">
        <w:rPr>
          <w:i/>
          <w:iCs/>
        </w:rPr>
        <w:t>[Sans changement]</w:t>
      </w:r>
    </w:p>
    <w:p w14:paraId="17701CFA" w14:textId="10EF7501" w:rsidR="00BC6731" w:rsidRPr="00286099" w:rsidRDefault="00844068" w:rsidP="0084698C">
      <w:pPr>
        <w:pStyle w:val="Endofdocument-Annex"/>
        <w:spacing w:before="720"/>
        <w:rPr>
          <w:lang w:val="fr-FR"/>
        </w:rPr>
        <w:sectPr w:rsidR="00BC6731" w:rsidRPr="00286099" w:rsidSect="009D5F5D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86099">
        <w:rPr>
          <w:lang w:val="fr-FR"/>
        </w:rPr>
        <w:t>[L</w:t>
      </w:r>
      <w:r w:rsidR="00F1395C" w:rsidRPr="00286099">
        <w:rPr>
          <w:lang w:val="fr-FR"/>
        </w:rPr>
        <w:t>’</w:t>
      </w:r>
      <w:r w:rsidRPr="00286099">
        <w:rPr>
          <w:lang w:val="fr-FR"/>
        </w:rPr>
        <w:t>annexe II suit]</w:t>
      </w:r>
    </w:p>
    <w:p w14:paraId="6D36B611" w14:textId="685C0D97" w:rsidR="00BC6731" w:rsidRDefault="00BC6731" w:rsidP="006777A8">
      <w:pPr>
        <w:spacing w:after="480" w:line="360" w:lineRule="auto"/>
        <w:jc w:val="center"/>
      </w:pPr>
      <w:r>
        <w:lastRenderedPageBreak/>
        <w:t>PROPOSITIONS DE MODIFICATION DU RÈGLEMENT D</w:t>
      </w:r>
      <w:r w:rsidR="00F1395C">
        <w:t>’</w:t>
      </w:r>
      <w:r>
        <w:t>EXÉCUTION DU PCT</w:t>
      </w:r>
      <w:r>
        <w:br/>
        <w:t>VISÉES AU POINT</w:t>
      </w:r>
      <w:r w:rsidR="000953E0">
        <w:t> </w:t>
      </w:r>
      <w:r>
        <w:t>14 DE L</w:t>
      </w:r>
      <w:r w:rsidR="00F1395C">
        <w:t>’</w:t>
      </w:r>
      <w:r>
        <w:t>ORDRE DU JOUR</w:t>
      </w:r>
    </w:p>
    <w:p w14:paraId="66F3995E" w14:textId="064E05FC" w:rsidR="00BC6731" w:rsidRPr="006E324D" w:rsidRDefault="00F1395C" w:rsidP="006777A8">
      <w:pPr>
        <w:pStyle w:val="LegTitle"/>
        <w:pageBreakBefore w:val="0"/>
      </w:pPr>
      <w:bookmarkStart w:id="13" w:name="_Toc50028896"/>
      <w:bookmarkStart w:id="14" w:name="_Toc71915892"/>
      <w:bookmarkStart w:id="15" w:name="_Toc97741903"/>
      <w:bookmarkStart w:id="16" w:name="_Toc110263845"/>
      <w:r>
        <w:t>Règle 3</w:t>
      </w:r>
      <w:r w:rsidR="00BC6731">
        <w:t>3</w:t>
      </w:r>
      <w:r w:rsidR="00BC6731">
        <w:br/>
      </w:r>
      <w:bookmarkEnd w:id="13"/>
      <w:bookmarkEnd w:id="14"/>
      <w:r w:rsidR="00BC6731">
        <w:t>État de la technique pertinent aux fins de la recherche internationale</w:t>
      </w:r>
      <w:bookmarkEnd w:id="15"/>
      <w:bookmarkEnd w:id="16"/>
    </w:p>
    <w:p w14:paraId="2A4F9A45" w14:textId="15380785" w:rsidR="00BC6731" w:rsidRPr="006E324D" w:rsidRDefault="00BC6731" w:rsidP="006777A8">
      <w:pPr>
        <w:pStyle w:val="ONUMFS"/>
        <w:numPr>
          <w:ilvl w:val="0"/>
          <w:numId w:val="0"/>
        </w:numPr>
        <w:spacing w:line="360" w:lineRule="auto"/>
      </w:pPr>
      <w:bookmarkStart w:id="17" w:name="_Toc50028897"/>
      <w:bookmarkStart w:id="18" w:name="_Toc71915893"/>
      <w:bookmarkStart w:id="19" w:name="_Toc97741904"/>
      <w:bookmarkStart w:id="20" w:name="_Toc110263846"/>
      <w:r>
        <w:t>33.1   </w:t>
      </w:r>
      <w:bookmarkEnd w:id="17"/>
      <w:bookmarkEnd w:id="18"/>
      <w:r w:rsidRPr="006777A8">
        <w:rPr>
          <w:i/>
          <w:iCs/>
        </w:rPr>
        <w:t>État de la technique pertinent aux fins de la recherche internationale</w:t>
      </w:r>
      <w:bookmarkEnd w:id="19"/>
      <w:bookmarkEnd w:id="20"/>
    </w:p>
    <w:p w14:paraId="4AD1F248" w14:textId="01803405" w:rsidR="00F1395C" w:rsidRDefault="00BC6731" w:rsidP="006777A8">
      <w:pPr>
        <w:pStyle w:val="ONUMFS"/>
        <w:numPr>
          <w:ilvl w:val="0"/>
          <w:numId w:val="0"/>
        </w:numPr>
        <w:spacing w:line="360" w:lineRule="auto"/>
        <w:ind w:left="567"/>
      </w:pPr>
      <w:r>
        <w:t xml:space="preserve">a) </w:t>
      </w:r>
      <w:r w:rsidR="006777A8">
        <w:t xml:space="preserve"> </w:t>
      </w:r>
      <w:r>
        <w:t>Aux fins de l</w:t>
      </w:r>
      <w:r w:rsidR="00F1395C">
        <w:t>’article 1</w:t>
      </w:r>
      <w:r>
        <w:t>5.2), l</w:t>
      </w:r>
      <w:r w:rsidR="00F1395C">
        <w:t>’</w:t>
      </w:r>
      <w:r>
        <w:t xml:space="preserve">état de la technique pertinent comprend tout ce qui a été rendu accessible au public en tous lieux du monde par </w:t>
      </w:r>
      <w:r>
        <w:rPr>
          <w:strike/>
          <w:color w:val="C00000"/>
        </w:rPr>
        <w:t>une divulgation écrite (</w:t>
      </w:r>
      <w:r w:rsidR="00F1395C">
        <w:rPr>
          <w:strike/>
          <w:color w:val="C00000"/>
        </w:rPr>
        <w:t>y compris</w:t>
      </w:r>
      <w:r>
        <w:rPr>
          <w:strike/>
          <w:color w:val="C00000"/>
        </w:rPr>
        <w:t xml:space="preserve"> des dessins et autres illustrations)</w:t>
      </w:r>
      <w:r>
        <w:t xml:space="preserve"> </w:t>
      </w:r>
      <w:r>
        <w:rPr>
          <w:color w:val="0000FF"/>
          <w:u w:val="single"/>
        </w:rPr>
        <w:t>quelque moyen que ce soit</w:t>
      </w:r>
      <w:r>
        <w:t xml:space="preserve"> et qui est susceptible d</w:t>
      </w:r>
      <w:r w:rsidR="00F1395C">
        <w:t>’</w:t>
      </w:r>
      <w:r>
        <w:t>aider à déterminer si l</w:t>
      </w:r>
      <w:r w:rsidR="00F1395C">
        <w:t>’</w:t>
      </w:r>
      <w:r>
        <w:t>invention dont la protection est demandée est nouvelle ou non et si elle implique ou non une activité inventive (c</w:t>
      </w:r>
      <w:r w:rsidR="00F1395C">
        <w:t>’</w:t>
      </w:r>
      <w:r>
        <w:t>est</w:t>
      </w:r>
      <w:r w:rsidR="004A6368">
        <w:t>-</w:t>
      </w:r>
      <w:r>
        <w:t>à</w:t>
      </w:r>
      <w:r w:rsidR="004A6368">
        <w:t>-</w:t>
      </w:r>
      <w:r>
        <w:t>dire si elle est évidente ou non), à condition que la mise à la disposition du public ait eu lieu avant la date du dépôt international.</w:t>
      </w:r>
    </w:p>
    <w:p w14:paraId="43533978" w14:textId="581E46A8" w:rsidR="00BC6731" w:rsidRPr="00A64345" w:rsidRDefault="00D7481B" w:rsidP="006777A8">
      <w:pPr>
        <w:pStyle w:val="ONUMFS"/>
        <w:numPr>
          <w:ilvl w:val="0"/>
          <w:numId w:val="0"/>
        </w:numPr>
        <w:spacing w:line="360" w:lineRule="auto"/>
        <w:ind w:left="567"/>
        <w:rPr>
          <w:strike/>
        </w:rPr>
      </w:pPr>
      <w:r>
        <w:t>b</w:t>
      </w:r>
      <w:r w:rsidR="00BC6731">
        <w:t>)</w:t>
      </w:r>
      <w:r w:rsidR="006777A8">
        <w:t xml:space="preserve"> </w:t>
      </w:r>
      <w:r w:rsidR="00BC6731">
        <w:t xml:space="preserve"> </w:t>
      </w:r>
      <w:r w:rsidR="00BC6731" w:rsidRPr="00D7481B">
        <w:rPr>
          <w:i/>
          <w:iCs/>
        </w:rPr>
        <w:t>[Sans changement]</w:t>
      </w:r>
      <w:r w:rsidR="00BC6731">
        <w:t xml:space="preserve"> </w:t>
      </w:r>
      <w:r w:rsidR="00BC6731">
        <w:rPr>
          <w:color w:val="000000" w:themeColor="text1"/>
        </w:rPr>
        <w:t>Lorsqu</w:t>
      </w:r>
      <w:r w:rsidR="00F1395C">
        <w:rPr>
          <w:color w:val="000000" w:themeColor="text1"/>
        </w:rPr>
        <w:t>’</w:t>
      </w:r>
      <w:r w:rsidR="00BC6731">
        <w:rPr>
          <w:color w:val="000000" w:themeColor="text1"/>
        </w:rPr>
        <w:t>une divulgation écrite se réfère à une divulgation orale, à un usage, à une exposition, ou à tous autres moyens par lesquels le contenu de la divulgation écrite a été rendu accessible au public, et lorsque cette mise à la disposition du public a eu lieu à une date antérieure à celle du dépôt international, le rapport de recherche internationale mentionne séparément ce fait et la date à laquelle il a eu lieu, si la date à laquelle la mise à la disposition du public de la divulgation écrite a eu lieu est identique ou postérieure à celle du dépôt international.</w:t>
      </w:r>
    </w:p>
    <w:p w14:paraId="6AD07620" w14:textId="4365068E" w:rsidR="00BC6731" w:rsidRDefault="00BC6731" w:rsidP="006777A8">
      <w:pPr>
        <w:pStyle w:val="ONUMFS"/>
        <w:numPr>
          <w:ilvl w:val="0"/>
          <w:numId w:val="0"/>
        </w:numPr>
        <w:spacing w:line="360" w:lineRule="auto"/>
        <w:ind w:left="567"/>
      </w:pPr>
      <w:r>
        <w:t>c)</w:t>
      </w:r>
      <w:r w:rsidR="00D7481B">
        <w:t xml:space="preserve"> </w:t>
      </w:r>
      <w:r w:rsidR="006777A8">
        <w:t xml:space="preserve"> </w:t>
      </w:r>
      <w:r w:rsidRPr="00D7481B">
        <w:rPr>
          <w:i/>
          <w:iCs/>
        </w:rPr>
        <w:t>[Sans changement]</w:t>
      </w:r>
      <w:r>
        <w:t xml:space="preserve"> Toute demande publiée et tout brevet dont la date de publication est identique ou postérieure, mais dont la date de dépôt – ou, le cas échéant, la date de priorité revendiquée – est antérieure, à la date du dépôt international de la demande internationale faisant l</w:t>
      </w:r>
      <w:r w:rsidR="00F1395C">
        <w:t>’</w:t>
      </w:r>
      <w:r>
        <w:t>objet de la recherche, et qui feraient partie de l</w:t>
      </w:r>
      <w:r w:rsidR="00F1395C">
        <w:t>’</w:t>
      </w:r>
      <w:r>
        <w:t>état de la technique pertinent aux fins de l</w:t>
      </w:r>
      <w:r w:rsidR="00F1395C">
        <w:t>’article 1</w:t>
      </w:r>
      <w:r>
        <w:t>5.2) s</w:t>
      </w:r>
      <w:r w:rsidR="00F1395C">
        <w:t>’</w:t>
      </w:r>
      <w:r>
        <w:t>ils avaient été publiés avant la date du dépôt international, sont spécialement mentionnés dans le rapport de recherche internationale.</w:t>
      </w:r>
    </w:p>
    <w:p w14:paraId="50D195E0" w14:textId="2E585DF6" w:rsidR="00D7481B" w:rsidRDefault="00BC6731" w:rsidP="006777A8">
      <w:pPr>
        <w:pStyle w:val="ONUMFS"/>
        <w:numPr>
          <w:ilvl w:val="0"/>
          <w:numId w:val="0"/>
        </w:numPr>
        <w:spacing w:line="360" w:lineRule="auto"/>
        <w:rPr>
          <w:i/>
          <w:iCs/>
        </w:rPr>
      </w:pPr>
      <w:bookmarkStart w:id="21" w:name="_Toc97741905"/>
      <w:bookmarkStart w:id="22" w:name="_Toc110263847"/>
      <w:r>
        <w:t>33.2 et 33.3   </w:t>
      </w:r>
      <w:r w:rsidRPr="006777A8">
        <w:t>[Sans changement]</w:t>
      </w:r>
      <w:bookmarkEnd w:id="21"/>
      <w:bookmarkEnd w:id="22"/>
      <w:r w:rsidR="00D7481B">
        <w:rPr>
          <w:i/>
          <w:iCs/>
        </w:rPr>
        <w:br w:type="page"/>
      </w:r>
    </w:p>
    <w:p w14:paraId="19040FFE" w14:textId="008AC163" w:rsidR="00D7481B" w:rsidRPr="00D7481B" w:rsidRDefault="00F1395C" w:rsidP="006777A8">
      <w:pPr>
        <w:spacing w:after="240" w:line="360" w:lineRule="auto"/>
        <w:jc w:val="center"/>
        <w:rPr>
          <w:b/>
          <w:bCs/>
        </w:rPr>
      </w:pPr>
      <w:bookmarkStart w:id="23" w:name="_Toc97741910"/>
      <w:bookmarkStart w:id="24" w:name="_Toc110263848"/>
      <w:r w:rsidRPr="00D7481B">
        <w:rPr>
          <w:b/>
          <w:bCs/>
        </w:rPr>
        <w:lastRenderedPageBreak/>
        <w:t>Règle</w:t>
      </w:r>
      <w:r>
        <w:rPr>
          <w:b/>
          <w:bCs/>
        </w:rPr>
        <w:t> </w:t>
      </w:r>
      <w:r w:rsidRPr="00D7481B">
        <w:rPr>
          <w:b/>
          <w:bCs/>
        </w:rPr>
        <w:t>6</w:t>
      </w:r>
      <w:r w:rsidR="00D7481B" w:rsidRPr="00D7481B">
        <w:rPr>
          <w:b/>
          <w:bCs/>
        </w:rPr>
        <w:t>4</w:t>
      </w:r>
      <w:r w:rsidR="00D7481B" w:rsidRPr="00D7481B">
        <w:rPr>
          <w:b/>
          <w:bCs/>
        </w:rPr>
        <w:br/>
        <w:t>État de la technique pertinent aux fins de l</w:t>
      </w:r>
      <w:r>
        <w:rPr>
          <w:b/>
          <w:bCs/>
        </w:rPr>
        <w:t>’</w:t>
      </w:r>
      <w:r w:rsidR="00D7481B" w:rsidRPr="00D7481B">
        <w:rPr>
          <w:b/>
          <w:bCs/>
        </w:rPr>
        <w:t>examen préliminaire international</w:t>
      </w:r>
      <w:bookmarkEnd w:id="23"/>
      <w:bookmarkEnd w:id="24"/>
    </w:p>
    <w:p w14:paraId="4BE646DC" w14:textId="55E89919" w:rsidR="00D7481B" w:rsidRPr="006777A8" w:rsidRDefault="00D7481B" w:rsidP="006777A8">
      <w:pPr>
        <w:pStyle w:val="ONUMFS"/>
        <w:numPr>
          <w:ilvl w:val="0"/>
          <w:numId w:val="0"/>
        </w:numPr>
        <w:spacing w:line="360" w:lineRule="auto"/>
        <w:rPr>
          <w:i/>
          <w:iCs/>
        </w:rPr>
      </w:pPr>
      <w:bookmarkStart w:id="25" w:name="_Toc97741911"/>
      <w:bookmarkStart w:id="26" w:name="_Toc110263849"/>
      <w:r>
        <w:t>64.1   </w:t>
      </w:r>
      <w:r w:rsidRPr="006777A8">
        <w:rPr>
          <w:i/>
          <w:iCs/>
        </w:rPr>
        <w:t>État de la technique</w:t>
      </w:r>
      <w:bookmarkEnd w:id="25"/>
      <w:bookmarkEnd w:id="26"/>
    </w:p>
    <w:p w14:paraId="423FB884" w14:textId="41A31DD5" w:rsidR="00F1395C" w:rsidRDefault="00D7481B" w:rsidP="006777A8">
      <w:pPr>
        <w:pStyle w:val="ONUMFS"/>
        <w:numPr>
          <w:ilvl w:val="0"/>
          <w:numId w:val="0"/>
        </w:numPr>
        <w:spacing w:line="360" w:lineRule="auto"/>
        <w:ind w:firstLine="567"/>
      </w:pPr>
      <w:r>
        <w:t xml:space="preserve">a) </w:t>
      </w:r>
      <w:r w:rsidR="006777A8">
        <w:t xml:space="preserve"> </w:t>
      </w:r>
      <w:r>
        <w:t>Aux fins de l</w:t>
      </w:r>
      <w:r w:rsidR="00F1395C">
        <w:t>’article 3</w:t>
      </w:r>
      <w:r>
        <w:t>3.2) et 3), est considéré comme faisant partie de l</w:t>
      </w:r>
      <w:r w:rsidR="00F1395C">
        <w:t>’</w:t>
      </w:r>
      <w:r>
        <w:t>état de la technique tout ce qui a été rendu accessible au public en tous lieux du monde par</w:t>
      </w:r>
      <w:r>
        <w:rPr>
          <w:strike/>
          <w:color w:val="C00000"/>
        </w:rPr>
        <w:t xml:space="preserve"> une divulgation écrite (</w:t>
      </w:r>
      <w:r w:rsidR="00F1395C">
        <w:rPr>
          <w:strike/>
          <w:color w:val="C00000"/>
        </w:rPr>
        <w:t>y compris</w:t>
      </w:r>
      <w:r>
        <w:rPr>
          <w:strike/>
          <w:color w:val="C00000"/>
        </w:rPr>
        <w:t xml:space="preserve"> des dessins et autres illustrations)</w:t>
      </w:r>
      <w:r>
        <w:t xml:space="preserve"> </w:t>
      </w:r>
      <w:r>
        <w:rPr>
          <w:color w:val="0000FF"/>
          <w:u w:val="single"/>
        </w:rPr>
        <w:t>quelque moyen que ce soit</w:t>
      </w:r>
      <w:r>
        <w:t>, pour autant que cette mise à la disposition du public ait eu lieu avant la date pertinente.</w:t>
      </w:r>
    </w:p>
    <w:p w14:paraId="63E3141F" w14:textId="77777777" w:rsidR="00F1395C" w:rsidRDefault="00D7481B" w:rsidP="006777A8">
      <w:pPr>
        <w:pStyle w:val="ONUMFS"/>
        <w:numPr>
          <w:ilvl w:val="0"/>
          <w:numId w:val="0"/>
        </w:numPr>
        <w:spacing w:line="360" w:lineRule="auto"/>
        <w:ind w:firstLine="567"/>
        <w:rPr>
          <w:i/>
          <w:iCs/>
        </w:rPr>
      </w:pPr>
      <w:r>
        <w:t xml:space="preserve">b) </w:t>
      </w:r>
      <w:r w:rsidR="006777A8">
        <w:t xml:space="preserve"> </w:t>
      </w:r>
      <w:r w:rsidRPr="006777A8">
        <w:t>[Sans changement]</w:t>
      </w:r>
    </w:p>
    <w:p w14:paraId="11C9A8F3" w14:textId="7BF089EF" w:rsidR="00D7481B" w:rsidRDefault="00D7481B" w:rsidP="006777A8">
      <w:pPr>
        <w:pStyle w:val="LegSubRule"/>
        <w:keepLines w:val="0"/>
        <w:outlineLvl w:val="0"/>
        <w:rPr>
          <w:i/>
        </w:rPr>
      </w:pPr>
      <w:bookmarkStart w:id="27" w:name="_Toc97741912"/>
      <w:bookmarkStart w:id="28" w:name="_Toc110263850"/>
      <w:r>
        <w:t>64.2</w:t>
      </w:r>
      <w:bookmarkEnd w:id="27"/>
      <w:r w:rsidR="00286099">
        <w:t>   </w:t>
      </w:r>
      <w:r>
        <w:rPr>
          <w:i/>
          <w:iCs/>
        </w:rPr>
        <w:t>Divulgations non écrites</w:t>
      </w:r>
    </w:p>
    <w:p w14:paraId="006321C9" w14:textId="0FD1B62E" w:rsidR="00D7481B" w:rsidRDefault="00D7481B" w:rsidP="006777A8">
      <w:pPr>
        <w:pStyle w:val="ONUMFS"/>
        <w:numPr>
          <w:ilvl w:val="0"/>
          <w:numId w:val="0"/>
        </w:numPr>
        <w:spacing w:line="360" w:lineRule="auto"/>
        <w:ind w:firstLine="567"/>
      </w:pPr>
      <w:r>
        <w:t>Dans les cas où la mise à la disposition du public a eu lieu par le moyen d</w:t>
      </w:r>
      <w:r w:rsidR="00F1395C">
        <w:t>’</w:t>
      </w:r>
      <w:r>
        <w:t>une divulgation orale, d</w:t>
      </w:r>
      <w:r w:rsidR="00F1395C">
        <w:t>’</w:t>
      </w:r>
      <w:r>
        <w:t>une utilisation ou d</w:t>
      </w:r>
      <w:r w:rsidR="00F1395C">
        <w:t>’</w:t>
      </w:r>
      <w:r>
        <w:t>une exposition, ou par d</w:t>
      </w:r>
      <w:r w:rsidR="00F1395C">
        <w:t>’</w:t>
      </w:r>
      <w:r>
        <w:t xml:space="preserve">autres moyens non écrits (“divulgation non écrite”) avant la date pertinente telle que définie à la </w:t>
      </w:r>
      <w:r w:rsidR="00F1395C">
        <w:t>règle 6</w:t>
      </w:r>
      <w:r>
        <w:t xml:space="preserve">4.1.b), et où la date de cette divulgation non écrite est indiquée dans une divulgation écrite qui a été rendue accessible au public à la date pertinente ou à une date postérieure, </w:t>
      </w:r>
      <w:r>
        <w:rPr>
          <w:strike/>
          <w:color w:val="C00000"/>
        </w:rPr>
        <w:t>la divulgation non écrite n</w:t>
      </w:r>
      <w:r w:rsidR="00F1395C">
        <w:rPr>
          <w:strike/>
          <w:color w:val="C00000"/>
        </w:rPr>
        <w:t>’</w:t>
      </w:r>
      <w:r>
        <w:rPr>
          <w:strike/>
          <w:color w:val="C00000"/>
        </w:rPr>
        <w:t>est pas considérée comme faisant partie de l</w:t>
      </w:r>
      <w:r w:rsidR="00F1395C">
        <w:rPr>
          <w:strike/>
          <w:color w:val="C00000"/>
        </w:rPr>
        <w:t>’</w:t>
      </w:r>
      <w:r>
        <w:rPr>
          <w:strike/>
          <w:color w:val="C00000"/>
        </w:rPr>
        <w:t>état de la technique aux fins de l</w:t>
      </w:r>
      <w:r w:rsidR="00F1395C">
        <w:rPr>
          <w:strike/>
          <w:color w:val="C00000"/>
        </w:rPr>
        <w:t>’article 3</w:t>
      </w:r>
      <w:r>
        <w:rPr>
          <w:strike/>
          <w:color w:val="C00000"/>
        </w:rPr>
        <w:t xml:space="preserve">3.2) et 3). </w:t>
      </w:r>
      <w:r w:rsidR="004A6368">
        <w:rPr>
          <w:strike/>
          <w:color w:val="C00000"/>
        </w:rPr>
        <w:t xml:space="preserve"> </w:t>
      </w:r>
      <w:r>
        <w:rPr>
          <w:strike/>
          <w:color w:val="C00000"/>
        </w:rPr>
        <w:t>Toutefois,</w:t>
      </w:r>
      <w:r>
        <w:t xml:space="preserve"> le rapport d</w:t>
      </w:r>
      <w:r w:rsidR="00F1395C">
        <w:t>’</w:t>
      </w:r>
      <w:r>
        <w:t xml:space="preserve">examen préliminaire international doit mentionner une telle divulgation non écrite de la manière prévue à la </w:t>
      </w:r>
      <w:r w:rsidR="00F1395C">
        <w:t>règle 7</w:t>
      </w:r>
      <w:r>
        <w:t>0.9.</w:t>
      </w:r>
    </w:p>
    <w:p w14:paraId="7613D5A3" w14:textId="62D73D31" w:rsidR="00D7481B" w:rsidRDefault="00D7481B" w:rsidP="006777A8">
      <w:pPr>
        <w:pStyle w:val="LegSubRule"/>
        <w:keepLines w:val="0"/>
        <w:outlineLvl w:val="0"/>
      </w:pPr>
      <w:r>
        <w:t>64.3 </w:t>
      </w:r>
      <w:r w:rsidR="00286099">
        <w:t>  </w:t>
      </w:r>
      <w:r>
        <w:t>[Sans changement]</w:t>
      </w:r>
      <w:bookmarkEnd w:id="28"/>
    </w:p>
    <w:p w14:paraId="00FA80DD" w14:textId="1944E307" w:rsidR="00D7481B" w:rsidRPr="00286099" w:rsidRDefault="00D7481B" w:rsidP="006777A8">
      <w:pPr>
        <w:pStyle w:val="Endofdocument-Annex"/>
        <w:spacing w:before="720"/>
        <w:rPr>
          <w:lang w:val="fr-FR"/>
        </w:rPr>
      </w:pPr>
      <w:r w:rsidRPr="00286099">
        <w:rPr>
          <w:lang w:val="fr-FR"/>
        </w:rPr>
        <w:t>[Fin de l</w:t>
      </w:r>
      <w:r w:rsidR="00F1395C" w:rsidRPr="00286099">
        <w:rPr>
          <w:lang w:val="fr-FR"/>
        </w:rPr>
        <w:t>’</w:t>
      </w:r>
      <w:r w:rsidRPr="00286099">
        <w:rPr>
          <w:lang w:val="fr-FR"/>
        </w:rPr>
        <w:t>annexe II et du document]</w:t>
      </w:r>
    </w:p>
    <w:sectPr w:rsidR="00D7481B" w:rsidRPr="00286099" w:rsidSect="009D5F5D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9F50" w14:textId="606E1F9B" w:rsidR="009D5F5D" w:rsidRDefault="009D5F5D">
      <w:r>
        <w:separator/>
      </w:r>
    </w:p>
  </w:endnote>
  <w:endnote w:type="continuationSeparator" w:id="0">
    <w:p w14:paraId="25323C76" w14:textId="13439A97" w:rsidR="009D5F5D" w:rsidRPr="009D30E6" w:rsidRDefault="009D5F5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3463D7B" w14:textId="77777777" w:rsidR="009D5F5D" w:rsidRPr="009D30E6" w:rsidRDefault="009D5F5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75D75E2" w14:textId="065C6897" w:rsidR="009D5F5D" w:rsidRPr="009D30E6" w:rsidRDefault="009D5F5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E507" w14:textId="77777777" w:rsidR="00541DDA" w:rsidRDefault="00541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56A4" w14:textId="77777777" w:rsidR="00541DDA" w:rsidRDefault="00541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A082" w14:textId="77777777" w:rsidR="00541DDA" w:rsidRDefault="00541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6759" w14:textId="77777777" w:rsidR="009D5F5D" w:rsidRDefault="009D5F5D">
      <w:r>
        <w:separator/>
      </w:r>
    </w:p>
  </w:footnote>
  <w:footnote w:type="continuationSeparator" w:id="0">
    <w:p w14:paraId="7AA113D0" w14:textId="6618A142" w:rsidR="009D5F5D" w:rsidRDefault="009D5F5D" w:rsidP="007461F1">
      <w:r>
        <w:separator/>
      </w:r>
    </w:p>
    <w:p w14:paraId="10820162" w14:textId="77777777" w:rsidR="009D5F5D" w:rsidRPr="009D30E6" w:rsidRDefault="009D5F5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83EE601" w14:textId="6F3982E6" w:rsidR="009D5F5D" w:rsidRPr="009D30E6" w:rsidRDefault="009D5F5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554BF16B" w14:textId="41ABE146" w:rsidR="009D5F5D" w:rsidRDefault="009D5F5D" w:rsidP="009D5F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Un exemplaire de cet exposé est disponible sur le site</w:t>
      </w:r>
      <w:r w:rsidR="00E548BE">
        <w:t> </w:t>
      </w:r>
      <w:r>
        <w:t>Web de l</w:t>
      </w:r>
      <w:r w:rsidR="009A048E">
        <w:t>’</w:t>
      </w:r>
      <w:r>
        <w:t>OMPI à l</w:t>
      </w:r>
      <w:r w:rsidR="009A048E">
        <w:t>’</w:t>
      </w:r>
      <w:r>
        <w:t>adresse suivante</w:t>
      </w:r>
      <w:r w:rsidR="009A048E">
        <w:t> :</w:t>
      </w:r>
      <w:r w:rsidR="0029721C">
        <w:t xml:space="preserve"> </w:t>
      </w:r>
      <w:r w:rsidR="00541DDA">
        <w:fldChar w:fldCharType="begin"/>
      </w:r>
      <w:r w:rsidR="00541DDA">
        <w:instrText xml:space="preserve">  </w:instrText>
      </w:r>
      <w:r w:rsidR="00541DDA">
        <w:fldChar w:fldCharType="end"/>
      </w:r>
      <w:r w:rsidR="00541DDA">
        <w:fldChar w:fldCharType="begin"/>
      </w:r>
      <w:r w:rsidR="00541DDA">
        <w:instrText xml:space="preserve">  </w:instrText>
      </w:r>
      <w:r w:rsidR="00541DDA">
        <w:fldChar w:fldCharType="end"/>
      </w:r>
      <w:hyperlink r:id="rId1" w:history="1">
        <w:r w:rsidR="00080FF1" w:rsidRPr="00541DDA">
          <w:rPr>
            <w:rStyle w:val="Hyperlink"/>
          </w:rPr>
          <w:t>https://www.wipo.int/meetings/</w:t>
        </w:r>
        <w:r w:rsidR="00080FF1" w:rsidRPr="00080FF1">
          <w:rPr>
            <w:rStyle w:val="Hyperlink"/>
          </w:rPr>
          <w:t>fr</w:t>
        </w:r>
        <w:r w:rsidR="00080FF1" w:rsidRPr="00541DDA">
          <w:rPr>
            <w:rStyle w:val="Hyperlink"/>
          </w:rPr>
          <w:t>/doc_details.jsp?doc_id=627922</w:t>
        </w:r>
      </w:hyperlink>
      <w:r w:rsidR="00080FF1">
        <w:t>.</w:t>
      </w:r>
    </w:p>
  </w:footnote>
  <w:footnote w:id="3">
    <w:p w14:paraId="5D7975ED" w14:textId="3D6B0261" w:rsidR="009D5F5D" w:rsidRDefault="009D5F5D" w:rsidP="009D5F5D">
      <w:pPr>
        <w:pStyle w:val="FootnoteText"/>
      </w:pPr>
      <w:r>
        <w:rPr>
          <w:rStyle w:val="FootnoteReference"/>
        </w:rPr>
        <w:footnoteRef/>
      </w:r>
      <w:r w:rsidR="00721B58">
        <w:t xml:space="preserve"> </w:t>
      </w:r>
      <w:r>
        <w:tab/>
        <w:t>Les exposés présentés au cours de la séance d</w:t>
      </w:r>
      <w:r w:rsidR="009A048E">
        <w:t>’</w:t>
      </w:r>
      <w:r>
        <w:t>échange d</w:t>
      </w:r>
      <w:r w:rsidR="009A048E">
        <w:t>’</w:t>
      </w:r>
      <w:r>
        <w:t>informations peuvent être consultés sur le site Web de l</w:t>
      </w:r>
      <w:r w:rsidR="009A048E">
        <w:t>’</w:t>
      </w:r>
      <w:r>
        <w:t>OMPI, à l</w:t>
      </w:r>
      <w:r w:rsidR="009A048E">
        <w:t>’</w:t>
      </w:r>
      <w:r>
        <w:t>adresse</w:t>
      </w:r>
      <w:r w:rsidR="00E30923">
        <w:t xml:space="preserve"> </w:t>
      </w:r>
      <w:hyperlink r:id="rId2" w:history="1">
        <w:r w:rsidR="00616B64" w:rsidRPr="00667F66">
          <w:rPr>
            <w:rStyle w:val="Hyperlink"/>
          </w:rPr>
          <w:t>https://www.wipo.int/meetings/fr/details.jsp?meeting_id=80912</w:t>
        </w:r>
      </w:hyperlink>
      <w:r w:rsidR="00E3092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126D" w14:textId="77777777" w:rsidR="00541DDA" w:rsidRDefault="00541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7D15" w14:textId="14C0A2B8" w:rsidR="00F16975" w:rsidRDefault="009D5F5D" w:rsidP="00477D6B">
    <w:pPr>
      <w:jc w:val="right"/>
    </w:pPr>
    <w:bookmarkStart w:id="5" w:name="Code2"/>
    <w:bookmarkEnd w:id="5"/>
    <w:r>
      <w:t>PCT/WG/17/21</w:t>
    </w:r>
  </w:p>
  <w:p w14:paraId="03A3FEFC" w14:textId="1CA9891A" w:rsidR="004F4E31" w:rsidRDefault="00D14D6C" w:rsidP="00D14D6C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B85" w14:textId="77777777" w:rsidR="00541DDA" w:rsidRDefault="00541D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A30D" w14:textId="0AC78C5C" w:rsidR="00EB53B5" w:rsidRDefault="00EB53B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517D" w14:textId="4DAFB910" w:rsidR="00590F80" w:rsidRPr="00844068" w:rsidRDefault="00844068" w:rsidP="006777A8">
    <w:pPr>
      <w:pStyle w:val="Header"/>
      <w:spacing w:after="480"/>
      <w:jc w:val="right"/>
      <w:rPr>
        <w:lang w:val="en-US"/>
      </w:rPr>
    </w:pPr>
    <w:r>
      <w:tab/>
    </w:r>
    <w:r w:rsidRPr="00844068">
      <w:rPr>
        <w:lang w:val="en-US"/>
      </w:rPr>
      <w:t>PCT/WG/17/21</w:t>
    </w:r>
    <w:r w:rsidRPr="00844068">
      <w:rPr>
        <w:lang w:val="en-US"/>
      </w:rPr>
      <w:br/>
      <w:t>ANNEXE 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F585" w14:textId="4C668B4B" w:rsidR="00D7481B" w:rsidRPr="00D7481B" w:rsidRDefault="00D7481B" w:rsidP="00D7481B">
    <w:pPr>
      <w:pStyle w:val="Header"/>
      <w:spacing w:after="480"/>
      <w:jc w:val="right"/>
      <w:rPr>
        <w:lang w:val="fr-FR"/>
      </w:rPr>
    </w:pPr>
    <w:r w:rsidRPr="00D7481B">
      <w:rPr>
        <w:lang w:val="fr-FR"/>
      </w:rPr>
      <w:t>PCT/WG/17/21</w:t>
    </w:r>
    <w:r w:rsidRPr="00D7481B">
      <w:rPr>
        <w:lang w:val="fr-FR"/>
      </w:rPr>
      <w:br/>
      <w:t>An</w:t>
    </w:r>
    <w:r w:rsidR="00080FF1">
      <w:rPr>
        <w:lang w:val="fr-FR"/>
      </w:rPr>
      <w:t>n</w:t>
    </w:r>
    <w:r w:rsidRPr="00D7481B">
      <w:rPr>
        <w:lang w:val="fr-FR"/>
      </w:rPr>
      <w:t>exe II, page</w:t>
    </w:r>
    <w:r>
      <w:rPr>
        <w:lang w:val="fr-FR"/>
      </w:rPr>
      <w:t> 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558C" w14:textId="684ACB87" w:rsidR="00BC6731" w:rsidRPr="00844068" w:rsidRDefault="00BC6731" w:rsidP="006777A8">
    <w:pPr>
      <w:pStyle w:val="Header"/>
      <w:spacing w:after="480"/>
      <w:jc w:val="right"/>
      <w:rPr>
        <w:lang w:val="en-US"/>
      </w:rPr>
    </w:pPr>
    <w:r>
      <w:tab/>
    </w:r>
    <w:r w:rsidRPr="00844068">
      <w:rPr>
        <w:lang w:val="en-US"/>
      </w:rPr>
      <w:t>PCT/WG/17/21</w:t>
    </w:r>
    <w:r w:rsidRPr="00844068">
      <w:rPr>
        <w:lang w:val="en-US"/>
      </w:rPr>
      <w:br/>
      <w:t>ANNEXE I</w:t>
    </w:r>
    <w:r>
      <w:rPr>
        <w:lang w:val="en-US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D3829A0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1844"/>
        </w:tabs>
        <w:ind w:left="1277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3F34D9"/>
    <w:multiLevelType w:val="hybridMultilevel"/>
    <w:tmpl w:val="33BC1B70"/>
    <w:lvl w:ilvl="0" w:tplc="3FDEB6A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96596"/>
    <w:multiLevelType w:val="hybridMultilevel"/>
    <w:tmpl w:val="085881C2"/>
    <w:lvl w:ilvl="0" w:tplc="60841F6A">
      <w:start w:val="1"/>
      <w:numFmt w:val="upperLetter"/>
      <w:pStyle w:val="Heading2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424FF"/>
    <w:multiLevelType w:val="multilevel"/>
    <w:tmpl w:val="62CE1750"/>
    <w:lvl w:ilvl="0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0DE8"/>
    <w:multiLevelType w:val="hybridMultilevel"/>
    <w:tmpl w:val="8B140AA8"/>
    <w:lvl w:ilvl="0" w:tplc="FC087E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63A43"/>
    <w:multiLevelType w:val="hybridMultilevel"/>
    <w:tmpl w:val="AAE0F61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4231">
    <w:abstractNumId w:val="2"/>
  </w:num>
  <w:num w:numId="2" w16cid:durableId="2057001410">
    <w:abstractNumId w:val="7"/>
  </w:num>
  <w:num w:numId="3" w16cid:durableId="345792481">
    <w:abstractNumId w:val="0"/>
  </w:num>
  <w:num w:numId="4" w16cid:durableId="1567110324">
    <w:abstractNumId w:val="8"/>
  </w:num>
  <w:num w:numId="5" w16cid:durableId="1715153223">
    <w:abstractNumId w:val="1"/>
  </w:num>
  <w:num w:numId="6" w16cid:durableId="1732314098">
    <w:abstractNumId w:val="3"/>
  </w:num>
  <w:num w:numId="7" w16cid:durableId="384642955">
    <w:abstractNumId w:val="3"/>
  </w:num>
  <w:num w:numId="8" w16cid:durableId="758647136">
    <w:abstractNumId w:val="3"/>
  </w:num>
  <w:num w:numId="9" w16cid:durableId="145166712">
    <w:abstractNumId w:val="3"/>
  </w:num>
  <w:num w:numId="10" w16cid:durableId="181474020">
    <w:abstractNumId w:val="3"/>
  </w:num>
  <w:num w:numId="11" w16cid:durableId="313418373">
    <w:abstractNumId w:val="3"/>
  </w:num>
  <w:num w:numId="12" w16cid:durableId="1569226640">
    <w:abstractNumId w:val="3"/>
  </w:num>
  <w:num w:numId="13" w16cid:durableId="1553810676">
    <w:abstractNumId w:val="3"/>
  </w:num>
  <w:num w:numId="14" w16cid:durableId="1631740200">
    <w:abstractNumId w:val="3"/>
  </w:num>
  <w:num w:numId="15" w16cid:durableId="1267618387">
    <w:abstractNumId w:val="3"/>
  </w:num>
  <w:num w:numId="16" w16cid:durableId="1869220541">
    <w:abstractNumId w:val="3"/>
  </w:num>
  <w:num w:numId="17" w16cid:durableId="1744596024">
    <w:abstractNumId w:val="3"/>
  </w:num>
  <w:num w:numId="18" w16cid:durableId="1973515564">
    <w:abstractNumId w:val="3"/>
  </w:num>
  <w:num w:numId="19" w16cid:durableId="1127234771">
    <w:abstractNumId w:val="3"/>
  </w:num>
  <w:num w:numId="20" w16cid:durableId="1516269676">
    <w:abstractNumId w:val="3"/>
  </w:num>
  <w:num w:numId="21" w16cid:durableId="1953317370">
    <w:abstractNumId w:val="3"/>
  </w:num>
  <w:num w:numId="22" w16cid:durableId="1782454433">
    <w:abstractNumId w:val="3"/>
  </w:num>
  <w:num w:numId="23" w16cid:durableId="386805766">
    <w:abstractNumId w:val="3"/>
  </w:num>
  <w:num w:numId="24" w16cid:durableId="1861510746">
    <w:abstractNumId w:val="3"/>
  </w:num>
  <w:num w:numId="25" w16cid:durableId="1355768725">
    <w:abstractNumId w:val="3"/>
  </w:num>
  <w:num w:numId="26" w16cid:durableId="733043567">
    <w:abstractNumId w:val="3"/>
  </w:num>
  <w:num w:numId="27" w16cid:durableId="1764185811">
    <w:abstractNumId w:val="3"/>
  </w:num>
  <w:num w:numId="28" w16cid:durableId="1061564809">
    <w:abstractNumId w:val="3"/>
  </w:num>
  <w:num w:numId="29" w16cid:durableId="499468799">
    <w:abstractNumId w:val="3"/>
  </w:num>
  <w:num w:numId="30" w16cid:durableId="711617584">
    <w:abstractNumId w:val="3"/>
  </w:num>
  <w:num w:numId="31" w16cid:durableId="594942890">
    <w:abstractNumId w:val="10"/>
  </w:num>
  <w:num w:numId="32" w16cid:durableId="1818960418">
    <w:abstractNumId w:val="4"/>
  </w:num>
  <w:num w:numId="33" w16cid:durableId="1993413176">
    <w:abstractNumId w:val="6"/>
  </w:num>
  <w:num w:numId="34" w16cid:durableId="1520270077">
    <w:abstractNumId w:val="9"/>
  </w:num>
  <w:num w:numId="35" w16cid:durableId="381488362">
    <w:abstractNumId w:val="3"/>
  </w:num>
  <w:num w:numId="36" w16cid:durableId="2111581543">
    <w:abstractNumId w:val="5"/>
  </w:num>
  <w:num w:numId="37" w16cid:durableId="1535463756">
    <w:abstractNumId w:val="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9509704">
    <w:abstractNumId w:val="3"/>
  </w:num>
  <w:num w:numId="39" w16cid:durableId="459300895">
    <w:abstractNumId w:val="3"/>
  </w:num>
  <w:num w:numId="40" w16cid:durableId="641010410">
    <w:abstractNumId w:val="3"/>
  </w:num>
  <w:num w:numId="41" w16cid:durableId="188606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5D"/>
    <w:rsid w:val="00003E69"/>
    <w:rsid w:val="00011B7D"/>
    <w:rsid w:val="00021546"/>
    <w:rsid w:val="00025E08"/>
    <w:rsid w:val="00050E4E"/>
    <w:rsid w:val="00075432"/>
    <w:rsid w:val="00080FF1"/>
    <w:rsid w:val="00087BE5"/>
    <w:rsid w:val="000953E0"/>
    <w:rsid w:val="000E715A"/>
    <w:rsid w:val="000F3F68"/>
    <w:rsid w:val="000F5E56"/>
    <w:rsid w:val="00131DDC"/>
    <w:rsid w:val="001362EE"/>
    <w:rsid w:val="001832A6"/>
    <w:rsid w:val="00183DEF"/>
    <w:rsid w:val="00195C6E"/>
    <w:rsid w:val="001B266A"/>
    <w:rsid w:val="001D0A6B"/>
    <w:rsid w:val="001D3D56"/>
    <w:rsid w:val="00240654"/>
    <w:rsid w:val="002634C4"/>
    <w:rsid w:val="00286099"/>
    <w:rsid w:val="0029721C"/>
    <w:rsid w:val="002D4918"/>
    <w:rsid w:val="002E4D1A"/>
    <w:rsid w:val="002F16BC"/>
    <w:rsid w:val="002F4E68"/>
    <w:rsid w:val="00315FCA"/>
    <w:rsid w:val="003845C1"/>
    <w:rsid w:val="003A1BCD"/>
    <w:rsid w:val="004008A2"/>
    <w:rsid w:val="004010C2"/>
    <w:rsid w:val="004025DF"/>
    <w:rsid w:val="00423E3E"/>
    <w:rsid w:val="00427AF4"/>
    <w:rsid w:val="004647DA"/>
    <w:rsid w:val="00477D6B"/>
    <w:rsid w:val="004A6368"/>
    <w:rsid w:val="004D6471"/>
    <w:rsid w:val="004F4E31"/>
    <w:rsid w:val="005257C3"/>
    <w:rsid w:val="00525B63"/>
    <w:rsid w:val="00541DDA"/>
    <w:rsid w:val="00547476"/>
    <w:rsid w:val="00553250"/>
    <w:rsid w:val="00561DB8"/>
    <w:rsid w:val="00567A4C"/>
    <w:rsid w:val="00590F80"/>
    <w:rsid w:val="005E6516"/>
    <w:rsid w:val="00605827"/>
    <w:rsid w:val="00616B64"/>
    <w:rsid w:val="00653ADB"/>
    <w:rsid w:val="00676936"/>
    <w:rsid w:val="006777A8"/>
    <w:rsid w:val="006869BB"/>
    <w:rsid w:val="006B0DB5"/>
    <w:rsid w:val="006E4243"/>
    <w:rsid w:val="00721B58"/>
    <w:rsid w:val="00724DBD"/>
    <w:rsid w:val="007461F1"/>
    <w:rsid w:val="0075224E"/>
    <w:rsid w:val="007D0CB1"/>
    <w:rsid w:val="007D6961"/>
    <w:rsid w:val="007F07CB"/>
    <w:rsid w:val="00810CEF"/>
    <w:rsid w:val="0081208D"/>
    <w:rsid w:val="008254B7"/>
    <w:rsid w:val="00842A13"/>
    <w:rsid w:val="00844068"/>
    <w:rsid w:val="0084698C"/>
    <w:rsid w:val="00874CAF"/>
    <w:rsid w:val="00892E32"/>
    <w:rsid w:val="008B2CC1"/>
    <w:rsid w:val="008E7930"/>
    <w:rsid w:val="008F431E"/>
    <w:rsid w:val="00900AD8"/>
    <w:rsid w:val="0090731E"/>
    <w:rsid w:val="00945F5D"/>
    <w:rsid w:val="00966A22"/>
    <w:rsid w:val="00974CD6"/>
    <w:rsid w:val="009A048E"/>
    <w:rsid w:val="009A5E8C"/>
    <w:rsid w:val="009D30E6"/>
    <w:rsid w:val="009D5F5D"/>
    <w:rsid w:val="009E3F6F"/>
    <w:rsid w:val="009F499F"/>
    <w:rsid w:val="00A003A7"/>
    <w:rsid w:val="00A02BD3"/>
    <w:rsid w:val="00A80E1F"/>
    <w:rsid w:val="00AA1F20"/>
    <w:rsid w:val="00AC0AE4"/>
    <w:rsid w:val="00AD61DB"/>
    <w:rsid w:val="00AE7C04"/>
    <w:rsid w:val="00B87BCF"/>
    <w:rsid w:val="00BA62D4"/>
    <w:rsid w:val="00BB16AB"/>
    <w:rsid w:val="00BB651A"/>
    <w:rsid w:val="00BC6731"/>
    <w:rsid w:val="00C40E15"/>
    <w:rsid w:val="00C664C8"/>
    <w:rsid w:val="00C76A79"/>
    <w:rsid w:val="00CA15F5"/>
    <w:rsid w:val="00CE53B6"/>
    <w:rsid w:val="00CF0460"/>
    <w:rsid w:val="00D04414"/>
    <w:rsid w:val="00D14D6C"/>
    <w:rsid w:val="00D251A0"/>
    <w:rsid w:val="00D45252"/>
    <w:rsid w:val="00D54CFD"/>
    <w:rsid w:val="00D71B4D"/>
    <w:rsid w:val="00D7481B"/>
    <w:rsid w:val="00D75C1E"/>
    <w:rsid w:val="00D93D55"/>
    <w:rsid w:val="00DB0349"/>
    <w:rsid w:val="00DD6A16"/>
    <w:rsid w:val="00DF0AA2"/>
    <w:rsid w:val="00E0091A"/>
    <w:rsid w:val="00E203AA"/>
    <w:rsid w:val="00E30923"/>
    <w:rsid w:val="00E527A5"/>
    <w:rsid w:val="00E548BE"/>
    <w:rsid w:val="00E76456"/>
    <w:rsid w:val="00EB53B5"/>
    <w:rsid w:val="00EB58CD"/>
    <w:rsid w:val="00EE71CB"/>
    <w:rsid w:val="00F1395C"/>
    <w:rsid w:val="00F16975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4E34F"/>
  <w15:docId w15:val="{6ABA91C1-CDCC-4DFD-9981-B2D6CF2F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254B7"/>
    <w:pPr>
      <w:keepNext/>
      <w:numPr>
        <w:numId w:val="36"/>
      </w:numPr>
      <w:spacing w:before="240" w:after="60"/>
      <w:ind w:left="1134" w:hanging="567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ONUM">
    <w:name w:val="ONUM"/>
    <w:basedOn w:val="Heading1"/>
    <w:qFormat/>
    <w:rsid w:val="009D5F5D"/>
    <w:rPr>
      <w:lang w:val="fr-FR"/>
    </w:rPr>
  </w:style>
  <w:style w:type="character" w:styleId="FootnoteReference">
    <w:name w:val="footnote reference"/>
    <w:basedOn w:val="DefaultParagraphFont"/>
    <w:semiHidden/>
    <w:unhideWhenUsed/>
    <w:rsid w:val="009D5F5D"/>
    <w:rPr>
      <w:vertAlign w:val="superscript"/>
    </w:rPr>
  </w:style>
  <w:style w:type="character" w:styleId="Hyperlink">
    <w:name w:val="Hyperlink"/>
    <w:basedOn w:val="DefaultParagraphFont"/>
    <w:unhideWhenUsed/>
    <w:rsid w:val="00D14D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4B7"/>
    <w:pPr>
      <w:ind w:left="720"/>
      <w:contextualSpacing/>
    </w:pPr>
  </w:style>
  <w:style w:type="paragraph" w:customStyle="1" w:styleId="LegTitle">
    <w:name w:val="Leg # Title"/>
    <w:basedOn w:val="Normal"/>
    <w:next w:val="Normal"/>
    <w:rsid w:val="00844068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val="fr-FR" w:eastAsia="en-US"/>
    </w:rPr>
  </w:style>
  <w:style w:type="paragraph" w:customStyle="1" w:styleId="LegSubRule">
    <w:name w:val="Leg SubRule #"/>
    <w:basedOn w:val="Normal"/>
    <w:rsid w:val="00844068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val="fr-FR" w:eastAsia="en-US"/>
    </w:rPr>
  </w:style>
  <w:style w:type="paragraph" w:customStyle="1" w:styleId="Lega">
    <w:name w:val="Leg (a)"/>
    <w:basedOn w:val="Normal"/>
    <w:link w:val="LegaChar"/>
    <w:rsid w:val="00844068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val="fr-FR" w:eastAsia="en-US"/>
    </w:rPr>
  </w:style>
  <w:style w:type="character" w:customStyle="1" w:styleId="Deletedtext">
    <w:name w:val="Deleted text"/>
    <w:basedOn w:val="DefaultParagraphFont"/>
    <w:uiPriority w:val="1"/>
    <w:qFormat/>
    <w:rsid w:val="00844068"/>
    <w:rPr>
      <w:strike/>
      <w:dstrike w:val="0"/>
      <w:color w:val="FF0000"/>
    </w:rPr>
  </w:style>
  <w:style w:type="character" w:customStyle="1" w:styleId="LegaChar">
    <w:name w:val="Leg (a) Char"/>
    <w:basedOn w:val="DefaultParagraphFont"/>
    <w:link w:val="Lega"/>
    <w:rsid w:val="00844068"/>
    <w:rPr>
      <w:rFonts w:ascii="Arial" w:hAnsi="Arial"/>
      <w:noProof/>
      <w:snapToGrid w:val="0"/>
      <w:sz w:val="22"/>
      <w:lang w:val="fr-FR" w:eastAsia="en-US"/>
    </w:rPr>
  </w:style>
  <w:style w:type="paragraph" w:styleId="Revision">
    <w:name w:val="Revision"/>
    <w:hidden/>
    <w:uiPriority w:val="99"/>
    <w:semiHidden/>
    <w:rsid w:val="00183DEF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80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meetings/fr/details.jsp?meeting_id=80912" TargetMode="External"/><Relationship Id="rId1" Type="http://schemas.openxmlformats.org/officeDocument/2006/relationships/hyperlink" Target="https://www.wipo.int/meetings/fr/doc_details.jsp?doc_id=6279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PCT_WG_17 (F)</Template>
  <TotalTime>1</TotalTime>
  <Pages>8</Pages>
  <Words>2530</Words>
  <Characters>12510</Characters>
  <Application>Microsoft Office Word</Application>
  <DocSecurity>0</DocSecurity>
  <Lines>104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PCT/WG/17/21</vt:lpstr>
    </vt:vector>
  </TitlesOfParts>
  <Company>WIPO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PCT/WG/17/21</dc:title>
  <dc:creator>LE GUEN Haude</dc:creator>
  <cp:keywords/>
  <cp:lastModifiedBy>MARLOW Thomas</cp:lastModifiedBy>
  <cp:revision>3</cp:revision>
  <cp:lastPrinted>2011-05-19T12:37:00Z</cp:lastPrinted>
  <dcterms:created xsi:type="dcterms:W3CDTF">2024-02-26T11:47:00Z</dcterms:created>
  <dcterms:modified xsi:type="dcterms:W3CDTF">2024-02-26T11:48:00Z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