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BA864" w14:textId="77777777" w:rsidR="00244056" w:rsidRPr="0040540C" w:rsidRDefault="00244056" w:rsidP="00244056">
      <w:pPr>
        <w:pBdr>
          <w:bottom w:val="single" w:sz="4" w:space="10" w:color="auto"/>
        </w:pBdr>
        <w:spacing w:after="120"/>
        <w:jc w:val="right"/>
      </w:pPr>
      <w:r>
        <w:rPr>
          <w:noProof/>
          <w:lang w:val="en-GB" w:eastAsia="en-GB"/>
        </w:rPr>
        <w:drawing>
          <wp:inline distT="0" distB="0" distL="0" distR="0" wp14:anchorId="69F6168D" wp14:editId="20CC1D2E">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5C7EAE8" w14:textId="46F93660" w:rsidR="00244056" w:rsidRDefault="00244056" w:rsidP="00244056">
      <w:pPr>
        <w:jc w:val="right"/>
        <w:rPr>
          <w:rFonts w:ascii="Arial Black" w:hAnsi="Arial Black"/>
          <w:caps/>
          <w:sz w:val="15"/>
        </w:rPr>
      </w:pPr>
      <w:r>
        <w:rPr>
          <w:rFonts w:ascii="Arial Black" w:hAnsi="Arial Black"/>
          <w:caps/>
          <w:sz w:val="15"/>
        </w:rPr>
        <w:t>PCT/WG/15/</w:t>
      </w:r>
      <w:bookmarkStart w:id="0" w:name="Code"/>
      <w:bookmarkEnd w:id="0"/>
      <w:r>
        <w:rPr>
          <w:rFonts w:ascii="Arial Black" w:hAnsi="Arial Black"/>
          <w:caps/>
          <w:sz w:val="15"/>
        </w:rPr>
        <w:t>3</w:t>
      </w:r>
    </w:p>
    <w:p w14:paraId="018B9350" w14:textId="6E3CF64E" w:rsidR="00244056" w:rsidRPr="0040540C" w:rsidRDefault="00244056" w:rsidP="00244056">
      <w:pPr>
        <w:jc w:val="right"/>
      </w:pPr>
      <w:r w:rsidRPr="0090731E">
        <w:rPr>
          <w:rFonts w:ascii="Arial Black" w:hAnsi="Arial Black"/>
          <w:caps/>
          <w:sz w:val="15"/>
        </w:rPr>
        <w:t>ORIGINAL</w:t>
      </w:r>
      <w:r w:rsidR="00BA5318">
        <w:rPr>
          <w:rFonts w:ascii="Arial Black" w:hAnsi="Arial Black"/>
          <w:caps/>
          <w:sz w:val="15"/>
        </w:rPr>
        <w:t> :</w:t>
      </w:r>
      <w:r>
        <w:rPr>
          <w:rFonts w:ascii="Arial Black" w:hAnsi="Arial Black"/>
          <w:caps/>
          <w:sz w:val="15"/>
        </w:rPr>
        <w:t xml:space="preserve"> </w:t>
      </w:r>
      <w:bookmarkStart w:id="1" w:name="Original"/>
      <w:r>
        <w:rPr>
          <w:rFonts w:ascii="Arial Black" w:hAnsi="Arial Black"/>
          <w:caps/>
          <w:sz w:val="15"/>
        </w:rPr>
        <w:t>anglais</w:t>
      </w:r>
    </w:p>
    <w:bookmarkEnd w:id="1"/>
    <w:p w14:paraId="629F0D0C" w14:textId="34CECBD0" w:rsidR="00244056" w:rsidRPr="0040540C" w:rsidRDefault="00244056" w:rsidP="00244056">
      <w:pPr>
        <w:spacing w:after="1200"/>
        <w:jc w:val="right"/>
      </w:pPr>
      <w:r w:rsidRPr="0090731E">
        <w:rPr>
          <w:rFonts w:ascii="Arial Black" w:hAnsi="Arial Black"/>
          <w:caps/>
          <w:sz w:val="15"/>
        </w:rPr>
        <w:t>DATE</w:t>
      </w:r>
      <w:r w:rsidR="00BA5318">
        <w:rPr>
          <w:rFonts w:ascii="Arial Black" w:hAnsi="Arial Black"/>
          <w:caps/>
          <w:sz w:val="15"/>
        </w:rPr>
        <w:t> :</w:t>
      </w:r>
      <w:r>
        <w:rPr>
          <w:rFonts w:ascii="Arial Black" w:hAnsi="Arial Black"/>
          <w:caps/>
          <w:sz w:val="15"/>
        </w:rPr>
        <w:t xml:space="preserve"> </w:t>
      </w:r>
      <w:bookmarkStart w:id="2" w:name="Date"/>
      <w:r>
        <w:rPr>
          <w:rFonts w:ascii="Arial Black" w:hAnsi="Arial Black"/>
          <w:caps/>
          <w:sz w:val="15"/>
        </w:rPr>
        <w:t>4 août 2022</w:t>
      </w:r>
    </w:p>
    <w:bookmarkEnd w:id="2"/>
    <w:p w14:paraId="0AC46CEA" w14:textId="77777777" w:rsidR="00244056" w:rsidRPr="00B1090C" w:rsidRDefault="00244056" w:rsidP="00244056">
      <w:pPr>
        <w:pStyle w:val="Heading1"/>
        <w:spacing w:before="0" w:after="480"/>
      </w:pPr>
      <w:r w:rsidRPr="00F0691F">
        <w:rPr>
          <w:caps w:val="0"/>
          <w:sz w:val="28"/>
          <w:szCs w:val="28"/>
        </w:rPr>
        <w:t>Groupe de travail du Traité de coopération en matière de brevets (PCT)</w:t>
      </w:r>
    </w:p>
    <w:p w14:paraId="2C930D00" w14:textId="46749D4F" w:rsidR="00244056" w:rsidRDefault="00244056" w:rsidP="00244056">
      <w:pPr>
        <w:outlineLvl w:val="1"/>
        <w:rPr>
          <w:b/>
          <w:sz w:val="24"/>
          <w:szCs w:val="24"/>
        </w:rPr>
      </w:pPr>
      <w:r>
        <w:rPr>
          <w:b/>
          <w:sz w:val="24"/>
          <w:szCs w:val="24"/>
        </w:rPr>
        <w:t>Quin</w:t>
      </w:r>
      <w:r w:rsidRPr="00F0691F">
        <w:rPr>
          <w:b/>
          <w:sz w:val="24"/>
          <w:szCs w:val="24"/>
        </w:rPr>
        <w:t>z</w:t>
      </w:r>
      <w:r w:rsidR="00BA5318">
        <w:rPr>
          <w:b/>
          <w:sz w:val="24"/>
          <w:szCs w:val="24"/>
        </w:rPr>
        <w:t>ième session</w:t>
      </w:r>
    </w:p>
    <w:p w14:paraId="20667120" w14:textId="77777777" w:rsidR="00244056" w:rsidRPr="003845C1" w:rsidRDefault="00244056" w:rsidP="00244056">
      <w:pPr>
        <w:spacing w:after="720"/>
        <w:outlineLvl w:val="1"/>
        <w:rPr>
          <w:b/>
          <w:sz w:val="24"/>
          <w:szCs w:val="24"/>
        </w:rPr>
      </w:pPr>
      <w:r w:rsidRPr="00F0691F">
        <w:rPr>
          <w:b/>
          <w:sz w:val="24"/>
          <w:szCs w:val="24"/>
        </w:rPr>
        <w:t>Gen</w:t>
      </w:r>
      <w:r>
        <w:rPr>
          <w:b/>
          <w:sz w:val="24"/>
          <w:szCs w:val="24"/>
        </w:rPr>
        <w:t>ève, 3 – 7 octobre</w:t>
      </w:r>
      <w:r w:rsidRPr="00F0691F">
        <w:rPr>
          <w:b/>
          <w:sz w:val="24"/>
          <w:szCs w:val="24"/>
        </w:rPr>
        <w:t> </w:t>
      </w:r>
      <w:r>
        <w:rPr>
          <w:b/>
          <w:sz w:val="24"/>
          <w:szCs w:val="24"/>
        </w:rPr>
        <w:t>2022</w:t>
      </w:r>
    </w:p>
    <w:p w14:paraId="150E8DFA" w14:textId="4E00A496" w:rsidR="00244056" w:rsidRPr="003845C1" w:rsidRDefault="00244056" w:rsidP="00244056">
      <w:pPr>
        <w:spacing w:after="360"/>
        <w:rPr>
          <w:caps/>
          <w:sz w:val="24"/>
        </w:rPr>
      </w:pPr>
      <w:bookmarkStart w:id="3" w:name="TitleOfDoc"/>
      <w:r>
        <w:rPr>
          <w:caps/>
          <w:sz w:val="24"/>
        </w:rPr>
        <w:t>Mise en œuvre de la norme</w:t>
      </w:r>
      <w:r w:rsidR="007053FD">
        <w:rPr>
          <w:caps/>
          <w:sz w:val="24"/>
        </w:rPr>
        <w:t> </w:t>
      </w:r>
      <w:r>
        <w:rPr>
          <w:caps/>
          <w:sz w:val="24"/>
        </w:rPr>
        <w:t>ST.26 de l</w:t>
      </w:r>
      <w:r w:rsidR="00BA5318">
        <w:rPr>
          <w:caps/>
          <w:sz w:val="24"/>
        </w:rPr>
        <w:t>’</w:t>
      </w:r>
      <w:r>
        <w:rPr>
          <w:caps/>
          <w:sz w:val="24"/>
        </w:rPr>
        <w:t>OMPI</w:t>
      </w:r>
    </w:p>
    <w:p w14:paraId="6A696FE2" w14:textId="77777777" w:rsidR="00244056" w:rsidRPr="008B2CC1" w:rsidRDefault="00244056" w:rsidP="00244056">
      <w:pPr>
        <w:spacing w:after="1040"/>
        <w:rPr>
          <w:i/>
        </w:rPr>
      </w:pPr>
      <w:bookmarkStart w:id="4" w:name="Prepared"/>
      <w:bookmarkEnd w:id="3"/>
      <w:bookmarkEnd w:id="4"/>
      <w:r>
        <w:rPr>
          <w:i/>
        </w:rPr>
        <w:t>Document établi par le Bureau international</w:t>
      </w:r>
    </w:p>
    <w:p w14:paraId="0C9FE97E" w14:textId="03D76928" w:rsidR="005C2CCF" w:rsidRDefault="005C2CCF" w:rsidP="005C2CCF">
      <w:pPr>
        <w:pStyle w:val="Heading1"/>
      </w:pPr>
      <w:r>
        <w:t>R</w:t>
      </w:r>
      <w:r w:rsidR="00DB7D30">
        <w:t>ésumé</w:t>
      </w:r>
    </w:p>
    <w:p w14:paraId="6DCD2D0F" w14:textId="617FDB00" w:rsidR="005C2CCF" w:rsidRPr="008E5650" w:rsidRDefault="001F249C" w:rsidP="00DB7D30">
      <w:pPr>
        <w:pStyle w:val="ONUMFS"/>
      </w:pPr>
      <w:r>
        <w:t>La norme ST.26 de l</w:t>
      </w:r>
      <w:r w:rsidR="00BA5318">
        <w:t>’</w:t>
      </w:r>
      <w:r>
        <w:t>OMPI est entrée en vigueur le</w:t>
      </w:r>
      <w:r w:rsidR="00BA5318">
        <w:t xml:space="preserve"> 1</w:t>
      </w:r>
      <w:r w:rsidR="00BA5318" w:rsidRPr="00BA5318">
        <w:rPr>
          <w:vertAlign w:val="superscript"/>
        </w:rPr>
        <w:t>er</w:t>
      </w:r>
      <w:r w:rsidR="00BA5318">
        <w:t> </w:t>
      </w:r>
      <w:r>
        <w:t>juillet 2022 et constitue le format requis pour les listages de séquences figurant dans les demandes internationales déposées à cette date ou ultérieureme</w:t>
      </w:r>
      <w:r w:rsidR="00DB7D30">
        <w:t>nt.  Le</w:t>
      </w:r>
      <w:r>
        <w:t xml:space="preserve"> système semble fonctionner comme pré</w:t>
      </w:r>
      <w:r w:rsidR="00DB7D30">
        <w:t>vu.  Ce</w:t>
      </w:r>
      <w:r>
        <w:t>rtains services supplémentaires sont envisagés pour améliorer les dispositions pour les déposants, les offices et les tiers à l</w:t>
      </w:r>
      <w:r w:rsidR="00BA5318">
        <w:t>’</w:t>
      </w:r>
      <w:r>
        <w:t>aven</w:t>
      </w:r>
      <w:r w:rsidR="00DB7D30">
        <w:t>ir.  Il</w:t>
      </w:r>
      <w:r>
        <w:t xml:space="preserve"> est recommandé d</w:t>
      </w:r>
      <w:r w:rsidR="00BA5318">
        <w:t>’</w:t>
      </w:r>
      <w:r>
        <w:t>élaborer un nouveau format pour les documents de priorité afin de permettre l</w:t>
      </w:r>
      <w:r w:rsidR="00BA5318">
        <w:t>’</w:t>
      </w:r>
      <w:r>
        <w:t xml:space="preserve">échange de données lisibles par ordinateur, </w:t>
      </w:r>
      <w:r w:rsidR="00BA5318">
        <w:t>y compris</w:t>
      </w:r>
      <w:r>
        <w:t xml:space="preserve"> les listages de séquences au format prescrit par la norme ST.26 de l</w:t>
      </w:r>
      <w:r w:rsidR="00BA5318">
        <w:t>’</w:t>
      </w:r>
      <w:r>
        <w:t>OMPI.</w:t>
      </w:r>
    </w:p>
    <w:p w14:paraId="734691AE" w14:textId="77777777" w:rsidR="005C2CCF" w:rsidRDefault="005C2CCF" w:rsidP="005C2CCF">
      <w:pPr>
        <w:pStyle w:val="Heading1"/>
      </w:pPr>
      <w:r>
        <w:t>Rappel</w:t>
      </w:r>
    </w:p>
    <w:p w14:paraId="754FBC84" w14:textId="2719ECBD" w:rsidR="005C2CCF" w:rsidRDefault="005C2CCF" w:rsidP="00DB7D30">
      <w:pPr>
        <w:pStyle w:val="ONUMFS"/>
      </w:pPr>
      <w:r>
        <w:t>Le Comité des normes de l</w:t>
      </w:r>
      <w:r w:rsidR="00BA5318">
        <w:t>’</w:t>
      </w:r>
      <w:r>
        <w:t>OMPI (CWS) à sa première session (tenue du 25 au 29 octobre 2010) a approuvé la tâche n°</w:t>
      </w:r>
      <w:r w:rsidR="006E5F6F">
        <w:t> </w:t>
      </w:r>
      <w:r>
        <w:t>44 (voir le paragraphe</w:t>
      </w:r>
      <w:r w:rsidR="006E5F6F">
        <w:t> </w:t>
      </w:r>
      <w:r>
        <w:t xml:space="preserve">29 du </w:t>
      </w:r>
      <w:r w:rsidR="00244056">
        <w:t>document CW</w:t>
      </w:r>
      <w:r>
        <w:t>S/1/10)</w:t>
      </w:r>
      <w:r w:rsidR="00BA5318">
        <w:t> :</w:t>
      </w:r>
    </w:p>
    <w:p w14:paraId="0EFFFAFC" w14:textId="17610F19" w:rsidR="005C2CCF" w:rsidRDefault="005C2CCF" w:rsidP="005C2CCF">
      <w:pPr>
        <w:pStyle w:val="ONUME"/>
        <w:numPr>
          <w:ilvl w:val="0"/>
          <w:numId w:val="0"/>
        </w:numPr>
        <w:ind w:left="567"/>
      </w:pPr>
      <w:r>
        <w:t>“Établir une recommandation concernant la présentation des listages des séquences de nucléotides et d</w:t>
      </w:r>
      <w:r w:rsidR="00BA5318">
        <w:t>’</w:t>
      </w:r>
      <w:r>
        <w:t>acides aminés en langage XML (</w:t>
      </w:r>
      <w:proofErr w:type="spellStart"/>
      <w:r>
        <w:t>eXtensible</w:t>
      </w:r>
      <w:proofErr w:type="spellEnd"/>
      <w:r>
        <w:t xml:space="preserve"> </w:t>
      </w:r>
      <w:proofErr w:type="spellStart"/>
      <w:r>
        <w:t>Markup</w:t>
      </w:r>
      <w:proofErr w:type="spellEnd"/>
      <w:r>
        <w:t xml:space="preserve"> </w:t>
      </w:r>
      <w:proofErr w:type="spellStart"/>
      <w:r>
        <w:t>Language</w:t>
      </w:r>
      <w:proofErr w:type="spellEnd"/>
      <w:r>
        <w:t>) pour adoption en tant que norme de l</w:t>
      </w:r>
      <w:r w:rsidR="00BA5318">
        <w:t>’</w:t>
      </w:r>
      <w:r>
        <w:t>O</w:t>
      </w:r>
      <w:r w:rsidR="00DB7D30">
        <w:t>MPI.  La</w:t>
      </w:r>
      <w:r>
        <w:t xml:space="preserve"> proposition relative à l</w:t>
      </w:r>
      <w:r w:rsidR="00BA5318">
        <w:t>’</w:t>
      </w:r>
      <w:r>
        <w:t>établissement de cette nouvelle norme de l</w:t>
      </w:r>
      <w:r w:rsidR="00BA5318">
        <w:t>’</w:t>
      </w:r>
      <w:r>
        <w:t>OMPI devrait être assortie d</w:t>
      </w:r>
      <w:r w:rsidR="00BA5318">
        <w:t>’</w:t>
      </w:r>
      <w:r>
        <w:t>une étude de l</w:t>
      </w:r>
      <w:r w:rsidR="00BA5318">
        <w:t>’</w:t>
      </w:r>
      <w:r>
        <w:t>incidence de ladite norme sur la norme</w:t>
      </w:r>
      <w:r w:rsidR="007053FD">
        <w:t> </w:t>
      </w:r>
      <w:r>
        <w:t>ST.25 actuelle de l</w:t>
      </w:r>
      <w:r w:rsidR="00BA5318">
        <w:t>’</w:t>
      </w:r>
      <w:r>
        <w:t>OMPI, indiquant notamment les modifications à apporter à la norme</w:t>
      </w:r>
      <w:r w:rsidR="007053FD">
        <w:t> </w:t>
      </w:r>
      <w:r>
        <w:t>ST.25.”</w:t>
      </w:r>
    </w:p>
    <w:p w14:paraId="0D4C3FBC" w14:textId="033F3AD1" w:rsidR="005C2CCF" w:rsidRDefault="005C2CCF" w:rsidP="00DB7D30">
      <w:pPr>
        <w:pStyle w:val="ONUMFS"/>
      </w:pPr>
      <w:r>
        <w:t>À sa cinqu</w:t>
      </w:r>
      <w:r w:rsidR="00BA5318">
        <w:t>ième session</w:t>
      </w:r>
      <w:r>
        <w:t>,</w:t>
      </w:r>
      <w:r w:rsidR="00244056">
        <w:t xml:space="preserve"> le CWS</w:t>
      </w:r>
      <w:r>
        <w:t xml:space="preserve"> est parvenu à un accord sur un scénario dit du “</w:t>
      </w:r>
      <w:proofErr w:type="spellStart"/>
      <w:r>
        <w:t>big</w:t>
      </w:r>
      <w:proofErr w:type="spellEnd"/>
      <w:r>
        <w:t xml:space="preserve"> bang” comme option de transition, selon lequel tous les offices de propriété intellectuelle devraient passer de la norme</w:t>
      </w:r>
      <w:r w:rsidR="007053FD">
        <w:t> </w:t>
      </w:r>
      <w:r>
        <w:t>ST.25 à la norme</w:t>
      </w:r>
      <w:r w:rsidR="007053FD">
        <w:t> </w:t>
      </w:r>
      <w:r>
        <w:t>ST.26 en même tem</w:t>
      </w:r>
      <w:r w:rsidR="00DB7D30">
        <w:t xml:space="preserve">ps.  À </w:t>
      </w:r>
      <w:r>
        <w:t xml:space="preserve">la même session, le </w:t>
      </w:r>
      <w:r>
        <w:lastRenderedPageBreak/>
        <w:t>Bureau international a informé</w:t>
      </w:r>
      <w:r w:rsidR="00244056">
        <w:t xml:space="preserve"> le CWS</w:t>
      </w:r>
      <w:r>
        <w:t xml:space="preserve"> qu</w:t>
      </w:r>
      <w:r w:rsidR="00BA5318">
        <w:t>’</w:t>
      </w:r>
      <w:r>
        <w:t>il élaborerait un nouvel outil commun pour permettre aux déposants d</w:t>
      </w:r>
      <w:r w:rsidR="00BA5318">
        <w:t>’</w:t>
      </w:r>
      <w:r>
        <w:t>établir des listages de séquences et de vérifier leur conformité avec la norme ST.26 de l</w:t>
      </w:r>
      <w:r w:rsidR="00BA5318">
        <w:t>’</w:t>
      </w:r>
      <w:r>
        <w:t>OMPI.</w:t>
      </w:r>
    </w:p>
    <w:p w14:paraId="4135CCE3" w14:textId="1BAEEB8C" w:rsidR="005C2CCF" w:rsidRDefault="00D94A7B" w:rsidP="00DB7D30">
      <w:pPr>
        <w:pStyle w:val="ONUMFS"/>
      </w:pPr>
      <w:r>
        <w:t>En octobre 2021, la cinquante</w:t>
      </w:r>
      <w:r w:rsidR="00DB7D30">
        <w:noBreakHyphen/>
      </w:r>
      <w:r>
        <w:t>quatr</w:t>
      </w:r>
      <w:r w:rsidR="00BA5318">
        <w:t>ième session</w:t>
      </w:r>
      <w:r>
        <w:t xml:space="preserve"> de l</w:t>
      </w:r>
      <w:r w:rsidR="00BA5318">
        <w:t>’</w:t>
      </w:r>
      <w:r>
        <w:t>Assemblée générale de l</w:t>
      </w:r>
      <w:r w:rsidR="00BA5318">
        <w:t>’</w:t>
      </w:r>
      <w:r>
        <w:t>OMPI a arrêté la date de la mise en place de la norme</w:t>
      </w:r>
      <w:r w:rsidR="007053FD">
        <w:t> </w:t>
      </w:r>
      <w:r>
        <w:t>ST.26 de l</w:t>
      </w:r>
      <w:r w:rsidR="00BA5318">
        <w:t>’</w:t>
      </w:r>
      <w:r>
        <w:t>OMPI aux niveaux national, régional et international (date du “</w:t>
      </w:r>
      <w:proofErr w:type="spellStart"/>
      <w:r>
        <w:t>big</w:t>
      </w:r>
      <w:proofErr w:type="spellEnd"/>
      <w:r>
        <w:t xml:space="preserve"> bang”) au</w:t>
      </w:r>
      <w:r w:rsidR="00BA5318">
        <w:t xml:space="preserve"> 1</w:t>
      </w:r>
      <w:r w:rsidR="00BA5318" w:rsidRPr="00BA5318">
        <w:rPr>
          <w:vertAlign w:val="superscript"/>
        </w:rPr>
        <w:t>er</w:t>
      </w:r>
      <w:r w:rsidR="00BA5318">
        <w:t> </w:t>
      </w:r>
      <w:r>
        <w:t>juillet 2022.  Au cours de cette même série de réunions, l</w:t>
      </w:r>
      <w:r w:rsidR="00BA5318">
        <w:t>’</w:t>
      </w:r>
      <w:r>
        <w:t>Assemblée de l</w:t>
      </w:r>
      <w:r w:rsidR="00BA5318">
        <w:t>’</w:t>
      </w:r>
      <w:r>
        <w:t>Union du PCT a adopté, lors de sa cinquante</w:t>
      </w:r>
      <w:r w:rsidR="00DB7D30">
        <w:noBreakHyphen/>
      </w:r>
      <w:r>
        <w:t>trois</w:t>
      </w:r>
      <w:r w:rsidR="00BA5318">
        <w:t>ième session</w:t>
      </w:r>
      <w:r>
        <w:t>, les modifications nécessaires du règlement d</w:t>
      </w:r>
      <w:r w:rsidR="00BA5318">
        <w:t>’</w:t>
      </w:r>
      <w:r>
        <w:t>exécution</w:t>
      </w:r>
      <w:r w:rsidR="00244056">
        <w:t xml:space="preserve"> du PCT</w:t>
      </w:r>
      <w:r>
        <w:t xml:space="preserve"> (voir paragraphe 25 du document </w:t>
      </w:r>
      <w:hyperlink r:id="rId9" w:history="1">
        <w:r>
          <w:rPr>
            <w:rStyle w:val="Hyperlink"/>
            <w:color w:val="auto"/>
            <w:sz w:val="21"/>
            <w:bdr w:val="none" w:sz="0" w:space="0" w:color="auto" w:frame="1"/>
          </w:rPr>
          <w:t>PCT/A/53/4</w:t>
        </w:r>
      </w:hyperlink>
      <w:r>
        <w:t>) figurant aux annexes I et II du document </w:t>
      </w:r>
      <w:hyperlink r:id="rId10" w:history="1">
        <w:r>
          <w:rPr>
            <w:rStyle w:val="Hyperlink"/>
            <w:color w:val="auto"/>
            <w:sz w:val="21"/>
            <w:bdr w:val="none" w:sz="0" w:space="0" w:color="auto" w:frame="1"/>
          </w:rPr>
          <w:t>PCT/A/53/3</w:t>
        </w:r>
      </w:hyperlink>
      <w:r w:rsidR="00574F7C" w:rsidRPr="00574F7C">
        <w:rPr>
          <w:rStyle w:val="Hyperlink"/>
          <w:color w:val="auto"/>
          <w:sz w:val="21"/>
          <w:u w:val="none"/>
          <w:bdr w:val="none" w:sz="0" w:space="0" w:color="auto" w:frame="1"/>
        </w:rPr>
        <w:t>)</w:t>
      </w:r>
      <w:r>
        <w:t>.</w:t>
      </w:r>
    </w:p>
    <w:p w14:paraId="48020624" w14:textId="5CC75CA3" w:rsidR="005C2CCF" w:rsidRDefault="005C2CCF" w:rsidP="005C2CCF">
      <w:pPr>
        <w:pStyle w:val="Heading1"/>
      </w:pPr>
      <w:r>
        <w:t>WIPO S</w:t>
      </w:r>
      <w:r w:rsidR="00DB7D30">
        <w:t>equence</w:t>
      </w:r>
    </w:p>
    <w:p w14:paraId="10B27F94" w14:textId="2F15BED7" w:rsidR="005C2CCF" w:rsidRPr="00DB7D30" w:rsidRDefault="00D94A7B" w:rsidP="00DB7D30">
      <w:pPr>
        <w:pStyle w:val="ONUMFS"/>
      </w:pPr>
      <w:r w:rsidRPr="00DB7D30">
        <w:t>Conformément à la décision visée au paragraphe 3 ci</w:t>
      </w:r>
      <w:r w:rsidR="00DB7D30" w:rsidRPr="00DB7D30">
        <w:noBreakHyphen/>
      </w:r>
      <w:r w:rsidRPr="00DB7D30">
        <w:t xml:space="preserve">dessus, le Bureau international a élaboré et mis à la disposition des offices et des déposants des outils dénommés “WIPO </w:t>
      </w:r>
      <w:proofErr w:type="spellStart"/>
      <w:r w:rsidRPr="00DB7D30">
        <w:t>Sequence</w:t>
      </w:r>
      <w:proofErr w:type="spellEnd"/>
      <w:r w:rsidRPr="00DB7D30">
        <w:t xml:space="preserve">” et “WIPO </w:t>
      </w:r>
      <w:proofErr w:type="spellStart"/>
      <w:r w:rsidRPr="00DB7D30">
        <w:t>Sequence</w:t>
      </w:r>
      <w:proofErr w:type="spellEnd"/>
      <w:r w:rsidRPr="00DB7D30">
        <w:t xml:space="preserve"> </w:t>
      </w:r>
      <w:proofErr w:type="spellStart"/>
      <w:r w:rsidRPr="00DB7D30">
        <w:t>Validator</w:t>
      </w:r>
      <w:proofErr w:type="spellEnd"/>
      <w:r w:rsidRPr="00DB7D30">
        <w:t xml:space="preserve">”.  “WIPO </w:t>
      </w:r>
      <w:proofErr w:type="spellStart"/>
      <w:r w:rsidRPr="00DB7D30">
        <w:t>Sequence</w:t>
      </w:r>
      <w:proofErr w:type="spellEnd"/>
      <w:r w:rsidRPr="00DB7D30">
        <w:t xml:space="preserve">” est une application de bureau autonome </w:t>
      </w:r>
      <w:r w:rsidR="00202585" w:rsidRPr="00DB7D30">
        <w:t>compatible avec</w:t>
      </w:r>
      <w:r w:rsidRPr="00DB7D30">
        <w:t xml:space="preserve"> Windows, Linux et </w:t>
      </w:r>
      <w:proofErr w:type="spellStart"/>
      <w:r w:rsidRPr="00DB7D30">
        <w:t>MacOS</w:t>
      </w:r>
      <w:proofErr w:type="spellEnd"/>
      <w:r w:rsidRPr="00DB7D30">
        <w:t>,</w:t>
      </w:r>
      <w:r w:rsidR="00660854" w:rsidRPr="00DB7D30">
        <w:t xml:space="preserve"> </w:t>
      </w:r>
      <w:r w:rsidR="005F7DEF" w:rsidRPr="00DB7D30">
        <w:t xml:space="preserve">et </w:t>
      </w:r>
      <w:r w:rsidRPr="00DB7D30">
        <w:t xml:space="preserve">destinée à aider les déposants à </w:t>
      </w:r>
      <w:r w:rsidR="00202585" w:rsidRPr="00DB7D30">
        <w:t xml:space="preserve">établir </w:t>
      </w:r>
      <w:r w:rsidR="001400FE" w:rsidRPr="00DB7D30">
        <w:t>de</w:t>
      </w:r>
      <w:r w:rsidRPr="00DB7D30">
        <w:t xml:space="preserve">s listages de séquences </w:t>
      </w:r>
      <w:r w:rsidR="001400FE" w:rsidRPr="00DB7D30">
        <w:t>conformément à la norme</w:t>
      </w:r>
      <w:r w:rsidR="007053FD" w:rsidRPr="00DB7D30">
        <w:t> </w:t>
      </w:r>
      <w:r w:rsidR="001400FE" w:rsidRPr="00DB7D30">
        <w:t>ST.26</w:t>
      </w:r>
      <w:r w:rsidRPr="00DB7D30">
        <w:t xml:space="preserve">.  “WIPO </w:t>
      </w:r>
      <w:proofErr w:type="spellStart"/>
      <w:r w:rsidRPr="00DB7D30">
        <w:t>Sequence</w:t>
      </w:r>
      <w:proofErr w:type="spellEnd"/>
      <w:r w:rsidRPr="00DB7D30">
        <w:t xml:space="preserve"> </w:t>
      </w:r>
      <w:proofErr w:type="spellStart"/>
      <w:r w:rsidRPr="00DB7D30">
        <w:t>Validator</w:t>
      </w:r>
      <w:proofErr w:type="spellEnd"/>
      <w:r w:rsidRPr="00DB7D30">
        <w:t xml:space="preserve">” est un service </w:t>
      </w:r>
      <w:r w:rsidR="001400FE" w:rsidRPr="00DB7D30">
        <w:t>intégré aux</w:t>
      </w:r>
      <w:r w:rsidRPr="00DB7D30">
        <w:t xml:space="preserve"> environnements des offices de brevets pour </w:t>
      </w:r>
      <w:r w:rsidR="001400FE" w:rsidRPr="00DB7D30">
        <w:t xml:space="preserve">leur permettre de </w:t>
      </w:r>
      <w:r w:rsidRPr="00DB7D30">
        <w:t xml:space="preserve">vérifier </w:t>
      </w:r>
      <w:r w:rsidR="001400FE" w:rsidRPr="00DB7D30">
        <w:t>la conformité</w:t>
      </w:r>
      <w:r w:rsidRPr="00DB7D30">
        <w:t xml:space="preserve"> </w:t>
      </w:r>
      <w:r w:rsidR="001400FE" w:rsidRPr="00DB7D30">
        <w:t>d</w:t>
      </w:r>
      <w:r w:rsidRPr="00DB7D30">
        <w:t xml:space="preserve">es listages de séquences déposés </w:t>
      </w:r>
      <w:r w:rsidR="001400FE" w:rsidRPr="00DB7D30">
        <w:t xml:space="preserve">au regard de </w:t>
      </w:r>
      <w:r w:rsidRPr="00DB7D30">
        <w:t>la norme ST.26 de l</w:t>
      </w:r>
      <w:r w:rsidR="00BA5318" w:rsidRPr="00DB7D30">
        <w:t>’</w:t>
      </w:r>
      <w:r w:rsidRPr="00DB7D30">
        <w:t>OMPI.</w:t>
      </w:r>
    </w:p>
    <w:p w14:paraId="2AD504D8" w14:textId="56A8763B" w:rsidR="005C2CCF" w:rsidRPr="00DB7D30" w:rsidRDefault="00206D54" w:rsidP="00DB7D30">
      <w:pPr>
        <w:pStyle w:val="ONUMFS"/>
      </w:pPr>
      <w:r w:rsidRPr="00DB7D30">
        <w:t>La version du logiciel initialement mis</w:t>
      </w:r>
      <w:r w:rsidR="00BF3EB4" w:rsidRPr="00DB7D30">
        <w:t>e</w:t>
      </w:r>
      <w:r w:rsidRPr="00DB7D30">
        <w:t xml:space="preserve"> en œuvre contenait un certain nombre de bogu</w:t>
      </w:r>
      <w:r w:rsidR="00DB7D30" w:rsidRPr="00DB7D30">
        <w:t>es.  Le</w:t>
      </w:r>
      <w:r w:rsidRPr="00DB7D30">
        <w:t>s plus graves d</w:t>
      </w:r>
      <w:r w:rsidR="00BA5318" w:rsidRPr="00DB7D30">
        <w:t>’</w:t>
      </w:r>
      <w:r w:rsidRPr="00DB7D30">
        <w:t>entre eux ont été résolus et il est fortement recommandé aux déposants de passer immédiatement à la dernière version du logiciel (version 2.1.2 au moment de la rédacti</w:t>
      </w:r>
      <w:r w:rsidR="00DB7D30" w:rsidRPr="00DB7D30">
        <w:t>on).  Pa</w:t>
      </w:r>
      <w:r w:rsidR="00BF3EB4" w:rsidRPr="00DB7D30">
        <w:t>r ailleurs</w:t>
      </w:r>
      <w:r w:rsidRPr="00DB7D30">
        <w:t xml:space="preserve">, un certain nombre de demandes </w:t>
      </w:r>
      <w:r w:rsidR="00BF3EB4" w:rsidRPr="00DB7D30">
        <w:t xml:space="preserve">comprenant des listages de séquences établis avec des versions </w:t>
      </w:r>
      <w:proofErr w:type="gramStart"/>
      <w:r w:rsidR="00BF3EB4" w:rsidRPr="00DB7D30">
        <w:t>du logiciel déjà obsolètes</w:t>
      </w:r>
      <w:proofErr w:type="gramEnd"/>
      <w:r w:rsidR="00BF3EB4" w:rsidRPr="00DB7D30">
        <w:t xml:space="preserve"> avant la date du “</w:t>
      </w:r>
      <w:proofErr w:type="spellStart"/>
      <w:r w:rsidR="00BF3EB4" w:rsidRPr="00DB7D30">
        <w:t>big</w:t>
      </w:r>
      <w:proofErr w:type="spellEnd"/>
      <w:r w:rsidR="00BF3EB4" w:rsidRPr="00DB7D30">
        <w:t xml:space="preserve"> bang” </w:t>
      </w:r>
      <w:r w:rsidRPr="00DB7D30">
        <w:t>ont été déposé</w:t>
      </w:r>
      <w:r w:rsidR="00DB7D30" w:rsidRPr="00DB7D30">
        <w:t>es.  Le</w:t>
      </w:r>
      <w:r w:rsidRPr="00DB7D30">
        <w:t xml:space="preserve"> système de dépôt </w:t>
      </w:r>
      <w:proofErr w:type="spellStart"/>
      <w:r w:rsidRPr="00DB7D30">
        <w:t>ePCT</w:t>
      </w:r>
      <w:proofErr w:type="spellEnd"/>
      <w:r w:rsidRPr="00DB7D30">
        <w:t xml:space="preserve"> vérifie la version utilisée pour les listages de séquences téléchargés dans cet environnement et avertit les déposants </w:t>
      </w:r>
      <w:r w:rsidR="00BF3EB4" w:rsidRPr="00DB7D30">
        <w:t xml:space="preserve">qui </w:t>
      </w:r>
      <w:r w:rsidRPr="00DB7D30">
        <w:t>utilis</w:t>
      </w:r>
      <w:r w:rsidR="00BF3EB4" w:rsidRPr="00DB7D30">
        <w:t>e</w:t>
      </w:r>
      <w:r w:rsidRPr="00DB7D30">
        <w:t>nt des versions obsolètes.</w:t>
      </w:r>
    </w:p>
    <w:p w14:paraId="49278F29" w14:textId="06B7E9BC" w:rsidR="005C2CCF" w:rsidRDefault="005C2CCF" w:rsidP="005C2CCF">
      <w:pPr>
        <w:pStyle w:val="Heading1"/>
      </w:pPr>
      <w:r>
        <w:t>M</w:t>
      </w:r>
      <w:r w:rsidR="00DB7D30">
        <w:t>ise en œuvre de la norme</w:t>
      </w:r>
      <w:r>
        <w:t> ST.26</w:t>
      </w:r>
    </w:p>
    <w:p w14:paraId="0DABF6AF" w14:textId="71C7B816" w:rsidR="005C2CCF" w:rsidRDefault="005C2CCF" w:rsidP="00DB7D30">
      <w:pPr>
        <w:pStyle w:val="ONUMFS"/>
      </w:pPr>
      <w:r>
        <w:t xml:space="preserve">Le Bureau international a mis à jour le système, accessible depuis le portail </w:t>
      </w:r>
      <w:proofErr w:type="spellStart"/>
      <w:r>
        <w:t>ePCT</w:t>
      </w:r>
      <w:proofErr w:type="spellEnd"/>
      <w:r>
        <w:t>, permettant le dépôt électronique des demandes par les offices et les déposants, ainsi que leur transmission, et les feuilles de style</w:t>
      </w:r>
      <w:r w:rsidR="00697ECB">
        <w:t>s</w:t>
      </w:r>
      <w:r>
        <w:t xml:space="preserve"> utilisées par le Bureau international et d</w:t>
      </w:r>
      <w:r w:rsidR="00BA5318">
        <w:t>’</w:t>
      </w:r>
      <w:r>
        <w:t>autres offices pour produire des formulaires PCT tenant compte de la date de dépôt international de la demande internationale concernée, conformément aux instructions administratives actualisé</w:t>
      </w:r>
      <w:r w:rsidR="00DB7D30">
        <w:t>es.  En</w:t>
      </w:r>
      <w:r>
        <w:t xml:space="preserve"> conséquence,</w:t>
      </w:r>
      <w:r w:rsidR="00244056">
        <w:t xml:space="preserve"> le PCT</w:t>
      </w:r>
      <w:r w:rsidR="00DB7D30">
        <w:noBreakHyphen/>
      </w:r>
      <w:r>
        <w:t>EDI et les systèmes de traitement internes du Bureau international ont été mis à jour afin de permettre la réception et le traitement des listages de séquences au format prescrit par la norme</w:t>
      </w:r>
      <w:r w:rsidR="007053FD">
        <w:t> </w:t>
      </w:r>
      <w:r>
        <w:t>ST.26 de l</w:t>
      </w:r>
      <w:r w:rsidR="00BA5318">
        <w:t>’</w:t>
      </w:r>
      <w:r>
        <w:t>OMPI des exemplaires originaux des demandes international</w:t>
      </w:r>
      <w:r w:rsidR="00DB7D30">
        <w:t>es.  Le</w:t>
      </w:r>
      <w:r>
        <w:t>s listages de séquences selon la norme ST.25 sont toujours acceptés et traités comme des documents déposés ultérieurement pour les demandes internationales déposées avant le</w:t>
      </w:r>
      <w:r w:rsidR="00BA5318">
        <w:t xml:space="preserve"> 1</w:t>
      </w:r>
      <w:r w:rsidR="00BA5318" w:rsidRPr="00BA5318">
        <w:rPr>
          <w:vertAlign w:val="superscript"/>
        </w:rPr>
        <w:t>er</w:t>
      </w:r>
      <w:r w:rsidR="00BA5318">
        <w:t> </w:t>
      </w:r>
      <w:r>
        <w:t>juillet 2022.</w:t>
      </w:r>
    </w:p>
    <w:p w14:paraId="19234270" w14:textId="7821198F" w:rsidR="005C2CCF" w:rsidRDefault="005C2CCF" w:rsidP="00DB7D30">
      <w:pPr>
        <w:pStyle w:val="ONUMFS"/>
      </w:pPr>
      <w:r>
        <w:t>Le Bureau international surveille le dépôt des demandes internationales comportant des listages de séquences avant, pendant et après la période de transiti</w:t>
      </w:r>
      <w:r w:rsidR="00DB7D30">
        <w:t>on.  Le</w:t>
      </w:r>
      <w:r>
        <w:t xml:space="preserve"> nombre d</w:t>
      </w:r>
      <w:r w:rsidR="00BA5318">
        <w:t>’</w:t>
      </w:r>
      <w:r>
        <w:t xml:space="preserve">exemplaires originaux reçus est encore insuffisant pour </w:t>
      </w:r>
      <w:r w:rsidR="00F6035B">
        <w:t xml:space="preserve">en </w:t>
      </w:r>
      <w:r>
        <w:t>tirer des conclusions définitives, mais il semblerait que le nombre de demandes internationales comportant des listages des séquences soit resté à peu près consta</w:t>
      </w:r>
      <w:r w:rsidR="00DB7D30">
        <w:t>nt.  Il</w:t>
      </w:r>
      <w:r>
        <w:t xml:space="preserve"> n</w:t>
      </w:r>
      <w:r w:rsidR="00BA5318">
        <w:t>’</w:t>
      </w:r>
      <w:r>
        <w:t>y a pas eu d</w:t>
      </w:r>
      <w:r w:rsidR="00BA5318">
        <w:t>’</w:t>
      </w:r>
      <w:r>
        <w:t>augmentation significative du nombre de demandes déposées avant le</w:t>
      </w:r>
      <w:r w:rsidR="00BA5318">
        <w:t xml:space="preserve"> 1</w:t>
      </w:r>
      <w:r w:rsidR="00BA5318" w:rsidRPr="00BA5318">
        <w:rPr>
          <w:vertAlign w:val="superscript"/>
        </w:rPr>
        <w:t>er</w:t>
      </w:r>
      <w:r w:rsidR="00BA5318">
        <w:t> </w:t>
      </w:r>
      <w:r>
        <w:t xml:space="preserve">juillet pour permettre </w:t>
      </w:r>
      <w:r w:rsidR="00F6035B">
        <w:t>au</w:t>
      </w:r>
      <w:r>
        <w:t xml:space="preserve"> dépôt de</w:t>
      </w:r>
      <w:r w:rsidR="008419B7">
        <w:t>s</w:t>
      </w:r>
      <w:r>
        <w:t xml:space="preserve"> listages de séquences au format prescrit par la norme</w:t>
      </w:r>
      <w:r w:rsidR="007053FD">
        <w:t> </w:t>
      </w:r>
      <w:r>
        <w:t xml:space="preserve">ST.25 </w:t>
      </w:r>
      <w:r w:rsidR="008419B7">
        <w:t xml:space="preserve">de </w:t>
      </w:r>
      <w:r>
        <w:t>correspond</w:t>
      </w:r>
      <w:r w:rsidR="008419B7">
        <w:t>re</w:t>
      </w:r>
      <w:r>
        <w:t xml:space="preserve"> à </w:t>
      </w:r>
      <w:r w:rsidR="008419B7">
        <w:t>ceux</w:t>
      </w:r>
      <w:r>
        <w:t xml:space="preserve"> utilisé</w:t>
      </w:r>
      <w:r w:rsidR="008419B7">
        <w:t>s</w:t>
      </w:r>
      <w:r>
        <w:t xml:space="preserve"> dans une demande antérieu</w:t>
      </w:r>
      <w:r w:rsidR="00DB7D30">
        <w:t>re.  Le</w:t>
      </w:r>
      <w:r>
        <w:t xml:space="preserve"> taux de dépôt de listages de séquences après la date du “</w:t>
      </w:r>
      <w:proofErr w:type="spellStart"/>
      <w:r>
        <w:t>big</w:t>
      </w:r>
      <w:proofErr w:type="spellEnd"/>
      <w:r>
        <w:t xml:space="preserve"> bang” s</w:t>
      </w:r>
      <w:r w:rsidR="00BA5318">
        <w:t>’</w:t>
      </w:r>
      <w:r>
        <w:t>apparente à celui enregistré avant</w:t>
      </w:r>
      <w:r w:rsidR="00964AB2">
        <w:t xml:space="preserve"> cette date</w:t>
      </w:r>
      <w:r>
        <w:t>.</w:t>
      </w:r>
    </w:p>
    <w:p w14:paraId="78B87244" w14:textId="0093C822" w:rsidR="005C2CCF" w:rsidRDefault="005C2CCF" w:rsidP="005C2CCF">
      <w:pPr>
        <w:pStyle w:val="Heading1"/>
      </w:pPr>
      <w:r>
        <w:lastRenderedPageBreak/>
        <w:t>Documents de priorité et copies certifiées conformes</w:t>
      </w:r>
    </w:p>
    <w:p w14:paraId="570481A7" w14:textId="4D5B0E31" w:rsidR="005C2CCF" w:rsidRPr="00DB7D30" w:rsidRDefault="005C2CCF" w:rsidP="00DB7D30">
      <w:pPr>
        <w:pStyle w:val="ONUMFS"/>
      </w:pPr>
      <w:r w:rsidRPr="00DB7D30">
        <w:t>Avant le “</w:t>
      </w:r>
      <w:proofErr w:type="spellStart"/>
      <w:r w:rsidRPr="00DB7D30">
        <w:t>big</w:t>
      </w:r>
      <w:proofErr w:type="spellEnd"/>
      <w:r w:rsidRPr="00DB7D30">
        <w:t xml:space="preserve"> bang”, les offices choisissaient généralement d</w:t>
      </w:r>
      <w:r w:rsidR="00BA5318" w:rsidRPr="00DB7D30">
        <w:t>’</w:t>
      </w:r>
      <w:r w:rsidRPr="00DB7D30">
        <w:t>utiliser une page imprimée de la liste des séquences pertinentes pour une demande de brevet ou d</w:t>
      </w:r>
      <w:r w:rsidR="00BA5318" w:rsidRPr="00DB7D30">
        <w:t>’</w:t>
      </w:r>
      <w:r w:rsidRPr="00DB7D30">
        <w:t>insérer une page de couverture donnant des informations sur la manière d</w:t>
      </w:r>
      <w:r w:rsidR="00BA5318" w:rsidRPr="00DB7D30">
        <w:t>’</w:t>
      </w:r>
      <w:r w:rsidRPr="00DB7D30">
        <w:t>obtenir ladite liste lorsqu</w:t>
      </w:r>
      <w:r w:rsidR="00BA5318" w:rsidRPr="00DB7D30">
        <w:t>’</w:t>
      </w:r>
      <w:r w:rsidRPr="00DB7D30">
        <w:t>ils fournissaient des documents de priorité et des copies certifiées conform</w:t>
      </w:r>
      <w:r w:rsidR="00DB7D30" w:rsidRPr="00DB7D30">
        <w:t>es.  Le</w:t>
      </w:r>
      <w:r w:rsidRPr="00DB7D30">
        <w:t>ur choix reposait sur la mise en page d</w:t>
      </w:r>
      <w:r w:rsidR="00BA5318" w:rsidRPr="00DB7D30">
        <w:t>’</w:t>
      </w:r>
      <w:r w:rsidRPr="00DB7D30">
        <w:t>un listage de séquences au format prescrit par la norme ST.25 de l</w:t>
      </w:r>
      <w:r w:rsidR="00BA5318" w:rsidRPr="00DB7D30">
        <w:t>’</w:t>
      </w:r>
      <w:r w:rsidRPr="00DB7D30">
        <w:t>OMPI rendant possible l</w:t>
      </w:r>
      <w:r w:rsidR="00BA5318" w:rsidRPr="00DB7D30">
        <w:t>’</w:t>
      </w:r>
      <w:r w:rsidRPr="00DB7D30">
        <w:t>impression d</w:t>
      </w:r>
      <w:r w:rsidR="00BA5318" w:rsidRPr="00DB7D30">
        <w:t>’</w:t>
      </w:r>
      <w:r w:rsidRPr="00DB7D30">
        <w:t>une simple page pour insertion dans un fichier PDF, ou sur l</w:t>
      </w:r>
      <w:r w:rsidR="00BA5318" w:rsidRPr="00DB7D30">
        <w:t>’</w:t>
      </w:r>
      <w:r w:rsidRPr="00DB7D30">
        <w:t>acceptation et la fourniture par cet office d</w:t>
      </w:r>
      <w:r w:rsidR="00BA5318" w:rsidRPr="00DB7D30">
        <w:t>’</w:t>
      </w:r>
      <w:r w:rsidRPr="00DB7D30">
        <w:t>un procédé permettant au destinataire du document de priorité d</w:t>
      </w:r>
      <w:r w:rsidR="00BA5318" w:rsidRPr="00DB7D30">
        <w:t>’</w:t>
      </w:r>
      <w:r w:rsidRPr="00DB7D30">
        <w:t>obtenir un listage des séquences au format texte.</w:t>
      </w:r>
    </w:p>
    <w:p w14:paraId="62EED3AF" w14:textId="7087F934" w:rsidR="005C2CCF" w:rsidRPr="00DB7D30" w:rsidRDefault="005C2CCF" w:rsidP="00DB7D30">
      <w:pPr>
        <w:pStyle w:val="ONUMFS"/>
      </w:pPr>
      <w:r w:rsidRPr="00DB7D30">
        <w:t>Dans le cas des listages de séquences au format prescrit par la norme ST.26 de l</w:t>
      </w:r>
      <w:r w:rsidR="00BA5318" w:rsidRPr="00DB7D30">
        <w:t>’</w:t>
      </w:r>
      <w:r w:rsidRPr="00DB7D30">
        <w:t>OMPI, l</w:t>
      </w:r>
      <w:r w:rsidR="00BA5318" w:rsidRPr="00DB7D30">
        <w:t>’</w:t>
      </w:r>
      <w:r w:rsidRPr="00DB7D30">
        <w:t>impression d</w:t>
      </w:r>
      <w:r w:rsidR="00BA5318" w:rsidRPr="00DB7D30">
        <w:t>’</w:t>
      </w:r>
      <w:r w:rsidRPr="00DB7D30">
        <w:t>une simple page de listages de séquences produit des pages qui sont potentiellement beaucoup moins lisibles que celles produites précédemment pour les listages des séquences reçus au format prescrit par la norme ST.25 de l</w:t>
      </w:r>
      <w:r w:rsidR="00BA5318" w:rsidRPr="00DB7D30">
        <w:t>’</w:t>
      </w:r>
      <w:r w:rsidRPr="00DB7D30">
        <w:t>OMPI.  C</w:t>
      </w:r>
      <w:r w:rsidR="00BA5318" w:rsidRPr="00DB7D30">
        <w:t>’</w:t>
      </w:r>
      <w:r w:rsidRPr="00DB7D30">
        <w:t>est pour cette raison que les offices se sont efforcés de fournir une page imprimée du listage des séquences dans un format</w:t>
      </w:r>
      <w:r w:rsidR="00DC1025" w:rsidRPr="00DB7D30">
        <w:t xml:space="preserve"> </w:t>
      </w:r>
      <w:r w:rsidRPr="00DB7D30">
        <w:t>“lisible par des humains”, plutôt que de montrer</w:t>
      </w:r>
      <w:r w:rsidR="00244056" w:rsidRPr="00DB7D30">
        <w:t xml:space="preserve"> le XML</w:t>
      </w:r>
      <w:r w:rsidRPr="00DB7D30">
        <w:t xml:space="preserve"> ou d</w:t>
      </w:r>
      <w:r w:rsidR="00BA5318" w:rsidRPr="00DB7D30">
        <w:t>’</w:t>
      </w:r>
      <w:r w:rsidRPr="00DB7D30">
        <w:t>insérer une feuille indiquant comment obtenir le fichier texte du listage des séquences.</w:t>
      </w:r>
    </w:p>
    <w:p w14:paraId="7F3BCF9D" w14:textId="50DB6F72" w:rsidR="005C2CCF" w:rsidRPr="00DB7D30" w:rsidRDefault="005C2CCF" w:rsidP="00DB7D30">
      <w:pPr>
        <w:pStyle w:val="ONUMFS"/>
      </w:pPr>
      <w:r w:rsidRPr="00DB7D30">
        <w:t>Le Bureau international a constaté le manque de fiabilité de ce processus de rendu en utilisant la plateforme de rendu actuelle et l</w:t>
      </w:r>
      <w:r w:rsidR="00BA5318" w:rsidRPr="00DB7D30">
        <w:t>’</w:t>
      </w:r>
      <w:r w:rsidRPr="00DB7D30">
        <w:t>irrégularité de la fourniture de documents de priorité et de copies certifiées conform</w:t>
      </w:r>
      <w:r w:rsidR="00DB7D30" w:rsidRPr="00DB7D30">
        <w:t>es.  Le</w:t>
      </w:r>
      <w:r w:rsidRPr="00DB7D30">
        <w:t xml:space="preserve"> Bureau international recommande, sans tenir compte de ce point technique, </w:t>
      </w:r>
      <w:r w:rsidR="00DC1025" w:rsidRPr="00DB7D30">
        <w:t>l</w:t>
      </w:r>
      <w:r w:rsidR="00BA5318" w:rsidRPr="00DB7D30">
        <w:t>’</w:t>
      </w:r>
      <w:r w:rsidR="00DC1025" w:rsidRPr="00DB7D30">
        <w:t>élaboration d</w:t>
      </w:r>
      <w:r w:rsidR="00BA5318" w:rsidRPr="00DB7D30">
        <w:t>’</w:t>
      </w:r>
      <w:r w:rsidRPr="00DB7D30">
        <w:t>une solution standard</w:t>
      </w:r>
      <w:r w:rsidR="00DC1025" w:rsidRPr="00DB7D30">
        <w:t xml:space="preserve"> </w:t>
      </w:r>
      <w:r w:rsidRPr="00DB7D30">
        <w:t>pour permettre la transmission de listages de séquences au format prescrit par la norme ST.26 de l</w:t>
      </w:r>
      <w:r w:rsidR="00BA5318" w:rsidRPr="00DB7D30">
        <w:t>’</w:t>
      </w:r>
      <w:r w:rsidRPr="00DB7D30">
        <w:t>OMPI dans le cadre des documents de priorité et autres copies certifiées conform</w:t>
      </w:r>
      <w:r w:rsidR="00DB7D30" w:rsidRPr="00DB7D30">
        <w:t>es.  Le</w:t>
      </w:r>
      <w:r w:rsidRPr="00DB7D30">
        <w:t xml:space="preserve"> fait que les listages de séquences (et autres éléments) des demandes antérieures soient présentés sous une forme lisible par ordinateur plutôt que sous forme d</w:t>
      </w:r>
      <w:r w:rsidR="00BA5318" w:rsidRPr="00DB7D30">
        <w:t>’</w:t>
      </w:r>
      <w:r w:rsidRPr="00DB7D30">
        <w:t xml:space="preserve">images permettra aux offices de </w:t>
      </w:r>
      <w:r w:rsidR="00DC1025" w:rsidRPr="00DB7D30">
        <w:t>profiter</w:t>
      </w:r>
      <w:r w:rsidRPr="00DB7D30">
        <w:t xml:space="preserve"> d</w:t>
      </w:r>
      <w:r w:rsidR="00BA5318" w:rsidRPr="00DB7D30">
        <w:t>’</w:t>
      </w:r>
      <w:r w:rsidRPr="00DB7D30">
        <w:t>une automatisation plus poussée lors du traitement des documents de priori</w:t>
      </w:r>
      <w:r w:rsidR="00DB7D30" w:rsidRPr="00DB7D30">
        <w:t>té.  Le</w:t>
      </w:r>
      <w:r w:rsidRPr="00DB7D30">
        <w:t xml:space="preserve"> Bureau international recommande que le groupe de travail propose cette mesure en tant que tâche du Comité des normes de l</w:t>
      </w:r>
      <w:r w:rsidR="00BA5318" w:rsidRPr="00DB7D30">
        <w:t>’</w:t>
      </w:r>
      <w:r w:rsidRPr="00DB7D30">
        <w:t>OMPI et invite le groupe de travail à formuler des observations sur toute question spécifique</w:t>
      </w:r>
      <w:r w:rsidR="00244056" w:rsidRPr="00DB7D30">
        <w:t xml:space="preserve"> au PCT</w:t>
      </w:r>
      <w:r w:rsidRPr="00DB7D30">
        <w:t xml:space="preserve"> qui devrait être prise en considération lors de l</w:t>
      </w:r>
      <w:r w:rsidR="00BA5318" w:rsidRPr="00DB7D30">
        <w:t>’</w:t>
      </w:r>
      <w:r w:rsidRPr="00DB7D30">
        <w:t>élaboration d</w:t>
      </w:r>
      <w:r w:rsidR="00BA5318" w:rsidRPr="00DB7D30">
        <w:t>’</w:t>
      </w:r>
      <w:r w:rsidRPr="00DB7D30">
        <w:t>une telle norme.</w:t>
      </w:r>
    </w:p>
    <w:p w14:paraId="3498C195" w14:textId="6D3F29E1" w:rsidR="00610F65" w:rsidRPr="00DB7D30" w:rsidRDefault="00610F65" w:rsidP="00DB7D30">
      <w:pPr>
        <w:pStyle w:val="ONUMFS"/>
      </w:pPr>
      <w:r w:rsidRPr="00DB7D30">
        <w:t>Le Service d</w:t>
      </w:r>
      <w:r w:rsidR="00BA5318" w:rsidRPr="00DB7D30">
        <w:t>’</w:t>
      </w:r>
      <w:r w:rsidRPr="00DB7D30">
        <w:t>accès numérique (DAS) de l</w:t>
      </w:r>
      <w:r w:rsidR="00BA5318" w:rsidRPr="00DB7D30">
        <w:t>’</w:t>
      </w:r>
      <w:r w:rsidRPr="00DB7D30">
        <w:t>OMPI pour les documents de priorité devrait également être mis à jour pour permettre l</w:t>
      </w:r>
      <w:r w:rsidR="00BA5318" w:rsidRPr="00DB7D30">
        <w:t>’</w:t>
      </w:r>
      <w:r w:rsidRPr="00DB7D30">
        <w:t>échange de documents dans le nouveau format.</w:t>
      </w:r>
    </w:p>
    <w:p w14:paraId="63473B3B" w14:textId="02EE4AF7" w:rsidR="005C2CCF" w:rsidRDefault="005C2CCF" w:rsidP="005C2CCF">
      <w:pPr>
        <w:pStyle w:val="Heading1"/>
      </w:pPr>
      <w:r>
        <w:t>V</w:t>
      </w:r>
      <w:r w:rsidR="00DB7D30">
        <w:t>isualisation des listages de séquences</w:t>
      </w:r>
    </w:p>
    <w:p w14:paraId="3EB838ED" w14:textId="057EC7B5" w:rsidR="005C2CCF" w:rsidRDefault="005C2CCF" w:rsidP="00DB7D30">
      <w:pPr>
        <w:pStyle w:val="ONUMFS"/>
      </w:pPr>
      <w:r>
        <w:t>À l</w:t>
      </w:r>
      <w:r w:rsidR="00BA5318">
        <w:t>’</w:t>
      </w:r>
      <w:r>
        <w:t xml:space="preserve">instar des points concernant les documents de priorité, si </w:t>
      </w:r>
      <w:r w:rsidR="009A2D9A">
        <w:t>la présentation, sous forme de tableaux des résidus, des</w:t>
      </w:r>
      <w:r>
        <w:t xml:space="preserve"> listages de séquences déposés au format prescrit par la norme ST.25</w:t>
      </w:r>
      <w:r w:rsidR="009A2D9A">
        <w:t xml:space="preserve"> </w:t>
      </w:r>
      <w:r w:rsidR="00DC1025">
        <w:t>était</w:t>
      </w:r>
      <w:r>
        <w:t xml:space="preserve"> satisfaisante aux fins de l</w:t>
      </w:r>
      <w:r w:rsidR="00BA5318">
        <w:t>’</w:t>
      </w:r>
      <w:r>
        <w:t>intervention humaine lors de leur téléchargement, ce n</w:t>
      </w:r>
      <w:r w:rsidR="00BA5318">
        <w:t>’</w:t>
      </w:r>
      <w:r>
        <w:t>est pas le cas des listages de séquences déposés au format prescrit par la norme ST.26 de l</w:t>
      </w:r>
      <w:r w:rsidR="00BA5318">
        <w:t>’</w:t>
      </w:r>
      <w:r>
        <w:t xml:space="preserve">OMPI, </w:t>
      </w:r>
      <w:r w:rsidR="009A2D9A">
        <w:t>dont les résidus sont présentés en langage</w:t>
      </w:r>
      <w:r>
        <w:t xml:space="preserve"> </w:t>
      </w:r>
      <w:r w:rsidR="00DB7D30">
        <w:t>XML.  Pa</w:t>
      </w:r>
      <w:r>
        <w:t>r conséquent, le Bureau international prévoit de fournir une visionneuse qui utilise une feuille de style pour l</w:t>
      </w:r>
      <w:r w:rsidR="00BA5318">
        <w:t>’</w:t>
      </w:r>
      <w:r>
        <w:t>affichage de ces listages de séquences dans le système PATENTSCOPE pour une visualisation optimale des listages de séquences.</w:t>
      </w:r>
    </w:p>
    <w:p w14:paraId="3C6CA48E" w14:textId="360CFE3D" w:rsidR="005C2CCF" w:rsidRDefault="005C2CCF" w:rsidP="00DB7D30">
      <w:pPr>
        <w:pStyle w:val="ONUMFS"/>
        <w:tabs>
          <w:tab w:val="left" w:pos="6096"/>
        </w:tabs>
        <w:ind w:left="5533"/>
        <w:rPr>
          <w:i/>
        </w:rPr>
      </w:pPr>
      <w:r w:rsidRPr="00DB7D30">
        <w:rPr>
          <w:i/>
        </w:rPr>
        <w:t>Le groupe de travail est invité à</w:t>
      </w:r>
      <w:r w:rsidR="00BA5318" w:rsidRPr="00DB7D30">
        <w:rPr>
          <w:i/>
        </w:rPr>
        <w:t> :</w:t>
      </w:r>
      <w:r w:rsidR="00DB7D30">
        <w:rPr>
          <w:i/>
        </w:rPr>
        <w:br/>
      </w:r>
      <w:r w:rsidR="00DB7D30">
        <w:rPr>
          <w:i/>
        </w:rPr>
        <w:br/>
        <w:t>i)</w:t>
      </w:r>
      <w:r w:rsidR="00DB7D30">
        <w:rPr>
          <w:i/>
        </w:rPr>
        <w:tab/>
      </w:r>
      <w:r w:rsidRPr="00DB7D30">
        <w:rPr>
          <w:i/>
        </w:rPr>
        <w:t>prendre note du niveau d</w:t>
      </w:r>
      <w:r w:rsidR="00BA5318" w:rsidRPr="00DB7D30">
        <w:rPr>
          <w:i/>
        </w:rPr>
        <w:t>’</w:t>
      </w:r>
      <w:r w:rsidRPr="00DB7D30">
        <w:rPr>
          <w:i/>
        </w:rPr>
        <w:t>utilisation de la norme ST.26 de l</w:t>
      </w:r>
      <w:r w:rsidR="00BA5318" w:rsidRPr="00DB7D30">
        <w:rPr>
          <w:i/>
        </w:rPr>
        <w:t>’</w:t>
      </w:r>
      <w:r w:rsidRPr="00DB7D30">
        <w:rPr>
          <w:i/>
        </w:rPr>
        <w:t>OMPI pour les</w:t>
      </w:r>
      <w:r w:rsidR="00DB7D30">
        <w:rPr>
          <w:i/>
        </w:rPr>
        <w:t xml:space="preserve"> demandes internationales;</w:t>
      </w:r>
      <w:r w:rsidR="00DB7D30">
        <w:rPr>
          <w:i/>
        </w:rPr>
        <w:br/>
      </w:r>
      <w:r w:rsidR="00DB7D30">
        <w:rPr>
          <w:i/>
        </w:rPr>
        <w:br/>
        <w:t>ii)</w:t>
      </w:r>
      <w:r w:rsidR="00DB7D30">
        <w:rPr>
          <w:i/>
        </w:rPr>
        <w:tab/>
      </w:r>
      <w:r w:rsidRPr="00DB7D30">
        <w:rPr>
          <w:i/>
        </w:rPr>
        <w:t>recommander au Comité des normes de l</w:t>
      </w:r>
      <w:r w:rsidR="00BA5318" w:rsidRPr="00DB7D30">
        <w:rPr>
          <w:i/>
        </w:rPr>
        <w:t>’</w:t>
      </w:r>
      <w:r w:rsidRPr="00DB7D30">
        <w:rPr>
          <w:i/>
        </w:rPr>
        <w:t xml:space="preserve">OMPI </w:t>
      </w:r>
      <w:r w:rsidR="00E87F93" w:rsidRPr="00DB7D30">
        <w:rPr>
          <w:i/>
        </w:rPr>
        <w:t>l</w:t>
      </w:r>
      <w:r w:rsidR="00BA5318" w:rsidRPr="00DB7D30">
        <w:rPr>
          <w:i/>
        </w:rPr>
        <w:t>’</w:t>
      </w:r>
      <w:r w:rsidRPr="00DB7D30">
        <w:rPr>
          <w:i/>
        </w:rPr>
        <w:t>élabor</w:t>
      </w:r>
      <w:r w:rsidR="00E87F93" w:rsidRPr="00DB7D30">
        <w:rPr>
          <w:i/>
        </w:rPr>
        <w:t>ation d</w:t>
      </w:r>
      <w:r w:rsidR="00BA5318" w:rsidRPr="00DB7D30">
        <w:rPr>
          <w:i/>
        </w:rPr>
        <w:t>’</w:t>
      </w:r>
      <w:r w:rsidRPr="00DB7D30">
        <w:rPr>
          <w:i/>
        </w:rPr>
        <w:t xml:space="preserve">une nouvelle norme pour permettre la </w:t>
      </w:r>
      <w:r w:rsidRPr="00DB7D30">
        <w:rPr>
          <w:i/>
        </w:rPr>
        <w:lastRenderedPageBreak/>
        <w:t>transmission des listages de séquences au format prescrit par la norme ST.26 de l</w:t>
      </w:r>
      <w:r w:rsidR="00BA5318" w:rsidRPr="00DB7D30">
        <w:rPr>
          <w:i/>
        </w:rPr>
        <w:t>’</w:t>
      </w:r>
      <w:r w:rsidRPr="00DB7D30">
        <w:rPr>
          <w:i/>
        </w:rPr>
        <w:t>OMPI dans le cadre des documents de priorité et des copies certifiées</w:t>
      </w:r>
      <w:r w:rsidR="00E87F93" w:rsidRPr="00DB7D30">
        <w:rPr>
          <w:i/>
        </w:rPr>
        <w:t xml:space="preserve"> conformes</w:t>
      </w:r>
      <w:r w:rsidRPr="00DB7D30">
        <w:rPr>
          <w:i/>
        </w:rPr>
        <w:t>.</w:t>
      </w:r>
    </w:p>
    <w:p w14:paraId="7DE0C19C" w14:textId="15EF7F45" w:rsidR="00221278" w:rsidRPr="00775CB3" w:rsidRDefault="00221278" w:rsidP="00221278">
      <w:pPr>
        <w:pStyle w:val="Endofdocument-Annex"/>
        <w:spacing w:before="720"/>
      </w:pPr>
      <w:bookmarkStart w:id="5" w:name="_GoBack"/>
      <w:bookmarkEnd w:id="5"/>
      <w:r>
        <w:t>[Fin</w:t>
      </w:r>
      <w:r>
        <w:t xml:space="preserve"> du document]</w:t>
      </w:r>
    </w:p>
    <w:p w14:paraId="2F3B015A" w14:textId="77777777" w:rsidR="00221278" w:rsidRPr="00DB7D30" w:rsidRDefault="00221278" w:rsidP="00221278">
      <w:pPr>
        <w:pStyle w:val="ONUMFS"/>
        <w:numPr>
          <w:ilvl w:val="0"/>
          <w:numId w:val="0"/>
        </w:numPr>
        <w:tabs>
          <w:tab w:val="left" w:pos="6096"/>
        </w:tabs>
        <w:rPr>
          <w:i/>
        </w:rPr>
      </w:pPr>
    </w:p>
    <w:sectPr w:rsidR="00221278" w:rsidRPr="00DB7D30" w:rsidSect="005C2CC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9F1D" w14:textId="77777777" w:rsidR="0062287B" w:rsidRDefault="0062287B">
      <w:r>
        <w:separator/>
      </w:r>
    </w:p>
  </w:endnote>
  <w:endnote w:type="continuationSeparator" w:id="0">
    <w:p w14:paraId="73D8D113" w14:textId="77777777" w:rsidR="0062287B" w:rsidRDefault="0062287B" w:rsidP="003B38C1">
      <w:r>
        <w:separator/>
      </w:r>
    </w:p>
    <w:p w14:paraId="5FD9BA6A" w14:textId="77777777" w:rsidR="0062287B" w:rsidRPr="00BA5318" w:rsidRDefault="0062287B" w:rsidP="003B38C1">
      <w:pPr>
        <w:spacing w:after="60"/>
        <w:rPr>
          <w:sz w:val="17"/>
          <w:lang w:val="en-CA"/>
        </w:rPr>
      </w:pPr>
      <w:r w:rsidRPr="00BA5318">
        <w:rPr>
          <w:sz w:val="17"/>
          <w:lang w:val="en-CA"/>
        </w:rPr>
        <w:t>[Endnote continued from previous page]</w:t>
      </w:r>
    </w:p>
  </w:endnote>
  <w:endnote w:type="continuationNotice" w:id="1">
    <w:p w14:paraId="01526001" w14:textId="77777777" w:rsidR="0062287B" w:rsidRPr="00BA5318" w:rsidRDefault="0062287B" w:rsidP="003B38C1">
      <w:pPr>
        <w:spacing w:before="60"/>
        <w:jc w:val="right"/>
        <w:rPr>
          <w:sz w:val="17"/>
          <w:szCs w:val="17"/>
          <w:lang w:val="en-CA"/>
        </w:rPr>
      </w:pPr>
      <w:r w:rsidRPr="00BA5318">
        <w:rPr>
          <w:sz w:val="17"/>
          <w:szCs w:val="17"/>
          <w:lang w:val="en-CA"/>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D3B6" w14:textId="77777777" w:rsidR="00DB7D30" w:rsidRDefault="00DB7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805A" w14:textId="77777777" w:rsidR="00DB7D30" w:rsidRDefault="00DB7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9AAE" w14:textId="77777777" w:rsidR="00DB7D30" w:rsidRDefault="00DB7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C2C11" w14:textId="77777777" w:rsidR="0062287B" w:rsidRDefault="0062287B">
      <w:r>
        <w:separator/>
      </w:r>
    </w:p>
  </w:footnote>
  <w:footnote w:type="continuationSeparator" w:id="0">
    <w:p w14:paraId="5BF76160" w14:textId="77777777" w:rsidR="0062287B" w:rsidRDefault="0062287B" w:rsidP="008B60B2">
      <w:r>
        <w:separator/>
      </w:r>
    </w:p>
    <w:p w14:paraId="3C5F74D8" w14:textId="77777777" w:rsidR="0062287B" w:rsidRPr="00BA5318" w:rsidRDefault="0062287B" w:rsidP="008B60B2">
      <w:pPr>
        <w:spacing w:after="60"/>
        <w:rPr>
          <w:sz w:val="17"/>
          <w:szCs w:val="17"/>
          <w:lang w:val="en-CA"/>
        </w:rPr>
      </w:pPr>
      <w:r w:rsidRPr="00BA5318">
        <w:rPr>
          <w:sz w:val="17"/>
          <w:szCs w:val="17"/>
          <w:lang w:val="en-CA"/>
        </w:rPr>
        <w:t>[Footnote continued from previous page]</w:t>
      </w:r>
    </w:p>
  </w:footnote>
  <w:footnote w:type="continuationNotice" w:id="1">
    <w:p w14:paraId="1C4F55AB" w14:textId="77777777" w:rsidR="0062287B" w:rsidRPr="00BA5318" w:rsidRDefault="0062287B" w:rsidP="008B60B2">
      <w:pPr>
        <w:spacing w:before="60"/>
        <w:jc w:val="right"/>
        <w:rPr>
          <w:sz w:val="17"/>
          <w:szCs w:val="17"/>
          <w:lang w:val="en-CA"/>
        </w:rPr>
      </w:pPr>
      <w:r w:rsidRPr="00BA5318">
        <w:rPr>
          <w:sz w:val="17"/>
          <w:szCs w:val="17"/>
          <w:lang w:val="en-CA"/>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C6279" w14:textId="77777777" w:rsidR="00DB7D30" w:rsidRDefault="00DB7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5DACE" w14:textId="0157F515" w:rsidR="00610F65" w:rsidRPr="002326AB" w:rsidRDefault="00610F65" w:rsidP="00477D6B">
    <w:pPr>
      <w:jc w:val="right"/>
      <w:rPr>
        <w:caps/>
      </w:rPr>
    </w:pPr>
    <w:bookmarkStart w:id="6" w:name="Code2"/>
    <w:bookmarkEnd w:id="6"/>
    <w:r>
      <w:rPr>
        <w:caps/>
      </w:rPr>
      <w:t>P</w:t>
    </w:r>
    <w:r w:rsidR="00DB7D30">
      <w:rPr>
        <w:caps/>
      </w:rPr>
      <w:t>CT/WG</w:t>
    </w:r>
    <w:r>
      <w:rPr>
        <w:caps/>
      </w:rPr>
      <w:t>/15/3</w:t>
    </w:r>
  </w:p>
  <w:p w14:paraId="1687D267" w14:textId="52EA1D4B" w:rsidR="00610F65" w:rsidRDefault="006E5F6F" w:rsidP="00DB7D30">
    <w:pPr>
      <w:spacing w:after="480"/>
      <w:jc w:val="right"/>
    </w:pPr>
    <w:r>
      <w:t>p</w:t>
    </w:r>
    <w:r w:rsidR="00610F65">
      <w:t>age</w:t>
    </w:r>
    <w:r>
      <w:t> </w:t>
    </w:r>
    <w:r w:rsidR="00610F65">
      <w:fldChar w:fldCharType="begin"/>
    </w:r>
    <w:r w:rsidR="00610F65">
      <w:instrText xml:space="preserve"> PAGE  \* MERGEFORMAT </w:instrText>
    </w:r>
    <w:r w:rsidR="00610F65">
      <w:fldChar w:fldCharType="separate"/>
    </w:r>
    <w:r w:rsidR="003F6B95">
      <w:rPr>
        <w:noProof/>
      </w:rPr>
      <w:t>4</w:t>
    </w:r>
    <w:r w:rsidR="00610F6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AFF87" w14:textId="77777777" w:rsidR="00DB7D30" w:rsidRDefault="00DB7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CF"/>
    <w:rsid w:val="00030A2D"/>
    <w:rsid w:val="00043CAA"/>
    <w:rsid w:val="00056816"/>
    <w:rsid w:val="00075432"/>
    <w:rsid w:val="00080252"/>
    <w:rsid w:val="000968ED"/>
    <w:rsid w:val="000A3D97"/>
    <w:rsid w:val="000F5E56"/>
    <w:rsid w:val="001362EE"/>
    <w:rsid w:val="001400FE"/>
    <w:rsid w:val="001647D5"/>
    <w:rsid w:val="001832A6"/>
    <w:rsid w:val="00185420"/>
    <w:rsid w:val="001D4107"/>
    <w:rsid w:val="001F249C"/>
    <w:rsid w:val="001F3052"/>
    <w:rsid w:val="00202585"/>
    <w:rsid w:val="00203D24"/>
    <w:rsid w:val="00206D54"/>
    <w:rsid w:val="00210C28"/>
    <w:rsid w:val="0021217E"/>
    <w:rsid w:val="00221278"/>
    <w:rsid w:val="002326AB"/>
    <w:rsid w:val="00243430"/>
    <w:rsid w:val="00244056"/>
    <w:rsid w:val="002634C4"/>
    <w:rsid w:val="002928D3"/>
    <w:rsid w:val="002F1FE6"/>
    <w:rsid w:val="002F4E68"/>
    <w:rsid w:val="00312F7F"/>
    <w:rsid w:val="00361450"/>
    <w:rsid w:val="003673CF"/>
    <w:rsid w:val="003845C1"/>
    <w:rsid w:val="003A3CB8"/>
    <w:rsid w:val="003A6F89"/>
    <w:rsid w:val="003B38C1"/>
    <w:rsid w:val="003C34E9"/>
    <w:rsid w:val="003F6B95"/>
    <w:rsid w:val="004127A3"/>
    <w:rsid w:val="00423E3E"/>
    <w:rsid w:val="00427AF4"/>
    <w:rsid w:val="0045382E"/>
    <w:rsid w:val="004647DA"/>
    <w:rsid w:val="00474062"/>
    <w:rsid w:val="00477D6B"/>
    <w:rsid w:val="004E3490"/>
    <w:rsid w:val="005019FF"/>
    <w:rsid w:val="005173E0"/>
    <w:rsid w:val="0053057A"/>
    <w:rsid w:val="00556076"/>
    <w:rsid w:val="00560A29"/>
    <w:rsid w:val="00573FA9"/>
    <w:rsid w:val="00574F7C"/>
    <w:rsid w:val="005C2CCF"/>
    <w:rsid w:val="005C6649"/>
    <w:rsid w:val="005F7DEF"/>
    <w:rsid w:val="00605827"/>
    <w:rsid w:val="00610F65"/>
    <w:rsid w:val="0062287B"/>
    <w:rsid w:val="00646050"/>
    <w:rsid w:val="00660854"/>
    <w:rsid w:val="006713CA"/>
    <w:rsid w:val="00676C5C"/>
    <w:rsid w:val="00697ECB"/>
    <w:rsid w:val="006A75A7"/>
    <w:rsid w:val="006E5F6F"/>
    <w:rsid w:val="007053FD"/>
    <w:rsid w:val="00720EFD"/>
    <w:rsid w:val="00762FFC"/>
    <w:rsid w:val="007752C2"/>
    <w:rsid w:val="007854AF"/>
    <w:rsid w:val="00793A7C"/>
    <w:rsid w:val="007A398A"/>
    <w:rsid w:val="007D1613"/>
    <w:rsid w:val="007E4C0E"/>
    <w:rsid w:val="008419B7"/>
    <w:rsid w:val="008A134B"/>
    <w:rsid w:val="008B2CC1"/>
    <w:rsid w:val="008B60B2"/>
    <w:rsid w:val="0090731E"/>
    <w:rsid w:val="009127B6"/>
    <w:rsid w:val="00916EE2"/>
    <w:rsid w:val="009427E6"/>
    <w:rsid w:val="00964AB2"/>
    <w:rsid w:val="00966A22"/>
    <w:rsid w:val="0096722F"/>
    <w:rsid w:val="00980843"/>
    <w:rsid w:val="009A2D9A"/>
    <w:rsid w:val="009E2791"/>
    <w:rsid w:val="009E3F6F"/>
    <w:rsid w:val="009F499F"/>
    <w:rsid w:val="009F7D17"/>
    <w:rsid w:val="00A37342"/>
    <w:rsid w:val="00A42DAF"/>
    <w:rsid w:val="00A45BD8"/>
    <w:rsid w:val="00A869B7"/>
    <w:rsid w:val="00A90F0A"/>
    <w:rsid w:val="00AC205C"/>
    <w:rsid w:val="00AC2EAB"/>
    <w:rsid w:val="00AD7E4E"/>
    <w:rsid w:val="00AE3363"/>
    <w:rsid w:val="00AF0A6B"/>
    <w:rsid w:val="00AF17EB"/>
    <w:rsid w:val="00B05A69"/>
    <w:rsid w:val="00B31F84"/>
    <w:rsid w:val="00B33EE2"/>
    <w:rsid w:val="00B75281"/>
    <w:rsid w:val="00B92F1F"/>
    <w:rsid w:val="00B9734B"/>
    <w:rsid w:val="00BA30E2"/>
    <w:rsid w:val="00BA5318"/>
    <w:rsid w:val="00BF3EB4"/>
    <w:rsid w:val="00C11BFE"/>
    <w:rsid w:val="00C5068F"/>
    <w:rsid w:val="00C717F8"/>
    <w:rsid w:val="00C82D15"/>
    <w:rsid w:val="00C86D74"/>
    <w:rsid w:val="00CC5614"/>
    <w:rsid w:val="00CD04F1"/>
    <w:rsid w:val="00CF681A"/>
    <w:rsid w:val="00D07C78"/>
    <w:rsid w:val="00D33691"/>
    <w:rsid w:val="00D45252"/>
    <w:rsid w:val="00D71B4D"/>
    <w:rsid w:val="00D93D55"/>
    <w:rsid w:val="00D94A7B"/>
    <w:rsid w:val="00DA7297"/>
    <w:rsid w:val="00DB7D30"/>
    <w:rsid w:val="00DC1025"/>
    <w:rsid w:val="00DD7B7F"/>
    <w:rsid w:val="00E15015"/>
    <w:rsid w:val="00E256D4"/>
    <w:rsid w:val="00E335FE"/>
    <w:rsid w:val="00E87F93"/>
    <w:rsid w:val="00EA7D6E"/>
    <w:rsid w:val="00EB2F76"/>
    <w:rsid w:val="00EC4E49"/>
    <w:rsid w:val="00ED0D0B"/>
    <w:rsid w:val="00ED3539"/>
    <w:rsid w:val="00ED77FB"/>
    <w:rsid w:val="00EE45FA"/>
    <w:rsid w:val="00F043DE"/>
    <w:rsid w:val="00F6035B"/>
    <w:rsid w:val="00F66152"/>
    <w:rsid w:val="00F9165B"/>
    <w:rsid w:val="00FC482F"/>
    <w:rsid w:val="00FD2CCA"/>
    <w:rsid w:val="00FE7E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C0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5C2CCF"/>
    <w:rPr>
      <w:rFonts w:ascii="Arial" w:eastAsia="SimSun" w:hAnsi="Arial" w:cs="Arial"/>
      <w:b/>
      <w:bCs/>
      <w:caps/>
      <w:kern w:val="32"/>
      <w:sz w:val="22"/>
      <w:szCs w:val="32"/>
      <w:lang w:val="fr-FR" w:eastAsia="zh-CN"/>
    </w:rPr>
  </w:style>
  <w:style w:type="character" w:styleId="Hyperlink">
    <w:name w:val="Hyperlink"/>
    <w:basedOn w:val="DefaultParagraphFont"/>
    <w:uiPriority w:val="99"/>
    <w:unhideWhenUsed/>
    <w:rsid w:val="005C2CCF"/>
    <w:rPr>
      <w:color w:val="0000FF"/>
      <w:u w:val="single"/>
    </w:rPr>
  </w:style>
  <w:style w:type="character" w:customStyle="1" w:styleId="ONUMEChar">
    <w:name w:val="ONUM E Char"/>
    <w:basedOn w:val="DefaultParagraphFont"/>
    <w:link w:val="ONUME"/>
    <w:rsid w:val="005C2CCF"/>
    <w:rPr>
      <w:rFonts w:ascii="Arial" w:eastAsia="SimSun" w:hAnsi="Arial" w:cs="Arial"/>
      <w:sz w:val="22"/>
      <w:lang w:val="fr-FR" w:eastAsia="zh-CN"/>
    </w:rPr>
  </w:style>
  <w:style w:type="paragraph" w:styleId="BalloonText">
    <w:name w:val="Balloon Text"/>
    <w:basedOn w:val="Normal"/>
    <w:link w:val="BalloonTextChar"/>
    <w:semiHidden/>
    <w:unhideWhenUsed/>
    <w:rsid w:val="001F249C"/>
    <w:rPr>
      <w:rFonts w:ascii="Segoe UI" w:hAnsi="Segoe UI" w:cs="Segoe UI"/>
      <w:sz w:val="18"/>
      <w:szCs w:val="18"/>
    </w:rPr>
  </w:style>
  <w:style w:type="character" w:customStyle="1" w:styleId="BalloonTextChar">
    <w:name w:val="Balloon Text Char"/>
    <w:basedOn w:val="DefaultParagraphFont"/>
    <w:link w:val="BalloonText"/>
    <w:semiHidden/>
    <w:rsid w:val="001F249C"/>
    <w:rPr>
      <w:rFonts w:ascii="Segoe UI" w:eastAsia="SimSun" w:hAnsi="Segoe UI" w:cs="Segoe UI"/>
      <w:sz w:val="18"/>
      <w:szCs w:val="18"/>
      <w:lang w:val="fr-FR" w:eastAsia="zh-CN"/>
    </w:rPr>
  </w:style>
  <w:style w:type="paragraph" w:styleId="Revision">
    <w:name w:val="Revision"/>
    <w:hidden/>
    <w:uiPriority w:val="99"/>
    <w:semiHidden/>
    <w:rsid w:val="00206D54"/>
    <w:rPr>
      <w:rFonts w:ascii="Arial" w:eastAsia="SimSun" w:hAnsi="Arial" w:cs="Arial"/>
      <w:sz w:val="22"/>
      <w:lang w:eastAsia="zh-CN"/>
    </w:rPr>
  </w:style>
  <w:style w:type="character" w:styleId="FollowedHyperlink">
    <w:name w:val="FollowedHyperlink"/>
    <w:basedOn w:val="DefaultParagraphFont"/>
    <w:semiHidden/>
    <w:unhideWhenUsed/>
    <w:rsid w:val="00C717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fr/doc_details.jsp?doc_id=547740" TargetMode="External"/><Relationship Id="rId4" Type="http://schemas.openxmlformats.org/officeDocument/2006/relationships/settings" Target="settings.xml"/><Relationship Id="rId9" Type="http://schemas.openxmlformats.org/officeDocument/2006/relationships/hyperlink" Target="https://www.wipo.int/meetings/fr/doc_details.jsp?doc_id=5563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8710-CBE0-4E86-AEB7-8933FAC0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7853</Characters>
  <Application>Microsoft Office Word</Application>
  <DocSecurity>0</DocSecurity>
  <Lines>133</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PCT/WG/15/3</vt:lpstr>
      <vt:lpstr>PCT/WG/15/3</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PCT/WG/15/3</dc:title>
  <dc:creator/>
  <cp:keywords>FOR OFFICIAL USE ONLY</cp:keywords>
  <cp:lastModifiedBy/>
  <cp:revision>1</cp:revision>
  <dcterms:created xsi:type="dcterms:W3CDTF">2022-08-22T09:49:00Z</dcterms:created>
  <dcterms:modified xsi:type="dcterms:W3CDTF">2022-08-22T09:51:00Z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d3f12e9a-33cc-4cbd-a482-6c2706821ea6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