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D2726E" w:rsidRDefault="0040540C" w:rsidP="00D20C96">
      <w:pPr>
        <w:spacing w:before="360" w:after="240"/>
        <w:jc w:val="right"/>
        <w:rPr>
          <w:lang w:val="fr-FR"/>
        </w:rPr>
      </w:pPr>
      <w:r w:rsidRPr="00D2726E">
        <w:rPr>
          <w:noProof/>
          <w:lang w:eastAsia="fr-CH"/>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D2726E" w:rsidRDefault="000453DC" w:rsidP="00D20C96">
      <w:pPr>
        <w:pBdr>
          <w:top w:val="single" w:sz="4" w:space="16" w:color="auto"/>
        </w:pBdr>
        <w:jc w:val="right"/>
        <w:rPr>
          <w:rFonts w:ascii="Arial Black" w:hAnsi="Arial Black"/>
          <w:caps/>
          <w:sz w:val="15"/>
          <w:lang w:val="fr-FR"/>
        </w:rPr>
      </w:pPr>
      <w:r w:rsidRPr="00D2726E">
        <w:rPr>
          <w:rFonts w:ascii="Arial Black" w:hAnsi="Arial Black"/>
          <w:caps/>
          <w:sz w:val="15"/>
          <w:lang w:val="fr-FR"/>
        </w:rPr>
        <w:t>PCT/WG/1</w:t>
      </w:r>
      <w:r w:rsidR="00871401" w:rsidRPr="00D2726E">
        <w:rPr>
          <w:rFonts w:ascii="Arial Black" w:hAnsi="Arial Black"/>
          <w:caps/>
          <w:sz w:val="15"/>
          <w:lang w:val="fr-FR"/>
        </w:rPr>
        <w:t>4</w:t>
      </w:r>
      <w:r w:rsidR="00D20C96" w:rsidRPr="00D2726E">
        <w:rPr>
          <w:rFonts w:ascii="Arial Black" w:hAnsi="Arial Black"/>
          <w:caps/>
          <w:sz w:val="15"/>
          <w:lang w:val="fr-FR"/>
        </w:rPr>
        <w:t>/</w:t>
      </w:r>
      <w:bookmarkStart w:id="0" w:name="Code"/>
      <w:r w:rsidR="00175BDE" w:rsidRPr="00D2726E">
        <w:rPr>
          <w:rFonts w:ascii="Arial Black" w:hAnsi="Arial Black"/>
          <w:caps/>
          <w:sz w:val="15"/>
          <w:lang w:val="fr-FR"/>
        </w:rPr>
        <w:t>18</w:t>
      </w:r>
    </w:p>
    <w:bookmarkEnd w:id="0"/>
    <w:p w:rsidR="008B2CC1" w:rsidRPr="00D2726E" w:rsidRDefault="00B1090C" w:rsidP="0040540C">
      <w:pPr>
        <w:jc w:val="right"/>
        <w:rPr>
          <w:lang w:val="fr-FR"/>
        </w:rPr>
      </w:pPr>
      <w:r w:rsidRPr="00D2726E">
        <w:rPr>
          <w:rFonts w:ascii="Arial Black" w:hAnsi="Arial Black"/>
          <w:caps/>
          <w:sz w:val="15"/>
          <w:lang w:val="fr-FR"/>
        </w:rPr>
        <w:t>ORIGINAL</w:t>
      </w:r>
      <w:r w:rsidR="009045B2" w:rsidRPr="00D2726E">
        <w:rPr>
          <w:rFonts w:ascii="Arial Black" w:hAnsi="Arial Black"/>
          <w:caps/>
          <w:sz w:val="15"/>
          <w:lang w:val="fr-FR"/>
        </w:rPr>
        <w:t> :</w:t>
      </w:r>
      <w:r w:rsidR="002956DE" w:rsidRPr="00D2726E">
        <w:rPr>
          <w:rFonts w:ascii="Arial Black" w:hAnsi="Arial Black"/>
          <w:caps/>
          <w:sz w:val="15"/>
          <w:lang w:val="fr-FR"/>
        </w:rPr>
        <w:t xml:space="preserve"> </w:t>
      </w:r>
      <w:bookmarkStart w:id="1" w:name="Original"/>
      <w:r w:rsidR="00175BDE" w:rsidRPr="00D2726E">
        <w:rPr>
          <w:rFonts w:ascii="Arial Black" w:hAnsi="Arial Black"/>
          <w:caps/>
          <w:sz w:val="15"/>
          <w:lang w:val="fr-FR"/>
        </w:rPr>
        <w:t>anglais</w:t>
      </w:r>
    </w:p>
    <w:bookmarkEnd w:id="1"/>
    <w:p w:rsidR="008B2CC1" w:rsidRPr="00D2726E" w:rsidRDefault="00B1090C" w:rsidP="00B1090C">
      <w:pPr>
        <w:spacing w:after="1200"/>
        <w:jc w:val="right"/>
        <w:rPr>
          <w:lang w:val="fr-FR"/>
        </w:rPr>
      </w:pPr>
      <w:r w:rsidRPr="00D2726E">
        <w:rPr>
          <w:rFonts w:ascii="Arial Black" w:hAnsi="Arial Black"/>
          <w:caps/>
          <w:sz w:val="15"/>
          <w:lang w:val="fr-FR"/>
        </w:rPr>
        <w:t>DATE</w:t>
      </w:r>
      <w:r w:rsidR="009045B2" w:rsidRPr="00D2726E">
        <w:rPr>
          <w:rFonts w:ascii="Arial Black" w:hAnsi="Arial Black"/>
          <w:caps/>
          <w:sz w:val="15"/>
          <w:lang w:val="fr-FR"/>
        </w:rPr>
        <w:t> :</w:t>
      </w:r>
      <w:r w:rsidR="002956DE" w:rsidRPr="00D2726E">
        <w:rPr>
          <w:rFonts w:ascii="Arial Black" w:hAnsi="Arial Black"/>
          <w:caps/>
          <w:sz w:val="15"/>
          <w:lang w:val="fr-FR"/>
        </w:rPr>
        <w:t xml:space="preserve"> </w:t>
      </w:r>
      <w:bookmarkStart w:id="2" w:name="Date"/>
      <w:r w:rsidR="00175BDE" w:rsidRPr="00D2726E">
        <w:rPr>
          <w:rFonts w:ascii="Arial Black" w:hAnsi="Arial Black"/>
          <w:caps/>
          <w:sz w:val="15"/>
          <w:lang w:val="fr-FR"/>
        </w:rPr>
        <w:t>17 juin 2021</w:t>
      </w:r>
    </w:p>
    <w:bookmarkEnd w:id="2"/>
    <w:p w:rsidR="003845C1" w:rsidRPr="00D2726E" w:rsidRDefault="000453DC" w:rsidP="00175BDE">
      <w:pPr>
        <w:pStyle w:val="Title"/>
        <w:rPr>
          <w:lang w:val="fr-FR"/>
        </w:rPr>
      </w:pPr>
      <w:r w:rsidRPr="00D2726E">
        <w:rPr>
          <w:lang w:val="fr-FR"/>
        </w:rPr>
        <w:t>Groupe de travail du Traité de coopération en matière de brevets (PCT)</w:t>
      </w:r>
    </w:p>
    <w:p w:rsidR="00871401" w:rsidRPr="00D2726E" w:rsidRDefault="00871401" w:rsidP="00871401">
      <w:pPr>
        <w:outlineLvl w:val="1"/>
        <w:rPr>
          <w:b/>
          <w:sz w:val="24"/>
          <w:szCs w:val="24"/>
          <w:lang w:val="fr-FR"/>
        </w:rPr>
      </w:pPr>
      <w:r w:rsidRPr="00D2726E">
        <w:rPr>
          <w:b/>
          <w:sz w:val="24"/>
          <w:szCs w:val="24"/>
          <w:lang w:val="fr-FR"/>
        </w:rPr>
        <w:t>Quatorz</w:t>
      </w:r>
      <w:r w:rsidR="009045B2" w:rsidRPr="00D2726E">
        <w:rPr>
          <w:b/>
          <w:sz w:val="24"/>
          <w:szCs w:val="24"/>
          <w:lang w:val="fr-FR"/>
        </w:rPr>
        <w:t>ième session</w:t>
      </w:r>
    </w:p>
    <w:p w:rsidR="008B2CC1" w:rsidRPr="00D2726E" w:rsidRDefault="000453DC" w:rsidP="000453DC">
      <w:pPr>
        <w:spacing w:after="720"/>
        <w:outlineLvl w:val="1"/>
        <w:rPr>
          <w:b/>
          <w:sz w:val="24"/>
          <w:szCs w:val="24"/>
          <w:lang w:val="fr-FR"/>
        </w:rPr>
      </w:pPr>
      <w:r w:rsidRPr="00D2726E">
        <w:rPr>
          <w:b/>
          <w:sz w:val="24"/>
          <w:szCs w:val="24"/>
          <w:lang w:val="fr-FR"/>
        </w:rPr>
        <w:t xml:space="preserve">Genève, </w:t>
      </w:r>
      <w:r w:rsidR="00871401" w:rsidRPr="00D2726E">
        <w:rPr>
          <w:b/>
          <w:sz w:val="24"/>
          <w:szCs w:val="24"/>
          <w:lang w:val="fr-FR"/>
        </w:rPr>
        <w:t>14</w:t>
      </w:r>
      <w:r w:rsidRPr="00D2726E">
        <w:rPr>
          <w:b/>
          <w:sz w:val="24"/>
          <w:szCs w:val="24"/>
          <w:lang w:val="fr-FR"/>
        </w:rPr>
        <w:t xml:space="preserve"> – </w:t>
      </w:r>
      <w:r w:rsidR="00871401" w:rsidRPr="00D2726E">
        <w:rPr>
          <w:b/>
          <w:sz w:val="24"/>
          <w:szCs w:val="24"/>
          <w:lang w:val="fr-FR"/>
        </w:rPr>
        <w:t>1</w:t>
      </w:r>
      <w:r w:rsidR="000113AE" w:rsidRPr="00D2726E">
        <w:rPr>
          <w:b/>
          <w:sz w:val="24"/>
          <w:szCs w:val="24"/>
          <w:lang w:val="fr-FR"/>
        </w:rPr>
        <w:t>7 juin 20</w:t>
      </w:r>
      <w:r w:rsidR="00871401" w:rsidRPr="00D2726E">
        <w:rPr>
          <w:b/>
          <w:sz w:val="24"/>
          <w:szCs w:val="24"/>
          <w:lang w:val="fr-FR"/>
        </w:rPr>
        <w:t>21</w:t>
      </w:r>
    </w:p>
    <w:p w:rsidR="008B2CC1" w:rsidRPr="00D2726E" w:rsidRDefault="009045B2" w:rsidP="00D2726E">
      <w:pPr>
        <w:spacing w:after="1320"/>
        <w:rPr>
          <w:caps/>
          <w:sz w:val="24"/>
          <w:lang w:val="fr-FR"/>
        </w:rPr>
      </w:pPr>
      <w:bookmarkStart w:id="3" w:name="TitleOfDoc"/>
      <w:r w:rsidRPr="00D2726E">
        <w:rPr>
          <w:caps/>
          <w:sz w:val="24"/>
          <w:lang w:val="fr-FR"/>
        </w:rPr>
        <w:t>R</w:t>
      </w:r>
      <w:r w:rsidR="00175BDE" w:rsidRPr="00D2726E">
        <w:rPr>
          <w:caps/>
          <w:sz w:val="24"/>
          <w:lang w:val="fr-FR"/>
        </w:rPr>
        <w:t>ésumé présenté par l</w:t>
      </w:r>
      <w:r w:rsidR="00175BDE" w:rsidRPr="00D2726E">
        <w:rPr>
          <w:caps/>
          <w:color w:val="000000"/>
          <w:sz w:val="24"/>
          <w:lang w:val="fr-FR"/>
        </w:rPr>
        <w:t>a</w:t>
      </w:r>
      <w:r w:rsidR="00175BDE" w:rsidRPr="00D2726E">
        <w:rPr>
          <w:caps/>
          <w:sz w:val="24"/>
          <w:lang w:val="fr-FR"/>
        </w:rPr>
        <w:t xml:space="preserve"> président</w:t>
      </w:r>
      <w:r w:rsidR="00175BDE" w:rsidRPr="00D2726E">
        <w:rPr>
          <w:caps/>
          <w:color w:val="000000"/>
          <w:sz w:val="24"/>
          <w:lang w:val="fr-FR"/>
        </w:rPr>
        <w:t>e</w:t>
      </w:r>
    </w:p>
    <w:bookmarkEnd w:id="3"/>
    <w:p w:rsidR="00175BDE" w:rsidRPr="00D2726E" w:rsidRDefault="000113AE" w:rsidP="00175BDE">
      <w:pPr>
        <w:pStyle w:val="Heading1"/>
        <w:rPr>
          <w:lang w:val="fr-FR"/>
        </w:rPr>
      </w:pPr>
      <w:r w:rsidRPr="00D2726E">
        <w:rPr>
          <w:lang w:val="fr-FR"/>
        </w:rPr>
        <w:t>Point 1</w:t>
      </w:r>
      <w:r w:rsidR="00175BDE" w:rsidRPr="00D2726E">
        <w:rPr>
          <w:lang w:val="fr-FR"/>
        </w:rPr>
        <w:t xml:space="preserve"> de l</w:t>
      </w:r>
      <w:r w:rsidR="009045B2" w:rsidRPr="00D2726E">
        <w:rPr>
          <w:lang w:val="fr-FR"/>
        </w:rPr>
        <w:t>’</w:t>
      </w:r>
      <w:r w:rsidR="00175BDE" w:rsidRPr="00D2726E">
        <w:rPr>
          <w:lang w:val="fr-FR"/>
        </w:rPr>
        <w:t>ordre du jour</w:t>
      </w:r>
      <w:r w:rsidR="009045B2" w:rsidRPr="00D2726E">
        <w:rPr>
          <w:lang w:val="fr-FR"/>
        </w:rPr>
        <w:t> :</w:t>
      </w:r>
      <w:r w:rsidR="00175BDE" w:rsidRPr="00D2726E">
        <w:rPr>
          <w:lang w:val="fr-FR"/>
        </w:rPr>
        <w:t xml:space="preserve"> ouverture de la session</w:t>
      </w:r>
    </w:p>
    <w:p w:rsidR="00175BDE" w:rsidRPr="00D2726E" w:rsidRDefault="00175BDE" w:rsidP="00175BDE">
      <w:pPr>
        <w:pStyle w:val="ONUMFS"/>
        <w:rPr>
          <w:lang w:val="fr-FR"/>
        </w:rPr>
      </w:pPr>
      <w:r w:rsidRPr="00D2726E">
        <w:rPr>
          <w:lang w:val="fr-FR"/>
        </w:rPr>
        <w:t>Mme</w:t>
      </w:r>
      <w:r w:rsidR="00DB7445" w:rsidRPr="00D2726E">
        <w:rPr>
          <w:lang w:val="fr-FR"/>
        </w:rPr>
        <w:t> </w:t>
      </w:r>
      <w:r w:rsidRPr="00D2726E">
        <w:rPr>
          <w:lang w:val="fr-FR"/>
        </w:rPr>
        <w:t>Lisa</w:t>
      </w:r>
      <w:r w:rsidR="0076191F" w:rsidRPr="00D2726E">
        <w:rPr>
          <w:lang w:val="fr-FR"/>
        </w:rPr>
        <w:t> </w:t>
      </w:r>
      <w:proofErr w:type="spellStart"/>
      <w:r w:rsidRPr="00D2726E">
        <w:rPr>
          <w:lang w:val="fr-FR"/>
        </w:rPr>
        <w:t>Jorgenson</w:t>
      </w:r>
      <w:proofErr w:type="spellEnd"/>
      <w:r w:rsidRPr="00D2726E">
        <w:rPr>
          <w:lang w:val="fr-FR"/>
        </w:rPr>
        <w:t>, vice</w:t>
      </w:r>
      <w:r w:rsidR="009045B2" w:rsidRPr="00D2726E">
        <w:rPr>
          <w:lang w:val="fr-FR"/>
        </w:rPr>
        <w:t>-</w:t>
      </w:r>
      <w:r w:rsidRPr="00D2726E">
        <w:rPr>
          <w:lang w:val="fr-FR"/>
        </w:rPr>
        <w:t>directrice générale chargée du Secteur des brevets et de la technologie, a ouvert la session et souhaité la bienvenue aux participants au nom de M.</w:t>
      </w:r>
      <w:r w:rsidR="00DB7445" w:rsidRPr="00D2726E">
        <w:rPr>
          <w:lang w:val="fr-FR"/>
        </w:rPr>
        <w:t> </w:t>
      </w:r>
      <w:proofErr w:type="spellStart"/>
      <w:r w:rsidR="009045B2" w:rsidRPr="00D2726E">
        <w:rPr>
          <w:lang w:val="fr-FR"/>
        </w:rPr>
        <w:t>Daren</w:t>
      </w:r>
      <w:proofErr w:type="spellEnd"/>
      <w:r w:rsidR="009045B2" w:rsidRPr="00D2726E">
        <w:rPr>
          <w:lang w:val="fr-FR"/>
        </w:rPr>
        <w:t> Tang</w:t>
      </w:r>
      <w:r w:rsidRPr="00D2726E">
        <w:rPr>
          <w:lang w:val="fr-FR"/>
        </w:rPr>
        <w:t>, Directeur général de l</w:t>
      </w:r>
      <w:r w:rsidR="009045B2" w:rsidRPr="00D2726E">
        <w:rPr>
          <w:lang w:val="fr-FR"/>
        </w:rPr>
        <w:t>’</w:t>
      </w:r>
      <w:r w:rsidRPr="00D2726E">
        <w:rPr>
          <w:lang w:val="fr-FR"/>
        </w:rPr>
        <w:t>OMPI.  M.</w:t>
      </w:r>
      <w:r w:rsidR="00DB7445" w:rsidRPr="00D2726E">
        <w:rPr>
          <w:lang w:val="fr-FR"/>
        </w:rPr>
        <w:t> </w:t>
      </w:r>
      <w:r w:rsidRPr="00D2726E">
        <w:rPr>
          <w:lang w:val="fr-FR"/>
        </w:rPr>
        <w:t>Michael</w:t>
      </w:r>
      <w:r w:rsidR="0076191F" w:rsidRPr="00D2726E">
        <w:rPr>
          <w:lang w:val="fr-FR"/>
        </w:rPr>
        <w:t> </w:t>
      </w:r>
      <w:r w:rsidRPr="00D2726E">
        <w:rPr>
          <w:lang w:val="fr-FR"/>
        </w:rPr>
        <w:t>Richardson (OMPI) a assuré le secrétariat du groupe de travail.</w:t>
      </w:r>
    </w:p>
    <w:p w:rsidR="00175BDE" w:rsidRPr="00D2726E" w:rsidRDefault="000113AE" w:rsidP="00175BDE">
      <w:pPr>
        <w:pStyle w:val="Heading1"/>
        <w:rPr>
          <w:lang w:val="fr-FR"/>
        </w:rPr>
      </w:pPr>
      <w:r w:rsidRPr="00D2726E">
        <w:rPr>
          <w:lang w:val="fr-FR"/>
        </w:rPr>
        <w:t>Point 2</w:t>
      </w:r>
      <w:r w:rsidR="00175BDE" w:rsidRPr="00D2726E">
        <w:rPr>
          <w:lang w:val="fr-FR"/>
        </w:rPr>
        <w:t xml:space="preserve"> de L</w:t>
      </w:r>
      <w:r w:rsidR="009045B2" w:rsidRPr="00D2726E">
        <w:rPr>
          <w:lang w:val="fr-FR"/>
        </w:rPr>
        <w:t>’</w:t>
      </w:r>
      <w:r w:rsidR="00175BDE" w:rsidRPr="00D2726E">
        <w:rPr>
          <w:lang w:val="fr-FR"/>
        </w:rPr>
        <w:t>ordre du jour</w:t>
      </w:r>
      <w:r w:rsidR="009045B2" w:rsidRPr="00D2726E">
        <w:rPr>
          <w:lang w:val="fr-FR"/>
        </w:rPr>
        <w:t> :</w:t>
      </w:r>
      <w:r w:rsidR="0076191F" w:rsidRPr="00D2726E">
        <w:rPr>
          <w:lang w:val="fr-FR"/>
        </w:rPr>
        <w:t xml:space="preserve"> élection d</w:t>
      </w:r>
      <w:r w:rsidR="009045B2" w:rsidRPr="00D2726E">
        <w:rPr>
          <w:lang w:val="fr-FR"/>
        </w:rPr>
        <w:t>’</w:t>
      </w:r>
      <w:r w:rsidR="0076191F" w:rsidRPr="00D2726E">
        <w:rPr>
          <w:lang w:val="fr-FR"/>
        </w:rPr>
        <w:t>un</w:t>
      </w:r>
      <w:r w:rsidR="00175BDE" w:rsidRPr="00D2726E">
        <w:rPr>
          <w:lang w:val="fr-FR"/>
        </w:rPr>
        <w:t xml:space="preserve"> président et de deux</w:t>
      </w:r>
      <w:r w:rsidR="00DB7445" w:rsidRPr="00D2726E">
        <w:rPr>
          <w:lang w:val="fr-FR"/>
        </w:rPr>
        <w:t> </w:t>
      </w:r>
      <w:r w:rsidR="00175BDE" w:rsidRPr="00D2726E">
        <w:rPr>
          <w:lang w:val="fr-FR"/>
        </w:rPr>
        <w:t>vice</w:t>
      </w:r>
      <w:r w:rsidR="009045B2" w:rsidRPr="00D2726E">
        <w:rPr>
          <w:lang w:val="fr-FR"/>
        </w:rPr>
        <w:t>-</w:t>
      </w:r>
      <w:r w:rsidR="00175BDE" w:rsidRPr="00D2726E">
        <w:rPr>
          <w:lang w:val="fr-FR"/>
        </w:rPr>
        <w:t>présidents</w:t>
      </w:r>
    </w:p>
    <w:p w:rsidR="00175BDE" w:rsidRPr="00D2726E" w:rsidRDefault="00175BDE" w:rsidP="00175BDE">
      <w:pPr>
        <w:pStyle w:val="ONUMFS"/>
        <w:ind w:left="567"/>
        <w:rPr>
          <w:lang w:val="fr-FR"/>
        </w:rPr>
      </w:pPr>
      <w:r w:rsidRPr="00D2726E">
        <w:rPr>
          <w:lang w:val="fr-FR"/>
        </w:rPr>
        <w:t>Le groupe de travail a élu à l</w:t>
      </w:r>
      <w:r w:rsidR="009045B2" w:rsidRPr="00D2726E">
        <w:rPr>
          <w:lang w:val="fr-FR"/>
        </w:rPr>
        <w:t>’</w:t>
      </w:r>
      <w:r w:rsidRPr="00D2726E">
        <w:rPr>
          <w:lang w:val="fr-FR"/>
        </w:rPr>
        <w:t>unanimité Mme</w:t>
      </w:r>
      <w:r w:rsidR="00DB7445" w:rsidRPr="00D2726E">
        <w:rPr>
          <w:lang w:val="fr-FR"/>
        </w:rPr>
        <w:t> </w:t>
      </w:r>
      <w:r w:rsidRPr="00D2726E">
        <w:rPr>
          <w:lang w:val="fr-FR"/>
        </w:rPr>
        <w:t>Dong Cheng (Chine) présidente et Mme</w:t>
      </w:r>
      <w:r w:rsidR="00DB7445" w:rsidRPr="00D2726E">
        <w:rPr>
          <w:lang w:val="fr-FR"/>
        </w:rPr>
        <w:t> </w:t>
      </w:r>
      <w:r w:rsidRPr="00D2726E">
        <w:rPr>
          <w:lang w:val="fr-FR"/>
        </w:rPr>
        <w:t xml:space="preserve">Rekha </w:t>
      </w:r>
      <w:proofErr w:type="spellStart"/>
      <w:r w:rsidRPr="00D2726E">
        <w:rPr>
          <w:lang w:val="fr-FR"/>
        </w:rPr>
        <w:t>Vijayam</w:t>
      </w:r>
      <w:proofErr w:type="spellEnd"/>
      <w:r w:rsidRPr="00D2726E">
        <w:rPr>
          <w:lang w:val="fr-FR"/>
        </w:rPr>
        <w:t xml:space="preserve"> (Inde) et M.</w:t>
      </w:r>
      <w:r w:rsidR="00DB7445" w:rsidRPr="00D2726E">
        <w:rPr>
          <w:lang w:val="fr-FR"/>
        </w:rPr>
        <w:t> </w:t>
      </w:r>
      <w:r w:rsidRPr="00D2726E">
        <w:rPr>
          <w:lang w:val="fr-FR"/>
        </w:rPr>
        <w:t>Charles</w:t>
      </w:r>
      <w:r w:rsidR="0076191F" w:rsidRPr="00D2726E">
        <w:rPr>
          <w:lang w:val="fr-FR"/>
        </w:rPr>
        <w:t> </w:t>
      </w:r>
      <w:r w:rsidRPr="00D2726E">
        <w:rPr>
          <w:lang w:val="fr-FR"/>
        </w:rPr>
        <w:t>Pearson (États</w:t>
      </w:r>
      <w:r w:rsidR="009045B2" w:rsidRPr="00D2726E">
        <w:rPr>
          <w:lang w:val="fr-FR"/>
        </w:rPr>
        <w:t>-</w:t>
      </w:r>
      <w:r w:rsidRPr="00D2726E">
        <w:rPr>
          <w:lang w:val="fr-FR"/>
        </w:rPr>
        <w:t>Unis d</w:t>
      </w:r>
      <w:r w:rsidR="009045B2" w:rsidRPr="00D2726E">
        <w:rPr>
          <w:lang w:val="fr-FR"/>
        </w:rPr>
        <w:t>’</w:t>
      </w:r>
      <w:r w:rsidRPr="00D2726E">
        <w:rPr>
          <w:lang w:val="fr-FR"/>
        </w:rPr>
        <w:t>Amérique) vice</w:t>
      </w:r>
      <w:r w:rsidR="009045B2" w:rsidRPr="00D2726E">
        <w:rPr>
          <w:lang w:val="fr-FR"/>
        </w:rPr>
        <w:t>-</w:t>
      </w:r>
      <w:r w:rsidRPr="00D2726E">
        <w:rPr>
          <w:lang w:val="fr-FR"/>
        </w:rPr>
        <w:t>présidents pour la session.</w:t>
      </w:r>
    </w:p>
    <w:p w:rsidR="00175BDE" w:rsidRPr="00D2726E" w:rsidRDefault="000113AE" w:rsidP="00175BDE">
      <w:pPr>
        <w:pStyle w:val="Heading1"/>
        <w:rPr>
          <w:lang w:val="fr-FR"/>
        </w:rPr>
      </w:pPr>
      <w:r w:rsidRPr="00D2726E">
        <w:rPr>
          <w:lang w:val="fr-FR"/>
        </w:rPr>
        <w:t>Point 3</w:t>
      </w:r>
      <w:r w:rsidR="00175BDE" w:rsidRPr="00D2726E">
        <w:rPr>
          <w:lang w:val="fr-FR"/>
        </w:rPr>
        <w:t xml:space="preserve"> de l</w:t>
      </w:r>
      <w:r w:rsidR="009045B2" w:rsidRPr="00D2726E">
        <w:rPr>
          <w:lang w:val="fr-FR"/>
        </w:rPr>
        <w:t>’</w:t>
      </w:r>
      <w:r w:rsidR="00175BDE" w:rsidRPr="00D2726E">
        <w:rPr>
          <w:lang w:val="fr-FR"/>
        </w:rPr>
        <w:t>ordre du jour</w:t>
      </w:r>
      <w:r w:rsidR="009045B2" w:rsidRPr="00D2726E">
        <w:rPr>
          <w:lang w:val="fr-FR"/>
        </w:rPr>
        <w:t> :</w:t>
      </w:r>
      <w:r w:rsidR="00175BDE" w:rsidRPr="00D2726E">
        <w:rPr>
          <w:lang w:val="fr-FR"/>
        </w:rPr>
        <w:t xml:space="preserve"> adoption de l</w:t>
      </w:r>
      <w:r w:rsidR="009045B2" w:rsidRPr="00D2726E">
        <w:rPr>
          <w:lang w:val="fr-FR"/>
        </w:rPr>
        <w:t>’</w:t>
      </w:r>
      <w:r w:rsidR="00175BDE" w:rsidRPr="00D2726E">
        <w:rPr>
          <w:lang w:val="fr-FR"/>
        </w:rPr>
        <w:t>ordre du jour</w:t>
      </w:r>
    </w:p>
    <w:p w:rsidR="00175BDE" w:rsidRPr="00D2726E" w:rsidRDefault="00175BDE" w:rsidP="00175BDE">
      <w:pPr>
        <w:pStyle w:val="ONUMFS"/>
        <w:ind w:left="567"/>
        <w:rPr>
          <w:lang w:val="fr-FR"/>
        </w:rPr>
      </w:pPr>
      <w:r w:rsidRPr="00D2726E">
        <w:rPr>
          <w:lang w:val="fr-FR"/>
        </w:rPr>
        <w:t>Le groupe de travail a adopté le projet d</w:t>
      </w:r>
      <w:r w:rsidR="009045B2" w:rsidRPr="00D2726E">
        <w:rPr>
          <w:lang w:val="fr-FR"/>
        </w:rPr>
        <w:t>’</w:t>
      </w:r>
      <w:r w:rsidRPr="00D2726E">
        <w:rPr>
          <w:lang w:val="fr-FR"/>
        </w:rPr>
        <w:t>ordre du jour révisé figurant dans le document PCT/WG/14/1 Prov.2.</w:t>
      </w:r>
    </w:p>
    <w:p w:rsidR="00175BDE" w:rsidRPr="00D2726E" w:rsidRDefault="000113AE" w:rsidP="00175BDE">
      <w:pPr>
        <w:pStyle w:val="Heading1"/>
        <w:rPr>
          <w:lang w:val="fr-FR"/>
        </w:rPr>
      </w:pPr>
      <w:r w:rsidRPr="00D2726E">
        <w:rPr>
          <w:lang w:val="fr-FR"/>
        </w:rPr>
        <w:t>Point 4</w:t>
      </w:r>
      <w:r w:rsidR="00175BDE" w:rsidRPr="00D2726E">
        <w:rPr>
          <w:lang w:val="fr-FR"/>
        </w:rPr>
        <w:t xml:space="preserve"> de l</w:t>
      </w:r>
      <w:r w:rsidR="009045B2" w:rsidRPr="00D2726E">
        <w:rPr>
          <w:lang w:val="fr-FR"/>
        </w:rPr>
        <w:t>’</w:t>
      </w:r>
      <w:r w:rsidR="00175BDE" w:rsidRPr="00D2726E">
        <w:rPr>
          <w:lang w:val="fr-FR"/>
        </w:rPr>
        <w:t>ordre du jour</w:t>
      </w:r>
      <w:r w:rsidR="009045B2" w:rsidRPr="00D2726E">
        <w:rPr>
          <w:lang w:val="fr-FR"/>
        </w:rPr>
        <w:t> :</w:t>
      </w:r>
      <w:r w:rsidR="00175BDE" w:rsidRPr="00D2726E">
        <w:rPr>
          <w:lang w:val="fr-FR"/>
        </w:rPr>
        <w:t xml:space="preserve"> rapport sur la vingt</w:t>
      </w:r>
      <w:r w:rsidR="009045B2" w:rsidRPr="00D2726E">
        <w:rPr>
          <w:lang w:val="fr-FR"/>
        </w:rPr>
        <w:t>-</w:t>
      </w:r>
      <w:r w:rsidR="00175BDE" w:rsidRPr="00D2726E">
        <w:rPr>
          <w:lang w:val="fr-FR"/>
        </w:rPr>
        <w:t>huitième réunion des administrations internationales instituées en vertu du PCT</w:t>
      </w:r>
    </w:p>
    <w:p w:rsidR="00175BDE" w:rsidRPr="00D2726E" w:rsidRDefault="00175BDE" w:rsidP="00175BDE">
      <w:pPr>
        <w:pStyle w:val="ONUMFS"/>
        <w:rPr>
          <w:lang w:val="fr-FR"/>
        </w:rPr>
      </w:pPr>
      <w:r w:rsidRPr="00D2726E">
        <w:rPr>
          <w:lang w:val="fr-FR"/>
        </w:rPr>
        <w:t>Les délibérations ont eu lieu sur la base du document PCT/WG/14/2.</w:t>
      </w:r>
    </w:p>
    <w:p w:rsidR="00175BDE" w:rsidRPr="00D2726E" w:rsidRDefault="00175BDE" w:rsidP="00175BDE">
      <w:pPr>
        <w:pStyle w:val="ONUMFS"/>
        <w:ind w:left="567"/>
        <w:rPr>
          <w:lang w:val="fr-FR"/>
        </w:rPr>
      </w:pPr>
      <w:r w:rsidRPr="00D2726E">
        <w:rPr>
          <w:lang w:val="fr-FR"/>
        </w:rPr>
        <w:t>Le groupe de travail a pris note du contenu du document PCT/WG/14/2.</w:t>
      </w:r>
    </w:p>
    <w:p w:rsidR="00175BDE" w:rsidRPr="00D2726E" w:rsidRDefault="000113AE" w:rsidP="00175BDE">
      <w:pPr>
        <w:pStyle w:val="Heading1"/>
        <w:rPr>
          <w:lang w:val="fr-FR"/>
        </w:rPr>
      </w:pPr>
      <w:r w:rsidRPr="00D2726E">
        <w:rPr>
          <w:lang w:val="fr-FR"/>
        </w:rPr>
        <w:lastRenderedPageBreak/>
        <w:t>Point 5</w:t>
      </w:r>
      <w:r w:rsidR="00175BDE" w:rsidRPr="00D2726E">
        <w:rPr>
          <w:lang w:val="fr-FR"/>
        </w:rPr>
        <w:t xml:space="preserve"> de l</w:t>
      </w:r>
      <w:r w:rsidR="009045B2" w:rsidRPr="00D2726E">
        <w:rPr>
          <w:lang w:val="fr-FR"/>
        </w:rPr>
        <w:t>’</w:t>
      </w:r>
      <w:r w:rsidR="00175BDE" w:rsidRPr="00D2726E">
        <w:rPr>
          <w:lang w:val="fr-FR"/>
        </w:rPr>
        <w:t>ordre du jour</w:t>
      </w:r>
      <w:r w:rsidR="009045B2" w:rsidRPr="00D2726E">
        <w:rPr>
          <w:lang w:val="fr-FR"/>
        </w:rPr>
        <w:t> :</w:t>
      </w:r>
      <w:r w:rsidR="00175BDE" w:rsidRPr="00D2726E">
        <w:rPr>
          <w:lang w:val="fr-FR"/>
        </w:rPr>
        <w:t xml:space="preserve"> demandes internationales en rapport avec des sanctions imposées par le Conseil de sécurité des </w:t>
      </w:r>
      <w:r w:rsidR="009045B2" w:rsidRPr="00D2726E">
        <w:rPr>
          <w:lang w:val="fr-FR"/>
        </w:rPr>
        <w:t>Nations Unies</w:t>
      </w:r>
    </w:p>
    <w:p w:rsidR="00175BDE" w:rsidRPr="00D2726E" w:rsidRDefault="00175BDE" w:rsidP="00175BDE">
      <w:pPr>
        <w:pStyle w:val="ONUMFS"/>
        <w:rPr>
          <w:lang w:val="fr-FR"/>
        </w:rPr>
      </w:pPr>
      <w:r w:rsidRPr="00D2726E">
        <w:rPr>
          <w:lang w:val="fr-FR"/>
        </w:rPr>
        <w:t>Les délibérations ont eu lieu sur la base du document PCT/WG/14/3.</w:t>
      </w:r>
    </w:p>
    <w:p w:rsidR="00175BDE" w:rsidRPr="00D2726E" w:rsidRDefault="00175BDE" w:rsidP="00175BDE">
      <w:pPr>
        <w:pStyle w:val="ONUMFS"/>
        <w:ind w:left="567"/>
        <w:rPr>
          <w:lang w:val="fr-FR"/>
        </w:rPr>
      </w:pPr>
      <w:r w:rsidRPr="00D2726E">
        <w:rPr>
          <w:lang w:val="fr-FR"/>
        </w:rPr>
        <w:t>Le groupe de travail a pris note du contenu du document PCT/WG/14/3.</w:t>
      </w:r>
    </w:p>
    <w:p w:rsidR="00175BDE" w:rsidRPr="00D2726E" w:rsidRDefault="000113AE" w:rsidP="00175BDE">
      <w:pPr>
        <w:pStyle w:val="Heading1"/>
        <w:rPr>
          <w:lang w:val="fr-FR"/>
        </w:rPr>
      </w:pPr>
      <w:r w:rsidRPr="00D2726E">
        <w:rPr>
          <w:lang w:val="fr-FR"/>
        </w:rPr>
        <w:t>Point 6</w:t>
      </w:r>
      <w:r w:rsidR="00175BDE" w:rsidRPr="00D2726E">
        <w:rPr>
          <w:lang w:val="fr-FR"/>
        </w:rPr>
        <w:t xml:space="preserve"> de l</w:t>
      </w:r>
      <w:r w:rsidR="009045B2" w:rsidRPr="00D2726E">
        <w:rPr>
          <w:lang w:val="fr-FR"/>
        </w:rPr>
        <w:t>’</w:t>
      </w:r>
      <w:r w:rsidR="00175BDE" w:rsidRPr="00D2726E">
        <w:rPr>
          <w:lang w:val="fr-FR"/>
        </w:rPr>
        <w:t>ordre du jour</w:t>
      </w:r>
      <w:r w:rsidR="009045B2" w:rsidRPr="00D2726E">
        <w:rPr>
          <w:lang w:val="fr-FR"/>
        </w:rPr>
        <w:t> :</w:t>
      </w:r>
      <w:r w:rsidR="00175BDE" w:rsidRPr="00D2726E">
        <w:rPr>
          <w:lang w:val="fr-FR"/>
        </w:rPr>
        <w:t xml:space="preserve"> renforcer les garanties</w:t>
      </w:r>
      <w:r w:rsidRPr="00D2726E">
        <w:rPr>
          <w:lang w:val="fr-FR"/>
        </w:rPr>
        <w:t xml:space="preserve"> du PCT</w:t>
      </w:r>
      <w:r w:rsidR="00175BDE" w:rsidRPr="00D2726E">
        <w:rPr>
          <w:lang w:val="fr-FR"/>
        </w:rPr>
        <w:t xml:space="preserve"> en cas de perturbation générale</w:t>
      </w:r>
    </w:p>
    <w:p w:rsidR="00175BDE" w:rsidRPr="00D2726E" w:rsidRDefault="00175BDE" w:rsidP="00175BDE">
      <w:pPr>
        <w:pStyle w:val="ONUMFS"/>
        <w:rPr>
          <w:lang w:val="fr-FR"/>
        </w:rPr>
      </w:pPr>
      <w:r w:rsidRPr="00D2726E">
        <w:rPr>
          <w:lang w:val="fr-FR"/>
        </w:rPr>
        <w:t>Les délibérations ont eu lieu sur la base des documents PCT/WG/14/9 et 11.</w:t>
      </w:r>
    </w:p>
    <w:p w:rsidR="00FB2AB0" w:rsidRPr="00D2726E" w:rsidRDefault="00E6395D" w:rsidP="00FB2AB0">
      <w:pPr>
        <w:pStyle w:val="ONUMFS"/>
        <w:rPr>
          <w:lang w:val="fr-FR"/>
        </w:rPr>
      </w:pPr>
      <w:r w:rsidRPr="00D2726E">
        <w:rPr>
          <w:lang w:val="fr-FR"/>
        </w:rPr>
        <w:t>Toutes les délégations qui ont pris la parole ont appuyé les modifications qu</w:t>
      </w:r>
      <w:r w:rsidR="009045B2" w:rsidRPr="00D2726E">
        <w:rPr>
          <w:lang w:val="fr-FR"/>
        </w:rPr>
        <w:t>’</w:t>
      </w:r>
      <w:r w:rsidRPr="00D2726E">
        <w:rPr>
          <w:lang w:val="fr-FR"/>
        </w:rPr>
        <w:t>il était proposé d</w:t>
      </w:r>
      <w:r w:rsidR="009045B2" w:rsidRPr="00D2726E">
        <w:rPr>
          <w:lang w:val="fr-FR"/>
        </w:rPr>
        <w:t>’</w:t>
      </w:r>
      <w:r w:rsidRPr="00D2726E">
        <w:rPr>
          <w:lang w:val="fr-FR"/>
        </w:rPr>
        <w:t xml:space="preserve">apporter à la </w:t>
      </w:r>
      <w:r w:rsidR="006E17B4" w:rsidRPr="00D2726E">
        <w:rPr>
          <w:lang w:val="fr-FR"/>
        </w:rPr>
        <w:t>règle 8</w:t>
      </w:r>
      <w:r w:rsidRPr="00D2726E">
        <w:rPr>
          <w:lang w:val="fr-FR"/>
        </w:rPr>
        <w:t>2</w:t>
      </w:r>
      <w:r w:rsidRPr="00D2726E">
        <w:rPr>
          <w:i/>
          <w:lang w:val="fr-FR"/>
        </w:rPr>
        <w:t>quater</w:t>
      </w:r>
      <w:r w:rsidRPr="00D2726E">
        <w:rPr>
          <w:lang w:val="fr-FR"/>
        </w:rPr>
        <w:t>.1 afin de préciser qu</w:t>
      </w:r>
      <w:r w:rsidR="009045B2" w:rsidRPr="00D2726E">
        <w:rPr>
          <w:lang w:val="fr-FR"/>
        </w:rPr>
        <w:t>’</w:t>
      </w:r>
      <w:r w:rsidRPr="00D2726E">
        <w:rPr>
          <w:lang w:val="fr-FR"/>
        </w:rPr>
        <w:t>une épidémie constituait une situation potentielle de force majeure au sens de cette règle et de prévoir expressément la possibilité de renoncer à l</w:t>
      </w:r>
      <w:r w:rsidR="009045B2" w:rsidRPr="00D2726E">
        <w:rPr>
          <w:lang w:val="fr-FR"/>
        </w:rPr>
        <w:t>’</w:t>
      </w:r>
      <w:r w:rsidRPr="00D2726E">
        <w:rPr>
          <w:lang w:val="fr-FR"/>
        </w:rPr>
        <w:t>obligation de fournir la preuve d</w:t>
      </w:r>
      <w:r w:rsidR="009045B2" w:rsidRPr="00D2726E">
        <w:rPr>
          <w:lang w:val="fr-FR"/>
        </w:rPr>
        <w:t>’</w:t>
      </w:r>
      <w:r w:rsidRPr="00D2726E">
        <w:rPr>
          <w:lang w:val="fr-FR"/>
        </w:rPr>
        <w:t>une perturbation particuliè</w:t>
      </w:r>
      <w:r w:rsidR="00D2726E" w:rsidRPr="00D2726E">
        <w:rPr>
          <w:lang w:val="fr-FR"/>
        </w:rPr>
        <w:t>re.  To</w:t>
      </w:r>
      <w:r w:rsidRPr="00D2726E">
        <w:rPr>
          <w:lang w:val="fr-FR"/>
        </w:rPr>
        <w:t>utefois, une délégation a suggéré qu</w:t>
      </w:r>
      <w:r w:rsidR="009045B2" w:rsidRPr="00D2726E">
        <w:rPr>
          <w:lang w:val="fr-FR"/>
        </w:rPr>
        <w:t>’</w:t>
      </w:r>
      <w:r w:rsidRPr="00D2726E">
        <w:rPr>
          <w:lang w:val="fr-FR"/>
        </w:rPr>
        <w:t xml:space="preserve">un format particulier soit prescrit pour les renonciations visées à la </w:t>
      </w:r>
      <w:r w:rsidR="006E17B4" w:rsidRPr="00D2726E">
        <w:rPr>
          <w:lang w:val="fr-FR"/>
        </w:rPr>
        <w:t>règle 8</w:t>
      </w:r>
      <w:r w:rsidRPr="00D2726E">
        <w:rPr>
          <w:lang w:val="fr-FR"/>
        </w:rPr>
        <w:t>2</w:t>
      </w:r>
      <w:r w:rsidRPr="00D2726E">
        <w:rPr>
          <w:i/>
          <w:lang w:val="fr-FR"/>
        </w:rPr>
        <w:t>quater</w:t>
      </w:r>
      <w:r w:rsidRPr="00D2726E">
        <w:rPr>
          <w:lang w:val="fr-FR"/>
        </w:rPr>
        <w:t>.</w:t>
      </w:r>
      <w:proofErr w:type="gramStart"/>
      <w:r w:rsidRPr="00D2726E">
        <w:rPr>
          <w:lang w:val="fr-FR"/>
        </w:rPr>
        <w:t>1.d</w:t>
      </w:r>
      <w:proofErr w:type="gramEnd"/>
      <w:r w:rsidRPr="00D2726E">
        <w:rPr>
          <w:lang w:val="fr-FR"/>
        </w:rPr>
        <w:t>) afin de garantir leur clarté et leur uniformité.</w:t>
      </w:r>
    </w:p>
    <w:p w:rsidR="00FB2AB0" w:rsidRPr="00D2726E" w:rsidRDefault="00E6395D" w:rsidP="00FB2AB0">
      <w:pPr>
        <w:pStyle w:val="ONUMFS"/>
        <w:rPr>
          <w:lang w:val="fr-FR"/>
        </w:rPr>
      </w:pPr>
      <w:r w:rsidRPr="00D2726E">
        <w:rPr>
          <w:lang w:val="fr-FR"/>
        </w:rPr>
        <w:t>Suite aux préoccupations exprimées par un certain nombre de délégations, il a été convenu que l</w:t>
      </w:r>
      <w:r w:rsidR="009045B2" w:rsidRPr="00D2726E">
        <w:rPr>
          <w:lang w:val="fr-FR"/>
        </w:rPr>
        <w:t>’</w:t>
      </w:r>
      <w:r w:rsidRPr="00D2726E">
        <w:rPr>
          <w:lang w:val="fr-FR"/>
        </w:rPr>
        <w:t>accord de principe proposé au paragraphe 22 du document PCT/WG/14/11 ne devrait pas être transmis à l</w:t>
      </w:r>
      <w:r w:rsidR="009045B2" w:rsidRPr="00D2726E">
        <w:rPr>
          <w:lang w:val="fr-FR"/>
        </w:rPr>
        <w:t>’</w:t>
      </w:r>
      <w:r w:rsidRPr="00D2726E">
        <w:rPr>
          <w:lang w:val="fr-FR"/>
        </w:rPr>
        <w:t>Assemblée de l</w:t>
      </w:r>
      <w:r w:rsidR="009045B2" w:rsidRPr="00D2726E">
        <w:rPr>
          <w:lang w:val="fr-FR"/>
        </w:rPr>
        <w:t>’</w:t>
      </w:r>
      <w:r w:rsidRPr="00D2726E">
        <w:rPr>
          <w:lang w:val="fr-FR"/>
        </w:rPr>
        <w:t>Union</w:t>
      </w:r>
      <w:r w:rsidR="006E17B4" w:rsidRPr="00D2726E">
        <w:rPr>
          <w:lang w:val="fr-FR"/>
        </w:rPr>
        <w:t xml:space="preserve"> du PCT</w:t>
      </w:r>
      <w:r w:rsidR="00FB2AB0" w:rsidRPr="00D2726E">
        <w:rPr>
          <w:lang w:val="fr-FR"/>
        </w:rPr>
        <w:t>.</w:t>
      </w:r>
    </w:p>
    <w:p w:rsidR="00FB2AB0" w:rsidRPr="00D2726E" w:rsidRDefault="00E6395D" w:rsidP="00FB2AB0">
      <w:pPr>
        <w:pStyle w:val="ONUMFS"/>
        <w:rPr>
          <w:lang w:val="fr-FR"/>
        </w:rPr>
      </w:pPr>
      <w:r w:rsidRPr="00D2726E">
        <w:rPr>
          <w:lang w:val="fr-FR"/>
        </w:rPr>
        <w:t>Certaines délégations ont fait part de leurs préoccupations concernant la nouvelle règle 82</w:t>
      </w:r>
      <w:r w:rsidRPr="00D2726E">
        <w:rPr>
          <w:i/>
          <w:lang w:val="fr-FR"/>
        </w:rPr>
        <w:t>quater</w:t>
      </w:r>
      <w:r w:rsidRPr="00D2726E">
        <w:rPr>
          <w:lang w:val="fr-FR"/>
        </w:rPr>
        <w:t>.3 proposée, notamment</w:t>
      </w:r>
      <w:r w:rsidR="009045B2" w:rsidRPr="00D2726E">
        <w:rPr>
          <w:lang w:val="fr-FR"/>
        </w:rPr>
        <w:t> :</w:t>
      </w:r>
    </w:p>
    <w:p w:rsidR="00FB2AB0" w:rsidRPr="00D2726E" w:rsidRDefault="00AF2AA6" w:rsidP="00FB2AB0">
      <w:pPr>
        <w:pStyle w:val="ONUME"/>
        <w:numPr>
          <w:ilvl w:val="1"/>
          <w:numId w:val="6"/>
        </w:numPr>
        <w:rPr>
          <w:lang w:val="fr-FR"/>
        </w:rPr>
      </w:pPr>
      <w:proofErr w:type="gramStart"/>
      <w:r w:rsidRPr="00D2726E">
        <w:rPr>
          <w:lang w:val="fr-FR"/>
        </w:rPr>
        <w:t>à</w:t>
      </w:r>
      <w:proofErr w:type="gramEnd"/>
      <w:r w:rsidRPr="00D2726E">
        <w:rPr>
          <w:lang w:val="fr-FR"/>
        </w:rPr>
        <w:t xml:space="preserve"> ce stade, la pandémie actuelle n</w:t>
      </w:r>
      <w:r w:rsidR="009045B2" w:rsidRPr="00D2726E">
        <w:rPr>
          <w:lang w:val="fr-FR"/>
        </w:rPr>
        <w:t>’</w:t>
      </w:r>
      <w:r w:rsidRPr="00D2726E">
        <w:rPr>
          <w:lang w:val="fr-FR"/>
        </w:rPr>
        <w:t>avait pas fait apparaître qu</w:t>
      </w:r>
      <w:r w:rsidR="009045B2" w:rsidRPr="00D2726E">
        <w:rPr>
          <w:lang w:val="fr-FR"/>
        </w:rPr>
        <w:t>’</w:t>
      </w:r>
      <w:r w:rsidRPr="00D2726E">
        <w:rPr>
          <w:lang w:val="fr-FR"/>
        </w:rPr>
        <w:t>un office quelconque n</w:t>
      </w:r>
      <w:r w:rsidR="009045B2" w:rsidRPr="00D2726E">
        <w:rPr>
          <w:lang w:val="fr-FR"/>
        </w:rPr>
        <w:t>’</w:t>
      </w:r>
      <w:r w:rsidRPr="00D2726E">
        <w:rPr>
          <w:lang w:val="fr-FR"/>
        </w:rPr>
        <w:t xml:space="preserve">était pas en mesure de fournir un recours effectif au moyen des dispositions existantes de la </w:t>
      </w:r>
      <w:r w:rsidR="006E17B4" w:rsidRPr="00D2726E">
        <w:rPr>
          <w:lang w:val="fr-FR"/>
        </w:rPr>
        <w:t>règle 8</w:t>
      </w:r>
      <w:r w:rsidRPr="00D2726E">
        <w:rPr>
          <w:lang w:val="fr-FR"/>
        </w:rPr>
        <w:t>2</w:t>
      </w:r>
      <w:r w:rsidRPr="00D2726E">
        <w:rPr>
          <w:i/>
          <w:lang w:val="fr-FR"/>
        </w:rPr>
        <w:t>quater</w:t>
      </w:r>
      <w:r w:rsidRPr="00D2726E">
        <w:rPr>
          <w:lang w:val="fr-FR"/>
        </w:rPr>
        <w:t>.1 eu égard à la déclaration interprétative du Bureau international du 9 avril 2020;</w:t>
      </w:r>
    </w:p>
    <w:p w:rsidR="00FB2AB0" w:rsidRPr="00D2726E" w:rsidRDefault="00AF2AA6" w:rsidP="00FB2AB0">
      <w:pPr>
        <w:pStyle w:val="ONUME"/>
        <w:numPr>
          <w:ilvl w:val="1"/>
          <w:numId w:val="6"/>
        </w:numPr>
        <w:rPr>
          <w:lang w:val="fr-FR"/>
        </w:rPr>
      </w:pPr>
      <w:proofErr w:type="gramStart"/>
      <w:r w:rsidRPr="00D2726E">
        <w:rPr>
          <w:lang w:val="fr-FR"/>
        </w:rPr>
        <w:t>il</w:t>
      </w:r>
      <w:proofErr w:type="gramEnd"/>
      <w:r w:rsidRPr="00D2726E">
        <w:rPr>
          <w:lang w:val="fr-FR"/>
        </w:rPr>
        <w:t xml:space="preserve"> existait un risque important de confusion lorsque différents offices accordaient des prorogations de délai différentes (ou aucune prorogation), ce qui entraînait l</w:t>
      </w:r>
      <w:r w:rsidR="009045B2" w:rsidRPr="00D2726E">
        <w:rPr>
          <w:lang w:val="fr-FR"/>
        </w:rPr>
        <w:t>’</w:t>
      </w:r>
      <w:r w:rsidRPr="00D2726E">
        <w:rPr>
          <w:lang w:val="fr-FR"/>
        </w:rPr>
        <w:t xml:space="preserve">envoi de nombreuses notifications différentes, </w:t>
      </w:r>
      <w:r w:rsidR="009045B2" w:rsidRPr="00D2726E">
        <w:rPr>
          <w:lang w:val="fr-FR"/>
        </w:rPr>
        <w:t>y compris</w:t>
      </w:r>
      <w:r w:rsidRPr="00D2726E">
        <w:rPr>
          <w:lang w:val="fr-FR"/>
        </w:rPr>
        <w:t xml:space="preserve"> d</w:t>
      </w:r>
      <w:r w:rsidR="009045B2" w:rsidRPr="00D2726E">
        <w:rPr>
          <w:lang w:val="fr-FR"/>
        </w:rPr>
        <w:t>’</w:t>
      </w:r>
      <w:r w:rsidRPr="00D2726E">
        <w:rPr>
          <w:lang w:val="fr-FR"/>
        </w:rPr>
        <w:t>éventuelles notifications de périodes de prorogation supplémentaires, avec la possibilité que plusieurs notifications s</w:t>
      </w:r>
      <w:r w:rsidR="009045B2" w:rsidRPr="00D2726E">
        <w:rPr>
          <w:lang w:val="fr-FR"/>
        </w:rPr>
        <w:t>’</w:t>
      </w:r>
      <w:r w:rsidRPr="00D2726E">
        <w:rPr>
          <w:lang w:val="fr-FR"/>
        </w:rPr>
        <w:t xml:space="preserve">appliquent à la même demande internationale </w:t>
      </w:r>
      <w:r w:rsidR="009045B2" w:rsidRPr="00D2726E">
        <w:rPr>
          <w:lang w:val="fr-FR"/>
        </w:rPr>
        <w:t>à l’égard</w:t>
      </w:r>
      <w:r w:rsidRPr="00D2726E">
        <w:rPr>
          <w:lang w:val="fr-FR"/>
        </w:rPr>
        <w:t xml:space="preserve"> d</w:t>
      </w:r>
      <w:r w:rsidR="009045B2" w:rsidRPr="00D2726E">
        <w:rPr>
          <w:lang w:val="fr-FR"/>
        </w:rPr>
        <w:t>’</w:t>
      </w:r>
      <w:r w:rsidRPr="00D2726E">
        <w:rPr>
          <w:lang w:val="fr-FR"/>
        </w:rPr>
        <w:t>offices agissant en des qualités différentes</w:t>
      </w:r>
      <w:r w:rsidR="00FB2AB0" w:rsidRPr="00D2726E">
        <w:rPr>
          <w:lang w:val="fr-FR"/>
        </w:rPr>
        <w:t>;</w:t>
      </w:r>
    </w:p>
    <w:p w:rsidR="00FB2AB0" w:rsidRPr="00D2726E" w:rsidRDefault="00AF2AA6" w:rsidP="00FB2AB0">
      <w:pPr>
        <w:pStyle w:val="ONUME"/>
        <w:numPr>
          <w:ilvl w:val="1"/>
          <w:numId w:val="6"/>
        </w:numPr>
        <w:rPr>
          <w:lang w:val="fr-FR"/>
        </w:rPr>
      </w:pPr>
      <w:proofErr w:type="gramStart"/>
      <w:r w:rsidRPr="00D2726E">
        <w:rPr>
          <w:lang w:val="fr-FR"/>
        </w:rPr>
        <w:t>la</w:t>
      </w:r>
      <w:proofErr w:type="gramEnd"/>
      <w:r w:rsidRPr="00D2726E">
        <w:rPr>
          <w:lang w:val="fr-FR"/>
        </w:rPr>
        <w:t xml:space="preserve"> nécessité de définir le</w:t>
      </w:r>
      <w:r w:rsidR="00FB2AB0" w:rsidRPr="00D2726E">
        <w:rPr>
          <w:lang w:val="fr-FR"/>
        </w:rPr>
        <w:t xml:space="preserve"> term</w:t>
      </w:r>
      <w:r w:rsidRPr="00D2726E">
        <w:rPr>
          <w:lang w:val="fr-FR"/>
        </w:rPr>
        <w:t>e</w:t>
      </w:r>
      <w:r w:rsidR="00FB2AB0" w:rsidRPr="00D2726E">
        <w:rPr>
          <w:lang w:val="fr-FR"/>
        </w:rPr>
        <w:t xml:space="preserve"> “</w:t>
      </w:r>
      <w:r w:rsidRPr="00D2726E">
        <w:rPr>
          <w:lang w:val="fr-FR"/>
        </w:rPr>
        <w:t xml:space="preserve">perturbation </w:t>
      </w:r>
      <w:r w:rsidR="00FB2AB0" w:rsidRPr="00D2726E">
        <w:rPr>
          <w:lang w:val="fr-FR"/>
        </w:rPr>
        <w:t>g</w:t>
      </w:r>
      <w:r w:rsidRPr="00D2726E">
        <w:rPr>
          <w:lang w:val="fr-FR"/>
        </w:rPr>
        <w:t>é</w:t>
      </w:r>
      <w:r w:rsidR="00FB2AB0" w:rsidRPr="00D2726E">
        <w:rPr>
          <w:lang w:val="fr-FR"/>
        </w:rPr>
        <w:t>n</w:t>
      </w:r>
      <w:r w:rsidRPr="00D2726E">
        <w:rPr>
          <w:lang w:val="fr-FR"/>
        </w:rPr>
        <w:t>é</w:t>
      </w:r>
      <w:r w:rsidR="00FB2AB0" w:rsidRPr="00D2726E">
        <w:rPr>
          <w:lang w:val="fr-FR"/>
        </w:rPr>
        <w:t>ral</w:t>
      </w:r>
      <w:r w:rsidRPr="00D2726E">
        <w:rPr>
          <w:lang w:val="fr-FR"/>
        </w:rPr>
        <w:t>e</w:t>
      </w:r>
      <w:r w:rsidR="00FB2AB0" w:rsidRPr="00D2726E">
        <w:rPr>
          <w:lang w:val="fr-FR"/>
        </w:rPr>
        <w:t>”;</w:t>
      </w:r>
    </w:p>
    <w:p w:rsidR="009045B2" w:rsidRPr="00D2726E" w:rsidRDefault="00210EAE" w:rsidP="00FB2AB0">
      <w:pPr>
        <w:pStyle w:val="ONUME"/>
        <w:numPr>
          <w:ilvl w:val="1"/>
          <w:numId w:val="6"/>
        </w:numPr>
        <w:rPr>
          <w:lang w:val="fr-FR"/>
        </w:rPr>
      </w:pPr>
      <w:proofErr w:type="gramStart"/>
      <w:r w:rsidRPr="00D2726E">
        <w:rPr>
          <w:lang w:val="fr-FR"/>
        </w:rPr>
        <w:t>la</w:t>
      </w:r>
      <w:proofErr w:type="gramEnd"/>
      <w:r w:rsidRPr="00D2726E">
        <w:rPr>
          <w:lang w:val="fr-FR"/>
        </w:rPr>
        <w:t xml:space="preserve"> question de savoir si les prorogations couvriraient toujours tous les délais prévus par le règlement d</w:t>
      </w:r>
      <w:r w:rsidR="009045B2" w:rsidRPr="00D2726E">
        <w:rPr>
          <w:lang w:val="fr-FR"/>
        </w:rPr>
        <w:t>’</w:t>
      </w:r>
      <w:r w:rsidRPr="00D2726E">
        <w:rPr>
          <w:lang w:val="fr-FR"/>
        </w:rPr>
        <w:t>exécution concernant les actes devant l</w:t>
      </w:r>
      <w:r w:rsidR="009045B2" w:rsidRPr="00D2726E">
        <w:rPr>
          <w:lang w:val="fr-FR"/>
        </w:rPr>
        <w:t>’</w:t>
      </w:r>
      <w:r w:rsidRPr="00D2726E">
        <w:rPr>
          <w:lang w:val="fr-FR"/>
        </w:rPr>
        <w:t>office concerné</w:t>
      </w:r>
      <w:r w:rsidR="00F92BEF" w:rsidRPr="00D2726E">
        <w:rPr>
          <w:lang w:val="fr-FR"/>
        </w:rPr>
        <w:t>;</w:t>
      </w:r>
    </w:p>
    <w:p w:rsidR="00FB2AB0" w:rsidRPr="00D2726E" w:rsidRDefault="00210EAE" w:rsidP="00FB2AB0">
      <w:pPr>
        <w:pStyle w:val="ONUME"/>
        <w:numPr>
          <w:ilvl w:val="1"/>
          <w:numId w:val="6"/>
        </w:numPr>
        <w:rPr>
          <w:lang w:val="fr-FR"/>
        </w:rPr>
      </w:pPr>
      <w:proofErr w:type="gramStart"/>
      <w:r w:rsidRPr="00D2726E">
        <w:rPr>
          <w:lang w:val="fr-FR"/>
        </w:rPr>
        <w:t>la</w:t>
      </w:r>
      <w:proofErr w:type="gramEnd"/>
      <w:r w:rsidRPr="00D2726E">
        <w:rPr>
          <w:lang w:val="fr-FR"/>
        </w:rPr>
        <w:t xml:space="preserve"> date exacte à laquelle un acte devrait être accompli après l</w:t>
      </w:r>
      <w:r w:rsidR="009045B2" w:rsidRPr="00D2726E">
        <w:rPr>
          <w:lang w:val="fr-FR"/>
        </w:rPr>
        <w:t>’</w:t>
      </w:r>
      <w:r w:rsidRPr="00D2726E">
        <w:rPr>
          <w:lang w:val="fr-FR"/>
        </w:rPr>
        <w:t>expiration de la prolongation d</w:t>
      </w:r>
      <w:r w:rsidR="009045B2" w:rsidRPr="00D2726E">
        <w:rPr>
          <w:lang w:val="fr-FR"/>
        </w:rPr>
        <w:t>’</w:t>
      </w:r>
      <w:r w:rsidRPr="00D2726E">
        <w:rPr>
          <w:lang w:val="fr-FR"/>
        </w:rPr>
        <w:t>un délai selon cette règle</w:t>
      </w:r>
      <w:r w:rsidR="00F92BEF" w:rsidRPr="00D2726E">
        <w:rPr>
          <w:lang w:val="fr-FR"/>
        </w:rPr>
        <w:t>;  et</w:t>
      </w:r>
    </w:p>
    <w:p w:rsidR="00F92BEF" w:rsidRPr="00D2726E" w:rsidRDefault="00F92BEF" w:rsidP="00FB2AB0">
      <w:pPr>
        <w:pStyle w:val="ONUME"/>
        <w:numPr>
          <w:ilvl w:val="1"/>
          <w:numId w:val="6"/>
        </w:numPr>
        <w:rPr>
          <w:lang w:val="fr-FR"/>
        </w:rPr>
      </w:pPr>
      <w:proofErr w:type="gramStart"/>
      <w:r w:rsidRPr="00D2726E">
        <w:rPr>
          <w:lang w:val="fr-FR"/>
        </w:rPr>
        <w:t>la</w:t>
      </w:r>
      <w:proofErr w:type="gramEnd"/>
      <w:r w:rsidRPr="00D2726E">
        <w:rPr>
          <w:lang w:val="fr-FR"/>
        </w:rPr>
        <w:t xml:space="preserve"> question de savoir si, plutôt que d</w:t>
      </w:r>
      <w:r w:rsidR="009045B2" w:rsidRPr="00D2726E">
        <w:rPr>
          <w:lang w:val="fr-FR"/>
        </w:rPr>
        <w:t>’</w:t>
      </w:r>
      <w:r w:rsidRPr="00D2726E">
        <w:rPr>
          <w:lang w:val="fr-FR"/>
        </w:rPr>
        <w:t>introduire la règle 82</w:t>
      </w:r>
      <w:r w:rsidRPr="00D2726E">
        <w:rPr>
          <w:i/>
          <w:lang w:val="fr-FR"/>
        </w:rPr>
        <w:t>quater</w:t>
      </w:r>
      <w:r w:rsidRPr="00D2726E">
        <w:rPr>
          <w:lang w:val="fr-FR"/>
        </w:rPr>
        <w:t>.3, la règle 82</w:t>
      </w:r>
      <w:r w:rsidRPr="00D2726E">
        <w:rPr>
          <w:i/>
          <w:lang w:val="fr-FR"/>
        </w:rPr>
        <w:t>quater</w:t>
      </w:r>
      <w:r w:rsidRPr="00D2726E">
        <w:rPr>
          <w:lang w:val="fr-FR"/>
        </w:rPr>
        <w:t>.1 pourrait être modifiée de manière à prévoir également la situation où les raisons de force majeure se produisent dans l</w:t>
      </w:r>
      <w:r w:rsidR="009045B2" w:rsidRPr="00D2726E">
        <w:rPr>
          <w:lang w:val="fr-FR"/>
        </w:rPr>
        <w:t>’</w:t>
      </w:r>
      <w:r w:rsidRPr="00D2726E">
        <w:rPr>
          <w:lang w:val="fr-FR"/>
        </w:rPr>
        <w:t>État où se trouve un office, une administration ou le Bureau international, afin de réaliser l</w:t>
      </w:r>
      <w:r w:rsidR="009045B2" w:rsidRPr="00D2726E">
        <w:rPr>
          <w:lang w:val="fr-FR"/>
        </w:rPr>
        <w:t>’</w:t>
      </w:r>
      <w:r w:rsidRPr="00D2726E">
        <w:rPr>
          <w:lang w:val="fr-FR"/>
        </w:rPr>
        <w:t>objectif de la proposition tout en répondant aux préoccupations et en contribuant à réduire autant que possible le nombre de cas de dépassement des délais.</w:t>
      </w:r>
    </w:p>
    <w:p w:rsidR="00FB2AB0" w:rsidRPr="00D2726E" w:rsidRDefault="00210EAE" w:rsidP="00FB2AB0">
      <w:pPr>
        <w:pStyle w:val="ONUMFS"/>
        <w:rPr>
          <w:lang w:val="fr-FR"/>
        </w:rPr>
      </w:pPr>
      <w:bookmarkStart w:id="4" w:name="_Ref74673829"/>
      <w:r w:rsidRPr="00D2726E">
        <w:rPr>
          <w:lang w:val="fr-FR"/>
        </w:rPr>
        <w:t>Suite aux explications de l</w:t>
      </w:r>
      <w:r w:rsidR="009045B2" w:rsidRPr="00D2726E">
        <w:rPr>
          <w:lang w:val="fr-FR"/>
        </w:rPr>
        <w:t>’</w:t>
      </w:r>
      <w:r w:rsidRPr="00D2726E">
        <w:rPr>
          <w:lang w:val="fr-FR"/>
        </w:rPr>
        <w:t>Office européen des brevets, ces délégations ont néanmoins convenu qu</w:t>
      </w:r>
      <w:r w:rsidR="009045B2" w:rsidRPr="00D2726E">
        <w:rPr>
          <w:lang w:val="fr-FR"/>
        </w:rPr>
        <w:t>’</w:t>
      </w:r>
      <w:r w:rsidRPr="00D2726E">
        <w:rPr>
          <w:lang w:val="fr-FR"/>
        </w:rPr>
        <w:t>elles pouvaient se joindre au consensus pour l</w:t>
      </w:r>
      <w:r w:rsidR="009045B2" w:rsidRPr="00D2726E">
        <w:rPr>
          <w:lang w:val="fr-FR"/>
        </w:rPr>
        <w:t>’</w:t>
      </w:r>
      <w:r w:rsidRPr="00D2726E">
        <w:rPr>
          <w:lang w:val="fr-FR"/>
        </w:rPr>
        <w:t>adoption de la nouvelle disposition.</w:t>
      </w:r>
      <w:bookmarkEnd w:id="4"/>
    </w:p>
    <w:p w:rsidR="00FB2AB0" w:rsidRPr="00D2726E" w:rsidRDefault="005C5D69" w:rsidP="009045B2">
      <w:pPr>
        <w:pStyle w:val="ONUMFS"/>
        <w:keepNext/>
        <w:tabs>
          <w:tab w:val="clear" w:pos="567"/>
          <w:tab w:val="num" w:pos="0"/>
        </w:tabs>
        <w:rPr>
          <w:lang w:val="fr-FR"/>
        </w:rPr>
      </w:pPr>
      <w:r w:rsidRPr="00D2726E">
        <w:rPr>
          <w:lang w:val="fr-FR"/>
        </w:rPr>
        <w:lastRenderedPageBreak/>
        <w:t xml:space="preserve">Le groupe de travail a invité le Bureau international à élaborer des modifications à apporter aux instructions administratives et/ou aux directives pertinentes de manière </w:t>
      </w:r>
      <w:r w:rsidR="00AB76A1" w:rsidRPr="00D2726E">
        <w:rPr>
          <w:lang w:val="fr-FR"/>
        </w:rPr>
        <w:t xml:space="preserve">notamment </w:t>
      </w:r>
      <w:r w:rsidRPr="00D2726E">
        <w:rPr>
          <w:lang w:val="fr-FR"/>
        </w:rPr>
        <w:t>à</w:t>
      </w:r>
      <w:r w:rsidR="009045B2" w:rsidRPr="00D2726E">
        <w:rPr>
          <w:lang w:val="fr-FR"/>
        </w:rPr>
        <w:t> :</w:t>
      </w:r>
    </w:p>
    <w:p w:rsidR="009045B2" w:rsidRPr="00D2726E" w:rsidRDefault="005C5D69" w:rsidP="00FB2AB0">
      <w:pPr>
        <w:pStyle w:val="ONUME"/>
        <w:numPr>
          <w:ilvl w:val="1"/>
          <w:numId w:val="6"/>
        </w:numPr>
        <w:rPr>
          <w:lang w:val="fr-FR"/>
        </w:rPr>
      </w:pPr>
      <w:proofErr w:type="gramStart"/>
      <w:r w:rsidRPr="00D2726E">
        <w:rPr>
          <w:lang w:val="fr-FR"/>
        </w:rPr>
        <w:t>préciser</w:t>
      </w:r>
      <w:proofErr w:type="gramEnd"/>
      <w:r w:rsidR="00FB2AB0" w:rsidRPr="00D2726E">
        <w:rPr>
          <w:lang w:val="fr-FR"/>
        </w:rPr>
        <w:t xml:space="preserve"> </w:t>
      </w:r>
      <w:r w:rsidRPr="00D2726E">
        <w:rPr>
          <w:lang w:val="fr-FR"/>
        </w:rPr>
        <w:t>ce qui peut constituer une perturbation générale</w:t>
      </w:r>
      <w:r w:rsidR="00FB2AB0" w:rsidRPr="00D2726E">
        <w:rPr>
          <w:lang w:val="fr-FR"/>
        </w:rPr>
        <w:t>;</w:t>
      </w:r>
    </w:p>
    <w:p w:rsidR="00FB2AB0" w:rsidRPr="00D2726E" w:rsidRDefault="007276C3" w:rsidP="00FB2AB0">
      <w:pPr>
        <w:pStyle w:val="ONUME"/>
        <w:numPr>
          <w:ilvl w:val="1"/>
          <w:numId w:val="6"/>
        </w:numPr>
        <w:rPr>
          <w:lang w:val="fr-FR"/>
        </w:rPr>
      </w:pPr>
      <w:proofErr w:type="gramStart"/>
      <w:r w:rsidRPr="00D2726E">
        <w:rPr>
          <w:lang w:val="fr-FR"/>
        </w:rPr>
        <w:t>préciser</w:t>
      </w:r>
      <w:proofErr w:type="gramEnd"/>
      <w:r w:rsidR="005C5D69" w:rsidRPr="00D2726E">
        <w:rPr>
          <w:lang w:val="fr-FR"/>
        </w:rPr>
        <w:t xml:space="preserve"> la forme que doivent revêtir les </w:t>
      </w:r>
      <w:r w:rsidR="00FB2AB0" w:rsidRPr="00D2726E">
        <w:rPr>
          <w:lang w:val="fr-FR"/>
        </w:rPr>
        <w:t xml:space="preserve">notifications </w:t>
      </w:r>
      <w:r w:rsidR="005C5D69" w:rsidRPr="00D2726E">
        <w:rPr>
          <w:lang w:val="fr-FR"/>
        </w:rPr>
        <w:t>de renonciation à l</w:t>
      </w:r>
      <w:r w:rsidR="009045B2" w:rsidRPr="00D2726E">
        <w:rPr>
          <w:lang w:val="fr-FR"/>
        </w:rPr>
        <w:t>’</w:t>
      </w:r>
      <w:r w:rsidR="005C5D69" w:rsidRPr="00D2726E">
        <w:rPr>
          <w:lang w:val="fr-FR"/>
        </w:rPr>
        <w:t xml:space="preserve">obligation de fournir une preuve en vertu de la </w:t>
      </w:r>
      <w:r w:rsidRPr="00D2726E">
        <w:rPr>
          <w:lang w:val="fr-FR"/>
        </w:rPr>
        <w:t>règle</w:t>
      </w:r>
      <w:r w:rsidR="00FB2AB0" w:rsidRPr="00D2726E">
        <w:rPr>
          <w:lang w:val="fr-FR"/>
        </w:rPr>
        <w:t> 82</w:t>
      </w:r>
      <w:r w:rsidR="00FB2AB0" w:rsidRPr="00D2726E">
        <w:rPr>
          <w:i/>
          <w:lang w:val="fr-FR"/>
        </w:rPr>
        <w:t>quater</w:t>
      </w:r>
      <w:r w:rsidRPr="00D2726E">
        <w:rPr>
          <w:lang w:val="fr-FR"/>
        </w:rPr>
        <w:t>.1.</w:t>
      </w:r>
      <w:r w:rsidR="00FB2AB0" w:rsidRPr="00D2726E">
        <w:rPr>
          <w:lang w:val="fr-FR"/>
        </w:rPr>
        <w:t>d)</w:t>
      </w:r>
      <w:r w:rsidR="00AB76A1" w:rsidRPr="00D2726E">
        <w:rPr>
          <w:lang w:val="fr-FR"/>
        </w:rPr>
        <w:t>;  et</w:t>
      </w:r>
    </w:p>
    <w:p w:rsidR="00AB76A1" w:rsidRPr="00D2726E" w:rsidRDefault="00AB76A1" w:rsidP="00FB2AB0">
      <w:pPr>
        <w:pStyle w:val="ONUME"/>
        <w:numPr>
          <w:ilvl w:val="1"/>
          <w:numId w:val="6"/>
        </w:numPr>
        <w:rPr>
          <w:lang w:val="fr-FR"/>
        </w:rPr>
      </w:pPr>
      <w:proofErr w:type="gramStart"/>
      <w:r w:rsidRPr="00D2726E">
        <w:rPr>
          <w:lang w:val="fr-FR"/>
        </w:rPr>
        <w:t>préciser</w:t>
      </w:r>
      <w:proofErr w:type="gramEnd"/>
      <w:r w:rsidRPr="00D2726E">
        <w:rPr>
          <w:lang w:val="fr-FR"/>
        </w:rPr>
        <w:t xml:space="preserve"> le moment auquel la déclaration visée à la règle 82</w:t>
      </w:r>
      <w:r w:rsidRPr="00D2726E">
        <w:rPr>
          <w:i/>
          <w:lang w:val="fr-FR"/>
        </w:rPr>
        <w:t>quater</w:t>
      </w:r>
      <w:r w:rsidRPr="00D2726E">
        <w:rPr>
          <w:lang w:val="fr-FR"/>
        </w:rPr>
        <w:t>.1.d) doit être soumise.</w:t>
      </w:r>
    </w:p>
    <w:p w:rsidR="006E17B4" w:rsidRPr="00D2726E" w:rsidRDefault="007276C3" w:rsidP="00FB2AB0">
      <w:pPr>
        <w:pStyle w:val="ONUMFS"/>
        <w:ind w:left="567"/>
        <w:rPr>
          <w:lang w:val="fr-FR"/>
        </w:rPr>
      </w:pPr>
      <w:r w:rsidRPr="00D2726E">
        <w:rPr>
          <w:lang w:val="fr-FR"/>
        </w:rPr>
        <w:t xml:space="preserve">Le groupe de travail a approuvé les propositions de modification de la </w:t>
      </w:r>
      <w:r w:rsidR="006E17B4" w:rsidRPr="00D2726E">
        <w:rPr>
          <w:lang w:val="fr-FR"/>
        </w:rPr>
        <w:t>règle 8</w:t>
      </w:r>
      <w:r w:rsidRPr="00D2726E">
        <w:rPr>
          <w:lang w:val="fr-FR"/>
        </w:rPr>
        <w:t>2</w:t>
      </w:r>
      <w:r w:rsidRPr="00D2726E">
        <w:rPr>
          <w:i/>
          <w:lang w:val="fr-FR"/>
        </w:rPr>
        <w:t>quater</w:t>
      </w:r>
      <w:r w:rsidRPr="00D2726E">
        <w:rPr>
          <w:lang w:val="fr-FR"/>
        </w:rPr>
        <w:t xml:space="preserve"> figurant à l</w:t>
      </w:r>
      <w:r w:rsidR="009045B2" w:rsidRPr="00D2726E">
        <w:rPr>
          <w:lang w:val="fr-FR"/>
        </w:rPr>
        <w:t>’</w:t>
      </w:r>
      <w:r w:rsidRPr="00D2726E">
        <w:rPr>
          <w:lang w:val="fr-FR"/>
        </w:rPr>
        <w:t>annexe du document PCT/WG/14/11 en vue de leur soumission à l</w:t>
      </w:r>
      <w:r w:rsidR="009045B2" w:rsidRPr="00D2726E">
        <w:rPr>
          <w:lang w:val="fr-FR"/>
        </w:rPr>
        <w:t>’</w:t>
      </w:r>
      <w:r w:rsidRPr="00D2726E">
        <w:rPr>
          <w:lang w:val="fr-FR"/>
        </w:rPr>
        <w:t>assemblée pour examen à sa session d</w:t>
      </w:r>
      <w:r w:rsidR="009045B2" w:rsidRPr="00D2726E">
        <w:rPr>
          <w:lang w:val="fr-FR"/>
        </w:rPr>
        <w:t>’</w:t>
      </w:r>
      <w:r w:rsidRPr="00D2726E">
        <w:rPr>
          <w:lang w:val="fr-FR"/>
        </w:rPr>
        <w:t>octobre 2021</w:t>
      </w:r>
      <w:r w:rsidR="00FB2AB0" w:rsidRPr="00D2726E">
        <w:rPr>
          <w:lang w:val="fr-FR"/>
        </w:rPr>
        <w:t>.</w:t>
      </w:r>
    </w:p>
    <w:p w:rsidR="00175BDE" w:rsidRPr="00D2726E" w:rsidRDefault="000113AE" w:rsidP="00175BDE">
      <w:pPr>
        <w:pStyle w:val="Heading1"/>
        <w:rPr>
          <w:lang w:val="fr-FR"/>
        </w:rPr>
      </w:pPr>
      <w:r w:rsidRPr="00D2726E">
        <w:rPr>
          <w:lang w:val="fr-FR"/>
        </w:rPr>
        <w:t>Point 7</w:t>
      </w:r>
      <w:r w:rsidR="00175BDE" w:rsidRPr="00D2726E">
        <w:rPr>
          <w:lang w:val="fr-FR"/>
        </w:rPr>
        <w:t xml:space="preserve"> de l</w:t>
      </w:r>
      <w:r w:rsidR="009045B2" w:rsidRPr="00D2726E">
        <w:rPr>
          <w:lang w:val="fr-FR"/>
        </w:rPr>
        <w:t>’</w:t>
      </w:r>
      <w:r w:rsidR="00175BDE" w:rsidRPr="00D2726E">
        <w:rPr>
          <w:lang w:val="fr-FR"/>
        </w:rPr>
        <w:t>ordre du jour</w:t>
      </w:r>
      <w:r w:rsidR="009045B2" w:rsidRPr="00D2726E">
        <w:rPr>
          <w:lang w:val="fr-FR"/>
        </w:rPr>
        <w:t> :</w:t>
      </w:r>
      <w:r w:rsidR="00175BDE" w:rsidRPr="00D2726E">
        <w:rPr>
          <w:lang w:val="fr-FR"/>
        </w:rPr>
        <w:t xml:space="preserve"> intégration formelle du Patent Prosecution Highway dans</w:t>
      </w:r>
      <w:r w:rsidRPr="00D2726E">
        <w:rPr>
          <w:lang w:val="fr-FR"/>
        </w:rPr>
        <w:t xml:space="preserve"> le PCT</w:t>
      </w:r>
    </w:p>
    <w:p w:rsidR="00175BDE" w:rsidRPr="00D2726E" w:rsidRDefault="00175BDE" w:rsidP="00175BDE">
      <w:pPr>
        <w:pStyle w:val="ONUMFS"/>
        <w:rPr>
          <w:lang w:val="fr-FR"/>
        </w:rPr>
      </w:pPr>
      <w:bookmarkStart w:id="5" w:name="_GoBack"/>
      <w:bookmarkEnd w:id="5"/>
      <w:r w:rsidRPr="00D2726E">
        <w:rPr>
          <w:lang w:val="fr-FR"/>
        </w:rPr>
        <w:t>Les délibérations ont eu lieu sur la base du document PCT/WG/14/10.</w:t>
      </w:r>
    </w:p>
    <w:p w:rsidR="00175BDE" w:rsidRPr="00D2726E" w:rsidRDefault="00175BDE" w:rsidP="00175BDE">
      <w:pPr>
        <w:pStyle w:val="ONUMFS"/>
        <w:rPr>
          <w:lang w:val="fr-FR"/>
        </w:rPr>
      </w:pPr>
      <w:r w:rsidRPr="00D2726E">
        <w:rPr>
          <w:lang w:val="fr-FR"/>
        </w:rPr>
        <w:t>Plusieurs délégations et organisations ayant le statut d</w:t>
      </w:r>
      <w:r w:rsidR="009045B2" w:rsidRPr="00D2726E">
        <w:rPr>
          <w:lang w:val="fr-FR"/>
        </w:rPr>
        <w:t>’</w:t>
      </w:r>
      <w:r w:rsidRPr="00D2726E">
        <w:rPr>
          <w:lang w:val="fr-FR"/>
        </w:rPr>
        <w:t xml:space="preserve">observateur ont appuyé de manière générale la proposition, estimant que le Patent </w:t>
      </w:r>
      <w:proofErr w:type="spellStart"/>
      <w:r w:rsidRPr="00D2726E">
        <w:rPr>
          <w:lang w:val="fr-FR"/>
        </w:rPr>
        <w:t>Prosecution</w:t>
      </w:r>
      <w:proofErr w:type="spellEnd"/>
      <w:r w:rsidRPr="00D2726E">
        <w:rPr>
          <w:lang w:val="fr-FR"/>
        </w:rPr>
        <w:t xml:space="preserve"> </w:t>
      </w:r>
      <w:proofErr w:type="spellStart"/>
      <w:r w:rsidRPr="00D2726E">
        <w:rPr>
          <w:lang w:val="fr-FR"/>
        </w:rPr>
        <w:t>Highway</w:t>
      </w:r>
      <w:proofErr w:type="spellEnd"/>
      <w:r w:rsidRPr="00D2726E">
        <w:rPr>
          <w:lang w:val="fr-FR"/>
        </w:rPr>
        <w:t xml:space="preserve"> (PPH) était bénéfique et que son intégration formelle dans le système</w:t>
      </w:r>
      <w:r w:rsidR="000113AE" w:rsidRPr="00D2726E">
        <w:rPr>
          <w:lang w:val="fr-FR"/>
        </w:rPr>
        <w:t xml:space="preserve"> du PCT</w:t>
      </w:r>
      <w:r w:rsidRPr="00D2726E">
        <w:rPr>
          <w:lang w:val="fr-FR"/>
        </w:rPr>
        <w:t xml:space="preserve"> apporterait des avantages aux déposants comme aux offic</w:t>
      </w:r>
      <w:r w:rsidR="00D2726E" w:rsidRPr="00D2726E">
        <w:rPr>
          <w:lang w:val="fr-FR"/>
        </w:rPr>
        <w:t>es.  Il</w:t>
      </w:r>
      <w:r w:rsidRPr="00D2726E">
        <w:rPr>
          <w:lang w:val="fr-FR"/>
        </w:rPr>
        <w:t xml:space="preserve"> avait été pris note des possibilités d</w:t>
      </w:r>
      <w:r w:rsidR="009045B2" w:rsidRPr="00D2726E">
        <w:rPr>
          <w:lang w:val="fr-FR"/>
        </w:rPr>
        <w:t>’</w:t>
      </w:r>
      <w:r w:rsidRPr="00D2726E">
        <w:rPr>
          <w:lang w:val="fr-FR"/>
        </w:rPr>
        <w:t>aménagement prévues, bien que certaines délégations aient estimé qu</w:t>
      </w:r>
      <w:r w:rsidR="009045B2" w:rsidRPr="00D2726E">
        <w:rPr>
          <w:lang w:val="fr-FR"/>
        </w:rPr>
        <w:t>’</w:t>
      </w:r>
      <w:r w:rsidRPr="00D2726E">
        <w:rPr>
          <w:lang w:val="fr-FR"/>
        </w:rPr>
        <w:t>une plus grande souplesse était nécessaire, par exemple afin de suspendre l</w:t>
      </w:r>
      <w:r w:rsidR="009045B2" w:rsidRPr="00D2726E">
        <w:rPr>
          <w:lang w:val="fr-FR"/>
        </w:rPr>
        <w:t>’</w:t>
      </w:r>
      <w:r w:rsidRPr="00D2726E">
        <w:rPr>
          <w:lang w:val="fr-FR"/>
        </w:rPr>
        <w:t>examen accéléré pour certains domaines de la technique ou de limiter le nombre de cas accept</w:t>
      </w:r>
      <w:r w:rsidR="007372C6" w:rsidRPr="00D2726E">
        <w:rPr>
          <w:lang w:val="fr-FR"/>
        </w:rPr>
        <w:t>és</w:t>
      </w:r>
      <w:r w:rsidR="000040CC" w:rsidRPr="00D2726E">
        <w:rPr>
          <w:lang w:val="fr-FR"/>
        </w:rPr>
        <w:t xml:space="preserve"> par déposa</w:t>
      </w:r>
      <w:r w:rsidR="00D2726E" w:rsidRPr="00D2726E">
        <w:rPr>
          <w:lang w:val="fr-FR"/>
        </w:rPr>
        <w:t>nt.  Ce</w:t>
      </w:r>
      <w:r w:rsidRPr="00D2726E">
        <w:rPr>
          <w:lang w:val="fr-FR"/>
        </w:rPr>
        <w:t>rtains offices ont également indiqué qu</w:t>
      </w:r>
      <w:r w:rsidR="009045B2" w:rsidRPr="00D2726E">
        <w:rPr>
          <w:lang w:val="fr-FR"/>
        </w:rPr>
        <w:t>’</w:t>
      </w:r>
      <w:r w:rsidRPr="00D2726E">
        <w:rPr>
          <w:lang w:val="fr-FR"/>
        </w:rPr>
        <w:t>une analyse plus approfondie de l</w:t>
      </w:r>
      <w:r w:rsidR="009045B2" w:rsidRPr="00D2726E">
        <w:rPr>
          <w:lang w:val="fr-FR"/>
        </w:rPr>
        <w:t>’</w:t>
      </w:r>
      <w:r w:rsidRPr="00D2726E">
        <w:rPr>
          <w:lang w:val="fr-FR"/>
        </w:rPr>
        <w:t>incidence probable sur les offices était nécessai</w:t>
      </w:r>
      <w:r w:rsidR="00D2726E" w:rsidRPr="00D2726E">
        <w:rPr>
          <w:lang w:val="fr-FR"/>
        </w:rPr>
        <w:t>re.  De</w:t>
      </w:r>
      <w:r w:rsidRPr="00D2726E">
        <w:rPr>
          <w:lang w:val="fr-FR"/>
        </w:rPr>
        <w:t>s offices ont indiqué qu</w:t>
      </w:r>
      <w:r w:rsidR="009045B2" w:rsidRPr="00D2726E">
        <w:rPr>
          <w:lang w:val="fr-FR"/>
        </w:rPr>
        <w:t>’</w:t>
      </w:r>
      <w:r w:rsidRPr="00D2726E">
        <w:rPr>
          <w:lang w:val="fr-FR"/>
        </w:rPr>
        <w:t>ils appuieraient l</w:t>
      </w:r>
      <w:r w:rsidR="009045B2" w:rsidRPr="00D2726E">
        <w:rPr>
          <w:lang w:val="fr-FR"/>
        </w:rPr>
        <w:t>’</w:t>
      </w:r>
      <w:r w:rsidRPr="00D2726E">
        <w:rPr>
          <w:lang w:val="fr-FR"/>
        </w:rPr>
        <w:t>option de participation volontaire prévue à l</w:t>
      </w:r>
      <w:r w:rsidR="009045B2" w:rsidRPr="00D2726E">
        <w:rPr>
          <w:lang w:val="fr-FR"/>
        </w:rPr>
        <w:t>’</w:t>
      </w:r>
      <w:r w:rsidRPr="00D2726E">
        <w:rPr>
          <w:lang w:val="fr-FR"/>
        </w:rPr>
        <w:t>alinéa b) des règles proposé</w:t>
      </w:r>
      <w:r w:rsidR="00D2726E" w:rsidRPr="00D2726E">
        <w:rPr>
          <w:lang w:val="fr-FR"/>
        </w:rPr>
        <w:t>es.  Un</w:t>
      </w:r>
      <w:r w:rsidRPr="00D2726E">
        <w:rPr>
          <w:lang w:val="fr-FR"/>
        </w:rPr>
        <w:t>e délégation a indiqué qu</w:t>
      </w:r>
      <w:r w:rsidR="009045B2" w:rsidRPr="00D2726E">
        <w:rPr>
          <w:lang w:val="fr-FR"/>
        </w:rPr>
        <w:t>’</w:t>
      </w:r>
      <w:r w:rsidRPr="00D2726E">
        <w:rPr>
          <w:lang w:val="fr-FR"/>
        </w:rPr>
        <w:t>il était important de laisser aux offices la possibilité d</w:t>
      </w:r>
      <w:r w:rsidR="009045B2" w:rsidRPr="00D2726E">
        <w:rPr>
          <w:lang w:val="fr-FR"/>
        </w:rPr>
        <w:t>’</w:t>
      </w:r>
      <w:r w:rsidRPr="00D2726E">
        <w:rPr>
          <w:lang w:val="fr-FR"/>
        </w:rPr>
        <w:t>utiliser des critères supplémentaires pour déterminer les rapports qu</w:t>
      </w:r>
      <w:r w:rsidR="009045B2" w:rsidRPr="00D2726E">
        <w:rPr>
          <w:lang w:val="fr-FR"/>
        </w:rPr>
        <w:t>’</w:t>
      </w:r>
      <w:r w:rsidRPr="00D2726E">
        <w:rPr>
          <w:lang w:val="fr-FR"/>
        </w:rPr>
        <w:t>ils pouvaient accepter comme base d</w:t>
      </w:r>
      <w:r w:rsidR="009045B2" w:rsidRPr="00D2726E">
        <w:rPr>
          <w:lang w:val="fr-FR"/>
        </w:rPr>
        <w:t>’</w:t>
      </w:r>
      <w:r w:rsidRPr="00D2726E">
        <w:rPr>
          <w:lang w:val="fr-FR"/>
        </w:rPr>
        <w:t>une demande de traitement selon</w:t>
      </w:r>
      <w:r w:rsidR="000113AE" w:rsidRPr="00D2726E">
        <w:rPr>
          <w:lang w:val="fr-FR"/>
        </w:rPr>
        <w:t xml:space="preserve"> le PPH</w:t>
      </w:r>
      <w:r w:rsidRPr="00D2726E">
        <w:rPr>
          <w:lang w:val="fr-FR"/>
        </w:rPr>
        <w:t>, et qu</w:t>
      </w:r>
      <w:r w:rsidR="009045B2" w:rsidRPr="00D2726E">
        <w:rPr>
          <w:lang w:val="fr-FR"/>
        </w:rPr>
        <w:t>’</w:t>
      </w:r>
      <w:r w:rsidRPr="00D2726E">
        <w:rPr>
          <w:lang w:val="fr-FR"/>
        </w:rPr>
        <w:t>il ne devrait y avoir aucune objection dans le champ du cadre VIII.</w:t>
      </w:r>
    </w:p>
    <w:p w:rsidR="00175BDE" w:rsidRPr="00D2726E" w:rsidRDefault="00175BDE" w:rsidP="00175BDE">
      <w:pPr>
        <w:pStyle w:val="ONUMFS"/>
        <w:rPr>
          <w:lang w:val="fr-FR"/>
        </w:rPr>
      </w:pPr>
      <w:r w:rsidRPr="00D2726E">
        <w:rPr>
          <w:lang w:val="fr-FR"/>
        </w:rPr>
        <w:t xml:space="preserve">Un office a demandé si les autres offices </w:t>
      </w:r>
      <w:r w:rsidR="00D93CDB" w:rsidRPr="00D2726E">
        <w:rPr>
          <w:lang w:val="fr-FR"/>
        </w:rPr>
        <w:t>considéra</w:t>
      </w:r>
      <w:r w:rsidRPr="00D2726E">
        <w:rPr>
          <w:lang w:val="fr-FR"/>
        </w:rPr>
        <w:t>ient les requêtes de traitement selon</w:t>
      </w:r>
      <w:r w:rsidR="000113AE" w:rsidRPr="00D2726E">
        <w:rPr>
          <w:lang w:val="fr-FR"/>
        </w:rPr>
        <w:t xml:space="preserve"> le PPH</w:t>
      </w:r>
      <w:r w:rsidRPr="00D2726E">
        <w:rPr>
          <w:lang w:val="fr-FR"/>
        </w:rPr>
        <w:t xml:space="preserve"> reçues avant l</w:t>
      </w:r>
      <w:r w:rsidR="009045B2" w:rsidRPr="00D2726E">
        <w:rPr>
          <w:lang w:val="fr-FR"/>
        </w:rPr>
        <w:t>’</w:t>
      </w:r>
      <w:r w:rsidRPr="00D2726E">
        <w:rPr>
          <w:lang w:val="fr-FR"/>
        </w:rPr>
        <w:t>expiration du délai prévu à l</w:t>
      </w:r>
      <w:r w:rsidR="009045B2" w:rsidRPr="00D2726E">
        <w:rPr>
          <w:lang w:val="fr-FR"/>
        </w:rPr>
        <w:t>’</w:t>
      </w:r>
      <w:r w:rsidR="000113AE" w:rsidRPr="00D2726E">
        <w:rPr>
          <w:lang w:val="fr-FR"/>
        </w:rPr>
        <w:t>article 2</w:t>
      </w:r>
      <w:r w:rsidRPr="00D2726E">
        <w:rPr>
          <w:lang w:val="fr-FR"/>
        </w:rPr>
        <w:t>2 comme une requête expresse visée à l</w:t>
      </w:r>
      <w:r w:rsidR="009045B2" w:rsidRPr="00D2726E">
        <w:rPr>
          <w:lang w:val="fr-FR"/>
        </w:rPr>
        <w:t>’</w:t>
      </w:r>
      <w:r w:rsidR="000113AE" w:rsidRPr="00D2726E">
        <w:rPr>
          <w:lang w:val="fr-FR"/>
        </w:rPr>
        <w:t>article 2</w:t>
      </w:r>
      <w:r w:rsidRPr="00D2726E">
        <w:rPr>
          <w:lang w:val="fr-FR"/>
        </w:rPr>
        <w:t>3.2) à l</w:t>
      </w:r>
      <w:r w:rsidR="009045B2" w:rsidRPr="00D2726E">
        <w:rPr>
          <w:lang w:val="fr-FR"/>
        </w:rPr>
        <w:t>’</w:t>
      </w:r>
      <w:r w:rsidRPr="00D2726E">
        <w:rPr>
          <w:lang w:val="fr-FR"/>
        </w:rPr>
        <w:t>effet qu</w:t>
      </w:r>
      <w:r w:rsidR="009045B2" w:rsidRPr="00D2726E">
        <w:rPr>
          <w:lang w:val="fr-FR"/>
        </w:rPr>
        <w:t>’</w:t>
      </w:r>
      <w:r w:rsidRPr="00D2726E">
        <w:rPr>
          <w:lang w:val="fr-FR"/>
        </w:rPr>
        <w:t>un office désigné instruise ou examine une demande internationale.</w:t>
      </w:r>
    </w:p>
    <w:p w:rsidR="00175BDE" w:rsidRPr="00D2726E" w:rsidRDefault="00175BDE" w:rsidP="00175BDE">
      <w:pPr>
        <w:pStyle w:val="ONUMFS"/>
        <w:rPr>
          <w:lang w:val="fr-FR"/>
        </w:rPr>
      </w:pPr>
      <w:r w:rsidRPr="00D2726E">
        <w:rPr>
          <w:lang w:val="fr-FR"/>
        </w:rPr>
        <w:t>Une délégation a déclaré qu</w:t>
      </w:r>
      <w:r w:rsidR="009045B2" w:rsidRPr="00D2726E">
        <w:rPr>
          <w:lang w:val="fr-FR"/>
        </w:rPr>
        <w:t>’</w:t>
      </w:r>
      <w:r w:rsidRPr="00D2726E">
        <w:rPr>
          <w:lang w:val="fr-FR"/>
        </w:rPr>
        <w:t>elle n</w:t>
      </w:r>
      <w:r w:rsidR="009045B2" w:rsidRPr="00D2726E">
        <w:rPr>
          <w:lang w:val="fr-FR"/>
        </w:rPr>
        <w:t>’</w:t>
      </w:r>
      <w:r w:rsidRPr="00D2726E">
        <w:rPr>
          <w:lang w:val="fr-FR"/>
        </w:rPr>
        <w:t>était pas en mesure d</w:t>
      </w:r>
      <w:r w:rsidR="009045B2" w:rsidRPr="00D2726E">
        <w:rPr>
          <w:lang w:val="fr-FR"/>
        </w:rPr>
        <w:t>’</w:t>
      </w:r>
      <w:r w:rsidRPr="00D2726E">
        <w:rPr>
          <w:lang w:val="fr-FR"/>
        </w:rPr>
        <w:t>appuyer la propositi</w:t>
      </w:r>
      <w:r w:rsidR="00D2726E" w:rsidRPr="00D2726E">
        <w:rPr>
          <w:lang w:val="fr-FR"/>
        </w:rPr>
        <w:t>on.  Ce</w:t>
      </w:r>
      <w:r w:rsidRPr="00D2726E">
        <w:rPr>
          <w:lang w:val="fr-FR"/>
        </w:rPr>
        <w:t>tte délégation a souligné que les rapports dans la phase internationale n</w:t>
      </w:r>
      <w:r w:rsidR="009045B2" w:rsidRPr="00D2726E">
        <w:rPr>
          <w:lang w:val="fr-FR"/>
        </w:rPr>
        <w:t>’</w:t>
      </w:r>
      <w:r w:rsidRPr="00D2726E">
        <w:rPr>
          <w:lang w:val="fr-FR"/>
        </w:rPr>
        <w:t>étaient pas contraignants et a estimé que le système</w:t>
      </w:r>
      <w:r w:rsidR="000113AE" w:rsidRPr="00D2726E">
        <w:rPr>
          <w:lang w:val="fr-FR"/>
        </w:rPr>
        <w:t xml:space="preserve"> du PCT</w:t>
      </w:r>
      <w:r w:rsidRPr="00D2726E">
        <w:rPr>
          <w:lang w:val="fr-FR"/>
        </w:rPr>
        <w:t xml:space="preserve"> devait être impartial en mettant toutes les parties prenantes sur un pied d</w:t>
      </w:r>
      <w:r w:rsidR="009045B2" w:rsidRPr="00D2726E">
        <w:rPr>
          <w:lang w:val="fr-FR"/>
        </w:rPr>
        <w:t>’</w:t>
      </w:r>
      <w:r w:rsidRPr="00D2726E">
        <w:rPr>
          <w:lang w:val="fr-FR"/>
        </w:rPr>
        <w:t>égalité dans la phase nationale et qu</w:t>
      </w:r>
      <w:r w:rsidR="009045B2" w:rsidRPr="00D2726E">
        <w:rPr>
          <w:lang w:val="fr-FR"/>
        </w:rPr>
        <w:t>’</w:t>
      </w:r>
      <w:r w:rsidRPr="00D2726E">
        <w:rPr>
          <w:lang w:val="fr-FR"/>
        </w:rPr>
        <w:t>il ne fallait pas prévoir de mécanisme permettant à un déposant de demander un traitement préférentiel en fonction de la teneur de ces rappor</w:t>
      </w:r>
      <w:r w:rsidR="00D2726E" w:rsidRPr="00D2726E">
        <w:rPr>
          <w:lang w:val="fr-FR"/>
        </w:rPr>
        <w:t>ts.  L’o</w:t>
      </w:r>
      <w:r w:rsidRPr="00D2726E">
        <w:rPr>
          <w:lang w:val="fr-FR"/>
        </w:rPr>
        <w:t>bjectif premier du système PCT n</w:t>
      </w:r>
      <w:r w:rsidR="009045B2" w:rsidRPr="00D2726E">
        <w:rPr>
          <w:lang w:val="fr-FR"/>
        </w:rPr>
        <w:t>’</w:t>
      </w:r>
      <w:r w:rsidRPr="00D2726E">
        <w:rPr>
          <w:lang w:val="fr-FR"/>
        </w:rPr>
        <w:t>était pas de délivrer des brevets de manière rapide, mais plutôt d</w:t>
      </w:r>
      <w:r w:rsidR="009045B2" w:rsidRPr="00D2726E">
        <w:rPr>
          <w:lang w:val="fr-FR"/>
        </w:rPr>
        <w:t>’</w:t>
      </w:r>
      <w:r w:rsidRPr="00D2726E">
        <w:rPr>
          <w:lang w:val="fr-FR"/>
        </w:rPr>
        <w:t>aider les offices à traiter les demandes en temps voulu, qu</w:t>
      </w:r>
      <w:r w:rsidR="009045B2" w:rsidRPr="00D2726E">
        <w:rPr>
          <w:lang w:val="fr-FR"/>
        </w:rPr>
        <w:t>’</w:t>
      </w:r>
      <w:r w:rsidRPr="00D2726E">
        <w:rPr>
          <w:lang w:val="fr-FR"/>
        </w:rPr>
        <w:t>elles aboutissent à une délivrance ou à un ref</w:t>
      </w:r>
      <w:r w:rsidR="00D2726E" w:rsidRPr="00D2726E">
        <w:rPr>
          <w:lang w:val="fr-FR"/>
        </w:rPr>
        <w:t>us.  La</w:t>
      </w:r>
      <w:r w:rsidRPr="00D2726E">
        <w:rPr>
          <w:lang w:val="fr-FR"/>
        </w:rPr>
        <w:t xml:space="preserve"> proposition risquait de favoriser le recours à des administrations qui émettaient davantage de rapports sur la base de documents de catégorie </w:t>
      </w:r>
      <w:r w:rsidR="000113AE" w:rsidRPr="00D2726E">
        <w:rPr>
          <w:lang w:val="fr-FR"/>
        </w:rPr>
        <w:t>“</w:t>
      </w:r>
      <w:r w:rsidRPr="00D2726E">
        <w:rPr>
          <w:lang w:val="fr-FR"/>
        </w:rPr>
        <w:t>A</w:t>
      </w:r>
      <w:r w:rsidR="000113AE" w:rsidRPr="00D2726E">
        <w:rPr>
          <w:lang w:val="fr-FR"/>
        </w:rPr>
        <w:t>”</w:t>
      </w:r>
      <w:r w:rsidRPr="00D2726E">
        <w:rPr>
          <w:lang w:val="fr-FR"/>
        </w:rPr>
        <w:t>, qui avaient moins valeur pour un office examinant ultérieurement la deman</w:t>
      </w:r>
      <w:r w:rsidR="00D2726E" w:rsidRPr="00D2726E">
        <w:rPr>
          <w:lang w:val="fr-FR"/>
        </w:rPr>
        <w:t>de.  El</w:t>
      </w:r>
      <w:r w:rsidRPr="00D2726E">
        <w:rPr>
          <w:lang w:val="fr-FR"/>
        </w:rPr>
        <w:t>le risquait également creuser le fossé entre les déposants locaux et les déposants étrangers en mesure d</w:t>
      </w:r>
      <w:r w:rsidR="009045B2" w:rsidRPr="00D2726E">
        <w:rPr>
          <w:lang w:val="fr-FR"/>
        </w:rPr>
        <w:t>’</w:t>
      </w:r>
      <w:r w:rsidRPr="00D2726E">
        <w:rPr>
          <w:lang w:val="fr-FR"/>
        </w:rPr>
        <w:t>utiliser</w:t>
      </w:r>
      <w:r w:rsidR="000113AE" w:rsidRPr="00D2726E">
        <w:rPr>
          <w:lang w:val="fr-FR"/>
        </w:rPr>
        <w:t xml:space="preserve"> le PCT</w:t>
      </w:r>
      <w:r w:rsidRPr="00D2726E">
        <w:rPr>
          <w:lang w:val="fr-FR"/>
        </w:rPr>
        <w:t xml:space="preserve"> comme outil pour obtenir un traitement plus rapide, ce qui retarderait la disponibilité des résultats de l</w:t>
      </w:r>
      <w:r w:rsidR="009045B2" w:rsidRPr="00D2726E">
        <w:rPr>
          <w:lang w:val="fr-FR"/>
        </w:rPr>
        <w:t>’</w:t>
      </w:r>
      <w:r w:rsidRPr="00D2726E">
        <w:rPr>
          <w:lang w:val="fr-FR"/>
        </w:rPr>
        <w:t>examen dans les autres c</w:t>
      </w:r>
      <w:r w:rsidR="00D2726E" w:rsidRPr="00D2726E">
        <w:rPr>
          <w:lang w:val="fr-FR"/>
        </w:rPr>
        <w:t>as.  Un</w:t>
      </w:r>
      <w:r w:rsidRPr="00D2726E">
        <w:rPr>
          <w:lang w:val="fr-FR"/>
        </w:rPr>
        <w:t xml:space="preserve"> traitement plus rapide pourrait également conduire à un plus grand nombre de contentieux, alors que les coûts des mécanismes de recours étaient très variables d</w:t>
      </w:r>
      <w:r w:rsidR="009045B2" w:rsidRPr="00D2726E">
        <w:rPr>
          <w:lang w:val="fr-FR"/>
        </w:rPr>
        <w:t>’</w:t>
      </w:r>
      <w:r w:rsidRPr="00D2726E">
        <w:rPr>
          <w:lang w:val="fr-FR"/>
        </w:rPr>
        <w:t>un ressort juridique à l</w:t>
      </w:r>
      <w:r w:rsidR="009045B2" w:rsidRPr="00D2726E">
        <w:rPr>
          <w:lang w:val="fr-FR"/>
        </w:rPr>
        <w:t>’</w:t>
      </w:r>
      <w:r w:rsidRPr="00D2726E">
        <w:rPr>
          <w:lang w:val="fr-FR"/>
        </w:rPr>
        <w:t>aut</w:t>
      </w:r>
      <w:r w:rsidR="00D2726E" w:rsidRPr="00D2726E">
        <w:rPr>
          <w:lang w:val="fr-FR"/>
        </w:rPr>
        <w:t>re.  La</w:t>
      </w:r>
      <w:r w:rsidRPr="00D2726E">
        <w:rPr>
          <w:lang w:val="fr-FR"/>
        </w:rPr>
        <w:t xml:space="preserve"> délégation estimait que le programme PPH n</w:t>
      </w:r>
      <w:r w:rsidR="009045B2" w:rsidRPr="00D2726E">
        <w:rPr>
          <w:lang w:val="fr-FR"/>
        </w:rPr>
        <w:t>’</w:t>
      </w:r>
      <w:r w:rsidRPr="00D2726E">
        <w:rPr>
          <w:lang w:val="fr-FR"/>
        </w:rPr>
        <w:t>était pas en phase avec la mission de l</w:t>
      </w:r>
      <w:r w:rsidR="009045B2" w:rsidRPr="00D2726E">
        <w:rPr>
          <w:lang w:val="fr-FR"/>
        </w:rPr>
        <w:t>’</w:t>
      </w:r>
      <w:r w:rsidRPr="00D2726E">
        <w:rPr>
          <w:lang w:val="fr-FR"/>
        </w:rPr>
        <w:t>OMPI consistant à jouer un rôle de premier plan dans l</w:t>
      </w:r>
      <w:r w:rsidR="009045B2" w:rsidRPr="00D2726E">
        <w:rPr>
          <w:lang w:val="fr-FR"/>
        </w:rPr>
        <w:t>’</w:t>
      </w:r>
      <w:r w:rsidRPr="00D2726E">
        <w:rPr>
          <w:lang w:val="fr-FR"/>
        </w:rPr>
        <w:t>élaboration d</w:t>
      </w:r>
      <w:r w:rsidR="009045B2" w:rsidRPr="00D2726E">
        <w:rPr>
          <w:lang w:val="fr-FR"/>
        </w:rPr>
        <w:t>’</w:t>
      </w:r>
      <w:r w:rsidRPr="00D2726E">
        <w:rPr>
          <w:lang w:val="fr-FR"/>
        </w:rPr>
        <w:t xml:space="preserve">un système international de propriété </w:t>
      </w:r>
      <w:r w:rsidRPr="00D2726E">
        <w:rPr>
          <w:lang w:val="fr-FR"/>
        </w:rPr>
        <w:lastRenderedPageBreak/>
        <w:t>intellectuelle équilibré et efficace, favorisant l</w:t>
      </w:r>
      <w:r w:rsidR="009045B2" w:rsidRPr="00D2726E">
        <w:rPr>
          <w:lang w:val="fr-FR"/>
        </w:rPr>
        <w:t>’</w:t>
      </w:r>
      <w:r w:rsidRPr="00D2726E">
        <w:rPr>
          <w:lang w:val="fr-FR"/>
        </w:rPr>
        <w:t>innovation et la créativité dans l</w:t>
      </w:r>
      <w:r w:rsidR="009045B2" w:rsidRPr="00D2726E">
        <w:rPr>
          <w:lang w:val="fr-FR"/>
        </w:rPr>
        <w:t>’</w:t>
      </w:r>
      <w:r w:rsidRPr="00D2726E">
        <w:rPr>
          <w:lang w:val="fr-FR"/>
        </w:rPr>
        <w:t>intérêt de to</w:t>
      </w:r>
      <w:r w:rsidR="00D2726E" w:rsidRPr="00D2726E">
        <w:rPr>
          <w:lang w:val="fr-FR"/>
        </w:rPr>
        <w:t>us.  L’i</w:t>
      </w:r>
      <w:r w:rsidRPr="00D2726E">
        <w:rPr>
          <w:lang w:val="fr-FR"/>
        </w:rPr>
        <w:t>ntégration</w:t>
      </w:r>
      <w:r w:rsidR="000113AE" w:rsidRPr="00D2726E">
        <w:rPr>
          <w:lang w:val="fr-FR"/>
        </w:rPr>
        <w:t xml:space="preserve"> du PPH</w:t>
      </w:r>
      <w:r w:rsidRPr="00D2726E">
        <w:rPr>
          <w:lang w:val="fr-FR"/>
        </w:rPr>
        <w:t xml:space="preserve"> dans</w:t>
      </w:r>
      <w:r w:rsidR="000113AE" w:rsidRPr="00D2726E">
        <w:rPr>
          <w:lang w:val="fr-FR"/>
        </w:rPr>
        <w:t xml:space="preserve"> le PCT</w:t>
      </w:r>
      <w:r w:rsidRPr="00D2726E">
        <w:rPr>
          <w:lang w:val="fr-FR"/>
        </w:rPr>
        <w:t xml:space="preserve"> n</w:t>
      </w:r>
      <w:r w:rsidR="009045B2" w:rsidRPr="00D2726E">
        <w:rPr>
          <w:lang w:val="fr-FR"/>
        </w:rPr>
        <w:t>’</w:t>
      </w:r>
      <w:r w:rsidRPr="00D2726E">
        <w:rPr>
          <w:lang w:val="fr-FR"/>
        </w:rPr>
        <w:t>était pas non plus conforme au Plan d</w:t>
      </w:r>
      <w:r w:rsidR="009045B2" w:rsidRPr="00D2726E">
        <w:rPr>
          <w:lang w:val="fr-FR"/>
        </w:rPr>
        <w:t>’</w:t>
      </w:r>
      <w:r w:rsidRPr="00D2726E">
        <w:rPr>
          <w:lang w:val="fr-FR"/>
        </w:rPr>
        <w:t>action de l</w:t>
      </w:r>
      <w:r w:rsidR="009045B2" w:rsidRPr="00D2726E">
        <w:rPr>
          <w:lang w:val="fr-FR"/>
        </w:rPr>
        <w:t>’</w:t>
      </w:r>
      <w:r w:rsidRPr="00D2726E">
        <w:rPr>
          <w:lang w:val="fr-FR"/>
        </w:rPr>
        <w:t>OMPI pour le développement et qu</w:t>
      </w:r>
      <w:r w:rsidR="009045B2" w:rsidRPr="00D2726E">
        <w:rPr>
          <w:lang w:val="fr-FR"/>
        </w:rPr>
        <w:t>’</w:t>
      </w:r>
      <w:r w:rsidRPr="00D2726E">
        <w:rPr>
          <w:lang w:val="fr-FR"/>
        </w:rPr>
        <w:t>elle entraverait la mise en œuvre des recommandations concernant les travaux futurs figurant dans la feuille de route</w:t>
      </w:r>
      <w:r w:rsidR="000113AE" w:rsidRPr="00D2726E">
        <w:rPr>
          <w:lang w:val="fr-FR"/>
        </w:rPr>
        <w:t xml:space="preserve"> du PCT</w:t>
      </w:r>
      <w:r w:rsidRPr="00D2726E">
        <w:rPr>
          <w:lang w:val="fr-FR"/>
        </w:rPr>
        <w:t xml:space="preserve"> concernant la fourniture d</w:t>
      </w:r>
      <w:r w:rsidR="009045B2" w:rsidRPr="00D2726E">
        <w:rPr>
          <w:lang w:val="fr-FR"/>
        </w:rPr>
        <w:t>’</w:t>
      </w:r>
      <w:r w:rsidRPr="00D2726E">
        <w:rPr>
          <w:lang w:val="fr-FR"/>
        </w:rPr>
        <w:t>une assistance technique aux offices pour éliminer les différences en matière de capacités de recherche et d</w:t>
      </w:r>
      <w:r w:rsidR="009045B2" w:rsidRPr="00D2726E">
        <w:rPr>
          <w:lang w:val="fr-FR"/>
        </w:rPr>
        <w:t>’</w:t>
      </w:r>
      <w:r w:rsidRPr="00D2726E">
        <w:rPr>
          <w:lang w:val="fr-FR"/>
        </w:rPr>
        <w:t>examen, de compétences et d</w:t>
      </w:r>
      <w:r w:rsidR="009045B2" w:rsidRPr="00D2726E">
        <w:rPr>
          <w:lang w:val="fr-FR"/>
        </w:rPr>
        <w:t>’</w:t>
      </w:r>
      <w:r w:rsidRPr="00D2726E">
        <w:rPr>
          <w:lang w:val="fr-FR"/>
        </w:rPr>
        <w:t>accès à l</w:t>
      </w:r>
      <w:r w:rsidR="009045B2" w:rsidRPr="00D2726E">
        <w:rPr>
          <w:lang w:val="fr-FR"/>
        </w:rPr>
        <w:t>’</w:t>
      </w:r>
      <w:r w:rsidRPr="00D2726E">
        <w:rPr>
          <w:lang w:val="fr-FR"/>
        </w:rPr>
        <w:t>informati</w:t>
      </w:r>
      <w:r w:rsidR="00D2726E" w:rsidRPr="00D2726E">
        <w:rPr>
          <w:lang w:val="fr-FR"/>
        </w:rPr>
        <w:t>on.  L’i</w:t>
      </w:r>
      <w:r w:rsidRPr="00D2726E">
        <w:rPr>
          <w:lang w:val="fr-FR"/>
        </w:rPr>
        <w:t>ntégration formelle</w:t>
      </w:r>
      <w:r w:rsidR="000113AE" w:rsidRPr="00D2726E">
        <w:rPr>
          <w:lang w:val="fr-FR"/>
        </w:rPr>
        <w:t xml:space="preserve"> du PPH</w:t>
      </w:r>
      <w:r w:rsidRPr="00D2726E">
        <w:rPr>
          <w:lang w:val="fr-FR"/>
        </w:rPr>
        <w:t xml:space="preserve"> dans</w:t>
      </w:r>
      <w:r w:rsidR="000113AE" w:rsidRPr="00D2726E">
        <w:rPr>
          <w:lang w:val="fr-FR"/>
        </w:rPr>
        <w:t xml:space="preserve"> le PCT</w:t>
      </w:r>
      <w:r w:rsidRPr="00D2726E">
        <w:rPr>
          <w:lang w:val="fr-FR"/>
        </w:rPr>
        <w:t xml:space="preserve"> modifierait la structure fondamentale du système</w:t>
      </w:r>
      <w:r w:rsidR="000113AE" w:rsidRPr="00D2726E">
        <w:rPr>
          <w:lang w:val="fr-FR"/>
        </w:rPr>
        <w:t xml:space="preserve"> du PCT</w:t>
      </w:r>
      <w:r w:rsidRPr="00D2726E">
        <w:rPr>
          <w:lang w:val="fr-FR"/>
        </w:rPr>
        <w:t xml:space="preserve"> qui offrait actuellement un traitement égal à tous les déposan</w:t>
      </w:r>
      <w:r w:rsidR="00D2726E" w:rsidRPr="00D2726E">
        <w:rPr>
          <w:lang w:val="fr-FR"/>
        </w:rPr>
        <w:t>ts.  Le</w:t>
      </w:r>
      <w:r w:rsidRPr="00D2726E">
        <w:rPr>
          <w:lang w:val="fr-FR"/>
        </w:rPr>
        <w:t>s effets néfastes se feraient sentir, même avec la procédure de réser</w:t>
      </w:r>
      <w:r w:rsidR="00D2726E" w:rsidRPr="00D2726E">
        <w:rPr>
          <w:lang w:val="fr-FR"/>
        </w:rPr>
        <w:t>ve.  Un</w:t>
      </w:r>
      <w:r w:rsidRPr="00D2726E">
        <w:rPr>
          <w:lang w:val="fr-FR"/>
        </w:rPr>
        <w:t xml:space="preserve"> traitement préférentiel de ce type était contraire à l</w:t>
      </w:r>
      <w:r w:rsidR="009045B2" w:rsidRPr="00D2726E">
        <w:rPr>
          <w:lang w:val="fr-FR"/>
        </w:rPr>
        <w:t>’</w:t>
      </w:r>
      <w:r w:rsidRPr="00D2726E">
        <w:rPr>
          <w:lang w:val="fr-FR"/>
        </w:rPr>
        <w:t>esprit</w:t>
      </w:r>
      <w:r w:rsidR="000113AE" w:rsidRPr="00D2726E">
        <w:rPr>
          <w:lang w:val="fr-FR"/>
        </w:rPr>
        <w:t xml:space="preserve"> du PCT</w:t>
      </w:r>
      <w:r w:rsidRPr="00D2726E">
        <w:rPr>
          <w:lang w:val="fr-FR"/>
        </w:rPr>
        <w:t xml:space="preserve"> et en contradiction avec les idéaux de l</w:t>
      </w:r>
      <w:r w:rsidR="009045B2" w:rsidRPr="00D2726E">
        <w:rPr>
          <w:lang w:val="fr-FR"/>
        </w:rPr>
        <w:t>’</w:t>
      </w:r>
      <w:r w:rsidRPr="00D2726E">
        <w:rPr>
          <w:lang w:val="fr-FR"/>
        </w:rPr>
        <w:t>OMPI.  L</w:t>
      </w:r>
      <w:r w:rsidR="009045B2" w:rsidRPr="00D2726E">
        <w:rPr>
          <w:lang w:val="fr-FR"/>
        </w:rPr>
        <w:t>’</w:t>
      </w:r>
      <w:r w:rsidRPr="00D2726E">
        <w:rPr>
          <w:lang w:val="fr-FR"/>
        </w:rPr>
        <w:t>intégration de ce système dans</w:t>
      </w:r>
      <w:r w:rsidR="000113AE" w:rsidRPr="00D2726E">
        <w:rPr>
          <w:lang w:val="fr-FR"/>
        </w:rPr>
        <w:t xml:space="preserve"> le PCT</w:t>
      </w:r>
      <w:r w:rsidRPr="00D2726E">
        <w:rPr>
          <w:lang w:val="fr-FR"/>
        </w:rPr>
        <w:t xml:space="preserve"> conférerait également un pouvoir coercitif au programme PPH, ce qui affaiblirait encore la position des pays en développement dans les négociations commercial</w:t>
      </w:r>
      <w:r w:rsidR="00D2726E" w:rsidRPr="00D2726E">
        <w:rPr>
          <w:lang w:val="fr-FR"/>
        </w:rPr>
        <w:t>es.  La</w:t>
      </w:r>
      <w:r w:rsidRPr="00D2726E">
        <w:rPr>
          <w:lang w:val="fr-FR"/>
        </w:rPr>
        <w:t xml:space="preserve"> délégation a fait observer que les offices récepteurs ne déclaraient pas toutes les administrations internationales comme étant compétentes pour la recherche sur les demandes internationales déposées auprès de leur office respect</w:t>
      </w:r>
      <w:r w:rsidR="00D2726E" w:rsidRPr="00D2726E">
        <w:rPr>
          <w:lang w:val="fr-FR"/>
        </w:rPr>
        <w:t>if.  Po</w:t>
      </w:r>
      <w:r w:rsidRPr="00D2726E">
        <w:rPr>
          <w:lang w:val="fr-FR"/>
        </w:rPr>
        <w:t>ur la plupart des demandes internationales, l</w:t>
      </w:r>
      <w:r w:rsidR="009045B2" w:rsidRPr="00D2726E">
        <w:rPr>
          <w:lang w:val="fr-FR"/>
        </w:rPr>
        <w:t>’</w:t>
      </w:r>
      <w:r w:rsidRPr="00D2726E">
        <w:rPr>
          <w:lang w:val="fr-FR"/>
        </w:rPr>
        <w:t>administration chargée de la recherche internationale était le même office que l</w:t>
      </w:r>
      <w:r w:rsidR="009045B2" w:rsidRPr="00D2726E">
        <w:rPr>
          <w:lang w:val="fr-FR"/>
        </w:rPr>
        <w:t>’</w:t>
      </w:r>
      <w:r w:rsidRPr="00D2726E">
        <w:rPr>
          <w:lang w:val="fr-FR"/>
        </w:rPr>
        <w:t>office récepte</w:t>
      </w:r>
      <w:r w:rsidR="00D2726E" w:rsidRPr="00D2726E">
        <w:rPr>
          <w:lang w:val="fr-FR"/>
        </w:rPr>
        <w:t xml:space="preserve">ur.  À </w:t>
      </w:r>
      <w:r w:rsidRPr="00D2726E">
        <w:rPr>
          <w:lang w:val="fr-FR"/>
        </w:rPr>
        <w:t>cet égard, l</w:t>
      </w:r>
      <w:r w:rsidR="009045B2" w:rsidRPr="00D2726E">
        <w:rPr>
          <w:lang w:val="fr-FR"/>
        </w:rPr>
        <w:t>’</w:t>
      </w:r>
      <w:r w:rsidRPr="00D2726E">
        <w:rPr>
          <w:lang w:val="fr-FR"/>
        </w:rPr>
        <w:t>Inde avait présenté à la douz</w:t>
      </w:r>
      <w:r w:rsidR="009045B2" w:rsidRPr="00D2726E">
        <w:rPr>
          <w:lang w:val="fr-FR"/>
        </w:rPr>
        <w:t>ième session</w:t>
      </w:r>
      <w:r w:rsidRPr="00D2726E">
        <w:rPr>
          <w:lang w:val="fr-FR"/>
        </w:rPr>
        <w:t xml:space="preserve"> du groupe de travail une proposition visant à mieux répartir la charge de travail entre les administrations internationales (document PCT/WG/12/18).  La délégation a estimé qu</w:t>
      </w:r>
      <w:r w:rsidR="009045B2" w:rsidRPr="00D2726E">
        <w:rPr>
          <w:lang w:val="fr-FR"/>
        </w:rPr>
        <w:t>’</w:t>
      </w:r>
      <w:r w:rsidRPr="00D2726E">
        <w:rPr>
          <w:lang w:val="fr-FR"/>
        </w:rPr>
        <w:t>il s</w:t>
      </w:r>
      <w:r w:rsidR="009045B2" w:rsidRPr="00D2726E">
        <w:rPr>
          <w:lang w:val="fr-FR"/>
        </w:rPr>
        <w:t>’</w:t>
      </w:r>
      <w:r w:rsidRPr="00D2726E">
        <w:rPr>
          <w:lang w:val="fr-FR"/>
        </w:rPr>
        <w:t>agissait d</w:t>
      </w:r>
      <w:r w:rsidR="009045B2" w:rsidRPr="00D2726E">
        <w:rPr>
          <w:lang w:val="fr-FR"/>
        </w:rPr>
        <w:t>’</w:t>
      </w:r>
      <w:r w:rsidRPr="00D2726E">
        <w:rPr>
          <w:lang w:val="fr-FR"/>
        </w:rPr>
        <w:t>une mesure importante pour améliorer la qualité des rapports sans modifier</w:t>
      </w:r>
      <w:r w:rsidR="000113AE" w:rsidRPr="00D2726E">
        <w:rPr>
          <w:lang w:val="fr-FR"/>
        </w:rPr>
        <w:t xml:space="preserve"> le PCT</w:t>
      </w:r>
      <w:r w:rsidRPr="00D2726E">
        <w:rPr>
          <w:lang w:val="fr-FR"/>
        </w:rPr>
        <w:t xml:space="preserve"> et sans discriminer certains déposants.</w:t>
      </w:r>
    </w:p>
    <w:p w:rsidR="00175BDE" w:rsidRPr="00D2726E" w:rsidRDefault="00175BDE" w:rsidP="00175BDE">
      <w:pPr>
        <w:pStyle w:val="ONUMFS"/>
        <w:rPr>
          <w:lang w:val="fr-FR"/>
        </w:rPr>
      </w:pPr>
      <w:r w:rsidRPr="00D2726E">
        <w:rPr>
          <w:lang w:val="fr-FR"/>
        </w:rPr>
        <w:t>La délégation des États</w:t>
      </w:r>
      <w:r w:rsidR="009045B2" w:rsidRPr="00D2726E">
        <w:rPr>
          <w:lang w:val="fr-FR"/>
        </w:rPr>
        <w:t>-</w:t>
      </w:r>
      <w:r w:rsidRPr="00D2726E">
        <w:rPr>
          <w:lang w:val="fr-FR"/>
        </w:rPr>
        <w:t>Unis d</w:t>
      </w:r>
      <w:r w:rsidR="009045B2" w:rsidRPr="00D2726E">
        <w:rPr>
          <w:lang w:val="fr-FR"/>
        </w:rPr>
        <w:t>’</w:t>
      </w:r>
      <w:r w:rsidRPr="00D2726E">
        <w:rPr>
          <w:lang w:val="fr-FR"/>
        </w:rPr>
        <w:t>Amérique a indiqué qu</w:t>
      </w:r>
      <w:r w:rsidR="009045B2" w:rsidRPr="00D2726E">
        <w:rPr>
          <w:lang w:val="fr-FR"/>
        </w:rPr>
        <w:t>’</w:t>
      </w:r>
      <w:r w:rsidRPr="00D2726E">
        <w:rPr>
          <w:lang w:val="fr-FR"/>
        </w:rPr>
        <w:t>elle ne souscrivait pas à cette interprétation de la proposition contenue dans le docume</w:t>
      </w:r>
      <w:r w:rsidR="00D2726E" w:rsidRPr="00D2726E">
        <w:rPr>
          <w:lang w:val="fr-FR"/>
        </w:rPr>
        <w:t>nt.  El</w:t>
      </w:r>
      <w:r w:rsidRPr="00D2726E">
        <w:rPr>
          <w:lang w:val="fr-FR"/>
        </w:rPr>
        <w:t>le a indiqué que les délégations qui s</w:t>
      </w:r>
      <w:r w:rsidR="009045B2" w:rsidRPr="00D2726E">
        <w:rPr>
          <w:lang w:val="fr-FR"/>
        </w:rPr>
        <w:t>’</w:t>
      </w:r>
      <w:r w:rsidRPr="00D2726E">
        <w:rPr>
          <w:lang w:val="fr-FR"/>
        </w:rPr>
        <w:t>étaient exprimées avaient dans leur grande majorité appuyé la proposition dans son princi</w:t>
      </w:r>
      <w:r w:rsidR="00D2726E" w:rsidRPr="00D2726E">
        <w:rPr>
          <w:lang w:val="fr-FR"/>
        </w:rPr>
        <w:t>pe.  La</w:t>
      </w:r>
      <w:r w:rsidRPr="00D2726E">
        <w:rPr>
          <w:lang w:val="fr-FR"/>
        </w:rPr>
        <w:t xml:space="preserve"> délégation estimait que</w:t>
      </w:r>
      <w:r w:rsidR="000113AE" w:rsidRPr="00D2726E">
        <w:rPr>
          <w:lang w:val="fr-FR"/>
        </w:rPr>
        <w:t xml:space="preserve"> le PPH</w:t>
      </w:r>
      <w:r w:rsidRPr="00D2726E">
        <w:rPr>
          <w:lang w:val="fr-FR"/>
        </w:rPr>
        <w:t xml:space="preserve"> était un bon exemple du type de coopération qui devait relever du Traité de coopération en matière de brevets.</w:t>
      </w:r>
    </w:p>
    <w:p w:rsidR="00175BDE" w:rsidRPr="00D2726E" w:rsidRDefault="00175BDE" w:rsidP="00175BDE">
      <w:pPr>
        <w:pStyle w:val="ONUMFS"/>
        <w:rPr>
          <w:lang w:val="fr-FR"/>
        </w:rPr>
      </w:pPr>
      <w:r w:rsidRPr="00D2726E">
        <w:rPr>
          <w:lang w:val="fr-FR"/>
        </w:rPr>
        <w:t>La présidente a pris acte de l</w:t>
      </w:r>
      <w:r w:rsidR="009045B2" w:rsidRPr="00D2726E">
        <w:rPr>
          <w:lang w:val="fr-FR"/>
        </w:rPr>
        <w:t>’</w:t>
      </w:r>
      <w:r w:rsidRPr="00D2726E">
        <w:rPr>
          <w:lang w:val="fr-FR"/>
        </w:rPr>
        <w:t>intérêt suscité par la proposition ainsi que des observations et des préoccupations exprimées par certaines délégations, concernant en particulier la charge de travail des offices, les aménagements prévus et la manière dont la proposition s</w:t>
      </w:r>
      <w:r w:rsidR="009045B2" w:rsidRPr="00D2726E">
        <w:rPr>
          <w:lang w:val="fr-FR"/>
        </w:rPr>
        <w:t>’</w:t>
      </w:r>
      <w:r w:rsidRPr="00D2726E">
        <w:rPr>
          <w:lang w:val="fr-FR"/>
        </w:rPr>
        <w:t xml:space="preserve">articulait par rapport aux objectifs du système </w:t>
      </w:r>
      <w:r w:rsidR="00D2726E" w:rsidRPr="00D2726E">
        <w:rPr>
          <w:lang w:val="fr-FR"/>
        </w:rPr>
        <w:t>PCT.  La</w:t>
      </w:r>
      <w:r w:rsidRPr="00D2726E">
        <w:rPr>
          <w:lang w:val="fr-FR"/>
        </w:rPr>
        <w:t xml:space="preserve"> présidente a indiqué en conclusion que le groupe de travail avait besoin de plus de temps pour poursuivre l</w:t>
      </w:r>
      <w:r w:rsidR="009045B2" w:rsidRPr="00D2726E">
        <w:rPr>
          <w:lang w:val="fr-FR"/>
        </w:rPr>
        <w:t>’</w:t>
      </w:r>
      <w:r w:rsidRPr="00D2726E">
        <w:rPr>
          <w:lang w:val="fr-FR"/>
        </w:rPr>
        <w:t>examen de la proposition et a invité les États</w:t>
      </w:r>
      <w:r w:rsidR="009045B2" w:rsidRPr="00D2726E">
        <w:rPr>
          <w:lang w:val="fr-FR"/>
        </w:rPr>
        <w:t>-</w:t>
      </w:r>
      <w:r w:rsidRPr="00D2726E">
        <w:rPr>
          <w:lang w:val="fr-FR"/>
        </w:rPr>
        <w:t>Unis d</w:t>
      </w:r>
      <w:r w:rsidR="009045B2" w:rsidRPr="00D2726E">
        <w:rPr>
          <w:lang w:val="fr-FR"/>
        </w:rPr>
        <w:t>’</w:t>
      </w:r>
      <w:r w:rsidRPr="00D2726E">
        <w:rPr>
          <w:lang w:val="fr-FR"/>
        </w:rPr>
        <w:t>Amérique, le Japon, la République de Corée et le Royaume</w:t>
      </w:r>
      <w:r w:rsidR="009045B2" w:rsidRPr="00D2726E">
        <w:rPr>
          <w:lang w:val="fr-FR"/>
        </w:rPr>
        <w:t>-</w:t>
      </w:r>
      <w:r w:rsidRPr="00D2726E">
        <w:rPr>
          <w:lang w:val="fr-FR"/>
        </w:rPr>
        <w:t>Uni à passer en revue ces commentaires de manière plus approfondie en vue de soumettre au groupe de travail une proposition révisée lors d</w:t>
      </w:r>
      <w:r w:rsidR="009045B2" w:rsidRPr="00D2726E">
        <w:rPr>
          <w:lang w:val="fr-FR"/>
        </w:rPr>
        <w:t>’</w:t>
      </w:r>
      <w:r w:rsidRPr="00D2726E">
        <w:rPr>
          <w:lang w:val="fr-FR"/>
        </w:rPr>
        <w:t>une prochaine session.</w:t>
      </w:r>
    </w:p>
    <w:p w:rsidR="00175BDE" w:rsidRPr="00D2726E" w:rsidRDefault="00175BDE" w:rsidP="00175BDE">
      <w:pPr>
        <w:pStyle w:val="ONUMFS"/>
        <w:ind w:left="567"/>
        <w:rPr>
          <w:lang w:val="fr-FR"/>
        </w:rPr>
      </w:pPr>
      <w:r w:rsidRPr="00D2726E">
        <w:rPr>
          <w:lang w:val="fr-FR"/>
        </w:rPr>
        <w:t>Le groupe de travail a invité les États</w:t>
      </w:r>
      <w:r w:rsidR="009045B2" w:rsidRPr="00D2726E">
        <w:rPr>
          <w:lang w:val="fr-FR"/>
        </w:rPr>
        <w:t>-</w:t>
      </w:r>
      <w:r w:rsidRPr="00D2726E">
        <w:rPr>
          <w:lang w:val="fr-FR"/>
        </w:rPr>
        <w:t>Unis d</w:t>
      </w:r>
      <w:r w:rsidR="009045B2" w:rsidRPr="00D2726E">
        <w:rPr>
          <w:lang w:val="fr-FR"/>
        </w:rPr>
        <w:t>’</w:t>
      </w:r>
      <w:r w:rsidRPr="00D2726E">
        <w:rPr>
          <w:lang w:val="fr-FR"/>
        </w:rPr>
        <w:t>Amérique, le Japon, la République de Corée et le Royaume</w:t>
      </w:r>
      <w:r w:rsidR="009045B2" w:rsidRPr="00D2726E">
        <w:rPr>
          <w:lang w:val="fr-FR"/>
        </w:rPr>
        <w:t>-</w:t>
      </w:r>
      <w:r w:rsidRPr="00D2726E">
        <w:rPr>
          <w:lang w:val="fr-FR"/>
        </w:rPr>
        <w:t>Uni à examiner les observations formulées au cours de la session et à soumettre au groupe de travail une proposition révisée lors d</w:t>
      </w:r>
      <w:r w:rsidR="009045B2" w:rsidRPr="00D2726E">
        <w:rPr>
          <w:lang w:val="fr-FR"/>
        </w:rPr>
        <w:t>’</w:t>
      </w:r>
      <w:r w:rsidRPr="00D2726E">
        <w:rPr>
          <w:lang w:val="fr-FR"/>
        </w:rPr>
        <w:t>une prochaine session.</w:t>
      </w:r>
    </w:p>
    <w:p w:rsidR="00175BDE" w:rsidRPr="00D2726E" w:rsidRDefault="000113AE" w:rsidP="00175BDE">
      <w:pPr>
        <w:pStyle w:val="Heading1"/>
        <w:rPr>
          <w:lang w:val="fr-FR"/>
        </w:rPr>
      </w:pPr>
      <w:r w:rsidRPr="00D2726E">
        <w:rPr>
          <w:lang w:val="fr-FR"/>
        </w:rPr>
        <w:t>Point 8</w:t>
      </w:r>
      <w:r w:rsidR="00175BDE" w:rsidRPr="00D2726E">
        <w:rPr>
          <w:lang w:val="fr-FR"/>
        </w:rPr>
        <w:t xml:space="preserve"> de l</w:t>
      </w:r>
      <w:r w:rsidR="009045B2" w:rsidRPr="00D2726E">
        <w:rPr>
          <w:lang w:val="fr-FR"/>
        </w:rPr>
        <w:t>’</w:t>
      </w:r>
      <w:r w:rsidR="00175BDE" w:rsidRPr="00D2726E">
        <w:rPr>
          <w:lang w:val="fr-FR"/>
        </w:rPr>
        <w:t>ordre du jour</w:t>
      </w:r>
      <w:r w:rsidR="009045B2" w:rsidRPr="00D2726E">
        <w:rPr>
          <w:lang w:val="fr-FR"/>
        </w:rPr>
        <w:t> :</w:t>
      </w:r>
      <w:r w:rsidR="00175BDE" w:rsidRPr="00D2726E">
        <w:rPr>
          <w:lang w:val="fr-FR"/>
        </w:rPr>
        <w:t xml:space="preserve"> copies certifiées conformes de demandes internationales antérieures</w:t>
      </w:r>
    </w:p>
    <w:p w:rsidR="00175BDE" w:rsidRPr="00D2726E" w:rsidRDefault="00175BDE" w:rsidP="00175BDE">
      <w:pPr>
        <w:pStyle w:val="ONUMFS"/>
        <w:rPr>
          <w:lang w:val="fr-FR"/>
        </w:rPr>
      </w:pPr>
      <w:r w:rsidRPr="00D2726E">
        <w:rPr>
          <w:lang w:val="fr-FR"/>
        </w:rPr>
        <w:t>Les délibérations ont eu lieu sur la base du document PCT/WG/14/16.</w:t>
      </w:r>
    </w:p>
    <w:p w:rsidR="00175BDE" w:rsidRPr="00D2726E" w:rsidRDefault="00175BDE" w:rsidP="00175BDE">
      <w:pPr>
        <w:pStyle w:val="ONUMFS"/>
        <w:rPr>
          <w:lang w:val="fr-FR"/>
        </w:rPr>
      </w:pPr>
      <w:r w:rsidRPr="00D2726E">
        <w:rPr>
          <w:lang w:val="fr-FR"/>
        </w:rPr>
        <w:t>Les délégations qui ont pris la parole ont appuyé d</w:t>
      </w:r>
      <w:r w:rsidR="009045B2" w:rsidRPr="00D2726E">
        <w:rPr>
          <w:lang w:val="fr-FR"/>
        </w:rPr>
        <w:t>’</w:t>
      </w:r>
      <w:r w:rsidRPr="00D2726E">
        <w:rPr>
          <w:lang w:val="fr-FR"/>
        </w:rPr>
        <w:t>une manière générale les propositions, convenant que l</w:t>
      </w:r>
      <w:r w:rsidR="009045B2" w:rsidRPr="00D2726E">
        <w:rPr>
          <w:lang w:val="fr-FR"/>
        </w:rPr>
        <w:t>’</w:t>
      </w:r>
      <w:r w:rsidRPr="00D2726E">
        <w:rPr>
          <w:lang w:val="fr-FR"/>
        </w:rPr>
        <w:t>option iii) figurant au paragraphe 11 du document était la plus pratiq</w:t>
      </w:r>
      <w:r w:rsidR="00D2726E" w:rsidRPr="00D2726E">
        <w:rPr>
          <w:lang w:val="fr-FR"/>
        </w:rPr>
        <w:t>ue.  Un</w:t>
      </w:r>
      <w:r w:rsidRPr="00D2726E">
        <w:rPr>
          <w:lang w:val="fr-FR"/>
        </w:rPr>
        <w:t xml:space="preserve"> office a suggéré d</w:t>
      </w:r>
      <w:r w:rsidR="009045B2" w:rsidRPr="00D2726E">
        <w:rPr>
          <w:lang w:val="fr-FR"/>
        </w:rPr>
        <w:t>’</w:t>
      </w:r>
      <w:r w:rsidRPr="00D2726E">
        <w:rPr>
          <w:lang w:val="fr-FR"/>
        </w:rPr>
        <w:t>autoriser également le recours à l</w:t>
      </w:r>
      <w:r w:rsidR="009045B2" w:rsidRPr="00D2726E">
        <w:rPr>
          <w:lang w:val="fr-FR"/>
        </w:rPr>
        <w:t>’</w:t>
      </w:r>
      <w:r w:rsidRPr="00D2726E">
        <w:rPr>
          <w:lang w:val="fr-FR"/>
        </w:rPr>
        <w:t>option ii) figurant au même paragraphe à titre temporaire en attendant que davantage d</w:t>
      </w:r>
      <w:r w:rsidR="009045B2" w:rsidRPr="00D2726E">
        <w:rPr>
          <w:lang w:val="fr-FR"/>
        </w:rPr>
        <w:t>’</w:t>
      </w:r>
      <w:r w:rsidRPr="00D2726E">
        <w:rPr>
          <w:lang w:val="fr-FR"/>
        </w:rPr>
        <w:t>offices adhèrent au Service d</w:t>
      </w:r>
      <w:r w:rsidR="009045B2" w:rsidRPr="00D2726E">
        <w:rPr>
          <w:lang w:val="fr-FR"/>
        </w:rPr>
        <w:t>’</w:t>
      </w:r>
      <w:r w:rsidRPr="00D2726E">
        <w:rPr>
          <w:lang w:val="fr-FR"/>
        </w:rPr>
        <w:t>accès numérique aux documents de priorité (DAS) de l</w:t>
      </w:r>
      <w:r w:rsidR="009045B2" w:rsidRPr="00D2726E">
        <w:rPr>
          <w:lang w:val="fr-FR"/>
        </w:rPr>
        <w:t>’</w:t>
      </w:r>
      <w:r w:rsidRPr="00D2726E">
        <w:rPr>
          <w:lang w:val="fr-FR"/>
        </w:rPr>
        <w:t>O</w:t>
      </w:r>
      <w:r w:rsidR="00D2726E" w:rsidRPr="00D2726E">
        <w:rPr>
          <w:lang w:val="fr-FR"/>
        </w:rPr>
        <w:t>MPI.  De</w:t>
      </w:r>
      <w:r w:rsidRPr="00D2726E">
        <w:rPr>
          <w:lang w:val="fr-FR"/>
        </w:rPr>
        <w:t>s offices ont demandé des précisions sur la manière dont les déposants devraient s</w:t>
      </w:r>
      <w:r w:rsidR="009045B2" w:rsidRPr="00D2726E">
        <w:rPr>
          <w:lang w:val="fr-FR"/>
        </w:rPr>
        <w:t>’</w:t>
      </w:r>
      <w:r w:rsidRPr="00D2726E">
        <w:rPr>
          <w:lang w:val="fr-FR"/>
        </w:rPr>
        <w:t>y prendre pour obtenir les codes d</w:t>
      </w:r>
      <w:r w:rsidR="009045B2" w:rsidRPr="00D2726E">
        <w:rPr>
          <w:lang w:val="fr-FR"/>
        </w:rPr>
        <w:t>’</w:t>
      </w:r>
      <w:r w:rsidRPr="00D2726E">
        <w:rPr>
          <w:lang w:val="fr-FR"/>
        </w:rPr>
        <w:t>accès et demander que des documents soient mis à disposition par l</w:t>
      </w:r>
      <w:r w:rsidR="009045B2" w:rsidRPr="00D2726E">
        <w:rPr>
          <w:lang w:val="fr-FR"/>
        </w:rPr>
        <w:t>’</w:t>
      </w:r>
      <w:r w:rsidRPr="00D2726E">
        <w:rPr>
          <w:lang w:val="fr-FR"/>
        </w:rPr>
        <w:t>intermédiaire de ce service.</w:t>
      </w:r>
    </w:p>
    <w:p w:rsidR="00175BDE" w:rsidRPr="00D2726E" w:rsidRDefault="00175BDE" w:rsidP="00175BDE">
      <w:pPr>
        <w:pStyle w:val="ONUMFS"/>
        <w:rPr>
          <w:lang w:val="fr-FR"/>
        </w:rPr>
      </w:pPr>
      <w:r w:rsidRPr="00D2726E">
        <w:rPr>
          <w:lang w:val="fr-FR"/>
        </w:rPr>
        <w:t>Un office s</w:t>
      </w:r>
      <w:r w:rsidR="009045B2" w:rsidRPr="00D2726E">
        <w:rPr>
          <w:lang w:val="fr-FR"/>
        </w:rPr>
        <w:t>’</w:t>
      </w:r>
      <w:r w:rsidRPr="00D2726E">
        <w:rPr>
          <w:lang w:val="fr-FR"/>
        </w:rPr>
        <w:t>est demandé si le nombre de demandes concernées justifierait les coûts de développement de systèmes informatiques supplémentair</w:t>
      </w:r>
      <w:r w:rsidR="00D2726E" w:rsidRPr="00D2726E">
        <w:rPr>
          <w:lang w:val="fr-FR"/>
        </w:rPr>
        <w:t>es.  En</w:t>
      </w:r>
      <w:r w:rsidRPr="00D2726E">
        <w:rPr>
          <w:lang w:val="fr-FR"/>
        </w:rPr>
        <w:t xml:space="preserve"> outre, le temps imparti pour </w:t>
      </w:r>
      <w:r w:rsidRPr="00D2726E">
        <w:rPr>
          <w:lang w:val="fr-FR"/>
        </w:rPr>
        <w:lastRenderedPageBreak/>
        <w:t>analyser les propositions n</w:t>
      </w:r>
      <w:r w:rsidR="009045B2" w:rsidRPr="00D2726E">
        <w:rPr>
          <w:lang w:val="fr-FR"/>
        </w:rPr>
        <w:t>’</w:t>
      </w:r>
      <w:r w:rsidRPr="00D2726E">
        <w:rPr>
          <w:lang w:val="fr-FR"/>
        </w:rPr>
        <w:t>avait pas été suffisant pour déterminer si la méthode de certification proposée ou la forme proposée de tout certificat satisferait aux exigences de l</w:t>
      </w:r>
      <w:r w:rsidR="009045B2" w:rsidRPr="00D2726E">
        <w:rPr>
          <w:lang w:val="fr-FR"/>
        </w:rPr>
        <w:t>’</w:t>
      </w:r>
      <w:r w:rsidR="000113AE" w:rsidRPr="00D2726E">
        <w:rPr>
          <w:lang w:val="fr-FR"/>
        </w:rPr>
        <w:t>article 4</w:t>
      </w:r>
      <w:r w:rsidRPr="00D2726E">
        <w:rPr>
          <w:lang w:val="fr-FR"/>
        </w:rPr>
        <w:t>D.3) de la Convention de Par</w:t>
      </w:r>
      <w:r w:rsidR="00D2726E" w:rsidRPr="00D2726E">
        <w:rPr>
          <w:lang w:val="fr-FR"/>
        </w:rPr>
        <w:t>is.  Ce</w:t>
      </w:r>
      <w:r w:rsidRPr="00D2726E">
        <w:rPr>
          <w:lang w:val="fr-FR"/>
        </w:rPr>
        <w:t>rtaines délégations se sont également interrogées sur les différences d</w:t>
      </w:r>
      <w:r w:rsidR="009045B2" w:rsidRPr="00D2726E">
        <w:rPr>
          <w:lang w:val="fr-FR"/>
        </w:rPr>
        <w:t>’</w:t>
      </w:r>
      <w:r w:rsidRPr="00D2726E">
        <w:rPr>
          <w:lang w:val="fr-FR"/>
        </w:rPr>
        <w:t>ordre rédactionnel entre les modifications qu</w:t>
      </w:r>
      <w:r w:rsidR="009045B2" w:rsidRPr="00D2726E">
        <w:rPr>
          <w:lang w:val="fr-FR"/>
        </w:rPr>
        <w:t>’</w:t>
      </w:r>
      <w:r w:rsidRPr="00D2726E">
        <w:rPr>
          <w:lang w:val="fr-FR"/>
        </w:rPr>
        <w:t>il était proposé d</w:t>
      </w:r>
      <w:r w:rsidR="009045B2" w:rsidRPr="00D2726E">
        <w:rPr>
          <w:lang w:val="fr-FR"/>
        </w:rPr>
        <w:t>’</w:t>
      </w:r>
      <w:r w:rsidRPr="00D2726E">
        <w:rPr>
          <w:lang w:val="fr-FR"/>
        </w:rPr>
        <w:t>apporter au règlement d</w:t>
      </w:r>
      <w:r w:rsidR="009045B2" w:rsidRPr="00D2726E">
        <w:rPr>
          <w:lang w:val="fr-FR"/>
        </w:rPr>
        <w:t>’</w:t>
      </w:r>
      <w:r w:rsidRPr="00D2726E">
        <w:rPr>
          <w:lang w:val="fr-FR"/>
        </w:rPr>
        <w:t>exécution et l</w:t>
      </w:r>
      <w:r w:rsidR="009045B2" w:rsidRPr="00D2726E">
        <w:rPr>
          <w:lang w:val="fr-FR"/>
        </w:rPr>
        <w:t>’</w:t>
      </w:r>
      <w:r w:rsidRPr="00D2726E">
        <w:rPr>
          <w:lang w:val="fr-FR"/>
        </w:rPr>
        <w:t>Accord de principe qu</w:t>
      </w:r>
      <w:r w:rsidR="009045B2" w:rsidRPr="00D2726E">
        <w:rPr>
          <w:lang w:val="fr-FR"/>
        </w:rPr>
        <w:t>’</w:t>
      </w:r>
      <w:r w:rsidRPr="00D2726E">
        <w:rPr>
          <w:lang w:val="fr-FR"/>
        </w:rPr>
        <w:t>il était proposé de soumettre à l</w:t>
      </w:r>
      <w:r w:rsidR="009045B2" w:rsidRPr="00D2726E">
        <w:rPr>
          <w:lang w:val="fr-FR"/>
        </w:rPr>
        <w:t>’</w:t>
      </w:r>
      <w:r w:rsidR="0076191F" w:rsidRPr="00D2726E">
        <w:rPr>
          <w:lang w:val="fr-FR"/>
        </w:rPr>
        <w:t>a</w:t>
      </w:r>
      <w:r w:rsidRPr="00D2726E">
        <w:rPr>
          <w:lang w:val="fr-FR"/>
        </w:rPr>
        <w:t>ssemblée.</w:t>
      </w:r>
    </w:p>
    <w:p w:rsidR="00175BDE" w:rsidRPr="00D2726E" w:rsidRDefault="00175BDE" w:rsidP="00175BDE">
      <w:pPr>
        <w:pStyle w:val="ONUMFS"/>
        <w:ind w:left="567"/>
        <w:rPr>
          <w:lang w:val="fr-FR"/>
        </w:rPr>
      </w:pPr>
      <w:r w:rsidRPr="00D2726E">
        <w:rPr>
          <w:lang w:val="fr-FR"/>
        </w:rPr>
        <w:t xml:space="preserve">Le groupe de travail a pris note du contenu du document </w:t>
      </w:r>
      <w:r w:rsidR="00EA54BC" w:rsidRPr="00D2726E">
        <w:rPr>
          <w:lang w:val="fr-FR"/>
        </w:rPr>
        <w:t xml:space="preserve">PCT/WG/14/16 </w:t>
      </w:r>
      <w:r w:rsidRPr="00D2726E">
        <w:rPr>
          <w:lang w:val="fr-FR"/>
        </w:rPr>
        <w:t>et a invité le Bureau international à travailler avec les parties intéressées pour répondre aux les questions soulevées au cours de la session et à présenter au groupe de travail une proposition révisée à sa prochaine session.</w:t>
      </w:r>
    </w:p>
    <w:p w:rsidR="00175BDE" w:rsidRPr="00D2726E" w:rsidRDefault="000113AE" w:rsidP="00175BDE">
      <w:pPr>
        <w:pStyle w:val="Heading1"/>
        <w:rPr>
          <w:lang w:val="fr-FR"/>
        </w:rPr>
      </w:pPr>
      <w:r w:rsidRPr="00D2726E">
        <w:rPr>
          <w:lang w:val="fr-FR"/>
        </w:rPr>
        <w:t>Point 9</w:t>
      </w:r>
      <w:r w:rsidR="00175BDE" w:rsidRPr="00D2726E">
        <w:rPr>
          <w:lang w:val="fr-FR"/>
        </w:rPr>
        <w:t xml:space="preserve"> de l</w:t>
      </w:r>
      <w:r w:rsidR="009045B2" w:rsidRPr="00D2726E">
        <w:rPr>
          <w:lang w:val="fr-FR"/>
        </w:rPr>
        <w:t>’</w:t>
      </w:r>
      <w:r w:rsidR="00175BDE" w:rsidRPr="00D2726E">
        <w:rPr>
          <w:lang w:val="fr-FR"/>
        </w:rPr>
        <w:t>ordre du jour</w:t>
      </w:r>
      <w:r w:rsidR="009045B2" w:rsidRPr="00D2726E">
        <w:rPr>
          <w:lang w:val="fr-FR"/>
        </w:rPr>
        <w:t> :</w:t>
      </w:r>
      <w:r w:rsidR="00175BDE" w:rsidRPr="00D2726E">
        <w:rPr>
          <w:lang w:val="fr-FR"/>
        </w:rPr>
        <w:t xml:space="preserve"> traitement des demandes internationales en texte intégral</w:t>
      </w:r>
    </w:p>
    <w:p w:rsidR="00FB2AB0" w:rsidRPr="00D2726E" w:rsidRDefault="00175BDE" w:rsidP="00175BDE">
      <w:pPr>
        <w:pStyle w:val="ONUMFS"/>
        <w:rPr>
          <w:lang w:val="fr-FR"/>
        </w:rPr>
      </w:pPr>
      <w:r w:rsidRPr="00D2726E">
        <w:rPr>
          <w:lang w:val="fr-FR"/>
        </w:rPr>
        <w:t>Les délibérations ont eu lieu sur la base du document PCT/WG/14/8.</w:t>
      </w:r>
    </w:p>
    <w:p w:rsidR="00FB2AB0" w:rsidRPr="00D2726E" w:rsidRDefault="007C0E08" w:rsidP="00FB2AB0">
      <w:pPr>
        <w:pStyle w:val="ONUMFS"/>
        <w:rPr>
          <w:lang w:val="fr-FR"/>
        </w:rPr>
      </w:pPr>
      <w:r w:rsidRPr="00D2726E">
        <w:rPr>
          <w:lang w:val="fr-FR"/>
        </w:rPr>
        <w:t>Toutes les délégations qui ont pris la parole ont exprimé leur appui aux propositions énoncées au paragraphe 13 ainsi qu</w:t>
      </w:r>
      <w:r w:rsidR="009045B2" w:rsidRPr="00D2726E">
        <w:rPr>
          <w:lang w:val="fr-FR"/>
        </w:rPr>
        <w:t>’</w:t>
      </w:r>
      <w:r w:rsidRPr="00D2726E">
        <w:rPr>
          <w:lang w:val="fr-FR"/>
        </w:rPr>
        <w:t>aux principes énumérés au paragraphe 28 du docume</w:t>
      </w:r>
      <w:r w:rsidR="00D2726E" w:rsidRPr="00D2726E">
        <w:rPr>
          <w:lang w:val="fr-FR"/>
        </w:rPr>
        <w:t>nt.  Pl</w:t>
      </w:r>
      <w:r w:rsidRPr="00D2726E">
        <w:rPr>
          <w:lang w:val="fr-FR"/>
        </w:rPr>
        <w:t>usieurs délégations ont souligné l</w:t>
      </w:r>
      <w:r w:rsidR="009045B2" w:rsidRPr="00D2726E">
        <w:rPr>
          <w:lang w:val="fr-FR"/>
        </w:rPr>
        <w:t>’</w:t>
      </w:r>
      <w:r w:rsidRPr="00D2726E">
        <w:rPr>
          <w:lang w:val="fr-FR"/>
        </w:rPr>
        <w:t>importance d</w:t>
      </w:r>
      <w:r w:rsidR="009045B2" w:rsidRPr="00D2726E">
        <w:rPr>
          <w:lang w:val="fr-FR"/>
        </w:rPr>
        <w:t>’</w:t>
      </w:r>
      <w:r w:rsidRPr="00D2726E">
        <w:rPr>
          <w:lang w:val="fr-FR"/>
        </w:rPr>
        <w:t>une conversion uniforme entre les offic</w:t>
      </w:r>
      <w:r w:rsidR="00D2726E" w:rsidRPr="00D2726E">
        <w:rPr>
          <w:lang w:val="fr-FR"/>
        </w:rPr>
        <w:t>es.  Pl</w:t>
      </w:r>
      <w:r w:rsidR="00833250" w:rsidRPr="00D2726E">
        <w:rPr>
          <w:lang w:val="fr-FR"/>
        </w:rPr>
        <w:t>usieurs délégations ont indiqué que leurs offices autorisaient et encourageaient déjà le traitement des demandes en texte intégr</w:t>
      </w:r>
      <w:r w:rsidR="00D2726E" w:rsidRPr="00D2726E">
        <w:rPr>
          <w:lang w:val="fr-FR"/>
        </w:rPr>
        <w:t>al.  La</w:t>
      </w:r>
      <w:r w:rsidR="00833250" w:rsidRPr="00D2726E">
        <w:rPr>
          <w:lang w:val="fr-FR"/>
        </w:rPr>
        <w:t xml:space="preserve"> question de savoir si l</w:t>
      </w:r>
      <w:r w:rsidR="009045B2" w:rsidRPr="00D2726E">
        <w:rPr>
          <w:lang w:val="fr-FR"/>
        </w:rPr>
        <w:t>’</w:t>
      </w:r>
      <w:r w:rsidR="00833250" w:rsidRPr="00D2726E">
        <w:rPr>
          <w:lang w:val="fr-FR"/>
        </w:rPr>
        <w:t>utilisation d</w:t>
      </w:r>
      <w:r w:rsidR="009045B2" w:rsidRPr="00D2726E">
        <w:rPr>
          <w:lang w:val="fr-FR"/>
        </w:rPr>
        <w:t>’</w:t>
      </w:r>
      <w:r w:rsidR="00833250" w:rsidRPr="00D2726E">
        <w:rPr>
          <w:lang w:val="fr-FR"/>
        </w:rPr>
        <w:t>un outil unique fourni par le Bureau international serait obligatoire était importante.</w:t>
      </w:r>
    </w:p>
    <w:p w:rsidR="00FB2AB0" w:rsidRPr="00D2726E" w:rsidRDefault="001F435C" w:rsidP="00FB2AB0">
      <w:pPr>
        <w:pStyle w:val="ONUMFS"/>
        <w:rPr>
          <w:lang w:val="fr-FR"/>
        </w:rPr>
      </w:pPr>
      <w:r w:rsidRPr="00D2726E">
        <w:rPr>
          <w:lang w:val="fr-FR"/>
        </w:rPr>
        <w:t>Certaines délégations ont fait observer que les propositions avaient des conséquences étendu</w:t>
      </w:r>
      <w:r w:rsidR="00D2726E" w:rsidRPr="00D2726E">
        <w:rPr>
          <w:lang w:val="fr-FR"/>
        </w:rPr>
        <w:t>es.  Il</w:t>
      </w:r>
      <w:r w:rsidRPr="00D2726E">
        <w:rPr>
          <w:lang w:val="fr-FR"/>
        </w:rPr>
        <w:t xml:space="preserve"> conviendrait de se pencher sur des questions telles que la responsabilité en matière d</w:t>
      </w:r>
      <w:r w:rsidR="009045B2" w:rsidRPr="00D2726E">
        <w:rPr>
          <w:lang w:val="fr-FR"/>
        </w:rPr>
        <w:t>’</w:t>
      </w:r>
      <w:r w:rsidRPr="00D2726E">
        <w:rPr>
          <w:lang w:val="fr-FR"/>
        </w:rPr>
        <w:t xml:space="preserve">exécution des conversions, les exigences découlant la règle 11, les taxes actuelles fondées sur le nombre de feuilles, la notion de </w:t>
      </w:r>
      <w:r w:rsidR="006E17B4" w:rsidRPr="00D2726E">
        <w:rPr>
          <w:lang w:val="fr-FR"/>
        </w:rPr>
        <w:t>“</w:t>
      </w:r>
      <w:r w:rsidRPr="00D2726E">
        <w:rPr>
          <w:lang w:val="fr-FR"/>
        </w:rPr>
        <w:t>copie certifiée conforme</w:t>
      </w:r>
      <w:r w:rsidR="006E17B4" w:rsidRPr="00D2726E">
        <w:rPr>
          <w:lang w:val="fr-FR"/>
        </w:rPr>
        <w:t>”</w:t>
      </w:r>
      <w:r w:rsidRPr="00D2726E">
        <w:rPr>
          <w:lang w:val="fr-FR"/>
        </w:rPr>
        <w:t>, le statut juridique du fichier DOCX original et la possibilité d</w:t>
      </w:r>
      <w:r w:rsidR="009045B2" w:rsidRPr="00D2726E">
        <w:rPr>
          <w:lang w:val="fr-FR"/>
        </w:rPr>
        <w:t>’</w:t>
      </w:r>
      <w:r w:rsidRPr="00D2726E">
        <w:rPr>
          <w:lang w:val="fr-FR"/>
        </w:rPr>
        <w:t>utiliser un format XML conforme à la norme ST.96 de l</w:t>
      </w:r>
      <w:r w:rsidR="009045B2" w:rsidRPr="00D2726E">
        <w:rPr>
          <w:lang w:val="fr-FR"/>
        </w:rPr>
        <w:t>’</w:t>
      </w:r>
      <w:r w:rsidRPr="00D2726E">
        <w:rPr>
          <w:lang w:val="fr-FR"/>
        </w:rPr>
        <w:t>O</w:t>
      </w:r>
      <w:r w:rsidR="00D2726E" w:rsidRPr="00D2726E">
        <w:rPr>
          <w:lang w:val="fr-FR"/>
        </w:rPr>
        <w:t>MPI.  Un</w:t>
      </w:r>
      <w:r w:rsidRPr="00D2726E">
        <w:rPr>
          <w:lang w:val="fr-FR"/>
        </w:rPr>
        <w:t xml:space="preserve"> office a suggéré que les outils de conversion et de comparaison mis à disposition pourraient être hébergés localement en plus des services Web proposés dans la mesure où cela éviterait la transmission de documents confidentiels à un tie</w:t>
      </w:r>
      <w:r w:rsidR="00D2726E" w:rsidRPr="00D2726E">
        <w:rPr>
          <w:lang w:val="fr-FR"/>
        </w:rPr>
        <w:t>rs.  De</w:t>
      </w:r>
      <w:r w:rsidRPr="00D2726E">
        <w:rPr>
          <w:lang w:val="fr-FR"/>
        </w:rPr>
        <w:t>s offices ont également exprimé des préoccupations concernant les ressources nécessaires pour mettre en œuvre la proposition et les exigences relatives au rendu uniforme</w:t>
      </w:r>
      <w:r w:rsidR="006E17B4" w:rsidRPr="00D2726E">
        <w:rPr>
          <w:lang w:val="fr-FR"/>
        </w:rPr>
        <w:t xml:space="preserve"> du XML</w:t>
      </w:r>
      <w:r w:rsidRPr="00D2726E">
        <w:rPr>
          <w:lang w:val="fr-FR"/>
        </w:rPr>
        <w:t xml:space="preserve"> en images de page.</w:t>
      </w:r>
    </w:p>
    <w:p w:rsidR="006E17B4" w:rsidRPr="00D2726E" w:rsidRDefault="001F435C" w:rsidP="00FB2AB0">
      <w:pPr>
        <w:pStyle w:val="ONUMFS"/>
        <w:rPr>
          <w:lang w:val="fr-FR"/>
        </w:rPr>
      </w:pPr>
      <w:r w:rsidRPr="00D2726E">
        <w:rPr>
          <w:lang w:val="fr-FR"/>
        </w:rPr>
        <w:t>Une organisation ayant le statut d</w:t>
      </w:r>
      <w:r w:rsidR="009045B2" w:rsidRPr="00D2726E">
        <w:rPr>
          <w:lang w:val="fr-FR"/>
        </w:rPr>
        <w:t>’</w:t>
      </w:r>
      <w:r w:rsidRPr="00D2726E">
        <w:rPr>
          <w:lang w:val="fr-FR"/>
        </w:rPr>
        <w:t>observateur a accueilli favorablement les propositions tout en soulignant qu</w:t>
      </w:r>
      <w:r w:rsidR="009045B2" w:rsidRPr="00D2726E">
        <w:rPr>
          <w:lang w:val="fr-FR"/>
        </w:rPr>
        <w:t>’</w:t>
      </w:r>
      <w:r w:rsidRPr="00D2726E">
        <w:rPr>
          <w:lang w:val="fr-FR"/>
        </w:rPr>
        <w:t>elles exigeraient des déposants et des offices qu</w:t>
      </w:r>
      <w:r w:rsidR="009045B2" w:rsidRPr="00D2726E">
        <w:rPr>
          <w:lang w:val="fr-FR"/>
        </w:rPr>
        <w:t>’</w:t>
      </w:r>
      <w:r w:rsidRPr="00D2726E">
        <w:rPr>
          <w:lang w:val="fr-FR"/>
        </w:rPr>
        <w:t>ils adaptent leurs processus, ce qui pourrait constituer un défi important au sein de sa régi</w:t>
      </w:r>
      <w:r w:rsidR="00D2726E" w:rsidRPr="00D2726E">
        <w:rPr>
          <w:lang w:val="fr-FR"/>
        </w:rPr>
        <w:t>on.  Né</w:t>
      </w:r>
      <w:r w:rsidRPr="00D2726E">
        <w:rPr>
          <w:lang w:val="fr-FR"/>
        </w:rPr>
        <w:t>anmoins, une publication internationale en texte intégral garantirait une meilleure précision dans les documents officiels</w:t>
      </w:r>
      <w:r w:rsidR="00FB2AB0" w:rsidRPr="00D2726E">
        <w:rPr>
          <w:lang w:val="fr-FR"/>
        </w:rPr>
        <w:t>.</w:t>
      </w:r>
    </w:p>
    <w:p w:rsidR="00FB2AB0" w:rsidRPr="00D2726E" w:rsidRDefault="001F435C" w:rsidP="00FB2AB0">
      <w:pPr>
        <w:pStyle w:val="ONUMFS"/>
        <w:ind w:left="567"/>
        <w:rPr>
          <w:lang w:val="fr-FR"/>
        </w:rPr>
      </w:pPr>
      <w:r w:rsidRPr="00D2726E">
        <w:rPr>
          <w:lang w:val="fr-FR"/>
        </w:rPr>
        <w:t>Le groupe de travail a pris note en l</w:t>
      </w:r>
      <w:r w:rsidR="009045B2" w:rsidRPr="00D2726E">
        <w:rPr>
          <w:lang w:val="fr-FR"/>
        </w:rPr>
        <w:t>’</w:t>
      </w:r>
      <w:r w:rsidRPr="00D2726E">
        <w:rPr>
          <w:lang w:val="fr-FR"/>
        </w:rPr>
        <w:t>approuvant de la direction générale proposée dans le document PCT/WG/14/8 et a invité le Bureau international à continuer de travailler avec les offices et les groupes d</w:t>
      </w:r>
      <w:r w:rsidR="009045B2" w:rsidRPr="00D2726E">
        <w:rPr>
          <w:lang w:val="fr-FR"/>
        </w:rPr>
        <w:t>’</w:t>
      </w:r>
      <w:r w:rsidRPr="00D2726E">
        <w:rPr>
          <w:lang w:val="fr-FR"/>
        </w:rPr>
        <w:t>utilisateurs en vue d</w:t>
      </w:r>
      <w:r w:rsidR="009045B2" w:rsidRPr="00D2726E">
        <w:rPr>
          <w:lang w:val="fr-FR"/>
        </w:rPr>
        <w:t>’</w:t>
      </w:r>
      <w:r w:rsidRPr="00D2726E">
        <w:rPr>
          <w:lang w:val="fr-FR"/>
        </w:rPr>
        <w:t>atteindre les objectifs exposés dans le document.</w:t>
      </w:r>
    </w:p>
    <w:p w:rsidR="00175BDE" w:rsidRPr="00D2726E" w:rsidRDefault="000113AE" w:rsidP="00175BDE">
      <w:pPr>
        <w:pStyle w:val="Heading1"/>
        <w:rPr>
          <w:lang w:val="fr-FR"/>
        </w:rPr>
      </w:pPr>
      <w:r w:rsidRPr="00D2726E">
        <w:rPr>
          <w:lang w:val="fr-FR"/>
        </w:rPr>
        <w:t>Point 1</w:t>
      </w:r>
      <w:r w:rsidR="00175BDE" w:rsidRPr="00D2726E">
        <w:rPr>
          <w:lang w:val="fr-FR"/>
        </w:rPr>
        <w:t>0 de l</w:t>
      </w:r>
      <w:r w:rsidR="009045B2" w:rsidRPr="00D2726E">
        <w:rPr>
          <w:lang w:val="fr-FR"/>
        </w:rPr>
        <w:t>’</w:t>
      </w:r>
      <w:r w:rsidR="00175BDE" w:rsidRPr="00D2726E">
        <w:rPr>
          <w:lang w:val="fr-FR"/>
        </w:rPr>
        <w:t>ordre du jour</w:t>
      </w:r>
      <w:r w:rsidR="009045B2" w:rsidRPr="00D2726E">
        <w:rPr>
          <w:lang w:val="fr-FR"/>
        </w:rPr>
        <w:t> :</w:t>
      </w:r>
      <w:r w:rsidR="00175BDE" w:rsidRPr="00D2726E">
        <w:rPr>
          <w:lang w:val="fr-FR"/>
        </w:rPr>
        <w:t xml:space="preserve"> services en ligne</w:t>
      </w:r>
      <w:r w:rsidRPr="00D2726E">
        <w:rPr>
          <w:lang w:val="fr-FR"/>
        </w:rPr>
        <w:t xml:space="preserve"> du PCT</w:t>
      </w:r>
    </w:p>
    <w:p w:rsidR="00175BDE" w:rsidRPr="00D2726E" w:rsidRDefault="00175BDE" w:rsidP="00175BDE">
      <w:pPr>
        <w:pStyle w:val="ONUMFS"/>
        <w:rPr>
          <w:lang w:val="fr-FR"/>
        </w:rPr>
      </w:pPr>
      <w:r w:rsidRPr="00D2726E">
        <w:rPr>
          <w:lang w:val="fr-FR"/>
        </w:rPr>
        <w:t>Les délibérations ont eu lieu sur la base du document PCT/WG/14/14.</w:t>
      </w:r>
    </w:p>
    <w:p w:rsidR="00FB2AB0" w:rsidRPr="00D2726E" w:rsidRDefault="001F435C" w:rsidP="00FB2AB0">
      <w:pPr>
        <w:pStyle w:val="ONUMFS"/>
        <w:rPr>
          <w:lang w:val="fr-FR"/>
        </w:rPr>
      </w:pPr>
      <w:r w:rsidRPr="00D2726E">
        <w:rPr>
          <w:lang w:val="fr-FR"/>
        </w:rPr>
        <w:t>Des délégations ont indiqué que leurs offices utilisaient largement les services en ligne</w:t>
      </w:r>
      <w:r w:rsidR="006E17B4" w:rsidRPr="00D2726E">
        <w:rPr>
          <w:lang w:val="fr-FR"/>
        </w:rPr>
        <w:t xml:space="preserve"> du PCT</w:t>
      </w:r>
      <w:r w:rsidRPr="00D2726E">
        <w:rPr>
          <w:lang w:val="fr-FR"/>
        </w:rPr>
        <w:t xml:space="preserve"> et qu</w:t>
      </w:r>
      <w:r w:rsidR="009045B2" w:rsidRPr="00D2726E">
        <w:rPr>
          <w:lang w:val="fr-FR"/>
        </w:rPr>
        <w:t>’</w:t>
      </w:r>
      <w:r w:rsidRPr="00D2726E">
        <w:rPr>
          <w:lang w:val="fr-FR"/>
        </w:rPr>
        <w:t>elles souscrivaient globalement aux orientations proposées en termes de développement de ces servic</w:t>
      </w:r>
      <w:r w:rsidR="00D2726E" w:rsidRPr="00D2726E">
        <w:rPr>
          <w:lang w:val="fr-FR"/>
        </w:rPr>
        <w:t>es.  Ce</w:t>
      </w:r>
      <w:r w:rsidRPr="00D2726E">
        <w:rPr>
          <w:lang w:val="fr-FR"/>
        </w:rPr>
        <w:t>rtaines délégations ont fait part d</w:t>
      </w:r>
      <w:r w:rsidR="009045B2" w:rsidRPr="00D2726E">
        <w:rPr>
          <w:lang w:val="fr-FR"/>
        </w:rPr>
        <w:t>’</w:t>
      </w:r>
      <w:r w:rsidRPr="00D2726E">
        <w:rPr>
          <w:lang w:val="fr-FR"/>
        </w:rPr>
        <w:t>un intérêt particulier pour qu</w:t>
      </w:r>
      <w:r w:rsidR="009045B2" w:rsidRPr="00D2726E">
        <w:rPr>
          <w:lang w:val="fr-FR"/>
        </w:rPr>
        <w:t>’</w:t>
      </w:r>
      <w:r w:rsidRPr="00D2726E">
        <w:rPr>
          <w:lang w:val="fr-FR"/>
        </w:rPr>
        <w:t>une attention accrue soit consacrée aux services de poste à pos</w:t>
      </w:r>
      <w:r w:rsidR="00D2726E" w:rsidRPr="00D2726E">
        <w:rPr>
          <w:lang w:val="fr-FR"/>
        </w:rPr>
        <w:t>te.  L’u</w:t>
      </w:r>
      <w:r w:rsidRPr="00D2726E">
        <w:rPr>
          <w:lang w:val="fr-FR"/>
        </w:rPr>
        <w:t>tilisation des services électroniques avait considérablement augmenté depuis la pandémie de COVID</w:t>
      </w:r>
      <w:r w:rsidR="009045B2" w:rsidRPr="00D2726E">
        <w:rPr>
          <w:lang w:val="fr-FR"/>
        </w:rPr>
        <w:t>-</w:t>
      </w:r>
      <w:r w:rsidRPr="00D2726E">
        <w:rPr>
          <w:lang w:val="fr-FR"/>
        </w:rPr>
        <w:t>19.  Plusieurs délégations ont indiqué que des préparatifs étaient en cours au sein de leurs offices pour l</w:t>
      </w:r>
      <w:r w:rsidR="009045B2" w:rsidRPr="00D2726E">
        <w:rPr>
          <w:lang w:val="fr-FR"/>
        </w:rPr>
        <w:t>’</w:t>
      </w:r>
      <w:r w:rsidRPr="00D2726E">
        <w:rPr>
          <w:lang w:val="fr-FR"/>
        </w:rPr>
        <w:t>abandon du système PCT</w:t>
      </w:r>
      <w:r w:rsidR="009045B2" w:rsidRPr="00D2726E">
        <w:rPr>
          <w:lang w:val="fr-FR"/>
        </w:rPr>
        <w:t>-</w:t>
      </w:r>
      <w:r w:rsidRPr="00D2726E">
        <w:rPr>
          <w:lang w:val="fr-FR"/>
        </w:rPr>
        <w:t>SAFE bien que, dans certains cas, des questions juridiques, techniques et en termes d</w:t>
      </w:r>
      <w:r w:rsidR="009045B2" w:rsidRPr="00D2726E">
        <w:rPr>
          <w:lang w:val="fr-FR"/>
        </w:rPr>
        <w:t>’</w:t>
      </w:r>
      <w:r w:rsidRPr="00D2726E">
        <w:rPr>
          <w:lang w:val="fr-FR"/>
        </w:rPr>
        <w:t>assistance restent à finaliser.</w:t>
      </w:r>
    </w:p>
    <w:p w:rsidR="006E17B4" w:rsidRPr="00D2726E" w:rsidRDefault="00A36D82" w:rsidP="00FB2AB0">
      <w:pPr>
        <w:pStyle w:val="ONUMFS"/>
        <w:rPr>
          <w:lang w:val="fr-FR"/>
        </w:rPr>
      </w:pPr>
      <w:r w:rsidRPr="00D2726E">
        <w:rPr>
          <w:lang w:val="fr-FR"/>
        </w:rPr>
        <w:lastRenderedPageBreak/>
        <w:t>En réponse à une question, le Secrétariat a confirmé que le Bureau international fournirait une assistance aux offices et aux déposants pendant la transition jusqu</w:t>
      </w:r>
      <w:r w:rsidR="009045B2" w:rsidRPr="00D2726E">
        <w:rPr>
          <w:lang w:val="fr-FR"/>
        </w:rPr>
        <w:t>’</w:t>
      </w:r>
      <w:r w:rsidRPr="00D2726E">
        <w:rPr>
          <w:lang w:val="fr-FR"/>
        </w:rPr>
        <w:t>à l</w:t>
      </w:r>
      <w:r w:rsidR="009045B2" w:rsidRPr="00D2726E">
        <w:rPr>
          <w:lang w:val="fr-FR"/>
        </w:rPr>
        <w:t>’</w:t>
      </w:r>
      <w:r w:rsidRPr="00D2726E">
        <w:rPr>
          <w:lang w:val="fr-FR"/>
        </w:rPr>
        <w:t>abandon du système PCT</w:t>
      </w:r>
      <w:r w:rsidR="009045B2" w:rsidRPr="00D2726E">
        <w:rPr>
          <w:lang w:val="fr-FR"/>
        </w:rPr>
        <w:t>-</w:t>
      </w:r>
      <w:r w:rsidRPr="00D2726E">
        <w:rPr>
          <w:lang w:val="fr-FR"/>
        </w:rPr>
        <w:t>S</w:t>
      </w:r>
      <w:r w:rsidR="00D2726E" w:rsidRPr="00D2726E">
        <w:rPr>
          <w:lang w:val="fr-FR"/>
        </w:rPr>
        <w:t>AFE.  En</w:t>
      </w:r>
      <w:r w:rsidRPr="00D2726E">
        <w:rPr>
          <w:lang w:val="fr-FR"/>
        </w:rPr>
        <w:t xml:space="preserve"> outre, le démantèlement de ce service signifiait que le module d</w:t>
      </w:r>
      <w:r w:rsidR="009045B2" w:rsidRPr="00D2726E">
        <w:rPr>
          <w:lang w:val="fr-FR"/>
        </w:rPr>
        <w:t>’</w:t>
      </w:r>
      <w:r w:rsidRPr="00D2726E">
        <w:rPr>
          <w:lang w:val="fr-FR"/>
        </w:rPr>
        <w:t xml:space="preserve">extension PCT pour le logiciel </w:t>
      </w:r>
      <w:proofErr w:type="spellStart"/>
      <w:r w:rsidRPr="00D2726E">
        <w:rPr>
          <w:lang w:val="fr-FR"/>
        </w:rPr>
        <w:t>eOLF</w:t>
      </w:r>
      <w:proofErr w:type="spellEnd"/>
      <w:r w:rsidRPr="00D2726E">
        <w:rPr>
          <w:lang w:val="fr-FR"/>
        </w:rPr>
        <w:t xml:space="preserve"> utilisé à l</w:t>
      </w:r>
      <w:r w:rsidR="009045B2" w:rsidRPr="00D2726E">
        <w:rPr>
          <w:lang w:val="fr-FR"/>
        </w:rPr>
        <w:t>’</w:t>
      </w:r>
      <w:r w:rsidRPr="00D2726E">
        <w:rPr>
          <w:lang w:val="fr-FR"/>
        </w:rPr>
        <w:t>Office européen des brevets et dans les offices de certaines parties à la Convention sur le brevet européen serait aussi désacti</w:t>
      </w:r>
      <w:r w:rsidR="00D2726E" w:rsidRPr="00D2726E">
        <w:rPr>
          <w:lang w:val="fr-FR"/>
        </w:rPr>
        <w:t>vé.  To</w:t>
      </w:r>
      <w:r w:rsidRPr="00D2726E">
        <w:rPr>
          <w:lang w:val="fr-FR"/>
        </w:rPr>
        <w:t>utefois, cela ne devait pas nécessairement se produire à la même date et le Bureau international travaillait avec l</w:t>
      </w:r>
      <w:r w:rsidR="009045B2" w:rsidRPr="00D2726E">
        <w:rPr>
          <w:lang w:val="fr-FR"/>
        </w:rPr>
        <w:t>’</w:t>
      </w:r>
      <w:r w:rsidRPr="00D2726E">
        <w:rPr>
          <w:lang w:val="fr-FR"/>
        </w:rPr>
        <w:t>Office européen des brevets pour assurer le maintien effectif du service pendant que les offices procédaient à la conception et à la mise en œuvre des systèmes de remplacement nécessaires.</w:t>
      </w:r>
    </w:p>
    <w:p w:rsidR="00FB2AB0" w:rsidRPr="00D2726E" w:rsidRDefault="00FC2D6D" w:rsidP="00FB2AB0">
      <w:pPr>
        <w:pStyle w:val="ONUMFS"/>
        <w:ind w:left="567"/>
        <w:rPr>
          <w:lang w:val="fr-FR"/>
        </w:rPr>
      </w:pPr>
      <w:r w:rsidRPr="00D2726E">
        <w:rPr>
          <w:lang w:val="fr-FR"/>
        </w:rPr>
        <w:t xml:space="preserve">Le groupe de travail a pris note du contenu du </w:t>
      </w:r>
      <w:r w:rsidR="00FB2AB0" w:rsidRPr="00D2726E">
        <w:rPr>
          <w:lang w:val="fr-FR"/>
        </w:rPr>
        <w:t>document PCT/WG/14/14.</w:t>
      </w:r>
    </w:p>
    <w:p w:rsidR="00175BDE" w:rsidRPr="00D2726E" w:rsidRDefault="000113AE" w:rsidP="00175BDE">
      <w:pPr>
        <w:pStyle w:val="Heading1"/>
        <w:rPr>
          <w:lang w:val="fr-FR"/>
        </w:rPr>
      </w:pPr>
      <w:r w:rsidRPr="00D2726E">
        <w:rPr>
          <w:lang w:val="fr-FR"/>
        </w:rPr>
        <w:t>Point 1</w:t>
      </w:r>
      <w:r w:rsidR="00175BDE" w:rsidRPr="00D2726E">
        <w:rPr>
          <w:lang w:val="fr-FR"/>
        </w:rPr>
        <w:t>1 de l</w:t>
      </w:r>
      <w:r w:rsidR="009045B2" w:rsidRPr="00D2726E">
        <w:rPr>
          <w:lang w:val="fr-FR"/>
        </w:rPr>
        <w:t>’</w:t>
      </w:r>
      <w:r w:rsidR="00175BDE" w:rsidRPr="00D2726E">
        <w:rPr>
          <w:lang w:val="fr-FR"/>
        </w:rPr>
        <w:t>ordre du jour</w:t>
      </w:r>
      <w:r w:rsidR="009045B2" w:rsidRPr="00D2726E">
        <w:rPr>
          <w:lang w:val="fr-FR"/>
        </w:rPr>
        <w:t> :</w:t>
      </w:r>
      <w:r w:rsidR="00175BDE" w:rsidRPr="00D2726E">
        <w:rPr>
          <w:lang w:val="fr-FR"/>
        </w:rPr>
        <w:t xml:space="preserve"> projet pilote de retour d</w:t>
      </w:r>
      <w:r w:rsidR="009045B2" w:rsidRPr="00D2726E">
        <w:rPr>
          <w:lang w:val="fr-FR"/>
        </w:rPr>
        <w:t>’</w:t>
      </w:r>
      <w:r w:rsidR="00175BDE" w:rsidRPr="00D2726E">
        <w:rPr>
          <w:lang w:val="fr-FR"/>
        </w:rPr>
        <w:t>information sur les rapports de recherche internationale</w:t>
      </w:r>
    </w:p>
    <w:p w:rsidR="00175BDE" w:rsidRPr="00D2726E" w:rsidRDefault="00175BDE" w:rsidP="00175BDE">
      <w:pPr>
        <w:pStyle w:val="ONUMFS"/>
        <w:rPr>
          <w:lang w:val="fr-FR"/>
        </w:rPr>
      </w:pPr>
      <w:r w:rsidRPr="00D2726E">
        <w:rPr>
          <w:lang w:val="fr-FR"/>
        </w:rPr>
        <w:t>Les délibérations ont eu lieu sur la base du document PCT/WG/14/12.</w:t>
      </w:r>
    </w:p>
    <w:p w:rsidR="00FB2AB0" w:rsidRPr="00D2726E" w:rsidRDefault="00B93C5A" w:rsidP="00FB2AB0">
      <w:pPr>
        <w:pStyle w:val="ONUMFS"/>
        <w:rPr>
          <w:lang w:val="fr-FR"/>
        </w:rPr>
      </w:pPr>
      <w:r w:rsidRPr="00D2726E">
        <w:rPr>
          <w:lang w:val="fr-FR"/>
        </w:rPr>
        <w:t>Toutes les délégations qui ont pris la parole ont exprimé leur appui au projet pilote de retour d</w:t>
      </w:r>
      <w:r w:rsidR="009045B2" w:rsidRPr="00D2726E">
        <w:rPr>
          <w:lang w:val="fr-FR"/>
        </w:rPr>
        <w:t>’</w:t>
      </w:r>
      <w:r w:rsidRPr="00D2726E">
        <w:rPr>
          <w:lang w:val="fr-FR"/>
        </w:rPr>
        <w:t>information et leur intérêt pour son développement fut</w:t>
      </w:r>
      <w:r w:rsidR="00D2726E" w:rsidRPr="00D2726E">
        <w:rPr>
          <w:lang w:val="fr-FR"/>
        </w:rPr>
        <w:t>ur.  Ce</w:t>
      </w:r>
      <w:r w:rsidRPr="00D2726E">
        <w:rPr>
          <w:lang w:val="fr-FR"/>
        </w:rPr>
        <w:t xml:space="preserve"> concept montrait des avantages potentiels en termes de qualité et d</w:t>
      </w:r>
      <w:r w:rsidR="009045B2" w:rsidRPr="00D2726E">
        <w:rPr>
          <w:lang w:val="fr-FR"/>
        </w:rPr>
        <w:t>’</w:t>
      </w:r>
      <w:r w:rsidRPr="00D2726E">
        <w:rPr>
          <w:lang w:val="fr-FR"/>
        </w:rPr>
        <w:t>uniformité de la recherc</w:t>
      </w:r>
      <w:r w:rsidR="00D2726E" w:rsidRPr="00D2726E">
        <w:rPr>
          <w:lang w:val="fr-FR"/>
        </w:rPr>
        <w:t>he.  Un</w:t>
      </w:r>
      <w:r w:rsidRPr="00D2726E">
        <w:rPr>
          <w:lang w:val="fr-FR"/>
        </w:rPr>
        <w:t>e délégation a souligné en particulier que le projet pilote avait ceci d</w:t>
      </w:r>
      <w:r w:rsidR="009045B2" w:rsidRPr="00D2726E">
        <w:rPr>
          <w:lang w:val="fr-FR"/>
        </w:rPr>
        <w:t>’</w:t>
      </w:r>
      <w:r w:rsidRPr="00D2726E">
        <w:rPr>
          <w:lang w:val="fr-FR"/>
        </w:rPr>
        <w:t>avantageux qu</w:t>
      </w:r>
      <w:r w:rsidR="009045B2" w:rsidRPr="00D2726E">
        <w:rPr>
          <w:lang w:val="fr-FR"/>
        </w:rPr>
        <w:t>’</w:t>
      </w:r>
      <w:r w:rsidRPr="00D2726E">
        <w:rPr>
          <w:lang w:val="fr-FR"/>
        </w:rPr>
        <w:t>il n</w:t>
      </w:r>
      <w:r w:rsidR="009045B2" w:rsidRPr="00D2726E">
        <w:rPr>
          <w:lang w:val="fr-FR"/>
        </w:rPr>
        <w:t>’</w:t>
      </w:r>
      <w:r w:rsidRPr="00D2726E">
        <w:rPr>
          <w:lang w:val="fr-FR"/>
        </w:rPr>
        <w:t>impliquait pas de charge supplémentaire pour les déposants et qu</w:t>
      </w:r>
      <w:r w:rsidR="009045B2" w:rsidRPr="00D2726E">
        <w:rPr>
          <w:lang w:val="fr-FR"/>
        </w:rPr>
        <w:t>’</w:t>
      </w:r>
      <w:r w:rsidRPr="00D2726E">
        <w:rPr>
          <w:lang w:val="fr-FR"/>
        </w:rPr>
        <w:t>il respectait pleinement le principe de souveraine</w:t>
      </w:r>
      <w:r w:rsidR="00D2726E" w:rsidRPr="00D2726E">
        <w:rPr>
          <w:lang w:val="fr-FR"/>
        </w:rPr>
        <w:t>té.  Un</w:t>
      </w:r>
      <w:r w:rsidRPr="00D2726E">
        <w:rPr>
          <w:lang w:val="fr-FR"/>
        </w:rPr>
        <w:t>e délégation a indiqué que son office était disposé à participer au projet pilote en sa qualité d</w:t>
      </w:r>
      <w:r w:rsidR="009045B2" w:rsidRPr="00D2726E">
        <w:rPr>
          <w:lang w:val="fr-FR"/>
        </w:rPr>
        <w:t>’</w:t>
      </w:r>
      <w:r w:rsidRPr="00D2726E">
        <w:rPr>
          <w:lang w:val="fr-FR"/>
        </w:rPr>
        <w:t>administration chargée de la recherche internationa</w:t>
      </w:r>
      <w:r w:rsidR="00D2726E" w:rsidRPr="00D2726E">
        <w:rPr>
          <w:lang w:val="fr-FR"/>
        </w:rPr>
        <w:t>le.  Un</w:t>
      </w:r>
      <w:r w:rsidRPr="00D2726E">
        <w:rPr>
          <w:lang w:val="fr-FR"/>
        </w:rPr>
        <w:t>e autre délégation a fait observer que toute proposition de mise en œuvre à plus grande échelle devrait être examinée du point de vue des coûts et des avantages.</w:t>
      </w:r>
    </w:p>
    <w:p w:rsidR="00FB2AB0" w:rsidRPr="00D2726E" w:rsidRDefault="00B93C5A" w:rsidP="00FB2AB0">
      <w:pPr>
        <w:pStyle w:val="ONUMFS"/>
        <w:rPr>
          <w:lang w:val="fr-FR"/>
        </w:rPr>
      </w:pPr>
      <w:r w:rsidRPr="00D2726E">
        <w:rPr>
          <w:lang w:val="fr-FR"/>
        </w:rPr>
        <w:t>La délégation du Royaume</w:t>
      </w:r>
      <w:r w:rsidR="009045B2" w:rsidRPr="00D2726E">
        <w:rPr>
          <w:lang w:val="fr-FR"/>
        </w:rPr>
        <w:t>-</w:t>
      </w:r>
      <w:r w:rsidRPr="00D2726E">
        <w:rPr>
          <w:lang w:val="fr-FR"/>
        </w:rPr>
        <w:t>Uni a indiqué que le projet pilote avait été maintenu à petite échelle pour éviter des coûts élevés mais qu</w:t>
      </w:r>
      <w:r w:rsidR="009045B2" w:rsidRPr="00D2726E">
        <w:rPr>
          <w:lang w:val="fr-FR"/>
        </w:rPr>
        <w:t>’</w:t>
      </w:r>
      <w:r w:rsidRPr="00D2726E">
        <w:rPr>
          <w:lang w:val="fr-FR"/>
        </w:rPr>
        <w:t>une mise en œuvre à plus grande échelle demanderait un examen attent</w:t>
      </w:r>
      <w:r w:rsidR="00D2726E" w:rsidRPr="00D2726E">
        <w:rPr>
          <w:lang w:val="fr-FR"/>
        </w:rPr>
        <w:t>if.  D’a</w:t>
      </w:r>
      <w:r w:rsidRPr="00D2726E">
        <w:rPr>
          <w:lang w:val="fr-FR"/>
        </w:rPr>
        <w:t>utres administrations chargées de la recherche internationale étaient invitées à participer aux prochaines phases du projet pilote.</w:t>
      </w:r>
    </w:p>
    <w:p w:rsidR="00FB2AB0" w:rsidRPr="00D2726E" w:rsidRDefault="00FC2D6D" w:rsidP="004A1DFC">
      <w:pPr>
        <w:pStyle w:val="ONUMFS"/>
        <w:ind w:left="567"/>
        <w:rPr>
          <w:lang w:val="fr-FR"/>
        </w:rPr>
      </w:pPr>
      <w:r w:rsidRPr="00D2726E">
        <w:rPr>
          <w:lang w:val="fr-FR"/>
        </w:rPr>
        <w:t xml:space="preserve">Le groupe de travail a pris note du contenu du </w:t>
      </w:r>
      <w:r w:rsidR="00FB2AB0" w:rsidRPr="00D2726E">
        <w:rPr>
          <w:lang w:val="fr-FR"/>
        </w:rPr>
        <w:t>document PCT/WG/14/12.</w:t>
      </w:r>
    </w:p>
    <w:p w:rsidR="00175BDE" w:rsidRPr="00D2726E" w:rsidRDefault="000113AE" w:rsidP="00175BDE">
      <w:pPr>
        <w:pStyle w:val="Heading1"/>
        <w:rPr>
          <w:lang w:val="fr-FR"/>
        </w:rPr>
      </w:pPr>
      <w:r w:rsidRPr="00D2726E">
        <w:rPr>
          <w:lang w:val="fr-FR"/>
        </w:rPr>
        <w:t>Point 1</w:t>
      </w:r>
      <w:r w:rsidR="00175BDE" w:rsidRPr="00D2726E">
        <w:rPr>
          <w:lang w:val="fr-FR"/>
        </w:rPr>
        <w:t>2 de l</w:t>
      </w:r>
      <w:r w:rsidR="009045B2" w:rsidRPr="00D2726E">
        <w:rPr>
          <w:lang w:val="fr-FR"/>
        </w:rPr>
        <w:t>’</w:t>
      </w:r>
      <w:r w:rsidR="00175BDE" w:rsidRPr="00D2726E">
        <w:rPr>
          <w:lang w:val="fr-FR"/>
        </w:rPr>
        <w:t>ordre du jour</w:t>
      </w:r>
      <w:r w:rsidR="009045B2" w:rsidRPr="00D2726E">
        <w:rPr>
          <w:lang w:val="fr-FR"/>
        </w:rPr>
        <w:t> :</w:t>
      </w:r>
      <w:r w:rsidR="00175BDE" w:rsidRPr="00D2726E">
        <w:rPr>
          <w:lang w:val="fr-FR"/>
        </w:rPr>
        <w:t xml:space="preserve"> rapport sur l</w:t>
      </w:r>
      <w:r w:rsidR="009045B2" w:rsidRPr="00D2726E">
        <w:rPr>
          <w:lang w:val="fr-FR"/>
        </w:rPr>
        <w:t>’</w:t>
      </w:r>
      <w:r w:rsidR="00175BDE" w:rsidRPr="00D2726E">
        <w:rPr>
          <w:lang w:val="fr-FR"/>
        </w:rPr>
        <w:t>état d</w:t>
      </w:r>
      <w:r w:rsidR="009045B2" w:rsidRPr="00D2726E">
        <w:rPr>
          <w:lang w:val="fr-FR"/>
        </w:rPr>
        <w:t>’</w:t>
      </w:r>
      <w:r w:rsidR="00175BDE" w:rsidRPr="00D2726E">
        <w:rPr>
          <w:lang w:val="fr-FR"/>
        </w:rPr>
        <w:t>avancement du service de transfert de taxes de l</w:t>
      </w:r>
      <w:r w:rsidR="009045B2" w:rsidRPr="00D2726E">
        <w:rPr>
          <w:lang w:val="fr-FR"/>
        </w:rPr>
        <w:t>’</w:t>
      </w:r>
      <w:r w:rsidR="00175BDE" w:rsidRPr="00D2726E">
        <w:rPr>
          <w:lang w:val="fr-FR"/>
        </w:rPr>
        <w:t>OMPI</w:t>
      </w:r>
    </w:p>
    <w:p w:rsidR="00175BDE" w:rsidRPr="00D2726E" w:rsidRDefault="00175BDE" w:rsidP="00175BDE">
      <w:pPr>
        <w:pStyle w:val="ONUMFS"/>
        <w:rPr>
          <w:lang w:val="fr-FR"/>
        </w:rPr>
      </w:pPr>
      <w:r w:rsidRPr="00D2726E">
        <w:rPr>
          <w:lang w:val="fr-FR"/>
        </w:rPr>
        <w:t>Les délibérations ont eu lieu sur la base du document PCT/WG/14/7.</w:t>
      </w:r>
    </w:p>
    <w:p w:rsidR="00FB2AB0" w:rsidRPr="00D2726E" w:rsidRDefault="004A1DFC" w:rsidP="00FB2AB0">
      <w:pPr>
        <w:pStyle w:val="ONUMFS"/>
        <w:rPr>
          <w:lang w:val="fr-FR"/>
        </w:rPr>
      </w:pPr>
      <w:r w:rsidRPr="00D2726E">
        <w:rPr>
          <w:lang w:val="fr-FR"/>
        </w:rPr>
        <w:t xml:space="preserve">Les délégations qui ont pris la parole ont exprimé leur satisfaction </w:t>
      </w:r>
      <w:r w:rsidR="009045B2" w:rsidRPr="00D2726E">
        <w:rPr>
          <w:lang w:val="fr-FR"/>
        </w:rPr>
        <w:t>à l’égard</w:t>
      </w:r>
      <w:r w:rsidRPr="00D2726E">
        <w:rPr>
          <w:lang w:val="fr-FR"/>
        </w:rPr>
        <w:t xml:space="preserve"> du service de transfert de taxes de l</w:t>
      </w:r>
      <w:r w:rsidR="009045B2" w:rsidRPr="00D2726E">
        <w:rPr>
          <w:lang w:val="fr-FR"/>
        </w:rPr>
        <w:t>’</w:t>
      </w:r>
      <w:r w:rsidRPr="00D2726E">
        <w:rPr>
          <w:lang w:val="fr-FR"/>
        </w:rPr>
        <w:t>OMPI, s</w:t>
      </w:r>
      <w:r w:rsidR="009045B2" w:rsidRPr="00D2726E">
        <w:rPr>
          <w:lang w:val="fr-FR"/>
        </w:rPr>
        <w:t>’</w:t>
      </w:r>
      <w:r w:rsidRPr="00D2726E">
        <w:rPr>
          <w:lang w:val="fr-FR"/>
        </w:rPr>
        <w:t>agissant notamment de l</w:t>
      </w:r>
      <w:r w:rsidR="009045B2" w:rsidRPr="00D2726E">
        <w:rPr>
          <w:lang w:val="fr-FR"/>
        </w:rPr>
        <w:t>’</w:t>
      </w:r>
      <w:r w:rsidRPr="00D2726E">
        <w:rPr>
          <w:lang w:val="fr-FR"/>
        </w:rPr>
        <w:t>amélioration de l</w:t>
      </w:r>
      <w:r w:rsidR="009045B2" w:rsidRPr="00D2726E">
        <w:rPr>
          <w:lang w:val="fr-FR"/>
        </w:rPr>
        <w:t>’</w:t>
      </w:r>
      <w:r w:rsidRPr="00D2726E">
        <w:rPr>
          <w:lang w:val="fr-FR"/>
        </w:rPr>
        <w:t>efficacité administrati</w:t>
      </w:r>
      <w:r w:rsidR="00D2726E" w:rsidRPr="00D2726E">
        <w:rPr>
          <w:lang w:val="fr-FR"/>
        </w:rPr>
        <w:t>ve.  En</w:t>
      </w:r>
      <w:r w:rsidRPr="00D2726E">
        <w:rPr>
          <w:lang w:val="fr-FR"/>
        </w:rPr>
        <w:t xml:space="preserve"> particulier, des administrations chargées de la recherche internationale ont apprécié le fait de recevoir moins de paiements mensuels de taxes de recherche de la part des offices récepteurs, la quasi</w:t>
      </w:r>
      <w:r w:rsidR="009045B2" w:rsidRPr="00D2726E">
        <w:rPr>
          <w:lang w:val="fr-FR"/>
        </w:rPr>
        <w:t>-</w:t>
      </w:r>
      <w:r w:rsidRPr="00D2726E">
        <w:rPr>
          <w:lang w:val="fr-FR"/>
        </w:rPr>
        <w:t>totalité du produit des taxes de recherche provenant désormais du Bureau internation</w:t>
      </w:r>
      <w:r w:rsidR="00D2726E" w:rsidRPr="00D2726E">
        <w:rPr>
          <w:lang w:val="fr-FR"/>
        </w:rPr>
        <w:t>al.  Ce</w:t>
      </w:r>
      <w:r w:rsidRPr="00D2726E">
        <w:rPr>
          <w:lang w:val="fr-FR"/>
        </w:rPr>
        <w:t>s administrations ont invité les offices récepteurs qui n</w:t>
      </w:r>
      <w:r w:rsidR="009045B2" w:rsidRPr="00D2726E">
        <w:rPr>
          <w:lang w:val="fr-FR"/>
        </w:rPr>
        <w:t>’</w:t>
      </w:r>
      <w:r w:rsidRPr="00D2726E">
        <w:rPr>
          <w:lang w:val="fr-FR"/>
        </w:rPr>
        <w:t>avaient pas encore adhéré au service à le faire dès que possible.</w:t>
      </w:r>
    </w:p>
    <w:p w:rsidR="006E17B4" w:rsidRPr="00D2726E" w:rsidRDefault="004A1DFC" w:rsidP="00FB2AB0">
      <w:pPr>
        <w:pStyle w:val="ONUMFS"/>
        <w:rPr>
          <w:lang w:val="fr-FR"/>
        </w:rPr>
      </w:pPr>
      <w:r w:rsidRPr="00D2726E">
        <w:rPr>
          <w:lang w:val="fr-FR"/>
        </w:rPr>
        <w:t>Un office a demandé au Bureau international d</w:t>
      </w:r>
      <w:r w:rsidR="009045B2" w:rsidRPr="00D2726E">
        <w:rPr>
          <w:lang w:val="fr-FR"/>
        </w:rPr>
        <w:t>’</w:t>
      </w:r>
      <w:r w:rsidRPr="00D2726E">
        <w:rPr>
          <w:lang w:val="fr-FR"/>
        </w:rPr>
        <w:t>envisager la possibilité de créer un lien plus étroit entre le service de transfert de taxes de l</w:t>
      </w:r>
      <w:r w:rsidR="009045B2" w:rsidRPr="00D2726E">
        <w:rPr>
          <w:lang w:val="fr-FR"/>
        </w:rPr>
        <w:t>’</w:t>
      </w:r>
      <w:r w:rsidRPr="00D2726E">
        <w:rPr>
          <w:lang w:val="fr-FR"/>
        </w:rPr>
        <w:t xml:space="preserve">OMPI et le service </w:t>
      </w:r>
      <w:proofErr w:type="spellStart"/>
      <w:r w:rsidRPr="00D2726E">
        <w:rPr>
          <w:lang w:val="fr-FR"/>
        </w:rPr>
        <w:t>eSearchCopy</w:t>
      </w:r>
      <w:proofErr w:type="spellEnd"/>
      <w:r w:rsidRPr="00D2726E">
        <w:rPr>
          <w:lang w:val="fr-FR"/>
        </w:rPr>
        <w:t>.</w:t>
      </w:r>
    </w:p>
    <w:p w:rsidR="006E17B4" w:rsidRPr="00D2726E" w:rsidRDefault="000B7316" w:rsidP="00FB2AB0">
      <w:pPr>
        <w:pStyle w:val="ONUMFS"/>
        <w:rPr>
          <w:lang w:val="fr-FR"/>
        </w:rPr>
      </w:pPr>
      <w:r w:rsidRPr="00D2726E">
        <w:rPr>
          <w:lang w:val="fr-FR"/>
        </w:rPr>
        <w:t>En réponse à la question d</w:t>
      </w:r>
      <w:r w:rsidR="009045B2" w:rsidRPr="00D2726E">
        <w:rPr>
          <w:lang w:val="fr-FR"/>
        </w:rPr>
        <w:t>’</w:t>
      </w:r>
      <w:r w:rsidRPr="00D2726E">
        <w:rPr>
          <w:lang w:val="fr-FR"/>
        </w:rPr>
        <w:t xml:space="preserve">une délégation, le Secrétariat a précisé que les fonctions de génération de fichiers XML dans le système </w:t>
      </w:r>
      <w:proofErr w:type="spellStart"/>
      <w:r w:rsidRPr="00D2726E">
        <w:rPr>
          <w:lang w:val="fr-FR"/>
        </w:rPr>
        <w:t>ePCT</w:t>
      </w:r>
      <w:proofErr w:type="spellEnd"/>
      <w:r w:rsidRPr="00D2726E">
        <w:rPr>
          <w:lang w:val="fr-FR"/>
        </w:rPr>
        <w:t xml:space="preserve"> étaient destinées aux offices utilisant le système </w:t>
      </w:r>
      <w:proofErr w:type="spellStart"/>
      <w:r w:rsidRPr="00D2726E">
        <w:rPr>
          <w:lang w:val="fr-FR"/>
        </w:rPr>
        <w:t>ePCT</w:t>
      </w:r>
      <w:proofErr w:type="spellEnd"/>
      <w:r w:rsidRPr="00D2726E">
        <w:rPr>
          <w:lang w:val="fr-FR"/>
        </w:rPr>
        <w:t xml:space="preserve"> comme principal outil de traiteme</w:t>
      </w:r>
      <w:r w:rsidR="00D2726E" w:rsidRPr="00D2726E">
        <w:rPr>
          <w:lang w:val="fr-FR"/>
        </w:rPr>
        <w:t>nt.  Le</w:t>
      </w:r>
      <w:r w:rsidRPr="00D2726E">
        <w:rPr>
          <w:lang w:val="fr-FR"/>
        </w:rPr>
        <w:t>s offices récepteurs qui traitent les exemplaires originaux et les paiements dans leurs systèmes locaux devaient continuer à générer les données localement et à les transférer au moyen du système PCT</w:t>
      </w:r>
      <w:r w:rsidR="009045B2" w:rsidRPr="00D2726E">
        <w:rPr>
          <w:lang w:val="fr-FR"/>
        </w:rPr>
        <w:t>-</w:t>
      </w:r>
      <w:r w:rsidRPr="00D2726E">
        <w:rPr>
          <w:lang w:val="fr-FR"/>
        </w:rPr>
        <w:t>EDI, bien qu</w:t>
      </w:r>
      <w:r w:rsidR="009045B2" w:rsidRPr="00D2726E">
        <w:rPr>
          <w:lang w:val="fr-FR"/>
        </w:rPr>
        <w:t>’</w:t>
      </w:r>
      <w:r w:rsidRPr="00D2726E">
        <w:rPr>
          <w:lang w:val="fr-FR"/>
        </w:rPr>
        <w:t xml:space="preserve">un service Web </w:t>
      </w:r>
      <w:proofErr w:type="spellStart"/>
      <w:r w:rsidRPr="00D2726E">
        <w:rPr>
          <w:lang w:val="fr-FR"/>
        </w:rPr>
        <w:t>ePCT</w:t>
      </w:r>
      <w:proofErr w:type="spellEnd"/>
      <w:r w:rsidRPr="00D2726E">
        <w:rPr>
          <w:lang w:val="fr-FR"/>
        </w:rPr>
        <w:t xml:space="preserve"> puisse être proposé s</w:t>
      </w:r>
      <w:r w:rsidR="009045B2" w:rsidRPr="00D2726E">
        <w:rPr>
          <w:lang w:val="fr-FR"/>
        </w:rPr>
        <w:t>’</w:t>
      </w:r>
      <w:r w:rsidRPr="00D2726E">
        <w:rPr>
          <w:lang w:val="fr-FR"/>
        </w:rPr>
        <w:t>il y avait une demande en faveur d</w:t>
      </w:r>
      <w:r w:rsidR="009045B2" w:rsidRPr="00D2726E">
        <w:rPr>
          <w:lang w:val="fr-FR"/>
        </w:rPr>
        <w:t>’</w:t>
      </w:r>
      <w:r w:rsidRPr="00D2726E">
        <w:rPr>
          <w:lang w:val="fr-FR"/>
        </w:rPr>
        <w:t>une automatisation du traitement par cette voie</w:t>
      </w:r>
      <w:r w:rsidR="00FB2AB0" w:rsidRPr="00D2726E">
        <w:rPr>
          <w:lang w:val="fr-FR"/>
        </w:rPr>
        <w:t>.</w:t>
      </w:r>
    </w:p>
    <w:p w:rsidR="00FB2AB0" w:rsidRPr="00D2726E" w:rsidRDefault="00FC2D6D" w:rsidP="00FB2AB0">
      <w:pPr>
        <w:pStyle w:val="ONUMFS"/>
        <w:ind w:left="567"/>
        <w:rPr>
          <w:lang w:val="fr-FR"/>
        </w:rPr>
      </w:pPr>
      <w:r w:rsidRPr="00D2726E">
        <w:rPr>
          <w:lang w:val="fr-FR"/>
        </w:rPr>
        <w:lastRenderedPageBreak/>
        <w:t xml:space="preserve">Le groupe de travail a pris note du contenu du </w:t>
      </w:r>
      <w:r w:rsidR="00FB2AB0" w:rsidRPr="00D2726E">
        <w:rPr>
          <w:lang w:val="fr-FR"/>
        </w:rPr>
        <w:t xml:space="preserve">document PCT/WG/14/7 </w:t>
      </w:r>
      <w:r w:rsidR="000B7316" w:rsidRPr="00D2726E">
        <w:rPr>
          <w:lang w:val="fr-FR"/>
        </w:rPr>
        <w:t>et a invité le Bureau international à poursuivre le développement du service de transfert de taxes de l</w:t>
      </w:r>
      <w:r w:rsidR="009045B2" w:rsidRPr="00D2726E">
        <w:rPr>
          <w:lang w:val="fr-FR"/>
        </w:rPr>
        <w:t>’</w:t>
      </w:r>
      <w:r w:rsidR="000B7316" w:rsidRPr="00D2726E">
        <w:rPr>
          <w:lang w:val="fr-FR"/>
        </w:rPr>
        <w:t>OMPI afin de l</w:t>
      </w:r>
      <w:r w:rsidR="009045B2" w:rsidRPr="00D2726E">
        <w:rPr>
          <w:lang w:val="fr-FR"/>
        </w:rPr>
        <w:t>’</w:t>
      </w:r>
      <w:r w:rsidR="000B7316" w:rsidRPr="00D2726E">
        <w:rPr>
          <w:lang w:val="fr-FR"/>
        </w:rPr>
        <w:t>étendre et de l</w:t>
      </w:r>
      <w:r w:rsidR="009045B2" w:rsidRPr="00D2726E">
        <w:rPr>
          <w:lang w:val="fr-FR"/>
        </w:rPr>
        <w:t>’</w:t>
      </w:r>
      <w:r w:rsidR="000B7316" w:rsidRPr="00D2726E">
        <w:rPr>
          <w:lang w:val="fr-FR"/>
        </w:rPr>
        <w:t>améliorer, en tenant compte des observations formulées au cours de la session.</w:t>
      </w:r>
    </w:p>
    <w:p w:rsidR="00175BDE" w:rsidRPr="00D2726E" w:rsidRDefault="000113AE" w:rsidP="00175BDE">
      <w:pPr>
        <w:pStyle w:val="Heading1"/>
        <w:rPr>
          <w:lang w:val="fr-FR"/>
        </w:rPr>
      </w:pPr>
      <w:r w:rsidRPr="00D2726E">
        <w:rPr>
          <w:lang w:val="fr-FR"/>
        </w:rPr>
        <w:t>Point 1</w:t>
      </w:r>
      <w:r w:rsidR="00175BDE" w:rsidRPr="00D2726E">
        <w:rPr>
          <w:lang w:val="fr-FR"/>
        </w:rPr>
        <w:t>3 de l</w:t>
      </w:r>
      <w:r w:rsidR="009045B2" w:rsidRPr="00D2726E">
        <w:rPr>
          <w:lang w:val="fr-FR"/>
        </w:rPr>
        <w:t>’</w:t>
      </w:r>
      <w:r w:rsidR="00175BDE" w:rsidRPr="00D2726E">
        <w:rPr>
          <w:lang w:val="fr-FR"/>
        </w:rPr>
        <w:t>ordre du jour</w:t>
      </w:r>
      <w:r w:rsidR="009045B2" w:rsidRPr="00D2726E">
        <w:rPr>
          <w:lang w:val="fr-FR"/>
        </w:rPr>
        <w:t> :</w:t>
      </w:r>
      <w:r w:rsidR="00175BDE" w:rsidRPr="00D2726E">
        <w:rPr>
          <w:lang w:val="fr-FR"/>
        </w:rPr>
        <w:t xml:space="preserve"> rapport sur l</w:t>
      </w:r>
      <w:r w:rsidR="009045B2" w:rsidRPr="00D2726E">
        <w:rPr>
          <w:lang w:val="fr-FR"/>
        </w:rPr>
        <w:t>’</w:t>
      </w:r>
      <w:r w:rsidR="00175BDE" w:rsidRPr="00D2726E">
        <w:rPr>
          <w:lang w:val="fr-FR"/>
        </w:rPr>
        <w:t>état d</w:t>
      </w:r>
      <w:r w:rsidR="009045B2" w:rsidRPr="00D2726E">
        <w:rPr>
          <w:lang w:val="fr-FR"/>
        </w:rPr>
        <w:t>’</w:t>
      </w:r>
      <w:r w:rsidR="00175BDE" w:rsidRPr="00D2726E">
        <w:rPr>
          <w:lang w:val="fr-FR"/>
        </w:rPr>
        <w:t>avancement des travaux de l</w:t>
      </w:r>
      <w:r w:rsidR="009045B2" w:rsidRPr="00D2726E">
        <w:rPr>
          <w:lang w:val="fr-FR"/>
        </w:rPr>
        <w:t>’</w:t>
      </w:r>
      <w:r w:rsidR="00175BDE" w:rsidRPr="00D2726E">
        <w:rPr>
          <w:lang w:val="fr-FR"/>
        </w:rPr>
        <w:t>Équipe d</w:t>
      </w:r>
      <w:r w:rsidR="009045B2" w:rsidRPr="00D2726E">
        <w:rPr>
          <w:lang w:val="fr-FR"/>
        </w:rPr>
        <w:t>’</w:t>
      </w:r>
      <w:r w:rsidR="00175BDE" w:rsidRPr="00D2726E">
        <w:rPr>
          <w:lang w:val="fr-FR"/>
        </w:rPr>
        <w:t>experts chargée de la norme relative aux listages de séquences</w:t>
      </w:r>
    </w:p>
    <w:p w:rsidR="00175BDE" w:rsidRPr="00D2726E" w:rsidRDefault="00175BDE" w:rsidP="00175BDE">
      <w:pPr>
        <w:pStyle w:val="ONUMFS"/>
        <w:rPr>
          <w:lang w:val="fr-FR"/>
        </w:rPr>
      </w:pPr>
      <w:r w:rsidRPr="00D2726E">
        <w:rPr>
          <w:lang w:val="fr-FR"/>
        </w:rPr>
        <w:t>Les délibérations ont eu lieu sur la base du document PCT/WG/14/5.</w:t>
      </w:r>
    </w:p>
    <w:p w:rsidR="00D647DE" w:rsidRPr="00D2726E" w:rsidRDefault="00D647DE" w:rsidP="00175BDE">
      <w:pPr>
        <w:pStyle w:val="ONUMFS"/>
        <w:rPr>
          <w:lang w:val="fr-FR"/>
        </w:rPr>
      </w:pPr>
      <w:r w:rsidRPr="00D2726E">
        <w:rPr>
          <w:lang w:val="fr-FR"/>
        </w:rPr>
        <w:t>Le Secrétariat a indiqué que l</w:t>
      </w:r>
      <w:r w:rsidR="009045B2" w:rsidRPr="00D2726E">
        <w:rPr>
          <w:lang w:val="fr-FR"/>
        </w:rPr>
        <w:t>’</w:t>
      </w:r>
      <w:r w:rsidRPr="00D2726E">
        <w:rPr>
          <w:lang w:val="fr-FR"/>
        </w:rPr>
        <w:t>Équipe d</w:t>
      </w:r>
      <w:r w:rsidR="009045B2" w:rsidRPr="00D2726E">
        <w:rPr>
          <w:lang w:val="fr-FR"/>
        </w:rPr>
        <w:t>’</w:t>
      </w:r>
      <w:r w:rsidRPr="00D2726E">
        <w:rPr>
          <w:lang w:val="fr-FR"/>
        </w:rPr>
        <w:t xml:space="preserve">experts chargée de la norme relative au listage de séquences envisageait une recommandation visant à reporter la date du </w:t>
      </w:r>
      <w:r w:rsidR="009045B2" w:rsidRPr="00D2726E">
        <w:rPr>
          <w:lang w:val="fr-FR"/>
        </w:rPr>
        <w:t>“</w:t>
      </w:r>
      <w:proofErr w:type="spellStart"/>
      <w:r w:rsidRPr="00D2726E">
        <w:rPr>
          <w:lang w:val="fr-FR"/>
        </w:rPr>
        <w:t>big</w:t>
      </w:r>
      <w:proofErr w:type="spellEnd"/>
      <w:r w:rsidRPr="00D2726E">
        <w:rPr>
          <w:lang w:val="fr-FR"/>
        </w:rPr>
        <w:t xml:space="preserve"> bang</w:t>
      </w:r>
      <w:r w:rsidR="009045B2" w:rsidRPr="00D2726E">
        <w:rPr>
          <w:lang w:val="fr-FR"/>
        </w:rPr>
        <w:t>”</w:t>
      </w:r>
      <w:r w:rsidRPr="00D2726E">
        <w:rPr>
          <w:lang w:val="fr-FR"/>
        </w:rPr>
        <w:t xml:space="preserve"> et a invité toute délégation dont l</w:t>
      </w:r>
      <w:r w:rsidR="009045B2" w:rsidRPr="00D2726E">
        <w:rPr>
          <w:lang w:val="fr-FR"/>
        </w:rPr>
        <w:t>’</w:t>
      </w:r>
      <w:r w:rsidRPr="00D2726E">
        <w:rPr>
          <w:lang w:val="fr-FR"/>
        </w:rPr>
        <w:t>offic</w:t>
      </w:r>
      <w:r w:rsidR="009045B2" w:rsidRPr="00D2726E">
        <w:rPr>
          <w:lang w:val="fr-FR"/>
        </w:rPr>
        <w:t>e n’y participait pas encore à s</w:t>
      </w:r>
      <w:r w:rsidRPr="00D2726E">
        <w:rPr>
          <w:lang w:val="fr-FR"/>
        </w:rPr>
        <w:t>e joindre aux discussions dans cette instance.</w:t>
      </w:r>
    </w:p>
    <w:p w:rsidR="00FB2AB0" w:rsidRPr="00D2726E" w:rsidRDefault="00FC2D6D" w:rsidP="00FB2AB0">
      <w:pPr>
        <w:pStyle w:val="ONUMFS"/>
        <w:ind w:left="567"/>
        <w:rPr>
          <w:lang w:val="fr-FR"/>
        </w:rPr>
      </w:pPr>
      <w:r w:rsidRPr="00D2726E">
        <w:rPr>
          <w:lang w:val="fr-FR"/>
        </w:rPr>
        <w:t xml:space="preserve">Le groupe de travail a pris note du contenu du </w:t>
      </w:r>
      <w:r w:rsidR="00FB2AB0" w:rsidRPr="00D2726E">
        <w:rPr>
          <w:lang w:val="fr-FR"/>
        </w:rPr>
        <w:t>document PCT/WG/14/5.</w:t>
      </w:r>
    </w:p>
    <w:p w:rsidR="00175BDE" w:rsidRPr="00D2726E" w:rsidRDefault="000113AE" w:rsidP="00175BDE">
      <w:pPr>
        <w:pStyle w:val="Heading1"/>
        <w:rPr>
          <w:lang w:val="fr-FR"/>
        </w:rPr>
      </w:pPr>
      <w:r w:rsidRPr="00D2726E">
        <w:rPr>
          <w:lang w:val="fr-FR"/>
        </w:rPr>
        <w:t>Point 1</w:t>
      </w:r>
      <w:r w:rsidR="00175BDE" w:rsidRPr="00D2726E">
        <w:rPr>
          <w:lang w:val="fr-FR"/>
        </w:rPr>
        <w:t>4 de l</w:t>
      </w:r>
      <w:r w:rsidR="009045B2" w:rsidRPr="00D2726E">
        <w:rPr>
          <w:lang w:val="fr-FR"/>
        </w:rPr>
        <w:t>’</w:t>
      </w:r>
      <w:r w:rsidR="00175BDE" w:rsidRPr="00D2726E">
        <w:rPr>
          <w:lang w:val="fr-FR"/>
        </w:rPr>
        <w:t>ordre du jour</w:t>
      </w:r>
      <w:r w:rsidR="009045B2" w:rsidRPr="00D2726E">
        <w:rPr>
          <w:lang w:val="fr-FR"/>
        </w:rPr>
        <w:t> :</w:t>
      </w:r>
      <w:r w:rsidR="00175BDE" w:rsidRPr="00D2726E">
        <w:rPr>
          <w:lang w:val="fr-FR"/>
        </w:rPr>
        <w:t xml:space="preserve"> rapport sur l</w:t>
      </w:r>
      <w:r w:rsidR="009045B2" w:rsidRPr="00D2726E">
        <w:rPr>
          <w:lang w:val="fr-FR"/>
        </w:rPr>
        <w:t>’</w:t>
      </w:r>
      <w:r w:rsidR="00175BDE" w:rsidRPr="00D2726E">
        <w:rPr>
          <w:lang w:val="fr-FR"/>
        </w:rPr>
        <w:t>état d</w:t>
      </w:r>
      <w:r w:rsidR="009045B2" w:rsidRPr="00D2726E">
        <w:rPr>
          <w:lang w:val="fr-FR"/>
        </w:rPr>
        <w:t>’</w:t>
      </w:r>
      <w:r w:rsidR="00175BDE" w:rsidRPr="00D2726E">
        <w:rPr>
          <w:lang w:val="fr-FR"/>
        </w:rPr>
        <w:t>avancement du projet relatif à la documentation minimale</w:t>
      </w:r>
      <w:r w:rsidRPr="00D2726E">
        <w:rPr>
          <w:lang w:val="fr-FR"/>
        </w:rPr>
        <w:t xml:space="preserve"> du PCT</w:t>
      </w:r>
    </w:p>
    <w:p w:rsidR="00175BDE" w:rsidRPr="00D2726E" w:rsidRDefault="00175BDE" w:rsidP="00175BDE">
      <w:pPr>
        <w:pStyle w:val="ONUMFS"/>
        <w:rPr>
          <w:lang w:val="fr-FR"/>
        </w:rPr>
      </w:pPr>
      <w:r w:rsidRPr="00D2726E">
        <w:rPr>
          <w:lang w:val="fr-FR"/>
        </w:rPr>
        <w:t>Les délibérations ont eu lieu sur la base du document PCT/WG/14/4.</w:t>
      </w:r>
    </w:p>
    <w:p w:rsidR="00FB2AB0" w:rsidRPr="00D2726E" w:rsidRDefault="00FC2D6D" w:rsidP="00FB2AB0">
      <w:pPr>
        <w:pStyle w:val="ONUMFS"/>
        <w:ind w:left="567"/>
        <w:rPr>
          <w:lang w:val="fr-FR"/>
        </w:rPr>
      </w:pPr>
      <w:r w:rsidRPr="00D2726E">
        <w:rPr>
          <w:lang w:val="fr-FR"/>
        </w:rPr>
        <w:t xml:space="preserve">Le groupe de travail a pris note du contenu du </w:t>
      </w:r>
      <w:r w:rsidR="00FB2AB0" w:rsidRPr="00D2726E">
        <w:rPr>
          <w:lang w:val="fr-FR"/>
        </w:rPr>
        <w:t>document PCT/WG/14/4.</w:t>
      </w:r>
    </w:p>
    <w:p w:rsidR="00175BDE" w:rsidRPr="00D2726E" w:rsidRDefault="000113AE" w:rsidP="00175BDE">
      <w:pPr>
        <w:pStyle w:val="Heading1"/>
        <w:rPr>
          <w:lang w:val="fr-FR"/>
        </w:rPr>
      </w:pPr>
      <w:r w:rsidRPr="00D2726E">
        <w:rPr>
          <w:lang w:val="fr-FR"/>
        </w:rPr>
        <w:t>Point 1</w:t>
      </w:r>
      <w:r w:rsidR="00175BDE" w:rsidRPr="00D2726E">
        <w:rPr>
          <w:lang w:val="fr-FR"/>
        </w:rPr>
        <w:t>5 de l</w:t>
      </w:r>
      <w:r w:rsidR="009045B2" w:rsidRPr="00D2726E">
        <w:rPr>
          <w:lang w:val="fr-FR"/>
        </w:rPr>
        <w:t>’</w:t>
      </w:r>
      <w:r w:rsidR="00175BDE" w:rsidRPr="00D2726E">
        <w:rPr>
          <w:lang w:val="fr-FR"/>
        </w:rPr>
        <w:t>ordre du jour</w:t>
      </w:r>
      <w:r w:rsidR="009045B2" w:rsidRPr="00D2726E">
        <w:rPr>
          <w:lang w:val="fr-FR"/>
        </w:rPr>
        <w:t> :</w:t>
      </w:r>
      <w:r w:rsidR="00175BDE" w:rsidRPr="00D2726E">
        <w:rPr>
          <w:lang w:val="fr-FR"/>
        </w:rPr>
        <w:t xml:space="preserve"> rapport sur l</w:t>
      </w:r>
      <w:r w:rsidR="009045B2" w:rsidRPr="00D2726E">
        <w:rPr>
          <w:lang w:val="fr-FR"/>
        </w:rPr>
        <w:t>’</w:t>
      </w:r>
      <w:r w:rsidR="00175BDE" w:rsidRPr="00D2726E">
        <w:rPr>
          <w:lang w:val="fr-FR"/>
        </w:rPr>
        <w:t>état d</w:t>
      </w:r>
      <w:r w:rsidR="009045B2" w:rsidRPr="00D2726E">
        <w:rPr>
          <w:lang w:val="fr-FR"/>
        </w:rPr>
        <w:t>’</w:t>
      </w:r>
      <w:r w:rsidR="00175BDE" w:rsidRPr="00D2726E">
        <w:rPr>
          <w:lang w:val="fr-FR"/>
        </w:rPr>
        <w:t>avancement du projet de recherche et d</w:t>
      </w:r>
      <w:r w:rsidR="009045B2" w:rsidRPr="00D2726E">
        <w:rPr>
          <w:lang w:val="fr-FR"/>
        </w:rPr>
        <w:t>’</w:t>
      </w:r>
      <w:r w:rsidR="00175BDE" w:rsidRPr="00D2726E">
        <w:rPr>
          <w:lang w:val="fr-FR"/>
        </w:rPr>
        <w:t>examen en collaboration dans le cadre du PCT mené par les offices de l</w:t>
      </w:r>
      <w:r w:rsidR="009045B2" w:rsidRPr="00D2726E">
        <w:rPr>
          <w:lang w:val="fr-FR"/>
        </w:rPr>
        <w:t>’</w:t>
      </w:r>
      <w:r w:rsidR="00175BDE" w:rsidRPr="00D2726E">
        <w:rPr>
          <w:lang w:val="fr-FR"/>
        </w:rPr>
        <w:t>IP5</w:t>
      </w:r>
    </w:p>
    <w:p w:rsidR="00175BDE" w:rsidRPr="00D2726E" w:rsidRDefault="00175BDE" w:rsidP="00175BDE">
      <w:pPr>
        <w:pStyle w:val="ONUMFS"/>
        <w:rPr>
          <w:lang w:val="fr-FR"/>
        </w:rPr>
      </w:pPr>
      <w:r w:rsidRPr="00D2726E">
        <w:rPr>
          <w:lang w:val="fr-FR"/>
        </w:rPr>
        <w:t>Les délibérations ont eu lieu sur la base du document PCT/WG/14/6.</w:t>
      </w:r>
    </w:p>
    <w:p w:rsidR="00D647DE" w:rsidRPr="00D2726E" w:rsidRDefault="00D647DE" w:rsidP="00175BDE">
      <w:pPr>
        <w:pStyle w:val="ONUMFS"/>
        <w:rPr>
          <w:lang w:val="fr-FR"/>
        </w:rPr>
      </w:pPr>
      <w:r w:rsidRPr="00D2726E">
        <w:rPr>
          <w:lang w:val="fr-FR"/>
        </w:rPr>
        <w:t>La délégation de l</w:t>
      </w:r>
      <w:r w:rsidR="009045B2" w:rsidRPr="00D2726E">
        <w:rPr>
          <w:lang w:val="fr-FR"/>
        </w:rPr>
        <w:t>’Arabie saoudite</w:t>
      </w:r>
      <w:r w:rsidRPr="00D2726E">
        <w:rPr>
          <w:lang w:val="fr-FR"/>
        </w:rPr>
        <w:t xml:space="preserve"> a indiqué que son office allait participer à un programme de re</w:t>
      </w:r>
      <w:r w:rsidR="00ED12C4" w:rsidRPr="00D2726E">
        <w:rPr>
          <w:lang w:val="fr-FR"/>
        </w:rPr>
        <w:t>cherche en collaboration avec l</w:t>
      </w:r>
      <w:r w:rsidR="009045B2" w:rsidRPr="00D2726E">
        <w:rPr>
          <w:lang w:val="fr-FR"/>
        </w:rPr>
        <w:t>’</w:t>
      </w:r>
      <w:r w:rsidR="00ED12C4" w:rsidRPr="00D2726E">
        <w:rPr>
          <w:lang w:val="fr-FR"/>
        </w:rPr>
        <w:t>Office coréen de la propriété intellectuelle à compter du</w:t>
      </w:r>
      <w:r w:rsidR="009045B2" w:rsidRPr="00D2726E">
        <w:rPr>
          <w:lang w:val="fr-FR"/>
        </w:rPr>
        <w:t xml:space="preserve"> 1</w:t>
      </w:r>
      <w:r w:rsidR="009045B2" w:rsidRPr="00D2726E">
        <w:rPr>
          <w:vertAlign w:val="superscript"/>
          <w:lang w:val="fr-FR"/>
        </w:rPr>
        <w:t>er</w:t>
      </w:r>
      <w:r w:rsidR="009045B2" w:rsidRPr="00D2726E">
        <w:rPr>
          <w:lang w:val="fr-FR"/>
        </w:rPr>
        <w:t> </w:t>
      </w:r>
      <w:r w:rsidR="00ED12C4" w:rsidRPr="00D2726E">
        <w:rPr>
          <w:lang w:val="fr-FR"/>
        </w:rPr>
        <w:t>juillet 2021.</w:t>
      </w:r>
    </w:p>
    <w:p w:rsidR="00FB2AB0" w:rsidRPr="00D2726E" w:rsidRDefault="00FC2D6D" w:rsidP="00FB2AB0">
      <w:pPr>
        <w:pStyle w:val="ONUMFS"/>
        <w:ind w:left="567"/>
        <w:rPr>
          <w:lang w:val="fr-FR"/>
        </w:rPr>
      </w:pPr>
      <w:r w:rsidRPr="00D2726E">
        <w:rPr>
          <w:lang w:val="fr-FR"/>
        </w:rPr>
        <w:t xml:space="preserve">Le groupe de travail a pris note du contenu du </w:t>
      </w:r>
      <w:r w:rsidR="00FB2AB0" w:rsidRPr="00D2726E">
        <w:rPr>
          <w:lang w:val="fr-FR"/>
        </w:rPr>
        <w:t>document PCT/WG/14/6.</w:t>
      </w:r>
    </w:p>
    <w:p w:rsidR="00175BDE" w:rsidRPr="00D2726E" w:rsidRDefault="000113AE" w:rsidP="00175BDE">
      <w:pPr>
        <w:pStyle w:val="Heading1"/>
        <w:rPr>
          <w:lang w:val="fr-FR"/>
        </w:rPr>
      </w:pPr>
      <w:r w:rsidRPr="00D2726E">
        <w:rPr>
          <w:lang w:val="fr-FR"/>
        </w:rPr>
        <w:t>Point 1</w:t>
      </w:r>
      <w:r w:rsidR="00175BDE" w:rsidRPr="00D2726E">
        <w:rPr>
          <w:lang w:val="fr-FR"/>
        </w:rPr>
        <w:t>6 de l</w:t>
      </w:r>
      <w:r w:rsidR="009045B2" w:rsidRPr="00D2726E">
        <w:rPr>
          <w:lang w:val="fr-FR"/>
        </w:rPr>
        <w:t>’</w:t>
      </w:r>
      <w:r w:rsidR="00175BDE" w:rsidRPr="00D2726E">
        <w:rPr>
          <w:lang w:val="fr-FR"/>
        </w:rPr>
        <w:t>ordre du jour</w:t>
      </w:r>
      <w:r w:rsidR="009045B2" w:rsidRPr="00D2726E">
        <w:rPr>
          <w:lang w:val="fr-FR"/>
        </w:rPr>
        <w:t> :</w:t>
      </w:r>
      <w:r w:rsidR="00175BDE" w:rsidRPr="00D2726E">
        <w:rPr>
          <w:lang w:val="fr-FR"/>
        </w:rPr>
        <w:t xml:space="preserve"> coordination de l</w:t>
      </w:r>
      <w:r w:rsidR="009045B2" w:rsidRPr="00D2726E">
        <w:rPr>
          <w:lang w:val="fr-FR"/>
        </w:rPr>
        <w:t>’</w:t>
      </w:r>
      <w:r w:rsidR="00175BDE" w:rsidRPr="00D2726E">
        <w:rPr>
          <w:lang w:val="fr-FR"/>
        </w:rPr>
        <w:t>assistance technique relevant</w:t>
      </w:r>
      <w:r w:rsidRPr="00D2726E">
        <w:rPr>
          <w:lang w:val="fr-FR"/>
        </w:rPr>
        <w:t xml:space="preserve"> du PCT</w:t>
      </w:r>
    </w:p>
    <w:p w:rsidR="00175BDE" w:rsidRPr="00D2726E" w:rsidRDefault="00175BDE" w:rsidP="00175BDE">
      <w:pPr>
        <w:pStyle w:val="ONUMFS"/>
        <w:rPr>
          <w:lang w:val="fr-FR"/>
        </w:rPr>
      </w:pPr>
      <w:r w:rsidRPr="00D2726E">
        <w:rPr>
          <w:lang w:val="fr-FR"/>
        </w:rPr>
        <w:t>Les délibérations ont eu lieu sur la base du document PCT/WG/14/17.</w:t>
      </w:r>
    </w:p>
    <w:p w:rsidR="00FB2AB0" w:rsidRPr="00D2726E" w:rsidRDefault="00FC2D6D" w:rsidP="00FB2AB0">
      <w:pPr>
        <w:pStyle w:val="ONUMFS"/>
        <w:ind w:left="567"/>
        <w:rPr>
          <w:lang w:val="fr-FR"/>
        </w:rPr>
      </w:pPr>
      <w:r w:rsidRPr="00D2726E">
        <w:rPr>
          <w:lang w:val="fr-FR"/>
        </w:rPr>
        <w:t xml:space="preserve">Le groupe de travail a pris note du contenu du </w:t>
      </w:r>
      <w:r w:rsidR="00FB2AB0" w:rsidRPr="00D2726E">
        <w:rPr>
          <w:lang w:val="fr-FR"/>
        </w:rPr>
        <w:t>document PCT/WG/14/17.</w:t>
      </w:r>
    </w:p>
    <w:p w:rsidR="00175BDE" w:rsidRPr="00D2726E" w:rsidRDefault="000113AE" w:rsidP="00175BDE">
      <w:pPr>
        <w:pStyle w:val="Heading1"/>
        <w:rPr>
          <w:lang w:val="fr-FR"/>
        </w:rPr>
      </w:pPr>
      <w:r w:rsidRPr="00D2726E">
        <w:rPr>
          <w:lang w:val="fr-FR"/>
        </w:rPr>
        <w:t>Point 1</w:t>
      </w:r>
      <w:r w:rsidR="00175BDE" w:rsidRPr="00D2726E">
        <w:rPr>
          <w:lang w:val="fr-FR"/>
        </w:rPr>
        <w:t>7 de l</w:t>
      </w:r>
      <w:r w:rsidR="009045B2" w:rsidRPr="00D2726E">
        <w:rPr>
          <w:lang w:val="fr-FR"/>
        </w:rPr>
        <w:t>’</w:t>
      </w:r>
      <w:r w:rsidR="00175BDE" w:rsidRPr="00D2726E">
        <w:rPr>
          <w:lang w:val="fr-FR"/>
        </w:rPr>
        <w:t>ordre du jour</w:t>
      </w:r>
      <w:r w:rsidR="009045B2" w:rsidRPr="00D2726E">
        <w:rPr>
          <w:lang w:val="fr-FR"/>
        </w:rPr>
        <w:t> :</w:t>
      </w:r>
      <w:r w:rsidR="00175BDE" w:rsidRPr="00D2726E">
        <w:rPr>
          <w:lang w:val="fr-FR"/>
        </w:rPr>
        <w:t xml:space="preserve"> formation des examinateurs de brevets</w:t>
      </w:r>
    </w:p>
    <w:p w:rsidR="00175BDE" w:rsidRPr="00D2726E" w:rsidRDefault="00175BDE" w:rsidP="00175BDE">
      <w:pPr>
        <w:pStyle w:val="Heading2"/>
        <w:rPr>
          <w:lang w:val="fr-FR"/>
        </w:rPr>
      </w:pPr>
      <w:r w:rsidRPr="00D2726E">
        <w:rPr>
          <w:lang w:val="fr-FR"/>
        </w:rPr>
        <w:t>A)</w:t>
      </w:r>
      <w:r w:rsidRPr="00D2726E">
        <w:rPr>
          <w:lang w:val="fr-FR"/>
        </w:rPr>
        <w:tab/>
        <w:t>Coordination de la formation des examinateurs de brevets</w:t>
      </w:r>
    </w:p>
    <w:p w:rsidR="00175BDE" w:rsidRPr="00D2726E" w:rsidRDefault="00175BDE" w:rsidP="00175BDE">
      <w:pPr>
        <w:pStyle w:val="ONUMFS"/>
        <w:rPr>
          <w:lang w:val="fr-FR"/>
        </w:rPr>
      </w:pPr>
      <w:r w:rsidRPr="00D2726E">
        <w:rPr>
          <w:lang w:val="fr-FR"/>
        </w:rPr>
        <w:t>Les délibérations ont eu lieu sur la base du document PCT/WG/14/13.</w:t>
      </w:r>
    </w:p>
    <w:p w:rsidR="00ED12C4" w:rsidRPr="00D2726E" w:rsidRDefault="00ED12C4" w:rsidP="00175BDE">
      <w:pPr>
        <w:pStyle w:val="ONUMFS"/>
        <w:rPr>
          <w:lang w:val="fr-FR"/>
        </w:rPr>
      </w:pPr>
      <w:r w:rsidRPr="00D2726E">
        <w:rPr>
          <w:lang w:val="fr-FR"/>
        </w:rPr>
        <w:t>Des délégations ont souligné que les offices avaient des besoins différents selon leur taille et leur capaci</w:t>
      </w:r>
      <w:r w:rsidR="00D2726E" w:rsidRPr="00D2726E">
        <w:rPr>
          <w:lang w:val="fr-FR"/>
        </w:rPr>
        <w:t>té.  Pl</w:t>
      </w:r>
      <w:r w:rsidRPr="00D2726E">
        <w:rPr>
          <w:lang w:val="fr-FR"/>
        </w:rPr>
        <w:t>usieurs offices ont indiqué qu</w:t>
      </w:r>
      <w:r w:rsidR="009045B2" w:rsidRPr="00D2726E">
        <w:rPr>
          <w:lang w:val="fr-FR"/>
        </w:rPr>
        <w:t>’</w:t>
      </w:r>
      <w:r w:rsidRPr="00D2726E">
        <w:rPr>
          <w:lang w:val="fr-FR"/>
        </w:rPr>
        <w:t>ils avaient mis en place de</w:t>
      </w:r>
      <w:r w:rsidR="00D2726E">
        <w:rPr>
          <w:lang w:val="fr-FR"/>
        </w:rPr>
        <w:t>s</w:t>
      </w:r>
      <w:r w:rsidRPr="00D2726E">
        <w:rPr>
          <w:lang w:val="fr-FR"/>
        </w:rPr>
        <w:t xml:space="preserve"> structures de formation efficaces et qu</w:t>
      </w:r>
      <w:r w:rsidR="009045B2" w:rsidRPr="00D2726E">
        <w:rPr>
          <w:lang w:val="fr-FR"/>
        </w:rPr>
        <w:t>’</w:t>
      </w:r>
      <w:r w:rsidRPr="00D2726E">
        <w:rPr>
          <w:lang w:val="fr-FR"/>
        </w:rPr>
        <w:t>ils étaient disposé</w:t>
      </w:r>
      <w:r w:rsidR="00D2726E">
        <w:rPr>
          <w:lang w:val="fr-FR"/>
        </w:rPr>
        <w:t>s</w:t>
      </w:r>
      <w:r w:rsidRPr="00D2726E">
        <w:rPr>
          <w:lang w:val="fr-FR"/>
        </w:rPr>
        <w:t xml:space="preserve"> à partager leurs </w:t>
      </w:r>
      <w:r w:rsidR="005A1E58" w:rsidRPr="00D2726E">
        <w:rPr>
          <w:lang w:val="fr-FR"/>
        </w:rPr>
        <w:t>données</w:t>
      </w:r>
      <w:r w:rsidRPr="00D2726E">
        <w:rPr>
          <w:lang w:val="fr-FR"/>
        </w:rPr>
        <w:t xml:space="preserve"> d</w:t>
      </w:r>
      <w:r w:rsidR="009045B2" w:rsidRPr="00D2726E">
        <w:rPr>
          <w:lang w:val="fr-FR"/>
        </w:rPr>
        <w:t>’</w:t>
      </w:r>
      <w:r w:rsidRPr="00D2726E">
        <w:rPr>
          <w:lang w:val="fr-FR"/>
        </w:rPr>
        <w:t>expérience.</w:t>
      </w:r>
    </w:p>
    <w:p w:rsidR="00FB2AB0" w:rsidRPr="00D2726E" w:rsidRDefault="00FC2D6D" w:rsidP="00FB2AB0">
      <w:pPr>
        <w:pStyle w:val="ONUMFS"/>
        <w:ind w:left="567"/>
        <w:rPr>
          <w:spacing w:val="-2"/>
          <w:lang w:val="fr-FR"/>
        </w:rPr>
      </w:pPr>
      <w:r w:rsidRPr="00D2726E">
        <w:rPr>
          <w:spacing w:val="-2"/>
          <w:lang w:val="fr-FR"/>
        </w:rPr>
        <w:t xml:space="preserve">Le groupe de travail a pris note du contenu du </w:t>
      </w:r>
      <w:r w:rsidR="00FB2AB0" w:rsidRPr="00D2726E">
        <w:rPr>
          <w:spacing w:val="-2"/>
          <w:lang w:val="fr-FR"/>
        </w:rPr>
        <w:t xml:space="preserve">document PCT/WG/14/13 </w:t>
      </w:r>
      <w:r w:rsidR="000B7316" w:rsidRPr="00D2726E">
        <w:rPr>
          <w:spacing w:val="-2"/>
          <w:lang w:val="fr-FR"/>
        </w:rPr>
        <w:t xml:space="preserve">et a invité le </w:t>
      </w:r>
      <w:r w:rsidR="00FB2AB0" w:rsidRPr="00D2726E">
        <w:rPr>
          <w:spacing w:val="-2"/>
          <w:lang w:val="fr-FR"/>
        </w:rPr>
        <w:t xml:space="preserve">Bureau </w:t>
      </w:r>
      <w:r w:rsidR="000B7316" w:rsidRPr="00D2726E">
        <w:rPr>
          <w:spacing w:val="-2"/>
          <w:lang w:val="fr-FR"/>
        </w:rPr>
        <w:t xml:space="preserve">international à réaliser une enquête selon les indications figurant au </w:t>
      </w:r>
      <w:r w:rsidR="00FB2AB0" w:rsidRPr="00D2726E">
        <w:rPr>
          <w:spacing w:val="-2"/>
          <w:lang w:val="fr-FR"/>
        </w:rPr>
        <w:t>paragraph</w:t>
      </w:r>
      <w:r w:rsidR="000B7316" w:rsidRPr="00D2726E">
        <w:rPr>
          <w:spacing w:val="-2"/>
          <w:lang w:val="fr-FR"/>
        </w:rPr>
        <w:t>e </w:t>
      </w:r>
      <w:r w:rsidR="00FB2AB0" w:rsidRPr="00D2726E">
        <w:rPr>
          <w:spacing w:val="-2"/>
          <w:lang w:val="fr-FR"/>
        </w:rPr>
        <w:t xml:space="preserve">21 </w:t>
      </w:r>
      <w:r w:rsidR="000B7316" w:rsidRPr="00D2726E">
        <w:rPr>
          <w:spacing w:val="-2"/>
          <w:lang w:val="fr-FR"/>
        </w:rPr>
        <w:t xml:space="preserve">du </w:t>
      </w:r>
      <w:r w:rsidR="00FB2AB0" w:rsidRPr="00D2726E">
        <w:rPr>
          <w:spacing w:val="-2"/>
          <w:lang w:val="fr-FR"/>
        </w:rPr>
        <w:t xml:space="preserve">document, </w:t>
      </w:r>
      <w:r w:rsidR="000B7316" w:rsidRPr="00D2726E">
        <w:rPr>
          <w:spacing w:val="-2"/>
          <w:lang w:val="fr-FR"/>
        </w:rPr>
        <w:t>en tenant compte des observations formulées au cours de la session.</w:t>
      </w:r>
    </w:p>
    <w:p w:rsidR="00175BDE" w:rsidRPr="00D2726E" w:rsidRDefault="00175BDE" w:rsidP="00175BDE">
      <w:pPr>
        <w:pStyle w:val="Heading2"/>
        <w:rPr>
          <w:lang w:val="fr-FR"/>
        </w:rPr>
      </w:pPr>
      <w:r w:rsidRPr="00D2726E">
        <w:rPr>
          <w:lang w:val="fr-FR"/>
        </w:rPr>
        <w:lastRenderedPageBreak/>
        <w:t>B)</w:t>
      </w:r>
      <w:r w:rsidRPr="00D2726E">
        <w:rPr>
          <w:lang w:val="fr-FR"/>
        </w:rPr>
        <w:tab/>
        <w:t>Questionnaire sur l</w:t>
      </w:r>
      <w:r w:rsidR="009045B2" w:rsidRPr="00D2726E">
        <w:rPr>
          <w:lang w:val="fr-FR"/>
        </w:rPr>
        <w:t>’</w:t>
      </w:r>
      <w:r w:rsidRPr="00D2726E">
        <w:rPr>
          <w:lang w:val="fr-FR"/>
        </w:rPr>
        <w:t>utilisation des ressources d</w:t>
      </w:r>
      <w:r w:rsidR="009045B2" w:rsidRPr="00D2726E">
        <w:rPr>
          <w:lang w:val="fr-FR"/>
        </w:rPr>
        <w:t>’</w:t>
      </w:r>
      <w:r w:rsidRPr="00D2726E">
        <w:rPr>
          <w:lang w:val="fr-FR"/>
        </w:rPr>
        <w:t>apprentissage en ligne pour la formation des examinateurs chargés de l</w:t>
      </w:r>
      <w:r w:rsidR="009045B2" w:rsidRPr="00D2726E">
        <w:rPr>
          <w:lang w:val="fr-FR"/>
        </w:rPr>
        <w:t>’</w:t>
      </w:r>
      <w:r w:rsidRPr="00D2726E">
        <w:rPr>
          <w:lang w:val="fr-FR"/>
        </w:rPr>
        <w:t>examen des brevets quant au fond</w:t>
      </w:r>
    </w:p>
    <w:p w:rsidR="00175BDE" w:rsidRPr="00D2726E" w:rsidRDefault="00175BDE" w:rsidP="00175BDE">
      <w:pPr>
        <w:pStyle w:val="ONUMFS"/>
        <w:rPr>
          <w:lang w:val="fr-FR"/>
        </w:rPr>
      </w:pPr>
      <w:r w:rsidRPr="00D2726E">
        <w:rPr>
          <w:lang w:val="fr-FR"/>
        </w:rPr>
        <w:t>Les délibérations ont eu lieu sur la base du document PCT/WG/14/15.</w:t>
      </w:r>
    </w:p>
    <w:p w:rsidR="00ED12C4" w:rsidRPr="00D2726E" w:rsidRDefault="005A1E58" w:rsidP="00175BDE">
      <w:pPr>
        <w:pStyle w:val="ONUMFS"/>
        <w:rPr>
          <w:lang w:val="fr-FR"/>
        </w:rPr>
      </w:pPr>
      <w:r w:rsidRPr="00D2726E">
        <w:rPr>
          <w:lang w:val="fr-FR"/>
        </w:rPr>
        <w:t>Des délégations ont souligné la nécessité croissante de ressources d</w:t>
      </w:r>
      <w:r w:rsidR="009045B2" w:rsidRPr="00D2726E">
        <w:rPr>
          <w:lang w:val="fr-FR"/>
        </w:rPr>
        <w:t>’</w:t>
      </w:r>
      <w:r w:rsidRPr="00D2726E">
        <w:rPr>
          <w:lang w:val="fr-FR"/>
        </w:rPr>
        <w:t>apprentissage en ligne durant la pandémie, même si cette formule ne pouvait remplacer la formation en direct permettant une interaction avec les formateu</w:t>
      </w:r>
      <w:r w:rsidR="00D2726E" w:rsidRPr="00D2726E">
        <w:rPr>
          <w:lang w:val="fr-FR"/>
        </w:rPr>
        <w:t>rs.  De</w:t>
      </w:r>
      <w:r w:rsidRPr="00D2726E">
        <w:rPr>
          <w:lang w:val="fr-FR"/>
        </w:rPr>
        <w:t>s délégations ont manifesté leur intérêt pour un partage en ligne des événements en direct, les enregistrements et d</w:t>
      </w:r>
      <w:r w:rsidR="009045B2" w:rsidRPr="00D2726E">
        <w:rPr>
          <w:lang w:val="fr-FR"/>
        </w:rPr>
        <w:t>’</w:t>
      </w:r>
      <w:r w:rsidRPr="00D2726E">
        <w:rPr>
          <w:lang w:val="fr-FR"/>
        </w:rPr>
        <w:t>autres outils.</w:t>
      </w:r>
    </w:p>
    <w:p w:rsidR="00FB2AB0" w:rsidRPr="00D2726E" w:rsidRDefault="000B7316" w:rsidP="000040AB">
      <w:pPr>
        <w:pStyle w:val="ONUMFS"/>
        <w:ind w:left="567"/>
        <w:rPr>
          <w:lang w:val="fr-FR"/>
        </w:rPr>
      </w:pPr>
      <w:r w:rsidRPr="00D2726E">
        <w:rPr>
          <w:lang w:val="fr-FR"/>
        </w:rPr>
        <w:t>Le groupe de travail a pris note des résultats de l</w:t>
      </w:r>
      <w:r w:rsidR="009045B2" w:rsidRPr="00D2726E">
        <w:rPr>
          <w:lang w:val="fr-FR"/>
        </w:rPr>
        <w:t>’</w:t>
      </w:r>
      <w:r w:rsidRPr="00D2726E">
        <w:rPr>
          <w:lang w:val="fr-FR"/>
        </w:rPr>
        <w:t>enquête sur les ressources d</w:t>
      </w:r>
      <w:r w:rsidR="009045B2" w:rsidRPr="00D2726E">
        <w:rPr>
          <w:lang w:val="fr-FR"/>
        </w:rPr>
        <w:t>’</w:t>
      </w:r>
      <w:r w:rsidRPr="00D2726E">
        <w:rPr>
          <w:lang w:val="fr-FR"/>
        </w:rPr>
        <w:t>apprentissage en ligne pour la formation des examinateurs de brevets chargés de l</w:t>
      </w:r>
      <w:r w:rsidR="009045B2" w:rsidRPr="00D2726E">
        <w:rPr>
          <w:lang w:val="fr-FR"/>
        </w:rPr>
        <w:t>’</w:t>
      </w:r>
      <w:r w:rsidRPr="00D2726E">
        <w:rPr>
          <w:lang w:val="fr-FR"/>
        </w:rPr>
        <w:t xml:space="preserve">examen quant au fond et a invité le </w:t>
      </w:r>
      <w:r w:rsidR="00FB2AB0" w:rsidRPr="00D2726E">
        <w:rPr>
          <w:lang w:val="fr-FR"/>
        </w:rPr>
        <w:t xml:space="preserve">Bureau </w:t>
      </w:r>
      <w:r w:rsidRPr="00D2726E">
        <w:rPr>
          <w:lang w:val="fr-FR"/>
        </w:rPr>
        <w:t xml:space="preserve">international à établir des propositions en vue de la création </w:t>
      </w:r>
      <w:r w:rsidR="00850F87" w:rsidRPr="00D2726E">
        <w:rPr>
          <w:lang w:val="fr-FR"/>
        </w:rPr>
        <w:t>d</w:t>
      </w:r>
      <w:r w:rsidR="009045B2" w:rsidRPr="00D2726E">
        <w:rPr>
          <w:lang w:val="fr-FR"/>
        </w:rPr>
        <w:t>’</w:t>
      </w:r>
      <w:r w:rsidR="00850F87" w:rsidRPr="00D2726E">
        <w:rPr>
          <w:lang w:val="fr-FR"/>
        </w:rPr>
        <w:t>un registre indépendant des ressources d</w:t>
      </w:r>
      <w:r w:rsidR="009045B2" w:rsidRPr="00D2726E">
        <w:rPr>
          <w:lang w:val="fr-FR"/>
        </w:rPr>
        <w:t>’</w:t>
      </w:r>
      <w:r w:rsidR="00850F87" w:rsidRPr="00D2726E">
        <w:rPr>
          <w:lang w:val="fr-FR"/>
        </w:rPr>
        <w:t>apprentissage en ligne</w:t>
      </w:r>
      <w:r w:rsidR="00FB2AB0" w:rsidRPr="00D2726E">
        <w:rPr>
          <w:lang w:val="fr-FR"/>
        </w:rPr>
        <w:t xml:space="preserve">, </w:t>
      </w:r>
      <w:r w:rsidR="00850F87" w:rsidRPr="00D2726E">
        <w:rPr>
          <w:lang w:val="fr-FR"/>
        </w:rPr>
        <w:t xml:space="preserve">en tenant compte des questions mentionnées dans le </w:t>
      </w:r>
      <w:r w:rsidR="00FB2AB0" w:rsidRPr="00D2726E">
        <w:rPr>
          <w:lang w:val="fr-FR"/>
        </w:rPr>
        <w:t xml:space="preserve">document PCT/WG/14/15 </w:t>
      </w:r>
      <w:r w:rsidR="00850F87" w:rsidRPr="00D2726E">
        <w:rPr>
          <w:lang w:val="fr-FR"/>
        </w:rPr>
        <w:t xml:space="preserve">et de celles soulevées au cours de la </w:t>
      </w:r>
      <w:r w:rsidR="00FB2AB0" w:rsidRPr="00D2726E">
        <w:rPr>
          <w:lang w:val="fr-FR"/>
        </w:rPr>
        <w:t>session.</w:t>
      </w:r>
    </w:p>
    <w:p w:rsidR="00175BDE" w:rsidRPr="00D2726E" w:rsidRDefault="000113AE" w:rsidP="00175BDE">
      <w:pPr>
        <w:pStyle w:val="Heading1"/>
        <w:rPr>
          <w:lang w:val="fr-FR"/>
        </w:rPr>
      </w:pPr>
      <w:r w:rsidRPr="00D2726E">
        <w:rPr>
          <w:lang w:val="fr-FR"/>
        </w:rPr>
        <w:t>Point 1</w:t>
      </w:r>
      <w:r w:rsidR="00175BDE" w:rsidRPr="00D2726E">
        <w:rPr>
          <w:lang w:val="fr-FR"/>
        </w:rPr>
        <w:t>8 de l</w:t>
      </w:r>
      <w:r w:rsidR="009045B2" w:rsidRPr="00D2726E">
        <w:rPr>
          <w:lang w:val="fr-FR"/>
        </w:rPr>
        <w:t>’</w:t>
      </w:r>
      <w:r w:rsidR="00175BDE" w:rsidRPr="00D2726E">
        <w:rPr>
          <w:lang w:val="fr-FR"/>
        </w:rPr>
        <w:t>ordre du jour</w:t>
      </w:r>
      <w:r w:rsidR="009045B2" w:rsidRPr="00D2726E">
        <w:rPr>
          <w:lang w:val="fr-FR"/>
        </w:rPr>
        <w:t> :</w:t>
      </w:r>
      <w:r w:rsidR="00175BDE" w:rsidRPr="00D2726E">
        <w:rPr>
          <w:lang w:val="fr-FR"/>
        </w:rPr>
        <w:t xml:space="preserve"> questions diverses</w:t>
      </w:r>
    </w:p>
    <w:p w:rsidR="00175BDE" w:rsidRPr="00D2726E" w:rsidRDefault="00850F87" w:rsidP="00FB2AB0">
      <w:pPr>
        <w:pStyle w:val="ONUMFS"/>
        <w:tabs>
          <w:tab w:val="clear" w:pos="567"/>
        </w:tabs>
        <w:rPr>
          <w:lang w:val="fr-FR"/>
        </w:rPr>
      </w:pPr>
      <w:r w:rsidRPr="00D2726E">
        <w:rPr>
          <w:lang w:val="fr-FR"/>
        </w:rPr>
        <w:t xml:space="preserve">Le </w:t>
      </w:r>
      <w:r w:rsidR="00FB2AB0" w:rsidRPr="00D2726E">
        <w:rPr>
          <w:lang w:val="fr-FR"/>
        </w:rPr>
        <w:t xml:space="preserve">Bureau </w:t>
      </w:r>
      <w:r w:rsidR="00EF2177" w:rsidRPr="00D2726E">
        <w:rPr>
          <w:lang w:val="fr-FR"/>
        </w:rPr>
        <w:t>international a indiqué que la quinz</w:t>
      </w:r>
      <w:r w:rsidR="009045B2" w:rsidRPr="00D2726E">
        <w:rPr>
          <w:lang w:val="fr-FR"/>
        </w:rPr>
        <w:t>ième session</w:t>
      </w:r>
      <w:r w:rsidR="00FB2AB0" w:rsidRPr="00D2726E">
        <w:rPr>
          <w:lang w:val="fr-FR"/>
        </w:rPr>
        <w:t xml:space="preserve"> </w:t>
      </w:r>
      <w:r w:rsidR="00EF2177" w:rsidRPr="00D2726E">
        <w:rPr>
          <w:lang w:val="fr-FR"/>
        </w:rPr>
        <w:t>du groupe de travail était provisoirement prévue pour mai/juin </w:t>
      </w:r>
      <w:r w:rsidR="00FB2AB0" w:rsidRPr="00D2726E">
        <w:rPr>
          <w:lang w:val="fr-FR"/>
        </w:rPr>
        <w:t>2022.</w:t>
      </w:r>
    </w:p>
    <w:p w:rsidR="00175BDE" w:rsidRPr="00D2726E" w:rsidRDefault="000113AE" w:rsidP="00175BDE">
      <w:pPr>
        <w:pStyle w:val="Heading1"/>
        <w:rPr>
          <w:lang w:val="fr-FR"/>
        </w:rPr>
      </w:pPr>
      <w:r w:rsidRPr="00D2726E">
        <w:rPr>
          <w:lang w:val="fr-FR"/>
        </w:rPr>
        <w:t>Point 1</w:t>
      </w:r>
      <w:r w:rsidR="00175BDE" w:rsidRPr="00D2726E">
        <w:rPr>
          <w:lang w:val="fr-FR"/>
        </w:rPr>
        <w:t>9 de l</w:t>
      </w:r>
      <w:r w:rsidR="009045B2" w:rsidRPr="00D2726E">
        <w:rPr>
          <w:lang w:val="fr-FR"/>
        </w:rPr>
        <w:t>’</w:t>
      </w:r>
      <w:r w:rsidR="00175BDE" w:rsidRPr="00D2726E">
        <w:rPr>
          <w:lang w:val="fr-FR"/>
        </w:rPr>
        <w:t>ordre du jour</w:t>
      </w:r>
      <w:r w:rsidR="009045B2" w:rsidRPr="00D2726E">
        <w:rPr>
          <w:lang w:val="fr-FR"/>
        </w:rPr>
        <w:t> :</w:t>
      </w:r>
      <w:r w:rsidR="00175BDE" w:rsidRPr="00D2726E">
        <w:rPr>
          <w:lang w:val="fr-FR"/>
        </w:rPr>
        <w:t xml:space="preserve"> résumé présenté par le président</w:t>
      </w:r>
    </w:p>
    <w:p w:rsidR="00175BDE" w:rsidRPr="00D2726E" w:rsidRDefault="00EF2177" w:rsidP="00EF2177">
      <w:pPr>
        <w:pStyle w:val="ONUMFS"/>
        <w:rPr>
          <w:lang w:val="fr-FR"/>
        </w:rPr>
      </w:pPr>
      <w:r w:rsidRPr="00D2726E">
        <w:rPr>
          <w:lang w:val="fr-FR"/>
        </w:rPr>
        <w:t>Le groupe de travail a noté que le présent document constituait un résumé établi sous la responsabilité de la présidente et que le compte rendu officiel figurerait dans le rapport de la session</w:t>
      </w:r>
      <w:r w:rsidR="00FB2AB0" w:rsidRPr="00D2726E">
        <w:rPr>
          <w:lang w:val="fr-FR"/>
        </w:rPr>
        <w:t>.</w:t>
      </w:r>
    </w:p>
    <w:p w:rsidR="00175BDE" w:rsidRPr="00D2726E" w:rsidRDefault="000113AE" w:rsidP="00175BDE">
      <w:pPr>
        <w:pStyle w:val="Heading1"/>
        <w:rPr>
          <w:lang w:val="fr-FR"/>
        </w:rPr>
      </w:pPr>
      <w:r w:rsidRPr="00D2726E">
        <w:rPr>
          <w:lang w:val="fr-FR"/>
        </w:rPr>
        <w:t>Point 2</w:t>
      </w:r>
      <w:r w:rsidR="00175BDE" w:rsidRPr="00D2726E">
        <w:rPr>
          <w:lang w:val="fr-FR"/>
        </w:rPr>
        <w:t>0 de l</w:t>
      </w:r>
      <w:r w:rsidR="009045B2" w:rsidRPr="00D2726E">
        <w:rPr>
          <w:lang w:val="fr-FR"/>
        </w:rPr>
        <w:t>’</w:t>
      </w:r>
      <w:r w:rsidR="00175BDE" w:rsidRPr="00D2726E">
        <w:rPr>
          <w:lang w:val="fr-FR"/>
        </w:rPr>
        <w:t>ordre du jour</w:t>
      </w:r>
      <w:r w:rsidR="009045B2" w:rsidRPr="00D2726E">
        <w:rPr>
          <w:lang w:val="fr-FR"/>
        </w:rPr>
        <w:t> :</w:t>
      </w:r>
      <w:r w:rsidR="00175BDE" w:rsidRPr="00D2726E">
        <w:rPr>
          <w:lang w:val="fr-FR"/>
        </w:rPr>
        <w:t xml:space="preserve"> clôture de la session</w:t>
      </w:r>
    </w:p>
    <w:p w:rsidR="00175BDE" w:rsidRPr="00D2726E" w:rsidRDefault="00175BDE" w:rsidP="00175BDE">
      <w:pPr>
        <w:pStyle w:val="ONUMFS"/>
        <w:rPr>
          <w:lang w:val="fr-FR"/>
        </w:rPr>
      </w:pPr>
      <w:r w:rsidRPr="00D2726E">
        <w:rPr>
          <w:lang w:val="fr-FR"/>
        </w:rPr>
        <w:t>La présidente a prononcé la clôture de la session le 1</w:t>
      </w:r>
      <w:r w:rsidR="000113AE" w:rsidRPr="00D2726E">
        <w:rPr>
          <w:lang w:val="fr-FR"/>
        </w:rPr>
        <w:t>7 juin 20</w:t>
      </w:r>
      <w:r w:rsidRPr="00D2726E">
        <w:rPr>
          <w:lang w:val="fr-FR"/>
        </w:rPr>
        <w:t>21.</w:t>
      </w:r>
    </w:p>
    <w:p w:rsidR="000F5E56" w:rsidRPr="00D2726E" w:rsidRDefault="00175BDE" w:rsidP="000040AB">
      <w:pPr>
        <w:pStyle w:val="Endofdocument-Annex"/>
        <w:spacing w:before="480"/>
        <w:rPr>
          <w:lang w:val="fr-FR"/>
        </w:rPr>
      </w:pPr>
      <w:r w:rsidRPr="00D2726E">
        <w:rPr>
          <w:lang w:val="fr-FR"/>
        </w:rPr>
        <w:t>[Fin du document]</w:t>
      </w:r>
    </w:p>
    <w:sectPr w:rsidR="000F5E56" w:rsidRPr="00D2726E" w:rsidSect="000B3B3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BDE" w:rsidRDefault="00175BDE">
      <w:r>
        <w:separator/>
      </w:r>
    </w:p>
  </w:endnote>
  <w:endnote w:type="continuationSeparator" w:id="0">
    <w:p w:rsidR="00175BDE" w:rsidRPr="009D30E6" w:rsidRDefault="00175BDE" w:rsidP="00D45252">
      <w:pPr>
        <w:rPr>
          <w:sz w:val="17"/>
          <w:szCs w:val="17"/>
        </w:rPr>
      </w:pPr>
      <w:r w:rsidRPr="009D30E6">
        <w:rPr>
          <w:sz w:val="17"/>
          <w:szCs w:val="17"/>
        </w:rPr>
        <w:separator/>
      </w:r>
    </w:p>
    <w:p w:rsidR="00175BDE" w:rsidRPr="009D30E6" w:rsidRDefault="00175BDE" w:rsidP="00D45252">
      <w:pPr>
        <w:spacing w:after="60"/>
        <w:rPr>
          <w:sz w:val="17"/>
          <w:szCs w:val="17"/>
        </w:rPr>
      </w:pPr>
      <w:r w:rsidRPr="009D30E6">
        <w:rPr>
          <w:sz w:val="17"/>
          <w:szCs w:val="17"/>
        </w:rPr>
        <w:t>[Suite de la note de la page précédente]</w:t>
      </w:r>
    </w:p>
  </w:endnote>
  <w:endnote w:type="continuationNotice" w:id="1">
    <w:p w:rsidR="00175BDE" w:rsidRPr="009D30E6" w:rsidRDefault="00175BD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B3B" w:rsidRDefault="000B3B3B" w:rsidP="000B3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B3B" w:rsidRDefault="000B3B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B3B" w:rsidRDefault="000B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BDE" w:rsidRDefault="00175BDE">
      <w:r>
        <w:separator/>
      </w:r>
    </w:p>
  </w:footnote>
  <w:footnote w:type="continuationSeparator" w:id="0">
    <w:p w:rsidR="00175BDE" w:rsidRDefault="00175BDE" w:rsidP="007461F1">
      <w:r>
        <w:separator/>
      </w:r>
    </w:p>
    <w:p w:rsidR="00175BDE" w:rsidRPr="009D30E6" w:rsidRDefault="00175BDE" w:rsidP="007461F1">
      <w:pPr>
        <w:spacing w:after="60"/>
        <w:rPr>
          <w:sz w:val="17"/>
          <w:szCs w:val="17"/>
        </w:rPr>
      </w:pPr>
      <w:r w:rsidRPr="009D30E6">
        <w:rPr>
          <w:sz w:val="17"/>
          <w:szCs w:val="17"/>
        </w:rPr>
        <w:t>[Suite de la note de la page précédente]</w:t>
      </w:r>
    </w:p>
  </w:footnote>
  <w:footnote w:type="continuationNotice" w:id="1">
    <w:p w:rsidR="00175BDE" w:rsidRPr="009D30E6" w:rsidRDefault="00175BDE"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B3B" w:rsidRPr="00963071" w:rsidRDefault="000B3B3B" w:rsidP="000B3B3B">
    <w:pPr>
      <w:jc w:val="right"/>
      <w:rPr>
        <w:caps/>
      </w:rPr>
    </w:pPr>
    <w:r>
      <w:rPr>
        <w:caps/>
      </w:rPr>
      <w:t>PCT/WG/14/18</w:t>
    </w:r>
  </w:p>
  <w:p w:rsidR="000B3B3B" w:rsidRDefault="000B3B3B" w:rsidP="000B3B3B">
    <w:pPr>
      <w:jc w:val="right"/>
    </w:pPr>
    <w:r>
      <w:t>page </w:t>
    </w:r>
    <w:r>
      <w:fldChar w:fldCharType="begin"/>
    </w:r>
    <w:r>
      <w:instrText xml:space="preserve"> PAGE  \* MERGEFORMAT </w:instrText>
    </w:r>
    <w:r>
      <w:fldChar w:fldCharType="separate"/>
    </w:r>
    <w:r w:rsidR="00F24C26">
      <w:rPr>
        <w:noProof/>
      </w:rPr>
      <w:t>2</w:t>
    </w:r>
    <w:r>
      <w:fldChar w:fldCharType="end"/>
    </w:r>
  </w:p>
  <w:p w:rsidR="000B3B3B" w:rsidRDefault="000B3B3B" w:rsidP="000B3B3B">
    <w:pPr>
      <w:jc w:val="right"/>
    </w:pPr>
  </w:p>
  <w:p w:rsidR="000B3B3B" w:rsidRDefault="000B3B3B" w:rsidP="000B3B3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963071" w:rsidRDefault="00175BDE" w:rsidP="00477D6B">
    <w:pPr>
      <w:jc w:val="right"/>
      <w:rPr>
        <w:caps/>
      </w:rPr>
    </w:pPr>
    <w:bookmarkStart w:id="6" w:name="Code2"/>
    <w:bookmarkEnd w:id="6"/>
    <w:r>
      <w:rPr>
        <w:caps/>
      </w:rPr>
      <w:t>PCT/WG/14/18</w:t>
    </w:r>
  </w:p>
  <w:p w:rsidR="00F16975" w:rsidRDefault="00175BDE" w:rsidP="00477D6B">
    <w:pPr>
      <w:jc w:val="right"/>
    </w:pPr>
    <w:r>
      <w:t>p</w:t>
    </w:r>
    <w:r w:rsidR="00F16975">
      <w:t>age</w:t>
    </w:r>
    <w:r>
      <w:t> </w:t>
    </w:r>
    <w:r w:rsidR="00F16975">
      <w:fldChar w:fldCharType="begin"/>
    </w:r>
    <w:r w:rsidR="00F16975">
      <w:instrText xml:space="preserve"> PAGE  \* MERGEFORMAT </w:instrText>
    </w:r>
    <w:r w:rsidR="00F16975">
      <w:fldChar w:fldCharType="separate"/>
    </w:r>
    <w:r w:rsidR="00F24C26">
      <w:rPr>
        <w:noProof/>
      </w:rPr>
      <w:t>3</w:t>
    </w:r>
    <w:r w:rsidR="00F16975">
      <w:fldChar w:fldCharType="end"/>
    </w:r>
  </w:p>
  <w:p w:rsidR="00F16975" w:rsidRDefault="00F16975" w:rsidP="00477D6B">
    <w:pPr>
      <w:jc w:val="right"/>
    </w:pPr>
  </w:p>
  <w:p w:rsidR="00574036" w:rsidRDefault="0057403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B3B" w:rsidRDefault="000B3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3C3884C2"/>
    <w:lvl w:ilvl="0">
      <w:start w:val="1"/>
      <w:numFmt w:val="decimal"/>
      <w:lvlRestart w:val="0"/>
      <w:pStyle w:val="ONUMFS"/>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fr-CH"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DE"/>
    <w:rsid w:val="000040AB"/>
    <w:rsid w:val="000040CC"/>
    <w:rsid w:val="000113AE"/>
    <w:rsid w:val="00011B7D"/>
    <w:rsid w:val="000453DC"/>
    <w:rsid w:val="00054405"/>
    <w:rsid w:val="00075432"/>
    <w:rsid w:val="0009458A"/>
    <w:rsid w:val="000B3B3B"/>
    <w:rsid w:val="000B7316"/>
    <w:rsid w:val="000C37E9"/>
    <w:rsid w:val="000F5E56"/>
    <w:rsid w:val="00105970"/>
    <w:rsid w:val="001362EE"/>
    <w:rsid w:val="00175BDE"/>
    <w:rsid w:val="001832A6"/>
    <w:rsid w:val="00195C6E"/>
    <w:rsid w:val="001B266A"/>
    <w:rsid w:val="001C6508"/>
    <w:rsid w:val="001D3D56"/>
    <w:rsid w:val="001F435C"/>
    <w:rsid w:val="00210EAE"/>
    <w:rsid w:val="002136B7"/>
    <w:rsid w:val="002234E4"/>
    <w:rsid w:val="00240654"/>
    <w:rsid w:val="002634C4"/>
    <w:rsid w:val="002956DE"/>
    <w:rsid w:val="002E4D1A"/>
    <w:rsid w:val="002F16BC"/>
    <w:rsid w:val="002F4E68"/>
    <w:rsid w:val="00322C0B"/>
    <w:rsid w:val="00353E30"/>
    <w:rsid w:val="00381798"/>
    <w:rsid w:val="003845C1"/>
    <w:rsid w:val="003929E7"/>
    <w:rsid w:val="003A67A3"/>
    <w:rsid w:val="003E216E"/>
    <w:rsid w:val="004008A2"/>
    <w:rsid w:val="004025DF"/>
    <w:rsid w:val="0040540C"/>
    <w:rsid w:val="00423E3E"/>
    <w:rsid w:val="00427AF4"/>
    <w:rsid w:val="004647DA"/>
    <w:rsid w:val="00477D6B"/>
    <w:rsid w:val="004A1DFC"/>
    <w:rsid w:val="004C784F"/>
    <w:rsid w:val="004D6471"/>
    <w:rsid w:val="0051455D"/>
    <w:rsid w:val="00525B63"/>
    <w:rsid w:val="00525E59"/>
    <w:rsid w:val="00541348"/>
    <w:rsid w:val="005421DD"/>
    <w:rsid w:val="00554FA5"/>
    <w:rsid w:val="00567A4C"/>
    <w:rsid w:val="00574036"/>
    <w:rsid w:val="00595F07"/>
    <w:rsid w:val="005A1E58"/>
    <w:rsid w:val="005C5D69"/>
    <w:rsid w:val="005E6516"/>
    <w:rsid w:val="00605827"/>
    <w:rsid w:val="00616671"/>
    <w:rsid w:val="006B0DB5"/>
    <w:rsid w:val="006E17B4"/>
    <w:rsid w:val="007276C3"/>
    <w:rsid w:val="007372C6"/>
    <w:rsid w:val="007461F1"/>
    <w:rsid w:val="0076191F"/>
    <w:rsid w:val="007978FF"/>
    <w:rsid w:val="007C0E08"/>
    <w:rsid w:val="007D6961"/>
    <w:rsid w:val="007F07CB"/>
    <w:rsid w:val="00810CEF"/>
    <w:rsid w:val="0081208D"/>
    <w:rsid w:val="00833250"/>
    <w:rsid w:val="00850F87"/>
    <w:rsid w:val="00871401"/>
    <w:rsid w:val="008B2CC1"/>
    <w:rsid w:val="008E7930"/>
    <w:rsid w:val="009045B2"/>
    <w:rsid w:val="00904F75"/>
    <w:rsid w:val="0090731E"/>
    <w:rsid w:val="00963071"/>
    <w:rsid w:val="00966A22"/>
    <w:rsid w:val="00974CD6"/>
    <w:rsid w:val="009D30E6"/>
    <w:rsid w:val="009E3F6F"/>
    <w:rsid w:val="009F499F"/>
    <w:rsid w:val="009F7AE7"/>
    <w:rsid w:val="00A11D74"/>
    <w:rsid w:val="00A36D82"/>
    <w:rsid w:val="00AB76A1"/>
    <w:rsid w:val="00AC0AE4"/>
    <w:rsid w:val="00AD2F84"/>
    <w:rsid w:val="00AD61DB"/>
    <w:rsid w:val="00AF2AA6"/>
    <w:rsid w:val="00B1090C"/>
    <w:rsid w:val="00B33BCB"/>
    <w:rsid w:val="00B35AF5"/>
    <w:rsid w:val="00B93C5A"/>
    <w:rsid w:val="00BE0BE0"/>
    <w:rsid w:val="00BF7E63"/>
    <w:rsid w:val="00C664C8"/>
    <w:rsid w:val="00CD6C0F"/>
    <w:rsid w:val="00CF0460"/>
    <w:rsid w:val="00D20C96"/>
    <w:rsid w:val="00D2726E"/>
    <w:rsid w:val="00D43E0F"/>
    <w:rsid w:val="00D45252"/>
    <w:rsid w:val="00D647DE"/>
    <w:rsid w:val="00D71B4D"/>
    <w:rsid w:val="00D75C1E"/>
    <w:rsid w:val="00D93CDB"/>
    <w:rsid w:val="00D93D55"/>
    <w:rsid w:val="00DB1C48"/>
    <w:rsid w:val="00DB7445"/>
    <w:rsid w:val="00DD4917"/>
    <w:rsid w:val="00DD6A16"/>
    <w:rsid w:val="00E0091A"/>
    <w:rsid w:val="00E203AA"/>
    <w:rsid w:val="00E5217A"/>
    <w:rsid w:val="00E527A5"/>
    <w:rsid w:val="00E6221E"/>
    <w:rsid w:val="00E6395D"/>
    <w:rsid w:val="00E76456"/>
    <w:rsid w:val="00EA54BC"/>
    <w:rsid w:val="00ED12C4"/>
    <w:rsid w:val="00ED3E6D"/>
    <w:rsid w:val="00EE71CB"/>
    <w:rsid w:val="00EF2177"/>
    <w:rsid w:val="00F16975"/>
    <w:rsid w:val="00F24C26"/>
    <w:rsid w:val="00F66152"/>
    <w:rsid w:val="00F763B6"/>
    <w:rsid w:val="00F92BEF"/>
    <w:rsid w:val="00FB2AB0"/>
    <w:rsid w:val="00FC2D6D"/>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1587189"/>
  <w15:docId w15:val="{33438738-2E17-4381-A3B0-04990291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175BDE"/>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175BDE"/>
    <w:pPr>
      <w:spacing w:before="0" w:after="600"/>
    </w:pPr>
    <w:rPr>
      <w:caps w:val="0"/>
      <w:sz w:val="28"/>
    </w:rPr>
  </w:style>
  <w:style w:type="character" w:customStyle="1" w:styleId="TitleChar">
    <w:name w:val="Title Char"/>
    <w:basedOn w:val="DefaultParagraphFont"/>
    <w:link w:val="Title"/>
    <w:rsid w:val="00175BDE"/>
    <w:rPr>
      <w:rFonts w:ascii="Arial" w:eastAsia="SimSun" w:hAnsi="Arial" w:cs="Arial"/>
      <w:b/>
      <w:bCs/>
      <w:kern w:val="32"/>
      <w:sz w:val="28"/>
      <w:szCs w:val="32"/>
      <w:lang w:eastAsia="zh-CN"/>
    </w:rPr>
  </w:style>
  <w:style w:type="paragraph" w:styleId="ListParagraph">
    <w:name w:val="List Paragraph"/>
    <w:basedOn w:val="Normal"/>
    <w:uiPriority w:val="34"/>
    <w:qFormat/>
    <w:rsid w:val="00175BDE"/>
    <w:pPr>
      <w:ind w:left="720"/>
      <w:contextualSpacing/>
    </w:pPr>
  </w:style>
  <w:style w:type="character" w:styleId="Hyperlink">
    <w:name w:val="Hyperlink"/>
    <w:basedOn w:val="DefaultParagraphFont"/>
    <w:semiHidden/>
    <w:unhideWhenUsed/>
    <w:rsid w:val="00353E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CD270-803A-465B-B51F-7F37B7BC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14 (F)</Template>
  <TotalTime>3</TotalTime>
  <Pages>8</Pages>
  <Words>3787</Words>
  <Characters>20574</Characters>
  <Application>Microsoft Office Word</Application>
  <DocSecurity>0</DocSecurity>
  <Lines>317</Lines>
  <Paragraphs>101</Paragraphs>
  <ScaleCrop>false</ScaleCrop>
  <HeadingPairs>
    <vt:vector size="2" baseType="variant">
      <vt:variant>
        <vt:lpstr>Title</vt:lpstr>
      </vt:variant>
      <vt:variant>
        <vt:i4>1</vt:i4>
      </vt:variant>
    </vt:vector>
  </HeadingPairs>
  <TitlesOfParts>
    <vt:vector size="1" baseType="lpstr">
      <vt:lpstr>PCT/WG/14/18</vt:lpstr>
    </vt:vector>
  </TitlesOfParts>
  <Company>WIPO</Company>
  <LinksUpToDate>false</LinksUpToDate>
  <CharactersWithSpaces>24313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PCT/WG/14/18</dc:title>
  <dc:subject>Résumé présenté par la présidente</dc:subject>
  <dc:creator>OLIVIÉ Karen</dc:creator>
  <cp:keywords>PUBLIC</cp:keywords>
  <cp:lastModifiedBy>MARLOW Thomas</cp:lastModifiedBy>
  <cp:revision>5</cp:revision>
  <cp:lastPrinted>2011-05-19T12:37:00Z</cp:lastPrinted>
  <dcterms:created xsi:type="dcterms:W3CDTF">2021-06-18T15:47:00Z</dcterms:created>
  <dcterms:modified xsi:type="dcterms:W3CDTF">2021-06-18T16:08:00Z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cda68173-4a29-4b1c-a09d-b7d039a58e60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