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57BF0" w:rsidRPr="008B2CC1" w14:paraId="55A0B81B" w14:textId="77777777" w:rsidTr="00E74AC0">
        <w:tc>
          <w:tcPr>
            <w:tcW w:w="4513" w:type="dxa"/>
            <w:tcBorders>
              <w:bottom w:val="single" w:sz="4" w:space="0" w:color="auto"/>
            </w:tcBorders>
            <w:tcMar>
              <w:bottom w:w="170" w:type="dxa"/>
            </w:tcMar>
          </w:tcPr>
          <w:p w14:paraId="3C6DA99F" w14:textId="77777777" w:rsidR="00157BF0" w:rsidRPr="008B2CC1" w:rsidRDefault="00157BF0" w:rsidP="00E74AC0">
            <w:bookmarkStart w:id="0" w:name="TitleOfDoc"/>
            <w:bookmarkStart w:id="1" w:name="_GoBack"/>
            <w:bookmarkEnd w:id="0"/>
            <w:bookmarkEnd w:id="1"/>
          </w:p>
        </w:tc>
        <w:tc>
          <w:tcPr>
            <w:tcW w:w="4337" w:type="dxa"/>
            <w:tcBorders>
              <w:bottom w:val="single" w:sz="4" w:space="0" w:color="auto"/>
            </w:tcBorders>
            <w:tcMar>
              <w:left w:w="0" w:type="dxa"/>
              <w:right w:w="0" w:type="dxa"/>
            </w:tcMar>
          </w:tcPr>
          <w:p w14:paraId="5610FF31" w14:textId="77777777" w:rsidR="00157BF0" w:rsidRPr="008B2CC1" w:rsidRDefault="00157BF0" w:rsidP="00E74AC0">
            <w:r>
              <w:rPr>
                <w:noProof/>
                <w:lang w:val="en-GB" w:eastAsia="en-GB"/>
              </w:rPr>
              <w:drawing>
                <wp:inline distT="0" distB="0" distL="0" distR="0" wp14:anchorId="230D8A5B" wp14:editId="59818BB7">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651AF11C" w14:textId="77777777" w:rsidR="00157BF0" w:rsidRPr="008B2CC1" w:rsidRDefault="00157BF0" w:rsidP="00E74AC0">
            <w:pPr>
              <w:jc w:val="right"/>
            </w:pPr>
            <w:r>
              <w:rPr>
                <w:b/>
                <w:sz w:val="40"/>
                <w:szCs w:val="40"/>
              </w:rPr>
              <w:t>F</w:t>
            </w:r>
          </w:p>
        </w:tc>
      </w:tr>
      <w:tr w:rsidR="00157BF0" w:rsidRPr="001832A6" w14:paraId="1E468FDB" w14:textId="77777777" w:rsidTr="00E74AC0">
        <w:trPr>
          <w:trHeight w:hRule="exact" w:val="357"/>
        </w:trPr>
        <w:tc>
          <w:tcPr>
            <w:tcW w:w="9356" w:type="dxa"/>
            <w:gridSpan w:val="3"/>
            <w:tcBorders>
              <w:top w:val="single" w:sz="4" w:space="0" w:color="auto"/>
            </w:tcBorders>
            <w:tcMar>
              <w:top w:w="170" w:type="dxa"/>
              <w:left w:w="0" w:type="dxa"/>
              <w:right w:w="0" w:type="dxa"/>
            </w:tcMar>
            <w:vAlign w:val="bottom"/>
          </w:tcPr>
          <w:p w14:paraId="11C3C418" w14:textId="77777777" w:rsidR="00157BF0" w:rsidRPr="0090731E" w:rsidRDefault="00157BF0" w:rsidP="00E74AC0">
            <w:pPr>
              <w:jc w:val="right"/>
              <w:rPr>
                <w:rFonts w:ascii="Arial Black" w:hAnsi="Arial Black"/>
                <w:caps/>
                <w:sz w:val="15"/>
              </w:rPr>
            </w:pPr>
            <w:r>
              <w:rPr>
                <w:rFonts w:ascii="Arial Black" w:hAnsi="Arial Black"/>
                <w:caps/>
                <w:sz w:val="15"/>
              </w:rPr>
              <w:t>PCT/WG/12/</w:t>
            </w:r>
            <w:bookmarkStart w:id="2" w:name="Code"/>
            <w:bookmarkEnd w:id="2"/>
            <w:r>
              <w:rPr>
                <w:rFonts w:ascii="Arial Black" w:hAnsi="Arial Black"/>
                <w:caps/>
                <w:sz w:val="15"/>
              </w:rPr>
              <w:t>19</w:t>
            </w:r>
          </w:p>
        </w:tc>
      </w:tr>
      <w:tr w:rsidR="00157BF0" w:rsidRPr="001832A6" w14:paraId="4E9E9148" w14:textId="77777777" w:rsidTr="00E74AC0">
        <w:trPr>
          <w:trHeight w:hRule="exact" w:val="170"/>
        </w:trPr>
        <w:tc>
          <w:tcPr>
            <w:tcW w:w="9356" w:type="dxa"/>
            <w:gridSpan w:val="3"/>
            <w:noWrap/>
            <w:tcMar>
              <w:left w:w="0" w:type="dxa"/>
              <w:right w:w="0" w:type="dxa"/>
            </w:tcMar>
            <w:vAlign w:val="bottom"/>
          </w:tcPr>
          <w:p w14:paraId="140994CF" w14:textId="53551D03" w:rsidR="00157BF0" w:rsidRPr="0090731E" w:rsidRDefault="00157BF0" w:rsidP="00E74AC0">
            <w:pPr>
              <w:jc w:val="right"/>
              <w:rPr>
                <w:rFonts w:ascii="Arial Black" w:hAnsi="Arial Black"/>
                <w:caps/>
                <w:sz w:val="15"/>
              </w:rPr>
            </w:pPr>
            <w:r w:rsidRPr="0090731E">
              <w:rPr>
                <w:rFonts w:ascii="Arial Black" w:hAnsi="Arial Black"/>
                <w:caps/>
                <w:sz w:val="15"/>
              </w:rPr>
              <w:t>ORIGINAL</w:t>
            </w:r>
            <w:r w:rsidR="001C63CD">
              <w:rPr>
                <w:rFonts w:ascii="Arial Black" w:hAnsi="Arial Black"/>
                <w:caps/>
                <w:sz w:val="15"/>
              </w:rPr>
              <w:t> :</w:t>
            </w:r>
            <w:r>
              <w:rPr>
                <w:rFonts w:ascii="Arial Black" w:hAnsi="Arial Black"/>
                <w:caps/>
                <w:sz w:val="15"/>
              </w:rPr>
              <w:t xml:space="preserve"> </w:t>
            </w:r>
            <w:bookmarkStart w:id="3" w:name="Original"/>
            <w:bookmarkEnd w:id="3"/>
            <w:r>
              <w:rPr>
                <w:rFonts w:ascii="Arial Black" w:hAnsi="Arial Black"/>
                <w:caps/>
                <w:sz w:val="15"/>
              </w:rPr>
              <w:t>anglais</w:t>
            </w:r>
            <w:r w:rsidRPr="0090731E">
              <w:rPr>
                <w:rFonts w:ascii="Arial Black" w:hAnsi="Arial Black"/>
                <w:caps/>
                <w:sz w:val="15"/>
              </w:rPr>
              <w:t xml:space="preserve"> </w:t>
            </w:r>
          </w:p>
        </w:tc>
      </w:tr>
      <w:tr w:rsidR="00157BF0" w:rsidRPr="001832A6" w14:paraId="6E06E9A3" w14:textId="77777777" w:rsidTr="00E74AC0">
        <w:trPr>
          <w:trHeight w:hRule="exact" w:val="198"/>
        </w:trPr>
        <w:tc>
          <w:tcPr>
            <w:tcW w:w="9356" w:type="dxa"/>
            <w:gridSpan w:val="3"/>
            <w:tcMar>
              <w:left w:w="0" w:type="dxa"/>
              <w:right w:w="0" w:type="dxa"/>
            </w:tcMar>
            <w:vAlign w:val="bottom"/>
          </w:tcPr>
          <w:p w14:paraId="343846F5" w14:textId="2AE6B6E3" w:rsidR="00157BF0" w:rsidRPr="0090731E" w:rsidRDefault="00157BF0" w:rsidP="00E74AC0">
            <w:pPr>
              <w:jc w:val="right"/>
              <w:rPr>
                <w:rFonts w:ascii="Arial Black" w:hAnsi="Arial Black"/>
                <w:caps/>
                <w:sz w:val="15"/>
              </w:rPr>
            </w:pPr>
            <w:r w:rsidRPr="0090731E">
              <w:rPr>
                <w:rFonts w:ascii="Arial Black" w:hAnsi="Arial Black"/>
                <w:caps/>
                <w:sz w:val="15"/>
              </w:rPr>
              <w:t>DATE</w:t>
            </w:r>
            <w:r w:rsidR="001C63CD">
              <w:rPr>
                <w:rFonts w:ascii="Arial Black" w:hAnsi="Arial Black"/>
                <w:caps/>
                <w:sz w:val="15"/>
              </w:rPr>
              <w:t> :</w:t>
            </w:r>
            <w:r>
              <w:rPr>
                <w:rFonts w:ascii="Arial Black" w:hAnsi="Arial Black"/>
                <w:caps/>
                <w:sz w:val="15"/>
              </w:rPr>
              <w:t xml:space="preserve"> </w:t>
            </w:r>
            <w:bookmarkStart w:id="4" w:name="Date"/>
            <w:bookmarkEnd w:id="4"/>
            <w:r w:rsidR="001C63CD">
              <w:rPr>
                <w:rFonts w:ascii="Arial Black" w:hAnsi="Arial Black"/>
                <w:caps/>
                <w:sz w:val="15"/>
              </w:rPr>
              <w:t>4 juin 20</w:t>
            </w:r>
            <w:r>
              <w:rPr>
                <w:rFonts w:ascii="Arial Black" w:hAnsi="Arial Black"/>
                <w:caps/>
                <w:sz w:val="15"/>
              </w:rPr>
              <w:t>19</w:t>
            </w:r>
            <w:r w:rsidRPr="0090731E">
              <w:rPr>
                <w:rFonts w:ascii="Arial Black" w:hAnsi="Arial Black"/>
                <w:caps/>
                <w:sz w:val="15"/>
              </w:rPr>
              <w:t xml:space="preserve"> </w:t>
            </w:r>
          </w:p>
        </w:tc>
      </w:tr>
    </w:tbl>
    <w:p w14:paraId="1A3DFABE" w14:textId="77777777" w:rsidR="00157BF0" w:rsidRPr="008B2CC1" w:rsidRDefault="00157BF0" w:rsidP="00157BF0"/>
    <w:p w14:paraId="56C90D7C" w14:textId="77777777" w:rsidR="00157BF0" w:rsidRPr="008B2CC1" w:rsidRDefault="00157BF0" w:rsidP="00157BF0"/>
    <w:p w14:paraId="7A172C4E" w14:textId="77777777" w:rsidR="00157BF0" w:rsidRPr="008B2CC1" w:rsidRDefault="00157BF0" w:rsidP="00157BF0"/>
    <w:p w14:paraId="660B9981" w14:textId="77777777" w:rsidR="00157BF0" w:rsidRPr="008B2CC1" w:rsidRDefault="00157BF0" w:rsidP="00157BF0"/>
    <w:p w14:paraId="660CDCBA" w14:textId="77777777" w:rsidR="00157BF0" w:rsidRPr="008B2CC1" w:rsidRDefault="00157BF0" w:rsidP="00157BF0"/>
    <w:p w14:paraId="167CB6DF" w14:textId="77777777" w:rsidR="00157BF0" w:rsidRPr="003845C1" w:rsidRDefault="00157BF0" w:rsidP="00157BF0">
      <w:pPr>
        <w:rPr>
          <w:b/>
          <w:sz w:val="28"/>
          <w:szCs w:val="28"/>
        </w:rPr>
      </w:pPr>
      <w:r w:rsidRPr="00B94B99">
        <w:rPr>
          <w:b/>
          <w:sz w:val="28"/>
          <w:szCs w:val="28"/>
        </w:rPr>
        <w:t>Groupe de travail du Traité de coopération en matière de brevets (PCT)</w:t>
      </w:r>
    </w:p>
    <w:p w14:paraId="498040AF" w14:textId="77777777" w:rsidR="00157BF0" w:rsidRDefault="00157BF0" w:rsidP="00157BF0"/>
    <w:p w14:paraId="583E51D7" w14:textId="77777777" w:rsidR="00157BF0" w:rsidRDefault="00157BF0" w:rsidP="00157BF0"/>
    <w:p w14:paraId="69D67DE5" w14:textId="6C899811" w:rsidR="00157BF0" w:rsidRPr="00B94B99" w:rsidRDefault="00157BF0" w:rsidP="00157BF0">
      <w:pPr>
        <w:rPr>
          <w:b/>
          <w:sz w:val="24"/>
          <w:szCs w:val="24"/>
        </w:rPr>
      </w:pPr>
      <w:r>
        <w:rPr>
          <w:b/>
          <w:sz w:val="24"/>
          <w:szCs w:val="24"/>
        </w:rPr>
        <w:t>Douz</w:t>
      </w:r>
      <w:r w:rsidR="001C63CD">
        <w:rPr>
          <w:b/>
          <w:sz w:val="24"/>
          <w:szCs w:val="24"/>
        </w:rPr>
        <w:t>ième session</w:t>
      </w:r>
    </w:p>
    <w:p w14:paraId="64A89D65" w14:textId="4EA50D48" w:rsidR="00157BF0" w:rsidRPr="003845C1" w:rsidRDefault="00157BF0" w:rsidP="00157BF0">
      <w:pPr>
        <w:rPr>
          <w:b/>
          <w:sz w:val="24"/>
          <w:szCs w:val="24"/>
        </w:rPr>
      </w:pPr>
      <w:r>
        <w:rPr>
          <w:b/>
          <w:sz w:val="24"/>
          <w:szCs w:val="24"/>
        </w:rPr>
        <w:t>Genève, 11 – 1</w:t>
      </w:r>
      <w:r w:rsidR="001C63CD">
        <w:rPr>
          <w:b/>
          <w:sz w:val="24"/>
          <w:szCs w:val="24"/>
        </w:rPr>
        <w:t>4 juin 20</w:t>
      </w:r>
      <w:r>
        <w:rPr>
          <w:b/>
          <w:sz w:val="24"/>
          <w:szCs w:val="24"/>
        </w:rPr>
        <w:t>19</w:t>
      </w:r>
    </w:p>
    <w:p w14:paraId="33AB186A" w14:textId="77777777" w:rsidR="00157BF0" w:rsidRPr="008B2CC1" w:rsidRDefault="00157BF0" w:rsidP="00157BF0"/>
    <w:p w14:paraId="45D4637D" w14:textId="77777777" w:rsidR="00157BF0" w:rsidRPr="008B2CC1" w:rsidRDefault="00157BF0" w:rsidP="00157BF0"/>
    <w:p w14:paraId="7FF98919" w14:textId="77777777" w:rsidR="00157BF0" w:rsidRPr="008B2CC1" w:rsidRDefault="00157BF0" w:rsidP="00157BF0"/>
    <w:p w14:paraId="4B056DBE" w14:textId="16B2C999" w:rsidR="008B2CC1" w:rsidRPr="00157BF0" w:rsidRDefault="00157BF0" w:rsidP="008B2CC1">
      <w:pPr>
        <w:rPr>
          <w:caps/>
          <w:sz w:val="24"/>
          <w:lang w:val="fr-FR"/>
        </w:rPr>
      </w:pPr>
      <w:r w:rsidRPr="00157BF0">
        <w:rPr>
          <w:caps/>
          <w:sz w:val="24"/>
          <w:lang w:val="fr-FR"/>
        </w:rPr>
        <w:t xml:space="preserve">Rapport </w:t>
      </w:r>
      <w:r w:rsidR="00C9206C" w:rsidRPr="00157BF0">
        <w:rPr>
          <w:caps/>
          <w:sz w:val="24"/>
          <w:lang w:val="fr-FR"/>
        </w:rPr>
        <w:t>sur l</w:t>
      </w:r>
      <w:r w:rsidR="001C63CD">
        <w:rPr>
          <w:caps/>
          <w:sz w:val="24"/>
          <w:lang w:val="fr-FR"/>
        </w:rPr>
        <w:t>’</w:t>
      </w:r>
      <w:r w:rsidR="00C9206C" w:rsidRPr="00157BF0">
        <w:rPr>
          <w:caps/>
          <w:sz w:val="24"/>
          <w:lang w:val="fr-FR"/>
        </w:rPr>
        <w:t>état d</w:t>
      </w:r>
      <w:r w:rsidR="001C63CD">
        <w:rPr>
          <w:caps/>
          <w:sz w:val="24"/>
          <w:lang w:val="fr-FR"/>
        </w:rPr>
        <w:t>’</w:t>
      </w:r>
      <w:r w:rsidR="00C9206C" w:rsidRPr="00157BF0">
        <w:rPr>
          <w:caps/>
          <w:sz w:val="24"/>
          <w:lang w:val="fr-FR"/>
        </w:rPr>
        <w:t>avancement du projet pilote de compensation des taxes</w:t>
      </w:r>
      <w:r w:rsidR="001C63CD" w:rsidRPr="00157BF0">
        <w:rPr>
          <w:caps/>
          <w:sz w:val="24"/>
          <w:lang w:val="fr-FR"/>
        </w:rPr>
        <w:t xml:space="preserve"> du</w:t>
      </w:r>
      <w:r w:rsidR="001C63CD">
        <w:rPr>
          <w:caps/>
          <w:sz w:val="24"/>
          <w:lang w:val="fr-FR"/>
        </w:rPr>
        <w:t> </w:t>
      </w:r>
      <w:r w:rsidR="001C63CD" w:rsidRPr="00157BF0">
        <w:rPr>
          <w:caps/>
          <w:sz w:val="24"/>
          <w:lang w:val="fr-FR"/>
        </w:rPr>
        <w:t>PCT</w:t>
      </w:r>
    </w:p>
    <w:p w14:paraId="2A4FFB99" w14:textId="77777777" w:rsidR="008B2CC1" w:rsidRPr="003744C1" w:rsidRDefault="008B2CC1" w:rsidP="008B2CC1">
      <w:pPr>
        <w:rPr>
          <w:lang w:val="fr-FR"/>
        </w:rPr>
      </w:pPr>
    </w:p>
    <w:p w14:paraId="5973F3CC" w14:textId="7CCBABB7" w:rsidR="008B2CC1" w:rsidRPr="003744C1" w:rsidRDefault="008E655E" w:rsidP="008B2CC1">
      <w:pPr>
        <w:rPr>
          <w:i/>
          <w:lang w:val="fr-FR"/>
        </w:rPr>
      </w:pPr>
      <w:bookmarkStart w:id="5" w:name="Prepared"/>
      <w:bookmarkEnd w:id="5"/>
      <w:r w:rsidRPr="003744C1">
        <w:rPr>
          <w:i/>
          <w:lang w:val="fr-FR"/>
        </w:rPr>
        <w:t xml:space="preserve">Document </w:t>
      </w:r>
      <w:r w:rsidR="00C9206C" w:rsidRPr="003744C1">
        <w:rPr>
          <w:i/>
          <w:lang w:val="fr-FR"/>
        </w:rPr>
        <w:t>établi par le Bureau international</w:t>
      </w:r>
    </w:p>
    <w:p w14:paraId="505CC36F" w14:textId="77777777" w:rsidR="00AC205C" w:rsidRPr="003744C1" w:rsidRDefault="00AC205C">
      <w:pPr>
        <w:rPr>
          <w:lang w:val="fr-FR"/>
        </w:rPr>
      </w:pPr>
    </w:p>
    <w:p w14:paraId="11C24980" w14:textId="77777777" w:rsidR="000F5E56" w:rsidRPr="003744C1" w:rsidRDefault="000F5E56">
      <w:pPr>
        <w:rPr>
          <w:lang w:val="fr-FR"/>
        </w:rPr>
      </w:pPr>
    </w:p>
    <w:p w14:paraId="658A749C" w14:textId="0B2C5D0D" w:rsidR="002928D3" w:rsidRDefault="002928D3">
      <w:pPr>
        <w:rPr>
          <w:lang w:val="fr-FR"/>
        </w:rPr>
      </w:pPr>
    </w:p>
    <w:p w14:paraId="3FFA7737" w14:textId="77777777" w:rsidR="00157BF0" w:rsidRPr="003744C1" w:rsidRDefault="00157BF0">
      <w:pPr>
        <w:rPr>
          <w:lang w:val="fr-FR"/>
        </w:rPr>
      </w:pPr>
    </w:p>
    <w:p w14:paraId="0BA87EF5" w14:textId="09688A46" w:rsidR="007050D3" w:rsidRDefault="00E43119" w:rsidP="00157BF0">
      <w:pPr>
        <w:pStyle w:val="Heading1"/>
        <w:rPr>
          <w:lang w:val="fr-FR"/>
        </w:rPr>
      </w:pPr>
      <w:r w:rsidRPr="003744C1">
        <w:rPr>
          <w:lang w:val="fr-FR"/>
        </w:rPr>
        <w:t>Résumé</w:t>
      </w:r>
    </w:p>
    <w:p w14:paraId="0A8D463F" w14:textId="77777777" w:rsidR="00157BF0" w:rsidRPr="00157BF0" w:rsidRDefault="00157BF0" w:rsidP="00157BF0">
      <w:pPr>
        <w:rPr>
          <w:lang w:val="fr-FR"/>
        </w:rPr>
      </w:pPr>
    </w:p>
    <w:p w14:paraId="2C42C974" w14:textId="5A4579D1" w:rsidR="001C63CD" w:rsidRDefault="00441650" w:rsidP="00157BF0">
      <w:pPr>
        <w:pStyle w:val="ONUMFS"/>
        <w:rPr>
          <w:lang w:val="fr-FR"/>
        </w:rPr>
      </w:pPr>
      <w:r w:rsidRPr="003744C1">
        <w:rPr>
          <w:lang w:val="fr-FR"/>
        </w:rPr>
        <w:t>Le présent document fait le point sur l</w:t>
      </w:r>
      <w:r w:rsidR="001C63CD">
        <w:rPr>
          <w:lang w:val="fr-FR"/>
        </w:rPr>
        <w:t>’</w:t>
      </w:r>
      <w:r w:rsidRPr="003744C1">
        <w:rPr>
          <w:lang w:val="fr-FR"/>
        </w:rPr>
        <w:t>état d</w:t>
      </w:r>
      <w:r w:rsidR="001C63CD">
        <w:rPr>
          <w:lang w:val="fr-FR"/>
        </w:rPr>
        <w:t>’</w:t>
      </w:r>
      <w:r w:rsidRPr="003744C1">
        <w:rPr>
          <w:lang w:val="fr-FR"/>
        </w:rPr>
        <w:t>avancement du projet pilote de compensation de certaines taxes</w:t>
      </w:r>
      <w:r w:rsidR="001C63CD" w:rsidRPr="003744C1">
        <w:rPr>
          <w:lang w:val="fr-FR"/>
        </w:rPr>
        <w:t xml:space="preserve"> du</w:t>
      </w:r>
      <w:r w:rsidR="001C63CD">
        <w:rPr>
          <w:lang w:val="fr-FR"/>
        </w:rPr>
        <w:t> </w:t>
      </w:r>
      <w:r w:rsidR="001C63CD" w:rsidRPr="003744C1">
        <w:rPr>
          <w:lang w:val="fr-FR"/>
        </w:rPr>
        <w:t>PCT</w:t>
      </w:r>
      <w:r w:rsidRPr="003744C1">
        <w:rPr>
          <w:lang w:val="fr-FR"/>
        </w:rPr>
        <w:t>, qui vise à analyser la possibilité de mettre en place une “structure de compensation” pour toutes les transactions relatives aux taxes</w:t>
      </w:r>
      <w:r w:rsidR="001C63CD" w:rsidRPr="003744C1">
        <w:rPr>
          <w:lang w:val="fr-FR"/>
        </w:rPr>
        <w:t xml:space="preserve"> du</w:t>
      </w:r>
      <w:r w:rsidR="001C63CD">
        <w:rPr>
          <w:lang w:val="fr-FR"/>
        </w:rPr>
        <w:t> </w:t>
      </w:r>
      <w:r w:rsidR="005C097F" w:rsidRPr="003744C1">
        <w:rPr>
          <w:lang w:val="fr-FR"/>
        </w:rPr>
        <w:t>PCT</w:t>
      </w:r>
      <w:r w:rsidR="005C097F">
        <w:rPr>
          <w:lang w:val="fr-FR"/>
        </w:rPr>
        <w:t xml:space="preserve">.  </w:t>
      </w:r>
      <w:r w:rsidR="005C097F" w:rsidRPr="003744C1">
        <w:rPr>
          <w:lang w:val="fr-FR"/>
        </w:rPr>
        <w:t>Le</w:t>
      </w:r>
      <w:r w:rsidR="00C22F3E" w:rsidRPr="003744C1">
        <w:rPr>
          <w:lang w:val="fr-FR"/>
        </w:rPr>
        <w:t xml:space="preserve"> principal objectif de ce</w:t>
      </w:r>
      <w:r w:rsidR="00E81B75" w:rsidRPr="003744C1">
        <w:rPr>
          <w:lang w:val="fr-FR"/>
        </w:rPr>
        <w:t xml:space="preserve"> mécanism</w:t>
      </w:r>
      <w:r w:rsidR="00C22F3E" w:rsidRPr="003744C1">
        <w:rPr>
          <w:lang w:val="fr-FR"/>
        </w:rPr>
        <w:t>e de compensation est de réduire l</w:t>
      </w:r>
      <w:r w:rsidR="001C63CD">
        <w:rPr>
          <w:lang w:val="fr-FR"/>
        </w:rPr>
        <w:t>’</w:t>
      </w:r>
      <w:r w:rsidR="00C22F3E" w:rsidRPr="003744C1">
        <w:rPr>
          <w:lang w:val="fr-FR"/>
        </w:rPr>
        <w:t>incidence des variations de taux de change sur les recettes de taxes du Bureau internation</w:t>
      </w:r>
      <w:r w:rsidR="005C097F" w:rsidRPr="003744C1">
        <w:rPr>
          <w:lang w:val="fr-FR"/>
        </w:rPr>
        <w:t>al</w:t>
      </w:r>
      <w:r w:rsidR="005C097F">
        <w:rPr>
          <w:lang w:val="fr-FR"/>
        </w:rPr>
        <w:t xml:space="preserve">.  </w:t>
      </w:r>
      <w:r w:rsidR="005C097F" w:rsidRPr="003744C1">
        <w:rPr>
          <w:lang w:val="fr-FR"/>
        </w:rPr>
        <w:t>Il</w:t>
      </w:r>
      <w:r w:rsidR="00282497" w:rsidRPr="003744C1">
        <w:rPr>
          <w:lang w:val="fr-FR"/>
        </w:rPr>
        <w:t xml:space="preserve"> vise également </w:t>
      </w:r>
      <w:r w:rsidR="004A434F" w:rsidRPr="003744C1">
        <w:rPr>
          <w:lang w:val="fr-FR"/>
        </w:rPr>
        <w:t>l</w:t>
      </w:r>
      <w:r w:rsidR="001C63CD">
        <w:rPr>
          <w:lang w:val="fr-FR"/>
        </w:rPr>
        <w:t>’</w:t>
      </w:r>
      <w:r w:rsidR="00282497" w:rsidRPr="003744C1">
        <w:rPr>
          <w:lang w:val="fr-FR"/>
        </w:rPr>
        <w:t xml:space="preserve">amélioration de la gestion de </w:t>
      </w:r>
      <w:r w:rsidR="001B6C41" w:rsidRPr="003744C1">
        <w:rPr>
          <w:lang w:val="fr-FR"/>
        </w:rPr>
        <w:t xml:space="preserve">la </w:t>
      </w:r>
      <w:r w:rsidR="00282497" w:rsidRPr="003744C1">
        <w:rPr>
          <w:lang w:val="fr-FR"/>
        </w:rPr>
        <w:t>trésorerie, ainsi qu</w:t>
      </w:r>
      <w:r w:rsidR="001C63CD">
        <w:rPr>
          <w:lang w:val="fr-FR"/>
        </w:rPr>
        <w:t>’</w:t>
      </w:r>
      <w:r w:rsidR="00282497" w:rsidRPr="003744C1">
        <w:rPr>
          <w:lang w:val="fr-FR"/>
        </w:rPr>
        <w:t xml:space="preserve">une réduction de coûts et de travail et une simplification des procédures </w:t>
      </w:r>
      <w:r w:rsidR="005E0230" w:rsidRPr="003744C1">
        <w:rPr>
          <w:lang w:val="fr-FR"/>
        </w:rPr>
        <w:t>de traitement des taxes</w:t>
      </w:r>
      <w:r w:rsidR="001C63CD" w:rsidRPr="003744C1">
        <w:rPr>
          <w:lang w:val="fr-FR"/>
        </w:rPr>
        <w:t xml:space="preserve"> du</w:t>
      </w:r>
      <w:r w:rsidR="001C63CD">
        <w:rPr>
          <w:lang w:val="fr-FR"/>
        </w:rPr>
        <w:t> </w:t>
      </w:r>
      <w:r w:rsidR="001C63CD" w:rsidRPr="003744C1">
        <w:rPr>
          <w:lang w:val="fr-FR"/>
        </w:rPr>
        <w:t>PCT</w:t>
      </w:r>
      <w:r w:rsidR="005E0230" w:rsidRPr="003744C1">
        <w:rPr>
          <w:lang w:val="fr-FR"/>
        </w:rPr>
        <w:t xml:space="preserve"> </w:t>
      </w:r>
      <w:r w:rsidR="00282497" w:rsidRPr="003744C1">
        <w:rPr>
          <w:lang w:val="fr-FR"/>
        </w:rPr>
        <w:t>pour les offices récepteurs, les administrations chargées de la recherche internationale et le Bureau internation</w:t>
      </w:r>
      <w:r w:rsidR="005C097F" w:rsidRPr="003744C1">
        <w:rPr>
          <w:lang w:val="fr-FR"/>
        </w:rPr>
        <w:t>al</w:t>
      </w:r>
      <w:r w:rsidR="005C097F">
        <w:rPr>
          <w:lang w:val="fr-FR"/>
        </w:rPr>
        <w:t xml:space="preserve">.  </w:t>
      </w:r>
      <w:r w:rsidR="005C097F" w:rsidRPr="003744C1">
        <w:rPr>
          <w:lang w:val="fr-FR"/>
        </w:rPr>
        <w:t>Le</w:t>
      </w:r>
      <w:r w:rsidR="003B7319" w:rsidRPr="003744C1">
        <w:rPr>
          <w:lang w:val="fr-FR"/>
        </w:rPr>
        <w:t xml:space="preserve"> projet pilote de compensation des taxes</w:t>
      </w:r>
      <w:r w:rsidR="001C63CD" w:rsidRPr="003744C1">
        <w:rPr>
          <w:lang w:val="fr-FR"/>
        </w:rPr>
        <w:t xml:space="preserve"> du</w:t>
      </w:r>
      <w:r w:rsidR="001C63CD">
        <w:rPr>
          <w:lang w:val="fr-FR"/>
        </w:rPr>
        <w:t> </w:t>
      </w:r>
      <w:r w:rsidR="001C63CD" w:rsidRPr="003744C1">
        <w:rPr>
          <w:lang w:val="fr-FR"/>
        </w:rPr>
        <w:t>PCT</w:t>
      </w:r>
      <w:r w:rsidR="00DE6AB8" w:rsidRPr="003744C1">
        <w:rPr>
          <w:lang w:val="fr-FR"/>
        </w:rPr>
        <w:t xml:space="preserve"> </w:t>
      </w:r>
      <w:r w:rsidR="003B7319" w:rsidRPr="003744C1">
        <w:rPr>
          <w:lang w:val="fr-FR"/>
        </w:rPr>
        <w:t xml:space="preserve">a </w:t>
      </w:r>
      <w:r w:rsidR="00DE6AB8" w:rsidRPr="003744C1">
        <w:rPr>
          <w:lang w:val="fr-FR"/>
        </w:rPr>
        <w:t>été lancé</w:t>
      </w:r>
      <w:r w:rsidR="003B7319" w:rsidRPr="003744C1">
        <w:rPr>
          <w:lang w:val="fr-FR"/>
        </w:rPr>
        <w:t xml:space="preserve"> </w:t>
      </w:r>
      <w:r w:rsidR="001C63CD" w:rsidRPr="003744C1">
        <w:rPr>
          <w:lang w:val="fr-FR"/>
        </w:rPr>
        <w:t>en</w:t>
      </w:r>
      <w:r w:rsidR="001C63CD">
        <w:rPr>
          <w:lang w:val="fr-FR"/>
        </w:rPr>
        <w:t> </w:t>
      </w:r>
      <w:r w:rsidR="001C63CD" w:rsidRPr="003744C1">
        <w:rPr>
          <w:lang w:val="fr-FR"/>
        </w:rPr>
        <w:t>2018</w:t>
      </w:r>
      <w:r w:rsidR="00DE6AB8" w:rsidRPr="003744C1">
        <w:rPr>
          <w:lang w:val="fr-FR"/>
        </w:rPr>
        <w:t xml:space="preserve"> avec</w:t>
      </w:r>
      <w:r w:rsidR="003B7319" w:rsidRPr="003744C1">
        <w:rPr>
          <w:lang w:val="fr-FR"/>
        </w:rPr>
        <w:t xml:space="preserve"> un certain nombre d</w:t>
      </w:r>
      <w:r w:rsidR="001C63CD">
        <w:rPr>
          <w:lang w:val="fr-FR"/>
        </w:rPr>
        <w:t>’</w:t>
      </w:r>
      <w:r w:rsidR="003B7319" w:rsidRPr="003744C1">
        <w:rPr>
          <w:lang w:val="fr-FR"/>
        </w:rPr>
        <w:t>offices récepteurs et d</w:t>
      </w:r>
      <w:r w:rsidR="001C63CD">
        <w:rPr>
          <w:lang w:val="fr-FR"/>
        </w:rPr>
        <w:t>’</w:t>
      </w:r>
      <w:r w:rsidR="003B7319" w:rsidRPr="003744C1">
        <w:rPr>
          <w:lang w:val="fr-FR"/>
        </w:rPr>
        <w:t xml:space="preserve">administrations chargées de la recherche internationale, </w:t>
      </w:r>
      <w:r w:rsidR="00DE6AB8" w:rsidRPr="003744C1">
        <w:rPr>
          <w:lang w:val="fr-FR"/>
        </w:rPr>
        <w:t xml:space="preserve">et porte </w:t>
      </w:r>
      <w:r w:rsidR="003B7319" w:rsidRPr="003744C1">
        <w:rPr>
          <w:lang w:val="fr-FR"/>
        </w:rPr>
        <w:t>essentiellement</w:t>
      </w:r>
      <w:r w:rsidR="00DE6AB8" w:rsidRPr="003744C1">
        <w:rPr>
          <w:lang w:val="fr-FR"/>
        </w:rPr>
        <w:t xml:space="preserve"> sur</w:t>
      </w:r>
      <w:r w:rsidR="003B7319" w:rsidRPr="003744C1">
        <w:rPr>
          <w:lang w:val="fr-FR"/>
        </w:rPr>
        <w:t xml:space="preserve"> les taxes de recherche et les taxes internationales de dépôt.</w:t>
      </w:r>
    </w:p>
    <w:p w14:paraId="62A39362" w14:textId="070C3A89" w:rsidR="007050D3" w:rsidRPr="003744C1" w:rsidRDefault="000C16C0" w:rsidP="00157BF0">
      <w:pPr>
        <w:pStyle w:val="ONUMFS"/>
        <w:rPr>
          <w:lang w:val="fr-FR"/>
        </w:rPr>
      </w:pPr>
      <w:r w:rsidRPr="003744C1">
        <w:rPr>
          <w:lang w:val="fr-FR"/>
        </w:rPr>
        <w:t>Les résultats du projet pilote obtenus jusqu</w:t>
      </w:r>
      <w:r w:rsidR="001C63CD">
        <w:rPr>
          <w:lang w:val="fr-FR"/>
        </w:rPr>
        <w:t>’</w:t>
      </w:r>
      <w:r w:rsidRPr="003744C1">
        <w:rPr>
          <w:lang w:val="fr-FR"/>
        </w:rPr>
        <w:t xml:space="preserve">à présent ont </w:t>
      </w:r>
      <w:r w:rsidR="001B6C41" w:rsidRPr="003744C1">
        <w:rPr>
          <w:lang w:val="fr-FR"/>
        </w:rPr>
        <w:t>fait l</w:t>
      </w:r>
      <w:r w:rsidR="001C63CD">
        <w:rPr>
          <w:lang w:val="fr-FR"/>
        </w:rPr>
        <w:t>’</w:t>
      </w:r>
      <w:r w:rsidR="001B6C41" w:rsidRPr="003744C1">
        <w:rPr>
          <w:lang w:val="fr-FR"/>
        </w:rPr>
        <w:t>objet d</w:t>
      </w:r>
      <w:r w:rsidR="001C63CD">
        <w:rPr>
          <w:lang w:val="fr-FR"/>
        </w:rPr>
        <w:t>’</w:t>
      </w:r>
      <w:r w:rsidR="001B6C41" w:rsidRPr="003744C1">
        <w:rPr>
          <w:lang w:val="fr-FR"/>
        </w:rPr>
        <w:t>une évaluation</w:t>
      </w:r>
      <w:r w:rsidRPr="003744C1">
        <w:rPr>
          <w:lang w:val="fr-FR"/>
        </w:rPr>
        <w:t xml:space="preserve"> et se sont avérés positifs </w:t>
      </w:r>
      <w:r w:rsidR="00081AA4" w:rsidRPr="003744C1">
        <w:rPr>
          <w:lang w:val="fr-FR"/>
        </w:rPr>
        <w:t xml:space="preserve">(voir </w:t>
      </w:r>
      <w:r w:rsidR="001C63CD" w:rsidRPr="003744C1">
        <w:rPr>
          <w:lang w:val="fr-FR"/>
        </w:rPr>
        <w:t>annexes</w:t>
      </w:r>
      <w:r w:rsidR="001C63CD">
        <w:rPr>
          <w:lang w:val="fr-FR"/>
        </w:rPr>
        <w:t> </w:t>
      </w:r>
      <w:r w:rsidR="001C63CD" w:rsidRPr="003744C1">
        <w:rPr>
          <w:lang w:val="fr-FR"/>
        </w:rPr>
        <w:t>I</w:t>
      </w:r>
      <w:r w:rsidR="004C45B3" w:rsidRPr="003744C1">
        <w:rPr>
          <w:lang w:val="fr-FR"/>
        </w:rPr>
        <w:t xml:space="preserve"> </w:t>
      </w:r>
      <w:r w:rsidR="00081AA4" w:rsidRPr="003744C1">
        <w:rPr>
          <w:lang w:val="fr-FR"/>
        </w:rPr>
        <w:t>et</w:t>
      </w:r>
      <w:r w:rsidR="004C45B3" w:rsidRPr="003744C1">
        <w:rPr>
          <w:lang w:val="fr-FR"/>
        </w:rPr>
        <w:t xml:space="preserve"> II)</w:t>
      </w:r>
      <w:r w:rsidR="007050D3" w:rsidRPr="003744C1">
        <w:rPr>
          <w:lang w:val="fr-FR"/>
        </w:rPr>
        <w:t xml:space="preserve">.  </w:t>
      </w:r>
      <w:r w:rsidR="00F56FDC" w:rsidRPr="003744C1">
        <w:rPr>
          <w:lang w:val="fr-FR"/>
        </w:rPr>
        <w:t>Le Bureau international a donc l</w:t>
      </w:r>
      <w:r w:rsidR="001C63CD">
        <w:rPr>
          <w:lang w:val="fr-FR"/>
        </w:rPr>
        <w:t>’</w:t>
      </w:r>
      <w:r w:rsidR="00F56FDC" w:rsidRPr="003744C1">
        <w:rPr>
          <w:lang w:val="fr-FR"/>
        </w:rPr>
        <w:t xml:space="preserve">intention </w:t>
      </w:r>
      <w:r w:rsidR="00092AD3" w:rsidRPr="003744C1">
        <w:rPr>
          <w:lang w:val="fr-FR"/>
        </w:rPr>
        <w:t>d</w:t>
      </w:r>
      <w:r w:rsidR="001C63CD">
        <w:rPr>
          <w:lang w:val="fr-FR"/>
        </w:rPr>
        <w:t>’</w:t>
      </w:r>
      <w:r w:rsidR="00092AD3" w:rsidRPr="003744C1">
        <w:rPr>
          <w:lang w:val="fr-FR"/>
        </w:rPr>
        <w:t>é</w:t>
      </w:r>
      <w:r w:rsidR="00433874" w:rsidRPr="003744C1">
        <w:rPr>
          <w:lang w:val="fr-FR"/>
        </w:rPr>
        <w:t>tendre la mise en place d</w:t>
      </w:r>
      <w:r w:rsidR="001B6C41" w:rsidRPr="003744C1">
        <w:rPr>
          <w:lang w:val="fr-FR"/>
        </w:rPr>
        <w:t>u</w:t>
      </w:r>
      <w:r w:rsidR="00A00C4C" w:rsidRPr="003744C1">
        <w:rPr>
          <w:lang w:val="fr-FR"/>
        </w:rPr>
        <w:t xml:space="preserve"> mécanisme</w:t>
      </w:r>
      <w:r w:rsidRPr="003744C1">
        <w:rPr>
          <w:lang w:val="fr-FR"/>
        </w:rPr>
        <w:t xml:space="preserve"> de compensation à d</w:t>
      </w:r>
      <w:r w:rsidR="001C63CD">
        <w:rPr>
          <w:lang w:val="fr-FR"/>
        </w:rPr>
        <w:t>’</w:t>
      </w:r>
      <w:r w:rsidRPr="003744C1">
        <w:rPr>
          <w:lang w:val="fr-FR"/>
        </w:rPr>
        <w:t>autres offices récepteurs et administrations chargées de la recherche internationale intéress</w:t>
      </w:r>
      <w:r w:rsidR="005C097F" w:rsidRPr="003744C1">
        <w:rPr>
          <w:lang w:val="fr-FR"/>
        </w:rPr>
        <w:t>és</w:t>
      </w:r>
      <w:r w:rsidR="005C097F">
        <w:rPr>
          <w:lang w:val="fr-FR"/>
        </w:rPr>
        <w:t xml:space="preserve">.  </w:t>
      </w:r>
      <w:r w:rsidR="005C097F" w:rsidRPr="003744C1">
        <w:rPr>
          <w:lang w:val="fr-FR"/>
        </w:rPr>
        <w:t>Le</w:t>
      </w:r>
      <w:r w:rsidR="00433874" w:rsidRPr="003744C1">
        <w:rPr>
          <w:lang w:val="fr-FR"/>
        </w:rPr>
        <w:t xml:space="preserve"> Bureau international a également soumis au </w:t>
      </w:r>
      <w:r w:rsidR="00CB19EE">
        <w:rPr>
          <w:lang w:val="fr-FR"/>
        </w:rPr>
        <w:t>Groupe</w:t>
      </w:r>
      <w:r w:rsidR="00433874" w:rsidRPr="003744C1">
        <w:rPr>
          <w:lang w:val="fr-FR"/>
        </w:rPr>
        <w:t xml:space="preserve"> de travail</w:t>
      </w:r>
      <w:r w:rsidR="001C63CD" w:rsidRPr="003744C1">
        <w:rPr>
          <w:lang w:val="fr-FR"/>
        </w:rPr>
        <w:t xml:space="preserve"> du</w:t>
      </w:r>
      <w:r w:rsidR="001C63CD">
        <w:rPr>
          <w:lang w:val="fr-FR"/>
        </w:rPr>
        <w:t> </w:t>
      </w:r>
      <w:r w:rsidR="001C63CD" w:rsidRPr="003744C1">
        <w:rPr>
          <w:lang w:val="fr-FR"/>
        </w:rPr>
        <w:t>PCT</w:t>
      </w:r>
      <w:r w:rsidR="00433874" w:rsidRPr="003744C1">
        <w:rPr>
          <w:lang w:val="fr-FR"/>
        </w:rPr>
        <w:t xml:space="preserve"> des propositions visant à </w:t>
      </w:r>
      <w:r w:rsidR="00931BAE" w:rsidRPr="003744C1">
        <w:rPr>
          <w:lang w:val="fr-FR"/>
        </w:rPr>
        <w:t>offici</w:t>
      </w:r>
      <w:r w:rsidR="00433874" w:rsidRPr="003744C1">
        <w:rPr>
          <w:lang w:val="fr-FR"/>
        </w:rPr>
        <w:t xml:space="preserve">aliser </w:t>
      </w:r>
      <w:r w:rsidR="00C4475D" w:rsidRPr="003744C1">
        <w:rPr>
          <w:lang w:val="fr-FR"/>
        </w:rPr>
        <w:t>c</w:t>
      </w:r>
      <w:r w:rsidR="00433874" w:rsidRPr="003744C1">
        <w:rPr>
          <w:lang w:val="fr-FR"/>
        </w:rPr>
        <w:t xml:space="preserve">es </w:t>
      </w:r>
      <w:r w:rsidR="0006198A" w:rsidRPr="003744C1">
        <w:rPr>
          <w:lang w:val="fr-FR"/>
        </w:rPr>
        <w:t>dispositions</w:t>
      </w:r>
      <w:r w:rsidR="00433874" w:rsidRPr="003744C1">
        <w:rPr>
          <w:lang w:val="fr-FR"/>
        </w:rPr>
        <w:t xml:space="preserve"> (voir le document PCT/WG/12/20)</w:t>
      </w:r>
      <w:r w:rsidR="00C4475D" w:rsidRPr="003744C1">
        <w:rPr>
          <w:lang w:val="fr-FR"/>
        </w:rPr>
        <w:t>,</w:t>
      </w:r>
      <w:r w:rsidR="00433874" w:rsidRPr="003744C1">
        <w:rPr>
          <w:lang w:val="fr-FR"/>
        </w:rPr>
        <w:t xml:space="preserve"> en apportant des modifications au règlement d</w:t>
      </w:r>
      <w:r w:rsidR="001C63CD">
        <w:rPr>
          <w:lang w:val="fr-FR"/>
        </w:rPr>
        <w:t>’</w:t>
      </w:r>
      <w:r w:rsidR="00433874" w:rsidRPr="003744C1">
        <w:rPr>
          <w:lang w:val="fr-FR"/>
        </w:rPr>
        <w:t>exécution et aux instructions administratives</w:t>
      </w:r>
      <w:r w:rsidR="001C63CD" w:rsidRPr="003744C1">
        <w:rPr>
          <w:lang w:val="fr-FR"/>
        </w:rPr>
        <w:t xml:space="preserve"> du</w:t>
      </w:r>
      <w:r w:rsidR="001C63CD">
        <w:rPr>
          <w:lang w:val="fr-FR"/>
        </w:rPr>
        <w:t> </w:t>
      </w:r>
      <w:r w:rsidR="001C63CD" w:rsidRPr="003744C1">
        <w:rPr>
          <w:lang w:val="fr-FR"/>
        </w:rPr>
        <w:t>PCT</w:t>
      </w:r>
      <w:r w:rsidR="00433874" w:rsidRPr="003744C1">
        <w:rPr>
          <w:lang w:val="fr-FR"/>
        </w:rPr>
        <w:t>.</w:t>
      </w:r>
    </w:p>
    <w:p w14:paraId="652194A3" w14:textId="312C863C" w:rsidR="0018690E" w:rsidRPr="003744C1" w:rsidRDefault="00C4475D" w:rsidP="00157BF0">
      <w:pPr>
        <w:pStyle w:val="ONUMFS"/>
        <w:rPr>
          <w:lang w:val="fr-FR"/>
        </w:rPr>
      </w:pPr>
      <w:r w:rsidRPr="003744C1">
        <w:rPr>
          <w:lang w:val="fr-FR"/>
        </w:rPr>
        <w:lastRenderedPageBreak/>
        <w:t>L</w:t>
      </w:r>
      <w:r w:rsidR="00C17354" w:rsidRPr="003744C1">
        <w:rPr>
          <w:lang w:val="fr-FR"/>
        </w:rPr>
        <w:t xml:space="preserve">e Bureau international se propose </w:t>
      </w:r>
      <w:r w:rsidRPr="003744C1">
        <w:rPr>
          <w:lang w:val="fr-FR"/>
        </w:rPr>
        <w:t xml:space="preserve">en outre </w:t>
      </w:r>
      <w:r w:rsidR="00C17354" w:rsidRPr="003744C1">
        <w:rPr>
          <w:lang w:val="fr-FR"/>
        </w:rPr>
        <w:t>d</w:t>
      </w:r>
      <w:r w:rsidR="001C63CD">
        <w:rPr>
          <w:lang w:val="fr-FR"/>
        </w:rPr>
        <w:t>’</w:t>
      </w:r>
      <w:r w:rsidR="00C17354" w:rsidRPr="003744C1">
        <w:rPr>
          <w:lang w:val="fr-FR"/>
        </w:rPr>
        <w:t xml:space="preserve">inviter plusieurs offices agissant </w:t>
      </w:r>
      <w:r w:rsidR="00A50971" w:rsidRPr="003744C1">
        <w:rPr>
          <w:lang w:val="fr-FR"/>
        </w:rPr>
        <w:t xml:space="preserve">à la fois </w:t>
      </w:r>
      <w:r w:rsidR="00C17354" w:rsidRPr="003744C1">
        <w:rPr>
          <w:lang w:val="fr-FR"/>
        </w:rPr>
        <w:t>en qualité d</w:t>
      </w:r>
      <w:r w:rsidR="001C63CD">
        <w:rPr>
          <w:lang w:val="fr-FR"/>
        </w:rPr>
        <w:t>’</w:t>
      </w:r>
      <w:r w:rsidR="00C17354" w:rsidRPr="003744C1">
        <w:rPr>
          <w:lang w:val="fr-FR"/>
        </w:rPr>
        <w:t>office récepteur ou administration internationale et</w:t>
      </w:r>
      <w:r w:rsidR="00A50971" w:rsidRPr="003744C1">
        <w:rPr>
          <w:lang w:val="fr-FR"/>
        </w:rPr>
        <w:t xml:space="preserve"> </w:t>
      </w:r>
      <w:r w:rsidR="00C17354" w:rsidRPr="003744C1">
        <w:rPr>
          <w:lang w:val="fr-FR"/>
        </w:rPr>
        <w:t>d</w:t>
      </w:r>
      <w:r w:rsidR="001C63CD">
        <w:rPr>
          <w:lang w:val="fr-FR"/>
        </w:rPr>
        <w:t>’</w:t>
      </w:r>
      <w:r w:rsidR="00C17354" w:rsidRPr="003744C1">
        <w:rPr>
          <w:lang w:val="fr-FR"/>
        </w:rPr>
        <w:t>office d</w:t>
      </w:r>
      <w:r w:rsidR="001C63CD">
        <w:rPr>
          <w:lang w:val="fr-FR"/>
        </w:rPr>
        <w:t>’</w:t>
      </w:r>
      <w:r w:rsidR="00C17354" w:rsidRPr="003744C1">
        <w:rPr>
          <w:lang w:val="fr-FR"/>
        </w:rPr>
        <w:t xml:space="preserve">une partie contractante des systèmes de Madrid ou de </w:t>
      </w:r>
      <w:r w:rsidR="001C63CD">
        <w:rPr>
          <w:lang w:val="fr-FR"/>
        </w:rPr>
        <w:t>La Haye</w:t>
      </w:r>
      <w:r w:rsidR="00C17354" w:rsidRPr="003744C1">
        <w:rPr>
          <w:lang w:val="fr-FR"/>
        </w:rPr>
        <w:t xml:space="preserve"> à se joindre à un mécanisme de compensation </w:t>
      </w:r>
      <w:r w:rsidR="00A50971" w:rsidRPr="003744C1">
        <w:rPr>
          <w:lang w:val="fr-FR"/>
        </w:rPr>
        <w:t>élargi,</w:t>
      </w:r>
      <w:r w:rsidR="00C17354" w:rsidRPr="003744C1">
        <w:rPr>
          <w:lang w:val="fr-FR"/>
        </w:rPr>
        <w:t xml:space="preserve"> </w:t>
      </w:r>
      <w:r w:rsidR="00A50971" w:rsidRPr="003744C1">
        <w:rPr>
          <w:lang w:val="fr-FR"/>
        </w:rPr>
        <w:t>dans lequel seraient inclus</w:t>
      </w:r>
      <w:r w:rsidR="00C17354" w:rsidRPr="003744C1">
        <w:rPr>
          <w:lang w:val="fr-FR"/>
        </w:rPr>
        <w:t xml:space="preserve"> tous les transferts de fonds à destination et en provenance de l</w:t>
      </w:r>
      <w:r w:rsidR="001C63CD">
        <w:rPr>
          <w:lang w:val="fr-FR"/>
        </w:rPr>
        <w:t>’</w:t>
      </w:r>
      <w:r w:rsidR="00C17354" w:rsidRPr="003744C1">
        <w:rPr>
          <w:lang w:val="fr-FR"/>
        </w:rPr>
        <w:t>O</w:t>
      </w:r>
      <w:r w:rsidR="005C097F" w:rsidRPr="003744C1">
        <w:rPr>
          <w:lang w:val="fr-FR"/>
        </w:rPr>
        <w:t>MPI</w:t>
      </w:r>
      <w:r w:rsidR="005C097F">
        <w:rPr>
          <w:lang w:val="fr-FR"/>
        </w:rPr>
        <w:t xml:space="preserve">.  </w:t>
      </w:r>
      <w:r w:rsidR="005C097F" w:rsidRPr="003744C1">
        <w:rPr>
          <w:lang w:val="fr-FR"/>
        </w:rPr>
        <w:t>Ce</w:t>
      </w:r>
      <w:r w:rsidR="00A50971" w:rsidRPr="003744C1">
        <w:rPr>
          <w:lang w:val="fr-FR"/>
        </w:rPr>
        <w:t xml:space="preserve"> système s</w:t>
      </w:r>
      <w:r w:rsidR="001C63CD">
        <w:rPr>
          <w:lang w:val="fr-FR"/>
        </w:rPr>
        <w:t>’</w:t>
      </w:r>
      <w:r w:rsidR="00A50971" w:rsidRPr="003744C1">
        <w:rPr>
          <w:lang w:val="fr-FR"/>
        </w:rPr>
        <w:t>appliquerait seulement aux offices dont les règles financières et comptables le permettraient.</w:t>
      </w:r>
    </w:p>
    <w:p w14:paraId="72BC736B" w14:textId="68FF545E" w:rsidR="007050D3" w:rsidRDefault="00157BF0" w:rsidP="00157BF0">
      <w:pPr>
        <w:pStyle w:val="Heading1"/>
        <w:rPr>
          <w:lang w:val="fr-FR"/>
        </w:rPr>
      </w:pPr>
      <w:r w:rsidRPr="003744C1">
        <w:rPr>
          <w:lang w:val="fr-FR"/>
        </w:rPr>
        <w:t>Contexte</w:t>
      </w:r>
    </w:p>
    <w:p w14:paraId="265478C9" w14:textId="77777777" w:rsidR="00157BF0" w:rsidRPr="00157BF0" w:rsidRDefault="00157BF0" w:rsidP="00157BF0">
      <w:pPr>
        <w:rPr>
          <w:lang w:val="fr-FR"/>
        </w:rPr>
      </w:pPr>
    </w:p>
    <w:p w14:paraId="2E6C610A" w14:textId="07A76AB6" w:rsidR="001C63CD" w:rsidRDefault="00A50971" w:rsidP="00157BF0">
      <w:pPr>
        <w:pStyle w:val="ONUMFS"/>
        <w:rPr>
          <w:lang w:val="fr-FR"/>
        </w:rPr>
      </w:pPr>
      <w:r w:rsidRPr="003744C1">
        <w:rPr>
          <w:lang w:val="fr-FR"/>
        </w:rPr>
        <w:t>À sa neuv</w:t>
      </w:r>
      <w:r w:rsidR="001C63CD">
        <w:rPr>
          <w:lang w:val="fr-FR"/>
        </w:rPr>
        <w:t>ième session</w:t>
      </w:r>
      <w:r w:rsidRPr="003744C1">
        <w:rPr>
          <w:lang w:val="fr-FR"/>
        </w:rPr>
        <w:t xml:space="preserve"> tenue en </w:t>
      </w:r>
      <w:r w:rsidR="001C63CD" w:rsidRPr="003744C1">
        <w:rPr>
          <w:lang w:val="fr-FR"/>
        </w:rPr>
        <w:t>mai</w:t>
      </w:r>
      <w:r w:rsidR="001C63CD">
        <w:rPr>
          <w:lang w:val="fr-FR"/>
        </w:rPr>
        <w:t> </w:t>
      </w:r>
      <w:r w:rsidR="001C63CD" w:rsidRPr="003744C1">
        <w:rPr>
          <w:lang w:val="fr-FR"/>
        </w:rPr>
        <w:t>20</w:t>
      </w:r>
      <w:r w:rsidRPr="003744C1">
        <w:rPr>
          <w:lang w:val="fr-FR"/>
        </w:rPr>
        <w:t>16, le groupe de travail a examiné un document</w:t>
      </w:r>
      <w:r w:rsidR="0006122A" w:rsidRPr="003744C1">
        <w:rPr>
          <w:lang w:val="fr-FR"/>
        </w:rPr>
        <w:t xml:space="preserve"> établi par le Bureau international, dans lequel étaient exposées di</w:t>
      </w:r>
      <w:r w:rsidR="000531C1" w:rsidRPr="003744C1">
        <w:rPr>
          <w:lang w:val="fr-FR"/>
        </w:rPr>
        <w:t>vers</w:t>
      </w:r>
      <w:r w:rsidR="0006122A" w:rsidRPr="003744C1">
        <w:rPr>
          <w:lang w:val="fr-FR"/>
        </w:rPr>
        <w:t>es mesures possibles pour réduire l</w:t>
      </w:r>
      <w:r w:rsidR="001C63CD">
        <w:rPr>
          <w:lang w:val="fr-FR"/>
        </w:rPr>
        <w:t>’</w:t>
      </w:r>
      <w:r w:rsidR="0006122A" w:rsidRPr="003744C1">
        <w:rPr>
          <w:lang w:val="fr-FR"/>
        </w:rPr>
        <w:t>incidence des variations de taux de change sur les recettes de taxes</w:t>
      </w:r>
      <w:r w:rsidR="001C63CD" w:rsidRPr="003744C1">
        <w:rPr>
          <w:lang w:val="fr-FR"/>
        </w:rPr>
        <w:t xml:space="preserve"> du</w:t>
      </w:r>
      <w:r w:rsidR="001C63CD">
        <w:rPr>
          <w:lang w:val="fr-FR"/>
        </w:rPr>
        <w:t> </w:t>
      </w:r>
      <w:r w:rsidR="001C63CD" w:rsidRPr="003744C1">
        <w:rPr>
          <w:lang w:val="fr-FR"/>
        </w:rPr>
        <w:t>PCT</w:t>
      </w:r>
      <w:r w:rsidR="0006122A" w:rsidRPr="003744C1">
        <w:rPr>
          <w:lang w:val="fr-FR"/>
        </w:rPr>
        <w:t xml:space="preserve"> </w:t>
      </w:r>
      <w:r w:rsidR="007050D3" w:rsidRPr="003744C1">
        <w:rPr>
          <w:lang w:val="fr-FR"/>
        </w:rPr>
        <w:t>(document PCT/WG/9/9</w:t>
      </w:r>
      <w:r w:rsidR="0018690E" w:rsidRPr="003744C1">
        <w:rPr>
          <w:lang w:val="fr-FR"/>
        </w:rPr>
        <w:t xml:space="preserve"> </w:t>
      </w:r>
      <w:r w:rsidR="000531C1" w:rsidRPr="003744C1">
        <w:rPr>
          <w:lang w:val="fr-FR"/>
        </w:rPr>
        <w:t>et</w:t>
      </w:r>
      <w:r w:rsidR="0018690E" w:rsidRPr="003744C1">
        <w:rPr>
          <w:lang w:val="fr-FR"/>
        </w:rPr>
        <w:t xml:space="preserve"> paragraph</w:t>
      </w:r>
      <w:r w:rsidR="000531C1" w:rsidRPr="003744C1">
        <w:rPr>
          <w:lang w:val="fr-FR"/>
        </w:rPr>
        <w:t>e</w:t>
      </w:r>
      <w:r w:rsidR="0018690E" w:rsidRPr="003744C1">
        <w:rPr>
          <w:lang w:val="fr-FR"/>
        </w:rPr>
        <w:t xml:space="preserve">s 21 </w:t>
      </w:r>
      <w:r w:rsidR="000531C1" w:rsidRPr="003744C1">
        <w:rPr>
          <w:lang w:val="fr-FR"/>
        </w:rPr>
        <w:t>à</w:t>
      </w:r>
      <w:r w:rsidR="0018690E" w:rsidRPr="003744C1">
        <w:rPr>
          <w:lang w:val="fr-FR"/>
        </w:rPr>
        <w:t xml:space="preserve"> 36 </w:t>
      </w:r>
      <w:r w:rsidR="000531C1" w:rsidRPr="003744C1">
        <w:rPr>
          <w:lang w:val="fr-FR"/>
        </w:rPr>
        <w:t>du</w:t>
      </w:r>
      <w:r w:rsidR="0018690E" w:rsidRPr="003744C1">
        <w:rPr>
          <w:lang w:val="fr-FR"/>
        </w:rPr>
        <w:t xml:space="preserve"> document PCT/WG/9/27</w:t>
      </w:r>
      <w:r w:rsidR="007050D3" w:rsidRPr="003744C1">
        <w:rPr>
          <w:lang w:val="fr-FR"/>
        </w:rPr>
        <w:t>).</w:t>
      </w:r>
    </w:p>
    <w:p w14:paraId="7512CDE4" w14:textId="306A9FD3" w:rsidR="001C63CD" w:rsidRDefault="00E12799" w:rsidP="00157BF0">
      <w:pPr>
        <w:pStyle w:val="ONUMFS"/>
        <w:rPr>
          <w:lang w:val="fr-FR"/>
        </w:rPr>
      </w:pPr>
      <w:r w:rsidRPr="003744C1">
        <w:rPr>
          <w:lang w:val="fr-FR"/>
        </w:rPr>
        <w:t>Le Bureau international a ensuite élaboré à titre expérimental un</w:t>
      </w:r>
      <w:r w:rsidR="00AB36EC" w:rsidRPr="003744C1">
        <w:rPr>
          <w:lang w:val="fr-FR"/>
        </w:rPr>
        <w:t>e</w:t>
      </w:r>
      <w:r w:rsidRPr="003744C1">
        <w:rPr>
          <w:lang w:val="fr-FR"/>
        </w:rPr>
        <w:t xml:space="preserve"> “</w:t>
      </w:r>
      <w:r w:rsidR="00AB36EC" w:rsidRPr="003744C1">
        <w:rPr>
          <w:lang w:val="fr-FR"/>
        </w:rPr>
        <w:t>structur</w:t>
      </w:r>
      <w:r w:rsidRPr="003744C1">
        <w:rPr>
          <w:lang w:val="fr-FR"/>
        </w:rPr>
        <w:t xml:space="preserve">e de compensation” </w:t>
      </w:r>
      <w:r w:rsidR="00A00C4C" w:rsidRPr="003744C1">
        <w:rPr>
          <w:lang w:val="fr-FR"/>
        </w:rPr>
        <w:t>pour le transfert des taxes</w:t>
      </w:r>
      <w:r w:rsidR="001C63CD" w:rsidRPr="003744C1">
        <w:rPr>
          <w:lang w:val="fr-FR"/>
        </w:rPr>
        <w:t xml:space="preserve"> du</w:t>
      </w:r>
      <w:r w:rsidR="001C63CD">
        <w:rPr>
          <w:lang w:val="fr-FR"/>
        </w:rPr>
        <w:t> </w:t>
      </w:r>
      <w:r w:rsidR="001C63CD" w:rsidRPr="003744C1">
        <w:rPr>
          <w:lang w:val="fr-FR"/>
        </w:rPr>
        <w:t>PCT</w:t>
      </w:r>
      <w:r w:rsidR="00A00C4C" w:rsidRPr="003744C1">
        <w:rPr>
          <w:lang w:val="fr-FR"/>
        </w:rPr>
        <w:t>, dont les grandes lignes ont été présentées à la dix</w:t>
      </w:r>
      <w:r w:rsidR="001C63CD">
        <w:rPr>
          <w:lang w:val="fr-FR"/>
        </w:rPr>
        <w:t>ième session</w:t>
      </w:r>
      <w:r w:rsidR="00A00C4C" w:rsidRPr="003744C1">
        <w:rPr>
          <w:lang w:val="fr-FR"/>
        </w:rPr>
        <w:t xml:space="preserve"> du </w:t>
      </w:r>
      <w:r w:rsidR="00CB19EE">
        <w:rPr>
          <w:lang w:val="fr-FR"/>
        </w:rPr>
        <w:t>Groupe</w:t>
      </w:r>
      <w:r w:rsidR="00A00C4C" w:rsidRPr="003744C1">
        <w:rPr>
          <w:lang w:val="fr-FR"/>
        </w:rPr>
        <w:t xml:space="preserve"> de travail</w:t>
      </w:r>
      <w:r w:rsidR="001C63CD" w:rsidRPr="003744C1">
        <w:rPr>
          <w:lang w:val="fr-FR"/>
        </w:rPr>
        <w:t xml:space="preserve"> du</w:t>
      </w:r>
      <w:r w:rsidR="001C63CD">
        <w:rPr>
          <w:lang w:val="fr-FR"/>
        </w:rPr>
        <w:t> </w:t>
      </w:r>
      <w:r w:rsidR="001C63CD" w:rsidRPr="003744C1">
        <w:rPr>
          <w:lang w:val="fr-FR"/>
        </w:rPr>
        <w:t>PCT</w:t>
      </w:r>
      <w:r w:rsidR="00A00C4C" w:rsidRPr="003744C1">
        <w:rPr>
          <w:lang w:val="fr-FR"/>
        </w:rPr>
        <w:t xml:space="preserve"> (voir le </w:t>
      </w:r>
      <w:r w:rsidR="007050D3" w:rsidRPr="003744C1">
        <w:rPr>
          <w:lang w:val="fr-FR"/>
        </w:rPr>
        <w:t>document PCT/WG/10/6</w:t>
      </w:r>
      <w:r w:rsidR="00EA3517" w:rsidRPr="003744C1">
        <w:rPr>
          <w:lang w:val="fr-FR"/>
        </w:rPr>
        <w:t xml:space="preserve"> </w:t>
      </w:r>
      <w:r w:rsidR="00A00C4C" w:rsidRPr="003744C1">
        <w:rPr>
          <w:lang w:val="fr-FR"/>
        </w:rPr>
        <w:t>et les p</w:t>
      </w:r>
      <w:r w:rsidR="007050D3" w:rsidRPr="003744C1">
        <w:rPr>
          <w:lang w:val="fr-FR"/>
        </w:rPr>
        <w:t>aragraph</w:t>
      </w:r>
      <w:r w:rsidR="00A00C4C" w:rsidRPr="003744C1">
        <w:rPr>
          <w:lang w:val="fr-FR"/>
        </w:rPr>
        <w:t>e</w:t>
      </w:r>
      <w:r w:rsidR="007050D3" w:rsidRPr="003744C1">
        <w:rPr>
          <w:lang w:val="fr-FR"/>
        </w:rPr>
        <w:t xml:space="preserve">s 19 </w:t>
      </w:r>
      <w:r w:rsidR="00A00C4C" w:rsidRPr="003744C1">
        <w:rPr>
          <w:lang w:val="fr-FR"/>
        </w:rPr>
        <w:t>à</w:t>
      </w:r>
      <w:r w:rsidR="007050D3" w:rsidRPr="003744C1">
        <w:rPr>
          <w:lang w:val="fr-FR"/>
        </w:rPr>
        <w:t xml:space="preserve"> 21 </w:t>
      </w:r>
      <w:r w:rsidR="00A00C4C" w:rsidRPr="003744C1">
        <w:rPr>
          <w:lang w:val="fr-FR"/>
        </w:rPr>
        <w:t>du</w:t>
      </w:r>
      <w:r w:rsidR="007050D3" w:rsidRPr="003744C1">
        <w:rPr>
          <w:lang w:val="fr-FR"/>
        </w:rPr>
        <w:t xml:space="preserve"> document PCT/WG/10/24). </w:t>
      </w:r>
      <w:r w:rsidR="00A00C4C" w:rsidRPr="003744C1">
        <w:rPr>
          <w:lang w:val="fr-FR"/>
        </w:rPr>
        <w:t xml:space="preserve"> </w:t>
      </w:r>
      <w:r w:rsidR="00151FE8" w:rsidRPr="003744C1">
        <w:rPr>
          <w:lang w:val="fr-FR"/>
        </w:rPr>
        <w:t>Dans u</w:t>
      </w:r>
      <w:r w:rsidR="00A7009D" w:rsidRPr="003744C1">
        <w:rPr>
          <w:lang w:val="fr-FR"/>
        </w:rPr>
        <w:t>n rapport sur l</w:t>
      </w:r>
      <w:r w:rsidR="001C63CD">
        <w:rPr>
          <w:lang w:val="fr-FR"/>
        </w:rPr>
        <w:t>’</w:t>
      </w:r>
      <w:r w:rsidR="00A7009D" w:rsidRPr="003744C1">
        <w:rPr>
          <w:lang w:val="fr-FR"/>
        </w:rPr>
        <w:t>état d</w:t>
      </w:r>
      <w:r w:rsidR="001C63CD">
        <w:rPr>
          <w:lang w:val="fr-FR"/>
        </w:rPr>
        <w:t>’</w:t>
      </w:r>
      <w:r w:rsidR="00A7009D" w:rsidRPr="003744C1">
        <w:rPr>
          <w:lang w:val="fr-FR"/>
        </w:rPr>
        <w:t>avancement d</w:t>
      </w:r>
      <w:r w:rsidR="00151FE8" w:rsidRPr="003744C1">
        <w:rPr>
          <w:lang w:val="fr-FR"/>
        </w:rPr>
        <w:t>es travaux</w:t>
      </w:r>
      <w:r w:rsidR="00A7009D" w:rsidRPr="003744C1">
        <w:rPr>
          <w:lang w:val="fr-FR"/>
        </w:rPr>
        <w:t xml:space="preserve"> présenté </w:t>
      </w:r>
      <w:r w:rsidR="006648B2">
        <w:rPr>
          <w:lang w:val="fr-FR"/>
        </w:rPr>
        <w:t>à la onzième session du</w:t>
      </w:r>
      <w:r w:rsidR="00A7009D" w:rsidRPr="003744C1">
        <w:rPr>
          <w:lang w:val="fr-FR"/>
        </w:rPr>
        <w:t xml:space="preserve"> </w:t>
      </w:r>
      <w:r w:rsidR="00CB19EE">
        <w:rPr>
          <w:lang w:val="fr-FR"/>
        </w:rPr>
        <w:t>Groupe</w:t>
      </w:r>
      <w:r w:rsidR="00A7009D" w:rsidRPr="003744C1">
        <w:rPr>
          <w:lang w:val="fr-FR"/>
        </w:rPr>
        <w:t xml:space="preserve"> de travail</w:t>
      </w:r>
      <w:r w:rsidR="001C63CD" w:rsidRPr="003744C1">
        <w:rPr>
          <w:lang w:val="fr-FR"/>
        </w:rPr>
        <w:t xml:space="preserve"> du</w:t>
      </w:r>
      <w:r w:rsidR="001C63CD">
        <w:rPr>
          <w:lang w:val="fr-FR"/>
        </w:rPr>
        <w:t> </w:t>
      </w:r>
      <w:r w:rsidR="001C63CD" w:rsidRPr="003744C1">
        <w:rPr>
          <w:lang w:val="fr-FR"/>
        </w:rPr>
        <w:t>PCT</w:t>
      </w:r>
      <w:r w:rsidR="00A7009D" w:rsidRPr="003744C1">
        <w:rPr>
          <w:lang w:val="fr-FR"/>
        </w:rPr>
        <w:t xml:space="preserve"> (voir le </w:t>
      </w:r>
      <w:r w:rsidR="007050D3" w:rsidRPr="003744C1">
        <w:rPr>
          <w:lang w:val="fr-FR"/>
        </w:rPr>
        <w:t>document PCT/WG/11/4</w:t>
      </w:r>
      <w:r w:rsidR="00EA3517" w:rsidRPr="003744C1">
        <w:rPr>
          <w:lang w:val="fr-FR"/>
        </w:rPr>
        <w:t xml:space="preserve"> </w:t>
      </w:r>
      <w:r w:rsidR="00A7009D" w:rsidRPr="003744C1">
        <w:rPr>
          <w:lang w:val="fr-FR"/>
        </w:rPr>
        <w:t>et les para</w:t>
      </w:r>
      <w:r w:rsidR="007050D3" w:rsidRPr="003744C1">
        <w:rPr>
          <w:lang w:val="fr-FR"/>
        </w:rPr>
        <w:t>graph</w:t>
      </w:r>
      <w:r w:rsidR="00A7009D" w:rsidRPr="003744C1">
        <w:rPr>
          <w:lang w:val="fr-FR"/>
        </w:rPr>
        <w:t>e</w:t>
      </w:r>
      <w:r w:rsidR="007050D3" w:rsidRPr="003744C1">
        <w:rPr>
          <w:lang w:val="fr-FR"/>
        </w:rPr>
        <w:t xml:space="preserve">s 46 </w:t>
      </w:r>
      <w:r w:rsidR="00A7009D" w:rsidRPr="003744C1">
        <w:rPr>
          <w:lang w:val="fr-FR"/>
        </w:rPr>
        <w:t>à</w:t>
      </w:r>
      <w:r w:rsidR="007050D3" w:rsidRPr="003744C1">
        <w:rPr>
          <w:lang w:val="fr-FR"/>
        </w:rPr>
        <w:t xml:space="preserve"> 51 </w:t>
      </w:r>
      <w:r w:rsidR="00A7009D" w:rsidRPr="003744C1">
        <w:rPr>
          <w:lang w:val="fr-FR"/>
        </w:rPr>
        <w:t>du</w:t>
      </w:r>
      <w:r w:rsidR="007050D3" w:rsidRPr="003744C1">
        <w:rPr>
          <w:lang w:val="fr-FR"/>
        </w:rPr>
        <w:t xml:space="preserve"> document PCT/WG/11/26)</w:t>
      </w:r>
      <w:r w:rsidR="00A957F9" w:rsidRPr="003744C1">
        <w:rPr>
          <w:lang w:val="fr-FR"/>
        </w:rPr>
        <w:t>,</w:t>
      </w:r>
      <w:r w:rsidR="00151FE8" w:rsidRPr="003744C1">
        <w:rPr>
          <w:lang w:val="fr-FR"/>
        </w:rPr>
        <w:t xml:space="preserve"> le président a déclaré que les délégations appuyaient fermement le projet pilote relatif à la mise en place d</w:t>
      </w:r>
      <w:r w:rsidR="001C63CD">
        <w:rPr>
          <w:lang w:val="fr-FR"/>
        </w:rPr>
        <w:t>’</w:t>
      </w:r>
      <w:r w:rsidR="00151FE8" w:rsidRPr="003744C1">
        <w:rPr>
          <w:lang w:val="fr-FR"/>
        </w:rPr>
        <w:t>un mécanisme de compensation et encourageaient d</w:t>
      </w:r>
      <w:r w:rsidR="001C63CD">
        <w:rPr>
          <w:lang w:val="fr-FR"/>
        </w:rPr>
        <w:t>’</w:t>
      </w:r>
      <w:r w:rsidR="00151FE8" w:rsidRPr="003744C1">
        <w:rPr>
          <w:lang w:val="fr-FR"/>
        </w:rPr>
        <w:t xml:space="preserve">autres offices à participer à ce projet pilote, </w:t>
      </w:r>
      <w:r w:rsidR="00C4475D" w:rsidRPr="003744C1">
        <w:rPr>
          <w:lang w:val="fr-FR"/>
        </w:rPr>
        <w:t>en soulignant toutefois</w:t>
      </w:r>
      <w:r w:rsidR="00151FE8" w:rsidRPr="003744C1">
        <w:rPr>
          <w:lang w:val="fr-FR"/>
        </w:rPr>
        <w:t xml:space="preserve"> qu</w:t>
      </w:r>
      <w:r w:rsidR="00C4475D" w:rsidRPr="003744C1">
        <w:rPr>
          <w:lang w:val="fr-FR"/>
        </w:rPr>
        <w:t>e</w:t>
      </w:r>
      <w:r w:rsidR="00151FE8" w:rsidRPr="003744C1">
        <w:rPr>
          <w:lang w:val="fr-FR"/>
        </w:rPr>
        <w:t xml:space="preserve"> quelques réserves </w:t>
      </w:r>
      <w:r w:rsidR="00C4475D" w:rsidRPr="003744C1">
        <w:rPr>
          <w:lang w:val="fr-FR"/>
        </w:rPr>
        <w:t xml:space="preserve">existaient </w:t>
      </w:r>
      <w:r w:rsidR="00151FE8" w:rsidRPr="003744C1">
        <w:rPr>
          <w:lang w:val="fr-FR"/>
        </w:rPr>
        <w:t>quant à l</w:t>
      </w:r>
      <w:r w:rsidR="001C63CD">
        <w:rPr>
          <w:lang w:val="fr-FR"/>
        </w:rPr>
        <w:t>’</w:t>
      </w:r>
      <w:r w:rsidR="00151FE8" w:rsidRPr="003744C1">
        <w:rPr>
          <w:lang w:val="fr-FR"/>
        </w:rPr>
        <w:t xml:space="preserve">élargissement du mécanisme de compensation aux taxes perçues </w:t>
      </w:r>
      <w:r w:rsidR="00C4475D" w:rsidRPr="003744C1">
        <w:rPr>
          <w:lang w:val="fr-FR"/>
        </w:rPr>
        <w:t>par</w:t>
      </w:r>
      <w:r w:rsidR="00151FE8" w:rsidRPr="003744C1">
        <w:rPr>
          <w:lang w:val="fr-FR"/>
        </w:rPr>
        <w:t xml:space="preserve"> d</w:t>
      </w:r>
      <w:r w:rsidR="001C63CD">
        <w:rPr>
          <w:lang w:val="fr-FR"/>
        </w:rPr>
        <w:t>’</w:t>
      </w:r>
      <w:r w:rsidR="00151FE8" w:rsidRPr="003744C1">
        <w:rPr>
          <w:lang w:val="fr-FR"/>
        </w:rPr>
        <w:t xml:space="preserve">autres systèmes mondiaux de propriété intellectuelle, tels que le système de Madrid et le système de </w:t>
      </w:r>
      <w:r w:rsidR="001C63CD">
        <w:rPr>
          <w:lang w:val="fr-FR"/>
        </w:rPr>
        <w:t>La Haye</w:t>
      </w:r>
      <w:r w:rsidR="00151FE8" w:rsidRPr="003744C1">
        <w:rPr>
          <w:lang w:val="fr-FR"/>
        </w:rPr>
        <w:t>.</w:t>
      </w:r>
    </w:p>
    <w:p w14:paraId="2E9ED52A" w14:textId="42A5415B" w:rsidR="007050D3" w:rsidRPr="003744C1" w:rsidRDefault="001B65DA" w:rsidP="00157BF0">
      <w:pPr>
        <w:pStyle w:val="ONUMFS"/>
        <w:rPr>
          <w:lang w:val="fr-FR"/>
        </w:rPr>
      </w:pPr>
      <w:r w:rsidRPr="003744C1">
        <w:rPr>
          <w:lang w:val="fr-FR"/>
        </w:rPr>
        <w:t xml:space="preserve">Une évaluation des résultats du projet pilote </w:t>
      </w:r>
      <w:r w:rsidR="001C63CD" w:rsidRPr="003744C1">
        <w:rPr>
          <w:lang w:val="fr-FR"/>
        </w:rPr>
        <w:t>en</w:t>
      </w:r>
      <w:r w:rsidR="001C63CD">
        <w:rPr>
          <w:lang w:val="fr-FR"/>
        </w:rPr>
        <w:t> </w:t>
      </w:r>
      <w:r w:rsidR="001C63CD" w:rsidRPr="003744C1">
        <w:rPr>
          <w:lang w:val="fr-FR"/>
        </w:rPr>
        <w:t>2018</w:t>
      </w:r>
      <w:r w:rsidR="00BD7920" w:rsidRPr="003744C1">
        <w:rPr>
          <w:lang w:val="fr-FR"/>
        </w:rPr>
        <w:t xml:space="preserve"> a été </w:t>
      </w:r>
      <w:r w:rsidRPr="003744C1">
        <w:rPr>
          <w:lang w:val="fr-FR"/>
        </w:rPr>
        <w:t xml:space="preserve">effectuée en mars et </w:t>
      </w:r>
      <w:r w:rsidR="001C63CD" w:rsidRPr="003744C1">
        <w:rPr>
          <w:lang w:val="fr-FR"/>
        </w:rPr>
        <w:t>avril</w:t>
      </w:r>
      <w:r w:rsidR="001C63CD">
        <w:rPr>
          <w:lang w:val="fr-FR"/>
        </w:rPr>
        <w:t> </w:t>
      </w:r>
      <w:r w:rsidR="001C63CD" w:rsidRPr="003744C1">
        <w:rPr>
          <w:lang w:val="fr-FR"/>
        </w:rPr>
        <w:t>20</w:t>
      </w:r>
      <w:r w:rsidRPr="003744C1">
        <w:rPr>
          <w:lang w:val="fr-FR"/>
        </w:rPr>
        <w:t>19</w:t>
      </w:r>
      <w:r w:rsidR="00BD7920" w:rsidRPr="003744C1">
        <w:rPr>
          <w:lang w:val="fr-FR"/>
        </w:rPr>
        <w:t>;</w:t>
      </w:r>
      <w:r w:rsidR="00CE0777" w:rsidRPr="003744C1">
        <w:rPr>
          <w:lang w:val="fr-FR"/>
        </w:rPr>
        <w:t xml:space="preserve"> </w:t>
      </w:r>
      <w:r w:rsidR="0006198A" w:rsidRPr="003744C1">
        <w:rPr>
          <w:lang w:val="fr-FR"/>
        </w:rPr>
        <w:t xml:space="preserve"> </w:t>
      </w:r>
      <w:r w:rsidR="00CE0777" w:rsidRPr="003744C1">
        <w:rPr>
          <w:lang w:val="fr-FR"/>
        </w:rPr>
        <w:t>elle se composait d</w:t>
      </w:r>
      <w:r w:rsidR="001C63CD">
        <w:rPr>
          <w:lang w:val="fr-FR"/>
        </w:rPr>
        <w:t>’</w:t>
      </w:r>
      <w:r w:rsidR="00CE0777" w:rsidRPr="003744C1">
        <w:rPr>
          <w:lang w:val="fr-FR"/>
        </w:rPr>
        <w:t xml:space="preserve">une enquête </w:t>
      </w:r>
      <w:r w:rsidR="00BD7920" w:rsidRPr="003744C1">
        <w:rPr>
          <w:lang w:val="fr-FR"/>
        </w:rPr>
        <w:t>auprès des offices récepteurs et des administrations chargées de la recherche internationale</w:t>
      </w:r>
      <w:r w:rsidR="00CE0777" w:rsidRPr="003744C1">
        <w:rPr>
          <w:lang w:val="fr-FR"/>
        </w:rPr>
        <w:t xml:space="preserve"> participant au projet (voir les résultats à l</w:t>
      </w:r>
      <w:r w:rsidR="001C63CD">
        <w:rPr>
          <w:lang w:val="fr-FR"/>
        </w:rPr>
        <w:t>’</w:t>
      </w:r>
      <w:r w:rsidR="001C63CD" w:rsidRPr="003744C1">
        <w:rPr>
          <w:lang w:val="fr-FR"/>
        </w:rPr>
        <w:t>annexe</w:t>
      </w:r>
      <w:r w:rsidR="001C63CD">
        <w:rPr>
          <w:lang w:val="fr-FR"/>
        </w:rPr>
        <w:t> </w:t>
      </w:r>
      <w:r w:rsidR="001C63CD" w:rsidRPr="003744C1">
        <w:rPr>
          <w:lang w:val="fr-FR"/>
        </w:rPr>
        <w:t>I</w:t>
      </w:r>
      <w:r w:rsidR="00CE0777" w:rsidRPr="003744C1">
        <w:rPr>
          <w:lang w:val="fr-FR"/>
        </w:rPr>
        <w:t>) et d</w:t>
      </w:r>
      <w:r w:rsidR="001C63CD">
        <w:rPr>
          <w:lang w:val="fr-FR"/>
        </w:rPr>
        <w:t>’</w:t>
      </w:r>
      <w:r w:rsidR="00CE0777" w:rsidRPr="003744C1">
        <w:rPr>
          <w:lang w:val="fr-FR"/>
        </w:rPr>
        <w:t>une analyse d</w:t>
      </w:r>
      <w:r w:rsidR="001C63CD">
        <w:rPr>
          <w:lang w:val="fr-FR"/>
        </w:rPr>
        <w:t>’</w:t>
      </w:r>
      <w:r w:rsidR="00CE0777" w:rsidRPr="003744C1">
        <w:rPr>
          <w:lang w:val="fr-FR"/>
        </w:rPr>
        <w:t>impact financier, réalisée par la Section de l</w:t>
      </w:r>
      <w:r w:rsidR="001C63CD">
        <w:rPr>
          <w:lang w:val="fr-FR"/>
        </w:rPr>
        <w:t>’</w:t>
      </w:r>
      <w:r w:rsidR="00CE0777" w:rsidRPr="003744C1">
        <w:rPr>
          <w:lang w:val="fr-FR"/>
        </w:rPr>
        <w:t>audit interne de la Division de la supervision interne (</w:t>
      </w:r>
      <w:r w:rsidR="00936350" w:rsidRPr="003744C1">
        <w:rPr>
          <w:lang w:val="fr-FR"/>
        </w:rPr>
        <w:t>voir le résumé joint à l</w:t>
      </w:r>
      <w:r w:rsidR="001C63CD">
        <w:rPr>
          <w:lang w:val="fr-FR"/>
        </w:rPr>
        <w:t>’</w:t>
      </w:r>
      <w:r w:rsidR="001C63CD" w:rsidRPr="003744C1">
        <w:rPr>
          <w:lang w:val="fr-FR"/>
        </w:rPr>
        <w:t>annexe</w:t>
      </w:r>
      <w:r w:rsidR="001C63CD">
        <w:rPr>
          <w:lang w:val="fr-FR"/>
        </w:rPr>
        <w:t> </w:t>
      </w:r>
      <w:r w:rsidR="001C63CD" w:rsidRPr="003744C1">
        <w:rPr>
          <w:lang w:val="fr-FR"/>
        </w:rPr>
        <w:t>I</w:t>
      </w:r>
      <w:r w:rsidR="00936350" w:rsidRPr="003744C1">
        <w:rPr>
          <w:lang w:val="fr-FR"/>
        </w:rPr>
        <w:t>I).</w:t>
      </w:r>
      <w:r w:rsidR="00166A8D" w:rsidRPr="003744C1">
        <w:rPr>
          <w:lang w:val="fr-FR"/>
        </w:rPr>
        <w:t xml:space="preserve">  Le texte complet du rapport peut être consulté sur le site</w:t>
      </w:r>
      <w:r w:rsidR="00CB19EE">
        <w:rPr>
          <w:lang w:val="fr-FR"/>
        </w:rPr>
        <w:t> </w:t>
      </w:r>
      <w:r w:rsidR="00166A8D" w:rsidRPr="003744C1">
        <w:rPr>
          <w:lang w:val="fr-FR"/>
        </w:rPr>
        <w:t>Web de la Section de l</w:t>
      </w:r>
      <w:r w:rsidR="001C63CD">
        <w:rPr>
          <w:lang w:val="fr-FR"/>
        </w:rPr>
        <w:t>’</w:t>
      </w:r>
      <w:r w:rsidR="00166A8D" w:rsidRPr="003744C1">
        <w:rPr>
          <w:lang w:val="fr-FR"/>
        </w:rPr>
        <w:t>audit interne, à l</w:t>
      </w:r>
      <w:r w:rsidR="001C63CD">
        <w:rPr>
          <w:lang w:val="fr-FR"/>
        </w:rPr>
        <w:t>’</w:t>
      </w:r>
      <w:r w:rsidR="00166A8D" w:rsidRPr="003744C1">
        <w:rPr>
          <w:lang w:val="fr-FR"/>
        </w:rPr>
        <w:t xml:space="preserve">adresse </w:t>
      </w:r>
      <w:hyperlink r:id="rId9" w:history="1">
        <w:r w:rsidR="004E4BA7" w:rsidRPr="003744C1">
          <w:rPr>
            <w:rStyle w:val="Hyperlink"/>
            <w:color w:val="auto"/>
            <w:u w:val="none"/>
            <w:lang w:val="fr-FR"/>
          </w:rPr>
          <w:t>https://www.wipo.int/about</w:t>
        </w:r>
        <w:r w:rsidR="00FB191E">
          <w:rPr>
            <w:rStyle w:val="Hyperlink"/>
            <w:color w:val="auto"/>
            <w:u w:val="none"/>
            <w:lang w:val="fr-FR"/>
          </w:rPr>
          <w:noBreakHyphen/>
        </w:r>
        <w:r w:rsidR="004E4BA7" w:rsidRPr="003744C1">
          <w:rPr>
            <w:rStyle w:val="Hyperlink"/>
            <w:color w:val="auto"/>
            <w:u w:val="none"/>
            <w:lang w:val="fr-FR"/>
          </w:rPr>
          <w:t>wipo/en/oversight/iaod/audit/</w:t>
        </w:r>
      </w:hyperlink>
      <w:r w:rsidR="004E4BA7" w:rsidRPr="003744C1">
        <w:rPr>
          <w:lang w:val="fr-FR"/>
        </w:rPr>
        <w:t>.</w:t>
      </w:r>
    </w:p>
    <w:p w14:paraId="7953CE89" w14:textId="6ABABCA5" w:rsidR="00354678" w:rsidRPr="003744C1" w:rsidRDefault="00155CC2" w:rsidP="00157BF0">
      <w:pPr>
        <w:pStyle w:val="ONUMFS"/>
        <w:rPr>
          <w:lang w:val="fr-FR"/>
        </w:rPr>
      </w:pPr>
      <w:r w:rsidRPr="003744C1">
        <w:rPr>
          <w:lang w:val="fr-FR"/>
        </w:rPr>
        <w:t>Du fait</w:t>
      </w:r>
      <w:r w:rsidR="00F21C8A" w:rsidRPr="003744C1">
        <w:rPr>
          <w:lang w:val="fr-FR"/>
        </w:rPr>
        <w:t xml:space="preserve"> </w:t>
      </w:r>
      <w:r w:rsidR="0006198A" w:rsidRPr="003744C1">
        <w:rPr>
          <w:lang w:val="fr-FR"/>
        </w:rPr>
        <w:t>des origines</w:t>
      </w:r>
      <w:r w:rsidR="00E861F6" w:rsidRPr="003744C1">
        <w:rPr>
          <w:lang w:val="fr-FR"/>
        </w:rPr>
        <w:t xml:space="preserve"> du projet,</w:t>
      </w:r>
      <w:r w:rsidR="009A78A2" w:rsidRPr="003744C1">
        <w:rPr>
          <w:lang w:val="fr-FR"/>
        </w:rPr>
        <w:t xml:space="preserve"> le </w:t>
      </w:r>
      <w:r w:rsidR="00EC50A2" w:rsidRPr="003744C1">
        <w:rPr>
          <w:lang w:val="fr-FR"/>
        </w:rPr>
        <w:t>mot</w:t>
      </w:r>
      <w:r w:rsidR="009A78A2" w:rsidRPr="003744C1">
        <w:rPr>
          <w:lang w:val="fr-FR"/>
        </w:rPr>
        <w:t xml:space="preserve"> “compensation” a été utilisé, jusqu</w:t>
      </w:r>
      <w:r w:rsidR="001C63CD">
        <w:rPr>
          <w:lang w:val="fr-FR"/>
        </w:rPr>
        <w:t>’</w:t>
      </w:r>
      <w:r w:rsidR="009A78A2" w:rsidRPr="003744C1">
        <w:rPr>
          <w:lang w:val="fr-FR"/>
        </w:rPr>
        <w:t>à présent,</w:t>
      </w:r>
      <w:r w:rsidR="00E861F6" w:rsidRPr="003744C1">
        <w:rPr>
          <w:lang w:val="fr-FR"/>
        </w:rPr>
        <w:t xml:space="preserve"> </w:t>
      </w:r>
      <w:r w:rsidR="001C63CD">
        <w:rPr>
          <w:lang w:val="fr-FR"/>
        </w:rPr>
        <w:t>à l’égard</w:t>
      </w:r>
      <w:r w:rsidR="00EC50A2" w:rsidRPr="003744C1">
        <w:rPr>
          <w:lang w:val="fr-FR"/>
        </w:rPr>
        <w:t xml:space="preserve"> de tous l</w:t>
      </w:r>
      <w:r w:rsidR="00E861F6" w:rsidRPr="003744C1">
        <w:rPr>
          <w:lang w:val="fr-FR"/>
        </w:rPr>
        <w:t>es transferts de taxes effectués par l</w:t>
      </w:r>
      <w:r w:rsidR="001C63CD">
        <w:rPr>
          <w:lang w:val="fr-FR"/>
        </w:rPr>
        <w:t>’</w:t>
      </w:r>
      <w:r w:rsidR="00E861F6" w:rsidRPr="003744C1">
        <w:rPr>
          <w:lang w:val="fr-FR"/>
        </w:rPr>
        <w:t xml:space="preserve">intermédiaire du Bureau international, </w:t>
      </w:r>
      <w:r w:rsidR="006756D6" w:rsidRPr="003744C1">
        <w:rPr>
          <w:lang w:val="fr-FR"/>
        </w:rPr>
        <w:t>qu</w:t>
      </w:r>
      <w:r w:rsidR="001C63CD">
        <w:rPr>
          <w:lang w:val="fr-FR"/>
        </w:rPr>
        <w:t>’</w:t>
      </w:r>
      <w:r w:rsidR="006756D6" w:rsidRPr="003744C1">
        <w:rPr>
          <w:lang w:val="fr-FR"/>
        </w:rPr>
        <w:t>il</w:t>
      </w:r>
      <w:r w:rsidR="0006198A" w:rsidRPr="003744C1">
        <w:rPr>
          <w:lang w:val="fr-FR"/>
        </w:rPr>
        <w:t>s résultent</w:t>
      </w:r>
      <w:r w:rsidR="006756D6" w:rsidRPr="003744C1">
        <w:rPr>
          <w:lang w:val="fr-FR"/>
        </w:rPr>
        <w:t xml:space="preserve"> ou non de la compensation</w:t>
      </w:r>
      <w:r w:rsidR="00EC50A2" w:rsidRPr="003744C1">
        <w:rPr>
          <w:lang w:val="fr-FR"/>
        </w:rPr>
        <w:t xml:space="preserve"> d</w:t>
      </w:r>
      <w:r w:rsidR="001C63CD">
        <w:rPr>
          <w:lang w:val="fr-FR"/>
        </w:rPr>
        <w:t>’</w:t>
      </w:r>
      <w:r w:rsidR="00EC50A2" w:rsidRPr="003744C1">
        <w:rPr>
          <w:lang w:val="fr-FR"/>
        </w:rPr>
        <w:t>un montant par un aut</w:t>
      </w:r>
      <w:r w:rsidR="005C097F" w:rsidRPr="003744C1">
        <w:rPr>
          <w:lang w:val="fr-FR"/>
        </w:rPr>
        <w:t>re</w:t>
      </w:r>
      <w:r w:rsidR="005C097F">
        <w:rPr>
          <w:lang w:val="fr-FR"/>
        </w:rPr>
        <w:t xml:space="preserve">.  </w:t>
      </w:r>
      <w:r w:rsidR="005C097F" w:rsidRPr="003744C1">
        <w:rPr>
          <w:lang w:val="fr-FR"/>
        </w:rPr>
        <w:t>Ce</w:t>
      </w:r>
      <w:r w:rsidR="00F21C8A" w:rsidRPr="003744C1">
        <w:rPr>
          <w:lang w:val="fr-FR"/>
        </w:rPr>
        <w:t xml:space="preserve"> mot est également utilisé dans le présent document, mais un terme plus précis est à l</w:t>
      </w:r>
      <w:r w:rsidR="001C63CD">
        <w:rPr>
          <w:lang w:val="fr-FR"/>
        </w:rPr>
        <w:t>’</w:t>
      </w:r>
      <w:r w:rsidR="00F21C8A" w:rsidRPr="003744C1">
        <w:rPr>
          <w:lang w:val="fr-FR"/>
        </w:rPr>
        <w:t>étude pour le remplacer à l</w:t>
      </w:r>
      <w:r w:rsidR="001C63CD">
        <w:rPr>
          <w:lang w:val="fr-FR"/>
        </w:rPr>
        <w:t>’</w:t>
      </w:r>
      <w:r w:rsidR="00F21C8A" w:rsidRPr="003744C1">
        <w:rPr>
          <w:lang w:val="fr-FR"/>
        </w:rPr>
        <w:t>avenir (voir le document PCT/WG/12/20), afin d</w:t>
      </w:r>
      <w:r w:rsidR="001C63CD">
        <w:rPr>
          <w:lang w:val="fr-FR"/>
        </w:rPr>
        <w:t>’</w:t>
      </w:r>
      <w:r w:rsidR="00F21C8A" w:rsidRPr="003744C1">
        <w:rPr>
          <w:lang w:val="fr-FR"/>
        </w:rPr>
        <w:t>éviter de donner aux offices l</w:t>
      </w:r>
      <w:r w:rsidR="001C63CD">
        <w:rPr>
          <w:lang w:val="fr-FR"/>
        </w:rPr>
        <w:t>’</w:t>
      </w:r>
      <w:r w:rsidR="00F21C8A" w:rsidRPr="003744C1">
        <w:rPr>
          <w:lang w:val="fr-FR"/>
        </w:rPr>
        <w:t>impression qu</w:t>
      </w:r>
      <w:r w:rsidR="001C63CD">
        <w:rPr>
          <w:lang w:val="fr-FR"/>
        </w:rPr>
        <w:t>’</w:t>
      </w:r>
      <w:r w:rsidR="00F21C8A" w:rsidRPr="003744C1">
        <w:rPr>
          <w:lang w:val="fr-FR"/>
        </w:rPr>
        <w:t>ils sont tenus d</w:t>
      </w:r>
      <w:r w:rsidR="001C63CD">
        <w:rPr>
          <w:lang w:val="fr-FR"/>
        </w:rPr>
        <w:t>’</w:t>
      </w:r>
      <w:r w:rsidR="00F21C8A" w:rsidRPr="003744C1">
        <w:rPr>
          <w:lang w:val="fr-FR"/>
        </w:rPr>
        <w:t>accepter la compensation des taxes perçues par des taxes dues pour participer au mécanisme.</w:t>
      </w:r>
    </w:p>
    <w:p w14:paraId="1E646CC6" w14:textId="5DD46CDE" w:rsidR="007050D3" w:rsidRPr="003744C1" w:rsidRDefault="00157BF0" w:rsidP="00157BF0">
      <w:pPr>
        <w:pStyle w:val="Heading1"/>
        <w:rPr>
          <w:lang w:val="fr-FR"/>
        </w:rPr>
      </w:pPr>
      <w:r w:rsidRPr="003744C1">
        <w:rPr>
          <w:lang w:val="fr-FR"/>
        </w:rPr>
        <w:t>Mise en place d</w:t>
      </w:r>
      <w:r w:rsidR="001C63CD">
        <w:rPr>
          <w:lang w:val="fr-FR"/>
        </w:rPr>
        <w:t>’</w:t>
      </w:r>
      <w:r w:rsidRPr="003744C1">
        <w:rPr>
          <w:lang w:val="fr-FR"/>
        </w:rPr>
        <w:t>un mécanisme de transfert de taxes</w:t>
      </w:r>
    </w:p>
    <w:p w14:paraId="62CB8549" w14:textId="057A3CE1" w:rsidR="0007254E" w:rsidRDefault="00157BF0" w:rsidP="00157BF0">
      <w:pPr>
        <w:pStyle w:val="Heading2"/>
        <w:rPr>
          <w:lang w:val="fr-FR"/>
        </w:rPr>
      </w:pPr>
      <w:r w:rsidRPr="003744C1">
        <w:rPr>
          <w:lang w:val="fr-FR"/>
        </w:rPr>
        <w:t>Portée du mécanisme</w:t>
      </w:r>
    </w:p>
    <w:p w14:paraId="3D7E3A83" w14:textId="77777777" w:rsidR="00157BF0" w:rsidRPr="00157BF0" w:rsidRDefault="00157BF0" w:rsidP="00157BF0">
      <w:pPr>
        <w:rPr>
          <w:lang w:val="fr-FR"/>
        </w:rPr>
      </w:pPr>
    </w:p>
    <w:p w14:paraId="0DADAA78" w14:textId="03B81160" w:rsidR="007050D3" w:rsidRPr="003744C1" w:rsidRDefault="00DC3052" w:rsidP="00157BF0">
      <w:pPr>
        <w:pStyle w:val="ONUMFS"/>
        <w:rPr>
          <w:lang w:val="fr-FR"/>
        </w:rPr>
      </w:pPr>
      <w:bookmarkStart w:id="6" w:name="_Ref503272562"/>
      <w:r w:rsidRPr="003744C1">
        <w:rPr>
          <w:lang w:val="fr-FR"/>
        </w:rPr>
        <w:t xml:space="preserve">Le Bureau international a lancé, au début </w:t>
      </w:r>
      <w:r w:rsidR="001C63CD" w:rsidRPr="003744C1">
        <w:rPr>
          <w:lang w:val="fr-FR"/>
        </w:rPr>
        <w:t>de</w:t>
      </w:r>
      <w:r w:rsidR="001C63CD">
        <w:rPr>
          <w:lang w:val="fr-FR"/>
        </w:rPr>
        <w:t> </w:t>
      </w:r>
      <w:r w:rsidR="001C63CD" w:rsidRPr="003744C1">
        <w:rPr>
          <w:lang w:val="fr-FR"/>
        </w:rPr>
        <w:t>2018</w:t>
      </w:r>
      <w:r w:rsidRPr="003744C1">
        <w:rPr>
          <w:lang w:val="fr-FR"/>
        </w:rPr>
        <w:t>, un projet pilote relatif à la compensation des taxes</w:t>
      </w:r>
      <w:r w:rsidR="001C63CD" w:rsidRPr="003744C1">
        <w:rPr>
          <w:lang w:val="fr-FR"/>
        </w:rPr>
        <w:t xml:space="preserve"> du</w:t>
      </w:r>
      <w:r w:rsidR="001C63CD">
        <w:rPr>
          <w:lang w:val="fr-FR"/>
        </w:rPr>
        <w:t> </w:t>
      </w:r>
      <w:r w:rsidR="001C63CD" w:rsidRPr="003744C1">
        <w:rPr>
          <w:lang w:val="fr-FR"/>
        </w:rPr>
        <w:t>PCT</w:t>
      </w:r>
      <w:r w:rsidR="00D34488" w:rsidRPr="003744C1">
        <w:rPr>
          <w:lang w:val="fr-FR"/>
        </w:rPr>
        <w:t>,</w:t>
      </w:r>
      <w:r w:rsidR="00D05ACF" w:rsidRPr="003744C1">
        <w:rPr>
          <w:lang w:val="fr-FR"/>
        </w:rPr>
        <w:t xml:space="preserve"> </w:t>
      </w:r>
      <w:r w:rsidRPr="003744C1">
        <w:rPr>
          <w:lang w:val="fr-FR"/>
        </w:rPr>
        <w:t>s</w:t>
      </w:r>
      <w:r w:rsidR="001C63CD">
        <w:rPr>
          <w:lang w:val="fr-FR"/>
        </w:rPr>
        <w:t>’</w:t>
      </w:r>
      <w:r w:rsidRPr="003744C1">
        <w:rPr>
          <w:lang w:val="fr-FR"/>
        </w:rPr>
        <w:t>appuyant sur un mécanisme déjà mis en place avec succès entre l</w:t>
      </w:r>
      <w:r w:rsidR="001C63CD">
        <w:rPr>
          <w:lang w:val="fr-FR"/>
        </w:rPr>
        <w:t>’</w:t>
      </w:r>
      <w:r w:rsidRPr="003744C1">
        <w:rPr>
          <w:lang w:val="fr-FR"/>
        </w:rPr>
        <w:t>Office des brevets et des marques des États</w:t>
      </w:r>
      <w:r w:rsidR="00FB191E">
        <w:rPr>
          <w:lang w:val="fr-FR"/>
        </w:rPr>
        <w:noBreakHyphen/>
      </w:r>
      <w:r w:rsidRPr="003744C1">
        <w:rPr>
          <w:lang w:val="fr-FR"/>
        </w:rPr>
        <w:t>Unis d</w:t>
      </w:r>
      <w:r w:rsidR="001C63CD">
        <w:rPr>
          <w:lang w:val="fr-FR"/>
        </w:rPr>
        <w:t>’</w:t>
      </w:r>
      <w:r w:rsidRPr="003744C1">
        <w:rPr>
          <w:lang w:val="fr-FR"/>
        </w:rPr>
        <w:t>Amérique (USPTO)</w:t>
      </w:r>
      <w:r w:rsidR="00D34488" w:rsidRPr="003744C1">
        <w:rPr>
          <w:lang w:val="fr-FR"/>
        </w:rPr>
        <w:t>,</w:t>
      </w:r>
      <w:r w:rsidRPr="003744C1">
        <w:rPr>
          <w:lang w:val="fr-FR"/>
        </w:rPr>
        <w:t xml:space="preserve"> en tant qu</w:t>
      </w:r>
      <w:r w:rsidR="001C63CD">
        <w:rPr>
          <w:lang w:val="fr-FR"/>
        </w:rPr>
        <w:t>’</w:t>
      </w:r>
      <w:r w:rsidRPr="003744C1">
        <w:rPr>
          <w:lang w:val="fr-FR"/>
        </w:rPr>
        <w:t>office récepteur</w:t>
      </w:r>
      <w:r w:rsidR="00D05ACF" w:rsidRPr="003744C1">
        <w:rPr>
          <w:lang w:val="fr-FR"/>
        </w:rPr>
        <w:t xml:space="preserve"> et l</w:t>
      </w:r>
      <w:r w:rsidR="001C63CD">
        <w:rPr>
          <w:lang w:val="fr-FR"/>
        </w:rPr>
        <w:t>’</w:t>
      </w:r>
      <w:r w:rsidR="00D05ACF" w:rsidRPr="003744C1">
        <w:rPr>
          <w:lang w:val="fr-FR"/>
        </w:rPr>
        <w:t>Office européen des brevets (OEB)</w:t>
      </w:r>
      <w:r w:rsidR="00D34488" w:rsidRPr="003744C1">
        <w:rPr>
          <w:lang w:val="fr-FR"/>
        </w:rPr>
        <w:t>,</w:t>
      </w:r>
      <w:r w:rsidR="00D05ACF" w:rsidRPr="003744C1">
        <w:rPr>
          <w:lang w:val="fr-FR"/>
        </w:rPr>
        <w:t xml:space="preserve"> en qualité d</w:t>
      </w:r>
      <w:r w:rsidR="001C63CD">
        <w:rPr>
          <w:lang w:val="fr-FR"/>
        </w:rPr>
        <w:t>’</w:t>
      </w:r>
      <w:r w:rsidR="00D05ACF" w:rsidRPr="003744C1">
        <w:rPr>
          <w:lang w:val="fr-FR"/>
        </w:rPr>
        <w:t>administration chargée de la recherche internationale, pour le transfert de</w:t>
      </w:r>
      <w:r w:rsidR="004679B6" w:rsidRPr="003744C1">
        <w:rPr>
          <w:lang w:val="fr-FR"/>
        </w:rPr>
        <w:t xml:space="preserve"> la</w:t>
      </w:r>
      <w:r w:rsidR="00D05ACF" w:rsidRPr="003744C1">
        <w:rPr>
          <w:lang w:val="fr-FR"/>
        </w:rPr>
        <w:t xml:space="preserve"> taxe de recherche de l</w:t>
      </w:r>
      <w:r w:rsidR="001C63CD">
        <w:rPr>
          <w:lang w:val="fr-FR"/>
        </w:rPr>
        <w:t>’</w:t>
      </w:r>
      <w:r w:rsidR="00D05ACF" w:rsidRPr="003744C1">
        <w:rPr>
          <w:lang w:val="fr-FR"/>
        </w:rPr>
        <w:t>office récepteur à l</w:t>
      </w:r>
      <w:r w:rsidR="001C63CD">
        <w:rPr>
          <w:lang w:val="fr-FR"/>
        </w:rPr>
        <w:t>’</w:t>
      </w:r>
      <w:r w:rsidR="00D05ACF" w:rsidRPr="003744C1">
        <w:rPr>
          <w:lang w:val="fr-FR"/>
        </w:rPr>
        <w:t>administration chargée de la recherche internationa</w:t>
      </w:r>
      <w:r w:rsidR="005C097F" w:rsidRPr="003744C1">
        <w:rPr>
          <w:lang w:val="fr-FR"/>
        </w:rPr>
        <w:t>le</w:t>
      </w:r>
      <w:r w:rsidR="005C097F">
        <w:rPr>
          <w:lang w:val="fr-FR"/>
        </w:rPr>
        <w:t xml:space="preserve">.  </w:t>
      </w:r>
      <w:r w:rsidR="005C097F" w:rsidRPr="003744C1">
        <w:rPr>
          <w:lang w:val="fr-FR"/>
        </w:rPr>
        <w:t>Ce</w:t>
      </w:r>
      <w:r w:rsidR="00314BB6" w:rsidRPr="003744C1">
        <w:rPr>
          <w:lang w:val="fr-FR"/>
        </w:rPr>
        <w:t xml:space="preserve"> projet pilote est d</w:t>
      </w:r>
      <w:r w:rsidR="001C63CD">
        <w:rPr>
          <w:lang w:val="fr-FR"/>
        </w:rPr>
        <w:t>’</w:t>
      </w:r>
      <w:r w:rsidR="00314BB6" w:rsidRPr="003744C1">
        <w:rPr>
          <w:lang w:val="fr-FR"/>
        </w:rPr>
        <w:t xml:space="preserve">une ampleur </w:t>
      </w:r>
      <w:r w:rsidR="00314BB6" w:rsidRPr="003744C1">
        <w:rPr>
          <w:lang w:val="fr-FR"/>
        </w:rPr>
        <w:lastRenderedPageBreak/>
        <w:t>nettement supérieure, par le nombre d</w:t>
      </w:r>
      <w:r w:rsidR="001C63CD">
        <w:rPr>
          <w:lang w:val="fr-FR"/>
        </w:rPr>
        <w:t>’</w:t>
      </w:r>
      <w:r w:rsidR="00314BB6" w:rsidRPr="003744C1">
        <w:rPr>
          <w:lang w:val="fr-FR"/>
        </w:rPr>
        <w:t>offices participa</w:t>
      </w:r>
      <w:r w:rsidR="00AA33A7" w:rsidRPr="003744C1">
        <w:rPr>
          <w:lang w:val="fr-FR"/>
        </w:rPr>
        <w:t>nts, le type de taxes concerné</w:t>
      </w:r>
      <w:r w:rsidR="00314BB6" w:rsidRPr="003744C1">
        <w:rPr>
          <w:lang w:val="fr-FR"/>
        </w:rPr>
        <w:t xml:space="preserve"> et les dispositions relatives à la compensation des paiements, dans un</w:t>
      </w:r>
      <w:r w:rsidR="00AA33A7" w:rsidRPr="003744C1">
        <w:rPr>
          <w:lang w:val="fr-FR"/>
        </w:rPr>
        <w:t>e direction</w:t>
      </w:r>
      <w:r w:rsidR="00314BB6" w:rsidRPr="003744C1">
        <w:rPr>
          <w:lang w:val="fr-FR"/>
        </w:rPr>
        <w:t xml:space="preserve"> comme dans l</w:t>
      </w:r>
      <w:r w:rsidR="001C63CD">
        <w:rPr>
          <w:lang w:val="fr-FR"/>
        </w:rPr>
        <w:t>’</w:t>
      </w:r>
      <w:r w:rsidR="00314BB6" w:rsidRPr="003744C1">
        <w:rPr>
          <w:lang w:val="fr-FR"/>
        </w:rPr>
        <w:t>autre.</w:t>
      </w:r>
      <w:bookmarkEnd w:id="6"/>
    </w:p>
    <w:p w14:paraId="3A5B67EA" w14:textId="6D8B67DA" w:rsidR="001C63CD" w:rsidRDefault="00314BB6" w:rsidP="00157BF0">
      <w:pPr>
        <w:pStyle w:val="ONUMFS"/>
        <w:rPr>
          <w:lang w:val="fr-FR"/>
        </w:rPr>
      </w:pPr>
      <w:r w:rsidRPr="003744C1">
        <w:rPr>
          <w:lang w:val="fr-FR"/>
        </w:rPr>
        <w:t>À l</w:t>
      </w:r>
      <w:r w:rsidR="001C63CD">
        <w:rPr>
          <w:lang w:val="fr-FR"/>
        </w:rPr>
        <w:t>’</w:t>
      </w:r>
      <w:r w:rsidRPr="003744C1">
        <w:rPr>
          <w:lang w:val="fr-FR"/>
        </w:rPr>
        <w:t>heure actuelle, le projet pilote porte sur la compensation des taxes et montants suivants</w:t>
      </w:r>
      <w:r w:rsidR="001C63CD">
        <w:rPr>
          <w:lang w:val="fr-FR"/>
        </w:rPr>
        <w:t> :</w:t>
      </w:r>
    </w:p>
    <w:p w14:paraId="4EC07D8E" w14:textId="1ED14298" w:rsidR="007050D3" w:rsidRPr="003744C1" w:rsidRDefault="00EC4B35" w:rsidP="00157BF0">
      <w:pPr>
        <w:pStyle w:val="ONUMFS"/>
        <w:numPr>
          <w:ilvl w:val="1"/>
          <w:numId w:val="12"/>
        </w:numPr>
        <w:rPr>
          <w:lang w:val="fr-FR"/>
        </w:rPr>
      </w:pPr>
      <w:r w:rsidRPr="003744C1">
        <w:rPr>
          <w:lang w:val="fr-FR"/>
        </w:rPr>
        <w:t>taxes</w:t>
      </w:r>
      <w:r w:rsidR="001C63CD" w:rsidRPr="003744C1">
        <w:rPr>
          <w:lang w:val="fr-FR"/>
        </w:rPr>
        <w:t xml:space="preserve"> du</w:t>
      </w:r>
      <w:r w:rsidR="001C63CD">
        <w:rPr>
          <w:lang w:val="fr-FR"/>
        </w:rPr>
        <w:t> </w:t>
      </w:r>
      <w:r w:rsidR="001C63CD" w:rsidRPr="003744C1">
        <w:rPr>
          <w:lang w:val="fr-FR"/>
        </w:rPr>
        <w:t>PCT</w:t>
      </w:r>
      <w:r w:rsidRPr="003744C1">
        <w:rPr>
          <w:lang w:val="fr-FR"/>
        </w:rPr>
        <w:t xml:space="preserve"> perçues par les offices en leur qualité d</w:t>
      </w:r>
      <w:r w:rsidR="001C63CD">
        <w:rPr>
          <w:lang w:val="fr-FR"/>
        </w:rPr>
        <w:t>’</w:t>
      </w:r>
      <w:r w:rsidRPr="003744C1">
        <w:rPr>
          <w:lang w:val="fr-FR"/>
        </w:rPr>
        <w:t xml:space="preserve">office récepteur </w:t>
      </w:r>
      <w:r w:rsidR="00EC6BE4" w:rsidRPr="003744C1">
        <w:rPr>
          <w:lang w:val="fr-FR"/>
        </w:rPr>
        <w:t xml:space="preserve">ou </w:t>
      </w:r>
      <w:r w:rsidRPr="003744C1">
        <w:rPr>
          <w:lang w:val="fr-FR"/>
        </w:rPr>
        <w:t>d</w:t>
      </w:r>
      <w:r w:rsidR="001C63CD">
        <w:rPr>
          <w:lang w:val="fr-FR"/>
        </w:rPr>
        <w:t>’</w:t>
      </w:r>
      <w:r w:rsidRPr="003744C1">
        <w:rPr>
          <w:lang w:val="fr-FR"/>
        </w:rPr>
        <w:t>administration chargée de l</w:t>
      </w:r>
      <w:r w:rsidR="001C63CD">
        <w:rPr>
          <w:lang w:val="fr-FR"/>
        </w:rPr>
        <w:t>’</w:t>
      </w:r>
      <w:r w:rsidRPr="003744C1">
        <w:rPr>
          <w:lang w:val="fr-FR"/>
        </w:rPr>
        <w:t>examen préliminaire international, au profit du Bureau international ou d</w:t>
      </w:r>
      <w:r w:rsidR="001C63CD">
        <w:rPr>
          <w:lang w:val="fr-FR"/>
        </w:rPr>
        <w:t>’</w:t>
      </w:r>
      <w:r w:rsidRPr="003744C1">
        <w:rPr>
          <w:lang w:val="fr-FR"/>
        </w:rPr>
        <w:t>autres offices</w:t>
      </w:r>
      <w:r w:rsidR="001C63CD">
        <w:rPr>
          <w:lang w:val="fr-FR"/>
        </w:rPr>
        <w:t> :</w:t>
      </w:r>
    </w:p>
    <w:p w14:paraId="499D7D63" w14:textId="3266D7E6" w:rsidR="007050D3" w:rsidRPr="003744C1" w:rsidRDefault="00EC6BE4" w:rsidP="00157BF0">
      <w:pPr>
        <w:pStyle w:val="ONUMFS"/>
        <w:numPr>
          <w:ilvl w:val="2"/>
          <w:numId w:val="12"/>
        </w:numPr>
        <w:rPr>
          <w:lang w:val="fr-FR"/>
        </w:rPr>
      </w:pPr>
      <w:r w:rsidRPr="003744C1">
        <w:rPr>
          <w:lang w:val="fr-FR"/>
        </w:rPr>
        <w:t>taxes de dépôt international perçues par l</w:t>
      </w:r>
      <w:r w:rsidR="001C63CD">
        <w:rPr>
          <w:lang w:val="fr-FR"/>
        </w:rPr>
        <w:t>’</w:t>
      </w:r>
      <w:r w:rsidRPr="003744C1">
        <w:rPr>
          <w:lang w:val="fr-FR"/>
        </w:rPr>
        <w:t>office en tant qu</w:t>
      </w:r>
      <w:r w:rsidR="001C63CD">
        <w:rPr>
          <w:lang w:val="fr-FR"/>
        </w:rPr>
        <w:t>’</w:t>
      </w:r>
      <w:r w:rsidRPr="003744C1">
        <w:rPr>
          <w:lang w:val="fr-FR"/>
        </w:rPr>
        <w:t>office récepteur</w:t>
      </w:r>
      <w:r w:rsidR="007050D3" w:rsidRPr="003744C1">
        <w:rPr>
          <w:lang w:val="fr-FR"/>
        </w:rPr>
        <w:t>;</w:t>
      </w:r>
    </w:p>
    <w:p w14:paraId="39E01FC6" w14:textId="248F63CF" w:rsidR="007050D3" w:rsidRPr="003744C1" w:rsidRDefault="00EC6BE4" w:rsidP="00157BF0">
      <w:pPr>
        <w:pStyle w:val="ONUMFS"/>
        <w:numPr>
          <w:ilvl w:val="2"/>
          <w:numId w:val="12"/>
        </w:numPr>
        <w:rPr>
          <w:lang w:val="fr-FR"/>
        </w:rPr>
      </w:pPr>
      <w:r w:rsidRPr="003744C1">
        <w:rPr>
          <w:lang w:val="fr-FR"/>
        </w:rPr>
        <w:t>taxes de recherche perçues par l</w:t>
      </w:r>
      <w:r w:rsidR="001C63CD">
        <w:rPr>
          <w:lang w:val="fr-FR"/>
        </w:rPr>
        <w:t>’</w:t>
      </w:r>
      <w:r w:rsidRPr="003744C1">
        <w:rPr>
          <w:lang w:val="fr-FR"/>
        </w:rPr>
        <w:t>office en tant qu</w:t>
      </w:r>
      <w:r w:rsidR="001C63CD">
        <w:rPr>
          <w:lang w:val="fr-FR"/>
        </w:rPr>
        <w:t>’</w:t>
      </w:r>
      <w:r w:rsidRPr="003744C1">
        <w:rPr>
          <w:lang w:val="fr-FR"/>
        </w:rPr>
        <w:t>office récepteur aux fins de transfert à d</w:t>
      </w:r>
      <w:r w:rsidR="001C63CD">
        <w:rPr>
          <w:lang w:val="fr-FR"/>
        </w:rPr>
        <w:t>’</w:t>
      </w:r>
      <w:r w:rsidRPr="003744C1">
        <w:rPr>
          <w:lang w:val="fr-FR"/>
        </w:rPr>
        <w:t>autres offices agissant en qualité d</w:t>
      </w:r>
      <w:r w:rsidR="001C63CD">
        <w:rPr>
          <w:lang w:val="fr-FR"/>
        </w:rPr>
        <w:t>’</w:t>
      </w:r>
      <w:r w:rsidRPr="003744C1">
        <w:rPr>
          <w:lang w:val="fr-FR"/>
        </w:rPr>
        <w:t>administration chargée de la recherche internationale;</w:t>
      </w:r>
    </w:p>
    <w:p w14:paraId="662FBC7A" w14:textId="71FA6F04" w:rsidR="007050D3" w:rsidRPr="003744C1" w:rsidRDefault="006745AD" w:rsidP="00157BF0">
      <w:pPr>
        <w:pStyle w:val="ONUMFS"/>
        <w:numPr>
          <w:ilvl w:val="2"/>
          <w:numId w:val="12"/>
        </w:numPr>
        <w:rPr>
          <w:lang w:val="fr-FR"/>
        </w:rPr>
      </w:pPr>
      <w:r w:rsidRPr="003744C1">
        <w:rPr>
          <w:lang w:val="fr-FR"/>
        </w:rPr>
        <w:t>taxes de traitement perçues par l</w:t>
      </w:r>
      <w:r w:rsidR="001C63CD">
        <w:rPr>
          <w:lang w:val="fr-FR"/>
        </w:rPr>
        <w:t>’</w:t>
      </w:r>
      <w:r w:rsidRPr="003744C1">
        <w:rPr>
          <w:lang w:val="fr-FR"/>
        </w:rPr>
        <w:t>office en tant qu</w:t>
      </w:r>
      <w:r w:rsidR="001C63CD">
        <w:rPr>
          <w:lang w:val="fr-FR"/>
        </w:rPr>
        <w:t>’</w:t>
      </w:r>
      <w:r w:rsidRPr="003744C1">
        <w:rPr>
          <w:lang w:val="fr-FR"/>
        </w:rPr>
        <w:t>administration chargée de l</w:t>
      </w:r>
      <w:r w:rsidR="001C63CD">
        <w:rPr>
          <w:lang w:val="fr-FR"/>
        </w:rPr>
        <w:t>’</w:t>
      </w:r>
      <w:r w:rsidRPr="003744C1">
        <w:rPr>
          <w:lang w:val="fr-FR"/>
        </w:rPr>
        <w:t>examen préliminaire international</w:t>
      </w:r>
      <w:r w:rsidR="00086660" w:rsidRPr="003744C1">
        <w:rPr>
          <w:lang w:val="fr-FR"/>
        </w:rPr>
        <w:t>;</w:t>
      </w:r>
    </w:p>
    <w:p w14:paraId="505E9472" w14:textId="31B82331" w:rsidR="007050D3" w:rsidRPr="003744C1" w:rsidRDefault="00086660" w:rsidP="00157BF0">
      <w:pPr>
        <w:pStyle w:val="ONUMFS"/>
        <w:numPr>
          <w:ilvl w:val="1"/>
          <w:numId w:val="12"/>
        </w:numPr>
        <w:rPr>
          <w:lang w:val="fr-FR"/>
        </w:rPr>
      </w:pPr>
      <w:r w:rsidRPr="003744C1">
        <w:rPr>
          <w:lang w:val="fr-FR"/>
        </w:rPr>
        <w:t>taxes</w:t>
      </w:r>
      <w:r w:rsidR="001C63CD" w:rsidRPr="003744C1">
        <w:rPr>
          <w:lang w:val="fr-FR"/>
        </w:rPr>
        <w:t xml:space="preserve"> du</w:t>
      </w:r>
      <w:r w:rsidR="001C63CD">
        <w:rPr>
          <w:lang w:val="fr-FR"/>
        </w:rPr>
        <w:t> </w:t>
      </w:r>
      <w:r w:rsidR="001C63CD" w:rsidRPr="003744C1">
        <w:rPr>
          <w:lang w:val="fr-FR"/>
        </w:rPr>
        <w:t>PCT</w:t>
      </w:r>
      <w:r w:rsidRPr="003744C1">
        <w:rPr>
          <w:lang w:val="fr-FR"/>
        </w:rPr>
        <w:t xml:space="preserve"> perçues par le Bureau international au profit d</w:t>
      </w:r>
      <w:r w:rsidR="001C63CD">
        <w:rPr>
          <w:lang w:val="fr-FR"/>
        </w:rPr>
        <w:t>’</w:t>
      </w:r>
      <w:r w:rsidRPr="003744C1">
        <w:rPr>
          <w:lang w:val="fr-FR"/>
        </w:rPr>
        <w:t>administrations chargées de la recherche internationale</w:t>
      </w:r>
      <w:r w:rsidR="001C63CD">
        <w:rPr>
          <w:lang w:val="fr-FR"/>
        </w:rPr>
        <w:t> :</w:t>
      </w:r>
    </w:p>
    <w:p w14:paraId="5771CA7B" w14:textId="629A2232" w:rsidR="007050D3" w:rsidRPr="003744C1" w:rsidRDefault="00F37DAB" w:rsidP="00157BF0">
      <w:pPr>
        <w:pStyle w:val="ONUMFS"/>
        <w:numPr>
          <w:ilvl w:val="2"/>
          <w:numId w:val="12"/>
        </w:numPr>
        <w:rPr>
          <w:lang w:val="fr-FR"/>
        </w:rPr>
      </w:pPr>
      <w:r w:rsidRPr="003744C1">
        <w:rPr>
          <w:lang w:val="fr-FR"/>
        </w:rPr>
        <w:t>taxes de recherche perçues par le Bureau international pour le compte des administrations chargées de la recherche internationale participant au projet pilote;</w:t>
      </w:r>
    </w:p>
    <w:p w14:paraId="4371AE32" w14:textId="2BDFBF36" w:rsidR="007050D3" w:rsidRPr="003744C1" w:rsidRDefault="00F530A3" w:rsidP="00157BF0">
      <w:pPr>
        <w:pStyle w:val="ONUMFS"/>
        <w:numPr>
          <w:ilvl w:val="2"/>
          <w:numId w:val="12"/>
        </w:numPr>
        <w:rPr>
          <w:lang w:val="fr-FR"/>
        </w:rPr>
      </w:pPr>
      <w:r w:rsidRPr="003744C1">
        <w:rPr>
          <w:lang w:val="fr-FR"/>
        </w:rPr>
        <w:t xml:space="preserve">taxes de recherche supplémentaire perçues par le Bureau international aux fins de transfert à une administration </w:t>
      </w:r>
      <w:r w:rsidR="00AB2B24" w:rsidRPr="003744C1">
        <w:rPr>
          <w:lang w:val="fr-FR"/>
        </w:rPr>
        <w:t>chargée de la recherche supplémentaire participant au projet pilote;  et</w:t>
      </w:r>
    </w:p>
    <w:p w14:paraId="7B348203" w14:textId="203503A8" w:rsidR="007050D3" w:rsidRPr="003744C1" w:rsidRDefault="002F27FC" w:rsidP="00157BF0">
      <w:pPr>
        <w:pStyle w:val="ONUMFS"/>
        <w:numPr>
          <w:ilvl w:val="1"/>
          <w:numId w:val="12"/>
        </w:numPr>
        <w:rPr>
          <w:lang w:val="fr-FR"/>
        </w:rPr>
      </w:pPr>
      <w:r w:rsidRPr="003744C1">
        <w:rPr>
          <w:lang w:val="fr-FR"/>
        </w:rPr>
        <w:t>montants dus par le Bureau international à l</w:t>
      </w:r>
      <w:r w:rsidR="001C63CD">
        <w:rPr>
          <w:lang w:val="fr-FR"/>
        </w:rPr>
        <w:t>’</w:t>
      </w:r>
      <w:r w:rsidRPr="003744C1">
        <w:rPr>
          <w:lang w:val="fr-FR"/>
        </w:rPr>
        <w:t>administration chargée de la recherche internationale ou par l</w:t>
      </w:r>
      <w:r w:rsidR="001C63CD">
        <w:rPr>
          <w:lang w:val="fr-FR"/>
        </w:rPr>
        <w:t>’</w:t>
      </w:r>
      <w:r w:rsidRPr="003744C1">
        <w:rPr>
          <w:lang w:val="fr-FR"/>
        </w:rPr>
        <w:t xml:space="preserve">administration chargée de la recherche internationale au Bureau international en vertu de la </w:t>
      </w:r>
      <w:r w:rsidR="001C63CD" w:rsidRPr="003744C1">
        <w:rPr>
          <w:lang w:val="fr-FR"/>
        </w:rPr>
        <w:t>règle</w:t>
      </w:r>
      <w:r w:rsidR="001C63CD">
        <w:rPr>
          <w:lang w:val="fr-FR"/>
        </w:rPr>
        <w:t> </w:t>
      </w:r>
      <w:r w:rsidR="001C63CD" w:rsidRPr="003744C1">
        <w:rPr>
          <w:lang w:val="fr-FR"/>
        </w:rPr>
        <w:t>1</w:t>
      </w:r>
      <w:r w:rsidRPr="003744C1">
        <w:rPr>
          <w:lang w:val="fr-FR"/>
        </w:rPr>
        <w:t>6.1.e)</w:t>
      </w:r>
      <w:r w:rsidR="00DE1C9F" w:rsidRPr="003744C1">
        <w:rPr>
          <w:lang w:val="fr-FR"/>
        </w:rPr>
        <w:t>,</w:t>
      </w:r>
      <w:r w:rsidRPr="003744C1">
        <w:rPr>
          <w:lang w:val="fr-FR"/>
        </w:rPr>
        <w:t xml:space="preserve"> </w:t>
      </w:r>
      <w:r w:rsidR="00E71033" w:rsidRPr="003744C1">
        <w:rPr>
          <w:lang w:val="fr-FR"/>
        </w:rPr>
        <w:t>par suite de gains ou pertes de change enregistrés par l</w:t>
      </w:r>
      <w:r w:rsidR="001C63CD">
        <w:rPr>
          <w:lang w:val="fr-FR"/>
        </w:rPr>
        <w:t>’</w:t>
      </w:r>
      <w:r w:rsidR="00E71033" w:rsidRPr="003744C1">
        <w:rPr>
          <w:lang w:val="fr-FR"/>
        </w:rPr>
        <w:t>office en tant qu</w:t>
      </w:r>
      <w:r w:rsidR="001C63CD">
        <w:rPr>
          <w:lang w:val="fr-FR"/>
        </w:rPr>
        <w:t>’</w:t>
      </w:r>
      <w:r w:rsidR="00E71033" w:rsidRPr="003744C1">
        <w:rPr>
          <w:lang w:val="fr-FR"/>
        </w:rPr>
        <w:t>administration chargée de la recherche internationale</w:t>
      </w:r>
      <w:r w:rsidR="00D34488" w:rsidRPr="003744C1">
        <w:rPr>
          <w:lang w:val="fr-FR"/>
        </w:rPr>
        <w:t>,</w:t>
      </w:r>
      <w:r w:rsidR="00E71033" w:rsidRPr="003744C1">
        <w:rPr>
          <w:lang w:val="fr-FR"/>
        </w:rPr>
        <w:t xml:space="preserve"> en raison du transfert de taxes de recherche à l</w:t>
      </w:r>
      <w:r w:rsidR="001C63CD">
        <w:rPr>
          <w:lang w:val="fr-FR"/>
        </w:rPr>
        <w:t>’</w:t>
      </w:r>
      <w:r w:rsidR="00E71033" w:rsidRPr="003744C1">
        <w:rPr>
          <w:lang w:val="fr-FR"/>
        </w:rPr>
        <w:t>administration chargée de la recherche internationale par des offices récepteurs ne participant pas au projet pilote</w:t>
      </w:r>
      <w:r w:rsidR="00DE1C9F" w:rsidRPr="003744C1">
        <w:rPr>
          <w:lang w:val="fr-FR"/>
        </w:rPr>
        <w:t>,</w:t>
      </w:r>
      <w:r w:rsidR="00E71033" w:rsidRPr="003744C1">
        <w:rPr>
          <w:lang w:val="fr-FR"/>
        </w:rPr>
        <w:t xml:space="preserve"> dans des monnaies (autres que la monnaie dans laquelle l</w:t>
      </w:r>
      <w:r w:rsidR="001C63CD">
        <w:rPr>
          <w:lang w:val="fr-FR"/>
        </w:rPr>
        <w:t>’</w:t>
      </w:r>
      <w:r w:rsidR="00E71033" w:rsidRPr="003744C1">
        <w:rPr>
          <w:lang w:val="fr-FR"/>
        </w:rPr>
        <w:t>administration chargée de la recherche internationale a fixé le montant de la taxe de recherche)</w:t>
      </w:r>
      <w:r w:rsidR="005E1A55" w:rsidRPr="003744C1">
        <w:rPr>
          <w:lang w:val="fr-FR"/>
        </w:rPr>
        <w:t xml:space="preserve"> qui sont librement convertibles dans la monnaie fixée.</w:t>
      </w:r>
    </w:p>
    <w:p w14:paraId="787700F4" w14:textId="3C3A135F" w:rsidR="0007254E" w:rsidRPr="003744C1" w:rsidRDefault="00BC08D4" w:rsidP="00157BF0">
      <w:pPr>
        <w:pStyle w:val="ONUMFS"/>
        <w:rPr>
          <w:lang w:val="fr-FR"/>
        </w:rPr>
      </w:pPr>
      <w:r w:rsidRPr="003744C1">
        <w:rPr>
          <w:lang w:val="fr-FR"/>
        </w:rPr>
        <w:t>Le mécanisme ne s</w:t>
      </w:r>
      <w:r w:rsidR="001C63CD">
        <w:rPr>
          <w:lang w:val="fr-FR"/>
        </w:rPr>
        <w:t>’</w:t>
      </w:r>
      <w:r w:rsidRPr="003744C1">
        <w:rPr>
          <w:lang w:val="fr-FR"/>
        </w:rPr>
        <w:t>applique pas aux taxes perçues par des</w:t>
      </w:r>
      <w:r w:rsidR="002866D6" w:rsidRPr="003744C1">
        <w:rPr>
          <w:lang w:val="fr-FR"/>
        </w:rPr>
        <w:t xml:space="preserve"> offices récepteurs au profit d</w:t>
      </w:r>
      <w:r w:rsidRPr="003744C1">
        <w:rPr>
          <w:lang w:val="fr-FR"/>
        </w:rPr>
        <w:t>u même office, en sa qualité d</w:t>
      </w:r>
      <w:r w:rsidR="001C63CD">
        <w:rPr>
          <w:lang w:val="fr-FR"/>
        </w:rPr>
        <w:t>’</w:t>
      </w:r>
      <w:r w:rsidRPr="003744C1">
        <w:rPr>
          <w:lang w:val="fr-FR"/>
        </w:rPr>
        <w:t>administration chargée de la recherche internationale.</w:t>
      </w:r>
    </w:p>
    <w:p w14:paraId="286CA2BB" w14:textId="217090BC" w:rsidR="007050D3" w:rsidRPr="003744C1" w:rsidRDefault="00482E5E" w:rsidP="00157BF0">
      <w:pPr>
        <w:pStyle w:val="ONUMFS"/>
        <w:rPr>
          <w:lang w:val="fr-FR"/>
        </w:rPr>
      </w:pPr>
      <w:r w:rsidRPr="003744C1">
        <w:rPr>
          <w:lang w:val="fr-FR"/>
        </w:rPr>
        <w:t>Il est également envisagé d</w:t>
      </w:r>
      <w:r w:rsidR="001C63CD">
        <w:rPr>
          <w:lang w:val="fr-FR"/>
        </w:rPr>
        <w:t>’</w:t>
      </w:r>
      <w:r w:rsidRPr="003744C1">
        <w:rPr>
          <w:lang w:val="fr-FR"/>
        </w:rPr>
        <w:t>étendre le projet pilote à des paiements relatifs à d</w:t>
      </w:r>
      <w:r w:rsidR="001C63CD">
        <w:rPr>
          <w:lang w:val="fr-FR"/>
        </w:rPr>
        <w:t>’</w:t>
      </w:r>
      <w:r w:rsidRPr="003744C1">
        <w:rPr>
          <w:lang w:val="fr-FR"/>
        </w:rPr>
        <w:t>autres services de l</w:t>
      </w:r>
      <w:r w:rsidR="001C63CD">
        <w:rPr>
          <w:lang w:val="fr-FR"/>
        </w:rPr>
        <w:t>’</w:t>
      </w:r>
      <w:r w:rsidRPr="003744C1">
        <w:rPr>
          <w:lang w:val="fr-FR"/>
        </w:rPr>
        <w:t xml:space="preserve">OMPI, tels que ceux fournis dans le cadre des systèmes de Madrid et de </w:t>
      </w:r>
      <w:r w:rsidR="001C63CD">
        <w:rPr>
          <w:lang w:val="fr-FR"/>
        </w:rPr>
        <w:t>La Haye</w:t>
      </w:r>
      <w:r w:rsidRPr="003744C1">
        <w:rPr>
          <w:lang w:val="fr-FR"/>
        </w:rPr>
        <w:t xml:space="preserve">, </w:t>
      </w:r>
      <w:r w:rsidR="0049559E" w:rsidRPr="003744C1">
        <w:rPr>
          <w:lang w:val="fr-FR"/>
        </w:rPr>
        <w:t>pour les offices pour lesquels cela est justifié et souhaitab</w:t>
      </w:r>
      <w:r w:rsidR="005C097F" w:rsidRPr="003744C1">
        <w:rPr>
          <w:lang w:val="fr-FR"/>
        </w:rPr>
        <w:t>le</w:t>
      </w:r>
      <w:r w:rsidR="005C097F">
        <w:rPr>
          <w:lang w:val="fr-FR"/>
        </w:rPr>
        <w:t xml:space="preserve">.  </w:t>
      </w:r>
      <w:r w:rsidR="005C097F" w:rsidRPr="003744C1">
        <w:rPr>
          <w:lang w:val="fr-FR"/>
        </w:rPr>
        <w:t>Ce</w:t>
      </w:r>
      <w:r w:rsidR="00B66B48" w:rsidRPr="003744C1">
        <w:rPr>
          <w:lang w:val="fr-FR"/>
        </w:rPr>
        <w:t xml:space="preserve"> changement devrait être mis en place prochainement.</w:t>
      </w:r>
    </w:p>
    <w:p w14:paraId="6AAB9A4D" w14:textId="5766C4E8" w:rsidR="007050D3" w:rsidRPr="003744C1" w:rsidRDefault="00C979CF" w:rsidP="00157BF0">
      <w:pPr>
        <w:pStyle w:val="ONUMFS"/>
        <w:rPr>
          <w:lang w:val="fr-FR"/>
        </w:rPr>
      </w:pPr>
      <w:r w:rsidRPr="003744C1">
        <w:rPr>
          <w:lang w:val="fr-FR"/>
        </w:rPr>
        <w:t>Le logiciel de gestion du mécanisme de compensation</w:t>
      </w:r>
      <w:r w:rsidR="007A76DD" w:rsidRPr="003744C1">
        <w:rPr>
          <w:lang w:val="fr-FR"/>
        </w:rPr>
        <w:t>, dont le coût s</w:t>
      </w:r>
      <w:r w:rsidR="001C63CD">
        <w:rPr>
          <w:lang w:val="fr-FR"/>
        </w:rPr>
        <w:t>’</w:t>
      </w:r>
      <w:r w:rsidR="007A76DD" w:rsidRPr="003744C1">
        <w:rPr>
          <w:lang w:val="fr-FR"/>
        </w:rPr>
        <w:t>élève à</w:t>
      </w:r>
      <w:r w:rsidR="002866D6" w:rsidRPr="003744C1">
        <w:rPr>
          <w:lang w:val="fr-FR"/>
        </w:rPr>
        <w:t xml:space="preserve"> 69 00</w:t>
      </w:r>
      <w:r w:rsidR="001C63CD" w:rsidRPr="003744C1">
        <w:rPr>
          <w:lang w:val="fr-FR"/>
        </w:rPr>
        <w:t>0</w:t>
      </w:r>
      <w:r w:rsidR="001C63CD">
        <w:rPr>
          <w:lang w:val="fr-FR"/>
        </w:rPr>
        <w:t> </w:t>
      </w:r>
      <w:r w:rsidR="001C63CD" w:rsidRPr="003744C1">
        <w:rPr>
          <w:lang w:val="fr-FR"/>
        </w:rPr>
        <w:t>franc</w:t>
      </w:r>
      <w:r w:rsidR="002866D6" w:rsidRPr="003744C1">
        <w:rPr>
          <w:lang w:val="fr-FR"/>
        </w:rPr>
        <w:t>s suisses par an</w:t>
      </w:r>
      <w:r w:rsidR="00A81132" w:rsidRPr="003744C1">
        <w:rPr>
          <w:lang w:val="fr-FR"/>
        </w:rPr>
        <w:t xml:space="preserve"> </w:t>
      </w:r>
      <w:r w:rsidR="002866D6" w:rsidRPr="003744C1">
        <w:rPr>
          <w:lang w:val="fr-FR"/>
        </w:rPr>
        <w:t>auxquels s</w:t>
      </w:r>
      <w:r w:rsidR="001C63CD">
        <w:rPr>
          <w:lang w:val="fr-FR"/>
        </w:rPr>
        <w:t>’</w:t>
      </w:r>
      <w:r w:rsidR="002866D6" w:rsidRPr="003744C1">
        <w:rPr>
          <w:lang w:val="fr-FR"/>
        </w:rPr>
        <w:t xml:space="preserve">est ajouté </w:t>
      </w:r>
      <w:r w:rsidR="00A81132" w:rsidRPr="003744C1">
        <w:rPr>
          <w:lang w:val="fr-FR"/>
        </w:rPr>
        <w:t xml:space="preserve">un </w:t>
      </w:r>
      <w:r w:rsidR="002866D6" w:rsidRPr="003744C1">
        <w:rPr>
          <w:lang w:val="fr-FR"/>
        </w:rPr>
        <w:t>paiement</w:t>
      </w:r>
      <w:r w:rsidR="00A81132" w:rsidRPr="003744C1">
        <w:rPr>
          <w:lang w:val="fr-FR"/>
        </w:rPr>
        <w:t xml:space="preserve"> unique </w:t>
      </w:r>
      <w:r w:rsidR="001C63CD" w:rsidRPr="003744C1">
        <w:rPr>
          <w:lang w:val="fr-FR"/>
        </w:rPr>
        <w:t>de</w:t>
      </w:r>
      <w:r w:rsidR="001C63CD">
        <w:rPr>
          <w:lang w:val="fr-FR"/>
        </w:rPr>
        <w:t> </w:t>
      </w:r>
      <w:r w:rsidR="001C63CD" w:rsidRPr="003744C1">
        <w:rPr>
          <w:lang w:val="fr-FR"/>
        </w:rPr>
        <w:t>5000</w:t>
      </w:r>
      <w:r w:rsidR="001C63CD">
        <w:rPr>
          <w:lang w:val="fr-FR"/>
        </w:rPr>
        <w:t> </w:t>
      </w:r>
      <w:r w:rsidR="001C63CD" w:rsidRPr="003744C1">
        <w:rPr>
          <w:lang w:val="fr-FR"/>
        </w:rPr>
        <w:t>franc</w:t>
      </w:r>
      <w:r w:rsidR="00A81132" w:rsidRPr="003744C1">
        <w:rPr>
          <w:lang w:val="fr-FR"/>
        </w:rPr>
        <w:t>s suisses de frais d</w:t>
      </w:r>
      <w:r w:rsidR="001C63CD">
        <w:rPr>
          <w:lang w:val="fr-FR"/>
        </w:rPr>
        <w:t>’</w:t>
      </w:r>
      <w:r w:rsidR="00A81132" w:rsidRPr="003744C1">
        <w:rPr>
          <w:lang w:val="fr-FR"/>
        </w:rPr>
        <w:t xml:space="preserve">installation, est complètement opérationnel depuis le début </w:t>
      </w:r>
      <w:r w:rsidR="001C63CD" w:rsidRPr="003744C1">
        <w:rPr>
          <w:lang w:val="fr-FR"/>
        </w:rPr>
        <w:t>de</w:t>
      </w:r>
      <w:r w:rsidR="001C63CD">
        <w:rPr>
          <w:lang w:val="fr-FR"/>
        </w:rPr>
        <w:t> </w:t>
      </w:r>
      <w:r w:rsidR="001C63CD" w:rsidRPr="003744C1">
        <w:rPr>
          <w:lang w:val="fr-FR"/>
        </w:rPr>
        <w:t>2018</w:t>
      </w:r>
      <w:r w:rsidR="00A81132" w:rsidRPr="003744C1">
        <w:rPr>
          <w:lang w:val="fr-FR"/>
        </w:rPr>
        <w:t>.</w:t>
      </w:r>
    </w:p>
    <w:p w14:paraId="5D7CDC21" w14:textId="6C69296E" w:rsidR="0007254E" w:rsidRDefault="00157BF0" w:rsidP="00157BF0">
      <w:pPr>
        <w:pStyle w:val="Heading2"/>
        <w:rPr>
          <w:lang w:val="fr-FR"/>
        </w:rPr>
      </w:pPr>
      <w:r w:rsidRPr="003744C1">
        <w:rPr>
          <w:lang w:val="fr-FR"/>
        </w:rPr>
        <w:t>Définition du mécanisme</w:t>
      </w:r>
    </w:p>
    <w:p w14:paraId="19673FF9" w14:textId="77777777" w:rsidR="00157BF0" w:rsidRPr="00157BF0" w:rsidRDefault="00157BF0" w:rsidP="00157BF0">
      <w:pPr>
        <w:rPr>
          <w:lang w:val="fr-FR"/>
        </w:rPr>
      </w:pPr>
    </w:p>
    <w:p w14:paraId="3D400197" w14:textId="5A0E32AF" w:rsidR="001C63CD" w:rsidRDefault="0031636D" w:rsidP="00157BF0">
      <w:pPr>
        <w:pStyle w:val="ONUMFS"/>
        <w:rPr>
          <w:lang w:val="fr-FR"/>
        </w:rPr>
      </w:pPr>
      <w:r w:rsidRPr="003744C1">
        <w:rPr>
          <w:lang w:val="fr-FR"/>
        </w:rPr>
        <w:t>La participation de</w:t>
      </w:r>
      <w:r w:rsidR="004A3542" w:rsidRPr="003744C1">
        <w:rPr>
          <w:lang w:val="fr-FR"/>
        </w:rPr>
        <w:t xml:space="preserve"> chaque</w:t>
      </w:r>
      <w:r w:rsidRPr="003744C1">
        <w:rPr>
          <w:lang w:val="fr-FR"/>
        </w:rPr>
        <w:t xml:space="preserve"> administration chargée de la recherche internationale au projet pilote est définie dans un mémorandum d</w:t>
      </w:r>
      <w:r w:rsidR="001C63CD">
        <w:rPr>
          <w:lang w:val="fr-FR"/>
        </w:rPr>
        <w:t>’</w:t>
      </w:r>
      <w:r w:rsidRPr="003744C1">
        <w:rPr>
          <w:lang w:val="fr-FR"/>
        </w:rPr>
        <w:t xml:space="preserve">accord ou un échange de correspondance </w:t>
      </w:r>
      <w:r w:rsidR="004A3542" w:rsidRPr="003744C1">
        <w:rPr>
          <w:lang w:val="fr-FR"/>
        </w:rPr>
        <w:t xml:space="preserve">établissant </w:t>
      </w:r>
      <w:r w:rsidR="004A3542" w:rsidRPr="003744C1">
        <w:rPr>
          <w:lang w:val="fr-FR"/>
        </w:rPr>
        <w:lastRenderedPageBreak/>
        <w:t>la procédure de compensation et le mécanisme de transfert de la taxe de recherche, ainsi que les exigences s</w:t>
      </w:r>
      <w:r w:rsidR="001C63CD">
        <w:rPr>
          <w:lang w:val="fr-FR"/>
        </w:rPr>
        <w:t>’</w:t>
      </w:r>
      <w:r w:rsidR="004A3542" w:rsidRPr="003744C1">
        <w:rPr>
          <w:lang w:val="fr-FR"/>
        </w:rPr>
        <w:t>appliquant à ladite administration en matière de documentation.</w:t>
      </w:r>
    </w:p>
    <w:p w14:paraId="1A244C5F" w14:textId="115FDA03" w:rsidR="007050D3" w:rsidRPr="003744C1" w:rsidRDefault="009D4092" w:rsidP="00157BF0">
      <w:pPr>
        <w:pStyle w:val="ONUMFS"/>
        <w:rPr>
          <w:lang w:val="fr-FR"/>
        </w:rPr>
      </w:pPr>
      <w:r w:rsidRPr="003744C1">
        <w:rPr>
          <w:lang w:val="fr-FR"/>
        </w:rPr>
        <w:t>Conformément aux conditions énoncées dans le mémorandum d</w:t>
      </w:r>
      <w:r w:rsidR="001C63CD">
        <w:rPr>
          <w:lang w:val="fr-FR"/>
        </w:rPr>
        <w:t>’</w:t>
      </w:r>
      <w:r w:rsidRPr="003744C1">
        <w:rPr>
          <w:lang w:val="fr-FR"/>
        </w:rPr>
        <w:t>accord ou l</w:t>
      </w:r>
      <w:r w:rsidR="001C63CD">
        <w:rPr>
          <w:lang w:val="fr-FR"/>
        </w:rPr>
        <w:t>’</w:t>
      </w:r>
      <w:r w:rsidRPr="003744C1">
        <w:rPr>
          <w:lang w:val="fr-FR"/>
        </w:rPr>
        <w:t>échange de correspondance, le Bureau international invite</w:t>
      </w:r>
      <w:r w:rsidR="009544D6" w:rsidRPr="003744C1">
        <w:rPr>
          <w:lang w:val="fr-FR"/>
        </w:rPr>
        <w:t xml:space="preserve"> à participer au projet pilote</w:t>
      </w:r>
      <w:r w:rsidRPr="003744C1">
        <w:rPr>
          <w:lang w:val="fr-FR"/>
        </w:rPr>
        <w:t xml:space="preserve"> chacun des offices récepteurs ayant déclaré compétente pour la recherche internationale des demandes déposées auprès de cet office récepteur</w:t>
      </w:r>
      <w:r w:rsidR="009544D6" w:rsidRPr="003744C1">
        <w:rPr>
          <w:lang w:val="fr-FR"/>
        </w:rPr>
        <w:t xml:space="preserve"> l</w:t>
      </w:r>
      <w:r w:rsidR="001C63CD">
        <w:rPr>
          <w:lang w:val="fr-FR"/>
        </w:rPr>
        <w:t>’</w:t>
      </w:r>
      <w:r w:rsidR="009544D6" w:rsidRPr="003744C1">
        <w:rPr>
          <w:lang w:val="fr-FR"/>
        </w:rPr>
        <w:t>administration chargée de la recherche internationale participan</w:t>
      </w:r>
      <w:r w:rsidR="005C097F" w:rsidRPr="003744C1">
        <w:rPr>
          <w:lang w:val="fr-FR"/>
        </w:rPr>
        <w:t>te</w:t>
      </w:r>
      <w:r w:rsidR="005C097F">
        <w:rPr>
          <w:lang w:val="fr-FR"/>
        </w:rPr>
        <w:t xml:space="preserve">.  </w:t>
      </w:r>
      <w:r w:rsidR="005C097F" w:rsidRPr="003744C1">
        <w:rPr>
          <w:lang w:val="fr-FR"/>
        </w:rPr>
        <w:t>Da</w:t>
      </w:r>
      <w:r w:rsidR="009544D6" w:rsidRPr="003744C1">
        <w:rPr>
          <w:lang w:val="fr-FR"/>
        </w:rPr>
        <w:t>ns chaque cas</w:t>
      </w:r>
      <w:r w:rsidR="001C63CD">
        <w:rPr>
          <w:lang w:val="fr-FR"/>
        </w:rPr>
        <w:t> :</w:t>
      </w:r>
    </w:p>
    <w:p w14:paraId="7D92949A" w14:textId="66771CE4" w:rsidR="007050D3" w:rsidRPr="003744C1" w:rsidRDefault="002A4126" w:rsidP="00157BF0">
      <w:pPr>
        <w:pStyle w:val="ONUMFS"/>
        <w:numPr>
          <w:ilvl w:val="1"/>
          <w:numId w:val="12"/>
        </w:numPr>
        <w:rPr>
          <w:lang w:val="fr-FR"/>
        </w:rPr>
      </w:pPr>
      <w:r w:rsidRPr="003744C1">
        <w:rPr>
          <w:lang w:val="fr-FR"/>
        </w:rPr>
        <w:t>le Bureau international agit en qualité d</w:t>
      </w:r>
      <w:r w:rsidR="001C63CD">
        <w:rPr>
          <w:lang w:val="fr-FR"/>
        </w:rPr>
        <w:t>’</w:t>
      </w:r>
      <w:r w:rsidRPr="003744C1">
        <w:rPr>
          <w:lang w:val="fr-FR"/>
        </w:rPr>
        <w:t>“agent” de l</w:t>
      </w:r>
      <w:r w:rsidR="001C63CD">
        <w:rPr>
          <w:lang w:val="fr-FR"/>
        </w:rPr>
        <w:t>’</w:t>
      </w:r>
      <w:r w:rsidRPr="003744C1">
        <w:rPr>
          <w:lang w:val="fr-FR"/>
        </w:rPr>
        <w:t>administration chargée de la recherche internationale participante en assurant la perception des frais de recherche pour le compte de cette dernière</w:t>
      </w:r>
      <w:r w:rsidR="002866D6" w:rsidRPr="003744C1">
        <w:rPr>
          <w:lang w:val="fr-FR"/>
        </w:rPr>
        <w:t>,</w:t>
      </w:r>
      <w:r w:rsidRPr="003744C1">
        <w:rPr>
          <w:lang w:val="fr-FR"/>
        </w:rPr>
        <w:t xml:space="preserve"> ainsi que l</w:t>
      </w:r>
      <w:r w:rsidR="001C63CD">
        <w:rPr>
          <w:lang w:val="fr-FR"/>
        </w:rPr>
        <w:t>’</w:t>
      </w:r>
      <w:r w:rsidRPr="003744C1">
        <w:rPr>
          <w:lang w:val="fr-FR"/>
        </w:rPr>
        <w:t>examen des documents fournis par l</w:t>
      </w:r>
      <w:r w:rsidR="001C63CD">
        <w:rPr>
          <w:lang w:val="fr-FR"/>
        </w:rPr>
        <w:t>’</w:t>
      </w:r>
      <w:r w:rsidRPr="003744C1">
        <w:rPr>
          <w:lang w:val="fr-FR"/>
        </w:rPr>
        <w:t>office récepteur participant</w:t>
      </w:r>
      <w:r w:rsidR="007050D3" w:rsidRPr="003744C1">
        <w:rPr>
          <w:lang w:val="fr-FR"/>
        </w:rPr>
        <w:t>;</w:t>
      </w:r>
    </w:p>
    <w:p w14:paraId="7B5BCBB5" w14:textId="037BABA7" w:rsidR="007050D3" w:rsidRPr="003744C1" w:rsidRDefault="007550C4" w:rsidP="00157BF0">
      <w:pPr>
        <w:pStyle w:val="ONUMFS"/>
        <w:numPr>
          <w:ilvl w:val="1"/>
          <w:numId w:val="12"/>
        </w:numPr>
        <w:rPr>
          <w:lang w:val="fr-FR"/>
        </w:rPr>
      </w:pPr>
      <w:r w:rsidRPr="003744C1">
        <w:rPr>
          <w:lang w:val="fr-FR"/>
        </w:rPr>
        <w:t>le Bureau international convient avec chaque office récepteur participant d</w:t>
      </w:r>
      <w:r w:rsidR="001C63CD">
        <w:rPr>
          <w:lang w:val="fr-FR"/>
        </w:rPr>
        <w:t>’</w:t>
      </w:r>
      <w:r w:rsidRPr="003744C1">
        <w:rPr>
          <w:lang w:val="fr-FR"/>
        </w:rPr>
        <w:t>un échéancier indiquant la date à laquelle l</w:t>
      </w:r>
      <w:r w:rsidR="001C63CD">
        <w:rPr>
          <w:lang w:val="fr-FR"/>
        </w:rPr>
        <w:t>’</w:t>
      </w:r>
      <w:r w:rsidRPr="003744C1">
        <w:rPr>
          <w:lang w:val="fr-FR"/>
        </w:rPr>
        <w:t>office récepteur doit transférer chaque mois les taxes de recherche au Bureau international afin que ce dernier puisse les transférer à son tour à l</w:t>
      </w:r>
      <w:r w:rsidR="001C63CD">
        <w:rPr>
          <w:lang w:val="fr-FR"/>
        </w:rPr>
        <w:t>’</w:t>
      </w:r>
      <w:r w:rsidRPr="003744C1">
        <w:rPr>
          <w:lang w:val="fr-FR"/>
        </w:rPr>
        <w:t>administration chargée de la recherche internationale concernée, ainsi que de la monnaie dans laquelle doit s</w:t>
      </w:r>
      <w:r w:rsidR="001C63CD">
        <w:rPr>
          <w:lang w:val="fr-FR"/>
        </w:rPr>
        <w:t>’</w:t>
      </w:r>
      <w:r w:rsidRPr="003744C1">
        <w:rPr>
          <w:lang w:val="fr-FR"/>
        </w:rPr>
        <w:t>effectuer le transfert des taxes de recherche;</w:t>
      </w:r>
    </w:p>
    <w:p w14:paraId="54410106" w14:textId="30F48405" w:rsidR="001C63CD" w:rsidRDefault="007550C4" w:rsidP="00157BF0">
      <w:pPr>
        <w:pStyle w:val="ONUMFS"/>
        <w:numPr>
          <w:ilvl w:val="1"/>
          <w:numId w:val="12"/>
        </w:numPr>
        <w:rPr>
          <w:lang w:val="fr-FR"/>
        </w:rPr>
      </w:pPr>
      <w:r w:rsidRPr="003744C1">
        <w:rPr>
          <w:lang w:val="fr-FR"/>
        </w:rPr>
        <w:t>les montants non reçus à la date convenue sont conservés par le Bureau international et transférés le mois suivant à l</w:t>
      </w:r>
      <w:r w:rsidR="001C63CD">
        <w:rPr>
          <w:lang w:val="fr-FR"/>
        </w:rPr>
        <w:t>’</w:t>
      </w:r>
      <w:r w:rsidRPr="003744C1">
        <w:rPr>
          <w:lang w:val="fr-FR"/>
        </w:rPr>
        <w:t>administration chargée de la recherche internationale participante.</w:t>
      </w:r>
    </w:p>
    <w:p w14:paraId="54FD5FF3" w14:textId="15D447AC" w:rsidR="00E6794E" w:rsidRPr="003744C1" w:rsidRDefault="004B79D9" w:rsidP="00157BF0">
      <w:pPr>
        <w:pStyle w:val="ONUMFS"/>
        <w:rPr>
          <w:lang w:val="fr-FR"/>
        </w:rPr>
      </w:pPr>
      <w:r w:rsidRPr="003744C1">
        <w:rPr>
          <w:lang w:val="fr-FR"/>
        </w:rPr>
        <w:t>Actuellement, un office récepteur qui est invité à participer est libre d</w:t>
      </w:r>
      <w:r w:rsidR="001C63CD">
        <w:rPr>
          <w:lang w:val="fr-FR"/>
        </w:rPr>
        <w:t>’</w:t>
      </w:r>
      <w:r w:rsidRPr="003744C1">
        <w:rPr>
          <w:lang w:val="fr-FR"/>
        </w:rPr>
        <w:t>accepter ou d</w:t>
      </w:r>
      <w:r w:rsidR="001C63CD">
        <w:rPr>
          <w:lang w:val="fr-FR"/>
        </w:rPr>
        <w:t>’</w:t>
      </w:r>
      <w:r w:rsidRPr="003744C1">
        <w:rPr>
          <w:lang w:val="fr-FR"/>
        </w:rPr>
        <w:t>indiquer qu</w:t>
      </w:r>
      <w:r w:rsidR="001C63CD">
        <w:rPr>
          <w:lang w:val="fr-FR"/>
        </w:rPr>
        <w:t>’</w:t>
      </w:r>
      <w:r w:rsidRPr="003744C1">
        <w:rPr>
          <w:lang w:val="fr-FR"/>
        </w:rPr>
        <w:t>il préfère continuer à traiter directement avec l</w:t>
      </w:r>
      <w:r w:rsidR="001C63CD">
        <w:rPr>
          <w:lang w:val="fr-FR"/>
        </w:rPr>
        <w:t>’</w:t>
      </w:r>
      <w:r w:rsidRPr="003744C1">
        <w:rPr>
          <w:lang w:val="fr-FR"/>
        </w:rPr>
        <w:t>administration chargée de la recherche internationa</w:t>
      </w:r>
      <w:r w:rsidR="005C097F" w:rsidRPr="003744C1">
        <w:rPr>
          <w:lang w:val="fr-FR"/>
        </w:rPr>
        <w:t>le</w:t>
      </w:r>
      <w:r w:rsidR="005C097F">
        <w:rPr>
          <w:lang w:val="fr-FR"/>
        </w:rPr>
        <w:t xml:space="preserve">.  </w:t>
      </w:r>
      <w:r w:rsidR="005C097F" w:rsidRPr="003744C1">
        <w:rPr>
          <w:lang w:val="fr-FR"/>
        </w:rPr>
        <w:t>Le</w:t>
      </w:r>
      <w:r w:rsidR="009850CC" w:rsidRPr="003744C1">
        <w:rPr>
          <w:lang w:val="fr-FR"/>
        </w:rPr>
        <w:t xml:space="preserve"> fait de laisser aux offices récepteurs le choix de participer ou non oblige cependant les administrations chargées de la recherche internationale qui participent au projet pilote à </w:t>
      </w:r>
      <w:r w:rsidR="00AE1995" w:rsidRPr="003744C1">
        <w:rPr>
          <w:lang w:val="fr-FR"/>
        </w:rPr>
        <w:t>avoir</w:t>
      </w:r>
      <w:r w:rsidR="006E4A9B" w:rsidRPr="003744C1">
        <w:rPr>
          <w:lang w:val="fr-FR"/>
        </w:rPr>
        <w:t xml:space="preserve"> en place</w:t>
      </w:r>
      <w:r w:rsidR="009850CC" w:rsidRPr="003744C1">
        <w:rPr>
          <w:lang w:val="fr-FR"/>
        </w:rPr>
        <w:t xml:space="preserve"> deux</w:t>
      </w:r>
      <w:r w:rsidR="00CB19EE">
        <w:rPr>
          <w:lang w:val="fr-FR"/>
        </w:rPr>
        <w:t> </w:t>
      </w:r>
      <w:r w:rsidR="009850CC" w:rsidRPr="003744C1">
        <w:rPr>
          <w:lang w:val="fr-FR"/>
        </w:rPr>
        <w:t xml:space="preserve">procédures différentes </w:t>
      </w:r>
      <w:r w:rsidR="00AE1995" w:rsidRPr="003744C1">
        <w:rPr>
          <w:lang w:val="fr-FR"/>
        </w:rPr>
        <w:t>pour le traitement des taxes de recherche internationale qu</w:t>
      </w:r>
      <w:r w:rsidR="001C63CD">
        <w:rPr>
          <w:lang w:val="fr-FR"/>
        </w:rPr>
        <w:t>’</w:t>
      </w:r>
      <w:r w:rsidR="00AE1995" w:rsidRPr="003744C1">
        <w:rPr>
          <w:lang w:val="fr-FR"/>
        </w:rPr>
        <w:t xml:space="preserve">elles reçoivent, </w:t>
      </w:r>
      <w:r w:rsidR="001404C2" w:rsidRPr="003744C1">
        <w:rPr>
          <w:lang w:val="fr-FR"/>
        </w:rPr>
        <w:t>ce qui a pour effet de réduire les avantages</w:t>
      </w:r>
      <w:r w:rsidR="00AE1995" w:rsidRPr="003744C1">
        <w:rPr>
          <w:lang w:val="fr-FR"/>
        </w:rPr>
        <w:t xml:space="preserve"> </w:t>
      </w:r>
      <w:r w:rsidR="000C1E33" w:rsidRPr="003744C1">
        <w:rPr>
          <w:lang w:val="fr-FR"/>
        </w:rPr>
        <w:t>réalis</w:t>
      </w:r>
      <w:r w:rsidR="001404C2" w:rsidRPr="003744C1">
        <w:rPr>
          <w:lang w:val="fr-FR"/>
        </w:rPr>
        <w:t>és jusqu</w:t>
      </w:r>
      <w:r w:rsidR="001C63CD">
        <w:rPr>
          <w:lang w:val="fr-FR"/>
        </w:rPr>
        <w:t>’</w:t>
      </w:r>
      <w:r w:rsidR="001404C2" w:rsidRPr="003744C1">
        <w:rPr>
          <w:lang w:val="fr-FR"/>
        </w:rPr>
        <w:t xml:space="preserve">à présent </w:t>
      </w:r>
      <w:r w:rsidR="000C1E33" w:rsidRPr="003744C1">
        <w:rPr>
          <w:lang w:val="fr-FR"/>
        </w:rPr>
        <w:t xml:space="preserve">grâce à </w:t>
      </w:r>
      <w:r w:rsidR="008E21F6" w:rsidRPr="003744C1">
        <w:rPr>
          <w:lang w:val="fr-FR"/>
        </w:rPr>
        <w:t>l</w:t>
      </w:r>
      <w:r w:rsidR="001C63CD">
        <w:rPr>
          <w:lang w:val="fr-FR"/>
        </w:rPr>
        <w:t>’</w:t>
      </w:r>
      <w:r w:rsidR="008E21F6" w:rsidRPr="003744C1">
        <w:rPr>
          <w:lang w:val="fr-FR"/>
        </w:rPr>
        <w:t>amélioration de la gestion de la trésorerie, la réduction des frais bancaires et la simplification des procédur</w:t>
      </w:r>
      <w:r w:rsidR="005C097F" w:rsidRPr="003744C1">
        <w:rPr>
          <w:lang w:val="fr-FR"/>
        </w:rPr>
        <w:t>es</w:t>
      </w:r>
      <w:r w:rsidR="005C097F">
        <w:rPr>
          <w:lang w:val="fr-FR"/>
        </w:rPr>
        <w:t xml:space="preserve">.  </w:t>
      </w:r>
      <w:r w:rsidR="005C097F" w:rsidRPr="003744C1">
        <w:rPr>
          <w:lang w:val="fr-FR"/>
        </w:rPr>
        <w:t>Bi</w:t>
      </w:r>
      <w:r w:rsidR="00350238" w:rsidRPr="003744C1">
        <w:rPr>
          <w:lang w:val="fr-FR"/>
        </w:rPr>
        <w:t>en que cette manière de procéder</w:t>
      </w:r>
      <w:r w:rsidR="0052757A" w:rsidRPr="003744C1">
        <w:rPr>
          <w:lang w:val="fr-FR"/>
        </w:rPr>
        <w:t xml:space="preserve"> semble nécessaire dans l</w:t>
      </w:r>
      <w:r w:rsidR="001C63CD">
        <w:rPr>
          <w:lang w:val="fr-FR"/>
        </w:rPr>
        <w:t>’</w:t>
      </w:r>
      <w:r w:rsidR="0052757A" w:rsidRPr="003744C1">
        <w:rPr>
          <w:lang w:val="fr-FR"/>
        </w:rPr>
        <w:t>immédiat,</w:t>
      </w:r>
      <w:r w:rsidR="00350238" w:rsidRPr="003744C1">
        <w:rPr>
          <w:lang w:val="fr-FR"/>
        </w:rPr>
        <w:t xml:space="preserve"> des propositions de modification du règlement d</w:t>
      </w:r>
      <w:r w:rsidR="001C63CD">
        <w:rPr>
          <w:lang w:val="fr-FR"/>
        </w:rPr>
        <w:t>’</w:t>
      </w:r>
      <w:r w:rsidR="00787840" w:rsidRPr="003744C1">
        <w:rPr>
          <w:lang w:val="fr-FR"/>
        </w:rPr>
        <w:t>exécut</w:t>
      </w:r>
      <w:r w:rsidR="00350238" w:rsidRPr="003744C1">
        <w:rPr>
          <w:lang w:val="fr-FR"/>
        </w:rPr>
        <w:t>ion</w:t>
      </w:r>
      <w:r w:rsidR="001C63CD" w:rsidRPr="003744C1">
        <w:rPr>
          <w:lang w:val="fr-FR"/>
        </w:rPr>
        <w:t xml:space="preserve"> du</w:t>
      </w:r>
      <w:r w:rsidR="001C63CD">
        <w:rPr>
          <w:lang w:val="fr-FR"/>
        </w:rPr>
        <w:t> </w:t>
      </w:r>
      <w:r w:rsidR="001C63CD" w:rsidRPr="003744C1">
        <w:rPr>
          <w:lang w:val="fr-FR"/>
        </w:rPr>
        <w:t>PCT</w:t>
      </w:r>
      <w:r w:rsidR="00350238" w:rsidRPr="003744C1">
        <w:rPr>
          <w:lang w:val="fr-FR"/>
        </w:rPr>
        <w:t>, présentées dans</w:t>
      </w:r>
      <w:r w:rsidR="0052757A" w:rsidRPr="003744C1">
        <w:rPr>
          <w:lang w:val="fr-FR"/>
        </w:rPr>
        <w:t xml:space="preserve"> </w:t>
      </w:r>
      <w:r w:rsidR="00A7171A" w:rsidRPr="003744C1">
        <w:rPr>
          <w:lang w:val="fr-FR"/>
        </w:rPr>
        <w:t>le document PCT/WG/12/20</w:t>
      </w:r>
      <w:r w:rsidR="00350238" w:rsidRPr="003744C1">
        <w:rPr>
          <w:lang w:val="fr-FR"/>
        </w:rPr>
        <w:t xml:space="preserve">, visent à éliminer les obstacles et à encourager la participation, afin de parvenir, à terme, à une procédure unique </w:t>
      </w:r>
      <w:r w:rsidR="0024634C" w:rsidRPr="003744C1">
        <w:rPr>
          <w:lang w:val="fr-FR"/>
        </w:rPr>
        <w:t>pour tous les transferts de taxes.</w:t>
      </w:r>
    </w:p>
    <w:p w14:paraId="084AEB44" w14:textId="14EF659B" w:rsidR="00BD5F84" w:rsidRPr="003744C1" w:rsidRDefault="00CC3BB2" w:rsidP="00157BF0">
      <w:pPr>
        <w:pStyle w:val="ONUMFS"/>
        <w:rPr>
          <w:lang w:val="fr-FR"/>
        </w:rPr>
      </w:pPr>
      <w:bookmarkStart w:id="7" w:name="_Ref9260820"/>
      <w:r w:rsidRPr="003744C1">
        <w:rPr>
          <w:lang w:val="fr-FR"/>
        </w:rPr>
        <w:t>De plus, afin de faciliter la participation des offices récepteurs et des administrations chargées de la recherche internationale dont les règles comptables ou financières limitent l</w:t>
      </w:r>
      <w:r w:rsidR="001C63CD">
        <w:rPr>
          <w:lang w:val="fr-FR"/>
        </w:rPr>
        <w:t>’</w:t>
      </w:r>
      <w:r w:rsidRPr="003744C1">
        <w:rPr>
          <w:lang w:val="fr-FR"/>
        </w:rPr>
        <w:t>utilisation de systèmes de compensation (</w:t>
      </w:r>
      <w:r w:rsidR="0006566A" w:rsidRPr="003744C1">
        <w:rPr>
          <w:lang w:val="fr-FR"/>
        </w:rPr>
        <w:t>imputation du paiement d</w:t>
      </w:r>
      <w:r w:rsidR="001C63CD">
        <w:rPr>
          <w:lang w:val="fr-FR"/>
        </w:rPr>
        <w:t>’</w:t>
      </w:r>
      <w:r w:rsidR="0006566A" w:rsidRPr="003744C1">
        <w:rPr>
          <w:lang w:val="fr-FR"/>
        </w:rPr>
        <w:t>un</w:t>
      </w:r>
      <w:r w:rsidR="00B17952" w:rsidRPr="003744C1">
        <w:rPr>
          <w:lang w:val="fr-FR"/>
        </w:rPr>
        <w:t>e catégorie</w:t>
      </w:r>
      <w:r w:rsidR="00C34C47" w:rsidRPr="003744C1">
        <w:rPr>
          <w:lang w:val="fr-FR"/>
        </w:rPr>
        <w:t xml:space="preserve"> de taxe</w:t>
      </w:r>
      <w:r w:rsidR="00B17952" w:rsidRPr="003744C1">
        <w:rPr>
          <w:lang w:val="fr-FR"/>
        </w:rPr>
        <w:t>s</w:t>
      </w:r>
      <w:r w:rsidR="0006566A" w:rsidRPr="003744C1">
        <w:rPr>
          <w:lang w:val="fr-FR"/>
        </w:rPr>
        <w:t xml:space="preserve"> à un</w:t>
      </w:r>
      <w:r w:rsidR="00B17952" w:rsidRPr="003744C1">
        <w:rPr>
          <w:lang w:val="fr-FR"/>
        </w:rPr>
        <w:t>e</w:t>
      </w:r>
      <w:r w:rsidR="0006566A" w:rsidRPr="003744C1">
        <w:rPr>
          <w:lang w:val="fr-FR"/>
        </w:rPr>
        <w:t xml:space="preserve"> autre</w:t>
      </w:r>
      <w:r w:rsidR="00C34C47" w:rsidRPr="003744C1">
        <w:rPr>
          <w:lang w:val="fr-FR"/>
        </w:rPr>
        <w:t xml:space="preserve">), </w:t>
      </w:r>
      <w:r w:rsidR="00B3050F" w:rsidRPr="003744C1">
        <w:rPr>
          <w:lang w:val="fr-FR"/>
        </w:rPr>
        <w:t>des assouplissements ont été introduits dans le projet pilote, notamment</w:t>
      </w:r>
      <w:r w:rsidR="001C63CD">
        <w:rPr>
          <w:lang w:val="fr-FR"/>
        </w:rPr>
        <w:t> :</w:t>
      </w:r>
      <w:bookmarkEnd w:id="7"/>
    </w:p>
    <w:p w14:paraId="39F56C72" w14:textId="268168B5" w:rsidR="006B33A0" w:rsidRPr="003744C1" w:rsidRDefault="00EB21BB" w:rsidP="00157BF0">
      <w:pPr>
        <w:pStyle w:val="ONUMFS"/>
        <w:numPr>
          <w:ilvl w:val="1"/>
          <w:numId w:val="12"/>
        </w:numPr>
        <w:rPr>
          <w:lang w:val="fr-FR"/>
        </w:rPr>
      </w:pPr>
      <w:r w:rsidRPr="003744C1">
        <w:rPr>
          <w:lang w:val="fr-FR"/>
        </w:rPr>
        <w:t xml:space="preserve">possibilité pour le Bureau international de transférer </w:t>
      </w:r>
      <w:r w:rsidR="0006566A" w:rsidRPr="003744C1">
        <w:rPr>
          <w:lang w:val="fr-FR"/>
        </w:rPr>
        <w:t>l</w:t>
      </w:r>
      <w:r w:rsidRPr="003744C1">
        <w:rPr>
          <w:lang w:val="fr-FR"/>
        </w:rPr>
        <w:t>es taxes de recherche à une administration chargée de la recherche internationale</w:t>
      </w:r>
      <w:r w:rsidR="0006566A" w:rsidRPr="003744C1">
        <w:rPr>
          <w:lang w:val="fr-FR"/>
        </w:rPr>
        <w:t xml:space="preserve"> sans effectuer de compensation avec d</w:t>
      </w:r>
      <w:r w:rsidR="001C63CD">
        <w:rPr>
          <w:lang w:val="fr-FR"/>
        </w:rPr>
        <w:t>’</w:t>
      </w:r>
      <w:r w:rsidR="0006566A" w:rsidRPr="003744C1">
        <w:rPr>
          <w:lang w:val="fr-FR"/>
        </w:rPr>
        <w:t>autres taxes</w:t>
      </w:r>
      <w:r w:rsidR="001C63CD" w:rsidRPr="003744C1">
        <w:rPr>
          <w:lang w:val="fr-FR"/>
        </w:rPr>
        <w:t xml:space="preserve"> du</w:t>
      </w:r>
      <w:r w:rsidR="001C63CD">
        <w:rPr>
          <w:lang w:val="fr-FR"/>
        </w:rPr>
        <w:t> </w:t>
      </w:r>
      <w:r w:rsidR="001C63CD" w:rsidRPr="003744C1">
        <w:rPr>
          <w:lang w:val="fr-FR"/>
        </w:rPr>
        <w:t>PCT</w:t>
      </w:r>
      <w:r w:rsidR="0006566A" w:rsidRPr="003744C1">
        <w:rPr>
          <w:lang w:val="fr-FR"/>
        </w:rPr>
        <w:t>, si les règles comptables ou financières s</w:t>
      </w:r>
      <w:r w:rsidR="001C63CD">
        <w:rPr>
          <w:lang w:val="fr-FR"/>
        </w:rPr>
        <w:t>’</w:t>
      </w:r>
      <w:r w:rsidR="0006566A" w:rsidRPr="003744C1">
        <w:rPr>
          <w:lang w:val="fr-FR"/>
        </w:rPr>
        <w:t>appliquant à ladite administration ne permettent pas ce type d</w:t>
      </w:r>
      <w:r w:rsidR="001C63CD">
        <w:rPr>
          <w:lang w:val="fr-FR"/>
        </w:rPr>
        <w:t>’</w:t>
      </w:r>
      <w:r w:rsidR="0006566A" w:rsidRPr="003744C1">
        <w:rPr>
          <w:lang w:val="fr-FR"/>
        </w:rPr>
        <w:t>opération</w:t>
      </w:r>
      <w:r w:rsidR="009B2029" w:rsidRPr="003744C1">
        <w:rPr>
          <w:lang w:val="fr-FR"/>
        </w:rPr>
        <w:t>;</w:t>
      </w:r>
    </w:p>
    <w:p w14:paraId="55EA2104" w14:textId="63A93A78" w:rsidR="00E6794E" w:rsidRPr="003744C1" w:rsidRDefault="00E156FE" w:rsidP="00157BF0">
      <w:pPr>
        <w:pStyle w:val="ONUMFS"/>
        <w:numPr>
          <w:ilvl w:val="1"/>
          <w:numId w:val="12"/>
        </w:numPr>
        <w:rPr>
          <w:lang w:val="fr-FR"/>
        </w:rPr>
      </w:pPr>
      <w:r w:rsidRPr="003744C1">
        <w:rPr>
          <w:lang w:val="fr-FR"/>
        </w:rPr>
        <w:t>possibilité pour les offices récepteurs de continuer à fournir au Bureau international dans le même format que celui qu</w:t>
      </w:r>
      <w:r w:rsidR="001C63CD">
        <w:rPr>
          <w:lang w:val="fr-FR"/>
        </w:rPr>
        <w:t>’</w:t>
      </w:r>
      <w:r w:rsidRPr="003744C1">
        <w:rPr>
          <w:lang w:val="fr-FR"/>
        </w:rPr>
        <w:t>ils utilisaient avant de participer au projet pilote les listes de taxes de dépôt selon</w:t>
      </w:r>
      <w:r w:rsidR="001C63CD" w:rsidRPr="003744C1">
        <w:rPr>
          <w:lang w:val="fr-FR"/>
        </w:rPr>
        <w:t xml:space="preserve"> le</w:t>
      </w:r>
      <w:r w:rsidR="001C63CD">
        <w:rPr>
          <w:lang w:val="fr-FR"/>
        </w:rPr>
        <w:t> </w:t>
      </w:r>
      <w:r w:rsidR="001C63CD" w:rsidRPr="003744C1">
        <w:rPr>
          <w:lang w:val="fr-FR"/>
        </w:rPr>
        <w:t>PCT</w:t>
      </w:r>
      <w:r w:rsidRPr="003744C1">
        <w:rPr>
          <w:lang w:val="fr-FR"/>
        </w:rPr>
        <w:t>, de traitement par les administrations chargées de l</w:t>
      </w:r>
      <w:r w:rsidR="001C63CD">
        <w:rPr>
          <w:lang w:val="fr-FR"/>
        </w:rPr>
        <w:t>’</w:t>
      </w:r>
      <w:r w:rsidRPr="003744C1">
        <w:rPr>
          <w:lang w:val="fr-FR"/>
        </w:rPr>
        <w:t>examen préliminaire international</w:t>
      </w:r>
      <w:r w:rsidR="00D07483" w:rsidRPr="003744C1">
        <w:rPr>
          <w:lang w:val="fr-FR"/>
        </w:rPr>
        <w:t xml:space="preserve"> et de recherche internationale</w:t>
      </w:r>
      <w:r w:rsidR="009B2029" w:rsidRPr="003744C1">
        <w:rPr>
          <w:lang w:val="fr-FR"/>
        </w:rPr>
        <w:t>;</w:t>
      </w:r>
    </w:p>
    <w:p w14:paraId="3A7E7793" w14:textId="0B7BC5A7" w:rsidR="0001483F" w:rsidRPr="003744C1" w:rsidRDefault="00723C41" w:rsidP="00157BF0">
      <w:pPr>
        <w:pStyle w:val="ONUMFS"/>
        <w:numPr>
          <w:ilvl w:val="1"/>
          <w:numId w:val="12"/>
        </w:numPr>
        <w:rPr>
          <w:lang w:val="fr-FR"/>
        </w:rPr>
      </w:pPr>
      <w:r w:rsidRPr="003744C1">
        <w:rPr>
          <w:lang w:val="fr-FR"/>
        </w:rPr>
        <w:t>assouplissement des règles relatives au format dans lequel les listes de taxes de recherche sont communiquées aux administrations chargées de l</w:t>
      </w:r>
      <w:r w:rsidR="001C63CD">
        <w:rPr>
          <w:lang w:val="fr-FR"/>
        </w:rPr>
        <w:t>’</w:t>
      </w:r>
      <w:r w:rsidRPr="003744C1">
        <w:rPr>
          <w:lang w:val="fr-FR"/>
        </w:rPr>
        <w:t xml:space="preserve">examen préliminaire international, </w:t>
      </w:r>
      <w:r w:rsidR="009D0971" w:rsidRPr="003744C1">
        <w:rPr>
          <w:lang w:val="fr-FR"/>
        </w:rPr>
        <w:t>afin de réduire les besoins immédiats de formation et de modification</w:t>
      </w:r>
      <w:r w:rsidR="009F7789" w:rsidRPr="003744C1">
        <w:rPr>
          <w:lang w:val="fr-FR"/>
        </w:rPr>
        <w:t>s</w:t>
      </w:r>
      <w:r w:rsidR="009D0971" w:rsidRPr="003744C1">
        <w:rPr>
          <w:lang w:val="fr-FR"/>
        </w:rPr>
        <w:t xml:space="preserve"> informatique</w:t>
      </w:r>
      <w:r w:rsidR="009F7789" w:rsidRPr="003744C1">
        <w:rPr>
          <w:lang w:val="fr-FR"/>
        </w:rPr>
        <w:t>s;</w:t>
      </w:r>
    </w:p>
    <w:p w14:paraId="6D24CD6C" w14:textId="64A67538" w:rsidR="0001483F" w:rsidRPr="003744C1" w:rsidRDefault="009F7789" w:rsidP="00157BF0">
      <w:pPr>
        <w:pStyle w:val="ONUMFS"/>
        <w:numPr>
          <w:ilvl w:val="1"/>
          <w:numId w:val="12"/>
        </w:numPr>
        <w:rPr>
          <w:lang w:val="fr-FR"/>
        </w:rPr>
      </w:pPr>
      <w:r w:rsidRPr="003744C1">
        <w:rPr>
          <w:lang w:val="fr-FR"/>
        </w:rPr>
        <w:lastRenderedPageBreak/>
        <w:t>possibilité pour les offices d</w:t>
      </w:r>
      <w:r w:rsidR="001C63CD">
        <w:rPr>
          <w:lang w:val="fr-FR"/>
        </w:rPr>
        <w:t>’</w:t>
      </w:r>
      <w:r w:rsidRPr="003744C1">
        <w:rPr>
          <w:lang w:val="fr-FR"/>
        </w:rPr>
        <w:t xml:space="preserve">effectuer auprès du Bureau international ou de recevoir du Bureau international des versements distincts pour différentes catégories de taxes </w:t>
      </w:r>
      <w:r w:rsidR="0058546F" w:rsidRPr="003744C1">
        <w:rPr>
          <w:lang w:val="fr-FR"/>
        </w:rPr>
        <w:t>ou pour différents offices</w:t>
      </w:r>
      <w:r w:rsidR="0057187A" w:rsidRPr="003744C1">
        <w:rPr>
          <w:lang w:val="fr-FR"/>
        </w:rPr>
        <w:t xml:space="preserve"> (par exemple, si le Bureau international reçoit de plusieurs offices récepteurs des taxes de recherche destinées à une administration chargée de la recherche internationale, il pourrait envoyer à cette dernière </w:t>
      </w:r>
      <w:r w:rsidR="006313AD" w:rsidRPr="003744C1">
        <w:rPr>
          <w:lang w:val="fr-FR"/>
        </w:rPr>
        <w:t>un</w:t>
      </w:r>
      <w:r w:rsidR="0057187A" w:rsidRPr="003744C1">
        <w:rPr>
          <w:lang w:val="fr-FR"/>
        </w:rPr>
        <w:t xml:space="preserve"> paiement distinct pour chacun des offices récepteurs si cela est </w:t>
      </w:r>
      <w:r w:rsidR="00A01568" w:rsidRPr="003744C1">
        <w:rPr>
          <w:lang w:val="fr-FR"/>
        </w:rPr>
        <w:t>impos</w:t>
      </w:r>
      <w:r w:rsidR="0057187A" w:rsidRPr="003744C1">
        <w:rPr>
          <w:lang w:val="fr-FR"/>
        </w:rPr>
        <w:t xml:space="preserve">é par les règles comptables ou financières auxquelles est soumise ladite administration; </w:t>
      </w:r>
      <w:r w:rsidR="006313AD" w:rsidRPr="003744C1">
        <w:rPr>
          <w:lang w:val="fr-FR"/>
        </w:rPr>
        <w:t xml:space="preserve"> s</w:t>
      </w:r>
      <w:r w:rsidR="001C63CD">
        <w:rPr>
          <w:lang w:val="fr-FR"/>
        </w:rPr>
        <w:t>’</w:t>
      </w:r>
      <w:r w:rsidR="006313AD" w:rsidRPr="003744C1">
        <w:rPr>
          <w:lang w:val="fr-FR"/>
        </w:rPr>
        <w:t>il est vrai que cet assouplissement limite quelque peu les avantages liés au regroupement des transferts en un seul versement, il pourrait également favoriser la participation de certains offices intéressés;  et</w:t>
      </w:r>
    </w:p>
    <w:p w14:paraId="5C226832" w14:textId="6A05380F" w:rsidR="001C63CD" w:rsidRDefault="00BE197A" w:rsidP="00157BF0">
      <w:pPr>
        <w:pStyle w:val="ONUMFS"/>
        <w:numPr>
          <w:ilvl w:val="1"/>
          <w:numId w:val="12"/>
        </w:numPr>
        <w:rPr>
          <w:lang w:val="fr-FR"/>
        </w:rPr>
      </w:pPr>
      <w:r w:rsidRPr="003744C1">
        <w:rPr>
          <w:lang w:val="fr-FR"/>
        </w:rPr>
        <w:t>pour les offices qui utilisent le service ePCT, introduction de nouvelles procédures éliminant l</w:t>
      </w:r>
      <w:r w:rsidR="001C63CD">
        <w:rPr>
          <w:lang w:val="fr-FR"/>
        </w:rPr>
        <w:t>’</w:t>
      </w:r>
      <w:r w:rsidRPr="003744C1">
        <w:rPr>
          <w:lang w:val="fr-FR"/>
        </w:rPr>
        <w:t>obligation des offices récepteurs de soumettre des listes de taxes de recherche et de taxes internationales de dépôt selon</w:t>
      </w:r>
      <w:r w:rsidR="001C63CD" w:rsidRPr="003744C1">
        <w:rPr>
          <w:lang w:val="fr-FR"/>
        </w:rPr>
        <w:t xml:space="preserve"> le</w:t>
      </w:r>
      <w:r w:rsidR="001C63CD">
        <w:rPr>
          <w:lang w:val="fr-FR"/>
        </w:rPr>
        <w:t> </w:t>
      </w:r>
      <w:r w:rsidR="001C63CD" w:rsidRPr="003744C1">
        <w:rPr>
          <w:lang w:val="fr-FR"/>
        </w:rPr>
        <w:t>PCT</w:t>
      </w:r>
      <w:r w:rsidRPr="003744C1">
        <w:rPr>
          <w:lang w:val="fr-FR"/>
        </w:rPr>
        <w:t>, ainsi que celle des administrations chargées de l</w:t>
      </w:r>
      <w:r w:rsidR="001C63CD">
        <w:rPr>
          <w:lang w:val="fr-FR"/>
        </w:rPr>
        <w:t>’</w:t>
      </w:r>
      <w:r w:rsidRPr="003744C1">
        <w:rPr>
          <w:lang w:val="fr-FR"/>
        </w:rPr>
        <w:t xml:space="preserve">examen préliminaire international de soumettre des listes de taxes de traitement;  </w:t>
      </w:r>
      <w:r w:rsidR="00390A7B" w:rsidRPr="003744C1">
        <w:rPr>
          <w:lang w:val="fr-FR"/>
        </w:rPr>
        <w:t xml:space="preserve">le système ePCT </w:t>
      </w:r>
      <w:r w:rsidR="00756EDA" w:rsidRPr="003744C1">
        <w:rPr>
          <w:lang w:val="fr-FR"/>
        </w:rPr>
        <w:t>fait actuellement l</w:t>
      </w:r>
      <w:r w:rsidR="001C63CD">
        <w:rPr>
          <w:lang w:val="fr-FR"/>
        </w:rPr>
        <w:t>’</w:t>
      </w:r>
      <w:r w:rsidR="00756EDA" w:rsidRPr="003744C1">
        <w:rPr>
          <w:lang w:val="fr-FR"/>
        </w:rPr>
        <w:t>objet de modifications qui permettront aux offices récepteurs participants d</w:t>
      </w:r>
      <w:r w:rsidR="001C63CD">
        <w:rPr>
          <w:lang w:val="fr-FR"/>
        </w:rPr>
        <w:t>’</w:t>
      </w:r>
      <w:r w:rsidR="0005061C" w:rsidRPr="003744C1">
        <w:rPr>
          <w:lang w:val="fr-FR"/>
        </w:rPr>
        <w:t>en extraire directement</w:t>
      </w:r>
      <w:r w:rsidR="00756EDA" w:rsidRPr="003744C1">
        <w:rPr>
          <w:lang w:val="fr-FR"/>
        </w:rPr>
        <w:t xml:space="preserve"> l</w:t>
      </w:r>
      <w:r w:rsidR="0005061C" w:rsidRPr="003744C1">
        <w:rPr>
          <w:lang w:val="fr-FR"/>
        </w:rPr>
        <w:t xml:space="preserve">es </w:t>
      </w:r>
      <w:r w:rsidR="00756EDA" w:rsidRPr="003744C1">
        <w:rPr>
          <w:lang w:val="fr-FR"/>
        </w:rPr>
        <w:t>information</w:t>
      </w:r>
      <w:r w:rsidR="0005061C" w:rsidRPr="003744C1">
        <w:rPr>
          <w:lang w:val="fr-FR"/>
        </w:rPr>
        <w:t>s</w:t>
      </w:r>
      <w:r w:rsidR="00756EDA" w:rsidRPr="003744C1">
        <w:rPr>
          <w:lang w:val="fr-FR"/>
        </w:rPr>
        <w:t xml:space="preserve"> requise</w:t>
      </w:r>
      <w:r w:rsidR="0005061C" w:rsidRPr="003744C1">
        <w:rPr>
          <w:lang w:val="fr-FR"/>
        </w:rPr>
        <w:t>s concernant les transferts de taxes.</w:t>
      </w:r>
    </w:p>
    <w:p w14:paraId="3A008562" w14:textId="35176159" w:rsidR="00BF4D5F" w:rsidRPr="003744C1" w:rsidRDefault="00FF3F30" w:rsidP="00157BF0">
      <w:pPr>
        <w:pStyle w:val="ONUMFS"/>
        <w:rPr>
          <w:lang w:val="fr-FR"/>
        </w:rPr>
      </w:pPr>
      <w:r w:rsidRPr="003744C1">
        <w:rPr>
          <w:lang w:val="fr-FR"/>
        </w:rPr>
        <w:t xml:space="preserve">Les assouplissements </w:t>
      </w:r>
      <w:r w:rsidR="003C2229" w:rsidRPr="003744C1">
        <w:rPr>
          <w:lang w:val="fr-FR"/>
        </w:rPr>
        <w:t>décrit</w:t>
      </w:r>
      <w:r w:rsidRPr="003744C1">
        <w:rPr>
          <w:lang w:val="fr-FR"/>
        </w:rPr>
        <w:t xml:space="preserve">s aux </w:t>
      </w:r>
      <w:r w:rsidR="001C63CD" w:rsidRPr="003744C1">
        <w:rPr>
          <w:lang w:val="fr-FR"/>
        </w:rPr>
        <w:t>alinéas</w:t>
      </w:r>
      <w:r w:rsidR="001C63CD">
        <w:rPr>
          <w:lang w:val="fr-FR"/>
        </w:rPr>
        <w:t> </w:t>
      </w:r>
      <w:r w:rsidR="001C63CD" w:rsidRPr="003744C1">
        <w:rPr>
          <w:lang w:val="fr-FR"/>
        </w:rPr>
        <w:t>a)</w:t>
      </w:r>
      <w:r w:rsidRPr="003744C1">
        <w:rPr>
          <w:lang w:val="fr-FR"/>
        </w:rPr>
        <w:t xml:space="preserve"> à d) du </w:t>
      </w:r>
      <w:r w:rsidR="001C63CD" w:rsidRPr="003744C1">
        <w:rPr>
          <w:lang w:val="fr-FR"/>
        </w:rPr>
        <w:t>paragraphe</w:t>
      </w:r>
      <w:r w:rsidR="001C63CD">
        <w:rPr>
          <w:lang w:val="fr-FR"/>
        </w:rPr>
        <w:t> </w:t>
      </w:r>
      <w:r w:rsidR="001C63CD" w:rsidRPr="003744C1">
        <w:rPr>
          <w:lang w:val="fr-FR"/>
        </w:rPr>
        <w:t>1</w:t>
      </w:r>
      <w:r w:rsidRPr="003744C1">
        <w:rPr>
          <w:lang w:val="fr-FR"/>
        </w:rPr>
        <w:t>6 ci</w:t>
      </w:r>
      <w:r w:rsidR="00FB191E">
        <w:rPr>
          <w:lang w:val="fr-FR"/>
        </w:rPr>
        <w:noBreakHyphen/>
      </w:r>
      <w:r w:rsidRPr="003744C1">
        <w:rPr>
          <w:lang w:val="fr-FR"/>
        </w:rPr>
        <w:t>dessus</w:t>
      </w:r>
      <w:r w:rsidR="003C2229" w:rsidRPr="003744C1">
        <w:rPr>
          <w:lang w:val="fr-FR"/>
        </w:rPr>
        <w:t xml:space="preserve"> ont pour effet de réduire, dans une certaine mesure, les avantages escomptés du projet pilo</w:t>
      </w:r>
      <w:r w:rsidR="005C097F" w:rsidRPr="003744C1">
        <w:rPr>
          <w:lang w:val="fr-FR"/>
        </w:rPr>
        <w:t>te</w:t>
      </w:r>
      <w:r w:rsidR="005C097F">
        <w:rPr>
          <w:lang w:val="fr-FR"/>
        </w:rPr>
        <w:t xml:space="preserve">.  </w:t>
      </w:r>
      <w:r w:rsidR="005C097F" w:rsidRPr="003744C1">
        <w:rPr>
          <w:lang w:val="fr-FR"/>
        </w:rPr>
        <w:t>En</w:t>
      </w:r>
      <w:r w:rsidR="003C2229" w:rsidRPr="003744C1">
        <w:rPr>
          <w:lang w:val="fr-FR"/>
        </w:rPr>
        <w:t xml:space="preserve"> revanche, l</w:t>
      </w:r>
      <w:r w:rsidR="001C63CD">
        <w:rPr>
          <w:lang w:val="fr-FR"/>
        </w:rPr>
        <w:t>’</w:t>
      </w:r>
      <w:r w:rsidR="003C2229" w:rsidRPr="003744C1">
        <w:rPr>
          <w:lang w:val="fr-FR"/>
        </w:rPr>
        <w:t>adoption d</w:t>
      </w:r>
      <w:r w:rsidR="001C63CD">
        <w:rPr>
          <w:lang w:val="fr-FR"/>
        </w:rPr>
        <w:t>’</w:t>
      </w:r>
      <w:r w:rsidR="003C2229" w:rsidRPr="003744C1">
        <w:rPr>
          <w:lang w:val="fr-FR"/>
        </w:rPr>
        <w:t>une approche moins contraignante a permis à plusieurs offices récepteurs et administrations chargées de la recherche internationale de se joindre au projet pilote sans avoir besoin d</w:t>
      </w:r>
      <w:r w:rsidR="00CD28F3" w:rsidRPr="003744C1">
        <w:rPr>
          <w:lang w:val="fr-FR"/>
        </w:rPr>
        <w:t>e modifier</w:t>
      </w:r>
      <w:r w:rsidR="003C2229" w:rsidRPr="003744C1">
        <w:rPr>
          <w:lang w:val="fr-FR"/>
        </w:rPr>
        <w:t xml:space="preserve"> leurs systèmes informatiques</w:t>
      </w:r>
      <w:r w:rsidR="002E6F6A" w:rsidRPr="003744C1">
        <w:rPr>
          <w:lang w:val="fr-FR"/>
        </w:rPr>
        <w:t xml:space="preserve"> et </w:t>
      </w:r>
      <w:r w:rsidR="00CD28F3" w:rsidRPr="003744C1">
        <w:rPr>
          <w:lang w:val="fr-FR"/>
        </w:rPr>
        <w:t xml:space="preserve">en limitant les changements apportés à leurs procédures internes, </w:t>
      </w:r>
      <w:r w:rsidR="006469E7" w:rsidRPr="003744C1">
        <w:rPr>
          <w:lang w:val="fr-FR"/>
        </w:rPr>
        <w:t>ce qui a évité des obligations de formation</w:t>
      </w:r>
      <w:r w:rsidR="002E6F6A" w:rsidRPr="003744C1">
        <w:rPr>
          <w:lang w:val="fr-FR"/>
        </w:rPr>
        <w:t xml:space="preserve"> </w:t>
      </w:r>
      <w:r w:rsidR="0054157C" w:rsidRPr="003744C1">
        <w:rPr>
          <w:lang w:val="fr-FR"/>
        </w:rPr>
        <w:t>et fourni un éventail d</w:t>
      </w:r>
      <w:r w:rsidR="001C63CD">
        <w:rPr>
          <w:lang w:val="fr-FR"/>
        </w:rPr>
        <w:t>’</w:t>
      </w:r>
      <w:r w:rsidR="0054157C" w:rsidRPr="003744C1">
        <w:rPr>
          <w:lang w:val="fr-FR"/>
        </w:rPr>
        <w:t>offices suffisamment large pour procéder à une évaluation efficace des avantages potentiels.</w:t>
      </w:r>
    </w:p>
    <w:p w14:paraId="4E747F34" w14:textId="77777777" w:rsidR="001C63CD" w:rsidRDefault="00576092" w:rsidP="00157BF0">
      <w:pPr>
        <w:pStyle w:val="Heading1"/>
        <w:rPr>
          <w:lang w:val="fr-FR"/>
        </w:rPr>
      </w:pPr>
      <w:r w:rsidRPr="003744C1">
        <w:rPr>
          <w:lang w:val="fr-FR"/>
        </w:rPr>
        <w:t>Informations actualisées concernant la participation des administrations chargées de la recherche internationale et des offices récepteurs</w:t>
      </w:r>
    </w:p>
    <w:p w14:paraId="6051CA8D" w14:textId="77777777" w:rsidR="001C63CD" w:rsidRDefault="00157BF0" w:rsidP="00157BF0">
      <w:pPr>
        <w:pStyle w:val="Heading2"/>
        <w:rPr>
          <w:lang w:val="fr-FR"/>
        </w:rPr>
      </w:pPr>
      <w:r w:rsidRPr="003744C1">
        <w:rPr>
          <w:lang w:val="fr-FR"/>
        </w:rPr>
        <w:t xml:space="preserve">Administrations </w:t>
      </w:r>
      <w:r w:rsidR="00576092" w:rsidRPr="003744C1">
        <w:rPr>
          <w:lang w:val="fr-FR"/>
        </w:rPr>
        <w:t>chargées de la recherche internationale participant au projet pilote</w:t>
      </w:r>
    </w:p>
    <w:p w14:paraId="0023D55E" w14:textId="6640D5AA" w:rsidR="00157BF0" w:rsidRPr="00157BF0" w:rsidRDefault="00157BF0" w:rsidP="00157BF0">
      <w:pPr>
        <w:rPr>
          <w:lang w:val="fr-FR"/>
        </w:rPr>
      </w:pPr>
    </w:p>
    <w:p w14:paraId="63A2AFC3" w14:textId="1934A228" w:rsidR="001C63CD" w:rsidRDefault="001C63CD" w:rsidP="00157BF0">
      <w:pPr>
        <w:pStyle w:val="ONUMFS"/>
        <w:rPr>
          <w:lang w:val="fr-FR"/>
        </w:rPr>
      </w:pPr>
      <w:r w:rsidRPr="003744C1">
        <w:rPr>
          <w:lang w:val="fr-FR"/>
        </w:rPr>
        <w:t>En</w:t>
      </w:r>
      <w:r>
        <w:rPr>
          <w:lang w:val="fr-FR"/>
        </w:rPr>
        <w:t> </w:t>
      </w:r>
      <w:r w:rsidRPr="003744C1">
        <w:rPr>
          <w:lang w:val="fr-FR"/>
        </w:rPr>
        <w:t>2018</w:t>
      </w:r>
      <w:r w:rsidR="00576092" w:rsidRPr="003744C1">
        <w:rPr>
          <w:lang w:val="fr-FR"/>
        </w:rPr>
        <w:t>, l</w:t>
      </w:r>
      <w:r>
        <w:rPr>
          <w:lang w:val="fr-FR"/>
        </w:rPr>
        <w:t>’</w:t>
      </w:r>
      <w:r w:rsidR="00576092" w:rsidRPr="003744C1">
        <w:rPr>
          <w:lang w:val="fr-FR"/>
        </w:rPr>
        <w:t>OEB, l</w:t>
      </w:r>
      <w:r>
        <w:rPr>
          <w:lang w:val="fr-FR"/>
        </w:rPr>
        <w:t>’</w:t>
      </w:r>
      <w:r w:rsidR="00576092" w:rsidRPr="003744C1">
        <w:rPr>
          <w:lang w:val="fr-FR"/>
        </w:rPr>
        <w:t>Office des brevets du Japon (JPO) et l</w:t>
      </w:r>
      <w:r>
        <w:rPr>
          <w:lang w:val="fr-FR"/>
        </w:rPr>
        <w:t>’</w:t>
      </w:r>
      <w:r w:rsidR="00576092" w:rsidRPr="003744C1">
        <w:rPr>
          <w:lang w:val="fr-FR"/>
        </w:rPr>
        <w:t>Office autrichien des brevets ont intégré le projet pilote, à la fois en qualité d</w:t>
      </w:r>
      <w:r>
        <w:rPr>
          <w:lang w:val="fr-FR"/>
        </w:rPr>
        <w:t>’</w:t>
      </w:r>
      <w:r w:rsidR="00576092" w:rsidRPr="003744C1">
        <w:rPr>
          <w:lang w:val="fr-FR"/>
        </w:rPr>
        <w:t>administrations chargées de la recherche internationale et d</w:t>
      </w:r>
      <w:r>
        <w:rPr>
          <w:lang w:val="fr-FR"/>
        </w:rPr>
        <w:t>’</w:t>
      </w:r>
      <w:r w:rsidR="00576092" w:rsidRPr="003744C1">
        <w:rPr>
          <w:lang w:val="fr-FR"/>
        </w:rPr>
        <w:t>offices récepteurs.</w:t>
      </w:r>
    </w:p>
    <w:p w14:paraId="454CEF5B" w14:textId="288C58B3" w:rsidR="007050D3" w:rsidRPr="003744C1" w:rsidRDefault="00837911" w:rsidP="00157BF0">
      <w:pPr>
        <w:pStyle w:val="ONUMFS"/>
        <w:rPr>
          <w:lang w:val="fr-FR"/>
        </w:rPr>
      </w:pPr>
      <w:r w:rsidRPr="003744C1">
        <w:rPr>
          <w:lang w:val="fr-FR"/>
        </w:rPr>
        <w:t>Les premières transactions prises en compte dans le projet pilote e</w:t>
      </w:r>
      <w:r w:rsidR="00605448" w:rsidRPr="003744C1">
        <w:rPr>
          <w:lang w:val="fr-FR"/>
        </w:rPr>
        <w:t>n ce qui concerne</w:t>
      </w:r>
      <w:r w:rsidR="00EE18C6" w:rsidRPr="003744C1">
        <w:rPr>
          <w:lang w:val="fr-FR"/>
        </w:rPr>
        <w:t xml:space="preserve"> l</w:t>
      </w:r>
      <w:r w:rsidR="001C63CD">
        <w:rPr>
          <w:lang w:val="fr-FR"/>
        </w:rPr>
        <w:t>’</w:t>
      </w:r>
      <w:r w:rsidR="00EE18C6" w:rsidRPr="003744C1">
        <w:rPr>
          <w:lang w:val="fr-FR"/>
        </w:rPr>
        <w:t>OEB</w:t>
      </w:r>
      <w:r w:rsidRPr="003744C1">
        <w:rPr>
          <w:lang w:val="fr-FR"/>
        </w:rPr>
        <w:t xml:space="preserve"> sont celles</w:t>
      </w:r>
      <w:r w:rsidR="00605448" w:rsidRPr="003744C1">
        <w:rPr>
          <w:lang w:val="fr-FR"/>
        </w:rPr>
        <w:t xml:space="preserve"> effectuées à compter du</w:t>
      </w:r>
      <w:r w:rsidR="001C63CD">
        <w:rPr>
          <w:lang w:val="fr-FR"/>
        </w:rPr>
        <w:t xml:space="preserve"> 1</w:t>
      </w:r>
      <w:r w:rsidR="001C63CD" w:rsidRPr="001C63CD">
        <w:rPr>
          <w:vertAlign w:val="superscript"/>
          <w:lang w:val="fr-FR"/>
        </w:rPr>
        <w:t>er</w:t>
      </w:r>
      <w:r w:rsidR="001C63CD">
        <w:rPr>
          <w:lang w:val="fr-FR"/>
        </w:rPr>
        <w:t> </w:t>
      </w:r>
      <w:r w:rsidR="001C63CD" w:rsidRPr="003744C1">
        <w:rPr>
          <w:lang w:val="fr-FR"/>
        </w:rPr>
        <w:t>janvier</w:t>
      </w:r>
      <w:r w:rsidR="001C63CD">
        <w:rPr>
          <w:lang w:val="fr-FR"/>
        </w:rPr>
        <w:t> </w:t>
      </w:r>
      <w:r w:rsidR="001C63CD" w:rsidRPr="003744C1">
        <w:rPr>
          <w:lang w:val="fr-FR"/>
        </w:rPr>
        <w:t>20</w:t>
      </w:r>
      <w:r w:rsidR="00605448" w:rsidRPr="003744C1">
        <w:rPr>
          <w:lang w:val="fr-FR"/>
        </w:rPr>
        <w:t>18</w:t>
      </w:r>
      <w:r w:rsidR="000426D8" w:rsidRPr="003744C1">
        <w:rPr>
          <w:lang w:val="fr-FR"/>
        </w:rPr>
        <w:t xml:space="preserve"> </w:t>
      </w:r>
      <w:r w:rsidR="00605448" w:rsidRPr="003744C1">
        <w:rPr>
          <w:lang w:val="fr-FR"/>
        </w:rPr>
        <w:t xml:space="preserve">(compensées au mois de </w:t>
      </w:r>
      <w:r w:rsidR="001C63CD" w:rsidRPr="003744C1">
        <w:rPr>
          <w:lang w:val="fr-FR"/>
        </w:rPr>
        <w:t>février</w:t>
      </w:r>
      <w:r w:rsidR="001C63CD">
        <w:rPr>
          <w:lang w:val="fr-FR"/>
        </w:rPr>
        <w:t> </w:t>
      </w:r>
      <w:r w:rsidR="001C63CD" w:rsidRPr="003744C1">
        <w:rPr>
          <w:lang w:val="fr-FR"/>
        </w:rPr>
        <w:t>20</w:t>
      </w:r>
      <w:r w:rsidR="00605448" w:rsidRPr="003744C1">
        <w:rPr>
          <w:lang w:val="fr-FR"/>
        </w:rPr>
        <w:t xml:space="preserve">18). </w:t>
      </w:r>
      <w:r w:rsidR="00B22BB7" w:rsidRPr="003744C1">
        <w:rPr>
          <w:lang w:val="fr-FR"/>
        </w:rPr>
        <w:t xml:space="preserve"> Compte tenu du nombre élevé d</w:t>
      </w:r>
      <w:r w:rsidR="001C63CD">
        <w:rPr>
          <w:lang w:val="fr-FR"/>
        </w:rPr>
        <w:t>’</w:t>
      </w:r>
      <w:r w:rsidR="00B22BB7" w:rsidRPr="003744C1">
        <w:rPr>
          <w:lang w:val="fr-FR"/>
        </w:rPr>
        <w:t>offices récepteurs qui choisissent l</w:t>
      </w:r>
      <w:r w:rsidR="001C63CD">
        <w:rPr>
          <w:lang w:val="fr-FR"/>
        </w:rPr>
        <w:t>’</w:t>
      </w:r>
      <w:r w:rsidR="00B22BB7" w:rsidRPr="003744C1">
        <w:rPr>
          <w:lang w:val="fr-FR"/>
        </w:rPr>
        <w:t>OEB comme administration chargée de la recherche internationale, la mise en œuvre du projet pilote s</w:t>
      </w:r>
      <w:r w:rsidR="001C63CD">
        <w:rPr>
          <w:lang w:val="fr-FR"/>
        </w:rPr>
        <w:t>’</w:t>
      </w:r>
      <w:r w:rsidR="00B22BB7" w:rsidRPr="003744C1">
        <w:rPr>
          <w:lang w:val="fr-FR"/>
        </w:rPr>
        <w:t>est faite de manière progressive, et doit se poursuivre jusqu</w:t>
      </w:r>
      <w:r w:rsidR="001C63CD">
        <w:rPr>
          <w:lang w:val="fr-FR"/>
        </w:rPr>
        <w:t>’</w:t>
      </w:r>
      <w:r w:rsidR="001C63CD" w:rsidRPr="003744C1">
        <w:rPr>
          <w:lang w:val="fr-FR"/>
        </w:rPr>
        <w:t>en</w:t>
      </w:r>
      <w:r w:rsidR="001C63CD">
        <w:rPr>
          <w:lang w:val="fr-FR"/>
        </w:rPr>
        <w:t> </w:t>
      </w:r>
      <w:r w:rsidR="001C63CD" w:rsidRPr="003744C1">
        <w:rPr>
          <w:lang w:val="fr-FR"/>
        </w:rPr>
        <w:t>2020</w:t>
      </w:r>
      <w:r w:rsidR="00B22BB7" w:rsidRPr="003744C1">
        <w:rPr>
          <w:lang w:val="fr-FR"/>
        </w:rPr>
        <w:t xml:space="preserve">.  </w:t>
      </w:r>
      <w:r w:rsidR="005858FC" w:rsidRPr="003744C1">
        <w:rPr>
          <w:lang w:val="fr-FR"/>
        </w:rPr>
        <w:t>Le projet pilote compte actuellement 33</w:t>
      </w:r>
      <w:r w:rsidR="00FB191E">
        <w:rPr>
          <w:lang w:val="fr-FR"/>
        </w:rPr>
        <w:t> </w:t>
      </w:r>
      <w:r w:rsidR="005858FC" w:rsidRPr="003744C1">
        <w:rPr>
          <w:lang w:val="fr-FR"/>
        </w:rPr>
        <w:t>offices récepteurs ayant choisi l</w:t>
      </w:r>
      <w:r w:rsidR="001C63CD">
        <w:rPr>
          <w:lang w:val="fr-FR"/>
        </w:rPr>
        <w:t>’</w:t>
      </w:r>
      <w:r w:rsidR="005858FC" w:rsidRPr="003744C1">
        <w:rPr>
          <w:lang w:val="fr-FR"/>
        </w:rPr>
        <w:t>OEB en tant qu</w:t>
      </w:r>
      <w:r w:rsidR="001C63CD">
        <w:rPr>
          <w:lang w:val="fr-FR"/>
        </w:rPr>
        <w:t>’</w:t>
      </w:r>
      <w:r w:rsidR="005858FC" w:rsidRPr="003744C1">
        <w:rPr>
          <w:lang w:val="fr-FR"/>
        </w:rPr>
        <w:t>administration compétente chargée de la recherche internationale, et la perception des taxes de recherche par ces offices récepteurs s</w:t>
      </w:r>
      <w:r w:rsidR="001C63CD">
        <w:rPr>
          <w:lang w:val="fr-FR"/>
        </w:rPr>
        <w:t>’</w:t>
      </w:r>
      <w:r w:rsidR="005858FC" w:rsidRPr="003744C1">
        <w:rPr>
          <w:lang w:val="fr-FR"/>
        </w:rPr>
        <w:t>effectue en euros et dans d</w:t>
      </w:r>
      <w:r w:rsidR="001C63CD">
        <w:rPr>
          <w:lang w:val="fr-FR"/>
        </w:rPr>
        <w:t>’</w:t>
      </w:r>
      <w:r w:rsidR="005858FC" w:rsidRPr="003744C1">
        <w:rPr>
          <w:lang w:val="fr-FR"/>
        </w:rPr>
        <w:t>autres monnai</w:t>
      </w:r>
      <w:r w:rsidR="005C097F" w:rsidRPr="003744C1">
        <w:rPr>
          <w:lang w:val="fr-FR"/>
        </w:rPr>
        <w:t>es</w:t>
      </w:r>
      <w:r w:rsidR="005C097F">
        <w:rPr>
          <w:lang w:val="fr-FR"/>
        </w:rPr>
        <w:t xml:space="preserve">.  </w:t>
      </w:r>
      <w:r w:rsidR="005C097F" w:rsidRPr="003744C1">
        <w:rPr>
          <w:lang w:val="fr-FR"/>
        </w:rPr>
        <w:t>L</w:t>
      </w:r>
      <w:r w:rsidR="005C097F">
        <w:rPr>
          <w:lang w:val="fr-FR"/>
        </w:rPr>
        <w:t>’</w:t>
      </w:r>
      <w:r w:rsidR="005C097F" w:rsidRPr="003744C1">
        <w:rPr>
          <w:lang w:val="fr-FR"/>
        </w:rPr>
        <w:t>a</w:t>
      </w:r>
      <w:r w:rsidR="005858FC" w:rsidRPr="003744C1">
        <w:rPr>
          <w:lang w:val="fr-FR"/>
        </w:rPr>
        <w:t xml:space="preserve">rrangement </w:t>
      </w:r>
      <w:r w:rsidR="00B45FB6" w:rsidRPr="003744C1">
        <w:rPr>
          <w:lang w:val="fr-FR"/>
        </w:rPr>
        <w:t xml:space="preserve">en cours, mentionné au </w:t>
      </w:r>
      <w:r w:rsidR="001C63CD" w:rsidRPr="003744C1">
        <w:rPr>
          <w:lang w:val="fr-FR"/>
        </w:rPr>
        <w:t>paragraphe</w:t>
      </w:r>
      <w:r w:rsidR="001C63CD">
        <w:rPr>
          <w:lang w:val="fr-FR"/>
        </w:rPr>
        <w:t> </w:t>
      </w:r>
      <w:r w:rsidR="001C63CD" w:rsidRPr="003744C1">
        <w:rPr>
          <w:lang w:val="fr-FR"/>
        </w:rPr>
        <w:t>8</w:t>
      </w:r>
      <w:r w:rsidR="00B45FB6" w:rsidRPr="003744C1">
        <w:rPr>
          <w:lang w:val="fr-FR"/>
        </w:rPr>
        <w:t xml:space="preserve"> ci</w:t>
      </w:r>
      <w:r w:rsidR="00FB191E">
        <w:rPr>
          <w:lang w:val="fr-FR"/>
        </w:rPr>
        <w:noBreakHyphen/>
      </w:r>
      <w:r w:rsidR="00B45FB6" w:rsidRPr="003744C1">
        <w:rPr>
          <w:lang w:val="fr-FR"/>
        </w:rPr>
        <w:t xml:space="preserve">dessus, </w:t>
      </w:r>
      <w:r w:rsidR="005858FC" w:rsidRPr="003744C1">
        <w:rPr>
          <w:lang w:val="fr-FR"/>
        </w:rPr>
        <w:t>entre l</w:t>
      </w:r>
      <w:r w:rsidR="001C63CD">
        <w:rPr>
          <w:lang w:val="fr-FR"/>
        </w:rPr>
        <w:t>’</w:t>
      </w:r>
      <w:r w:rsidR="005858FC" w:rsidRPr="003744C1">
        <w:rPr>
          <w:lang w:val="fr-FR"/>
        </w:rPr>
        <w:t xml:space="preserve">USPTO </w:t>
      </w:r>
      <w:r w:rsidR="00B45FB6" w:rsidRPr="003744C1">
        <w:rPr>
          <w:lang w:val="fr-FR"/>
        </w:rPr>
        <w:t>en tant qu</w:t>
      </w:r>
      <w:r w:rsidR="001C63CD">
        <w:rPr>
          <w:lang w:val="fr-FR"/>
        </w:rPr>
        <w:t>’</w:t>
      </w:r>
      <w:r w:rsidR="00B45FB6" w:rsidRPr="003744C1">
        <w:rPr>
          <w:lang w:val="fr-FR"/>
        </w:rPr>
        <w:t>office récepteur, l</w:t>
      </w:r>
      <w:r w:rsidR="001C63CD">
        <w:rPr>
          <w:lang w:val="fr-FR"/>
        </w:rPr>
        <w:t>’</w:t>
      </w:r>
      <w:r w:rsidR="00B45FB6" w:rsidRPr="003744C1">
        <w:rPr>
          <w:lang w:val="fr-FR"/>
        </w:rPr>
        <w:t>OEB en qualité d</w:t>
      </w:r>
      <w:r w:rsidR="001C63CD">
        <w:rPr>
          <w:lang w:val="fr-FR"/>
        </w:rPr>
        <w:t>’</w:t>
      </w:r>
      <w:r w:rsidR="00B45FB6" w:rsidRPr="003744C1">
        <w:rPr>
          <w:lang w:val="fr-FR"/>
        </w:rPr>
        <w:t xml:space="preserve">administration chargée de la recherche internationale et le Bureau international, a </w:t>
      </w:r>
      <w:r w:rsidR="005E2538" w:rsidRPr="003744C1">
        <w:rPr>
          <w:lang w:val="fr-FR"/>
        </w:rPr>
        <w:t>été incorporé dans le</w:t>
      </w:r>
      <w:r w:rsidR="00B45FB6" w:rsidRPr="003744C1">
        <w:rPr>
          <w:lang w:val="fr-FR"/>
        </w:rPr>
        <w:t xml:space="preserve"> projet pilote, et a été prolongé jusqu</w:t>
      </w:r>
      <w:r w:rsidR="001C63CD">
        <w:rPr>
          <w:lang w:val="fr-FR"/>
        </w:rPr>
        <w:t>’</w:t>
      </w:r>
      <w:r w:rsidR="001C63CD" w:rsidRPr="003744C1">
        <w:rPr>
          <w:lang w:val="fr-FR"/>
        </w:rPr>
        <w:t>en</w:t>
      </w:r>
      <w:r w:rsidR="001C63CD">
        <w:rPr>
          <w:lang w:val="fr-FR"/>
        </w:rPr>
        <w:t> </w:t>
      </w:r>
      <w:r w:rsidR="001C63CD" w:rsidRPr="003744C1">
        <w:rPr>
          <w:lang w:val="fr-FR"/>
        </w:rPr>
        <w:t>2021</w:t>
      </w:r>
      <w:r w:rsidR="00B45FB6" w:rsidRPr="003744C1">
        <w:rPr>
          <w:lang w:val="fr-FR"/>
        </w:rPr>
        <w:t>.</w:t>
      </w:r>
    </w:p>
    <w:p w14:paraId="338755E5" w14:textId="18065330" w:rsidR="007050D3" w:rsidRPr="003744C1" w:rsidRDefault="00E536B4" w:rsidP="00157BF0">
      <w:pPr>
        <w:pStyle w:val="ONUMFS"/>
        <w:rPr>
          <w:lang w:val="fr-FR"/>
        </w:rPr>
      </w:pPr>
      <w:r w:rsidRPr="003744C1">
        <w:rPr>
          <w:lang w:val="fr-FR"/>
        </w:rPr>
        <w:t>Un projet pilote avec</w:t>
      </w:r>
      <w:r w:rsidR="001C63CD" w:rsidRPr="003744C1">
        <w:rPr>
          <w:lang w:val="fr-FR"/>
        </w:rPr>
        <w:t xml:space="preserve"> le</w:t>
      </w:r>
      <w:r w:rsidR="001C63CD">
        <w:rPr>
          <w:lang w:val="fr-FR"/>
        </w:rPr>
        <w:t> </w:t>
      </w:r>
      <w:r w:rsidR="001C63CD" w:rsidRPr="003744C1">
        <w:rPr>
          <w:lang w:val="fr-FR"/>
        </w:rPr>
        <w:t>JPO</w:t>
      </w:r>
      <w:r w:rsidR="002B33E0" w:rsidRPr="003744C1">
        <w:rPr>
          <w:lang w:val="fr-FR"/>
        </w:rPr>
        <w:t>,</w:t>
      </w:r>
      <w:r w:rsidRPr="003744C1">
        <w:rPr>
          <w:lang w:val="fr-FR"/>
        </w:rPr>
        <w:t xml:space="preserve"> en tant qu</w:t>
      </w:r>
      <w:r w:rsidR="001C63CD">
        <w:rPr>
          <w:lang w:val="fr-FR"/>
        </w:rPr>
        <w:t>’</w:t>
      </w:r>
      <w:r w:rsidRPr="003744C1">
        <w:rPr>
          <w:lang w:val="fr-FR"/>
        </w:rPr>
        <w:t>administration chargée de la recherche internationale</w:t>
      </w:r>
      <w:r w:rsidR="002B33E0" w:rsidRPr="003744C1">
        <w:rPr>
          <w:lang w:val="fr-FR"/>
        </w:rPr>
        <w:t>, a été lancé le</w:t>
      </w:r>
      <w:r w:rsidR="001C63CD">
        <w:rPr>
          <w:lang w:val="fr-FR"/>
        </w:rPr>
        <w:t xml:space="preserve"> 1</w:t>
      </w:r>
      <w:r w:rsidR="001C63CD" w:rsidRPr="001C63CD">
        <w:rPr>
          <w:vertAlign w:val="superscript"/>
          <w:lang w:val="fr-FR"/>
        </w:rPr>
        <w:t>er</w:t>
      </w:r>
      <w:r w:rsidR="001C63CD">
        <w:rPr>
          <w:lang w:val="fr-FR"/>
        </w:rPr>
        <w:t> </w:t>
      </w:r>
      <w:r w:rsidR="001C63CD" w:rsidRPr="003744C1">
        <w:rPr>
          <w:lang w:val="fr-FR"/>
        </w:rPr>
        <w:t>avril</w:t>
      </w:r>
      <w:r w:rsidR="001C63CD">
        <w:rPr>
          <w:lang w:val="fr-FR"/>
        </w:rPr>
        <w:t> </w:t>
      </w:r>
      <w:r w:rsidR="001C63CD" w:rsidRPr="003744C1">
        <w:rPr>
          <w:lang w:val="fr-FR"/>
        </w:rPr>
        <w:t>20</w:t>
      </w:r>
      <w:r w:rsidR="002B33E0" w:rsidRPr="003744C1">
        <w:rPr>
          <w:lang w:val="fr-FR"/>
        </w:rPr>
        <w:t xml:space="preserve">18 (compensation en </w:t>
      </w:r>
      <w:r w:rsidR="001C63CD" w:rsidRPr="003744C1">
        <w:rPr>
          <w:lang w:val="fr-FR"/>
        </w:rPr>
        <w:t>mai</w:t>
      </w:r>
      <w:r w:rsidR="001C63CD">
        <w:rPr>
          <w:lang w:val="fr-FR"/>
        </w:rPr>
        <w:t> </w:t>
      </w:r>
      <w:r w:rsidR="001C63CD" w:rsidRPr="003744C1">
        <w:rPr>
          <w:lang w:val="fr-FR"/>
        </w:rPr>
        <w:t>20</w:t>
      </w:r>
      <w:r w:rsidR="002B33E0" w:rsidRPr="003744C1">
        <w:rPr>
          <w:lang w:val="fr-FR"/>
        </w:rPr>
        <w:t xml:space="preserve">18).  </w:t>
      </w:r>
      <w:r w:rsidR="00933EE1" w:rsidRPr="003744C1">
        <w:rPr>
          <w:lang w:val="fr-FR"/>
        </w:rPr>
        <w:t>Il réunit maintenant trois</w:t>
      </w:r>
      <w:r w:rsidR="00CB19EE">
        <w:rPr>
          <w:lang w:val="fr-FR"/>
        </w:rPr>
        <w:t> </w:t>
      </w:r>
      <w:r w:rsidR="00933EE1" w:rsidRPr="003744C1">
        <w:rPr>
          <w:lang w:val="fr-FR"/>
        </w:rPr>
        <w:t>offices récepteurs qui ont choisi</w:t>
      </w:r>
      <w:r w:rsidR="001C63CD" w:rsidRPr="003744C1">
        <w:rPr>
          <w:lang w:val="fr-FR"/>
        </w:rPr>
        <w:t xml:space="preserve"> le</w:t>
      </w:r>
      <w:r w:rsidR="001C63CD">
        <w:rPr>
          <w:lang w:val="fr-FR"/>
        </w:rPr>
        <w:t> </w:t>
      </w:r>
      <w:r w:rsidR="001C63CD" w:rsidRPr="003744C1">
        <w:rPr>
          <w:lang w:val="fr-FR"/>
        </w:rPr>
        <w:t>JPO</w:t>
      </w:r>
      <w:r w:rsidR="00933EE1" w:rsidRPr="003744C1">
        <w:rPr>
          <w:lang w:val="fr-FR"/>
        </w:rPr>
        <w:t xml:space="preserve"> comme administration compéten</w:t>
      </w:r>
      <w:r w:rsidR="005C097F" w:rsidRPr="003744C1">
        <w:rPr>
          <w:lang w:val="fr-FR"/>
        </w:rPr>
        <w:t>te</w:t>
      </w:r>
      <w:r w:rsidR="005C097F">
        <w:rPr>
          <w:lang w:val="fr-FR"/>
        </w:rPr>
        <w:t xml:space="preserve">.  </w:t>
      </w:r>
      <w:r w:rsidR="005C097F" w:rsidRPr="003744C1">
        <w:rPr>
          <w:lang w:val="fr-FR"/>
        </w:rPr>
        <w:t>D</w:t>
      </w:r>
      <w:r w:rsidR="005C097F">
        <w:rPr>
          <w:lang w:val="fr-FR"/>
        </w:rPr>
        <w:t>’</w:t>
      </w:r>
      <w:r w:rsidR="005C097F" w:rsidRPr="003744C1">
        <w:rPr>
          <w:lang w:val="fr-FR"/>
        </w:rPr>
        <w:t>a</w:t>
      </w:r>
      <w:r w:rsidR="00933EE1" w:rsidRPr="003744C1">
        <w:rPr>
          <w:lang w:val="fr-FR"/>
        </w:rPr>
        <w:t>utres offices récepteurs ayant désigné</w:t>
      </w:r>
      <w:r w:rsidR="001C63CD" w:rsidRPr="003744C1">
        <w:rPr>
          <w:lang w:val="fr-FR"/>
        </w:rPr>
        <w:t xml:space="preserve"> le</w:t>
      </w:r>
      <w:r w:rsidR="001C63CD">
        <w:rPr>
          <w:lang w:val="fr-FR"/>
        </w:rPr>
        <w:t> </w:t>
      </w:r>
      <w:r w:rsidR="001C63CD" w:rsidRPr="003744C1">
        <w:rPr>
          <w:lang w:val="fr-FR"/>
        </w:rPr>
        <w:t>JPO</w:t>
      </w:r>
      <w:r w:rsidR="00933EE1" w:rsidRPr="003744C1">
        <w:rPr>
          <w:lang w:val="fr-FR"/>
        </w:rPr>
        <w:t xml:space="preserve"> comme administration compétente ont été invités à </w:t>
      </w:r>
      <w:r w:rsidR="00933EE1" w:rsidRPr="003744C1">
        <w:rPr>
          <w:lang w:val="fr-FR"/>
        </w:rPr>
        <w:lastRenderedPageBreak/>
        <w:t xml:space="preserve">participer au projet pilote, et tous les autres offices récepteurs seront invités à participer </w:t>
      </w:r>
      <w:r w:rsidR="001C63CD" w:rsidRPr="003744C1">
        <w:rPr>
          <w:lang w:val="fr-FR"/>
        </w:rPr>
        <w:t>en</w:t>
      </w:r>
      <w:r w:rsidR="001C63CD">
        <w:rPr>
          <w:lang w:val="fr-FR"/>
        </w:rPr>
        <w:t> </w:t>
      </w:r>
      <w:r w:rsidR="001C63CD" w:rsidRPr="003744C1">
        <w:rPr>
          <w:lang w:val="fr-FR"/>
        </w:rPr>
        <w:t>2019</w:t>
      </w:r>
      <w:r w:rsidR="00933EE1" w:rsidRPr="003744C1">
        <w:rPr>
          <w:lang w:val="fr-FR"/>
        </w:rPr>
        <w:t>.</w:t>
      </w:r>
    </w:p>
    <w:p w14:paraId="69F6F1E1" w14:textId="1FC2C8BD" w:rsidR="007050D3" w:rsidRPr="003744C1" w:rsidRDefault="00856100" w:rsidP="00157BF0">
      <w:pPr>
        <w:pStyle w:val="ONUMFS"/>
        <w:rPr>
          <w:lang w:val="fr-FR"/>
        </w:rPr>
      </w:pPr>
      <w:r w:rsidRPr="003744C1">
        <w:rPr>
          <w:lang w:val="fr-FR"/>
        </w:rPr>
        <w:t>Un projet pilote avec l</w:t>
      </w:r>
      <w:r w:rsidR="001C63CD">
        <w:rPr>
          <w:lang w:val="fr-FR"/>
        </w:rPr>
        <w:t>’</w:t>
      </w:r>
      <w:r w:rsidRPr="003744C1">
        <w:rPr>
          <w:lang w:val="fr-FR"/>
        </w:rPr>
        <w:t>Office autrichien des brevets, en tant qu</w:t>
      </w:r>
      <w:r w:rsidR="001C63CD">
        <w:rPr>
          <w:lang w:val="fr-FR"/>
        </w:rPr>
        <w:t>’</w:t>
      </w:r>
      <w:r w:rsidRPr="003744C1">
        <w:rPr>
          <w:lang w:val="fr-FR"/>
        </w:rPr>
        <w:t>administration chargée de la recherche internationale, a été lancé le</w:t>
      </w:r>
      <w:r w:rsidR="001C63CD">
        <w:rPr>
          <w:lang w:val="fr-FR"/>
        </w:rPr>
        <w:t xml:space="preserve"> 1</w:t>
      </w:r>
      <w:r w:rsidR="001C63CD" w:rsidRPr="001C63CD">
        <w:rPr>
          <w:vertAlign w:val="superscript"/>
          <w:lang w:val="fr-FR"/>
        </w:rPr>
        <w:t>er</w:t>
      </w:r>
      <w:r w:rsidR="001C63CD">
        <w:rPr>
          <w:lang w:val="fr-FR"/>
        </w:rPr>
        <w:t> </w:t>
      </w:r>
      <w:r w:rsidR="001C63CD" w:rsidRPr="003744C1">
        <w:rPr>
          <w:lang w:val="fr-FR"/>
        </w:rPr>
        <w:t>août</w:t>
      </w:r>
      <w:r w:rsidR="001C63CD">
        <w:rPr>
          <w:lang w:val="fr-FR"/>
        </w:rPr>
        <w:t> </w:t>
      </w:r>
      <w:r w:rsidR="001C63CD" w:rsidRPr="003744C1">
        <w:rPr>
          <w:lang w:val="fr-FR"/>
        </w:rPr>
        <w:t>20</w:t>
      </w:r>
      <w:r w:rsidRPr="003744C1">
        <w:rPr>
          <w:lang w:val="fr-FR"/>
        </w:rPr>
        <w:t xml:space="preserve">18 (compensation en </w:t>
      </w:r>
      <w:r w:rsidR="001C63CD" w:rsidRPr="003744C1">
        <w:rPr>
          <w:lang w:val="fr-FR"/>
        </w:rPr>
        <w:t>septembre</w:t>
      </w:r>
      <w:r w:rsidR="001C63CD">
        <w:rPr>
          <w:lang w:val="fr-FR"/>
        </w:rPr>
        <w:t> </w:t>
      </w:r>
      <w:r w:rsidR="001C63CD" w:rsidRPr="003744C1">
        <w:rPr>
          <w:lang w:val="fr-FR"/>
        </w:rPr>
        <w:t>20</w:t>
      </w:r>
      <w:r w:rsidRPr="003744C1">
        <w:rPr>
          <w:lang w:val="fr-FR"/>
        </w:rPr>
        <w:t>18),</w:t>
      </w:r>
      <w:r w:rsidR="00A502F2" w:rsidRPr="003744C1">
        <w:rPr>
          <w:lang w:val="fr-FR"/>
        </w:rPr>
        <w:t xml:space="preserve"> et compte maintenant deux</w:t>
      </w:r>
      <w:r w:rsidR="00CB19EE">
        <w:rPr>
          <w:lang w:val="fr-FR"/>
        </w:rPr>
        <w:t> </w:t>
      </w:r>
      <w:r w:rsidR="00A502F2" w:rsidRPr="003744C1">
        <w:rPr>
          <w:lang w:val="fr-FR"/>
        </w:rPr>
        <w:t>offices récepteurs ayant désigné l</w:t>
      </w:r>
      <w:r w:rsidR="001C63CD">
        <w:rPr>
          <w:lang w:val="fr-FR"/>
        </w:rPr>
        <w:t>’</w:t>
      </w:r>
      <w:r w:rsidR="00A502F2" w:rsidRPr="003744C1">
        <w:rPr>
          <w:lang w:val="fr-FR"/>
        </w:rPr>
        <w:t>Office autrichien des brevets</w:t>
      </w:r>
      <w:r w:rsidRPr="003744C1">
        <w:rPr>
          <w:lang w:val="fr-FR"/>
        </w:rPr>
        <w:t xml:space="preserve"> </w:t>
      </w:r>
      <w:r w:rsidR="00A502F2" w:rsidRPr="003744C1">
        <w:rPr>
          <w:lang w:val="fr-FR"/>
        </w:rPr>
        <w:t>comme administration compéten</w:t>
      </w:r>
      <w:r w:rsidR="005C097F" w:rsidRPr="003744C1">
        <w:rPr>
          <w:lang w:val="fr-FR"/>
        </w:rPr>
        <w:t>te</w:t>
      </w:r>
      <w:r w:rsidR="005C097F">
        <w:rPr>
          <w:lang w:val="fr-FR"/>
        </w:rPr>
        <w:t xml:space="preserve">.  </w:t>
      </w:r>
      <w:r w:rsidR="005C097F" w:rsidRPr="003744C1">
        <w:rPr>
          <w:lang w:val="fr-FR"/>
        </w:rPr>
        <w:t>D</w:t>
      </w:r>
      <w:r w:rsidR="005C097F">
        <w:rPr>
          <w:lang w:val="fr-FR"/>
        </w:rPr>
        <w:t>’</w:t>
      </w:r>
      <w:r w:rsidR="005C097F" w:rsidRPr="003744C1">
        <w:rPr>
          <w:lang w:val="fr-FR"/>
        </w:rPr>
        <w:t>a</w:t>
      </w:r>
      <w:r w:rsidR="00241F71" w:rsidRPr="003744C1">
        <w:rPr>
          <w:lang w:val="fr-FR"/>
        </w:rPr>
        <w:t>utres offices récepteurs ont maintenant été invités, et tous les autres offices récepteurs s</w:t>
      </w:r>
      <w:r w:rsidR="00921138" w:rsidRPr="003744C1">
        <w:rPr>
          <w:lang w:val="fr-FR"/>
        </w:rPr>
        <w:t>er</w:t>
      </w:r>
      <w:r w:rsidR="00241F71" w:rsidRPr="003744C1">
        <w:rPr>
          <w:lang w:val="fr-FR"/>
        </w:rPr>
        <w:t xml:space="preserve">ont invités à participer </w:t>
      </w:r>
      <w:r w:rsidR="001C63CD" w:rsidRPr="003744C1">
        <w:rPr>
          <w:lang w:val="fr-FR"/>
        </w:rPr>
        <w:t>en</w:t>
      </w:r>
      <w:r w:rsidR="001C63CD">
        <w:rPr>
          <w:lang w:val="fr-FR"/>
        </w:rPr>
        <w:t> </w:t>
      </w:r>
      <w:r w:rsidR="001C63CD" w:rsidRPr="003744C1">
        <w:rPr>
          <w:lang w:val="fr-FR"/>
        </w:rPr>
        <w:t>2019</w:t>
      </w:r>
      <w:r w:rsidR="00241F71" w:rsidRPr="003744C1">
        <w:rPr>
          <w:lang w:val="fr-FR"/>
        </w:rPr>
        <w:t>.</w:t>
      </w:r>
    </w:p>
    <w:p w14:paraId="41AA2DB7" w14:textId="6320CFB8" w:rsidR="007050D3" w:rsidRDefault="00157BF0" w:rsidP="00157BF0">
      <w:pPr>
        <w:pStyle w:val="Heading2"/>
        <w:rPr>
          <w:lang w:val="fr-FR"/>
        </w:rPr>
      </w:pPr>
      <w:r w:rsidRPr="003744C1">
        <w:rPr>
          <w:lang w:val="fr-FR"/>
        </w:rPr>
        <w:t>État d</w:t>
      </w:r>
      <w:r w:rsidR="001C63CD">
        <w:rPr>
          <w:lang w:val="fr-FR"/>
        </w:rPr>
        <w:t>’</w:t>
      </w:r>
      <w:r w:rsidRPr="003744C1">
        <w:rPr>
          <w:lang w:val="fr-FR"/>
        </w:rPr>
        <w:t>avancement des discussions relatives à la participation d</w:t>
      </w:r>
      <w:r w:rsidR="001C63CD">
        <w:rPr>
          <w:lang w:val="fr-FR"/>
        </w:rPr>
        <w:t>’</w:t>
      </w:r>
      <w:r w:rsidRPr="003744C1">
        <w:rPr>
          <w:lang w:val="fr-FR"/>
        </w:rPr>
        <w:t>autres administrations chargées de la recherche internationale</w:t>
      </w:r>
    </w:p>
    <w:p w14:paraId="2184A6F2" w14:textId="77777777" w:rsidR="00157BF0" w:rsidRPr="00157BF0" w:rsidRDefault="00157BF0" w:rsidP="00157BF0">
      <w:pPr>
        <w:rPr>
          <w:lang w:val="fr-FR"/>
        </w:rPr>
      </w:pPr>
    </w:p>
    <w:p w14:paraId="3A0E7FF8" w14:textId="7756DDF0" w:rsidR="001C63CD" w:rsidRDefault="00303A54" w:rsidP="00157BF0">
      <w:pPr>
        <w:pStyle w:val="ONUMFS"/>
        <w:rPr>
          <w:lang w:val="fr-FR"/>
        </w:rPr>
      </w:pPr>
      <w:r w:rsidRPr="003744C1">
        <w:rPr>
          <w:lang w:val="fr-FR"/>
        </w:rPr>
        <w:t>Le Bureau international discute actuellement avec l</w:t>
      </w:r>
      <w:r w:rsidR="001C63CD">
        <w:rPr>
          <w:lang w:val="fr-FR"/>
        </w:rPr>
        <w:t>’</w:t>
      </w:r>
      <w:r w:rsidRPr="003744C1">
        <w:rPr>
          <w:lang w:val="fr-FR"/>
        </w:rPr>
        <w:t>Office coréen de la propriété intellectuelle (KIPO) de sa participation éventuelle au projet pilote en tant qu</w:t>
      </w:r>
      <w:r w:rsidR="001C63CD">
        <w:rPr>
          <w:lang w:val="fr-FR"/>
        </w:rPr>
        <w:t>’</w:t>
      </w:r>
      <w:r w:rsidRPr="003744C1">
        <w:rPr>
          <w:lang w:val="fr-FR"/>
        </w:rPr>
        <w:t>administration chargée de la recherche internationa</w:t>
      </w:r>
      <w:r w:rsidR="005C097F" w:rsidRPr="003744C1">
        <w:rPr>
          <w:lang w:val="fr-FR"/>
        </w:rPr>
        <w:t>le</w:t>
      </w:r>
      <w:r w:rsidR="005C097F">
        <w:rPr>
          <w:lang w:val="fr-FR"/>
        </w:rPr>
        <w:t xml:space="preserve">.  </w:t>
      </w:r>
      <w:r w:rsidR="005C097F" w:rsidRPr="003744C1">
        <w:rPr>
          <w:lang w:val="fr-FR"/>
        </w:rPr>
        <w:t>Le</w:t>
      </w:r>
      <w:r w:rsidRPr="003744C1">
        <w:rPr>
          <w:lang w:val="fr-FR"/>
        </w:rPr>
        <w:t xml:space="preserve"> won coréen n</w:t>
      </w:r>
      <w:r w:rsidR="001C63CD">
        <w:rPr>
          <w:lang w:val="fr-FR"/>
        </w:rPr>
        <w:t>’</w:t>
      </w:r>
      <w:r w:rsidRPr="003744C1">
        <w:rPr>
          <w:lang w:val="fr-FR"/>
        </w:rPr>
        <w:t xml:space="preserve">étant pas considéré comme une monnaie convertible, le Bureau international a conclu des arrangements avec ses banques pour acquérir suffisamment de wons coréens à un taux de change favorable dès </w:t>
      </w:r>
      <w:r w:rsidR="00700B45" w:rsidRPr="003744C1">
        <w:rPr>
          <w:lang w:val="fr-FR"/>
        </w:rPr>
        <w:t>le démarrage du projet pilo</w:t>
      </w:r>
      <w:r w:rsidR="005C097F" w:rsidRPr="003744C1">
        <w:rPr>
          <w:lang w:val="fr-FR"/>
        </w:rPr>
        <w:t>te</w:t>
      </w:r>
      <w:r w:rsidR="005C097F">
        <w:rPr>
          <w:lang w:val="fr-FR"/>
        </w:rPr>
        <w:t xml:space="preserve">.  </w:t>
      </w:r>
      <w:r w:rsidR="005C097F" w:rsidRPr="003744C1">
        <w:rPr>
          <w:lang w:val="fr-FR"/>
        </w:rPr>
        <w:t>Ce</w:t>
      </w:r>
      <w:r w:rsidR="00700B45" w:rsidRPr="003744C1">
        <w:rPr>
          <w:lang w:val="fr-FR"/>
        </w:rPr>
        <w:t>tte démarche devrait permettre de réduire considérablement l</w:t>
      </w:r>
      <w:r w:rsidR="001C63CD">
        <w:rPr>
          <w:lang w:val="fr-FR"/>
        </w:rPr>
        <w:t>’</w:t>
      </w:r>
      <w:r w:rsidR="00700B45" w:rsidRPr="003744C1">
        <w:rPr>
          <w:lang w:val="fr-FR"/>
        </w:rPr>
        <w:t xml:space="preserve">exposition du Bureau international au risque de change visé à la </w:t>
      </w:r>
      <w:r w:rsidR="001C63CD" w:rsidRPr="003744C1">
        <w:rPr>
          <w:lang w:val="fr-FR"/>
        </w:rPr>
        <w:t>règle</w:t>
      </w:r>
      <w:r w:rsidR="001C63CD">
        <w:rPr>
          <w:lang w:val="fr-FR"/>
        </w:rPr>
        <w:t> </w:t>
      </w:r>
      <w:r w:rsidR="001C63CD" w:rsidRPr="003744C1">
        <w:rPr>
          <w:lang w:val="fr-FR"/>
        </w:rPr>
        <w:t>1</w:t>
      </w:r>
      <w:r w:rsidR="00700B45" w:rsidRPr="003744C1">
        <w:rPr>
          <w:lang w:val="fr-FR"/>
        </w:rPr>
        <w:t>6.1.e) du règlement d</w:t>
      </w:r>
      <w:r w:rsidR="001C63CD">
        <w:rPr>
          <w:lang w:val="fr-FR"/>
        </w:rPr>
        <w:t>’</w:t>
      </w:r>
      <w:r w:rsidR="00700B45" w:rsidRPr="003744C1">
        <w:rPr>
          <w:lang w:val="fr-FR"/>
        </w:rPr>
        <w:t>exécution</w:t>
      </w:r>
      <w:r w:rsidR="001C63CD" w:rsidRPr="003744C1">
        <w:rPr>
          <w:lang w:val="fr-FR"/>
        </w:rPr>
        <w:t xml:space="preserve"> du</w:t>
      </w:r>
      <w:r w:rsidR="001C63CD">
        <w:rPr>
          <w:lang w:val="fr-FR"/>
        </w:rPr>
        <w:t> </w:t>
      </w:r>
      <w:r w:rsidR="005C097F" w:rsidRPr="003744C1">
        <w:rPr>
          <w:lang w:val="fr-FR"/>
        </w:rPr>
        <w:t>PCT</w:t>
      </w:r>
      <w:r w:rsidR="005C097F">
        <w:rPr>
          <w:lang w:val="fr-FR"/>
        </w:rPr>
        <w:t xml:space="preserve">.  </w:t>
      </w:r>
      <w:r w:rsidR="005C097F" w:rsidRPr="003744C1">
        <w:rPr>
          <w:lang w:val="fr-FR"/>
        </w:rPr>
        <w:t>El</w:t>
      </w:r>
      <w:r w:rsidR="003D3B69" w:rsidRPr="003744C1">
        <w:rPr>
          <w:lang w:val="fr-FR"/>
        </w:rPr>
        <w:t>le devrait également permettre de réduire</w:t>
      </w:r>
      <w:r w:rsidR="00BC3F10" w:rsidRPr="003744C1">
        <w:rPr>
          <w:lang w:val="fr-FR"/>
        </w:rPr>
        <w:t>, pour</w:t>
      </w:r>
      <w:r w:rsidR="001C63CD" w:rsidRPr="003744C1">
        <w:rPr>
          <w:lang w:val="fr-FR"/>
        </w:rPr>
        <w:t xml:space="preserve"> le</w:t>
      </w:r>
      <w:r w:rsidR="001C63CD">
        <w:rPr>
          <w:lang w:val="fr-FR"/>
        </w:rPr>
        <w:t> </w:t>
      </w:r>
      <w:r w:rsidR="001C63CD" w:rsidRPr="003744C1">
        <w:rPr>
          <w:lang w:val="fr-FR"/>
        </w:rPr>
        <w:t>KIP</w:t>
      </w:r>
      <w:r w:rsidR="00BC3F10" w:rsidRPr="003744C1">
        <w:rPr>
          <w:lang w:val="fr-FR"/>
        </w:rPr>
        <w:t>O, le travail nécessaire</w:t>
      </w:r>
      <w:r w:rsidR="003D3B69" w:rsidRPr="003744C1">
        <w:rPr>
          <w:lang w:val="fr-FR"/>
        </w:rPr>
        <w:t xml:space="preserve"> pour établir une demande relative </w:t>
      </w:r>
      <w:r w:rsidR="00BC3F10" w:rsidRPr="003744C1">
        <w:rPr>
          <w:lang w:val="fr-FR"/>
        </w:rPr>
        <w:t>à des</w:t>
      </w:r>
      <w:r w:rsidR="003D3B69" w:rsidRPr="003744C1">
        <w:rPr>
          <w:lang w:val="fr-FR"/>
        </w:rPr>
        <w:t xml:space="preserve"> pertes ou gains</w:t>
      </w:r>
      <w:r w:rsidR="00BC3F10" w:rsidRPr="003744C1">
        <w:rPr>
          <w:lang w:val="fr-FR"/>
        </w:rPr>
        <w:t xml:space="preserve"> de change</w:t>
      </w:r>
      <w:r w:rsidR="003D3B69" w:rsidRPr="003744C1">
        <w:rPr>
          <w:lang w:val="fr-FR"/>
        </w:rPr>
        <w:t xml:space="preserve"> découlant de la variation des taux</w:t>
      </w:r>
      <w:r w:rsidR="00BC3F10" w:rsidRPr="003744C1">
        <w:rPr>
          <w:lang w:val="fr-FR"/>
        </w:rPr>
        <w:t xml:space="preserve"> et, pour le Bureau international, le travail nécessaire à l</w:t>
      </w:r>
      <w:r w:rsidR="001C63CD">
        <w:rPr>
          <w:lang w:val="fr-FR"/>
        </w:rPr>
        <w:t>’</w:t>
      </w:r>
      <w:r w:rsidR="00BC3F10" w:rsidRPr="003744C1">
        <w:rPr>
          <w:lang w:val="fr-FR"/>
        </w:rPr>
        <w:t>examen et au traitement d</w:t>
      </w:r>
      <w:r w:rsidR="001C63CD">
        <w:rPr>
          <w:lang w:val="fr-FR"/>
        </w:rPr>
        <w:t>’</w:t>
      </w:r>
      <w:r w:rsidR="00BC3F10" w:rsidRPr="003744C1">
        <w:rPr>
          <w:lang w:val="fr-FR"/>
        </w:rPr>
        <w:t>une telle demande.</w:t>
      </w:r>
    </w:p>
    <w:p w14:paraId="34F560FE" w14:textId="474278C7" w:rsidR="007050D3" w:rsidRPr="003744C1" w:rsidRDefault="00BC3F10" w:rsidP="00157BF0">
      <w:pPr>
        <w:pStyle w:val="ONUMFS"/>
        <w:rPr>
          <w:lang w:val="fr-FR"/>
        </w:rPr>
      </w:pPr>
      <w:r w:rsidRPr="003744C1">
        <w:rPr>
          <w:lang w:val="fr-FR"/>
        </w:rPr>
        <w:t>En outre, le Bureau international travaille à la mise au point d</w:t>
      </w:r>
      <w:r w:rsidR="001C63CD">
        <w:rPr>
          <w:lang w:val="fr-FR"/>
        </w:rPr>
        <w:t>’</w:t>
      </w:r>
      <w:r w:rsidRPr="003744C1">
        <w:rPr>
          <w:lang w:val="fr-FR"/>
        </w:rPr>
        <w:t>arrangements en vue d</w:t>
      </w:r>
      <w:r w:rsidR="001C63CD">
        <w:rPr>
          <w:lang w:val="fr-FR"/>
        </w:rPr>
        <w:t>’</w:t>
      </w:r>
      <w:r w:rsidRPr="003744C1">
        <w:rPr>
          <w:lang w:val="fr-FR"/>
        </w:rPr>
        <w:t>étendre le projet pilote à l</w:t>
      </w:r>
      <w:r w:rsidR="001C63CD">
        <w:rPr>
          <w:lang w:val="fr-FR"/>
        </w:rPr>
        <w:t>’</w:t>
      </w:r>
      <w:r w:rsidRPr="003744C1">
        <w:rPr>
          <w:lang w:val="fr-FR"/>
        </w:rPr>
        <w:t>USPTO, à l</w:t>
      </w:r>
      <w:r w:rsidR="001C63CD">
        <w:rPr>
          <w:lang w:val="fr-FR"/>
        </w:rPr>
        <w:t>’</w:t>
      </w:r>
      <w:r w:rsidRPr="003744C1">
        <w:rPr>
          <w:lang w:val="fr-FR"/>
        </w:rPr>
        <w:t>Administration nationale de la propriété intellectuelle de la Chine (CNIPA) et au Service fédéral pour la propriété intellectuelle de la Fédération de Russie (ROSPATENT)</w:t>
      </w:r>
      <w:r w:rsidR="00DF10D4" w:rsidRPr="003744C1">
        <w:rPr>
          <w:lang w:val="fr-FR"/>
        </w:rPr>
        <w:t>,</w:t>
      </w:r>
      <w:r w:rsidRPr="003744C1">
        <w:rPr>
          <w:lang w:val="fr-FR"/>
        </w:rPr>
        <w:t xml:space="preserve"> en qualité d</w:t>
      </w:r>
      <w:r w:rsidR="001C63CD">
        <w:rPr>
          <w:lang w:val="fr-FR"/>
        </w:rPr>
        <w:t>’</w:t>
      </w:r>
      <w:r w:rsidRPr="003744C1">
        <w:rPr>
          <w:lang w:val="fr-FR"/>
        </w:rPr>
        <w:t xml:space="preserve">administrations chargées de la recherche internationale.  </w:t>
      </w:r>
      <w:r w:rsidR="00540F0A" w:rsidRPr="003744C1">
        <w:rPr>
          <w:lang w:val="fr-FR"/>
        </w:rPr>
        <w:t xml:space="preserve">Il sera tenu compte dans ces arrangements des besoins particuliers de ces offices, tant </w:t>
      </w:r>
      <w:r w:rsidR="00583A26" w:rsidRPr="003744C1">
        <w:rPr>
          <w:lang w:val="fr-FR"/>
        </w:rPr>
        <w:t xml:space="preserve">à titre </w:t>
      </w:r>
      <w:r w:rsidR="00540F0A" w:rsidRPr="003744C1">
        <w:rPr>
          <w:lang w:val="fr-FR"/>
        </w:rPr>
        <w:t>d</w:t>
      </w:r>
      <w:r w:rsidR="001C63CD">
        <w:rPr>
          <w:lang w:val="fr-FR"/>
        </w:rPr>
        <w:t>’</w:t>
      </w:r>
      <w:r w:rsidR="00540F0A" w:rsidRPr="003744C1">
        <w:rPr>
          <w:lang w:val="fr-FR"/>
        </w:rPr>
        <w:t>administrations chargées de la recherche internationale que d</w:t>
      </w:r>
      <w:r w:rsidR="001C63CD">
        <w:rPr>
          <w:lang w:val="fr-FR"/>
        </w:rPr>
        <w:t>’</w:t>
      </w:r>
      <w:r w:rsidR="00540F0A" w:rsidRPr="003744C1">
        <w:rPr>
          <w:lang w:val="fr-FR"/>
        </w:rPr>
        <w:t xml:space="preserve">offices récepteurs, ainsi que des restrictions </w:t>
      </w:r>
      <w:r w:rsidR="002913AE" w:rsidRPr="003744C1">
        <w:rPr>
          <w:lang w:val="fr-FR"/>
        </w:rPr>
        <w:t>de change</w:t>
      </w:r>
      <w:r w:rsidR="00540F0A" w:rsidRPr="003744C1">
        <w:rPr>
          <w:lang w:val="fr-FR"/>
        </w:rPr>
        <w:t xml:space="preserve"> et du type de taxes internationales administrées par chaque office.</w:t>
      </w:r>
    </w:p>
    <w:p w14:paraId="4496BD73" w14:textId="5F60F1CA" w:rsidR="007050D3" w:rsidRPr="003744C1" w:rsidRDefault="0018274E" w:rsidP="00157BF0">
      <w:pPr>
        <w:pStyle w:val="ONUMFS"/>
        <w:rPr>
          <w:lang w:val="fr-FR"/>
        </w:rPr>
      </w:pPr>
      <w:r w:rsidRPr="003744C1">
        <w:rPr>
          <w:lang w:val="fr-FR"/>
        </w:rPr>
        <w:t>L</w:t>
      </w:r>
      <w:r w:rsidR="001C63CD">
        <w:rPr>
          <w:lang w:val="fr-FR"/>
        </w:rPr>
        <w:t>’</w:t>
      </w:r>
      <w:r w:rsidR="00144DC3" w:rsidRPr="003744C1">
        <w:rPr>
          <w:lang w:val="fr-FR"/>
        </w:rPr>
        <w:t>Office suédois des brevets et de l</w:t>
      </w:r>
      <w:r w:rsidR="001C63CD">
        <w:rPr>
          <w:lang w:val="fr-FR"/>
        </w:rPr>
        <w:t>’</w:t>
      </w:r>
      <w:r w:rsidR="00144DC3" w:rsidRPr="003744C1">
        <w:rPr>
          <w:lang w:val="fr-FR"/>
        </w:rPr>
        <w:t>enregistrement et</w:t>
      </w:r>
      <w:r w:rsidRPr="003744C1">
        <w:rPr>
          <w:lang w:val="fr-FR"/>
        </w:rPr>
        <w:t xml:space="preserve"> </w:t>
      </w:r>
      <w:r w:rsidR="00144DC3" w:rsidRPr="003744C1">
        <w:rPr>
          <w:lang w:val="fr-FR"/>
        </w:rPr>
        <w:t>l</w:t>
      </w:r>
      <w:r w:rsidR="001C63CD">
        <w:rPr>
          <w:lang w:val="fr-FR"/>
        </w:rPr>
        <w:t>’</w:t>
      </w:r>
      <w:r w:rsidR="00144DC3" w:rsidRPr="003744C1">
        <w:rPr>
          <w:lang w:val="fr-FR"/>
        </w:rPr>
        <w:t>Office de la propriété intellectuelle des Philippines</w:t>
      </w:r>
      <w:r w:rsidRPr="003744C1">
        <w:rPr>
          <w:lang w:val="fr-FR"/>
        </w:rPr>
        <w:t xml:space="preserve"> étudient actuellement des propositions qui leur ont été présentées</w:t>
      </w:r>
      <w:r w:rsidR="00DE7BED" w:rsidRPr="003744C1">
        <w:rPr>
          <w:lang w:val="fr-FR"/>
        </w:rPr>
        <w:t>,</w:t>
      </w:r>
      <w:r w:rsidR="00664338" w:rsidRPr="003744C1">
        <w:rPr>
          <w:lang w:val="fr-FR"/>
        </w:rPr>
        <w:t xml:space="preserve"> </w:t>
      </w:r>
      <w:r w:rsidRPr="003744C1">
        <w:rPr>
          <w:lang w:val="fr-FR"/>
        </w:rPr>
        <w:t>et d</w:t>
      </w:r>
      <w:r w:rsidR="001C63CD">
        <w:rPr>
          <w:lang w:val="fr-FR"/>
        </w:rPr>
        <w:t>’</w:t>
      </w:r>
      <w:r w:rsidRPr="003744C1">
        <w:rPr>
          <w:lang w:val="fr-FR"/>
        </w:rPr>
        <w:t xml:space="preserve">autres administrations chargées de la recherche internationale ayant manifesté leur intérêt pour le projet pilote seront invitées à participer </w:t>
      </w:r>
      <w:r w:rsidR="001C63CD" w:rsidRPr="003744C1">
        <w:rPr>
          <w:lang w:val="fr-FR"/>
        </w:rPr>
        <w:t>en</w:t>
      </w:r>
      <w:r w:rsidR="001C63CD">
        <w:rPr>
          <w:lang w:val="fr-FR"/>
        </w:rPr>
        <w:t> </w:t>
      </w:r>
      <w:r w:rsidR="001C63CD" w:rsidRPr="003744C1">
        <w:rPr>
          <w:lang w:val="fr-FR"/>
        </w:rPr>
        <w:t>2019</w:t>
      </w:r>
      <w:r w:rsidRPr="003744C1">
        <w:rPr>
          <w:lang w:val="fr-FR"/>
        </w:rPr>
        <w:t>.</w:t>
      </w:r>
    </w:p>
    <w:p w14:paraId="65EEC210" w14:textId="21FCF143" w:rsidR="007050D3" w:rsidRDefault="00157BF0" w:rsidP="00157BF0">
      <w:pPr>
        <w:pStyle w:val="Heading2"/>
        <w:rPr>
          <w:lang w:val="fr-FR"/>
        </w:rPr>
      </w:pPr>
      <w:r w:rsidRPr="003744C1">
        <w:rPr>
          <w:lang w:val="fr-FR"/>
        </w:rPr>
        <w:t>Participation des offices récepteurs</w:t>
      </w:r>
    </w:p>
    <w:p w14:paraId="7FC04F4F" w14:textId="77777777" w:rsidR="00157BF0" w:rsidRPr="00157BF0" w:rsidRDefault="00157BF0" w:rsidP="00157BF0">
      <w:pPr>
        <w:rPr>
          <w:lang w:val="fr-FR"/>
        </w:rPr>
      </w:pPr>
    </w:p>
    <w:p w14:paraId="3F8BE3E6" w14:textId="3B3B11D6" w:rsidR="007050D3" w:rsidRPr="003744C1" w:rsidRDefault="007863AE" w:rsidP="00157BF0">
      <w:pPr>
        <w:pStyle w:val="ONUMFS"/>
        <w:rPr>
          <w:lang w:val="fr-FR"/>
        </w:rPr>
      </w:pPr>
      <w:r w:rsidRPr="003744C1">
        <w:rPr>
          <w:lang w:val="fr-FR"/>
        </w:rPr>
        <w:t>À la fin d</w:t>
      </w:r>
      <w:r w:rsidR="001C63CD">
        <w:rPr>
          <w:lang w:val="fr-FR"/>
        </w:rPr>
        <w:t>’</w:t>
      </w:r>
      <w:r w:rsidR="001C63CD" w:rsidRPr="003744C1">
        <w:rPr>
          <w:lang w:val="fr-FR"/>
        </w:rPr>
        <w:t>avril</w:t>
      </w:r>
      <w:r w:rsidR="001C63CD">
        <w:rPr>
          <w:lang w:val="fr-FR"/>
        </w:rPr>
        <w:t> </w:t>
      </w:r>
      <w:r w:rsidR="001C63CD" w:rsidRPr="003744C1">
        <w:rPr>
          <w:lang w:val="fr-FR"/>
        </w:rPr>
        <w:t>20</w:t>
      </w:r>
      <w:r w:rsidRPr="003744C1">
        <w:rPr>
          <w:lang w:val="fr-FR"/>
        </w:rPr>
        <w:t>19, 34</w:t>
      </w:r>
      <w:r w:rsidR="00FB191E">
        <w:rPr>
          <w:lang w:val="fr-FR"/>
        </w:rPr>
        <w:t> </w:t>
      </w:r>
      <w:r w:rsidRPr="003744C1">
        <w:rPr>
          <w:lang w:val="fr-FR"/>
        </w:rPr>
        <w:t>offices récepteurs ayant déclaré compétentes aux fins de la recherche internationale une ou plusieurs des trois</w:t>
      </w:r>
      <w:r w:rsidR="00CB19EE">
        <w:rPr>
          <w:lang w:val="fr-FR"/>
        </w:rPr>
        <w:t> </w:t>
      </w:r>
      <w:r w:rsidRPr="003744C1">
        <w:rPr>
          <w:lang w:val="fr-FR"/>
        </w:rPr>
        <w:t>administrations participantes s</w:t>
      </w:r>
      <w:r w:rsidR="001C63CD">
        <w:rPr>
          <w:lang w:val="fr-FR"/>
        </w:rPr>
        <w:t>’</w:t>
      </w:r>
      <w:r w:rsidRPr="003744C1">
        <w:rPr>
          <w:lang w:val="fr-FR"/>
        </w:rPr>
        <w:t>étaient joints au projet pilote de compensati</w:t>
      </w:r>
      <w:r w:rsidR="005C097F" w:rsidRPr="003744C1">
        <w:rPr>
          <w:lang w:val="fr-FR"/>
        </w:rPr>
        <w:t>on</w:t>
      </w:r>
      <w:r w:rsidR="005C097F">
        <w:rPr>
          <w:lang w:val="fr-FR"/>
        </w:rPr>
        <w:t xml:space="preserve">.  </w:t>
      </w:r>
      <w:r w:rsidR="005C097F" w:rsidRPr="003744C1">
        <w:rPr>
          <w:lang w:val="fr-FR"/>
        </w:rPr>
        <w:t>Pl</w:t>
      </w:r>
      <w:r w:rsidR="00362CDC" w:rsidRPr="003744C1">
        <w:rPr>
          <w:lang w:val="fr-FR"/>
        </w:rPr>
        <w:t xml:space="preserve">usieurs des offices récepteurs ayant été invités à ce jour à participer au projet pilote de compensation </w:t>
      </w:r>
      <w:r w:rsidR="001C63CD" w:rsidRPr="003744C1">
        <w:rPr>
          <w:lang w:val="fr-FR"/>
        </w:rPr>
        <w:t>en</w:t>
      </w:r>
      <w:r w:rsidR="001C63CD">
        <w:rPr>
          <w:lang w:val="fr-FR"/>
        </w:rPr>
        <w:t> </w:t>
      </w:r>
      <w:r w:rsidR="001C63CD" w:rsidRPr="003744C1">
        <w:rPr>
          <w:lang w:val="fr-FR"/>
        </w:rPr>
        <w:t>2018</w:t>
      </w:r>
      <w:r w:rsidR="00362CDC" w:rsidRPr="003744C1">
        <w:rPr>
          <w:lang w:val="fr-FR"/>
        </w:rPr>
        <w:t xml:space="preserve"> et 2019 ont indiqué qu</w:t>
      </w:r>
      <w:r w:rsidR="001C63CD">
        <w:rPr>
          <w:lang w:val="fr-FR"/>
        </w:rPr>
        <w:t>’</w:t>
      </w:r>
      <w:r w:rsidR="00362CDC" w:rsidRPr="003744C1">
        <w:rPr>
          <w:lang w:val="fr-FR"/>
        </w:rPr>
        <w:t>ils étaient dans l</w:t>
      </w:r>
      <w:r w:rsidR="001C63CD">
        <w:rPr>
          <w:lang w:val="fr-FR"/>
        </w:rPr>
        <w:t>’</w:t>
      </w:r>
      <w:r w:rsidR="00362CDC" w:rsidRPr="003744C1">
        <w:rPr>
          <w:lang w:val="fr-FR"/>
        </w:rPr>
        <w:t>impossibilité d</w:t>
      </w:r>
      <w:r w:rsidR="001C63CD">
        <w:rPr>
          <w:lang w:val="fr-FR"/>
        </w:rPr>
        <w:t>’</w:t>
      </w:r>
      <w:r w:rsidR="00362CDC" w:rsidRPr="003744C1">
        <w:rPr>
          <w:lang w:val="fr-FR"/>
        </w:rPr>
        <w:t>accepter, en raison de règlements internes</w:t>
      </w:r>
      <w:r w:rsidR="00E10EC5" w:rsidRPr="003744C1">
        <w:rPr>
          <w:lang w:val="fr-FR"/>
        </w:rPr>
        <w:t xml:space="preserve"> selon lesquels les paiements doivent être versés directement à l</w:t>
      </w:r>
      <w:r w:rsidR="001C63CD">
        <w:rPr>
          <w:lang w:val="fr-FR"/>
        </w:rPr>
        <w:t>’</w:t>
      </w:r>
      <w:r w:rsidR="00E10EC5" w:rsidRPr="003744C1">
        <w:rPr>
          <w:lang w:val="fr-FR"/>
        </w:rPr>
        <w:t>administration chargée de la recherche internationale compéten</w:t>
      </w:r>
      <w:r w:rsidR="005C097F" w:rsidRPr="003744C1">
        <w:rPr>
          <w:lang w:val="fr-FR"/>
        </w:rPr>
        <w:t>te</w:t>
      </w:r>
      <w:r w:rsidR="005C097F">
        <w:rPr>
          <w:lang w:val="fr-FR"/>
        </w:rPr>
        <w:t xml:space="preserve">.  </w:t>
      </w:r>
      <w:r w:rsidR="005C097F" w:rsidRPr="003744C1">
        <w:rPr>
          <w:lang w:val="fr-FR"/>
        </w:rPr>
        <w:t>Il</w:t>
      </w:r>
      <w:r w:rsidR="00AC6E0A" w:rsidRPr="003744C1">
        <w:rPr>
          <w:lang w:val="fr-FR"/>
        </w:rPr>
        <w:t xml:space="preserve"> est à espérer</w:t>
      </w:r>
      <w:r w:rsidR="0041049C" w:rsidRPr="003744C1">
        <w:rPr>
          <w:lang w:val="fr-FR"/>
        </w:rPr>
        <w:t xml:space="preserve"> que</w:t>
      </w:r>
      <w:r w:rsidR="00AC6E0A" w:rsidRPr="003744C1">
        <w:rPr>
          <w:lang w:val="fr-FR"/>
        </w:rPr>
        <w:t xml:space="preserve"> les modifications du règlement d</w:t>
      </w:r>
      <w:r w:rsidR="001C63CD">
        <w:rPr>
          <w:lang w:val="fr-FR"/>
        </w:rPr>
        <w:t>’</w:t>
      </w:r>
      <w:r w:rsidR="00AC6E0A" w:rsidRPr="003744C1">
        <w:rPr>
          <w:lang w:val="fr-FR"/>
        </w:rPr>
        <w:t>exécution</w:t>
      </w:r>
      <w:r w:rsidR="001C63CD" w:rsidRPr="003744C1">
        <w:rPr>
          <w:lang w:val="fr-FR"/>
        </w:rPr>
        <w:t xml:space="preserve"> du</w:t>
      </w:r>
      <w:r w:rsidR="001C63CD">
        <w:rPr>
          <w:lang w:val="fr-FR"/>
        </w:rPr>
        <w:t> </w:t>
      </w:r>
      <w:r w:rsidR="001C63CD" w:rsidRPr="003744C1">
        <w:rPr>
          <w:lang w:val="fr-FR"/>
        </w:rPr>
        <w:t>PCT</w:t>
      </w:r>
      <w:r w:rsidR="00AC6E0A" w:rsidRPr="003744C1">
        <w:rPr>
          <w:lang w:val="fr-FR"/>
        </w:rPr>
        <w:t xml:space="preserve"> et des instructions administratives proposées dans le document PCT/WG/12/20 permettront de remédier à cette situation.</w:t>
      </w:r>
    </w:p>
    <w:p w14:paraId="74B2CE03" w14:textId="14943444" w:rsidR="007050D3" w:rsidRDefault="007050D3" w:rsidP="00157BF0">
      <w:pPr>
        <w:pStyle w:val="Heading1"/>
        <w:rPr>
          <w:lang w:val="fr-FR"/>
        </w:rPr>
      </w:pPr>
      <w:r w:rsidRPr="00157BF0">
        <w:rPr>
          <w:lang w:val="fr-FR"/>
        </w:rPr>
        <w:lastRenderedPageBreak/>
        <w:t>B</w:t>
      </w:r>
      <w:r w:rsidR="00553FD3" w:rsidRPr="00157BF0">
        <w:rPr>
          <w:lang w:val="fr-FR"/>
        </w:rPr>
        <w:t xml:space="preserve">ilan des avantages </w:t>
      </w:r>
      <w:r w:rsidR="00E409EC" w:rsidRPr="00157BF0">
        <w:rPr>
          <w:lang w:val="fr-FR"/>
        </w:rPr>
        <w:t>réalisés</w:t>
      </w:r>
    </w:p>
    <w:p w14:paraId="14A5C3FC" w14:textId="77777777" w:rsidR="00157BF0" w:rsidRPr="00157BF0" w:rsidRDefault="00157BF0" w:rsidP="00157BF0">
      <w:pPr>
        <w:keepNext/>
        <w:rPr>
          <w:lang w:val="fr-FR"/>
        </w:rPr>
      </w:pPr>
    </w:p>
    <w:p w14:paraId="0A9632AB" w14:textId="6EBC2467" w:rsidR="007050D3" w:rsidRPr="00157BF0" w:rsidRDefault="00553FD3" w:rsidP="00157BF0">
      <w:pPr>
        <w:pStyle w:val="ONUMFS"/>
        <w:rPr>
          <w:lang w:val="fr-FR"/>
        </w:rPr>
      </w:pPr>
      <w:r w:rsidRPr="00157BF0">
        <w:rPr>
          <w:lang w:val="fr-FR"/>
        </w:rPr>
        <w:t xml:space="preserve">Une évaluation officielle des effets du projet pilote de compensation a été effectuée en mars et </w:t>
      </w:r>
      <w:r w:rsidR="001C63CD" w:rsidRPr="00157BF0">
        <w:rPr>
          <w:lang w:val="fr-FR"/>
        </w:rPr>
        <w:t>avril</w:t>
      </w:r>
      <w:r w:rsidR="001C63CD">
        <w:rPr>
          <w:lang w:val="fr-FR"/>
        </w:rPr>
        <w:t> </w:t>
      </w:r>
      <w:r w:rsidR="001C63CD" w:rsidRPr="00157BF0">
        <w:rPr>
          <w:lang w:val="fr-FR"/>
        </w:rPr>
        <w:t>20</w:t>
      </w:r>
      <w:r w:rsidRPr="00157BF0">
        <w:rPr>
          <w:lang w:val="fr-FR"/>
        </w:rPr>
        <w:t>19.</w:t>
      </w:r>
      <w:r w:rsidR="008E0C77" w:rsidRPr="00157BF0">
        <w:rPr>
          <w:lang w:val="fr-FR"/>
        </w:rPr>
        <w:t xml:space="preserve"> </w:t>
      </w:r>
      <w:r w:rsidR="0068382C" w:rsidRPr="00157BF0">
        <w:rPr>
          <w:lang w:val="fr-FR"/>
        </w:rPr>
        <w:t xml:space="preserve"> </w:t>
      </w:r>
      <w:r w:rsidR="008E0C77" w:rsidRPr="00157BF0">
        <w:rPr>
          <w:lang w:val="fr-FR"/>
        </w:rPr>
        <w:t xml:space="preserve">Cette évaluation </w:t>
      </w:r>
      <w:r w:rsidR="00BD20A9" w:rsidRPr="00157BF0">
        <w:rPr>
          <w:lang w:val="fr-FR"/>
        </w:rPr>
        <w:t>était composée</w:t>
      </w:r>
      <w:r w:rsidR="008E0C77" w:rsidRPr="00157BF0">
        <w:rPr>
          <w:lang w:val="fr-FR"/>
        </w:rPr>
        <w:t xml:space="preserve"> d</w:t>
      </w:r>
      <w:r w:rsidR="001C63CD">
        <w:rPr>
          <w:lang w:val="fr-FR"/>
        </w:rPr>
        <w:t>’</w:t>
      </w:r>
      <w:r w:rsidR="008E0C77" w:rsidRPr="00157BF0">
        <w:rPr>
          <w:lang w:val="fr-FR"/>
        </w:rPr>
        <w:t>une enquête auprès des administrations chargées de la recherche internationale et des offices récepteurs participants, dont les résultats figurent à l</w:t>
      </w:r>
      <w:r w:rsidR="001C63CD">
        <w:rPr>
          <w:lang w:val="fr-FR"/>
        </w:rPr>
        <w:t>’</w:t>
      </w:r>
      <w:r w:rsidR="001C63CD" w:rsidRPr="00157BF0">
        <w:rPr>
          <w:lang w:val="fr-FR"/>
        </w:rPr>
        <w:t>annexe</w:t>
      </w:r>
      <w:r w:rsidR="001C63CD">
        <w:rPr>
          <w:lang w:val="fr-FR"/>
        </w:rPr>
        <w:t> </w:t>
      </w:r>
      <w:r w:rsidR="001C63CD" w:rsidRPr="00157BF0">
        <w:rPr>
          <w:lang w:val="fr-FR"/>
        </w:rPr>
        <w:t>I</w:t>
      </w:r>
      <w:r w:rsidR="008E0C77" w:rsidRPr="00157BF0">
        <w:rPr>
          <w:lang w:val="fr-FR"/>
        </w:rPr>
        <w:t>, et d</w:t>
      </w:r>
      <w:r w:rsidR="001C63CD">
        <w:rPr>
          <w:lang w:val="fr-FR"/>
        </w:rPr>
        <w:t>’</w:t>
      </w:r>
      <w:r w:rsidR="008E0C77" w:rsidRPr="00157BF0">
        <w:rPr>
          <w:lang w:val="fr-FR"/>
        </w:rPr>
        <w:t>un examen des résultats financiers par la</w:t>
      </w:r>
      <w:r w:rsidR="0068382C" w:rsidRPr="00157BF0">
        <w:rPr>
          <w:lang w:val="fr-FR"/>
        </w:rPr>
        <w:t xml:space="preserve"> Section de l</w:t>
      </w:r>
      <w:r w:rsidR="001C63CD">
        <w:rPr>
          <w:lang w:val="fr-FR"/>
        </w:rPr>
        <w:t>’</w:t>
      </w:r>
      <w:r w:rsidR="0068382C" w:rsidRPr="00157BF0">
        <w:rPr>
          <w:lang w:val="fr-FR"/>
        </w:rPr>
        <w:t>audit interne de la</w:t>
      </w:r>
      <w:r w:rsidR="008E0C77" w:rsidRPr="00157BF0">
        <w:rPr>
          <w:lang w:val="fr-FR"/>
        </w:rPr>
        <w:t xml:space="preserve"> Division de la supervision interne (voir le résumé à l</w:t>
      </w:r>
      <w:r w:rsidR="001C63CD">
        <w:rPr>
          <w:lang w:val="fr-FR"/>
        </w:rPr>
        <w:t>’</w:t>
      </w:r>
      <w:r w:rsidR="001C63CD" w:rsidRPr="00157BF0">
        <w:rPr>
          <w:lang w:val="fr-FR"/>
        </w:rPr>
        <w:t>annexe</w:t>
      </w:r>
      <w:r w:rsidR="001C63CD">
        <w:rPr>
          <w:lang w:val="fr-FR"/>
        </w:rPr>
        <w:t> </w:t>
      </w:r>
      <w:r w:rsidR="001C63CD" w:rsidRPr="00157BF0">
        <w:rPr>
          <w:lang w:val="fr-FR"/>
        </w:rPr>
        <w:t>I</w:t>
      </w:r>
      <w:r w:rsidR="008E0C77" w:rsidRPr="00157BF0">
        <w:rPr>
          <w:lang w:val="fr-FR"/>
        </w:rPr>
        <w:t>I).</w:t>
      </w:r>
      <w:r w:rsidR="0068382C" w:rsidRPr="00157BF0">
        <w:rPr>
          <w:lang w:val="fr-FR"/>
        </w:rPr>
        <w:t xml:space="preserve">  </w:t>
      </w:r>
      <w:r w:rsidR="005C5614" w:rsidRPr="00157BF0">
        <w:rPr>
          <w:lang w:val="fr-FR"/>
        </w:rPr>
        <w:t>L</w:t>
      </w:r>
      <w:r w:rsidR="001C63CD">
        <w:rPr>
          <w:lang w:val="fr-FR"/>
        </w:rPr>
        <w:t>’</w:t>
      </w:r>
      <w:r w:rsidR="005C5614" w:rsidRPr="00157BF0">
        <w:rPr>
          <w:lang w:val="fr-FR"/>
        </w:rPr>
        <w:t xml:space="preserve">évaluation </w:t>
      </w:r>
      <w:r w:rsidR="00EE7C5E" w:rsidRPr="00157BF0">
        <w:rPr>
          <w:lang w:val="fr-FR"/>
        </w:rPr>
        <w:t xml:space="preserve">a </w:t>
      </w:r>
      <w:r w:rsidR="005C5614" w:rsidRPr="00157BF0">
        <w:rPr>
          <w:lang w:val="fr-FR"/>
        </w:rPr>
        <w:t>confirm</w:t>
      </w:r>
      <w:r w:rsidR="00EE7C5E" w:rsidRPr="00157BF0">
        <w:rPr>
          <w:lang w:val="fr-FR"/>
        </w:rPr>
        <w:t>é</w:t>
      </w:r>
      <w:r w:rsidR="005C5614" w:rsidRPr="00157BF0">
        <w:rPr>
          <w:lang w:val="fr-FR"/>
        </w:rPr>
        <w:t xml:space="preserve"> le</w:t>
      </w:r>
      <w:r w:rsidR="006A5819" w:rsidRPr="00157BF0">
        <w:rPr>
          <w:lang w:val="fr-FR"/>
        </w:rPr>
        <w:t xml:space="preserve">s avantages </w:t>
      </w:r>
      <w:r w:rsidR="005C5614" w:rsidRPr="00157BF0">
        <w:rPr>
          <w:lang w:val="fr-FR"/>
        </w:rPr>
        <w:t>du mécanisme de compensation</w:t>
      </w:r>
      <w:r w:rsidR="005361D4" w:rsidRPr="00157BF0">
        <w:rPr>
          <w:lang w:val="fr-FR"/>
        </w:rPr>
        <w:t>, à la fois</w:t>
      </w:r>
      <w:r w:rsidR="005C5614" w:rsidRPr="00157BF0">
        <w:rPr>
          <w:lang w:val="fr-FR"/>
        </w:rPr>
        <w:t xml:space="preserve"> pour les administrations chargées de la recherche internationale participantes et</w:t>
      </w:r>
      <w:r w:rsidR="005361D4" w:rsidRPr="00157BF0">
        <w:rPr>
          <w:lang w:val="fr-FR"/>
        </w:rPr>
        <w:t xml:space="preserve"> pour</w:t>
      </w:r>
      <w:r w:rsidR="005C5614" w:rsidRPr="00157BF0">
        <w:rPr>
          <w:lang w:val="fr-FR"/>
        </w:rPr>
        <w:t xml:space="preserve"> le Bureau international, dans les quatre</w:t>
      </w:r>
      <w:r w:rsidR="00CB19EE">
        <w:rPr>
          <w:lang w:val="fr-FR"/>
        </w:rPr>
        <w:t> </w:t>
      </w:r>
      <w:r w:rsidR="005C5614" w:rsidRPr="00157BF0">
        <w:rPr>
          <w:lang w:val="fr-FR"/>
        </w:rPr>
        <w:t>domaines suivants</w:t>
      </w:r>
      <w:r w:rsidR="001C63CD">
        <w:rPr>
          <w:lang w:val="fr-FR"/>
        </w:rPr>
        <w:t> :</w:t>
      </w:r>
    </w:p>
    <w:p w14:paraId="7068CDB9" w14:textId="0FC8EDDB" w:rsidR="001C63CD" w:rsidRDefault="00EE7C5E" w:rsidP="00157BF0">
      <w:pPr>
        <w:pStyle w:val="ONUMFS"/>
        <w:numPr>
          <w:ilvl w:val="1"/>
          <w:numId w:val="12"/>
        </w:numPr>
        <w:rPr>
          <w:lang w:val="fr-FR"/>
        </w:rPr>
      </w:pPr>
      <w:r w:rsidRPr="00157BF0">
        <w:rPr>
          <w:lang w:val="fr-FR"/>
        </w:rPr>
        <w:t>les demandes de remboursement de gains ou pertes de change</w:t>
      </w:r>
      <w:r w:rsidR="00CC7447" w:rsidRPr="00157BF0">
        <w:rPr>
          <w:lang w:val="fr-FR"/>
        </w:rPr>
        <w:t xml:space="preserve"> présentées par les administrations chargées de la recherche internationale participantes</w:t>
      </w:r>
      <w:r w:rsidRPr="00157BF0">
        <w:rPr>
          <w:lang w:val="fr-FR"/>
        </w:rPr>
        <w:t xml:space="preserve"> en vertu de la </w:t>
      </w:r>
      <w:r w:rsidR="001C63CD" w:rsidRPr="00157BF0">
        <w:rPr>
          <w:lang w:val="fr-FR"/>
        </w:rPr>
        <w:t>règle</w:t>
      </w:r>
      <w:r w:rsidR="001C63CD">
        <w:rPr>
          <w:lang w:val="fr-FR"/>
        </w:rPr>
        <w:t> </w:t>
      </w:r>
      <w:r w:rsidR="001C63CD" w:rsidRPr="00157BF0">
        <w:rPr>
          <w:lang w:val="fr-FR"/>
        </w:rPr>
        <w:t>1</w:t>
      </w:r>
      <w:r w:rsidRPr="00157BF0">
        <w:rPr>
          <w:lang w:val="fr-FR"/>
        </w:rPr>
        <w:t xml:space="preserve">6.1.e) </w:t>
      </w:r>
      <w:r w:rsidR="00CC7447" w:rsidRPr="00157BF0">
        <w:rPr>
          <w:lang w:val="fr-FR"/>
        </w:rPr>
        <w:t>ont été réduites à des montants négligeabl</w:t>
      </w:r>
      <w:r w:rsidR="005C097F" w:rsidRPr="00157BF0">
        <w:rPr>
          <w:lang w:val="fr-FR"/>
        </w:rPr>
        <w:t>es</w:t>
      </w:r>
      <w:r w:rsidR="005C097F">
        <w:rPr>
          <w:lang w:val="fr-FR"/>
        </w:rPr>
        <w:t xml:space="preserve">.  </w:t>
      </w:r>
      <w:r w:rsidR="005C097F" w:rsidRPr="00157BF0">
        <w:rPr>
          <w:lang w:val="fr-FR"/>
        </w:rPr>
        <w:t>Gr</w:t>
      </w:r>
      <w:r w:rsidR="007D4BCF" w:rsidRPr="00157BF0">
        <w:rPr>
          <w:lang w:val="fr-FR"/>
        </w:rPr>
        <w:t xml:space="preserve">âce à sa gestion centralisée des devises, le Bureau international a pu profiter des taux de change plus avantageux offerts par les banques pour la conversion de </w:t>
      </w:r>
      <w:r w:rsidR="005361D4" w:rsidRPr="00157BF0">
        <w:rPr>
          <w:lang w:val="fr-FR"/>
        </w:rPr>
        <w:t>tranches</w:t>
      </w:r>
      <w:r w:rsidR="007D4BCF" w:rsidRPr="00157BF0">
        <w:rPr>
          <w:lang w:val="fr-FR"/>
        </w:rPr>
        <w:t xml:space="preserve"> de devises important</w:t>
      </w:r>
      <w:r w:rsidR="005C097F" w:rsidRPr="00157BF0">
        <w:rPr>
          <w:lang w:val="fr-FR"/>
        </w:rPr>
        <w:t>es</w:t>
      </w:r>
      <w:r w:rsidR="005C097F">
        <w:rPr>
          <w:lang w:val="fr-FR"/>
        </w:rPr>
        <w:t xml:space="preserve">.  </w:t>
      </w:r>
      <w:r w:rsidR="005C097F" w:rsidRPr="00157BF0">
        <w:rPr>
          <w:lang w:val="fr-FR"/>
        </w:rPr>
        <w:t>La</w:t>
      </w:r>
      <w:r w:rsidR="00B76CF1" w:rsidRPr="00157BF0">
        <w:rPr>
          <w:lang w:val="fr-FR"/>
        </w:rPr>
        <w:t xml:space="preserve"> réduction des demandes de remboursement a eu un effet positif sur la charge de travail des administrations chargées de la recherche internationale participantes, ainsi que sur celle du Bureau internation</w:t>
      </w:r>
      <w:r w:rsidR="005C097F" w:rsidRPr="00157BF0">
        <w:rPr>
          <w:lang w:val="fr-FR"/>
        </w:rPr>
        <w:t>al</w:t>
      </w:r>
      <w:r w:rsidR="005C097F">
        <w:rPr>
          <w:lang w:val="fr-FR"/>
        </w:rPr>
        <w:t xml:space="preserve">.  </w:t>
      </w:r>
      <w:r w:rsidR="005C097F" w:rsidRPr="00157BF0">
        <w:rPr>
          <w:lang w:val="fr-FR"/>
        </w:rPr>
        <w:t>La</w:t>
      </w:r>
      <w:r w:rsidR="00893939" w:rsidRPr="00157BF0">
        <w:rPr>
          <w:lang w:val="fr-FR"/>
        </w:rPr>
        <w:t xml:space="preserve"> charge de travail liée à la préparation des demandes en vertu de la </w:t>
      </w:r>
      <w:r w:rsidR="001C63CD" w:rsidRPr="00157BF0">
        <w:rPr>
          <w:lang w:val="fr-FR"/>
        </w:rPr>
        <w:t>règle</w:t>
      </w:r>
      <w:r w:rsidR="001C63CD">
        <w:rPr>
          <w:lang w:val="fr-FR"/>
        </w:rPr>
        <w:t> </w:t>
      </w:r>
      <w:r w:rsidR="001C63CD" w:rsidRPr="00157BF0">
        <w:rPr>
          <w:lang w:val="fr-FR"/>
        </w:rPr>
        <w:t>1</w:t>
      </w:r>
      <w:r w:rsidR="00893939" w:rsidRPr="00157BF0">
        <w:rPr>
          <w:lang w:val="fr-FR"/>
        </w:rPr>
        <w:t>6.1</w:t>
      </w:r>
      <w:r w:rsidR="007238EE" w:rsidRPr="00157BF0">
        <w:rPr>
          <w:lang w:val="fr-FR"/>
        </w:rPr>
        <w:t>.e)</w:t>
      </w:r>
      <w:r w:rsidR="00893939" w:rsidRPr="00157BF0">
        <w:rPr>
          <w:lang w:val="fr-FR"/>
        </w:rPr>
        <w:t xml:space="preserve"> et la part correspondante du risque de change ne seront complètement éliminées, pour l</w:t>
      </w:r>
      <w:r w:rsidR="001C63CD">
        <w:rPr>
          <w:lang w:val="fr-FR"/>
        </w:rPr>
        <w:t>’</w:t>
      </w:r>
      <w:r w:rsidR="00893939" w:rsidRPr="00157BF0">
        <w:rPr>
          <w:lang w:val="fr-FR"/>
        </w:rPr>
        <w:t>administration chargée de la recherche internationale et pour le Bureau international, qu</w:t>
      </w:r>
      <w:r w:rsidR="001C63CD">
        <w:rPr>
          <w:lang w:val="fr-FR"/>
        </w:rPr>
        <w:t>’</w:t>
      </w:r>
      <w:r w:rsidR="00893939" w:rsidRPr="00157BF0">
        <w:rPr>
          <w:lang w:val="fr-FR"/>
        </w:rPr>
        <w:t xml:space="preserve">une </w:t>
      </w:r>
      <w:r w:rsidR="00045BD5" w:rsidRPr="00157BF0">
        <w:rPr>
          <w:lang w:val="fr-FR"/>
        </w:rPr>
        <w:t>f</w:t>
      </w:r>
      <w:r w:rsidR="00893939" w:rsidRPr="00157BF0">
        <w:rPr>
          <w:lang w:val="fr-FR"/>
        </w:rPr>
        <w:t>ois que tous les offices récepteurs auront dé</w:t>
      </w:r>
      <w:r w:rsidR="00045BD5" w:rsidRPr="00157BF0">
        <w:rPr>
          <w:lang w:val="fr-FR"/>
        </w:rPr>
        <w:t>sign</w:t>
      </w:r>
      <w:r w:rsidR="00893939" w:rsidRPr="00157BF0">
        <w:rPr>
          <w:lang w:val="fr-FR"/>
        </w:rPr>
        <w:t>é</w:t>
      </w:r>
      <w:r w:rsidR="00045BD5" w:rsidRPr="00157BF0">
        <w:rPr>
          <w:lang w:val="fr-FR"/>
        </w:rPr>
        <w:t xml:space="preserve"> une administration chargée de la recherche internationale</w:t>
      </w:r>
      <w:r w:rsidR="00893939" w:rsidRPr="00157BF0">
        <w:rPr>
          <w:lang w:val="fr-FR"/>
        </w:rPr>
        <w:t xml:space="preserve"> </w:t>
      </w:r>
      <w:r w:rsidR="00045BD5" w:rsidRPr="00157BF0">
        <w:rPr>
          <w:lang w:val="fr-FR"/>
        </w:rPr>
        <w:t>c</w:t>
      </w:r>
      <w:r w:rsidR="00893939" w:rsidRPr="00157BF0">
        <w:rPr>
          <w:lang w:val="fr-FR"/>
        </w:rPr>
        <w:t>ompétente</w:t>
      </w:r>
      <w:r w:rsidR="00045BD5" w:rsidRPr="00157BF0">
        <w:rPr>
          <w:lang w:val="fr-FR"/>
        </w:rPr>
        <w:t>;</w:t>
      </w:r>
    </w:p>
    <w:p w14:paraId="28D76CA7" w14:textId="79A6E1BE" w:rsidR="007050D3" w:rsidRPr="00157BF0" w:rsidRDefault="00E51783" w:rsidP="00157BF0">
      <w:pPr>
        <w:pStyle w:val="ONUMFS"/>
        <w:numPr>
          <w:ilvl w:val="1"/>
          <w:numId w:val="12"/>
        </w:numPr>
        <w:rPr>
          <w:lang w:val="fr-FR"/>
        </w:rPr>
      </w:pPr>
      <w:r w:rsidRPr="00157BF0">
        <w:rPr>
          <w:lang w:val="fr-FR"/>
        </w:rPr>
        <w:t>la vérification du montant des taxes payées et de la situation des demandes par le Bureau international a simplifié le travail des administrations chargées de la recherche internationale participantes, sans avoir eu, jusqu</w:t>
      </w:r>
      <w:r w:rsidR="001C63CD">
        <w:rPr>
          <w:lang w:val="fr-FR"/>
        </w:rPr>
        <w:t>’</w:t>
      </w:r>
      <w:r w:rsidRPr="00157BF0">
        <w:rPr>
          <w:lang w:val="fr-FR"/>
        </w:rPr>
        <w:t xml:space="preserve">à présent, </w:t>
      </w:r>
      <w:r w:rsidR="00E91881" w:rsidRPr="00157BF0">
        <w:rPr>
          <w:lang w:val="fr-FR"/>
        </w:rPr>
        <w:t>d</w:t>
      </w:r>
      <w:r w:rsidR="001C63CD">
        <w:rPr>
          <w:lang w:val="fr-FR"/>
        </w:rPr>
        <w:t>’</w:t>
      </w:r>
      <w:r w:rsidRPr="00157BF0">
        <w:rPr>
          <w:lang w:val="fr-FR"/>
        </w:rPr>
        <w:t>incidence particulière sur la charge de travail du Bureau internation</w:t>
      </w:r>
      <w:r w:rsidR="005C097F" w:rsidRPr="00157BF0">
        <w:rPr>
          <w:lang w:val="fr-FR"/>
        </w:rPr>
        <w:t>al</w:t>
      </w:r>
      <w:r w:rsidR="005C097F">
        <w:rPr>
          <w:lang w:val="fr-FR"/>
        </w:rPr>
        <w:t xml:space="preserve">.  </w:t>
      </w:r>
      <w:r w:rsidR="005C097F" w:rsidRPr="00157BF0">
        <w:rPr>
          <w:lang w:val="fr-FR"/>
        </w:rPr>
        <w:t>Ce</w:t>
      </w:r>
      <w:r w:rsidR="009A1369" w:rsidRPr="00157BF0">
        <w:rPr>
          <w:lang w:val="fr-FR"/>
        </w:rPr>
        <w:t>t a</w:t>
      </w:r>
      <w:r w:rsidR="00C9686C" w:rsidRPr="00157BF0">
        <w:rPr>
          <w:lang w:val="fr-FR"/>
        </w:rPr>
        <w:t>vantage</w:t>
      </w:r>
      <w:r w:rsidR="009A1369" w:rsidRPr="00157BF0">
        <w:rPr>
          <w:lang w:val="fr-FR"/>
        </w:rPr>
        <w:t xml:space="preserve"> est toutefois limité, globalement,</w:t>
      </w:r>
      <w:r w:rsidR="00C9686C" w:rsidRPr="00157BF0">
        <w:rPr>
          <w:lang w:val="fr-FR"/>
        </w:rPr>
        <w:t xml:space="preserve"> par le fait que les offices récepteurs ayant désigné les administrations chargées de la recherche internationale participantes ne se sont pas tous joints, pour l</w:t>
      </w:r>
      <w:r w:rsidR="001C63CD">
        <w:rPr>
          <w:lang w:val="fr-FR"/>
        </w:rPr>
        <w:t>’</w:t>
      </w:r>
      <w:r w:rsidR="00C9686C" w:rsidRPr="00157BF0">
        <w:rPr>
          <w:lang w:val="fr-FR"/>
        </w:rPr>
        <w:t xml:space="preserve">instant, au projet pilote de compensation, </w:t>
      </w:r>
      <w:r w:rsidR="00E5021C" w:rsidRPr="00157BF0">
        <w:rPr>
          <w:lang w:val="fr-FR"/>
        </w:rPr>
        <w:t xml:space="preserve">ce </w:t>
      </w:r>
      <w:r w:rsidR="00C9686C" w:rsidRPr="00157BF0">
        <w:rPr>
          <w:lang w:val="fr-FR"/>
        </w:rPr>
        <w:t>qui oblige ces dernières à</w:t>
      </w:r>
      <w:r w:rsidR="00BC77F1" w:rsidRPr="00157BF0">
        <w:rPr>
          <w:lang w:val="fr-FR"/>
        </w:rPr>
        <w:t xml:space="preserve"> </w:t>
      </w:r>
      <w:r w:rsidR="00F30600" w:rsidRPr="00157BF0">
        <w:rPr>
          <w:lang w:val="fr-FR"/>
        </w:rPr>
        <w:t>gérer deux</w:t>
      </w:r>
      <w:r w:rsidR="00CB19EE">
        <w:rPr>
          <w:lang w:val="fr-FR"/>
        </w:rPr>
        <w:t> </w:t>
      </w:r>
      <w:r w:rsidR="00F30600" w:rsidRPr="00157BF0">
        <w:rPr>
          <w:lang w:val="fr-FR"/>
        </w:rPr>
        <w:t>procédures pour le traitement des recettes de taxes;</w:t>
      </w:r>
    </w:p>
    <w:p w14:paraId="1F23B4B9" w14:textId="1B106B77" w:rsidR="001C63CD" w:rsidRDefault="00F30600" w:rsidP="00157BF0">
      <w:pPr>
        <w:pStyle w:val="ONUMFS"/>
        <w:numPr>
          <w:ilvl w:val="1"/>
          <w:numId w:val="12"/>
        </w:numPr>
        <w:rPr>
          <w:lang w:val="fr-FR"/>
        </w:rPr>
      </w:pPr>
      <w:r w:rsidRPr="00157BF0">
        <w:rPr>
          <w:lang w:val="fr-FR"/>
        </w:rPr>
        <w:t>la compensation des taxes de recherche dues à chaque administration chargée de la recherche internationale par les taxes internationales de dépôt et les taxes de traitement a eu un effet positif sur la gestion de trésorerie, ce qui présente un intérêt particulier en cette période de taux d</w:t>
      </w:r>
      <w:r w:rsidR="001C63CD">
        <w:rPr>
          <w:lang w:val="fr-FR"/>
        </w:rPr>
        <w:t>’</w:t>
      </w:r>
      <w:r w:rsidRPr="00157BF0">
        <w:rPr>
          <w:lang w:val="fr-FR"/>
        </w:rPr>
        <w:t>intérêt négatifs pour le franc suisse et l</w:t>
      </w:r>
      <w:r w:rsidR="001C63CD">
        <w:rPr>
          <w:lang w:val="fr-FR"/>
        </w:rPr>
        <w:t>’</w:t>
      </w:r>
      <w:r w:rsidRPr="00157BF0">
        <w:rPr>
          <w:lang w:val="fr-FR"/>
        </w:rPr>
        <w:t>eu</w:t>
      </w:r>
      <w:r w:rsidR="005C097F" w:rsidRPr="00157BF0">
        <w:rPr>
          <w:lang w:val="fr-FR"/>
        </w:rPr>
        <w:t>ro</w:t>
      </w:r>
      <w:r w:rsidR="005C097F">
        <w:rPr>
          <w:lang w:val="fr-FR"/>
        </w:rPr>
        <w:t xml:space="preserve">.  </w:t>
      </w:r>
      <w:r w:rsidR="005C097F" w:rsidRPr="00157BF0">
        <w:rPr>
          <w:lang w:val="fr-FR"/>
        </w:rPr>
        <w:t>En</w:t>
      </w:r>
      <w:r w:rsidR="003053BE" w:rsidRPr="00157BF0">
        <w:rPr>
          <w:lang w:val="fr-FR"/>
        </w:rPr>
        <w:t xml:space="preserve"> regroupant ces taxes en un paiement unique, les administrations chargées de la recherche internationale participantes ne comptabilisent qu</w:t>
      </w:r>
      <w:r w:rsidR="001C63CD">
        <w:rPr>
          <w:lang w:val="fr-FR"/>
        </w:rPr>
        <w:t>’</w:t>
      </w:r>
      <w:r w:rsidR="003053BE" w:rsidRPr="00157BF0">
        <w:rPr>
          <w:lang w:val="fr-FR"/>
        </w:rPr>
        <w:t>un seul encaissement ou paiement mensuel en provenance ou à destination du Bureau international, dont les éléments sont détaillés dans un relevé soumis pour confirmation à l</w:t>
      </w:r>
      <w:r w:rsidR="001C63CD">
        <w:rPr>
          <w:lang w:val="fr-FR"/>
        </w:rPr>
        <w:t>’</w:t>
      </w:r>
      <w:r w:rsidR="003053BE" w:rsidRPr="00157BF0">
        <w:rPr>
          <w:lang w:val="fr-FR"/>
        </w:rPr>
        <w:t>administration chargée de la recherche internationale avant la date de règlement;</w:t>
      </w:r>
    </w:p>
    <w:p w14:paraId="6B700EB8" w14:textId="7A534EB3" w:rsidR="007050D3" w:rsidRPr="00157BF0" w:rsidRDefault="00E041B7" w:rsidP="00157BF0">
      <w:pPr>
        <w:pStyle w:val="ONUMFS"/>
        <w:numPr>
          <w:ilvl w:val="1"/>
          <w:numId w:val="12"/>
        </w:numPr>
        <w:rPr>
          <w:lang w:val="fr-FR"/>
        </w:rPr>
      </w:pPr>
      <w:r w:rsidRPr="00157BF0">
        <w:rPr>
          <w:lang w:val="fr-FR"/>
        </w:rPr>
        <w:t>les frais bancaires qui auraient été engagés pour effectuer des virements multiples ont été élimin</w:t>
      </w:r>
      <w:r w:rsidR="005C097F" w:rsidRPr="00157BF0">
        <w:rPr>
          <w:lang w:val="fr-FR"/>
        </w:rPr>
        <w:t>és</w:t>
      </w:r>
      <w:r w:rsidR="005C097F">
        <w:rPr>
          <w:lang w:val="fr-FR"/>
        </w:rPr>
        <w:t xml:space="preserve">.  </w:t>
      </w:r>
      <w:r w:rsidR="005C097F" w:rsidRPr="00157BF0">
        <w:rPr>
          <w:lang w:val="fr-FR"/>
        </w:rPr>
        <w:t>L</w:t>
      </w:r>
      <w:r w:rsidR="005C097F">
        <w:rPr>
          <w:lang w:val="fr-FR"/>
        </w:rPr>
        <w:t>’</w:t>
      </w:r>
      <w:r w:rsidR="005C097F" w:rsidRPr="00157BF0">
        <w:rPr>
          <w:lang w:val="fr-FR"/>
        </w:rPr>
        <w:t>é</w:t>
      </w:r>
      <w:r w:rsidRPr="00157BF0">
        <w:rPr>
          <w:lang w:val="fr-FR"/>
        </w:rPr>
        <w:t>conomie nette réalisée dans l</w:t>
      </w:r>
      <w:r w:rsidR="001C63CD">
        <w:rPr>
          <w:lang w:val="fr-FR"/>
        </w:rPr>
        <w:t>’</w:t>
      </w:r>
      <w:r w:rsidRPr="00157BF0">
        <w:rPr>
          <w:lang w:val="fr-FR"/>
        </w:rPr>
        <w:t>absolu est toutefois peu importante;</w:t>
      </w:r>
    </w:p>
    <w:p w14:paraId="13ED19B2" w14:textId="77777777" w:rsidR="001C63CD" w:rsidRDefault="003802C6" w:rsidP="00157BF0">
      <w:pPr>
        <w:pStyle w:val="ONUMFS"/>
        <w:numPr>
          <w:ilvl w:val="1"/>
          <w:numId w:val="12"/>
        </w:numPr>
        <w:rPr>
          <w:lang w:val="fr-FR"/>
        </w:rPr>
      </w:pPr>
      <w:r w:rsidRPr="00157BF0">
        <w:rPr>
          <w:lang w:val="fr-FR"/>
        </w:rPr>
        <w:t>les offices récepteurs ont désormais la possibilité de soumettre un paiement unique combinant les taxes de recherche dues aux administrations chargées de la recherche internationale participantes et les taxes internationales de dépôt dues au Bureau international, ce qui réduit les paiements et les frais de virements bancaires.</w:t>
      </w:r>
    </w:p>
    <w:p w14:paraId="3DF57492" w14:textId="37D8D195" w:rsidR="007050D3" w:rsidRDefault="00157BF0" w:rsidP="00157BF0">
      <w:pPr>
        <w:pStyle w:val="Heading1"/>
        <w:rPr>
          <w:lang w:val="fr-FR"/>
        </w:rPr>
      </w:pPr>
      <w:r w:rsidRPr="00157BF0">
        <w:rPr>
          <w:lang w:val="fr-FR"/>
        </w:rPr>
        <w:lastRenderedPageBreak/>
        <w:t xml:space="preserve">Questions </w:t>
      </w:r>
      <w:r w:rsidR="00F469AC" w:rsidRPr="00157BF0">
        <w:rPr>
          <w:lang w:val="fr-FR"/>
        </w:rPr>
        <w:t>accessoires à régler</w:t>
      </w:r>
    </w:p>
    <w:p w14:paraId="5C55F233" w14:textId="77777777" w:rsidR="00157BF0" w:rsidRPr="00157BF0" w:rsidRDefault="00157BF0" w:rsidP="00157BF0">
      <w:pPr>
        <w:keepNext/>
        <w:rPr>
          <w:lang w:val="fr-FR"/>
        </w:rPr>
      </w:pPr>
    </w:p>
    <w:p w14:paraId="0C85EAB9" w14:textId="75E31BB6" w:rsidR="007050D3" w:rsidRPr="00157BF0" w:rsidRDefault="00C7378B" w:rsidP="00157BF0">
      <w:pPr>
        <w:pStyle w:val="ONUMFS"/>
        <w:rPr>
          <w:lang w:val="fr-FR"/>
        </w:rPr>
      </w:pPr>
      <w:r w:rsidRPr="00157BF0">
        <w:rPr>
          <w:lang w:val="fr-FR"/>
        </w:rPr>
        <w:t>Les employés du Bureau international ont dû consacrer davantage de temps, dans le cadre de la mise en œuvre du projet pilote, à la vérification</w:t>
      </w:r>
      <w:r w:rsidR="00587979" w:rsidRPr="00157BF0">
        <w:rPr>
          <w:lang w:val="fr-FR"/>
        </w:rPr>
        <w:t xml:space="preserve"> des montants compensés chaque mois</w:t>
      </w:r>
      <w:r w:rsidRPr="00157BF0">
        <w:rPr>
          <w:lang w:val="fr-FR"/>
        </w:rPr>
        <w:t xml:space="preserve"> et à la résolution de problèm</w:t>
      </w:r>
      <w:r w:rsidR="005C097F" w:rsidRPr="00157BF0">
        <w:rPr>
          <w:lang w:val="fr-FR"/>
        </w:rPr>
        <w:t>es</w:t>
      </w:r>
      <w:r w:rsidR="005C097F">
        <w:rPr>
          <w:lang w:val="fr-FR"/>
        </w:rPr>
        <w:t xml:space="preserve">.  </w:t>
      </w:r>
      <w:r w:rsidR="005C097F" w:rsidRPr="00157BF0">
        <w:rPr>
          <w:lang w:val="fr-FR"/>
        </w:rPr>
        <w:t>Il</w:t>
      </w:r>
      <w:r w:rsidR="005B1652" w:rsidRPr="00157BF0">
        <w:rPr>
          <w:lang w:val="fr-FR"/>
        </w:rPr>
        <w:t xml:space="preserve"> a été nécessaire de former le personnel et de faire en sorte que le projet pilote soit mis en œuvre de façon à ce qu</w:t>
      </w:r>
      <w:r w:rsidR="001C63CD">
        <w:rPr>
          <w:lang w:val="fr-FR"/>
        </w:rPr>
        <w:t>’</w:t>
      </w:r>
      <w:r w:rsidR="005B1652" w:rsidRPr="00157BF0">
        <w:rPr>
          <w:lang w:val="fr-FR"/>
        </w:rPr>
        <w:t>on puisse déterminer si les estimations selon lesquelles les avantages l</w:t>
      </w:r>
      <w:r w:rsidR="001C63CD">
        <w:rPr>
          <w:lang w:val="fr-FR"/>
        </w:rPr>
        <w:t>’</w:t>
      </w:r>
      <w:r w:rsidR="005B1652" w:rsidRPr="00157BF0">
        <w:rPr>
          <w:lang w:val="fr-FR"/>
        </w:rPr>
        <w:t>emporteront sur les coûts sont correct</w:t>
      </w:r>
      <w:r w:rsidR="005C097F" w:rsidRPr="00157BF0">
        <w:rPr>
          <w:lang w:val="fr-FR"/>
        </w:rPr>
        <w:t>es</w:t>
      </w:r>
      <w:r w:rsidR="005C097F">
        <w:rPr>
          <w:lang w:val="fr-FR"/>
        </w:rPr>
        <w:t xml:space="preserve">.  </w:t>
      </w:r>
      <w:r w:rsidR="005C097F" w:rsidRPr="00157BF0">
        <w:rPr>
          <w:lang w:val="fr-FR"/>
        </w:rPr>
        <w:t>Un</w:t>
      </w:r>
      <w:r w:rsidR="005B1652" w:rsidRPr="00157BF0">
        <w:rPr>
          <w:lang w:val="fr-FR"/>
        </w:rPr>
        <w:t>e attention particulière a été accordée au nombre et au type d</w:t>
      </w:r>
      <w:r w:rsidR="001C63CD">
        <w:rPr>
          <w:lang w:val="fr-FR"/>
        </w:rPr>
        <w:t>’</w:t>
      </w:r>
      <w:r w:rsidR="005B1652" w:rsidRPr="00157BF0">
        <w:rPr>
          <w:lang w:val="fr-FR"/>
        </w:rPr>
        <w:t>erreurs qui se produisent, de manière à déterminer s</w:t>
      </w:r>
      <w:r w:rsidR="001C63CD">
        <w:rPr>
          <w:lang w:val="fr-FR"/>
        </w:rPr>
        <w:t>’</w:t>
      </w:r>
      <w:r w:rsidR="005B1652" w:rsidRPr="00157BF0">
        <w:rPr>
          <w:lang w:val="fr-FR"/>
        </w:rPr>
        <w:t>il est possible de les réduire ou de les supprimer.</w:t>
      </w:r>
    </w:p>
    <w:p w14:paraId="14C6E885" w14:textId="03B3E6A2" w:rsidR="001C63CD" w:rsidRDefault="00010FB1" w:rsidP="00157BF0">
      <w:pPr>
        <w:pStyle w:val="ONUMFS"/>
        <w:rPr>
          <w:lang w:val="fr-FR"/>
        </w:rPr>
      </w:pPr>
      <w:r w:rsidRPr="00157BF0">
        <w:rPr>
          <w:lang w:val="fr-FR"/>
        </w:rPr>
        <w:t>En vue d</w:t>
      </w:r>
      <w:r w:rsidR="001C63CD">
        <w:rPr>
          <w:lang w:val="fr-FR"/>
        </w:rPr>
        <w:t>’</w:t>
      </w:r>
      <w:r w:rsidRPr="00157BF0">
        <w:rPr>
          <w:lang w:val="fr-FR"/>
        </w:rPr>
        <w:t xml:space="preserve">assurer le bon déroulement du projet pilote, tous les offices récepteurs participants doivent être en mesure de transmettre les informations relatives aux demandes ou au paiement des taxes au Bureau international en temps voulu et dans un format reconnu, </w:t>
      </w:r>
      <w:r w:rsidR="001C63CD">
        <w:rPr>
          <w:lang w:val="fr-FR"/>
        </w:rPr>
        <w:t>y compris</w:t>
      </w:r>
      <w:r w:rsidRPr="00157BF0">
        <w:rPr>
          <w:lang w:val="fr-FR"/>
        </w:rPr>
        <w:t xml:space="preserve"> toutes les données requises par le logiciel permettant de gérer le mécanisme de compensation et les procédures connex</w:t>
      </w:r>
      <w:r w:rsidR="005C097F" w:rsidRPr="00157BF0">
        <w:rPr>
          <w:lang w:val="fr-FR"/>
        </w:rPr>
        <w:t>es</w:t>
      </w:r>
      <w:r w:rsidR="005C097F">
        <w:rPr>
          <w:lang w:val="fr-FR"/>
        </w:rPr>
        <w:t xml:space="preserve">.  </w:t>
      </w:r>
      <w:r w:rsidR="005C097F" w:rsidRPr="00157BF0">
        <w:rPr>
          <w:lang w:val="fr-FR"/>
        </w:rPr>
        <w:t>Le</w:t>
      </w:r>
      <w:r w:rsidRPr="00157BF0">
        <w:rPr>
          <w:lang w:val="fr-FR"/>
        </w:rPr>
        <w:t>s offices récepteurs participants devront donc procéder aux changements nécessaires sur le plan informatique (généralement mineurs) et assurer la formation de leur personn</w:t>
      </w:r>
      <w:r w:rsidR="005C097F" w:rsidRPr="00157BF0">
        <w:rPr>
          <w:lang w:val="fr-FR"/>
        </w:rPr>
        <w:t>el</w:t>
      </w:r>
      <w:r w:rsidR="005C097F">
        <w:rPr>
          <w:lang w:val="fr-FR"/>
        </w:rPr>
        <w:t xml:space="preserve">.  </w:t>
      </w:r>
      <w:r w:rsidR="005C097F" w:rsidRPr="00157BF0">
        <w:rPr>
          <w:lang w:val="fr-FR"/>
        </w:rPr>
        <w:t>Po</w:t>
      </w:r>
      <w:r w:rsidR="00FA0F3D" w:rsidRPr="00157BF0">
        <w:rPr>
          <w:lang w:val="fr-FR"/>
        </w:rPr>
        <w:t>ur le moment, les offices récepteurs peuvent continuer à soumettre leurs paiements et les informations relatives aux demandes au Bureau international dans le même format que celui qui avait été envoyé à chaque administration chargée de la recherche internationale participan</w:t>
      </w:r>
      <w:r w:rsidR="005C097F" w:rsidRPr="00157BF0">
        <w:rPr>
          <w:lang w:val="fr-FR"/>
        </w:rPr>
        <w:t>te</w:t>
      </w:r>
      <w:r w:rsidR="005C097F">
        <w:rPr>
          <w:lang w:val="fr-FR"/>
        </w:rPr>
        <w:t xml:space="preserve">.  </w:t>
      </w:r>
      <w:r w:rsidR="005C097F" w:rsidRPr="00157BF0">
        <w:rPr>
          <w:lang w:val="fr-FR"/>
        </w:rPr>
        <w:t>L</w:t>
      </w:r>
      <w:r w:rsidR="005C097F">
        <w:rPr>
          <w:lang w:val="fr-FR"/>
        </w:rPr>
        <w:t>’</w:t>
      </w:r>
      <w:r w:rsidR="005C097F" w:rsidRPr="00157BF0">
        <w:rPr>
          <w:lang w:val="fr-FR"/>
        </w:rPr>
        <w:t>o</w:t>
      </w:r>
      <w:r w:rsidR="00242024" w:rsidRPr="00157BF0">
        <w:rPr>
          <w:lang w:val="fr-FR"/>
        </w:rPr>
        <w:t>bjectif est toutefois de</w:t>
      </w:r>
      <w:r w:rsidR="0079459F" w:rsidRPr="00157BF0">
        <w:rPr>
          <w:lang w:val="fr-FR"/>
        </w:rPr>
        <w:t xml:space="preserve"> faire en sorte </w:t>
      </w:r>
      <w:r w:rsidR="00242024" w:rsidRPr="00157BF0">
        <w:rPr>
          <w:lang w:val="fr-FR"/>
        </w:rPr>
        <w:t xml:space="preserve">que les informations soient soumises uniformément dans le format </w:t>
      </w:r>
      <w:r w:rsidR="005C097F" w:rsidRPr="00157BF0">
        <w:rPr>
          <w:lang w:val="fr-FR"/>
        </w:rPr>
        <w:t>XML</w:t>
      </w:r>
      <w:r w:rsidR="005C097F">
        <w:rPr>
          <w:lang w:val="fr-FR"/>
        </w:rPr>
        <w:t xml:space="preserve">.  </w:t>
      </w:r>
      <w:r w:rsidR="005C097F" w:rsidRPr="00157BF0">
        <w:rPr>
          <w:lang w:val="fr-FR"/>
        </w:rPr>
        <w:t>De</w:t>
      </w:r>
      <w:r w:rsidR="0079459F" w:rsidRPr="00157BF0">
        <w:rPr>
          <w:lang w:val="fr-FR"/>
        </w:rPr>
        <w:t>s mesures ont été prises pour y parvenir, grâce à l</w:t>
      </w:r>
      <w:r w:rsidR="001C63CD">
        <w:rPr>
          <w:lang w:val="fr-FR"/>
        </w:rPr>
        <w:t>’</w:t>
      </w:r>
      <w:r w:rsidR="0079459F" w:rsidRPr="00157BF0">
        <w:rPr>
          <w:lang w:val="fr-FR"/>
        </w:rPr>
        <w:t>introduction d</w:t>
      </w:r>
      <w:r w:rsidR="001C63CD">
        <w:rPr>
          <w:lang w:val="fr-FR"/>
        </w:rPr>
        <w:t>’</w:t>
      </w:r>
      <w:r w:rsidR="0079459F" w:rsidRPr="00157BF0">
        <w:rPr>
          <w:lang w:val="fr-FR"/>
        </w:rPr>
        <w:t>outils informatiques supplémentaires et par l</w:t>
      </w:r>
      <w:r w:rsidR="001C63CD">
        <w:rPr>
          <w:lang w:val="fr-FR"/>
        </w:rPr>
        <w:t>’</w:t>
      </w:r>
      <w:r w:rsidR="0079459F" w:rsidRPr="00157BF0">
        <w:rPr>
          <w:lang w:val="fr-FR"/>
        </w:rPr>
        <w:t>utilisation du système ePCT.</w:t>
      </w:r>
    </w:p>
    <w:p w14:paraId="129BBD2D" w14:textId="3B7AC542" w:rsidR="001C63CD" w:rsidRDefault="009D75FF" w:rsidP="00157BF0">
      <w:pPr>
        <w:pStyle w:val="ONUMFS"/>
        <w:rPr>
          <w:lang w:val="fr-FR"/>
        </w:rPr>
      </w:pPr>
      <w:r w:rsidRPr="00157BF0">
        <w:rPr>
          <w:lang w:val="fr-FR"/>
        </w:rPr>
        <w:t xml:space="preserve">Les offices disposant de systèmes de comptabilité et de comptes bancaires distincts pour les différents types de droits (par exemple, pour les brevets et pour les marques) devront envisager de réviser leurs procédures pour que les </w:t>
      </w:r>
      <w:r w:rsidR="001A3AC1" w:rsidRPr="00157BF0">
        <w:rPr>
          <w:lang w:val="fr-FR"/>
        </w:rPr>
        <w:t xml:space="preserve">débits ou les crédits relatifs aux </w:t>
      </w:r>
      <w:r w:rsidRPr="00157BF0">
        <w:rPr>
          <w:lang w:val="fr-FR"/>
        </w:rPr>
        <w:t>paiements nets dans les deux</w:t>
      </w:r>
      <w:r w:rsidR="00CB19EE">
        <w:rPr>
          <w:lang w:val="fr-FR"/>
        </w:rPr>
        <w:t> </w:t>
      </w:r>
      <w:r w:rsidRPr="00157BF0">
        <w:rPr>
          <w:lang w:val="fr-FR"/>
        </w:rPr>
        <w:t xml:space="preserve">systèmes puissent être </w:t>
      </w:r>
      <w:r w:rsidR="001A3AC1" w:rsidRPr="00157BF0">
        <w:rPr>
          <w:lang w:val="fr-FR"/>
        </w:rPr>
        <w:t>effectués</w:t>
      </w:r>
      <w:r w:rsidRPr="00157BF0">
        <w:rPr>
          <w:lang w:val="fr-FR"/>
        </w:rPr>
        <w:t xml:space="preserve"> sur un seul </w:t>
      </w:r>
      <w:r w:rsidR="001A3AC1" w:rsidRPr="00157BF0">
        <w:rPr>
          <w:lang w:val="fr-FR"/>
        </w:rPr>
        <w:t xml:space="preserve">de ces </w:t>
      </w:r>
      <w:r w:rsidRPr="00157BF0">
        <w:rPr>
          <w:lang w:val="fr-FR"/>
        </w:rPr>
        <w:t>compt</w:t>
      </w:r>
      <w:r w:rsidR="005C097F" w:rsidRPr="00157BF0">
        <w:rPr>
          <w:lang w:val="fr-FR"/>
        </w:rPr>
        <w:t>es</w:t>
      </w:r>
      <w:r w:rsidR="005C097F">
        <w:rPr>
          <w:lang w:val="fr-FR"/>
        </w:rPr>
        <w:t xml:space="preserve">.  </w:t>
      </w:r>
      <w:r w:rsidR="005C097F" w:rsidRPr="00157BF0">
        <w:rPr>
          <w:lang w:val="fr-FR"/>
        </w:rPr>
        <w:t>Ju</w:t>
      </w:r>
      <w:r w:rsidR="001A3AC1" w:rsidRPr="00157BF0">
        <w:rPr>
          <w:lang w:val="fr-FR"/>
        </w:rPr>
        <w:t>squ</w:t>
      </w:r>
      <w:r w:rsidR="001C63CD">
        <w:rPr>
          <w:lang w:val="fr-FR"/>
        </w:rPr>
        <w:t>’</w:t>
      </w:r>
      <w:r w:rsidR="001A3AC1" w:rsidRPr="00157BF0">
        <w:rPr>
          <w:lang w:val="fr-FR"/>
        </w:rPr>
        <w:t xml:space="preserve">à présent, plusieurs administrations chargées de la recherche internationale qui avaient été invitées à participer ont décliné, </w:t>
      </w:r>
      <w:r w:rsidR="00600040" w:rsidRPr="00157BF0">
        <w:rPr>
          <w:lang w:val="fr-FR"/>
        </w:rPr>
        <w:t xml:space="preserve">en raison de limitations de leurs systèmes informatiques ou </w:t>
      </w:r>
      <w:r w:rsidR="00764953" w:rsidRPr="00157BF0">
        <w:rPr>
          <w:lang w:val="fr-FR"/>
        </w:rPr>
        <w:t xml:space="preserve">de restrictions budgétaires ou comptables à la compensation de transactions portant </w:t>
      </w:r>
      <w:r w:rsidR="001B449A" w:rsidRPr="00157BF0">
        <w:rPr>
          <w:lang w:val="fr-FR"/>
        </w:rPr>
        <w:t>sur</w:t>
      </w:r>
      <w:r w:rsidR="00764953" w:rsidRPr="00157BF0">
        <w:rPr>
          <w:lang w:val="fr-FR"/>
        </w:rPr>
        <w:t xml:space="preserve"> des flux de recettes di</w:t>
      </w:r>
      <w:r w:rsidR="001B449A" w:rsidRPr="00157BF0">
        <w:rPr>
          <w:lang w:val="fr-FR"/>
        </w:rPr>
        <w:t>stinc</w:t>
      </w:r>
      <w:r w:rsidR="00764953" w:rsidRPr="00157BF0">
        <w:rPr>
          <w:lang w:val="fr-FR"/>
        </w:rPr>
        <w:t>ts.</w:t>
      </w:r>
    </w:p>
    <w:p w14:paraId="6E1D9EF6" w14:textId="3FF0E723" w:rsidR="001C63CD" w:rsidRDefault="001B449A" w:rsidP="00157BF0">
      <w:pPr>
        <w:pStyle w:val="ONUMFS"/>
        <w:rPr>
          <w:lang w:val="fr-FR"/>
        </w:rPr>
      </w:pPr>
      <w:r w:rsidRPr="00157BF0">
        <w:rPr>
          <w:lang w:val="fr-FR"/>
        </w:rPr>
        <w:t>Ces procédures auront une incidence sur les méthodes comptables appliquées au titre des systèmes</w:t>
      </w:r>
      <w:r w:rsidR="001C63CD" w:rsidRPr="00157BF0">
        <w:rPr>
          <w:lang w:val="fr-FR"/>
        </w:rPr>
        <w:t xml:space="preserve"> du</w:t>
      </w:r>
      <w:r w:rsidR="001C63CD">
        <w:rPr>
          <w:lang w:val="fr-FR"/>
        </w:rPr>
        <w:t> </w:t>
      </w:r>
      <w:r w:rsidR="001C63CD" w:rsidRPr="00157BF0">
        <w:rPr>
          <w:lang w:val="fr-FR"/>
        </w:rPr>
        <w:t>PCT</w:t>
      </w:r>
      <w:r w:rsidRPr="00157BF0">
        <w:rPr>
          <w:lang w:val="fr-FR"/>
        </w:rPr>
        <w:t xml:space="preserve">, de Madrid et de </w:t>
      </w:r>
      <w:r w:rsidR="001C63CD">
        <w:rPr>
          <w:lang w:val="fr-FR"/>
        </w:rPr>
        <w:t>La Haye</w:t>
      </w:r>
      <w:r w:rsidRPr="00157BF0">
        <w:rPr>
          <w:lang w:val="fr-FR"/>
        </w:rPr>
        <w:t>, qui sont en train d</w:t>
      </w:r>
      <w:r w:rsidR="001C63CD">
        <w:rPr>
          <w:lang w:val="fr-FR"/>
        </w:rPr>
        <w:t>’</w:t>
      </w:r>
      <w:r w:rsidRPr="00157BF0">
        <w:rPr>
          <w:lang w:val="fr-FR"/>
        </w:rPr>
        <w:t>être analysées.</w:t>
      </w:r>
    </w:p>
    <w:p w14:paraId="1354BF12" w14:textId="02712224" w:rsidR="001C63CD" w:rsidRDefault="00AC09AD" w:rsidP="00157BF0">
      <w:pPr>
        <w:pStyle w:val="ONUMFS"/>
        <w:rPr>
          <w:lang w:val="fr-FR"/>
        </w:rPr>
      </w:pPr>
      <w:r w:rsidRPr="00157BF0">
        <w:rPr>
          <w:lang w:val="fr-FR"/>
        </w:rPr>
        <w:t>Diverses</w:t>
      </w:r>
      <w:r w:rsidR="0015535D" w:rsidRPr="00157BF0">
        <w:rPr>
          <w:lang w:val="fr-FR"/>
        </w:rPr>
        <w:t xml:space="preserve"> questions ont été examinées </w:t>
      </w:r>
      <w:r w:rsidR="001C63CD" w:rsidRPr="00157BF0">
        <w:rPr>
          <w:lang w:val="fr-FR"/>
        </w:rPr>
        <w:t>en</w:t>
      </w:r>
      <w:r w:rsidR="001C63CD">
        <w:rPr>
          <w:lang w:val="fr-FR"/>
        </w:rPr>
        <w:t> </w:t>
      </w:r>
      <w:r w:rsidR="001C63CD" w:rsidRPr="00157BF0">
        <w:rPr>
          <w:lang w:val="fr-FR"/>
        </w:rPr>
        <w:t>2018</w:t>
      </w:r>
      <w:r w:rsidR="0015535D" w:rsidRPr="00157BF0">
        <w:rPr>
          <w:lang w:val="fr-FR"/>
        </w:rPr>
        <w:t xml:space="preserve">, notamment </w:t>
      </w:r>
      <w:r w:rsidRPr="00157BF0">
        <w:rPr>
          <w:lang w:val="fr-FR"/>
        </w:rPr>
        <w:t xml:space="preserve">celle de </w:t>
      </w:r>
      <w:r w:rsidR="0015535D" w:rsidRPr="00157BF0">
        <w:rPr>
          <w:lang w:val="fr-FR"/>
        </w:rPr>
        <w:t>l</w:t>
      </w:r>
      <w:r w:rsidR="001C63CD">
        <w:rPr>
          <w:lang w:val="fr-FR"/>
        </w:rPr>
        <w:t>’</w:t>
      </w:r>
      <w:r w:rsidR="0015535D" w:rsidRPr="00157BF0">
        <w:rPr>
          <w:lang w:val="fr-FR"/>
        </w:rPr>
        <w:t>optimisation du système</w:t>
      </w:r>
      <w:r w:rsidR="00605089" w:rsidRPr="00157BF0">
        <w:rPr>
          <w:lang w:val="fr-FR"/>
        </w:rPr>
        <w:t xml:space="preserve"> en vue de la réalisation de </w:t>
      </w:r>
      <w:r w:rsidR="0015535D" w:rsidRPr="00157BF0">
        <w:rPr>
          <w:lang w:val="fr-FR"/>
        </w:rPr>
        <w:t>l</w:t>
      </w:r>
      <w:r w:rsidR="001C63CD">
        <w:rPr>
          <w:lang w:val="fr-FR"/>
        </w:rPr>
        <w:t>’</w:t>
      </w:r>
      <w:r w:rsidR="0015535D" w:rsidRPr="00157BF0">
        <w:rPr>
          <w:lang w:val="fr-FR"/>
        </w:rPr>
        <w:t>objectif fondamental</w:t>
      </w:r>
      <w:r w:rsidRPr="00157BF0">
        <w:rPr>
          <w:lang w:val="fr-FR"/>
        </w:rPr>
        <w:t xml:space="preserve"> de </w:t>
      </w:r>
      <w:r w:rsidR="0015535D" w:rsidRPr="00157BF0">
        <w:rPr>
          <w:lang w:val="fr-FR"/>
        </w:rPr>
        <w:t>réduction des risques liés à la fluctuation des taux de chan</w:t>
      </w:r>
      <w:r w:rsidR="005C097F" w:rsidRPr="00157BF0">
        <w:rPr>
          <w:lang w:val="fr-FR"/>
        </w:rPr>
        <w:t>ge</w:t>
      </w:r>
      <w:r w:rsidR="005C097F">
        <w:rPr>
          <w:lang w:val="fr-FR"/>
        </w:rPr>
        <w:t xml:space="preserve">.  </w:t>
      </w:r>
      <w:r w:rsidR="005C097F" w:rsidRPr="00157BF0">
        <w:rPr>
          <w:lang w:val="fr-FR"/>
        </w:rPr>
        <w:t>Ce</w:t>
      </w:r>
      <w:r w:rsidR="00BC4072" w:rsidRPr="00157BF0">
        <w:rPr>
          <w:lang w:val="fr-FR"/>
        </w:rPr>
        <w:t>la a conduit</w:t>
      </w:r>
      <w:r w:rsidR="00AE1406" w:rsidRPr="00157BF0">
        <w:rPr>
          <w:lang w:val="fr-FR"/>
        </w:rPr>
        <w:t xml:space="preserve"> l</w:t>
      </w:r>
      <w:r w:rsidR="001C63CD">
        <w:rPr>
          <w:lang w:val="fr-FR"/>
        </w:rPr>
        <w:t>’</w:t>
      </w:r>
      <w:r w:rsidR="00AE1406" w:rsidRPr="00157BF0">
        <w:rPr>
          <w:lang w:val="fr-FR"/>
        </w:rPr>
        <w:t>OMPI</w:t>
      </w:r>
      <w:r w:rsidR="00BC4072" w:rsidRPr="00157BF0">
        <w:rPr>
          <w:lang w:val="fr-FR"/>
        </w:rPr>
        <w:t xml:space="preserve"> à </w:t>
      </w:r>
      <w:r w:rsidRPr="00157BF0">
        <w:rPr>
          <w:lang w:val="fr-FR"/>
        </w:rPr>
        <w:t xml:space="preserve">ouvrir </w:t>
      </w:r>
      <w:r w:rsidR="00BC4072" w:rsidRPr="00157BF0">
        <w:rPr>
          <w:lang w:val="fr-FR"/>
        </w:rPr>
        <w:t>de nouveaux comptes bancaires pour recevoir les devises dans lesquelles</w:t>
      </w:r>
      <w:r w:rsidR="00AE1406" w:rsidRPr="00157BF0">
        <w:rPr>
          <w:lang w:val="fr-FR"/>
        </w:rPr>
        <w:t xml:space="preserve"> elle</w:t>
      </w:r>
      <w:r w:rsidR="00BC4072" w:rsidRPr="00157BF0">
        <w:rPr>
          <w:lang w:val="fr-FR"/>
        </w:rPr>
        <w:t xml:space="preserve"> </w:t>
      </w:r>
      <w:r w:rsidR="00AE1406" w:rsidRPr="00157BF0">
        <w:rPr>
          <w:lang w:val="fr-FR"/>
        </w:rPr>
        <w:t xml:space="preserve">a </w:t>
      </w:r>
      <w:r w:rsidR="00BC4072" w:rsidRPr="00157BF0">
        <w:rPr>
          <w:lang w:val="fr-FR"/>
        </w:rPr>
        <w:t xml:space="preserve">actuellement peu de dépenses et à </w:t>
      </w:r>
      <w:r w:rsidR="00736C3C" w:rsidRPr="00157BF0">
        <w:rPr>
          <w:lang w:val="fr-FR"/>
        </w:rPr>
        <w:t xml:space="preserve">prendre des dispositions pour vendre ces devises </w:t>
      </w:r>
      <w:r w:rsidR="00BC4072" w:rsidRPr="00157BF0">
        <w:rPr>
          <w:lang w:val="fr-FR"/>
        </w:rPr>
        <w:t>afin d</w:t>
      </w:r>
      <w:r w:rsidR="001C63CD">
        <w:rPr>
          <w:lang w:val="fr-FR"/>
        </w:rPr>
        <w:t>’</w:t>
      </w:r>
      <w:r w:rsidR="00AE1406" w:rsidRPr="00157BF0">
        <w:rPr>
          <w:lang w:val="fr-FR"/>
        </w:rPr>
        <w:t xml:space="preserve">en </w:t>
      </w:r>
      <w:r w:rsidR="00BC4072" w:rsidRPr="00157BF0">
        <w:rPr>
          <w:lang w:val="fr-FR"/>
        </w:rPr>
        <w:t>acquérir d</w:t>
      </w:r>
      <w:r w:rsidR="001C63CD">
        <w:rPr>
          <w:lang w:val="fr-FR"/>
        </w:rPr>
        <w:t>’</w:t>
      </w:r>
      <w:r w:rsidR="00AE1406" w:rsidRPr="00157BF0">
        <w:rPr>
          <w:lang w:val="fr-FR"/>
        </w:rPr>
        <w:t>autres, lui permettant</w:t>
      </w:r>
      <w:r w:rsidR="00BC4072" w:rsidRPr="00157BF0">
        <w:rPr>
          <w:lang w:val="fr-FR"/>
        </w:rPr>
        <w:t xml:space="preserve"> de compenser </w:t>
      </w:r>
      <w:r w:rsidR="00AC7D33" w:rsidRPr="00157BF0">
        <w:rPr>
          <w:lang w:val="fr-FR"/>
        </w:rPr>
        <w:t>l</w:t>
      </w:r>
      <w:r w:rsidR="00BC4072" w:rsidRPr="00157BF0">
        <w:rPr>
          <w:lang w:val="fr-FR"/>
        </w:rPr>
        <w:t>es transactio</w:t>
      </w:r>
      <w:r w:rsidR="005C097F" w:rsidRPr="00157BF0">
        <w:rPr>
          <w:lang w:val="fr-FR"/>
        </w:rPr>
        <w:t>ns</w:t>
      </w:r>
      <w:r w:rsidR="005C097F">
        <w:rPr>
          <w:lang w:val="fr-FR"/>
        </w:rPr>
        <w:t xml:space="preserve">.  </w:t>
      </w:r>
      <w:r w:rsidR="005C097F" w:rsidRPr="00157BF0">
        <w:rPr>
          <w:lang w:val="fr-FR"/>
        </w:rPr>
        <w:t>Le</w:t>
      </w:r>
      <w:r w:rsidR="002E4F34" w:rsidRPr="00157BF0">
        <w:rPr>
          <w:lang w:val="fr-FR"/>
        </w:rPr>
        <w:t>s taxes internationales de dépôt selon</w:t>
      </w:r>
      <w:r w:rsidR="001C63CD" w:rsidRPr="00157BF0">
        <w:rPr>
          <w:lang w:val="fr-FR"/>
        </w:rPr>
        <w:t xml:space="preserve"> le</w:t>
      </w:r>
      <w:r w:rsidR="001C63CD">
        <w:rPr>
          <w:lang w:val="fr-FR"/>
        </w:rPr>
        <w:t> </w:t>
      </w:r>
      <w:r w:rsidR="001C63CD" w:rsidRPr="00157BF0">
        <w:rPr>
          <w:lang w:val="fr-FR"/>
        </w:rPr>
        <w:t>PCT</w:t>
      </w:r>
      <w:r w:rsidR="00DD5A0F" w:rsidRPr="00157BF0">
        <w:rPr>
          <w:lang w:val="fr-FR"/>
        </w:rPr>
        <w:t xml:space="preserve"> que le Bureau international recevait auparavant des offices récepteurs dans ces devises étaient versées dans un compte en francs suisses, ce qui ne permettait pas de les convertir à un taux avantage</w:t>
      </w:r>
      <w:r w:rsidR="005C097F" w:rsidRPr="00157BF0">
        <w:rPr>
          <w:lang w:val="fr-FR"/>
        </w:rPr>
        <w:t>ux</w:t>
      </w:r>
      <w:r w:rsidR="005C097F">
        <w:rPr>
          <w:lang w:val="fr-FR"/>
        </w:rPr>
        <w:t xml:space="preserve">.  </w:t>
      </w:r>
      <w:r w:rsidR="005C097F" w:rsidRPr="00157BF0">
        <w:rPr>
          <w:lang w:val="fr-FR"/>
        </w:rPr>
        <w:t>Le</w:t>
      </w:r>
      <w:r w:rsidR="00974BBB" w:rsidRPr="00157BF0">
        <w:rPr>
          <w:lang w:val="fr-FR"/>
        </w:rPr>
        <w:t xml:space="preserve"> fait de verser les taxes internationales de dépôt et les taxes de recherche sur des comptes libellés dans la devise dans laquelle elles sont perçues et de convertir ensuite le solde inutilisé dans une devise nécessaire pour effectuer certaines dépenses a permis d</w:t>
      </w:r>
      <w:r w:rsidR="001C63CD">
        <w:rPr>
          <w:lang w:val="fr-FR"/>
        </w:rPr>
        <w:t>’</w:t>
      </w:r>
      <w:r w:rsidR="00974BBB" w:rsidRPr="00157BF0">
        <w:rPr>
          <w:lang w:val="fr-FR"/>
        </w:rPr>
        <w:t>améliorer la gestion de la trésorerie et d</w:t>
      </w:r>
      <w:r w:rsidR="001C63CD">
        <w:rPr>
          <w:lang w:val="fr-FR"/>
        </w:rPr>
        <w:t>’</w:t>
      </w:r>
      <w:r w:rsidR="00974BBB" w:rsidRPr="00157BF0">
        <w:rPr>
          <w:lang w:val="fr-FR"/>
        </w:rPr>
        <w:t>obtenir des taux de change plus favorables.</w:t>
      </w:r>
    </w:p>
    <w:p w14:paraId="07BF26F7" w14:textId="6094C0AB" w:rsidR="00393C85" w:rsidRPr="00157BF0" w:rsidRDefault="000C70B6" w:rsidP="00157BF0">
      <w:pPr>
        <w:pStyle w:val="ONUMFS"/>
        <w:rPr>
          <w:lang w:val="fr-FR"/>
        </w:rPr>
      </w:pPr>
      <w:r w:rsidRPr="00157BF0">
        <w:rPr>
          <w:lang w:val="fr-FR"/>
        </w:rPr>
        <w:t>Il est à noter que le mécanisme sur lequel porte le projet pilote n</w:t>
      </w:r>
      <w:r w:rsidR="001C63CD">
        <w:rPr>
          <w:lang w:val="fr-FR"/>
        </w:rPr>
        <w:t>’</w:t>
      </w:r>
      <w:r w:rsidRPr="00157BF0">
        <w:rPr>
          <w:lang w:val="fr-FR"/>
        </w:rPr>
        <w:t>est pas conçu pour éliminer complètement le risque de change du système</w:t>
      </w:r>
      <w:r w:rsidR="001C63CD" w:rsidRPr="00157BF0">
        <w:rPr>
          <w:lang w:val="fr-FR"/>
        </w:rPr>
        <w:t xml:space="preserve"> du</w:t>
      </w:r>
      <w:r w:rsidR="001C63CD">
        <w:rPr>
          <w:lang w:val="fr-FR"/>
        </w:rPr>
        <w:t> </w:t>
      </w:r>
      <w:r w:rsidR="005C097F" w:rsidRPr="00157BF0">
        <w:rPr>
          <w:lang w:val="fr-FR"/>
        </w:rPr>
        <w:t>PCT</w:t>
      </w:r>
      <w:r w:rsidR="005C097F">
        <w:rPr>
          <w:lang w:val="fr-FR"/>
        </w:rPr>
        <w:t xml:space="preserve">.  </w:t>
      </w:r>
      <w:r w:rsidR="005C097F" w:rsidRPr="00157BF0">
        <w:rPr>
          <w:lang w:val="fr-FR"/>
        </w:rPr>
        <w:t>La</w:t>
      </w:r>
      <w:r w:rsidR="009B4667" w:rsidRPr="00157BF0">
        <w:rPr>
          <w:lang w:val="fr-FR"/>
        </w:rPr>
        <w:t xml:space="preserve"> compensation concerne les différences de change</w:t>
      </w:r>
      <w:r w:rsidR="00410B1E" w:rsidRPr="00157BF0">
        <w:rPr>
          <w:lang w:val="fr-FR"/>
        </w:rPr>
        <w:t xml:space="preserve"> relatives à l</w:t>
      </w:r>
      <w:r w:rsidR="001C63CD">
        <w:rPr>
          <w:lang w:val="fr-FR"/>
        </w:rPr>
        <w:t>’</w:t>
      </w:r>
      <w:r w:rsidR="00410B1E" w:rsidRPr="00157BF0">
        <w:rPr>
          <w:lang w:val="fr-FR"/>
        </w:rPr>
        <w:t xml:space="preserve">obligation du Bureau international de rembourser aux administrations chargées de la recherche internationale, en vertu de la </w:t>
      </w:r>
      <w:r w:rsidR="001C63CD" w:rsidRPr="00157BF0">
        <w:rPr>
          <w:lang w:val="fr-FR"/>
        </w:rPr>
        <w:t>règle</w:t>
      </w:r>
      <w:r w:rsidR="001C63CD">
        <w:rPr>
          <w:lang w:val="fr-FR"/>
        </w:rPr>
        <w:t> </w:t>
      </w:r>
      <w:r w:rsidR="001C63CD" w:rsidRPr="00157BF0">
        <w:rPr>
          <w:lang w:val="fr-FR"/>
        </w:rPr>
        <w:t>1</w:t>
      </w:r>
      <w:r w:rsidR="00410B1E" w:rsidRPr="00157BF0">
        <w:rPr>
          <w:lang w:val="fr-FR"/>
        </w:rPr>
        <w:t>6.1.</w:t>
      </w:r>
      <w:r w:rsidR="00270D9D" w:rsidRPr="00157BF0">
        <w:rPr>
          <w:lang w:val="fr-FR"/>
        </w:rPr>
        <w:t>e</w:t>
      </w:r>
      <w:r w:rsidR="00410B1E" w:rsidRPr="00157BF0">
        <w:rPr>
          <w:lang w:val="fr-FR"/>
        </w:rPr>
        <w:t xml:space="preserve">), la différence entre le montant de taxes qui leur est versé par les offices récepteurs dans une monnaie prescrite et le montant établi par lesdites administrations chargées de la recherche </w:t>
      </w:r>
      <w:r w:rsidR="00410B1E" w:rsidRPr="00157BF0">
        <w:rPr>
          <w:lang w:val="fr-FR"/>
        </w:rPr>
        <w:lastRenderedPageBreak/>
        <w:t>internationa</w:t>
      </w:r>
      <w:r w:rsidR="005C097F" w:rsidRPr="00157BF0">
        <w:rPr>
          <w:lang w:val="fr-FR"/>
        </w:rPr>
        <w:t>le</w:t>
      </w:r>
      <w:r w:rsidR="005C097F">
        <w:rPr>
          <w:lang w:val="fr-FR"/>
        </w:rPr>
        <w:t xml:space="preserve">.  </w:t>
      </w:r>
      <w:r w:rsidR="005C097F" w:rsidRPr="00157BF0">
        <w:rPr>
          <w:lang w:val="fr-FR"/>
        </w:rPr>
        <w:t>Le</w:t>
      </w:r>
      <w:r w:rsidR="00E36934" w:rsidRPr="00157BF0">
        <w:rPr>
          <w:lang w:val="fr-FR"/>
        </w:rPr>
        <w:t xml:space="preserve"> mécanisme de compensation vise également à corriger les problèmes de gestion de trésorerie liés aux entrées de taxes exprimées dans des devises autres que la devise fonctionnelle du Bureau international (franc suisse/CHF).</w:t>
      </w:r>
      <w:r w:rsidR="00270D9D" w:rsidRPr="00157BF0">
        <w:rPr>
          <w:lang w:val="fr-FR"/>
        </w:rPr>
        <w:t xml:space="preserve">  </w:t>
      </w:r>
      <w:r w:rsidR="00C80C34" w:rsidRPr="00157BF0">
        <w:rPr>
          <w:lang w:val="fr-FR"/>
        </w:rPr>
        <w:t>Par le passé, la valeur d</w:t>
      </w:r>
      <w:r w:rsidR="00270D9D" w:rsidRPr="00157BF0">
        <w:rPr>
          <w:lang w:val="fr-FR"/>
        </w:rPr>
        <w:t xml:space="preserve">es demandes de </w:t>
      </w:r>
      <w:r w:rsidR="00C80C34" w:rsidRPr="00157BF0">
        <w:rPr>
          <w:lang w:val="fr-FR"/>
        </w:rPr>
        <w:t>remboursement</w:t>
      </w:r>
      <w:r w:rsidR="00270D9D" w:rsidRPr="00157BF0">
        <w:rPr>
          <w:lang w:val="fr-FR"/>
        </w:rPr>
        <w:t xml:space="preserve"> en vertu de la </w:t>
      </w:r>
      <w:r w:rsidR="001C63CD" w:rsidRPr="00157BF0">
        <w:rPr>
          <w:lang w:val="fr-FR"/>
        </w:rPr>
        <w:t>règle</w:t>
      </w:r>
      <w:r w:rsidR="001C63CD">
        <w:rPr>
          <w:lang w:val="fr-FR"/>
        </w:rPr>
        <w:t> </w:t>
      </w:r>
      <w:r w:rsidR="001C63CD" w:rsidRPr="00157BF0">
        <w:rPr>
          <w:lang w:val="fr-FR"/>
        </w:rPr>
        <w:t>1</w:t>
      </w:r>
      <w:r w:rsidR="00270D9D" w:rsidRPr="00157BF0">
        <w:rPr>
          <w:lang w:val="fr-FR"/>
        </w:rPr>
        <w:t>6.1.e)</w:t>
      </w:r>
      <w:r w:rsidR="00E36934" w:rsidRPr="00157BF0">
        <w:rPr>
          <w:lang w:val="fr-FR"/>
        </w:rPr>
        <w:t xml:space="preserve"> </w:t>
      </w:r>
      <w:r w:rsidR="00C80C34" w:rsidRPr="00157BF0">
        <w:rPr>
          <w:lang w:val="fr-FR"/>
        </w:rPr>
        <w:t>était substantiel</w:t>
      </w:r>
      <w:r w:rsidR="005C097F" w:rsidRPr="00157BF0">
        <w:rPr>
          <w:lang w:val="fr-FR"/>
        </w:rPr>
        <w:t>le</w:t>
      </w:r>
      <w:r w:rsidR="005C097F">
        <w:rPr>
          <w:lang w:val="fr-FR"/>
        </w:rPr>
        <w:t xml:space="preserve">.  </w:t>
      </w:r>
      <w:r w:rsidR="005C097F" w:rsidRPr="00157BF0">
        <w:rPr>
          <w:lang w:val="fr-FR"/>
        </w:rPr>
        <w:t>El</w:t>
      </w:r>
      <w:r w:rsidR="00C80C34" w:rsidRPr="00157BF0">
        <w:rPr>
          <w:lang w:val="fr-FR"/>
        </w:rPr>
        <w:t>le s</w:t>
      </w:r>
      <w:r w:rsidR="001C63CD">
        <w:rPr>
          <w:lang w:val="fr-FR"/>
        </w:rPr>
        <w:t>’</w:t>
      </w:r>
      <w:r w:rsidR="00C80C34" w:rsidRPr="00157BF0">
        <w:rPr>
          <w:lang w:val="fr-FR"/>
        </w:rPr>
        <w:t>est réduite à des montants minimes pour les administrations chargées de la recherche internationale et les offices récepteurs participant au projet pilote.</w:t>
      </w:r>
    </w:p>
    <w:p w14:paraId="2E7A74C9" w14:textId="73038FA0" w:rsidR="00393C85" w:rsidRPr="00157BF0" w:rsidRDefault="00154F11" w:rsidP="00157BF0">
      <w:pPr>
        <w:pStyle w:val="ONUMFS"/>
        <w:rPr>
          <w:lang w:val="fr-FR"/>
        </w:rPr>
      </w:pPr>
      <w:r w:rsidRPr="00157BF0">
        <w:rPr>
          <w:lang w:val="fr-FR"/>
        </w:rPr>
        <w:t>Le projet pilote n</w:t>
      </w:r>
      <w:r w:rsidR="001C63CD">
        <w:rPr>
          <w:lang w:val="fr-FR"/>
        </w:rPr>
        <w:t>’</w:t>
      </w:r>
      <w:r w:rsidRPr="00157BF0">
        <w:rPr>
          <w:lang w:val="fr-FR"/>
        </w:rPr>
        <w:t>aborde pas la question plus large du risque de change</w:t>
      </w:r>
      <w:r w:rsidR="00021322" w:rsidRPr="00157BF0">
        <w:rPr>
          <w:lang w:val="fr-FR"/>
        </w:rPr>
        <w:t xml:space="preserve"> créé par l</w:t>
      </w:r>
      <w:r w:rsidR="001C63CD">
        <w:rPr>
          <w:lang w:val="fr-FR"/>
        </w:rPr>
        <w:t>’</w:t>
      </w:r>
      <w:r w:rsidR="00021322" w:rsidRPr="00157BF0">
        <w:rPr>
          <w:lang w:val="fr-FR"/>
        </w:rPr>
        <w:t>utilisation des montants équivalents de certaines taxes, approuvée par l</w:t>
      </w:r>
      <w:r w:rsidR="001C63CD">
        <w:rPr>
          <w:lang w:val="fr-FR"/>
        </w:rPr>
        <w:t>’</w:t>
      </w:r>
      <w:r w:rsidR="00021322" w:rsidRPr="00157BF0">
        <w:rPr>
          <w:lang w:val="fr-FR"/>
        </w:rPr>
        <w:t>Assemblée de l</w:t>
      </w:r>
      <w:r w:rsidR="001C63CD">
        <w:rPr>
          <w:lang w:val="fr-FR"/>
        </w:rPr>
        <w:t>’</w:t>
      </w:r>
      <w:r w:rsidR="00021322" w:rsidRPr="00157BF0">
        <w:rPr>
          <w:lang w:val="fr-FR"/>
        </w:rPr>
        <w:t>Union</w:t>
      </w:r>
      <w:r w:rsidR="001C63CD" w:rsidRPr="00157BF0">
        <w:rPr>
          <w:lang w:val="fr-FR"/>
        </w:rPr>
        <w:t xml:space="preserve"> du</w:t>
      </w:r>
      <w:r w:rsidR="001C63CD">
        <w:rPr>
          <w:lang w:val="fr-FR"/>
        </w:rPr>
        <w:t> </w:t>
      </w:r>
      <w:r w:rsidR="001C63CD" w:rsidRPr="00157BF0">
        <w:rPr>
          <w:lang w:val="fr-FR"/>
        </w:rPr>
        <w:t>PCT</w:t>
      </w:r>
      <w:r w:rsidR="00021322" w:rsidRPr="00157BF0">
        <w:rPr>
          <w:lang w:val="fr-FR"/>
        </w:rPr>
        <w:t xml:space="preserve"> (voir le document PCT/A/40/2).  Ce mécanisme, adopté par l</w:t>
      </w:r>
      <w:r w:rsidR="001C63CD">
        <w:rPr>
          <w:lang w:val="fr-FR"/>
        </w:rPr>
        <w:t>’</w:t>
      </w:r>
      <w:r w:rsidR="00021322" w:rsidRPr="00157BF0">
        <w:rPr>
          <w:lang w:val="fr-FR"/>
        </w:rPr>
        <w:t>Assemblée de l</w:t>
      </w:r>
      <w:r w:rsidR="001C63CD">
        <w:rPr>
          <w:lang w:val="fr-FR"/>
        </w:rPr>
        <w:t>’</w:t>
      </w:r>
      <w:r w:rsidR="00021322" w:rsidRPr="00157BF0">
        <w:rPr>
          <w:lang w:val="fr-FR"/>
        </w:rPr>
        <w:t>Union</w:t>
      </w:r>
      <w:r w:rsidR="001C63CD" w:rsidRPr="00157BF0">
        <w:rPr>
          <w:lang w:val="fr-FR"/>
        </w:rPr>
        <w:t xml:space="preserve"> du</w:t>
      </w:r>
      <w:r w:rsidR="001C63CD">
        <w:rPr>
          <w:lang w:val="fr-FR"/>
        </w:rPr>
        <w:t> </w:t>
      </w:r>
      <w:r w:rsidR="001C63CD" w:rsidRPr="00157BF0">
        <w:rPr>
          <w:lang w:val="fr-FR"/>
        </w:rPr>
        <w:t>PCT</w:t>
      </w:r>
      <w:r w:rsidR="00021322" w:rsidRPr="00157BF0">
        <w:rPr>
          <w:lang w:val="fr-FR"/>
        </w:rPr>
        <w:t xml:space="preserve"> </w:t>
      </w:r>
      <w:r w:rsidR="001C63CD" w:rsidRPr="00157BF0">
        <w:rPr>
          <w:lang w:val="fr-FR"/>
        </w:rPr>
        <w:t>en</w:t>
      </w:r>
      <w:r w:rsidR="001C63CD">
        <w:rPr>
          <w:lang w:val="fr-FR"/>
        </w:rPr>
        <w:t> </w:t>
      </w:r>
      <w:r w:rsidR="001C63CD" w:rsidRPr="00157BF0">
        <w:rPr>
          <w:lang w:val="fr-FR"/>
        </w:rPr>
        <w:t>2009</w:t>
      </w:r>
      <w:r w:rsidR="00021322" w:rsidRPr="00157BF0">
        <w:rPr>
          <w:lang w:val="fr-FR"/>
        </w:rPr>
        <w:t xml:space="preserve"> et entré en vigueur le</w:t>
      </w:r>
      <w:r w:rsidR="001C63CD">
        <w:rPr>
          <w:lang w:val="fr-FR"/>
        </w:rPr>
        <w:t xml:space="preserve"> 1</w:t>
      </w:r>
      <w:r w:rsidR="001C63CD" w:rsidRPr="001C63CD">
        <w:rPr>
          <w:vertAlign w:val="superscript"/>
          <w:lang w:val="fr-FR"/>
        </w:rPr>
        <w:t>er</w:t>
      </w:r>
      <w:r w:rsidR="001C63CD">
        <w:rPr>
          <w:lang w:val="fr-FR"/>
        </w:rPr>
        <w:t> </w:t>
      </w:r>
      <w:r w:rsidR="001C63CD" w:rsidRPr="00157BF0">
        <w:rPr>
          <w:lang w:val="fr-FR"/>
        </w:rPr>
        <w:t>juillet</w:t>
      </w:r>
      <w:r w:rsidR="001C63CD">
        <w:rPr>
          <w:lang w:val="fr-FR"/>
        </w:rPr>
        <w:t> </w:t>
      </w:r>
      <w:r w:rsidR="001C63CD" w:rsidRPr="00157BF0">
        <w:rPr>
          <w:lang w:val="fr-FR"/>
        </w:rPr>
        <w:t>20</w:t>
      </w:r>
      <w:r w:rsidR="00021322" w:rsidRPr="00157BF0">
        <w:rPr>
          <w:lang w:val="fr-FR"/>
        </w:rPr>
        <w:t xml:space="preserve">10, </w:t>
      </w:r>
      <w:r w:rsidR="00E1705F" w:rsidRPr="00157BF0">
        <w:rPr>
          <w:lang w:val="fr-FR"/>
        </w:rPr>
        <w:t xml:space="preserve">a rempli </w:t>
      </w:r>
      <w:r w:rsidR="00335771" w:rsidRPr="00157BF0">
        <w:rPr>
          <w:lang w:val="fr-FR"/>
        </w:rPr>
        <w:t xml:space="preserve">le rôle prévu, </w:t>
      </w:r>
      <w:r w:rsidR="00E03FDE" w:rsidRPr="00157BF0">
        <w:rPr>
          <w:lang w:val="fr-FR"/>
        </w:rPr>
        <w:t>en permettant</w:t>
      </w:r>
      <w:r w:rsidR="00335771" w:rsidRPr="00157BF0">
        <w:rPr>
          <w:lang w:val="fr-FR"/>
        </w:rPr>
        <w:t xml:space="preserve"> aux déposants </w:t>
      </w:r>
      <w:r w:rsidR="00496C01" w:rsidRPr="00157BF0">
        <w:rPr>
          <w:lang w:val="fr-FR"/>
        </w:rPr>
        <w:t>de payer dans l</w:t>
      </w:r>
      <w:r w:rsidR="001C63CD">
        <w:rPr>
          <w:lang w:val="fr-FR"/>
        </w:rPr>
        <w:t>’</w:t>
      </w:r>
      <w:r w:rsidR="00496C01" w:rsidRPr="00157BF0">
        <w:rPr>
          <w:lang w:val="fr-FR"/>
        </w:rPr>
        <w:t>une des monnaies prescrites par les offices récepteurs</w:t>
      </w:r>
      <w:r w:rsidR="001C63CD" w:rsidRPr="00157BF0">
        <w:rPr>
          <w:lang w:val="fr-FR"/>
        </w:rPr>
        <w:t xml:space="preserve"> du</w:t>
      </w:r>
      <w:r w:rsidR="001C63CD">
        <w:rPr>
          <w:lang w:val="fr-FR"/>
        </w:rPr>
        <w:t> </w:t>
      </w:r>
      <w:r w:rsidR="001C63CD" w:rsidRPr="00157BF0">
        <w:rPr>
          <w:lang w:val="fr-FR"/>
        </w:rPr>
        <w:t>PCT</w:t>
      </w:r>
      <w:r w:rsidR="00E03FDE" w:rsidRPr="00157BF0">
        <w:rPr>
          <w:lang w:val="fr-FR"/>
        </w:rPr>
        <w:t xml:space="preserve">, sur la base des montants équivalents fixés par le Bureau international, </w:t>
      </w:r>
      <w:r w:rsidR="00496C01" w:rsidRPr="00157BF0">
        <w:rPr>
          <w:lang w:val="fr-FR"/>
        </w:rPr>
        <w:t>certaines taxes</w:t>
      </w:r>
      <w:r w:rsidR="001C63CD" w:rsidRPr="00157BF0">
        <w:rPr>
          <w:lang w:val="fr-FR"/>
        </w:rPr>
        <w:t xml:space="preserve"> du</w:t>
      </w:r>
      <w:r w:rsidR="001C63CD">
        <w:rPr>
          <w:lang w:val="fr-FR"/>
        </w:rPr>
        <w:t> </w:t>
      </w:r>
      <w:r w:rsidR="001C63CD" w:rsidRPr="00157BF0">
        <w:rPr>
          <w:lang w:val="fr-FR"/>
        </w:rPr>
        <w:t>PCT</w:t>
      </w:r>
      <w:r w:rsidR="00496C01" w:rsidRPr="00157BF0">
        <w:rPr>
          <w:lang w:val="fr-FR"/>
        </w:rPr>
        <w:t xml:space="preserve"> établies en francs suisses (CHF) par l</w:t>
      </w:r>
      <w:r w:rsidR="001C63CD">
        <w:rPr>
          <w:lang w:val="fr-FR"/>
        </w:rPr>
        <w:t>’</w:t>
      </w:r>
      <w:r w:rsidR="00496C01" w:rsidRPr="00157BF0">
        <w:rPr>
          <w:lang w:val="fr-FR"/>
        </w:rPr>
        <w:t>Assemblée de l</w:t>
      </w:r>
      <w:r w:rsidR="001C63CD">
        <w:rPr>
          <w:lang w:val="fr-FR"/>
        </w:rPr>
        <w:t>’</w:t>
      </w:r>
      <w:r w:rsidR="00496C01" w:rsidRPr="00157BF0">
        <w:rPr>
          <w:lang w:val="fr-FR"/>
        </w:rPr>
        <w:t>Union</w:t>
      </w:r>
      <w:r w:rsidR="001C63CD" w:rsidRPr="00157BF0">
        <w:rPr>
          <w:lang w:val="fr-FR"/>
        </w:rPr>
        <w:t xml:space="preserve"> du</w:t>
      </w:r>
      <w:r w:rsidR="001C63CD">
        <w:rPr>
          <w:lang w:val="fr-FR"/>
        </w:rPr>
        <w:t> </w:t>
      </w:r>
      <w:r w:rsidR="005C097F" w:rsidRPr="00157BF0">
        <w:rPr>
          <w:lang w:val="fr-FR"/>
        </w:rPr>
        <w:t>PCT</w:t>
      </w:r>
      <w:r w:rsidR="005C097F">
        <w:rPr>
          <w:lang w:val="fr-FR"/>
        </w:rPr>
        <w:t xml:space="preserve">.  </w:t>
      </w:r>
      <w:r w:rsidR="005C097F" w:rsidRPr="00157BF0">
        <w:rPr>
          <w:lang w:val="fr-FR"/>
        </w:rPr>
        <w:t>Le</w:t>
      </w:r>
      <w:r w:rsidR="00C84830" w:rsidRPr="00157BF0">
        <w:rPr>
          <w:lang w:val="fr-FR"/>
        </w:rPr>
        <w:t xml:space="preserve"> projet pilote ne règle pas la question du risque de change découlant des variations</w:t>
      </w:r>
      <w:r w:rsidR="00AE5547" w:rsidRPr="00157BF0">
        <w:rPr>
          <w:lang w:val="fr-FR"/>
        </w:rPr>
        <w:t>,</w:t>
      </w:r>
      <w:r w:rsidR="00C84830" w:rsidRPr="00157BF0">
        <w:rPr>
          <w:lang w:val="fr-FR"/>
        </w:rPr>
        <w:t xml:space="preserve"> à la hausse ou à la baisse</w:t>
      </w:r>
      <w:r w:rsidR="00AE5547" w:rsidRPr="00157BF0">
        <w:rPr>
          <w:lang w:val="fr-FR"/>
        </w:rPr>
        <w:t>,</w:t>
      </w:r>
      <w:r w:rsidR="00C84830" w:rsidRPr="00157BF0">
        <w:rPr>
          <w:lang w:val="fr-FR"/>
        </w:rPr>
        <w:t xml:space="preserve"> </w:t>
      </w:r>
      <w:r w:rsidR="00AE5547" w:rsidRPr="00157BF0">
        <w:rPr>
          <w:lang w:val="fr-FR"/>
        </w:rPr>
        <w:t xml:space="preserve">des cours </w:t>
      </w:r>
      <w:r w:rsidR="00C84830" w:rsidRPr="00157BF0">
        <w:rPr>
          <w:lang w:val="fr-FR"/>
        </w:rPr>
        <w:t>des principales devises par rapport au franc suisse</w:t>
      </w:r>
      <w:r w:rsidR="00AE5547" w:rsidRPr="00157BF0">
        <w:rPr>
          <w:lang w:val="fr-FR"/>
        </w:rPr>
        <w:t xml:space="preserve">, qui créent </w:t>
      </w:r>
      <w:r w:rsidR="00855A76" w:rsidRPr="00157BF0">
        <w:rPr>
          <w:lang w:val="fr-FR"/>
        </w:rPr>
        <w:t>des écarts importants entre les montants équivalents fixés par le Bureau international et la valeur en francs suisses des taxes</w:t>
      </w:r>
      <w:r w:rsidR="001C63CD" w:rsidRPr="00157BF0">
        <w:rPr>
          <w:lang w:val="fr-FR"/>
        </w:rPr>
        <w:t xml:space="preserve"> du</w:t>
      </w:r>
      <w:r w:rsidR="001C63CD">
        <w:rPr>
          <w:lang w:val="fr-FR"/>
        </w:rPr>
        <w:t> </w:t>
      </w:r>
      <w:r w:rsidR="001C63CD" w:rsidRPr="00157BF0">
        <w:rPr>
          <w:lang w:val="fr-FR"/>
        </w:rPr>
        <w:t>PCT</w:t>
      </w:r>
      <w:r w:rsidR="00855A76" w:rsidRPr="00157BF0">
        <w:rPr>
          <w:lang w:val="fr-FR"/>
        </w:rPr>
        <w:t xml:space="preserve"> utilisée dans les prévisions de recett</w:t>
      </w:r>
      <w:r w:rsidR="005C097F" w:rsidRPr="00157BF0">
        <w:rPr>
          <w:lang w:val="fr-FR"/>
        </w:rPr>
        <w:t>es</w:t>
      </w:r>
      <w:r w:rsidR="005C097F">
        <w:rPr>
          <w:lang w:val="fr-FR"/>
        </w:rPr>
        <w:t xml:space="preserve">.  </w:t>
      </w:r>
      <w:r w:rsidR="005C097F" w:rsidRPr="00157BF0">
        <w:rPr>
          <w:lang w:val="fr-FR"/>
        </w:rPr>
        <w:t>Ce</w:t>
      </w:r>
      <w:r w:rsidR="00855A76" w:rsidRPr="00157BF0">
        <w:rPr>
          <w:lang w:val="fr-FR"/>
        </w:rPr>
        <w:t>s écarts sont actuellement pris en compte dans les procédures d</w:t>
      </w:r>
      <w:r w:rsidR="001C63CD">
        <w:rPr>
          <w:lang w:val="fr-FR"/>
        </w:rPr>
        <w:t>’</w:t>
      </w:r>
      <w:r w:rsidR="00855A76" w:rsidRPr="00157BF0">
        <w:rPr>
          <w:lang w:val="fr-FR"/>
        </w:rPr>
        <w:t>estimation des recettes utilisées aux fins de l</w:t>
      </w:r>
      <w:r w:rsidR="001C63CD">
        <w:rPr>
          <w:lang w:val="fr-FR"/>
        </w:rPr>
        <w:t>’</w:t>
      </w:r>
      <w:r w:rsidR="00855A76" w:rsidRPr="00157BF0">
        <w:rPr>
          <w:lang w:val="fr-FR"/>
        </w:rPr>
        <w:t>établissement du budget de l</w:t>
      </w:r>
      <w:r w:rsidR="001C63CD">
        <w:rPr>
          <w:lang w:val="fr-FR"/>
        </w:rPr>
        <w:t>’</w:t>
      </w:r>
      <w:r w:rsidR="00855A76" w:rsidRPr="00157BF0">
        <w:rPr>
          <w:lang w:val="fr-FR"/>
        </w:rPr>
        <w:t>OMPI.</w:t>
      </w:r>
    </w:p>
    <w:p w14:paraId="04E618CF" w14:textId="13670416" w:rsidR="007050D3" w:rsidRPr="00157BF0" w:rsidRDefault="00C12047" w:rsidP="00157BF0">
      <w:pPr>
        <w:pStyle w:val="ONUMFS"/>
        <w:ind w:left="5533"/>
        <w:rPr>
          <w:i/>
          <w:lang w:val="fr-FR"/>
        </w:rPr>
      </w:pPr>
      <w:r w:rsidRPr="00157BF0">
        <w:rPr>
          <w:i/>
          <w:lang w:val="fr-FR"/>
        </w:rPr>
        <w:t>Le groupe de travail est invité à prendre note du contenu du présent document</w:t>
      </w:r>
      <w:r w:rsidR="007050D3" w:rsidRPr="00157BF0">
        <w:rPr>
          <w:i/>
          <w:lang w:val="fr-FR"/>
        </w:rPr>
        <w:t>.</w:t>
      </w:r>
    </w:p>
    <w:p w14:paraId="0A5270E7" w14:textId="09344187" w:rsidR="007050D3" w:rsidRDefault="007050D3" w:rsidP="00157BF0">
      <w:pPr>
        <w:rPr>
          <w:lang w:val="fr-FR"/>
        </w:rPr>
      </w:pPr>
    </w:p>
    <w:p w14:paraId="34C28AEC" w14:textId="77777777" w:rsidR="00157BF0" w:rsidRPr="00157BF0" w:rsidRDefault="00157BF0" w:rsidP="00157BF0">
      <w:pPr>
        <w:rPr>
          <w:lang w:val="fr-FR"/>
        </w:rPr>
      </w:pPr>
    </w:p>
    <w:p w14:paraId="124ADEB3" w14:textId="2A0952F4" w:rsidR="002E288D" w:rsidRPr="00157BF0" w:rsidRDefault="002E288D" w:rsidP="00157BF0">
      <w:pPr>
        <w:pStyle w:val="Endofdocument-Annex"/>
        <w:rPr>
          <w:lang w:val="fr-FR"/>
        </w:rPr>
      </w:pPr>
      <w:r w:rsidRPr="00157BF0">
        <w:rPr>
          <w:lang w:val="fr-FR"/>
        </w:rPr>
        <w:t>[</w:t>
      </w:r>
      <w:r w:rsidR="00C12047" w:rsidRPr="00157BF0">
        <w:rPr>
          <w:lang w:val="fr-FR"/>
        </w:rPr>
        <w:t>Les a</w:t>
      </w:r>
      <w:r w:rsidRPr="00157BF0">
        <w:rPr>
          <w:lang w:val="fr-FR"/>
        </w:rPr>
        <w:t xml:space="preserve">nnexes </w:t>
      </w:r>
      <w:r w:rsidR="00C12047" w:rsidRPr="00157BF0">
        <w:rPr>
          <w:lang w:val="fr-FR"/>
        </w:rPr>
        <w:t>suivent</w:t>
      </w:r>
      <w:r w:rsidRPr="00157BF0">
        <w:rPr>
          <w:lang w:val="fr-FR"/>
        </w:rPr>
        <w:t>]</w:t>
      </w:r>
    </w:p>
    <w:p w14:paraId="1664DC82" w14:textId="77777777" w:rsidR="002E288D" w:rsidRPr="00157BF0" w:rsidRDefault="002E288D" w:rsidP="007050D3">
      <w:pPr>
        <w:pStyle w:val="ONUME"/>
        <w:numPr>
          <w:ilvl w:val="0"/>
          <w:numId w:val="0"/>
        </w:numPr>
        <w:tabs>
          <w:tab w:val="left" w:pos="720"/>
        </w:tabs>
        <w:rPr>
          <w:lang w:val="fr-FR"/>
        </w:rPr>
        <w:sectPr w:rsidR="002E288D" w:rsidRPr="00157BF0" w:rsidSect="00157BF0">
          <w:headerReference w:type="default" r:id="rId10"/>
          <w:endnotePr>
            <w:numFmt w:val="decimal"/>
          </w:endnotePr>
          <w:pgSz w:w="11907" w:h="16840" w:code="9"/>
          <w:pgMar w:top="567" w:right="1134" w:bottom="1417" w:left="1417" w:header="510" w:footer="1020" w:gutter="0"/>
          <w:cols w:space="720"/>
          <w:titlePg/>
          <w:docGrid w:linePitch="299"/>
        </w:sectPr>
      </w:pPr>
    </w:p>
    <w:p w14:paraId="4800EF89" w14:textId="78C89A51" w:rsidR="002E288D" w:rsidRPr="00157BF0" w:rsidRDefault="00157BF0" w:rsidP="009B2029">
      <w:pPr>
        <w:jc w:val="center"/>
        <w:rPr>
          <w:caps/>
          <w:lang w:val="fr-FR"/>
        </w:rPr>
      </w:pPr>
      <w:r w:rsidRPr="00157BF0">
        <w:rPr>
          <w:caps/>
          <w:lang w:val="fr-FR"/>
        </w:rPr>
        <w:lastRenderedPageBreak/>
        <w:t>Résumé de l</w:t>
      </w:r>
      <w:r w:rsidR="001C63CD">
        <w:rPr>
          <w:caps/>
          <w:lang w:val="fr-FR"/>
        </w:rPr>
        <w:t>’</w:t>
      </w:r>
      <w:r w:rsidRPr="00157BF0">
        <w:rPr>
          <w:caps/>
          <w:lang w:val="fr-FR"/>
        </w:rPr>
        <w:t>enquête</w:t>
      </w:r>
    </w:p>
    <w:p w14:paraId="2F4614C1" w14:textId="3C3299C6" w:rsidR="002E288D" w:rsidRPr="00157BF0" w:rsidRDefault="002E288D" w:rsidP="009B2029">
      <w:pPr>
        <w:rPr>
          <w:lang w:val="fr-FR"/>
        </w:rPr>
      </w:pPr>
    </w:p>
    <w:p w14:paraId="0D50D2DD" w14:textId="75A7DD12" w:rsidR="002E288D" w:rsidRPr="00157BF0" w:rsidRDefault="0066343A" w:rsidP="00157BF0">
      <w:pPr>
        <w:pStyle w:val="ONUMFS"/>
        <w:numPr>
          <w:ilvl w:val="0"/>
          <w:numId w:val="13"/>
        </w:numPr>
        <w:rPr>
          <w:lang w:val="fr-FR"/>
        </w:rPr>
      </w:pPr>
      <w:r w:rsidRPr="00157BF0">
        <w:rPr>
          <w:lang w:val="fr-FR"/>
        </w:rPr>
        <w:t xml:space="preserve">Un questionnaire a été adressé aux offices, afin de </w:t>
      </w:r>
      <w:r w:rsidR="00121FAC" w:rsidRPr="00157BF0">
        <w:rPr>
          <w:lang w:val="fr-FR"/>
        </w:rPr>
        <w:t>connaître les raisons de leur participation ou non</w:t>
      </w:r>
      <w:r w:rsidR="00FB191E">
        <w:rPr>
          <w:lang w:val="fr-FR"/>
        </w:rPr>
        <w:noBreakHyphen/>
      </w:r>
      <w:r w:rsidR="00121FAC" w:rsidRPr="00157BF0">
        <w:rPr>
          <w:lang w:val="fr-FR"/>
        </w:rPr>
        <w:t>participation au projet pilo</w:t>
      </w:r>
      <w:r w:rsidR="005C097F" w:rsidRPr="00157BF0">
        <w:rPr>
          <w:lang w:val="fr-FR"/>
        </w:rPr>
        <w:t>te</w:t>
      </w:r>
      <w:r w:rsidR="005C097F">
        <w:rPr>
          <w:lang w:val="fr-FR"/>
        </w:rPr>
        <w:t xml:space="preserve">.  </w:t>
      </w:r>
      <w:r w:rsidR="005C097F" w:rsidRPr="00157BF0">
        <w:rPr>
          <w:lang w:val="fr-FR"/>
        </w:rPr>
        <w:t>Vi</w:t>
      </w:r>
      <w:r w:rsidR="00121FAC" w:rsidRPr="00157BF0">
        <w:rPr>
          <w:lang w:val="fr-FR"/>
        </w:rPr>
        <w:t>ngt</w:t>
      </w:r>
      <w:r w:rsidR="001C63CD">
        <w:rPr>
          <w:lang w:val="fr-FR"/>
        </w:rPr>
        <w:t> et un</w:t>
      </w:r>
      <w:r w:rsidR="00121FAC" w:rsidRPr="00157BF0">
        <w:rPr>
          <w:lang w:val="fr-FR"/>
        </w:rPr>
        <w:t xml:space="preserve"> offices ont répondu à ce questionnaire, dont 18</w:t>
      </w:r>
      <w:r w:rsidR="00FB191E">
        <w:rPr>
          <w:lang w:val="fr-FR"/>
        </w:rPr>
        <w:t> </w:t>
      </w:r>
      <w:r w:rsidR="00121FAC" w:rsidRPr="00157BF0">
        <w:rPr>
          <w:lang w:val="fr-FR"/>
        </w:rPr>
        <w:t>offices participant en qualité d</w:t>
      </w:r>
      <w:r w:rsidR="001C63CD">
        <w:rPr>
          <w:lang w:val="fr-FR"/>
        </w:rPr>
        <w:t>’</w:t>
      </w:r>
      <w:r w:rsidR="00121FAC" w:rsidRPr="00157BF0">
        <w:rPr>
          <w:lang w:val="fr-FR"/>
        </w:rPr>
        <w:t>offices récepteurs, trois</w:t>
      </w:r>
      <w:r w:rsidR="00CB19EE">
        <w:rPr>
          <w:lang w:val="fr-FR"/>
        </w:rPr>
        <w:t> </w:t>
      </w:r>
      <w:r w:rsidR="00121FAC" w:rsidRPr="00157BF0">
        <w:rPr>
          <w:lang w:val="fr-FR"/>
        </w:rPr>
        <w:t>offices participant en qualité d</w:t>
      </w:r>
      <w:r w:rsidR="001C63CD">
        <w:rPr>
          <w:lang w:val="fr-FR"/>
        </w:rPr>
        <w:t>’</w:t>
      </w:r>
      <w:r w:rsidR="00121FAC" w:rsidRPr="00157BF0">
        <w:rPr>
          <w:lang w:val="fr-FR"/>
        </w:rPr>
        <w:t>administrations chargées de la recherche internationale et trois</w:t>
      </w:r>
      <w:r w:rsidR="00CB19EE">
        <w:rPr>
          <w:lang w:val="fr-FR"/>
        </w:rPr>
        <w:t> </w:t>
      </w:r>
      <w:r w:rsidR="00121FAC" w:rsidRPr="00157BF0">
        <w:rPr>
          <w:lang w:val="fr-FR"/>
        </w:rPr>
        <w:t>offices non participan</w:t>
      </w:r>
      <w:r w:rsidR="005C097F" w:rsidRPr="00157BF0">
        <w:rPr>
          <w:lang w:val="fr-FR"/>
        </w:rPr>
        <w:t>ts</w:t>
      </w:r>
      <w:r w:rsidR="005C097F">
        <w:rPr>
          <w:lang w:val="fr-FR"/>
        </w:rPr>
        <w:t xml:space="preserve">.  </w:t>
      </w:r>
      <w:r w:rsidR="005C097F" w:rsidRPr="00157BF0">
        <w:rPr>
          <w:lang w:val="fr-FR"/>
        </w:rPr>
        <w:t>La</w:t>
      </w:r>
      <w:r w:rsidR="00121FAC" w:rsidRPr="00157BF0">
        <w:rPr>
          <w:lang w:val="fr-FR"/>
        </w:rPr>
        <w:t xml:space="preserve"> présente annexe résume les réponses reçues</w:t>
      </w:r>
      <w:r w:rsidR="00EB4518" w:rsidRPr="00157BF0">
        <w:rPr>
          <w:lang w:val="fr-FR"/>
        </w:rPr>
        <w:t xml:space="preserve"> et contient des observations du Bureau international concernant les mesures prises pour remédier à certains des problèmes soulevés.</w:t>
      </w:r>
    </w:p>
    <w:p w14:paraId="60597AD0" w14:textId="7F05FFDB" w:rsidR="00F103FF" w:rsidRPr="00157BF0" w:rsidRDefault="00EB4518" w:rsidP="00157BF0">
      <w:pPr>
        <w:pStyle w:val="ONUMFS"/>
        <w:rPr>
          <w:lang w:val="fr-FR"/>
        </w:rPr>
      </w:pPr>
      <w:r w:rsidRPr="00157BF0">
        <w:rPr>
          <w:lang w:val="fr-FR"/>
        </w:rPr>
        <w:t>Tous les offices participants, que ce soit en qualité d</w:t>
      </w:r>
      <w:r w:rsidR="001C63CD">
        <w:rPr>
          <w:lang w:val="fr-FR"/>
        </w:rPr>
        <w:t>’</w:t>
      </w:r>
      <w:r w:rsidRPr="00157BF0">
        <w:rPr>
          <w:lang w:val="fr-FR"/>
        </w:rPr>
        <w:t>offices récepteurs ou d</w:t>
      </w:r>
      <w:r w:rsidR="001C63CD">
        <w:rPr>
          <w:lang w:val="fr-FR"/>
        </w:rPr>
        <w:t>’</w:t>
      </w:r>
      <w:r w:rsidRPr="00157BF0">
        <w:rPr>
          <w:lang w:val="fr-FR"/>
        </w:rPr>
        <w:t xml:space="preserve">administrations </w:t>
      </w:r>
      <w:r w:rsidR="00710EE8" w:rsidRPr="00157BF0">
        <w:rPr>
          <w:lang w:val="fr-FR"/>
        </w:rPr>
        <w:t>chargées</w:t>
      </w:r>
      <w:r w:rsidRPr="00157BF0">
        <w:rPr>
          <w:lang w:val="fr-FR"/>
        </w:rPr>
        <w:t xml:space="preserve"> de la recherche internationale, se sont dits satisfaits ou très satisfaits de leur participation au projet pilo</w:t>
      </w:r>
      <w:r w:rsidR="005C097F" w:rsidRPr="00157BF0">
        <w:rPr>
          <w:lang w:val="fr-FR"/>
        </w:rPr>
        <w:t>te</w:t>
      </w:r>
      <w:r w:rsidR="005C097F">
        <w:rPr>
          <w:lang w:val="fr-FR"/>
        </w:rPr>
        <w:t xml:space="preserve">.  </w:t>
      </w:r>
      <w:r w:rsidR="005C097F" w:rsidRPr="00157BF0">
        <w:rPr>
          <w:lang w:val="fr-FR"/>
        </w:rPr>
        <w:t>Pl</w:t>
      </w:r>
      <w:r w:rsidR="00252638" w:rsidRPr="00157BF0">
        <w:rPr>
          <w:lang w:val="fr-FR"/>
        </w:rPr>
        <w:t>usieurs offices ont exprimé l</w:t>
      </w:r>
      <w:r w:rsidR="001C63CD">
        <w:rPr>
          <w:lang w:val="fr-FR"/>
        </w:rPr>
        <w:t>’</w:t>
      </w:r>
      <w:r w:rsidR="00252638" w:rsidRPr="00157BF0">
        <w:rPr>
          <w:lang w:val="fr-FR"/>
        </w:rPr>
        <w:t>espoir que le programme pilote p</w:t>
      </w:r>
      <w:r w:rsidR="00B80822" w:rsidRPr="00157BF0">
        <w:rPr>
          <w:lang w:val="fr-FR"/>
        </w:rPr>
        <w:t>uisse</w:t>
      </w:r>
      <w:r w:rsidR="00252638" w:rsidRPr="00157BF0">
        <w:rPr>
          <w:lang w:val="fr-FR"/>
        </w:rPr>
        <w:t xml:space="preserve"> être étendu à plus grand nombre d</w:t>
      </w:r>
      <w:r w:rsidR="001C63CD">
        <w:rPr>
          <w:lang w:val="fr-FR"/>
        </w:rPr>
        <w:t>’</w:t>
      </w:r>
      <w:r w:rsidR="00252638" w:rsidRPr="00157BF0">
        <w:rPr>
          <w:lang w:val="fr-FR"/>
        </w:rPr>
        <w:t>offices dans un proche avenir.</w:t>
      </w:r>
    </w:p>
    <w:p w14:paraId="7ACBFF4D" w14:textId="077CE4B9" w:rsidR="001C63CD" w:rsidRDefault="004273F0" w:rsidP="00157BF0">
      <w:pPr>
        <w:pStyle w:val="ONUMFS"/>
        <w:rPr>
          <w:lang w:val="fr-FR"/>
        </w:rPr>
      </w:pPr>
      <w:r w:rsidRPr="00157BF0">
        <w:rPr>
          <w:lang w:val="fr-FR"/>
        </w:rPr>
        <w:t xml:space="preserve">La plupart des offices ont indiqué que la charge de travail et les coûts </w:t>
      </w:r>
      <w:r w:rsidR="00B17260" w:rsidRPr="00157BF0">
        <w:rPr>
          <w:lang w:val="fr-FR"/>
        </w:rPr>
        <w:t>étaient équivalents ou légèrement inférieurs à ceux des précédents mécanism</w:t>
      </w:r>
      <w:r w:rsidR="005C097F" w:rsidRPr="00157BF0">
        <w:rPr>
          <w:lang w:val="fr-FR"/>
        </w:rPr>
        <w:t>es</w:t>
      </w:r>
      <w:r w:rsidR="005C097F">
        <w:rPr>
          <w:lang w:val="fr-FR"/>
        </w:rPr>
        <w:t xml:space="preserve">.  </w:t>
      </w:r>
      <w:r w:rsidR="005C097F" w:rsidRPr="00157BF0">
        <w:rPr>
          <w:lang w:val="fr-FR"/>
        </w:rPr>
        <w:t>Po</w:t>
      </w:r>
      <w:r w:rsidR="009B11F8" w:rsidRPr="00157BF0">
        <w:rPr>
          <w:lang w:val="fr-FR"/>
        </w:rPr>
        <w:t>ur les offices qui sont en rapport avec plusieurs autres offices – notamment l</w:t>
      </w:r>
      <w:r w:rsidR="001C63CD">
        <w:rPr>
          <w:lang w:val="fr-FR"/>
        </w:rPr>
        <w:t>’</w:t>
      </w:r>
      <w:r w:rsidR="009B11F8" w:rsidRPr="00157BF0">
        <w:rPr>
          <w:lang w:val="fr-FR"/>
        </w:rPr>
        <w:t>Office européen des brevets, qui agit en qualité d</w:t>
      </w:r>
      <w:r w:rsidR="001C63CD">
        <w:rPr>
          <w:lang w:val="fr-FR"/>
        </w:rPr>
        <w:t>’</w:t>
      </w:r>
      <w:r w:rsidR="009B11F8" w:rsidRPr="00157BF0">
        <w:rPr>
          <w:lang w:val="fr-FR"/>
        </w:rPr>
        <w:t>administration chargée de la recherche internationale pour plus de 100</w:t>
      </w:r>
      <w:r w:rsidR="00FB191E">
        <w:rPr>
          <w:lang w:val="fr-FR"/>
        </w:rPr>
        <w:t> </w:t>
      </w:r>
      <w:r w:rsidR="009B11F8" w:rsidRPr="00157BF0">
        <w:rPr>
          <w:lang w:val="fr-FR"/>
        </w:rPr>
        <w:t>offices récepteurs –, la réduction de charge de travail a été considérab</w:t>
      </w:r>
      <w:r w:rsidR="005C097F" w:rsidRPr="00157BF0">
        <w:rPr>
          <w:lang w:val="fr-FR"/>
        </w:rPr>
        <w:t>le</w:t>
      </w:r>
      <w:r w:rsidR="005C097F">
        <w:rPr>
          <w:lang w:val="fr-FR"/>
        </w:rPr>
        <w:t xml:space="preserve">.  </w:t>
      </w:r>
      <w:r w:rsidR="005C097F" w:rsidRPr="00157BF0">
        <w:rPr>
          <w:lang w:val="fr-FR"/>
        </w:rPr>
        <w:t>L</w:t>
      </w:r>
      <w:r w:rsidR="005C097F">
        <w:rPr>
          <w:lang w:val="fr-FR"/>
        </w:rPr>
        <w:t>’</w:t>
      </w:r>
      <w:r w:rsidR="005C097F" w:rsidRPr="00157BF0">
        <w:rPr>
          <w:lang w:val="fr-FR"/>
        </w:rPr>
        <w:t>u</w:t>
      </w:r>
      <w:r w:rsidR="00047E32" w:rsidRPr="00157BF0">
        <w:rPr>
          <w:lang w:val="fr-FR"/>
        </w:rPr>
        <w:t xml:space="preserve">n des offices a mentionné </w:t>
      </w:r>
      <w:r w:rsidR="00C24E25" w:rsidRPr="00157BF0">
        <w:rPr>
          <w:lang w:val="fr-FR"/>
        </w:rPr>
        <w:t>que l</w:t>
      </w:r>
      <w:r w:rsidR="00047E32" w:rsidRPr="00157BF0">
        <w:rPr>
          <w:lang w:val="fr-FR"/>
        </w:rPr>
        <w:t xml:space="preserve">es taxes de transfert </w:t>
      </w:r>
      <w:r w:rsidR="00C24E25" w:rsidRPr="00157BF0">
        <w:rPr>
          <w:lang w:val="fr-FR"/>
        </w:rPr>
        <w:t>étaient plus élevées que</w:t>
      </w:r>
      <w:r w:rsidR="00047E32" w:rsidRPr="00157BF0">
        <w:rPr>
          <w:lang w:val="fr-FR"/>
        </w:rPr>
        <w:t xml:space="preserve"> précédemment,</w:t>
      </w:r>
      <w:r w:rsidR="009B11F8" w:rsidRPr="00157BF0">
        <w:rPr>
          <w:lang w:val="fr-FR"/>
        </w:rPr>
        <w:t xml:space="preserve"> </w:t>
      </w:r>
      <w:r w:rsidR="00C24E25" w:rsidRPr="00157BF0">
        <w:rPr>
          <w:lang w:val="fr-FR"/>
        </w:rPr>
        <w:t>mais que la différence était trop faible</w:t>
      </w:r>
      <w:r w:rsidR="009B11F8" w:rsidRPr="00157BF0">
        <w:rPr>
          <w:lang w:val="fr-FR"/>
        </w:rPr>
        <w:t xml:space="preserve"> </w:t>
      </w:r>
      <w:r w:rsidR="00C24E25" w:rsidRPr="00157BF0">
        <w:rPr>
          <w:lang w:val="fr-FR"/>
        </w:rPr>
        <w:t>pour donner matière à préoccupation.</w:t>
      </w:r>
    </w:p>
    <w:p w14:paraId="4E1ECD9A" w14:textId="783EDC72" w:rsidR="00F103FF" w:rsidRPr="00157BF0" w:rsidRDefault="00704EE5" w:rsidP="00157BF0">
      <w:pPr>
        <w:pStyle w:val="ONUMFS"/>
        <w:rPr>
          <w:lang w:val="fr-FR"/>
        </w:rPr>
      </w:pPr>
      <w:r w:rsidRPr="00157BF0">
        <w:rPr>
          <w:lang w:val="fr-FR"/>
        </w:rPr>
        <w:t>L</w:t>
      </w:r>
      <w:r w:rsidR="001C63CD">
        <w:rPr>
          <w:lang w:val="fr-FR"/>
        </w:rPr>
        <w:t>’</w:t>
      </w:r>
      <w:r w:rsidRPr="00157BF0">
        <w:rPr>
          <w:lang w:val="fr-FR"/>
        </w:rPr>
        <w:t>un des offices a mentionné que l</w:t>
      </w:r>
      <w:r w:rsidR="001C63CD">
        <w:rPr>
          <w:lang w:val="fr-FR"/>
        </w:rPr>
        <w:t>’</w:t>
      </w:r>
      <w:r w:rsidR="00D806E0" w:rsidRPr="00157BF0">
        <w:rPr>
          <w:lang w:val="fr-FR"/>
        </w:rPr>
        <w:t>adaptation aux</w:t>
      </w:r>
      <w:r w:rsidRPr="00157BF0">
        <w:rPr>
          <w:lang w:val="fr-FR"/>
        </w:rPr>
        <w:t xml:space="preserve"> nouvelles dispositions</w:t>
      </w:r>
      <w:r w:rsidR="00D806E0" w:rsidRPr="00157BF0">
        <w:rPr>
          <w:lang w:val="fr-FR"/>
        </w:rPr>
        <w:t xml:space="preserve"> avait </w:t>
      </w:r>
      <w:r w:rsidR="00E81CC0" w:rsidRPr="00157BF0">
        <w:rPr>
          <w:lang w:val="fr-FR"/>
        </w:rPr>
        <w:t xml:space="preserve">nécessité </w:t>
      </w:r>
      <w:r w:rsidR="00D806E0" w:rsidRPr="00157BF0">
        <w:rPr>
          <w:lang w:val="fr-FR"/>
        </w:rPr>
        <w:t xml:space="preserve">initialement </w:t>
      </w:r>
      <w:r w:rsidR="00E81CC0" w:rsidRPr="00157BF0">
        <w:rPr>
          <w:lang w:val="fr-FR"/>
        </w:rPr>
        <w:t xml:space="preserve">quelques efforts, mais </w:t>
      </w:r>
      <w:r w:rsidR="00921D41" w:rsidRPr="00157BF0">
        <w:rPr>
          <w:lang w:val="fr-FR"/>
        </w:rPr>
        <w:t>que cela avait été pris comme une occasion d</w:t>
      </w:r>
      <w:r w:rsidR="001C63CD">
        <w:rPr>
          <w:lang w:val="fr-FR"/>
        </w:rPr>
        <w:t>’</w:t>
      </w:r>
      <w:r w:rsidR="00921D41" w:rsidRPr="00157BF0">
        <w:rPr>
          <w:lang w:val="fr-FR"/>
        </w:rPr>
        <w:t>améliorer les processus internes et qu</w:t>
      </w:r>
      <w:r w:rsidR="001C63CD">
        <w:rPr>
          <w:lang w:val="fr-FR"/>
        </w:rPr>
        <w:t>’</w:t>
      </w:r>
      <w:r w:rsidR="00921D41" w:rsidRPr="00157BF0">
        <w:rPr>
          <w:lang w:val="fr-FR"/>
        </w:rPr>
        <w:t>il en était résulté une simplification considérable des procédures.</w:t>
      </w:r>
    </w:p>
    <w:p w14:paraId="4578BDB5" w14:textId="25600934" w:rsidR="002E288D" w:rsidRPr="00157BF0" w:rsidRDefault="00A647CE" w:rsidP="00157BF0">
      <w:pPr>
        <w:pStyle w:val="ONUMFS"/>
        <w:rPr>
          <w:lang w:val="fr-FR"/>
        </w:rPr>
      </w:pPr>
      <w:r w:rsidRPr="00157BF0">
        <w:rPr>
          <w:lang w:val="fr-FR"/>
        </w:rPr>
        <w:t xml:space="preserve">Deux offices ont observé </w:t>
      </w:r>
      <w:r w:rsidR="003E55E0" w:rsidRPr="00157BF0">
        <w:rPr>
          <w:lang w:val="fr-FR"/>
        </w:rPr>
        <w:t>que les délais de paiement étaient parfois courts</w:t>
      </w:r>
      <w:r w:rsidR="00C26365" w:rsidRPr="00157BF0">
        <w:rPr>
          <w:lang w:val="fr-FR"/>
        </w:rPr>
        <w:t>, mais que le Bureau international avait pu se montrer plus conciliant dans les cas où cela faisait véritablement problè</w:t>
      </w:r>
      <w:r w:rsidR="005C097F" w:rsidRPr="00157BF0">
        <w:rPr>
          <w:lang w:val="fr-FR"/>
        </w:rPr>
        <w:t>me</w:t>
      </w:r>
      <w:r w:rsidR="005C097F">
        <w:rPr>
          <w:lang w:val="fr-FR"/>
        </w:rPr>
        <w:t xml:space="preserve">.  </w:t>
      </w:r>
      <w:r w:rsidR="005C097F" w:rsidRPr="00157BF0">
        <w:rPr>
          <w:lang w:val="fr-FR"/>
        </w:rPr>
        <w:t>De</w:t>
      </w:r>
      <w:r w:rsidR="00EB58B0" w:rsidRPr="00157BF0">
        <w:rPr>
          <w:lang w:val="fr-FR"/>
        </w:rPr>
        <w:t>s efforts seront faits dans le cadre du processus d</w:t>
      </w:r>
      <w:r w:rsidR="001C63CD">
        <w:rPr>
          <w:lang w:val="fr-FR"/>
        </w:rPr>
        <w:t>’</w:t>
      </w:r>
      <w:r w:rsidR="00EB58B0" w:rsidRPr="00157BF0">
        <w:rPr>
          <w:lang w:val="fr-FR"/>
        </w:rPr>
        <w:t>établissement d</w:t>
      </w:r>
      <w:r w:rsidR="00B956F5" w:rsidRPr="00157BF0">
        <w:rPr>
          <w:lang w:val="fr-FR"/>
        </w:rPr>
        <w:t>u calendri</w:t>
      </w:r>
      <w:r w:rsidR="00EB58B0" w:rsidRPr="00157BF0">
        <w:rPr>
          <w:lang w:val="fr-FR"/>
        </w:rPr>
        <w:t xml:space="preserve">er, </w:t>
      </w:r>
      <w:r w:rsidR="00B76453" w:rsidRPr="00157BF0">
        <w:rPr>
          <w:lang w:val="fr-FR"/>
        </w:rPr>
        <w:t xml:space="preserve">afin </w:t>
      </w:r>
      <w:r w:rsidR="00EB58B0" w:rsidRPr="00157BF0">
        <w:rPr>
          <w:lang w:val="fr-FR"/>
        </w:rPr>
        <w:t>de donner aux offices plus de temps pour procéder aux vérifications et prendre les dispositions requises</w:t>
      </w:r>
      <w:r w:rsidR="00C26365" w:rsidRPr="00157BF0">
        <w:rPr>
          <w:lang w:val="fr-FR"/>
        </w:rPr>
        <w:t xml:space="preserve"> </w:t>
      </w:r>
      <w:r w:rsidR="00EB58B0" w:rsidRPr="00157BF0">
        <w:rPr>
          <w:lang w:val="fr-FR"/>
        </w:rPr>
        <w:t>aux fins des paiements.</w:t>
      </w:r>
    </w:p>
    <w:p w14:paraId="40ED8475" w14:textId="60D28BB8" w:rsidR="002E288D" w:rsidRPr="00157BF0" w:rsidRDefault="0099370A" w:rsidP="00157BF0">
      <w:pPr>
        <w:pStyle w:val="ONUMFS"/>
        <w:rPr>
          <w:lang w:val="fr-FR"/>
        </w:rPr>
      </w:pPr>
      <w:r w:rsidRPr="00157BF0">
        <w:rPr>
          <w:lang w:val="fr-FR"/>
        </w:rPr>
        <w:t>Les principales améliorations souhaitées par les offices étaient les suivantes</w:t>
      </w:r>
      <w:r w:rsidR="001C63CD">
        <w:rPr>
          <w:lang w:val="fr-FR"/>
        </w:rPr>
        <w:t> :</w:t>
      </w:r>
    </w:p>
    <w:p w14:paraId="72FF59B6" w14:textId="55D96E58" w:rsidR="002E288D" w:rsidRPr="00157BF0" w:rsidRDefault="00F23A1C" w:rsidP="00157BF0">
      <w:pPr>
        <w:pStyle w:val="ONUMFS"/>
        <w:numPr>
          <w:ilvl w:val="1"/>
          <w:numId w:val="12"/>
        </w:numPr>
        <w:rPr>
          <w:lang w:val="fr-FR"/>
        </w:rPr>
      </w:pPr>
      <w:r w:rsidRPr="00157BF0">
        <w:rPr>
          <w:lang w:val="fr-FR"/>
        </w:rPr>
        <w:t>formation</w:t>
      </w:r>
      <w:r w:rsidR="00177C7C" w:rsidRPr="00157BF0">
        <w:rPr>
          <w:lang w:val="fr-FR"/>
        </w:rPr>
        <w:t xml:space="preserve"> accrue</w:t>
      </w:r>
      <w:r w:rsidRPr="00157BF0">
        <w:rPr>
          <w:lang w:val="fr-FR"/>
        </w:rPr>
        <w:t xml:space="preserve"> en ce qui concerne les nouvelles dispositions, </w:t>
      </w:r>
      <w:r w:rsidR="001C63CD">
        <w:rPr>
          <w:lang w:val="fr-FR"/>
        </w:rPr>
        <w:t>y compris</w:t>
      </w:r>
      <w:r w:rsidRPr="00157BF0">
        <w:rPr>
          <w:lang w:val="fr-FR"/>
        </w:rPr>
        <w:t xml:space="preserve"> les services ePCT, le logiciel Coprocess, ainsi que les divers aspects et la compréhension de l</w:t>
      </w:r>
      <w:r w:rsidR="001C63CD">
        <w:rPr>
          <w:lang w:val="fr-FR"/>
        </w:rPr>
        <w:t>’</w:t>
      </w:r>
      <w:r w:rsidRPr="00157BF0">
        <w:rPr>
          <w:lang w:val="fr-FR"/>
        </w:rPr>
        <w:t xml:space="preserve">échéancier (le Bureau international examinera la documentation et les </w:t>
      </w:r>
      <w:r w:rsidR="007D7F99" w:rsidRPr="00157BF0">
        <w:rPr>
          <w:lang w:val="fr-FR"/>
        </w:rPr>
        <w:t>formules possibles pour répondre à tout besoin de formation des utilisateurs des offices);</w:t>
      </w:r>
    </w:p>
    <w:p w14:paraId="492199D2" w14:textId="4FA84819" w:rsidR="002E288D" w:rsidRPr="00157BF0" w:rsidRDefault="00177C7C" w:rsidP="00157BF0">
      <w:pPr>
        <w:pStyle w:val="ONUMFS"/>
        <w:numPr>
          <w:ilvl w:val="1"/>
          <w:numId w:val="12"/>
        </w:numPr>
        <w:rPr>
          <w:lang w:val="fr-FR"/>
        </w:rPr>
      </w:pPr>
      <w:r w:rsidRPr="00157BF0">
        <w:rPr>
          <w:lang w:val="fr-FR"/>
        </w:rPr>
        <w:t xml:space="preserve">possibilité </w:t>
      </w:r>
      <w:r w:rsidR="00070AA6" w:rsidRPr="00157BF0">
        <w:rPr>
          <w:lang w:val="fr-FR"/>
        </w:rPr>
        <w:t>d</w:t>
      </w:r>
      <w:r w:rsidR="001C63CD">
        <w:rPr>
          <w:lang w:val="fr-FR"/>
        </w:rPr>
        <w:t>’</w:t>
      </w:r>
      <w:r w:rsidR="00070AA6" w:rsidRPr="00157BF0">
        <w:rPr>
          <w:lang w:val="fr-FR"/>
        </w:rPr>
        <w:t>utiliser le format Excel pour</w:t>
      </w:r>
      <w:r w:rsidRPr="00157BF0">
        <w:rPr>
          <w:lang w:val="fr-FR"/>
        </w:rPr>
        <w:t xml:space="preserve"> fournir les informations requises (comme il est indiqué dans le corps du présent document, les procédures ont été modifiées, de manière à permettre la soumission dans le format Excel)</w:t>
      </w:r>
      <w:r w:rsidR="00F44030" w:rsidRPr="00157BF0">
        <w:rPr>
          <w:lang w:val="fr-FR"/>
        </w:rPr>
        <w:t>;</w:t>
      </w:r>
    </w:p>
    <w:p w14:paraId="2916ED20" w14:textId="65F07C56" w:rsidR="002E288D" w:rsidRPr="00157BF0" w:rsidRDefault="00070AA6" w:rsidP="00157BF0">
      <w:pPr>
        <w:pStyle w:val="ONUMFS"/>
        <w:numPr>
          <w:ilvl w:val="1"/>
          <w:numId w:val="12"/>
        </w:numPr>
        <w:rPr>
          <w:lang w:val="fr-FR"/>
        </w:rPr>
      </w:pPr>
      <w:r w:rsidRPr="00157BF0">
        <w:rPr>
          <w:lang w:val="fr-FR"/>
        </w:rPr>
        <w:t>établissement d</w:t>
      </w:r>
      <w:r w:rsidR="001C63CD">
        <w:rPr>
          <w:lang w:val="fr-FR"/>
        </w:rPr>
        <w:t>’</w:t>
      </w:r>
      <w:r w:rsidRPr="00157BF0">
        <w:rPr>
          <w:lang w:val="fr-FR"/>
        </w:rPr>
        <w:t xml:space="preserve">une base juridique claire et commune pour le transfert des taxes </w:t>
      </w:r>
      <w:r w:rsidR="00F44030" w:rsidRPr="00157BF0">
        <w:rPr>
          <w:lang w:val="fr-FR"/>
        </w:rPr>
        <w:t>(</w:t>
      </w:r>
      <w:r w:rsidRPr="00157BF0">
        <w:rPr>
          <w:lang w:val="fr-FR"/>
        </w:rPr>
        <w:t xml:space="preserve">ce sujet est examiné dans le </w:t>
      </w:r>
      <w:r w:rsidR="00F44030" w:rsidRPr="00157BF0">
        <w:rPr>
          <w:lang w:val="fr-FR"/>
        </w:rPr>
        <w:t>document PCT/WG/12/20);</w:t>
      </w:r>
    </w:p>
    <w:p w14:paraId="6F93A450" w14:textId="63080BEE" w:rsidR="002E288D" w:rsidRPr="00157BF0" w:rsidRDefault="00AF2327" w:rsidP="00157BF0">
      <w:pPr>
        <w:pStyle w:val="ONUMFS"/>
        <w:numPr>
          <w:ilvl w:val="1"/>
          <w:numId w:val="12"/>
        </w:numPr>
        <w:rPr>
          <w:lang w:val="fr-FR"/>
        </w:rPr>
      </w:pPr>
      <w:r w:rsidRPr="00157BF0">
        <w:rPr>
          <w:lang w:val="fr-FR"/>
        </w:rPr>
        <w:t xml:space="preserve">réduction du délai de transmission des listes, afin de laisser plus de temps pour organiser les transferts, </w:t>
      </w:r>
      <w:r w:rsidR="009C7F5C" w:rsidRPr="00157BF0">
        <w:rPr>
          <w:lang w:val="fr-FR"/>
        </w:rPr>
        <w:t>et prise en co</w:t>
      </w:r>
      <w:r w:rsidR="00A04C99" w:rsidRPr="00157BF0">
        <w:rPr>
          <w:lang w:val="fr-FR"/>
        </w:rPr>
        <w:t>mpte</w:t>
      </w:r>
      <w:r w:rsidR="009C7F5C" w:rsidRPr="00157BF0">
        <w:rPr>
          <w:lang w:val="fr-FR"/>
        </w:rPr>
        <w:t xml:space="preserve"> des différences de fuseaux horaires entre les offices dans l</w:t>
      </w:r>
      <w:r w:rsidR="001C63CD">
        <w:rPr>
          <w:lang w:val="fr-FR"/>
        </w:rPr>
        <w:t>’</w:t>
      </w:r>
      <w:r w:rsidR="009C7F5C" w:rsidRPr="00157BF0">
        <w:rPr>
          <w:lang w:val="fr-FR"/>
        </w:rPr>
        <w:t>établissement des délais de remise des déclarations (</w:t>
      </w:r>
      <w:r w:rsidR="00B956F5" w:rsidRPr="00157BF0">
        <w:rPr>
          <w:lang w:val="fr-FR"/>
        </w:rPr>
        <w:t>le c</w:t>
      </w:r>
      <w:r w:rsidR="00A04C99" w:rsidRPr="00157BF0">
        <w:rPr>
          <w:lang w:val="fr-FR"/>
        </w:rPr>
        <w:t xml:space="preserve">alendrier 2020 sera ajusté </w:t>
      </w:r>
      <w:r w:rsidR="00F623E0" w:rsidRPr="00157BF0">
        <w:rPr>
          <w:lang w:val="fr-FR"/>
        </w:rPr>
        <w:t>de manière à répondre à cette exigence);</w:t>
      </w:r>
    </w:p>
    <w:p w14:paraId="1C3D978B" w14:textId="5F556F0B" w:rsidR="002E288D" w:rsidRPr="00157BF0" w:rsidRDefault="001E6C9C" w:rsidP="00157BF0">
      <w:pPr>
        <w:pStyle w:val="ONUMFS"/>
        <w:keepLines/>
        <w:numPr>
          <w:ilvl w:val="1"/>
          <w:numId w:val="12"/>
        </w:numPr>
        <w:rPr>
          <w:lang w:val="fr-FR"/>
        </w:rPr>
      </w:pPr>
      <w:r w:rsidRPr="00157BF0">
        <w:rPr>
          <w:lang w:val="fr-FR"/>
        </w:rPr>
        <w:lastRenderedPageBreak/>
        <w:t>possibilité d</w:t>
      </w:r>
      <w:r w:rsidR="001C63CD">
        <w:rPr>
          <w:lang w:val="fr-FR"/>
        </w:rPr>
        <w:t>’</w:t>
      </w:r>
      <w:r w:rsidRPr="00157BF0">
        <w:rPr>
          <w:lang w:val="fr-FR"/>
        </w:rPr>
        <w:t>effectuer les paiements par l</w:t>
      </w:r>
      <w:r w:rsidR="001C63CD">
        <w:rPr>
          <w:lang w:val="fr-FR"/>
        </w:rPr>
        <w:t>’</w:t>
      </w:r>
      <w:r w:rsidRPr="00157BF0">
        <w:rPr>
          <w:lang w:val="fr-FR"/>
        </w:rPr>
        <w:t>intermédiaire d</w:t>
      </w:r>
      <w:r w:rsidR="001C63CD">
        <w:rPr>
          <w:lang w:val="fr-FR"/>
        </w:rPr>
        <w:t>’</w:t>
      </w:r>
      <w:r w:rsidRPr="00157BF0">
        <w:rPr>
          <w:lang w:val="fr-FR"/>
        </w:rPr>
        <w:t>un compte courant de l</w:t>
      </w:r>
      <w:r w:rsidR="001C63CD">
        <w:rPr>
          <w:lang w:val="fr-FR"/>
        </w:rPr>
        <w:t>’</w:t>
      </w:r>
      <w:r w:rsidRPr="00157BF0">
        <w:rPr>
          <w:lang w:val="fr-FR"/>
        </w:rPr>
        <w:t>OMPI (cette option est o</w:t>
      </w:r>
      <w:r w:rsidR="00EC1D2E" w:rsidRPr="00157BF0">
        <w:rPr>
          <w:lang w:val="fr-FR"/>
        </w:rPr>
        <w:t>uver</w:t>
      </w:r>
      <w:r w:rsidRPr="00157BF0">
        <w:rPr>
          <w:lang w:val="fr-FR"/>
        </w:rPr>
        <w:t>te aux participants</w:t>
      </w:r>
      <w:r w:rsidR="00EC1D2E" w:rsidRPr="00157BF0">
        <w:rPr>
          <w:lang w:val="fr-FR"/>
        </w:rPr>
        <w:t>, et</w:t>
      </w:r>
      <w:r w:rsidR="00953CB5" w:rsidRPr="00157BF0">
        <w:rPr>
          <w:lang w:val="fr-FR"/>
        </w:rPr>
        <w:t xml:space="preserve"> </w:t>
      </w:r>
      <w:r w:rsidR="00EC1D2E" w:rsidRPr="00157BF0">
        <w:rPr>
          <w:lang w:val="fr-FR"/>
        </w:rPr>
        <w:t xml:space="preserve">le Bureau international </w:t>
      </w:r>
      <w:r w:rsidR="00953CB5" w:rsidRPr="00157BF0">
        <w:rPr>
          <w:lang w:val="fr-FR"/>
        </w:rPr>
        <w:t>conseille de l</w:t>
      </w:r>
      <w:r w:rsidR="001C63CD">
        <w:rPr>
          <w:lang w:val="fr-FR"/>
        </w:rPr>
        <w:t>’</w:t>
      </w:r>
      <w:r w:rsidR="00953CB5" w:rsidRPr="00157BF0">
        <w:rPr>
          <w:lang w:val="fr-FR"/>
        </w:rPr>
        <w:t>utiliser chaque fois que possible;  elle sera étudiée au cas par cas, dans la mesure où</w:t>
      </w:r>
      <w:r w:rsidR="00D2212D" w:rsidRPr="00157BF0">
        <w:rPr>
          <w:lang w:val="fr-FR"/>
        </w:rPr>
        <w:t xml:space="preserve"> elle est liée aux accords</w:t>
      </w:r>
      <w:r w:rsidR="00EF0CED" w:rsidRPr="00157BF0">
        <w:rPr>
          <w:lang w:val="fr-FR"/>
        </w:rPr>
        <w:t xml:space="preserve"> sur les taux de change entre les offices et le Bureau international).</w:t>
      </w:r>
    </w:p>
    <w:p w14:paraId="17246A26" w14:textId="030487F5" w:rsidR="00F44030" w:rsidRDefault="00F44030" w:rsidP="00157BF0">
      <w:pPr>
        <w:rPr>
          <w:lang w:val="fr-FR"/>
        </w:rPr>
      </w:pPr>
    </w:p>
    <w:p w14:paraId="5FE081D7" w14:textId="77777777" w:rsidR="00157BF0" w:rsidRPr="00157BF0" w:rsidRDefault="00157BF0" w:rsidP="00157BF0">
      <w:pPr>
        <w:rPr>
          <w:lang w:val="fr-FR"/>
        </w:rPr>
      </w:pPr>
    </w:p>
    <w:p w14:paraId="36F420D4" w14:textId="5623D876" w:rsidR="002E288D" w:rsidRDefault="002E288D" w:rsidP="00157BF0">
      <w:pPr>
        <w:pStyle w:val="Endofdocument-Annex"/>
        <w:rPr>
          <w:lang w:val="fr-FR"/>
        </w:rPr>
      </w:pPr>
      <w:r w:rsidRPr="00157BF0">
        <w:rPr>
          <w:lang w:val="fr-FR"/>
        </w:rPr>
        <w:t>[</w:t>
      </w:r>
      <w:r w:rsidR="00D2212D" w:rsidRPr="00157BF0">
        <w:rPr>
          <w:lang w:val="fr-FR"/>
        </w:rPr>
        <w:t>L</w:t>
      </w:r>
      <w:r w:rsidR="001C63CD">
        <w:rPr>
          <w:lang w:val="fr-FR"/>
        </w:rPr>
        <w:t>’</w:t>
      </w:r>
      <w:r w:rsidR="001C63CD" w:rsidRPr="00157BF0">
        <w:rPr>
          <w:lang w:val="fr-FR"/>
        </w:rPr>
        <w:t>annexe</w:t>
      </w:r>
      <w:r w:rsidR="001C63CD">
        <w:rPr>
          <w:lang w:val="fr-FR"/>
        </w:rPr>
        <w:t> </w:t>
      </w:r>
      <w:r w:rsidR="001C63CD" w:rsidRPr="00157BF0">
        <w:rPr>
          <w:lang w:val="fr-FR"/>
        </w:rPr>
        <w:t>I</w:t>
      </w:r>
      <w:r w:rsidRPr="00157BF0">
        <w:rPr>
          <w:lang w:val="fr-FR"/>
        </w:rPr>
        <w:t xml:space="preserve">I </w:t>
      </w:r>
      <w:r w:rsidR="00D2212D" w:rsidRPr="00157BF0">
        <w:rPr>
          <w:lang w:val="fr-FR"/>
        </w:rPr>
        <w:t>suit</w:t>
      </w:r>
      <w:r w:rsidRPr="00157BF0">
        <w:rPr>
          <w:lang w:val="fr-FR"/>
        </w:rPr>
        <w:t>]</w:t>
      </w:r>
    </w:p>
    <w:p w14:paraId="45712454" w14:textId="77777777" w:rsidR="00157BF0" w:rsidRDefault="00157BF0" w:rsidP="00157BF0">
      <w:pPr>
        <w:rPr>
          <w:lang w:val="fr-FR"/>
        </w:rPr>
      </w:pPr>
    </w:p>
    <w:p w14:paraId="7DECB390" w14:textId="77777777" w:rsidR="00157BF0" w:rsidRPr="00157BF0" w:rsidRDefault="00157BF0" w:rsidP="009B2029">
      <w:pPr>
        <w:pStyle w:val="Endofdocument-Annex"/>
        <w:rPr>
          <w:lang w:val="fr-FR"/>
        </w:rPr>
        <w:sectPr w:rsidR="00157BF0" w:rsidRPr="00157BF0" w:rsidSect="00157BF0">
          <w:headerReference w:type="default" r:id="rId11"/>
          <w:headerReference w:type="first" r:id="rId12"/>
          <w:endnotePr>
            <w:numFmt w:val="decimal"/>
          </w:endnotePr>
          <w:pgSz w:w="11907" w:h="16840" w:code="9"/>
          <w:pgMar w:top="567" w:right="1134" w:bottom="1417" w:left="1417" w:header="510" w:footer="1020" w:gutter="0"/>
          <w:pgNumType w:start="1"/>
          <w:cols w:space="720"/>
          <w:titlePg/>
          <w:docGrid w:linePitch="299"/>
        </w:sectPr>
      </w:pPr>
    </w:p>
    <w:p w14:paraId="598C7E94" w14:textId="7E5BA3F6" w:rsidR="002E288D" w:rsidRPr="00157BF0" w:rsidRDefault="00166A8D" w:rsidP="009B2029">
      <w:pPr>
        <w:jc w:val="center"/>
        <w:rPr>
          <w:lang w:val="fr-FR"/>
        </w:rPr>
      </w:pPr>
      <w:r w:rsidRPr="00157BF0">
        <w:rPr>
          <w:lang w:val="fr-FR"/>
        </w:rPr>
        <w:lastRenderedPageBreak/>
        <w:t>RÉSUMÉ</w:t>
      </w:r>
      <w:r w:rsidR="002E288D" w:rsidRPr="00157BF0">
        <w:rPr>
          <w:lang w:val="fr-FR"/>
        </w:rPr>
        <w:t xml:space="preserve"> </w:t>
      </w:r>
      <w:r w:rsidR="00EF0CED" w:rsidRPr="00157BF0">
        <w:rPr>
          <w:lang w:val="fr-FR"/>
        </w:rPr>
        <w:t>DE</w:t>
      </w:r>
      <w:r w:rsidR="002E288D" w:rsidRPr="00157BF0">
        <w:rPr>
          <w:lang w:val="fr-FR"/>
        </w:rPr>
        <w:br/>
      </w:r>
      <w:r w:rsidR="00EF0CED" w:rsidRPr="00157BF0">
        <w:rPr>
          <w:lang w:val="fr-FR"/>
        </w:rPr>
        <w:t>L</w:t>
      </w:r>
      <w:r w:rsidR="001C63CD">
        <w:rPr>
          <w:lang w:val="fr-FR"/>
        </w:rPr>
        <w:t>’</w:t>
      </w:r>
      <w:r w:rsidR="00EF0CED" w:rsidRPr="00157BF0">
        <w:rPr>
          <w:lang w:val="fr-FR"/>
        </w:rPr>
        <w:t>ANALYSE D</w:t>
      </w:r>
      <w:r w:rsidR="001C63CD">
        <w:rPr>
          <w:lang w:val="fr-FR"/>
        </w:rPr>
        <w:t>’</w:t>
      </w:r>
      <w:r w:rsidR="00EF0CED" w:rsidRPr="00157BF0">
        <w:rPr>
          <w:lang w:val="fr-FR"/>
        </w:rPr>
        <w:t>IMPACT FINANCIER</w:t>
      </w:r>
    </w:p>
    <w:p w14:paraId="721CF90C" w14:textId="77777777" w:rsidR="00F103FF" w:rsidRPr="00157BF0" w:rsidRDefault="00F103FF" w:rsidP="009B2029">
      <w:pPr>
        <w:rPr>
          <w:lang w:val="fr-FR"/>
        </w:rPr>
      </w:pPr>
    </w:p>
    <w:p w14:paraId="4B38DC42" w14:textId="73BD7688" w:rsidR="002E288D" w:rsidRPr="00157BF0" w:rsidRDefault="00357339" w:rsidP="00157BF0">
      <w:pPr>
        <w:pStyle w:val="ONUMFS"/>
        <w:numPr>
          <w:ilvl w:val="0"/>
          <w:numId w:val="0"/>
        </w:numPr>
        <w:rPr>
          <w:i/>
          <w:lang w:val="fr-FR"/>
        </w:rPr>
      </w:pPr>
      <w:r w:rsidRPr="00157BF0">
        <w:rPr>
          <w:i/>
          <w:lang w:val="fr-FR"/>
        </w:rPr>
        <w:t>Le présent document résume l</w:t>
      </w:r>
      <w:r w:rsidR="001C63CD">
        <w:rPr>
          <w:i/>
          <w:lang w:val="fr-FR"/>
        </w:rPr>
        <w:t>’</w:t>
      </w:r>
      <w:r w:rsidRPr="00157BF0">
        <w:rPr>
          <w:i/>
          <w:lang w:val="fr-FR"/>
        </w:rPr>
        <w:t>analyse de l</w:t>
      </w:r>
      <w:r w:rsidR="001C63CD">
        <w:rPr>
          <w:i/>
          <w:lang w:val="fr-FR"/>
        </w:rPr>
        <w:t>’</w:t>
      </w:r>
      <w:r w:rsidRPr="00157BF0">
        <w:rPr>
          <w:i/>
          <w:lang w:val="fr-FR"/>
        </w:rPr>
        <w:t>impact financier du projet pilote effectuée par la Division de la supervision interne de l</w:t>
      </w:r>
      <w:r w:rsidR="001C63CD">
        <w:rPr>
          <w:i/>
          <w:lang w:val="fr-FR"/>
        </w:rPr>
        <w:t>’</w:t>
      </w:r>
      <w:r w:rsidRPr="00157BF0">
        <w:rPr>
          <w:i/>
          <w:lang w:val="fr-FR"/>
        </w:rPr>
        <w:t>Organisation Mondiale de la Propriété Intellectuel</w:t>
      </w:r>
      <w:r w:rsidR="005C097F" w:rsidRPr="00157BF0">
        <w:rPr>
          <w:i/>
          <w:lang w:val="fr-FR"/>
        </w:rPr>
        <w:t>le</w:t>
      </w:r>
      <w:r w:rsidR="005C097F">
        <w:rPr>
          <w:i/>
          <w:lang w:val="fr-FR"/>
        </w:rPr>
        <w:t xml:space="preserve">.  </w:t>
      </w:r>
      <w:r w:rsidR="005C097F" w:rsidRPr="00157BF0">
        <w:rPr>
          <w:i/>
          <w:lang w:val="fr-FR"/>
        </w:rPr>
        <w:t>Le</w:t>
      </w:r>
      <w:r w:rsidRPr="00157BF0">
        <w:rPr>
          <w:i/>
          <w:lang w:val="fr-FR"/>
        </w:rPr>
        <w:t xml:space="preserve"> texte complet du rapport peut être consulté à l</w:t>
      </w:r>
      <w:r w:rsidR="001C63CD">
        <w:rPr>
          <w:i/>
          <w:lang w:val="fr-FR"/>
        </w:rPr>
        <w:t>’</w:t>
      </w:r>
      <w:r w:rsidRPr="00157BF0">
        <w:rPr>
          <w:i/>
          <w:lang w:val="fr-FR"/>
        </w:rPr>
        <w:t xml:space="preserve">adresse </w:t>
      </w:r>
      <w:r w:rsidR="00FC5851" w:rsidRPr="00157BF0">
        <w:rPr>
          <w:i/>
          <w:lang w:val="fr-FR"/>
        </w:rPr>
        <w:t>https://www.wipo.int/about</w:t>
      </w:r>
      <w:r w:rsidR="00FB191E">
        <w:rPr>
          <w:i/>
          <w:lang w:val="fr-FR"/>
        </w:rPr>
        <w:noBreakHyphen/>
      </w:r>
      <w:r w:rsidR="00FC5851" w:rsidRPr="00157BF0">
        <w:rPr>
          <w:i/>
          <w:lang w:val="fr-FR"/>
        </w:rPr>
        <w:t>wipo/en/oversight/iaod/audit/</w:t>
      </w:r>
      <w:r w:rsidR="00F44030" w:rsidRPr="00157BF0">
        <w:rPr>
          <w:i/>
          <w:lang w:val="fr-FR"/>
        </w:rPr>
        <w:t>.</w:t>
      </w:r>
    </w:p>
    <w:p w14:paraId="1AFCC6B5" w14:textId="281B592E" w:rsidR="00FC5851" w:rsidRPr="00157BF0" w:rsidRDefault="00FC5851" w:rsidP="009B2029">
      <w:pPr>
        <w:rPr>
          <w:lang w:val="fr-FR"/>
        </w:rPr>
      </w:pPr>
    </w:p>
    <w:p w14:paraId="3C390A8F" w14:textId="0F511ADC" w:rsidR="000914A5" w:rsidRPr="00157BF0" w:rsidRDefault="000914A5" w:rsidP="009B2029">
      <w:pPr>
        <w:rPr>
          <w:lang w:val="fr-FR"/>
        </w:rPr>
      </w:pPr>
    </w:p>
    <w:p w14:paraId="1926D5B1" w14:textId="591AB9AB" w:rsidR="000914A5" w:rsidRDefault="00157BF0" w:rsidP="00157BF0">
      <w:pPr>
        <w:pStyle w:val="Heading1"/>
        <w:rPr>
          <w:lang w:val="fr-FR"/>
        </w:rPr>
      </w:pPr>
      <w:r w:rsidRPr="00157BF0">
        <w:rPr>
          <w:lang w:val="fr-FR"/>
        </w:rPr>
        <w:t>Résumé</w:t>
      </w:r>
    </w:p>
    <w:p w14:paraId="7151C9EE" w14:textId="77777777" w:rsidR="00157BF0" w:rsidRPr="00157BF0" w:rsidRDefault="00157BF0" w:rsidP="00157BF0">
      <w:pPr>
        <w:rPr>
          <w:lang w:val="fr-FR"/>
        </w:rPr>
      </w:pPr>
    </w:p>
    <w:p w14:paraId="01E0B47B" w14:textId="72653E58" w:rsidR="000914A5" w:rsidRPr="00157BF0" w:rsidRDefault="00357339" w:rsidP="00157BF0">
      <w:pPr>
        <w:pStyle w:val="ONUMFS"/>
        <w:numPr>
          <w:ilvl w:val="0"/>
          <w:numId w:val="16"/>
        </w:numPr>
        <w:rPr>
          <w:lang w:val="fr-FR"/>
        </w:rPr>
      </w:pPr>
      <w:r w:rsidRPr="00157BF0">
        <w:rPr>
          <w:lang w:val="fr-FR"/>
        </w:rPr>
        <w:t xml:space="preserve">La </w:t>
      </w:r>
      <w:r w:rsidR="000914A5" w:rsidRPr="00157BF0">
        <w:rPr>
          <w:lang w:val="fr-FR"/>
        </w:rPr>
        <w:t>“</w:t>
      </w:r>
      <w:r w:rsidRPr="00157BF0">
        <w:rPr>
          <w:lang w:val="fr-FR"/>
        </w:rPr>
        <w:t>compensation</w:t>
      </w:r>
      <w:r w:rsidR="000914A5" w:rsidRPr="00157BF0">
        <w:rPr>
          <w:lang w:val="fr-FR"/>
        </w:rPr>
        <w:t xml:space="preserve">” </w:t>
      </w:r>
      <w:r w:rsidRPr="00157BF0">
        <w:rPr>
          <w:lang w:val="fr-FR"/>
        </w:rPr>
        <w:t>est un mécanisme de règlement utilisé pour permettre de compenser une valeur positive (paiement) et une valeur négative (créance) en annulant les deux</w:t>
      </w:r>
      <w:r w:rsidR="00CB19EE">
        <w:rPr>
          <w:lang w:val="fr-FR"/>
        </w:rPr>
        <w:t> </w:t>
      </w:r>
      <w:r w:rsidRPr="00157BF0">
        <w:rPr>
          <w:lang w:val="fr-FR"/>
        </w:rPr>
        <w:t>en tout ou en part</w:t>
      </w:r>
      <w:r w:rsidR="005C097F" w:rsidRPr="00157BF0">
        <w:rPr>
          <w:lang w:val="fr-FR"/>
        </w:rPr>
        <w:t>ie</w:t>
      </w:r>
      <w:r w:rsidR="005C097F">
        <w:rPr>
          <w:lang w:val="fr-FR"/>
        </w:rPr>
        <w:t xml:space="preserve">.  </w:t>
      </w:r>
      <w:r w:rsidR="005C097F" w:rsidRPr="00157BF0">
        <w:rPr>
          <w:lang w:val="fr-FR"/>
        </w:rPr>
        <w:t>Le</w:t>
      </w:r>
      <w:r w:rsidRPr="00157BF0">
        <w:rPr>
          <w:lang w:val="fr-FR"/>
        </w:rPr>
        <w:t xml:space="preserve"> processus de compensation consolide l</w:t>
      </w:r>
      <w:r w:rsidR="001C63CD">
        <w:rPr>
          <w:lang w:val="fr-FR"/>
        </w:rPr>
        <w:t>’</w:t>
      </w:r>
      <w:r w:rsidRPr="00157BF0">
        <w:rPr>
          <w:lang w:val="fr-FR"/>
        </w:rPr>
        <w:t>ensemble des transactions entre les participants et calcule le règlement entre eux sur la base du solde net, le plus souvent au moyen d</w:t>
      </w:r>
      <w:r w:rsidR="001C63CD">
        <w:rPr>
          <w:lang w:val="fr-FR"/>
        </w:rPr>
        <w:t>’</w:t>
      </w:r>
      <w:r w:rsidRPr="00157BF0">
        <w:rPr>
          <w:lang w:val="fr-FR"/>
        </w:rPr>
        <w:t>un seul paiement ou encaissement.</w:t>
      </w:r>
    </w:p>
    <w:p w14:paraId="2478899C" w14:textId="0B0D08CA" w:rsidR="000914A5" w:rsidRPr="00157BF0" w:rsidRDefault="001C63CD" w:rsidP="00157BF0">
      <w:pPr>
        <w:pStyle w:val="ONUMFS"/>
        <w:rPr>
          <w:lang w:val="fr-FR"/>
        </w:rPr>
      </w:pPr>
      <w:r w:rsidRPr="00157BF0">
        <w:rPr>
          <w:lang w:val="fr-FR"/>
        </w:rPr>
        <w:t>En</w:t>
      </w:r>
      <w:r>
        <w:rPr>
          <w:lang w:val="fr-FR"/>
        </w:rPr>
        <w:t> </w:t>
      </w:r>
      <w:r w:rsidRPr="00157BF0">
        <w:rPr>
          <w:lang w:val="fr-FR"/>
        </w:rPr>
        <w:t>2018</w:t>
      </w:r>
      <w:r w:rsidR="003B47C1" w:rsidRPr="00157BF0">
        <w:rPr>
          <w:lang w:val="fr-FR"/>
        </w:rPr>
        <w:t>,</w:t>
      </w:r>
      <w:r w:rsidR="00045E31" w:rsidRPr="00157BF0">
        <w:rPr>
          <w:lang w:val="fr-FR"/>
        </w:rPr>
        <w:t xml:space="preserve"> le Bureau international a lancé le projet pilote de compensation des taxes du Traité de coopération en matière de brevets (PCT),</w:t>
      </w:r>
      <w:r w:rsidR="003B47C1" w:rsidRPr="00157BF0">
        <w:rPr>
          <w:lang w:val="fr-FR"/>
        </w:rPr>
        <w:t xml:space="preserve"> son invitation aux offices récepteurs et aux administrations chargées de la recherche internationale ayant reçu un accueil favorable.  L</w:t>
      </w:r>
      <w:r>
        <w:rPr>
          <w:lang w:val="fr-FR"/>
        </w:rPr>
        <w:t>’</w:t>
      </w:r>
      <w:r w:rsidR="003B47C1" w:rsidRPr="00157BF0">
        <w:rPr>
          <w:lang w:val="fr-FR"/>
        </w:rPr>
        <w:t xml:space="preserve">Office européen des brevets (OEB), </w:t>
      </w:r>
      <w:r w:rsidR="00045E31" w:rsidRPr="00157BF0">
        <w:rPr>
          <w:lang w:val="fr-FR"/>
        </w:rPr>
        <w:t>l</w:t>
      </w:r>
      <w:r>
        <w:rPr>
          <w:lang w:val="fr-FR"/>
        </w:rPr>
        <w:t>’</w:t>
      </w:r>
      <w:r w:rsidR="00045E31" w:rsidRPr="00157BF0">
        <w:rPr>
          <w:lang w:val="fr-FR"/>
        </w:rPr>
        <w:t>Office des brevets du Japon (JPO) et l</w:t>
      </w:r>
      <w:r>
        <w:rPr>
          <w:lang w:val="fr-FR"/>
        </w:rPr>
        <w:t>’</w:t>
      </w:r>
      <w:r w:rsidR="00045E31" w:rsidRPr="00157BF0">
        <w:rPr>
          <w:lang w:val="fr-FR"/>
        </w:rPr>
        <w:t>Office autrichien des brevets (ATPO) ont répondu affirmativement à cette invitation.</w:t>
      </w:r>
    </w:p>
    <w:p w14:paraId="3F43DE9F" w14:textId="3436B93F" w:rsidR="000914A5" w:rsidRPr="00157BF0" w:rsidRDefault="00045E31" w:rsidP="00157BF0">
      <w:pPr>
        <w:pStyle w:val="ONUMFS"/>
        <w:rPr>
          <w:lang w:val="fr-FR"/>
        </w:rPr>
      </w:pPr>
      <w:r w:rsidRPr="00157BF0">
        <w:rPr>
          <w:lang w:val="fr-FR"/>
        </w:rPr>
        <w:t>L</w:t>
      </w:r>
      <w:r w:rsidR="000914A5" w:rsidRPr="00157BF0">
        <w:rPr>
          <w:lang w:val="fr-FR"/>
        </w:rPr>
        <w:t>e table</w:t>
      </w:r>
      <w:r w:rsidRPr="00157BF0">
        <w:rPr>
          <w:lang w:val="fr-FR"/>
        </w:rPr>
        <w:t>au ci</w:t>
      </w:r>
      <w:r w:rsidR="00FB191E">
        <w:rPr>
          <w:lang w:val="fr-FR"/>
        </w:rPr>
        <w:noBreakHyphen/>
      </w:r>
      <w:r w:rsidRPr="00157BF0">
        <w:rPr>
          <w:lang w:val="fr-FR"/>
        </w:rPr>
        <w:t xml:space="preserve">dessous </w:t>
      </w:r>
      <w:r w:rsidR="0037151E" w:rsidRPr="00157BF0">
        <w:rPr>
          <w:lang w:val="fr-FR"/>
        </w:rPr>
        <w:t xml:space="preserve">indique la situation en </w:t>
      </w:r>
      <w:r w:rsidR="001C63CD" w:rsidRPr="00157BF0">
        <w:rPr>
          <w:lang w:val="fr-FR"/>
        </w:rPr>
        <w:t>février</w:t>
      </w:r>
      <w:r w:rsidR="001C63CD">
        <w:rPr>
          <w:lang w:val="fr-FR"/>
        </w:rPr>
        <w:t> </w:t>
      </w:r>
      <w:r w:rsidR="001C63CD" w:rsidRPr="00157BF0">
        <w:rPr>
          <w:lang w:val="fr-FR"/>
        </w:rPr>
        <w:t>20</w:t>
      </w:r>
      <w:r w:rsidR="0037151E" w:rsidRPr="00157BF0">
        <w:rPr>
          <w:lang w:val="fr-FR"/>
        </w:rPr>
        <w:t xml:space="preserve">19 </w:t>
      </w:r>
      <w:r w:rsidR="00A61118" w:rsidRPr="00157BF0">
        <w:rPr>
          <w:lang w:val="fr-FR"/>
        </w:rPr>
        <w:t>en ce qui concerne l</w:t>
      </w:r>
      <w:r w:rsidR="0037151E" w:rsidRPr="00157BF0">
        <w:rPr>
          <w:lang w:val="fr-FR"/>
        </w:rPr>
        <w:t>es offices récepteurs et administrations chargées de la recherche internationale invités à participer au projet pilote.</w:t>
      </w:r>
    </w:p>
    <w:tbl>
      <w:tblPr>
        <w:tblStyle w:val="TableGrid"/>
        <w:tblW w:w="5000" w:type="pct"/>
        <w:tblCellMar>
          <w:top w:w="57" w:type="dxa"/>
          <w:bottom w:w="57" w:type="dxa"/>
        </w:tblCellMar>
        <w:tblLook w:val="04A0" w:firstRow="1" w:lastRow="0" w:firstColumn="1" w:lastColumn="0" w:noHBand="0" w:noVBand="1"/>
      </w:tblPr>
      <w:tblGrid>
        <w:gridCol w:w="1709"/>
        <w:gridCol w:w="1480"/>
        <w:gridCol w:w="1525"/>
        <w:gridCol w:w="1493"/>
        <w:gridCol w:w="1510"/>
        <w:gridCol w:w="1855"/>
      </w:tblGrid>
      <w:tr w:rsidR="0090635B" w:rsidRPr="00157BF0" w14:paraId="506B5527" w14:textId="77777777" w:rsidTr="00157BF0">
        <w:tc>
          <w:tcPr>
            <w:tcW w:w="1709" w:type="dxa"/>
          </w:tcPr>
          <w:p w14:paraId="46A1660D" w14:textId="3A1E60C4" w:rsidR="00695B38" w:rsidRPr="00157BF0" w:rsidRDefault="0037151E" w:rsidP="00157BF0">
            <w:pPr>
              <w:jc w:val="center"/>
              <w:rPr>
                <w:b/>
                <w:sz w:val="20"/>
                <w:lang w:val="fr-FR"/>
              </w:rPr>
            </w:pPr>
            <w:r w:rsidRPr="00157BF0">
              <w:rPr>
                <w:b/>
                <w:sz w:val="20"/>
                <w:lang w:val="fr-FR"/>
              </w:rPr>
              <w:t>Offices récepteurs participant au mécanisme de compensation</w:t>
            </w:r>
          </w:p>
        </w:tc>
        <w:tc>
          <w:tcPr>
            <w:tcW w:w="1480" w:type="dxa"/>
          </w:tcPr>
          <w:p w14:paraId="38D4D77E" w14:textId="4E14CFCA" w:rsidR="00695B38" w:rsidRPr="00157BF0" w:rsidRDefault="00A61118" w:rsidP="00157BF0">
            <w:pPr>
              <w:jc w:val="center"/>
              <w:rPr>
                <w:b/>
                <w:sz w:val="20"/>
                <w:lang w:val="fr-FR"/>
              </w:rPr>
            </w:pPr>
            <w:r w:rsidRPr="00157BF0">
              <w:rPr>
                <w:b/>
                <w:sz w:val="20"/>
                <w:lang w:val="fr-FR"/>
              </w:rPr>
              <w:t>Ont décliné</w:t>
            </w:r>
          </w:p>
        </w:tc>
        <w:tc>
          <w:tcPr>
            <w:tcW w:w="1525" w:type="dxa"/>
          </w:tcPr>
          <w:p w14:paraId="585BBD49" w14:textId="3428F14D" w:rsidR="00695B38" w:rsidRPr="00157BF0" w:rsidRDefault="00695B38" w:rsidP="00157BF0">
            <w:pPr>
              <w:jc w:val="center"/>
              <w:rPr>
                <w:b/>
                <w:sz w:val="20"/>
                <w:lang w:val="fr-FR"/>
              </w:rPr>
            </w:pPr>
            <w:r w:rsidRPr="00157BF0">
              <w:rPr>
                <w:b/>
                <w:sz w:val="20"/>
                <w:lang w:val="fr-FR"/>
              </w:rPr>
              <w:t>N</w:t>
            </w:r>
            <w:r w:rsidR="001C63CD">
              <w:rPr>
                <w:b/>
                <w:sz w:val="20"/>
                <w:lang w:val="fr-FR"/>
              </w:rPr>
              <w:t>’</w:t>
            </w:r>
            <w:r w:rsidR="00A61118" w:rsidRPr="00157BF0">
              <w:rPr>
                <w:b/>
                <w:sz w:val="20"/>
                <w:lang w:val="fr-FR"/>
              </w:rPr>
              <w:t>ont pas répondu à l</w:t>
            </w:r>
            <w:r w:rsidR="001C63CD">
              <w:rPr>
                <w:b/>
                <w:sz w:val="20"/>
                <w:lang w:val="fr-FR"/>
              </w:rPr>
              <w:t>’</w:t>
            </w:r>
            <w:r w:rsidRPr="00157BF0">
              <w:rPr>
                <w:b/>
                <w:sz w:val="20"/>
                <w:lang w:val="fr-FR"/>
              </w:rPr>
              <w:t>invitation</w:t>
            </w:r>
          </w:p>
        </w:tc>
        <w:tc>
          <w:tcPr>
            <w:tcW w:w="1493" w:type="dxa"/>
          </w:tcPr>
          <w:p w14:paraId="5279826B" w14:textId="3F2C0FDD" w:rsidR="00695B38" w:rsidRPr="00157BF0" w:rsidRDefault="00695B38" w:rsidP="00157BF0">
            <w:pPr>
              <w:jc w:val="center"/>
              <w:rPr>
                <w:b/>
                <w:sz w:val="20"/>
                <w:lang w:val="fr-FR"/>
              </w:rPr>
            </w:pPr>
            <w:r w:rsidRPr="00157BF0">
              <w:rPr>
                <w:b/>
                <w:sz w:val="20"/>
                <w:lang w:val="fr-FR"/>
              </w:rPr>
              <w:t>Inacti</w:t>
            </w:r>
            <w:r w:rsidR="00A61118" w:rsidRPr="00157BF0">
              <w:rPr>
                <w:b/>
                <w:sz w:val="20"/>
                <w:lang w:val="fr-FR"/>
              </w:rPr>
              <w:t>fs</w:t>
            </w:r>
            <w:r w:rsidRPr="00157BF0">
              <w:rPr>
                <w:rStyle w:val="FootnoteReference"/>
                <w:b/>
                <w:sz w:val="20"/>
                <w:lang w:val="fr-FR"/>
              </w:rPr>
              <w:footnoteReference w:id="2"/>
            </w:r>
          </w:p>
        </w:tc>
        <w:tc>
          <w:tcPr>
            <w:tcW w:w="1510" w:type="dxa"/>
          </w:tcPr>
          <w:p w14:paraId="1A8D281A" w14:textId="3333EBE0" w:rsidR="00695B38" w:rsidRPr="00157BF0" w:rsidRDefault="00695B38" w:rsidP="00157BF0">
            <w:pPr>
              <w:jc w:val="center"/>
              <w:rPr>
                <w:b/>
                <w:sz w:val="20"/>
                <w:lang w:val="fr-FR"/>
              </w:rPr>
            </w:pPr>
            <w:r w:rsidRPr="00157BF0">
              <w:rPr>
                <w:b/>
                <w:sz w:val="20"/>
                <w:lang w:val="fr-FR"/>
              </w:rPr>
              <w:t xml:space="preserve">Invitation </w:t>
            </w:r>
            <w:r w:rsidR="00A61118" w:rsidRPr="00157BF0">
              <w:rPr>
                <w:b/>
                <w:sz w:val="20"/>
                <w:lang w:val="fr-FR"/>
              </w:rPr>
              <w:t>en cours</w:t>
            </w:r>
          </w:p>
        </w:tc>
        <w:tc>
          <w:tcPr>
            <w:tcW w:w="1855" w:type="dxa"/>
          </w:tcPr>
          <w:p w14:paraId="34483022" w14:textId="0A70DF6B" w:rsidR="00695B38" w:rsidRPr="00157BF0" w:rsidRDefault="0090635B" w:rsidP="00157BF0">
            <w:pPr>
              <w:jc w:val="center"/>
              <w:rPr>
                <w:b/>
                <w:sz w:val="20"/>
                <w:lang w:val="fr-FR"/>
              </w:rPr>
            </w:pPr>
            <w:r w:rsidRPr="00157BF0">
              <w:rPr>
                <w:b/>
                <w:sz w:val="20"/>
                <w:lang w:val="fr-FR"/>
              </w:rPr>
              <w:t>Nombre d</w:t>
            </w:r>
            <w:r w:rsidR="001C63CD">
              <w:rPr>
                <w:b/>
                <w:sz w:val="20"/>
                <w:lang w:val="fr-FR"/>
              </w:rPr>
              <w:t>’</w:t>
            </w:r>
            <w:r w:rsidRPr="00157BF0">
              <w:rPr>
                <w:b/>
                <w:sz w:val="20"/>
                <w:lang w:val="fr-FR"/>
              </w:rPr>
              <w:t>offices récepteurs désignant des administrations chargées de la recherche internationale participantes</w:t>
            </w:r>
          </w:p>
        </w:tc>
      </w:tr>
      <w:tr w:rsidR="0090635B" w:rsidRPr="00157BF0" w14:paraId="02E4D1CF" w14:textId="77777777" w:rsidTr="00157BF0">
        <w:tc>
          <w:tcPr>
            <w:tcW w:w="1709" w:type="dxa"/>
          </w:tcPr>
          <w:p w14:paraId="40AE99FA" w14:textId="2AF0A19E" w:rsidR="00695B38" w:rsidRPr="00157BF0" w:rsidRDefault="00695B38" w:rsidP="00157BF0">
            <w:pPr>
              <w:jc w:val="center"/>
              <w:rPr>
                <w:b/>
                <w:sz w:val="20"/>
                <w:lang w:val="fr-FR"/>
              </w:rPr>
            </w:pPr>
            <w:r w:rsidRPr="00157BF0">
              <w:rPr>
                <w:b/>
                <w:sz w:val="20"/>
                <w:lang w:val="fr-FR"/>
              </w:rPr>
              <w:t>43</w:t>
            </w:r>
          </w:p>
        </w:tc>
        <w:tc>
          <w:tcPr>
            <w:tcW w:w="1480" w:type="dxa"/>
          </w:tcPr>
          <w:p w14:paraId="0555D960" w14:textId="0B674C59" w:rsidR="00695B38" w:rsidRPr="00157BF0" w:rsidRDefault="00695B38" w:rsidP="00157BF0">
            <w:pPr>
              <w:jc w:val="center"/>
              <w:rPr>
                <w:b/>
                <w:sz w:val="20"/>
                <w:lang w:val="fr-FR"/>
              </w:rPr>
            </w:pPr>
            <w:r w:rsidRPr="00157BF0">
              <w:rPr>
                <w:b/>
                <w:sz w:val="20"/>
                <w:lang w:val="fr-FR"/>
              </w:rPr>
              <w:t>14</w:t>
            </w:r>
          </w:p>
        </w:tc>
        <w:tc>
          <w:tcPr>
            <w:tcW w:w="1525" w:type="dxa"/>
          </w:tcPr>
          <w:p w14:paraId="4980EB47" w14:textId="67004148" w:rsidR="00695B38" w:rsidRPr="00157BF0" w:rsidRDefault="00695B38" w:rsidP="00157BF0">
            <w:pPr>
              <w:jc w:val="center"/>
              <w:rPr>
                <w:b/>
                <w:sz w:val="20"/>
                <w:lang w:val="fr-FR"/>
              </w:rPr>
            </w:pPr>
            <w:r w:rsidRPr="00157BF0">
              <w:rPr>
                <w:b/>
                <w:sz w:val="20"/>
                <w:lang w:val="fr-FR"/>
              </w:rPr>
              <w:t>26</w:t>
            </w:r>
          </w:p>
        </w:tc>
        <w:tc>
          <w:tcPr>
            <w:tcW w:w="1493" w:type="dxa"/>
          </w:tcPr>
          <w:p w14:paraId="71CECD7E" w14:textId="56EBA3DA" w:rsidR="00695B38" w:rsidRPr="00157BF0" w:rsidRDefault="00695B38" w:rsidP="00157BF0">
            <w:pPr>
              <w:jc w:val="center"/>
              <w:rPr>
                <w:b/>
                <w:sz w:val="20"/>
                <w:lang w:val="fr-FR"/>
              </w:rPr>
            </w:pPr>
            <w:r w:rsidRPr="00157BF0">
              <w:rPr>
                <w:b/>
                <w:sz w:val="20"/>
                <w:lang w:val="fr-FR"/>
              </w:rPr>
              <w:t>43</w:t>
            </w:r>
          </w:p>
        </w:tc>
        <w:tc>
          <w:tcPr>
            <w:tcW w:w="1510" w:type="dxa"/>
          </w:tcPr>
          <w:p w14:paraId="25AE5EA6" w14:textId="521F8DB8" w:rsidR="00695B38" w:rsidRPr="00157BF0" w:rsidRDefault="00695B38" w:rsidP="00157BF0">
            <w:pPr>
              <w:jc w:val="center"/>
              <w:rPr>
                <w:b/>
                <w:sz w:val="20"/>
                <w:lang w:val="fr-FR"/>
              </w:rPr>
            </w:pPr>
            <w:r w:rsidRPr="00157BF0">
              <w:rPr>
                <w:b/>
                <w:sz w:val="20"/>
                <w:lang w:val="fr-FR"/>
              </w:rPr>
              <w:t>22</w:t>
            </w:r>
          </w:p>
        </w:tc>
        <w:tc>
          <w:tcPr>
            <w:tcW w:w="1855" w:type="dxa"/>
          </w:tcPr>
          <w:p w14:paraId="2D71D428" w14:textId="25438B84" w:rsidR="00695B38" w:rsidRPr="00157BF0" w:rsidRDefault="00695B38" w:rsidP="00157BF0">
            <w:pPr>
              <w:jc w:val="center"/>
              <w:rPr>
                <w:b/>
                <w:sz w:val="20"/>
                <w:lang w:val="fr-FR"/>
              </w:rPr>
            </w:pPr>
            <w:r w:rsidRPr="00157BF0">
              <w:rPr>
                <w:b/>
                <w:sz w:val="20"/>
                <w:lang w:val="fr-FR"/>
              </w:rPr>
              <w:t>148</w:t>
            </w:r>
          </w:p>
        </w:tc>
      </w:tr>
    </w:tbl>
    <w:p w14:paraId="724FFFA4" w14:textId="23E64916" w:rsidR="00695B38" w:rsidRPr="00157BF0" w:rsidRDefault="00695B38" w:rsidP="00157BF0">
      <w:pPr>
        <w:pStyle w:val="ONUMFS"/>
        <w:numPr>
          <w:ilvl w:val="0"/>
          <w:numId w:val="0"/>
        </w:numPr>
        <w:rPr>
          <w:sz w:val="20"/>
          <w:lang w:val="fr-FR"/>
        </w:rPr>
      </w:pPr>
      <w:r w:rsidRPr="00157BF0">
        <w:rPr>
          <w:sz w:val="20"/>
          <w:lang w:val="fr-FR"/>
        </w:rPr>
        <w:t>Source</w:t>
      </w:r>
      <w:r w:rsidR="001C63CD">
        <w:rPr>
          <w:sz w:val="20"/>
          <w:lang w:val="fr-FR"/>
        </w:rPr>
        <w:t> :</w:t>
      </w:r>
      <w:r w:rsidRPr="00157BF0">
        <w:rPr>
          <w:sz w:val="20"/>
          <w:lang w:val="fr-FR"/>
        </w:rPr>
        <w:t xml:space="preserve"> </w:t>
      </w:r>
      <w:r w:rsidR="002348B5" w:rsidRPr="00157BF0">
        <w:rPr>
          <w:sz w:val="20"/>
          <w:lang w:val="fr-FR"/>
        </w:rPr>
        <w:t>Division des finances</w:t>
      </w:r>
    </w:p>
    <w:p w14:paraId="3D7487D1" w14:textId="77777777" w:rsidR="00695B38" w:rsidRPr="00157BF0" w:rsidRDefault="00695B38" w:rsidP="000914A5">
      <w:pPr>
        <w:rPr>
          <w:lang w:val="fr-FR"/>
        </w:rPr>
      </w:pPr>
    </w:p>
    <w:p w14:paraId="1B845449" w14:textId="2AB9178D" w:rsidR="000914A5" w:rsidRPr="00157BF0" w:rsidRDefault="0090635B" w:rsidP="00157BF0">
      <w:pPr>
        <w:pStyle w:val="ONUMFS"/>
        <w:rPr>
          <w:lang w:val="fr-FR"/>
        </w:rPr>
      </w:pPr>
      <w:r w:rsidRPr="00157BF0">
        <w:rPr>
          <w:lang w:val="fr-FR"/>
        </w:rPr>
        <w:t>Le tableau ci</w:t>
      </w:r>
      <w:r w:rsidR="00FB191E">
        <w:rPr>
          <w:lang w:val="fr-FR"/>
        </w:rPr>
        <w:noBreakHyphen/>
      </w:r>
      <w:r w:rsidRPr="00157BF0">
        <w:rPr>
          <w:lang w:val="fr-FR"/>
        </w:rPr>
        <w:t xml:space="preserve">dessous indique les </w:t>
      </w:r>
      <w:r w:rsidR="00A70225" w:rsidRPr="00157BF0">
        <w:rPr>
          <w:lang w:val="fr-FR"/>
        </w:rPr>
        <w:t xml:space="preserve">montants </w:t>
      </w:r>
      <w:r w:rsidR="007A5948" w:rsidRPr="00157BF0">
        <w:rPr>
          <w:lang w:val="fr-FR"/>
        </w:rPr>
        <w:t>sur lesquels ont porté les compensations effectuées</w:t>
      </w:r>
      <w:r w:rsidR="003E5230" w:rsidRPr="00157BF0">
        <w:rPr>
          <w:lang w:val="fr-FR"/>
        </w:rPr>
        <w:t xml:space="preserve"> entre </w:t>
      </w:r>
      <w:r w:rsidR="001C63CD" w:rsidRPr="00157BF0">
        <w:rPr>
          <w:lang w:val="fr-FR"/>
        </w:rPr>
        <w:t>février</w:t>
      </w:r>
      <w:r w:rsidR="001C63CD">
        <w:rPr>
          <w:lang w:val="fr-FR"/>
        </w:rPr>
        <w:t> </w:t>
      </w:r>
      <w:r w:rsidR="001C63CD" w:rsidRPr="00157BF0">
        <w:rPr>
          <w:lang w:val="fr-FR"/>
        </w:rPr>
        <w:t>20</w:t>
      </w:r>
      <w:r w:rsidR="003E5230" w:rsidRPr="00157BF0">
        <w:rPr>
          <w:lang w:val="fr-FR"/>
        </w:rPr>
        <w:t xml:space="preserve">18 et </w:t>
      </w:r>
      <w:r w:rsidR="001C63CD" w:rsidRPr="00157BF0">
        <w:rPr>
          <w:lang w:val="fr-FR"/>
        </w:rPr>
        <w:t>janvier</w:t>
      </w:r>
      <w:r w:rsidR="001C63CD">
        <w:rPr>
          <w:lang w:val="fr-FR"/>
        </w:rPr>
        <w:t> </w:t>
      </w:r>
      <w:r w:rsidR="001C63CD" w:rsidRPr="00157BF0">
        <w:rPr>
          <w:lang w:val="fr-FR"/>
        </w:rPr>
        <w:t>20</w:t>
      </w:r>
      <w:r w:rsidR="003E5230" w:rsidRPr="00157BF0">
        <w:rPr>
          <w:lang w:val="fr-FR"/>
        </w:rPr>
        <w:t>19 pour cha</w:t>
      </w:r>
      <w:r w:rsidR="00FA77A7" w:rsidRPr="00157BF0">
        <w:rPr>
          <w:lang w:val="fr-FR"/>
        </w:rPr>
        <w:t>cun</w:t>
      </w:r>
      <w:r w:rsidR="003E5230" w:rsidRPr="00157BF0">
        <w:rPr>
          <w:lang w:val="fr-FR"/>
        </w:rPr>
        <w:t xml:space="preserve">e </w:t>
      </w:r>
      <w:r w:rsidR="00FA77A7" w:rsidRPr="00157BF0">
        <w:rPr>
          <w:lang w:val="fr-FR"/>
        </w:rPr>
        <w:t xml:space="preserve">des </w:t>
      </w:r>
      <w:r w:rsidR="003E5230" w:rsidRPr="00157BF0">
        <w:rPr>
          <w:lang w:val="fr-FR"/>
        </w:rPr>
        <w:t>administration</w:t>
      </w:r>
      <w:r w:rsidR="00FA77A7" w:rsidRPr="00157BF0">
        <w:rPr>
          <w:lang w:val="fr-FR"/>
        </w:rPr>
        <w:t>s</w:t>
      </w:r>
      <w:r w:rsidR="003E5230" w:rsidRPr="00157BF0">
        <w:rPr>
          <w:lang w:val="fr-FR"/>
        </w:rPr>
        <w:t xml:space="preserve"> chargée</w:t>
      </w:r>
      <w:r w:rsidR="00FA77A7" w:rsidRPr="00157BF0">
        <w:rPr>
          <w:lang w:val="fr-FR"/>
        </w:rPr>
        <w:t>s</w:t>
      </w:r>
      <w:r w:rsidR="003E5230" w:rsidRPr="00157BF0">
        <w:rPr>
          <w:lang w:val="fr-FR"/>
        </w:rPr>
        <w:t xml:space="preserve"> de la recherche internationale</w:t>
      </w:r>
      <w:r w:rsidR="007A5948" w:rsidRPr="00157BF0">
        <w:rPr>
          <w:lang w:val="fr-FR"/>
        </w:rPr>
        <w:t xml:space="preserve"> participante</w:t>
      </w:r>
      <w:r w:rsidR="00FA77A7" w:rsidRPr="00157BF0">
        <w:rPr>
          <w:lang w:val="fr-FR"/>
        </w:rPr>
        <w:t>s</w:t>
      </w:r>
      <w:r w:rsidR="003E5230" w:rsidRPr="00157BF0">
        <w:rPr>
          <w:lang w:val="fr-FR"/>
        </w:rPr>
        <w:t>, dans la devise correspondante.</w:t>
      </w:r>
    </w:p>
    <w:tbl>
      <w:tblPr>
        <w:tblStyle w:val="TableGrid"/>
        <w:tblW w:w="5000" w:type="pct"/>
        <w:tblCellMar>
          <w:top w:w="57" w:type="dxa"/>
          <w:bottom w:w="57" w:type="dxa"/>
        </w:tblCellMar>
        <w:tblLook w:val="04A0" w:firstRow="1" w:lastRow="0" w:firstColumn="1" w:lastColumn="0" w:noHBand="0" w:noVBand="1"/>
      </w:tblPr>
      <w:tblGrid>
        <w:gridCol w:w="2392"/>
        <w:gridCol w:w="2393"/>
        <w:gridCol w:w="2393"/>
        <w:gridCol w:w="2394"/>
      </w:tblGrid>
      <w:tr w:rsidR="00695B38" w:rsidRPr="00157BF0" w14:paraId="32BB12E4" w14:textId="77777777" w:rsidTr="00157BF0">
        <w:tc>
          <w:tcPr>
            <w:tcW w:w="2336" w:type="dxa"/>
          </w:tcPr>
          <w:p w14:paraId="07D7CBF1" w14:textId="6AD3708F" w:rsidR="00695B38" w:rsidRPr="00157BF0" w:rsidRDefault="00A70225" w:rsidP="00157BF0">
            <w:pPr>
              <w:keepNext/>
              <w:jc w:val="center"/>
              <w:rPr>
                <w:b/>
                <w:sz w:val="20"/>
                <w:lang w:val="fr-FR"/>
              </w:rPr>
            </w:pPr>
            <w:r w:rsidRPr="00157BF0">
              <w:rPr>
                <w:b/>
                <w:sz w:val="20"/>
                <w:lang w:val="fr-FR"/>
              </w:rPr>
              <w:lastRenderedPageBreak/>
              <w:t>Administration chargée de la recherche internationale</w:t>
            </w:r>
          </w:p>
        </w:tc>
        <w:tc>
          <w:tcPr>
            <w:tcW w:w="2336" w:type="dxa"/>
          </w:tcPr>
          <w:p w14:paraId="7CB795B8" w14:textId="1ECBE0FE" w:rsidR="00695B38" w:rsidRPr="00157BF0" w:rsidRDefault="00A70225" w:rsidP="00157BF0">
            <w:pPr>
              <w:keepNext/>
              <w:jc w:val="center"/>
              <w:rPr>
                <w:b/>
                <w:sz w:val="20"/>
                <w:lang w:val="fr-FR"/>
              </w:rPr>
            </w:pPr>
            <w:r w:rsidRPr="00157BF0">
              <w:rPr>
                <w:b/>
                <w:sz w:val="20"/>
                <w:lang w:val="fr-FR"/>
              </w:rPr>
              <w:t>Montant dû au Bureau international par l</w:t>
            </w:r>
            <w:r w:rsidR="001C63CD">
              <w:rPr>
                <w:b/>
                <w:sz w:val="20"/>
                <w:lang w:val="fr-FR"/>
              </w:rPr>
              <w:t>’</w:t>
            </w:r>
            <w:r w:rsidRPr="00157BF0">
              <w:rPr>
                <w:b/>
                <w:sz w:val="20"/>
                <w:lang w:val="fr-FR"/>
              </w:rPr>
              <w:t>administration chargée de la recherche internationale</w:t>
            </w:r>
          </w:p>
        </w:tc>
        <w:tc>
          <w:tcPr>
            <w:tcW w:w="2336" w:type="dxa"/>
          </w:tcPr>
          <w:p w14:paraId="29F7A463" w14:textId="596F3DDE" w:rsidR="00695B38" w:rsidRPr="00157BF0" w:rsidRDefault="00A70225" w:rsidP="00157BF0">
            <w:pPr>
              <w:keepNext/>
              <w:jc w:val="center"/>
              <w:rPr>
                <w:b/>
                <w:sz w:val="20"/>
                <w:lang w:val="fr-FR"/>
              </w:rPr>
            </w:pPr>
            <w:r w:rsidRPr="00157BF0">
              <w:rPr>
                <w:b/>
                <w:sz w:val="20"/>
                <w:lang w:val="fr-FR"/>
              </w:rPr>
              <w:t>Montant dû par le Bureau international à l</w:t>
            </w:r>
            <w:r w:rsidR="001C63CD">
              <w:rPr>
                <w:b/>
                <w:sz w:val="20"/>
                <w:lang w:val="fr-FR"/>
              </w:rPr>
              <w:t>’</w:t>
            </w:r>
            <w:r w:rsidRPr="00157BF0">
              <w:rPr>
                <w:b/>
                <w:sz w:val="20"/>
                <w:lang w:val="fr-FR"/>
              </w:rPr>
              <w:t>administration chargée de la recherche internationale</w:t>
            </w:r>
          </w:p>
        </w:tc>
        <w:tc>
          <w:tcPr>
            <w:tcW w:w="2337" w:type="dxa"/>
          </w:tcPr>
          <w:p w14:paraId="1C6A3D36" w14:textId="1C6AC205" w:rsidR="00695B38" w:rsidRPr="00157BF0" w:rsidRDefault="00A70225" w:rsidP="00157BF0">
            <w:pPr>
              <w:keepNext/>
              <w:jc w:val="center"/>
              <w:rPr>
                <w:b/>
                <w:sz w:val="20"/>
                <w:lang w:val="fr-FR"/>
              </w:rPr>
            </w:pPr>
            <w:r w:rsidRPr="00157BF0">
              <w:rPr>
                <w:b/>
                <w:sz w:val="20"/>
                <w:lang w:val="fr-FR"/>
              </w:rPr>
              <w:t>Solde net</w:t>
            </w:r>
          </w:p>
        </w:tc>
      </w:tr>
      <w:tr w:rsidR="00695B38" w:rsidRPr="00157BF0" w14:paraId="5C2EF9EB" w14:textId="77777777" w:rsidTr="00157BF0">
        <w:tc>
          <w:tcPr>
            <w:tcW w:w="2336" w:type="dxa"/>
          </w:tcPr>
          <w:p w14:paraId="4DD0793D" w14:textId="150BA99E" w:rsidR="00695B38" w:rsidRPr="00157BF0" w:rsidRDefault="00EF0CED" w:rsidP="00157BF0">
            <w:pPr>
              <w:rPr>
                <w:b/>
                <w:sz w:val="20"/>
                <w:lang w:val="fr-FR"/>
              </w:rPr>
            </w:pPr>
            <w:r w:rsidRPr="00157BF0">
              <w:rPr>
                <w:b/>
                <w:sz w:val="20"/>
                <w:lang w:val="fr-FR"/>
              </w:rPr>
              <w:t>OEB</w:t>
            </w:r>
            <w:r w:rsidR="009C469E" w:rsidRPr="00157BF0">
              <w:rPr>
                <w:b/>
                <w:sz w:val="20"/>
                <w:lang w:val="fr-FR"/>
              </w:rPr>
              <w:t xml:space="preserve"> (EUR</w:t>
            </w:r>
            <w:r w:rsidR="00695B38" w:rsidRPr="00157BF0">
              <w:rPr>
                <w:b/>
                <w:sz w:val="20"/>
                <w:lang w:val="fr-FR"/>
              </w:rPr>
              <w:t>)</w:t>
            </w:r>
          </w:p>
        </w:tc>
        <w:tc>
          <w:tcPr>
            <w:tcW w:w="2336" w:type="dxa"/>
          </w:tcPr>
          <w:p w14:paraId="51C7ECC8" w14:textId="2012E724" w:rsidR="00695B38" w:rsidRPr="00157BF0" w:rsidRDefault="00695B38" w:rsidP="00157BF0">
            <w:pPr>
              <w:jc w:val="right"/>
              <w:rPr>
                <w:sz w:val="20"/>
                <w:lang w:val="fr-FR"/>
              </w:rPr>
            </w:pPr>
            <w:r w:rsidRPr="00157BF0">
              <w:rPr>
                <w:sz w:val="20"/>
                <w:lang w:val="fr-FR"/>
              </w:rPr>
              <w:t>44</w:t>
            </w:r>
            <w:r w:rsidR="00CB19EE">
              <w:rPr>
                <w:sz w:val="20"/>
                <w:lang w:val="fr-FR"/>
              </w:rPr>
              <w:t> </w:t>
            </w:r>
            <w:r w:rsidRPr="00157BF0">
              <w:rPr>
                <w:sz w:val="20"/>
                <w:lang w:val="fr-FR"/>
              </w:rPr>
              <w:t>848</w:t>
            </w:r>
            <w:r w:rsidR="00CB19EE">
              <w:rPr>
                <w:sz w:val="20"/>
                <w:lang w:val="fr-FR"/>
              </w:rPr>
              <w:t> </w:t>
            </w:r>
            <w:r w:rsidRPr="00157BF0">
              <w:rPr>
                <w:sz w:val="20"/>
                <w:lang w:val="fr-FR"/>
              </w:rPr>
              <w:t>447</w:t>
            </w:r>
          </w:p>
        </w:tc>
        <w:tc>
          <w:tcPr>
            <w:tcW w:w="2336" w:type="dxa"/>
          </w:tcPr>
          <w:p w14:paraId="7DD38367" w14:textId="580682E0" w:rsidR="00695B38" w:rsidRPr="00157BF0" w:rsidRDefault="00FB191E" w:rsidP="00157BF0">
            <w:pPr>
              <w:jc w:val="right"/>
              <w:rPr>
                <w:sz w:val="20"/>
                <w:lang w:val="fr-FR"/>
              </w:rPr>
            </w:pPr>
            <w:r>
              <w:rPr>
                <w:sz w:val="20"/>
                <w:lang w:val="fr-FR"/>
              </w:rPr>
              <w:noBreakHyphen/>
            </w:r>
            <w:r w:rsidR="00695B38" w:rsidRPr="00157BF0">
              <w:rPr>
                <w:sz w:val="20"/>
                <w:lang w:val="fr-FR"/>
              </w:rPr>
              <w:t>62</w:t>
            </w:r>
            <w:r w:rsidR="00CB19EE">
              <w:rPr>
                <w:sz w:val="20"/>
                <w:lang w:val="fr-FR"/>
              </w:rPr>
              <w:t> </w:t>
            </w:r>
            <w:r w:rsidR="00695B38" w:rsidRPr="00157BF0">
              <w:rPr>
                <w:sz w:val="20"/>
                <w:lang w:val="fr-FR"/>
              </w:rPr>
              <w:t>142</w:t>
            </w:r>
            <w:r w:rsidR="00CB19EE">
              <w:rPr>
                <w:sz w:val="20"/>
                <w:lang w:val="fr-FR"/>
              </w:rPr>
              <w:t> </w:t>
            </w:r>
            <w:r w:rsidR="00695B38" w:rsidRPr="00157BF0">
              <w:rPr>
                <w:sz w:val="20"/>
                <w:lang w:val="fr-FR"/>
              </w:rPr>
              <w:t>042</w:t>
            </w:r>
          </w:p>
        </w:tc>
        <w:tc>
          <w:tcPr>
            <w:tcW w:w="2337" w:type="dxa"/>
          </w:tcPr>
          <w:p w14:paraId="366502F3" w14:textId="4BE672BE" w:rsidR="00695B38" w:rsidRPr="00157BF0" w:rsidRDefault="00FB191E" w:rsidP="00157BF0">
            <w:pPr>
              <w:jc w:val="right"/>
              <w:rPr>
                <w:sz w:val="20"/>
                <w:lang w:val="fr-FR"/>
              </w:rPr>
            </w:pPr>
            <w:r>
              <w:rPr>
                <w:sz w:val="20"/>
                <w:lang w:val="fr-FR"/>
              </w:rPr>
              <w:noBreakHyphen/>
            </w:r>
            <w:r w:rsidR="00695B38" w:rsidRPr="00157BF0">
              <w:rPr>
                <w:sz w:val="20"/>
                <w:lang w:val="fr-FR"/>
              </w:rPr>
              <w:t>17</w:t>
            </w:r>
            <w:r w:rsidR="00CB19EE">
              <w:rPr>
                <w:sz w:val="20"/>
                <w:lang w:val="fr-FR"/>
              </w:rPr>
              <w:t> </w:t>
            </w:r>
            <w:r w:rsidR="00695B38" w:rsidRPr="00157BF0">
              <w:rPr>
                <w:sz w:val="20"/>
                <w:lang w:val="fr-FR"/>
              </w:rPr>
              <w:t>293</w:t>
            </w:r>
            <w:r w:rsidR="00CB19EE">
              <w:rPr>
                <w:sz w:val="20"/>
                <w:lang w:val="fr-FR"/>
              </w:rPr>
              <w:t> </w:t>
            </w:r>
            <w:r w:rsidR="00695B38" w:rsidRPr="00157BF0">
              <w:rPr>
                <w:sz w:val="20"/>
                <w:lang w:val="fr-FR"/>
              </w:rPr>
              <w:t>595</w:t>
            </w:r>
          </w:p>
        </w:tc>
      </w:tr>
      <w:tr w:rsidR="00695B38" w:rsidRPr="00157BF0" w14:paraId="37809C18" w14:textId="77777777" w:rsidTr="00157BF0">
        <w:tc>
          <w:tcPr>
            <w:tcW w:w="2336" w:type="dxa"/>
          </w:tcPr>
          <w:p w14:paraId="11369DD1" w14:textId="15D71C75" w:rsidR="00695B38" w:rsidRPr="00157BF0" w:rsidRDefault="009C469E" w:rsidP="00157BF0">
            <w:pPr>
              <w:rPr>
                <w:b/>
                <w:sz w:val="20"/>
                <w:lang w:val="fr-FR"/>
              </w:rPr>
            </w:pPr>
            <w:r w:rsidRPr="00157BF0">
              <w:rPr>
                <w:b/>
                <w:sz w:val="20"/>
                <w:lang w:val="fr-FR"/>
              </w:rPr>
              <w:t>ATPO (EUR</w:t>
            </w:r>
            <w:r w:rsidR="00695B38" w:rsidRPr="00157BF0">
              <w:rPr>
                <w:b/>
                <w:sz w:val="20"/>
                <w:lang w:val="fr-FR"/>
              </w:rPr>
              <w:t>)</w:t>
            </w:r>
          </w:p>
        </w:tc>
        <w:tc>
          <w:tcPr>
            <w:tcW w:w="2336" w:type="dxa"/>
          </w:tcPr>
          <w:p w14:paraId="77510E8C" w14:textId="68230FBA" w:rsidR="00695B38" w:rsidRPr="00157BF0" w:rsidRDefault="00695B38" w:rsidP="00157BF0">
            <w:pPr>
              <w:jc w:val="right"/>
              <w:rPr>
                <w:sz w:val="20"/>
                <w:lang w:val="fr-FR"/>
              </w:rPr>
            </w:pPr>
            <w:r w:rsidRPr="00157BF0">
              <w:rPr>
                <w:sz w:val="20"/>
                <w:lang w:val="fr-FR"/>
              </w:rPr>
              <w:t>496</w:t>
            </w:r>
            <w:r w:rsidR="00CB19EE">
              <w:rPr>
                <w:sz w:val="20"/>
                <w:lang w:val="fr-FR"/>
              </w:rPr>
              <w:t> </w:t>
            </w:r>
            <w:r w:rsidRPr="00157BF0">
              <w:rPr>
                <w:sz w:val="20"/>
                <w:lang w:val="fr-FR"/>
              </w:rPr>
              <w:t>636</w:t>
            </w:r>
          </w:p>
        </w:tc>
        <w:tc>
          <w:tcPr>
            <w:tcW w:w="2336" w:type="dxa"/>
          </w:tcPr>
          <w:p w14:paraId="7BA816D4" w14:textId="629EA5A8" w:rsidR="00695B38" w:rsidRPr="00157BF0" w:rsidRDefault="00FB191E" w:rsidP="00157BF0">
            <w:pPr>
              <w:jc w:val="right"/>
              <w:rPr>
                <w:sz w:val="20"/>
                <w:lang w:val="fr-FR"/>
              </w:rPr>
            </w:pPr>
            <w:r>
              <w:rPr>
                <w:sz w:val="20"/>
                <w:lang w:val="fr-FR"/>
              </w:rPr>
              <w:noBreakHyphen/>
            </w:r>
            <w:r w:rsidR="00695B38" w:rsidRPr="00157BF0">
              <w:rPr>
                <w:sz w:val="20"/>
                <w:lang w:val="fr-FR"/>
              </w:rPr>
              <w:t>48</w:t>
            </w:r>
            <w:r w:rsidR="00CB19EE">
              <w:rPr>
                <w:sz w:val="20"/>
                <w:lang w:val="fr-FR"/>
              </w:rPr>
              <w:t> </w:t>
            </w:r>
            <w:r w:rsidR="00695B38" w:rsidRPr="00157BF0">
              <w:rPr>
                <w:sz w:val="20"/>
                <w:lang w:val="fr-FR"/>
              </w:rPr>
              <w:t>744</w:t>
            </w:r>
          </w:p>
        </w:tc>
        <w:tc>
          <w:tcPr>
            <w:tcW w:w="2337" w:type="dxa"/>
          </w:tcPr>
          <w:p w14:paraId="7A80BA86" w14:textId="71D5FD51" w:rsidR="00695B38" w:rsidRPr="00157BF0" w:rsidRDefault="00695B38" w:rsidP="00157BF0">
            <w:pPr>
              <w:jc w:val="right"/>
              <w:rPr>
                <w:sz w:val="20"/>
                <w:lang w:val="fr-FR"/>
              </w:rPr>
            </w:pPr>
            <w:r w:rsidRPr="00157BF0">
              <w:rPr>
                <w:sz w:val="20"/>
                <w:lang w:val="fr-FR"/>
              </w:rPr>
              <w:t>447</w:t>
            </w:r>
            <w:r w:rsidR="00CB19EE">
              <w:rPr>
                <w:sz w:val="20"/>
                <w:lang w:val="fr-FR"/>
              </w:rPr>
              <w:t> </w:t>
            </w:r>
            <w:r w:rsidRPr="00157BF0">
              <w:rPr>
                <w:sz w:val="20"/>
                <w:lang w:val="fr-FR"/>
              </w:rPr>
              <w:t>892</w:t>
            </w:r>
          </w:p>
        </w:tc>
      </w:tr>
      <w:tr w:rsidR="00695B38" w:rsidRPr="00157BF0" w14:paraId="56BBA112" w14:textId="77777777" w:rsidTr="00157BF0">
        <w:tc>
          <w:tcPr>
            <w:tcW w:w="2336" w:type="dxa"/>
          </w:tcPr>
          <w:p w14:paraId="5BF11078" w14:textId="5AEF3748" w:rsidR="00695B38" w:rsidRPr="00157BF0" w:rsidRDefault="00695B38" w:rsidP="00157BF0">
            <w:pPr>
              <w:rPr>
                <w:b/>
                <w:sz w:val="20"/>
                <w:lang w:val="fr-FR"/>
              </w:rPr>
            </w:pPr>
            <w:r w:rsidRPr="00157BF0">
              <w:rPr>
                <w:b/>
                <w:sz w:val="20"/>
                <w:lang w:val="fr-FR"/>
              </w:rPr>
              <w:t>JPO (JPY)</w:t>
            </w:r>
          </w:p>
        </w:tc>
        <w:tc>
          <w:tcPr>
            <w:tcW w:w="2336" w:type="dxa"/>
          </w:tcPr>
          <w:p w14:paraId="4A11BDEF" w14:textId="7727C3C7" w:rsidR="00695B38" w:rsidRPr="00157BF0" w:rsidRDefault="00695B38" w:rsidP="00157BF0">
            <w:pPr>
              <w:jc w:val="right"/>
              <w:rPr>
                <w:sz w:val="20"/>
                <w:lang w:val="fr-FR"/>
              </w:rPr>
            </w:pPr>
            <w:r w:rsidRPr="00157BF0">
              <w:rPr>
                <w:sz w:val="20"/>
                <w:lang w:val="fr-FR"/>
              </w:rPr>
              <w:t>5</w:t>
            </w:r>
            <w:r w:rsidR="00CB19EE">
              <w:rPr>
                <w:sz w:val="20"/>
                <w:lang w:val="fr-FR"/>
              </w:rPr>
              <w:t> </w:t>
            </w:r>
            <w:r w:rsidRPr="00157BF0">
              <w:rPr>
                <w:sz w:val="20"/>
                <w:lang w:val="fr-FR"/>
              </w:rPr>
              <w:t>355</w:t>
            </w:r>
            <w:r w:rsidR="00CB19EE">
              <w:rPr>
                <w:sz w:val="20"/>
                <w:lang w:val="fr-FR"/>
              </w:rPr>
              <w:t> </w:t>
            </w:r>
            <w:r w:rsidRPr="00157BF0">
              <w:rPr>
                <w:sz w:val="20"/>
                <w:lang w:val="fr-FR"/>
              </w:rPr>
              <w:t>199</w:t>
            </w:r>
            <w:r w:rsidR="00CB19EE">
              <w:rPr>
                <w:sz w:val="20"/>
                <w:lang w:val="fr-FR"/>
              </w:rPr>
              <w:t> </w:t>
            </w:r>
            <w:r w:rsidRPr="00157BF0">
              <w:rPr>
                <w:sz w:val="20"/>
                <w:lang w:val="fr-FR"/>
              </w:rPr>
              <w:t>449</w:t>
            </w:r>
          </w:p>
        </w:tc>
        <w:tc>
          <w:tcPr>
            <w:tcW w:w="2336" w:type="dxa"/>
          </w:tcPr>
          <w:p w14:paraId="25B05AB5" w14:textId="468514B6" w:rsidR="00695B38" w:rsidRPr="00157BF0" w:rsidRDefault="00FB191E" w:rsidP="00157BF0">
            <w:pPr>
              <w:jc w:val="right"/>
              <w:rPr>
                <w:sz w:val="20"/>
                <w:lang w:val="fr-FR"/>
              </w:rPr>
            </w:pPr>
            <w:r>
              <w:rPr>
                <w:sz w:val="20"/>
                <w:lang w:val="fr-FR"/>
              </w:rPr>
              <w:noBreakHyphen/>
            </w:r>
            <w:r w:rsidR="00695B38" w:rsidRPr="00157BF0">
              <w:rPr>
                <w:sz w:val="20"/>
                <w:lang w:val="fr-FR"/>
              </w:rPr>
              <w:t>23</w:t>
            </w:r>
            <w:r w:rsidR="00CB19EE">
              <w:rPr>
                <w:sz w:val="20"/>
                <w:lang w:val="fr-FR"/>
              </w:rPr>
              <w:t> </w:t>
            </w:r>
            <w:r w:rsidR="00695B38" w:rsidRPr="00157BF0">
              <w:rPr>
                <w:sz w:val="20"/>
                <w:lang w:val="fr-FR"/>
              </w:rPr>
              <w:t>845</w:t>
            </w:r>
            <w:r w:rsidR="00CB19EE">
              <w:rPr>
                <w:sz w:val="20"/>
                <w:lang w:val="fr-FR"/>
              </w:rPr>
              <w:t> </w:t>
            </w:r>
            <w:r w:rsidR="00695B38" w:rsidRPr="00157BF0">
              <w:rPr>
                <w:sz w:val="20"/>
                <w:lang w:val="fr-FR"/>
              </w:rPr>
              <w:t>752</w:t>
            </w:r>
          </w:p>
        </w:tc>
        <w:tc>
          <w:tcPr>
            <w:tcW w:w="2337" w:type="dxa"/>
          </w:tcPr>
          <w:p w14:paraId="7994A645" w14:textId="63F8A7E8" w:rsidR="00695B38" w:rsidRPr="00157BF0" w:rsidRDefault="00695B38" w:rsidP="00157BF0">
            <w:pPr>
              <w:jc w:val="right"/>
              <w:rPr>
                <w:sz w:val="20"/>
                <w:lang w:val="fr-FR"/>
              </w:rPr>
            </w:pPr>
            <w:r w:rsidRPr="00157BF0">
              <w:rPr>
                <w:sz w:val="20"/>
                <w:lang w:val="fr-FR"/>
              </w:rPr>
              <w:t>5</w:t>
            </w:r>
            <w:r w:rsidR="00CB19EE">
              <w:rPr>
                <w:sz w:val="20"/>
                <w:lang w:val="fr-FR"/>
              </w:rPr>
              <w:t> </w:t>
            </w:r>
            <w:r w:rsidRPr="00157BF0">
              <w:rPr>
                <w:sz w:val="20"/>
                <w:lang w:val="fr-FR"/>
              </w:rPr>
              <w:t>331</w:t>
            </w:r>
            <w:r w:rsidR="00CB19EE">
              <w:rPr>
                <w:sz w:val="20"/>
                <w:lang w:val="fr-FR"/>
              </w:rPr>
              <w:t> </w:t>
            </w:r>
            <w:r w:rsidRPr="00157BF0">
              <w:rPr>
                <w:sz w:val="20"/>
                <w:lang w:val="fr-FR"/>
              </w:rPr>
              <w:t>353</w:t>
            </w:r>
            <w:r w:rsidR="00CB19EE">
              <w:rPr>
                <w:sz w:val="20"/>
                <w:lang w:val="fr-FR"/>
              </w:rPr>
              <w:t> </w:t>
            </w:r>
            <w:r w:rsidRPr="00157BF0">
              <w:rPr>
                <w:sz w:val="20"/>
                <w:lang w:val="fr-FR"/>
              </w:rPr>
              <w:t>697</w:t>
            </w:r>
          </w:p>
        </w:tc>
      </w:tr>
    </w:tbl>
    <w:p w14:paraId="410C606D" w14:textId="7A9C5FD7" w:rsidR="00695B38" w:rsidRPr="00157BF0" w:rsidRDefault="00695B38" w:rsidP="00157BF0">
      <w:pPr>
        <w:pStyle w:val="ONUMFS"/>
        <w:numPr>
          <w:ilvl w:val="0"/>
          <w:numId w:val="0"/>
        </w:numPr>
        <w:rPr>
          <w:sz w:val="20"/>
          <w:lang w:val="fr-FR"/>
        </w:rPr>
      </w:pPr>
      <w:r w:rsidRPr="00157BF0">
        <w:rPr>
          <w:sz w:val="20"/>
          <w:lang w:val="fr-FR"/>
        </w:rPr>
        <w:t>Source</w:t>
      </w:r>
      <w:r w:rsidR="001C63CD">
        <w:rPr>
          <w:sz w:val="20"/>
          <w:lang w:val="fr-FR"/>
        </w:rPr>
        <w:t> :</w:t>
      </w:r>
      <w:r w:rsidRPr="00157BF0">
        <w:rPr>
          <w:sz w:val="20"/>
          <w:lang w:val="fr-FR"/>
        </w:rPr>
        <w:t xml:space="preserve"> </w:t>
      </w:r>
      <w:r w:rsidR="002348B5" w:rsidRPr="00157BF0">
        <w:rPr>
          <w:sz w:val="20"/>
          <w:lang w:val="fr-FR"/>
        </w:rPr>
        <w:t>Division des finances</w:t>
      </w:r>
    </w:p>
    <w:p w14:paraId="5D036356" w14:textId="724F584C" w:rsidR="001C63CD" w:rsidRDefault="003E46FD" w:rsidP="00157BF0">
      <w:pPr>
        <w:pStyle w:val="ONUMFS"/>
        <w:rPr>
          <w:lang w:val="fr-FR"/>
        </w:rPr>
      </w:pPr>
      <w:r w:rsidRPr="00157BF0">
        <w:rPr>
          <w:lang w:val="fr-FR"/>
        </w:rPr>
        <w:t>Pour cette période, le Bureau international a été payeur net de 17,</w:t>
      </w:r>
      <w:r w:rsidR="001C63CD" w:rsidRPr="00157BF0">
        <w:rPr>
          <w:lang w:val="fr-FR"/>
        </w:rPr>
        <w:t>3</w:t>
      </w:r>
      <w:r w:rsidR="001C63CD">
        <w:rPr>
          <w:lang w:val="fr-FR"/>
        </w:rPr>
        <w:t> </w:t>
      </w:r>
      <w:r w:rsidR="001C63CD" w:rsidRPr="00157BF0">
        <w:rPr>
          <w:lang w:val="fr-FR"/>
        </w:rPr>
        <w:t>million</w:t>
      </w:r>
      <w:r w:rsidRPr="00157BF0">
        <w:rPr>
          <w:lang w:val="fr-FR"/>
        </w:rPr>
        <w:t>s d</w:t>
      </w:r>
      <w:r w:rsidR="001C63CD">
        <w:rPr>
          <w:lang w:val="fr-FR"/>
        </w:rPr>
        <w:t>’</w:t>
      </w:r>
      <w:r w:rsidRPr="00157BF0">
        <w:rPr>
          <w:lang w:val="fr-FR"/>
        </w:rPr>
        <w:t>euros (environ 19,</w:t>
      </w:r>
      <w:r w:rsidR="001C63CD" w:rsidRPr="00157BF0">
        <w:rPr>
          <w:lang w:val="fr-FR"/>
        </w:rPr>
        <w:t>5</w:t>
      </w:r>
      <w:r w:rsidR="001C63CD">
        <w:rPr>
          <w:lang w:val="fr-FR"/>
        </w:rPr>
        <w:t> </w:t>
      </w:r>
      <w:r w:rsidR="001C63CD" w:rsidRPr="00157BF0">
        <w:rPr>
          <w:lang w:val="fr-FR"/>
        </w:rPr>
        <w:t>million</w:t>
      </w:r>
      <w:r w:rsidRPr="00157BF0">
        <w:rPr>
          <w:lang w:val="fr-FR"/>
        </w:rPr>
        <w:t>s de francs suisses) à l</w:t>
      </w:r>
      <w:r w:rsidR="001C63CD">
        <w:rPr>
          <w:lang w:val="fr-FR"/>
        </w:rPr>
        <w:t>’</w:t>
      </w:r>
      <w:r w:rsidRPr="00157BF0">
        <w:rPr>
          <w:lang w:val="fr-FR"/>
        </w:rPr>
        <w:t>OEB et bénéficiaire net de 5,</w:t>
      </w:r>
      <w:r w:rsidR="001C63CD" w:rsidRPr="00157BF0">
        <w:rPr>
          <w:lang w:val="fr-FR"/>
        </w:rPr>
        <w:t>3</w:t>
      </w:r>
      <w:r w:rsidR="001C63CD">
        <w:rPr>
          <w:lang w:val="fr-FR"/>
        </w:rPr>
        <w:t> </w:t>
      </w:r>
      <w:r w:rsidR="001C63CD" w:rsidRPr="00157BF0">
        <w:rPr>
          <w:lang w:val="fr-FR"/>
        </w:rPr>
        <w:t>milliard</w:t>
      </w:r>
      <w:r w:rsidRPr="00157BF0">
        <w:rPr>
          <w:lang w:val="fr-FR"/>
        </w:rPr>
        <w:t>s de yens japonais (environ 4</w:t>
      </w:r>
      <w:r w:rsidR="001C63CD" w:rsidRPr="00157BF0">
        <w:rPr>
          <w:lang w:val="fr-FR"/>
        </w:rPr>
        <w:t>7</w:t>
      </w:r>
      <w:r w:rsidR="001C63CD">
        <w:rPr>
          <w:lang w:val="fr-FR"/>
        </w:rPr>
        <w:t> </w:t>
      </w:r>
      <w:r w:rsidR="001C63CD" w:rsidRPr="00157BF0">
        <w:rPr>
          <w:lang w:val="fr-FR"/>
        </w:rPr>
        <w:t>million</w:t>
      </w:r>
      <w:r w:rsidRPr="00157BF0">
        <w:rPr>
          <w:lang w:val="fr-FR"/>
        </w:rPr>
        <w:t>s de francs suisses)</w:t>
      </w:r>
      <w:r w:rsidR="001C63CD" w:rsidRPr="00157BF0">
        <w:rPr>
          <w:lang w:val="fr-FR"/>
        </w:rPr>
        <w:t xml:space="preserve"> du</w:t>
      </w:r>
      <w:r w:rsidR="001C63CD">
        <w:rPr>
          <w:lang w:val="fr-FR"/>
        </w:rPr>
        <w:t> </w:t>
      </w:r>
      <w:r w:rsidR="001C63CD" w:rsidRPr="00157BF0">
        <w:rPr>
          <w:lang w:val="fr-FR"/>
        </w:rPr>
        <w:t>JPO</w:t>
      </w:r>
      <w:r w:rsidRPr="00157BF0">
        <w:rPr>
          <w:lang w:val="fr-FR"/>
        </w:rPr>
        <w:t>.</w:t>
      </w:r>
    </w:p>
    <w:p w14:paraId="2DC9722D" w14:textId="47613C10" w:rsidR="001C63CD" w:rsidRDefault="00FA77A7" w:rsidP="00157BF0">
      <w:pPr>
        <w:pStyle w:val="ONUMFS"/>
        <w:rPr>
          <w:lang w:val="fr-FR"/>
        </w:rPr>
      </w:pPr>
      <w:r w:rsidRPr="00157BF0">
        <w:rPr>
          <w:lang w:val="fr-FR"/>
        </w:rPr>
        <w:t xml:space="preserve">Les statistiques relatives au projet de compensation indiquent que les offices récepteurs </w:t>
      </w:r>
      <w:r w:rsidR="00C86436" w:rsidRPr="00157BF0">
        <w:rPr>
          <w:lang w:val="fr-FR"/>
        </w:rPr>
        <w:t>ont soumis</w:t>
      </w:r>
      <w:r w:rsidR="00443B3B" w:rsidRPr="00157BF0">
        <w:rPr>
          <w:lang w:val="fr-FR"/>
        </w:rPr>
        <w:t xml:space="preserve"> aux fins de recherche</w:t>
      </w:r>
      <w:r w:rsidR="00C86436" w:rsidRPr="00157BF0">
        <w:rPr>
          <w:lang w:val="fr-FR"/>
        </w:rPr>
        <w:t xml:space="preserve"> 62 917</w:t>
      </w:r>
      <w:r w:rsidR="00C86436" w:rsidRPr="00157BF0">
        <w:rPr>
          <w:rStyle w:val="FootnoteReference"/>
          <w:lang w:val="fr-FR"/>
        </w:rPr>
        <w:footnoteReference w:id="3"/>
      </w:r>
      <w:r w:rsidR="00FB191E">
        <w:rPr>
          <w:lang w:val="fr-FR"/>
        </w:rPr>
        <w:t> </w:t>
      </w:r>
      <w:r w:rsidR="00C86436" w:rsidRPr="00157BF0">
        <w:rPr>
          <w:lang w:val="fr-FR"/>
        </w:rPr>
        <w:t xml:space="preserve">demandes internationales </w:t>
      </w:r>
      <w:r w:rsidR="00443B3B" w:rsidRPr="00157BF0">
        <w:rPr>
          <w:lang w:val="fr-FR"/>
        </w:rPr>
        <w:t>aux administrations chargées de la recherche internationa</w:t>
      </w:r>
      <w:r w:rsidR="005C097F" w:rsidRPr="00157BF0">
        <w:rPr>
          <w:lang w:val="fr-FR"/>
        </w:rPr>
        <w:t>le</w:t>
      </w:r>
      <w:r w:rsidR="005C097F">
        <w:rPr>
          <w:lang w:val="fr-FR"/>
        </w:rPr>
        <w:t xml:space="preserve">.  </w:t>
      </w:r>
      <w:r w:rsidR="005C097F" w:rsidRPr="00157BF0">
        <w:rPr>
          <w:lang w:val="fr-FR"/>
        </w:rPr>
        <w:t>Le</w:t>
      </w:r>
      <w:r w:rsidR="00443B3B" w:rsidRPr="00157BF0">
        <w:rPr>
          <w:lang w:val="fr-FR"/>
        </w:rPr>
        <w:t>s trois</w:t>
      </w:r>
      <w:r w:rsidR="00CB19EE">
        <w:rPr>
          <w:lang w:val="fr-FR"/>
        </w:rPr>
        <w:t> </w:t>
      </w:r>
      <w:r w:rsidR="00443B3B" w:rsidRPr="00157BF0">
        <w:rPr>
          <w:lang w:val="fr-FR"/>
        </w:rPr>
        <w:t>administrations chargées de la recherche internationale qui participent actuellement au projet pilote de compensation des taxes</w:t>
      </w:r>
      <w:r w:rsidR="001C63CD" w:rsidRPr="00157BF0">
        <w:rPr>
          <w:lang w:val="fr-FR"/>
        </w:rPr>
        <w:t xml:space="preserve"> du</w:t>
      </w:r>
      <w:r w:rsidR="001C63CD">
        <w:rPr>
          <w:lang w:val="fr-FR"/>
        </w:rPr>
        <w:t> </w:t>
      </w:r>
      <w:r w:rsidR="001C63CD" w:rsidRPr="00157BF0">
        <w:rPr>
          <w:lang w:val="fr-FR"/>
        </w:rPr>
        <w:t>PCT</w:t>
      </w:r>
      <w:r w:rsidR="00443B3B" w:rsidRPr="00157BF0">
        <w:rPr>
          <w:lang w:val="fr-FR"/>
        </w:rPr>
        <w:t xml:space="preserve"> (EPO, JPO et ATPO) ont traité </w:t>
      </w:r>
      <w:r w:rsidR="000914A5" w:rsidRPr="00157BF0">
        <w:rPr>
          <w:lang w:val="fr-FR"/>
        </w:rPr>
        <w:t>44</w:t>
      </w:r>
      <w:r w:rsidR="00443B3B" w:rsidRPr="00157BF0">
        <w:rPr>
          <w:lang w:val="fr-FR"/>
        </w:rPr>
        <w:t> </w:t>
      </w:r>
      <w:r w:rsidR="000914A5" w:rsidRPr="00157BF0">
        <w:rPr>
          <w:lang w:val="fr-FR"/>
        </w:rPr>
        <w:t>882 (71</w:t>
      </w:r>
      <w:r w:rsidR="00443B3B" w:rsidRPr="00157BF0">
        <w:rPr>
          <w:lang w:val="fr-FR"/>
        </w:rPr>
        <w:t>,</w:t>
      </w:r>
      <w:r w:rsidR="000914A5" w:rsidRPr="00157BF0">
        <w:rPr>
          <w:lang w:val="fr-FR"/>
        </w:rPr>
        <w:t>34</w:t>
      </w:r>
      <w:r w:rsidR="00443B3B" w:rsidRPr="00157BF0">
        <w:rPr>
          <w:lang w:val="fr-FR"/>
        </w:rPr>
        <w:t>%</w:t>
      </w:r>
      <w:r w:rsidR="000914A5" w:rsidRPr="00157BF0">
        <w:rPr>
          <w:lang w:val="fr-FR"/>
        </w:rPr>
        <w:t xml:space="preserve">) </w:t>
      </w:r>
      <w:r w:rsidR="00443B3B" w:rsidRPr="00157BF0">
        <w:rPr>
          <w:lang w:val="fr-FR"/>
        </w:rPr>
        <w:t>de ces demandes;  le</w:t>
      </w:r>
      <w:r w:rsidR="00DC09FB" w:rsidRPr="00157BF0">
        <w:rPr>
          <w:lang w:val="fr-FR"/>
        </w:rPr>
        <w:t xml:space="preserve"> traitement de</w:t>
      </w:r>
      <w:r w:rsidR="00443B3B" w:rsidRPr="00157BF0">
        <w:rPr>
          <w:lang w:val="fr-FR"/>
        </w:rPr>
        <w:t>s 18 035</w:t>
      </w:r>
      <w:r w:rsidR="00FB191E">
        <w:rPr>
          <w:lang w:val="fr-FR"/>
        </w:rPr>
        <w:t> </w:t>
      </w:r>
      <w:r w:rsidR="00443B3B" w:rsidRPr="00157BF0">
        <w:rPr>
          <w:lang w:val="fr-FR"/>
        </w:rPr>
        <w:t xml:space="preserve">demandes restantes (28,66%) </w:t>
      </w:r>
      <w:r w:rsidR="00DC09FB" w:rsidRPr="00157BF0">
        <w:rPr>
          <w:lang w:val="fr-FR"/>
        </w:rPr>
        <w:t>a été effectué par des administrations chargées de la recherche internationale ou des offices récepteurs ne participant pas au projet pilote.</w:t>
      </w:r>
    </w:p>
    <w:p w14:paraId="1319C87E" w14:textId="49078BE2" w:rsidR="001C63CD" w:rsidRDefault="00DC09FB" w:rsidP="00157BF0">
      <w:pPr>
        <w:pStyle w:val="ONUMFS"/>
        <w:rPr>
          <w:lang w:val="fr-FR"/>
        </w:rPr>
      </w:pPr>
      <w:r w:rsidRPr="00157BF0">
        <w:rPr>
          <w:lang w:val="fr-FR"/>
        </w:rPr>
        <w:t>Sur 44 882</w:t>
      </w:r>
      <w:r w:rsidR="00FB191E">
        <w:rPr>
          <w:lang w:val="fr-FR"/>
        </w:rPr>
        <w:t> </w:t>
      </w:r>
      <w:r w:rsidRPr="00157BF0">
        <w:rPr>
          <w:lang w:val="fr-FR"/>
        </w:rPr>
        <w:t>demandes, les trois</w:t>
      </w:r>
      <w:r w:rsidR="00CB19EE">
        <w:rPr>
          <w:lang w:val="fr-FR"/>
        </w:rPr>
        <w:t> </w:t>
      </w:r>
      <w:r w:rsidRPr="00157BF0">
        <w:rPr>
          <w:lang w:val="fr-FR"/>
        </w:rPr>
        <w:t>administrations chargées de la recherche internationale ont traité en tout les taxes de recherche relatives à 43 398</w:t>
      </w:r>
      <w:r w:rsidR="00FB191E">
        <w:rPr>
          <w:lang w:val="fr-FR"/>
        </w:rPr>
        <w:t> </w:t>
      </w:r>
      <w:r w:rsidRPr="00157BF0">
        <w:rPr>
          <w:lang w:val="fr-FR"/>
        </w:rPr>
        <w:t>demandes (soit 68,98% des 62 917</w:t>
      </w:r>
      <w:r w:rsidR="00FB191E">
        <w:rPr>
          <w:lang w:val="fr-FR"/>
        </w:rPr>
        <w:t> </w:t>
      </w:r>
      <w:r w:rsidRPr="00157BF0">
        <w:rPr>
          <w:lang w:val="fr-FR"/>
        </w:rPr>
        <w:t>demandes) provenant d</w:t>
      </w:r>
      <w:r w:rsidR="001C63CD">
        <w:rPr>
          <w:lang w:val="fr-FR"/>
        </w:rPr>
        <w:t>’</w:t>
      </w:r>
      <w:r w:rsidRPr="00157BF0">
        <w:rPr>
          <w:lang w:val="fr-FR"/>
        </w:rPr>
        <w:t>offices récepteurs participant au projet pilote de compensation des taxes</w:t>
      </w:r>
      <w:r w:rsidR="001C63CD" w:rsidRPr="00157BF0">
        <w:rPr>
          <w:lang w:val="fr-FR"/>
        </w:rPr>
        <w:t xml:space="preserve"> du</w:t>
      </w:r>
      <w:r w:rsidR="001C63CD">
        <w:rPr>
          <w:lang w:val="fr-FR"/>
        </w:rPr>
        <w:t> </w:t>
      </w:r>
      <w:r w:rsidR="005C097F" w:rsidRPr="00157BF0">
        <w:rPr>
          <w:lang w:val="fr-FR"/>
        </w:rPr>
        <w:t>PCT</w:t>
      </w:r>
      <w:r w:rsidR="005C097F">
        <w:rPr>
          <w:lang w:val="fr-FR"/>
        </w:rPr>
        <w:t xml:space="preserve">.  </w:t>
      </w:r>
      <w:r w:rsidR="005C097F" w:rsidRPr="00157BF0">
        <w:rPr>
          <w:lang w:val="fr-FR"/>
        </w:rPr>
        <w:t>Le</w:t>
      </w:r>
      <w:r w:rsidRPr="00157BF0">
        <w:rPr>
          <w:lang w:val="fr-FR"/>
        </w:rPr>
        <w:t>s taxes de recherche des 1484</w:t>
      </w:r>
      <w:r w:rsidR="00FB191E">
        <w:rPr>
          <w:lang w:val="fr-FR"/>
        </w:rPr>
        <w:t> </w:t>
      </w:r>
      <w:r w:rsidRPr="00157BF0">
        <w:rPr>
          <w:lang w:val="fr-FR"/>
        </w:rPr>
        <w:t>demandes restantes (2,36%) ont été remis</w:t>
      </w:r>
      <w:r w:rsidR="00543726" w:rsidRPr="00157BF0">
        <w:rPr>
          <w:lang w:val="fr-FR"/>
        </w:rPr>
        <w:t xml:space="preserve">es </w:t>
      </w:r>
      <w:r w:rsidRPr="00157BF0">
        <w:rPr>
          <w:lang w:val="fr-FR"/>
        </w:rPr>
        <w:t xml:space="preserve">directement aux administrations chargées de la recherche internationale par des offices récepteurs </w:t>
      </w:r>
      <w:r w:rsidR="00A81976" w:rsidRPr="00157BF0">
        <w:rPr>
          <w:lang w:val="fr-FR"/>
        </w:rPr>
        <w:t xml:space="preserve">ne participant pas </w:t>
      </w:r>
      <w:r w:rsidRPr="00157BF0">
        <w:rPr>
          <w:lang w:val="fr-FR"/>
        </w:rPr>
        <w:t>au projet pilote.</w:t>
      </w:r>
    </w:p>
    <w:p w14:paraId="63FD17FC" w14:textId="56ECA9E9" w:rsidR="00695B38" w:rsidRPr="00157BF0" w:rsidRDefault="00543726" w:rsidP="00157BF0">
      <w:pPr>
        <w:pStyle w:val="ONUMFS"/>
        <w:rPr>
          <w:lang w:val="fr-FR"/>
        </w:rPr>
      </w:pPr>
      <w:r w:rsidRPr="00157BF0">
        <w:rPr>
          <w:lang w:val="fr-FR"/>
        </w:rPr>
        <w:t>Le projet pilote de compensation vise à réduire l</w:t>
      </w:r>
      <w:r w:rsidR="001C63CD">
        <w:rPr>
          <w:lang w:val="fr-FR"/>
        </w:rPr>
        <w:t>’</w:t>
      </w:r>
      <w:r w:rsidR="00662415" w:rsidRPr="00157BF0">
        <w:rPr>
          <w:lang w:val="fr-FR"/>
        </w:rPr>
        <w:t>exposition des recettes de taxes</w:t>
      </w:r>
      <w:r w:rsidR="001C63CD" w:rsidRPr="00157BF0">
        <w:rPr>
          <w:lang w:val="fr-FR"/>
        </w:rPr>
        <w:t xml:space="preserve"> du</w:t>
      </w:r>
      <w:r w:rsidR="001C63CD">
        <w:rPr>
          <w:lang w:val="fr-FR"/>
        </w:rPr>
        <w:t> </w:t>
      </w:r>
      <w:r w:rsidR="001C63CD" w:rsidRPr="00157BF0">
        <w:rPr>
          <w:lang w:val="fr-FR"/>
        </w:rPr>
        <w:t>PCT</w:t>
      </w:r>
      <w:r w:rsidRPr="00157BF0">
        <w:rPr>
          <w:lang w:val="fr-FR"/>
        </w:rPr>
        <w:t xml:space="preserve"> </w:t>
      </w:r>
      <w:r w:rsidR="00662415" w:rsidRPr="00157BF0">
        <w:rPr>
          <w:lang w:val="fr-FR"/>
        </w:rPr>
        <w:t xml:space="preserve">aux </w:t>
      </w:r>
      <w:r w:rsidRPr="00157BF0">
        <w:rPr>
          <w:lang w:val="fr-FR"/>
        </w:rPr>
        <w:t>variations de taux de change</w:t>
      </w:r>
      <w:r w:rsidR="0051640A" w:rsidRPr="00157BF0">
        <w:rPr>
          <w:lang w:val="fr-FR"/>
        </w:rPr>
        <w:t xml:space="preserve"> liées aux flux de taxes de recherche,</w:t>
      </w:r>
      <w:r w:rsidR="00CB55B0" w:rsidRPr="00157BF0">
        <w:rPr>
          <w:lang w:val="fr-FR"/>
        </w:rPr>
        <w:t xml:space="preserve"> qui </w:t>
      </w:r>
      <w:r w:rsidR="00524524" w:rsidRPr="00157BF0">
        <w:rPr>
          <w:lang w:val="fr-FR"/>
        </w:rPr>
        <w:t>débouchent sur</w:t>
      </w:r>
      <w:r w:rsidR="00CB55B0" w:rsidRPr="00157BF0">
        <w:rPr>
          <w:lang w:val="fr-FR"/>
        </w:rPr>
        <w:t xml:space="preserve"> </w:t>
      </w:r>
      <w:r w:rsidR="00E823F0" w:rsidRPr="00157BF0">
        <w:rPr>
          <w:lang w:val="fr-FR"/>
        </w:rPr>
        <w:t xml:space="preserve">des demandes en vertu de la </w:t>
      </w:r>
      <w:r w:rsidR="001C63CD" w:rsidRPr="00157BF0">
        <w:rPr>
          <w:lang w:val="fr-FR"/>
        </w:rPr>
        <w:t>règle</w:t>
      </w:r>
      <w:r w:rsidR="001C63CD">
        <w:rPr>
          <w:lang w:val="fr-FR"/>
        </w:rPr>
        <w:t> </w:t>
      </w:r>
      <w:r w:rsidR="001C63CD" w:rsidRPr="00157BF0">
        <w:rPr>
          <w:lang w:val="fr-FR"/>
        </w:rPr>
        <w:t>1</w:t>
      </w:r>
      <w:r w:rsidR="00E823F0" w:rsidRPr="00157BF0">
        <w:rPr>
          <w:lang w:val="fr-FR"/>
        </w:rPr>
        <w:t>6.1.e)</w:t>
      </w:r>
      <w:r w:rsidR="004636C1" w:rsidRPr="00157BF0">
        <w:rPr>
          <w:lang w:val="fr-FR"/>
        </w:rPr>
        <w:t xml:space="preserve"> du règlement d</w:t>
      </w:r>
      <w:r w:rsidR="001C63CD">
        <w:rPr>
          <w:lang w:val="fr-FR"/>
        </w:rPr>
        <w:t>’</w:t>
      </w:r>
      <w:r w:rsidR="004636C1" w:rsidRPr="00157BF0">
        <w:rPr>
          <w:lang w:val="fr-FR"/>
        </w:rPr>
        <w:t>exécution</w:t>
      </w:r>
      <w:r w:rsidR="001C63CD" w:rsidRPr="00157BF0">
        <w:rPr>
          <w:lang w:val="fr-FR"/>
        </w:rPr>
        <w:t xml:space="preserve"> du</w:t>
      </w:r>
      <w:r w:rsidR="001C63CD">
        <w:rPr>
          <w:lang w:val="fr-FR"/>
        </w:rPr>
        <w:t> </w:t>
      </w:r>
      <w:r w:rsidR="001C63CD" w:rsidRPr="00157BF0">
        <w:rPr>
          <w:lang w:val="fr-FR"/>
        </w:rPr>
        <w:t>PCT</w:t>
      </w:r>
      <w:r w:rsidR="00E823F0" w:rsidRPr="00157BF0">
        <w:rPr>
          <w:lang w:val="fr-FR"/>
        </w:rPr>
        <w:t>, améliorer la gestion de trésorerie pour le Bureau international, les offices récepteurs et les administrations chargées de la recherche internationale, réduire les frais bancaires et améliorer l</w:t>
      </w:r>
      <w:r w:rsidR="001C63CD">
        <w:rPr>
          <w:lang w:val="fr-FR"/>
        </w:rPr>
        <w:t>’</w:t>
      </w:r>
      <w:r w:rsidR="00E823F0" w:rsidRPr="00157BF0">
        <w:rPr>
          <w:lang w:val="fr-FR"/>
        </w:rPr>
        <w:t>efficacité du processus</w:t>
      </w:r>
      <w:r w:rsidR="001C63CD" w:rsidRPr="00157BF0">
        <w:rPr>
          <w:lang w:val="fr-FR"/>
        </w:rPr>
        <w:t xml:space="preserve"> du</w:t>
      </w:r>
      <w:r w:rsidR="001C63CD">
        <w:rPr>
          <w:lang w:val="fr-FR"/>
        </w:rPr>
        <w:t> </w:t>
      </w:r>
      <w:r w:rsidR="001C63CD" w:rsidRPr="00157BF0">
        <w:rPr>
          <w:lang w:val="fr-FR"/>
        </w:rPr>
        <w:t>PCT</w:t>
      </w:r>
      <w:r w:rsidR="00E823F0" w:rsidRPr="00157BF0">
        <w:rPr>
          <w:lang w:val="fr-FR"/>
        </w:rPr>
        <w:t xml:space="preserve"> </w:t>
      </w:r>
      <w:r w:rsidR="001254FA" w:rsidRPr="00157BF0">
        <w:rPr>
          <w:lang w:val="fr-FR"/>
        </w:rPr>
        <w:t>en</w:t>
      </w:r>
      <w:r w:rsidR="00E823F0" w:rsidRPr="00157BF0">
        <w:rPr>
          <w:lang w:val="fr-FR"/>
        </w:rPr>
        <w:t xml:space="preserve"> simplifi</w:t>
      </w:r>
      <w:r w:rsidR="001254FA" w:rsidRPr="00157BF0">
        <w:rPr>
          <w:lang w:val="fr-FR"/>
        </w:rPr>
        <w:t>ant</w:t>
      </w:r>
      <w:r w:rsidR="00E823F0" w:rsidRPr="00157BF0">
        <w:rPr>
          <w:lang w:val="fr-FR"/>
        </w:rPr>
        <w:t xml:space="preserve"> </w:t>
      </w:r>
      <w:r w:rsidR="00534377" w:rsidRPr="00157BF0">
        <w:rPr>
          <w:lang w:val="fr-FR"/>
        </w:rPr>
        <w:t>l</w:t>
      </w:r>
      <w:r w:rsidR="00E823F0" w:rsidRPr="00157BF0">
        <w:rPr>
          <w:lang w:val="fr-FR"/>
        </w:rPr>
        <w:t>es procédures.</w:t>
      </w:r>
    </w:p>
    <w:p w14:paraId="7F8E0379" w14:textId="016FCBDD" w:rsidR="00695B38" w:rsidRPr="00157BF0" w:rsidRDefault="0051640A" w:rsidP="00157BF0">
      <w:pPr>
        <w:pStyle w:val="ONUMFS"/>
        <w:rPr>
          <w:lang w:val="fr-FR"/>
        </w:rPr>
      </w:pPr>
      <w:r w:rsidRPr="00157BF0">
        <w:rPr>
          <w:lang w:val="fr-FR"/>
        </w:rPr>
        <w:t>Cela étant, les effets du projet pilote de compensation sur la réduction de l</w:t>
      </w:r>
      <w:r w:rsidR="001C63CD">
        <w:rPr>
          <w:lang w:val="fr-FR"/>
        </w:rPr>
        <w:t>’</w:t>
      </w:r>
      <w:r w:rsidRPr="00157BF0">
        <w:rPr>
          <w:lang w:val="fr-FR"/>
        </w:rPr>
        <w:t>exposition des recettes de taxes</w:t>
      </w:r>
      <w:r w:rsidR="001C63CD" w:rsidRPr="00157BF0">
        <w:rPr>
          <w:lang w:val="fr-FR"/>
        </w:rPr>
        <w:t xml:space="preserve"> du</w:t>
      </w:r>
      <w:r w:rsidR="001C63CD">
        <w:rPr>
          <w:lang w:val="fr-FR"/>
        </w:rPr>
        <w:t> </w:t>
      </w:r>
      <w:r w:rsidR="001C63CD" w:rsidRPr="00157BF0">
        <w:rPr>
          <w:lang w:val="fr-FR"/>
        </w:rPr>
        <w:t>PCT</w:t>
      </w:r>
      <w:r w:rsidRPr="00157BF0">
        <w:rPr>
          <w:lang w:val="fr-FR"/>
        </w:rPr>
        <w:t xml:space="preserve"> aux variations des taux de change portent uniquement sur les écarts entre le taux de change des </w:t>
      </w:r>
      <w:r w:rsidR="001C63CD">
        <w:rPr>
          <w:lang w:val="fr-FR"/>
        </w:rPr>
        <w:t>Nations Unies</w:t>
      </w:r>
      <w:r w:rsidRPr="00157BF0">
        <w:rPr>
          <w:lang w:val="fr-FR"/>
        </w:rPr>
        <w:t>, que le Bureau international utilise pour comptabiliser ses recettes, et le taux de change au comptant en vigueur à la date</w:t>
      </w:r>
      <w:r w:rsidR="00F554CE" w:rsidRPr="00157BF0">
        <w:rPr>
          <w:lang w:val="fr-FR"/>
        </w:rPr>
        <w:t xml:space="preserve"> de réception ou de décaissement des fon</w:t>
      </w:r>
      <w:r w:rsidR="005C097F" w:rsidRPr="00157BF0">
        <w:rPr>
          <w:lang w:val="fr-FR"/>
        </w:rPr>
        <w:t>ds</w:t>
      </w:r>
      <w:r w:rsidR="005C097F">
        <w:rPr>
          <w:lang w:val="fr-FR"/>
        </w:rPr>
        <w:t xml:space="preserve">.  </w:t>
      </w:r>
      <w:r w:rsidR="005C097F" w:rsidRPr="00157BF0">
        <w:rPr>
          <w:lang w:val="fr-FR"/>
        </w:rPr>
        <w:t>Le</w:t>
      </w:r>
      <w:r w:rsidR="004073FB" w:rsidRPr="00157BF0">
        <w:rPr>
          <w:lang w:val="fr-FR"/>
        </w:rPr>
        <w:t>s incidences sur les taux du mécanisme des</w:t>
      </w:r>
      <w:r w:rsidR="00F554CE" w:rsidRPr="00157BF0">
        <w:rPr>
          <w:lang w:val="fr-FR"/>
        </w:rPr>
        <w:t xml:space="preserve"> </w:t>
      </w:r>
      <w:r w:rsidR="004073FB" w:rsidRPr="00157BF0">
        <w:rPr>
          <w:lang w:val="fr-FR"/>
        </w:rPr>
        <w:t>montants équivalents</w:t>
      </w:r>
      <w:r w:rsidR="004073FB" w:rsidRPr="00157BF0">
        <w:rPr>
          <w:rStyle w:val="FootnoteReference"/>
          <w:lang w:val="fr-FR"/>
        </w:rPr>
        <w:footnoteReference w:id="4"/>
      </w:r>
      <w:r w:rsidR="004073FB" w:rsidRPr="00157BF0">
        <w:rPr>
          <w:lang w:val="fr-FR"/>
        </w:rPr>
        <w:t xml:space="preserve"> établi par l</w:t>
      </w:r>
      <w:r w:rsidR="001C63CD">
        <w:rPr>
          <w:lang w:val="fr-FR"/>
        </w:rPr>
        <w:t>’</w:t>
      </w:r>
      <w:r w:rsidR="004073FB" w:rsidRPr="00157BF0">
        <w:rPr>
          <w:lang w:val="fr-FR"/>
        </w:rPr>
        <w:t>Assemblée de l</w:t>
      </w:r>
      <w:r w:rsidR="001C63CD">
        <w:rPr>
          <w:lang w:val="fr-FR"/>
        </w:rPr>
        <w:t>’</w:t>
      </w:r>
      <w:r w:rsidR="004073FB" w:rsidRPr="00157BF0">
        <w:rPr>
          <w:lang w:val="fr-FR"/>
        </w:rPr>
        <w:t>Union</w:t>
      </w:r>
      <w:r w:rsidR="001C63CD" w:rsidRPr="00157BF0">
        <w:rPr>
          <w:lang w:val="fr-FR"/>
        </w:rPr>
        <w:t xml:space="preserve"> du</w:t>
      </w:r>
      <w:r w:rsidR="001C63CD">
        <w:rPr>
          <w:lang w:val="fr-FR"/>
        </w:rPr>
        <w:t> </w:t>
      </w:r>
      <w:r w:rsidR="001C63CD" w:rsidRPr="00157BF0">
        <w:rPr>
          <w:lang w:val="fr-FR"/>
        </w:rPr>
        <w:t>PCT</w:t>
      </w:r>
      <w:r w:rsidR="004073FB" w:rsidRPr="00157BF0">
        <w:rPr>
          <w:lang w:val="fr-FR"/>
        </w:rPr>
        <w:t xml:space="preserve"> ne sont pas concernées</w:t>
      </w:r>
      <w:r w:rsidR="00B94A6F" w:rsidRPr="00157BF0">
        <w:rPr>
          <w:lang w:val="fr-FR"/>
        </w:rPr>
        <w:t>.</w:t>
      </w:r>
    </w:p>
    <w:p w14:paraId="06282C80" w14:textId="74219FFC" w:rsidR="00695B38" w:rsidRPr="00157BF0" w:rsidRDefault="008725FE" w:rsidP="00157BF0">
      <w:pPr>
        <w:pStyle w:val="ONUMFS"/>
        <w:rPr>
          <w:lang w:val="fr-FR"/>
        </w:rPr>
      </w:pPr>
      <w:r w:rsidRPr="00157BF0">
        <w:rPr>
          <w:lang w:val="fr-FR"/>
        </w:rPr>
        <w:lastRenderedPageBreak/>
        <w:t>La Division de la supervision interne (DSI) a observé que le processus de compensation a eu pour effet de modifier radicalement l</w:t>
      </w:r>
      <w:r w:rsidR="00510C12" w:rsidRPr="00157BF0">
        <w:rPr>
          <w:lang w:val="fr-FR"/>
        </w:rPr>
        <w:t>e déroulement</w:t>
      </w:r>
      <w:r w:rsidRPr="00157BF0">
        <w:rPr>
          <w:lang w:val="fr-FR"/>
        </w:rPr>
        <w:t xml:space="preserve"> des tâches</w:t>
      </w:r>
      <w:r w:rsidR="00510C12" w:rsidRPr="00157BF0">
        <w:rPr>
          <w:lang w:val="fr-FR"/>
        </w:rPr>
        <w:t xml:space="preserve"> relatives aux taxes de recherche, tant au Bureau international que dans les offices récepteurs et les administrations chargées de la recherche internationale participant au proj</w:t>
      </w:r>
      <w:r w:rsidR="005C097F" w:rsidRPr="00157BF0">
        <w:rPr>
          <w:lang w:val="fr-FR"/>
        </w:rPr>
        <w:t>et</w:t>
      </w:r>
      <w:r w:rsidR="005C097F">
        <w:rPr>
          <w:lang w:val="fr-FR"/>
        </w:rPr>
        <w:t xml:space="preserve">.  </w:t>
      </w:r>
      <w:r w:rsidR="005C097F" w:rsidRPr="00157BF0">
        <w:rPr>
          <w:lang w:val="fr-FR"/>
        </w:rPr>
        <w:t>Le</w:t>
      </w:r>
      <w:r w:rsidR="000813C5" w:rsidRPr="00157BF0">
        <w:rPr>
          <w:lang w:val="fr-FR"/>
        </w:rPr>
        <w:t xml:space="preserve"> flux de traitement des taxes de recherche</w:t>
      </w:r>
      <w:r w:rsidR="001C63CD" w:rsidRPr="00157BF0">
        <w:rPr>
          <w:lang w:val="fr-FR"/>
        </w:rPr>
        <w:t xml:space="preserve"> du</w:t>
      </w:r>
      <w:r w:rsidR="001C63CD">
        <w:rPr>
          <w:lang w:val="fr-FR"/>
        </w:rPr>
        <w:t> </w:t>
      </w:r>
      <w:r w:rsidR="001C63CD" w:rsidRPr="00157BF0">
        <w:rPr>
          <w:lang w:val="fr-FR"/>
        </w:rPr>
        <w:t>PCT</w:t>
      </w:r>
      <w:r w:rsidR="000813C5" w:rsidRPr="00157BF0">
        <w:rPr>
          <w:lang w:val="fr-FR"/>
        </w:rPr>
        <w:t xml:space="preserve"> a été simplifié, et le Bureau international a observé une réduction manifeste de la charge de travail </w:t>
      </w:r>
      <w:r w:rsidR="0047233C" w:rsidRPr="00157BF0">
        <w:rPr>
          <w:lang w:val="fr-FR"/>
        </w:rPr>
        <w:t xml:space="preserve">créée par les demandes relatives aux pertes et gains de change découlant de la </w:t>
      </w:r>
      <w:r w:rsidR="001C63CD" w:rsidRPr="00157BF0">
        <w:rPr>
          <w:lang w:val="fr-FR"/>
        </w:rPr>
        <w:t>règle</w:t>
      </w:r>
      <w:r w:rsidR="001C63CD">
        <w:rPr>
          <w:lang w:val="fr-FR"/>
        </w:rPr>
        <w:t> </w:t>
      </w:r>
      <w:r w:rsidR="001C63CD" w:rsidRPr="00157BF0">
        <w:rPr>
          <w:lang w:val="fr-FR"/>
        </w:rPr>
        <w:t>1</w:t>
      </w:r>
      <w:r w:rsidR="0047233C" w:rsidRPr="00157BF0">
        <w:rPr>
          <w:lang w:val="fr-FR"/>
        </w:rPr>
        <w:t>6.1.e) du règlement d</w:t>
      </w:r>
      <w:r w:rsidR="001C63CD">
        <w:rPr>
          <w:lang w:val="fr-FR"/>
        </w:rPr>
        <w:t>’</w:t>
      </w:r>
      <w:r w:rsidR="0047233C" w:rsidRPr="00157BF0">
        <w:rPr>
          <w:lang w:val="fr-FR"/>
        </w:rPr>
        <w:t>exécution</w:t>
      </w:r>
      <w:r w:rsidR="001C63CD" w:rsidRPr="00157BF0">
        <w:rPr>
          <w:lang w:val="fr-FR"/>
        </w:rPr>
        <w:t xml:space="preserve"> du</w:t>
      </w:r>
      <w:r w:rsidR="001C63CD">
        <w:rPr>
          <w:lang w:val="fr-FR"/>
        </w:rPr>
        <w:t> </w:t>
      </w:r>
      <w:r w:rsidR="001C63CD" w:rsidRPr="00157BF0">
        <w:rPr>
          <w:lang w:val="fr-FR"/>
        </w:rPr>
        <w:t>PCT</w:t>
      </w:r>
      <w:r w:rsidR="003A1BC6" w:rsidRPr="00157BF0">
        <w:rPr>
          <w:rStyle w:val="FootnoteReference"/>
          <w:lang w:val="fr-FR"/>
        </w:rPr>
        <w:footnoteReference w:id="5"/>
      </w:r>
      <w:r w:rsidR="00695B38" w:rsidRPr="00157BF0">
        <w:rPr>
          <w:lang w:val="fr-FR"/>
        </w:rPr>
        <w:t xml:space="preserve">. </w:t>
      </w:r>
      <w:r w:rsidR="003A1BC6" w:rsidRPr="00157BF0">
        <w:rPr>
          <w:lang w:val="fr-FR"/>
        </w:rPr>
        <w:t xml:space="preserve"> </w:t>
      </w:r>
      <w:r w:rsidR="008172F5" w:rsidRPr="00157BF0">
        <w:rPr>
          <w:lang w:val="fr-FR"/>
        </w:rPr>
        <w:t>Ce processus devrait être encore simplifié et rendu plus efficace, à l</w:t>
      </w:r>
      <w:r w:rsidR="001C63CD">
        <w:rPr>
          <w:lang w:val="fr-FR"/>
        </w:rPr>
        <w:t>’</w:t>
      </w:r>
      <w:r w:rsidR="008172F5" w:rsidRPr="00157BF0">
        <w:rPr>
          <w:lang w:val="fr-FR"/>
        </w:rPr>
        <w:t>avenir, par l</w:t>
      </w:r>
      <w:r w:rsidR="001C63CD">
        <w:rPr>
          <w:lang w:val="fr-FR"/>
        </w:rPr>
        <w:t>’</w:t>
      </w:r>
      <w:r w:rsidR="008172F5" w:rsidRPr="00157BF0">
        <w:rPr>
          <w:lang w:val="fr-FR"/>
        </w:rPr>
        <w:t>automatisation d</w:t>
      </w:r>
      <w:r w:rsidR="001C63CD">
        <w:rPr>
          <w:lang w:val="fr-FR"/>
        </w:rPr>
        <w:t>’</w:t>
      </w:r>
      <w:r w:rsidR="008172F5" w:rsidRPr="00157BF0">
        <w:rPr>
          <w:lang w:val="fr-FR"/>
        </w:rPr>
        <w:t>un certain nombre de tâches manuelles liées aux opérations de compensation.</w:t>
      </w:r>
    </w:p>
    <w:p w14:paraId="4E3FE192" w14:textId="6F799175" w:rsidR="00695B38" w:rsidRPr="00157BF0" w:rsidRDefault="008172F5" w:rsidP="00157BF0">
      <w:pPr>
        <w:pStyle w:val="ONUMFS"/>
        <w:rPr>
          <w:lang w:val="fr-FR"/>
        </w:rPr>
      </w:pPr>
      <w:r w:rsidRPr="00157BF0">
        <w:rPr>
          <w:lang w:val="fr-FR"/>
        </w:rPr>
        <w:t xml:space="preserve">La mise en œuvre du processus de compensation a permis de réduire de 69% le solde nominal moyen de liquidités </w:t>
      </w:r>
      <w:r w:rsidR="00714A53" w:rsidRPr="00157BF0">
        <w:rPr>
          <w:lang w:val="fr-FR"/>
        </w:rPr>
        <w:t xml:space="preserve">maintenu </w:t>
      </w:r>
      <w:r w:rsidRPr="00157BF0">
        <w:rPr>
          <w:lang w:val="fr-FR"/>
        </w:rPr>
        <w:t>à la banque (en euros) pour les taxes de recherche</w:t>
      </w:r>
      <w:r w:rsidR="001C63CD" w:rsidRPr="00157BF0">
        <w:rPr>
          <w:lang w:val="fr-FR"/>
        </w:rPr>
        <w:t xml:space="preserve"> du</w:t>
      </w:r>
      <w:r w:rsidR="001C63CD">
        <w:rPr>
          <w:lang w:val="fr-FR"/>
        </w:rPr>
        <w:t> </w:t>
      </w:r>
      <w:r w:rsidR="005C097F" w:rsidRPr="00157BF0">
        <w:rPr>
          <w:lang w:val="fr-FR"/>
        </w:rPr>
        <w:t>PCT</w:t>
      </w:r>
      <w:r w:rsidR="005C097F">
        <w:rPr>
          <w:lang w:val="fr-FR"/>
        </w:rPr>
        <w:t xml:space="preserve">.  </w:t>
      </w:r>
      <w:r w:rsidR="005C097F" w:rsidRPr="00157BF0">
        <w:rPr>
          <w:lang w:val="fr-FR"/>
        </w:rPr>
        <w:t>Ce</w:t>
      </w:r>
      <w:r w:rsidR="00714A53" w:rsidRPr="00157BF0">
        <w:rPr>
          <w:lang w:val="fr-FR"/>
        </w:rPr>
        <w:t>tte réduction a permis au Bureau international de ne plus avoir à assumer les coûts de financement liés aux taux d</w:t>
      </w:r>
      <w:r w:rsidR="001C63CD">
        <w:rPr>
          <w:lang w:val="fr-FR"/>
        </w:rPr>
        <w:t>’</w:t>
      </w:r>
      <w:r w:rsidR="00714A53" w:rsidRPr="00157BF0">
        <w:rPr>
          <w:lang w:val="fr-FR"/>
        </w:rPr>
        <w:t>intérêt négatifs pratiqués actuellement.</w:t>
      </w:r>
    </w:p>
    <w:p w14:paraId="03BD8B4A" w14:textId="76EC98D6" w:rsidR="00695B38" w:rsidRPr="00157BF0" w:rsidRDefault="00D55F34" w:rsidP="00157BF0">
      <w:pPr>
        <w:pStyle w:val="ONUMFS"/>
        <w:rPr>
          <w:lang w:val="fr-FR"/>
        </w:rPr>
      </w:pPr>
      <w:r w:rsidRPr="00157BF0">
        <w:rPr>
          <w:lang w:val="fr-FR"/>
        </w:rPr>
        <w:t>La Division de la supervision interne a observé en outre</w:t>
      </w:r>
      <w:r w:rsidR="00C562DC" w:rsidRPr="00157BF0">
        <w:rPr>
          <w:lang w:val="fr-FR"/>
        </w:rPr>
        <w:t xml:space="preserve"> une légère baisse des frais bancaires relatifs au transfert électronique de </w:t>
      </w:r>
      <w:r w:rsidR="00DA76CB" w:rsidRPr="00157BF0">
        <w:rPr>
          <w:lang w:val="fr-FR"/>
        </w:rPr>
        <w:t>fichier</w:t>
      </w:r>
      <w:r w:rsidR="00C562DC" w:rsidRPr="00157BF0">
        <w:rPr>
          <w:lang w:val="fr-FR"/>
        </w:rPr>
        <w:t>s</w:t>
      </w:r>
      <w:r w:rsidR="00DA76CB" w:rsidRPr="00157BF0">
        <w:rPr>
          <w:lang w:val="fr-FR"/>
        </w:rPr>
        <w:t>, en corrélation avec la réduction du volume des transactions de transfert électronique de fichiers – paiements et recettes, ainsi qu</w:t>
      </w:r>
      <w:r w:rsidR="001C63CD">
        <w:rPr>
          <w:lang w:val="fr-FR"/>
        </w:rPr>
        <w:t>’</w:t>
      </w:r>
      <w:r w:rsidR="00DA76CB" w:rsidRPr="00157BF0">
        <w:rPr>
          <w:lang w:val="fr-FR"/>
        </w:rPr>
        <w:t>avec celle du nombre de demandes de remboursement de la part des administrations chargées de la recherche internationale participantes.</w:t>
      </w:r>
    </w:p>
    <w:p w14:paraId="681D34B1" w14:textId="2D039720" w:rsidR="001C63CD" w:rsidRDefault="00850FE6" w:rsidP="00157BF0">
      <w:pPr>
        <w:pStyle w:val="ONUMFS"/>
        <w:rPr>
          <w:lang w:val="fr-FR"/>
        </w:rPr>
      </w:pPr>
      <w:r w:rsidRPr="00157BF0">
        <w:rPr>
          <w:lang w:val="fr-FR"/>
        </w:rPr>
        <w:t xml:space="preserve">Le volume des transactions de transfert électronique de fichiers est passé de 90 </w:t>
      </w:r>
      <w:r w:rsidR="001C63CD" w:rsidRPr="00157BF0">
        <w:rPr>
          <w:lang w:val="fr-FR"/>
        </w:rPr>
        <w:t>en</w:t>
      </w:r>
      <w:r w:rsidR="001C63CD">
        <w:rPr>
          <w:lang w:val="fr-FR"/>
        </w:rPr>
        <w:t> </w:t>
      </w:r>
      <w:r w:rsidR="001C63CD" w:rsidRPr="00157BF0">
        <w:rPr>
          <w:lang w:val="fr-FR"/>
        </w:rPr>
        <w:t>2017</w:t>
      </w:r>
      <w:r w:rsidRPr="00157BF0">
        <w:rPr>
          <w:lang w:val="fr-FR"/>
        </w:rPr>
        <w:t xml:space="preserve"> à 39 </w:t>
      </w:r>
      <w:r w:rsidR="001C63CD" w:rsidRPr="00157BF0">
        <w:rPr>
          <w:lang w:val="fr-FR"/>
        </w:rPr>
        <w:t>en</w:t>
      </w:r>
      <w:r w:rsidR="001C63CD">
        <w:rPr>
          <w:lang w:val="fr-FR"/>
        </w:rPr>
        <w:t> </w:t>
      </w:r>
      <w:r w:rsidR="001C63CD" w:rsidRPr="00157BF0">
        <w:rPr>
          <w:lang w:val="fr-FR"/>
        </w:rPr>
        <w:t>2018</w:t>
      </w:r>
      <w:r w:rsidRPr="00157BF0">
        <w:rPr>
          <w:lang w:val="fr-FR"/>
        </w:rPr>
        <w:t xml:space="preserve"> (période de compensation), ce qui représente une baisse de 51</w:t>
      </w:r>
      <w:r w:rsidR="00FB191E">
        <w:rPr>
          <w:lang w:val="fr-FR"/>
        </w:rPr>
        <w:t> </w:t>
      </w:r>
      <w:r w:rsidRPr="00157BF0">
        <w:rPr>
          <w:lang w:val="fr-FR"/>
        </w:rPr>
        <w:t>transactions (57%), tandis que le nombre de demandes de remboursement passait de 160</w:t>
      </w:r>
      <w:r w:rsidR="00591F5B" w:rsidRPr="00157BF0">
        <w:rPr>
          <w:lang w:val="fr-FR"/>
        </w:rPr>
        <w:t xml:space="preserve"> (période antérieure à la compensation) à 87 (période de compensation), ce qui représente une baisse de 73</w:t>
      </w:r>
      <w:r w:rsidR="00FB191E">
        <w:rPr>
          <w:lang w:val="fr-FR"/>
        </w:rPr>
        <w:t> </w:t>
      </w:r>
      <w:r w:rsidR="00591F5B" w:rsidRPr="00157BF0">
        <w:rPr>
          <w:lang w:val="fr-FR"/>
        </w:rPr>
        <w:t xml:space="preserve">demandes (46%).  </w:t>
      </w:r>
      <w:r w:rsidR="005A433A" w:rsidRPr="00157BF0">
        <w:rPr>
          <w:lang w:val="fr-FR"/>
        </w:rPr>
        <w:t>Cela a permis de limiter d</w:t>
      </w:r>
      <w:r w:rsidR="001C63CD">
        <w:rPr>
          <w:lang w:val="fr-FR"/>
        </w:rPr>
        <w:t>’</w:t>
      </w:r>
      <w:r w:rsidR="005A433A" w:rsidRPr="00157BF0">
        <w:rPr>
          <w:lang w:val="fr-FR"/>
        </w:rPr>
        <w:t>autres risques opérationnels tels que les possibilités d</w:t>
      </w:r>
      <w:r w:rsidR="001C63CD">
        <w:rPr>
          <w:lang w:val="fr-FR"/>
        </w:rPr>
        <w:t>’</w:t>
      </w:r>
      <w:r w:rsidR="005A433A" w:rsidRPr="00157BF0">
        <w:rPr>
          <w:lang w:val="fr-FR"/>
        </w:rPr>
        <w:t xml:space="preserve">erreurs dues </w:t>
      </w:r>
      <w:r w:rsidR="00D864B0" w:rsidRPr="00157BF0">
        <w:rPr>
          <w:lang w:val="fr-FR"/>
        </w:rPr>
        <w:t>à un</w:t>
      </w:r>
      <w:r w:rsidR="00637FC7" w:rsidRPr="00157BF0">
        <w:rPr>
          <w:lang w:val="fr-FR"/>
        </w:rPr>
        <w:t xml:space="preserve"> </w:t>
      </w:r>
      <w:r w:rsidR="00D864B0" w:rsidRPr="00157BF0">
        <w:rPr>
          <w:lang w:val="fr-FR"/>
        </w:rPr>
        <w:t>traitement</w:t>
      </w:r>
      <w:r w:rsidR="00637FC7" w:rsidRPr="00157BF0">
        <w:rPr>
          <w:lang w:val="fr-FR"/>
        </w:rPr>
        <w:t xml:space="preserve"> réduit </w:t>
      </w:r>
      <w:r w:rsidR="00D864B0" w:rsidRPr="00157BF0">
        <w:rPr>
          <w:lang w:val="fr-FR"/>
        </w:rPr>
        <w:t>de volumes importants de transactions.</w:t>
      </w:r>
    </w:p>
    <w:p w14:paraId="0E34EB38" w14:textId="103F0DC5" w:rsidR="00695B38" w:rsidRPr="00157BF0" w:rsidRDefault="008B432C" w:rsidP="00157BF0">
      <w:pPr>
        <w:pStyle w:val="ONUMFS"/>
        <w:rPr>
          <w:lang w:val="fr-FR"/>
        </w:rPr>
      </w:pPr>
      <w:r w:rsidRPr="00157BF0">
        <w:rPr>
          <w:lang w:val="fr-FR"/>
        </w:rPr>
        <w:t>L</w:t>
      </w:r>
      <w:r w:rsidR="001C63CD">
        <w:rPr>
          <w:lang w:val="fr-FR"/>
        </w:rPr>
        <w:t>’</w:t>
      </w:r>
      <w:r w:rsidR="007D0C90" w:rsidRPr="00157BF0">
        <w:rPr>
          <w:lang w:val="fr-FR"/>
        </w:rPr>
        <w:t>exploitation des ressources offertes par Coprocess (le logiciel de compensation) et le fait d</w:t>
      </w:r>
      <w:r w:rsidR="001C63CD">
        <w:rPr>
          <w:lang w:val="fr-FR"/>
        </w:rPr>
        <w:t>’</w:t>
      </w:r>
      <w:r w:rsidR="007D0C90" w:rsidRPr="00157BF0">
        <w:rPr>
          <w:lang w:val="fr-FR"/>
        </w:rPr>
        <w:t>encourager la participation des administrations chargées de la recherche internationale et des offices récepteurs qui ne participent pas au projet actuellement permettront d</w:t>
      </w:r>
      <w:r w:rsidR="001C63CD">
        <w:rPr>
          <w:lang w:val="fr-FR"/>
        </w:rPr>
        <w:t>’</w:t>
      </w:r>
      <w:r w:rsidR="007D0C90" w:rsidRPr="00157BF0">
        <w:rPr>
          <w:lang w:val="fr-FR"/>
        </w:rPr>
        <w:t xml:space="preserve">avoir une vision plus large des risques de change, de réduire le nombre de demandes de remboursement en vertu de la </w:t>
      </w:r>
      <w:r w:rsidR="001C63CD" w:rsidRPr="00157BF0">
        <w:rPr>
          <w:lang w:val="fr-FR"/>
        </w:rPr>
        <w:t>règle</w:t>
      </w:r>
      <w:r w:rsidR="001C63CD">
        <w:rPr>
          <w:lang w:val="fr-FR"/>
        </w:rPr>
        <w:t> </w:t>
      </w:r>
      <w:r w:rsidR="001C63CD" w:rsidRPr="00157BF0">
        <w:rPr>
          <w:lang w:val="fr-FR"/>
        </w:rPr>
        <w:t>1</w:t>
      </w:r>
      <w:r w:rsidR="007D0C90" w:rsidRPr="00157BF0">
        <w:rPr>
          <w:lang w:val="fr-FR"/>
        </w:rPr>
        <w:t>6.1.e) du règlement d</w:t>
      </w:r>
      <w:r w:rsidR="001C63CD">
        <w:rPr>
          <w:lang w:val="fr-FR"/>
        </w:rPr>
        <w:t>’</w:t>
      </w:r>
      <w:r w:rsidR="007D0C90" w:rsidRPr="00157BF0">
        <w:rPr>
          <w:lang w:val="fr-FR"/>
        </w:rPr>
        <w:t>exécution</w:t>
      </w:r>
      <w:r w:rsidR="001C63CD" w:rsidRPr="00157BF0">
        <w:rPr>
          <w:lang w:val="fr-FR"/>
        </w:rPr>
        <w:t xml:space="preserve"> du</w:t>
      </w:r>
      <w:r w:rsidR="001C63CD">
        <w:rPr>
          <w:lang w:val="fr-FR"/>
        </w:rPr>
        <w:t> </w:t>
      </w:r>
      <w:r w:rsidR="001C63CD" w:rsidRPr="00157BF0">
        <w:rPr>
          <w:lang w:val="fr-FR"/>
        </w:rPr>
        <w:t>PCT</w:t>
      </w:r>
      <w:r w:rsidR="007D0C90" w:rsidRPr="00157BF0">
        <w:rPr>
          <w:lang w:val="fr-FR"/>
        </w:rPr>
        <w:t>, d</w:t>
      </w:r>
      <w:r w:rsidR="001C63CD">
        <w:rPr>
          <w:lang w:val="fr-FR"/>
        </w:rPr>
        <w:t>’</w:t>
      </w:r>
      <w:r w:rsidR="007D0C90" w:rsidRPr="00157BF0">
        <w:rPr>
          <w:lang w:val="fr-FR"/>
        </w:rPr>
        <w:t>introduire une plus grande prévisibilité dans le processus budgétaire et de renforcer la stabilité financière du Bureau international.</w:t>
      </w:r>
    </w:p>
    <w:p w14:paraId="1F307F83" w14:textId="2401046C" w:rsidR="00695B38" w:rsidRPr="00157BF0" w:rsidRDefault="00286646" w:rsidP="00157BF0">
      <w:pPr>
        <w:pStyle w:val="ONUMFS"/>
        <w:rPr>
          <w:lang w:val="fr-FR"/>
        </w:rPr>
      </w:pPr>
      <w:r w:rsidRPr="00157BF0">
        <w:rPr>
          <w:lang w:val="fr-FR"/>
        </w:rPr>
        <w:t>Le Bureau international devrait en outre procéder à un inventaire des ressources nécessaires pour le processus de compensation, en tenant compte des moyens et des structures en place, des perspectives d</w:t>
      </w:r>
      <w:r w:rsidR="001C63CD">
        <w:rPr>
          <w:lang w:val="fr-FR"/>
        </w:rPr>
        <w:t>’</w:t>
      </w:r>
      <w:r w:rsidRPr="00157BF0">
        <w:rPr>
          <w:lang w:val="fr-FR"/>
        </w:rPr>
        <w:t>automatisation et des possibilités d</w:t>
      </w:r>
      <w:r w:rsidR="001C63CD">
        <w:rPr>
          <w:lang w:val="fr-FR"/>
        </w:rPr>
        <w:t>’</w:t>
      </w:r>
      <w:r w:rsidRPr="00157BF0">
        <w:rPr>
          <w:lang w:val="fr-FR"/>
        </w:rPr>
        <w:t>augmentation du nombre de participants au mécanisme de compensation.</w:t>
      </w:r>
    </w:p>
    <w:p w14:paraId="35801575" w14:textId="75238BBF" w:rsidR="000914A5" w:rsidRPr="00157BF0" w:rsidRDefault="00274E14" w:rsidP="00157BF0">
      <w:pPr>
        <w:pStyle w:val="ONUMFS"/>
        <w:rPr>
          <w:lang w:val="fr-FR"/>
        </w:rPr>
      </w:pPr>
      <w:r w:rsidRPr="00157BF0">
        <w:rPr>
          <w:lang w:val="fr-FR"/>
        </w:rPr>
        <w:t>Enfin, le Bureau international aurait avantage à proposer une modification du règlement d</w:t>
      </w:r>
      <w:r w:rsidR="001C63CD">
        <w:rPr>
          <w:lang w:val="fr-FR"/>
        </w:rPr>
        <w:t>’</w:t>
      </w:r>
      <w:r w:rsidRPr="00157BF0">
        <w:rPr>
          <w:lang w:val="fr-FR"/>
        </w:rPr>
        <w:t>exécution</w:t>
      </w:r>
      <w:r w:rsidR="001C63CD" w:rsidRPr="00157BF0">
        <w:rPr>
          <w:lang w:val="fr-FR"/>
        </w:rPr>
        <w:t xml:space="preserve"> du</w:t>
      </w:r>
      <w:r w:rsidR="001C63CD">
        <w:rPr>
          <w:lang w:val="fr-FR"/>
        </w:rPr>
        <w:t> </w:t>
      </w:r>
      <w:r w:rsidR="001C63CD" w:rsidRPr="00157BF0">
        <w:rPr>
          <w:lang w:val="fr-FR"/>
        </w:rPr>
        <w:t>PCT</w:t>
      </w:r>
      <w:r w:rsidRPr="00157BF0">
        <w:rPr>
          <w:lang w:val="fr-FR"/>
        </w:rPr>
        <w:t xml:space="preserve"> et des instructions administratives s</w:t>
      </w:r>
      <w:r w:rsidR="001C63CD">
        <w:rPr>
          <w:lang w:val="fr-FR"/>
        </w:rPr>
        <w:t>’</w:t>
      </w:r>
      <w:r w:rsidRPr="00157BF0">
        <w:rPr>
          <w:lang w:val="fr-FR"/>
        </w:rPr>
        <w:t>y rapport</w:t>
      </w:r>
      <w:r w:rsidR="00D6442E" w:rsidRPr="00157BF0">
        <w:rPr>
          <w:lang w:val="fr-FR"/>
        </w:rPr>
        <w:t>a</w:t>
      </w:r>
      <w:r w:rsidRPr="00157BF0">
        <w:rPr>
          <w:lang w:val="fr-FR"/>
        </w:rPr>
        <w:t>nt</w:t>
      </w:r>
      <w:r w:rsidR="00D6442E" w:rsidRPr="00157BF0">
        <w:rPr>
          <w:lang w:val="fr-FR"/>
        </w:rPr>
        <w:t>, de manière, entre autres, à ce qu</w:t>
      </w:r>
      <w:r w:rsidR="001C63CD">
        <w:rPr>
          <w:lang w:val="fr-FR"/>
        </w:rPr>
        <w:t>’</w:t>
      </w:r>
      <w:r w:rsidR="00D6442E" w:rsidRPr="00157BF0">
        <w:rPr>
          <w:lang w:val="fr-FR"/>
        </w:rPr>
        <w:t>elles soient adaptées et conformes aux actuelles procédures de compensation et méthodes de travail.</w:t>
      </w:r>
    </w:p>
    <w:p w14:paraId="78F6C8BE" w14:textId="77777777" w:rsidR="00FC5851" w:rsidRPr="00157BF0" w:rsidRDefault="00FC5851" w:rsidP="00157BF0">
      <w:pPr>
        <w:rPr>
          <w:lang w:val="fr-FR"/>
        </w:rPr>
      </w:pPr>
    </w:p>
    <w:p w14:paraId="764C8796" w14:textId="6C72BA4D" w:rsidR="002928D3" w:rsidRPr="00157BF0" w:rsidRDefault="007050D3" w:rsidP="00650156">
      <w:pPr>
        <w:pStyle w:val="Endofdocument-Annex"/>
        <w:rPr>
          <w:lang w:val="fr-FR"/>
        </w:rPr>
      </w:pPr>
      <w:r w:rsidRPr="00157BF0">
        <w:rPr>
          <w:lang w:val="fr-FR"/>
        </w:rPr>
        <w:t>[</w:t>
      </w:r>
      <w:r w:rsidR="009C4F9C" w:rsidRPr="00157BF0">
        <w:rPr>
          <w:lang w:val="fr-FR"/>
        </w:rPr>
        <w:t>Fin de l</w:t>
      </w:r>
      <w:r w:rsidR="001C63CD">
        <w:rPr>
          <w:lang w:val="fr-FR"/>
        </w:rPr>
        <w:t>’</w:t>
      </w:r>
      <w:r w:rsidR="001C63CD" w:rsidRPr="00157BF0">
        <w:rPr>
          <w:lang w:val="fr-FR"/>
        </w:rPr>
        <w:t>annexe</w:t>
      </w:r>
      <w:r w:rsidR="001C63CD">
        <w:rPr>
          <w:lang w:val="fr-FR"/>
        </w:rPr>
        <w:t> </w:t>
      </w:r>
      <w:r w:rsidR="001C63CD" w:rsidRPr="00157BF0">
        <w:rPr>
          <w:lang w:val="fr-FR"/>
        </w:rPr>
        <w:t>I</w:t>
      </w:r>
      <w:r w:rsidR="002E288D" w:rsidRPr="00157BF0">
        <w:rPr>
          <w:lang w:val="fr-FR"/>
        </w:rPr>
        <w:t xml:space="preserve">I </w:t>
      </w:r>
      <w:r w:rsidR="009C4F9C" w:rsidRPr="00157BF0">
        <w:rPr>
          <w:lang w:val="fr-FR"/>
        </w:rPr>
        <w:t>et du</w:t>
      </w:r>
      <w:r w:rsidR="002E288D" w:rsidRPr="00157BF0">
        <w:rPr>
          <w:lang w:val="fr-FR"/>
        </w:rPr>
        <w:t xml:space="preserve"> </w:t>
      </w:r>
      <w:r w:rsidRPr="00157BF0">
        <w:rPr>
          <w:lang w:val="fr-FR"/>
        </w:rPr>
        <w:t>document]</w:t>
      </w:r>
    </w:p>
    <w:sectPr w:rsidR="002928D3" w:rsidRPr="00157BF0" w:rsidSect="00157BF0">
      <w:headerReference w:type="default" r:id="rId13"/>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BF195" w14:textId="77777777" w:rsidR="004C563E" w:rsidRDefault="004C563E">
      <w:r>
        <w:separator/>
      </w:r>
    </w:p>
  </w:endnote>
  <w:endnote w:type="continuationSeparator" w:id="0">
    <w:p w14:paraId="48CD52BC" w14:textId="77777777" w:rsidR="004C563E" w:rsidRDefault="004C563E" w:rsidP="003B38C1">
      <w:r>
        <w:separator/>
      </w:r>
    </w:p>
    <w:p w14:paraId="07EBE4BF" w14:textId="77777777" w:rsidR="004C563E" w:rsidRPr="005F65AF" w:rsidRDefault="004C563E" w:rsidP="003B38C1">
      <w:pPr>
        <w:spacing w:after="60"/>
        <w:rPr>
          <w:sz w:val="17"/>
          <w:lang w:val="en-GB"/>
        </w:rPr>
      </w:pPr>
      <w:r w:rsidRPr="005F65AF">
        <w:rPr>
          <w:sz w:val="17"/>
          <w:lang w:val="en-GB"/>
        </w:rPr>
        <w:t>[Endnote continued from previous page]</w:t>
      </w:r>
    </w:p>
  </w:endnote>
  <w:endnote w:type="continuationNotice" w:id="1">
    <w:p w14:paraId="15658F4A" w14:textId="77777777" w:rsidR="004C563E" w:rsidRPr="005F65AF" w:rsidRDefault="004C563E" w:rsidP="003B38C1">
      <w:pPr>
        <w:spacing w:before="60"/>
        <w:jc w:val="right"/>
        <w:rPr>
          <w:sz w:val="17"/>
          <w:szCs w:val="17"/>
          <w:lang w:val="en-GB"/>
        </w:rPr>
      </w:pPr>
      <w:r w:rsidRPr="005F65AF">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7963C" w14:textId="77777777" w:rsidR="004C563E" w:rsidRDefault="004C563E">
      <w:r>
        <w:separator/>
      </w:r>
    </w:p>
  </w:footnote>
  <w:footnote w:type="continuationSeparator" w:id="0">
    <w:p w14:paraId="12220818" w14:textId="77777777" w:rsidR="004C563E" w:rsidRDefault="004C563E" w:rsidP="008B60B2">
      <w:r>
        <w:separator/>
      </w:r>
    </w:p>
    <w:p w14:paraId="3E9D3CBD" w14:textId="77777777" w:rsidR="004C563E" w:rsidRPr="005F65AF" w:rsidRDefault="004C563E" w:rsidP="008B60B2">
      <w:pPr>
        <w:spacing w:after="60"/>
        <w:rPr>
          <w:sz w:val="17"/>
          <w:szCs w:val="17"/>
          <w:lang w:val="en-GB"/>
        </w:rPr>
      </w:pPr>
      <w:r w:rsidRPr="005F65AF">
        <w:rPr>
          <w:sz w:val="17"/>
          <w:szCs w:val="17"/>
          <w:lang w:val="en-GB"/>
        </w:rPr>
        <w:t>[Footnote continued from previous page]</w:t>
      </w:r>
    </w:p>
  </w:footnote>
  <w:footnote w:type="continuationNotice" w:id="1">
    <w:p w14:paraId="157499AC" w14:textId="77777777" w:rsidR="004C563E" w:rsidRPr="005F65AF" w:rsidRDefault="004C563E" w:rsidP="008B60B2">
      <w:pPr>
        <w:spacing w:before="60"/>
        <w:jc w:val="right"/>
        <w:rPr>
          <w:sz w:val="17"/>
          <w:szCs w:val="17"/>
          <w:lang w:val="en-GB"/>
        </w:rPr>
      </w:pPr>
      <w:r w:rsidRPr="005F65AF">
        <w:rPr>
          <w:sz w:val="17"/>
          <w:szCs w:val="17"/>
          <w:lang w:val="en-GB"/>
        </w:rPr>
        <w:t>[Footnote continued on next page]</w:t>
      </w:r>
    </w:p>
  </w:footnote>
  <w:footnote w:id="2">
    <w:p w14:paraId="2DC4F595" w14:textId="47979A8D" w:rsidR="00274E14" w:rsidRPr="003E46FD" w:rsidRDefault="00274E14">
      <w:pPr>
        <w:pStyle w:val="FootnoteText"/>
        <w:rPr>
          <w:lang w:val="fr-FR"/>
        </w:rPr>
      </w:pPr>
      <w:r>
        <w:rPr>
          <w:rStyle w:val="FootnoteReference"/>
        </w:rPr>
        <w:footnoteRef/>
      </w:r>
      <w:r w:rsidRPr="003E46FD">
        <w:rPr>
          <w:lang w:val="fr-FR"/>
        </w:rPr>
        <w:t xml:space="preserve"> </w:t>
      </w:r>
      <w:r w:rsidRPr="003E46FD">
        <w:rPr>
          <w:lang w:val="fr-FR"/>
        </w:rPr>
        <w:tab/>
        <w:t>Offices récepteurs n</w:t>
      </w:r>
      <w:r w:rsidR="000A5CA4">
        <w:rPr>
          <w:lang w:val="fr-FR"/>
        </w:rPr>
        <w:t>’</w:t>
      </w:r>
      <w:r w:rsidRPr="003E46FD">
        <w:rPr>
          <w:lang w:val="fr-FR"/>
        </w:rPr>
        <w:t xml:space="preserve">ayant soumis </w:t>
      </w:r>
      <w:r w:rsidR="000A5CA4" w:rsidRPr="003E46FD">
        <w:rPr>
          <w:lang w:val="fr-FR"/>
        </w:rPr>
        <w:t>en</w:t>
      </w:r>
      <w:r w:rsidR="000A5CA4">
        <w:rPr>
          <w:lang w:val="fr-FR"/>
        </w:rPr>
        <w:t> </w:t>
      </w:r>
      <w:r w:rsidR="000A5CA4" w:rsidRPr="003E46FD">
        <w:rPr>
          <w:lang w:val="fr-FR"/>
        </w:rPr>
        <w:t>2017</w:t>
      </w:r>
      <w:r w:rsidRPr="003E46FD">
        <w:rPr>
          <w:lang w:val="fr-FR"/>
        </w:rPr>
        <w:t xml:space="preserve"> ou 2018 aucune demande internationale aux fins de recherche </w:t>
      </w:r>
      <w:r>
        <w:rPr>
          <w:lang w:val="fr-FR"/>
        </w:rPr>
        <w:t>aux</w:t>
      </w:r>
      <w:r w:rsidRPr="003E46FD">
        <w:rPr>
          <w:lang w:val="fr-FR"/>
        </w:rPr>
        <w:t xml:space="preserve"> trois</w:t>
      </w:r>
      <w:r w:rsidR="00CB19EE">
        <w:rPr>
          <w:lang w:val="fr-FR"/>
        </w:rPr>
        <w:t> </w:t>
      </w:r>
      <w:r w:rsidRPr="003E5230">
        <w:rPr>
          <w:lang w:val="fr-FR"/>
        </w:rPr>
        <w:t>administration</w:t>
      </w:r>
      <w:r>
        <w:rPr>
          <w:lang w:val="fr-FR"/>
        </w:rPr>
        <w:t>s</w:t>
      </w:r>
      <w:r w:rsidRPr="003E5230">
        <w:rPr>
          <w:lang w:val="fr-FR"/>
        </w:rPr>
        <w:t xml:space="preserve"> chargée</w:t>
      </w:r>
      <w:r>
        <w:rPr>
          <w:lang w:val="fr-FR"/>
        </w:rPr>
        <w:t>s</w:t>
      </w:r>
      <w:r w:rsidRPr="003E5230">
        <w:rPr>
          <w:lang w:val="fr-FR"/>
        </w:rPr>
        <w:t xml:space="preserve"> de la recherche internationale</w:t>
      </w:r>
      <w:r w:rsidRPr="003E46FD">
        <w:rPr>
          <w:lang w:val="fr-FR"/>
        </w:rPr>
        <w:t>.</w:t>
      </w:r>
    </w:p>
  </w:footnote>
  <w:footnote w:id="3">
    <w:p w14:paraId="5EA4A9AE" w14:textId="2FDC665C" w:rsidR="00274E14" w:rsidRPr="00787840" w:rsidRDefault="00274E14" w:rsidP="00C86436">
      <w:pPr>
        <w:pStyle w:val="FootnoteText"/>
      </w:pPr>
      <w:r>
        <w:rPr>
          <w:rStyle w:val="FootnoteReference"/>
        </w:rPr>
        <w:footnoteRef/>
      </w:r>
      <w:r w:rsidRPr="00B94A6F">
        <w:rPr>
          <w:lang w:val="fr-FR"/>
        </w:rPr>
        <w:tab/>
        <w:t>Ce chiffre concerne les demandes internationales dans lesquelles l</w:t>
      </w:r>
      <w:r w:rsidR="000A5CA4">
        <w:rPr>
          <w:lang w:val="fr-FR"/>
        </w:rPr>
        <w:t>’</w:t>
      </w:r>
      <w:r w:rsidRPr="00B94A6F">
        <w:rPr>
          <w:lang w:val="fr-FR"/>
        </w:rPr>
        <w:t xml:space="preserve">administration chargée de la recherche internationale est un office différent de celui qui </w:t>
      </w:r>
      <w:r>
        <w:rPr>
          <w:lang w:val="fr-FR"/>
        </w:rPr>
        <w:t xml:space="preserve">a </w:t>
      </w:r>
      <w:r w:rsidRPr="00B94A6F">
        <w:rPr>
          <w:lang w:val="fr-FR"/>
        </w:rPr>
        <w:t>agi en qualité d</w:t>
      </w:r>
      <w:r w:rsidR="000A5CA4">
        <w:rPr>
          <w:lang w:val="fr-FR"/>
        </w:rPr>
        <w:t>’</w:t>
      </w:r>
      <w:r w:rsidRPr="00B94A6F">
        <w:rPr>
          <w:lang w:val="fr-FR"/>
        </w:rPr>
        <w:t>office récepteur</w:t>
      </w:r>
      <w:r>
        <w:rPr>
          <w:lang w:val="fr-FR"/>
        </w:rPr>
        <w:t>;  autrement dit, il ne comprend pas les demandes de recherche internationale soumises aux administrations chargées de la recherche internationale par leur propre office récepteur.</w:t>
      </w:r>
    </w:p>
  </w:footnote>
  <w:footnote w:id="4">
    <w:p w14:paraId="137AB41E" w14:textId="1805ABD2" w:rsidR="00274E14" w:rsidRPr="004F06BE" w:rsidRDefault="00274E14" w:rsidP="004073FB">
      <w:pPr>
        <w:pStyle w:val="FootnoteText"/>
        <w:rPr>
          <w:lang w:val="fr-FR"/>
        </w:rPr>
      </w:pPr>
      <w:r>
        <w:rPr>
          <w:rStyle w:val="FootnoteReference"/>
        </w:rPr>
        <w:footnoteRef/>
      </w:r>
      <w:r w:rsidRPr="00EF4404">
        <w:rPr>
          <w:lang w:val="fr-FR"/>
        </w:rPr>
        <w:t xml:space="preserve"> </w:t>
      </w:r>
      <w:r w:rsidRPr="00EF4404">
        <w:rPr>
          <w:lang w:val="fr-FR"/>
        </w:rPr>
        <w:tab/>
        <w:t>Le règlement d</w:t>
      </w:r>
      <w:r w:rsidR="000A5CA4">
        <w:rPr>
          <w:lang w:val="fr-FR"/>
        </w:rPr>
        <w:t>’</w:t>
      </w:r>
      <w:r w:rsidRPr="00EF4404">
        <w:rPr>
          <w:lang w:val="fr-FR"/>
        </w:rPr>
        <w:t>exécution</w:t>
      </w:r>
      <w:r w:rsidR="000A5CA4" w:rsidRPr="00EF4404">
        <w:rPr>
          <w:lang w:val="fr-FR"/>
        </w:rPr>
        <w:t xml:space="preserve"> du</w:t>
      </w:r>
      <w:r w:rsidR="000A5CA4">
        <w:rPr>
          <w:lang w:val="fr-FR"/>
        </w:rPr>
        <w:t> </w:t>
      </w:r>
      <w:r w:rsidR="000A5CA4" w:rsidRPr="00EF4404">
        <w:rPr>
          <w:lang w:val="fr-FR"/>
        </w:rPr>
        <w:t>PCT</w:t>
      </w:r>
      <w:r w:rsidRPr="00EF4404">
        <w:rPr>
          <w:lang w:val="fr-FR"/>
        </w:rPr>
        <w:t xml:space="preserve"> prévoit que le B</w:t>
      </w:r>
      <w:r>
        <w:rPr>
          <w:lang w:val="fr-FR"/>
        </w:rPr>
        <w:t>ureau</w:t>
      </w:r>
      <w:r w:rsidRPr="00EF4404">
        <w:rPr>
          <w:lang w:val="fr-FR"/>
        </w:rPr>
        <w:t xml:space="preserve"> international établit pour chaque taxe un montant équivalent pour chaque monnaie librement convertible, conformément aux directives de l</w:t>
      </w:r>
      <w:r w:rsidR="000A5CA4">
        <w:rPr>
          <w:lang w:val="fr-FR"/>
        </w:rPr>
        <w:t>’</w:t>
      </w:r>
      <w:r w:rsidRPr="00EF4404">
        <w:rPr>
          <w:lang w:val="fr-FR"/>
        </w:rPr>
        <w:t>Assemblée de l</w:t>
      </w:r>
      <w:r w:rsidR="000A5CA4">
        <w:rPr>
          <w:lang w:val="fr-FR"/>
        </w:rPr>
        <w:t>’</w:t>
      </w:r>
      <w:r>
        <w:rPr>
          <w:lang w:val="fr-FR"/>
        </w:rPr>
        <w:t>U</w:t>
      </w:r>
      <w:r w:rsidRPr="00EF4404">
        <w:rPr>
          <w:lang w:val="fr-FR"/>
        </w:rPr>
        <w:t>nion</w:t>
      </w:r>
      <w:r w:rsidR="000A5CA4" w:rsidRPr="00EF4404">
        <w:rPr>
          <w:lang w:val="fr-FR"/>
        </w:rPr>
        <w:t xml:space="preserve"> du</w:t>
      </w:r>
      <w:r w:rsidR="000A5CA4">
        <w:rPr>
          <w:lang w:val="fr-FR"/>
        </w:rPr>
        <w:t> </w:t>
      </w:r>
      <w:r w:rsidR="000A5CA4" w:rsidRPr="00EF4404">
        <w:rPr>
          <w:lang w:val="fr-FR"/>
        </w:rPr>
        <w:t>PCT</w:t>
      </w:r>
      <w:r w:rsidRPr="00EF4404">
        <w:rPr>
          <w:lang w:val="fr-FR"/>
        </w:rPr>
        <w:t>.</w:t>
      </w:r>
      <w:r>
        <w:rPr>
          <w:lang w:val="fr-FR"/>
        </w:rPr>
        <w:t xml:space="preserve">  </w:t>
      </w:r>
      <w:r w:rsidRPr="004F06BE">
        <w:rPr>
          <w:lang w:val="fr-FR"/>
        </w:rPr>
        <w:t>Lorsque le taux de change entre une ou plusieurs monnaies et le franc suisse varie de 5% à la hausse ou à la baisse quatre</w:t>
      </w:r>
      <w:r w:rsidR="00CB19EE">
        <w:rPr>
          <w:lang w:val="fr-FR"/>
        </w:rPr>
        <w:t> </w:t>
      </w:r>
      <w:r w:rsidRPr="004F06BE">
        <w:rPr>
          <w:lang w:val="fr-FR"/>
        </w:rPr>
        <w:t xml:space="preserve">vendredis </w:t>
      </w:r>
      <w:r w:rsidR="000B7A7B">
        <w:rPr>
          <w:lang w:val="fr-FR"/>
        </w:rPr>
        <w:t>de suite</w:t>
      </w:r>
      <w:r w:rsidRPr="004F06BE">
        <w:rPr>
          <w:lang w:val="fr-FR"/>
        </w:rPr>
        <w:t xml:space="preserve">, le Directeur général doit établir </w:t>
      </w:r>
      <w:r>
        <w:rPr>
          <w:lang w:val="fr-FR"/>
        </w:rPr>
        <w:t xml:space="preserve">pour ces monnaies </w:t>
      </w:r>
      <w:r w:rsidRPr="004F06BE">
        <w:rPr>
          <w:lang w:val="fr-FR"/>
        </w:rPr>
        <w:t>un nouveau montant équivalent</w:t>
      </w:r>
      <w:r>
        <w:rPr>
          <w:lang w:val="fr-FR"/>
        </w:rPr>
        <w:t>, qui doit ensuite être communiqué aux offices récepteurs ainsi qu</w:t>
      </w:r>
      <w:r w:rsidR="000A5CA4">
        <w:rPr>
          <w:lang w:val="fr-FR"/>
        </w:rPr>
        <w:t>’</w:t>
      </w:r>
      <w:r>
        <w:rPr>
          <w:lang w:val="fr-FR"/>
        </w:rPr>
        <w:t>aux administrations chargées de la recherche internationale.</w:t>
      </w:r>
    </w:p>
  </w:footnote>
  <w:footnote w:id="5">
    <w:p w14:paraId="39EF53E2" w14:textId="3B84CD4A" w:rsidR="00274E14" w:rsidRPr="0051640A" w:rsidRDefault="00274E14">
      <w:pPr>
        <w:pStyle w:val="FootnoteText"/>
        <w:rPr>
          <w:lang w:val="fr-FR"/>
        </w:rPr>
      </w:pPr>
      <w:r>
        <w:rPr>
          <w:rStyle w:val="FootnoteReference"/>
        </w:rPr>
        <w:footnoteRef/>
      </w:r>
      <w:r w:rsidRPr="0051640A">
        <w:rPr>
          <w:lang w:val="fr-FR"/>
        </w:rPr>
        <w:t xml:space="preserve"> </w:t>
      </w:r>
      <w:r w:rsidRPr="0051640A">
        <w:rPr>
          <w:lang w:val="fr-FR"/>
        </w:rPr>
        <w:tab/>
        <w:t>Lorsque, en ce qui concerne le paiement de la taxe de recherche dans une monnaie prescrite par l</w:t>
      </w:r>
      <w:r w:rsidR="000A5CA4">
        <w:rPr>
          <w:lang w:val="fr-FR"/>
        </w:rPr>
        <w:t>’</w:t>
      </w:r>
      <w:r w:rsidRPr="0051640A">
        <w:rPr>
          <w:lang w:val="fr-FR"/>
        </w:rPr>
        <w:t>office récepteur (“la monnaie prescrite”), autre que la monnaie fixée par l</w:t>
      </w:r>
      <w:r w:rsidR="000A5CA4">
        <w:rPr>
          <w:lang w:val="fr-FR"/>
        </w:rPr>
        <w:t>’</w:t>
      </w:r>
      <w:r w:rsidRPr="0051640A">
        <w:rPr>
          <w:lang w:val="fr-FR"/>
        </w:rPr>
        <w:t>administration chargée de la recherche internationale (“la monnaie fixée”), le montant effectivement reçu par l</w:t>
      </w:r>
      <w:r w:rsidR="000A5CA4">
        <w:rPr>
          <w:lang w:val="fr-FR"/>
        </w:rPr>
        <w:t>’</w:t>
      </w:r>
      <w:r w:rsidRPr="0051640A">
        <w:rPr>
          <w:lang w:val="fr-FR"/>
        </w:rPr>
        <w:t>administration chargée de la recherche internationale dans la monnaie prescrite, en vertu de l</w:t>
      </w:r>
      <w:r w:rsidR="000A5CA4">
        <w:rPr>
          <w:lang w:val="fr-FR"/>
        </w:rPr>
        <w:t>’</w:t>
      </w:r>
      <w:r w:rsidR="000A5CA4" w:rsidRPr="0051640A">
        <w:rPr>
          <w:lang w:val="fr-FR"/>
        </w:rPr>
        <w:t>alinéa</w:t>
      </w:r>
      <w:r w:rsidR="000A5CA4">
        <w:rPr>
          <w:lang w:val="fr-FR"/>
        </w:rPr>
        <w:t> </w:t>
      </w:r>
      <w:r w:rsidR="000A5CA4" w:rsidRPr="0051640A">
        <w:rPr>
          <w:lang w:val="fr-FR"/>
        </w:rPr>
        <w:t>d)</w:t>
      </w:r>
      <w:r w:rsidRPr="0051640A">
        <w:rPr>
          <w:lang w:val="fr-FR"/>
        </w:rPr>
        <w:t>i) de la présente règle, est, une fois converti par cette administration dans la monnaie fixée, inférieur à celui qu</w:t>
      </w:r>
      <w:r w:rsidR="000A5CA4">
        <w:rPr>
          <w:lang w:val="fr-FR"/>
        </w:rPr>
        <w:t>’</w:t>
      </w:r>
      <w:r w:rsidRPr="0051640A">
        <w:rPr>
          <w:lang w:val="fr-FR"/>
        </w:rPr>
        <w:t>elle a fixé, la différence est payée à ladite administration par le Bureau international;  au contraire, si le montant effectivement reçu est supérieur au montant fixé, la différence appartient au Bureau international.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268E" w14:textId="476D48DA" w:rsidR="00274E14" w:rsidRDefault="00274E14" w:rsidP="00477D6B">
    <w:pPr>
      <w:jc w:val="right"/>
    </w:pPr>
    <w:bookmarkStart w:id="8" w:name="Code2"/>
    <w:bookmarkEnd w:id="8"/>
    <w:r>
      <w:t>PCT/WG/12/19</w:t>
    </w:r>
  </w:p>
  <w:p w14:paraId="358DF379" w14:textId="3B1D5F11" w:rsidR="00274E14" w:rsidRDefault="00274E14" w:rsidP="00477D6B">
    <w:pPr>
      <w:jc w:val="right"/>
    </w:pPr>
    <w:r>
      <w:t xml:space="preserve">page </w:t>
    </w:r>
    <w:r>
      <w:fldChar w:fldCharType="begin"/>
    </w:r>
    <w:r>
      <w:instrText xml:space="preserve"> PAGE  \* MERGEFORMAT </w:instrText>
    </w:r>
    <w:r>
      <w:fldChar w:fldCharType="separate"/>
    </w:r>
    <w:r w:rsidR="005F65AF">
      <w:rPr>
        <w:noProof/>
      </w:rPr>
      <w:t>9</w:t>
    </w:r>
    <w:r>
      <w:fldChar w:fldCharType="end"/>
    </w:r>
  </w:p>
  <w:p w14:paraId="21C2334A" w14:textId="77777777" w:rsidR="00274E14" w:rsidRDefault="00274E14" w:rsidP="00477D6B">
    <w:pPr>
      <w:jc w:val="right"/>
    </w:pPr>
  </w:p>
  <w:p w14:paraId="3236588E" w14:textId="77777777" w:rsidR="00274E14" w:rsidRDefault="00274E14"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3F768" w14:textId="46909D00" w:rsidR="00274E14" w:rsidRDefault="00274E14" w:rsidP="00477D6B">
    <w:pPr>
      <w:jc w:val="right"/>
    </w:pPr>
    <w:r>
      <w:t>PCT/WG/12/19</w:t>
    </w:r>
  </w:p>
  <w:p w14:paraId="3F571BEF" w14:textId="08DA7D2C" w:rsidR="00274E14" w:rsidRDefault="00274E14" w:rsidP="00477D6B">
    <w:pPr>
      <w:jc w:val="right"/>
    </w:pPr>
    <w:r>
      <w:t>Annex</w:t>
    </w:r>
    <w:r w:rsidR="0004200B">
      <w:t>e</w:t>
    </w:r>
    <w:r>
      <w:t xml:space="preserve"> I, page </w:t>
    </w:r>
    <w:r>
      <w:fldChar w:fldCharType="begin"/>
    </w:r>
    <w:r>
      <w:instrText xml:space="preserve"> PAGE  \* MERGEFORMAT </w:instrText>
    </w:r>
    <w:r>
      <w:fldChar w:fldCharType="separate"/>
    </w:r>
    <w:r w:rsidR="005F65AF">
      <w:rPr>
        <w:noProof/>
      </w:rPr>
      <w:t>2</w:t>
    </w:r>
    <w:r>
      <w:fldChar w:fldCharType="end"/>
    </w:r>
  </w:p>
  <w:p w14:paraId="0BD780C9" w14:textId="77777777" w:rsidR="00274E14" w:rsidRDefault="00274E14" w:rsidP="00477D6B">
    <w:pPr>
      <w:jc w:val="right"/>
    </w:pPr>
  </w:p>
  <w:p w14:paraId="65745424" w14:textId="77777777" w:rsidR="00274E14" w:rsidRDefault="00274E1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7043" w14:textId="0F6D924A" w:rsidR="00274E14" w:rsidRDefault="00274E14" w:rsidP="00157BF0">
    <w:pPr>
      <w:jc w:val="right"/>
    </w:pPr>
    <w:r>
      <w:t>PCT/WG/12/19</w:t>
    </w:r>
  </w:p>
  <w:p w14:paraId="46FD0CCB" w14:textId="215E49EB" w:rsidR="00274E14" w:rsidRDefault="00274E14" w:rsidP="00157BF0">
    <w:pPr>
      <w:jc w:val="right"/>
    </w:pPr>
    <w:r>
      <w:t>ANNEXE I</w:t>
    </w:r>
  </w:p>
  <w:p w14:paraId="39467218" w14:textId="3E8D45B5" w:rsidR="00157BF0" w:rsidRDefault="00157BF0" w:rsidP="00157BF0">
    <w:pPr>
      <w:jc w:val="right"/>
    </w:pPr>
  </w:p>
  <w:p w14:paraId="2E79E4B0" w14:textId="77777777" w:rsidR="00274E14" w:rsidRDefault="00274E14" w:rsidP="00157BF0">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DA98" w14:textId="34E3DF9E" w:rsidR="00274E14" w:rsidRPr="006C74F8" w:rsidRDefault="00274E14" w:rsidP="00477D6B">
    <w:pPr>
      <w:jc w:val="right"/>
      <w:rPr>
        <w:lang w:val="fr-FR"/>
      </w:rPr>
    </w:pPr>
    <w:r w:rsidRPr="006C74F8">
      <w:rPr>
        <w:lang w:val="fr-FR"/>
      </w:rPr>
      <w:t>PCT/WG/12/19</w:t>
    </w:r>
  </w:p>
  <w:p w14:paraId="7639DA53" w14:textId="50F6CC08" w:rsidR="00274E14" w:rsidRPr="006C74F8" w:rsidRDefault="00274E14" w:rsidP="00477D6B">
    <w:pPr>
      <w:jc w:val="right"/>
      <w:rPr>
        <w:lang w:val="fr-FR"/>
      </w:rPr>
    </w:pPr>
    <w:r w:rsidRPr="006C74F8">
      <w:rPr>
        <w:lang w:val="fr-FR"/>
      </w:rPr>
      <w:t>Annex</w:t>
    </w:r>
    <w:r>
      <w:rPr>
        <w:lang w:val="fr-FR"/>
      </w:rPr>
      <w:t>e</w:t>
    </w:r>
    <w:r w:rsidRPr="006C74F8">
      <w:rPr>
        <w:lang w:val="fr-FR"/>
      </w:rPr>
      <w:t xml:space="preserve"> II, page </w:t>
    </w:r>
    <w:r>
      <w:fldChar w:fldCharType="begin"/>
    </w:r>
    <w:r w:rsidRPr="006C74F8">
      <w:rPr>
        <w:lang w:val="fr-FR"/>
      </w:rPr>
      <w:instrText xml:space="preserve"> PAGE  \* MERGEFORMAT </w:instrText>
    </w:r>
    <w:r>
      <w:fldChar w:fldCharType="separate"/>
    </w:r>
    <w:r w:rsidR="005F65AF">
      <w:rPr>
        <w:noProof/>
        <w:lang w:val="fr-FR"/>
      </w:rPr>
      <w:t>3</w:t>
    </w:r>
    <w:r>
      <w:fldChar w:fldCharType="end"/>
    </w:r>
  </w:p>
  <w:p w14:paraId="24798B94" w14:textId="77777777" w:rsidR="00274E14" w:rsidRPr="006C74F8" w:rsidRDefault="00274E14" w:rsidP="00477D6B">
    <w:pPr>
      <w:jc w:val="right"/>
      <w:rPr>
        <w:lang w:val="fr-FR"/>
      </w:rPr>
    </w:pPr>
  </w:p>
  <w:p w14:paraId="65EC761E" w14:textId="77777777" w:rsidR="00274E14" w:rsidRPr="006C74F8" w:rsidRDefault="00274E14"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988E5" w14:textId="180F50E3" w:rsidR="00274E14" w:rsidRDefault="00274E14" w:rsidP="00157BF0">
    <w:pPr>
      <w:pStyle w:val="Header"/>
      <w:jc w:val="right"/>
    </w:pPr>
    <w:r>
      <w:t>PCT/WG/12/19</w:t>
    </w:r>
  </w:p>
  <w:p w14:paraId="6F4BFE87" w14:textId="7A934C4D" w:rsidR="00274E14" w:rsidRDefault="00274E14" w:rsidP="00157BF0">
    <w:pPr>
      <w:pStyle w:val="Header"/>
      <w:jc w:val="right"/>
    </w:pPr>
    <w:r>
      <w:t>ANNEXE II</w:t>
    </w:r>
  </w:p>
  <w:p w14:paraId="517064C6" w14:textId="72A2EF56" w:rsidR="00274E14" w:rsidRDefault="00274E14" w:rsidP="00157BF0">
    <w:pPr>
      <w:pStyle w:val="Header"/>
      <w:jc w:val="right"/>
    </w:pPr>
  </w:p>
  <w:p w14:paraId="6FC49C84" w14:textId="77777777" w:rsidR="00157BF0" w:rsidRDefault="00157BF0" w:rsidP="00157B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046E286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727F59"/>
    <w:multiLevelType w:val="hybridMultilevel"/>
    <w:tmpl w:val="737E39C4"/>
    <w:lvl w:ilvl="0" w:tplc="7966AD8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5E"/>
    <w:rsid w:val="00010FB1"/>
    <w:rsid w:val="0001483F"/>
    <w:rsid w:val="00021322"/>
    <w:rsid w:val="0002266E"/>
    <w:rsid w:val="0004200B"/>
    <w:rsid w:val="000426D8"/>
    <w:rsid w:val="00043CAA"/>
    <w:rsid w:val="00045BD5"/>
    <w:rsid w:val="00045E31"/>
    <w:rsid w:val="00047E32"/>
    <w:rsid w:val="0005061C"/>
    <w:rsid w:val="000531C1"/>
    <w:rsid w:val="0006122A"/>
    <w:rsid w:val="0006198A"/>
    <w:rsid w:val="0006566A"/>
    <w:rsid w:val="00070AA6"/>
    <w:rsid w:val="0007254E"/>
    <w:rsid w:val="00075432"/>
    <w:rsid w:val="000813C5"/>
    <w:rsid w:val="00081AA4"/>
    <w:rsid w:val="00081B77"/>
    <w:rsid w:val="00083521"/>
    <w:rsid w:val="00086660"/>
    <w:rsid w:val="000914A5"/>
    <w:rsid w:val="00092AD3"/>
    <w:rsid w:val="000968ED"/>
    <w:rsid w:val="000972FD"/>
    <w:rsid w:val="000A5CA4"/>
    <w:rsid w:val="000B307C"/>
    <w:rsid w:val="000B7A7B"/>
    <w:rsid w:val="000C16C0"/>
    <w:rsid w:val="000C1E33"/>
    <w:rsid w:val="000C70B6"/>
    <w:rsid w:val="000D75F9"/>
    <w:rsid w:val="000F5E56"/>
    <w:rsid w:val="00112139"/>
    <w:rsid w:val="00114922"/>
    <w:rsid w:val="00121D4A"/>
    <w:rsid w:val="00121FAC"/>
    <w:rsid w:val="001254FA"/>
    <w:rsid w:val="001302DB"/>
    <w:rsid w:val="001362EE"/>
    <w:rsid w:val="001404C2"/>
    <w:rsid w:val="00144DC3"/>
    <w:rsid w:val="00144F71"/>
    <w:rsid w:val="00151FE8"/>
    <w:rsid w:val="00154F11"/>
    <w:rsid w:val="0015535D"/>
    <w:rsid w:val="00155CC2"/>
    <w:rsid w:val="00157BF0"/>
    <w:rsid w:val="00160F25"/>
    <w:rsid w:val="001647D5"/>
    <w:rsid w:val="00166A8D"/>
    <w:rsid w:val="00177C7C"/>
    <w:rsid w:val="00181923"/>
    <w:rsid w:val="0018274E"/>
    <w:rsid w:val="001832A6"/>
    <w:rsid w:val="00183F9D"/>
    <w:rsid w:val="0018453B"/>
    <w:rsid w:val="001850DE"/>
    <w:rsid w:val="0018690E"/>
    <w:rsid w:val="001A3AC1"/>
    <w:rsid w:val="001A3B7D"/>
    <w:rsid w:val="001A3C90"/>
    <w:rsid w:val="001B449A"/>
    <w:rsid w:val="001B65DA"/>
    <w:rsid w:val="001B6C41"/>
    <w:rsid w:val="001C302C"/>
    <w:rsid w:val="001C60F6"/>
    <w:rsid w:val="001C63CD"/>
    <w:rsid w:val="001C6842"/>
    <w:rsid w:val="001E0540"/>
    <w:rsid w:val="001E4864"/>
    <w:rsid w:val="001E6C9C"/>
    <w:rsid w:val="0021217E"/>
    <w:rsid w:val="00215133"/>
    <w:rsid w:val="002348B5"/>
    <w:rsid w:val="00241F71"/>
    <w:rsid w:val="00242024"/>
    <w:rsid w:val="0024413E"/>
    <w:rsid w:val="0024634C"/>
    <w:rsid w:val="00252638"/>
    <w:rsid w:val="002634C4"/>
    <w:rsid w:val="00264D3E"/>
    <w:rsid w:val="00270D9D"/>
    <w:rsid w:val="00273292"/>
    <w:rsid w:val="00274E14"/>
    <w:rsid w:val="00282497"/>
    <w:rsid w:val="00286646"/>
    <w:rsid w:val="002866D6"/>
    <w:rsid w:val="002913AE"/>
    <w:rsid w:val="002928D3"/>
    <w:rsid w:val="002A4126"/>
    <w:rsid w:val="002B1699"/>
    <w:rsid w:val="002B33E0"/>
    <w:rsid w:val="002C0F4E"/>
    <w:rsid w:val="002E288D"/>
    <w:rsid w:val="002E4F34"/>
    <w:rsid w:val="002E6F6A"/>
    <w:rsid w:val="002F0404"/>
    <w:rsid w:val="002F1FE6"/>
    <w:rsid w:val="002F27FC"/>
    <w:rsid w:val="002F4E68"/>
    <w:rsid w:val="0030283F"/>
    <w:rsid w:val="00302DC2"/>
    <w:rsid w:val="00303A54"/>
    <w:rsid w:val="003053BE"/>
    <w:rsid w:val="00311A88"/>
    <w:rsid w:val="00312F7F"/>
    <w:rsid w:val="003145DE"/>
    <w:rsid w:val="00314BB6"/>
    <w:rsid w:val="0031636D"/>
    <w:rsid w:val="0031772B"/>
    <w:rsid w:val="003225CE"/>
    <w:rsid w:val="00325ECE"/>
    <w:rsid w:val="0032636A"/>
    <w:rsid w:val="00326CB0"/>
    <w:rsid w:val="003274D2"/>
    <w:rsid w:val="00335771"/>
    <w:rsid w:val="0034014E"/>
    <w:rsid w:val="00350238"/>
    <w:rsid w:val="00354678"/>
    <w:rsid w:val="00357339"/>
    <w:rsid w:val="00357D1F"/>
    <w:rsid w:val="00361450"/>
    <w:rsid w:val="00362CDC"/>
    <w:rsid w:val="003673CF"/>
    <w:rsid w:val="0037151E"/>
    <w:rsid w:val="003732A1"/>
    <w:rsid w:val="003744C1"/>
    <w:rsid w:val="003802C6"/>
    <w:rsid w:val="003845C1"/>
    <w:rsid w:val="00390A7B"/>
    <w:rsid w:val="00393C85"/>
    <w:rsid w:val="003A1BC6"/>
    <w:rsid w:val="003A1DA5"/>
    <w:rsid w:val="003A67FE"/>
    <w:rsid w:val="003A6F89"/>
    <w:rsid w:val="003B38C1"/>
    <w:rsid w:val="003B47C1"/>
    <w:rsid w:val="003B7319"/>
    <w:rsid w:val="003C2229"/>
    <w:rsid w:val="003D3B69"/>
    <w:rsid w:val="003E46FD"/>
    <w:rsid w:val="003E5230"/>
    <w:rsid w:val="003E55E0"/>
    <w:rsid w:val="00400F30"/>
    <w:rsid w:val="004064DE"/>
    <w:rsid w:val="004073FB"/>
    <w:rsid w:val="0041049C"/>
    <w:rsid w:val="00410B1E"/>
    <w:rsid w:val="00423E3E"/>
    <w:rsid w:val="004273F0"/>
    <w:rsid w:val="00427AF4"/>
    <w:rsid w:val="00433153"/>
    <w:rsid w:val="00433874"/>
    <w:rsid w:val="00441650"/>
    <w:rsid w:val="00443B3B"/>
    <w:rsid w:val="0044562B"/>
    <w:rsid w:val="004520AC"/>
    <w:rsid w:val="004636C1"/>
    <w:rsid w:val="004647DA"/>
    <w:rsid w:val="0046728B"/>
    <w:rsid w:val="004679B6"/>
    <w:rsid w:val="00471781"/>
    <w:rsid w:val="0047233C"/>
    <w:rsid w:val="00474062"/>
    <w:rsid w:val="00477D6B"/>
    <w:rsid w:val="00482E5E"/>
    <w:rsid w:val="0049559E"/>
    <w:rsid w:val="00496C01"/>
    <w:rsid w:val="00497420"/>
    <w:rsid w:val="004A3542"/>
    <w:rsid w:val="004A434F"/>
    <w:rsid w:val="004B0606"/>
    <w:rsid w:val="004B3D13"/>
    <w:rsid w:val="004B79D9"/>
    <w:rsid w:val="004C45B3"/>
    <w:rsid w:val="004C563E"/>
    <w:rsid w:val="004E4BA7"/>
    <w:rsid w:val="004E566C"/>
    <w:rsid w:val="004F06BE"/>
    <w:rsid w:val="004F461E"/>
    <w:rsid w:val="004F65B1"/>
    <w:rsid w:val="004F65E0"/>
    <w:rsid w:val="005019FF"/>
    <w:rsid w:val="00510C12"/>
    <w:rsid w:val="0051106D"/>
    <w:rsid w:val="0051640A"/>
    <w:rsid w:val="005219AD"/>
    <w:rsid w:val="00524524"/>
    <w:rsid w:val="0052757A"/>
    <w:rsid w:val="0053057A"/>
    <w:rsid w:val="00534377"/>
    <w:rsid w:val="005361D4"/>
    <w:rsid w:val="00540F0A"/>
    <w:rsid w:val="0054157C"/>
    <w:rsid w:val="00543726"/>
    <w:rsid w:val="00553FD3"/>
    <w:rsid w:val="00556E87"/>
    <w:rsid w:val="00560A29"/>
    <w:rsid w:val="00564DF5"/>
    <w:rsid w:val="0057187A"/>
    <w:rsid w:val="00576092"/>
    <w:rsid w:val="00583A26"/>
    <w:rsid w:val="0058546F"/>
    <w:rsid w:val="005858FC"/>
    <w:rsid w:val="00587979"/>
    <w:rsid w:val="00591EF8"/>
    <w:rsid w:val="00591F5B"/>
    <w:rsid w:val="005A1D9F"/>
    <w:rsid w:val="005A433A"/>
    <w:rsid w:val="005B1652"/>
    <w:rsid w:val="005C097F"/>
    <w:rsid w:val="005C5614"/>
    <w:rsid w:val="005C6649"/>
    <w:rsid w:val="005D6D70"/>
    <w:rsid w:val="005E0230"/>
    <w:rsid w:val="005E1A55"/>
    <w:rsid w:val="005E2538"/>
    <w:rsid w:val="005F65AF"/>
    <w:rsid w:val="00600040"/>
    <w:rsid w:val="0060148E"/>
    <w:rsid w:val="00605089"/>
    <w:rsid w:val="00605448"/>
    <w:rsid w:val="00605827"/>
    <w:rsid w:val="00626175"/>
    <w:rsid w:val="006313AD"/>
    <w:rsid w:val="006317AA"/>
    <w:rsid w:val="006339FD"/>
    <w:rsid w:val="00637FC7"/>
    <w:rsid w:val="00646050"/>
    <w:rsid w:val="006469E7"/>
    <w:rsid w:val="00650156"/>
    <w:rsid w:val="0065042B"/>
    <w:rsid w:val="00662415"/>
    <w:rsid w:val="0066343A"/>
    <w:rsid w:val="00664338"/>
    <w:rsid w:val="006648B2"/>
    <w:rsid w:val="006713CA"/>
    <w:rsid w:val="006745AD"/>
    <w:rsid w:val="006756D6"/>
    <w:rsid w:val="00675BEF"/>
    <w:rsid w:val="00676C5C"/>
    <w:rsid w:val="006806A2"/>
    <w:rsid w:val="0068382C"/>
    <w:rsid w:val="00695B38"/>
    <w:rsid w:val="006A5819"/>
    <w:rsid w:val="006B33A0"/>
    <w:rsid w:val="006B45EB"/>
    <w:rsid w:val="006B4F8F"/>
    <w:rsid w:val="006B75A2"/>
    <w:rsid w:val="006C1871"/>
    <w:rsid w:val="006C74F8"/>
    <w:rsid w:val="006C78F5"/>
    <w:rsid w:val="006D6257"/>
    <w:rsid w:val="006E1393"/>
    <w:rsid w:val="006E4A9B"/>
    <w:rsid w:val="00700B45"/>
    <w:rsid w:val="00704EE5"/>
    <w:rsid w:val="007050D3"/>
    <w:rsid w:val="00710AFB"/>
    <w:rsid w:val="00710EE8"/>
    <w:rsid w:val="00711A0E"/>
    <w:rsid w:val="00714A53"/>
    <w:rsid w:val="00715EF7"/>
    <w:rsid w:val="007238EE"/>
    <w:rsid w:val="00723C41"/>
    <w:rsid w:val="00736C3C"/>
    <w:rsid w:val="007510BF"/>
    <w:rsid w:val="00753035"/>
    <w:rsid w:val="007550C4"/>
    <w:rsid w:val="007566C8"/>
    <w:rsid w:val="00756EDA"/>
    <w:rsid w:val="00764953"/>
    <w:rsid w:val="00764BE7"/>
    <w:rsid w:val="00772806"/>
    <w:rsid w:val="0077332D"/>
    <w:rsid w:val="00785869"/>
    <w:rsid w:val="007863AE"/>
    <w:rsid w:val="00787840"/>
    <w:rsid w:val="0079459F"/>
    <w:rsid w:val="007A5948"/>
    <w:rsid w:val="007A76DD"/>
    <w:rsid w:val="007C5EDF"/>
    <w:rsid w:val="007D0C90"/>
    <w:rsid w:val="007D1613"/>
    <w:rsid w:val="007D4BCF"/>
    <w:rsid w:val="007D6049"/>
    <w:rsid w:val="007D7F99"/>
    <w:rsid w:val="007E4C0E"/>
    <w:rsid w:val="00803C86"/>
    <w:rsid w:val="00812D44"/>
    <w:rsid w:val="008172F5"/>
    <w:rsid w:val="0082264C"/>
    <w:rsid w:val="00835360"/>
    <w:rsid w:val="00837911"/>
    <w:rsid w:val="00850FE6"/>
    <w:rsid w:val="00855A76"/>
    <w:rsid w:val="00856100"/>
    <w:rsid w:val="0086335F"/>
    <w:rsid w:val="008644F6"/>
    <w:rsid w:val="00871122"/>
    <w:rsid w:val="008725FE"/>
    <w:rsid w:val="0088116E"/>
    <w:rsid w:val="00893939"/>
    <w:rsid w:val="008A134B"/>
    <w:rsid w:val="008A4A48"/>
    <w:rsid w:val="008B2CC1"/>
    <w:rsid w:val="008B432C"/>
    <w:rsid w:val="008B60B2"/>
    <w:rsid w:val="008C36AA"/>
    <w:rsid w:val="008C6751"/>
    <w:rsid w:val="008E0688"/>
    <w:rsid w:val="008E0B33"/>
    <w:rsid w:val="008E0C77"/>
    <w:rsid w:val="008E21F6"/>
    <w:rsid w:val="008E655E"/>
    <w:rsid w:val="008F2FEA"/>
    <w:rsid w:val="00905330"/>
    <w:rsid w:val="0090635B"/>
    <w:rsid w:val="0090731E"/>
    <w:rsid w:val="009073AA"/>
    <w:rsid w:val="00907A3B"/>
    <w:rsid w:val="009103ED"/>
    <w:rsid w:val="00912BA9"/>
    <w:rsid w:val="00916CC9"/>
    <w:rsid w:val="00916EE2"/>
    <w:rsid w:val="00921138"/>
    <w:rsid w:val="00921D41"/>
    <w:rsid w:val="00931BAE"/>
    <w:rsid w:val="00933EE1"/>
    <w:rsid w:val="00934D18"/>
    <w:rsid w:val="00936350"/>
    <w:rsid w:val="00940848"/>
    <w:rsid w:val="00941162"/>
    <w:rsid w:val="009458F1"/>
    <w:rsid w:val="00953CB5"/>
    <w:rsid w:val="009544D6"/>
    <w:rsid w:val="0096261E"/>
    <w:rsid w:val="00966A22"/>
    <w:rsid w:val="00966FED"/>
    <w:rsid w:val="0096722F"/>
    <w:rsid w:val="00974BBB"/>
    <w:rsid w:val="00975CF5"/>
    <w:rsid w:val="00976FF4"/>
    <w:rsid w:val="00980843"/>
    <w:rsid w:val="009850CC"/>
    <w:rsid w:val="00990233"/>
    <w:rsid w:val="00990AAC"/>
    <w:rsid w:val="0099370A"/>
    <w:rsid w:val="009A1369"/>
    <w:rsid w:val="009A2E95"/>
    <w:rsid w:val="009A78A2"/>
    <w:rsid w:val="009B11F8"/>
    <w:rsid w:val="009B2029"/>
    <w:rsid w:val="009B2746"/>
    <w:rsid w:val="009B3A4F"/>
    <w:rsid w:val="009B3F1B"/>
    <w:rsid w:val="009B4667"/>
    <w:rsid w:val="009C469E"/>
    <w:rsid w:val="009C4F9C"/>
    <w:rsid w:val="009C7F5C"/>
    <w:rsid w:val="009D0971"/>
    <w:rsid w:val="009D4092"/>
    <w:rsid w:val="009D75FF"/>
    <w:rsid w:val="009E0EA3"/>
    <w:rsid w:val="009E2791"/>
    <w:rsid w:val="009E3F68"/>
    <w:rsid w:val="009E3F6F"/>
    <w:rsid w:val="009E476B"/>
    <w:rsid w:val="009F230D"/>
    <w:rsid w:val="009F499F"/>
    <w:rsid w:val="009F7789"/>
    <w:rsid w:val="00A00C4C"/>
    <w:rsid w:val="00A01568"/>
    <w:rsid w:val="00A04C99"/>
    <w:rsid w:val="00A13143"/>
    <w:rsid w:val="00A36FAC"/>
    <w:rsid w:val="00A37342"/>
    <w:rsid w:val="00A42DAF"/>
    <w:rsid w:val="00A45BD8"/>
    <w:rsid w:val="00A502F2"/>
    <w:rsid w:val="00A50971"/>
    <w:rsid w:val="00A56499"/>
    <w:rsid w:val="00A61118"/>
    <w:rsid w:val="00A647CE"/>
    <w:rsid w:val="00A65D5C"/>
    <w:rsid w:val="00A7009D"/>
    <w:rsid w:val="00A70225"/>
    <w:rsid w:val="00A7171A"/>
    <w:rsid w:val="00A81132"/>
    <w:rsid w:val="00A81976"/>
    <w:rsid w:val="00A869B7"/>
    <w:rsid w:val="00A910BB"/>
    <w:rsid w:val="00A9245A"/>
    <w:rsid w:val="00A957F9"/>
    <w:rsid w:val="00AA1D1F"/>
    <w:rsid w:val="00AA33A7"/>
    <w:rsid w:val="00AA714A"/>
    <w:rsid w:val="00AB2B24"/>
    <w:rsid w:val="00AB36EC"/>
    <w:rsid w:val="00AC067E"/>
    <w:rsid w:val="00AC09AD"/>
    <w:rsid w:val="00AC205C"/>
    <w:rsid w:val="00AC6E0A"/>
    <w:rsid w:val="00AC709B"/>
    <w:rsid w:val="00AC7D33"/>
    <w:rsid w:val="00AE05D4"/>
    <w:rsid w:val="00AE1406"/>
    <w:rsid w:val="00AE1995"/>
    <w:rsid w:val="00AE5547"/>
    <w:rsid w:val="00AF0A6B"/>
    <w:rsid w:val="00AF2327"/>
    <w:rsid w:val="00B05A69"/>
    <w:rsid w:val="00B1619F"/>
    <w:rsid w:val="00B17260"/>
    <w:rsid w:val="00B17952"/>
    <w:rsid w:val="00B22BB7"/>
    <w:rsid w:val="00B3050F"/>
    <w:rsid w:val="00B45FB6"/>
    <w:rsid w:val="00B6204C"/>
    <w:rsid w:val="00B66B48"/>
    <w:rsid w:val="00B76453"/>
    <w:rsid w:val="00B76CF1"/>
    <w:rsid w:val="00B80822"/>
    <w:rsid w:val="00B90E51"/>
    <w:rsid w:val="00B93DF6"/>
    <w:rsid w:val="00B94A6F"/>
    <w:rsid w:val="00B956F5"/>
    <w:rsid w:val="00B9734B"/>
    <w:rsid w:val="00BA30E2"/>
    <w:rsid w:val="00BA5648"/>
    <w:rsid w:val="00BB4FCC"/>
    <w:rsid w:val="00BC08D4"/>
    <w:rsid w:val="00BC3F10"/>
    <w:rsid w:val="00BC4072"/>
    <w:rsid w:val="00BC77F1"/>
    <w:rsid w:val="00BD20A9"/>
    <w:rsid w:val="00BD4902"/>
    <w:rsid w:val="00BD5F84"/>
    <w:rsid w:val="00BD7920"/>
    <w:rsid w:val="00BE197A"/>
    <w:rsid w:val="00BE6DCF"/>
    <w:rsid w:val="00BF4D5F"/>
    <w:rsid w:val="00C02BFF"/>
    <w:rsid w:val="00C10989"/>
    <w:rsid w:val="00C11BFE"/>
    <w:rsid w:val="00C12047"/>
    <w:rsid w:val="00C17354"/>
    <w:rsid w:val="00C22F3E"/>
    <w:rsid w:val="00C23A77"/>
    <w:rsid w:val="00C24E25"/>
    <w:rsid w:val="00C25E4A"/>
    <w:rsid w:val="00C26365"/>
    <w:rsid w:val="00C34C47"/>
    <w:rsid w:val="00C351FB"/>
    <w:rsid w:val="00C36BB2"/>
    <w:rsid w:val="00C43E49"/>
    <w:rsid w:val="00C4475D"/>
    <w:rsid w:val="00C5068F"/>
    <w:rsid w:val="00C562DC"/>
    <w:rsid w:val="00C7378B"/>
    <w:rsid w:val="00C80C34"/>
    <w:rsid w:val="00C84830"/>
    <w:rsid w:val="00C86436"/>
    <w:rsid w:val="00C86D74"/>
    <w:rsid w:val="00C9206C"/>
    <w:rsid w:val="00C94A1F"/>
    <w:rsid w:val="00C9686C"/>
    <w:rsid w:val="00C979CF"/>
    <w:rsid w:val="00CB19EE"/>
    <w:rsid w:val="00CB1E28"/>
    <w:rsid w:val="00CB38BA"/>
    <w:rsid w:val="00CB55B0"/>
    <w:rsid w:val="00CC3BB2"/>
    <w:rsid w:val="00CC7447"/>
    <w:rsid w:val="00CD04F1"/>
    <w:rsid w:val="00CD28F3"/>
    <w:rsid w:val="00CE0777"/>
    <w:rsid w:val="00CE2436"/>
    <w:rsid w:val="00CE5F11"/>
    <w:rsid w:val="00D00EF4"/>
    <w:rsid w:val="00D015EE"/>
    <w:rsid w:val="00D05ACF"/>
    <w:rsid w:val="00D07483"/>
    <w:rsid w:val="00D2212D"/>
    <w:rsid w:val="00D34488"/>
    <w:rsid w:val="00D43D1B"/>
    <w:rsid w:val="00D45252"/>
    <w:rsid w:val="00D55F34"/>
    <w:rsid w:val="00D56438"/>
    <w:rsid w:val="00D6442E"/>
    <w:rsid w:val="00D71B4D"/>
    <w:rsid w:val="00D73585"/>
    <w:rsid w:val="00D806E0"/>
    <w:rsid w:val="00D83B4D"/>
    <w:rsid w:val="00D84B21"/>
    <w:rsid w:val="00D864B0"/>
    <w:rsid w:val="00D877CC"/>
    <w:rsid w:val="00D93D55"/>
    <w:rsid w:val="00DA76CB"/>
    <w:rsid w:val="00DC09FB"/>
    <w:rsid w:val="00DC3052"/>
    <w:rsid w:val="00DD5A0F"/>
    <w:rsid w:val="00DD63CD"/>
    <w:rsid w:val="00DE0A4F"/>
    <w:rsid w:val="00DE1C9F"/>
    <w:rsid w:val="00DE2C72"/>
    <w:rsid w:val="00DE3B3B"/>
    <w:rsid w:val="00DE6AB8"/>
    <w:rsid w:val="00DE7BED"/>
    <w:rsid w:val="00DF10D4"/>
    <w:rsid w:val="00DF1C9D"/>
    <w:rsid w:val="00DF5E49"/>
    <w:rsid w:val="00E03FDE"/>
    <w:rsid w:val="00E041B7"/>
    <w:rsid w:val="00E10EC5"/>
    <w:rsid w:val="00E12799"/>
    <w:rsid w:val="00E15015"/>
    <w:rsid w:val="00E156FE"/>
    <w:rsid w:val="00E15AB2"/>
    <w:rsid w:val="00E15DB1"/>
    <w:rsid w:val="00E1705F"/>
    <w:rsid w:val="00E253D5"/>
    <w:rsid w:val="00E335FE"/>
    <w:rsid w:val="00E33A31"/>
    <w:rsid w:val="00E33FD5"/>
    <w:rsid w:val="00E36934"/>
    <w:rsid w:val="00E409EC"/>
    <w:rsid w:val="00E43119"/>
    <w:rsid w:val="00E431C9"/>
    <w:rsid w:val="00E5021C"/>
    <w:rsid w:val="00E504F5"/>
    <w:rsid w:val="00E51783"/>
    <w:rsid w:val="00E536B4"/>
    <w:rsid w:val="00E649DC"/>
    <w:rsid w:val="00E6794E"/>
    <w:rsid w:val="00E71033"/>
    <w:rsid w:val="00E81B75"/>
    <w:rsid w:val="00E81CC0"/>
    <w:rsid w:val="00E823F0"/>
    <w:rsid w:val="00E861F6"/>
    <w:rsid w:val="00E904ED"/>
    <w:rsid w:val="00E91881"/>
    <w:rsid w:val="00EA3517"/>
    <w:rsid w:val="00EA4829"/>
    <w:rsid w:val="00EA7D6E"/>
    <w:rsid w:val="00EB21BB"/>
    <w:rsid w:val="00EB4478"/>
    <w:rsid w:val="00EB4518"/>
    <w:rsid w:val="00EB5109"/>
    <w:rsid w:val="00EB58B0"/>
    <w:rsid w:val="00EC1D2E"/>
    <w:rsid w:val="00EC4B35"/>
    <w:rsid w:val="00EC4E49"/>
    <w:rsid w:val="00EC50A2"/>
    <w:rsid w:val="00EC6BE4"/>
    <w:rsid w:val="00ED2066"/>
    <w:rsid w:val="00ED2A41"/>
    <w:rsid w:val="00ED351A"/>
    <w:rsid w:val="00ED385C"/>
    <w:rsid w:val="00ED77FB"/>
    <w:rsid w:val="00EE18C6"/>
    <w:rsid w:val="00EE1AB9"/>
    <w:rsid w:val="00EE45FA"/>
    <w:rsid w:val="00EE7C5E"/>
    <w:rsid w:val="00EF0CED"/>
    <w:rsid w:val="00EF1DCB"/>
    <w:rsid w:val="00EF4404"/>
    <w:rsid w:val="00F103FF"/>
    <w:rsid w:val="00F21C8A"/>
    <w:rsid w:val="00F23A1C"/>
    <w:rsid w:val="00F30600"/>
    <w:rsid w:val="00F37DAB"/>
    <w:rsid w:val="00F44030"/>
    <w:rsid w:val="00F469AC"/>
    <w:rsid w:val="00F50589"/>
    <w:rsid w:val="00F530A3"/>
    <w:rsid w:val="00F554CE"/>
    <w:rsid w:val="00F56FDC"/>
    <w:rsid w:val="00F623E0"/>
    <w:rsid w:val="00F66152"/>
    <w:rsid w:val="00F70D78"/>
    <w:rsid w:val="00F71CF1"/>
    <w:rsid w:val="00FA0F3D"/>
    <w:rsid w:val="00FA29FA"/>
    <w:rsid w:val="00FA2D7A"/>
    <w:rsid w:val="00FA77A7"/>
    <w:rsid w:val="00FB0A95"/>
    <w:rsid w:val="00FB191E"/>
    <w:rsid w:val="00FB7FDA"/>
    <w:rsid w:val="00FC5851"/>
    <w:rsid w:val="00FF3F3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39823A"/>
  <w15:docId w15:val="{78B9B5C5-91C9-4814-9ED8-AB43F10E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BF0"/>
    <w:rPr>
      <w:rFonts w:ascii="Arial" w:eastAsia="SimSun" w:hAnsi="Arial" w:cs="Arial"/>
      <w:sz w:val="22"/>
      <w:lang w:eastAsia="zh-CN"/>
    </w:rPr>
  </w:style>
  <w:style w:type="paragraph" w:styleId="Heading1">
    <w:name w:val="heading 1"/>
    <w:basedOn w:val="Normal"/>
    <w:next w:val="Normal"/>
    <w:link w:val="Heading1Char"/>
    <w:qFormat/>
    <w:rsid w:val="00157BF0"/>
    <w:pPr>
      <w:keepNext/>
      <w:spacing w:before="240" w:after="60"/>
      <w:outlineLvl w:val="0"/>
    </w:pPr>
    <w:rPr>
      <w:b/>
      <w:bCs/>
      <w:caps/>
      <w:kern w:val="32"/>
      <w:szCs w:val="32"/>
    </w:rPr>
  </w:style>
  <w:style w:type="paragraph" w:styleId="Heading2">
    <w:name w:val="heading 2"/>
    <w:basedOn w:val="Normal"/>
    <w:next w:val="Normal"/>
    <w:link w:val="Heading2Char"/>
    <w:qFormat/>
    <w:rsid w:val="00157BF0"/>
    <w:pPr>
      <w:keepNext/>
      <w:spacing w:before="240" w:after="60"/>
      <w:outlineLvl w:val="1"/>
    </w:pPr>
    <w:rPr>
      <w:bCs/>
      <w:iCs/>
      <w:caps/>
      <w:szCs w:val="28"/>
    </w:rPr>
  </w:style>
  <w:style w:type="paragraph" w:styleId="Heading3">
    <w:name w:val="heading 3"/>
    <w:basedOn w:val="Normal"/>
    <w:next w:val="Normal"/>
    <w:qFormat/>
    <w:rsid w:val="00157BF0"/>
    <w:pPr>
      <w:keepNext/>
      <w:spacing w:before="240" w:after="60"/>
      <w:outlineLvl w:val="2"/>
    </w:pPr>
    <w:rPr>
      <w:bCs/>
      <w:szCs w:val="26"/>
      <w:u w:val="single"/>
    </w:rPr>
  </w:style>
  <w:style w:type="paragraph" w:styleId="Heading4">
    <w:name w:val="heading 4"/>
    <w:basedOn w:val="Normal"/>
    <w:next w:val="Normal"/>
    <w:qFormat/>
    <w:rsid w:val="00157BF0"/>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57BF0"/>
    <w:pPr>
      <w:ind w:left="5534"/>
    </w:pPr>
    <w:rPr>
      <w:lang w:val="en-US"/>
    </w:rPr>
  </w:style>
  <w:style w:type="paragraph" w:styleId="BodyText">
    <w:name w:val="Body Text"/>
    <w:basedOn w:val="Normal"/>
    <w:link w:val="BodyTextChar"/>
    <w:rsid w:val="00157BF0"/>
    <w:pPr>
      <w:spacing w:after="220"/>
    </w:pPr>
  </w:style>
  <w:style w:type="paragraph" w:styleId="Caption">
    <w:name w:val="caption"/>
    <w:basedOn w:val="Normal"/>
    <w:next w:val="Normal"/>
    <w:qFormat/>
    <w:rsid w:val="00157BF0"/>
    <w:rPr>
      <w:b/>
      <w:bCs/>
      <w:sz w:val="18"/>
    </w:rPr>
  </w:style>
  <w:style w:type="paragraph" w:styleId="CommentText">
    <w:name w:val="annotation text"/>
    <w:basedOn w:val="Normal"/>
    <w:link w:val="CommentTextChar"/>
    <w:semiHidden/>
    <w:rsid w:val="00157BF0"/>
    <w:rPr>
      <w:sz w:val="18"/>
    </w:rPr>
  </w:style>
  <w:style w:type="paragraph" w:styleId="EndnoteText">
    <w:name w:val="endnote text"/>
    <w:basedOn w:val="Normal"/>
    <w:semiHidden/>
    <w:rsid w:val="00157BF0"/>
    <w:rPr>
      <w:sz w:val="18"/>
    </w:rPr>
  </w:style>
  <w:style w:type="paragraph" w:styleId="Footer">
    <w:name w:val="footer"/>
    <w:basedOn w:val="Normal"/>
    <w:semiHidden/>
    <w:rsid w:val="00157BF0"/>
    <w:pPr>
      <w:tabs>
        <w:tab w:val="center" w:pos="4320"/>
        <w:tab w:val="right" w:pos="8640"/>
      </w:tabs>
    </w:pPr>
  </w:style>
  <w:style w:type="paragraph" w:styleId="FootnoteText">
    <w:name w:val="footnote text"/>
    <w:basedOn w:val="Normal"/>
    <w:semiHidden/>
    <w:rsid w:val="00157BF0"/>
    <w:rPr>
      <w:sz w:val="18"/>
    </w:rPr>
  </w:style>
  <w:style w:type="paragraph" w:styleId="Header">
    <w:name w:val="header"/>
    <w:basedOn w:val="Normal"/>
    <w:semiHidden/>
    <w:rsid w:val="00157BF0"/>
    <w:pPr>
      <w:tabs>
        <w:tab w:val="center" w:pos="4536"/>
        <w:tab w:val="right" w:pos="9072"/>
      </w:tabs>
    </w:pPr>
  </w:style>
  <w:style w:type="paragraph" w:styleId="ListNumber">
    <w:name w:val="List Number"/>
    <w:basedOn w:val="Normal"/>
    <w:semiHidden/>
    <w:rsid w:val="00157BF0"/>
    <w:pPr>
      <w:numPr>
        <w:numId w:val="10"/>
      </w:numPr>
    </w:pPr>
  </w:style>
  <w:style w:type="paragraph" w:customStyle="1" w:styleId="ONUME">
    <w:name w:val="ONUM E"/>
    <w:basedOn w:val="BodyText"/>
    <w:link w:val="ONUMEChar"/>
    <w:rsid w:val="00157BF0"/>
    <w:pPr>
      <w:numPr>
        <w:numId w:val="11"/>
      </w:numPr>
    </w:pPr>
  </w:style>
  <w:style w:type="paragraph" w:customStyle="1" w:styleId="ONUMFS">
    <w:name w:val="ONUM FS"/>
    <w:basedOn w:val="BodyText"/>
    <w:rsid w:val="00157BF0"/>
    <w:pPr>
      <w:numPr>
        <w:numId w:val="12"/>
      </w:numPr>
    </w:pPr>
  </w:style>
  <w:style w:type="paragraph" w:styleId="Salutation">
    <w:name w:val="Salutation"/>
    <w:basedOn w:val="Normal"/>
    <w:next w:val="Normal"/>
    <w:semiHidden/>
    <w:rsid w:val="00157BF0"/>
  </w:style>
  <w:style w:type="paragraph" w:styleId="Signature">
    <w:name w:val="Signature"/>
    <w:basedOn w:val="Normal"/>
    <w:semiHidden/>
    <w:rsid w:val="00157BF0"/>
    <w:pPr>
      <w:ind w:left="5250"/>
    </w:pPr>
  </w:style>
  <w:style w:type="paragraph" w:styleId="BalloonText">
    <w:name w:val="Balloon Text"/>
    <w:basedOn w:val="Normal"/>
    <w:link w:val="BalloonTextChar"/>
    <w:rsid w:val="004F65E0"/>
    <w:rPr>
      <w:rFonts w:ascii="Tahoma" w:hAnsi="Tahoma" w:cs="Tahoma"/>
      <w:sz w:val="16"/>
      <w:szCs w:val="16"/>
    </w:rPr>
  </w:style>
  <w:style w:type="character" w:customStyle="1" w:styleId="BalloonTextChar">
    <w:name w:val="Balloon Text Char"/>
    <w:basedOn w:val="DefaultParagraphFont"/>
    <w:link w:val="BalloonText"/>
    <w:rsid w:val="004F65E0"/>
    <w:rPr>
      <w:rFonts w:ascii="Tahoma" w:eastAsia="SimSun" w:hAnsi="Tahoma" w:cs="Tahoma"/>
      <w:sz w:val="16"/>
      <w:szCs w:val="16"/>
      <w:lang w:val="en-US" w:eastAsia="zh-CN"/>
    </w:rPr>
  </w:style>
  <w:style w:type="character" w:customStyle="1" w:styleId="Heading1Char">
    <w:name w:val="Heading 1 Char"/>
    <w:basedOn w:val="DefaultParagraphFont"/>
    <w:link w:val="Heading1"/>
    <w:rsid w:val="007050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7050D3"/>
    <w:rPr>
      <w:rFonts w:ascii="Arial" w:eastAsia="SimSun" w:hAnsi="Arial" w:cs="Arial"/>
      <w:bCs/>
      <w:iCs/>
      <w:caps/>
      <w:sz w:val="22"/>
      <w:szCs w:val="28"/>
      <w:lang w:eastAsia="zh-CN"/>
    </w:rPr>
  </w:style>
  <w:style w:type="character" w:customStyle="1" w:styleId="ONUMEChar">
    <w:name w:val="ONUM E Char"/>
    <w:link w:val="ONUME"/>
    <w:locked/>
    <w:rsid w:val="007050D3"/>
    <w:rPr>
      <w:rFonts w:ascii="Arial" w:eastAsia="SimSun" w:hAnsi="Arial" w:cs="Arial"/>
      <w:sz w:val="22"/>
      <w:lang w:eastAsia="zh-CN"/>
    </w:rPr>
  </w:style>
  <w:style w:type="character" w:styleId="CommentReference">
    <w:name w:val="annotation reference"/>
    <w:basedOn w:val="DefaultParagraphFont"/>
    <w:semiHidden/>
    <w:unhideWhenUsed/>
    <w:rsid w:val="006B33A0"/>
    <w:rPr>
      <w:sz w:val="16"/>
      <w:szCs w:val="16"/>
    </w:rPr>
  </w:style>
  <w:style w:type="paragraph" w:styleId="CommentSubject">
    <w:name w:val="annotation subject"/>
    <w:basedOn w:val="CommentText"/>
    <w:next w:val="CommentText"/>
    <w:link w:val="CommentSubjectChar"/>
    <w:semiHidden/>
    <w:unhideWhenUsed/>
    <w:rsid w:val="006B33A0"/>
    <w:rPr>
      <w:b/>
      <w:bCs/>
      <w:sz w:val="20"/>
    </w:rPr>
  </w:style>
  <w:style w:type="character" w:customStyle="1" w:styleId="CommentTextChar">
    <w:name w:val="Comment Text Char"/>
    <w:basedOn w:val="DefaultParagraphFont"/>
    <w:link w:val="CommentText"/>
    <w:semiHidden/>
    <w:rsid w:val="006B33A0"/>
    <w:rPr>
      <w:rFonts w:ascii="Arial" w:eastAsia="SimSun" w:hAnsi="Arial" w:cs="Arial"/>
      <w:sz w:val="18"/>
      <w:lang w:eastAsia="zh-CN"/>
    </w:rPr>
  </w:style>
  <w:style w:type="character" w:customStyle="1" w:styleId="CommentSubjectChar">
    <w:name w:val="Comment Subject Char"/>
    <w:basedOn w:val="CommentTextChar"/>
    <w:link w:val="CommentSubject"/>
    <w:semiHidden/>
    <w:rsid w:val="006B33A0"/>
    <w:rPr>
      <w:rFonts w:ascii="Arial" w:eastAsia="SimSun" w:hAnsi="Arial" w:cs="Arial"/>
      <w:b/>
      <w:bCs/>
      <w:sz w:val="18"/>
      <w:lang w:val="en-US" w:eastAsia="zh-CN"/>
    </w:rPr>
  </w:style>
  <w:style w:type="character" w:styleId="Hyperlink">
    <w:name w:val="Hyperlink"/>
    <w:basedOn w:val="DefaultParagraphFont"/>
    <w:unhideWhenUsed/>
    <w:rsid w:val="004E4BA7"/>
    <w:rPr>
      <w:color w:val="0000FF" w:themeColor="hyperlink"/>
      <w:u w:val="single"/>
    </w:rPr>
  </w:style>
  <w:style w:type="character" w:styleId="FollowedHyperlink">
    <w:name w:val="FollowedHyperlink"/>
    <w:basedOn w:val="DefaultParagraphFont"/>
    <w:semiHidden/>
    <w:unhideWhenUsed/>
    <w:rsid w:val="00EA3517"/>
    <w:rPr>
      <w:color w:val="800080" w:themeColor="followedHyperlink"/>
      <w:u w:val="single"/>
    </w:rPr>
  </w:style>
  <w:style w:type="paragraph" w:styleId="ListParagraph">
    <w:name w:val="List Paragraph"/>
    <w:basedOn w:val="Normal"/>
    <w:uiPriority w:val="34"/>
    <w:qFormat/>
    <w:rsid w:val="00157BF0"/>
    <w:pPr>
      <w:ind w:left="720"/>
      <w:contextualSpacing/>
    </w:pPr>
  </w:style>
  <w:style w:type="paragraph" w:styleId="Revision">
    <w:name w:val="Revision"/>
    <w:hidden/>
    <w:uiPriority w:val="99"/>
    <w:semiHidden/>
    <w:rsid w:val="000914A5"/>
    <w:rPr>
      <w:rFonts w:ascii="Arial" w:eastAsia="SimSun" w:hAnsi="Arial" w:cs="Arial"/>
      <w:sz w:val="22"/>
      <w:lang w:val="en-US" w:eastAsia="zh-CN"/>
    </w:rPr>
  </w:style>
  <w:style w:type="table" w:styleId="TableGrid">
    <w:name w:val="Table Grid"/>
    <w:basedOn w:val="TableNormal"/>
    <w:rsid w:val="00695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695B38"/>
    <w:rPr>
      <w:vertAlign w:val="superscript"/>
    </w:rPr>
  </w:style>
  <w:style w:type="character" w:customStyle="1" w:styleId="BodyTextChar">
    <w:name w:val="Body Text Char"/>
    <w:basedOn w:val="DefaultParagraphFont"/>
    <w:link w:val="BodyText"/>
    <w:rsid w:val="0060148E"/>
    <w:rPr>
      <w:rFonts w:ascii="Arial" w:eastAsia="SimSun" w:hAnsi="Arial" w:cs="Arial"/>
      <w:sz w:val="22"/>
      <w:lang w:eastAsia="zh-CN"/>
    </w:rPr>
  </w:style>
  <w:style w:type="paragraph" w:customStyle="1" w:styleId="Meetingplacedate">
    <w:name w:val="Meeting place &amp; date"/>
    <w:basedOn w:val="Normal"/>
    <w:next w:val="Normal"/>
    <w:rsid w:val="00157BF0"/>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57BF0"/>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24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about-wipo/en/oversight/iaod/audit/"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15ABC-BA75-4DD4-9393-50BF7D07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6092</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PCT/MIA/26/3</vt:lpstr>
    </vt:vector>
  </TitlesOfParts>
  <Company>WIPO</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PCT/WG/12/19</dc:title>
  <dc:subject>Progress Report:  Pilot on Netting of PCT Fees</dc:subject>
  <dc:creator>WIPO</dc:creator>
  <cp:lastModifiedBy>BAUDIN Claudine</cp:lastModifiedBy>
  <cp:revision>9</cp:revision>
  <cp:lastPrinted>2019-05-27T08:17:00Z</cp:lastPrinted>
  <dcterms:created xsi:type="dcterms:W3CDTF">2019-06-11T01:37:00Z</dcterms:created>
  <dcterms:modified xsi:type="dcterms:W3CDTF">2019-06-11T07:58:00Z</dcterms:modified>
</cp:coreProperties>
</file>