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E7A02" w:rsidRPr="001E7A02" w:rsidTr="00C95670">
        <w:tc>
          <w:tcPr>
            <w:tcW w:w="4513" w:type="dxa"/>
            <w:tcBorders>
              <w:bottom w:val="single" w:sz="4" w:space="0" w:color="auto"/>
            </w:tcBorders>
            <w:tcMar>
              <w:bottom w:w="170" w:type="dxa"/>
            </w:tcMar>
          </w:tcPr>
          <w:p w:rsidR="001E7A02" w:rsidRPr="001E7A02" w:rsidRDefault="001E7A02" w:rsidP="00C95670">
            <w:pPr>
              <w:rPr>
                <w:lang w:val="fr-FR"/>
              </w:rPr>
            </w:pPr>
            <w:bookmarkStart w:id="0" w:name="TitleOfDoc"/>
            <w:bookmarkEnd w:id="0"/>
          </w:p>
        </w:tc>
        <w:tc>
          <w:tcPr>
            <w:tcW w:w="4337" w:type="dxa"/>
            <w:tcBorders>
              <w:bottom w:val="single" w:sz="4" w:space="0" w:color="auto"/>
            </w:tcBorders>
            <w:tcMar>
              <w:left w:w="0" w:type="dxa"/>
              <w:right w:w="0" w:type="dxa"/>
            </w:tcMar>
          </w:tcPr>
          <w:p w:rsidR="001E7A02" w:rsidRPr="001E7A02" w:rsidRDefault="001E7A02" w:rsidP="00C95670">
            <w:pPr>
              <w:rPr>
                <w:lang w:val="fr-FR"/>
              </w:rPr>
            </w:pPr>
            <w:r w:rsidRPr="001E7A02">
              <w:rPr>
                <w:noProof/>
                <w:lang w:val="fr-FR" w:eastAsia="fr-FR"/>
              </w:rPr>
              <w:drawing>
                <wp:inline distT="0" distB="0" distL="0" distR="0" wp14:anchorId="1DFE1225" wp14:editId="370AE5C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E7A02" w:rsidRPr="001E7A02" w:rsidRDefault="001E7A02" w:rsidP="00C95670">
            <w:pPr>
              <w:jc w:val="right"/>
              <w:rPr>
                <w:lang w:val="fr-FR"/>
              </w:rPr>
            </w:pPr>
            <w:r w:rsidRPr="001E7A02">
              <w:rPr>
                <w:b/>
                <w:sz w:val="40"/>
                <w:szCs w:val="40"/>
                <w:lang w:val="fr-FR"/>
              </w:rPr>
              <w:t>F</w:t>
            </w:r>
          </w:p>
        </w:tc>
      </w:tr>
      <w:tr w:rsidR="001E7A02" w:rsidRPr="001E7A02" w:rsidTr="00C95670">
        <w:trPr>
          <w:trHeight w:hRule="exact" w:val="357"/>
        </w:trPr>
        <w:tc>
          <w:tcPr>
            <w:tcW w:w="9356" w:type="dxa"/>
            <w:gridSpan w:val="3"/>
            <w:tcBorders>
              <w:top w:val="single" w:sz="4" w:space="0" w:color="auto"/>
            </w:tcBorders>
            <w:tcMar>
              <w:top w:w="170" w:type="dxa"/>
              <w:left w:w="0" w:type="dxa"/>
              <w:right w:w="0" w:type="dxa"/>
            </w:tcMar>
            <w:vAlign w:val="bottom"/>
          </w:tcPr>
          <w:p w:rsidR="001E7A02" w:rsidRPr="001E7A02" w:rsidRDefault="001E7A02" w:rsidP="001E7A02">
            <w:pPr>
              <w:jc w:val="right"/>
              <w:rPr>
                <w:rFonts w:ascii="Arial Black" w:hAnsi="Arial Black"/>
                <w:caps/>
                <w:sz w:val="15"/>
                <w:lang w:val="fr-FR"/>
              </w:rPr>
            </w:pPr>
            <w:r w:rsidRPr="001E7A02">
              <w:rPr>
                <w:rFonts w:ascii="Arial Black" w:hAnsi="Arial Black"/>
                <w:caps/>
                <w:sz w:val="15"/>
                <w:lang w:val="fr-FR"/>
              </w:rPr>
              <w:t>PCT/WG/12/</w:t>
            </w:r>
            <w:bookmarkStart w:id="1" w:name="Code"/>
            <w:bookmarkEnd w:id="1"/>
            <w:r w:rsidRPr="001E7A02">
              <w:rPr>
                <w:rFonts w:ascii="Arial Black" w:hAnsi="Arial Black"/>
                <w:caps/>
                <w:sz w:val="15"/>
                <w:lang w:val="fr-FR"/>
              </w:rPr>
              <w:t>18</w:t>
            </w:r>
          </w:p>
        </w:tc>
      </w:tr>
      <w:tr w:rsidR="001E7A02" w:rsidRPr="001E7A02" w:rsidTr="00C95670">
        <w:trPr>
          <w:trHeight w:hRule="exact" w:val="170"/>
        </w:trPr>
        <w:tc>
          <w:tcPr>
            <w:tcW w:w="9356" w:type="dxa"/>
            <w:gridSpan w:val="3"/>
            <w:noWrap/>
            <w:tcMar>
              <w:left w:w="0" w:type="dxa"/>
              <w:right w:w="0" w:type="dxa"/>
            </w:tcMar>
            <w:vAlign w:val="bottom"/>
          </w:tcPr>
          <w:p w:rsidR="001E7A02" w:rsidRPr="001E7A02" w:rsidRDefault="001E7A02" w:rsidP="00C95670">
            <w:pPr>
              <w:jc w:val="right"/>
              <w:rPr>
                <w:rFonts w:ascii="Arial Black" w:hAnsi="Arial Black"/>
                <w:caps/>
                <w:sz w:val="15"/>
                <w:lang w:val="fr-FR"/>
              </w:rPr>
            </w:pPr>
            <w:r w:rsidRPr="001E7A02">
              <w:rPr>
                <w:rFonts w:ascii="Arial Black" w:hAnsi="Arial Black"/>
                <w:caps/>
                <w:sz w:val="15"/>
                <w:lang w:val="fr-FR"/>
              </w:rPr>
              <w:t>ORIGINAL</w:t>
            </w:r>
            <w:r w:rsidR="00B61675">
              <w:rPr>
                <w:rFonts w:ascii="Arial Black" w:hAnsi="Arial Black"/>
                <w:caps/>
                <w:sz w:val="15"/>
                <w:lang w:val="fr-FR"/>
              </w:rPr>
              <w:t> :</w:t>
            </w:r>
            <w:r w:rsidRPr="001E7A02">
              <w:rPr>
                <w:rFonts w:ascii="Arial Black" w:hAnsi="Arial Black"/>
                <w:caps/>
                <w:sz w:val="15"/>
                <w:lang w:val="fr-FR"/>
              </w:rPr>
              <w:t xml:space="preserve"> </w:t>
            </w:r>
            <w:bookmarkStart w:id="2" w:name="Original"/>
            <w:bookmarkEnd w:id="2"/>
            <w:r w:rsidRPr="001E7A02">
              <w:rPr>
                <w:rFonts w:ascii="Arial Black" w:hAnsi="Arial Black"/>
                <w:caps/>
                <w:sz w:val="15"/>
                <w:lang w:val="fr-FR"/>
              </w:rPr>
              <w:t xml:space="preserve">anglais </w:t>
            </w:r>
          </w:p>
        </w:tc>
      </w:tr>
      <w:tr w:rsidR="001E7A02" w:rsidRPr="001E7A02" w:rsidTr="00C95670">
        <w:trPr>
          <w:trHeight w:hRule="exact" w:val="198"/>
        </w:trPr>
        <w:tc>
          <w:tcPr>
            <w:tcW w:w="9356" w:type="dxa"/>
            <w:gridSpan w:val="3"/>
            <w:tcMar>
              <w:left w:w="0" w:type="dxa"/>
              <w:right w:w="0" w:type="dxa"/>
            </w:tcMar>
            <w:vAlign w:val="bottom"/>
          </w:tcPr>
          <w:p w:rsidR="001E7A02" w:rsidRPr="001E7A02" w:rsidRDefault="001E7A02" w:rsidP="00405822">
            <w:pPr>
              <w:jc w:val="right"/>
              <w:rPr>
                <w:rFonts w:ascii="Arial Black" w:hAnsi="Arial Black"/>
                <w:caps/>
                <w:sz w:val="15"/>
                <w:lang w:val="fr-FR"/>
              </w:rPr>
            </w:pPr>
            <w:r w:rsidRPr="001E7A02">
              <w:rPr>
                <w:rFonts w:ascii="Arial Black" w:hAnsi="Arial Black"/>
                <w:caps/>
                <w:sz w:val="15"/>
                <w:lang w:val="fr-FR"/>
              </w:rPr>
              <w:t>DATE</w:t>
            </w:r>
            <w:r w:rsidR="00B61675">
              <w:rPr>
                <w:rFonts w:ascii="Arial Black" w:hAnsi="Arial Black"/>
                <w:caps/>
                <w:sz w:val="15"/>
                <w:lang w:val="fr-FR"/>
              </w:rPr>
              <w:t> :</w:t>
            </w:r>
            <w:r w:rsidRPr="001E7A02">
              <w:rPr>
                <w:rFonts w:ascii="Arial Black" w:hAnsi="Arial Black"/>
                <w:caps/>
                <w:sz w:val="15"/>
                <w:lang w:val="fr-FR"/>
              </w:rPr>
              <w:t xml:space="preserve"> </w:t>
            </w:r>
            <w:bookmarkStart w:id="3" w:name="Date"/>
            <w:bookmarkEnd w:id="3"/>
            <w:r w:rsidR="00405822">
              <w:rPr>
                <w:rFonts w:ascii="Arial Black" w:hAnsi="Arial Black"/>
                <w:caps/>
                <w:sz w:val="15"/>
                <w:lang w:val="fr-FR"/>
              </w:rPr>
              <w:t>14</w:t>
            </w:r>
            <w:bookmarkStart w:id="4" w:name="_GoBack"/>
            <w:bookmarkEnd w:id="4"/>
            <w:r w:rsidR="00B61675">
              <w:rPr>
                <w:rFonts w:ascii="Arial Black" w:hAnsi="Arial Black"/>
                <w:caps/>
                <w:sz w:val="15"/>
                <w:lang w:val="fr-FR"/>
              </w:rPr>
              <w:t> mai </w:t>
            </w:r>
            <w:r w:rsidR="00B61675" w:rsidRPr="001E7A02">
              <w:rPr>
                <w:rFonts w:ascii="Arial Black" w:hAnsi="Arial Black"/>
                <w:caps/>
                <w:sz w:val="15"/>
                <w:lang w:val="fr-FR"/>
              </w:rPr>
              <w:t>20</w:t>
            </w:r>
            <w:r w:rsidRPr="001E7A02">
              <w:rPr>
                <w:rFonts w:ascii="Arial Black" w:hAnsi="Arial Black"/>
                <w:caps/>
                <w:sz w:val="15"/>
                <w:lang w:val="fr-FR"/>
              </w:rPr>
              <w:t xml:space="preserve">19 </w:t>
            </w:r>
          </w:p>
        </w:tc>
      </w:tr>
    </w:tbl>
    <w:p w:rsidR="001E7A02" w:rsidRPr="001E7A02" w:rsidRDefault="001E7A02" w:rsidP="001E7A02">
      <w:pPr>
        <w:rPr>
          <w:lang w:val="fr-FR"/>
        </w:rPr>
      </w:pPr>
    </w:p>
    <w:p w:rsidR="001E7A02" w:rsidRPr="001E7A02" w:rsidRDefault="001E7A02" w:rsidP="001E7A02">
      <w:pPr>
        <w:rPr>
          <w:lang w:val="fr-FR"/>
        </w:rPr>
      </w:pPr>
    </w:p>
    <w:p w:rsidR="001E7A02" w:rsidRPr="001E7A02" w:rsidRDefault="001E7A02" w:rsidP="001E7A02">
      <w:pPr>
        <w:rPr>
          <w:lang w:val="fr-FR"/>
        </w:rPr>
      </w:pPr>
    </w:p>
    <w:p w:rsidR="001E7A02" w:rsidRPr="001E7A02" w:rsidRDefault="001E7A02" w:rsidP="001E7A02">
      <w:pPr>
        <w:rPr>
          <w:lang w:val="fr-FR"/>
        </w:rPr>
      </w:pPr>
    </w:p>
    <w:p w:rsidR="001E7A02" w:rsidRPr="001E7A02" w:rsidRDefault="001E7A02" w:rsidP="001E7A02">
      <w:pPr>
        <w:rPr>
          <w:lang w:val="fr-FR"/>
        </w:rPr>
      </w:pPr>
    </w:p>
    <w:p w:rsidR="001E7A02" w:rsidRPr="001E7A02" w:rsidRDefault="001E7A02" w:rsidP="001E7A02">
      <w:pPr>
        <w:rPr>
          <w:b/>
          <w:sz w:val="28"/>
          <w:szCs w:val="28"/>
          <w:lang w:val="fr-FR"/>
        </w:rPr>
      </w:pPr>
      <w:r w:rsidRPr="001E7A02">
        <w:rPr>
          <w:b/>
          <w:sz w:val="28"/>
          <w:szCs w:val="28"/>
          <w:lang w:val="fr-FR"/>
        </w:rPr>
        <w:t>Groupe de travail du Traité de coopération en matière de brevets (PCT)</w:t>
      </w:r>
    </w:p>
    <w:p w:rsidR="001E7A02" w:rsidRPr="001E7A02" w:rsidRDefault="001E7A02" w:rsidP="001E7A02">
      <w:pPr>
        <w:rPr>
          <w:lang w:val="fr-FR"/>
        </w:rPr>
      </w:pPr>
    </w:p>
    <w:p w:rsidR="001E7A02" w:rsidRPr="001E7A02" w:rsidRDefault="001E7A02" w:rsidP="001E7A02">
      <w:pPr>
        <w:rPr>
          <w:lang w:val="fr-FR"/>
        </w:rPr>
      </w:pPr>
    </w:p>
    <w:p w:rsidR="001E7A02" w:rsidRPr="001E7A02" w:rsidRDefault="001E7A02" w:rsidP="001E7A02">
      <w:pPr>
        <w:rPr>
          <w:b/>
          <w:sz w:val="24"/>
          <w:szCs w:val="24"/>
          <w:lang w:val="fr-FR"/>
        </w:rPr>
      </w:pPr>
      <w:r w:rsidRPr="001E7A02">
        <w:rPr>
          <w:b/>
          <w:sz w:val="24"/>
          <w:szCs w:val="24"/>
          <w:lang w:val="fr-FR"/>
        </w:rPr>
        <w:t>Douz</w:t>
      </w:r>
      <w:r w:rsidR="00B61675">
        <w:rPr>
          <w:b/>
          <w:sz w:val="24"/>
          <w:szCs w:val="24"/>
          <w:lang w:val="fr-FR"/>
        </w:rPr>
        <w:t>ième session</w:t>
      </w:r>
    </w:p>
    <w:p w:rsidR="001E7A02" w:rsidRPr="001E7A02" w:rsidRDefault="001E7A02" w:rsidP="001E7A02">
      <w:pPr>
        <w:rPr>
          <w:b/>
          <w:sz w:val="24"/>
          <w:szCs w:val="24"/>
          <w:lang w:val="fr-FR"/>
        </w:rPr>
      </w:pPr>
      <w:r w:rsidRPr="001E7A02">
        <w:rPr>
          <w:b/>
          <w:sz w:val="24"/>
          <w:szCs w:val="24"/>
          <w:lang w:val="fr-FR"/>
        </w:rPr>
        <w:t>Genève, 11 – 14 juin 2019</w:t>
      </w:r>
    </w:p>
    <w:p w:rsidR="001E7A02" w:rsidRPr="001E7A02" w:rsidRDefault="001E7A02" w:rsidP="001E7A02">
      <w:pPr>
        <w:rPr>
          <w:lang w:val="fr-FR"/>
        </w:rPr>
      </w:pPr>
    </w:p>
    <w:p w:rsidR="001E7A02" w:rsidRPr="001E7A02" w:rsidRDefault="001E7A02" w:rsidP="001E7A02">
      <w:pPr>
        <w:rPr>
          <w:lang w:val="fr-FR"/>
        </w:rPr>
      </w:pPr>
    </w:p>
    <w:p w:rsidR="001E7A02" w:rsidRPr="001E7A02" w:rsidRDefault="001E7A02" w:rsidP="001E7A02">
      <w:pPr>
        <w:rPr>
          <w:lang w:val="fr-FR"/>
        </w:rPr>
      </w:pPr>
    </w:p>
    <w:p w:rsidR="009354F6" w:rsidRPr="001E7A02" w:rsidRDefault="001E7A02" w:rsidP="007A05DD">
      <w:pPr>
        <w:rPr>
          <w:caps/>
          <w:sz w:val="24"/>
          <w:lang w:val="fr-FR"/>
        </w:rPr>
      </w:pPr>
      <w:r w:rsidRPr="001E7A02">
        <w:rPr>
          <w:caps/>
          <w:sz w:val="24"/>
          <w:lang w:val="fr-FR"/>
        </w:rPr>
        <w:t>Nomination en qualité d</w:t>
      </w:r>
      <w:r w:rsidR="00B61675">
        <w:rPr>
          <w:caps/>
          <w:sz w:val="24"/>
          <w:lang w:val="fr-FR"/>
        </w:rPr>
        <w:t>’</w:t>
      </w:r>
      <w:r w:rsidRPr="001E7A02">
        <w:rPr>
          <w:caps/>
          <w:sz w:val="24"/>
          <w:lang w:val="fr-FR"/>
        </w:rPr>
        <w:t>administration chargée de la recherche internationale et de l</w:t>
      </w:r>
      <w:r w:rsidR="00B61675">
        <w:rPr>
          <w:caps/>
          <w:sz w:val="24"/>
          <w:lang w:val="fr-FR"/>
        </w:rPr>
        <w:t>’</w:t>
      </w:r>
      <w:r w:rsidRPr="001E7A02">
        <w:rPr>
          <w:caps/>
          <w:sz w:val="24"/>
          <w:lang w:val="fr-FR"/>
        </w:rPr>
        <w:t>examen préliminaire international et déclaration des offices récepteurs en qualité d</w:t>
      </w:r>
      <w:r w:rsidR="00B61675">
        <w:rPr>
          <w:caps/>
          <w:sz w:val="24"/>
          <w:lang w:val="fr-FR"/>
        </w:rPr>
        <w:t>’</w:t>
      </w:r>
      <w:r w:rsidRPr="001E7A02">
        <w:rPr>
          <w:caps/>
          <w:sz w:val="24"/>
          <w:lang w:val="fr-FR"/>
        </w:rPr>
        <w:t>administration compétente chargée de la recherche internationale et de l</w:t>
      </w:r>
      <w:r w:rsidR="00B61675">
        <w:rPr>
          <w:caps/>
          <w:sz w:val="24"/>
          <w:lang w:val="fr-FR"/>
        </w:rPr>
        <w:t>’</w:t>
      </w:r>
      <w:r w:rsidRPr="001E7A02">
        <w:rPr>
          <w:caps/>
          <w:sz w:val="24"/>
          <w:lang w:val="fr-FR"/>
        </w:rPr>
        <w:t>examen préliminaire international</w:t>
      </w:r>
    </w:p>
    <w:p w:rsidR="009354F6" w:rsidRPr="001E7A02" w:rsidRDefault="009354F6" w:rsidP="008B2CC1">
      <w:pPr>
        <w:rPr>
          <w:lang w:val="fr-FR"/>
        </w:rPr>
      </w:pPr>
    </w:p>
    <w:p w:rsidR="009354F6" w:rsidRPr="001E7A02" w:rsidRDefault="007A05DD" w:rsidP="007A05DD">
      <w:pPr>
        <w:rPr>
          <w:i/>
          <w:lang w:val="fr-FR"/>
        </w:rPr>
      </w:pPr>
      <w:bookmarkStart w:id="5" w:name="Prepared"/>
      <w:bookmarkEnd w:id="5"/>
      <w:r w:rsidRPr="001E7A02">
        <w:rPr>
          <w:i/>
          <w:lang w:val="fr-FR"/>
        </w:rPr>
        <w:t>Document établi par l</w:t>
      </w:r>
      <w:r w:rsidR="00B61675">
        <w:rPr>
          <w:i/>
          <w:lang w:val="fr-FR"/>
        </w:rPr>
        <w:t>’</w:t>
      </w:r>
      <w:r w:rsidRPr="001E7A02">
        <w:rPr>
          <w:i/>
          <w:lang w:val="fr-FR"/>
        </w:rPr>
        <w:t>Inde</w:t>
      </w:r>
    </w:p>
    <w:p w:rsidR="009354F6" w:rsidRPr="001E7A02" w:rsidRDefault="009354F6">
      <w:pPr>
        <w:rPr>
          <w:lang w:val="fr-FR"/>
        </w:rPr>
      </w:pPr>
    </w:p>
    <w:p w:rsidR="009354F6" w:rsidRPr="001E7A02" w:rsidRDefault="009354F6">
      <w:pPr>
        <w:rPr>
          <w:lang w:val="fr-FR"/>
        </w:rPr>
      </w:pPr>
    </w:p>
    <w:p w:rsidR="009354F6" w:rsidRPr="001E7A02" w:rsidRDefault="009354F6">
      <w:pPr>
        <w:rPr>
          <w:lang w:val="fr-FR"/>
        </w:rPr>
      </w:pPr>
    </w:p>
    <w:p w:rsidR="009354F6" w:rsidRPr="001E7A02" w:rsidRDefault="009354F6" w:rsidP="0053057A">
      <w:pPr>
        <w:rPr>
          <w:lang w:val="fr-FR"/>
        </w:rPr>
      </w:pPr>
    </w:p>
    <w:p w:rsidR="009354F6" w:rsidRPr="001E7A02" w:rsidRDefault="00B348C1" w:rsidP="001E7A02">
      <w:pPr>
        <w:pStyle w:val="ONUMFS"/>
        <w:rPr>
          <w:lang w:val="fr-FR"/>
        </w:rPr>
      </w:pPr>
      <w:r w:rsidRPr="001E7A02">
        <w:rPr>
          <w:lang w:val="fr-FR"/>
        </w:rPr>
        <w:t>La question à l</w:t>
      </w:r>
      <w:r w:rsidR="00B61675">
        <w:rPr>
          <w:lang w:val="fr-FR"/>
        </w:rPr>
        <w:t>’</w:t>
      </w:r>
      <w:r w:rsidRPr="001E7A02">
        <w:rPr>
          <w:lang w:val="fr-FR"/>
        </w:rPr>
        <w:t>étude a fait l</w:t>
      </w:r>
      <w:r w:rsidR="00B61675">
        <w:rPr>
          <w:lang w:val="fr-FR"/>
        </w:rPr>
        <w:t>’</w:t>
      </w:r>
      <w:r w:rsidRPr="001E7A02">
        <w:rPr>
          <w:lang w:val="fr-FR"/>
        </w:rPr>
        <w:t>objet d</w:t>
      </w:r>
      <w:r w:rsidR="00B61675">
        <w:rPr>
          <w:lang w:val="fr-FR"/>
        </w:rPr>
        <w:t>’</w:t>
      </w:r>
      <w:r w:rsidRPr="001E7A02">
        <w:rPr>
          <w:lang w:val="fr-FR"/>
        </w:rPr>
        <w:t>une proposition (PCT/MIA/26/12) présentée par l</w:t>
      </w:r>
      <w:r w:rsidR="00B61675">
        <w:rPr>
          <w:lang w:val="fr-FR"/>
        </w:rPr>
        <w:t>’</w:t>
      </w:r>
      <w:r w:rsidRPr="001E7A02">
        <w:rPr>
          <w:lang w:val="fr-FR"/>
        </w:rPr>
        <w:t>Office indien des brevets à la vingt</w:t>
      </w:r>
      <w:r w:rsidR="000512CD">
        <w:rPr>
          <w:lang w:val="fr-FR"/>
        </w:rPr>
        <w:noBreakHyphen/>
      </w:r>
      <w:r w:rsidRPr="001E7A02">
        <w:rPr>
          <w:lang w:val="fr-FR"/>
        </w:rPr>
        <w:t>sixième Réunion des administrations internationales tenue en février 2019 au Caire (Égypte).</w:t>
      </w:r>
    </w:p>
    <w:p w:rsidR="009354F6" w:rsidRPr="001E7A02" w:rsidRDefault="00462D1D" w:rsidP="001E7A02">
      <w:pPr>
        <w:pStyle w:val="ONUMFS"/>
        <w:rPr>
          <w:lang w:val="fr-FR"/>
        </w:rPr>
      </w:pPr>
      <w:r w:rsidRPr="001E7A02">
        <w:rPr>
          <w:lang w:val="fr-FR"/>
        </w:rPr>
        <w:t>Les délibérations tenues à la vingt</w:t>
      </w:r>
      <w:r w:rsidR="000512CD">
        <w:rPr>
          <w:lang w:val="fr-FR"/>
        </w:rPr>
        <w:noBreakHyphen/>
      </w:r>
      <w:r w:rsidRPr="001E7A02">
        <w:rPr>
          <w:lang w:val="fr-FR"/>
        </w:rPr>
        <w:t>sixième Réunion des administrations internationales sur cette proposition sont résumées aux paragraphes 47 à 53 du résumé présenté par le président (PCT/MIA/26/13, reproduit dans l</w:t>
      </w:r>
      <w:r w:rsidR="00B61675">
        <w:rPr>
          <w:lang w:val="fr-FR"/>
        </w:rPr>
        <w:t>’</w:t>
      </w:r>
      <w:r w:rsidRPr="001E7A02">
        <w:rPr>
          <w:lang w:val="fr-FR"/>
        </w:rPr>
        <w:t>annexe du document PCT/WG/12/2) comme suit</w:t>
      </w:r>
      <w:r w:rsidR="00B61675">
        <w:rPr>
          <w:lang w:val="fr-FR"/>
        </w:rPr>
        <w:t> :</w:t>
      </w:r>
    </w:p>
    <w:p w:rsidR="009354F6" w:rsidRPr="001E7A02" w:rsidRDefault="00462D1D" w:rsidP="001E7A02">
      <w:pPr>
        <w:pStyle w:val="ONUMFS"/>
        <w:numPr>
          <w:ilvl w:val="0"/>
          <w:numId w:val="0"/>
        </w:numPr>
        <w:ind w:left="567"/>
        <w:rPr>
          <w:lang w:val="fr-FR"/>
        </w:rPr>
      </w:pPr>
      <w:r w:rsidRPr="001E7A02">
        <w:rPr>
          <w:lang w:val="fr-FR"/>
        </w:rPr>
        <w:t>“47.</w:t>
      </w:r>
      <w:r w:rsidRPr="001E7A02">
        <w:rPr>
          <w:lang w:val="fr-FR"/>
        </w:rPr>
        <w:tab/>
        <w:t>Les délibérations ont eu lieu sur la base du document PCT/MIA/26/12.</w:t>
      </w:r>
    </w:p>
    <w:p w:rsidR="001E7A02" w:rsidRDefault="008D7E19" w:rsidP="001E7A02">
      <w:pPr>
        <w:pStyle w:val="ONUMFS"/>
        <w:numPr>
          <w:ilvl w:val="0"/>
          <w:numId w:val="0"/>
        </w:numPr>
        <w:ind w:left="567"/>
        <w:rPr>
          <w:lang w:val="fr-FR"/>
        </w:rPr>
      </w:pPr>
      <w:r w:rsidRPr="001E7A02">
        <w:rPr>
          <w:lang w:val="fr-FR"/>
        </w:rPr>
        <w:t>“48.</w:t>
      </w:r>
      <w:r w:rsidRPr="001E7A02">
        <w:rPr>
          <w:lang w:val="fr-FR"/>
        </w:rPr>
        <w:tab/>
      </w:r>
      <w:r w:rsidR="00462D1D" w:rsidRPr="001E7A02">
        <w:rPr>
          <w:lang w:val="fr-FR"/>
        </w:rPr>
        <w:t>L</w:t>
      </w:r>
      <w:r w:rsidR="00B61675">
        <w:rPr>
          <w:lang w:val="fr-FR"/>
        </w:rPr>
        <w:t>’</w:t>
      </w:r>
      <w:r w:rsidR="00462D1D" w:rsidRPr="001E7A02">
        <w:rPr>
          <w:lang w:val="fr-FR"/>
        </w:rPr>
        <w:t>Office indien des brevets a indiqué que la proposition figurant dans le document visait à rendre les services</w:t>
      </w:r>
      <w:r w:rsidR="00B61675" w:rsidRPr="001E7A02">
        <w:rPr>
          <w:lang w:val="fr-FR"/>
        </w:rPr>
        <w:t xml:space="preserve"> du</w:t>
      </w:r>
      <w:r w:rsidR="00B61675">
        <w:rPr>
          <w:lang w:val="fr-FR"/>
        </w:rPr>
        <w:t> </w:t>
      </w:r>
      <w:r w:rsidR="00B61675" w:rsidRPr="001E7A02">
        <w:rPr>
          <w:lang w:val="fr-FR"/>
        </w:rPr>
        <w:t>PCT</w:t>
      </w:r>
      <w:r w:rsidR="00462D1D" w:rsidRPr="001E7A02">
        <w:rPr>
          <w:lang w:val="fr-FR"/>
        </w:rPr>
        <w:t xml:space="preserve"> plus accessibles et plus utiles aux déposan</w:t>
      </w:r>
      <w:r w:rsidR="000512CD" w:rsidRPr="001E7A02">
        <w:rPr>
          <w:lang w:val="fr-FR"/>
        </w:rPr>
        <w:t>ts</w:t>
      </w:r>
      <w:r w:rsidR="000512CD">
        <w:rPr>
          <w:lang w:val="fr-FR"/>
        </w:rPr>
        <w:t xml:space="preserve">.  </w:t>
      </w:r>
      <w:r w:rsidR="000512CD" w:rsidRPr="001E7A02">
        <w:rPr>
          <w:lang w:val="fr-FR"/>
        </w:rPr>
        <w:t>Se</w:t>
      </w:r>
      <w:r w:rsidR="00462D1D" w:rsidRPr="001E7A02">
        <w:rPr>
          <w:lang w:val="fr-FR"/>
        </w:rPr>
        <w:t>lon la pratique actuelle, les critères et la procédure de nomination en qualité d</w:t>
      </w:r>
      <w:r w:rsidR="00B61675">
        <w:rPr>
          <w:lang w:val="fr-FR"/>
        </w:rPr>
        <w:t>’</w:t>
      </w:r>
      <w:r w:rsidR="00462D1D" w:rsidRPr="001E7A02">
        <w:rPr>
          <w:lang w:val="fr-FR"/>
        </w:rPr>
        <w:t>administration internationale étaient communs à l</w:t>
      </w:r>
      <w:r w:rsidR="00B61675">
        <w:rPr>
          <w:lang w:val="fr-FR"/>
        </w:rPr>
        <w:t>’</w:t>
      </w:r>
      <w:r w:rsidR="00462D1D" w:rsidRPr="001E7A02">
        <w:rPr>
          <w:lang w:val="fr-FR"/>
        </w:rPr>
        <w:t>ensemble des offices candida</w:t>
      </w:r>
      <w:r w:rsidR="000512CD" w:rsidRPr="001E7A02">
        <w:rPr>
          <w:lang w:val="fr-FR"/>
        </w:rPr>
        <w:t>ts</w:t>
      </w:r>
      <w:r w:rsidR="000512CD">
        <w:rPr>
          <w:lang w:val="fr-FR"/>
        </w:rPr>
        <w:t xml:space="preserve">.  </w:t>
      </w:r>
      <w:r w:rsidR="000512CD" w:rsidRPr="001E7A02">
        <w:rPr>
          <w:lang w:val="fr-FR"/>
        </w:rPr>
        <w:t>En</w:t>
      </w:r>
      <w:r w:rsidR="00FD6328" w:rsidRPr="001E7A02">
        <w:rPr>
          <w:lang w:val="fr-FR"/>
        </w:rPr>
        <w:t xml:space="preserve"> outre, chaque office récepteur </w:t>
      </w:r>
      <w:r w:rsidR="00CA3893" w:rsidRPr="001E7A02">
        <w:rPr>
          <w:lang w:val="fr-FR"/>
        </w:rPr>
        <w:t>nommait</w:t>
      </w:r>
      <w:r w:rsidR="00FD6328" w:rsidRPr="001E7A02">
        <w:rPr>
          <w:lang w:val="fr-FR"/>
        </w:rPr>
        <w:t xml:space="preserve"> les administrations chargées de la recherche internationale et de l</w:t>
      </w:r>
      <w:r w:rsidR="00B61675">
        <w:rPr>
          <w:lang w:val="fr-FR"/>
        </w:rPr>
        <w:t>’</w:t>
      </w:r>
      <w:r w:rsidR="00FD6328" w:rsidRPr="001E7A02">
        <w:rPr>
          <w:lang w:val="fr-FR"/>
        </w:rPr>
        <w:t>examen préliminaire international compétentes aux fins de la recherche et de l</w:t>
      </w:r>
      <w:r w:rsidR="00B61675">
        <w:rPr>
          <w:lang w:val="fr-FR"/>
        </w:rPr>
        <w:t>’</w:t>
      </w:r>
      <w:r w:rsidR="00FD6328" w:rsidRPr="001E7A02">
        <w:rPr>
          <w:lang w:val="fr-FR"/>
        </w:rPr>
        <w:t>examen des demandes internationales déposées auprès de cet offi</w:t>
      </w:r>
      <w:r w:rsidR="000512CD" w:rsidRPr="001E7A02">
        <w:rPr>
          <w:lang w:val="fr-FR"/>
        </w:rPr>
        <w:t>ce</w:t>
      </w:r>
      <w:r w:rsidR="000512CD">
        <w:rPr>
          <w:lang w:val="fr-FR"/>
        </w:rPr>
        <w:t xml:space="preserve">.  </w:t>
      </w:r>
      <w:r w:rsidR="000512CD" w:rsidRPr="001E7A02">
        <w:rPr>
          <w:lang w:val="fr-FR"/>
        </w:rPr>
        <w:t>Ce</w:t>
      </w:r>
      <w:r w:rsidR="00AF049C" w:rsidRPr="001E7A02">
        <w:rPr>
          <w:lang w:val="fr-FR"/>
        </w:rPr>
        <w:t>la s</w:t>
      </w:r>
      <w:r w:rsidR="00B61675">
        <w:rPr>
          <w:lang w:val="fr-FR"/>
        </w:rPr>
        <w:t>’</w:t>
      </w:r>
      <w:r w:rsidR="00AF049C" w:rsidRPr="001E7A02">
        <w:rPr>
          <w:lang w:val="fr-FR"/>
        </w:rPr>
        <w:t>appliquait aux demandes internationales déposées auprès du Bureau international agissant en tant qu</w:t>
      </w:r>
      <w:r w:rsidR="00B61675">
        <w:rPr>
          <w:lang w:val="fr-FR"/>
        </w:rPr>
        <w:t>’</w:t>
      </w:r>
      <w:r w:rsidR="00AF049C" w:rsidRPr="001E7A02">
        <w:rPr>
          <w:lang w:val="fr-FR"/>
        </w:rPr>
        <w:t xml:space="preserve">office récepteur par ses </w:t>
      </w:r>
      <w:r w:rsidR="00BA277D" w:rsidRPr="001E7A02">
        <w:rPr>
          <w:lang w:val="fr-FR"/>
        </w:rPr>
        <w:t>ressortissants</w:t>
      </w:r>
      <w:r w:rsidR="00AF049C" w:rsidRPr="001E7A02">
        <w:rPr>
          <w:lang w:val="fr-FR"/>
        </w:rPr>
        <w:t xml:space="preserve"> ou résiden</w:t>
      </w:r>
      <w:r w:rsidR="000512CD" w:rsidRPr="001E7A02">
        <w:rPr>
          <w:lang w:val="fr-FR"/>
        </w:rPr>
        <w:t>ts</w:t>
      </w:r>
      <w:r w:rsidR="000512CD">
        <w:rPr>
          <w:lang w:val="fr-FR"/>
        </w:rPr>
        <w:t xml:space="preserve">.  </w:t>
      </w:r>
      <w:r w:rsidR="000512CD" w:rsidRPr="001E7A02">
        <w:rPr>
          <w:lang w:val="fr-FR"/>
        </w:rPr>
        <w:t>Pa</w:t>
      </w:r>
      <w:r w:rsidR="00E22BC8" w:rsidRPr="001E7A02">
        <w:rPr>
          <w:lang w:val="fr-FR"/>
        </w:rPr>
        <w:t>r conséquent, le déposant ne pouvait choisir que les administrations chargées de la recherche internationale et les administrations chargées de l</w:t>
      </w:r>
      <w:r w:rsidR="00B61675">
        <w:rPr>
          <w:lang w:val="fr-FR"/>
        </w:rPr>
        <w:t>’</w:t>
      </w:r>
      <w:r w:rsidR="00E22BC8" w:rsidRPr="001E7A02">
        <w:rPr>
          <w:lang w:val="fr-FR"/>
        </w:rPr>
        <w:t xml:space="preserve">examen préliminaire international qui étaient déclarées </w:t>
      </w:r>
      <w:r w:rsidR="00E22BC8" w:rsidRPr="001E7A02">
        <w:rPr>
          <w:lang w:val="fr-FR"/>
        </w:rPr>
        <w:lastRenderedPageBreak/>
        <w:t>compétentes par les offices récepteurs du pays de nationalité ou de résidence du déposant.</w:t>
      </w:r>
    </w:p>
    <w:p w:rsidR="009354F6" w:rsidRPr="001E7A02" w:rsidRDefault="008D7E19" w:rsidP="001E7A02">
      <w:pPr>
        <w:pStyle w:val="ONUMFS"/>
        <w:numPr>
          <w:ilvl w:val="0"/>
          <w:numId w:val="0"/>
        </w:numPr>
        <w:ind w:left="567"/>
        <w:rPr>
          <w:lang w:val="fr-FR"/>
        </w:rPr>
      </w:pPr>
      <w:r w:rsidRPr="001E7A02">
        <w:rPr>
          <w:lang w:val="fr-FR"/>
        </w:rPr>
        <w:t>“49.</w:t>
      </w:r>
      <w:r w:rsidRPr="001E7A02">
        <w:rPr>
          <w:lang w:val="fr-FR"/>
        </w:rPr>
        <w:tab/>
        <w:t>L</w:t>
      </w:r>
      <w:r w:rsidR="00B61675">
        <w:rPr>
          <w:lang w:val="fr-FR"/>
        </w:rPr>
        <w:t>’</w:t>
      </w:r>
      <w:r w:rsidRPr="001E7A02">
        <w:rPr>
          <w:lang w:val="fr-FR"/>
        </w:rPr>
        <w:t>Office indien des brevets a poursuivi en déclarant que, dans le cadre du mécanisme existant, un déposant de l</w:t>
      </w:r>
      <w:r w:rsidR="00B61675">
        <w:rPr>
          <w:lang w:val="fr-FR"/>
        </w:rPr>
        <w:t>’</w:t>
      </w:r>
      <w:r w:rsidRPr="001E7A02">
        <w:rPr>
          <w:lang w:val="fr-FR"/>
        </w:rPr>
        <w:t>un des États membres ne pouvait pas utiliser les services offerts par toutes les administrations internationales qui en proposaie</w:t>
      </w:r>
      <w:r w:rsidR="000512CD" w:rsidRPr="001E7A02">
        <w:rPr>
          <w:lang w:val="fr-FR"/>
        </w:rPr>
        <w:t>nt</w:t>
      </w:r>
      <w:r w:rsidR="000512CD">
        <w:rPr>
          <w:lang w:val="fr-FR"/>
        </w:rPr>
        <w:t xml:space="preserve">.  </w:t>
      </w:r>
      <w:r w:rsidR="000512CD" w:rsidRPr="001E7A02">
        <w:rPr>
          <w:lang w:val="fr-FR"/>
        </w:rPr>
        <w:t>En</w:t>
      </w:r>
      <w:r w:rsidR="00D217E5" w:rsidRPr="001E7A02">
        <w:rPr>
          <w:lang w:val="fr-FR"/>
        </w:rPr>
        <w:t xml:space="preserve"> cas de pluralité de déposants provenant de pays différents, ceux</w:t>
      </w:r>
      <w:r w:rsidR="000512CD">
        <w:rPr>
          <w:lang w:val="fr-FR"/>
        </w:rPr>
        <w:noBreakHyphen/>
      </w:r>
      <w:r w:rsidR="00D217E5" w:rsidRPr="001E7A02">
        <w:rPr>
          <w:lang w:val="fr-FR"/>
        </w:rPr>
        <w:t>ci disposaient d</w:t>
      </w:r>
      <w:r w:rsidR="00B61675">
        <w:rPr>
          <w:lang w:val="fr-FR"/>
        </w:rPr>
        <w:t>’</w:t>
      </w:r>
      <w:r w:rsidR="00D217E5" w:rsidRPr="001E7A02">
        <w:rPr>
          <w:lang w:val="fr-FR"/>
        </w:rPr>
        <w:t>un choix plus large dans la mesure où le choix d</w:t>
      </w:r>
      <w:r w:rsidR="00B61675">
        <w:rPr>
          <w:lang w:val="fr-FR"/>
        </w:rPr>
        <w:t>’</w:t>
      </w:r>
      <w:r w:rsidR="00D217E5" w:rsidRPr="001E7A02">
        <w:rPr>
          <w:lang w:val="fr-FR"/>
        </w:rPr>
        <w:t>une administration chargée de la recherche internationale et d</w:t>
      </w:r>
      <w:r w:rsidR="00B61675">
        <w:rPr>
          <w:lang w:val="fr-FR"/>
        </w:rPr>
        <w:t>’</w:t>
      </w:r>
      <w:r w:rsidR="00D217E5" w:rsidRPr="001E7A02">
        <w:rPr>
          <w:lang w:val="fr-FR"/>
        </w:rPr>
        <w:t>une administration chargée de l</w:t>
      </w:r>
      <w:r w:rsidR="00B61675">
        <w:rPr>
          <w:lang w:val="fr-FR"/>
        </w:rPr>
        <w:t>’</w:t>
      </w:r>
      <w:r w:rsidR="00D217E5" w:rsidRPr="001E7A02">
        <w:rPr>
          <w:lang w:val="fr-FR"/>
        </w:rPr>
        <w:t>examen préliminaire international était possible à condition qu</w:t>
      </w:r>
      <w:r w:rsidR="00B61675">
        <w:rPr>
          <w:lang w:val="fr-FR"/>
        </w:rPr>
        <w:t>’</w:t>
      </w:r>
      <w:r w:rsidR="00D217E5" w:rsidRPr="001E7A02">
        <w:rPr>
          <w:lang w:val="fr-FR"/>
        </w:rPr>
        <w:t>au moins un des déposants soit habilité à choisir l</w:t>
      </w:r>
      <w:r w:rsidR="00B61675">
        <w:rPr>
          <w:lang w:val="fr-FR"/>
        </w:rPr>
        <w:t>’</w:t>
      </w:r>
      <w:r w:rsidR="00D217E5" w:rsidRPr="001E7A02">
        <w:rPr>
          <w:lang w:val="fr-FR"/>
        </w:rPr>
        <w:t>office agissant en qualité d</w:t>
      </w:r>
      <w:r w:rsidR="00B61675">
        <w:rPr>
          <w:lang w:val="fr-FR"/>
        </w:rPr>
        <w:t>’</w:t>
      </w:r>
      <w:r w:rsidR="00D217E5" w:rsidRPr="001E7A02">
        <w:rPr>
          <w:lang w:val="fr-FR"/>
        </w:rPr>
        <w:t>administration chargée de la recherche internationale et d</w:t>
      </w:r>
      <w:r w:rsidR="00B61675">
        <w:rPr>
          <w:lang w:val="fr-FR"/>
        </w:rPr>
        <w:t>’</w:t>
      </w:r>
      <w:r w:rsidR="00D217E5" w:rsidRPr="001E7A02">
        <w:rPr>
          <w:lang w:val="fr-FR"/>
        </w:rPr>
        <w:t>administration chargée de l</w:t>
      </w:r>
      <w:r w:rsidR="00B61675">
        <w:rPr>
          <w:lang w:val="fr-FR"/>
        </w:rPr>
        <w:t>’</w:t>
      </w:r>
      <w:r w:rsidR="00D217E5" w:rsidRPr="001E7A02">
        <w:rPr>
          <w:lang w:val="fr-FR"/>
        </w:rPr>
        <w:t>examen préliminaire internation</w:t>
      </w:r>
      <w:r w:rsidR="000512CD" w:rsidRPr="001E7A02">
        <w:rPr>
          <w:lang w:val="fr-FR"/>
        </w:rPr>
        <w:t>al</w:t>
      </w:r>
      <w:r w:rsidR="000512CD">
        <w:rPr>
          <w:lang w:val="fr-FR"/>
        </w:rPr>
        <w:t xml:space="preserve">.  </w:t>
      </w:r>
      <w:r w:rsidR="000512CD" w:rsidRPr="001E7A02">
        <w:rPr>
          <w:lang w:val="fr-FR"/>
        </w:rPr>
        <w:t>Le</w:t>
      </w:r>
      <w:r w:rsidR="00D217E5" w:rsidRPr="001E7A02">
        <w:rPr>
          <w:lang w:val="fr-FR"/>
        </w:rPr>
        <w:t>s choix n</w:t>
      </w:r>
      <w:r w:rsidR="00B61675">
        <w:rPr>
          <w:lang w:val="fr-FR"/>
        </w:rPr>
        <w:t>’</w:t>
      </w:r>
      <w:r w:rsidR="00D217E5" w:rsidRPr="001E7A02">
        <w:rPr>
          <w:lang w:val="fr-FR"/>
        </w:rPr>
        <w:t>étaient donc pas accessibles de la même manière à tous les déposan</w:t>
      </w:r>
      <w:r w:rsidR="000512CD" w:rsidRPr="001E7A02">
        <w:rPr>
          <w:lang w:val="fr-FR"/>
        </w:rPr>
        <w:t>ts</w:t>
      </w:r>
      <w:r w:rsidR="000512CD">
        <w:rPr>
          <w:lang w:val="fr-FR"/>
        </w:rPr>
        <w:t xml:space="preserve">.  </w:t>
      </w:r>
      <w:r w:rsidR="000512CD" w:rsidRPr="001E7A02">
        <w:rPr>
          <w:lang w:val="fr-FR"/>
        </w:rPr>
        <w:t>Po</w:t>
      </w:r>
      <w:r w:rsidR="00D42614" w:rsidRPr="001E7A02">
        <w:rPr>
          <w:lang w:val="fr-FR"/>
        </w:rPr>
        <w:t>ur rendre le système</w:t>
      </w:r>
      <w:r w:rsidR="00B61675" w:rsidRPr="001E7A02">
        <w:rPr>
          <w:lang w:val="fr-FR"/>
        </w:rPr>
        <w:t xml:space="preserve"> du</w:t>
      </w:r>
      <w:r w:rsidR="00B61675">
        <w:rPr>
          <w:lang w:val="fr-FR"/>
        </w:rPr>
        <w:t> </w:t>
      </w:r>
      <w:r w:rsidR="00B61675" w:rsidRPr="001E7A02">
        <w:rPr>
          <w:lang w:val="fr-FR"/>
        </w:rPr>
        <w:t>PCT</w:t>
      </w:r>
      <w:r w:rsidR="00D42614" w:rsidRPr="001E7A02">
        <w:rPr>
          <w:lang w:val="fr-FR"/>
        </w:rPr>
        <w:t xml:space="preserve"> plus efficace et plus accessible, l</w:t>
      </w:r>
      <w:r w:rsidR="00B61675">
        <w:rPr>
          <w:lang w:val="fr-FR"/>
        </w:rPr>
        <w:t>’</w:t>
      </w:r>
      <w:r w:rsidR="00D42614" w:rsidRPr="001E7A02">
        <w:rPr>
          <w:lang w:val="fr-FR"/>
        </w:rPr>
        <w:t>office proposait que tous les déposants puissent utiliser le système de la même faç</w:t>
      </w:r>
      <w:r w:rsidR="000512CD" w:rsidRPr="001E7A02">
        <w:rPr>
          <w:lang w:val="fr-FR"/>
        </w:rPr>
        <w:t>on</w:t>
      </w:r>
      <w:r w:rsidR="000512CD">
        <w:rPr>
          <w:lang w:val="fr-FR"/>
        </w:rPr>
        <w:t xml:space="preserve">.  </w:t>
      </w:r>
      <w:r w:rsidR="000512CD" w:rsidRPr="001E7A02">
        <w:rPr>
          <w:lang w:val="fr-FR"/>
        </w:rPr>
        <w:t>Ce</w:t>
      </w:r>
      <w:r w:rsidR="00D42614" w:rsidRPr="001E7A02">
        <w:rPr>
          <w:lang w:val="fr-FR"/>
        </w:rPr>
        <w:t xml:space="preserve"> choix ne devrait pas être limité par l</w:t>
      </w:r>
      <w:r w:rsidR="00B61675">
        <w:rPr>
          <w:lang w:val="fr-FR"/>
        </w:rPr>
        <w:t>’</w:t>
      </w:r>
      <w:r w:rsidR="00D42614" w:rsidRPr="001E7A02">
        <w:rPr>
          <w:lang w:val="fr-FR"/>
        </w:rPr>
        <w:t>absence d</w:t>
      </w:r>
      <w:r w:rsidR="00B61675">
        <w:rPr>
          <w:lang w:val="fr-FR"/>
        </w:rPr>
        <w:t>’</w:t>
      </w:r>
      <w:r w:rsidR="00D42614" w:rsidRPr="001E7A02">
        <w:rPr>
          <w:lang w:val="fr-FR"/>
        </w:rPr>
        <w:t>accords bilatéra</w:t>
      </w:r>
      <w:r w:rsidR="000512CD" w:rsidRPr="001E7A02">
        <w:rPr>
          <w:lang w:val="fr-FR"/>
        </w:rPr>
        <w:t>ux</w:t>
      </w:r>
      <w:r w:rsidR="000512CD">
        <w:rPr>
          <w:lang w:val="fr-FR"/>
        </w:rPr>
        <w:t xml:space="preserve">.  </w:t>
      </w:r>
      <w:r w:rsidR="000512CD" w:rsidRPr="001E7A02">
        <w:rPr>
          <w:lang w:val="fr-FR"/>
        </w:rPr>
        <w:t>En</w:t>
      </w:r>
      <w:r w:rsidR="00D42614" w:rsidRPr="001E7A02">
        <w:rPr>
          <w:lang w:val="fr-FR"/>
        </w:rPr>
        <w:t xml:space="preserve"> simplifiant la procédure et en offrant plus de choix au déposant, le système</w:t>
      </w:r>
      <w:r w:rsidR="00B61675" w:rsidRPr="001E7A02">
        <w:rPr>
          <w:lang w:val="fr-FR"/>
        </w:rPr>
        <w:t xml:space="preserve"> du</w:t>
      </w:r>
      <w:r w:rsidR="00B61675">
        <w:rPr>
          <w:lang w:val="fr-FR"/>
        </w:rPr>
        <w:t> </w:t>
      </w:r>
      <w:r w:rsidR="00B61675" w:rsidRPr="001E7A02">
        <w:rPr>
          <w:lang w:val="fr-FR"/>
        </w:rPr>
        <w:t>PCT</w:t>
      </w:r>
      <w:r w:rsidR="00D42614" w:rsidRPr="001E7A02">
        <w:rPr>
          <w:lang w:val="fr-FR"/>
        </w:rPr>
        <w:t xml:space="preserve"> faciliterait la tâche des déposan</w:t>
      </w:r>
      <w:r w:rsidR="000512CD" w:rsidRPr="001E7A02">
        <w:rPr>
          <w:lang w:val="fr-FR"/>
        </w:rPr>
        <w:t>ts</w:t>
      </w:r>
      <w:r w:rsidR="000512CD">
        <w:rPr>
          <w:lang w:val="fr-FR"/>
        </w:rPr>
        <w:t xml:space="preserve">.  </w:t>
      </w:r>
      <w:r w:rsidR="000512CD" w:rsidRPr="001E7A02">
        <w:rPr>
          <w:lang w:val="fr-FR"/>
        </w:rPr>
        <w:t>Ce</w:t>
      </w:r>
      <w:r w:rsidR="00D42614" w:rsidRPr="001E7A02">
        <w:rPr>
          <w:lang w:val="fr-FR"/>
        </w:rPr>
        <w:t>la inciterait davantage de déposants à utiliser le système</w:t>
      </w:r>
      <w:r w:rsidR="00B61675" w:rsidRPr="001E7A02">
        <w:rPr>
          <w:lang w:val="fr-FR"/>
        </w:rPr>
        <w:t xml:space="preserve"> du</w:t>
      </w:r>
      <w:r w:rsidR="00B61675">
        <w:rPr>
          <w:lang w:val="fr-FR"/>
        </w:rPr>
        <w:t> </w:t>
      </w:r>
      <w:r w:rsidR="00B61675" w:rsidRPr="001E7A02">
        <w:rPr>
          <w:lang w:val="fr-FR"/>
        </w:rPr>
        <w:t>PCT</w:t>
      </w:r>
      <w:r w:rsidR="00D42614" w:rsidRPr="001E7A02">
        <w:rPr>
          <w:lang w:val="fr-FR"/>
        </w:rPr>
        <w:t>.</w:t>
      </w:r>
    </w:p>
    <w:p w:rsidR="001E7A02" w:rsidRDefault="00E000AD" w:rsidP="001E7A02">
      <w:pPr>
        <w:pStyle w:val="ONUMFS"/>
        <w:numPr>
          <w:ilvl w:val="0"/>
          <w:numId w:val="0"/>
        </w:numPr>
        <w:ind w:left="567"/>
        <w:rPr>
          <w:lang w:val="fr-FR"/>
        </w:rPr>
      </w:pPr>
      <w:r w:rsidRPr="001E7A02">
        <w:rPr>
          <w:lang w:val="fr-FR"/>
        </w:rPr>
        <w:t>“</w:t>
      </w:r>
      <w:r w:rsidR="00AC7631" w:rsidRPr="001E7A02">
        <w:rPr>
          <w:lang w:val="fr-FR"/>
        </w:rPr>
        <w:t>50.</w:t>
      </w:r>
      <w:r w:rsidR="00AC7631" w:rsidRPr="001E7A02">
        <w:rPr>
          <w:lang w:val="fr-FR"/>
        </w:rPr>
        <w:tab/>
      </w:r>
      <w:r w:rsidR="00D42614" w:rsidRPr="001E7A02">
        <w:rPr>
          <w:lang w:val="fr-FR"/>
        </w:rPr>
        <w:t>L</w:t>
      </w:r>
      <w:r w:rsidR="00B61675">
        <w:rPr>
          <w:lang w:val="fr-FR"/>
        </w:rPr>
        <w:t>’</w:t>
      </w:r>
      <w:r w:rsidR="00D42614" w:rsidRPr="001E7A02">
        <w:rPr>
          <w:lang w:val="fr-FR"/>
        </w:rPr>
        <w:t>Office indien des brevets a donc proposé que toutes les administrations envisagent de modifier le mécanisme existant afin que les administrations internationales puissent agir pour tous les Éta</w:t>
      </w:r>
      <w:r w:rsidR="000512CD" w:rsidRPr="001E7A02">
        <w:rPr>
          <w:lang w:val="fr-FR"/>
        </w:rPr>
        <w:t>ts</w:t>
      </w:r>
      <w:r w:rsidR="000512CD">
        <w:rPr>
          <w:lang w:val="fr-FR"/>
        </w:rPr>
        <w:t xml:space="preserve">.  </w:t>
      </w:r>
      <w:r w:rsidR="000512CD" w:rsidRPr="001E7A02">
        <w:rPr>
          <w:lang w:val="fr-FR"/>
        </w:rPr>
        <w:t xml:space="preserve">À </w:t>
      </w:r>
      <w:r w:rsidR="00D42614" w:rsidRPr="001E7A02">
        <w:rPr>
          <w:lang w:val="fr-FR"/>
        </w:rPr>
        <w:t>terme, l</w:t>
      </w:r>
      <w:r w:rsidR="00B61675">
        <w:rPr>
          <w:lang w:val="fr-FR"/>
        </w:rPr>
        <w:t>’</w:t>
      </w:r>
      <w:r w:rsidR="00D42614" w:rsidRPr="001E7A02">
        <w:rPr>
          <w:lang w:val="fr-FR"/>
        </w:rPr>
        <w:t>étape de la déclaration des administrations compétentes chargées de la recherche internationale et de l</w:t>
      </w:r>
      <w:r w:rsidR="00B61675">
        <w:rPr>
          <w:lang w:val="fr-FR"/>
        </w:rPr>
        <w:t>’</w:t>
      </w:r>
      <w:r w:rsidR="00D42614" w:rsidRPr="001E7A02">
        <w:rPr>
          <w:lang w:val="fr-FR"/>
        </w:rPr>
        <w:t>examen préliminaire international par les offices récepteurs de chacun des États membres</w:t>
      </w:r>
      <w:r w:rsidR="00B61675" w:rsidRPr="001E7A02">
        <w:rPr>
          <w:lang w:val="fr-FR"/>
        </w:rPr>
        <w:t xml:space="preserve"> du</w:t>
      </w:r>
      <w:r w:rsidR="00B61675">
        <w:rPr>
          <w:lang w:val="fr-FR"/>
        </w:rPr>
        <w:t> </w:t>
      </w:r>
      <w:r w:rsidR="00B61675" w:rsidRPr="001E7A02">
        <w:rPr>
          <w:lang w:val="fr-FR"/>
        </w:rPr>
        <w:t>PCT</w:t>
      </w:r>
      <w:r w:rsidR="00D42614" w:rsidRPr="001E7A02">
        <w:rPr>
          <w:lang w:val="fr-FR"/>
        </w:rPr>
        <w:t xml:space="preserve"> pourrait être supprimée, de sorte que les déposants qui sont nationaux ou résidents de tout État contractant</w:t>
      </w:r>
      <w:r w:rsidR="00B61675" w:rsidRPr="001E7A02">
        <w:rPr>
          <w:lang w:val="fr-FR"/>
        </w:rPr>
        <w:t xml:space="preserve"> du</w:t>
      </w:r>
      <w:r w:rsidR="00B61675">
        <w:rPr>
          <w:lang w:val="fr-FR"/>
        </w:rPr>
        <w:t> </w:t>
      </w:r>
      <w:r w:rsidR="00B61675" w:rsidRPr="001E7A02">
        <w:rPr>
          <w:lang w:val="fr-FR"/>
        </w:rPr>
        <w:t>PCT</w:t>
      </w:r>
      <w:r w:rsidR="00D42614" w:rsidRPr="001E7A02">
        <w:rPr>
          <w:lang w:val="fr-FR"/>
        </w:rPr>
        <w:t xml:space="preserve"> puissent choisir n</w:t>
      </w:r>
      <w:r w:rsidR="00B61675">
        <w:rPr>
          <w:lang w:val="fr-FR"/>
        </w:rPr>
        <w:t>’</w:t>
      </w:r>
      <w:r w:rsidR="00D42614" w:rsidRPr="001E7A02">
        <w:rPr>
          <w:lang w:val="fr-FR"/>
        </w:rPr>
        <w:t>importe laquelle des administrations internationales comme administration chargée de la recherche internationale pour leurs demandes international</w:t>
      </w:r>
      <w:r w:rsidR="000512CD" w:rsidRPr="001E7A02">
        <w:rPr>
          <w:lang w:val="fr-FR"/>
        </w:rPr>
        <w:t>es</w:t>
      </w:r>
      <w:r w:rsidR="000512CD">
        <w:rPr>
          <w:lang w:val="fr-FR"/>
        </w:rPr>
        <w:t xml:space="preserve">.  </w:t>
      </w:r>
      <w:r w:rsidR="000512CD" w:rsidRPr="001E7A02">
        <w:rPr>
          <w:lang w:val="fr-FR"/>
        </w:rPr>
        <w:t>En</w:t>
      </w:r>
      <w:r w:rsidR="00D42614" w:rsidRPr="001E7A02">
        <w:rPr>
          <w:lang w:val="fr-FR"/>
        </w:rPr>
        <w:t xml:space="preserve"> ce qui concerne le choix de l</w:t>
      </w:r>
      <w:r w:rsidR="00B61675">
        <w:rPr>
          <w:lang w:val="fr-FR"/>
        </w:rPr>
        <w:t>’</w:t>
      </w:r>
      <w:r w:rsidR="00D42614" w:rsidRPr="001E7A02">
        <w:rPr>
          <w:lang w:val="fr-FR"/>
        </w:rPr>
        <w:t>administration chargée de l</w:t>
      </w:r>
      <w:r w:rsidR="00B61675">
        <w:rPr>
          <w:lang w:val="fr-FR"/>
        </w:rPr>
        <w:t>’</w:t>
      </w:r>
      <w:r w:rsidR="00D42614" w:rsidRPr="001E7A02">
        <w:rPr>
          <w:lang w:val="fr-FR"/>
        </w:rPr>
        <w:t>examen préliminaire international, celui</w:t>
      </w:r>
      <w:r w:rsidR="000512CD">
        <w:rPr>
          <w:lang w:val="fr-FR"/>
        </w:rPr>
        <w:noBreakHyphen/>
      </w:r>
      <w:r w:rsidR="00D42614" w:rsidRPr="001E7A02">
        <w:rPr>
          <w:lang w:val="fr-FR"/>
        </w:rPr>
        <w:t>ci pourrait être fondé sur le choix de l</w:t>
      </w:r>
      <w:r w:rsidR="00B61675">
        <w:rPr>
          <w:lang w:val="fr-FR"/>
        </w:rPr>
        <w:t>’</w:t>
      </w:r>
      <w:r w:rsidR="00D42614" w:rsidRPr="001E7A02">
        <w:rPr>
          <w:lang w:val="fr-FR"/>
        </w:rPr>
        <w:t>administration chargée de la recherche internationale retenue pour la demande, si cette condition s</w:t>
      </w:r>
      <w:r w:rsidR="00B61675">
        <w:rPr>
          <w:lang w:val="fr-FR"/>
        </w:rPr>
        <w:t>’</w:t>
      </w:r>
      <w:r w:rsidR="00D42614" w:rsidRPr="001E7A02">
        <w:rPr>
          <w:lang w:val="fr-FR"/>
        </w:rPr>
        <w:t>appliquait à l</w:t>
      </w:r>
      <w:r w:rsidR="00B61675">
        <w:rPr>
          <w:lang w:val="fr-FR"/>
        </w:rPr>
        <w:t>’</w:t>
      </w:r>
      <w:r w:rsidR="00D42614" w:rsidRPr="001E7A02">
        <w:rPr>
          <w:lang w:val="fr-FR"/>
        </w:rPr>
        <w:t>administration chargée de l</w:t>
      </w:r>
      <w:r w:rsidR="00B61675">
        <w:rPr>
          <w:lang w:val="fr-FR"/>
        </w:rPr>
        <w:t>’</w:t>
      </w:r>
      <w:r w:rsidR="00D42614" w:rsidRPr="001E7A02">
        <w:rPr>
          <w:lang w:val="fr-FR"/>
        </w:rPr>
        <w:t>examen préliminaire international.</w:t>
      </w:r>
    </w:p>
    <w:p w:rsidR="009354F6" w:rsidRPr="001E7A02" w:rsidRDefault="00E000AD" w:rsidP="001E7A02">
      <w:pPr>
        <w:pStyle w:val="ONUMFS"/>
        <w:numPr>
          <w:ilvl w:val="0"/>
          <w:numId w:val="0"/>
        </w:numPr>
        <w:ind w:left="567"/>
        <w:rPr>
          <w:lang w:val="fr-FR"/>
        </w:rPr>
      </w:pPr>
      <w:r w:rsidRPr="001E7A02">
        <w:rPr>
          <w:lang w:val="fr-FR"/>
        </w:rPr>
        <w:t>“</w:t>
      </w:r>
      <w:r w:rsidR="00AC7631" w:rsidRPr="001E7A02">
        <w:rPr>
          <w:lang w:val="fr-FR"/>
        </w:rPr>
        <w:t>51.</w:t>
      </w:r>
      <w:r w:rsidR="00AC7631" w:rsidRPr="001E7A02">
        <w:rPr>
          <w:lang w:val="fr-FR"/>
        </w:rPr>
        <w:tab/>
      </w:r>
      <w:r w:rsidR="009156C9" w:rsidRPr="001E7A02">
        <w:rPr>
          <w:lang w:val="fr-FR"/>
        </w:rPr>
        <w:t>L</w:t>
      </w:r>
      <w:r w:rsidR="00B61675">
        <w:rPr>
          <w:lang w:val="fr-FR"/>
        </w:rPr>
        <w:t>’</w:t>
      </w:r>
      <w:r w:rsidR="009156C9" w:rsidRPr="001E7A02">
        <w:rPr>
          <w:lang w:val="fr-FR"/>
        </w:rPr>
        <w:t>Office indien des brevets a conclu en déclarant que cette proposition pourrait être mise en œuvre sans modifier le traité et son règlement d</w:t>
      </w:r>
      <w:r w:rsidR="00B61675">
        <w:rPr>
          <w:lang w:val="fr-FR"/>
        </w:rPr>
        <w:t>’</w:t>
      </w:r>
      <w:r w:rsidR="009156C9" w:rsidRPr="001E7A02">
        <w:rPr>
          <w:lang w:val="fr-FR"/>
        </w:rPr>
        <w:t>exécution à condition que tous les offices récepteurs aient déclaré que toutes les administrations chargées de la recherche internationale et de l</w:t>
      </w:r>
      <w:r w:rsidR="00B61675">
        <w:rPr>
          <w:lang w:val="fr-FR"/>
        </w:rPr>
        <w:t>’</w:t>
      </w:r>
      <w:r w:rsidR="009156C9" w:rsidRPr="001E7A02">
        <w:rPr>
          <w:lang w:val="fr-FR"/>
        </w:rPr>
        <w:t>examen préliminaire international étaient compétent</w:t>
      </w:r>
      <w:r w:rsidR="000512CD" w:rsidRPr="001E7A02">
        <w:rPr>
          <w:lang w:val="fr-FR"/>
        </w:rPr>
        <w:t>es</w:t>
      </w:r>
      <w:r w:rsidR="000512CD">
        <w:rPr>
          <w:lang w:val="fr-FR"/>
        </w:rPr>
        <w:t xml:space="preserve">.  </w:t>
      </w:r>
      <w:r w:rsidR="000512CD" w:rsidRPr="001E7A02">
        <w:rPr>
          <w:lang w:val="fr-FR"/>
        </w:rPr>
        <w:t>Pa</w:t>
      </w:r>
      <w:r w:rsidR="009156C9" w:rsidRPr="001E7A02">
        <w:rPr>
          <w:lang w:val="fr-FR"/>
        </w:rPr>
        <w:t>rmi les obstacles techniques attendus pour la mise en œuvre de cette proposition figuraient les dispositions prises par les offices récepteurs pour la transmission des taxes de recherche et des copies de recherche aux administrations chargées de la recherche internationa</w:t>
      </w:r>
      <w:r w:rsidR="000512CD" w:rsidRPr="001E7A02">
        <w:rPr>
          <w:lang w:val="fr-FR"/>
        </w:rPr>
        <w:t>le</w:t>
      </w:r>
      <w:r w:rsidR="000512CD">
        <w:rPr>
          <w:lang w:val="fr-FR"/>
        </w:rPr>
        <w:t xml:space="preserve">.  </w:t>
      </w:r>
      <w:r w:rsidR="000512CD" w:rsidRPr="001E7A02">
        <w:rPr>
          <w:lang w:val="fr-FR"/>
        </w:rPr>
        <w:t>Da</w:t>
      </w:r>
      <w:r w:rsidR="009156C9" w:rsidRPr="001E7A02">
        <w:rPr>
          <w:lang w:val="fr-FR"/>
        </w:rPr>
        <w:t>ns l</w:t>
      </w:r>
      <w:r w:rsidR="00B61675">
        <w:rPr>
          <w:lang w:val="fr-FR"/>
        </w:rPr>
        <w:t>’</w:t>
      </w:r>
      <w:r w:rsidR="009156C9" w:rsidRPr="001E7A02">
        <w:rPr>
          <w:lang w:val="fr-FR"/>
        </w:rPr>
        <w:t>attente de la mise en place de ces dispositions, soit directement entre les offices soit par l</w:t>
      </w:r>
      <w:r w:rsidR="00B61675">
        <w:rPr>
          <w:lang w:val="fr-FR"/>
        </w:rPr>
        <w:t>’</w:t>
      </w:r>
      <w:r w:rsidR="009156C9" w:rsidRPr="001E7A02">
        <w:rPr>
          <w:lang w:val="fr-FR"/>
        </w:rPr>
        <w:t>intermédiaire du Bureau international, l</w:t>
      </w:r>
      <w:r w:rsidR="00B61675">
        <w:rPr>
          <w:lang w:val="fr-FR"/>
        </w:rPr>
        <w:t>’</w:t>
      </w:r>
      <w:r w:rsidR="009156C9" w:rsidRPr="001E7A02">
        <w:rPr>
          <w:lang w:val="fr-FR"/>
        </w:rPr>
        <w:t>Office indien des brevets a proposé que, pour commencer, les déposants qui soumettaient des demandes internationales par l</w:t>
      </w:r>
      <w:r w:rsidR="00B61675">
        <w:rPr>
          <w:lang w:val="fr-FR"/>
        </w:rPr>
        <w:t>’</w:t>
      </w:r>
      <w:r w:rsidR="009156C9" w:rsidRPr="001E7A02">
        <w:rPr>
          <w:lang w:val="fr-FR"/>
        </w:rPr>
        <w:t>intermédiaire du Bureau international agissant en tant qu</w:t>
      </w:r>
      <w:r w:rsidR="00B61675">
        <w:rPr>
          <w:lang w:val="fr-FR"/>
        </w:rPr>
        <w:t>’</w:t>
      </w:r>
      <w:r w:rsidR="009156C9" w:rsidRPr="001E7A02">
        <w:rPr>
          <w:lang w:val="fr-FR"/>
        </w:rPr>
        <w:t>office récepteur puissent choisir n</w:t>
      </w:r>
      <w:r w:rsidR="00B61675">
        <w:rPr>
          <w:lang w:val="fr-FR"/>
        </w:rPr>
        <w:t>’</w:t>
      </w:r>
      <w:r w:rsidR="009156C9" w:rsidRPr="001E7A02">
        <w:rPr>
          <w:lang w:val="fr-FR"/>
        </w:rPr>
        <w:t>importe quelle administration internationale comme administration chargée de la recherche internationale et administration chargée de l</w:t>
      </w:r>
      <w:r w:rsidR="00B61675">
        <w:rPr>
          <w:lang w:val="fr-FR"/>
        </w:rPr>
        <w:t>’</w:t>
      </w:r>
      <w:r w:rsidR="009156C9" w:rsidRPr="001E7A02">
        <w:rPr>
          <w:lang w:val="fr-FR"/>
        </w:rPr>
        <w:t>examen préliminaire internation</w:t>
      </w:r>
      <w:r w:rsidR="000512CD" w:rsidRPr="001E7A02">
        <w:rPr>
          <w:lang w:val="fr-FR"/>
        </w:rPr>
        <w:t>al</w:t>
      </w:r>
      <w:r w:rsidR="000512CD">
        <w:rPr>
          <w:lang w:val="fr-FR"/>
        </w:rPr>
        <w:t xml:space="preserve">.  </w:t>
      </w:r>
      <w:r w:rsidR="000512CD" w:rsidRPr="001E7A02">
        <w:rPr>
          <w:lang w:val="fr-FR"/>
        </w:rPr>
        <w:t>Un</w:t>
      </w:r>
      <w:r w:rsidR="009156C9" w:rsidRPr="001E7A02">
        <w:rPr>
          <w:lang w:val="fr-FR"/>
        </w:rPr>
        <w:t>e fois que les administrations auraient donné leur accord de principe à la proposition, les modalités détaillées pourraient être mises au point.</w:t>
      </w:r>
    </w:p>
    <w:p w:rsidR="009354F6" w:rsidRPr="001E7A02" w:rsidRDefault="00E000AD" w:rsidP="001E7A02">
      <w:pPr>
        <w:pStyle w:val="ONUMFS"/>
        <w:numPr>
          <w:ilvl w:val="0"/>
          <w:numId w:val="0"/>
        </w:numPr>
        <w:ind w:left="567"/>
        <w:rPr>
          <w:lang w:val="fr-FR"/>
        </w:rPr>
      </w:pPr>
      <w:r w:rsidRPr="001E7A02">
        <w:rPr>
          <w:lang w:val="fr-FR"/>
        </w:rPr>
        <w:t>“</w:t>
      </w:r>
      <w:r w:rsidR="00AC7631" w:rsidRPr="001E7A02">
        <w:rPr>
          <w:lang w:val="fr-FR"/>
        </w:rPr>
        <w:t>52.</w:t>
      </w:r>
      <w:r w:rsidR="00AC7631" w:rsidRPr="001E7A02">
        <w:rPr>
          <w:lang w:val="fr-FR"/>
        </w:rPr>
        <w:tab/>
      </w:r>
      <w:r w:rsidR="009156C9" w:rsidRPr="001E7A02">
        <w:rPr>
          <w:lang w:val="fr-FR"/>
        </w:rPr>
        <w:t>Des administrations ont indiqué qu</w:t>
      </w:r>
      <w:r w:rsidR="00B61675">
        <w:rPr>
          <w:lang w:val="fr-FR"/>
        </w:rPr>
        <w:t>’</w:t>
      </w:r>
      <w:r w:rsidR="009156C9" w:rsidRPr="001E7A02">
        <w:rPr>
          <w:lang w:val="fr-FR"/>
        </w:rPr>
        <w:t>elles n</w:t>
      </w:r>
      <w:r w:rsidR="00B61675">
        <w:rPr>
          <w:lang w:val="fr-FR"/>
        </w:rPr>
        <w:t>’</w:t>
      </w:r>
      <w:r w:rsidR="009156C9" w:rsidRPr="001E7A02">
        <w:rPr>
          <w:lang w:val="fr-FR"/>
        </w:rPr>
        <w:t>avaient pas eu suffisamment de temps pour préparer des réponses officielles aux propositions énoncées dans le docume</w:t>
      </w:r>
      <w:r w:rsidR="000512CD" w:rsidRPr="001E7A02">
        <w:rPr>
          <w:lang w:val="fr-FR"/>
        </w:rPr>
        <w:t>nt</w:t>
      </w:r>
      <w:r w:rsidR="000512CD">
        <w:rPr>
          <w:lang w:val="fr-FR"/>
        </w:rPr>
        <w:t xml:space="preserve">.  </w:t>
      </w:r>
      <w:r w:rsidR="000512CD" w:rsidRPr="001E7A02">
        <w:rPr>
          <w:lang w:val="fr-FR"/>
        </w:rPr>
        <w:t>Pa</w:t>
      </w:r>
      <w:r w:rsidR="009156C9" w:rsidRPr="001E7A02">
        <w:rPr>
          <w:lang w:val="fr-FR"/>
        </w:rPr>
        <w:t>rmi les considérations préliminaires exprimées, certaines faisaient état des difficultés techniques et juridiques que poserait le libre choix de l</w:t>
      </w:r>
      <w:r w:rsidR="00B61675">
        <w:rPr>
          <w:lang w:val="fr-FR"/>
        </w:rPr>
        <w:t>’</w:t>
      </w:r>
      <w:r w:rsidR="009156C9" w:rsidRPr="001E7A02">
        <w:rPr>
          <w:lang w:val="fr-FR"/>
        </w:rPr>
        <w:t xml:space="preserve">administration chargée de la recherche internationale, </w:t>
      </w:r>
      <w:r w:rsidR="00B61675">
        <w:rPr>
          <w:lang w:val="fr-FR"/>
        </w:rPr>
        <w:t>y compris</w:t>
      </w:r>
      <w:r w:rsidR="009156C9" w:rsidRPr="001E7A02">
        <w:rPr>
          <w:lang w:val="fr-FR"/>
        </w:rPr>
        <w:t xml:space="preserve"> la fourniture effective de</w:t>
      </w:r>
      <w:r w:rsidR="00ED7C7E" w:rsidRPr="001E7A02">
        <w:rPr>
          <w:lang w:val="fr-FR"/>
        </w:rPr>
        <w:t xml:space="preserve"> copies de recherche entre deux </w:t>
      </w:r>
      <w:r w:rsidR="009156C9" w:rsidRPr="001E7A02">
        <w:rPr>
          <w:lang w:val="fr-FR"/>
        </w:rPr>
        <w:t>offices lorsque le service eSearchCopy n</w:t>
      </w:r>
      <w:r w:rsidR="00B61675">
        <w:rPr>
          <w:lang w:val="fr-FR"/>
        </w:rPr>
        <w:t>’</w:t>
      </w:r>
      <w:r w:rsidR="009156C9" w:rsidRPr="001E7A02">
        <w:rPr>
          <w:lang w:val="fr-FR"/>
        </w:rPr>
        <w:t xml:space="preserve">était pas disponible, la nécessité de traductions et la nécessité de modifier les législations nationales ou les dispositions de </w:t>
      </w:r>
      <w:r w:rsidR="009156C9" w:rsidRPr="001E7A02">
        <w:rPr>
          <w:lang w:val="fr-FR"/>
        </w:rPr>
        <w:lastRenderedPageBreak/>
        <w:t>certains autres accords internationa</w:t>
      </w:r>
      <w:r w:rsidR="000512CD" w:rsidRPr="001E7A02">
        <w:rPr>
          <w:lang w:val="fr-FR"/>
        </w:rPr>
        <w:t>ux</w:t>
      </w:r>
      <w:r w:rsidR="000512CD">
        <w:rPr>
          <w:lang w:val="fr-FR"/>
        </w:rPr>
        <w:t xml:space="preserve">.  </w:t>
      </w:r>
      <w:r w:rsidR="000512CD" w:rsidRPr="001E7A02">
        <w:rPr>
          <w:lang w:val="fr-FR"/>
        </w:rPr>
        <w:t>Il</w:t>
      </w:r>
      <w:r w:rsidR="009156C9" w:rsidRPr="001E7A02">
        <w:rPr>
          <w:lang w:val="fr-FR"/>
        </w:rPr>
        <w:t xml:space="preserve"> a été observé que de nombreux déposants pouvaient déjà exploiter certains des avantages proposés en fonction des choix opérés par des </w:t>
      </w:r>
      <w:r w:rsidR="003439A4" w:rsidRPr="001E7A02">
        <w:rPr>
          <w:lang w:val="fr-FR"/>
        </w:rPr>
        <w:t>codéposants</w:t>
      </w:r>
      <w:r w:rsidR="009156C9" w:rsidRPr="001E7A02">
        <w:rPr>
          <w:lang w:val="fr-FR"/>
        </w:rPr>
        <w:t xml:space="preserve"> ayant une nationalité ou un lieu de résidence différent.</w:t>
      </w:r>
    </w:p>
    <w:p w:rsidR="009354F6" w:rsidRPr="001E7A02" w:rsidRDefault="00E000AD" w:rsidP="001E7A02">
      <w:pPr>
        <w:pStyle w:val="ONUMFS"/>
        <w:numPr>
          <w:ilvl w:val="0"/>
          <w:numId w:val="0"/>
        </w:numPr>
        <w:ind w:left="1134"/>
        <w:rPr>
          <w:lang w:val="fr-FR"/>
        </w:rPr>
      </w:pPr>
      <w:r w:rsidRPr="001E7A02">
        <w:rPr>
          <w:lang w:val="fr-FR"/>
        </w:rPr>
        <w:t>“</w:t>
      </w:r>
      <w:r w:rsidR="00AC7631" w:rsidRPr="001E7A02">
        <w:rPr>
          <w:lang w:val="fr-FR"/>
        </w:rPr>
        <w:t>53.</w:t>
      </w:r>
      <w:r w:rsidR="00AC7631" w:rsidRPr="001E7A02">
        <w:rPr>
          <w:lang w:val="fr-FR"/>
        </w:rPr>
        <w:tab/>
      </w:r>
      <w:r w:rsidR="009156C9" w:rsidRPr="001E7A02">
        <w:rPr>
          <w:lang w:val="fr-FR"/>
        </w:rPr>
        <w:t>La Réunion a invité le Bureau international à ouvrir un espace sur le forum électronique du Sous</w:t>
      </w:r>
      <w:r w:rsidR="000512CD">
        <w:rPr>
          <w:lang w:val="fr-FR"/>
        </w:rPr>
        <w:noBreakHyphen/>
      </w:r>
      <w:r w:rsidR="009156C9" w:rsidRPr="001E7A02">
        <w:rPr>
          <w:lang w:val="fr-FR"/>
        </w:rPr>
        <w:t>groupe chargé de la qualité afin de discuter des questions soulevées par les propositions figurant dans le document.”</w:t>
      </w:r>
    </w:p>
    <w:p w:rsidR="009354F6" w:rsidRPr="001E7A02" w:rsidRDefault="00F55D54" w:rsidP="001E7A02">
      <w:pPr>
        <w:pStyle w:val="ONUMFS"/>
        <w:rPr>
          <w:lang w:val="fr-FR"/>
        </w:rPr>
      </w:pPr>
      <w:r w:rsidRPr="001E7A02">
        <w:rPr>
          <w:lang w:val="fr-FR"/>
        </w:rPr>
        <w:t xml:space="preserve">En conséquence, le Bureau </w:t>
      </w:r>
      <w:r w:rsidR="00B61675">
        <w:rPr>
          <w:lang w:val="fr-FR"/>
        </w:rPr>
        <w:t>i</w:t>
      </w:r>
      <w:r w:rsidRPr="001E7A02">
        <w:rPr>
          <w:lang w:val="fr-FR"/>
        </w:rPr>
        <w:t>nternational a ouvert une page de discussion sur le forum électronique du Sous</w:t>
      </w:r>
      <w:r w:rsidR="000512CD">
        <w:rPr>
          <w:lang w:val="fr-FR"/>
        </w:rPr>
        <w:noBreakHyphen/>
      </w:r>
      <w:r w:rsidRPr="001E7A02">
        <w:rPr>
          <w:lang w:val="fr-FR"/>
        </w:rPr>
        <w:t xml:space="preserve">groupe chargé de la qualité le 15 mars 2019, invitant toutes les administrations à </w:t>
      </w:r>
      <w:r w:rsidR="006A42BA" w:rsidRPr="001E7A02">
        <w:rPr>
          <w:lang w:val="fr-FR"/>
        </w:rPr>
        <w:t>faire part de leurs</w:t>
      </w:r>
      <w:r w:rsidRPr="001E7A02">
        <w:rPr>
          <w:lang w:val="fr-FR"/>
        </w:rPr>
        <w:t xml:space="preserve"> observations avant le 15 avril 2019.</w:t>
      </w:r>
      <w:r w:rsidR="00F86CF8" w:rsidRPr="001E7A02">
        <w:rPr>
          <w:lang w:val="fr-FR"/>
        </w:rPr>
        <w:t xml:space="preserve">  </w:t>
      </w:r>
      <w:r w:rsidR="000E3B55" w:rsidRPr="001E7A02">
        <w:rPr>
          <w:lang w:val="fr-FR"/>
        </w:rPr>
        <w:t>S</w:t>
      </w:r>
      <w:r w:rsidR="00A103B7" w:rsidRPr="001E7A02">
        <w:rPr>
          <w:lang w:val="fr-FR"/>
        </w:rPr>
        <w:t>eule une</w:t>
      </w:r>
      <w:r w:rsidRPr="001E7A02">
        <w:rPr>
          <w:lang w:val="fr-FR"/>
        </w:rPr>
        <w:t xml:space="preserve"> administration a formulé des observations</w:t>
      </w:r>
      <w:r w:rsidR="000E3B55" w:rsidRPr="001E7A02">
        <w:rPr>
          <w:lang w:val="fr-FR"/>
        </w:rPr>
        <w:t xml:space="preserve"> à ce jour</w:t>
      </w:r>
      <w:r w:rsidRPr="001E7A02">
        <w:rPr>
          <w:lang w:val="fr-FR"/>
        </w:rPr>
        <w:t>, en demandant à ce que les éléments à l</w:t>
      </w:r>
      <w:r w:rsidR="00B61675">
        <w:rPr>
          <w:lang w:val="fr-FR"/>
        </w:rPr>
        <w:t>’</w:t>
      </w:r>
      <w:r w:rsidRPr="001E7A02">
        <w:rPr>
          <w:lang w:val="fr-FR"/>
        </w:rPr>
        <w:t>appui de la proposition soient davantage précisés.</w:t>
      </w:r>
    </w:p>
    <w:p w:rsidR="009354F6" w:rsidRPr="001E7A02" w:rsidRDefault="00853BED" w:rsidP="001E7A02">
      <w:pPr>
        <w:pStyle w:val="ONUMFS"/>
        <w:rPr>
          <w:lang w:val="fr-FR"/>
        </w:rPr>
      </w:pPr>
      <w:r w:rsidRPr="001E7A02">
        <w:rPr>
          <w:lang w:val="fr-FR"/>
        </w:rPr>
        <w:t>Les raisons et les avantages ci</w:t>
      </w:r>
      <w:r w:rsidR="000512CD">
        <w:rPr>
          <w:lang w:val="fr-FR"/>
        </w:rPr>
        <w:noBreakHyphen/>
      </w:r>
      <w:r w:rsidRPr="001E7A02">
        <w:rPr>
          <w:lang w:val="fr-FR"/>
        </w:rPr>
        <w:t>après, dont certains sont repris d</w:t>
      </w:r>
      <w:r w:rsidR="004455EE" w:rsidRPr="001E7A02">
        <w:rPr>
          <w:lang w:val="fr-FR"/>
        </w:rPr>
        <w:t xml:space="preserve">e </w:t>
      </w:r>
      <w:r w:rsidRPr="001E7A02">
        <w:rPr>
          <w:lang w:val="fr-FR"/>
        </w:rPr>
        <w:t>la proposition, sont présentés au Groupe de travail</w:t>
      </w:r>
      <w:r w:rsidR="00B61675" w:rsidRPr="001E7A02">
        <w:rPr>
          <w:lang w:val="fr-FR"/>
        </w:rPr>
        <w:t xml:space="preserve"> du</w:t>
      </w:r>
      <w:r w:rsidR="00B61675">
        <w:rPr>
          <w:lang w:val="fr-FR"/>
        </w:rPr>
        <w:t> </w:t>
      </w:r>
      <w:r w:rsidR="00B61675" w:rsidRPr="001E7A02">
        <w:rPr>
          <w:lang w:val="fr-FR"/>
        </w:rPr>
        <w:t>PCT</w:t>
      </w:r>
      <w:r w:rsidRPr="001E7A02">
        <w:rPr>
          <w:lang w:val="fr-FR"/>
        </w:rPr>
        <w:t xml:space="preserve"> pour examen</w:t>
      </w:r>
      <w:r w:rsidR="00B61675">
        <w:rPr>
          <w:lang w:val="fr-FR"/>
        </w:rPr>
        <w:t> :</w:t>
      </w:r>
    </w:p>
    <w:p w:rsidR="009354F6" w:rsidRPr="001E7A02" w:rsidRDefault="00E372CB" w:rsidP="00CF2F25">
      <w:pPr>
        <w:pStyle w:val="ONUME"/>
        <w:numPr>
          <w:ilvl w:val="0"/>
          <w:numId w:val="7"/>
        </w:numPr>
        <w:ind w:left="1134" w:hanging="567"/>
        <w:rPr>
          <w:lang w:val="fr-FR"/>
        </w:rPr>
      </w:pPr>
      <w:r w:rsidRPr="001E7A02">
        <w:rPr>
          <w:lang w:val="fr-FR"/>
        </w:rPr>
        <w:t>Dans le cadre du mécanisme existant, une fois que l</w:t>
      </w:r>
      <w:r w:rsidR="00B61675">
        <w:rPr>
          <w:lang w:val="fr-FR"/>
        </w:rPr>
        <w:t>’</w:t>
      </w:r>
      <w:r w:rsidRPr="001E7A02">
        <w:rPr>
          <w:lang w:val="fr-FR"/>
        </w:rPr>
        <w:t>Assemblée de l</w:t>
      </w:r>
      <w:r w:rsidR="00B61675">
        <w:rPr>
          <w:lang w:val="fr-FR"/>
        </w:rPr>
        <w:t>’</w:t>
      </w:r>
      <w:r w:rsidRPr="001E7A02">
        <w:rPr>
          <w:lang w:val="fr-FR"/>
        </w:rPr>
        <w:t>Union</w:t>
      </w:r>
      <w:r w:rsidR="00B61675" w:rsidRPr="001E7A02">
        <w:rPr>
          <w:lang w:val="fr-FR"/>
        </w:rPr>
        <w:t xml:space="preserve"> du</w:t>
      </w:r>
      <w:r w:rsidR="00B61675">
        <w:rPr>
          <w:lang w:val="fr-FR"/>
        </w:rPr>
        <w:t> </w:t>
      </w:r>
      <w:r w:rsidR="00B61675" w:rsidRPr="001E7A02">
        <w:rPr>
          <w:lang w:val="fr-FR"/>
        </w:rPr>
        <w:t>PCT</w:t>
      </w:r>
      <w:r w:rsidRPr="001E7A02">
        <w:rPr>
          <w:lang w:val="fr-FR"/>
        </w:rPr>
        <w:t xml:space="preserve"> nomme un office en qualité d</w:t>
      </w:r>
      <w:r w:rsidR="00B61675">
        <w:rPr>
          <w:lang w:val="fr-FR"/>
        </w:rPr>
        <w:t>’</w:t>
      </w:r>
      <w:r w:rsidRPr="001E7A02">
        <w:rPr>
          <w:lang w:val="fr-FR"/>
        </w:rPr>
        <w:t>administration internationale, les déposants ressortissants ou résidents d</w:t>
      </w:r>
      <w:r w:rsidR="00B61675">
        <w:rPr>
          <w:lang w:val="fr-FR"/>
        </w:rPr>
        <w:t>’</w:t>
      </w:r>
      <w:r w:rsidRPr="001E7A02">
        <w:rPr>
          <w:lang w:val="fr-FR"/>
        </w:rPr>
        <w:t>un des États membres</w:t>
      </w:r>
      <w:r w:rsidR="00B61675" w:rsidRPr="001E7A02">
        <w:rPr>
          <w:lang w:val="fr-FR"/>
        </w:rPr>
        <w:t xml:space="preserve"> du</w:t>
      </w:r>
      <w:r w:rsidR="00B61675">
        <w:rPr>
          <w:lang w:val="fr-FR"/>
        </w:rPr>
        <w:t> </w:t>
      </w:r>
      <w:r w:rsidR="00B61675" w:rsidRPr="001E7A02">
        <w:rPr>
          <w:lang w:val="fr-FR"/>
        </w:rPr>
        <w:t>PCT</w:t>
      </w:r>
      <w:r w:rsidRPr="001E7A02">
        <w:rPr>
          <w:lang w:val="fr-FR"/>
        </w:rPr>
        <w:t xml:space="preserve"> ne sont pas en mesure,</w:t>
      </w:r>
      <w:r w:rsidR="00187FAE" w:rsidRPr="001E7A02">
        <w:rPr>
          <w:lang w:val="fr-FR"/>
        </w:rPr>
        <w:t xml:space="preserve"> dans la pratique, de choisir l</w:t>
      </w:r>
      <w:r w:rsidR="00B61675">
        <w:rPr>
          <w:lang w:val="fr-FR"/>
        </w:rPr>
        <w:t>’</w:t>
      </w:r>
      <w:r w:rsidRPr="001E7A02">
        <w:rPr>
          <w:lang w:val="fr-FR"/>
        </w:rPr>
        <w:t>administration chargé</w:t>
      </w:r>
      <w:r w:rsidR="00600365" w:rsidRPr="001E7A02">
        <w:rPr>
          <w:lang w:val="fr-FR"/>
        </w:rPr>
        <w:t xml:space="preserve">e </w:t>
      </w:r>
      <w:r w:rsidRPr="001E7A02">
        <w:rPr>
          <w:lang w:val="fr-FR"/>
        </w:rPr>
        <w:t xml:space="preserve">de la recherche internationale </w:t>
      </w:r>
      <w:r w:rsidR="00152D9D" w:rsidRPr="001E7A02">
        <w:rPr>
          <w:lang w:val="fr-FR"/>
        </w:rPr>
        <w:t xml:space="preserve">et </w:t>
      </w:r>
      <w:r w:rsidRPr="001E7A02">
        <w:rPr>
          <w:lang w:val="fr-FR"/>
        </w:rPr>
        <w:t>de l</w:t>
      </w:r>
      <w:r w:rsidR="00B61675">
        <w:rPr>
          <w:lang w:val="fr-FR"/>
        </w:rPr>
        <w:t>’</w:t>
      </w:r>
      <w:r w:rsidRPr="001E7A02">
        <w:rPr>
          <w:lang w:val="fr-FR"/>
        </w:rPr>
        <w:t>examen préliminaire international pour leurs demandes international</w:t>
      </w:r>
      <w:r w:rsidR="000512CD" w:rsidRPr="001E7A02">
        <w:rPr>
          <w:lang w:val="fr-FR"/>
        </w:rPr>
        <w:t>es</w:t>
      </w:r>
      <w:r w:rsidR="000512CD">
        <w:rPr>
          <w:lang w:val="fr-FR"/>
        </w:rPr>
        <w:t xml:space="preserve">.  </w:t>
      </w:r>
      <w:r w:rsidR="000512CD" w:rsidRPr="001E7A02">
        <w:rPr>
          <w:lang w:val="fr-FR"/>
        </w:rPr>
        <w:t>L</w:t>
      </w:r>
      <w:r w:rsidR="000512CD">
        <w:rPr>
          <w:lang w:val="fr-FR"/>
        </w:rPr>
        <w:t>’</w:t>
      </w:r>
      <w:r w:rsidR="000512CD" w:rsidRPr="001E7A02">
        <w:rPr>
          <w:lang w:val="fr-FR"/>
        </w:rPr>
        <w:t>é</w:t>
      </w:r>
      <w:r w:rsidR="00EF626D" w:rsidRPr="001E7A02">
        <w:rPr>
          <w:lang w:val="fr-FR"/>
        </w:rPr>
        <w:t xml:space="preserve">tape de la </w:t>
      </w:r>
      <w:r w:rsidR="00B61675">
        <w:rPr>
          <w:lang w:val="fr-FR"/>
        </w:rPr>
        <w:t>“</w:t>
      </w:r>
      <w:r w:rsidR="00B61675" w:rsidRPr="001E7A02">
        <w:rPr>
          <w:lang w:val="fr-FR"/>
        </w:rPr>
        <w:t>d</w:t>
      </w:r>
      <w:r w:rsidR="00EF626D" w:rsidRPr="001E7A02">
        <w:rPr>
          <w:lang w:val="fr-FR"/>
        </w:rPr>
        <w:t>éclaration des administrations compétentes chargées de la recherche internationale et de l</w:t>
      </w:r>
      <w:r w:rsidR="00B61675">
        <w:rPr>
          <w:lang w:val="fr-FR"/>
        </w:rPr>
        <w:t>’</w:t>
      </w:r>
      <w:r w:rsidR="00EF626D" w:rsidRPr="001E7A02">
        <w:rPr>
          <w:lang w:val="fr-FR"/>
        </w:rPr>
        <w:t xml:space="preserve">examen préliminaire international” par les offices récepteurs de chacun des États membres </w:t>
      </w:r>
      <w:r w:rsidR="002E08DC" w:rsidRPr="001E7A02">
        <w:rPr>
          <w:lang w:val="fr-FR"/>
        </w:rPr>
        <w:t xml:space="preserve">est </w:t>
      </w:r>
      <w:r w:rsidR="00EF626D" w:rsidRPr="001E7A02">
        <w:rPr>
          <w:lang w:val="fr-FR"/>
        </w:rPr>
        <w:t>une étape</w:t>
      </w:r>
      <w:r w:rsidR="002E08DC" w:rsidRPr="001E7A02">
        <w:rPr>
          <w:lang w:val="fr-FR"/>
        </w:rPr>
        <w:t xml:space="preserve"> de </w:t>
      </w:r>
      <w:r w:rsidR="00EF626D" w:rsidRPr="001E7A02">
        <w:rPr>
          <w:lang w:val="fr-FR"/>
        </w:rPr>
        <w:t xml:space="preserve">reconnaissance bilatérale </w:t>
      </w:r>
      <w:r w:rsidR="002E08DC" w:rsidRPr="001E7A02">
        <w:rPr>
          <w:lang w:val="fr-FR"/>
        </w:rPr>
        <w:t xml:space="preserve">supplémentaire à franchir par </w:t>
      </w:r>
      <w:r w:rsidR="00EF626D" w:rsidRPr="001E7A02">
        <w:rPr>
          <w:lang w:val="fr-FR"/>
        </w:rPr>
        <w:t>chacun des États membr</w:t>
      </w:r>
      <w:r w:rsidR="000512CD" w:rsidRPr="001E7A02">
        <w:rPr>
          <w:lang w:val="fr-FR"/>
        </w:rPr>
        <w:t>es</w:t>
      </w:r>
      <w:r w:rsidR="000512CD">
        <w:rPr>
          <w:lang w:val="fr-FR"/>
        </w:rPr>
        <w:t xml:space="preserve">.  </w:t>
      </w:r>
      <w:r w:rsidR="000512CD" w:rsidRPr="001E7A02">
        <w:rPr>
          <w:lang w:val="fr-FR"/>
        </w:rPr>
        <w:t>Ce</w:t>
      </w:r>
      <w:r w:rsidR="00CF2F25" w:rsidRPr="001E7A02">
        <w:rPr>
          <w:lang w:val="fr-FR"/>
        </w:rPr>
        <w:t>la</w:t>
      </w:r>
      <w:r w:rsidR="007708A8" w:rsidRPr="001E7A02">
        <w:rPr>
          <w:lang w:val="fr-FR"/>
        </w:rPr>
        <w:t xml:space="preserve"> a des incidences considérables </w:t>
      </w:r>
      <w:r w:rsidR="00CF2F25" w:rsidRPr="001E7A02">
        <w:rPr>
          <w:lang w:val="fr-FR"/>
        </w:rPr>
        <w:t xml:space="preserve">sur la reconnaissance </w:t>
      </w:r>
      <w:r w:rsidR="00C13C15" w:rsidRPr="001E7A02">
        <w:rPr>
          <w:lang w:val="fr-FR"/>
        </w:rPr>
        <w:t>ou</w:t>
      </w:r>
      <w:r w:rsidR="00CF2F25" w:rsidRPr="001E7A02">
        <w:rPr>
          <w:lang w:val="fr-FR"/>
        </w:rPr>
        <w:t xml:space="preserve"> la </w:t>
      </w:r>
      <w:r w:rsidR="00E650C4" w:rsidRPr="001E7A02">
        <w:rPr>
          <w:lang w:val="fr-FR"/>
        </w:rPr>
        <w:t>nomination</w:t>
      </w:r>
      <w:r w:rsidR="00CF2F25" w:rsidRPr="001E7A02">
        <w:rPr>
          <w:lang w:val="fr-FR"/>
        </w:rPr>
        <w:t xml:space="preserve"> effectuées</w:t>
      </w:r>
      <w:r w:rsidR="00C13C15" w:rsidRPr="001E7A02">
        <w:rPr>
          <w:lang w:val="fr-FR"/>
        </w:rPr>
        <w:t xml:space="preserve"> antérieurement</w:t>
      </w:r>
      <w:r w:rsidR="00CF2F25" w:rsidRPr="001E7A02">
        <w:rPr>
          <w:lang w:val="fr-FR"/>
        </w:rPr>
        <w:t xml:space="preserve"> </w:t>
      </w:r>
      <w:r w:rsidR="00C13C15" w:rsidRPr="001E7A02">
        <w:rPr>
          <w:lang w:val="fr-FR"/>
        </w:rPr>
        <w:t xml:space="preserve">selon </w:t>
      </w:r>
      <w:r w:rsidR="003B2491" w:rsidRPr="001E7A02">
        <w:rPr>
          <w:lang w:val="fr-FR"/>
        </w:rPr>
        <w:t xml:space="preserve">une </w:t>
      </w:r>
      <w:r w:rsidR="00CF2F25" w:rsidRPr="001E7A02">
        <w:rPr>
          <w:lang w:val="fr-FR"/>
        </w:rPr>
        <w:t xml:space="preserve">procédure régulière </w:t>
      </w:r>
      <w:r w:rsidR="00DF7ED9" w:rsidRPr="001E7A02">
        <w:rPr>
          <w:lang w:val="fr-FR"/>
        </w:rPr>
        <w:t>associant</w:t>
      </w:r>
      <w:r w:rsidR="00050B65" w:rsidRPr="001E7A02">
        <w:rPr>
          <w:lang w:val="fr-FR"/>
        </w:rPr>
        <w:t xml:space="preserve"> déjà </w:t>
      </w:r>
      <w:r w:rsidR="00DF7ED9" w:rsidRPr="001E7A02">
        <w:rPr>
          <w:lang w:val="fr-FR"/>
        </w:rPr>
        <w:t>l</w:t>
      </w:r>
      <w:r w:rsidR="00B61675">
        <w:rPr>
          <w:lang w:val="fr-FR"/>
        </w:rPr>
        <w:t>’</w:t>
      </w:r>
      <w:r w:rsidR="00DF7ED9" w:rsidRPr="001E7A02">
        <w:rPr>
          <w:lang w:val="fr-FR"/>
        </w:rPr>
        <w:t>ensemble d</w:t>
      </w:r>
      <w:r w:rsidR="00DE043C" w:rsidRPr="001E7A02">
        <w:rPr>
          <w:lang w:val="fr-FR"/>
        </w:rPr>
        <w:t>es États m</w:t>
      </w:r>
      <w:r w:rsidR="00CF2F25" w:rsidRPr="001E7A02">
        <w:rPr>
          <w:lang w:val="fr-FR"/>
        </w:rPr>
        <w:t>embres à la prise de décisio</w:t>
      </w:r>
      <w:r w:rsidR="000512CD" w:rsidRPr="001E7A02">
        <w:rPr>
          <w:lang w:val="fr-FR"/>
        </w:rPr>
        <w:t>ns</w:t>
      </w:r>
      <w:r w:rsidR="000512CD">
        <w:rPr>
          <w:lang w:val="fr-FR"/>
        </w:rPr>
        <w:t xml:space="preserve">.  </w:t>
      </w:r>
      <w:r w:rsidR="000512CD" w:rsidRPr="001E7A02">
        <w:rPr>
          <w:lang w:val="fr-FR"/>
        </w:rPr>
        <w:t>La</w:t>
      </w:r>
      <w:r w:rsidR="00CF2F25" w:rsidRPr="001E7A02">
        <w:rPr>
          <w:lang w:val="fr-FR"/>
        </w:rPr>
        <w:t xml:space="preserve"> coopération multilatérale au titre</w:t>
      </w:r>
      <w:r w:rsidR="00B61675" w:rsidRPr="001E7A02">
        <w:rPr>
          <w:lang w:val="fr-FR"/>
        </w:rPr>
        <w:t xml:space="preserve"> du</w:t>
      </w:r>
      <w:r w:rsidR="00B61675">
        <w:rPr>
          <w:lang w:val="fr-FR"/>
        </w:rPr>
        <w:t> </w:t>
      </w:r>
      <w:r w:rsidR="00B61675" w:rsidRPr="001E7A02">
        <w:rPr>
          <w:lang w:val="fr-FR"/>
        </w:rPr>
        <w:t>PCT</w:t>
      </w:r>
      <w:r w:rsidR="00CF2F25" w:rsidRPr="001E7A02">
        <w:rPr>
          <w:lang w:val="fr-FR"/>
        </w:rPr>
        <w:t xml:space="preserve"> ne doit pas être limitée par l</w:t>
      </w:r>
      <w:r w:rsidR="00B61675">
        <w:rPr>
          <w:lang w:val="fr-FR"/>
        </w:rPr>
        <w:t>’</w:t>
      </w:r>
      <w:r w:rsidR="00CF2F25" w:rsidRPr="001E7A02">
        <w:rPr>
          <w:lang w:val="fr-FR"/>
        </w:rPr>
        <w:t>absence d</w:t>
      </w:r>
      <w:r w:rsidR="00B61675">
        <w:rPr>
          <w:lang w:val="fr-FR"/>
        </w:rPr>
        <w:t>’</w:t>
      </w:r>
      <w:r w:rsidR="00CF2F25" w:rsidRPr="001E7A02">
        <w:rPr>
          <w:lang w:val="fr-FR"/>
        </w:rPr>
        <w:t>accords bilatéraux.</w:t>
      </w:r>
    </w:p>
    <w:p w:rsidR="009354F6" w:rsidRPr="001E7A02" w:rsidRDefault="00D20EDA" w:rsidP="00B5453D">
      <w:pPr>
        <w:pStyle w:val="ONUME"/>
        <w:numPr>
          <w:ilvl w:val="0"/>
          <w:numId w:val="7"/>
        </w:numPr>
        <w:ind w:left="1134" w:hanging="567"/>
        <w:rPr>
          <w:lang w:val="fr-FR"/>
        </w:rPr>
      </w:pPr>
      <w:r w:rsidRPr="001E7A02">
        <w:rPr>
          <w:lang w:val="fr-FR"/>
        </w:rPr>
        <w:t>Dans le monde contemporain, les entreprises sont transnationales et</w:t>
      </w:r>
      <w:r w:rsidR="008C6DC0" w:rsidRPr="001E7A02">
        <w:rPr>
          <w:lang w:val="fr-FR"/>
        </w:rPr>
        <w:t xml:space="preserve"> travaillent avec </w:t>
      </w:r>
      <w:r w:rsidRPr="001E7A02">
        <w:rPr>
          <w:lang w:val="fr-FR"/>
        </w:rPr>
        <w:t xml:space="preserve">de multiples partenaires </w:t>
      </w:r>
      <w:r w:rsidR="00960C49" w:rsidRPr="001E7A02">
        <w:rPr>
          <w:lang w:val="fr-FR"/>
        </w:rPr>
        <w:t xml:space="preserve">aux fins de la </w:t>
      </w:r>
      <w:r w:rsidRPr="001E7A02">
        <w:rPr>
          <w:lang w:val="fr-FR"/>
        </w:rPr>
        <w:t xml:space="preserve">recherche, </w:t>
      </w:r>
      <w:r w:rsidR="00960C49" w:rsidRPr="001E7A02">
        <w:rPr>
          <w:lang w:val="fr-FR"/>
        </w:rPr>
        <w:t xml:space="preserve">de la </w:t>
      </w:r>
      <w:r w:rsidRPr="001E7A02">
        <w:rPr>
          <w:lang w:val="fr-FR"/>
        </w:rPr>
        <w:t xml:space="preserve">production, </w:t>
      </w:r>
      <w:r w:rsidR="00960C49" w:rsidRPr="001E7A02">
        <w:rPr>
          <w:lang w:val="fr-FR"/>
        </w:rPr>
        <w:t xml:space="preserve">de </w:t>
      </w:r>
      <w:r w:rsidRPr="001E7A02">
        <w:rPr>
          <w:lang w:val="fr-FR"/>
        </w:rPr>
        <w:t>la commercialisation, e</w:t>
      </w:r>
      <w:r w:rsidR="000512CD" w:rsidRPr="001E7A02">
        <w:rPr>
          <w:lang w:val="fr-FR"/>
        </w:rPr>
        <w:t>tc</w:t>
      </w:r>
      <w:r w:rsidR="000512CD">
        <w:rPr>
          <w:lang w:val="fr-FR"/>
        </w:rPr>
        <w:t xml:space="preserve">.  </w:t>
      </w:r>
      <w:r w:rsidR="000512CD" w:rsidRPr="001E7A02">
        <w:rPr>
          <w:lang w:val="fr-FR"/>
        </w:rPr>
        <w:t>Le</w:t>
      </w:r>
      <w:r w:rsidR="00D76F68" w:rsidRPr="001E7A02">
        <w:rPr>
          <w:lang w:val="fr-FR"/>
        </w:rPr>
        <w:t>s décisions relatives à l</w:t>
      </w:r>
      <w:r w:rsidR="0098547F" w:rsidRPr="001E7A02">
        <w:rPr>
          <w:lang w:val="fr-FR"/>
        </w:rPr>
        <w:t xml:space="preserve">a nécessité de faire </w:t>
      </w:r>
      <w:r w:rsidR="00363706" w:rsidRPr="001E7A02">
        <w:rPr>
          <w:lang w:val="fr-FR"/>
        </w:rPr>
        <w:t>breveter</w:t>
      </w:r>
      <w:r w:rsidR="0098547F" w:rsidRPr="001E7A02">
        <w:rPr>
          <w:lang w:val="fr-FR"/>
        </w:rPr>
        <w:t xml:space="preserve"> une </w:t>
      </w:r>
      <w:r w:rsidR="00D76F68" w:rsidRPr="001E7A02">
        <w:rPr>
          <w:lang w:val="fr-FR"/>
        </w:rPr>
        <w:t>invention et au choix de</w:t>
      </w:r>
      <w:r w:rsidR="00363706" w:rsidRPr="001E7A02">
        <w:rPr>
          <w:lang w:val="fr-FR"/>
        </w:rPr>
        <w:t xml:space="preserve"> l</w:t>
      </w:r>
      <w:r w:rsidR="00B61675">
        <w:rPr>
          <w:lang w:val="fr-FR"/>
        </w:rPr>
        <w:t>’</w:t>
      </w:r>
      <w:r w:rsidR="00363706" w:rsidRPr="001E7A02">
        <w:rPr>
          <w:lang w:val="fr-FR"/>
        </w:rPr>
        <w:t>administration chargée</w:t>
      </w:r>
      <w:r w:rsidR="00D76F68" w:rsidRPr="001E7A02">
        <w:rPr>
          <w:lang w:val="fr-FR"/>
        </w:rPr>
        <w:t xml:space="preserve"> d</w:t>
      </w:r>
      <w:r w:rsidR="003001D4" w:rsidRPr="001E7A02">
        <w:rPr>
          <w:lang w:val="fr-FR"/>
        </w:rPr>
        <w:t>e la recherche internationale et</w:t>
      </w:r>
      <w:r w:rsidR="00D76F68" w:rsidRPr="001E7A02">
        <w:rPr>
          <w:lang w:val="fr-FR"/>
        </w:rPr>
        <w:t xml:space="preserve"> de l</w:t>
      </w:r>
      <w:r w:rsidR="00B61675">
        <w:rPr>
          <w:lang w:val="fr-FR"/>
        </w:rPr>
        <w:t>’</w:t>
      </w:r>
      <w:r w:rsidR="00D76F68" w:rsidRPr="001E7A02">
        <w:rPr>
          <w:lang w:val="fr-FR"/>
        </w:rPr>
        <w:t xml:space="preserve">examen préliminaire international sont prises par les </w:t>
      </w:r>
      <w:r w:rsidR="000C5DB5" w:rsidRPr="001E7A02">
        <w:rPr>
          <w:lang w:val="fr-FR"/>
        </w:rPr>
        <w:t>déposants</w:t>
      </w:r>
      <w:r w:rsidR="00D76F68" w:rsidRPr="001E7A02">
        <w:rPr>
          <w:lang w:val="fr-FR"/>
        </w:rPr>
        <w:t xml:space="preserve"> </w:t>
      </w:r>
      <w:r w:rsidR="008A11EF" w:rsidRPr="001E7A02">
        <w:rPr>
          <w:lang w:val="fr-FR"/>
        </w:rPr>
        <w:t xml:space="preserve">compte tenu de </w:t>
      </w:r>
      <w:r w:rsidR="00D76F68" w:rsidRPr="001E7A02">
        <w:rPr>
          <w:lang w:val="fr-FR"/>
        </w:rPr>
        <w:t>diverses considératio</w:t>
      </w:r>
      <w:r w:rsidR="000512CD" w:rsidRPr="001E7A02">
        <w:rPr>
          <w:lang w:val="fr-FR"/>
        </w:rPr>
        <w:t>ns</w:t>
      </w:r>
      <w:r w:rsidR="000512CD">
        <w:rPr>
          <w:lang w:val="fr-FR"/>
        </w:rPr>
        <w:t xml:space="preserve">.  </w:t>
      </w:r>
      <w:r w:rsidR="000512CD" w:rsidRPr="001E7A02">
        <w:rPr>
          <w:lang w:val="fr-FR"/>
        </w:rPr>
        <w:t>En</w:t>
      </w:r>
      <w:r w:rsidR="00A84A80" w:rsidRPr="001E7A02">
        <w:rPr>
          <w:lang w:val="fr-FR"/>
        </w:rPr>
        <w:t xml:space="preserve"> cas de pluralité de déposants provenant de pays différents, ceux</w:t>
      </w:r>
      <w:r w:rsidR="000512CD">
        <w:rPr>
          <w:lang w:val="fr-FR"/>
        </w:rPr>
        <w:noBreakHyphen/>
      </w:r>
      <w:r w:rsidR="00A84A80" w:rsidRPr="001E7A02">
        <w:rPr>
          <w:lang w:val="fr-FR"/>
        </w:rPr>
        <w:t>ci disposent d</w:t>
      </w:r>
      <w:r w:rsidR="00B61675">
        <w:rPr>
          <w:lang w:val="fr-FR"/>
        </w:rPr>
        <w:t>’</w:t>
      </w:r>
      <w:r w:rsidR="00A84A80" w:rsidRPr="001E7A02">
        <w:rPr>
          <w:lang w:val="fr-FR"/>
        </w:rPr>
        <w:t>un choix plus large dans la mesure où le choix d</w:t>
      </w:r>
      <w:r w:rsidR="00B61675">
        <w:rPr>
          <w:lang w:val="fr-FR"/>
        </w:rPr>
        <w:t>’</w:t>
      </w:r>
      <w:r w:rsidR="00A84A80" w:rsidRPr="001E7A02">
        <w:rPr>
          <w:lang w:val="fr-FR"/>
        </w:rPr>
        <w:t>une administration chargée de la recherche internationale et d</w:t>
      </w:r>
      <w:r w:rsidR="00B61675">
        <w:rPr>
          <w:lang w:val="fr-FR"/>
        </w:rPr>
        <w:t>’</w:t>
      </w:r>
      <w:r w:rsidR="00A84A80" w:rsidRPr="001E7A02">
        <w:rPr>
          <w:lang w:val="fr-FR"/>
        </w:rPr>
        <w:t>une administration chargée de l</w:t>
      </w:r>
      <w:r w:rsidR="00B61675">
        <w:rPr>
          <w:lang w:val="fr-FR"/>
        </w:rPr>
        <w:t>’</w:t>
      </w:r>
      <w:r w:rsidR="00A84A80" w:rsidRPr="001E7A02">
        <w:rPr>
          <w:lang w:val="fr-FR"/>
        </w:rPr>
        <w:t>examen préliminaire international est possible à condition qu</w:t>
      </w:r>
      <w:r w:rsidR="00B61675">
        <w:rPr>
          <w:lang w:val="fr-FR"/>
        </w:rPr>
        <w:t>’</w:t>
      </w:r>
      <w:r w:rsidR="00A84A80" w:rsidRPr="001E7A02">
        <w:rPr>
          <w:lang w:val="fr-FR"/>
        </w:rPr>
        <w:t>au moins un des déposants soit habilité à choisir l</w:t>
      </w:r>
      <w:r w:rsidR="00B61675">
        <w:rPr>
          <w:lang w:val="fr-FR"/>
        </w:rPr>
        <w:t>’</w:t>
      </w:r>
      <w:r w:rsidR="00A84A80" w:rsidRPr="001E7A02">
        <w:rPr>
          <w:lang w:val="fr-FR"/>
        </w:rPr>
        <w:t>office agissant en qualité d</w:t>
      </w:r>
      <w:r w:rsidR="00B61675">
        <w:rPr>
          <w:lang w:val="fr-FR"/>
        </w:rPr>
        <w:t>’</w:t>
      </w:r>
      <w:r w:rsidR="00A84A80" w:rsidRPr="001E7A02">
        <w:rPr>
          <w:lang w:val="fr-FR"/>
        </w:rPr>
        <w:t>administration chargée de la recherche internationale et d</w:t>
      </w:r>
      <w:r w:rsidR="00B61675">
        <w:rPr>
          <w:lang w:val="fr-FR"/>
        </w:rPr>
        <w:t>’</w:t>
      </w:r>
      <w:r w:rsidR="00A84A80" w:rsidRPr="001E7A02">
        <w:rPr>
          <w:lang w:val="fr-FR"/>
        </w:rPr>
        <w:t>administration chargée de l</w:t>
      </w:r>
      <w:r w:rsidR="00B61675">
        <w:rPr>
          <w:lang w:val="fr-FR"/>
        </w:rPr>
        <w:t>’</w:t>
      </w:r>
      <w:r w:rsidR="00A84A80" w:rsidRPr="001E7A02">
        <w:rPr>
          <w:lang w:val="fr-FR"/>
        </w:rPr>
        <w:t>examen préliminaire internation</w:t>
      </w:r>
      <w:r w:rsidR="000512CD" w:rsidRPr="001E7A02">
        <w:rPr>
          <w:lang w:val="fr-FR"/>
        </w:rPr>
        <w:t>al</w:t>
      </w:r>
      <w:r w:rsidR="000512CD">
        <w:rPr>
          <w:lang w:val="fr-FR"/>
        </w:rPr>
        <w:t xml:space="preserve">.  </w:t>
      </w:r>
      <w:r w:rsidR="000512CD" w:rsidRPr="001E7A02">
        <w:rPr>
          <w:lang w:val="fr-FR"/>
        </w:rPr>
        <w:t>Un</w:t>
      </w:r>
      <w:r w:rsidR="00B5453D" w:rsidRPr="001E7A02">
        <w:rPr>
          <w:lang w:val="fr-FR"/>
        </w:rPr>
        <w:t xml:space="preserve"> tel choix n</w:t>
      </w:r>
      <w:r w:rsidR="00B61675">
        <w:rPr>
          <w:lang w:val="fr-FR"/>
        </w:rPr>
        <w:t>’</w:t>
      </w:r>
      <w:r w:rsidR="00B5453D" w:rsidRPr="001E7A02">
        <w:rPr>
          <w:lang w:val="fr-FR"/>
        </w:rPr>
        <w:t>est pas accessible de la même manière à tous les déposants et il est nécessaire d</w:t>
      </w:r>
      <w:r w:rsidR="00B61675">
        <w:rPr>
          <w:lang w:val="fr-FR"/>
        </w:rPr>
        <w:t>’</w:t>
      </w:r>
      <w:r w:rsidR="00B5453D" w:rsidRPr="001E7A02">
        <w:rPr>
          <w:lang w:val="fr-FR"/>
        </w:rPr>
        <w:t>adapter les règles à un monde en évolution</w:t>
      </w:r>
      <w:r w:rsidR="00983C26" w:rsidRPr="001E7A02">
        <w:rPr>
          <w:lang w:val="fr-FR"/>
        </w:rPr>
        <w:t xml:space="preserve"> constante</w:t>
      </w:r>
      <w:r w:rsidR="00B5453D" w:rsidRPr="001E7A02">
        <w:rPr>
          <w:lang w:val="fr-FR"/>
        </w:rPr>
        <w:t>.</w:t>
      </w:r>
    </w:p>
    <w:p w:rsidR="009354F6" w:rsidRPr="001E7A02" w:rsidRDefault="00896D3A" w:rsidP="00966EFF">
      <w:pPr>
        <w:pStyle w:val="ONUME"/>
        <w:numPr>
          <w:ilvl w:val="0"/>
          <w:numId w:val="7"/>
        </w:numPr>
        <w:ind w:left="1134" w:hanging="567"/>
        <w:rPr>
          <w:lang w:val="fr-FR"/>
        </w:rPr>
      </w:pPr>
      <w:r w:rsidRPr="001E7A02">
        <w:rPr>
          <w:lang w:val="fr-FR"/>
        </w:rPr>
        <w:t>Étant fondé sur un traité multilatéral, le système</w:t>
      </w:r>
      <w:r w:rsidR="00B61675" w:rsidRPr="001E7A02">
        <w:rPr>
          <w:lang w:val="fr-FR"/>
        </w:rPr>
        <w:t xml:space="preserve"> du</w:t>
      </w:r>
      <w:r w:rsidR="00B61675">
        <w:rPr>
          <w:lang w:val="fr-FR"/>
        </w:rPr>
        <w:t> </w:t>
      </w:r>
      <w:r w:rsidR="00B61675" w:rsidRPr="001E7A02">
        <w:rPr>
          <w:lang w:val="fr-FR"/>
        </w:rPr>
        <w:t>PCT</w:t>
      </w:r>
      <w:r w:rsidRPr="001E7A02">
        <w:rPr>
          <w:lang w:val="fr-FR"/>
        </w:rPr>
        <w:t xml:space="preserve"> permet actuellement à tous les déposants de nommer ou d</w:t>
      </w:r>
      <w:r w:rsidR="00B61675">
        <w:rPr>
          <w:lang w:val="fr-FR"/>
        </w:rPr>
        <w:t>’</w:t>
      </w:r>
      <w:r w:rsidRPr="001E7A02">
        <w:rPr>
          <w:lang w:val="fr-FR"/>
        </w:rPr>
        <w:t>élire n</w:t>
      </w:r>
      <w:r w:rsidR="00B61675">
        <w:rPr>
          <w:lang w:val="fr-FR"/>
        </w:rPr>
        <w:t>’</w:t>
      </w:r>
      <w:r w:rsidRPr="001E7A02">
        <w:rPr>
          <w:lang w:val="fr-FR"/>
        </w:rPr>
        <w:t>importe quel État membre pendant la phase nationa</w:t>
      </w:r>
      <w:r w:rsidR="000512CD" w:rsidRPr="001E7A02">
        <w:rPr>
          <w:lang w:val="fr-FR"/>
        </w:rPr>
        <w:t>le</w:t>
      </w:r>
      <w:r w:rsidR="000512CD">
        <w:rPr>
          <w:lang w:val="fr-FR"/>
        </w:rPr>
        <w:t xml:space="preserve">.  </w:t>
      </w:r>
      <w:r w:rsidR="000512CD" w:rsidRPr="001E7A02">
        <w:rPr>
          <w:lang w:val="fr-FR"/>
        </w:rPr>
        <w:t>Le</w:t>
      </w:r>
      <w:r w:rsidR="00966EFF" w:rsidRPr="001E7A02">
        <w:rPr>
          <w:lang w:val="fr-FR"/>
        </w:rPr>
        <w:t xml:space="preserve"> fait de donner aux déposants la possibilité de choisir n</w:t>
      </w:r>
      <w:r w:rsidR="00B61675">
        <w:rPr>
          <w:lang w:val="fr-FR"/>
        </w:rPr>
        <w:t>’</w:t>
      </w:r>
      <w:r w:rsidR="00966EFF" w:rsidRPr="001E7A02">
        <w:rPr>
          <w:lang w:val="fr-FR"/>
        </w:rPr>
        <w:t>importe quelle administration internationale comme administration chargée de la recherche internationale et administration chargée de l</w:t>
      </w:r>
      <w:r w:rsidR="00B61675">
        <w:rPr>
          <w:lang w:val="fr-FR"/>
        </w:rPr>
        <w:t>’</w:t>
      </w:r>
      <w:r w:rsidR="00966EFF" w:rsidRPr="001E7A02">
        <w:rPr>
          <w:lang w:val="fr-FR"/>
        </w:rPr>
        <w:t>examen préliminaire international permettrait d</w:t>
      </w:r>
      <w:r w:rsidR="00B61675">
        <w:rPr>
          <w:lang w:val="fr-FR"/>
        </w:rPr>
        <w:t>’</w:t>
      </w:r>
      <w:r w:rsidR="002B2F94" w:rsidRPr="001E7A02">
        <w:rPr>
          <w:lang w:val="fr-FR"/>
        </w:rPr>
        <w:t>accroître l</w:t>
      </w:r>
      <w:r w:rsidR="00B61675">
        <w:rPr>
          <w:lang w:val="fr-FR"/>
        </w:rPr>
        <w:t>’</w:t>
      </w:r>
      <w:r w:rsidR="002B2F94" w:rsidRPr="001E7A02">
        <w:rPr>
          <w:lang w:val="fr-FR"/>
        </w:rPr>
        <w:t xml:space="preserve">efficacité de </w:t>
      </w:r>
      <w:r w:rsidR="00966EFF" w:rsidRPr="001E7A02">
        <w:rPr>
          <w:lang w:val="fr-FR"/>
        </w:rPr>
        <w:t>la coopération entre</w:t>
      </w:r>
      <w:r w:rsidR="00155FEE" w:rsidRPr="001E7A02">
        <w:rPr>
          <w:lang w:val="fr-FR"/>
        </w:rPr>
        <w:t xml:space="preserve"> les</w:t>
      </w:r>
      <w:r w:rsidR="00966EFF" w:rsidRPr="001E7A02">
        <w:rPr>
          <w:lang w:val="fr-FR"/>
        </w:rPr>
        <w:t xml:space="preserve"> administrations internationales, </w:t>
      </w:r>
      <w:r w:rsidR="00E93178" w:rsidRPr="001E7A02">
        <w:rPr>
          <w:lang w:val="fr-FR"/>
        </w:rPr>
        <w:t xml:space="preserve">étant donné </w:t>
      </w:r>
      <w:r w:rsidR="00966EFF" w:rsidRPr="001E7A02">
        <w:rPr>
          <w:lang w:val="fr-FR"/>
        </w:rPr>
        <w:t xml:space="preserve">que les administrations reconnaissent les services proposés par les autres administrations, et que tous les États membres </w:t>
      </w:r>
      <w:r w:rsidR="00966EFF" w:rsidRPr="001E7A02">
        <w:rPr>
          <w:lang w:val="fr-FR"/>
        </w:rPr>
        <w:lastRenderedPageBreak/>
        <w:t>reconnaissent également les services offerts par toutes les administrations internationales.</w:t>
      </w:r>
    </w:p>
    <w:p w:rsidR="009354F6" w:rsidRPr="001E7A02" w:rsidRDefault="00966EFF" w:rsidP="00BB03F1">
      <w:pPr>
        <w:pStyle w:val="ONUME"/>
        <w:numPr>
          <w:ilvl w:val="0"/>
          <w:numId w:val="7"/>
        </w:numPr>
        <w:ind w:left="1134" w:hanging="567"/>
        <w:rPr>
          <w:lang w:val="fr-FR"/>
        </w:rPr>
      </w:pPr>
      <w:r w:rsidRPr="001E7A02">
        <w:rPr>
          <w:lang w:val="fr-FR"/>
        </w:rPr>
        <w:t>En simplifiant la procédure et en offrant plus de choix au déposant, le système</w:t>
      </w:r>
      <w:r w:rsidR="00B61675" w:rsidRPr="001E7A02">
        <w:rPr>
          <w:lang w:val="fr-FR"/>
        </w:rPr>
        <w:t xml:space="preserve"> du</w:t>
      </w:r>
      <w:r w:rsidR="00B61675">
        <w:rPr>
          <w:lang w:val="fr-FR"/>
        </w:rPr>
        <w:t> </w:t>
      </w:r>
      <w:r w:rsidR="00B61675" w:rsidRPr="001E7A02">
        <w:rPr>
          <w:lang w:val="fr-FR"/>
        </w:rPr>
        <w:t>PCT</w:t>
      </w:r>
      <w:r w:rsidRPr="001E7A02">
        <w:rPr>
          <w:lang w:val="fr-FR"/>
        </w:rPr>
        <w:t xml:space="preserve"> faciliterait la tâche des déposan</w:t>
      </w:r>
      <w:r w:rsidR="000512CD" w:rsidRPr="001E7A02">
        <w:rPr>
          <w:lang w:val="fr-FR"/>
        </w:rPr>
        <w:t>ts</w:t>
      </w:r>
      <w:r w:rsidR="000512CD">
        <w:rPr>
          <w:lang w:val="fr-FR"/>
        </w:rPr>
        <w:t xml:space="preserve">.  </w:t>
      </w:r>
      <w:r w:rsidR="000512CD" w:rsidRPr="001E7A02">
        <w:rPr>
          <w:lang w:val="fr-FR"/>
        </w:rPr>
        <w:t>L</w:t>
      </w:r>
      <w:r w:rsidR="000512CD">
        <w:rPr>
          <w:lang w:val="fr-FR"/>
        </w:rPr>
        <w:t>’</w:t>
      </w:r>
      <w:r w:rsidR="000512CD" w:rsidRPr="001E7A02">
        <w:rPr>
          <w:lang w:val="fr-FR"/>
        </w:rPr>
        <w:t>u</w:t>
      </w:r>
      <w:r w:rsidRPr="001E7A02">
        <w:rPr>
          <w:lang w:val="fr-FR"/>
        </w:rPr>
        <w:t>tilisation des ressources et la diffusion des pratiques recommandées s</w:t>
      </w:r>
      <w:r w:rsidR="00B61675">
        <w:rPr>
          <w:lang w:val="fr-FR"/>
        </w:rPr>
        <w:t>’</w:t>
      </w:r>
      <w:r w:rsidRPr="001E7A02">
        <w:rPr>
          <w:lang w:val="fr-FR"/>
        </w:rPr>
        <w:t>en trouver</w:t>
      </w:r>
      <w:r w:rsidR="004D3935" w:rsidRPr="001E7A02">
        <w:rPr>
          <w:lang w:val="fr-FR"/>
        </w:rPr>
        <w:t>aie</w:t>
      </w:r>
      <w:r w:rsidRPr="001E7A02">
        <w:rPr>
          <w:lang w:val="fr-FR"/>
        </w:rPr>
        <w:t>nt amélioré</w:t>
      </w:r>
      <w:r w:rsidR="000512CD" w:rsidRPr="001E7A02">
        <w:rPr>
          <w:lang w:val="fr-FR"/>
        </w:rPr>
        <w:t>es</w:t>
      </w:r>
      <w:r w:rsidR="000512CD">
        <w:rPr>
          <w:lang w:val="fr-FR"/>
        </w:rPr>
        <w:t xml:space="preserve">.  </w:t>
      </w:r>
      <w:r w:rsidR="000512CD" w:rsidRPr="001E7A02">
        <w:rPr>
          <w:lang w:val="fr-FR"/>
        </w:rPr>
        <w:t>Ce</w:t>
      </w:r>
      <w:r w:rsidR="00BB03F1" w:rsidRPr="001E7A02">
        <w:rPr>
          <w:lang w:val="fr-FR"/>
        </w:rPr>
        <w:t>la inciterait davantage de déposants à utiliser le système</w:t>
      </w:r>
      <w:r w:rsidR="00B61675" w:rsidRPr="001E7A02">
        <w:rPr>
          <w:lang w:val="fr-FR"/>
        </w:rPr>
        <w:t xml:space="preserve"> du</w:t>
      </w:r>
      <w:r w:rsidR="00B61675">
        <w:rPr>
          <w:lang w:val="fr-FR"/>
        </w:rPr>
        <w:t> </w:t>
      </w:r>
      <w:r w:rsidR="00B61675" w:rsidRPr="001E7A02">
        <w:rPr>
          <w:lang w:val="fr-FR"/>
        </w:rPr>
        <w:t>PCT</w:t>
      </w:r>
      <w:r w:rsidR="00BB03F1" w:rsidRPr="001E7A02">
        <w:rPr>
          <w:lang w:val="fr-FR"/>
        </w:rPr>
        <w:t>.</w:t>
      </w:r>
    </w:p>
    <w:p w:rsidR="009354F6" w:rsidRPr="001E7A02" w:rsidRDefault="00D57BD5" w:rsidP="001E7A02">
      <w:pPr>
        <w:pStyle w:val="ONUMFS"/>
        <w:rPr>
          <w:lang w:val="fr-FR"/>
        </w:rPr>
      </w:pPr>
      <w:bookmarkStart w:id="6" w:name="_Ref8659401"/>
      <w:r w:rsidRPr="001E7A02">
        <w:rPr>
          <w:lang w:val="fr-FR"/>
        </w:rPr>
        <w:t>L</w:t>
      </w:r>
      <w:r w:rsidR="00B61675">
        <w:rPr>
          <w:lang w:val="fr-FR"/>
        </w:rPr>
        <w:t>’</w:t>
      </w:r>
      <w:r w:rsidRPr="001E7A02">
        <w:rPr>
          <w:lang w:val="fr-FR"/>
        </w:rPr>
        <w:t>Office indien des brevets propose que, pour commencer, les déposants qui soumettent des demandes internationales par l</w:t>
      </w:r>
      <w:r w:rsidR="00B61675">
        <w:rPr>
          <w:lang w:val="fr-FR"/>
        </w:rPr>
        <w:t>’</w:t>
      </w:r>
      <w:r w:rsidRPr="001E7A02">
        <w:rPr>
          <w:lang w:val="fr-FR"/>
        </w:rPr>
        <w:t>intermédiaire du Bureau international agissant en tant qu</w:t>
      </w:r>
      <w:r w:rsidR="00B61675">
        <w:rPr>
          <w:lang w:val="fr-FR"/>
        </w:rPr>
        <w:t>’</w:t>
      </w:r>
      <w:r w:rsidRPr="001E7A02">
        <w:rPr>
          <w:lang w:val="fr-FR"/>
        </w:rPr>
        <w:t>office récepteur puissent choisir n</w:t>
      </w:r>
      <w:r w:rsidR="00B61675">
        <w:rPr>
          <w:lang w:val="fr-FR"/>
        </w:rPr>
        <w:t>’</w:t>
      </w:r>
      <w:r w:rsidRPr="001E7A02">
        <w:rPr>
          <w:lang w:val="fr-FR"/>
        </w:rPr>
        <w:t>importe quelle administr</w:t>
      </w:r>
      <w:r w:rsidR="009A0D29" w:rsidRPr="001E7A02">
        <w:rPr>
          <w:lang w:val="fr-FR"/>
        </w:rPr>
        <w:t xml:space="preserve">ation internationale </w:t>
      </w:r>
      <w:r w:rsidRPr="001E7A02">
        <w:rPr>
          <w:lang w:val="fr-FR"/>
        </w:rPr>
        <w:t>comme administration chargée de la recherche internationale et administration chargée de l</w:t>
      </w:r>
      <w:r w:rsidR="00B61675">
        <w:rPr>
          <w:lang w:val="fr-FR"/>
        </w:rPr>
        <w:t>’</w:t>
      </w:r>
      <w:r w:rsidRPr="001E7A02">
        <w:rPr>
          <w:lang w:val="fr-FR"/>
        </w:rPr>
        <w:t>examen préliminaire internation</w:t>
      </w:r>
      <w:r w:rsidR="000512CD" w:rsidRPr="001E7A02">
        <w:rPr>
          <w:lang w:val="fr-FR"/>
        </w:rPr>
        <w:t>al</w:t>
      </w:r>
      <w:r w:rsidR="000512CD">
        <w:rPr>
          <w:lang w:val="fr-FR"/>
        </w:rPr>
        <w:t xml:space="preserve">.  </w:t>
      </w:r>
      <w:r w:rsidR="000512CD" w:rsidRPr="001E7A02">
        <w:rPr>
          <w:lang w:val="fr-FR"/>
        </w:rPr>
        <w:t>Ce</w:t>
      </w:r>
      <w:r w:rsidR="0018683D" w:rsidRPr="001E7A02">
        <w:rPr>
          <w:lang w:val="fr-FR"/>
        </w:rPr>
        <w:t>tte proposition tient compte du fait qu</w:t>
      </w:r>
      <w:r w:rsidR="00B61675">
        <w:rPr>
          <w:lang w:val="fr-FR"/>
        </w:rPr>
        <w:t>’</w:t>
      </w:r>
      <w:r w:rsidR="0018683D" w:rsidRPr="001E7A02">
        <w:rPr>
          <w:lang w:val="fr-FR"/>
        </w:rPr>
        <w:t>il existe déjà des mécanismes permettant le transfert de taxes et de documents entre les différents offices et le Bureau internation</w:t>
      </w:r>
      <w:bookmarkEnd w:id="6"/>
      <w:r w:rsidR="000512CD" w:rsidRPr="001E7A02">
        <w:rPr>
          <w:lang w:val="fr-FR"/>
        </w:rPr>
        <w:t>al</w:t>
      </w:r>
      <w:r w:rsidR="000512CD">
        <w:rPr>
          <w:lang w:val="fr-FR"/>
        </w:rPr>
        <w:t xml:space="preserve">.  </w:t>
      </w:r>
      <w:r w:rsidR="000512CD" w:rsidRPr="001E7A02">
        <w:rPr>
          <w:lang w:val="fr-FR"/>
        </w:rPr>
        <w:t>Il</w:t>
      </w:r>
      <w:r w:rsidR="009354F6" w:rsidRPr="001E7A02">
        <w:rPr>
          <w:lang w:val="fr-FR"/>
        </w:rPr>
        <w:t xml:space="preserve"> est en outre proposé que le mécanisme soit progressivement élargi aux autres offices récepteurs.</w:t>
      </w:r>
    </w:p>
    <w:p w:rsidR="009354F6" w:rsidRPr="001E7A02" w:rsidRDefault="001B0AD3" w:rsidP="001E7A02">
      <w:pPr>
        <w:pStyle w:val="ONUMFS"/>
        <w:ind w:left="5533"/>
        <w:rPr>
          <w:i/>
          <w:lang w:val="fr-FR"/>
        </w:rPr>
      </w:pPr>
      <w:r w:rsidRPr="001E7A02">
        <w:rPr>
          <w:i/>
          <w:lang w:val="fr-FR"/>
        </w:rPr>
        <w:t>Le groupe de travail est invité à prendre note du contenu détaillé de la proposition et à faire part de ses observations sur la marche à suivre proposée au paragraphe</w:t>
      </w:r>
      <w:r w:rsidR="000512CD">
        <w:rPr>
          <w:i/>
          <w:lang w:val="fr-FR"/>
        </w:rPr>
        <w:t> </w:t>
      </w:r>
      <w:r w:rsidRPr="001E7A02">
        <w:rPr>
          <w:i/>
          <w:lang w:val="fr-FR"/>
        </w:rPr>
        <w:fldChar w:fldCharType="begin"/>
      </w:r>
      <w:r w:rsidRPr="001E7A02">
        <w:rPr>
          <w:i/>
          <w:lang w:val="fr-FR"/>
        </w:rPr>
        <w:instrText xml:space="preserve"> REF _Ref8659401 \r \h  \* MERGEFORMAT </w:instrText>
      </w:r>
      <w:r w:rsidRPr="001E7A02">
        <w:rPr>
          <w:i/>
          <w:lang w:val="fr-FR"/>
        </w:rPr>
      </w:r>
      <w:r w:rsidRPr="001E7A02">
        <w:rPr>
          <w:i/>
          <w:lang w:val="fr-FR"/>
        </w:rPr>
        <w:fldChar w:fldCharType="separate"/>
      </w:r>
      <w:r w:rsidR="00C84ABF">
        <w:rPr>
          <w:i/>
          <w:lang w:val="fr-FR"/>
        </w:rPr>
        <w:t>5</w:t>
      </w:r>
      <w:r w:rsidRPr="001E7A02">
        <w:rPr>
          <w:i/>
          <w:lang w:val="fr-FR"/>
        </w:rPr>
        <w:fldChar w:fldCharType="end"/>
      </w:r>
      <w:r w:rsidRPr="001E7A02">
        <w:rPr>
          <w:i/>
          <w:lang w:val="fr-FR"/>
        </w:rPr>
        <w:t>.</w:t>
      </w:r>
    </w:p>
    <w:p w:rsidR="009354F6" w:rsidRDefault="009354F6" w:rsidP="001E7A02">
      <w:pPr>
        <w:rPr>
          <w:lang w:val="fr-FR"/>
        </w:rPr>
      </w:pPr>
    </w:p>
    <w:p w:rsidR="001E7A02" w:rsidRPr="001E7A02" w:rsidRDefault="001E7A02" w:rsidP="001E7A02">
      <w:pPr>
        <w:rPr>
          <w:lang w:val="fr-FR"/>
        </w:rPr>
      </w:pPr>
    </w:p>
    <w:p w:rsidR="009354F6" w:rsidRPr="001E7A02" w:rsidRDefault="001B0AD3" w:rsidP="001E7A02">
      <w:pPr>
        <w:pStyle w:val="Endofdocument-Annex"/>
        <w:rPr>
          <w:lang w:val="fr-FR"/>
        </w:rPr>
      </w:pPr>
      <w:r w:rsidRPr="001E7A02">
        <w:rPr>
          <w:lang w:val="fr-FR"/>
        </w:rPr>
        <w:t>[Fin du document]</w:t>
      </w:r>
    </w:p>
    <w:sectPr w:rsidR="009354F6" w:rsidRPr="001E7A02" w:rsidSect="001E7A02">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FB9" w:rsidRDefault="00A56FB9">
      <w:r>
        <w:separator/>
      </w:r>
    </w:p>
  </w:endnote>
  <w:endnote w:type="continuationSeparator" w:id="0">
    <w:p w:rsidR="00A56FB9" w:rsidRDefault="00A56FB9" w:rsidP="003B38C1">
      <w:r>
        <w:separator/>
      </w:r>
    </w:p>
    <w:p w:rsidR="00A56FB9" w:rsidRPr="003B38C1" w:rsidRDefault="00A56FB9" w:rsidP="003B38C1">
      <w:pPr>
        <w:spacing w:after="60"/>
        <w:rPr>
          <w:sz w:val="17"/>
        </w:rPr>
      </w:pPr>
      <w:r>
        <w:rPr>
          <w:sz w:val="17"/>
        </w:rPr>
        <w:t>[Endnote continued from previous page]</w:t>
      </w:r>
    </w:p>
  </w:endnote>
  <w:endnote w:type="continuationNotice" w:id="1">
    <w:p w:rsidR="00A56FB9" w:rsidRPr="003B38C1" w:rsidRDefault="00A56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FB9" w:rsidRDefault="00A56FB9">
      <w:r>
        <w:separator/>
      </w:r>
    </w:p>
  </w:footnote>
  <w:footnote w:type="continuationSeparator" w:id="0">
    <w:p w:rsidR="00A56FB9" w:rsidRDefault="00A56FB9" w:rsidP="008B60B2">
      <w:r>
        <w:separator/>
      </w:r>
    </w:p>
    <w:p w:rsidR="00A56FB9" w:rsidRPr="00ED77FB" w:rsidRDefault="00A56FB9" w:rsidP="008B60B2">
      <w:pPr>
        <w:spacing w:after="60"/>
        <w:rPr>
          <w:sz w:val="17"/>
          <w:szCs w:val="17"/>
        </w:rPr>
      </w:pPr>
      <w:r w:rsidRPr="00ED77FB">
        <w:rPr>
          <w:sz w:val="17"/>
          <w:szCs w:val="17"/>
        </w:rPr>
        <w:t>[Footnote continued from previous page]</w:t>
      </w:r>
    </w:p>
  </w:footnote>
  <w:footnote w:type="continuationNotice" w:id="1">
    <w:p w:rsidR="00A56FB9" w:rsidRPr="00ED77FB" w:rsidRDefault="00A56F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E58DB" w:rsidP="00477D6B">
    <w:pPr>
      <w:jc w:val="right"/>
    </w:pPr>
    <w:bookmarkStart w:id="7" w:name="Code2"/>
    <w:bookmarkEnd w:id="7"/>
    <w:r>
      <w:t>PCT/WG/12/1</w:t>
    </w:r>
    <w:r w:rsidR="00822682">
      <w:t>8</w:t>
    </w:r>
  </w:p>
  <w:p w:rsidR="00EC4E49" w:rsidRDefault="00EC4E49" w:rsidP="00477D6B">
    <w:pPr>
      <w:jc w:val="right"/>
    </w:pPr>
    <w:r>
      <w:t xml:space="preserve">page </w:t>
    </w:r>
    <w:r>
      <w:fldChar w:fldCharType="begin"/>
    </w:r>
    <w:r>
      <w:instrText xml:space="preserve"> PAGE  \* MERGEFORMAT </w:instrText>
    </w:r>
    <w:r>
      <w:fldChar w:fldCharType="separate"/>
    </w:r>
    <w:r w:rsidR="00405822">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867469"/>
    <w:multiLevelType w:val="hybridMultilevel"/>
    <w:tmpl w:val="42DE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Defaul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7E58DB"/>
    <w:rsid w:val="00014D92"/>
    <w:rsid w:val="00043CAA"/>
    <w:rsid w:val="00050B65"/>
    <w:rsid w:val="000512CD"/>
    <w:rsid w:val="00075432"/>
    <w:rsid w:val="000968ED"/>
    <w:rsid w:val="000A446C"/>
    <w:rsid w:val="000C5DB5"/>
    <w:rsid w:val="000C6CD0"/>
    <w:rsid w:val="000D5EE6"/>
    <w:rsid w:val="000E3B55"/>
    <w:rsid w:val="000F5E56"/>
    <w:rsid w:val="001008E1"/>
    <w:rsid w:val="0012111F"/>
    <w:rsid w:val="001362EE"/>
    <w:rsid w:val="00147B76"/>
    <w:rsid w:val="00152D9D"/>
    <w:rsid w:val="00153C0C"/>
    <w:rsid w:val="00155FEE"/>
    <w:rsid w:val="001647D5"/>
    <w:rsid w:val="001832A6"/>
    <w:rsid w:val="0018683D"/>
    <w:rsid w:val="00187FAE"/>
    <w:rsid w:val="001A0634"/>
    <w:rsid w:val="001B0AD3"/>
    <w:rsid w:val="001B69EF"/>
    <w:rsid w:val="001C5080"/>
    <w:rsid w:val="001E7A02"/>
    <w:rsid w:val="0021217E"/>
    <w:rsid w:val="00244257"/>
    <w:rsid w:val="00246501"/>
    <w:rsid w:val="002604E0"/>
    <w:rsid w:val="002634C4"/>
    <w:rsid w:val="0027220B"/>
    <w:rsid w:val="002928D3"/>
    <w:rsid w:val="002B2F94"/>
    <w:rsid w:val="002E08DC"/>
    <w:rsid w:val="002F1FE6"/>
    <w:rsid w:val="002F4E68"/>
    <w:rsid w:val="003001D4"/>
    <w:rsid w:val="00312F7F"/>
    <w:rsid w:val="0033164B"/>
    <w:rsid w:val="003439A4"/>
    <w:rsid w:val="00361450"/>
    <w:rsid w:val="00363706"/>
    <w:rsid w:val="003673CF"/>
    <w:rsid w:val="003845C1"/>
    <w:rsid w:val="003A6F89"/>
    <w:rsid w:val="003B2491"/>
    <w:rsid w:val="003B38C1"/>
    <w:rsid w:val="003B6A2B"/>
    <w:rsid w:val="003D5922"/>
    <w:rsid w:val="003E5F35"/>
    <w:rsid w:val="00405822"/>
    <w:rsid w:val="00412B22"/>
    <w:rsid w:val="00423E3E"/>
    <w:rsid w:val="00427AF4"/>
    <w:rsid w:val="004455EE"/>
    <w:rsid w:val="00461C35"/>
    <w:rsid w:val="00462D1D"/>
    <w:rsid w:val="004647DA"/>
    <w:rsid w:val="00474062"/>
    <w:rsid w:val="00477D6B"/>
    <w:rsid w:val="0048515D"/>
    <w:rsid w:val="00490DF7"/>
    <w:rsid w:val="004D3935"/>
    <w:rsid w:val="005019FF"/>
    <w:rsid w:val="005029B9"/>
    <w:rsid w:val="00512604"/>
    <w:rsid w:val="0053057A"/>
    <w:rsid w:val="00534438"/>
    <w:rsid w:val="00560A29"/>
    <w:rsid w:val="0057367B"/>
    <w:rsid w:val="005A2D98"/>
    <w:rsid w:val="005C6649"/>
    <w:rsid w:val="00600365"/>
    <w:rsid w:val="00605827"/>
    <w:rsid w:val="00646050"/>
    <w:rsid w:val="00661B60"/>
    <w:rsid w:val="006713CA"/>
    <w:rsid w:val="00676C5C"/>
    <w:rsid w:val="006A42BA"/>
    <w:rsid w:val="006E51C0"/>
    <w:rsid w:val="006F16DC"/>
    <w:rsid w:val="00763D3E"/>
    <w:rsid w:val="007708A8"/>
    <w:rsid w:val="00791FFB"/>
    <w:rsid w:val="007A05DD"/>
    <w:rsid w:val="007D1613"/>
    <w:rsid w:val="007E30E9"/>
    <w:rsid w:val="007E4C0E"/>
    <w:rsid w:val="007E55BA"/>
    <w:rsid w:val="007E58DB"/>
    <w:rsid w:val="00820FBB"/>
    <w:rsid w:val="00822682"/>
    <w:rsid w:val="00822B60"/>
    <w:rsid w:val="00853BED"/>
    <w:rsid w:val="00876524"/>
    <w:rsid w:val="00896D3A"/>
    <w:rsid w:val="008A11EF"/>
    <w:rsid w:val="008A134B"/>
    <w:rsid w:val="008B16E8"/>
    <w:rsid w:val="008B2CC1"/>
    <w:rsid w:val="008B60B2"/>
    <w:rsid w:val="008C6DC0"/>
    <w:rsid w:val="008D0278"/>
    <w:rsid w:val="008D7E19"/>
    <w:rsid w:val="0090367E"/>
    <w:rsid w:val="0090731E"/>
    <w:rsid w:val="009156C9"/>
    <w:rsid w:val="00916EE2"/>
    <w:rsid w:val="009354F6"/>
    <w:rsid w:val="00960C49"/>
    <w:rsid w:val="00966A22"/>
    <w:rsid w:val="00966EFF"/>
    <w:rsid w:val="0096722F"/>
    <w:rsid w:val="00980843"/>
    <w:rsid w:val="00983C26"/>
    <w:rsid w:val="0098547F"/>
    <w:rsid w:val="009A0D29"/>
    <w:rsid w:val="009C18B1"/>
    <w:rsid w:val="009E2791"/>
    <w:rsid w:val="009E3F6F"/>
    <w:rsid w:val="009F499F"/>
    <w:rsid w:val="00A103B7"/>
    <w:rsid w:val="00A1612E"/>
    <w:rsid w:val="00A37342"/>
    <w:rsid w:val="00A42DAF"/>
    <w:rsid w:val="00A45BD8"/>
    <w:rsid w:val="00A56FB9"/>
    <w:rsid w:val="00A61044"/>
    <w:rsid w:val="00A84A80"/>
    <w:rsid w:val="00A869B7"/>
    <w:rsid w:val="00AB7C6E"/>
    <w:rsid w:val="00AC205C"/>
    <w:rsid w:val="00AC7631"/>
    <w:rsid w:val="00AC7CCC"/>
    <w:rsid w:val="00AF049C"/>
    <w:rsid w:val="00AF0A6B"/>
    <w:rsid w:val="00B05A69"/>
    <w:rsid w:val="00B2233E"/>
    <w:rsid w:val="00B243A6"/>
    <w:rsid w:val="00B348C1"/>
    <w:rsid w:val="00B5453D"/>
    <w:rsid w:val="00B61675"/>
    <w:rsid w:val="00B9734B"/>
    <w:rsid w:val="00BA277D"/>
    <w:rsid w:val="00BA30E2"/>
    <w:rsid w:val="00BB03F1"/>
    <w:rsid w:val="00BE6231"/>
    <w:rsid w:val="00C11BFE"/>
    <w:rsid w:val="00C13C15"/>
    <w:rsid w:val="00C241E3"/>
    <w:rsid w:val="00C5068F"/>
    <w:rsid w:val="00C52FCB"/>
    <w:rsid w:val="00C84ABF"/>
    <w:rsid w:val="00C86D74"/>
    <w:rsid w:val="00CA3893"/>
    <w:rsid w:val="00CD04F1"/>
    <w:rsid w:val="00CF2F25"/>
    <w:rsid w:val="00D1368D"/>
    <w:rsid w:val="00D14B04"/>
    <w:rsid w:val="00D20EDA"/>
    <w:rsid w:val="00D217E5"/>
    <w:rsid w:val="00D42614"/>
    <w:rsid w:val="00D44837"/>
    <w:rsid w:val="00D45252"/>
    <w:rsid w:val="00D57BD5"/>
    <w:rsid w:val="00D71B4D"/>
    <w:rsid w:val="00D76F68"/>
    <w:rsid w:val="00D90649"/>
    <w:rsid w:val="00D916D2"/>
    <w:rsid w:val="00D93D55"/>
    <w:rsid w:val="00DC2527"/>
    <w:rsid w:val="00DE043C"/>
    <w:rsid w:val="00DF7ED9"/>
    <w:rsid w:val="00E000AD"/>
    <w:rsid w:val="00E15015"/>
    <w:rsid w:val="00E22BC8"/>
    <w:rsid w:val="00E23EF6"/>
    <w:rsid w:val="00E30DFE"/>
    <w:rsid w:val="00E335FE"/>
    <w:rsid w:val="00E372CB"/>
    <w:rsid w:val="00E52B7E"/>
    <w:rsid w:val="00E650C4"/>
    <w:rsid w:val="00E93178"/>
    <w:rsid w:val="00EA7D6E"/>
    <w:rsid w:val="00EC4E49"/>
    <w:rsid w:val="00EC7BB6"/>
    <w:rsid w:val="00ED0B07"/>
    <w:rsid w:val="00ED77FB"/>
    <w:rsid w:val="00ED7C7E"/>
    <w:rsid w:val="00EE45FA"/>
    <w:rsid w:val="00EF626D"/>
    <w:rsid w:val="00F10E1B"/>
    <w:rsid w:val="00F12D99"/>
    <w:rsid w:val="00F435F6"/>
    <w:rsid w:val="00F55D54"/>
    <w:rsid w:val="00F66152"/>
    <w:rsid w:val="00F84DDE"/>
    <w:rsid w:val="00F86CF8"/>
    <w:rsid w:val="00F960DD"/>
    <w:rsid w:val="00FC516F"/>
    <w:rsid w:val="00FD3477"/>
    <w:rsid w:val="00FD6328"/>
    <w:rsid w:val="00FF461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05DEA7"/>
  <w15:docId w15:val="{F99859BF-C07D-46B3-BAF5-15EB2664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Hyperlink">
    <w:name w:val="Hyperlink"/>
    <w:basedOn w:val="DefaultParagraphFont"/>
    <w:semiHidden/>
    <w:unhideWhenUsed/>
    <w:rsid w:val="00B61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25B7-8FC3-4E04-BFD5-F8325955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(E).dotm</Template>
  <TotalTime>346</TotalTime>
  <Pages>4</Pages>
  <Words>1607</Words>
  <Characters>9712</Characters>
  <Application>Microsoft Office Word</Application>
  <DocSecurity>0</DocSecurity>
  <Lines>154</Lines>
  <Paragraphs>65</Paragraphs>
  <ScaleCrop>false</ScaleCrop>
  <HeadingPairs>
    <vt:vector size="2" baseType="variant">
      <vt:variant>
        <vt:lpstr>Title</vt:lpstr>
      </vt:variant>
      <vt:variant>
        <vt:i4>1</vt:i4>
      </vt:variant>
    </vt:vector>
  </HeadingPairs>
  <TitlesOfParts>
    <vt:vector size="1" baseType="lpstr">
      <vt:lpstr>PCT/WG/12/18</vt:lpstr>
    </vt:vector>
  </TitlesOfParts>
  <Company>WIPO</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PCT/WG/12/18</dc:title>
  <dc:creator>WIPO</dc:creator>
  <cp:keywords>Competent ISA/IPEA;  Receiving Office</cp:keywords>
  <cp:lastModifiedBy>COUTURE Sébastien</cp:lastModifiedBy>
  <cp:revision>106</cp:revision>
  <cp:lastPrinted>2019-05-13T15:05:00Z</cp:lastPrinted>
  <dcterms:created xsi:type="dcterms:W3CDTF">2019-05-13T15:20:00Z</dcterms:created>
  <dcterms:modified xsi:type="dcterms:W3CDTF">2019-05-21T12:29:00Z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