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300C3" w:rsidRPr="008B1F38" w:rsidTr="008B1F3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300C3" w:rsidRPr="008B1F38" w:rsidRDefault="007300C3" w:rsidP="008B1F3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00C3" w:rsidRPr="008B1F38" w:rsidRDefault="007300C3" w:rsidP="008B1F38">
            <w:pPr>
              <w:rPr>
                <w:lang w:val="fr-FR"/>
              </w:rPr>
            </w:pPr>
            <w:r w:rsidRPr="008B1F38">
              <w:rPr>
                <w:noProof/>
                <w:lang w:val="fr-FR" w:eastAsia="fr-FR"/>
              </w:rPr>
              <w:drawing>
                <wp:inline distT="0" distB="0" distL="0" distR="0" wp14:anchorId="24E3CE0C" wp14:editId="52647B8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00C3" w:rsidRPr="008B1F38" w:rsidRDefault="007300C3" w:rsidP="008B1F38">
            <w:pPr>
              <w:jc w:val="right"/>
              <w:rPr>
                <w:lang w:val="fr-FR"/>
              </w:rPr>
            </w:pPr>
            <w:r w:rsidRPr="008B1F3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300C3" w:rsidRPr="008B1F38" w:rsidTr="008B1F3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300C3" w:rsidRPr="008B1F38" w:rsidRDefault="007300C3" w:rsidP="008B1F3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1F38">
              <w:rPr>
                <w:rFonts w:ascii="Arial Black" w:hAnsi="Arial Black"/>
                <w:caps/>
                <w:sz w:val="15"/>
                <w:lang w:val="fr-FR"/>
              </w:rPr>
              <w:t>PCT/WG/12/</w:t>
            </w:r>
            <w:bookmarkStart w:id="1" w:name="Code"/>
            <w:bookmarkEnd w:id="1"/>
            <w:r w:rsidRPr="008B1F38">
              <w:rPr>
                <w:rFonts w:ascii="Arial Black" w:hAnsi="Arial Black"/>
                <w:caps/>
                <w:sz w:val="15"/>
                <w:lang w:val="fr-FR"/>
              </w:rPr>
              <w:t>12</w:t>
            </w:r>
          </w:p>
        </w:tc>
      </w:tr>
      <w:tr w:rsidR="007300C3" w:rsidRPr="008B1F38" w:rsidTr="008B1F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300C3" w:rsidRPr="008B1F38" w:rsidRDefault="007300C3" w:rsidP="008B1F3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1F3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B34D5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B1F3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8B1F38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7300C3" w:rsidRPr="008B1F38" w:rsidTr="008B1F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300C3" w:rsidRPr="008B1F38" w:rsidRDefault="007300C3" w:rsidP="008B1F3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1F3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B34D5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B1F3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5E6A24" w:rsidRPr="008B1F38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5E6A2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E6A24" w:rsidRPr="008B1F38">
              <w:rPr>
                <w:rFonts w:ascii="Arial Black" w:hAnsi="Arial Black"/>
                <w:caps/>
                <w:sz w:val="15"/>
                <w:lang w:val="fr-FR"/>
              </w:rPr>
              <w:t>mai</w:t>
            </w:r>
            <w:r w:rsidR="005E6A2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E6A24" w:rsidRPr="008B1F38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8B1F38">
              <w:rPr>
                <w:rFonts w:ascii="Arial Black" w:hAnsi="Arial Black"/>
                <w:caps/>
                <w:sz w:val="15"/>
                <w:lang w:val="fr-FR"/>
              </w:rPr>
              <w:t xml:space="preserve">19 </w:t>
            </w:r>
          </w:p>
        </w:tc>
      </w:tr>
    </w:tbl>
    <w:p w:rsidR="008B1F38" w:rsidRPr="008B1F38" w:rsidRDefault="008B1F38" w:rsidP="007300C3">
      <w:pPr>
        <w:rPr>
          <w:lang w:val="fr-FR"/>
        </w:rPr>
      </w:pPr>
    </w:p>
    <w:p w:rsidR="008B1F38" w:rsidRPr="008B1F38" w:rsidRDefault="008B1F38" w:rsidP="007300C3">
      <w:pPr>
        <w:rPr>
          <w:lang w:val="fr-FR"/>
        </w:rPr>
      </w:pPr>
    </w:p>
    <w:p w:rsidR="008B1F38" w:rsidRPr="008B1F38" w:rsidRDefault="008B1F38" w:rsidP="007300C3">
      <w:pPr>
        <w:rPr>
          <w:lang w:val="fr-FR"/>
        </w:rPr>
      </w:pPr>
    </w:p>
    <w:p w:rsidR="008B1F38" w:rsidRPr="008B1F38" w:rsidRDefault="008B1F38" w:rsidP="007300C3">
      <w:pPr>
        <w:rPr>
          <w:lang w:val="fr-FR"/>
        </w:rPr>
      </w:pPr>
    </w:p>
    <w:p w:rsidR="008B1F38" w:rsidRPr="008B1F38" w:rsidRDefault="008B1F38" w:rsidP="007300C3">
      <w:pPr>
        <w:rPr>
          <w:lang w:val="fr-FR"/>
        </w:rPr>
      </w:pPr>
    </w:p>
    <w:p w:rsidR="008B1F38" w:rsidRPr="008B1F38" w:rsidRDefault="007300C3" w:rsidP="007300C3">
      <w:pPr>
        <w:rPr>
          <w:b/>
          <w:sz w:val="28"/>
          <w:szCs w:val="28"/>
          <w:lang w:val="fr-FR"/>
        </w:rPr>
      </w:pPr>
      <w:r w:rsidRPr="008B1F38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8B1F38" w:rsidRPr="008B1F38" w:rsidRDefault="008B1F38" w:rsidP="007300C3">
      <w:pPr>
        <w:rPr>
          <w:lang w:val="fr-FR"/>
        </w:rPr>
      </w:pPr>
    </w:p>
    <w:p w:rsidR="008B1F38" w:rsidRPr="008B1F38" w:rsidRDefault="008B1F38" w:rsidP="007300C3">
      <w:pPr>
        <w:rPr>
          <w:lang w:val="fr-FR"/>
        </w:rPr>
      </w:pPr>
    </w:p>
    <w:p w:rsidR="008B1F38" w:rsidRPr="008B1F38" w:rsidRDefault="007300C3" w:rsidP="007300C3">
      <w:pPr>
        <w:rPr>
          <w:b/>
          <w:sz w:val="24"/>
          <w:szCs w:val="24"/>
          <w:lang w:val="fr-FR"/>
        </w:rPr>
      </w:pPr>
      <w:r w:rsidRPr="008B1F38">
        <w:rPr>
          <w:b/>
          <w:sz w:val="24"/>
          <w:szCs w:val="24"/>
          <w:lang w:val="fr-FR"/>
        </w:rPr>
        <w:t>Douz</w:t>
      </w:r>
      <w:r w:rsidR="005E6A24">
        <w:rPr>
          <w:b/>
          <w:sz w:val="24"/>
          <w:szCs w:val="24"/>
          <w:lang w:val="fr-FR"/>
        </w:rPr>
        <w:t>ième session</w:t>
      </w:r>
    </w:p>
    <w:p w:rsidR="008B1F38" w:rsidRPr="008B1F38" w:rsidRDefault="007300C3" w:rsidP="007300C3">
      <w:pPr>
        <w:rPr>
          <w:b/>
          <w:sz w:val="24"/>
          <w:szCs w:val="24"/>
          <w:lang w:val="fr-FR"/>
        </w:rPr>
      </w:pPr>
      <w:r w:rsidRPr="008B1F38">
        <w:rPr>
          <w:b/>
          <w:sz w:val="24"/>
          <w:szCs w:val="24"/>
          <w:lang w:val="fr-FR"/>
        </w:rPr>
        <w:t>Genève, 11 – 14</w:t>
      </w:r>
      <w:r w:rsidR="00581EB8">
        <w:rPr>
          <w:b/>
          <w:sz w:val="24"/>
          <w:szCs w:val="24"/>
          <w:lang w:val="fr-FR"/>
        </w:rPr>
        <w:t> </w:t>
      </w:r>
      <w:r w:rsidRPr="008B1F38">
        <w:rPr>
          <w:b/>
          <w:sz w:val="24"/>
          <w:szCs w:val="24"/>
          <w:lang w:val="fr-FR"/>
        </w:rPr>
        <w:t>juin</w:t>
      </w:r>
      <w:r w:rsidR="00581EB8">
        <w:rPr>
          <w:b/>
          <w:sz w:val="24"/>
          <w:szCs w:val="24"/>
          <w:lang w:val="fr-FR"/>
        </w:rPr>
        <w:t> </w:t>
      </w:r>
      <w:r w:rsidRPr="008B1F38">
        <w:rPr>
          <w:b/>
          <w:sz w:val="24"/>
          <w:szCs w:val="24"/>
          <w:lang w:val="fr-FR"/>
        </w:rPr>
        <w:t>2019</w:t>
      </w:r>
    </w:p>
    <w:p w:rsidR="008B1F38" w:rsidRPr="008B1F38" w:rsidRDefault="008B1F38" w:rsidP="007300C3">
      <w:pPr>
        <w:rPr>
          <w:lang w:val="fr-FR"/>
        </w:rPr>
      </w:pPr>
    </w:p>
    <w:p w:rsidR="008B1F38" w:rsidRPr="008B1F38" w:rsidRDefault="008B1F38" w:rsidP="007300C3">
      <w:pPr>
        <w:rPr>
          <w:lang w:val="fr-FR"/>
        </w:rPr>
      </w:pPr>
    </w:p>
    <w:p w:rsidR="008B1F38" w:rsidRPr="008B1F38" w:rsidRDefault="008B1F38" w:rsidP="007300C3">
      <w:pPr>
        <w:rPr>
          <w:lang w:val="fr-FR"/>
        </w:rPr>
      </w:pPr>
    </w:p>
    <w:p w:rsidR="008B1F38" w:rsidRPr="00A24BDE" w:rsidRDefault="00B65F73" w:rsidP="008B2CC1">
      <w:pPr>
        <w:rPr>
          <w:caps/>
          <w:sz w:val="24"/>
          <w:lang w:val="fr-FR"/>
        </w:rPr>
      </w:pPr>
      <w:r w:rsidRPr="00A24BDE">
        <w:rPr>
          <w:caps/>
          <w:sz w:val="24"/>
          <w:lang w:val="fr-FR"/>
        </w:rPr>
        <w:t xml:space="preserve">Proposition relative à </w:t>
      </w:r>
      <w:r w:rsidR="00C80339" w:rsidRPr="00A24BDE">
        <w:rPr>
          <w:caps/>
          <w:sz w:val="24"/>
          <w:lang w:val="fr-FR"/>
        </w:rPr>
        <w:t>la mise à disposition du</w:t>
      </w:r>
      <w:r w:rsidRPr="00A24BDE">
        <w:rPr>
          <w:caps/>
          <w:sz w:val="24"/>
          <w:lang w:val="fr-FR"/>
        </w:rPr>
        <w:t xml:space="preserve"> dossier détenu par l</w:t>
      </w:r>
      <w:r w:rsidR="005E6A24" w:rsidRPr="00A24BDE">
        <w:rPr>
          <w:caps/>
          <w:sz w:val="24"/>
          <w:lang w:val="fr-FR"/>
        </w:rPr>
        <w:t>’</w:t>
      </w:r>
      <w:r w:rsidRPr="00A24BDE">
        <w:rPr>
          <w:caps/>
          <w:sz w:val="24"/>
          <w:lang w:val="fr-FR"/>
        </w:rPr>
        <w:t>administration chargée de l</w:t>
      </w:r>
      <w:r w:rsidR="005E6A24" w:rsidRPr="00A24BDE">
        <w:rPr>
          <w:caps/>
          <w:sz w:val="24"/>
          <w:lang w:val="fr-FR"/>
        </w:rPr>
        <w:t>’</w:t>
      </w:r>
      <w:r w:rsidRPr="00A24BDE">
        <w:rPr>
          <w:caps/>
          <w:sz w:val="24"/>
          <w:lang w:val="fr-FR"/>
        </w:rPr>
        <w:t>examen préliminaire international</w:t>
      </w:r>
    </w:p>
    <w:p w:rsidR="008B1F38" w:rsidRPr="00A24BDE" w:rsidRDefault="008B1F38" w:rsidP="008B2CC1">
      <w:pPr>
        <w:rPr>
          <w:lang w:val="fr-FR"/>
        </w:rPr>
      </w:pPr>
    </w:p>
    <w:p w:rsidR="008B1F38" w:rsidRPr="00A24BDE" w:rsidRDefault="0048131D" w:rsidP="008B2CC1">
      <w:pPr>
        <w:rPr>
          <w:i/>
          <w:lang w:val="fr-FR"/>
        </w:rPr>
      </w:pPr>
      <w:bookmarkStart w:id="4" w:name="Prepared"/>
      <w:bookmarkEnd w:id="4"/>
      <w:r w:rsidRPr="00A24BDE">
        <w:rPr>
          <w:i/>
          <w:lang w:val="fr-FR"/>
        </w:rPr>
        <w:t xml:space="preserve">Document </w:t>
      </w:r>
      <w:r w:rsidR="00B65F73" w:rsidRPr="00A24BDE">
        <w:rPr>
          <w:i/>
          <w:lang w:val="fr-FR"/>
        </w:rPr>
        <w:t>établi par Singapour</w:t>
      </w:r>
    </w:p>
    <w:p w:rsidR="008B1F38" w:rsidRPr="00A24BDE" w:rsidRDefault="008B1F38">
      <w:pPr>
        <w:rPr>
          <w:lang w:val="fr-FR"/>
        </w:rPr>
      </w:pPr>
    </w:p>
    <w:p w:rsidR="008B1F38" w:rsidRPr="00A24BDE" w:rsidRDefault="008B1F38">
      <w:pPr>
        <w:rPr>
          <w:lang w:val="fr-FR"/>
        </w:rPr>
      </w:pPr>
    </w:p>
    <w:p w:rsidR="008B1F38" w:rsidRPr="00A24BDE" w:rsidRDefault="008B1F38">
      <w:pPr>
        <w:rPr>
          <w:lang w:val="fr-FR"/>
        </w:rPr>
      </w:pPr>
    </w:p>
    <w:p w:rsidR="008B1F38" w:rsidRPr="00A24BDE" w:rsidRDefault="008B1F38" w:rsidP="0053057A">
      <w:pPr>
        <w:rPr>
          <w:lang w:val="fr-FR"/>
        </w:rPr>
      </w:pPr>
    </w:p>
    <w:p w:rsidR="008B1F38" w:rsidRPr="00A24BDE" w:rsidRDefault="00C80339" w:rsidP="00C80339">
      <w:pPr>
        <w:pStyle w:val="Heading1"/>
        <w:rPr>
          <w:lang w:val="fr-FR"/>
        </w:rPr>
      </w:pPr>
      <w:bookmarkStart w:id="5" w:name="_Toc8132430"/>
      <w:r w:rsidRPr="00A24BDE">
        <w:rPr>
          <w:lang w:val="fr-FR"/>
        </w:rPr>
        <w:t>Résumé</w:t>
      </w:r>
      <w:bookmarkEnd w:id="5"/>
    </w:p>
    <w:p w:rsidR="008B1F38" w:rsidRPr="00A24BDE" w:rsidRDefault="00C80339" w:rsidP="002D6DFB">
      <w:pPr>
        <w:pStyle w:val="ONUMFS"/>
        <w:rPr>
          <w:lang w:val="fr-FR"/>
        </w:rPr>
      </w:pPr>
      <w:r w:rsidRPr="00A24BDE">
        <w:rPr>
          <w:lang w:val="fr-FR"/>
        </w:rPr>
        <w:t>Le présent document contient des propositions tendant à exiger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administration chargée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 qu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elle remette au Bureau </w:t>
      </w:r>
      <w:r w:rsidR="00581EB8" w:rsidRPr="00A24BDE">
        <w:rPr>
          <w:lang w:val="fr-FR"/>
        </w:rPr>
        <w:t>i</w:t>
      </w:r>
      <w:r w:rsidRPr="00A24BDE">
        <w:rPr>
          <w:lang w:val="fr-FR"/>
        </w:rPr>
        <w:t>nternational une copie de certains documents contenus dans le dossier qu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elle détient</w:t>
      </w:r>
      <w:r w:rsidR="00B34D5F" w:rsidRPr="00A24BDE">
        <w:rPr>
          <w:lang w:val="fr-FR"/>
        </w:rPr>
        <w:t xml:space="preserve">.  </w:t>
      </w:r>
      <w:r w:rsidR="006C537A" w:rsidRPr="00A24BDE">
        <w:rPr>
          <w:lang w:val="fr-FR"/>
        </w:rPr>
        <w:t xml:space="preserve">Cela </w:t>
      </w:r>
      <w:r w:rsidR="003C3C22" w:rsidRPr="00A24BDE">
        <w:rPr>
          <w:lang w:val="fr-FR"/>
        </w:rPr>
        <w:t>faciliterait</w:t>
      </w:r>
      <w:r w:rsidR="006C537A" w:rsidRPr="00A24BDE">
        <w:rPr>
          <w:lang w:val="fr-FR"/>
        </w:rPr>
        <w:t xml:space="preserve"> l</w:t>
      </w:r>
      <w:r w:rsidR="005E6A24" w:rsidRPr="00A24BDE">
        <w:rPr>
          <w:lang w:val="fr-FR"/>
        </w:rPr>
        <w:t>’</w:t>
      </w:r>
      <w:r w:rsidR="006C537A" w:rsidRPr="00A24BDE">
        <w:rPr>
          <w:lang w:val="fr-FR"/>
        </w:rPr>
        <w:t xml:space="preserve">accès </w:t>
      </w:r>
      <w:r w:rsidR="00DE646C" w:rsidRPr="00A24BDE">
        <w:rPr>
          <w:lang w:val="fr-FR"/>
        </w:rPr>
        <w:t>des</w:t>
      </w:r>
      <w:r w:rsidR="006C537A" w:rsidRPr="00A24BDE">
        <w:rPr>
          <w:lang w:val="fr-FR"/>
        </w:rPr>
        <w:t xml:space="preserve"> examinateurs </w:t>
      </w:r>
      <w:r w:rsidR="003C3C22" w:rsidRPr="00A24BDE">
        <w:rPr>
          <w:lang w:val="fr-FR"/>
        </w:rPr>
        <w:t>des</w:t>
      </w:r>
      <w:r w:rsidR="006C537A" w:rsidRPr="00A24BDE">
        <w:rPr>
          <w:lang w:val="fr-FR"/>
        </w:rPr>
        <w:t xml:space="preserve"> offices élus</w:t>
      </w:r>
      <w:r w:rsidR="00DE646C" w:rsidRPr="00A24BDE">
        <w:rPr>
          <w:lang w:val="fr-FR"/>
        </w:rPr>
        <w:t xml:space="preserve"> à ces documents</w:t>
      </w:r>
      <w:r w:rsidR="00B34D5F" w:rsidRPr="00A24BDE">
        <w:rPr>
          <w:lang w:val="fr-FR"/>
        </w:rPr>
        <w:t xml:space="preserve">.  </w:t>
      </w:r>
      <w:r w:rsidR="006C537A" w:rsidRPr="00A24BDE">
        <w:rPr>
          <w:lang w:val="fr-FR"/>
        </w:rPr>
        <w:t xml:space="preserve">En outre, le Bureau international mettrait </w:t>
      </w:r>
      <w:r w:rsidR="003C3C22" w:rsidRPr="00A24BDE">
        <w:rPr>
          <w:lang w:val="fr-FR"/>
        </w:rPr>
        <w:t>ces</w:t>
      </w:r>
      <w:r w:rsidR="006C537A" w:rsidRPr="00A24BDE">
        <w:rPr>
          <w:lang w:val="fr-FR"/>
        </w:rPr>
        <w:t xml:space="preserve"> documents à la disposition du public au nom de l</w:t>
      </w:r>
      <w:r w:rsidR="005E6A24" w:rsidRPr="00A24BDE">
        <w:rPr>
          <w:lang w:val="fr-FR"/>
        </w:rPr>
        <w:t>’</w:t>
      </w:r>
      <w:r w:rsidR="006C537A" w:rsidRPr="00A24BDE">
        <w:rPr>
          <w:lang w:val="fr-FR"/>
        </w:rPr>
        <w:t>office élu, ce qui renforcerait la transparence de la procédure d</w:t>
      </w:r>
      <w:r w:rsidR="005E6A24" w:rsidRPr="00A24BDE">
        <w:rPr>
          <w:lang w:val="fr-FR"/>
        </w:rPr>
        <w:t>’</w:t>
      </w:r>
      <w:r w:rsidR="006C537A" w:rsidRPr="00A24BDE">
        <w:rPr>
          <w:lang w:val="fr-FR"/>
        </w:rPr>
        <w:t>examen préliminaire international.</w:t>
      </w:r>
    </w:p>
    <w:p w:rsidR="008B1F38" w:rsidRPr="00A24BDE" w:rsidRDefault="006C537A" w:rsidP="006C537A">
      <w:pPr>
        <w:pStyle w:val="Heading1"/>
        <w:rPr>
          <w:lang w:val="fr-FR"/>
        </w:rPr>
      </w:pPr>
      <w:bookmarkStart w:id="6" w:name="_Toc8132431"/>
      <w:r w:rsidRPr="00A24BDE">
        <w:rPr>
          <w:lang w:val="fr-FR"/>
        </w:rPr>
        <w:t>Rappel</w:t>
      </w:r>
      <w:bookmarkEnd w:id="6"/>
    </w:p>
    <w:p w:rsidR="008B1F38" w:rsidRPr="00A24BDE" w:rsidRDefault="00383B45" w:rsidP="002D6DFB">
      <w:pPr>
        <w:pStyle w:val="ONUMFS"/>
        <w:rPr>
          <w:lang w:val="fr-FR"/>
        </w:rPr>
      </w:pPr>
      <w:r w:rsidRPr="00A24BDE">
        <w:rPr>
          <w:lang w:val="fr-FR"/>
        </w:rPr>
        <w:t>La transparence a été renforcée dans le cadre des procédures</w:t>
      </w:r>
      <w:r w:rsidR="005E6A24" w:rsidRPr="00A24BDE">
        <w:rPr>
          <w:lang w:val="fr-FR"/>
        </w:rPr>
        <w:t xml:space="preserve"> du PCT</w:t>
      </w:r>
      <w:r w:rsidRPr="00A24BDE">
        <w:rPr>
          <w:lang w:val="fr-FR"/>
        </w:rPr>
        <w:t xml:space="preserve">, notamment par la mise en place de mesures visant à promouvoir le lien entre la phase internationale et la phase nationale </w:t>
      </w:r>
      <w:r w:rsidR="00DE646C" w:rsidRPr="00A24BDE">
        <w:rPr>
          <w:lang w:val="fr-FR"/>
        </w:rPr>
        <w:t>afin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améliorer la prévisibilité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obtention de brevets pour les utilisateurs et </w:t>
      </w:r>
      <w:r w:rsidR="00DE646C" w:rsidRPr="00A24BDE">
        <w:rPr>
          <w:lang w:val="fr-FR"/>
        </w:rPr>
        <w:t>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éliminer la répétition inutile des travaux des offices nationaux ou régionaux</w:t>
      </w:r>
      <w:r w:rsidR="00B34D5F" w:rsidRPr="00A24BDE">
        <w:rPr>
          <w:lang w:val="fr-FR"/>
        </w:rPr>
        <w:t xml:space="preserve">.  </w:t>
      </w:r>
      <w:r w:rsidRPr="00A24BDE">
        <w:rPr>
          <w:lang w:val="fr-FR"/>
        </w:rPr>
        <w:t>À cet égard,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Assemblée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Union</w:t>
      </w:r>
      <w:r w:rsidR="005E6A24" w:rsidRPr="00A24BDE">
        <w:rPr>
          <w:lang w:val="fr-FR"/>
        </w:rPr>
        <w:t xml:space="preserve"> du PCT</w:t>
      </w:r>
      <w:r w:rsidRPr="00A24BDE">
        <w:rPr>
          <w:lang w:val="fr-FR"/>
        </w:rPr>
        <w:t>,</w:t>
      </w:r>
    </w:p>
    <w:p w:rsidR="005E6A24" w:rsidRPr="00A24BDE" w:rsidRDefault="00170108" w:rsidP="009C6249">
      <w:pPr>
        <w:pStyle w:val="ONUME"/>
        <w:numPr>
          <w:ilvl w:val="1"/>
          <w:numId w:val="5"/>
        </w:numPr>
        <w:rPr>
          <w:lang w:val="fr-FR"/>
        </w:rPr>
      </w:pPr>
      <w:proofErr w:type="gramStart"/>
      <w:r w:rsidRPr="00A24BDE">
        <w:rPr>
          <w:lang w:val="fr-FR"/>
        </w:rPr>
        <w:t>à</w:t>
      </w:r>
      <w:proofErr w:type="gramEnd"/>
      <w:r w:rsidRPr="00A24BDE">
        <w:rPr>
          <w:lang w:val="fr-FR"/>
        </w:rPr>
        <w:t xml:space="preserve"> sa vingt</w:t>
      </w:r>
      <w:r w:rsidR="005E6A24" w:rsidRPr="00A24BDE">
        <w:rPr>
          <w:lang w:val="fr-FR"/>
        </w:rPr>
        <w:t>-</w:t>
      </w:r>
      <w:r w:rsidRPr="00A24BDE">
        <w:rPr>
          <w:lang w:val="fr-FR"/>
        </w:rPr>
        <w:t>quatr</w:t>
      </w:r>
      <w:r w:rsidR="005E6A24" w:rsidRPr="00A24BDE">
        <w:rPr>
          <w:lang w:val="fr-FR"/>
        </w:rPr>
        <w:t>ième session</w:t>
      </w:r>
      <w:r w:rsidRPr="00A24BDE">
        <w:rPr>
          <w:lang w:val="fr-FR"/>
        </w:rPr>
        <w:t xml:space="preserve"> tenue </w:t>
      </w:r>
      <w:r w:rsidR="005E6A24" w:rsidRPr="00A24BDE">
        <w:rPr>
          <w:lang w:val="fr-FR"/>
        </w:rPr>
        <w:t>en 1997</w:t>
      </w:r>
      <w:r w:rsidRPr="00A24BDE">
        <w:rPr>
          <w:lang w:val="fr-FR"/>
        </w:rPr>
        <w:t>, a décidé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ajouter la règle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94.3 afin de donner la possibilité aux offices élus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autoriser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accès de tiers au dossier </w:t>
      </w:r>
      <w:r w:rsidR="0014164B" w:rsidRPr="00A24BDE">
        <w:rPr>
          <w:lang w:val="fr-FR"/>
        </w:rPr>
        <w:t>d</w:t>
      </w:r>
      <w:r w:rsidR="005E6A24" w:rsidRPr="00A24BDE">
        <w:rPr>
          <w:lang w:val="fr-FR"/>
        </w:rPr>
        <w:t>’</w:t>
      </w:r>
      <w:r w:rsidR="0014164B" w:rsidRPr="00A24BDE">
        <w:rPr>
          <w:lang w:val="fr-FR"/>
        </w:rPr>
        <w:t>une demande internationale</w:t>
      </w:r>
      <w:r w:rsidRPr="00A24BDE">
        <w:rPr>
          <w:lang w:val="fr-FR"/>
        </w:rPr>
        <w:t xml:space="preserve">, </w:t>
      </w:r>
      <w:r w:rsidR="005E6A24" w:rsidRPr="00A24BDE">
        <w:rPr>
          <w:lang w:val="fr-FR"/>
        </w:rPr>
        <w:t>y compris</w:t>
      </w:r>
      <w:r w:rsidRPr="00A24BDE">
        <w:rPr>
          <w:lang w:val="fr-FR"/>
        </w:rPr>
        <w:t xml:space="preserve"> à tout document se rapportant à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examen préliminaire international, </w:t>
      </w:r>
      <w:r w:rsidR="00DE646C" w:rsidRPr="00A24BDE">
        <w:rPr>
          <w:lang w:val="fr-FR"/>
        </w:rPr>
        <w:t>à l</w:t>
      </w:r>
      <w:r w:rsidR="005E6A24" w:rsidRPr="00A24BDE">
        <w:rPr>
          <w:lang w:val="fr-FR"/>
        </w:rPr>
        <w:t>’</w:t>
      </w:r>
      <w:r w:rsidR="00DE646C" w:rsidRPr="00A24BDE">
        <w:rPr>
          <w:lang w:val="fr-FR"/>
        </w:rPr>
        <w:t>instar de ce</w:t>
      </w:r>
      <w:r w:rsidRPr="00A24BDE">
        <w:rPr>
          <w:lang w:val="fr-FR"/>
        </w:rPr>
        <w:t xml:space="preserve"> que prévoit la législation nationale applicable à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office élu </w:t>
      </w:r>
      <w:r w:rsidR="005E6A24" w:rsidRPr="00A24BDE">
        <w:rPr>
          <w:lang w:val="fr-FR"/>
        </w:rPr>
        <w:t>à l’égard</w:t>
      </w:r>
      <w:r w:rsidR="00DE646C" w:rsidRPr="00A24BDE">
        <w:rPr>
          <w:lang w:val="fr-FR"/>
        </w:rPr>
        <w:t xml:space="preserve">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une demande nationale, mais pas avant la publication internationale;</w:t>
      </w:r>
    </w:p>
    <w:p w:rsidR="008B1F38" w:rsidRPr="00A24BDE" w:rsidRDefault="009C6249" w:rsidP="009C6249">
      <w:pPr>
        <w:pStyle w:val="ONUME"/>
        <w:numPr>
          <w:ilvl w:val="1"/>
          <w:numId w:val="5"/>
        </w:numPr>
        <w:rPr>
          <w:lang w:val="fr-FR"/>
        </w:rPr>
      </w:pPr>
      <w:proofErr w:type="gramStart"/>
      <w:r w:rsidRPr="00A24BDE">
        <w:rPr>
          <w:lang w:val="fr-FR"/>
        </w:rPr>
        <w:lastRenderedPageBreak/>
        <w:t>à</w:t>
      </w:r>
      <w:proofErr w:type="gramEnd"/>
      <w:r w:rsidRPr="00A24BDE">
        <w:rPr>
          <w:lang w:val="fr-FR"/>
        </w:rPr>
        <w:t xml:space="preserve"> sa trente</w:t>
      </w:r>
      <w:r w:rsidR="005E6A24" w:rsidRPr="00A24BDE">
        <w:rPr>
          <w:lang w:val="fr-FR"/>
        </w:rPr>
        <w:t> et unième session</w:t>
      </w:r>
      <w:r w:rsidRPr="00A24BDE">
        <w:rPr>
          <w:lang w:val="fr-FR"/>
        </w:rPr>
        <w:t xml:space="preserve"> tenue </w:t>
      </w:r>
      <w:r w:rsidR="005E6A24" w:rsidRPr="00A24BDE">
        <w:rPr>
          <w:lang w:val="fr-FR"/>
        </w:rPr>
        <w:t>en 2002</w:t>
      </w:r>
      <w:r w:rsidRPr="00A24BDE">
        <w:rPr>
          <w:lang w:val="fr-FR"/>
        </w:rPr>
        <w:t>, a décidé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ajouter la </w:t>
      </w:r>
      <w:r w:rsidR="005E6A24" w:rsidRPr="00A24BDE">
        <w:rPr>
          <w:lang w:val="fr-FR"/>
        </w:rPr>
        <w:t>règle 9</w:t>
      </w:r>
      <w:r w:rsidRPr="00A24BDE">
        <w:rPr>
          <w:lang w:val="fr-FR"/>
        </w:rPr>
        <w:t>4.1</w:t>
      </w:r>
      <w:r w:rsidR="00001C22" w:rsidRPr="00A24BDE">
        <w:rPr>
          <w:lang w:val="fr-FR"/>
        </w:rPr>
        <w:t>.</w:t>
      </w:r>
      <w:r w:rsidRPr="00A24BDE">
        <w:rPr>
          <w:lang w:val="fr-FR"/>
        </w:rPr>
        <w:t>c)</w:t>
      </w:r>
      <w:r w:rsidR="001B5535" w:rsidRPr="00A24BDE">
        <w:rPr>
          <w:lang w:val="fr-FR"/>
        </w:rPr>
        <w:t xml:space="preserve"> de façon à permettre</w:t>
      </w:r>
      <w:r w:rsidRPr="00A24BDE">
        <w:rPr>
          <w:lang w:val="fr-FR"/>
        </w:rPr>
        <w:t xml:space="preserve"> au Bureau international de mettre à disposition au nom des offices élus des copies du rapport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international, avec effet au</w:t>
      </w:r>
      <w:r w:rsidR="005E6A24" w:rsidRPr="00A24BDE">
        <w:rPr>
          <w:lang w:val="fr-FR"/>
        </w:rPr>
        <w:t xml:space="preserve"> 1</w:t>
      </w:r>
      <w:r w:rsidR="005E6A24" w:rsidRPr="00A24BDE">
        <w:rPr>
          <w:vertAlign w:val="superscript"/>
          <w:lang w:val="fr-FR"/>
        </w:rPr>
        <w:t>er</w:t>
      </w:r>
      <w:r w:rsidR="005E6A24" w:rsidRPr="00A24BDE">
        <w:rPr>
          <w:lang w:val="fr-FR"/>
        </w:rPr>
        <w:t> </w:t>
      </w:r>
      <w:r w:rsidRPr="00A24BDE">
        <w:rPr>
          <w:lang w:val="fr-FR"/>
        </w:rPr>
        <w:t>janvier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2004</w:t>
      </w:r>
      <w:r w:rsidR="00B34D5F" w:rsidRPr="00A24BDE">
        <w:rPr>
          <w:lang w:val="fr-FR"/>
        </w:rPr>
        <w:t xml:space="preserve">;  </w:t>
      </w:r>
      <w:r w:rsidRPr="00A24BDE">
        <w:rPr>
          <w:lang w:val="fr-FR"/>
        </w:rPr>
        <w:t>et</w:t>
      </w:r>
    </w:p>
    <w:p w:rsidR="005E6A24" w:rsidRPr="00A24BDE" w:rsidRDefault="009C6249" w:rsidP="009C6249">
      <w:pPr>
        <w:pStyle w:val="ONUME"/>
        <w:numPr>
          <w:ilvl w:val="1"/>
          <w:numId w:val="5"/>
        </w:numPr>
        <w:rPr>
          <w:lang w:val="fr-FR"/>
        </w:rPr>
      </w:pPr>
      <w:proofErr w:type="gramStart"/>
      <w:r w:rsidRPr="00A24BDE">
        <w:rPr>
          <w:lang w:val="fr-FR"/>
        </w:rPr>
        <w:t>à</w:t>
      </w:r>
      <w:proofErr w:type="gramEnd"/>
      <w:r w:rsidRPr="00A24BDE">
        <w:rPr>
          <w:lang w:val="fr-FR"/>
        </w:rPr>
        <w:t xml:space="preserve"> sa quarante</w:t>
      </w:r>
      <w:r w:rsidR="005E6A24" w:rsidRPr="00A24BDE">
        <w:rPr>
          <w:lang w:val="fr-FR"/>
        </w:rPr>
        <w:t>-</w:t>
      </w:r>
      <w:r w:rsidRPr="00A24BDE">
        <w:rPr>
          <w:lang w:val="fr-FR"/>
        </w:rPr>
        <w:t>quatr</w:t>
      </w:r>
      <w:r w:rsidR="005E6A24" w:rsidRPr="00A24BDE">
        <w:rPr>
          <w:lang w:val="fr-FR"/>
        </w:rPr>
        <w:t>ième session</w:t>
      </w:r>
      <w:r w:rsidRPr="00A24BDE">
        <w:rPr>
          <w:lang w:val="fr-FR"/>
        </w:rPr>
        <w:t xml:space="preserve"> tenue </w:t>
      </w:r>
      <w:r w:rsidR="005E6A24" w:rsidRPr="00A24BDE">
        <w:rPr>
          <w:lang w:val="fr-FR"/>
        </w:rPr>
        <w:t>en 2013</w:t>
      </w:r>
      <w:r w:rsidRPr="00A24BDE">
        <w:rPr>
          <w:lang w:val="fr-FR"/>
        </w:rPr>
        <w:t>,</w:t>
      </w:r>
      <w:r w:rsidR="005F4EBF" w:rsidRPr="00A24BDE">
        <w:rPr>
          <w:lang w:val="fr-FR"/>
        </w:rPr>
        <w:t xml:space="preserve"> a décidé de supprimer la règle </w:t>
      </w:r>
      <w:r w:rsidRPr="00A24BDE">
        <w:rPr>
          <w:lang w:val="fr-FR"/>
        </w:rPr>
        <w:t>4</w:t>
      </w:r>
      <w:r w:rsidR="00B34D5F" w:rsidRPr="00A24BDE">
        <w:rPr>
          <w:lang w:val="fr-FR"/>
        </w:rPr>
        <w:t>4</w:t>
      </w:r>
      <w:r w:rsidR="00B34D5F" w:rsidRPr="00A24BDE">
        <w:rPr>
          <w:i/>
          <w:lang w:val="fr-FR"/>
        </w:rPr>
        <w:t>ter</w:t>
      </w:r>
      <w:r w:rsidRPr="00A24BDE">
        <w:rPr>
          <w:lang w:val="fr-FR"/>
        </w:rPr>
        <w:t xml:space="preserve"> et de modifier la </w:t>
      </w:r>
      <w:r w:rsidR="005E6A24" w:rsidRPr="00A24BDE">
        <w:rPr>
          <w:lang w:val="fr-FR"/>
        </w:rPr>
        <w:t>règle 9</w:t>
      </w:r>
      <w:r w:rsidRPr="00A24BDE">
        <w:rPr>
          <w:lang w:val="fr-FR"/>
        </w:rPr>
        <w:t>4.1</w:t>
      </w:r>
      <w:r w:rsidR="00001C22" w:rsidRPr="00A24BDE">
        <w:rPr>
          <w:lang w:val="fr-FR"/>
        </w:rPr>
        <w:t>.</w:t>
      </w:r>
      <w:r w:rsidRPr="00A24BDE">
        <w:rPr>
          <w:lang w:val="fr-FR"/>
        </w:rPr>
        <w:t xml:space="preserve">b) </w:t>
      </w:r>
      <w:r w:rsidR="005F4EBF" w:rsidRPr="00A24BDE">
        <w:rPr>
          <w:lang w:val="fr-FR"/>
        </w:rPr>
        <w:t>de sorte</w:t>
      </w:r>
      <w:r w:rsidRPr="00A24BDE">
        <w:rPr>
          <w:lang w:val="fr-FR"/>
        </w:rPr>
        <w:t xml:space="preserve"> que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opinion écrite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administration chargée de la recherche internationale soit disponible à compter de la date de la publication internationale, avec effet au</w:t>
      </w:r>
      <w:r w:rsidR="005E6A24" w:rsidRPr="00A24BDE">
        <w:rPr>
          <w:lang w:val="fr-FR"/>
        </w:rPr>
        <w:t xml:space="preserve"> 1</w:t>
      </w:r>
      <w:r w:rsidR="005E6A24" w:rsidRPr="00A24BDE">
        <w:rPr>
          <w:vertAlign w:val="superscript"/>
          <w:lang w:val="fr-FR"/>
        </w:rPr>
        <w:t>er</w:t>
      </w:r>
      <w:r w:rsidR="005E6A24" w:rsidRPr="00A24BDE">
        <w:rPr>
          <w:lang w:val="fr-FR"/>
        </w:rPr>
        <w:t> </w:t>
      </w:r>
      <w:r w:rsidRPr="00A24BDE">
        <w:rPr>
          <w:lang w:val="fr-FR"/>
        </w:rPr>
        <w:t>juillet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2014.</w:t>
      </w:r>
    </w:p>
    <w:p w:rsidR="008B1F38" w:rsidRPr="00A24BDE" w:rsidRDefault="005B0572" w:rsidP="002D6DFB">
      <w:pPr>
        <w:pStyle w:val="ONUMFS"/>
        <w:rPr>
          <w:lang w:val="fr-FR"/>
        </w:rPr>
      </w:pPr>
      <w:r w:rsidRPr="00A24BDE">
        <w:rPr>
          <w:lang w:val="fr-FR"/>
        </w:rPr>
        <w:t>Par conséquent, à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heure actuelle,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administration chargée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 transmet une copie du rapport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 et des annexes prescrites, qui ne comprennent généralement que la dernière série de modifications et la lettre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accompagnement</w:t>
      </w:r>
      <w:r w:rsidR="00164EEC" w:rsidRPr="00A24BDE">
        <w:rPr>
          <w:lang w:val="fr-FR"/>
        </w:rPr>
        <w:t>,</w:t>
      </w:r>
      <w:r w:rsidRPr="00A24BDE">
        <w:rPr>
          <w:lang w:val="fr-FR"/>
        </w:rPr>
        <w:t xml:space="preserve"> comme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exige la règle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66.8, ou les arguments présentés en vertu de la règle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66.3</w:t>
      </w:r>
      <w:r w:rsidR="00164EEC" w:rsidRPr="00A24BDE">
        <w:rPr>
          <w:lang w:val="fr-FR"/>
        </w:rPr>
        <w:t>,</w:t>
      </w:r>
      <w:r w:rsidRPr="00A24BDE">
        <w:rPr>
          <w:lang w:val="fr-FR"/>
        </w:rPr>
        <w:t xml:space="preserve"> au déposant et au Bureau international </w:t>
      </w:r>
      <w:r w:rsidR="00F45654" w:rsidRPr="00A24BDE">
        <w:rPr>
          <w:lang w:val="fr-FR"/>
        </w:rPr>
        <w:t>conformément à</w:t>
      </w:r>
      <w:r w:rsidRPr="00A24BDE">
        <w:rPr>
          <w:lang w:val="fr-FR"/>
        </w:rPr>
        <w:t xml:space="preserve">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article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 xml:space="preserve">36 et </w:t>
      </w:r>
      <w:r w:rsidR="00F45654" w:rsidRPr="00A24BDE">
        <w:rPr>
          <w:lang w:val="fr-FR"/>
        </w:rPr>
        <w:t>à</w:t>
      </w:r>
      <w:r w:rsidRPr="00A24BDE">
        <w:rPr>
          <w:lang w:val="fr-FR"/>
        </w:rPr>
        <w:t xml:space="preserve"> la règle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71</w:t>
      </w:r>
      <w:r w:rsidR="00B34D5F" w:rsidRPr="00A24BDE">
        <w:rPr>
          <w:lang w:val="fr-FR"/>
        </w:rPr>
        <w:t xml:space="preserve">.  </w:t>
      </w:r>
      <w:r w:rsidR="00164EEC" w:rsidRPr="00A24BDE">
        <w:rPr>
          <w:lang w:val="fr-FR"/>
        </w:rPr>
        <w:t>Ensuite</w:t>
      </w:r>
      <w:r w:rsidRPr="00A24BDE">
        <w:rPr>
          <w:lang w:val="fr-FR"/>
        </w:rPr>
        <w:t>, le Bureau international communique le rapport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examen préliminaire international et les annexes prescrites à chaque office élu </w:t>
      </w:r>
      <w:r w:rsidR="00F45654" w:rsidRPr="00A24BDE">
        <w:rPr>
          <w:lang w:val="fr-FR"/>
        </w:rPr>
        <w:t>conformément à</w:t>
      </w:r>
      <w:r w:rsidRPr="00A24BDE">
        <w:rPr>
          <w:lang w:val="fr-FR"/>
        </w:rPr>
        <w:t xml:space="preserve">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article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 xml:space="preserve">36 et </w:t>
      </w:r>
      <w:r w:rsidR="00F45654" w:rsidRPr="00A24BDE">
        <w:rPr>
          <w:lang w:val="fr-FR"/>
        </w:rPr>
        <w:t>à</w:t>
      </w:r>
      <w:r w:rsidRPr="00A24BDE">
        <w:rPr>
          <w:lang w:val="fr-FR"/>
        </w:rPr>
        <w:t xml:space="preserve"> la règle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73 en publiant ces documents en ligne dans PATENTSCOPE</w:t>
      </w:r>
      <w:r w:rsidR="00B34D5F" w:rsidRPr="00A24BDE">
        <w:rPr>
          <w:lang w:val="fr-FR"/>
        </w:rPr>
        <w:t xml:space="preserve">.  </w:t>
      </w:r>
      <w:r w:rsidRPr="00A24BDE">
        <w:rPr>
          <w:lang w:val="fr-FR"/>
        </w:rPr>
        <w:t>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opinion écrite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administration chargée de la recherche internationale, qui constitue généralement aussi la première opinion écrite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administration chargée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examen préliminaire international </w:t>
      </w:r>
      <w:r w:rsidR="002727B3" w:rsidRPr="00A24BDE">
        <w:rPr>
          <w:lang w:val="fr-FR"/>
        </w:rPr>
        <w:t>selon</w:t>
      </w:r>
      <w:r w:rsidRPr="00A24BDE">
        <w:rPr>
          <w:lang w:val="fr-FR"/>
        </w:rPr>
        <w:t xml:space="preserve"> la règle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66.</w:t>
      </w:r>
      <w:r w:rsidR="00B34D5F" w:rsidRPr="00A24BDE">
        <w:rPr>
          <w:lang w:val="fr-FR"/>
        </w:rPr>
        <w:t>1</w:t>
      </w:r>
      <w:r w:rsidR="00B34D5F" w:rsidRPr="00A24BDE">
        <w:rPr>
          <w:i/>
          <w:lang w:val="fr-FR"/>
        </w:rPr>
        <w:t>bis</w:t>
      </w:r>
      <w:r w:rsidRPr="00A24BDE">
        <w:rPr>
          <w:lang w:val="fr-FR"/>
        </w:rPr>
        <w:t xml:space="preserve">, est également </w:t>
      </w:r>
      <w:r w:rsidR="002727B3" w:rsidRPr="00A24BDE">
        <w:rPr>
          <w:lang w:val="fr-FR"/>
        </w:rPr>
        <w:t>mise à disposition</w:t>
      </w:r>
      <w:r w:rsidRPr="00A24BDE">
        <w:rPr>
          <w:lang w:val="fr-FR"/>
        </w:rPr>
        <w:t xml:space="preserve"> dans PATENTSCOPE</w:t>
      </w:r>
      <w:r w:rsidR="00B34D5F" w:rsidRPr="00A24BDE">
        <w:rPr>
          <w:lang w:val="fr-FR"/>
        </w:rPr>
        <w:t xml:space="preserve">.  </w:t>
      </w:r>
      <w:r w:rsidR="002727B3" w:rsidRPr="00A24BDE">
        <w:rPr>
          <w:lang w:val="fr-FR"/>
        </w:rPr>
        <w:t>En revanche</w:t>
      </w:r>
      <w:r w:rsidR="00883A23" w:rsidRPr="00A24BDE">
        <w:rPr>
          <w:lang w:val="fr-FR"/>
        </w:rPr>
        <w:t>, les opinions écrites de l</w:t>
      </w:r>
      <w:r w:rsidR="005E6A24" w:rsidRPr="00A24BDE">
        <w:rPr>
          <w:lang w:val="fr-FR"/>
        </w:rPr>
        <w:t>’</w:t>
      </w:r>
      <w:r w:rsidR="00883A23" w:rsidRPr="00A24BDE">
        <w:rPr>
          <w:lang w:val="fr-FR"/>
        </w:rPr>
        <w:t>administration chargée de l</w:t>
      </w:r>
      <w:r w:rsidR="005E6A24" w:rsidRPr="00A24BDE">
        <w:rPr>
          <w:lang w:val="fr-FR"/>
        </w:rPr>
        <w:t>’</w:t>
      </w:r>
      <w:r w:rsidR="00883A23" w:rsidRPr="00A24BDE">
        <w:rPr>
          <w:lang w:val="fr-FR"/>
        </w:rPr>
        <w:t>examen préliminaire international, les série</w:t>
      </w:r>
      <w:r w:rsidR="00164EEC" w:rsidRPr="00A24BDE">
        <w:rPr>
          <w:lang w:val="fr-FR"/>
        </w:rPr>
        <w:t>s</w:t>
      </w:r>
      <w:r w:rsidR="00883A23" w:rsidRPr="00A24BDE">
        <w:rPr>
          <w:lang w:val="fr-FR"/>
        </w:rPr>
        <w:t xml:space="preserve"> de modifications </w:t>
      </w:r>
      <w:r w:rsidR="00164EEC" w:rsidRPr="00A24BDE">
        <w:rPr>
          <w:lang w:val="fr-FR"/>
        </w:rPr>
        <w:t xml:space="preserve">antérieures </w:t>
      </w:r>
      <w:r w:rsidR="00883A23" w:rsidRPr="00A24BDE">
        <w:rPr>
          <w:lang w:val="fr-FR"/>
        </w:rPr>
        <w:t>et les lettre</w:t>
      </w:r>
      <w:r w:rsidR="00164EEC" w:rsidRPr="00A24BDE">
        <w:rPr>
          <w:lang w:val="fr-FR"/>
        </w:rPr>
        <w:t>s</w:t>
      </w:r>
      <w:r w:rsidR="00883A23" w:rsidRPr="00A24BDE">
        <w:rPr>
          <w:lang w:val="fr-FR"/>
        </w:rPr>
        <w:t xml:space="preserve"> contenant </w:t>
      </w:r>
      <w:r w:rsidR="002727B3" w:rsidRPr="00A24BDE">
        <w:rPr>
          <w:lang w:val="fr-FR"/>
        </w:rPr>
        <w:t>les arguments et l</w:t>
      </w:r>
      <w:r w:rsidR="00883A23" w:rsidRPr="00A24BDE">
        <w:rPr>
          <w:lang w:val="fr-FR"/>
        </w:rPr>
        <w:t>es explications, présentées par le déposant avant l</w:t>
      </w:r>
      <w:r w:rsidR="005E6A24" w:rsidRPr="00A24BDE">
        <w:rPr>
          <w:lang w:val="fr-FR"/>
        </w:rPr>
        <w:t>’</w:t>
      </w:r>
      <w:r w:rsidR="00883A23" w:rsidRPr="00A24BDE">
        <w:rPr>
          <w:lang w:val="fr-FR"/>
        </w:rPr>
        <w:t>établissement du rapport d</w:t>
      </w:r>
      <w:r w:rsidR="005E6A24" w:rsidRPr="00A24BDE">
        <w:rPr>
          <w:lang w:val="fr-FR"/>
        </w:rPr>
        <w:t>’</w:t>
      </w:r>
      <w:r w:rsidR="00883A23" w:rsidRPr="00A24BDE">
        <w:rPr>
          <w:lang w:val="fr-FR"/>
        </w:rPr>
        <w:t xml:space="preserve">examen préliminaire international, ne sont pas </w:t>
      </w:r>
      <w:r w:rsidR="002727B3" w:rsidRPr="00A24BDE">
        <w:rPr>
          <w:lang w:val="fr-FR"/>
        </w:rPr>
        <w:t>accessibles</w:t>
      </w:r>
      <w:r w:rsidR="00883A23" w:rsidRPr="00A24BDE">
        <w:rPr>
          <w:lang w:val="fr-FR"/>
        </w:rPr>
        <w:t xml:space="preserve"> en ligne, sauf si un office élu les </w:t>
      </w:r>
      <w:r w:rsidR="002727B3" w:rsidRPr="00A24BDE">
        <w:rPr>
          <w:lang w:val="fr-FR"/>
        </w:rPr>
        <w:t>met à disposition</w:t>
      </w:r>
      <w:r w:rsidR="00883A23" w:rsidRPr="00A24BDE">
        <w:rPr>
          <w:lang w:val="fr-FR"/>
        </w:rPr>
        <w:t xml:space="preserve"> par l</w:t>
      </w:r>
      <w:r w:rsidR="005E6A24" w:rsidRPr="00A24BDE">
        <w:rPr>
          <w:lang w:val="fr-FR"/>
        </w:rPr>
        <w:t>’</w:t>
      </w:r>
      <w:r w:rsidR="00883A23" w:rsidRPr="00A24BDE">
        <w:rPr>
          <w:lang w:val="fr-FR"/>
        </w:rPr>
        <w:t xml:space="preserve">intermédiaire de son propre </w:t>
      </w:r>
      <w:r w:rsidR="00B34D5F" w:rsidRPr="00A24BDE">
        <w:rPr>
          <w:lang w:val="fr-FR"/>
        </w:rPr>
        <w:t>site Web</w:t>
      </w:r>
      <w:r w:rsidR="00883A23" w:rsidRPr="00A24BDE">
        <w:rPr>
          <w:lang w:val="fr-FR"/>
        </w:rPr>
        <w:t>, conformément aux règles</w:t>
      </w:r>
      <w:r w:rsidR="00581EB8" w:rsidRPr="00A24BDE">
        <w:rPr>
          <w:lang w:val="fr-FR"/>
        </w:rPr>
        <w:t> </w:t>
      </w:r>
      <w:r w:rsidR="00883A23" w:rsidRPr="00A24BDE">
        <w:rPr>
          <w:lang w:val="fr-FR"/>
        </w:rPr>
        <w:t>94.2</w:t>
      </w:r>
      <w:r w:rsidR="00001C22" w:rsidRPr="00A24BDE">
        <w:rPr>
          <w:lang w:val="fr-FR"/>
        </w:rPr>
        <w:t>.</w:t>
      </w:r>
      <w:r w:rsidR="00883A23" w:rsidRPr="00A24BDE">
        <w:rPr>
          <w:lang w:val="fr-FR"/>
        </w:rPr>
        <w:t>c) et 94.3, après l</w:t>
      </w:r>
      <w:r w:rsidR="005E6A24" w:rsidRPr="00A24BDE">
        <w:rPr>
          <w:lang w:val="fr-FR"/>
        </w:rPr>
        <w:t>’</w:t>
      </w:r>
      <w:r w:rsidR="00883A23" w:rsidRPr="00A24BDE">
        <w:rPr>
          <w:lang w:val="fr-FR"/>
        </w:rPr>
        <w:t>établissement du rapport d</w:t>
      </w:r>
      <w:r w:rsidR="005E6A24" w:rsidRPr="00A24BDE">
        <w:rPr>
          <w:lang w:val="fr-FR"/>
        </w:rPr>
        <w:t>’</w:t>
      </w:r>
      <w:r w:rsidR="00883A23" w:rsidRPr="00A24BDE">
        <w:rPr>
          <w:lang w:val="fr-FR"/>
        </w:rPr>
        <w:t>examen préliminaire international</w:t>
      </w:r>
      <w:r w:rsidR="00B34D5F" w:rsidRPr="00A24BDE">
        <w:rPr>
          <w:lang w:val="fr-FR"/>
        </w:rPr>
        <w:t xml:space="preserve">.  </w:t>
      </w:r>
      <w:r w:rsidR="00883A23" w:rsidRPr="00A24BDE">
        <w:rPr>
          <w:lang w:val="fr-FR"/>
        </w:rPr>
        <w:t xml:space="preserve">Ces </w:t>
      </w:r>
      <w:r w:rsidR="002727B3" w:rsidRPr="00A24BDE">
        <w:rPr>
          <w:lang w:val="fr-FR"/>
        </w:rPr>
        <w:t>dispositions se limitent généralement</w:t>
      </w:r>
      <w:r w:rsidR="00883A23" w:rsidRPr="00A24BDE">
        <w:rPr>
          <w:lang w:val="fr-FR"/>
        </w:rPr>
        <w:t xml:space="preserve"> au cas où un office élu met à disposition des documents qu</w:t>
      </w:r>
      <w:r w:rsidR="005E6A24" w:rsidRPr="00A24BDE">
        <w:rPr>
          <w:lang w:val="fr-FR"/>
        </w:rPr>
        <w:t>’</w:t>
      </w:r>
      <w:r w:rsidR="00883A23" w:rsidRPr="00A24BDE">
        <w:rPr>
          <w:lang w:val="fr-FR"/>
        </w:rPr>
        <w:t>il a lui</w:t>
      </w:r>
      <w:r w:rsidR="005E6A24" w:rsidRPr="00A24BDE">
        <w:rPr>
          <w:lang w:val="fr-FR"/>
        </w:rPr>
        <w:t>-</w:t>
      </w:r>
      <w:r w:rsidR="00883A23" w:rsidRPr="00A24BDE">
        <w:rPr>
          <w:lang w:val="fr-FR"/>
        </w:rPr>
        <w:t xml:space="preserve">même établis </w:t>
      </w:r>
      <w:r w:rsidR="00164EEC" w:rsidRPr="00A24BDE">
        <w:rPr>
          <w:lang w:val="fr-FR"/>
        </w:rPr>
        <w:t>en sa qualité</w:t>
      </w:r>
      <w:r w:rsidR="00883A23" w:rsidRPr="00A24BDE">
        <w:rPr>
          <w:lang w:val="fr-FR"/>
        </w:rPr>
        <w:t xml:space="preserve"> </w:t>
      </w:r>
      <w:r w:rsidR="00950B82" w:rsidRPr="00A24BDE">
        <w:rPr>
          <w:lang w:val="fr-FR"/>
        </w:rPr>
        <w:t>d</w:t>
      </w:r>
      <w:r w:rsidR="005E6A24" w:rsidRPr="00A24BDE">
        <w:rPr>
          <w:lang w:val="fr-FR"/>
        </w:rPr>
        <w:t>’</w:t>
      </w:r>
      <w:r w:rsidR="00950B82" w:rsidRPr="00A24BDE">
        <w:rPr>
          <w:lang w:val="fr-FR"/>
        </w:rPr>
        <w:t>administration chargée de l</w:t>
      </w:r>
      <w:r w:rsidR="005E6A24" w:rsidRPr="00A24BDE">
        <w:rPr>
          <w:lang w:val="fr-FR"/>
        </w:rPr>
        <w:t>’</w:t>
      </w:r>
      <w:r w:rsidR="00950B82" w:rsidRPr="00A24BDE">
        <w:rPr>
          <w:lang w:val="fr-FR"/>
        </w:rPr>
        <w:t>examen préliminaire international</w:t>
      </w:r>
      <w:r w:rsidR="00883A23" w:rsidRPr="00A24BDE">
        <w:rPr>
          <w:lang w:val="fr-FR"/>
        </w:rPr>
        <w:t>.</w:t>
      </w:r>
    </w:p>
    <w:p w:rsidR="005E6A24" w:rsidRPr="00A24BDE" w:rsidRDefault="00060ED7" w:rsidP="002D6DFB">
      <w:pPr>
        <w:pStyle w:val="ONUMFS"/>
        <w:rPr>
          <w:lang w:val="fr-FR"/>
        </w:rPr>
      </w:pPr>
      <w:r w:rsidRPr="00A24BDE">
        <w:rPr>
          <w:lang w:val="fr-FR"/>
        </w:rPr>
        <w:t>Étant donné que seule</w:t>
      </w:r>
      <w:r w:rsidR="00581EB8" w:rsidRPr="00A24BDE">
        <w:rPr>
          <w:lang w:val="fr-FR"/>
        </w:rPr>
        <w:t xml:space="preserve">s </w:t>
      </w:r>
      <w:r w:rsidRPr="00A24BDE">
        <w:rPr>
          <w:lang w:val="fr-FR"/>
        </w:rPr>
        <w:t xml:space="preserve">la dernière série de modifications </w:t>
      </w:r>
      <w:r w:rsidR="00380E5F" w:rsidRPr="00A24BDE">
        <w:rPr>
          <w:lang w:val="fr-FR"/>
        </w:rPr>
        <w:t>et</w:t>
      </w:r>
      <w:r w:rsidRPr="00A24BDE">
        <w:rPr>
          <w:lang w:val="fr-FR"/>
        </w:rPr>
        <w:t xml:space="preserve"> la lettre </w:t>
      </w:r>
      <w:r w:rsidR="00380E5F" w:rsidRPr="00A24BDE">
        <w:rPr>
          <w:lang w:val="fr-FR"/>
        </w:rPr>
        <w:t>sont</w:t>
      </w:r>
      <w:r w:rsidR="009174E1" w:rsidRPr="00A24BDE">
        <w:rPr>
          <w:lang w:val="fr-FR"/>
        </w:rPr>
        <w:t xml:space="preserve"> annexée</w:t>
      </w:r>
      <w:r w:rsidR="00380E5F" w:rsidRPr="00A24BDE">
        <w:rPr>
          <w:lang w:val="fr-FR"/>
        </w:rPr>
        <w:t>s</w:t>
      </w:r>
      <w:r w:rsidR="009174E1" w:rsidRPr="00A24BDE">
        <w:rPr>
          <w:lang w:val="fr-FR"/>
        </w:rPr>
        <w:t xml:space="preserve"> au</w:t>
      </w:r>
      <w:r w:rsidRPr="00A24BDE">
        <w:rPr>
          <w:lang w:val="fr-FR"/>
        </w:rPr>
        <w:t xml:space="preserve"> rapport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international, il est souvent difficile pour les examinateurs des offices élus de déterminer quelles sont les modifications ou les arguments qui ont été examinés par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administration chargée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 avant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établissement du rapport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</w:t>
      </w:r>
      <w:r w:rsidR="00B34D5F" w:rsidRPr="00A24BDE">
        <w:rPr>
          <w:lang w:val="fr-FR"/>
        </w:rPr>
        <w:t xml:space="preserve">.  </w:t>
      </w:r>
      <w:r w:rsidRPr="00A24BDE">
        <w:rPr>
          <w:lang w:val="fr-FR"/>
        </w:rPr>
        <w:t xml:space="preserve">Ces informations pourraient être utiles aux examinateurs, en particulier </w:t>
      </w:r>
      <w:r w:rsidR="00DD0241" w:rsidRPr="00A24BDE">
        <w:rPr>
          <w:lang w:val="fr-FR"/>
        </w:rPr>
        <w:t>si</w:t>
      </w:r>
      <w:r w:rsidRPr="00A24BDE">
        <w:rPr>
          <w:lang w:val="fr-FR"/>
        </w:rPr>
        <w:t xml:space="preserve"> les modifications </w:t>
      </w:r>
      <w:r w:rsidR="009174E1" w:rsidRPr="00A24BDE">
        <w:rPr>
          <w:lang w:val="fr-FR"/>
        </w:rPr>
        <w:t>annexées au</w:t>
      </w:r>
      <w:r w:rsidRPr="00A24BDE">
        <w:rPr>
          <w:lang w:val="fr-FR"/>
        </w:rPr>
        <w:t xml:space="preserve"> rapport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 portent uniquement sur des questions peu importantes lorsque le déposant a présenté des modifications de fond et des arguments pour surmonter des objections soulevées dans une précédente opinion écrite.</w:t>
      </w:r>
    </w:p>
    <w:p w:rsidR="002D6DFB" w:rsidRDefault="006943BF" w:rsidP="002D6DFB">
      <w:pPr>
        <w:pStyle w:val="ONUMFS"/>
        <w:rPr>
          <w:lang w:val="fr-FR"/>
        </w:rPr>
      </w:pPr>
      <w:r w:rsidRPr="00A24BDE">
        <w:rPr>
          <w:lang w:val="fr-FR"/>
        </w:rPr>
        <w:t>Compte tenu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augmentation régulière du nombre de demandes inte</w:t>
      </w:r>
      <w:r w:rsidR="00643B25" w:rsidRPr="00A24BDE">
        <w:rPr>
          <w:lang w:val="fr-FR"/>
        </w:rPr>
        <w:t>rnationales, dont environ 5 à 6</w:t>
      </w:r>
      <w:r w:rsidRPr="00A24BDE">
        <w:rPr>
          <w:lang w:val="fr-FR"/>
        </w:rPr>
        <w:t xml:space="preserve">% </w:t>
      </w:r>
      <w:r w:rsidR="00643B25" w:rsidRPr="00A24BDE">
        <w:rPr>
          <w:lang w:val="fr-FR"/>
        </w:rPr>
        <w:t>font l</w:t>
      </w:r>
      <w:r w:rsidR="005E6A24" w:rsidRPr="00A24BDE">
        <w:rPr>
          <w:lang w:val="fr-FR"/>
        </w:rPr>
        <w:t>’</w:t>
      </w:r>
      <w:r w:rsidR="00643B25" w:rsidRPr="00A24BDE">
        <w:rPr>
          <w:lang w:val="fr-FR"/>
        </w:rPr>
        <w:t>objet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un examen préliminaire international, il paraît souhaitable de mettre à disposition les opinions écrites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administration chargée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examen préliminaire international, </w:t>
      </w:r>
      <w:r w:rsidR="00643B25" w:rsidRPr="00A24BDE">
        <w:rPr>
          <w:lang w:val="fr-FR"/>
        </w:rPr>
        <w:t>de même</w:t>
      </w:r>
      <w:r w:rsidRPr="00A24BDE">
        <w:rPr>
          <w:lang w:val="fr-FR"/>
        </w:rPr>
        <w:t xml:space="preserve"> que les modifications et les lettres, en ligne dans PATENTSCOPE, avec le rapport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</w:t>
      </w:r>
      <w:r w:rsidR="00B34D5F" w:rsidRPr="00A24BDE">
        <w:rPr>
          <w:lang w:val="fr-FR"/>
        </w:rPr>
        <w:t xml:space="preserve">.  </w:t>
      </w:r>
      <w:r w:rsidRPr="00A24BDE">
        <w:rPr>
          <w:lang w:val="fr-FR"/>
        </w:rPr>
        <w:t>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Office de la propriété intellectuelle de Singapour, qui agit à la fois en qualité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administration chargée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 et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office élu, considère que cela </w:t>
      </w:r>
      <w:r w:rsidR="00643B25" w:rsidRPr="00A24BDE">
        <w:rPr>
          <w:lang w:val="fr-FR"/>
        </w:rPr>
        <w:t>faciliterait l</w:t>
      </w:r>
      <w:r w:rsidR="005E6A24" w:rsidRPr="00A24BDE">
        <w:rPr>
          <w:lang w:val="fr-FR"/>
        </w:rPr>
        <w:t>’</w:t>
      </w:r>
      <w:r w:rsidR="00643B25" w:rsidRPr="00A24BDE">
        <w:rPr>
          <w:lang w:val="fr-FR"/>
        </w:rPr>
        <w:t xml:space="preserve">accès </w:t>
      </w:r>
      <w:r w:rsidRPr="00A24BDE">
        <w:rPr>
          <w:lang w:val="fr-FR"/>
        </w:rPr>
        <w:t>à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ensemble des résultats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examen préliminaire international sur une plateforme </w:t>
      </w:r>
      <w:r w:rsidR="00643B25" w:rsidRPr="00A24BDE">
        <w:rPr>
          <w:lang w:val="fr-FR"/>
        </w:rPr>
        <w:t xml:space="preserve">unique </w:t>
      </w:r>
      <w:r w:rsidRPr="00A24BDE">
        <w:rPr>
          <w:lang w:val="fr-FR"/>
        </w:rPr>
        <w:t>et</w:t>
      </w:r>
      <w:r w:rsidR="00643B25" w:rsidRPr="00A24BDE">
        <w:rPr>
          <w:lang w:val="fr-FR"/>
        </w:rPr>
        <w:t xml:space="preserve"> permettrait</w:t>
      </w:r>
      <w:r w:rsidRPr="00A24BDE">
        <w:rPr>
          <w:lang w:val="fr-FR"/>
        </w:rPr>
        <w:t xml:space="preserve"> ainsi aux examinateurs des offices élus de bien comprendre les résultats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international.</w:t>
      </w:r>
    </w:p>
    <w:p w:rsidR="005E6A24" w:rsidRPr="00A24BDE" w:rsidRDefault="002D6DFB" w:rsidP="002D6DFB">
      <w:pPr>
        <w:rPr>
          <w:lang w:val="fr-FR"/>
        </w:rPr>
      </w:pPr>
      <w:r>
        <w:rPr>
          <w:lang w:val="fr-FR"/>
        </w:rPr>
        <w:br w:type="page"/>
      </w:r>
    </w:p>
    <w:p w:rsidR="008B1F38" w:rsidRPr="00A24BDE" w:rsidRDefault="006943BF" w:rsidP="006943BF">
      <w:pPr>
        <w:pStyle w:val="Heading1"/>
        <w:rPr>
          <w:lang w:val="fr-FR"/>
        </w:rPr>
      </w:pPr>
      <w:bookmarkStart w:id="7" w:name="_Toc8132432"/>
      <w:r w:rsidRPr="00A24BDE">
        <w:rPr>
          <w:lang w:val="fr-FR"/>
        </w:rPr>
        <w:lastRenderedPageBreak/>
        <w:t>Questions juridiques concernant la mise à disposition des documents contenus dans le dossier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</w:t>
      </w:r>
      <w:bookmarkEnd w:id="7"/>
    </w:p>
    <w:p w:rsidR="008B1F38" w:rsidRPr="00A24BDE" w:rsidRDefault="006A44BF" w:rsidP="002D6DFB">
      <w:pPr>
        <w:pStyle w:val="ONUMFS"/>
        <w:rPr>
          <w:lang w:val="fr-FR"/>
        </w:rPr>
      </w:pPr>
      <w:r w:rsidRPr="00A24BDE">
        <w:rPr>
          <w:lang w:val="fr-FR"/>
        </w:rPr>
        <w:t>Le caractère confide</w:t>
      </w:r>
      <w:r w:rsidR="00D455A0" w:rsidRPr="00A24BDE">
        <w:rPr>
          <w:lang w:val="fr-FR"/>
        </w:rPr>
        <w:t>ntiel de l</w:t>
      </w:r>
      <w:r w:rsidR="005E6A24" w:rsidRPr="00A24BDE">
        <w:rPr>
          <w:lang w:val="fr-FR"/>
        </w:rPr>
        <w:t>’</w:t>
      </w:r>
      <w:r w:rsidR="00D455A0" w:rsidRPr="00A24BDE">
        <w:rPr>
          <w:lang w:val="fr-FR"/>
        </w:rPr>
        <w:t>examen préliminaire i</w:t>
      </w:r>
      <w:r w:rsidRPr="00A24BDE">
        <w:rPr>
          <w:lang w:val="fr-FR"/>
        </w:rPr>
        <w:t>nternational, conformément à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interprétation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article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38.1), a été examiné à la six</w:t>
      </w:r>
      <w:r w:rsidR="005E6A24" w:rsidRPr="00A24BDE">
        <w:rPr>
          <w:lang w:val="fr-FR"/>
        </w:rPr>
        <w:t>ième session</w:t>
      </w:r>
      <w:r w:rsidRPr="00A24BDE">
        <w:rPr>
          <w:lang w:val="fr-FR"/>
        </w:rPr>
        <w:t xml:space="preserve"> de la Réunion des administrations internationales </w:t>
      </w:r>
      <w:r w:rsidR="00C15861" w:rsidRPr="00A24BDE">
        <w:rPr>
          <w:lang w:val="fr-FR"/>
        </w:rPr>
        <w:t xml:space="preserve">du PCT </w:t>
      </w:r>
      <w:r w:rsidRPr="00A24BDE">
        <w:rPr>
          <w:lang w:val="fr-FR"/>
        </w:rPr>
        <w:t>en</w:t>
      </w:r>
      <w:r w:rsidR="00C15861" w:rsidRPr="00A24BDE">
        <w:rPr>
          <w:lang w:val="fr-FR"/>
        </w:rPr>
        <w:t> </w:t>
      </w:r>
      <w:r w:rsidRPr="00A24BDE">
        <w:rPr>
          <w:lang w:val="fr-FR"/>
        </w:rPr>
        <w:t>1997 (voir les paragraphes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 xml:space="preserve">55 à 61 du </w:t>
      </w:r>
      <w:r w:rsidR="005E6A24" w:rsidRPr="00A24BDE">
        <w:rPr>
          <w:lang w:val="fr-FR"/>
        </w:rPr>
        <w:t>document PC</w:t>
      </w:r>
      <w:r w:rsidRPr="00A24BDE">
        <w:rPr>
          <w:lang w:val="fr-FR"/>
        </w:rPr>
        <w:t>T/MIA/VI/16)</w:t>
      </w:r>
      <w:r w:rsidR="00B34D5F" w:rsidRPr="00A24BDE">
        <w:rPr>
          <w:lang w:val="fr-FR"/>
        </w:rPr>
        <w:t xml:space="preserve">.  </w:t>
      </w:r>
      <w:r w:rsidRPr="00A24BDE">
        <w:rPr>
          <w:lang w:val="fr-FR"/>
        </w:rPr>
        <w:t>Le texte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article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38.1) est reproduit ci</w:t>
      </w:r>
      <w:r w:rsidR="005E6A24" w:rsidRPr="00A24BDE">
        <w:rPr>
          <w:lang w:val="fr-FR"/>
        </w:rPr>
        <w:t>-</w:t>
      </w:r>
      <w:r w:rsidRPr="00A24BDE">
        <w:rPr>
          <w:lang w:val="fr-FR"/>
        </w:rPr>
        <w:t>après à toutes fins utiles</w:t>
      </w:r>
      <w:r w:rsidR="00B34D5F" w:rsidRPr="00A24BDE">
        <w:rPr>
          <w:lang w:val="fr-FR"/>
        </w:rPr>
        <w:t> :</w:t>
      </w:r>
    </w:p>
    <w:p w:rsidR="008B1F38" w:rsidRPr="00A24BDE" w:rsidRDefault="006A44BF" w:rsidP="006A44BF">
      <w:pPr>
        <w:ind w:left="567"/>
        <w:jc w:val="center"/>
        <w:rPr>
          <w:rFonts w:eastAsia="Times New Roman"/>
          <w:b/>
          <w:bCs/>
          <w:szCs w:val="22"/>
          <w:lang w:val="fr-FR" w:eastAsia="fr-CH"/>
        </w:rPr>
      </w:pPr>
      <w:r w:rsidRPr="00A24BDE">
        <w:rPr>
          <w:rFonts w:eastAsia="Times New Roman"/>
          <w:b/>
          <w:bCs/>
          <w:szCs w:val="22"/>
          <w:lang w:val="fr-FR" w:eastAsia="fr-CH"/>
        </w:rPr>
        <w:t>Article</w:t>
      </w:r>
      <w:r w:rsidR="00581EB8" w:rsidRPr="00A24BDE">
        <w:rPr>
          <w:rFonts w:eastAsia="Times New Roman"/>
          <w:b/>
          <w:bCs/>
          <w:szCs w:val="22"/>
          <w:lang w:val="fr-FR" w:eastAsia="fr-CH"/>
        </w:rPr>
        <w:t> </w:t>
      </w:r>
      <w:r w:rsidRPr="00A24BDE">
        <w:rPr>
          <w:rFonts w:eastAsia="Times New Roman"/>
          <w:b/>
          <w:bCs/>
          <w:szCs w:val="22"/>
          <w:lang w:val="fr-FR" w:eastAsia="fr-CH"/>
        </w:rPr>
        <w:t>38</w:t>
      </w:r>
    </w:p>
    <w:p w:rsidR="008B1F38" w:rsidRPr="00A24BDE" w:rsidRDefault="006A44BF" w:rsidP="006A44BF">
      <w:pPr>
        <w:ind w:left="567"/>
        <w:jc w:val="center"/>
        <w:rPr>
          <w:rFonts w:eastAsia="Times New Roman"/>
          <w:b/>
          <w:bCs/>
          <w:szCs w:val="22"/>
          <w:lang w:val="fr-FR" w:eastAsia="fr-CH"/>
        </w:rPr>
      </w:pPr>
      <w:r w:rsidRPr="00A24BDE">
        <w:rPr>
          <w:rFonts w:eastAsia="Times New Roman"/>
          <w:b/>
          <w:bCs/>
          <w:szCs w:val="22"/>
          <w:lang w:val="fr-FR" w:eastAsia="fr-CH"/>
        </w:rPr>
        <w:t>Caractère confidentiel de l</w:t>
      </w:r>
      <w:r w:rsidR="005E6A24" w:rsidRPr="00A24BDE">
        <w:rPr>
          <w:rFonts w:eastAsia="Times New Roman"/>
          <w:b/>
          <w:bCs/>
          <w:szCs w:val="22"/>
          <w:lang w:val="fr-FR" w:eastAsia="fr-CH"/>
        </w:rPr>
        <w:t>’</w:t>
      </w:r>
      <w:r w:rsidRPr="00A24BDE">
        <w:rPr>
          <w:rFonts w:eastAsia="Times New Roman"/>
          <w:b/>
          <w:bCs/>
          <w:szCs w:val="22"/>
          <w:lang w:val="fr-FR" w:eastAsia="fr-CH"/>
        </w:rPr>
        <w:t>examen préliminaire international</w:t>
      </w:r>
    </w:p>
    <w:p w:rsidR="008B1F38" w:rsidRPr="00A24BDE" w:rsidRDefault="008B1F38" w:rsidP="00F80ED1">
      <w:pPr>
        <w:ind w:left="567"/>
        <w:rPr>
          <w:rFonts w:eastAsia="Times New Roman"/>
          <w:b/>
          <w:bCs/>
          <w:szCs w:val="22"/>
          <w:lang w:val="fr-FR" w:eastAsia="fr-CH"/>
        </w:rPr>
      </w:pPr>
    </w:p>
    <w:p w:rsidR="008B1F38" w:rsidRPr="00A24BDE" w:rsidRDefault="006A44BF" w:rsidP="006A44BF">
      <w:pPr>
        <w:ind w:left="567"/>
        <w:rPr>
          <w:rFonts w:eastAsia="Times New Roman"/>
          <w:szCs w:val="22"/>
          <w:lang w:val="fr-FR" w:eastAsia="fr-CH"/>
        </w:rPr>
      </w:pPr>
      <w:r w:rsidRPr="00A24BDE">
        <w:rPr>
          <w:rFonts w:eastAsia="Times New Roman"/>
          <w:szCs w:val="22"/>
          <w:lang w:val="fr-FR" w:eastAsia="fr-CH"/>
        </w:rPr>
        <w:t>1) Sauf requête ou autorisation du déposant, le Bureau international et l</w:t>
      </w:r>
      <w:r w:rsidR="005E6A24" w:rsidRPr="00A24BDE">
        <w:rPr>
          <w:rFonts w:eastAsia="Times New Roman"/>
          <w:szCs w:val="22"/>
          <w:lang w:val="fr-FR" w:eastAsia="fr-CH"/>
        </w:rPr>
        <w:t>’</w:t>
      </w:r>
      <w:r w:rsidRPr="00A24BDE">
        <w:rPr>
          <w:rFonts w:eastAsia="Times New Roman"/>
          <w:szCs w:val="22"/>
          <w:lang w:val="fr-FR" w:eastAsia="fr-CH"/>
        </w:rPr>
        <w:t>administration chargée de l</w:t>
      </w:r>
      <w:r w:rsidR="005E6A24" w:rsidRPr="00A24BDE">
        <w:rPr>
          <w:rFonts w:eastAsia="Times New Roman"/>
          <w:szCs w:val="22"/>
          <w:lang w:val="fr-FR" w:eastAsia="fr-CH"/>
        </w:rPr>
        <w:t>’</w:t>
      </w:r>
      <w:r w:rsidRPr="00A24BDE">
        <w:rPr>
          <w:rFonts w:eastAsia="Times New Roman"/>
          <w:szCs w:val="22"/>
          <w:lang w:val="fr-FR" w:eastAsia="fr-CH"/>
        </w:rPr>
        <w:t>examen préliminaire international ne peuvent permettre à aucun moment, à aucune personne ou administration – à l</w:t>
      </w:r>
      <w:r w:rsidR="005E6A24" w:rsidRPr="00A24BDE">
        <w:rPr>
          <w:rFonts w:eastAsia="Times New Roman"/>
          <w:szCs w:val="22"/>
          <w:lang w:val="fr-FR" w:eastAsia="fr-CH"/>
        </w:rPr>
        <w:t>’</w:t>
      </w:r>
      <w:r w:rsidRPr="00A24BDE">
        <w:rPr>
          <w:rFonts w:eastAsia="Times New Roman"/>
          <w:szCs w:val="22"/>
          <w:lang w:val="fr-FR" w:eastAsia="fr-CH"/>
        </w:rPr>
        <w:t>exception des offices élus, après l</w:t>
      </w:r>
      <w:r w:rsidR="005E6A24" w:rsidRPr="00A24BDE">
        <w:rPr>
          <w:rFonts w:eastAsia="Times New Roman"/>
          <w:szCs w:val="22"/>
          <w:lang w:val="fr-FR" w:eastAsia="fr-CH"/>
        </w:rPr>
        <w:t>’</w:t>
      </w:r>
      <w:r w:rsidRPr="00A24BDE">
        <w:rPr>
          <w:rFonts w:eastAsia="Times New Roman"/>
          <w:szCs w:val="22"/>
          <w:lang w:val="fr-FR" w:eastAsia="fr-CH"/>
        </w:rPr>
        <w:t>établissement du rapport d</w:t>
      </w:r>
      <w:r w:rsidR="005E6A24" w:rsidRPr="00A24BDE">
        <w:rPr>
          <w:rFonts w:eastAsia="Times New Roman"/>
          <w:szCs w:val="22"/>
          <w:lang w:val="fr-FR" w:eastAsia="fr-CH"/>
        </w:rPr>
        <w:t>’</w:t>
      </w:r>
      <w:r w:rsidRPr="00A24BDE">
        <w:rPr>
          <w:rFonts w:eastAsia="Times New Roman"/>
          <w:szCs w:val="22"/>
          <w:lang w:val="fr-FR" w:eastAsia="fr-CH"/>
        </w:rPr>
        <w:t>examen préliminaire international – d</w:t>
      </w:r>
      <w:r w:rsidR="005E6A24" w:rsidRPr="00A24BDE">
        <w:rPr>
          <w:rFonts w:eastAsia="Times New Roman"/>
          <w:szCs w:val="22"/>
          <w:lang w:val="fr-FR" w:eastAsia="fr-CH"/>
        </w:rPr>
        <w:t>’</w:t>
      </w:r>
      <w:r w:rsidRPr="00A24BDE">
        <w:rPr>
          <w:rFonts w:eastAsia="Times New Roman"/>
          <w:szCs w:val="22"/>
          <w:lang w:val="fr-FR" w:eastAsia="fr-CH"/>
        </w:rPr>
        <w:t>avoir accès, au sens et aux conditions de l</w:t>
      </w:r>
      <w:r w:rsidR="005E6A24" w:rsidRPr="00A24BDE">
        <w:rPr>
          <w:rFonts w:eastAsia="Times New Roman"/>
          <w:szCs w:val="22"/>
          <w:lang w:val="fr-FR" w:eastAsia="fr-CH"/>
        </w:rPr>
        <w:t>’</w:t>
      </w:r>
      <w:r w:rsidRPr="00A24BDE">
        <w:rPr>
          <w:rFonts w:eastAsia="Times New Roman"/>
          <w:szCs w:val="22"/>
          <w:lang w:val="fr-FR" w:eastAsia="fr-CH"/>
        </w:rPr>
        <w:t>article</w:t>
      </w:r>
      <w:r w:rsidR="00581EB8" w:rsidRPr="00A24BDE">
        <w:rPr>
          <w:rFonts w:eastAsia="Times New Roman"/>
          <w:szCs w:val="22"/>
          <w:lang w:val="fr-FR" w:eastAsia="fr-CH"/>
        </w:rPr>
        <w:t> </w:t>
      </w:r>
      <w:r w:rsidRPr="00A24BDE">
        <w:rPr>
          <w:rFonts w:eastAsia="Times New Roman"/>
          <w:szCs w:val="22"/>
          <w:lang w:val="fr-FR" w:eastAsia="fr-CH"/>
        </w:rPr>
        <w:t>30.4), au dossier de l</w:t>
      </w:r>
      <w:r w:rsidR="005E6A24" w:rsidRPr="00A24BDE">
        <w:rPr>
          <w:rFonts w:eastAsia="Times New Roman"/>
          <w:szCs w:val="22"/>
          <w:lang w:val="fr-FR" w:eastAsia="fr-CH"/>
        </w:rPr>
        <w:t>’</w:t>
      </w:r>
      <w:r w:rsidRPr="00A24BDE">
        <w:rPr>
          <w:rFonts w:eastAsia="Times New Roman"/>
          <w:szCs w:val="22"/>
          <w:lang w:val="fr-FR" w:eastAsia="fr-CH"/>
        </w:rPr>
        <w:t>examen préliminaire international.</w:t>
      </w:r>
    </w:p>
    <w:p w:rsidR="008B1F38" w:rsidRPr="00A24BDE" w:rsidRDefault="008B1F38" w:rsidP="00F80ED1">
      <w:pPr>
        <w:ind w:left="567"/>
        <w:rPr>
          <w:rFonts w:eastAsia="Times New Roman"/>
          <w:szCs w:val="22"/>
          <w:lang w:val="fr-FR" w:eastAsia="fr-CH"/>
        </w:rPr>
      </w:pPr>
    </w:p>
    <w:p w:rsidR="005E6A24" w:rsidRPr="00A24BDE" w:rsidRDefault="006A44BF" w:rsidP="002D6DFB">
      <w:pPr>
        <w:pStyle w:val="ONUMFS"/>
        <w:rPr>
          <w:lang w:val="fr-FR"/>
        </w:rPr>
      </w:pPr>
      <w:r w:rsidRPr="00A24BDE">
        <w:rPr>
          <w:lang w:val="fr-FR"/>
        </w:rPr>
        <w:t xml:space="preserve">Les participants à la réunion ont examiné les problèmes pratiques rencontrés par les examinateurs au cours de la phase nationale, ainsi que </w:t>
      </w:r>
      <w:r w:rsidR="00D455A0" w:rsidRPr="00A24BDE">
        <w:rPr>
          <w:lang w:val="fr-FR"/>
        </w:rPr>
        <w:t>le conflit</w:t>
      </w:r>
      <w:r w:rsidRPr="00A24BDE">
        <w:rPr>
          <w:lang w:val="fr-FR"/>
        </w:rPr>
        <w:t xml:space="preserve"> entre,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une part,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accès au dossier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 par des tiers et,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autre part, le caractère préliminaire, non contraignant et informatif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</w:t>
      </w:r>
      <w:r w:rsidR="00B34D5F" w:rsidRPr="00A24BDE">
        <w:rPr>
          <w:lang w:val="fr-FR"/>
        </w:rPr>
        <w:t xml:space="preserve">.  </w:t>
      </w:r>
      <w:r w:rsidR="008D6B11" w:rsidRPr="00A24BDE">
        <w:rPr>
          <w:lang w:val="fr-FR"/>
        </w:rPr>
        <w:t>Les participants à la réunion sont convenus qu</w:t>
      </w:r>
      <w:r w:rsidR="005E6A24" w:rsidRPr="00A24BDE">
        <w:rPr>
          <w:lang w:val="fr-FR"/>
        </w:rPr>
        <w:t>’</w:t>
      </w:r>
      <w:r w:rsidR="008D6B11" w:rsidRPr="00A24BDE">
        <w:rPr>
          <w:lang w:val="fr-FR"/>
        </w:rPr>
        <w:t xml:space="preserve">une nouvelle approche </w:t>
      </w:r>
      <w:r w:rsidR="00D455A0" w:rsidRPr="00A24BDE">
        <w:rPr>
          <w:lang w:val="fr-FR"/>
        </w:rPr>
        <w:t>était</w:t>
      </w:r>
      <w:r w:rsidR="008D6B11" w:rsidRPr="00A24BDE">
        <w:rPr>
          <w:lang w:val="fr-FR"/>
        </w:rPr>
        <w:t xml:space="preserve"> nécessaire en ce qui concerne la confidentialité du dossier de l</w:t>
      </w:r>
      <w:r w:rsidR="005E6A24" w:rsidRPr="00A24BDE">
        <w:rPr>
          <w:lang w:val="fr-FR"/>
        </w:rPr>
        <w:t>’</w:t>
      </w:r>
      <w:r w:rsidR="008D6B11" w:rsidRPr="00A24BDE">
        <w:rPr>
          <w:lang w:val="fr-FR"/>
        </w:rPr>
        <w:t>examen préliminaire international et qu</w:t>
      </w:r>
      <w:r w:rsidR="005E6A24" w:rsidRPr="00A24BDE">
        <w:rPr>
          <w:lang w:val="fr-FR"/>
        </w:rPr>
        <w:t>’</w:t>
      </w:r>
      <w:r w:rsidR="008D6B11" w:rsidRPr="00A24BDE">
        <w:rPr>
          <w:lang w:val="fr-FR"/>
        </w:rPr>
        <w:t>une interprétation plus souple de l</w:t>
      </w:r>
      <w:r w:rsidR="005E6A24" w:rsidRPr="00A24BDE">
        <w:rPr>
          <w:lang w:val="fr-FR"/>
        </w:rPr>
        <w:t>’</w:t>
      </w:r>
      <w:r w:rsidR="008D6B11" w:rsidRPr="00A24BDE">
        <w:rPr>
          <w:lang w:val="fr-FR"/>
        </w:rPr>
        <w:t>article</w:t>
      </w:r>
      <w:r w:rsidR="00581EB8" w:rsidRPr="00A24BDE">
        <w:rPr>
          <w:lang w:val="fr-FR"/>
        </w:rPr>
        <w:t> </w:t>
      </w:r>
      <w:r w:rsidR="008D6B11" w:rsidRPr="00A24BDE">
        <w:rPr>
          <w:lang w:val="fr-FR"/>
        </w:rPr>
        <w:t xml:space="preserve">38.1) </w:t>
      </w:r>
      <w:r w:rsidR="00D455A0" w:rsidRPr="00A24BDE">
        <w:rPr>
          <w:lang w:val="fr-FR"/>
        </w:rPr>
        <w:t>était</w:t>
      </w:r>
      <w:r w:rsidR="008D6B11" w:rsidRPr="00A24BDE">
        <w:rPr>
          <w:lang w:val="fr-FR"/>
        </w:rPr>
        <w:t xml:space="preserve"> souhaitable</w:t>
      </w:r>
      <w:r w:rsidR="00B34D5F" w:rsidRPr="00A24BDE">
        <w:rPr>
          <w:lang w:val="fr-FR"/>
        </w:rPr>
        <w:t xml:space="preserve">.  </w:t>
      </w:r>
      <w:r w:rsidR="008D6B11" w:rsidRPr="00A24BDE">
        <w:rPr>
          <w:lang w:val="fr-FR"/>
        </w:rPr>
        <w:t>Les participants sont notamment convenus de ce qui suit (paragraphe</w:t>
      </w:r>
      <w:r w:rsidR="00581EB8" w:rsidRPr="00A24BDE">
        <w:rPr>
          <w:lang w:val="fr-FR"/>
        </w:rPr>
        <w:t> </w:t>
      </w:r>
      <w:r w:rsidR="008D6B11" w:rsidRPr="00A24BDE">
        <w:rPr>
          <w:lang w:val="fr-FR"/>
        </w:rPr>
        <w:t xml:space="preserve">59 du </w:t>
      </w:r>
      <w:r w:rsidR="005E6A24" w:rsidRPr="00A24BDE">
        <w:rPr>
          <w:lang w:val="fr-FR"/>
        </w:rPr>
        <w:t>document PC</w:t>
      </w:r>
      <w:r w:rsidR="008D6B11" w:rsidRPr="00A24BDE">
        <w:rPr>
          <w:lang w:val="fr-FR"/>
        </w:rPr>
        <w:t>T/MIA/VI/16)</w:t>
      </w:r>
      <w:r w:rsidR="00B34D5F" w:rsidRPr="00A24BDE">
        <w:rPr>
          <w:lang w:val="fr-FR"/>
        </w:rPr>
        <w:t> :</w:t>
      </w:r>
    </w:p>
    <w:p w:rsidR="008B1F38" w:rsidRPr="00A24BDE" w:rsidRDefault="00581EB8" w:rsidP="001F5412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A24BDE">
        <w:rPr>
          <w:lang w:val="fr-FR"/>
        </w:rPr>
        <w:t>“</w:t>
      </w:r>
      <w:r w:rsidR="008D6B11" w:rsidRPr="00A24BDE">
        <w:rPr>
          <w:lang w:val="fr-FR"/>
        </w:rPr>
        <w:t>Les participants à la réunion sont convenus que l</w:t>
      </w:r>
      <w:r w:rsidR="005E6A24" w:rsidRPr="00A24BDE">
        <w:rPr>
          <w:lang w:val="fr-FR"/>
        </w:rPr>
        <w:t>’</w:t>
      </w:r>
      <w:r w:rsidR="008D6B11" w:rsidRPr="00A24BDE">
        <w:rPr>
          <w:lang w:val="fr-FR"/>
        </w:rPr>
        <w:t>exception prévue à l</w:t>
      </w:r>
      <w:r w:rsidR="005E6A24" w:rsidRPr="00A24BDE">
        <w:rPr>
          <w:lang w:val="fr-FR"/>
        </w:rPr>
        <w:t>’</w:t>
      </w:r>
      <w:r w:rsidR="008D6B11" w:rsidRPr="00A24BDE">
        <w:rPr>
          <w:lang w:val="fr-FR"/>
        </w:rPr>
        <w:t>article</w:t>
      </w:r>
      <w:r w:rsidRPr="00A24BDE">
        <w:rPr>
          <w:lang w:val="fr-FR"/>
        </w:rPr>
        <w:t> </w:t>
      </w:r>
      <w:r w:rsidR="008D6B11" w:rsidRPr="00A24BDE">
        <w:rPr>
          <w:lang w:val="fr-FR"/>
        </w:rPr>
        <w:t>38.1) autorisant l</w:t>
      </w:r>
      <w:r w:rsidR="005E6A24" w:rsidRPr="00A24BDE">
        <w:rPr>
          <w:lang w:val="fr-FR"/>
        </w:rPr>
        <w:t>’</w:t>
      </w:r>
      <w:r w:rsidR="008D6B11" w:rsidRPr="00A24BDE">
        <w:rPr>
          <w:lang w:val="fr-FR"/>
        </w:rPr>
        <w:t>accès au dossier de l</w:t>
      </w:r>
      <w:r w:rsidR="005E6A24" w:rsidRPr="00A24BDE">
        <w:rPr>
          <w:lang w:val="fr-FR"/>
        </w:rPr>
        <w:t>’</w:t>
      </w:r>
      <w:r w:rsidR="008D6B11" w:rsidRPr="00A24BDE">
        <w:rPr>
          <w:lang w:val="fr-FR"/>
        </w:rPr>
        <w:t>examen préliminaire international par les o</w:t>
      </w:r>
      <w:r w:rsidR="00D455A0" w:rsidRPr="00A24BDE">
        <w:rPr>
          <w:lang w:val="fr-FR"/>
        </w:rPr>
        <w:t>ffices élus ne dev</w:t>
      </w:r>
      <w:r w:rsidR="008D6B11" w:rsidRPr="00A24BDE">
        <w:rPr>
          <w:lang w:val="fr-FR"/>
        </w:rPr>
        <w:t>ait pas être interprétée comme limitant l</w:t>
      </w:r>
      <w:r w:rsidR="005E6A24" w:rsidRPr="00A24BDE">
        <w:rPr>
          <w:lang w:val="fr-FR"/>
        </w:rPr>
        <w:t>’</w:t>
      </w:r>
      <w:r w:rsidR="008D6B11" w:rsidRPr="00A24BDE">
        <w:rPr>
          <w:lang w:val="fr-FR"/>
        </w:rPr>
        <w:t>accès uniquement aux offices élus</w:t>
      </w:r>
      <w:r w:rsidR="00B34D5F" w:rsidRPr="00A24BDE">
        <w:rPr>
          <w:lang w:val="fr-FR"/>
        </w:rPr>
        <w:t xml:space="preserve">.  </w:t>
      </w:r>
      <w:r w:rsidR="001F5412" w:rsidRPr="00A24BDE">
        <w:rPr>
          <w:lang w:val="fr-FR"/>
        </w:rPr>
        <w:t>Conformément à cette interprétation, les offices élus dont la législation nationale prévoit la publication des dossiers relatifs aux demandes ne devraient plus être tenus de retirer le dossier d</w:t>
      </w:r>
      <w:r w:rsidR="00E77B30" w:rsidRPr="00A24BDE">
        <w:rPr>
          <w:lang w:val="fr-FR"/>
        </w:rPr>
        <w:t>e l</w:t>
      </w:r>
      <w:r w:rsidR="005E6A24" w:rsidRPr="00A24BDE">
        <w:rPr>
          <w:lang w:val="fr-FR"/>
        </w:rPr>
        <w:t>’</w:t>
      </w:r>
      <w:r w:rsidR="001F5412" w:rsidRPr="00A24BDE">
        <w:rPr>
          <w:lang w:val="fr-FR"/>
        </w:rPr>
        <w:t>examen préliminaire international lorsqu</w:t>
      </w:r>
      <w:r w:rsidR="005E6A24" w:rsidRPr="00A24BDE">
        <w:rPr>
          <w:lang w:val="fr-FR"/>
        </w:rPr>
        <w:t>’</w:t>
      </w:r>
      <w:r w:rsidR="001F5412" w:rsidRPr="00A24BDE">
        <w:rPr>
          <w:lang w:val="fr-FR"/>
        </w:rPr>
        <w:t>ils autorisent cet accès</w:t>
      </w:r>
      <w:r w:rsidR="00B34D5F" w:rsidRPr="00A24BDE">
        <w:rPr>
          <w:lang w:val="fr-FR"/>
        </w:rPr>
        <w:t xml:space="preserve">.  </w:t>
      </w:r>
      <w:r w:rsidR="001F5412" w:rsidRPr="00A24BDE">
        <w:rPr>
          <w:lang w:val="fr-FR"/>
        </w:rPr>
        <w:t>Non seulement le rapport d</w:t>
      </w:r>
      <w:r w:rsidR="005E6A24" w:rsidRPr="00A24BDE">
        <w:rPr>
          <w:lang w:val="fr-FR"/>
        </w:rPr>
        <w:t>’</w:t>
      </w:r>
      <w:r w:rsidR="001F5412" w:rsidRPr="00A24BDE">
        <w:rPr>
          <w:lang w:val="fr-FR"/>
        </w:rPr>
        <w:t>examen préliminaire international, mais aussi le reste du dossier d</w:t>
      </w:r>
      <w:r w:rsidR="00E77B30" w:rsidRPr="00A24BDE">
        <w:rPr>
          <w:lang w:val="fr-FR"/>
        </w:rPr>
        <w:t>e l</w:t>
      </w:r>
      <w:r w:rsidR="005E6A24" w:rsidRPr="00A24BDE">
        <w:rPr>
          <w:lang w:val="fr-FR"/>
        </w:rPr>
        <w:t>’</w:t>
      </w:r>
      <w:r w:rsidR="001F5412" w:rsidRPr="00A24BDE">
        <w:rPr>
          <w:lang w:val="fr-FR"/>
        </w:rPr>
        <w:t>examen préliminaire international, s</w:t>
      </w:r>
      <w:r w:rsidR="005E6A24" w:rsidRPr="00A24BDE">
        <w:rPr>
          <w:lang w:val="fr-FR"/>
        </w:rPr>
        <w:t>’</w:t>
      </w:r>
      <w:r w:rsidR="001F5412" w:rsidRPr="00A24BDE">
        <w:rPr>
          <w:lang w:val="fr-FR"/>
        </w:rPr>
        <w:t>ils sont disponibles auprès de l</w:t>
      </w:r>
      <w:r w:rsidR="005E6A24" w:rsidRPr="00A24BDE">
        <w:rPr>
          <w:lang w:val="fr-FR"/>
        </w:rPr>
        <w:t>’</w:t>
      </w:r>
      <w:r w:rsidR="001F5412" w:rsidRPr="00A24BDE">
        <w:rPr>
          <w:lang w:val="fr-FR"/>
        </w:rPr>
        <w:t>office élu, devraient faire partie du dossier de cet office et être mis à la disposition du public pour inspection au même titre que le reste du dossier.</w:t>
      </w:r>
      <w:r w:rsidRPr="00A24BDE">
        <w:rPr>
          <w:lang w:val="fr-FR"/>
        </w:rPr>
        <w:t>”</w:t>
      </w:r>
    </w:p>
    <w:p w:rsidR="008B1F38" w:rsidRPr="00A24BDE" w:rsidRDefault="001F5412" w:rsidP="00BD4FED">
      <w:pPr>
        <w:pStyle w:val="ONUMFS"/>
        <w:rPr>
          <w:lang w:val="fr-FR"/>
        </w:rPr>
      </w:pPr>
      <w:r w:rsidRPr="00A24BDE">
        <w:rPr>
          <w:lang w:val="fr-FR"/>
        </w:rPr>
        <w:t>Conformément à cette interprétation et compte tenu des délibérations du Groupe de travail sur la réforme</w:t>
      </w:r>
      <w:r w:rsidR="005E6A24" w:rsidRPr="00A24BDE">
        <w:rPr>
          <w:lang w:val="fr-FR"/>
        </w:rPr>
        <w:t xml:space="preserve"> du PCT</w:t>
      </w:r>
      <w:r w:rsidRPr="00A24BDE">
        <w:rPr>
          <w:lang w:val="fr-FR"/>
        </w:rPr>
        <w:t xml:space="preserve"> et du Groupe de travail</w:t>
      </w:r>
      <w:r w:rsidR="005E6A24" w:rsidRPr="00A24BDE">
        <w:rPr>
          <w:lang w:val="fr-FR"/>
        </w:rPr>
        <w:t xml:space="preserve"> du PCT</w:t>
      </w:r>
      <w:r w:rsidRPr="00A24BDE">
        <w:rPr>
          <w:lang w:val="fr-FR"/>
        </w:rPr>
        <w:t>,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Assemblée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Union</w:t>
      </w:r>
      <w:r w:rsidR="005E6A24" w:rsidRPr="00A24BDE">
        <w:rPr>
          <w:lang w:val="fr-FR"/>
        </w:rPr>
        <w:t xml:space="preserve"> du PCT</w:t>
      </w:r>
      <w:r w:rsidRPr="00A24BDE">
        <w:rPr>
          <w:lang w:val="fr-FR"/>
        </w:rPr>
        <w:t xml:space="preserve"> a ajouté les règles mentionnées au paragraphe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2</w:t>
      </w:r>
      <w:r w:rsidR="00B34D5F" w:rsidRPr="00A24BDE">
        <w:rPr>
          <w:lang w:val="fr-FR"/>
        </w:rPr>
        <w:t xml:space="preserve">.  </w:t>
      </w:r>
      <w:r w:rsidR="008A6F42" w:rsidRPr="00A24BDE">
        <w:rPr>
          <w:lang w:val="fr-FR"/>
        </w:rPr>
        <w:t>Celles</w:t>
      </w:r>
      <w:r w:rsidR="005E6A24" w:rsidRPr="00A24BDE">
        <w:rPr>
          <w:lang w:val="fr-FR"/>
        </w:rPr>
        <w:t>-</w:t>
      </w:r>
      <w:r w:rsidR="008A6F42" w:rsidRPr="00A24BDE">
        <w:rPr>
          <w:lang w:val="fr-FR"/>
        </w:rPr>
        <w:t>ci précisaient que les offices élus avaient le droit de mettre à la disposition du public certaines parties du dossier de l</w:t>
      </w:r>
      <w:r w:rsidR="005E6A24" w:rsidRPr="00A24BDE">
        <w:rPr>
          <w:lang w:val="fr-FR"/>
        </w:rPr>
        <w:t>’</w:t>
      </w:r>
      <w:r w:rsidR="008A6F42" w:rsidRPr="00A24BDE">
        <w:rPr>
          <w:lang w:val="fr-FR"/>
        </w:rPr>
        <w:t>examen préliminaire international après l</w:t>
      </w:r>
      <w:r w:rsidR="005E6A24" w:rsidRPr="00A24BDE">
        <w:rPr>
          <w:lang w:val="fr-FR"/>
        </w:rPr>
        <w:t>’</w:t>
      </w:r>
      <w:r w:rsidR="008A6F42" w:rsidRPr="00A24BDE">
        <w:rPr>
          <w:lang w:val="fr-FR"/>
        </w:rPr>
        <w:t>établissement du rapport d</w:t>
      </w:r>
      <w:r w:rsidR="005E6A24" w:rsidRPr="00A24BDE">
        <w:rPr>
          <w:lang w:val="fr-FR"/>
        </w:rPr>
        <w:t>’</w:t>
      </w:r>
      <w:r w:rsidR="008A6F42" w:rsidRPr="00A24BDE">
        <w:rPr>
          <w:lang w:val="fr-FR"/>
        </w:rPr>
        <w:t>examen</w:t>
      </w:r>
      <w:r w:rsidR="0024640A" w:rsidRPr="00A24BDE">
        <w:rPr>
          <w:lang w:val="fr-FR"/>
        </w:rPr>
        <w:t xml:space="preserve"> préliminaire international et ont</w:t>
      </w:r>
      <w:r w:rsidR="008A6F42" w:rsidRPr="00A24BDE">
        <w:rPr>
          <w:lang w:val="fr-FR"/>
        </w:rPr>
        <w:t xml:space="preserve"> progressivement facilité l</w:t>
      </w:r>
      <w:r w:rsidR="005E6A24" w:rsidRPr="00A24BDE">
        <w:rPr>
          <w:lang w:val="fr-FR"/>
        </w:rPr>
        <w:t>’</w:t>
      </w:r>
      <w:r w:rsidR="008A6F42" w:rsidRPr="00A24BDE">
        <w:rPr>
          <w:lang w:val="fr-FR"/>
        </w:rPr>
        <w:t>accès au rapport d</w:t>
      </w:r>
      <w:r w:rsidR="005E6A24" w:rsidRPr="00A24BDE">
        <w:rPr>
          <w:lang w:val="fr-FR"/>
        </w:rPr>
        <w:t>’</w:t>
      </w:r>
      <w:r w:rsidR="008A6F42" w:rsidRPr="00A24BDE">
        <w:rPr>
          <w:lang w:val="fr-FR"/>
        </w:rPr>
        <w:t>examen préliminaire international, ainsi qu</w:t>
      </w:r>
      <w:r w:rsidR="005E6A24" w:rsidRPr="00A24BDE">
        <w:rPr>
          <w:lang w:val="fr-FR"/>
        </w:rPr>
        <w:t>’</w:t>
      </w:r>
      <w:r w:rsidR="008A6F42" w:rsidRPr="00A24BDE">
        <w:rPr>
          <w:lang w:val="fr-FR"/>
        </w:rPr>
        <w:t>à l</w:t>
      </w:r>
      <w:r w:rsidR="005E6A24" w:rsidRPr="00A24BDE">
        <w:rPr>
          <w:lang w:val="fr-FR"/>
        </w:rPr>
        <w:t>’</w:t>
      </w:r>
      <w:r w:rsidR="008A6F42" w:rsidRPr="00A24BDE">
        <w:rPr>
          <w:lang w:val="fr-FR"/>
        </w:rPr>
        <w:t>opinion écrite de l</w:t>
      </w:r>
      <w:r w:rsidR="005E6A24" w:rsidRPr="00A24BDE">
        <w:rPr>
          <w:lang w:val="fr-FR"/>
        </w:rPr>
        <w:t>’</w:t>
      </w:r>
      <w:r w:rsidR="008A6F42" w:rsidRPr="00A24BDE">
        <w:rPr>
          <w:lang w:val="fr-FR"/>
        </w:rPr>
        <w:t>administration chargée de la recherche internationale.</w:t>
      </w:r>
    </w:p>
    <w:p w:rsidR="008B1F38" w:rsidRPr="00A24BDE" w:rsidRDefault="00001C22" w:rsidP="00001C22">
      <w:pPr>
        <w:pStyle w:val="Heading1"/>
        <w:rPr>
          <w:lang w:val="fr-FR"/>
        </w:rPr>
      </w:pPr>
      <w:bookmarkStart w:id="8" w:name="_Toc8132433"/>
      <w:r w:rsidRPr="00A24BDE">
        <w:rPr>
          <w:lang w:val="fr-FR"/>
        </w:rPr>
        <w:t>Propositions de modification des règles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 xml:space="preserve">71.1 et 94.1.C) et des </w:t>
      </w:r>
      <w:r w:rsidR="00A40C47" w:rsidRPr="00A24BDE">
        <w:rPr>
          <w:lang w:val="fr-FR"/>
        </w:rPr>
        <w:t>I</w:t>
      </w:r>
      <w:r w:rsidRPr="00A24BDE">
        <w:rPr>
          <w:lang w:val="fr-FR"/>
        </w:rPr>
        <w:t>nstructions administratives</w:t>
      </w:r>
      <w:r w:rsidR="005E6A24" w:rsidRPr="00A24BDE">
        <w:rPr>
          <w:lang w:val="fr-FR"/>
        </w:rPr>
        <w:t xml:space="preserve"> du </w:t>
      </w:r>
      <w:bookmarkEnd w:id="8"/>
      <w:r w:rsidR="005E6A24" w:rsidRPr="00A24BDE">
        <w:rPr>
          <w:lang w:val="fr-FR"/>
        </w:rPr>
        <w:t>PCT</w:t>
      </w:r>
    </w:p>
    <w:p w:rsidR="002D6DFB" w:rsidRDefault="004F7F82" w:rsidP="002D6DFB">
      <w:pPr>
        <w:pStyle w:val="ONUMFS"/>
        <w:rPr>
          <w:lang w:val="fr-FR"/>
        </w:rPr>
      </w:pPr>
      <w:r w:rsidRPr="00A24BDE">
        <w:rPr>
          <w:lang w:val="fr-FR"/>
        </w:rPr>
        <w:t>Dans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intérêt des examinateurs des offices élus et du public, il est proposé qu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au moins les opinions écrites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administration chargée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examen préliminaire international, les modifications et les lettres soient </w:t>
      </w:r>
      <w:r w:rsidR="00A40C47" w:rsidRPr="00A24BDE">
        <w:rPr>
          <w:lang w:val="fr-FR"/>
        </w:rPr>
        <w:t>mises à disposition</w:t>
      </w:r>
      <w:r w:rsidRPr="00A24BDE">
        <w:rPr>
          <w:lang w:val="fr-FR"/>
        </w:rPr>
        <w:t xml:space="preserve"> dans PATENTSCOPE après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établissement du rapport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international.</w:t>
      </w:r>
    </w:p>
    <w:p w:rsidR="008B1F38" w:rsidRPr="00A24BDE" w:rsidRDefault="002D6DFB" w:rsidP="002D6DFB">
      <w:pPr>
        <w:rPr>
          <w:lang w:val="fr-FR"/>
        </w:rPr>
      </w:pPr>
      <w:r>
        <w:rPr>
          <w:lang w:val="fr-FR"/>
        </w:rPr>
        <w:br w:type="page"/>
      </w:r>
    </w:p>
    <w:p w:rsidR="008B1F38" w:rsidRPr="00A24BDE" w:rsidRDefault="00BB14BE" w:rsidP="002D6DFB">
      <w:pPr>
        <w:pStyle w:val="ONUMFS"/>
        <w:rPr>
          <w:lang w:val="fr-FR"/>
        </w:rPr>
      </w:pPr>
      <w:r w:rsidRPr="00A24BDE">
        <w:rPr>
          <w:lang w:val="fr-FR"/>
        </w:rPr>
        <w:lastRenderedPageBreak/>
        <w:t>Principalement dans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intérêt des déposants, il est proposé </w:t>
      </w:r>
      <w:r w:rsidR="00465C0E" w:rsidRPr="00A24BDE">
        <w:rPr>
          <w:lang w:val="fr-FR"/>
        </w:rPr>
        <w:t>d</w:t>
      </w:r>
      <w:r w:rsidR="005E6A24" w:rsidRPr="00A24BDE">
        <w:rPr>
          <w:lang w:val="fr-FR"/>
        </w:rPr>
        <w:t>’</w:t>
      </w:r>
      <w:r w:rsidR="00465C0E" w:rsidRPr="00A24BDE">
        <w:rPr>
          <w:lang w:val="fr-FR"/>
        </w:rPr>
        <w:t xml:space="preserve">envisager </w:t>
      </w:r>
      <w:r w:rsidRPr="00A24BDE">
        <w:rPr>
          <w:lang w:val="fr-FR"/>
        </w:rPr>
        <w:t>que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autres formulaires du chapitre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II</w:t>
      </w:r>
      <w:r w:rsidR="005E6A24" w:rsidRPr="00A24BDE">
        <w:rPr>
          <w:lang w:val="fr-FR"/>
        </w:rPr>
        <w:t xml:space="preserve"> du PCT</w:t>
      </w:r>
      <w:r w:rsidRPr="00A24BDE">
        <w:rPr>
          <w:lang w:val="fr-FR"/>
        </w:rPr>
        <w:t xml:space="preserve"> invita</w:t>
      </w:r>
      <w:r w:rsidR="00A8629C" w:rsidRPr="00A24BDE">
        <w:rPr>
          <w:lang w:val="fr-FR"/>
        </w:rPr>
        <w:t xml:space="preserve">nt les déposants à prendre des </w:t>
      </w:r>
      <w:r w:rsidRPr="00A24BDE">
        <w:rPr>
          <w:lang w:val="fr-FR"/>
        </w:rPr>
        <w:t>mesures</w:t>
      </w:r>
      <w:r w:rsidR="00A8629C" w:rsidRPr="00A24BDE">
        <w:rPr>
          <w:lang w:val="fr-FR"/>
        </w:rPr>
        <w:t xml:space="preserve"> supplémentaires</w:t>
      </w:r>
      <w:r w:rsidRPr="00A24BDE">
        <w:rPr>
          <w:lang w:val="fr-FR"/>
        </w:rPr>
        <w:t xml:space="preserve"> (par exemple le formulaire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 xml:space="preserve">PCT/IPEA/405 invitant les déposants à limiter les revendications ou à payer des taxes additionnelles) soient également </w:t>
      </w:r>
      <w:r w:rsidR="00465C0E" w:rsidRPr="00A24BDE">
        <w:rPr>
          <w:lang w:val="fr-FR"/>
        </w:rPr>
        <w:t>transmis</w:t>
      </w:r>
      <w:r w:rsidR="00A8629C" w:rsidRPr="00A24BDE">
        <w:rPr>
          <w:lang w:val="fr-FR"/>
        </w:rPr>
        <w:t xml:space="preserve"> au Bureau i</w:t>
      </w:r>
      <w:r w:rsidRPr="00A24BDE">
        <w:rPr>
          <w:lang w:val="fr-FR"/>
        </w:rPr>
        <w:t>nternational (cela supposerait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apporter de nouvelles modifications aux instructions administratives</w:t>
      </w:r>
      <w:r w:rsidR="00A8629C" w:rsidRPr="00A24BDE">
        <w:rPr>
          <w:lang w:val="fr-FR"/>
        </w:rPr>
        <w:t>,</w:t>
      </w:r>
      <w:r w:rsidRPr="00A24BDE">
        <w:rPr>
          <w:lang w:val="fr-FR"/>
        </w:rPr>
        <w:t xml:space="preserve"> qui s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ajouteraient aux principales propositions figurant à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annexe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 xml:space="preserve">II et pourraient également </w:t>
      </w:r>
      <w:r w:rsidR="00337D73" w:rsidRPr="00A24BDE">
        <w:rPr>
          <w:lang w:val="fr-FR"/>
        </w:rPr>
        <w:t>concerner</w:t>
      </w:r>
      <w:r w:rsidRPr="00A24BDE">
        <w:rPr>
          <w:lang w:val="fr-FR"/>
        </w:rPr>
        <w:t xml:space="preserve"> des formulaires équivalents de la procédure prévue au </w:t>
      </w:r>
      <w:r w:rsidR="005E6A24" w:rsidRPr="00A24BDE">
        <w:rPr>
          <w:lang w:val="fr-FR"/>
        </w:rPr>
        <w:t>chapitre I</w:t>
      </w:r>
      <w:r w:rsidRPr="00A24BDE">
        <w:rPr>
          <w:lang w:val="fr-FR"/>
        </w:rPr>
        <w:t>)</w:t>
      </w:r>
      <w:r w:rsidR="00B34D5F" w:rsidRPr="00A24BDE">
        <w:rPr>
          <w:lang w:val="fr-FR"/>
        </w:rPr>
        <w:t xml:space="preserve">.  </w:t>
      </w:r>
      <w:r w:rsidRPr="00A24BDE">
        <w:rPr>
          <w:lang w:val="fr-FR"/>
        </w:rPr>
        <w:t>Ce</w:t>
      </w:r>
      <w:r w:rsidR="00A8629C" w:rsidRPr="00A24BDE">
        <w:rPr>
          <w:lang w:val="fr-FR"/>
        </w:rPr>
        <w:t>ux</w:t>
      </w:r>
      <w:r w:rsidR="005E6A24" w:rsidRPr="00A24BDE">
        <w:rPr>
          <w:lang w:val="fr-FR"/>
        </w:rPr>
        <w:t>-</w:t>
      </w:r>
      <w:r w:rsidRPr="00A24BDE">
        <w:rPr>
          <w:lang w:val="fr-FR"/>
        </w:rPr>
        <w:t>ci seraient immédiatement mis à la disposition des déposants par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intermédiaire du système </w:t>
      </w:r>
      <w:proofErr w:type="spellStart"/>
      <w:r w:rsidRPr="00A24BDE">
        <w:rPr>
          <w:lang w:val="fr-FR"/>
        </w:rPr>
        <w:t>ePCT</w:t>
      </w:r>
      <w:proofErr w:type="spellEnd"/>
      <w:r w:rsidRPr="00A24BDE">
        <w:rPr>
          <w:lang w:val="fr-FR"/>
        </w:rPr>
        <w:t>, ce qui permettrait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éviter les délais de transmission par courrier</w:t>
      </w:r>
      <w:r w:rsidR="00B34D5F" w:rsidRPr="00A24BDE">
        <w:rPr>
          <w:lang w:val="fr-FR"/>
        </w:rPr>
        <w:t xml:space="preserve">.  </w:t>
      </w:r>
      <w:r w:rsidRPr="00A24BDE">
        <w:rPr>
          <w:lang w:val="fr-FR"/>
        </w:rPr>
        <w:t>Il est proposé que ces documents soient également mis à disposition dans PATENTSCOPE après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établissement du rapport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</w:t>
      </w:r>
      <w:r w:rsidR="00B34D5F" w:rsidRPr="00A24BDE">
        <w:rPr>
          <w:lang w:val="fr-FR"/>
        </w:rPr>
        <w:t xml:space="preserve">.  </w:t>
      </w:r>
      <w:r w:rsidRPr="00A24BDE">
        <w:rPr>
          <w:lang w:val="fr-FR"/>
        </w:rPr>
        <w:t xml:space="preserve">Le nombre de documents concernés serait relativement faible, mais les avantages pour les déposants qui reçoivent </w:t>
      </w:r>
      <w:r w:rsidR="00A8629C" w:rsidRPr="00A24BDE">
        <w:rPr>
          <w:lang w:val="fr-FR"/>
        </w:rPr>
        <w:t xml:space="preserve">par courrier postal </w:t>
      </w:r>
      <w:r w:rsidRPr="00A24BDE">
        <w:rPr>
          <w:lang w:val="fr-FR"/>
        </w:rPr>
        <w:t>des documents provenant de pays lointains seraient considérables.</w:t>
      </w:r>
    </w:p>
    <w:p w:rsidR="005E6A24" w:rsidRPr="00A24BDE" w:rsidRDefault="00BB14BE" w:rsidP="002D6DFB">
      <w:pPr>
        <w:pStyle w:val="ONUMFS"/>
        <w:rPr>
          <w:lang w:val="fr-FR"/>
        </w:rPr>
      </w:pPr>
      <w:r w:rsidRPr="00A24BDE">
        <w:rPr>
          <w:lang w:val="fr-FR"/>
        </w:rPr>
        <w:t>À cette fin, il est proposé</w:t>
      </w:r>
    </w:p>
    <w:p w:rsidR="008B1F38" w:rsidRPr="00A24BDE" w:rsidRDefault="00633093" w:rsidP="00BB14BE">
      <w:pPr>
        <w:pStyle w:val="ONUME"/>
        <w:numPr>
          <w:ilvl w:val="1"/>
          <w:numId w:val="5"/>
        </w:numPr>
        <w:rPr>
          <w:lang w:val="fr-FR"/>
        </w:rPr>
      </w:pPr>
      <w:proofErr w:type="gramStart"/>
      <w:r w:rsidRPr="00A24BDE">
        <w:rPr>
          <w:lang w:val="fr-FR"/>
        </w:rPr>
        <w:t>que</w:t>
      </w:r>
      <w:proofErr w:type="gramEnd"/>
      <w:r w:rsidRPr="00A24BDE">
        <w:rPr>
          <w:lang w:val="fr-FR"/>
        </w:rPr>
        <w:t xml:space="preserve"> </w:t>
      </w:r>
      <w:r w:rsidR="00BB14BE" w:rsidRPr="00A24BDE">
        <w:rPr>
          <w:lang w:val="fr-FR"/>
        </w:rPr>
        <w:t>la règle</w:t>
      </w:r>
      <w:r w:rsidR="00581EB8" w:rsidRPr="00A24BDE">
        <w:rPr>
          <w:lang w:val="fr-FR"/>
        </w:rPr>
        <w:t> </w:t>
      </w:r>
      <w:r w:rsidR="00BB14BE" w:rsidRPr="00A24BDE">
        <w:rPr>
          <w:lang w:val="fr-FR"/>
        </w:rPr>
        <w:t>71.1 soit modifiée afin d</w:t>
      </w:r>
      <w:r w:rsidR="005E6A24" w:rsidRPr="00A24BDE">
        <w:rPr>
          <w:lang w:val="fr-FR"/>
        </w:rPr>
        <w:t>’</w:t>
      </w:r>
      <w:r w:rsidR="00BB14BE" w:rsidRPr="00A24BDE">
        <w:rPr>
          <w:lang w:val="fr-FR"/>
        </w:rPr>
        <w:t>établir une base pour exiger que les administrations chargées de l</w:t>
      </w:r>
      <w:r w:rsidR="005E6A24" w:rsidRPr="00A24BDE">
        <w:rPr>
          <w:lang w:val="fr-FR"/>
        </w:rPr>
        <w:t>’</w:t>
      </w:r>
      <w:r w:rsidR="00BB14BE" w:rsidRPr="00A24BDE">
        <w:rPr>
          <w:lang w:val="fr-FR"/>
        </w:rPr>
        <w:t>examen préliminaire international transmettent des documents supplémentaires au Bureau international;</w:t>
      </w:r>
    </w:p>
    <w:p w:rsidR="005E6A24" w:rsidRPr="00A24BDE" w:rsidRDefault="00633093" w:rsidP="001A56A0">
      <w:pPr>
        <w:pStyle w:val="ONUME"/>
        <w:numPr>
          <w:ilvl w:val="1"/>
          <w:numId w:val="5"/>
        </w:numPr>
        <w:rPr>
          <w:lang w:val="fr-FR"/>
        </w:rPr>
      </w:pPr>
      <w:proofErr w:type="gramStart"/>
      <w:r w:rsidRPr="00A24BDE">
        <w:rPr>
          <w:lang w:val="fr-FR"/>
        </w:rPr>
        <w:t>que</w:t>
      </w:r>
      <w:proofErr w:type="gramEnd"/>
      <w:r w:rsidRPr="00A24BDE">
        <w:rPr>
          <w:lang w:val="fr-FR"/>
        </w:rPr>
        <w:t xml:space="preserve"> </w:t>
      </w:r>
      <w:r w:rsidR="001A56A0" w:rsidRPr="00A24BDE">
        <w:rPr>
          <w:lang w:val="fr-FR"/>
        </w:rPr>
        <w:t>la règle</w:t>
      </w:r>
      <w:r w:rsidR="00581EB8" w:rsidRPr="00A24BDE">
        <w:rPr>
          <w:lang w:val="fr-FR"/>
        </w:rPr>
        <w:t> </w:t>
      </w:r>
      <w:r w:rsidR="001A56A0" w:rsidRPr="00A24BDE">
        <w:rPr>
          <w:lang w:val="fr-FR"/>
        </w:rPr>
        <w:t>94</w:t>
      </w:r>
      <w:r w:rsidRPr="00A24BDE">
        <w:rPr>
          <w:lang w:val="fr-FR"/>
        </w:rPr>
        <w:t>.</w:t>
      </w:r>
      <w:r w:rsidR="001A56A0" w:rsidRPr="00A24BDE">
        <w:rPr>
          <w:lang w:val="fr-FR"/>
        </w:rPr>
        <w:t xml:space="preserve">1.c) soit modifiée </w:t>
      </w:r>
      <w:r w:rsidRPr="00A24BDE">
        <w:rPr>
          <w:lang w:val="fr-FR"/>
        </w:rPr>
        <w:t>de façon à</w:t>
      </w:r>
      <w:r w:rsidR="001A56A0" w:rsidRPr="00A24BDE">
        <w:rPr>
          <w:lang w:val="fr-FR"/>
        </w:rPr>
        <w:t xml:space="preserve"> permettre au Bureau international de mettre à disposition</w:t>
      </w:r>
      <w:r w:rsidRPr="00A24BDE">
        <w:rPr>
          <w:lang w:val="fr-FR"/>
        </w:rPr>
        <w:t>,</w:t>
      </w:r>
      <w:r w:rsidR="001A56A0" w:rsidRPr="00A24BDE">
        <w:rPr>
          <w:lang w:val="fr-FR"/>
        </w:rPr>
        <w:t xml:space="preserve"> </w:t>
      </w:r>
      <w:r w:rsidRPr="00A24BDE">
        <w:rPr>
          <w:lang w:val="fr-FR"/>
        </w:rPr>
        <w:t>au nom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 xml:space="preserve">un office élu qui en fait la requête, </w:t>
      </w:r>
      <w:r w:rsidR="001A56A0" w:rsidRPr="00A24BDE">
        <w:rPr>
          <w:lang w:val="fr-FR"/>
        </w:rPr>
        <w:t>les documents qui figurent dans le dossier détenu par l</w:t>
      </w:r>
      <w:r w:rsidR="005E6A24" w:rsidRPr="00A24BDE">
        <w:rPr>
          <w:lang w:val="fr-FR"/>
        </w:rPr>
        <w:t>’</w:t>
      </w:r>
      <w:r w:rsidR="001A56A0" w:rsidRPr="00A24BDE">
        <w:rPr>
          <w:lang w:val="fr-FR"/>
        </w:rPr>
        <w:t>administration chargée de l</w:t>
      </w:r>
      <w:r w:rsidR="005E6A24" w:rsidRPr="00A24BDE">
        <w:rPr>
          <w:lang w:val="fr-FR"/>
        </w:rPr>
        <w:t>’</w:t>
      </w:r>
      <w:r w:rsidR="001A56A0" w:rsidRPr="00A24BDE">
        <w:rPr>
          <w:lang w:val="fr-FR"/>
        </w:rPr>
        <w:t xml:space="preserve">examen préliminaire international, dans la mesure où ces documents </w:t>
      </w:r>
      <w:r w:rsidR="009F58FE" w:rsidRPr="00A24BDE">
        <w:rPr>
          <w:lang w:val="fr-FR"/>
        </w:rPr>
        <w:t>ont été</w:t>
      </w:r>
      <w:r w:rsidR="001A56A0" w:rsidRPr="00A24BDE">
        <w:rPr>
          <w:lang w:val="fr-FR"/>
        </w:rPr>
        <w:t xml:space="preserve"> </w:t>
      </w:r>
      <w:r w:rsidRPr="00A24BDE">
        <w:rPr>
          <w:lang w:val="fr-FR"/>
        </w:rPr>
        <w:t>fournis</w:t>
      </w:r>
      <w:r w:rsidR="001A56A0" w:rsidRPr="00A24BDE">
        <w:rPr>
          <w:lang w:val="fr-FR"/>
        </w:rPr>
        <w:t xml:space="preserve"> au Bureau international;</w:t>
      </w:r>
    </w:p>
    <w:p w:rsidR="005E6A24" w:rsidRPr="00A24BDE" w:rsidRDefault="00633093" w:rsidP="001A56A0">
      <w:pPr>
        <w:pStyle w:val="ONUME"/>
        <w:numPr>
          <w:ilvl w:val="1"/>
          <w:numId w:val="5"/>
        </w:numPr>
        <w:rPr>
          <w:lang w:val="fr-FR"/>
        </w:rPr>
      </w:pPr>
      <w:proofErr w:type="gramStart"/>
      <w:r w:rsidRPr="00A24BDE">
        <w:rPr>
          <w:lang w:val="fr-FR"/>
        </w:rPr>
        <w:t>que</w:t>
      </w:r>
      <w:proofErr w:type="gramEnd"/>
      <w:r w:rsidRPr="00A24BDE">
        <w:rPr>
          <w:lang w:val="fr-FR"/>
        </w:rPr>
        <w:t xml:space="preserve"> </w:t>
      </w:r>
      <w:r w:rsidR="001A56A0" w:rsidRPr="00A24BDE">
        <w:rPr>
          <w:lang w:val="fr-FR"/>
        </w:rPr>
        <w:t>l</w:t>
      </w:r>
      <w:r w:rsidR="005E6A24" w:rsidRPr="00A24BDE">
        <w:rPr>
          <w:lang w:val="fr-FR"/>
        </w:rPr>
        <w:t>’</w:t>
      </w:r>
      <w:r w:rsidR="001A56A0" w:rsidRPr="00A24BDE">
        <w:rPr>
          <w:lang w:val="fr-FR"/>
        </w:rPr>
        <w:t>instruction</w:t>
      </w:r>
      <w:r w:rsidR="00581EB8" w:rsidRPr="00A24BDE">
        <w:rPr>
          <w:lang w:val="fr-FR"/>
        </w:rPr>
        <w:t> </w:t>
      </w:r>
      <w:r w:rsidR="001A56A0" w:rsidRPr="00A24BDE">
        <w:rPr>
          <w:lang w:val="fr-FR"/>
        </w:rPr>
        <w:t>602 des Instructions administratives</w:t>
      </w:r>
      <w:r w:rsidR="005E6A24" w:rsidRPr="00A24BDE">
        <w:rPr>
          <w:lang w:val="fr-FR"/>
        </w:rPr>
        <w:t xml:space="preserve"> du PCT</w:t>
      </w:r>
      <w:r w:rsidRPr="00A24BDE">
        <w:rPr>
          <w:lang w:val="fr-FR"/>
        </w:rPr>
        <w:t xml:space="preserve"> </w:t>
      </w:r>
      <w:r w:rsidR="001A56A0" w:rsidRPr="00A24BDE">
        <w:rPr>
          <w:lang w:val="fr-FR"/>
        </w:rPr>
        <w:t>soit modifiée afin d</w:t>
      </w:r>
      <w:r w:rsidR="005E6A24" w:rsidRPr="00A24BDE">
        <w:rPr>
          <w:lang w:val="fr-FR"/>
        </w:rPr>
        <w:t>’</w:t>
      </w:r>
      <w:r w:rsidR="001A56A0" w:rsidRPr="00A24BDE">
        <w:rPr>
          <w:lang w:val="fr-FR"/>
        </w:rPr>
        <w:t xml:space="preserve">exiger </w:t>
      </w:r>
      <w:r w:rsidRPr="00A24BDE">
        <w:rPr>
          <w:lang w:val="fr-FR"/>
        </w:rPr>
        <w:t>que</w:t>
      </w:r>
      <w:r w:rsidR="001A56A0" w:rsidRPr="00A24BDE">
        <w:rPr>
          <w:lang w:val="fr-FR"/>
        </w:rPr>
        <w:t xml:space="preserve"> l</w:t>
      </w:r>
      <w:r w:rsidR="005E6A24" w:rsidRPr="00A24BDE">
        <w:rPr>
          <w:lang w:val="fr-FR"/>
        </w:rPr>
        <w:t>’</w:t>
      </w:r>
      <w:r w:rsidR="001A56A0" w:rsidRPr="00A24BDE">
        <w:rPr>
          <w:lang w:val="fr-FR"/>
        </w:rPr>
        <w:t>administration chargée de l</w:t>
      </w:r>
      <w:r w:rsidR="005E6A24" w:rsidRPr="00A24BDE">
        <w:rPr>
          <w:lang w:val="fr-FR"/>
        </w:rPr>
        <w:t>’</w:t>
      </w:r>
      <w:r w:rsidR="001A56A0" w:rsidRPr="00A24BDE">
        <w:rPr>
          <w:lang w:val="fr-FR"/>
        </w:rPr>
        <w:t xml:space="preserve">examen préliminaire international remette </w:t>
      </w:r>
      <w:r w:rsidRPr="00A24BDE">
        <w:rPr>
          <w:lang w:val="fr-FR"/>
        </w:rPr>
        <w:t xml:space="preserve">au Bureau </w:t>
      </w:r>
      <w:r w:rsidR="00581EB8" w:rsidRPr="00A24BDE">
        <w:rPr>
          <w:lang w:val="fr-FR"/>
        </w:rPr>
        <w:t>i</w:t>
      </w:r>
      <w:r w:rsidRPr="00A24BDE">
        <w:rPr>
          <w:lang w:val="fr-FR"/>
        </w:rPr>
        <w:t xml:space="preserve">nternational </w:t>
      </w:r>
      <w:r w:rsidR="001A56A0" w:rsidRPr="00A24BDE">
        <w:rPr>
          <w:lang w:val="fr-FR"/>
        </w:rPr>
        <w:t>une copie des opinions écrites et des lettres du déposant</w:t>
      </w:r>
      <w:r w:rsidR="00B34D5F" w:rsidRPr="00A24BDE">
        <w:rPr>
          <w:lang w:val="fr-FR"/>
        </w:rPr>
        <w:t xml:space="preserve">;  </w:t>
      </w:r>
      <w:r w:rsidR="001A56A0" w:rsidRPr="00A24BDE">
        <w:rPr>
          <w:lang w:val="fr-FR"/>
        </w:rPr>
        <w:t>et</w:t>
      </w:r>
    </w:p>
    <w:p w:rsidR="005E6A24" w:rsidRPr="00A24BDE" w:rsidRDefault="00633093" w:rsidP="000156EB">
      <w:pPr>
        <w:pStyle w:val="ONUME"/>
        <w:numPr>
          <w:ilvl w:val="1"/>
          <w:numId w:val="5"/>
        </w:numPr>
        <w:rPr>
          <w:lang w:val="fr-FR"/>
        </w:rPr>
      </w:pPr>
      <w:r w:rsidRPr="00A24BDE">
        <w:rPr>
          <w:lang w:val="fr-FR"/>
        </w:rPr>
        <w:t xml:space="preserve">que, </w:t>
      </w:r>
      <w:r w:rsidR="000156EB" w:rsidRPr="00A24BDE">
        <w:rPr>
          <w:lang w:val="fr-FR"/>
        </w:rPr>
        <w:t>si la proposition principale est acceptée, il soit envisagé de modifier également un certain nombre de formulaires concernant les administrations chargées de l</w:t>
      </w:r>
      <w:r w:rsidR="005E6A24" w:rsidRPr="00A24BDE">
        <w:rPr>
          <w:lang w:val="fr-FR"/>
        </w:rPr>
        <w:t>’</w:t>
      </w:r>
      <w:r w:rsidR="000156EB" w:rsidRPr="00A24BDE">
        <w:rPr>
          <w:lang w:val="fr-FR"/>
        </w:rPr>
        <w:t>examen préliminaire international et, selon que de besoin, les instructions correspondantes de la sixième partie des instructions administratives, de façon à exiger qu</w:t>
      </w:r>
      <w:r w:rsidR="005E6A24" w:rsidRPr="00A24BDE">
        <w:rPr>
          <w:lang w:val="fr-FR"/>
        </w:rPr>
        <w:t>’</w:t>
      </w:r>
      <w:r w:rsidR="000156EB" w:rsidRPr="00A24BDE">
        <w:rPr>
          <w:lang w:val="fr-FR"/>
        </w:rPr>
        <w:t>ils soient transmis au Bureau international, afin que d</w:t>
      </w:r>
      <w:r w:rsidR="005E6A24" w:rsidRPr="00A24BDE">
        <w:rPr>
          <w:lang w:val="fr-FR"/>
        </w:rPr>
        <w:t>’</w:t>
      </w:r>
      <w:r w:rsidR="000156EB" w:rsidRPr="00A24BDE">
        <w:rPr>
          <w:lang w:val="fr-FR"/>
        </w:rPr>
        <w:t xml:space="preserve">autres </w:t>
      </w:r>
      <w:r w:rsidRPr="00A24BDE">
        <w:rPr>
          <w:lang w:val="fr-FR"/>
        </w:rPr>
        <w:t>éléments</w:t>
      </w:r>
      <w:r w:rsidR="000156EB" w:rsidRPr="00A24BDE">
        <w:rPr>
          <w:lang w:val="fr-FR"/>
        </w:rPr>
        <w:t xml:space="preserve"> essentiels du dossier d</w:t>
      </w:r>
      <w:r w:rsidR="00E77B30" w:rsidRPr="00A24BDE">
        <w:rPr>
          <w:lang w:val="fr-FR"/>
        </w:rPr>
        <w:t>e l</w:t>
      </w:r>
      <w:r w:rsidR="005E6A24" w:rsidRPr="00A24BDE">
        <w:rPr>
          <w:lang w:val="fr-FR"/>
        </w:rPr>
        <w:t>’</w:t>
      </w:r>
      <w:r w:rsidR="000156EB" w:rsidRPr="00A24BDE">
        <w:rPr>
          <w:lang w:val="fr-FR"/>
        </w:rPr>
        <w:t>examen préliminaire international soient mis à la disposition des déposants et du public.</w:t>
      </w:r>
    </w:p>
    <w:p w:rsidR="008B1F38" w:rsidRPr="00A24BDE" w:rsidRDefault="000156EB" w:rsidP="002D6DFB">
      <w:pPr>
        <w:pStyle w:val="ONUMFS"/>
        <w:rPr>
          <w:lang w:val="fr-FR"/>
        </w:rPr>
      </w:pPr>
      <w:r w:rsidRPr="00A24BDE">
        <w:rPr>
          <w:lang w:val="fr-FR"/>
        </w:rPr>
        <w:t>L</w:t>
      </w:r>
      <w:r w:rsidR="005E6A24" w:rsidRPr="00A24BDE">
        <w:rPr>
          <w:lang w:val="fr-FR"/>
        </w:rPr>
        <w:t>’annexe I</w:t>
      </w:r>
      <w:r w:rsidRPr="00A24BDE">
        <w:rPr>
          <w:lang w:val="fr-FR"/>
        </w:rPr>
        <w:t xml:space="preserve"> contient les modifications du règlement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exécution</w:t>
      </w:r>
      <w:r w:rsidR="005E6A24" w:rsidRPr="00A24BDE">
        <w:rPr>
          <w:lang w:val="fr-FR"/>
        </w:rPr>
        <w:t xml:space="preserve"> du PCT</w:t>
      </w:r>
      <w:r w:rsidRPr="00A24BDE">
        <w:rPr>
          <w:lang w:val="fr-FR"/>
        </w:rPr>
        <w:t xml:space="preserve"> proposées aux paragraphes</w:t>
      </w:r>
      <w:r w:rsidR="00581EB8" w:rsidRPr="00A24BDE">
        <w:rPr>
          <w:lang w:val="fr-FR"/>
        </w:rPr>
        <w:t> </w:t>
      </w:r>
      <w:r w:rsidR="001B5F73" w:rsidRPr="00A24BDE">
        <w:rPr>
          <w:lang w:val="fr-FR"/>
        </w:rPr>
        <w:t>11</w:t>
      </w:r>
      <w:r w:rsidRPr="00A24BDE">
        <w:rPr>
          <w:lang w:val="fr-FR"/>
        </w:rPr>
        <w:t>.a) et b)</w:t>
      </w:r>
      <w:r w:rsidR="00B34D5F" w:rsidRPr="00A24BDE">
        <w:rPr>
          <w:lang w:val="fr-FR"/>
        </w:rPr>
        <w:t xml:space="preserve">.  </w:t>
      </w:r>
      <w:r w:rsidRPr="00A24BDE">
        <w:rPr>
          <w:lang w:val="fr-FR"/>
        </w:rPr>
        <w:t>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annexe</w:t>
      </w:r>
      <w:r w:rsidR="00581EB8" w:rsidRPr="00A24BDE">
        <w:rPr>
          <w:lang w:val="fr-FR"/>
        </w:rPr>
        <w:t> </w:t>
      </w:r>
      <w:r w:rsidRPr="00A24BDE">
        <w:rPr>
          <w:lang w:val="fr-FR"/>
        </w:rPr>
        <w:t>II contient les modifications des instructions administratives proposées au paragraphe</w:t>
      </w:r>
      <w:r w:rsidR="00581EB8" w:rsidRPr="00A24BDE">
        <w:rPr>
          <w:lang w:val="fr-FR"/>
        </w:rPr>
        <w:t> </w:t>
      </w:r>
      <w:r w:rsidR="001B5F73" w:rsidRPr="00A24BDE">
        <w:rPr>
          <w:lang w:val="fr-FR"/>
        </w:rPr>
        <w:t>11</w:t>
      </w:r>
      <w:r w:rsidRPr="00A24BDE">
        <w:rPr>
          <w:lang w:val="fr-FR"/>
        </w:rPr>
        <w:t>.c).</w:t>
      </w:r>
    </w:p>
    <w:p w:rsidR="008B1F38" w:rsidRPr="00A24BDE" w:rsidRDefault="00F53F10" w:rsidP="002D6DFB">
      <w:pPr>
        <w:pStyle w:val="ONUMFS"/>
        <w:rPr>
          <w:lang w:val="fr-FR"/>
        </w:rPr>
      </w:pPr>
      <w:r w:rsidRPr="00A24BDE">
        <w:rPr>
          <w:lang w:val="fr-FR"/>
        </w:rPr>
        <w:t>Étant donné que les administrations chargées de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 utilisent actuellement des moyens électroniques pour transmettre des documents au Bureau international, il est à espérer que la charge administrative que représente le fait de remettre des copies au Bureau international sera négligeable.</w:t>
      </w:r>
    </w:p>
    <w:p w:rsidR="008B1F38" w:rsidRPr="00A24BDE" w:rsidRDefault="00F53F10" w:rsidP="00F53F10">
      <w:pPr>
        <w:pStyle w:val="Heading1"/>
        <w:rPr>
          <w:lang w:val="fr-FR"/>
        </w:rPr>
      </w:pPr>
      <w:bookmarkStart w:id="9" w:name="_Toc8132434"/>
      <w:r w:rsidRPr="00A24BDE">
        <w:rPr>
          <w:lang w:val="fr-FR"/>
        </w:rPr>
        <w:t>Travaux futurs</w:t>
      </w:r>
      <w:bookmarkEnd w:id="9"/>
    </w:p>
    <w:p w:rsidR="008B1F38" w:rsidRPr="00A24BDE" w:rsidRDefault="00E737D9" w:rsidP="002D6DFB">
      <w:pPr>
        <w:pStyle w:val="ONUMFS"/>
        <w:rPr>
          <w:lang w:val="fr-FR"/>
        </w:rPr>
      </w:pPr>
      <w:bookmarkStart w:id="10" w:name="_Ref6218978"/>
      <w:r w:rsidRPr="00A24BDE">
        <w:rPr>
          <w:lang w:val="fr-FR"/>
        </w:rPr>
        <w:t>Les dispositions proposées dans les annexes du présent document pourraient constituer une première étape vers d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autres améliorations dans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accès à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information concernant l</w:t>
      </w:r>
      <w:r w:rsidR="005E6A24" w:rsidRPr="00A24BDE">
        <w:rPr>
          <w:lang w:val="fr-FR"/>
        </w:rPr>
        <w:t>’</w:t>
      </w:r>
      <w:r w:rsidRPr="00A24BDE">
        <w:rPr>
          <w:lang w:val="fr-FR"/>
        </w:rPr>
        <w:t>examen préliminaire international</w:t>
      </w:r>
      <w:r w:rsidR="00B34D5F" w:rsidRPr="00A24BDE">
        <w:rPr>
          <w:lang w:val="fr-FR"/>
        </w:rPr>
        <w:t xml:space="preserve">.  </w:t>
      </w:r>
      <w:r w:rsidR="002A6069" w:rsidRPr="00A24BDE">
        <w:rPr>
          <w:lang w:val="fr-FR"/>
        </w:rPr>
        <w:t>En particulier, le groupe de travail souhaitera peut</w:t>
      </w:r>
      <w:r w:rsidR="005E6A24" w:rsidRPr="00A24BDE">
        <w:rPr>
          <w:lang w:val="fr-FR"/>
        </w:rPr>
        <w:t>-</w:t>
      </w:r>
      <w:r w:rsidR="002A6069" w:rsidRPr="00A24BDE">
        <w:rPr>
          <w:lang w:val="fr-FR"/>
        </w:rPr>
        <w:t>être examiner s</w:t>
      </w:r>
      <w:r w:rsidR="005E6A24" w:rsidRPr="00A24BDE">
        <w:rPr>
          <w:lang w:val="fr-FR"/>
        </w:rPr>
        <w:t>’</w:t>
      </w:r>
      <w:r w:rsidR="002A6069" w:rsidRPr="00A24BDE">
        <w:rPr>
          <w:lang w:val="fr-FR"/>
        </w:rPr>
        <w:t>il convient d</w:t>
      </w:r>
      <w:r w:rsidR="005E6A24" w:rsidRPr="00A24BDE">
        <w:rPr>
          <w:lang w:val="fr-FR"/>
        </w:rPr>
        <w:t>’</w:t>
      </w:r>
      <w:r w:rsidR="002A6069" w:rsidRPr="00A24BDE">
        <w:rPr>
          <w:lang w:val="fr-FR"/>
        </w:rPr>
        <w:t xml:space="preserve">inviter la Réunion des administrations internationales </w:t>
      </w:r>
      <w:r w:rsidR="00C15861" w:rsidRPr="00A24BDE">
        <w:rPr>
          <w:lang w:val="fr-FR"/>
        </w:rPr>
        <w:t xml:space="preserve">du PCT </w:t>
      </w:r>
      <w:r w:rsidR="002A6069" w:rsidRPr="00A24BDE">
        <w:rPr>
          <w:lang w:val="fr-FR"/>
        </w:rPr>
        <w:t xml:space="preserve">à examiner la possibilité de ne plus </w:t>
      </w:r>
      <w:r w:rsidR="00CB1C99" w:rsidRPr="00A24BDE">
        <w:rPr>
          <w:lang w:val="fr-FR"/>
        </w:rPr>
        <w:t>annexer</w:t>
      </w:r>
      <w:r w:rsidR="002A6069" w:rsidRPr="00A24BDE">
        <w:rPr>
          <w:lang w:val="fr-FR"/>
        </w:rPr>
        <w:t xml:space="preserve"> </w:t>
      </w:r>
      <w:r w:rsidR="00335BCF" w:rsidRPr="00A24BDE">
        <w:rPr>
          <w:lang w:val="fr-FR"/>
        </w:rPr>
        <w:t>les</w:t>
      </w:r>
      <w:r w:rsidR="002A6069" w:rsidRPr="00A24BDE">
        <w:rPr>
          <w:lang w:val="fr-FR"/>
        </w:rPr>
        <w:t xml:space="preserve"> modifications, </w:t>
      </w:r>
      <w:r w:rsidR="00335BCF" w:rsidRPr="00A24BDE">
        <w:rPr>
          <w:lang w:val="fr-FR"/>
        </w:rPr>
        <w:t>les</w:t>
      </w:r>
      <w:r w:rsidR="002A6069" w:rsidRPr="00A24BDE">
        <w:rPr>
          <w:lang w:val="fr-FR"/>
        </w:rPr>
        <w:t xml:space="preserve"> rectifications </w:t>
      </w:r>
      <w:r w:rsidR="00335BCF" w:rsidRPr="00A24BDE">
        <w:rPr>
          <w:lang w:val="fr-FR"/>
        </w:rPr>
        <w:t>et les</w:t>
      </w:r>
      <w:r w:rsidR="002A6069" w:rsidRPr="00A24BDE">
        <w:rPr>
          <w:lang w:val="fr-FR"/>
        </w:rPr>
        <w:t xml:space="preserve"> lettres au rapport d</w:t>
      </w:r>
      <w:r w:rsidR="005E6A24" w:rsidRPr="00A24BDE">
        <w:rPr>
          <w:lang w:val="fr-FR"/>
        </w:rPr>
        <w:t>’</w:t>
      </w:r>
      <w:r w:rsidR="002A6069" w:rsidRPr="00A24BDE">
        <w:rPr>
          <w:lang w:val="fr-FR"/>
        </w:rPr>
        <w:t>examen préliminaire international, étant donné que celles</w:t>
      </w:r>
      <w:r w:rsidR="005E6A24" w:rsidRPr="00A24BDE">
        <w:rPr>
          <w:lang w:val="fr-FR"/>
        </w:rPr>
        <w:t>-</w:t>
      </w:r>
      <w:r w:rsidR="002A6069" w:rsidRPr="00A24BDE">
        <w:rPr>
          <w:lang w:val="fr-FR"/>
        </w:rPr>
        <w:t xml:space="preserve">ci pourraient être affichées </w:t>
      </w:r>
      <w:r w:rsidR="00CB1C99" w:rsidRPr="00A24BDE">
        <w:rPr>
          <w:lang w:val="fr-FR"/>
        </w:rPr>
        <w:t>de façon plus appropriée</w:t>
      </w:r>
      <w:r w:rsidR="002A6069" w:rsidRPr="00A24BDE">
        <w:rPr>
          <w:lang w:val="fr-FR"/>
        </w:rPr>
        <w:t xml:space="preserve"> sous forme de documents distincts</w:t>
      </w:r>
      <w:r w:rsidR="00B34D5F" w:rsidRPr="00A24BDE">
        <w:rPr>
          <w:lang w:val="fr-FR"/>
        </w:rPr>
        <w:t xml:space="preserve">.  </w:t>
      </w:r>
      <w:bookmarkEnd w:id="10"/>
      <w:r w:rsidR="00FD7259" w:rsidRPr="00A24BDE">
        <w:rPr>
          <w:lang w:val="fr-FR"/>
        </w:rPr>
        <w:t xml:space="preserve">De plus, parallèlement aux travaux visant à assurer la publication </w:t>
      </w:r>
      <w:r w:rsidR="00CB1C99" w:rsidRPr="00A24BDE">
        <w:rPr>
          <w:lang w:val="fr-FR"/>
        </w:rPr>
        <w:t xml:space="preserve">en texte intégral </w:t>
      </w:r>
      <w:r w:rsidR="00FD7259" w:rsidRPr="00A24BDE">
        <w:rPr>
          <w:lang w:val="fr-FR"/>
        </w:rPr>
        <w:t xml:space="preserve">du corps de la demande, les </w:t>
      </w:r>
      <w:r w:rsidR="00FD7259" w:rsidRPr="00A24BDE">
        <w:rPr>
          <w:lang w:val="fr-FR"/>
        </w:rPr>
        <w:lastRenderedPageBreak/>
        <w:t>modifications et les rectifications pourraient également être affichées sous la forme de corps de</w:t>
      </w:r>
      <w:r w:rsidR="00CB1C99" w:rsidRPr="00A24BDE">
        <w:rPr>
          <w:lang w:val="fr-FR"/>
        </w:rPr>
        <w:t>s</w:t>
      </w:r>
      <w:r w:rsidR="00FD7259" w:rsidRPr="00A24BDE">
        <w:rPr>
          <w:lang w:val="fr-FR"/>
        </w:rPr>
        <w:t xml:space="preserve"> demandes entièrement nouveaux, dûment annotés afin d</w:t>
      </w:r>
      <w:r w:rsidR="005E6A24" w:rsidRPr="00A24BDE">
        <w:rPr>
          <w:lang w:val="fr-FR"/>
        </w:rPr>
        <w:t>’</w:t>
      </w:r>
      <w:r w:rsidR="00FD7259" w:rsidRPr="00A24BDE">
        <w:rPr>
          <w:lang w:val="fr-FR"/>
        </w:rPr>
        <w:t xml:space="preserve">afficher les différences par rapport à la demande telle </w:t>
      </w:r>
      <w:r w:rsidR="00CB1C99" w:rsidRPr="00A24BDE">
        <w:rPr>
          <w:lang w:val="fr-FR"/>
        </w:rPr>
        <w:t>que</w:t>
      </w:r>
      <w:r w:rsidR="00FD7259" w:rsidRPr="00A24BDE">
        <w:rPr>
          <w:lang w:val="fr-FR"/>
        </w:rPr>
        <w:t xml:space="preserve"> déposée, ce qui éviterait aux offices élus de devoir combiner les modifications </w:t>
      </w:r>
      <w:r w:rsidR="009174E1" w:rsidRPr="00A24BDE">
        <w:rPr>
          <w:lang w:val="fr-FR"/>
        </w:rPr>
        <w:t>annexées</w:t>
      </w:r>
      <w:r w:rsidR="00FD7259" w:rsidRPr="00A24BDE">
        <w:rPr>
          <w:lang w:val="fr-FR"/>
        </w:rPr>
        <w:t xml:space="preserve"> au rapport d</w:t>
      </w:r>
      <w:r w:rsidR="005E6A24" w:rsidRPr="00A24BDE">
        <w:rPr>
          <w:lang w:val="fr-FR"/>
        </w:rPr>
        <w:t>’</w:t>
      </w:r>
      <w:r w:rsidR="00FD7259" w:rsidRPr="00A24BDE">
        <w:rPr>
          <w:lang w:val="fr-FR"/>
        </w:rPr>
        <w:t xml:space="preserve">examen préliminaire international et la demande internationale telle </w:t>
      </w:r>
      <w:r w:rsidR="00CB1C99" w:rsidRPr="00A24BDE">
        <w:rPr>
          <w:lang w:val="fr-FR"/>
        </w:rPr>
        <w:t xml:space="preserve">que </w:t>
      </w:r>
      <w:r w:rsidR="00FD7259" w:rsidRPr="00A24BDE">
        <w:rPr>
          <w:lang w:val="fr-FR"/>
        </w:rPr>
        <w:t>publiée.</w:t>
      </w:r>
    </w:p>
    <w:p w:rsidR="008B1F38" w:rsidRPr="00A24BDE" w:rsidRDefault="008B1F38" w:rsidP="002D6DFB">
      <w:pPr>
        <w:pStyle w:val="ONUMFS"/>
        <w:ind w:left="5533"/>
        <w:rPr>
          <w:lang w:val="fr-FR"/>
        </w:rPr>
      </w:pPr>
      <w:r w:rsidRPr="00A24BDE">
        <w:rPr>
          <w:lang w:val="fr-FR"/>
        </w:rPr>
        <w:t>Le groupe de travail est invité</w:t>
      </w:r>
    </w:p>
    <w:p w:rsidR="008B1F38" w:rsidRPr="00A24BDE" w:rsidRDefault="008B1F38" w:rsidP="009A6610">
      <w:pPr>
        <w:pStyle w:val="ONUME"/>
        <w:numPr>
          <w:ilvl w:val="2"/>
          <w:numId w:val="5"/>
        </w:numPr>
        <w:tabs>
          <w:tab w:val="left" w:pos="6096"/>
        </w:tabs>
        <w:ind w:left="5533"/>
        <w:rPr>
          <w:i/>
          <w:lang w:val="fr-FR"/>
        </w:rPr>
      </w:pPr>
      <w:proofErr w:type="gramStart"/>
      <w:r w:rsidRPr="00A24BDE">
        <w:rPr>
          <w:i/>
          <w:lang w:val="fr-FR"/>
        </w:rPr>
        <w:t>à</w:t>
      </w:r>
      <w:proofErr w:type="gramEnd"/>
      <w:r w:rsidRPr="00A24BDE">
        <w:rPr>
          <w:i/>
          <w:lang w:val="fr-FR"/>
        </w:rPr>
        <w:t xml:space="preserve"> examiner les propositions de modification du règlement d</w:t>
      </w:r>
      <w:r w:rsidR="005E6A24" w:rsidRPr="00A24BDE">
        <w:rPr>
          <w:i/>
          <w:lang w:val="fr-FR"/>
        </w:rPr>
        <w:t>’</w:t>
      </w:r>
      <w:r w:rsidRPr="00A24BDE">
        <w:rPr>
          <w:i/>
          <w:lang w:val="fr-FR"/>
        </w:rPr>
        <w:t>exécution</w:t>
      </w:r>
      <w:r w:rsidR="005E6A24" w:rsidRPr="00A24BDE">
        <w:rPr>
          <w:i/>
          <w:lang w:val="fr-FR"/>
        </w:rPr>
        <w:t xml:space="preserve"> du PCT</w:t>
      </w:r>
      <w:r w:rsidRPr="00A24BDE">
        <w:rPr>
          <w:i/>
          <w:lang w:val="fr-FR"/>
        </w:rPr>
        <w:t xml:space="preserve"> et des instructions administratives qui figurent dans les annexes du présent document</w:t>
      </w:r>
      <w:r w:rsidR="00B34D5F" w:rsidRPr="00A24BDE">
        <w:rPr>
          <w:i/>
          <w:lang w:val="fr-FR"/>
        </w:rPr>
        <w:t xml:space="preserve"> </w:t>
      </w:r>
      <w:r w:rsidRPr="00A24BDE">
        <w:rPr>
          <w:i/>
          <w:lang w:val="fr-FR"/>
        </w:rPr>
        <w:t>et</w:t>
      </w:r>
    </w:p>
    <w:p w:rsidR="008B1F38" w:rsidRPr="00A24BDE" w:rsidRDefault="008B1F38" w:rsidP="008B1F38">
      <w:pPr>
        <w:pStyle w:val="ONUME"/>
        <w:numPr>
          <w:ilvl w:val="2"/>
          <w:numId w:val="5"/>
        </w:numPr>
        <w:tabs>
          <w:tab w:val="left" w:pos="6096"/>
        </w:tabs>
        <w:ind w:left="5534"/>
        <w:rPr>
          <w:i/>
          <w:lang w:val="fr-FR"/>
        </w:rPr>
      </w:pPr>
      <w:r w:rsidRPr="00A24BDE">
        <w:rPr>
          <w:i/>
          <w:lang w:val="fr-FR"/>
        </w:rPr>
        <w:t>à formuler des observations sur les travaux futurs dont il est question au paragraphe</w:t>
      </w:r>
      <w:r w:rsidR="00581EB8" w:rsidRPr="00A24BDE">
        <w:rPr>
          <w:i/>
          <w:lang w:val="fr-FR"/>
        </w:rPr>
        <w:t> </w:t>
      </w:r>
      <w:r w:rsidRPr="00A24BDE">
        <w:rPr>
          <w:i/>
          <w:lang w:val="fr-FR"/>
        </w:rPr>
        <w:fldChar w:fldCharType="begin"/>
      </w:r>
      <w:r w:rsidRPr="00A24BDE">
        <w:rPr>
          <w:i/>
          <w:lang w:val="fr-FR"/>
        </w:rPr>
        <w:instrText xml:space="preserve"> REF _Ref6218978 \r \h</w:instrText>
      </w:r>
      <w:r w:rsidR="00B34D5F" w:rsidRPr="00A24BDE">
        <w:rPr>
          <w:i/>
          <w:lang w:val="fr-FR"/>
        </w:rPr>
        <w:instrText xml:space="preserve"> </w:instrText>
      </w:r>
      <w:r w:rsidRPr="00A24BDE">
        <w:rPr>
          <w:i/>
          <w:lang w:val="fr-FR"/>
        </w:rPr>
        <w:instrText xml:space="preserve">\* MERGEFORMAT </w:instrText>
      </w:r>
      <w:r w:rsidRPr="00A24BDE">
        <w:rPr>
          <w:i/>
          <w:lang w:val="fr-FR"/>
        </w:rPr>
      </w:r>
      <w:r w:rsidRPr="00A24BDE">
        <w:rPr>
          <w:i/>
          <w:lang w:val="fr-FR"/>
        </w:rPr>
        <w:fldChar w:fldCharType="separate"/>
      </w:r>
      <w:r w:rsidR="00676760" w:rsidRPr="00A24BDE">
        <w:rPr>
          <w:i/>
          <w:lang w:val="fr-FR"/>
        </w:rPr>
        <w:t>14</w:t>
      </w:r>
      <w:r w:rsidRPr="00A24BDE">
        <w:rPr>
          <w:i/>
          <w:lang w:val="fr-FR"/>
        </w:rPr>
        <w:fldChar w:fldCharType="end"/>
      </w:r>
      <w:r w:rsidRPr="00A24BDE">
        <w:rPr>
          <w:i/>
          <w:lang w:val="fr-FR"/>
        </w:rPr>
        <w:t>.</w:t>
      </w:r>
    </w:p>
    <w:p w:rsidR="008B1F38" w:rsidRDefault="008B1F38" w:rsidP="00F80ED1">
      <w:pPr>
        <w:pStyle w:val="Endofdocument-Annex"/>
        <w:ind w:left="4820"/>
        <w:rPr>
          <w:lang w:val="fr-FR"/>
        </w:rPr>
      </w:pPr>
    </w:p>
    <w:p w:rsidR="00BD4FED" w:rsidRPr="00A24BDE" w:rsidRDefault="00BD4FED" w:rsidP="00F80ED1">
      <w:pPr>
        <w:pStyle w:val="Endofdocument-Annex"/>
        <w:ind w:left="4820"/>
        <w:rPr>
          <w:lang w:val="fr-FR"/>
        </w:rPr>
      </w:pPr>
    </w:p>
    <w:p w:rsidR="00F80ED1" w:rsidRPr="008B1F38" w:rsidRDefault="008B1F38" w:rsidP="002D6DFB">
      <w:pPr>
        <w:pStyle w:val="Endofdocument-Annex"/>
        <w:rPr>
          <w:lang w:val="fr-FR"/>
        </w:rPr>
        <w:sectPr w:rsidR="00F80ED1" w:rsidRPr="008B1F38" w:rsidSect="008B1F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24BDE">
        <w:rPr>
          <w:lang w:val="fr-FR"/>
        </w:rPr>
        <w:t>[Les annexes suivent]</w:t>
      </w:r>
    </w:p>
    <w:p w:rsidR="008B1F38" w:rsidRPr="00A2598E" w:rsidRDefault="008B1F38" w:rsidP="008B1F38">
      <w:pPr>
        <w:pStyle w:val="ONUME"/>
        <w:numPr>
          <w:ilvl w:val="0"/>
          <w:numId w:val="0"/>
        </w:numPr>
        <w:jc w:val="center"/>
        <w:rPr>
          <w:lang w:val="fr-FR"/>
        </w:rPr>
      </w:pPr>
      <w:bookmarkStart w:id="11" w:name="AxI"/>
      <w:r w:rsidRPr="00A2598E">
        <w:rPr>
          <w:lang w:val="fr-FR"/>
        </w:rPr>
        <w:lastRenderedPageBreak/>
        <w:t>ANNEXE I</w:t>
      </w:r>
    </w:p>
    <w:p w:rsidR="008B1F38" w:rsidRPr="00A2598E" w:rsidRDefault="008B1F38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  <w:r w:rsidRPr="00A2598E">
        <w:rPr>
          <w:caps/>
          <w:lang w:val="fr-FR"/>
        </w:rPr>
        <w:t>Propositions de modification du règlement d</w:t>
      </w:r>
      <w:r w:rsidR="005E6A24" w:rsidRPr="00A2598E">
        <w:rPr>
          <w:caps/>
          <w:lang w:val="fr-FR"/>
        </w:rPr>
        <w:t>’</w:t>
      </w:r>
      <w:r w:rsidRPr="00A2598E">
        <w:rPr>
          <w:caps/>
          <w:lang w:val="fr-FR"/>
        </w:rPr>
        <w:t>exécution du pct</w:t>
      </w:r>
      <w:r w:rsidR="00F80ED1" w:rsidRPr="00A2598E">
        <w:rPr>
          <w:rStyle w:val="FootnoteReference"/>
          <w:lang w:val="fr-FR"/>
        </w:rPr>
        <w:footnoteReference w:id="2"/>
      </w:r>
    </w:p>
    <w:p w:rsidR="008B1F38" w:rsidRPr="00A2598E" w:rsidRDefault="008B1F38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</w:p>
    <w:p w:rsidR="008B1F38" w:rsidRPr="00A2598E" w:rsidRDefault="008B1F38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</w:p>
    <w:p w:rsidR="008B1F38" w:rsidRPr="00A2598E" w:rsidRDefault="00F80ED1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  <w:r w:rsidRPr="00A2598E">
        <w:rPr>
          <w:caps/>
          <w:lang w:val="fr-FR"/>
        </w:rPr>
        <w:t xml:space="preserve">TABLE </w:t>
      </w:r>
      <w:r w:rsidR="008B1F38" w:rsidRPr="00A2598E">
        <w:rPr>
          <w:caps/>
          <w:lang w:val="fr-FR"/>
        </w:rPr>
        <w:t>des matières</w:t>
      </w:r>
    </w:p>
    <w:p w:rsidR="008B1F38" w:rsidRDefault="008B1F38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</w:p>
    <w:p w:rsidR="00BD4FED" w:rsidRPr="00BD4FED" w:rsidRDefault="00BD4FED" w:rsidP="00BD4FED">
      <w:pPr>
        <w:pStyle w:val="TOC1"/>
        <w:rPr>
          <w:rFonts w:asciiTheme="minorHAnsi" w:eastAsiaTheme="minorEastAsia" w:hAnsiTheme="minorHAnsi" w:cstheme="minorBidi"/>
          <w:szCs w:val="22"/>
          <w:lang w:eastAsia="fr-FR"/>
        </w:rPr>
      </w:pPr>
      <w:r>
        <w:rPr>
          <w:caps/>
        </w:rPr>
        <w:fldChar w:fldCharType="begin"/>
      </w:r>
      <w:r>
        <w:rPr>
          <w:caps/>
        </w:rPr>
        <w:instrText xml:space="preserve"> TOC \B "AxI" \t "Leg # Title;1;Leg SubRule #;2" </w:instrText>
      </w:r>
      <w:r>
        <w:rPr>
          <w:caps/>
        </w:rPr>
        <w:fldChar w:fldCharType="separate"/>
      </w:r>
      <w:bookmarkStart w:id="12" w:name="_GoBack"/>
      <w:r w:rsidRPr="00BD4FED">
        <w:t>Règle 71  Transmission du rapport d’examen préliminaire international et de documents connexes</w:t>
      </w:r>
      <w:r w:rsidRPr="00BD4FED">
        <w:tab/>
      </w:r>
      <w:r w:rsidRPr="00BD4FED">
        <w:fldChar w:fldCharType="begin"/>
      </w:r>
      <w:r w:rsidRPr="00BD4FED">
        <w:instrText xml:space="preserve"> PAGEREF _Toc8802612 \h </w:instrText>
      </w:r>
      <w:r w:rsidRPr="00BD4FED">
        <w:fldChar w:fldCharType="separate"/>
      </w:r>
      <w:r w:rsidRPr="00BD4FED">
        <w:t>2</w:t>
      </w:r>
      <w:r w:rsidRPr="00BD4FED">
        <w:fldChar w:fldCharType="end"/>
      </w:r>
    </w:p>
    <w:bookmarkEnd w:id="12"/>
    <w:p w:rsidR="00BD4FED" w:rsidRDefault="00BD4FED">
      <w:pPr>
        <w:pStyle w:val="TOC2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BF1B31">
        <w:rPr>
          <w:noProof/>
          <w:lang w:val="fr-FR"/>
        </w:rPr>
        <w:t xml:space="preserve">71.1 </w:t>
      </w:r>
      <w:r w:rsidRPr="00BF1B31">
        <w:rPr>
          <w:i/>
          <w:noProof/>
          <w:lang w:val="fr-FR"/>
        </w:rPr>
        <w:t>Destinataire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_Toc8802613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D4FED" w:rsidRDefault="00BD4FED">
      <w:pPr>
        <w:pStyle w:val="TOC2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BF1B31">
        <w:rPr>
          <w:noProof/>
          <w:lang w:val="fr-FR"/>
        </w:rPr>
        <w:t xml:space="preserve">71.2 </w:t>
      </w:r>
      <w:r w:rsidRPr="00BF1B31">
        <w:rPr>
          <w:i/>
          <w:noProof/>
          <w:lang w:val="fr-FR"/>
        </w:rPr>
        <w:t>Copies de documents cités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_Toc8802614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D4FED" w:rsidRDefault="00BD4FED" w:rsidP="00BD4FED">
      <w:pPr>
        <w:pStyle w:val="TOC1"/>
        <w:rPr>
          <w:rFonts w:asciiTheme="minorHAnsi" w:eastAsiaTheme="minorEastAsia" w:hAnsiTheme="minorHAnsi" w:cstheme="minorBidi"/>
          <w:szCs w:val="22"/>
          <w:lang w:eastAsia="fr-FR"/>
        </w:rPr>
      </w:pPr>
      <w:r w:rsidRPr="00BF1B31">
        <w:t>Règle 94 Accès aux dossiers</w:t>
      </w:r>
      <w:r>
        <w:tab/>
      </w:r>
      <w:r>
        <w:fldChar w:fldCharType="begin"/>
      </w:r>
      <w:r>
        <w:instrText xml:space="preserve"> PAGEREF _Toc8802615 \h </w:instrText>
      </w:r>
      <w:r>
        <w:fldChar w:fldCharType="separate"/>
      </w:r>
      <w:r>
        <w:t>3</w:t>
      </w:r>
      <w:r>
        <w:fldChar w:fldCharType="end"/>
      </w:r>
    </w:p>
    <w:p w:rsidR="00BD4FED" w:rsidRDefault="00BD4FED">
      <w:pPr>
        <w:pStyle w:val="TOC2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BF1B31">
        <w:rPr>
          <w:noProof/>
          <w:lang w:val="fr-FR"/>
        </w:rPr>
        <w:t xml:space="preserve">94.1 </w:t>
      </w:r>
      <w:r w:rsidRPr="00BF1B31">
        <w:rPr>
          <w:i/>
          <w:noProof/>
          <w:lang w:val="fr-FR"/>
        </w:rPr>
        <w:t>Accès au dossier détenu par le Bureau international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_Toc8802616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D4FED" w:rsidRDefault="00BD4FED">
      <w:pPr>
        <w:pStyle w:val="TOC2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BF1B31">
        <w:rPr>
          <w:noProof/>
          <w:lang w:val="fr-FR"/>
        </w:rPr>
        <w:t>94.1</w:t>
      </w:r>
      <w:r w:rsidRPr="00BF1B31">
        <w:rPr>
          <w:i/>
          <w:noProof/>
          <w:lang w:val="fr-FR"/>
        </w:rPr>
        <w:t>bis</w:t>
      </w:r>
      <w:r w:rsidRPr="00BF1B31">
        <w:rPr>
          <w:noProof/>
          <w:lang w:val="fr-FR"/>
        </w:rPr>
        <w:t xml:space="preserve"> à 94.3 </w:t>
      </w:r>
      <w:r w:rsidRPr="00BF1B31">
        <w:rPr>
          <w:i/>
          <w:noProof/>
          <w:lang w:val="fr-FR"/>
        </w:rPr>
        <w:t>[Sans changement]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_Toc8802617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D4FED" w:rsidRDefault="00BD4FED" w:rsidP="00BD4FED">
      <w:pPr>
        <w:pStyle w:val="ONUME"/>
        <w:numPr>
          <w:ilvl w:val="0"/>
          <w:numId w:val="0"/>
        </w:numPr>
        <w:spacing w:after="0"/>
        <w:jc w:val="center"/>
        <w:rPr>
          <w:caps/>
        </w:rPr>
      </w:pPr>
      <w:r>
        <w:rPr>
          <w:caps/>
          <w:noProof/>
        </w:rPr>
        <w:fldChar w:fldCharType="end"/>
      </w:r>
    </w:p>
    <w:p w:rsidR="00BD4FED" w:rsidRPr="008B1F38" w:rsidRDefault="00BD4FED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</w:p>
    <w:p w:rsidR="008B1F38" w:rsidRPr="008B1F38" w:rsidRDefault="00F80ED1" w:rsidP="00F80ED1">
      <w:pPr>
        <w:pStyle w:val="LegTitle"/>
        <w:rPr>
          <w:lang w:val="fr-FR"/>
        </w:rPr>
      </w:pPr>
      <w:bookmarkStart w:id="13" w:name="_Toc511121974"/>
      <w:bookmarkStart w:id="14" w:name="_Toc513631742"/>
      <w:bookmarkStart w:id="15" w:name="_Toc8802612"/>
      <w:r w:rsidRPr="00A2598E">
        <w:rPr>
          <w:lang w:val="fr-FR"/>
        </w:rPr>
        <w:lastRenderedPageBreak/>
        <w:t>R</w:t>
      </w:r>
      <w:r w:rsidR="007300C3" w:rsidRPr="00A2598E">
        <w:rPr>
          <w:lang w:val="fr-FR"/>
        </w:rPr>
        <w:t>ègle</w:t>
      </w:r>
      <w:r w:rsidR="00581EB8" w:rsidRPr="00A2598E">
        <w:rPr>
          <w:lang w:val="fr-FR"/>
        </w:rPr>
        <w:t> </w:t>
      </w:r>
      <w:r w:rsidRPr="00A2598E">
        <w:rPr>
          <w:lang w:val="fr-FR"/>
        </w:rPr>
        <w:t xml:space="preserve">71 </w:t>
      </w:r>
      <w:r w:rsidR="00581EB8" w:rsidRPr="00A2598E">
        <w:rPr>
          <w:vanish/>
          <w:lang w:val="fr-FR"/>
        </w:rPr>
        <w:t>–</w:t>
      </w:r>
      <w:r w:rsidRPr="00A2598E">
        <w:rPr>
          <w:lang w:val="fr-FR"/>
        </w:rPr>
        <w:br/>
        <w:t>T</w:t>
      </w:r>
      <w:r w:rsidR="007300C3" w:rsidRPr="00A2598E">
        <w:rPr>
          <w:lang w:val="fr-FR"/>
        </w:rPr>
        <w:t>ransmission du</w:t>
      </w:r>
      <w:r w:rsidRPr="00A2598E">
        <w:rPr>
          <w:lang w:val="fr-FR"/>
        </w:rPr>
        <w:br/>
      </w:r>
      <w:r w:rsidR="007300C3" w:rsidRPr="00A2598E">
        <w:rPr>
          <w:lang w:val="fr-FR"/>
        </w:rPr>
        <w:t>rapport d</w:t>
      </w:r>
      <w:r w:rsidR="005E6A24" w:rsidRPr="00A2598E">
        <w:rPr>
          <w:lang w:val="fr-FR"/>
        </w:rPr>
        <w:t>’</w:t>
      </w:r>
      <w:r w:rsidR="007300C3" w:rsidRPr="00A2598E">
        <w:rPr>
          <w:lang w:val="fr-FR"/>
        </w:rPr>
        <w:t>examen préliminaire international</w:t>
      </w:r>
      <w:r w:rsidRPr="00A2598E">
        <w:rPr>
          <w:lang w:val="fr-FR"/>
        </w:rPr>
        <w:br/>
      </w:r>
      <w:r w:rsidR="00D45357">
        <w:rPr>
          <w:rStyle w:val="LegInsertedText0"/>
          <w:lang w:val="fr-FR"/>
        </w:rPr>
        <w:t>et de documents connexes</w:t>
      </w:r>
      <w:bookmarkEnd w:id="15"/>
    </w:p>
    <w:p w:rsidR="008B1F38" w:rsidRPr="00A2598E" w:rsidRDefault="00F80ED1" w:rsidP="00F80ED1">
      <w:pPr>
        <w:pStyle w:val="LegSubRule"/>
        <w:keepLines w:val="0"/>
        <w:outlineLvl w:val="0"/>
        <w:rPr>
          <w:lang w:val="fr-FR"/>
        </w:rPr>
      </w:pPr>
      <w:bookmarkStart w:id="16" w:name="_Toc8132435"/>
      <w:bookmarkStart w:id="17" w:name="_Toc8802613"/>
      <w:r w:rsidRPr="00A2598E">
        <w:rPr>
          <w:lang w:val="fr-FR"/>
        </w:rPr>
        <w:t>71.1</w:t>
      </w:r>
      <w:r w:rsidR="00B34D5F" w:rsidRPr="00A2598E">
        <w:rPr>
          <w:lang w:val="fr-FR"/>
        </w:rPr>
        <w:t xml:space="preserve"> </w:t>
      </w:r>
      <w:r w:rsidR="007300C3" w:rsidRPr="00A2598E">
        <w:rPr>
          <w:i/>
          <w:lang w:val="fr-FR"/>
        </w:rPr>
        <w:t>Destinataire</w:t>
      </w:r>
      <w:bookmarkEnd w:id="16"/>
      <w:bookmarkEnd w:id="17"/>
    </w:p>
    <w:p w:rsidR="008B1F38" w:rsidRPr="00A2598E" w:rsidRDefault="00F80ED1" w:rsidP="00F80ED1">
      <w:pPr>
        <w:pStyle w:val="Lega"/>
        <w:rPr>
          <w:lang w:val="fr-FR"/>
        </w:rPr>
      </w:pPr>
      <w:r w:rsidRPr="00A2598E">
        <w:rPr>
          <w:lang w:val="fr-FR"/>
        </w:rPr>
        <w:tab/>
      </w:r>
      <w:r w:rsidRPr="00A2598E">
        <w:rPr>
          <w:rStyle w:val="LegInsertedText"/>
          <w:color w:val="auto"/>
          <w:lang w:val="fr-FR"/>
        </w:rPr>
        <w:t>a)</w:t>
      </w:r>
      <w:r w:rsidR="00B34D5F" w:rsidRPr="00A2598E">
        <w:rPr>
          <w:lang w:val="fr-FR"/>
        </w:rPr>
        <w:t xml:space="preserve"> </w:t>
      </w:r>
      <w:r w:rsidR="007300C3" w:rsidRPr="00A2598E">
        <w:rPr>
          <w:lang w:val="fr-FR"/>
        </w:rPr>
        <w:t>L</w:t>
      </w:r>
      <w:r w:rsidR="005E6A24" w:rsidRPr="00A2598E">
        <w:rPr>
          <w:lang w:val="fr-FR"/>
        </w:rPr>
        <w:t>’</w:t>
      </w:r>
      <w:r w:rsidR="007300C3" w:rsidRPr="00A2598E">
        <w:rPr>
          <w:lang w:val="fr-FR"/>
        </w:rPr>
        <w:t>administration chargée de l</w:t>
      </w:r>
      <w:r w:rsidR="005E6A24" w:rsidRPr="00A2598E">
        <w:rPr>
          <w:lang w:val="fr-FR"/>
        </w:rPr>
        <w:t>’</w:t>
      </w:r>
      <w:r w:rsidR="007300C3" w:rsidRPr="00A2598E">
        <w:rPr>
          <w:lang w:val="fr-FR"/>
        </w:rPr>
        <w:t>examen préliminaire international transmet, le même jour, au Bureau international et au déposant une copie du rapport d</w:t>
      </w:r>
      <w:r w:rsidR="005E6A24" w:rsidRPr="00A2598E">
        <w:rPr>
          <w:lang w:val="fr-FR"/>
        </w:rPr>
        <w:t>’</w:t>
      </w:r>
      <w:r w:rsidR="007300C3" w:rsidRPr="00A2598E">
        <w:rPr>
          <w:lang w:val="fr-FR"/>
        </w:rPr>
        <w:t>examen préliminaire international et, le cas échéant, de ses annexes.</w:t>
      </w:r>
    </w:p>
    <w:p w:rsidR="008B1F38" w:rsidRPr="008B1F38" w:rsidRDefault="00F80ED1" w:rsidP="00F80ED1">
      <w:pPr>
        <w:pStyle w:val="Lega"/>
        <w:rPr>
          <w:rStyle w:val="LegInsertedText0"/>
          <w:lang w:val="fr-FR"/>
        </w:rPr>
      </w:pPr>
      <w:r w:rsidRPr="008B1F38">
        <w:rPr>
          <w:lang w:val="fr-FR"/>
        </w:rPr>
        <w:tab/>
      </w:r>
      <w:r w:rsidR="00D45357">
        <w:rPr>
          <w:rStyle w:val="LegInsertedText0"/>
          <w:lang w:val="fr-FR"/>
        </w:rPr>
        <w:t>b)</w:t>
      </w:r>
      <w:r w:rsidR="00B34D5F">
        <w:rPr>
          <w:rStyle w:val="LegInsertedText0"/>
          <w:lang w:val="fr-FR"/>
        </w:rPr>
        <w:t xml:space="preserve"> </w:t>
      </w:r>
      <w:r w:rsidR="00D45357">
        <w:rPr>
          <w:rStyle w:val="LegInsertedText0"/>
          <w:lang w:val="fr-FR"/>
        </w:rPr>
        <w:t>L</w:t>
      </w:r>
      <w:r w:rsidR="005E6A24">
        <w:rPr>
          <w:rStyle w:val="LegInsertedText0"/>
          <w:lang w:val="fr-FR"/>
        </w:rPr>
        <w:t>’</w:t>
      </w:r>
      <w:r w:rsidR="00D45357">
        <w:rPr>
          <w:rStyle w:val="LegInsertedText0"/>
          <w:lang w:val="fr-FR"/>
        </w:rPr>
        <w:t>administration chargée de l</w:t>
      </w:r>
      <w:r w:rsidR="005E6A24">
        <w:rPr>
          <w:rStyle w:val="LegInsertedText0"/>
          <w:lang w:val="fr-FR"/>
        </w:rPr>
        <w:t>’</w:t>
      </w:r>
      <w:r w:rsidR="00D45357">
        <w:rPr>
          <w:rStyle w:val="LegInsertedText0"/>
          <w:lang w:val="fr-FR"/>
        </w:rPr>
        <w:t>examen préliminaire international transmet au Bureau international des copies d</w:t>
      </w:r>
      <w:r w:rsidR="005E6A24">
        <w:rPr>
          <w:rStyle w:val="LegInsertedText0"/>
          <w:lang w:val="fr-FR"/>
        </w:rPr>
        <w:t>’</w:t>
      </w:r>
      <w:r w:rsidR="00D45357">
        <w:rPr>
          <w:rStyle w:val="LegInsertedText0"/>
          <w:lang w:val="fr-FR"/>
        </w:rPr>
        <w:t>autres documents du dossier d</w:t>
      </w:r>
      <w:r w:rsidR="00E77B30">
        <w:rPr>
          <w:rStyle w:val="LegInsertedText0"/>
          <w:lang w:val="fr-FR"/>
        </w:rPr>
        <w:t>e l</w:t>
      </w:r>
      <w:r w:rsidR="005E6A24">
        <w:rPr>
          <w:rStyle w:val="LegInsertedText0"/>
          <w:lang w:val="fr-FR"/>
        </w:rPr>
        <w:t>’</w:t>
      </w:r>
      <w:r w:rsidR="00D45357">
        <w:rPr>
          <w:rStyle w:val="LegInsertedText0"/>
          <w:lang w:val="fr-FR"/>
        </w:rPr>
        <w:t>examen préliminaire international conformément aux instructions administratives</w:t>
      </w:r>
      <w:r w:rsidRPr="008B1F38">
        <w:rPr>
          <w:rStyle w:val="LegInsertedText0"/>
          <w:lang w:val="fr-FR"/>
        </w:rPr>
        <w:t>.</w:t>
      </w:r>
    </w:p>
    <w:p w:rsidR="008B1F38" w:rsidRPr="008B1F38" w:rsidRDefault="00F80ED1" w:rsidP="00F80ED1">
      <w:pPr>
        <w:rPr>
          <w:lang w:val="fr-FR"/>
        </w:rPr>
      </w:pPr>
      <w:r w:rsidRPr="008B1F38">
        <w:rPr>
          <w:lang w:val="fr-FR"/>
        </w:rPr>
        <w:t>[</w:t>
      </w:r>
      <w:r w:rsidR="00D45357">
        <w:rPr>
          <w:lang w:val="fr-FR"/>
        </w:rPr>
        <w:t>COMMENTAIRE</w:t>
      </w:r>
      <w:r w:rsidR="00B34D5F">
        <w:rPr>
          <w:lang w:val="fr-FR"/>
        </w:rPr>
        <w:t> :</w:t>
      </w:r>
      <w:r w:rsidRPr="008B1F38">
        <w:rPr>
          <w:lang w:val="fr-FR"/>
        </w:rPr>
        <w:t xml:space="preserve"> </w:t>
      </w:r>
      <w:r w:rsidR="00D45357">
        <w:rPr>
          <w:lang w:val="fr-FR"/>
        </w:rPr>
        <w:t xml:space="preserve">le nouvel </w:t>
      </w:r>
      <w:r w:rsidR="005E6A24">
        <w:rPr>
          <w:lang w:val="fr-FR"/>
        </w:rPr>
        <w:t>alinéa b)</w:t>
      </w:r>
      <w:r w:rsidR="00D45357">
        <w:rPr>
          <w:lang w:val="fr-FR"/>
        </w:rPr>
        <w:t xml:space="preserve"> offre une base précise pour les propositions de modification de l</w:t>
      </w:r>
      <w:r w:rsidR="005E6A24">
        <w:rPr>
          <w:lang w:val="fr-FR"/>
        </w:rPr>
        <w:t>’</w:t>
      </w:r>
      <w:r w:rsidR="00D45357">
        <w:rPr>
          <w:lang w:val="fr-FR"/>
        </w:rPr>
        <w:t>instruction</w:t>
      </w:r>
      <w:r w:rsidRPr="008B1F38">
        <w:rPr>
          <w:lang w:val="fr-FR"/>
        </w:rPr>
        <w:t xml:space="preserve"> 602, </w:t>
      </w:r>
      <w:r w:rsidR="00D45357">
        <w:rPr>
          <w:lang w:val="fr-FR"/>
        </w:rPr>
        <w:t>ainsi que pour les instructions administratives concernant la transmission d</w:t>
      </w:r>
      <w:r w:rsidR="005E6A24">
        <w:rPr>
          <w:lang w:val="fr-FR"/>
        </w:rPr>
        <w:t>’</w:t>
      </w:r>
      <w:r w:rsidR="00D45357">
        <w:rPr>
          <w:lang w:val="fr-FR"/>
        </w:rPr>
        <w:t>autres documents à l</w:t>
      </w:r>
      <w:r w:rsidR="005E6A24">
        <w:rPr>
          <w:lang w:val="fr-FR"/>
        </w:rPr>
        <w:t>’</w:t>
      </w:r>
      <w:r w:rsidR="00D45357">
        <w:rPr>
          <w:lang w:val="fr-FR"/>
        </w:rPr>
        <w:t>avenir, tels que les invitations à payer des taxes additionnelles</w:t>
      </w:r>
      <w:r w:rsidRPr="008B1F38">
        <w:rPr>
          <w:lang w:val="fr-FR"/>
        </w:rPr>
        <w:t>.]</w:t>
      </w:r>
    </w:p>
    <w:p w:rsidR="008B1F38" w:rsidRPr="008B1F38" w:rsidRDefault="008B1F38" w:rsidP="00F80ED1">
      <w:pPr>
        <w:rPr>
          <w:lang w:val="fr-FR"/>
        </w:rPr>
      </w:pPr>
    </w:p>
    <w:p w:rsidR="008B1F38" w:rsidRPr="008B1F38" w:rsidRDefault="008B1F38" w:rsidP="00F80ED1">
      <w:pPr>
        <w:rPr>
          <w:lang w:val="fr-FR"/>
        </w:rPr>
      </w:pPr>
    </w:p>
    <w:p w:rsidR="008B1F38" w:rsidRPr="00A2598E" w:rsidRDefault="00F80ED1" w:rsidP="00F80ED1">
      <w:pPr>
        <w:pStyle w:val="LegSubRule"/>
        <w:outlineLvl w:val="0"/>
        <w:rPr>
          <w:lang w:val="fr-FR"/>
        </w:rPr>
      </w:pPr>
      <w:bookmarkStart w:id="18" w:name="_Toc8132436"/>
      <w:bookmarkStart w:id="19" w:name="_Toc8802614"/>
      <w:r w:rsidRPr="00A2598E">
        <w:rPr>
          <w:lang w:val="fr-FR"/>
        </w:rPr>
        <w:t>71.2</w:t>
      </w:r>
      <w:r w:rsidR="00B34D5F" w:rsidRPr="00A2598E">
        <w:rPr>
          <w:lang w:val="fr-FR"/>
        </w:rPr>
        <w:t xml:space="preserve"> </w:t>
      </w:r>
      <w:r w:rsidRPr="00A2598E">
        <w:rPr>
          <w:i/>
          <w:lang w:val="fr-FR"/>
        </w:rPr>
        <w:t xml:space="preserve">Copies </w:t>
      </w:r>
      <w:r w:rsidR="007300C3" w:rsidRPr="00A2598E">
        <w:rPr>
          <w:i/>
          <w:lang w:val="fr-FR"/>
        </w:rPr>
        <w:t>de documents cités</w:t>
      </w:r>
      <w:bookmarkEnd w:id="18"/>
      <w:bookmarkEnd w:id="19"/>
    </w:p>
    <w:p w:rsidR="008B1F38" w:rsidRPr="008B1F38" w:rsidRDefault="007300C3" w:rsidP="00F80ED1">
      <w:pPr>
        <w:pStyle w:val="Lega"/>
        <w:rPr>
          <w:lang w:val="fr-FR"/>
        </w:rPr>
      </w:pPr>
      <w:r w:rsidRPr="008B1F38">
        <w:rPr>
          <w:lang w:val="fr-FR"/>
        </w:rPr>
        <w:tab/>
        <w:t>a) à</w:t>
      </w:r>
      <w:r w:rsidR="00F80ED1" w:rsidRPr="008B1F38">
        <w:rPr>
          <w:lang w:val="fr-FR"/>
        </w:rPr>
        <w:t xml:space="preserve"> d)</w:t>
      </w:r>
      <w:r w:rsidR="00B34D5F">
        <w:rPr>
          <w:lang w:val="fr-FR"/>
        </w:rPr>
        <w:t xml:space="preserve"> </w:t>
      </w:r>
      <w:r w:rsidR="00F80ED1" w:rsidRPr="008B1F38">
        <w:rPr>
          <w:lang w:val="fr-FR"/>
        </w:rPr>
        <w:t>[</w:t>
      </w:r>
      <w:r w:rsidRPr="008B1F38">
        <w:rPr>
          <w:lang w:val="fr-FR"/>
        </w:rPr>
        <w:t>Sans changement</w:t>
      </w:r>
      <w:r w:rsidR="00F80ED1" w:rsidRPr="008B1F38">
        <w:rPr>
          <w:lang w:val="fr-FR"/>
        </w:rPr>
        <w:t>]</w:t>
      </w:r>
    </w:p>
    <w:p w:rsidR="008B1F38" w:rsidRPr="008B1F38" w:rsidRDefault="008B1F38" w:rsidP="00F80ED1">
      <w:pPr>
        <w:pStyle w:val="Lega"/>
        <w:rPr>
          <w:lang w:val="fr-FR"/>
        </w:rPr>
      </w:pPr>
    </w:p>
    <w:p w:rsidR="008B1F38" w:rsidRPr="008B1F38" w:rsidRDefault="008B1F38" w:rsidP="00F80ED1">
      <w:pPr>
        <w:rPr>
          <w:lang w:val="fr-FR" w:eastAsia="en-US"/>
        </w:rPr>
      </w:pPr>
    </w:p>
    <w:p w:rsidR="005E6A24" w:rsidRPr="00A2598E" w:rsidRDefault="00F80ED1" w:rsidP="00F80ED1">
      <w:pPr>
        <w:pStyle w:val="LegTitle"/>
        <w:rPr>
          <w:rStyle w:val="LegInsertedText"/>
          <w:color w:val="auto"/>
          <w:u w:val="none"/>
          <w:lang w:val="fr-FR"/>
        </w:rPr>
      </w:pPr>
      <w:bookmarkStart w:id="20" w:name="_Toc8802615"/>
      <w:r w:rsidRPr="00A2598E">
        <w:rPr>
          <w:rStyle w:val="LegInsertedText"/>
          <w:color w:val="auto"/>
          <w:u w:val="none"/>
          <w:lang w:val="fr-FR"/>
        </w:rPr>
        <w:lastRenderedPageBreak/>
        <w:t>R</w:t>
      </w:r>
      <w:r w:rsidR="007300C3" w:rsidRPr="00A2598E">
        <w:rPr>
          <w:rStyle w:val="LegInsertedText"/>
          <w:color w:val="auto"/>
          <w:u w:val="none"/>
          <w:lang w:val="fr-FR"/>
        </w:rPr>
        <w:t>ègle</w:t>
      </w:r>
      <w:r w:rsidR="00581EB8" w:rsidRPr="00A2598E">
        <w:rPr>
          <w:rStyle w:val="LegInsertedText"/>
          <w:color w:val="auto"/>
          <w:u w:val="none"/>
          <w:lang w:val="fr-FR"/>
        </w:rPr>
        <w:t> </w:t>
      </w:r>
      <w:r w:rsidRPr="00A2598E">
        <w:rPr>
          <w:rStyle w:val="LegInsertedText"/>
          <w:color w:val="auto"/>
          <w:u w:val="none"/>
          <w:lang w:val="fr-FR"/>
        </w:rPr>
        <w:t>94</w:t>
      </w:r>
      <w:r w:rsidRPr="00A2598E">
        <w:rPr>
          <w:rStyle w:val="LegInsertedText"/>
          <w:color w:val="auto"/>
          <w:u w:val="none"/>
          <w:lang w:val="fr-FR"/>
        </w:rPr>
        <w:br/>
      </w:r>
      <w:bookmarkEnd w:id="13"/>
      <w:bookmarkEnd w:id="14"/>
      <w:r w:rsidR="007300C3" w:rsidRPr="00A2598E">
        <w:rPr>
          <w:rStyle w:val="LegInsertedText"/>
          <w:color w:val="auto"/>
          <w:u w:val="none"/>
          <w:lang w:val="fr-FR"/>
        </w:rPr>
        <w:t>Accès aux dossiers</w:t>
      </w:r>
      <w:bookmarkEnd w:id="20"/>
    </w:p>
    <w:p w:rsidR="008B1F38" w:rsidRPr="00A2598E" w:rsidRDefault="00F80ED1" w:rsidP="00F80ED1">
      <w:pPr>
        <w:pStyle w:val="LegSubRule"/>
        <w:rPr>
          <w:rFonts w:eastAsia="SimSun"/>
          <w:i/>
          <w:lang w:val="fr-FR"/>
        </w:rPr>
      </w:pPr>
      <w:bookmarkStart w:id="21" w:name="_Toc8802616"/>
      <w:r w:rsidRPr="00A2598E">
        <w:rPr>
          <w:rFonts w:eastAsia="SimSun"/>
          <w:lang w:val="fr-FR"/>
        </w:rPr>
        <w:t>94.1</w:t>
      </w:r>
      <w:r w:rsidR="00B34D5F" w:rsidRPr="00A2598E">
        <w:rPr>
          <w:rFonts w:eastAsia="SimSun"/>
          <w:lang w:val="fr-FR"/>
        </w:rPr>
        <w:t xml:space="preserve"> </w:t>
      </w:r>
      <w:r w:rsidRPr="00A2598E">
        <w:rPr>
          <w:rFonts w:eastAsia="SimSun"/>
          <w:i/>
          <w:lang w:val="fr-FR"/>
        </w:rPr>
        <w:t>A</w:t>
      </w:r>
      <w:r w:rsidR="007300C3" w:rsidRPr="00A2598E">
        <w:rPr>
          <w:rFonts w:eastAsia="SimSun"/>
          <w:i/>
          <w:lang w:val="fr-FR"/>
        </w:rPr>
        <w:t>ccès au dossier détenu par le Bureau international</w:t>
      </w:r>
      <w:bookmarkEnd w:id="21"/>
    </w:p>
    <w:p w:rsidR="008B1F38" w:rsidRPr="00A2598E" w:rsidRDefault="00F80ED1" w:rsidP="00F80ED1">
      <w:pPr>
        <w:pStyle w:val="Lega"/>
        <w:rPr>
          <w:rFonts w:eastAsia="SimSun"/>
          <w:lang w:val="fr-FR"/>
        </w:rPr>
      </w:pPr>
      <w:r w:rsidRPr="00A2598E">
        <w:rPr>
          <w:rFonts w:eastAsia="SimSun"/>
          <w:lang w:val="fr-FR"/>
        </w:rPr>
        <w:tab/>
      </w:r>
      <w:r w:rsidR="00BB338F" w:rsidRPr="00A2598E">
        <w:rPr>
          <w:rFonts w:eastAsia="SimSun"/>
          <w:lang w:val="fr-FR"/>
        </w:rPr>
        <w:t xml:space="preserve">a) </w:t>
      </w:r>
      <w:r w:rsidRPr="00A2598E">
        <w:rPr>
          <w:rFonts w:eastAsia="SimSun"/>
          <w:i/>
          <w:lang w:val="fr-FR"/>
        </w:rPr>
        <w:t>[</w:t>
      </w:r>
      <w:r w:rsidR="007300C3" w:rsidRPr="00A2598E">
        <w:rPr>
          <w:rFonts w:eastAsia="SimSun"/>
          <w:i/>
          <w:lang w:val="fr-FR"/>
        </w:rPr>
        <w:t>Sans changement</w:t>
      </w:r>
      <w:r w:rsidRPr="00A2598E">
        <w:rPr>
          <w:rFonts w:eastAsia="SimSun"/>
          <w:i/>
          <w:lang w:val="fr-FR"/>
        </w:rPr>
        <w:t>]</w:t>
      </w:r>
    </w:p>
    <w:p w:rsidR="008B1F38" w:rsidRPr="00A2598E" w:rsidRDefault="00BB338F" w:rsidP="00F80ED1">
      <w:pPr>
        <w:pStyle w:val="Lega"/>
        <w:rPr>
          <w:rFonts w:eastAsia="SimSun"/>
          <w:lang w:val="fr-FR"/>
        </w:rPr>
      </w:pPr>
      <w:r w:rsidRPr="00A2598E">
        <w:rPr>
          <w:rFonts w:eastAsia="SimSun"/>
          <w:lang w:val="fr-FR"/>
        </w:rPr>
        <w:tab/>
        <w:t xml:space="preserve">b) </w:t>
      </w:r>
      <w:r w:rsidRPr="00A2598E">
        <w:rPr>
          <w:rFonts w:eastAsia="SimSun"/>
          <w:i/>
          <w:lang w:val="fr-FR"/>
        </w:rPr>
        <w:t>[</w:t>
      </w:r>
      <w:r w:rsidR="007300C3" w:rsidRPr="00A2598E">
        <w:rPr>
          <w:rFonts w:eastAsia="SimSun"/>
          <w:i/>
          <w:lang w:val="fr-FR"/>
        </w:rPr>
        <w:t>Sans changement</w:t>
      </w:r>
      <w:r w:rsidRPr="00A2598E">
        <w:rPr>
          <w:rFonts w:eastAsia="SimSun"/>
          <w:i/>
          <w:lang w:val="fr-FR"/>
        </w:rPr>
        <w:t xml:space="preserve">] </w:t>
      </w:r>
      <w:r w:rsidR="007300C3" w:rsidRPr="00A2598E">
        <w:rPr>
          <w:rFonts w:eastAsia="SimSun"/>
          <w:lang w:val="fr-FR"/>
        </w:rPr>
        <w:t>Le Bureau international, sur requête de toute personne mais pas avant la publication internationale de la demande internationale, et sous réserve de l</w:t>
      </w:r>
      <w:r w:rsidR="005E6A24" w:rsidRPr="00A2598E">
        <w:rPr>
          <w:rFonts w:eastAsia="SimSun"/>
          <w:lang w:val="fr-FR"/>
        </w:rPr>
        <w:t>’</w:t>
      </w:r>
      <w:r w:rsidR="007300C3" w:rsidRPr="00A2598E">
        <w:rPr>
          <w:rFonts w:eastAsia="SimSun"/>
          <w:lang w:val="fr-FR"/>
        </w:rPr>
        <w:t>article</w:t>
      </w:r>
      <w:r w:rsidR="00581EB8" w:rsidRPr="00A2598E">
        <w:rPr>
          <w:rFonts w:eastAsia="SimSun"/>
          <w:lang w:val="fr-FR"/>
        </w:rPr>
        <w:t> </w:t>
      </w:r>
      <w:r w:rsidR="007300C3" w:rsidRPr="00A2598E">
        <w:rPr>
          <w:rFonts w:eastAsia="SimSun"/>
          <w:lang w:val="fr-FR"/>
        </w:rPr>
        <w:t xml:space="preserve">38 et des </w:t>
      </w:r>
      <w:r w:rsidR="005E6A24" w:rsidRPr="00A2598E">
        <w:rPr>
          <w:rFonts w:eastAsia="SimSun"/>
          <w:lang w:val="fr-FR"/>
        </w:rPr>
        <w:t>alinéas d)</w:t>
      </w:r>
      <w:r w:rsidR="007300C3" w:rsidRPr="00A2598E">
        <w:rPr>
          <w:rFonts w:eastAsia="SimSun"/>
          <w:lang w:val="fr-FR"/>
        </w:rPr>
        <w:t xml:space="preserve"> à g), délivre des copies de tout document contenu dans son dossier</w:t>
      </w:r>
      <w:r w:rsidR="00B34D5F" w:rsidRPr="00A2598E">
        <w:rPr>
          <w:rFonts w:eastAsia="SimSun"/>
          <w:lang w:val="fr-FR"/>
        </w:rPr>
        <w:t xml:space="preserve">.  </w:t>
      </w:r>
      <w:r w:rsidR="00581EB8" w:rsidRPr="00A2598E">
        <w:rPr>
          <w:rFonts w:eastAsia="SimSun"/>
          <w:lang w:val="fr-FR"/>
        </w:rPr>
        <w:t>L</w:t>
      </w:r>
      <w:r w:rsidR="007300C3" w:rsidRPr="00A2598E">
        <w:rPr>
          <w:rFonts w:eastAsia="SimSun"/>
          <w:lang w:val="fr-FR"/>
        </w:rPr>
        <w:t>a délivrance de copies peut être subordonnée au remboursement du coût du service.</w:t>
      </w:r>
    </w:p>
    <w:p w:rsidR="008B1F38" w:rsidRPr="008B1F38" w:rsidRDefault="00F80ED1" w:rsidP="00F80ED1">
      <w:pPr>
        <w:pStyle w:val="Lega"/>
        <w:rPr>
          <w:lang w:val="fr-FR"/>
        </w:rPr>
      </w:pPr>
      <w:r w:rsidRPr="00A2598E">
        <w:rPr>
          <w:lang w:val="fr-FR"/>
        </w:rPr>
        <w:tab/>
        <w:t>c)</w:t>
      </w:r>
      <w:r w:rsidR="00B34D5F" w:rsidRPr="00A2598E">
        <w:rPr>
          <w:lang w:val="fr-FR"/>
        </w:rPr>
        <w:t xml:space="preserve"> </w:t>
      </w:r>
      <w:r w:rsidR="007300C3" w:rsidRPr="00A2598E">
        <w:rPr>
          <w:lang w:val="fr-FR"/>
        </w:rPr>
        <w:t>Sur requête d</w:t>
      </w:r>
      <w:r w:rsidR="005E6A24" w:rsidRPr="00A2598E">
        <w:rPr>
          <w:lang w:val="fr-FR"/>
        </w:rPr>
        <w:t>’</w:t>
      </w:r>
      <w:r w:rsidR="007300C3" w:rsidRPr="00A2598E">
        <w:rPr>
          <w:lang w:val="fr-FR"/>
        </w:rPr>
        <w:t>un office élu</w:t>
      </w:r>
      <w:r w:rsidR="004B162C">
        <w:rPr>
          <w:rStyle w:val="LegDeletedText"/>
          <w:lang w:val="fr-FR"/>
        </w:rPr>
        <w:t>,</w:t>
      </w:r>
      <w:r w:rsidR="004B162C">
        <w:rPr>
          <w:lang w:val="fr-FR"/>
        </w:rPr>
        <w:t xml:space="preserve"> </w:t>
      </w:r>
      <w:r w:rsidR="004B162C">
        <w:rPr>
          <w:rStyle w:val="LegInsertedText"/>
          <w:lang w:val="fr-FR"/>
        </w:rPr>
        <w:t>mais pas avant l</w:t>
      </w:r>
      <w:r w:rsidR="005E6A24">
        <w:rPr>
          <w:rStyle w:val="LegInsertedText"/>
          <w:lang w:val="fr-FR"/>
        </w:rPr>
        <w:t>’</w:t>
      </w:r>
      <w:r w:rsidR="004B162C">
        <w:rPr>
          <w:rStyle w:val="LegInsertedText"/>
          <w:lang w:val="fr-FR"/>
        </w:rPr>
        <w:t>établissement du rapport d</w:t>
      </w:r>
      <w:r w:rsidR="005E6A24">
        <w:rPr>
          <w:rStyle w:val="LegInsertedText"/>
          <w:lang w:val="fr-FR"/>
        </w:rPr>
        <w:t>’</w:t>
      </w:r>
      <w:r w:rsidR="004B162C">
        <w:rPr>
          <w:rStyle w:val="LegInsertedText"/>
          <w:lang w:val="fr-FR"/>
        </w:rPr>
        <w:t>examen préliminaire international</w:t>
      </w:r>
      <w:r w:rsidR="004B162C" w:rsidRPr="008B1F38">
        <w:rPr>
          <w:rStyle w:val="LegInsertedText"/>
          <w:lang w:val="fr-FR"/>
        </w:rPr>
        <w:t>,</w:t>
      </w:r>
      <w:r w:rsidRPr="008B1F38">
        <w:rPr>
          <w:lang w:val="fr-FR"/>
        </w:rPr>
        <w:t xml:space="preserve"> </w:t>
      </w:r>
      <w:r w:rsidR="007F6601" w:rsidRPr="008B1F38">
        <w:rPr>
          <w:lang w:val="fr-FR"/>
        </w:rPr>
        <w:t>le Bureau international délivre au nom de cet office</w:t>
      </w:r>
      <w:r w:rsidR="004B162C" w:rsidRPr="008B1F38">
        <w:rPr>
          <w:rStyle w:val="LegDeletedText"/>
          <w:lang w:val="fr-FR"/>
        </w:rPr>
        <w:t xml:space="preserve"> </w:t>
      </w:r>
      <w:proofErr w:type="spellStart"/>
      <w:r w:rsidR="004B162C">
        <w:rPr>
          <w:rStyle w:val="LegDeletedText"/>
          <w:lang w:val="fr-FR"/>
        </w:rPr>
        <w:t>des</w:t>
      </w:r>
      <w:proofErr w:type="spellEnd"/>
      <w:r w:rsidR="004B162C">
        <w:rPr>
          <w:rStyle w:val="LegInsertedText0"/>
          <w:lang w:val="fr-FR"/>
        </w:rPr>
        <w:t xml:space="preserve"> les</w:t>
      </w:r>
      <w:r w:rsidR="007F6601" w:rsidRPr="008B1F38">
        <w:rPr>
          <w:lang w:val="fr-FR"/>
        </w:rPr>
        <w:t xml:space="preserve"> </w:t>
      </w:r>
      <w:r w:rsidR="004B162C">
        <w:rPr>
          <w:lang w:val="fr-FR"/>
        </w:rPr>
        <w:t>copies</w:t>
      </w:r>
      <w:r w:rsidR="004B162C">
        <w:rPr>
          <w:rStyle w:val="LegDeletedText"/>
          <w:lang w:val="fr-FR"/>
        </w:rPr>
        <w:t xml:space="preserve"> d</w:t>
      </w:r>
      <w:r w:rsidR="007F6601" w:rsidRPr="008B1F38">
        <w:rPr>
          <w:rStyle w:val="LegDeletedText"/>
          <w:lang w:val="fr-FR"/>
        </w:rPr>
        <w:t>u rapport d</w:t>
      </w:r>
      <w:r w:rsidR="005E6A24">
        <w:rPr>
          <w:rStyle w:val="LegDeletedText"/>
          <w:lang w:val="fr-FR"/>
        </w:rPr>
        <w:t>’</w:t>
      </w:r>
      <w:r w:rsidR="007F6601" w:rsidRPr="008B1F38">
        <w:rPr>
          <w:rStyle w:val="LegDeletedText"/>
          <w:lang w:val="fr-FR"/>
        </w:rPr>
        <w:t>examen préliminaire international</w:t>
      </w:r>
      <w:r w:rsidR="004B162C">
        <w:rPr>
          <w:rStyle w:val="LegDeletedText"/>
          <w:lang w:val="fr-FR"/>
        </w:rPr>
        <w:t xml:space="preserve"> en vertu de</w:t>
      </w:r>
      <w:r w:rsidR="00E77B30">
        <w:rPr>
          <w:rStyle w:val="LegInsertedText0"/>
          <w:lang w:val="fr-FR"/>
        </w:rPr>
        <w:t xml:space="preserve"> visées à</w:t>
      </w:r>
      <w:r w:rsidR="00E77B30" w:rsidRPr="008B1F38">
        <w:rPr>
          <w:lang w:val="fr-FR"/>
        </w:rPr>
        <w:t xml:space="preserve"> </w:t>
      </w:r>
      <w:r w:rsidR="00E77B30">
        <w:rPr>
          <w:lang w:val="fr-FR"/>
        </w:rPr>
        <w:t>l</w:t>
      </w:r>
      <w:r w:rsidR="005E6A24">
        <w:rPr>
          <w:lang w:val="fr-FR"/>
        </w:rPr>
        <w:t>’</w:t>
      </w:r>
      <w:r w:rsidR="005E6A24" w:rsidRPr="008B1F38">
        <w:rPr>
          <w:lang w:val="fr-FR"/>
        </w:rPr>
        <w:t>alinéa</w:t>
      </w:r>
      <w:r w:rsidR="005E6A24">
        <w:rPr>
          <w:lang w:val="fr-FR"/>
        </w:rPr>
        <w:t> </w:t>
      </w:r>
      <w:r w:rsidR="005E6A24" w:rsidRPr="008B1F38">
        <w:rPr>
          <w:lang w:val="fr-FR"/>
        </w:rPr>
        <w:t>b)</w:t>
      </w:r>
      <w:r w:rsidR="004B162C">
        <w:rPr>
          <w:lang w:val="fr-FR"/>
        </w:rPr>
        <w:t xml:space="preserve"> </w:t>
      </w:r>
      <w:r w:rsidR="004B162C">
        <w:rPr>
          <w:rStyle w:val="LegInsertedText0"/>
          <w:lang w:val="fr-FR"/>
        </w:rPr>
        <w:t>de tout document qui lui a été transmis en vertu de la règle</w:t>
      </w:r>
      <w:r w:rsidR="007F6601" w:rsidRPr="008B1F38">
        <w:rPr>
          <w:rStyle w:val="LegInsertedText0"/>
          <w:lang w:val="fr-FR"/>
        </w:rPr>
        <w:t> 71.1</w:t>
      </w:r>
      <w:r w:rsidR="004B162C">
        <w:rPr>
          <w:rStyle w:val="LegInsertedText0"/>
          <w:lang w:val="fr-FR"/>
        </w:rPr>
        <w:t>.</w:t>
      </w:r>
      <w:r w:rsidR="007F6601" w:rsidRPr="008B1F38">
        <w:rPr>
          <w:rStyle w:val="LegInsertedText0"/>
          <w:lang w:val="fr-FR"/>
        </w:rPr>
        <w:t>a) o</w:t>
      </w:r>
      <w:r w:rsidR="004B162C">
        <w:rPr>
          <w:rStyle w:val="LegInsertedText0"/>
          <w:lang w:val="fr-FR"/>
        </w:rPr>
        <w:t>u</w:t>
      </w:r>
      <w:r w:rsidR="007F6601" w:rsidRPr="008B1F38">
        <w:rPr>
          <w:rStyle w:val="LegInsertedText0"/>
          <w:lang w:val="fr-FR"/>
        </w:rPr>
        <w:t xml:space="preserve"> b) </w:t>
      </w:r>
      <w:r w:rsidR="004B162C">
        <w:rPr>
          <w:rStyle w:val="LegInsertedText0"/>
          <w:lang w:val="fr-FR"/>
        </w:rPr>
        <w:t>par l</w:t>
      </w:r>
      <w:r w:rsidR="005E6A24">
        <w:rPr>
          <w:rStyle w:val="LegInsertedText0"/>
          <w:lang w:val="fr-FR"/>
        </w:rPr>
        <w:t>’</w:t>
      </w:r>
      <w:r w:rsidR="004B162C">
        <w:rPr>
          <w:rStyle w:val="LegInsertedText0"/>
          <w:lang w:val="fr-FR"/>
        </w:rPr>
        <w:t>administration chargée de l</w:t>
      </w:r>
      <w:r w:rsidR="005E6A24">
        <w:rPr>
          <w:rStyle w:val="LegInsertedText0"/>
          <w:lang w:val="fr-FR"/>
        </w:rPr>
        <w:t>’</w:t>
      </w:r>
      <w:r w:rsidR="004B162C">
        <w:rPr>
          <w:rStyle w:val="LegInsertedText0"/>
          <w:lang w:val="fr-FR"/>
        </w:rPr>
        <w:t>examen préliminaire international</w:t>
      </w:r>
      <w:r w:rsidR="00B34D5F">
        <w:rPr>
          <w:lang w:val="fr-FR"/>
        </w:rPr>
        <w:t xml:space="preserve">.  </w:t>
      </w:r>
      <w:r w:rsidR="007F6601" w:rsidRPr="008B1F38">
        <w:rPr>
          <w:lang w:val="fr-FR"/>
        </w:rPr>
        <w:t>Le Bureau international publie à bref délai dans la gazette les informations relatives à toute requête de ce type</w:t>
      </w:r>
      <w:r w:rsidRPr="008B1F38">
        <w:rPr>
          <w:lang w:val="fr-FR"/>
        </w:rPr>
        <w:t>.</w:t>
      </w:r>
    </w:p>
    <w:p w:rsidR="008B1F38" w:rsidRPr="008B1F38" w:rsidRDefault="00F80ED1" w:rsidP="00F80ED1">
      <w:pPr>
        <w:rPr>
          <w:lang w:val="fr-FR"/>
        </w:rPr>
      </w:pPr>
      <w:r w:rsidRPr="008B1F38">
        <w:rPr>
          <w:lang w:val="fr-FR"/>
        </w:rPr>
        <w:t>[COMMENT</w:t>
      </w:r>
      <w:r w:rsidR="00E77B30">
        <w:rPr>
          <w:lang w:val="fr-FR"/>
        </w:rPr>
        <w:t>AIRE</w:t>
      </w:r>
      <w:r w:rsidR="00B34D5F">
        <w:rPr>
          <w:lang w:val="fr-FR"/>
        </w:rPr>
        <w:t> :</w:t>
      </w:r>
      <w:r w:rsidRPr="008B1F38">
        <w:rPr>
          <w:lang w:val="fr-FR"/>
        </w:rPr>
        <w:t xml:space="preserve"> </w:t>
      </w:r>
      <w:r w:rsidR="00E77B30">
        <w:rPr>
          <w:lang w:val="fr-FR"/>
        </w:rPr>
        <w:t>la référence à l</w:t>
      </w:r>
      <w:r w:rsidR="005E6A24">
        <w:rPr>
          <w:lang w:val="fr-FR"/>
        </w:rPr>
        <w:t>’</w:t>
      </w:r>
      <w:r w:rsidR="00E77B30">
        <w:rPr>
          <w:lang w:val="fr-FR"/>
        </w:rPr>
        <w:t>établissement du rapport d</w:t>
      </w:r>
      <w:r w:rsidR="005E6A24">
        <w:rPr>
          <w:lang w:val="fr-FR"/>
        </w:rPr>
        <w:t>’</w:t>
      </w:r>
      <w:r w:rsidR="00E77B30">
        <w:rPr>
          <w:lang w:val="fr-FR"/>
        </w:rPr>
        <w:t>examen préliminaire international a été ajoutée à des fins de cohérence avec l</w:t>
      </w:r>
      <w:r w:rsidR="005E6A24">
        <w:rPr>
          <w:lang w:val="fr-FR"/>
        </w:rPr>
        <w:t>’</w:t>
      </w:r>
      <w:r w:rsidR="00E77B30">
        <w:rPr>
          <w:lang w:val="fr-FR"/>
        </w:rPr>
        <w:t>article</w:t>
      </w:r>
      <w:r w:rsidR="00581EB8">
        <w:rPr>
          <w:lang w:val="fr-FR"/>
        </w:rPr>
        <w:t> </w:t>
      </w:r>
      <w:r w:rsidR="00E77B30">
        <w:rPr>
          <w:lang w:val="fr-FR"/>
        </w:rPr>
        <w:t>38.1)</w:t>
      </w:r>
      <w:r w:rsidRPr="008B1F38">
        <w:rPr>
          <w:lang w:val="fr-FR"/>
        </w:rPr>
        <w:t xml:space="preserve">, </w:t>
      </w:r>
      <w:r w:rsidR="00E77B30">
        <w:rPr>
          <w:lang w:val="fr-FR"/>
        </w:rPr>
        <w:t>étant entendu que cet ajout signifie que la règle s</w:t>
      </w:r>
      <w:r w:rsidR="005E6A24">
        <w:rPr>
          <w:lang w:val="fr-FR"/>
        </w:rPr>
        <w:t>’</w:t>
      </w:r>
      <w:r w:rsidR="00E77B30">
        <w:rPr>
          <w:lang w:val="fr-FR"/>
        </w:rPr>
        <w:t>applique</w:t>
      </w:r>
      <w:r w:rsidR="000856C8">
        <w:rPr>
          <w:lang w:val="fr-FR"/>
        </w:rPr>
        <w:t>rait</w:t>
      </w:r>
      <w:r w:rsidR="00E77B30">
        <w:rPr>
          <w:lang w:val="fr-FR"/>
        </w:rPr>
        <w:t xml:space="preserve"> aux documents transmis au Bureau international avant l</w:t>
      </w:r>
      <w:r w:rsidR="005E6A24">
        <w:rPr>
          <w:lang w:val="fr-FR"/>
        </w:rPr>
        <w:t>’</w:t>
      </w:r>
      <w:r w:rsidR="00E77B30">
        <w:rPr>
          <w:lang w:val="fr-FR"/>
        </w:rPr>
        <w:t xml:space="preserve">établissement </w:t>
      </w:r>
      <w:r w:rsidR="007E5648">
        <w:rPr>
          <w:lang w:val="fr-FR"/>
        </w:rPr>
        <w:t>du</w:t>
      </w:r>
      <w:r w:rsidR="00E77B30">
        <w:rPr>
          <w:lang w:val="fr-FR"/>
        </w:rPr>
        <w:t xml:space="preserve"> rapport</w:t>
      </w:r>
      <w:r w:rsidRPr="008B1F38">
        <w:rPr>
          <w:lang w:val="fr-FR"/>
        </w:rPr>
        <w:t>.]</w:t>
      </w:r>
    </w:p>
    <w:p w:rsidR="008B1F38" w:rsidRPr="008B1F38" w:rsidRDefault="008B1F38" w:rsidP="00F80ED1">
      <w:pPr>
        <w:rPr>
          <w:lang w:val="fr-FR"/>
        </w:rPr>
      </w:pPr>
    </w:p>
    <w:p w:rsidR="008B1F38" w:rsidRPr="008B1F38" w:rsidRDefault="008B1F38" w:rsidP="00F80ED1">
      <w:pPr>
        <w:rPr>
          <w:lang w:val="fr-FR"/>
        </w:rPr>
      </w:pPr>
    </w:p>
    <w:p w:rsidR="008B1F38" w:rsidRPr="008B1F38" w:rsidRDefault="00F80ED1" w:rsidP="00F80ED1">
      <w:pPr>
        <w:pStyle w:val="Lega"/>
        <w:rPr>
          <w:lang w:val="fr-FR"/>
        </w:rPr>
      </w:pPr>
      <w:r w:rsidRPr="008B1F38">
        <w:rPr>
          <w:lang w:val="fr-FR"/>
        </w:rPr>
        <w:tab/>
        <w:t xml:space="preserve">d) </w:t>
      </w:r>
      <w:r w:rsidR="00456A2C" w:rsidRPr="008B1F38">
        <w:rPr>
          <w:lang w:val="fr-FR"/>
        </w:rPr>
        <w:t xml:space="preserve">à </w:t>
      </w:r>
      <w:r w:rsidRPr="008B1F38">
        <w:rPr>
          <w:lang w:val="fr-FR"/>
        </w:rPr>
        <w:t>g)</w:t>
      </w:r>
      <w:r w:rsidR="00B34D5F">
        <w:rPr>
          <w:lang w:val="fr-FR"/>
        </w:rPr>
        <w:t xml:space="preserve"> </w:t>
      </w:r>
      <w:r w:rsidRPr="008B1F38">
        <w:rPr>
          <w:i/>
          <w:lang w:val="fr-FR"/>
        </w:rPr>
        <w:t>[</w:t>
      </w:r>
      <w:r w:rsidR="00456A2C" w:rsidRPr="008B1F38">
        <w:rPr>
          <w:i/>
          <w:lang w:val="fr-FR"/>
        </w:rPr>
        <w:t>Sans changement</w:t>
      </w:r>
      <w:r w:rsidRPr="008B1F38">
        <w:rPr>
          <w:i/>
          <w:lang w:val="fr-FR"/>
        </w:rPr>
        <w:t>]</w:t>
      </w:r>
    </w:p>
    <w:p w:rsidR="008B1F38" w:rsidRPr="008B1F38" w:rsidRDefault="00F80ED1" w:rsidP="00F80ED1">
      <w:pPr>
        <w:pStyle w:val="LegSubRule"/>
        <w:rPr>
          <w:lang w:val="fr-FR"/>
        </w:rPr>
      </w:pPr>
      <w:bookmarkStart w:id="22" w:name="_Toc8802617"/>
      <w:r w:rsidRPr="008B1F38">
        <w:rPr>
          <w:lang w:val="fr-FR"/>
        </w:rPr>
        <w:t>94.</w:t>
      </w:r>
      <w:r w:rsidR="00B34D5F" w:rsidRPr="008B1F38">
        <w:rPr>
          <w:lang w:val="fr-FR"/>
        </w:rPr>
        <w:t>1</w:t>
      </w:r>
      <w:r w:rsidR="00B34D5F" w:rsidRPr="00B34D5F">
        <w:rPr>
          <w:i/>
          <w:lang w:val="fr-FR"/>
        </w:rPr>
        <w:t>bis</w:t>
      </w:r>
      <w:r w:rsidRPr="008B1F38">
        <w:rPr>
          <w:lang w:val="fr-FR"/>
        </w:rPr>
        <w:t xml:space="preserve"> </w:t>
      </w:r>
      <w:r w:rsidR="00456A2C" w:rsidRPr="008B1F38">
        <w:rPr>
          <w:lang w:val="fr-FR"/>
        </w:rPr>
        <w:t>à</w:t>
      </w:r>
      <w:r w:rsidRPr="008B1F38">
        <w:rPr>
          <w:lang w:val="fr-FR"/>
        </w:rPr>
        <w:t xml:space="preserve"> 94.3</w:t>
      </w:r>
      <w:r w:rsidR="00B34D5F">
        <w:rPr>
          <w:lang w:val="fr-FR"/>
        </w:rPr>
        <w:t xml:space="preserve"> </w:t>
      </w:r>
      <w:r w:rsidRPr="008B1F38">
        <w:rPr>
          <w:i/>
          <w:lang w:val="fr-FR"/>
        </w:rPr>
        <w:t>[</w:t>
      </w:r>
      <w:r w:rsidR="00456A2C" w:rsidRPr="008B1F38">
        <w:rPr>
          <w:i/>
          <w:lang w:val="fr-FR"/>
        </w:rPr>
        <w:t>Sans changement</w:t>
      </w:r>
      <w:r w:rsidRPr="008B1F38">
        <w:rPr>
          <w:i/>
          <w:lang w:val="fr-FR"/>
        </w:rPr>
        <w:t>]</w:t>
      </w:r>
      <w:bookmarkEnd w:id="22"/>
    </w:p>
    <w:p w:rsidR="008B1F38" w:rsidRPr="008B1F38" w:rsidRDefault="008B1F38" w:rsidP="00F80ED1">
      <w:pPr>
        <w:pStyle w:val="ListParagraph"/>
        <w:ind w:left="360" w:firstLine="349"/>
        <w:rPr>
          <w:lang w:val="fr-FR"/>
        </w:rPr>
      </w:pPr>
    </w:p>
    <w:p w:rsidR="008B1F38" w:rsidRPr="008B1F38" w:rsidRDefault="008B1F38" w:rsidP="00F80ED1">
      <w:pPr>
        <w:pStyle w:val="Endofdocument-Annex"/>
        <w:rPr>
          <w:lang w:val="fr-FR"/>
        </w:rPr>
      </w:pPr>
    </w:p>
    <w:p w:rsidR="00F80ED1" w:rsidRPr="008B1F38" w:rsidRDefault="00F80ED1" w:rsidP="00A2598E">
      <w:pPr>
        <w:pStyle w:val="Endofdocument-Annex"/>
        <w:rPr>
          <w:lang w:val="fr-FR"/>
        </w:rPr>
        <w:sectPr w:rsidR="00F80ED1" w:rsidRPr="008B1F38" w:rsidSect="008B1F38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B1F38">
        <w:rPr>
          <w:lang w:val="fr-FR"/>
        </w:rPr>
        <w:t>[</w:t>
      </w:r>
      <w:r w:rsidR="00456A2C" w:rsidRPr="008B1F38">
        <w:rPr>
          <w:lang w:val="fr-FR"/>
        </w:rPr>
        <w:t>L</w:t>
      </w:r>
      <w:r w:rsidR="005E6A24">
        <w:rPr>
          <w:lang w:val="fr-FR"/>
        </w:rPr>
        <w:t>’</w:t>
      </w:r>
      <w:r w:rsidR="00456A2C" w:rsidRPr="008B1F38">
        <w:rPr>
          <w:lang w:val="fr-FR"/>
        </w:rPr>
        <w:t>annexe II suit</w:t>
      </w:r>
      <w:r w:rsidRPr="008B1F38">
        <w:rPr>
          <w:lang w:val="fr-FR"/>
        </w:rPr>
        <w:t>]</w:t>
      </w:r>
    </w:p>
    <w:bookmarkEnd w:id="11"/>
    <w:p w:rsidR="008B1F38" w:rsidRPr="008B1F38" w:rsidRDefault="00F80ED1" w:rsidP="00F80ED1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8B1F38">
        <w:rPr>
          <w:lang w:val="fr-FR"/>
        </w:rPr>
        <w:lastRenderedPageBreak/>
        <w:t>ANNEX</w:t>
      </w:r>
      <w:r w:rsidR="00E77B30">
        <w:rPr>
          <w:lang w:val="fr-FR"/>
        </w:rPr>
        <w:t>E</w:t>
      </w:r>
      <w:r w:rsidR="00581EB8">
        <w:rPr>
          <w:lang w:val="fr-FR"/>
        </w:rPr>
        <w:t> </w:t>
      </w:r>
      <w:r w:rsidRPr="008B1F38">
        <w:rPr>
          <w:lang w:val="fr-FR"/>
        </w:rPr>
        <w:t>II</w:t>
      </w:r>
      <w:bookmarkStart w:id="23" w:name="AxII"/>
    </w:p>
    <w:p w:rsidR="008B1F38" w:rsidRPr="008B1F38" w:rsidRDefault="00F80ED1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  <w:r w:rsidRPr="008B1F38">
        <w:rPr>
          <w:caps/>
          <w:lang w:val="fr-FR"/>
        </w:rPr>
        <w:t>Propos</w:t>
      </w:r>
      <w:r w:rsidR="00E77B30">
        <w:rPr>
          <w:caps/>
          <w:lang w:val="fr-FR"/>
        </w:rPr>
        <w:t>itions de modification des Instructions administratives du Traité de coopération en matière de brevets</w:t>
      </w:r>
      <w:r w:rsidR="00B34D5F" w:rsidRPr="008B1F38">
        <w:rPr>
          <w:rStyle w:val="FootnoteReference"/>
          <w:lang w:val="fr-FR"/>
        </w:rPr>
        <w:footnoteReference w:id="3"/>
      </w:r>
      <w:r w:rsidR="00B34D5F" w:rsidRPr="008B1F38">
        <w:rPr>
          <w:caps/>
          <w:lang w:val="fr-FR"/>
        </w:rPr>
        <w:t xml:space="preserve"> </w:t>
      </w:r>
    </w:p>
    <w:p w:rsidR="008B1F38" w:rsidRPr="008B1F38" w:rsidRDefault="008B1F38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</w:p>
    <w:p w:rsidR="008B1F38" w:rsidRPr="008B1F38" w:rsidRDefault="008B1F38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</w:p>
    <w:p w:rsidR="008B1F38" w:rsidRPr="008B1F38" w:rsidRDefault="00F80ED1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  <w:r w:rsidRPr="008B1F38">
        <w:rPr>
          <w:caps/>
          <w:lang w:val="fr-FR"/>
        </w:rPr>
        <w:t xml:space="preserve">TABLE </w:t>
      </w:r>
      <w:r w:rsidR="00E77B30">
        <w:rPr>
          <w:caps/>
          <w:lang w:val="fr-FR"/>
        </w:rPr>
        <w:t>des matières</w:t>
      </w:r>
    </w:p>
    <w:p w:rsidR="008B1F38" w:rsidRPr="008B1F38" w:rsidRDefault="008B1F38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</w:p>
    <w:p w:rsidR="00BD4FED" w:rsidRDefault="00BD4FED" w:rsidP="00BD4FED">
      <w:pPr>
        <w:pStyle w:val="TOC1"/>
        <w:rPr>
          <w:rFonts w:asciiTheme="minorHAnsi" w:eastAsiaTheme="minorEastAsia" w:hAnsiTheme="minorHAnsi" w:cstheme="minorBidi"/>
          <w:szCs w:val="22"/>
          <w:lang w:eastAsia="fr-FR"/>
        </w:rPr>
      </w:pPr>
      <w:r>
        <w:rPr>
          <w:caps/>
        </w:rPr>
        <w:fldChar w:fldCharType="begin"/>
      </w:r>
      <w:r>
        <w:rPr>
          <w:caps/>
        </w:rPr>
        <w:instrText xml:space="preserve"> TOC \B "Ax</w:instrText>
      </w:r>
      <w:r>
        <w:rPr>
          <w:caps/>
        </w:rPr>
        <w:instrText>I</w:instrText>
      </w:r>
      <w:r>
        <w:rPr>
          <w:caps/>
        </w:rPr>
        <w:instrText xml:space="preserve">I" \t "Leg # Title;1;Leg SubRule #;2" </w:instrText>
      </w:r>
      <w:r>
        <w:rPr>
          <w:caps/>
        </w:rPr>
        <w:fldChar w:fldCharType="separate"/>
      </w:r>
      <w:r w:rsidRPr="002B3B2D">
        <w:t>Instruction 602  Traitement des modifications  par l’administration chargée de l’examen préliminaire international</w:t>
      </w:r>
      <w:r>
        <w:tab/>
      </w:r>
      <w:r>
        <w:fldChar w:fldCharType="begin"/>
      </w:r>
      <w:r>
        <w:instrText xml:space="preserve"> PAGEREF _Toc8802600 \h </w:instrText>
      </w:r>
      <w:r>
        <w:fldChar w:fldCharType="separate"/>
      </w:r>
      <w:r>
        <w:t>2</w:t>
      </w:r>
      <w:r>
        <w:fldChar w:fldCharType="end"/>
      </w:r>
    </w:p>
    <w:p w:rsidR="00BD4FED" w:rsidRDefault="00BD4FED" w:rsidP="00BD4FED">
      <w:pPr>
        <w:pStyle w:val="ONUME"/>
        <w:numPr>
          <w:ilvl w:val="0"/>
          <w:numId w:val="0"/>
        </w:numPr>
        <w:spacing w:after="0"/>
        <w:jc w:val="center"/>
        <w:rPr>
          <w:caps/>
        </w:rPr>
      </w:pPr>
      <w:r>
        <w:rPr>
          <w:caps/>
          <w:noProof/>
        </w:rPr>
        <w:fldChar w:fldCharType="end"/>
      </w:r>
    </w:p>
    <w:p w:rsidR="008B1F38" w:rsidRPr="008B1F38" w:rsidRDefault="008B1F38" w:rsidP="00BD4FED">
      <w:pPr>
        <w:pStyle w:val="TOC1"/>
        <w:rPr>
          <w:highlight w:val="yellow"/>
        </w:rPr>
      </w:pPr>
    </w:p>
    <w:p w:rsidR="005E6A24" w:rsidRPr="00A2598E" w:rsidRDefault="00456A2C" w:rsidP="00BB338F">
      <w:pPr>
        <w:pStyle w:val="LegTitle"/>
        <w:rPr>
          <w:rStyle w:val="LegInsertedText"/>
          <w:color w:val="auto"/>
          <w:u w:val="none"/>
          <w:lang w:val="fr-FR"/>
        </w:rPr>
      </w:pPr>
      <w:bookmarkStart w:id="24" w:name="_Toc8802600"/>
      <w:r w:rsidRPr="00A2598E">
        <w:rPr>
          <w:rStyle w:val="LegInsertedText"/>
          <w:color w:val="auto"/>
          <w:u w:val="none"/>
          <w:lang w:val="fr-FR"/>
        </w:rPr>
        <w:lastRenderedPageBreak/>
        <w:t>Instruction</w:t>
      </w:r>
      <w:r w:rsidR="00581EB8" w:rsidRPr="00A2598E">
        <w:rPr>
          <w:rStyle w:val="LegInsertedText"/>
          <w:color w:val="auto"/>
          <w:u w:val="none"/>
          <w:lang w:val="fr-FR"/>
        </w:rPr>
        <w:t> </w:t>
      </w:r>
      <w:r w:rsidR="00F80ED1" w:rsidRPr="00A2598E">
        <w:rPr>
          <w:rStyle w:val="LegInsertedText"/>
          <w:color w:val="auto"/>
          <w:u w:val="none"/>
          <w:lang w:val="fr-FR"/>
        </w:rPr>
        <w:t>602</w:t>
      </w:r>
      <w:r w:rsidR="00F80ED1" w:rsidRPr="00A2598E">
        <w:rPr>
          <w:rStyle w:val="LegInsertedText"/>
          <w:color w:val="auto"/>
          <w:u w:val="none"/>
          <w:lang w:val="fr-FR"/>
        </w:rPr>
        <w:br/>
        <w:t xml:space="preserve"> </w:t>
      </w:r>
      <w:r w:rsidR="00C9014D" w:rsidRPr="00A2598E">
        <w:rPr>
          <w:rStyle w:val="LegInsertedText"/>
          <w:color w:val="auto"/>
          <w:u w:val="none"/>
          <w:lang w:val="fr-FR"/>
        </w:rPr>
        <w:t xml:space="preserve">Traitement des modifications </w:t>
      </w:r>
      <w:r w:rsidR="00C9014D" w:rsidRPr="00A2598E">
        <w:rPr>
          <w:rStyle w:val="LegInsertedText"/>
          <w:color w:val="auto"/>
          <w:u w:val="none"/>
          <w:lang w:val="fr-FR"/>
        </w:rPr>
        <w:br/>
      </w:r>
      <w:r w:rsidR="00E77B30" w:rsidRPr="00A2598E">
        <w:rPr>
          <w:rStyle w:val="LegInsertedText"/>
          <w:color w:val="auto"/>
          <w:u w:val="none"/>
          <w:lang w:val="fr-FR"/>
        </w:rPr>
        <w:t xml:space="preserve">par </w:t>
      </w:r>
      <w:r w:rsidR="00C9014D" w:rsidRPr="00A2598E">
        <w:rPr>
          <w:rStyle w:val="LegInsertedText"/>
          <w:color w:val="auto"/>
          <w:u w:val="none"/>
          <w:lang w:val="fr-FR"/>
        </w:rPr>
        <w:t>l</w:t>
      </w:r>
      <w:r w:rsidR="005E6A24" w:rsidRPr="00A2598E">
        <w:rPr>
          <w:rStyle w:val="LegInsertedText"/>
          <w:color w:val="auto"/>
          <w:u w:val="none"/>
          <w:lang w:val="fr-FR"/>
        </w:rPr>
        <w:t>’</w:t>
      </w:r>
      <w:r w:rsidR="00C9014D" w:rsidRPr="00A2598E">
        <w:rPr>
          <w:rStyle w:val="LegInsertedText"/>
          <w:color w:val="auto"/>
          <w:u w:val="none"/>
          <w:lang w:val="fr-FR"/>
        </w:rPr>
        <w:t>administration chargée de l</w:t>
      </w:r>
      <w:r w:rsidR="005E6A24" w:rsidRPr="00A2598E">
        <w:rPr>
          <w:rStyle w:val="LegInsertedText"/>
          <w:color w:val="auto"/>
          <w:u w:val="none"/>
          <w:lang w:val="fr-FR"/>
        </w:rPr>
        <w:t>’</w:t>
      </w:r>
      <w:r w:rsidR="00C9014D" w:rsidRPr="00A2598E">
        <w:rPr>
          <w:rStyle w:val="LegInsertedText"/>
          <w:color w:val="auto"/>
          <w:u w:val="none"/>
          <w:lang w:val="fr-FR"/>
        </w:rPr>
        <w:t>examen préliminaire international</w:t>
      </w:r>
      <w:bookmarkEnd w:id="24"/>
    </w:p>
    <w:p w:rsidR="008B1F38" w:rsidRPr="00A2598E" w:rsidRDefault="00F80ED1" w:rsidP="00F80ED1">
      <w:pPr>
        <w:pStyle w:val="Lega"/>
        <w:rPr>
          <w:rFonts w:eastAsia="SimSun"/>
          <w:lang w:val="fr-FR"/>
        </w:rPr>
      </w:pPr>
      <w:r w:rsidRPr="00A2598E">
        <w:rPr>
          <w:rFonts w:eastAsia="SimSun"/>
          <w:lang w:val="fr-FR"/>
        </w:rPr>
        <w:t xml:space="preserve">a) </w:t>
      </w:r>
      <w:r w:rsidRPr="00A2598E">
        <w:rPr>
          <w:rFonts w:eastAsia="SimSun"/>
          <w:lang w:val="fr-FR"/>
        </w:rPr>
        <w:tab/>
      </w:r>
      <w:r w:rsidR="00C9014D" w:rsidRPr="00A2598E">
        <w:rPr>
          <w:rFonts w:eastAsia="SimSun"/>
          <w:lang w:val="fr-FR"/>
        </w:rPr>
        <w:t>L</w:t>
      </w:r>
      <w:r w:rsidR="005E6A24" w:rsidRPr="00A2598E">
        <w:rPr>
          <w:rFonts w:eastAsia="SimSun"/>
          <w:lang w:val="fr-FR"/>
        </w:rPr>
        <w:t>’</w:t>
      </w:r>
      <w:r w:rsidR="00C9014D" w:rsidRPr="00A2598E">
        <w:rPr>
          <w:rFonts w:eastAsia="SimSun"/>
          <w:lang w:val="fr-FR"/>
        </w:rPr>
        <w:t>administration chargée de l</w:t>
      </w:r>
      <w:r w:rsidR="005E6A24" w:rsidRPr="00A2598E">
        <w:rPr>
          <w:rFonts w:eastAsia="SimSun"/>
          <w:lang w:val="fr-FR"/>
        </w:rPr>
        <w:t>’</w:t>
      </w:r>
      <w:r w:rsidR="00C9014D" w:rsidRPr="00A2598E">
        <w:rPr>
          <w:rFonts w:eastAsia="SimSun"/>
          <w:lang w:val="fr-FR"/>
        </w:rPr>
        <w:t>examen préliminaire international,</w:t>
      </w:r>
    </w:p>
    <w:p w:rsidR="008B1F38" w:rsidRPr="008B1F38" w:rsidRDefault="00C9014D" w:rsidP="00F80ED1">
      <w:pPr>
        <w:pStyle w:val="Lega"/>
        <w:tabs>
          <w:tab w:val="clear" w:pos="454"/>
          <w:tab w:val="right" w:pos="1276"/>
          <w:tab w:val="left" w:pos="1418"/>
        </w:tabs>
        <w:ind w:left="1418" w:hanging="1418"/>
        <w:rPr>
          <w:rFonts w:eastAsia="SimSun"/>
          <w:lang w:val="fr-FR"/>
        </w:rPr>
      </w:pPr>
      <w:r w:rsidRPr="008B1F38">
        <w:rPr>
          <w:rFonts w:eastAsia="SimSun"/>
          <w:lang w:val="fr-FR"/>
        </w:rPr>
        <w:tab/>
      </w:r>
      <w:r w:rsidR="00F80ED1" w:rsidRPr="008B1F38">
        <w:rPr>
          <w:rFonts w:eastAsia="SimSun"/>
          <w:lang w:val="fr-FR"/>
        </w:rPr>
        <w:t xml:space="preserve">i) </w:t>
      </w:r>
      <w:r w:rsidRPr="008B1F38">
        <w:rPr>
          <w:rFonts w:eastAsia="SimSun"/>
          <w:lang w:val="fr-FR"/>
        </w:rPr>
        <w:t xml:space="preserve">à </w:t>
      </w:r>
      <w:r w:rsidR="00F80ED1" w:rsidRPr="008B1F38">
        <w:rPr>
          <w:rFonts w:eastAsia="SimSun"/>
          <w:lang w:val="fr-FR"/>
        </w:rPr>
        <w:t>iv)</w:t>
      </w:r>
      <w:r w:rsidR="00F80ED1" w:rsidRPr="008B1F38">
        <w:rPr>
          <w:rFonts w:eastAsia="SimSun"/>
          <w:lang w:val="fr-FR"/>
        </w:rPr>
        <w:tab/>
        <w:t>[</w:t>
      </w:r>
      <w:r w:rsidRPr="008B1F38">
        <w:rPr>
          <w:rFonts w:eastAsia="SimSun"/>
          <w:lang w:val="fr-FR"/>
        </w:rPr>
        <w:t>Sans changement</w:t>
      </w:r>
      <w:r w:rsidR="00F80ED1" w:rsidRPr="008B1F38">
        <w:rPr>
          <w:rFonts w:eastAsia="SimSun"/>
          <w:lang w:val="fr-FR"/>
        </w:rPr>
        <w:t>]</w:t>
      </w:r>
    </w:p>
    <w:p w:rsidR="008B1F38" w:rsidRPr="00A2598E" w:rsidRDefault="00F80ED1" w:rsidP="00F80ED1">
      <w:pPr>
        <w:pStyle w:val="Lega"/>
        <w:tabs>
          <w:tab w:val="clear" w:pos="454"/>
          <w:tab w:val="right" w:pos="1276"/>
          <w:tab w:val="left" w:pos="1418"/>
        </w:tabs>
        <w:ind w:left="1418" w:hanging="1418"/>
        <w:rPr>
          <w:rFonts w:eastAsia="SimSun"/>
          <w:lang w:val="fr-FR"/>
        </w:rPr>
      </w:pPr>
      <w:r w:rsidRPr="008B1F38">
        <w:rPr>
          <w:rFonts w:eastAsia="SimSun"/>
          <w:lang w:val="fr-FR"/>
        </w:rPr>
        <w:tab/>
        <w:t>v)</w:t>
      </w:r>
      <w:r w:rsidRPr="008B1F38">
        <w:rPr>
          <w:rFonts w:eastAsia="SimSun"/>
          <w:lang w:val="fr-FR"/>
        </w:rPr>
        <w:tab/>
      </w:r>
      <w:r w:rsidRPr="00A2598E">
        <w:rPr>
          <w:rFonts w:eastAsia="SimSun"/>
          <w:lang w:val="fr-FR"/>
        </w:rPr>
        <w:t>[</w:t>
      </w:r>
      <w:r w:rsidR="00C9014D" w:rsidRPr="00A2598E">
        <w:rPr>
          <w:rFonts w:eastAsia="SimSun"/>
          <w:lang w:val="fr-FR"/>
        </w:rPr>
        <w:t>sans changement</w:t>
      </w:r>
      <w:r w:rsidRPr="00A2598E">
        <w:rPr>
          <w:rFonts w:eastAsia="SimSun"/>
          <w:lang w:val="fr-FR"/>
        </w:rPr>
        <w:t>]</w:t>
      </w:r>
      <w:r w:rsidR="00B34D5F" w:rsidRPr="00A2598E">
        <w:rPr>
          <w:rFonts w:eastAsia="SimSun"/>
          <w:lang w:val="fr-FR"/>
        </w:rPr>
        <w:t xml:space="preserve"> </w:t>
      </w:r>
      <w:r w:rsidR="00C9014D" w:rsidRPr="00A2598E">
        <w:rPr>
          <w:rFonts w:eastAsia="SimSun"/>
          <w:lang w:val="fr-FR"/>
        </w:rPr>
        <w:t>annexe à la copie du rapport d</w:t>
      </w:r>
      <w:r w:rsidR="005E6A24" w:rsidRPr="00A2598E">
        <w:rPr>
          <w:rFonts w:eastAsia="SimSun"/>
          <w:lang w:val="fr-FR"/>
        </w:rPr>
        <w:t>’</w:t>
      </w:r>
      <w:r w:rsidR="00C9014D" w:rsidRPr="00A2598E">
        <w:rPr>
          <w:rFonts w:eastAsia="SimSun"/>
          <w:lang w:val="fr-FR"/>
        </w:rPr>
        <w:t>examen préliminaire international qui est transmise au Bureau international toute feuille de remplacement et toute lettre comme le prévoit la règle</w:t>
      </w:r>
      <w:r w:rsidR="00581EB8" w:rsidRPr="00A2598E">
        <w:rPr>
          <w:rFonts w:eastAsia="SimSun"/>
          <w:lang w:val="fr-FR"/>
        </w:rPr>
        <w:t> </w:t>
      </w:r>
      <w:r w:rsidR="00C9014D" w:rsidRPr="00A2598E">
        <w:rPr>
          <w:rFonts w:eastAsia="SimSun"/>
          <w:lang w:val="fr-FR"/>
        </w:rPr>
        <w:t>70.16;</w:t>
      </w:r>
    </w:p>
    <w:p w:rsidR="008B1F38" w:rsidRPr="008B1F38" w:rsidRDefault="00C9014D" w:rsidP="00F80ED1">
      <w:pPr>
        <w:pStyle w:val="Lega"/>
        <w:tabs>
          <w:tab w:val="clear" w:pos="454"/>
          <w:tab w:val="right" w:pos="1276"/>
          <w:tab w:val="left" w:pos="1418"/>
        </w:tabs>
        <w:ind w:left="1418" w:hanging="1418"/>
        <w:rPr>
          <w:rStyle w:val="LegInsertedText"/>
          <w:rFonts w:eastAsia="SimSun"/>
          <w:lang w:val="fr-FR"/>
        </w:rPr>
      </w:pPr>
      <w:r w:rsidRPr="00A2598E">
        <w:rPr>
          <w:rFonts w:eastAsia="SimSun"/>
          <w:lang w:val="fr-FR"/>
        </w:rPr>
        <w:tab/>
      </w:r>
      <w:r w:rsidR="00F80ED1" w:rsidRPr="00A2598E">
        <w:rPr>
          <w:rFonts w:eastAsia="SimSun"/>
          <w:lang w:val="fr-FR"/>
        </w:rPr>
        <w:t>vi)</w:t>
      </w:r>
      <w:r w:rsidR="00F80ED1" w:rsidRPr="00A2598E">
        <w:rPr>
          <w:rFonts w:eastAsia="SimSun"/>
          <w:lang w:val="fr-FR"/>
        </w:rPr>
        <w:tab/>
        <w:t>[</w:t>
      </w:r>
      <w:r w:rsidRPr="00A2598E">
        <w:rPr>
          <w:rFonts w:eastAsia="SimSun"/>
          <w:lang w:val="fr-FR"/>
        </w:rPr>
        <w:t>sans changement</w:t>
      </w:r>
      <w:r w:rsidR="00F80ED1" w:rsidRPr="00A2598E">
        <w:rPr>
          <w:rFonts w:eastAsia="SimSun"/>
          <w:lang w:val="fr-FR"/>
        </w:rPr>
        <w:t>]</w:t>
      </w:r>
      <w:r w:rsidR="00B34D5F" w:rsidRPr="00A2598E">
        <w:rPr>
          <w:rFonts w:eastAsia="SimSun"/>
          <w:lang w:val="fr-FR"/>
        </w:rPr>
        <w:t xml:space="preserve"> </w:t>
      </w:r>
      <w:r w:rsidRPr="00A2598E">
        <w:rPr>
          <w:lang w:val="fr-FR"/>
        </w:rPr>
        <w:t>annexe à la copie du rapport d</w:t>
      </w:r>
      <w:r w:rsidR="005E6A24" w:rsidRPr="00A2598E">
        <w:rPr>
          <w:lang w:val="fr-FR"/>
        </w:rPr>
        <w:t>’</w:t>
      </w:r>
      <w:r w:rsidRPr="00A2598E">
        <w:rPr>
          <w:lang w:val="fr-FR"/>
        </w:rPr>
        <w:t>examen préliminaire international qui est transmise au déposant une copie de chaque feuille de remplacement et toute lettre comme le prévoit la règle</w:t>
      </w:r>
      <w:r w:rsidR="00581EB8" w:rsidRPr="00A2598E">
        <w:rPr>
          <w:lang w:val="fr-FR"/>
        </w:rPr>
        <w:t> </w:t>
      </w:r>
      <w:r w:rsidRPr="00A2598E">
        <w:rPr>
          <w:lang w:val="fr-FR"/>
        </w:rPr>
        <w:t>70.16</w:t>
      </w:r>
      <w:r w:rsidRPr="008B1F38">
        <w:rPr>
          <w:rStyle w:val="LegDeletedText"/>
          <w:lang w:val="fr-FR"/>
        </w:rPr>
        <w:t>.</w:t>
      </w:r>
      <w:r w:rsidR="00F80ED1" w:rsidRPr="008B1F38">
        <w:rPr>
          <w:rStyle w:val="LegInsertedText"/>
          <w:rFonts w:eastAsia="SimSun"/>
          <w:lang w:val="fr-FR"/>
        </w:rPr>
        <w:t>;</w:t>
      </w:r>
    </w:p>
    <w:p w:rsidR="008B1F38" w:rsidRPr="008B1F38" w:rsidRDefault="00F80ED1" w:rsidP="00F80ED1">
      <w:pPr>
        <w:rPr>
          <w:lang w:val="fr-FR"/>
        </w:rPr>
      </w:pPr>
      <w:r w:rsidRPr="008B1F38">
        <w:rPr>
          <w:lang w:val="fr-FR"/>
        </w:rPr>
        <w:t>[</w:t>
      </w:r>
      <w:r w:rsidR="00870BDC">
        <w:rPr>
          <w:lang w:val="fr-FR"/>
        </w:rPr>
        <w:t>COMMENTAIRE</w:t>
      </w:r>
      <w:r w:rsidR="00B34D5F">
        <w:rPr>
          <w:lang w:val="fr-FR"/>
        </w:rPr>
        <w:t> :</w:t>
      </w:r>
      <w:r w:rsidRPr="008B1F38">
        <w:rPr>
          <w:lang w:val="fr-FR"/>
        </w:rPr>
        <w:t xml:space="preserve"> </w:t>
      </w:r>
      <w:r w:rsidR="001344E7">
        <w:rPr>
          <w:lang w:val="fr-FR"/>
        </w:rPr>
        <w:t>comme indiqué au paragraphe</w:t>
      </w:r>
      <w:r w:rsidR="00581EB8">
        <w:rPr>
          <w:lang w:val="fr-FR"/>
        </w:rPr>
        <w:t> </w:t>
      </w:r>
      <w:r w:rsidR="0096163E">
        <w:rPr>
          <w:lang w:val="fr-FR"/>
        </w:rPr>
        <w:t>14</w:t>
      </w:r>
      <w:r w:rsidRPr="008B1F38">
        <w:rPr>
          <w:lang w:val="fr-FR"/>
        </w:rPr>
        <w:t xml:space="preserve"> </w:t>
      </w:r>
      <w:r w:rsidR="001344E7">
        <w:rPr>
          <w:lang w:val="fr-FR"/>
        </w:rPr>
        <w:t>du corps du texte du présent document</w:t>
      </w:r>
      <w:r w:rsidRPr="008B1F38">
        <w:rPr>
          <w:lang w:val="fr-FR"/>
        </w:rPr>
        <w:t xml:space="preserve">, </w:t>
      </w:r>
      <w:r w:rsidR="001344E7">
        <w:rPr>
          <w:lang w:val="fr-FR"/>
        </w:rPr>
        <w:t>il pourrait être envisagé ultérieurement de ne plus annexer les modifications et les lettres au rapport d</w:t>
      </w:r>
      <w:r w:rsidR="005E6A24">
        <w:rPr>
          <w:lang w:val="fr-FR"/>
        </w:rPr>
        <w:t>’</w:t>
      </w:r>
      <w:r w:rsidR="001344E7">
        <w:rPr>
          <w:lang w:val="fr-FR"/>
        </w:rPr>
        <w:t>examen préliminaire international,</w:t>
      </w:r>
      <w:r w:rsidR="001344E7" w:rsidRPr="008B1F38">
        <w:rPr>
          <w:lang w:val="fr-FR"/>
        </w:rPr>
        <w:t xml:space="preserve"> </w:t>
      </w:r>
      <w:r w:rsidR="001344E7">
        <w:rPr>
          <w:lang w:val="fr-FR"/>
        </w:rPr>
        <w:t>étant entendu que les propositions de modification du règlement d</w:t>
      </w:r>
      <w:r w:rsidR="005E6A24">
        <w:rPr>
          <w:lang w:val="fr-FR"/>
        </w:rPr>
        <w:t>’</w:t>
      </w:r>
      <w:r w:rsidR="001344E7">
        <w:rPr>
          <w:lang w:val="fr-FR"/>
        </w:rPr>
        <w:t>exécution</w:t>
      </w:r>
      <w:r w:rsidR="005E6A24">
        <w:rPr>
          <w:lang w:val="fr-FR"/>
        </w:rPr>
        <w:t xml:space="preserve"> du PCT</w:t>
      </w:r>
      <w:r w:rsidR="001344E7">
        <w:rPr>
          <w:lang w:val="fr-FR"/>
        </w:rPr>
        <w:t xml:space="preserve"> qui figurent à l</w:t>
      </w:r>
      <w:r w:rsidR="005E6A24">
        <w:rPr>
          <w:lang w:val="fr-FR"/>
        </w:rPr>
        <w:t>’</w:t>
      </w:r>
      <w:r w:rsidR="001344E7">
        <w:rPr>
          <w:lang w:val="fr-FR"/>
        </w:rPr>
        <w:t>annexe I permettr</w:t>
      </w:r>
      <w:r w:rsidR="005531E0">
        <w:rPr>
          <w:lang w:val="fr-FR"/>
        </w:rPr>
        <w:t>aie</w:t>
      </w:r>
      <w:r w:rsidR="001344E7">
        <w:rPr>
          <w:lang w:val="fr-FR"/>
        </w:rPr>
        <w:t xml:space="preserve">nt </w:t>
      </w:r>
      <w:r w:rsidR="005531E0">
        <w:rPr>
          <w:lang w:val="fr-FR"/>
        </w:rPr>
        <w:t>à l</w:t>
      </w:r>
      <w:r w:rsidR="005E6A24">
        <w:rPr>
          <w:lang w:val="fr-FR"/>
        </w:rPr>
        <w:t>’</w:t>
      </w:r>
      <w:r w:rsidR="005531E0">
        <w:rPr>
          <w:lang w:val="fr-FR"/>
        </w:rPr>
        <w:t>avenir</w:t>
      </w:r>
      <w:r w:rsidR="001344E7">
        <w:rPr>
          <w:lang w:val="fr-FR"/>
        </w:rPr>
        <w:t xml:space="preserve"> de mettre à disposition ces documents dans un format plus pratique</w:t>
      </w:r>
      <w:r w:rsidRPr="008B1F38">
        <w:rPr>
          <w:lang w:val="fr-FR"/>
        </w:rPr>
        <w:t xml:space="preserve">, </w:t>
      </w:r>
      <w:r w:rsidR="001344E7">
        <w:rPr>
          <w:lang w:val="fr-FR"/>
        </w:rPr>
        <w:t>ce qui all</w:t>
      </w:r>
      <w:r w:rsidR="00581EB8">
        <w:rPr>
          <w:lang w:val="fr-FR"/>
        </w:rPr>
        <w:t>é</w:t>
      </w:r>
      <w:r w:rsidR="001344E7">
        <w:rPr>
          <w:lang w:val="fr-FR"/>
        </w:rPr>
        <w:t>gera</w:t>
      </w:r>
      <w:r w:rsidR="005531E0">
        <w:rPr>
          <w:lang w:val="fr-FR"/>
        </w:rPr>
        <w:t>it</w:t>
      </w:r>
      <w:r w:rsidR="001344E7">
        <w:rPr>
          <w:lang w:val="fr-FR"/>
        </w:rPr>
        <w:t xml:space="preserve"> le travail de l</w:t>
      </w:r>
      <w:r w:rsidR="005E6A24">
        <w:rPr>
          <w:lang w:val="fr-FR"/>
        </w:rPr>
        <w:t>’</w:t>
      </w:r>
      <w:r w:rsidR="001344E7">
        <w:rPr>
          <w:lang w:val="fr-FR"/>
        </w:rPr>
        <w:t>administration chargée de l</w:t>
      </w:r>
      <w:r w:rsidR="005E6A24">
        <w:rPr>
          <w:lang w:val="fr-FR"/>
        </w:rPr>
        <w:t>’</w:t>
      </w:r>
      <w:r w:rsidR="001344E7">
        <w:rPr>
          <w:lang w:val="fr-FR"/>
        </w:rPr>
        <w:t>examen préliminaire international</w:t>
      </w:r>
      <w:r w:rsidRPr="008B1F38">
        <w:rPr>
          <w:lang w:val="fr-FR"/>
        </w:rPr>
        <w:t>.]</w:t>
      </w:r>
    </w:p>
    <w:p w:rsidR="008B1F38" w:rsidRPr="008B1F38" w:rsidRDefault="008B1F38" w:rsidP="00F80ED1">
      <w:pPr>
        <w:rPr>
          <w:lang w:val="fr-FR"/>
        </w:rPr>
      </w:pPr>
    </w:p>
    <w:p w:rsidR="008B1F38" w:rsidRPr="008B1F38" w:rsidRDefault="008B1F38" w:rsidP="00F80ED1">
      <w:pPr>
        <w:rPr>
          <w:lang w:val="fr-FR"/>
        </w:rPr>
      </w:pPr>
    </w:p>
    <w:p w:rsidR="008B1F38" w:rsidRPr="008B1F38" w:rsidRDefault="00F80ED1" w:rsidP="00F80ED1">
      <w:pPr>
        <w:pStyle w:val="Lega"/>
        <w:tabs>
          <w:tab w:val="clear" w:pos="454"/>
          <w:tab w:val="right" w:pos="1276"/>
          <w:tab w:val="left" w:pos="1418"/>
        </w:tabs>
        <w:ind w:left="1418" w:hanging="1418"/>
        <w:rPr>
          <w:rFonts w:eastAsia="SimSun"/>
          <w:color w:val="0066FF"/>
          <w:u w:val="single"/>
          <w:lang w:val="fr-FR"/>
        </w:rPr>
      </w:pPr>
      <w:r w:rsidRPr="008B1F38">
        <w:rPr>
          <w:rFonts w:eastAsia="SimSun"/>
          <w:lang w:val="fr-FR"/>
        </w:rPr>
        <w:tab/>
      </w:r>
      <w:r w:rsidRPr="008B1F38">
        <w:rPr>
          <w:rStyle w:val="LegInsertedText"/>
          <w:rFonts w:eastAsia="SimSun"/>
          <w:lang w:val="fr-FR"/>
        </w:rPr>
        <w:t>vii)</w:t>
      </w:r>
      <w:r w:rsidRPr="008B1F38">
        <w:rPr>
          <w:rStyle w:val="LegInsertedText"/>
          <w:rFonts w:eastAsia="SimSun"/>
          <w:lang w:val="fr-FR"/>
        </w:rPr>
        <w:tab/>
      </w:r>
      <w:r w:rsidR="00870BDC">
        <w:rPr>
          <w:rStyle w:val="LegInsertedText"/>
          <w:rFonts w:eastAsia="SimSun"/>
          <w:lang w:val="fr-FR"/>
        </w:rPr>
        <w:t>si une opinion écrite doit être établie, transmet au Bureau international une copie de l</w:t>
      </w:r>
      <w:r w:rsidR="005E6A24">
        <w:rPr>
          <w:rStyle w:val="LegInsertedText"/>
          <w:rFonts w:eastAsia="SimSun"/>
          <w:lang w:val="fr-FR"/>
        </w:rPr>
        <w:t>’</w:t>
      </w:r>
      <w:r w:rsidR="00870BDC">
        <w:rPr>
          <w:rStyle w:val="LegInsertedText"/>
          <w:rFonts w:eastAsia="SimSun"/>
          <w:lang w:val="fr-FR"/>
        </w:rPr>
        <w:t>opinion écrite de l</w:t>
      </w:r>
      <w:r w:rsidR="005E6A24">
        <w:rPr>
          <w:rStyle w:val="LegInsertedText"/>
          <w:rFonts w:eastAsia="SimSun"/>
          <w:lang w:val="fr-FR"/>
        </w:rPr>
        <w:t>’</w:t>
      </w:r>
      <w:r w:rsidR="00870BDC">
        <w:rPr>
          <w:rStyle w:val="LegInsertedText"/>
          <w:rFonts w:eastAsia="SimSun"/>
          <w:lang w:val="fr-FR"/>
        </w:rPr>
        <w:t>administration chargée de l</w:t>
      </w:r>
      <w:r w:rsidR="005E6A24">
        <w:rPr>
          <w:rStyle w:val="LegInsertedText"/>
          <w:rFonts w:eastAsia="SimSun"/>
          <w:lang w:val="fr-FR"/>
        </w:rPr>
        <w:t>’</w:t>
      </w:r>
      <w:r w:rsidR="00870BDC">
        <w:rPr>
          <w:rStyle w:val="LegInsertedText"/>
          <w:rFonts w:eastAsia="SimSun"/>
          <w:lang w:val="fr-FR"/>
        </w:rPr>
        <w:t xml:space="preserve">examen préliminaire international avec une copie de chaque feuille de remplacement et </w:t>
      </w:r>
      <w:r w:rsidR="00416CEE">
        <w:rPr>
          <w:rStyle w:val="LegInsertedText"/>
          <w:rFonts w:eastAsia="SimSun"/>
          <w:lang w:val="fr-FR"/>
        </w:rPr>
        <w:t xml:space="preserve">toute </w:t>
      </w:r>
      <w:r w:rsidR="00870BDC">
        <w:rPr>
          <w:rStyle w:val="LegInsertedText"/>
          <w:rFonts w:eastAsia="SimSun"/>
          <w:lang w:val="fr-FR"/>
        </w:rPr>
        <w:t>lettre d</w:t>
      </w:r>
      <w:r w:rsidR="005E6A24">
        <w:rPr>
          <w:rStyle w:val="LegInsertedText"/>
          <w:rFonts w:eastAsia="SimSun"/>
          <w:lang w:val="fr-FR"/>
        </w:rPr>
        <w:t>’</w:t>
      </w:r>
      <w:r w:rsidR="00870BDC">
        <w:rPr>
          <w:rStyle w:val="LegInsertedText"/>
          <w:rFonts w:eastAsia="SimSun"/>
          <w:lang w:val="fr-FR"/>
        </w:rPr>
        <w:t>accompagnement visées à la règle</w:t>
      </w:r>
      <w:r w:rsidR="00581EB8">
        <w:rPr>
          <w:rStyle w:val="LegInsertedText"/>
          <w:rFonts w:eastAsia="SimSun"/>
          <w:lang w:val="fr-FR"/>
        </w:rPr>
        <w:t> </w:t>
      </w:r>
      <w:r w:rsidRPr="008B1F38">
        <w:rPr>
          <w:rStyle w:val="LegInsertedText"/>
          <w:rFonts w:eastAsia="SimSun"/>
          <w:lang w:val="fr-FR"/>
        </w:rPr>
        <w:t xml:space="preserve">66.8 </w:t>
      </w:r>
      <w:r w:rsidR="00870BDC">
        <w:rPr>
          <w:rStyle w:val="LegInsertedText"/>
          <w:rFonts w:eastAsia="SimSun"/>
          <w:lang w:val="fr-FR"/>
        </w:rPr>
        <w:t>ou contenant les arguments présentés en vertu de la règle</w:t>
      </w:r>
      <w:r w:rsidR="00581EB8">
        <w:rPr>
          <w:rStyle w:val="LegInsertedText"/>
          <w:rFonts w:eastAsia="SimSun"/>
          <w:lang w:val="fr-FR"/>
        </w:rPr>
        <w:t> </w:t>
      </w:r>
      <w:r w:rsidR="00870BDC">
        <w:rPr>
          <w:rStyle w:val="LegInsertedText"/>
          <w:rFonts w:eastAsia="SimSun"/>
          <w:lang w:val="fr-FR"/>
        </w:rPr>
        <w:t>66.3</w:t>
      </w:r>
      <w:r w:rsidRPr="008B1F38">
        <w:rPr>
          <w:rFonts w:eastAsia="SimSun"/>
          <w:lang w:val="fr-FR"/>
        </w:rPr>
        <w:t>.</w:t>
      </w:r>
    </w:p>
    <w:p w:rsidR="008B1F38" w:rsidRPr="008B1F38" w:rsidRDefault="00F80ED1" w:rsidP="00F80ED1">
      <w:pPr>
        <w:pStyle w:val="Lega"/>
        <w:rPr>
          <w:rFonts w:eastAsia="SimSun"/>
          <w:lang w:val="fr-FR"/>
        </w:rPr>
      </w:pPr>
      <w:r w:rsidRPr="008B1F38">
        <w:rPr>
          <w:rFonts w:eastAsia="SimSun"/>
          <w:lang w:val="fr-FR"/>
        </w:rPr>
        <w:t xml:space="preserve">b) </w:t>
      </w:r>
      <w:r w:rsidR="00121E28" w:rsidRPr="008B1F38">
        <w:rPr>
          <w:rFonts w:eastAsia="SimSun"/>
          <w:lang w:val="fr-FR"/>
        </w:rPr>
        <w:t xml:space="preserve">à </w:t>
      </w:r>
      <w:r w:rsidRPr="008B1F38">
        <w:rPr>
          <w:rFonts w:eastAsia="SimSun"/>
          <w:lang w:val="fr-FR"/>
        </w:rPr>
        <w:t>d)</w:t>
      </w:r>
      <w:r w:rsidR="00B34D5F">
        <w:rPr>
          <w:rFonts w:eastAsia="SimSun"/>
          <w:lang w:val="fr-FR"/>
        </w:rPr>
        <w:t xml:space="preserve"> </w:t>
      </w:r>
      <w:r w:rsidRPr="008B1F38">
        <w:rPr>
          <w:rFonts w:eastAsia="SimSun"/>
          <w:lang w:val="fr-FR"/>
        </w:rPr>
        <w:t>[</w:t>
      </w:r>
      <w:r w:rsidR="00121E28" w:rsidRPr="008B1F38">
        <w:rPr>
          <w:rFonts w:eastAsia="SimSun"/>
          <w:lang w:val="fr-FR"/>
        </w:rPr>
        <w:t>Sans changement</w:t>
      </w:r>
      <w:r w:rsidRPr="008B1F38">
        <w:rPr>
          <w:rFonts w:eastAsia="SimSun"/>
          <w:lang w:val="fr-FR"/>
        </w:rPr>
        <w:t>]</w:t>
      </w:r>
    </w:p>
    <w:p w:rsidR="008B1F38" w:rsidRPr="008B1F38" w:rsidRDefault="008B1F38" w:rsidP="00F80ED1">
      <w:pPr>
        <w:pStyle w:val="Default"/>
        <w:spacing w:before="118"/>
        <w:ind w:left="360" w:firstLine="349"/>
        <w:rPr>
          <w:rFonts w:ascii="Arial" w:eastAsia="SimSun" w:hAnsi="Arial" w:cs="Arial"/>
          <w:color w:val="auto"/>
          <w:sz w:val="22"/>
          <w:szCs w:val="20"/>
          <w:lang w:val="fr-FR"/>
        </w:rPr>
      </w:pPr>
    </w:p>
    <w:p w:rsidR="002928D3" w:rsidRPr="008B1F38" w:rsidRDefault="004B1500" w:rsidP="00A2598E">
      <w:pPr>
        <w:pStyle w:val="Endofdocument-Annex"/>
        <w:rPr>
          <w:lang w:val="fr-FR"/>
        </w:rPr>
      </w:pPr>
      <w:r w:rsidRPr="008B1F38">
        <w:rPr>
          <w:lang w:val="fr-FR"/>
        </w:rPr>
        <w:t>[</w:t>
      </w:r>
      <w:r w:rsidR="00121E28" w:rsidRPr="008B1F38">
        <w:rPr>
          <w:lang w:val="fr-FR"/>
        </w:rPr>
        <w:t>Fin de l</w:t>
      </w:r>
      <w:r w:rsidR="005E6A24">
        <w:rPr>
          <w:lang w:val="fr-FR"/>
        </w:rPr>
        <w:t>’</w:t>
      </w:r>
      <w:r w:rsidR="00121E28" w:rsidRPr="008B1F38">
        <w:rPr>
          <w:lang w:val="fr-FR"/>
        </w:rPr>
        <w:t>annexe</w:t>
      </w:r>
      <w:r w:rsidR="00581EB8">
        <w:rPr>
          <w:lang w:val="fr-FR"/>
        </w:rPr>
        <w:t> </w:t>
      </w:r>
      <w:r w:rsidR="00121E28" w:rsidRPr="008B1F38">
        <w:rPr>
          <w:lang w:val="fr-FR"/>
        </w:rPr>
        <w:t>II et du document</w:t>
      </w:r>
      <w:r w:rsidRPr="008B1F38">
        <w:rPr>
          <w:lang w:val="fr-FR"/>
        </w:rPr>
        <w:t>]</w:t>
      </w:r>
      <w:bookmarkEnd w:id="23"/>
    </w:p>
    <w:sectPr w:rsidR="002928D3" w:rsidRPr="008B1F38" w:rsidSect="004B1500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38" w:rsidRDefault="008B1F38">
      <w:r>
        <w:separator/>
      </w:r>
    </w:p>
  </w:endnote>
  <w:endnote w:type="continuationSeparator" w:id="0">
    <w:p w:rsidR="008B1F38" w:rsidRDefault="008B1F38" w:rsidP="003B38C1">
      <w:r>
        <w:separator/>
      </w:r>
    </w:p>
    <w:p w:rsidR="008B1F38" w:rsidRPr="003B38C1" w:rsidRDefault="008B1F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B1F38" w:rsidRPr="003B38C1" w:rsidRDefault="008B1F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B8" w:rsidRDefault="00581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B8" w:rsidRDefault="00581E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B8" w:rsidRDefault="00581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38" w:rsidRDefault="008B1F38">
      <w:r>
        <w:separator/>
      </w:r>
    </w:p>
  </w:footnote>
  <w:footnote w:type="continuationSeparator" w:id="0">
    <w:p w:rsidR="008B1F38" w:rsidRDefault="008B1F38" w:rsidP="008B60B2">
      <w:r>
        <w:separator/>
      </w:r>
    </w:p>
    <w:p w:rsidR="008B1F38" w:rsidRPr="00ED77FB" w:rsidRDefault="008B1F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B1F38" w:rsidRPr="00ED77FB" w:rsidRDefault="008B1F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B1F38" w:rsidRPr="00A2598E" w:rsidRDefault="008B1F38" w:rsidP="00F80ED1">
      <w:pPr>
        <w:pStyle w:val="FootnoteText"/>
        <w:tabs>
          <w:tab w:val="left" w:pos="567"/>
        </w:tabs>
        <w:rPr>
          <w:lang w:val="fr-FR"/>
        </w:rPr>
      </w:pPr>
      <w:r w:rsidRPr="008B1F38">
        <w:rPr>
          <w:rStyle w:val="FootnoteReference"/>
          <w:lang w:val="fr-FR"/>
        </w:rPr>
        <w:footnoteRef/>
      </w:r>
      <w:r w:rsidRPr="008B1F38">
        <w:rPr>
          <w:lang w:val="fr-FR"/>
        </w:rPr>
        <w:t xml:space="preserve"> </w:t>
      </w:r>
      <w:r w:rsidRPr="008B1F38">
        <w:rPr>
          <w:lang w:val="fr-FR"/>
        </w:rPr>
        <w:tab/>
      </w:r>
      <w:r w:rsidRPr="00A2598E">
        <w:rPr>
          <w:lang w:val="fr-FR"/>
        </w:rPr>
        <w:t>Le texte qu</w:t>
      </w:r>
      <w:r w:rsidR="000F55E6" w:rsidRPr="00A2598E">
        <w:rPr>
          <w:lang w:val="fr-FR"/>
        </w:rPr>
        <w:t>’</w:t>
      </w:r>
      <w:r w:rsidRPr="00A2598E">
        <w:rPr>
          <w:lang w:val="fr-FR"/>
        </w:rPr>
        <w:t>il est proposé d</w:t>
      </w:r>
      <w:r w:rsidR="000F55E6" w:rsidRPr="00A2598E">
        <w:rPr>
          <w:lang w:val="fr-FR"/>
        </w:rPr>
        <w:t>’</w:t>
      </w:r>
      <w:r w:rsidRPr="00A2598E">
        <w:rPr>
          <w:lang w:val="fr-FR"/>
        </w:rPr>
        <w:t>ajouter est souligné et le texte qu</w:t>
      </w:r>
      <w:r w:rsidR="000F55E6" w:rsidRPr="00A2598E">
        <w:rPr>
          <w:lang w:val="fr-FR"/>
        </w:rPr>
        <w:t>’</w:t>
      </w:r>
      <w:r w:rsidRPr="00A2598E">
        <w:rPr>
          <w:lang w:val="fr-FR"/>
        </w:rPr>
        <w:t>il est proposé de supprimer est biffé</w:t>
      </w:r>
      <w:r w:rsidR="00B34D5F" w:rsidRPr="00A2598E">
        <w:rPr>
          <w:lang w:val="fr-FR"/>
        </w:rPr>
        <w:t xml:space="preserve">.  </w:t>
      </w:r>
    </w:p>
  </w:footnote>
  <w:footnote w:id="3">
    <w:p w:rsidR="00B34D5F" w:rsidRPr="00A2598E" w:rsidRDefault="00B34D5F" w:rsidP="00F80ED1">
      <w:pPr>
        <w:pStyle w:val="FootnoteText"/>
        <w:tabs>
          <w:tab w:val="left" w:pos="567"/>
        </w:tabs>
        <w:rPr>
          <w:lang w:val="fr-FR"/>
        </w:rPr>
      </w:pPr>
      <w:r w:rsidRPr="008B1F38">
        <w:rPr>
          <w:rStyle w:val="FootnoteReference"/>
          <w:lang w:val="fr-FR"/>
        </w:rPr>
        <w:footnoteRef/>
      </w:r>
      <w:r w:rsidRPr="008B1F38">
        <w:rPr>
          <w:lang w:val="fr-FR"/>
        </w:rPr>
        <w:t xml:space="preserve"> </w:t>
      </w:r>
      <w:r w:rsidRPr="008B1F38">
        <w:rPr>
          <w:lang w:val="fr-FR"/>
        </w:rPr>
        <w:tab/>
      </w:r>
      <w:r w:rsidRPr="00A2598E">
        <w:rPr>
          <w:lang w:val="fr-FR"/>
        </w:rPr>
        <w:t xml:space="preserve">Le texte qu’il est proposé d’ajouter est souligné et le texte qu’il est proposé de supprimer est biffé.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B8" w:rsidRDefault="00581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F38" w:rsidRDefault="008B1F38" w:rsidP="00477D6B">
    <w:pPr>
      <w:jc w:val="right"/>
    </w:pPr>
    <w:r>
      <w:t>PCT/WG/12/12</w:t>
    </w:r>
  </w:p>
  <w:p w:rsidR="008B1F38" w:rsidRDefault="008B1F38" w:rsidP="00477D6B">
    <w:pPr>
      <w:jc w:val="right"/>
    </w:pPr>
    <w:proofErr w:type="gramStart"/>
    <w:r>
      <w:t>page</w:t>
    </w:r>
    <w:proofErr w:type="gramEnd"/>
    <w:r w:rsidR="00581EB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D4FED">
      <w:rPr>
        <w:noProof/>
      </w:rPr>
      <w:t>5</w:t>
    </w:r>
    <w:r>
      <w:fldChar w:fldCharType="end"/>
    </w:r>
  </w:p>
  <w:p w:rsidR="008B1F38" w:rsidRDefault="008B1F38" w:rsidP="00477D6B">
    <w:pPr>
      <w:jc w:val="right"/>
    </w:pPr>
  </w:p>
  <w:p w:rsidR="008B1F38" w:rsidRDefault="008B1F3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F38" w:rsidRDefault="008B1F38" w:rsidP="008B1F38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F38" w:rsidRPr="008B1F38" w:rsidRDefault="008B1F38" w:rsidP="00477D6B">
    <w:pPr>
      <w:jc w:val="right"/>
      <w:rPr>
        <w:lang w:val="fr-FR"/>
      </w:rPr>
    </w:pPr>
    <w:proofErr w:type="spellStart"/>
    <w:r w:rsidRPr="008B1F38">
      <w:rPr>
        <w:lang w:val="fr-FR"/>
      </w:rPr>
      <w:t>PCT</w:t>
    </w:r>
    <w:proofErr w:type="spellEnd"/>
    <w:r w:rsidRPr="008B1F38">
      <w:rPr>
        <w:lang w:val="fr-FR"/>
      </w:rPr>
      <w:t>/</w:t>
    </w:r>
    <w:proofErr w:type="spellStart"/>
    <w:r w:rsidRPr="008B1F38">
      <w:rPr>
        <w:lang w:val="fr-FR"/>
      </w:rPr>
      <w:t>WG</w:t>
    </w:r>
    <w:proofErr w:type="spellEnd"/>
    <w:r w:rsidRPr="008B1F38">
      <w:rPr>
        <w:lang w:val="fr-FR"/>
      </w:rPr>
      <w:t>/12/12</w:t>
    </w:r>
  </w:p>
  <w:p w:rsidR="008B1F38" w:rsidRPr="008B1F38" w:rsidRDefault="008B1F38" w:rsidP="00477D6B">
    <w:pPr>
      <w:jc w:val="right"/>
      <w:rPr>
        <w:lang w:val="fr-FR"/>
      </w:rPr>
    </w:pPr>
    <w:r w:rsidRPr="008B1F38">
      <w:rPr>
        <w:lang w:val="fr-FR"/>
      </w:rPr>
      <w:t xml:space="preserve">Annexe I, page </w:t>
    </w:r>
    <w:r w:rsidRPr="008B1F38">
      <w:rPr>
        <w:lang w:val="fr-FR"/>
      </w:rPr>
      <w:fldChar w:fldCharType="begin"/>
    </w:r>
    <w:r w:rsidRPr="008B1F38">
      <w:rPr>
        <w:lang w:val="fr-FR"/>
      </w:rPr>
      <w:instrText xml:space="preserve"> PAGE   \* MERGEFORMAT </w:instrText>
    </w:r>
    <w:r w:rsidRPr="008B1F38">
      <w:rPr>
        <w:lang w:val="fr-FR"/>
      </w:rPr>
      <w:fldChar w:fldCharType="separate"/>
    </w:r>
    <w:r w:rsidR="00BD4FED">
      <w:rPr>
        <w:noProof/>
        <w:lang w:val="fr-FR"/>
      </w:rPr>
      <w:t>3</w:t>
    </w:r>
    <w:r w:rsidRPr="008B1F38">
      <w:rPr>
        <w:lang w:val="fr-FR"/>
      </w:rPr>
      <w:fldChar w:fldCharType="end"/>
    </w:r>
    <w:r w:rsidRPr="008B1F38">
      <w:rPr>
        <w:lang w:val="fr-FR"/>
      </w:rPr>
      <w:t xml:space="preserve"> </w:t>
    </w:r>
  </w:p>
  <w:p w:rsidR="008B1F38" w:rsidRPr="008B1F38" w:rsidRDefault="008B1F38" w:rsidP="00477D6B">
    <w:pPr>
      <w:jc w:val="right"/>
      <w:rPr>
        <w:lang w:val="fr-FR"/>
      </w:rPr>
    </w:pPr>
  </w:p>
  <w:p w:rsidR="008B1F38" w:rsidRPr="008B1F38" w:rsidRDefault="008B1F38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F38" w:rsidRDefault="008B1F38" w:rsidP="008B1F38">
    <w:pPr>
      <w:jc w:val="right"/>
    </w:pPr>
    <w:r>
      <w:tab/>
    </w:r>
    <w:r>
      <w:tab/>
      <w:t>PCT/WG/12/12</w:t>
    </w:r>
  </w:p>
  <w:p w:rsidR="008B1F38" w:rsidRDefault="008B1F38" w:rsidP="008B1F38">
    <w:pPr>
      <w:jc w:val="right"/>
    </w:pPr>
  </w:p>
  <w:p w:rsidR="008B1F38" w:rsidRDefault="008B1F38" w:rsidP="008B1F38">
    <w:pPr>
      <w:jc w:val="right"/>
    </w:pPr>
  </w:p>
  <w:p w:rsidR="008B1F38" w:rsidRDefault="008B1F38" w:rsidP="008B1F38">
    <w:pPr>
      <w:pStyle w:val="Header"/>
      <w:tabs>
        <w:tab w:val="left" w:pos="8655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F38" w:rsidRPr="004B1500" w:rsidRDefault="008B1F38" w:rsidP="00477D6B">
    <w:pPr>
      <w:jc w:val="right"/>
      <w:rPr>
        <w:lang w:val="fr-FR"/>
      </w:rPr>
    </w:pPr>
    <w:bookmarkStart w:id="25" w:name="Code2"/>
    <w:bookmarkEnd w:id="25"/>
    <w:proofErr w:type="spellStart"/>
    <w:r w:rsidRPr="004B1500">
      <w:rPr>
        <w:lang w:val="fr-FR"/>
      </w:rPr>
      <w:t>PCT</w:t>
    </w:r>
    <w:proofErr w:type="spellEnd"/>
    <w:r w:rsidRPr="004B1500">
      <w:rPr>
        <w:lang w:val="fr-FR"/>
      </w:rPr>
      <w:t>/</w:t>
    </w:r>
    <w:proofErr w:type="spellStart"/>
    <w:r w:rsidRPr="004B1500">
      <w:rPr>
        <w:lang w:val="fr-FR"/>
      </w:rPr>
      <w:t>WG</w:t>
    </w:r>
    <w:proofErr w:type="spellEnd"/>
    <w:r w:rsidRPr="004B1500">
      <w:rPr>
        <w:lang w:val="fr-FR"/>
      </w:rPr>
      <w:t>/12/12</w:t>
    </w:r>
  </w:p>
  <w:p w:rsidR="008B1F38" w:rsidRPr="004B1500" w:rsidRDefault="008B1F38" w:rsidP="00477D6B">
    <w:pPr>
      <w:jc w:val="right"/>
      <w:rPr>
        <w:lang w:val="fr-FR"/>
      </w:rPr>
    </w:pPr>
    <w:r w:rsidRPr="004B1500">
      <w:rPr>
        <w:lang w:val="fr-FR"/>
      </w:rPr>
      <w:t>Annex</w:t>
    </w:r>
    <w:r>
      <w:rPr>
        <w:lang w:val="fr-FR"/>
      </w:rPr>
      <w:t>e</w:t>
    </w:r>
    <w:r w:rsidRPr="004B1500">
      <w:rPr>
        <w:lang w:val="fr-FR"/>
      </w:rPr>
      <w:t xml:space="preserve"> II, page </w:t>
    </w:r>
    <w:r>
      <w:fldChar w:fldCharType="begin"/>
    </w:r>
    <w:r w:rsidRPr="004B1500">
      <w:rPr>
        <w:lang w:val="fr-FR"/>
      </w:rPr>
      <w:instrText xml:space="preserve"> PAGE  \* MERGEFORMAT </w:instrText>
    </w:r>
    <w:r>
      <w:fldChar w:fldCharType="separate"/>
    </w:r>
    <w:r w:rsidR="00BD4FED">
      <w:rPr>
        <w:noProof/>
        <w:lang w:val="fr-FR"/>
      </w:rPr>
      <w:t>2</w:t>
    </w:r>
    <w:r>
      <w:fldChar w:fldCharType="end"/>
    </w:r>
  </w:p>
  <w:p w:rsidR="008B1F38" w:rsidRPr="004B1500" w:rsidRDefault="008B1F38" w:rsidP="00477D6B">
    <w:pPr>
      <w:jc w:val="right"/>
      <w:rPr>
        <w:lang w:val="fr-FR"/>
      </w:rPr>
    </w:pPr>
  </w:p>
  <w:p w:rsidR="008B1F38" w:rsidRPr="004B1500" w:rsidRDefault="008B1F38" w:rsidP="00477D6B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338984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SimSu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UPOV_Beta|UPOVOld"/>
    <w:docVar w:name="TermBaseURL" w:val="empty"/>
    <w:docVar w:name="TextBases" w:val="TextBase TMs\WorkspaceFTS\Brands, Designs &amp; DN\Brands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48131D"/>
    <w:rsid w:val="00001C22"/>
    <w:rsid w:val="0001026C"/>
    <w:rsid w:val="00014D92"/>
    <w:rsid w:val="000156EB"/>
    <w:rsid w:val="00043CAA"/>
    <w:rsid w:val="00057AE0"/>
    <w:rsid w:val="00060ED7"/>
    <w:rsid w:val="00075432"/>
    <w:rsid w:val="000856C8"/>
    <w:rsid w:val="000901A3"/>
    <w:rsid w:val="000968ED"/>
    <w:rsid w:val="000B1D33"/>
    <w:rsid w:val="000C6CD0"/>
    <w:rsid w:val="000F1A17"/>
    <w:rsid w:val="000F55E6"/>
    <w:rsid w:val="000F5E56"/>
    <w:rsid w:val="00121E28"/>
    <w:rsid w:val="001344E7"/>
    <w:rsid w:val="001362EE"/>
    <w:rsid w:val="0014164B"/>
    <w:rsid w:val="001523B9"/>
    <w:rsid w:val="00153BE3"/>
    <w:rsid w:val="001647D5"/>
    <w:rsid w:val="00164EEC"/>
    <w:rsid w:val="00170108"/>
    <w:rsid w:val="001832A6"/>
    <w:rsid w:val="001A56A0"/>
    <w:rsid w:val="001B5535"/>
    <w:rsid w:val="001B5F73"/>
    <w:rsid w:val="001B6286"/>
    <w:rsid w:val="001D405C"/>
    <w:rsid w:val="001F5412"/>
    <w:rsid w:val="0021217E"/>
    <w:rsid w:val="0024640A"/>
    <w:rsid w:val="0025160E"/>
    <w:rsid w:val="002574BE"/>
    <w:rsid w:val="002634C4"/>
    <w:rsid w:val="002727B3"/>
    <w:rsid w:val="002928D3"/>
    <w:rsid w:val="002A6069"/>
    <w:rsid w:val="002D6DFB"/>
    <w:rsid w:val="002F1FE6"/>
    <w:rsid w:val="002F4E68"/>
    <w:rsid w:val="00312F7F"/>
    <w:rsid w:val="00335BCF"/>
    <w:rsid w:val="00337D73"/>
    <w:rsid w:val="0034317D"/>
    <w:rsid w:val="0034547E"/>
    <w:rsid w:val="00353FA9"/>
    <w:rsid w:val="00361450"/>
    <w:rsid w:val="003673CF"/>
    <w:rsid w:val="00380E5F"/>
    <w:rsid w:val="00381E57"/>
    <w:rsid w:val="00383B45"/>
    <w:rsid w:val="003845C1"/>
    <w:rsid w:val="003A6F89"/>
    <w:rsid w:val="003B34C3"/>
    <w:rsid w:val="003B38C1"/>
    <w:rsid w:val="003C3C22"/>
    <w:rsid w:val="003D5922"/>
    <w:rsid w:val="00416CEE"/>
    <w:rsid w:val="00423E3E"/>
    <w:rsid w:val="00427AF4"/>
    <w:rsid w:val="00435B85"/>
    <w:rsid w:val="00456A2C"/>
    <w:rsid w:val="0046207C"/>
    <w:rsid w:val="004647DA"/>
    <w:rsid w:val="00465C0E"/>
    <w:rsid w:val="00474062"/>
    <w:rsid w:val="00477D6B"/>
    <w:rsid w:val="0048131D"/>
    <w:rsid w:val="004B1500"/>
    <w:rsid w:val="004B162C"/>
    <w:rsid w:val="004F7F82"/>
    <w:rsid w:val="005019FF"/>
    <w:rsid w:val="0053057A"/>
    <w:rsid w:val="005531E0"/>
    <w:rsid w:val="0055507A"/>
    <w:rsid w:val="00560A29"/>
    <w:rsid w:val="00581EB8"/>
    <w:rsid w:val="005A2D98"/>
    <w:rsid w:val="005B0572"/>
    <w:rsid w:val="005C6649"/>
    <w:rsid w:val="005E6A24"/>
    <w:rsid w:val="005F4EBF"/>
    <w:rsid w:val="00605827"/>
    <w:rsid w:val="00611059"/>
    <w:rsid w:val="00633093"/>
    <w:rsid w:val="00643B25"/>
    <w:rsid w:val="00646050"/>
    <w:rsid w:val="006713CA"/>
    <w:rsid w:val="00676760"/>
    <w:rsid w:val="00676C5C"/>
    <w:rsid w:val="006943BF"/>
    <w:rsid w:val="006A44BF"/>
    <w:rsid w:val="006C537A"/>
    <w:rsid w:val="006E4C17"/>
    <w:rsid w:val="007300C3"/>
    <w:rsid w:val="00785EFA"/>
    <w:rsid w:val="00791FFB"/>
    <w:rsid w:val="007D1613"/>
    <w:rsid w:val="007E4C0E"/>
    <w:rsid w:val="007E5648"/>
    <w:rsid w:val="007F6601"/>
    <w:rsid w:val="00803405"/>
    <w:rsid w:val="008140C4"/>
    <w:rsid w:val="00870BDC"/>
    <w:rsid w:val="00883A23"/>
    <w:rsid w:val="008A134B"/>
    <w:rsid w:val="008A6F42"/>
    <w:rsid w:val="008B1F38"/>
    <w:rsid w:val="008B2CC1"/>
    <w:rsid w:val="008B60B2"/>
    <w:rsid w:val="008D6B11"/>
    <w:rsid w:val="0090731E"/>
    <w:rsid w:val="00916EE2"/>
    <w:rsid w:val="009174E1"/>
    <w:rsid w:val="00950B82"/>
    <w:rsid w:val="0096163E"/>
    <w:rsid w:val="00966A22"/>
    <w:rsid w:val="0096722F"/>
    <w:rsid w:val="00980843"/>
    <w:rsid w:val="009A6610"/>
    <w:rsid w:val="009B4935"/>
    <w:rsid w:val="009C6249"/>
    <w:rsid w:val="009E0570"/>
    <w:rsid w:val="009E2791"/>
    <w:rsid w:val="009E3F6F"/>
    <w:rsid w:val="009F499F"/>
    <w:rsid w:val="009F58FE"/>
    <w:rsid w:val="00A24BDE"/>
    <w:rsid w:val="00A2598E"/>
    <w:rsid w:val="00A37342"/>
    <w:rsid w:val="00A40C47"/>
    <w:rsid w:val="00A42DAF"/>
    <w:rsid w:val="00A45BD8"/>
    <w:rsid w:val="00A8629C"/>
    <w:rsid w:val="00A869B7"/>
    <w:rsid w:val="00AC205C"/>
    <w:rsid w:val="00AC3163"/>
    <w:rsid w:val="00AF0A6B"/>
    <w:rsid w:val="00B05A69"/>
    <w:rsid w:val="00B17530"/>
    <w:rsid w:val="00B34D5F"/>
    <w:rsid w:val="00B65F73"/>
    <w:rsid w:val="00B9734B"/>
    <w:rsid w:val="00BA30E2"/>
    <w:rsid w:val="00BB14BE"/>
    <w:rsid w:val="00BB338F"/>
    <w:rsid w:val="00BB7342"/>
    <w:rsid w:val="00BC0A4A"/>
    <w:rsid w:val="00BD4FED"/>
    <w:rsid w:val="00C11BFE"/>
    <w:rsid w:val="00C15861"/>
    <w:rsid w:val="00C5068F"/>
    <w:rsid w:val="00C52FCB"/>
    <w:rsid w:val="00C80339"/>
    <w:rsid w:val="00C86D74"/>
    <w:rsid w:val="00C9014D"/>
    <w:rsid w:val="00CB1C99"/>
    <w:rsid w:val="00CD04F1"/>
    <w:rsid w:val="00CD18F2"/>
    <w:rsid w:val="00CE7385"/>
    <w:rsid w:val="00D45252"/>
    <w:rsid w:val="00D45357"/>
    <w:rsid w:val="00D455A0"/>
    <w:rsid w:val="00D71797"/>
    <w:rsid w:val="00D71B4D"/>
    <w:rsid w:val="00D93D55"/>
    <w:rsid w:val="00DA58F3"/>
    <w:rsid w:val="00DD0241"/>
    <w:rsid w:val="00DE646C"/>
    <w:rsid w:val="00E15015"/>
    <w:rsid w:val="00E21802"/>
    <w:rsid w:val="00E335FE"/>
    <w:rsid w:val="00E47D73"/>
    <w:rsid w:val="00E737D9"/>
    <w:rsid w:val="00E77B30"/>
    <w:rsid w:val="00EA7D6E"/>
    <w:rsid w:val="00EC4E49"/>
    <w:rsid w:val="00ED77FB"/>
    <w:rsid w:val="00EE1E8C"/>
    <w:rsid w:val="00EE45FA"/>
    <w:rsid w:val="00F45654"/>
    <w:rsid w:val="00F53F10"/>
    <w:rsid w:val="00F66152"/>
    <w:rsid w:val="00F6722C"/>
    <w:rsid w:val="00F7393F"/>
    <w:rsid w:val="00F80ED1"/>
    <w:rsid w:val="00F954C5"/>
    <w:rsid w:val="00F960DD"/>
    <w:rsid w:val="00FD3477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54FD3EB"/>
  <w15:docId w15:val="{2414B0D1-F04B-474B-B9AE-592C5E3E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F80ED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80ED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80ED1"/>
    <w:rPr>
      <w:rFonts w:ascii="Arial" w:eastAsia="SimSun" w:hAnsi="Arial" w:cs="Arial"/>
      <w:sz w:val="18"/>
      <w:lang w:val="en-US" w:eastAsia="zh-CN"/>
    </w:rPr>
  </w:style>
  <w:style w:type="paragraph" w:customStyle="1" w:styleId="Default">
    <w:name w:val="Default"/>
    <w:basedOn w:val="Normal"/>
    <w:uiPriority w:val="99"/>
    <w:rsid w:val="00F80ED1"/>
    <w:pPr>
      <w:autoSpaceDE w:val="0"/>
      <w:autoSpaceDN w:val="0"/>
    </w:pPr>
    <w:rPr>
      <w:rFonts w:ascii="Times New Roman" w:eastAsiaTheme="minorEastAsia" w:hAnsi="Times New Roman" w:cs="Times New Roman"/>
      <w:color w:val="000000"/>
      <w:sz w:val="24"/>
      <w:szCs w:val="24"/>
      <w:lang w:val="en-SG"/>
    </w:rPr>
  </w:style>
  <w:style w:type="character" w:customStyle="1" w:styleId="FootnoteTextChar">
    <w:name w:val="Footnote Text Char"/>
    <w:basedOn w:val="DefaultParagraphFont"/>
    <w:link w:val="FootnoteText"/>
    <w:rsid w:val="00F80ED1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nhideWhenUsed/>
    <w:rsid w:val="00F80ED1"/>
    <w:rPr>
      <w:vertAlign w:val="superscript"/>
    </w:rPr>
  </w:style>
  <w:style w:type="paragraph" w:customStyle="1" w:styleId="LegTitle">
    <w:name w:val="Leg # Title"/>
    <w:basedOn w:val="Normal"/>
    <w:next w:val="Normal"/>
    <w:rsid w:val="00F80ED1"/>
    <w:pPr>
      <w:keepNext/>
      <w:keepLines/>
      <w:pageBreakBefore/>
      <w:spacing w:before="240" w:after="480" w:line="480" w:lineRule="auto"/>
      <w:jc w:val="center"/>
    </w:pPr>
    <w:rPr>
      <w:rFonts w:eastAsia="Arial Unicode MS" w:cs="Times New Roman"/>
      <w:b/>
      <w:snapToGrid w:val="0"/>
      <w:lang w:eastAsia="en-US"/>
    </w:rPr>
  </w:style>
  <w:style w:type="character" w:customStyle="1" w:styleId="LegInsertedText">
    <w:name w:val="Leg InsertedText"/>
    <w:basedOn w:val="DefaultParagraphFont"/>
    <w:rsid w:val="00F80ED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BD4FED"/>
    <w:pPr>
      <w:tabs>
        <w:tab w:val="right" w:leader="dot" w:pos="9345"/>
      </w:tabs>
      <w:spacing w:before="240" w:after="100"/>
      <w:ind w:left="993" w:right="567" w:hanging="993"/>
      <w:jc w:val="both"/>
    </w:pPr>
    <w:rPr>
      <w:noProof/>
      <w:lang w:val="fr-FR"/>
    </w:rPr>
  </w:style>
  <w:style w:type="paragraph" w:styleId="TOC2">
    <w:name w:val="toc 2"/>
    <w:basedOn w:val="Normal"/>
    <w:next w:val="Normal"/>
    <w:autoRedefine/>
    <w:uiPriority w:val="39"/>
    <w:qFormat/>
    <w:rsid w:val="00F80ED1"/>
    <w:pPr>
      <w:tabs>
        <w:tab w:val="left" w:pos="993"/>
        <w:tab w:val="right" w:leader="dot" w:pos="9345"/>
      </w:tabs>
      <w:spacing w:after="100"/>
      <w:ind w:left="284" w:firstLine="227"/>
      <w:mirrorIndents/>
    </w:pPr>
  </w:style>
  <w:style w:type="character" w:styleId="Hyperlink">
    <w:name w:val="Hyperlink"/>
    <w:basedOn w:val="DefaultParagraphFont"/>
    <w:uiPriority w:val="99"/>
    <w:unhideWhenUsed/>
    <w:rsid w:val="00F80ED1"/>
    <w:rPr>
      <w:color w:val="0000FF" w:themeColor="hyperlink"/>
      <w:u w:val="single"/>
    </w:rPr>
  </w:style>
  <w:style w:type="paragraph" w:customStyle="1" w:styleId="LegSubRule">
    <w:name w:val="Leg SubRule #"/>
    <w:basedOn w:val="Normal"/>
    <w:rsid w:val="00F80ED1"/>
    <w:pPr>
      <w:keepNext/>
      <w:keepLines/>
      <w:tabs>
        <w:tab w:val="left" w:pos="510"/>
      </w:tabs>
      <w:snapToGrid w:val="0"/>
      <w:spacing w:before="119" w:after="360" w:line="480" w:lineRule="auto"/>
      <w:ind w:left="533" w:hanging="533"/>
      <w:jc w:val="both"/>
    </w:pPr>
    <w:rPr>
      <w:rFonts w:eastAsia="Times New Roman" w:cs="Times New Roman"/>
      <w:snapToGrid w:val="0"/>
      <w:lang w:eastAsia="en-US"/>
    </w:rPr>
  </w:style>
  <w:style w:type="paragraph" w:customStyle="1" w:styleId="Lega">
    <w:name w:val="Leg (a)"/>
    <w:basedOn w:val="Normal"/>
    <w:rsid w:val="00F80ED1"/>
    <w:pPr>
      <w:tabs>
        <w:tab w:val="left" w:pos="454"/>
      </w:tabs>
      <w:snapToGrid w:val="0"/>
      <w:spacing w:before="119" w:after="360" w:line="480" w:lineRule="auto"/>
    </w:pPr>
    <w:rPr>
      <w:rFonts w:eastAsia="Times New Roman" w:cs="Times New Roman"/>
      <w:snapToGrid w:val="0"/>
      <w:lang w:eastAsia="en-US"/>
    </w:rPr>
  </w:style>
  <w:style w:type="character" w:customStyle="1" w:styleId="LegInsertedText0">
    <w:name w:val="Leg Inserted Text"/>
    <w:basedOn w:val="DefaultParagraphFont"/>
    <w:uiPriority w:val="1"/>
    <w:qFormat/>
    <w:rsid w:val="004B1500"/>
    <w:rPr>
      <w:color w:val="0000FF"/>
      <w:u w:val="single"/>
    </w:rPr>
  </w:style>
  <w:style w:type="character" w:customStyle="1" w:styleId="LegDeletedText">
    <w:name w:val="Leg Deleted Text"/>
    <w:basedOn w:val="DefaultParagraphFont"/>
    <w:uiPriority w:val="1"/>
    <w:qFormat/>
    <w:rsid w:val="00F80ED1"/>
    <w:rPr>
      <w:strike/>
      <w:color w:val="FF0000"/>
    </w:rPr>
  </w:style>
  <w:style w:type="paragraph" w:styleId="TOCHeading">
    <w:name w:val="TOC Heading"/>
    <w:basedOn w:val="Heading1"/>
    <w:next w:val="Normal"/>
    <w:uiPriority w:val="39"/>
    <w:unhideWhenUsed/>
    <w:qFormat/>
    <w:rsid w:val="0067676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56EA1-1F91-411A-A528-48C4E9E6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2594</Words>
  <Characters>15944</Characters>
  <Application>Microsoft Office Word</Application>
  <DocSecurity>0</DocSecurity>
  <Lines>132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PCT/WG/12/12</vt:lpstr>
      <vt:lpstr>PCT/WG/12/12</vt:lpstr>
    </vt:vector>
  </TitlesOfParts>
  <Company>WIPO</Company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PCT/WG/12/12</dc:title>
  <dc:creator>WIPO</dc:creator>
  <cp:keywords/>
  <cp:lastModifiedBy>COUTURE Sébastien</cp:lastModifiedBy>
  <cp:revision>3</cp:revision>
  <cp:lastPrinted>2019-05-07T12:30:00Z</cp:lastPrinted>
  <dcterms:created xsi:type="dcterms:W3CDTF">2019-05-15T06:40:00Z</dcterms:created>
  <dcterms:modified xsi:type="dcterms:W3CDTF">2019-05-15T06:50:00Z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