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CB09A5" w:rsidRPr="008B2CC1" w:rsidTr="00A84E45">
        <w:tc>
          <w:tcPr>
            <w:tcW w:w="4513" w:type="dxa"/>
            <w:tcBorders>
              <w:bottom w:val="single" w:sz="4" w:space="0" w:color="auto"/>
            </w:tcBorders>
            <w:tcMar>
              <w:bottom w:w="170" w:type="dxa"/>
            </w:tcMar>
          </w:tcPr>
          <w:p w:rsidR="00CB09A5" w:rsidRPr="008B2CC1" w:rsidRDefault="00CB09A5" w:rsidP="00A84E45">
            <w:bookmarkStart w:id="0" w:name="TitleOfDoc"/>
            <w:bookmarkEnd w:id="0"/>
          </w:p>
        </w:tc>
        <w:tc>
          <w:tcPr>
            <w:tcW w:w="4337" w:type="dxa"/>
            <w:tcBorders>
              <w:bottom w:val="single" w:sz="4" w:space="0" w:color="auto"/>
            </w:tcBorders>
            <w:tcMar>
              <w:left w:w="0" w:type="dxa"/>
              <w:right w:w="0" w:type="dxa"/>
            </w:tcMar>
          </w:tcPr>
          <w:p w:rsidR="00CB09A5" w:rsidRPr="008B2CC1" w:rsidRDefault="00CB09A5" w:rsidP="00A84E45">
            <w:r>
              <w:rPr>
                <w:noProof/>
                <w:lang w:eastAsia="en-US"/>
              </w:rPr>
              <w:drawing>
                <wp:inline distT="0" distB="0" distL="0" distR="0" wp14:anchorId="7C69E271" wp14:editId="05210450">
                  <wp:extent cx="1857375" cy="1323975"/>
                  <wp:effectExtent l="0" t="0" r="9525" b="9525"/>
                  <wp:docPr id="1" name="Picture 1" descr="WIPO-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CB09A5" w:rsidRPr="008B2CC1" w:rsidRDefault="00CB09A5" w:rsidP="00A84E45">
            <w:pPr>
              <w:jc w:val="right"/>
            </w:pPr>
            <w:r>
              <w:rPr>
                <w:b/>
                <w:sz w:val="40"/>
                <w:szCs w:val="40"/>
              </w:rPr>
              <w:t>F</w:t>
            </w:r>
          </w:p>
        </w:tc>
      </w:tr>
      <w:tr w:rsidR="00CB09A5" w:rsidRPr="001832A6" w:rsidTr="00A84E45">
        <w:trPr>
          <w:trHeight w:hRule="exact" w:val="357"/>
        </w:trPr>
        <w:tc>
          <w:tcPr>
            <w:tcW w:w="9356" w:type="dxa"/>
            <w:gridSpan w:val="3"/>
            <w:tcBorders>
              <w:top w:val="single" w:sz="4" w:space="0" w:color="auto"/>
            </w:tcBorders>
            <w:tcMar>
              <w:top w:w="170" w:type="dxa"/>
              <w:left w:w="0" w:type="dxa"/>
              <w:right w:w="0" w:type="dxa"/>
            </w:tcMar>
            <w:vAlign w:val="bottom"/>
          </w:tcPr>
          <w:p w:rsidR="00CB09A5" w:rsidRPr="0090731E" w:rsidRDefault="00CB09A5" w:rsidP="00CB09A5">
            <w:pPr>
              <w:jc w:val="right"/>
              <w:rPr>
                <w:rFonts w:ascii="Arial Black" w:hAnsi="Arial Black"/>
                <w:caps/>
                <w:sz w:val="15"/>
              </w:rPr>
            </w:pPr>
            <w:r>
              <w:rPr>
                <w:rFonts w:ascii="Arial Black" w:hAnsi="Arial Black"/>
                <w:caps/>
                <w:sz w:val="15"/>
              </w:rPr>
              <w:t>PCT/WG/11/</w:t>
            </w:r>
            <w:bookmarkStart w:id="1" w:name="Code"/>
            <w:bookmarkEnd w:id="1"/>
            <w:r>
              <w:rPr>
                <w:rFonts w:ascii="Arial Black" w:hAnsi="Arial Black"/>
                <w:caps/>
                <w:sz w:val="15"/>
              </w:rPr>
              <w:t>18</w:t>
            </w:r>
          </w:p>
        </w:tc>
      </w:tr>
      <w:tr w:rsidR="00CB09A5" w:rsidRPr="001832A6" w:rsidTr="00A84E45">
        <w:trPr>
          <w:trHeight w:hRule="exact" w:val="170"/>
        </w:trPr>
        <w:tc>
          <w:tcPr>
            <w:tcW w:w="9356" w:type="dxa"/>
            <w:gridSpan w:val="3"/>
            <w:noWrap/>
            <w:tcMar>
              <w:left w:w="0" w:type="dxa"/>
              <w:right w:w="0" w:type="dxa"/>
            </w:tcMar>
            <w:vAlign w:val="bottom"/>
          </w:tcPr>
          <w:p w:rsidR="00CB09A5" w:rsidRPr="0090731E" w:rsidRDefault="00CB09A5" w:rsidP="00A84E45">
            <w:pPr>
              <w:jc w:val="right"/>
              <w:rPr>
                <w:rFonts w:ascii="Arial Black" w:hAnsi="Arial Black"/>
                <w:caps/>
                <w:sz w:val="15"/>
              </w:rPr>
            </w:pPr>
            <w:r w:rsidRPr="0090731E">
              <w:rPr>
                <w:rFonts w:ascii="Arial Black" w:hAnsi="Arial Black"/>
                <w:caps/>
                <w:sz w:val="15"/>
              </w:rPr>
              <w:t>ORIGINAL</w:t>
            </w:r>
            <w:r>
              <w:rPr>
                <w:rFonts w:ascii="Arial Black" w:hAnsi="Arial Black"/>
                <w:caps/>
                <w:sz w:val="15"/>
              </w:rPr>
              <w:t xml:space="preserve"> : </w:t>
            </w:r>
            <w:bookmarkStart w:id="2" w:name="Original"/>
            <w:bookmarkEnd w:id="2"/>
            <w:r>
              <w:rPr>
                <w:rFonts w:ascii="Arial Black" w:hAnsi="Arial Black"/>
                <w:caps/>
                <w:sz w:val="15"/>
              </w:rPr>
              <w:t xml:space="preserve"> anglais</w:t>
            </w:r>
            <w:r w:rsidRPr="0090731E">
              <w:rPr>
                <w:rFonts w:ascii="Arial Black" w:hAnsi="Arial Black"/>
                <w:caps/>
                <w:sz w:val="15"/>
              </w:rPr>
              <w:t xml:space="preserve"> </w:t>
            </w:r>
          </w:p>
        </w:tc>
      </w:tr>
      <w:tr w:rsidR="00CB09A5" w:rsidRPr="001832A6" w:rsidTr="00A84E45">
        <w:trPr>
          <w:trHeight w:hRule="exact" w:val="198"/>
        </w:trPr>
        <w:tc>
          <w:tcPr>
            <w:tcW w:w="9356" w:type="dxa"/>
            <w:gridSpan w:val="3"/>
            <w:tcMar>
              <w:left w:w="0" w:type="dxa"/>
              <w:right w:w="0" w:type="dxa"/>
            </w:tcMar>
            <w:vAlign w:val="bottom"/>
          </w:tcPr>
          <w:p w:rsidR="00CB09A5" w:rsidRPr="0090731E" w:rsidRDefault="00CB09A5" w:rsidP="00A84E45">
            <w:pPr>
              <w:jc w:val="right"/>
              <w:rPr>
                <w:rFonts w:ascii="Arial Black" w:hAnsi="Arial Black"/>
                <w:caps/>
                <w:sz w:val="15"/>
              </w:rPr>
            </w:pPr>
            <w:r w:rsidRPr="0090731E">
              <w:rPr>
                <w:rFonts w:ascii="Arial Black" w:hAnsi="Arial Black"/>
                <w:caps/>
                <w:sz w:val="15"/>
              </w:rPr>
              <w:t>DATE</w:t>
            </w:r>
            <w:r>
              <w:rPr>
                <w:rFonts w:ascii="Arial Black" w:hAnsi="Arial Black"/>
                <w:caps/>
                <w:sz w:val="15"/>
              </w:rPr>
              <w:t xml:space="preserve"> : </w:t>
            </w:r>
            <w:bookmarkStart w:id="3" w:name="Date"/>
            <w:bookmarkEnd w:id="3"/>
            <w:r>
              <w:rPr>
                <w:rFonts w:ascii="Arial Black" w:hAnsi="Arial Black"/>
                <w:caps/>
                <w:sz w:val="15"/>
              </w:rPr>
              <w:t xml:space="preserve"> 9 mai 2018</w:t>
            </w:r>
            <w:r w:rsidRPr="0090731E">
              <w:rPr>
                <w:rFonts w:ascii="Arial Black" w:hAnsi="Arial Black"/>
                <w:caps/>
                <w:sz w:val="15"/>
              </w:rPr>
              <w:t xml:space="preserve"> </w:t>
            </w:r>
          </w:p>
        </w:tc>
      </w:tr>
    </w:tbl>
    <w:p w:rsidR="00CB09A5" w:rsidRPr="008B2CC1" w:rsidRDefault="00CB09A5" w:rsidP="00CB09A5"/>
    <w:p w:rsidR="00CB09A5" w:rsidRPr="008B2CC1" w:rsidRDefault="00CB09A5" w:rsidP="00CB09A5"/>
    <w:p w:rsidR="00CB09A5" w:rsidRPr="008B2CC1" w:rsidRDefault="00CB09A5" w:rsidP="00CB09A5"/>
    <w:p w:rsidR="00CB09A5" w:rsidRPr="008B2CC1" w:rsidRDefault="00CB09A5" w:rsidP="00CB09A5"/>
    <w:p w:rsidR="00CB09A5" w:rsidRPr="008B2CC1" w:rsidRDefault="00CB09A5" w:rsidP="00CB09A5"/>
    <w:p w:rsidR="00CB09A5" w:rsidRPr="00AF0EA0" w:rsidRDefault="00CB09A5" w:rsidP="00CB09A5">
      <w:pPr>
        <w:rPr>
          <w:b/>
          <w:sz w:val="28"/>
          <w:szCs w:val="28"/>
          <w:lang w:val="fr-FR"/>
        </w:rPr>
      </w:pPr>
      <w:r w:rsidRPr="00AF0EA0">
        <w:rPr>
          <w:b/>
          <w:sz w:val="28"/>
          <w:szCs w:val="28"/>
          <w:lang w:val="fr-FR"/>
        </w:rPr>
        <w:t>Groupe de travail du Traité de coopération en matière de brevets (PCT)</w:t>
      </w:r>
    </w:p>
    <w:p w:rsidR="00CB09A5" w:rsidRPr="00AF0EA0" w:rsidRDefault="00CB09A5" w:rsidP="00CB09A5">
      <w:pPr>
        <w:rPr>
          <w:lang w:val="fr-FR"/>
        </w:rPr>
      </w:pPr>
    </w:p>
    <w:p w:rsidR="00CB09A5" w:rsidRPr="00AF0EA0" w:rsidRDefault="00CB09A5" w:rsidP="00CB09A5">
      <w:pPr>
        <w:rPr>
          <w:lang w:val="fr-FR"/>
        </w:rPr>
      </w:pPr>
    </w:p>
    <w:p w:rsidR="00CB09A5" w:rsidRPr="00AF0EA0" w:rsidRDefault="00CB09A5" w:rsidP="00CB09A5">
      <w:pPr>
        <w:rPr>
          <w:b/>
          <w:sz w:val="24"/>
          <w:szCs w:val="24"/>
          <w:lang w:val="fr-FR"/>
        </w:rPr>
      </w:pPr>
      <w:r w:rsidRPr="00AF0EA0">
        <w:rPr>
          <w:b/>
          <w:sz w:val="24"/>
          <w:szCs w:val="24"/>
          <w:lang w:val="fr-FR"/>
        </w:rPr>
        <w:t>Onz</w:t>
      </w:r>
      <w:r>
        <w:rPr>
          <w:b/>
          <w:sz w:val="24"/>
          <w:szCs w:val="24"/>
          <w:lang w:val="fr-FR"/>
        </w:rPr>
        <w:t>ième session</w:t>
      </w:r>
    </w:p>
    <w:p w:rsidR="00CB09A5" w:rsidRPr="00AF0EA0" w:rsidRDefault="00CB09A5" w:rsidP="00CB09A5">
      <w:pPr>
        <w:rPr>
          <w:b/>
          <w:sz w:val="24"/>
          <w:szCs w:val="24"/>
          <w:lang w:val="fr-FR"/>
        </w:rPr>
      </w:pPr>
      <w:r w:rsidRPr="00AF0EA0">
        <w:rPr>
          <w:b/>
          <w:sz w:val="24"/>
          <w:szCs w:val="24"/>
          <w:lang w:val="fr-FR"/>
        </w:rPr>
        <w:t>Genève, 18 – 22</w:t>
      </w:r>
      <w:r>
        <w:rPr>
          <w:b/>
          <w:sz w:val="24"/>
          <w:szCs w:val="24"/>
          <w:lang w:val="fr-FR"/>
        </w:rPr>
        <w:t> </w:t>
      </w:r>
      <w:r w:rsidRPr="00AF0EA0">
        <w:rPr>
          <w:b/>
          <w:sz w:val="24"/>
          <w:szCs w:val="24"/>
          <w:lang w:val="fr-FR"/>
        </w:rPr>
        <w:t>juin</w:t>
      </w:r>
      <w:r>
        <w:rPr>
          <w:b/>
          <w:sz w:val="24"/>
          <w:szCs w:val="24"/>
          <w:lang w:val="fr-FR"/>
        </w:rPr>
        <w:t> </w:t>
      </w:r>
      <w:r w:rsidRPr="00AF0EA0">
        <w:rPr>
          <w:b/>
          <w:sz w:val="24"/>
          <w:szCs w:val="24"/>
          <w:lang w:val="fr-FR"/>
        </w:rPr>
        <w:t>2018</w:t>
      </w:r>
    </w:p>
    <w:p w:rsidR="00CB09A5" w:rsidRPr="00F56073" w:rsidRDefault="00CB09A5" w:rsidP="00CB09A5">
      <w:pPr>
        <w:rPr>
          <w:lang w:val="fr-CH"/>
        </w:rPr>
      </w:pPr>
    </w:p>
    <w:p w:rsidR="00CB09A5" w:rsidRPr="00F56073" w:rsidRDefault="00CB09A5" w:rsidP="00CB09A5">
      <w:pPr>
        <w:rPr>
          <w:lang w:val="fr-CH"/>
        </w:rPr>
      </w:pPr>
    </w:p>
    <w:p w:rsidR="00CB09A5" w:rsidRPr="00F56073" w:rsidRDefault="00CB09A5" w:rsidP="00CB09A5">
      <w:pPr>
        <w:rPr>
          <w:lang w:val="fr-CH"/>
        </w:rPr>
      </w:pPr>
    </w:p>
    <w:p w:rsidR="008B2CC1" w:rsidRPr="000431F1" w:rsidRDefault="00D56811" w:rsidP="008B2CC1">
      <w:pPr>
        <w:rPr>
          <w:caps/>
          <w:sz w:val="24"/>
          <w:lang w:val="fr-FR"/>
        </w:rPr>
      </w:pPr>
      <w:r w:rsidRPr="000431F1">
        <w:rPr>
          <w:caps/>
          <w:sz w:val="24"/>
          <w:lang w:val="fr-FR"/>
        </w:rPr>
        <w:t>Proposition relative à une politique de taxes</w:t>
      </w:r>
      <w:r w:rsidR="00735129" w:rsidRPr="000431F1">
        <w:rPr>
          <w:caps/>
          <w:sz w:val="24"/>
          <w:lang w:val="fr-FR"/>
        </w:rPr>
        <w:t xml:space="preserve"> du</w:t>
      </w:r>
      <w:r w:rsidR="00735129">
        <w:rPr>
          <w:caps/>
          <w:sz w:val="24"/>
          <w:lang w:val="fr-FR"/>
        </w:rPr>
        <w:t> </w:t>
      </w:r>
      <w:r w:rsidR="00735129" w:rsidRPr="000431F1">
        <w:rPr>
          <w:caps/>
          <w:sz w:val="24"/>
          <w:lang w:val="fr-FR"/>
        </w:rPr>
        <w:t>PCT</w:t>
      </w:r>
      <w:r w:rsidRPr="000431F1">
        <w:rPr>
          <w:caps/>
          <w:sz w:val="24"/>
          <w:lang w:val="fr-FR"/>
        </w:rPr>
        <w:t xml:space="preserve"> visant à encourager le dépôt de demandes de brevet par les établissements universitaires</w:t>
      </w:r>
    </w:p>
    <w:p w:rsidR="008B2CC1" w:rsidRPr="000431F1" w:rsidRDefault="008B2CC1" w:rsidP="008B2CC1">
      <w:pPr>
        <w:rPr>
          <w:lang w:val="fr-FR"/>
        </w:rPr>
      </w:pPr>
    </w:p>
    <w:p w:rsidR="008B2CC1" w:rsidRPr="000431F1" w:rsidRDefault="007F2B7D" w:rsidP="008B2CC1">
      <w:pPr>
        <w:rPr>
          <w:i/>
          <w:lang w:val="fr-FR"/>
        </w:rPr>
      </w:pPr>
      <w:bookmarkStart w:id="4" w:name="Prepared"/>
      <w:bookmarkEnd w:id="4"/>
      <w:r w:rsidRPr="000431F1">
        <w:rPr>
          <w:i/>
          <w:lang w:val="fr-FR"/>
        </w:rPr>
        <w:t xml:space="preserve">Document </w:t>
      </w:r>
      <w:r w:rsidR="000431F1" w:rsidRPr="000431F1">
        <w:rPr>
          <w:i/>
          <w:lang w:val="fr-FR"/>
        </w:rPr>
        <w:t xml:space="preserve">présenté par le </w:t>
      </w:r>
      <w:r w:rsidRPr="000431F1">
        <w:rPr>
          <w:i/>
          <w:lang w:val="fr-FR"/>
        </w:rPr>
        <w:t>Br</w:t>
      </w:r>
      <w:r w:rsidR="000431F1" w:rsidRPr="000431F1">
        <w:rPr>
          <w:i/>
          <w:lang w:val="fr-FR"/>
        </w:rPr>
        <w:t>és</w:t>
      </w:r>
      <w:r w:rsidRPr="000431F1">
        <w:rPr>
          <w:i/>
          <w:lang w:val="fr-FR"/>
        </w:rPr>
        <w:t>il</w:t>
      </w:r>
    </w:p>
    <w:p w:rsidR="00AC205C" w:rsidRPr="000431F1" w:rsidRDefault="00AC205C">
      <w:pPr>
        <w:rPr>
          <w:lang w:val="fr-FR"/>
        </w:rPr>
      </w:pPr>
    </w:p>
    <w:p w:rsidR="000F5E56" w:rsidRPr="000431F1" w:rsidRDefault="000F5E56">
      <w:pPr>
        <w:rPr>
          <w:lang w:val="fr-FR"/>
        </w:rPr>
      </w:pPr>
    </w:p>
    <w:p w:rsidR="002928D3" w:rsidRPr="000431F1" w:rsidRDefault="002928D3">
      <w:pPr>
        <w:rPr>
          <w:lang w:val="fr-FR"/>
        </w:rPr>
      </w:pPr>
    </w:p>
    <w:p w:rsidR="002928D3" w:rsidRPr="000431F1" w:rsidRDefault="002928D3" w:rsidP="0053057A">
      <w:pPr>
        <w:rPr>
          <w:lang w:val="fr-FR"/>
        </w:rPr>
      </w:pPr>
    </w:p>
    <w:p w:rsidR="00ED3386" w:rsidRPr="000431F1" w:rsidRDefault="00CC5589" w:rsidP="008C3545">
      <w:pPr>
        <w:pStyle w:val="Heading1"/>
        <w:rPr>
          <w:lang w:val="fr-FR"/>
        </w:rPr>
      </w:pPr>
      <w:r>
        <w:rPr>
          <w:lang w:val="fr-FR"/>
        </w:rPr>
        <w:t>Résumé</w:t>
      </w:r>
    </w:p>
    <w:p w:rsidR="00ED3386" w:rsidRPr="000431F1" w:rsidRDefault="00ED3386" w:rsidP="00681A34">
      <w:pPr>
        <w:pStyle w:val="ONUMFS"/>
        <w:rPr>
          <w:lang w:val="fr-FR"/>
        </w:rPr>
      </w:pPr>
      <w:r w:rsidRPr="00596D0C">
        <w:rPr>
          <w:lang w:val="fr-FR"/>
        </w:rPr>
        <w:t>Le groupe de travail est invité à examiner et approuver une réduction de 50% des taxes du</w:t>
      </w:r>
      <w:r>
        <w:rPr>
          <w:lang w:val="fr-FR"/>
        </w:rPr>
        <w:t> </w:t>
      </w:r>
      <w:r w:rsidRPr="00596D0C">
        <w:rPr>
          <w:lang w:val="fr-FR"/>
        </w:rPr>
        <w:t>PCT pour les établissements universitaires de certains pays, notamment les pays en développement et les pays les moins avancés</w:t>
      </w:r>
      <w:r>
        <w:rPr>
          <w:lang w:val="fr-FR"/>
        </w:rPr>
        <w:t xml:space="preserve">, ainsi qu’une réduction de 25% des taxes du PCT pour les établissements universitaires d’autres pays, notamment les pays développés.  </w:t>
      </w:r>
      <w:r w:rsidRPr="00596D0C">
        <w:rPr>
          <w:lang w:val="fr-FR"/>
        </w:rPr>
        <w:t>La proposition a pour objectif</w:t>
      </w:r>
      <w:r>
        <w:rPr>
          <w:lang w:val="fr-FR"/>
        </w:rPr>
        <w:t> :</w:t>
      </w:r>
      <w:r w:rsidRPr="00596D0C">
        <w:rPr>
          <w:lang w:val="fr-FR"/>
        </w:rPr>
        <w:t xml:space="preserve"> i)</w:t>
      </w:r>
      <w:r>
        <w:rPr>
          <w:lang w:val="fr-FR"/>
        </w:rPr>
        <w:t> d’encourager</w:t>
      </w:r>
      <w:r w:rsidRPr="00596D0C">
        <w:rPr>
          <w:lang w:val="fr-FR"/>
        </w:rPr>
        <w:t xml:space="preserve"> l</w:t>
      </w:r>
      <w:r>
        <w:rPr>
          <w:lang w:val="fr-FR"/>
        </w:rPr>
        <w:t>’</w:t>
      </w:r>
      <w:r w:rsidRPr="00596D0C">
        <w:rPr>
          <w:lang w:val="fr-FR"/>
        </w:rPr>
        <w:t>utilisation du système du</w:t>
      </w:r>
      <w:r>
        <w:rPr>
          <w:lang w:val="fr-FR"/>
        </w:rPr>
        <w:t> </w:t>
      </w:r>
      <w:r w:rsidRPr="00596D0C">
        <w:rPr>
          <w:lang w:val="fr-FR"/>
        </w:rPr>
        <w:t xml:space="preserve">PCT par les établissements universitaires; </w:t>
      </w:r>
      <w:r>
        <w:rPr>
          <w:lang w:val="fr-FR"/>
        </w:rPr>
        <w:t xml:space="preserve"> </w:t>
      </w:r>
      <w:r w:rsidRPr="00596D0C">
        <w:rPr>
          <w:lang w:val="fr-FR"/>
        </w:rPr>
        <w:t>et ii)</w:t>
      </w:r>
      <w:r>
        <w:rPr>
          <w:lang w:val="fr-FR"/>
        </w:rPr>
        <w:t> </w:t>
      </w:r>
      <w:r w:rsidRPr="00596D0C">
        <w:rPr>
          <w:lang w:val="fr-FR"/>
        </w:rPr>
        <w:t>d</w:t>
      </w:r>
      <w:r>
        <w:rPr>
          <w:lang w:val="fr-FR"/>
        </w:rPr>
        <w:t>’</w:t>
      </w:r>
      <w:r w:rsidRPr="00596D0C">
        <w:rPr>
          <w:lang w:val="fr-FR"/>
        </w:rPr>
        <w:t>accroître la diversification géographique des demandes de</w:t>
      </w:r>
      <w:r w:rsidR="00E56CE9">
        <w:rPr>
          <w:lang w:val="fr-FR"/>
        </w:rPr>
        <w:t> </w:t>
      </w:r>
      <w:r w:rsidRPr="00596D0C">
        <w:rPr>
          <w:lang w:val="fr-FR"/>
        </w:rPr>
        <w:t>protection par brevet et des activités de dépôt de demandes internationales selon le</w:t>
      </w:r>
      <w:r>
        <w:rPr>
          <w:lang w:val="fr-FR"/>
        </w:rPr>
        <w:t> </w:t>
      </w:r>
      <w:r w:rsidRPr="00596D0C">
        <w:rPr>
          <w:lang w:val="fr-FR"/>
        </w:rPr>
        <w:t>PCT</w:t>
      </w:r>
      <w:r w:rsidRPr="000431F1">
        <w:rPr>
          <w:lang w:val="fr-FR"/>
        </w:rPr>
        <w:t>.</w:t>
      </w:r>
    </w:p>
    <w:p w:rsidR="00ED3386" w:rsidRPr="000431F1" w:rsidRDefault="00CC5589" w:rsidP="008C3545">
      <w:pPr>
        <w:pStyle w:val="Heading1"/>
        <w:rPr>
          <w:lang w:val="fr-FR"/>
        </w:rPr>
      </w:pPr>
      <w:r>
        <w:rPr>
          <w:lang w:val="fr-FR"/>
        </w:rPr>
        <w:t>Rappel</w:t>
      </w:r>
    </w:p>
    <w:p w:rsidR="00ED3386" w:rsidRDefault="00ED3386" w:rsidP="00681A34">
      <w:pPr>
        <w:pStyle w:val="ONUMFS"/>
        <w:rPr>
          <w:lang w:val="fr-FR"/>
        </w:rPr>
      </w:pPr>
      <w:r w:rsidRPr="005E65E2">
        <w:rPr>
          <w:lang w:val="fr-FR"/>
        </w:rPr>
        <w:t>La contribution des activités de recherche</w:t>
      </w:r>
      <w:r w:rsidR="00E7006A">
        <w:rPr>
          <w:lang w:val="fr-FR"/>
        </w:rPr>
        <w:noBreakHyphen/>
      </w:r>
      <w:r w:rsidRPr="005E65E2">
        <w:rPr>
          <w:lang w:val="fr-FR"/>
        </w:rPr>
        <w:t>développement menées par les établissements universitaires à la croissance de la productivité d</w:t>
      </w:r>
      <w:r>
        <w:rPr>
          <w:lang w:val="fr-FR"/>
        </w:rPr>
        <w:t>’</w:t>
      </w:r>
      <w:r w:rsidRPr="005E65E2">
        <w:rPr>
          <w:lang w:val="fr-FR"/>
        </w:rPr>
        <w:t>une économie est largement établie dans la littérature universitaire</w:t>
      </w:r>
      <w:r>
        <w:rPr>
          <w:lang w:val="fr-FR"/>
        </w:rPr>
        <w:t xml:space="preserve">.  </w:t>
      </w:r>
      <w:r w:rsidRPr="005E65E2">
        <w:rPr>
          <w:lang w:val="fr-FR"/>
        </w:rPr>
        <w:t xml:space="preserve">Les économistes ont invariablement constaté que les savoirs issus des universités </w:t>
      </w:r>
      <w:r w:rsidRPr="00851B5F">
        <w:rPr>
          <w:lang w:val="fr-FR"/>
        </w:rPr>
        <w:t>ont un effet de levier</w:t>
      </w:r>
      <w:r>
        <w:rPr>
          <w:lang w:val="fr-FR"/>
        </w:rPr>
        <w:t xml:space="preserve"> sur la production industrielle, ce qui crée un effet d’entraînement puissant et positif sur l’innovation dans l’ensemble de l’économie</w:t>
      </w:r>
      <w:r w:rsidRPr="00E56CE9">
        <w:rPr>
          <w:vertAlign w:val="superscript"/>
        </w:rPr>
        <w:footnoteReference w:id="2"/>
      </w:r>
      <w:r w:rsidRPr="005E65E2">
        <w:rPr>
          <w:lang w:val="fr-FR"/>
        </w:rPr>
        <w:t xml:space="preserve">.  </w:t>
      </w:r>
      <w:r>
        <w:rPr>
          <w:lang w:val="fr-FR"/>
        </w:rPr>
        <w:t>Des études ont également démontré que la recherche universitaire a une incidence significative sur la recherche</w:t>
      </w:r>
      <w:r w:rsidR="00E7006A">
        <w:rPr>
          <w:lang w:val="fr-FR"/>
        </w:rPr>
        <w:noBreakHyphen/>
      </w:r>
      <w:r>
        <w:rPr>
          <w:lang w:val="fr-FR"/>
        </w:rPr>
        <w:t xml:space="preserve">développement industrielle dans le secteur manufacturier, en particulier dans </w:t>
      </w:r>
      <w:r>
        <w:rPr>
          <w:lang w:val="fr-FR"/>
        </w:rPr>
        <w:lastRenderedPageBreak/>
        <w:t>l’industrie pharmaceutique</w:t>
      </w:r>
      <w:r w:rsidRPr="00E56CE9">
        <w:rPr>
          <w:vertAlign w:val="superscript"/>
        </w:rPr>
        <w:footnoteReference w:id="3"/>
      </w:r>
      <w:r w:rsidRPr="005E65E2">
        <w:rPr>
          <w:lang w:val="fr-FR"/>
        </w:rPr>
        <w:t xml:space="preserve">.  </w:t>
      </w:r>
      <w:r>
        <w:rPr>
          <w:lang w:val="fr-FR"/>
        </w:rPr>
        <w:t>Ces conclusions ont été vérifiées dans différents pays, ce qui fait des établissements universitaires d’importantes sources de savoirs pouvant être mis au service de l’innovation</w:t>
      </w:r>
      <w:r w:rsidRPr="00E56CE9">
        <w:rPr>
          <w:vertAlign w:val="superscript"/>
        </w:rPr>
        <w:footnoteReference w:id="4"/>
      </w:r>
      <w:r w:rsidRPr="005E65E2">
        <w:rPr>
          <w:lang w:val="fr-FR"/>
        </w:rPr>
        <w:t>.</w:t>
      </w:r>
    </w:p>
    <w:p w:rsidR="00ED3386" w:rsidRDefault="00ED3386" w:rsidP="00681A34">
      <w:pPr>
        <w:pStyle w:val="ONUMFS"/>
        <w:rPr>
          <w:lang w:val="fr-FR"/>
        </w:rPr>
      </w:pPr>
      <w:r w:rsidRPr="00817E7E">
        <w:rPr>
          <w:lang w:val="fr-FR"/>
        </w:rPr>
        <w:t>Sans surprise, les pays ont mis en place un certain nombre de politiques visant à soutenir les établissements universitaires</w:t>
      </w:r>
      <w:r>
        <w:rPr>
          <w:lang w:val="fr-FR"/>
        </w:rPr>
        <w:t xml:space="preserve">.  </w:t>
      </w:r>
      <w:r w:rsidRPr="00817E7E">
        <w:rPr>
          <w:lang w:val="fr-FR"/>
        </w:rPr>
        <w:t>Certaines ont pour objectif de faciliter la commercialisation des actifs de propriété intellectuelle issus de la recherche</w:t>
      </w:r>
      <w:r w:rsidR="00E7006A">
        <w:rPr>
          <w:lang w:val="fr-FR"/>
        </w:rPr>
        <w:noBreakHyphen/>
      </w:r>
      <w:r w:rsidRPr="00817E7E">
        <w:rPr>
          <w:lang w:val="fr-FR"/>
        </w:rPr>
        <w:t xml:space="preserve">développement universitaire, telles que la loi </w:t>
      </w:r>
      <w:proofErr w:type="spellStart"/>
      <w:r w:rsidRPr="00817E7E">
        <w:rPr>
          <w:lang w:val="fr-FR"/>
        </w:rPr>
        <w:t>Bayh</w:t>
      </w:r>
      <w:proofErr w:type="spellEnd"/>
      <w:r w:rsidR="00E7006A">
        <w:rPr>
          <w:lang w:val="fr-FR"/>
        </w:rPr>
        <w:noBreakHyphen/>
      </w:r>
      <w:r w:rsidRPr="00817E7E">
        <w:rPr>
          <w:lang w:val="fr-FR"/>
        </w:rPr>
        <w:t>Dole adoptée en</w:t>
      </w:r>
      <w:r>
        <w:rPr>
          <w:lang w:val="fr-FR"/>
        </w:rPr>
        <w:t> </w:t>
      </w:r>
      <w:r w:rsidRPr="00817E7E">
        <w:rPr>
          <w:lang w:val="fr-FR"/>
        </w:rPr>
        <w:t>1980 aux États</w:t>
      </w:r>
      <w:r w:rsidR="00E7006A">
        <w:rPr>
          <w:lang w:val="fr-FR"/>
        </w:rPr>
        <w:noBreakHyphen/>
      </w:r>
      <w:r w:rsidRPr="00817E7E">
        <w:rPr>
          <w:lang w:val="fr-FR"/>
        </w:rPr>
        <w:t>Unis</w:t>
      </w:r>
      <w:r>
        <w:rPr>
          <w:lang w:val="fr-FR"/>
        </w:rPr>
        <w:t xml:space="preserve"> </w:t>
      </w:r>
      <w:r w:rsidRPr="00817E7E">
        <w:rPr>
          <w:lang w:val="fr-FR"/>
        </w:rPr>
        <w:t>d</w:t>
      </w:r>
      <w:r>
        <w:rPr>
          <w:lang w:val="fr-FR"/>
        </w:rPr>
        <w:t>’</w:t>
      </w:r>
      <w:r w:rsidRPr="00817E7E">
        <w:rPr>
          <w:lang w:val="fr-FR"/>
        </w:rPr>
        <w:t>Amérique et les lois similaires adoptées dans d</w:t>
      </w:r>
      <w:r>
        <w:rPr>
          <w:lang w:val="fr-FR"/>
        </w:rPr>
        <w:t>’</w:t>
      </w:r>
      <w:r w:rsidRPr="00817E7E">
        <w:rPr>
          <w:lang w:val="fr-FR"/>
        </w:rPr>
        <w:t>autres États membres</w:t>
      </w:r>
      <w:r>
        <w:rPr>
          <w:lang w:val="fr-FR"/>
        </w:rPr>
        <w:t xml:space="preserve">.  </w:t>
      </w:r>
      <w:r w:rsidRPr="00817E7E">
        <w:rPr>
          <w:lang w:val="fr-FR"/>
        </w:rPr>
        <w:t xml:space="preserve">Les pays prennent également des mesures </w:t>
      </w:r>
      <w:r>
        <w:rPr>
          <w:lang w:val="fr-FR"/>
        </w:rPr>
        <w:t>au niveau</w:t>
      </w:r>
      <w:r w:rsidRPr="00817E7E">
        <w:rPr>
          <w:lang w:val="fr-FR"/>
        </w:rPr>
        <w:t xml:space="preserve"> de leurs offices des brevets afin de réduire le coût de la protection par brevet pour les universités, appuyant </w:t>
      </w:r>
      <w:r>
        <w:rPr>
          <w:lang w:val="fr-FR"/>
        </w:rPr>
        <w:t xml:space="preserve">ainsi </w:t>
      </w:r>
      <w:r w:rsidRPr="00817E7E">
        <w:rPr>
          <w:lang w:val="fr-FR"/>
        </w:rPr>
        <w:t>les efforts qu</w:t>
      </w:r>
      <w:r>
        <w:rPr>
          <w:lang w:val="fr-FR"/>
        </w:rPr>
        <w:t>’</w:t>
      </w:r>
      <w:r w:rsidRPr="00817E7E">
        <w:rPr>
          <w:lang w:val="fr-FR"/>
        </w:rPr>
        <w:t>elles déploient pour accéder au système des brevets</w:t>
      </w:r>
      <w:r>
        <w:rPr>
          <w:lang w:val="fr-FR"/>
        </w:rPr>
        <w:t xml:space="preserve">.  </w:t>
      </w:r>
      <w:r w:rsidRPr="00817E7E">
        <w:rPr>
          <w:lang w:val="fr-FR"/>
        </w:rPr>
        <w:t>Les offices accordant des réductions de taxes aux universités comprennent, sans toutefois s</w:t>
      </w:r>
      <w:r>
        <w:rPr>
          <w:lang w:val="fr-FR"/>
        </w:rPr>
        <w:t>’</w:t>
      </w:r>
      <w:r w:rsidRPr="00817E7E">
        <w:rPr>
          <w:lang w:val="fr-FR"/>
        </w:rPr>
        <w:t>y limiter, l</w:t>
      </w:r>
      <w:r>
        <w:rPr>
          <w:lang w:val="fr-FR"/>
        </w:rPr>
        <w:t>’</w:t>
      </w:r>
      <w:r w:rsidRPr="00817E7E">
        <w:rPr>
          <w:lang w:val="fr-FR"/>
        </w:rPr>
        <w:t>Office européen des brevets (OEB), l</w:t>
      </w:r>
      <w:r>
        <w:rPr>
          <w:lang w:val="fr-FR"/>
        </w:rPr>
        <w:t>’</w:t>
      </w:r>
      <w:r w:rsidRPr="00817E7E">
        <w:rPr>
          <w:lang w:val="fr-FR"/>
        </w:rPr>
        <w:t>Office des brevets et des marques des États</w:t>
      </w:r>
      <w:r w:rsidR="00E7006A">
        <w:rPr>
          <w:lang w:val="fr-FR"/>
        </w:rPr>
        <w:noBreakHyphen/>
      </w:r>
      <w:r w:rsidRPr="00817E7E">
        <w:rPr>
          <w:lang w:val="fr-FR"/>
        </w:rPr>
        <w:t>Unis</w:t>
      </w:r>
      <w:r>
        <w:rPr>
          <w:lang w:val="fr-FR"/>
        </w:rPr>
        <w:t xml:space="preserve"> </w:t>
      </w:r>
      <w:r w:rsidRPr="00817E7E">
        <w:rPr>
          <w:lang w:val="fr-FR"/>
        </w:rPr>
        <w:t>d</w:t>
      </w:r>
      <w:r>
        <w:rPr>
          <w:lang w:val="fr-FR"/>
        </w:rPr>
        <w:t>’</w:t>
      </w:r>
      <w:r w:rsidRPr="00817E7E">
        <w:rPr>
          <w:lang w:val="fr-FR"/>
        </w:rPr>
        <w:t>Amérique (USPTO) et l</w:t>
      </w:r>
      <w:r>
        <w:rPr>
          <w:lang w:val="fr-FR"/>
        </w:rPr>
        <w:t>’</w:t>
      </w:r>
      <w:r w:rsidRPr="00817E7E">
        <w:rPr>
          <w:lang w:val="fr-FR"/>
        </w:rPr>
        <w:t>Institut national de la propriété industrielle du Brésil (INPI).  D</w:t>
      </w:r>
      <w:r>
        <w:rPr>
          <w:lang w:val="fr-FR"/>
        </w:rPr>
        <w:t>’</w:t>
      </w:r>
      <w:r w:rsidRPr="00817E7E">
        <w:rPr>
          <w:lang w:val="fr-FR"/>
        </w:rPr>
        <w:t xml:space="preserve">autres programmes, tels que le programme australien dénommé </w:t>
      </w:r>
      <w:r>
        <w:rPr>
          <w:lang w:val="fr-FR"/>
        </w:rPr>
        <w:t>“</w:t>
      </w:r>
      <w:r w:rsidRPr="00817E7E">
        <w:rPr>
          <w:lang w:val="fr-FR"/>
        </w:rPr>
        <w:t>Accélérer la commercialisation</w:t>
      </w:r>
      <w:r>
        <w:rPr>
          <w:lang w:val="fr-FR"/>
        </w:rPr>
        <w:t>”</w:t>
      </w:r>
      <w:r w:rsidRPr="00817E7E">
        <w:rPr>
          <w:lang w:val="fr-FR"/>
        </w:rPr>
        <w:t>, remboursent aux établissements universitaires les dépenses qu</w:t>
      </w:r>
      <w:r>
        <w:rPr>
          <w:lang w:val="fr-FR"/>
        </w:rPr>
        <w:t>’</w:t>
      </w:r>
      <w:r w:rsidRPr="00817E7E">
        <w:rPr>
          <w:lang w:val="fr-FR"/>
        </w:rPr>
        <w:t>elles doivent engager pour obtenir la protection par brevet</w:t>
      </w:r>
      <w:r>
        <w:rPr>
          <w:lang w:val="fr-FR"/>
        </w:rPr>
        <w:t>,</w:t>
      </w:r>
      <w:r w:rsidRPr="00817E7E">
        <w:rPr>
          <w:lang w:val="fr-FR"/>
        </w:rPr>
        <w:t xml:space="preserve"> </w:t>
      </w:r>
      <w:r>
        <w:rPr>
          <w:lang w:val="fr-FR"/>
        </w:rPr>
        <w:t>notamment</w:t>
      </w:r>
      <w:r w:rsidRPr="00817E7E">
        <w:rPr>
          <w:lang w:val="fr-FR"/>
        </w:rPr>
        <w:t xml:space="preserve"> les taxes de dépôt, les taxes de recherche et d</w:t>
      </w:r>
      <w:r>
        <w:rPr>
          <w:lang w:val="fr-FR"/>
        </w:rPr>
        <w:t>’</w:t>
      </w:r>
      <w:r w:rsidRPr="00817E7E">
        <w:rPr>
          <w:lang w:val="fr-FR"/>
        </w:rPr>
        <w:t>examen et les taxes annuelles de maintien en vigueur.</w:t>
      </w:r>
    </w:p>
    <w:p w:rsidR="00ED3386" w:rsidRDefault="00ED3386" w:rsidP="00E56CE9">
      <w:pPr>
        <w:pStyle w:val="ONUMFS"/>
        <w:rPr>
          <w:lang w:val="fr-FR"/>
        </w:rPr>
      </w:pPr>
      <w:r>
        <w:rPr>
          <w:lang w:val="fr-FR"/>
        </w:rPr>
        <w:t>À l’OMPI, les délibérations au sujet d’une politique de taxes du PCT visant à encourager le dépôt de demandes de brevet par les établissements universitaires remontent à la deuxième session du groupe de travail tenue en 2009, les membres étant “</w:t>
      </w:r>
      <w:r w:rsidRPr="00C045C3">
        <w:rPr>
          <w:lang w:val="fr-FR"/>
        </w:rPr>
        <w:t>convenus de l</w:t>
      </w:r>
      <w:r>
        <w:rPr>
          <w:lang w:val="fr-FR"/>
        </w:rPr>
        <w:t>’</w:t>
      </w:r>
      <w:r w:rsidRPr="00C045C3">
        <w:rPr>
          <w:lang w:val="fr-FR"/>
        </w:rPr>
        <w:t>importance des réductions de taxes</w:t>
      </w:r>
      <w:r w:rsidRPr="000431F1">
        <w:rPr>
          <w:lang w:val="fr-FR"/>
        </w:rPr>
        <w:t xml:space="preserve">… </w:t>
      </w:r>
      <w:r w:rsidRPr="00C045C3">
        <w:rPr>
          <w:lang w:val="fr-FR"/>
        </w:rPr>
        <w:t>et ils sont convenus que les organes compétents du</w:t>
      </w:r>
      <w:r>
        <w:rPr>
          <w:lang w:val="fr-FR"/>
        </w:rPr>
        <w:t> </w:t>
      </w:r>
      <w:r w:rsidRPr="00C045C3">
        <w:rPr>
          <w:lang w:val="fr-FR"/>
        </w:rPr>
        <w:t>PCT devaient établir des propositions, portant notamment sur des réductions de taxes et des mesures de renforcement des capacités, afin d</w:t>
      </w:r>
      <w:r>
        <w:rPr>
          <w:lang w:val="fr-FR"/>
        </w:rPr>
        <w:t>’</w:t>
      </w:r>
      <w:r w:rsidRPr="00C045C3">
        <w:rPr>
          <w:lang w:val="fr-FR"/>
        </w:rPr>
        <w:t>améliorer l</w:t>
      </w:r>
      <w:r>
        <w:rPr>
          <w:lang w:val="fr-FR"/>
        </w:rPr>
        <w:t>’</w:t>
      </w:r>
      <w:r w:rsidRPr="00C045C3">
        <w:rPr>
          <w:lang w:val="fr-FR"/>
        </w:rPr>
        <w:t>accès au</w:t>
      </w:r>
      <w:r>
        <w:rPr>
          <w:lang w:val="fr-FR"/>
        </w:rPr>
        <w:t> </w:t>
      </w:r>
      <w:r w:rsidRPr="00C045C3">
        <w:rPr>
          <w:lang w:val="fr-FR"/>
        </w:rPr>
        <w:t>PCT</w:t>
      </w:r>
      <w:r w:rsidRPr="000431F1">
        <w:rPr>
          <w:lang w:val="fr-FR"/>
        </w:rPr>
        <w:t xml:space="preserve">… </w:t>
      </w:r>
      <w:r w:rsidRPr="00C045C3">
        <w:rPr>
          <w:lang w:val="fr-FR"/>
        </w:rPr>
        <w:t>des établissements universitaires et des instituts de recherche, notamment dans les pays en développement et les pays les moins avancés</w:t>
      </w:r>
      <w:r>
        <w:rPr>
          <w:lang w:val="fr-FR"/>
        </w:rPr>
        <w:t>”</w:t>
      </w:r>
      <w:r w:rsidRPr="000431F1">
        <w:rPr>
          <w:lang w:val="fr-FR"/>
        </w:rPr>
        <w:t xml:space="preserve"> (</w:t>
      </w:r>
      <w:r>
        <w:rPr>
          <w:lang w:val="fr-FR"/>
        </w:rPr>
        <w:t xml:space="preserve">voir le </w:t>
      </w:r>
      <w:r w:rsidRPr="000431F1">
        <w:rPr>
          <w:lang w:val="fr-FR"/>
        </w:rPr>
        <w:t>paragraph</w:t>
      </w:r>
      <w:r>
        <w:rPr>
          <w:lang w:val="fr-FR"/>
        </w:rPr>
        <w:t>e </w:t>
      </w:r>
      <w:r w:rsidRPr="000431F1">
        <w:rPr>
          <w:lang w:val="fr-FR"/>
        </w:rPr>
        <w:t xml:space="preserve">97 </w:t>
      </w:r>
      <w:r>
        <w:rPr>
          <w:lang w:val="fr-FR"/>
        </w:rPr>
        <w:t xml:space="preserve">du </w:t>
      </w:r>
      <w:r w:rsidRPr="000431F1">
        <w:rPr>
          <w:lang w:val="fr-FR"/>
        </w:rPr>
        <w:t>document</w:t>
      </w:r>
      <w:r w:rsidR="00E7006A">
        <w:rPr>
          <w:lang w:val="fr-FR"/>
        </w:rPr>
        <w:t> </w:t>
      </w:r>
      <w:r w:rsidRPr="000431F1">
        <w:rPr>
          <w:lang w:val="fr-FR"/>
        </w:rPr>
        <w:t xml:space="preserve">PCT/WG/2/14).  </w:t>
      </w:r>
      <w:r>
        <w:rPr>
          <w:lang w:val="fr-FR"/>
        </w:rPr>
        <w:t xml:space="preserve">Le Bureau international a présenté à la </w:t>
      </w:r>
      <w:r w:rsidRPr="00A053A6">
        <w:rPr>
          <w:lang w:val="fr-FR"/>
        </w:rPr>
        <w:t>trois</w:t>
      </w:r>
      <w:r>
        <w:rPr>
          <w:lang w:val="fr-FR"/>
        </w:rPr>
        <w:t>ième session</w:t>
      </w:r>
      <w:r w:rsidRPr="00E56CE9">
        <w:rPr>
          <w:lang w:val="fr-FR"/>
        </w:rPr>
        <w:t xml:space="preserve"> </w:t>
      </w:r>
      <w:r w:rsidRPr="002918A3">
        <w:rPr>
          <w:lang w:val="fr-FR"/>
        </w:rPr>
        <w:t xml:space="preserve">une étude dans laquelle il a été reconnu que </w:t>
      </w:r>
      <w:r>
        <w:rPr>
          <w:lang w:val="fr-FR"/>
        </w:rPr>
        <w:t>“</w:t>
      </w:r>
      <w:r w:rsidRPr="002918A3">
        <w:rPr>
          <w:lang w:val="fr-FR"/>
        </w:rPr>
        <w:t>les taxes initiales demeurent une forte barrière à l</w:t>
      </w:r>
      <w:r>
        <w:rPr>
          <w:lang w:val="fr-FR"/>
        </w:rPr>
        <w:t>’</w:t>
      </w:r>
      <w:r w:rsidRPr="002918A3">
        <w:rPr>
          <w:lang w:val="fr-FR"/>
        </w:rPr>
        <w:t>entrée dans le système pour certains déposants</w:t>
      </w:r>
      <w:r>
        <w:rPr>
          <w:lang w:val="fr-FR"/>
        </w:rPr>
        <w:t>”</w:t>
      </w:r>
      <w:r w:rsidRPr="002918A3">
        <w:rPr>
          <w:lang w:val="fr-FR"/>
        </w:rPr>
        <w:t>.  Tout en faisant référence à la faible partie des coûts globaux afférents à l</w:t>
      </w:r>
      <w:r>
        <w:rPr>
          <w:lang w:val="fr-FR"/>
        </w:rPr>
        <w:t>’</w:t>
      </w:r>
      <w:r w:rsidRPr="002918A3">
        <w:rPr>
          <w:lang w:val="fr-FR"/>
        </w:rPr>
        <w:t>obtention</w:t>
      </w:r>
      <w:r>
        <w:rPr>
          <w:lang w:val="fr-FR"/>
        </w:rPr>
        <w:t xml:space="preserve"> d’une protection international</w:t>
      </w:r>
      <w:r w:rsidR="00E02A28">
        <w:rPr>
          <w:lang w:val="fr-FR"/>
        </w:rPr>
        <w:t xml:space="preserve">e </w:t>
      </w:r>
      <w:r>
        <w:rPr>
          <w:lang w:val="fr-FR"/>
        </w:rPr>
        <w:t>par brevet que représentent les taxes internationales</w:t>
      </w:r>
      <w:r w:rsidRPr="000431F1">
        <w:rPr>
          <w:lang w:val="fr-FR"/>
        </w:rPr>
        <w:t xml:space="preserve">, </w:t>
      </w:r>
      <w:r>
        <w:rPr>
          <w:lang w:val="fr-FR"/>
        </w:rPr>
        <w:t>le Bureau i</w:t>
      </w:r>
      <w:r w:rsidRPr="000431F1">
        <w:rPr>
          <w:lang w:val="fr-FR"/>
        </w:rPr>
        <w:t xml:space="preserve">nternational </w:t>
      </w:r>
      <w:r>
        <w:rPr>
          <w:lang w:val="fr-FR"/>
        </w:rPr>
        <w:t xml:space="preserve">a indiqué qu’“une demande </w:t>
      </w:r>
      <w:r w:rsidRPr="002918A3">
        <w:rPr>
          <w:lang w:val="fr-FR"/>
        </w:rPr>
        <w:t>internationale permet de gagner du temps avant d</w:t>
      </w:r>
      <w:r>
        <w:rPr>
          <w:lang w:val="fr-FR"/>
        </w:rPr>
        <w:t>’</w:t>
      </w:r>
      <w:r w:rsidRPr="002918A3">
        <w:rPr>
          <w:lang w:val="fr-FR"/>
        </w:rPr>
        <w:t>affronter des coûts plus importants et peut donc aider à trouver ces partenaires</w:t>
      </w:r>
      <w:r>
        <w:rPr>
          <w:lang w:val="fr-FR"/>
        </w:rPr>
        <w:t xml:space="preserve">.  </w:t>
      </w:r>
      <w:r w:rsidRPr="002918A3">
        <w:rPr>
          <w:lang w:val="fr-FR"/>
        </w:rPr>
        <w:t>En</w:t>
      </w:r>
      <w:r w:rsidR="00E56CE9">
        <w:rPr>
          <w:lang w:val="fr-FR"/>
        </w:rPr>
        <w:t> </w:t>
      </w:r>
      <w:r w:rsidRPr="002918A3">
        <w:rPr>
          <w:lang w:val="fr-FR"/>
        </w:rPr>
        <w:t>conséquence, quoiqu</w:t>
      </w:r>
      <w:r>
        <w:rPr>
          <w:lang w:val="fr-FR"/>
        </w:rPr>
        <w:t>’</w:t>
      </w:r>
      <w:r w:rsidRPr="002918A3">
        <w:rPr>
          <w:lang w:val="fr-FR"/>
        </w:rPr>
        <w:t>il ne représente qu</w:t>
      </w:r>
      <w:r>
        <w:rPr>
          <w:lang w:val="fr-FR"/>
        </w:rPr>
        <w:t>’</w:t>
      </w:r>
      <w:r w:rsidRPr="002918A3">
        <w:rPr>
          <w:lang w:val="fr-FR"/>
        </w:rPr>
        <w:t>une part relativement faible du coût global, l</w:t>
      </w:r>
      <w:r>
        <w:rPr>
          <w:lang w:val="fr-FR"/>
        </w:rPr>
        <w:t>’</w:t>
      </w:r>
      <w:r w:rsidRPr="002918A3">
        <w:rPr>
          <w:lang w:val="fr-FR"/>
        </w:rPr>
        <w:t>accès à ce stade de la procédure des brevets peut s</w:t>
      </w:r>
      <w:r>
        <w:rPr>
          <w:lang w:val="fr-FR"/>
        </w:rPr>
        <w:t>’</w:t>
      </w:r>
      <w:r w:rsidRPr="002918A3">
        <w:rPr>
          <w:lang w:val="fr-FR"/>
        </w:rPr>
        <w:t>avérer particulièrement important pour certains innovateurs</w:t>
      </w:r>
      <w:r>
        <w:rPr>
          <w:lang w:val="fr-FR"/>
        </w:rPr>
        <w:t>”</w:t>
      </w:r>
      <w:r w:rsidRPr="000431F1">
        <w:rPr>
          <w:lang w:val="fr-FR"/>
        </w:rPr>
        <w:t xml:space="preserve"> (</w:t>
      </w:r>
      <w:r>
        <w:rPr>
          <w:lang w:val="fr-FR"/>
        </w:rPr>
        <w:t xml:space="preserve">voir les </w:t>
      </w:r>
      <w:r w:rsidRPr="000431F1">
        <w:rPr>
          <w:lang w:val="fr-FR"/>
        </w:rPr>
        <w:t>paragraph</w:t>
      </w:r>
      <w:r>
        <w:rPr>
          <w:lang w:val="fr-FR"/>
        </w:rPr>
        <w:t>e</w:t>
      </w:r>
      <w:r w:rsidRPr="000431F1">
        <w:rPr>
          <w:lang w:val="fr-FR"/>
        </w:rPr>
        <w:t xml:space="preserve">s 187 </w:t>
      </w:r>
      <w:r>
        <w:rPr>
          <w:lang w:val="fr-FR"/>
        </w:rPr>
        <w:t xml:space="preserve">et </w:t>
      </w:r>
      <w:r w:rsidRPr="000431F1">
        <w:rPr>
          <w:lang w:val="fr-FR"/>
        </w:rPr>
        <w:t xml:space="preserve">188 </w:t>
      </w:r>
      <w:r>
        <w:rPr>
          <w:lang w:val="fr-FR"/>
        </w:rPr>
        <w:t xml:space="preserve">du </w:t>
      </w:r>
      <w:r w:rsidRPr="000431F1">
        <w:rPr>
          <w:lang w:val="fr-FR"/>
        </w:rPr>
        <w:t>document</w:t>
      </w:r>
      <w:r w:rsidR="00E7006A">
        <w:rPr>
          <w:lang w:val="fr-FR"/>
        </w:rPr>
        <w:t> </w:t>
      </w:r>
      <w:r w:rsidRPr="000431F1">
        <w:rPr>
          <w:lang w:val="fr-FR"/>
        </w:rPr>
        <w:t>PCT/WG/3/2).</w:t>
      </w:r>
    </w:p>
    <w:p w:rsidR="00ED3386" w:rsidRPr="000431F1" w:rsidRDefault="00ED3386" w:rsidP="00E56CE9">
      <w:pPr>
        <w:pStyle w:val="ONUMFS"/>
        <w:rPr>
          <w:lang w:val="fr-FR"/>
        </w:rPr>
      </w:pPr>
      <w:r>
        <w:rPr>
          <w:lang w:val="fr-FR"/>
        </w:rPr>
        <w:t>À la demande des États membres à la cinquième session du groupe de travail, le Bureau international a diffusé pour la sixième session un document de travail relatif aux réductions de taxes</w:t>
      </w:r>
      <w:r w:rsidRPr="000431F1">
        <w:rPr>
          <w:lang w:val="fr-FR"/>
        </w:rPr>
        <w:t xml:space="preserve"> (document PCT/WG/6/10).  </w:t>
      </w:r>
      <w:r>
        <w:rPr>
          <w:lang w:val="fr-FR"/>
        </w:rPr>
        <w:t xml:space="preserve">Le </w:t>
      </w:r>
      <w:r w:rsidRPr="000431F1">
        <w:rPr>
          <w:lang w:val="fr-FR"/>
        </w:rPr>
        <w:t xml:space="preserve">document </w:t>
      </w:r>
      <w:r>
        <w:rPr>
          <w:lang w:val="fr-FR"/>
        </w:rPr>
        <w:t>visait à donner un aperçu général de la fonction des taxes dans le système des brevets</w:t>
      </w:r>
      <w:r w:rsidRPr="000431F1">
        <w:rPr>
          <w:lang w:val="fr-FR"/>
        </w:rPr>
        <w:t xml:space="preserve">, </w:t>
      </w:r>
      <w:r>
        <w:rPr>
          <w:lang w:val="fr-FR"/>
        </w:rPr>
        <w:t>à savoir récupérer les coûts engagés dans le traitement et l’examen des demandes de brevet et servir d’outil de réglemen</w:t>
      </w:r>
      <w:r w:rsidR="00E02A28">
        <w:rPr>
          <w:lang w:val="fr-FR"/>
        </w:rPr>
        <w:t>tation pour influencer le dépôt</w:t>
      </w:r>
      <w:r w:rsidRPr="003E5E9A">
        <w:rPr>
          <w:lang w:val="fr-FR"/>
        </w:rPr>
        <w:t xml:space="preserve"> des demandes de brevet d</w:t>
      </w:r>
      <w:r>
        <w:rPr>
          <w:lang w:val="fr-FR"/>
        </w:rPr>
        <w:t>’</w:t>
      </w:r>
      <w:r w:rsidRPr="003E5E9A">
        <w:rPr>
          <w:lang w:val="fr-FR"/>
        </w:rPr>
        <w:t>une manière qui répond</w:t>
      </w:r>
      <w:r>
        <w:rPr>
          <w:lang w:val="fr-FR"/>
        </w:rPr>
        <w:t>e</w:t>
      </w:r>
      <w:r w:rsidRPr="003E5E9A">
        <w:rPr>
          <w:lang w:val="fr-FR"/>
        </w:rPr>
        <w:t xml:space="preserve"> le mieux aux intérêts de la société</w:t>
      </w:r>
      <w:r>
        <w:rPr>
          <w:lang w:val="fr-FR"/>
        </w:rPr>
        <w:t>.  Après avoir passé en revue les études déjà établies sur les taxes et leur effet sur les décisions de dépôt</w:t>
      </w:r>
      <w:r w:rsidRPr="000431F1">
        <w:rPr>
          <w:lang w:val="fr-FR"/>
        </w:rPr>
        <w:t xml:space="preserve">, </w:t>
      </w:r>
      <w:r>
        <w:rPr>
          <w:lang w:val="fr-FR"/>
        </w:rPr>
        <w:t xml:space="preserve">le Bureau international a souligné que les </w:t>
      </w:r>
      <w:r w:rsidR="005A16FB">
        <w:rPr>
          <w:lang w:val="fr-FR"/>
        </w:rPr>
        <w:t>“</w:t>
      </w:r>
      <w:r w:rsidRPr="002D5F5F">
        <w:rPr>
          <w:lang w:val="fr-FR"/>
        </w:rPr>
        <w:t>modifications des taxes doivent être suffisamment importantes pour qu</w:t>
      </w:r>
      <w:r>
        <w:rPr>
          <w:lang w:val="fr-FR"/>
        </w:rPr>
        <w:t>’</w:t>
      </w:r>
      <w:r w:rsidRPr="002D5F5F">
        <w:rPr>
          <w:lang w:val="fr-FR"/>
        </w:rPr>
        <w:t>elles aient un effet marqué sur le nombre des demandes déposées</w:t>
      </w:r>
      <w:r w:rsidR="005A16FB">
        <w:rPr>
          <w:lang w:val="fr-FR"/>
        </w:rPr>
        <w:t>”</w:t>
      </w:r>
      <w:r w:rsidRPr="000431F1">
        <w:rPr>
          <w:lang w:val="fr-FR"/>
        </w:rPr>
        <w:t xml:space="preserve"> (</w:t>
      </w:r>
      <w:r>
        <w:rPr>
          <w:lang w:val="fr-FR"/>
        </w:rPr>
        <w:t xml:space="preserve">voir le </w:t>
      </w:r>
      <w:r w:rsidRPr="000431F1">
        <w:rPr>
          <w:lang w:val="fr-FR"/>
        </w:rPr>
        <w:t>paragraph</w:t>
      </w:r>
      <w:r>
        <w:rPr>
          <w:lang w:val="fr-FR"/>
        </w:rPr>
        <w:t>e</w:t>
      </w:r>
      <w:r w:rsidRPr="000431F1">
        <w:rPr>
          <w:lang w:val="fr-FR"/>
        </w:rPr>
        <w:t xml:space="preserve"> 12 </w:t>
      </w:r>
      <w:r>
        <w:rPr>
          <w:lang w:val="fr-FR"/>
        </w:rPr>
        <w:t>du</w:t>
      </w:r>
      <w:r w:rsidRPr="000431F1">
        <w:rPr>
          <w:lang w:val="fr-FR"/>
        </w:rPr>
        <w:t xml:space="preserve"> document</w:t>
      </w:r>
      <w:r w:rsidR="00E7006A">
        <w:rPr>
          <w:lang w:val="fr-FR"/>
        </w:rPr>
        <w:t> </w:t>
      </w:r>
      <w:r w:rsidRPr="000431F1">
        <w:rPr>
          <w:lang w:val="fr-FR"/>
        </w:rPr>
        <w:t>PCT/WG/6/10).</w:t>
      </w:r>
    </w:p>
    <w:p w:rsidR="00ED3386" w:rsidRPr="000431F1" w:rsidRDefault="00ED3386" w:rsidP="00E56CE9">
      <w:pPr>
        <w:pStyle w:val="ONUMFS"/>
        <w:keepLines/>
        <w:rPr>
          <w:lang w:val="fr-FR"/>
        </w:rPr>
      </w:pPr>
      <w:r>
        <w:rPr>
          <w:lang w:val="fr-FR"/>
        </w:rPr>
        <w:lastRenderedPageBreak/>
        <w:t>À la septième session</w:t>
      </w:r>
      <w:r w:rsidRPr="000431F1">
        <w:rPr>
          <w:lang w:val="fr-FR"/>
        </w:rPr>
        <w:t xml:space="preserve"> </w:t>
      </w:r>
      <w:r>
        <w:rPr>
          <w:lang w:val="fr-FR"/>
        </w:rPr>
        <w:t xml:space="preserve">du groupe de travail, le Bureau international a présenté une étude </w:t>
      </w:r>
      <w:r w:rsidRPr="002D5F5F">
        <w:rPr>
          <w:lang w:val="fr-FR"/>
        </w:rPr>
        <w:t>dans laquelle était faite pour la première fois une estimation de l</w:t>
      </w:r>
      <w:r>
        <w:rPr>
          <w:lang w:val="fr-FR"/>
        </w:rPr>
        <w:t>’</w:t>
      </w:r>
      <w:r w:rsidRPr="002D5F5F">
        <w:rPr>
          <w:lang w:val="fr-FR"/>
        </w:rPr>
        <w:t>élasticité de la taxe imposée sur les demandes selon le</w:t>
      </w:r>
      <w:r>
        <w:rPr>
          <w:lang w:val="fr-FR"/>
        </w:rPr>
        <w:t> </w:t>
      </w:r>
      <w:r w:rsidRPr="002D5F5F">
        <w:rPr>
          <w:lang w:val="fr-FR"/>
        </w:rPr>
        <w:t>PCT</w:t>
      </w:r>
      <w:r w:rsidRPr="000431F1">
        <w:rPr>
          <w:lang w:val="fr-FR"/>
        </w:rPr>
        <w:t xml:space="preserve">, </w:t>
      </w:r>
      <w:r w:rsidRPr="00154B10">
        <w:rPr>
          <w:lang w:val="fr-FR"/>
        </w:rPr>
        <w:t>c</w:t>
      </w:r>
      <w:r>
        <w:rPr>
          <w:lang w:val="fr-FR"/>
        </w:rPr>
        <w:t>’</w:t>
      </w:r>
      <w:r w:rsidRPr="00154B10">
        <w:rPr>
          <w:lang w:val="fr-FR"/>
        </w:rPr>
        <w:t>est</w:t>
      </w:r>
      <w:r w:rsidR="00E7006A">
        <w:rPr>
          <w:lang w:val="fr-FR"/>
        </w:rPr>
        <w:noBreakHyphen/>
      </w:r>
      <w:r w:rsidRPr="00154B10">
        <w:rPr>
          <w:lang w:val="fr-FR"/>
        </w:rPr>
        <w:t>à</w:t>
      </w:r>
      <w:r w:rsidR="00E7006A">
        <w:rPr>
          <w:lang w:val="fr-FR"/>
        </w:rPr>
        <w:noBreakHyphen/>
      </w:r>
      <w:r w:rsidRPr="00154B10">
        <w:rPr>
          <w:lang w:val="fr-FR"/>
        </w:rPr>
        <w:t>dire de la mesure dans laquelle le choix de déposer une demande de brevet par la voie du</w:t>
      </w:r>
      <w:r>
        <w:rPr>
          <w:lang w:val="fr-FR"/>
        </w:rPr>
        <w:t> </w:t>
      </w:r>
      <w:r w:rsidRPr="00154B10">
        <w:rPr>
          <w:lang w:val="fr-FR"/>
        </w:rPr>
        <w:t>PCT ou celle de la Convention de Paris est influencé par une variation de la taxe internationale de dépôt</w:t>
      </w:r>
      <w:r>
        <w:rPr>
          <w:lang w:val="fr-FR"/>
        </w:rPr>
        <w:t xml:space="preserve">.  </w:t>
      </w:r>
      <w:r w:rsidRPr="00154B10">
        <w:rPr>
          <w:lang w:val="fr-FR"/>
        </w:rPr>
        <w:t xml:space="preserve">Cette étude a révélé que les universités et les </w:t>
      </w:r>
      <w:r>
        <w:rPr>
          <w:lang w:val="fr-FR"/>
        </w:rPr>
        <w:t xml:space="preserve">organismes </w:t>
      </w:r>
      <w:r w:rsidRPr="00154B10">
        <w:rPr>
          <w:lang w:val="fr-FR"/>
        </w:rPr>
        <w:t xml:space="preserve">de recherche publics sont plus sensibles au prix que les autres déposants </w:t>
      </w:r>
      <w:r w:rsidRPr="000431F1">
        <w:rPr>
          <w:lang w:val="fr-FR"/>
        </w:rPr>
        <w:t>(</w:t>
      </w:r>
      <w:r>
        <w:rPr>
          <w:lang w:val="fr-FR"/>
        </w:rPr>
        <w:t xml:space="preserve">voir le </w:t>
      </w:r>
      <w:r w:rsidRPr="000431F1">
        <w:rPr>
          <w:lang w:val="fr-FR"/>
        </w:rPr>
        <w:t>document</w:t>
      </w:r>
      <w:r w:rsidR="00E7006A">
        <w:rPr>
          <w:lang w:val="fr-FR"/>
        </w:rPr>
        <w:t> </w:t>
      </w:r>
      <w:r w:rsidRPr="000431F1">
        <w:rPr>
          <w:lang w:val="fr-FR"/>
        </w:rPr>
        <w:t>PCT/WG/7/6).  T</w:t>
      </w:r>
      <w:r>
        <w:rPr>
          <w:lang w:val="fr-FR"/>
        </w:rPr>
        <w:t>el est notamment le cas des organismes se situant dans les pays en</w:t>
      </w:r>
      <w:r w:rsidR="009C189A">
        <w:rPr>
          <w:lang w:val="fr-FR"/>
        </w:rPr>
        <w:t> </w:t>
      </w:r>
      <w:r>
        <w:rPr>
          <w:lang w:val="fr-FR"/>
        </w:rPr>
        <w:t>développement</w:t>
      </w:r>
      <w:r w:rsidRPr="000431F1">
        <w:rPr>
          <w:lang w:val="fr-FR"/>
        </w:rPr>
        <w:t>.</w:t>
      </w:r>
    </w:p>
    <w:p w:rsidR="00ED3386" w:rsidRPr="000431F1" w:rsidRDefault="00ED3386" w:rsidP="00E56CE9">
      <w:pPr>
        <w:pStyle w:val="ONUMFS"/>
        <w:rPr>
          <w:lang w:val="fr-FR"/>
        </w:rPr>
      </w:pPr>
      <w:r>
        <w:rPr>
          <w:lang w:val="fr-FR"/>
        </w:rPr>
        <w:t>À la huitième session</w:t>
      </w:r>
      <w:r w:rsidRPr="000431F1">
        <w:rPr>
          <w:lang w:val="fr-FR"/>
        </w:rPr>
        <w:t xml:space="preserve"> </w:t>
      </w:r>
      <w:r>
        <w:rPr>
          <w:lang w:val="fr-FR"/>
        </w:rPr>
        <w:t xml:space="preserve">du groupe de travail, le Bureau international a confirmé la conclusion selon laquelle les </w:t>
      </w:r>
      <w:r w:rsidRPr="00BA711D">
        <w:rPr>
          <w:lang w:val="fr-FR"/>
        </w:rPr>
        <w:t xml:space="preserve">universités et les organismes de recherche publics </w:t>
      </w:r>
      <w:r>
        <w:rPr>
          <w:lang w:val="fr-FR"/>
        </w:rPr>
        <w:t xml:space="preserve">des pays en développement </w:t>
      </w:r>
      <w:r w:rsidRPr="00BA711D">
        <w:rPr>
          <w:lang w:val="fr-FR"/>
        </w:rPr>
        <w:t xml:space="preserve">sont plus sensibles au prix </w:t>
      </w:r>
      <w:r w:rsidRPr="000431F1">
        <w:rPr>
          <w:lang w:val="fr-FR"/>
        </w:rPr>
        <w:t>(</w:t>
      </w:r>
      <w:r>
        <w:rPr>
          <w:lang w:val="fr-FR"/>
        </w:rPr>
        <w:t xml:space="preserve">voir le </w:t>
      </w:r>
      <w:r w:rsidRPr="000431F1">
        <w:rPr>
          <w:lang w:val="fr-FR"/>
        </w:rPr>
        <w:t>document</w:t>
      </w:r>
      <w:r w:rsidR="00E7006A">
        <w:rPr>
          <w:lang w:val="fr-FR"/>
        </w:rPr>
        <w:t> </w:t>
      </w:r>
      <w:r w:rsidRPr="000431F1">
        <w:rPr>
          <w:lang w:val="fr-FR"/>
        </w:rPr>
        <w:t xml:space="preserve">PCT/WG/8/11).  </w:t>
      </w:r>
      <w:r>
        <w:rPr>
          <w:lang w:val="fr-FR"/>
        </w:rPr>
        <w:t xml:space="preserve">Le </w:t>
      </w:r>
      <w:r w:rsidRPr="000431F1">
        <w:rPr>
          <w:lang w:val="fr-FR"/>
        </w:rPr>
        <w:t>Secr</w:t>
      </w:r>
      <w:r>
        <w:rPr>
          <w:lang w:val="fr-FR"/>
        </w:rPr>
        <w:t>é</w:t>
      </w:r>
      <w:r w:rsidRPr="000431F1">
        <w:rPr>
          <w:lang w:val="fr-FR"/>
        </w:rPr>
        <w:t xml:space="preserve">tariat </w:t>
      </w:r>
      <w:r>
        <w:rPr>
          <w:lang w:val="fr-FR"/>
        </w:rPr>
        <w:t>a estimé qu’une réduction de 50% de la taxe générerait 139 dépôts additionnels par année pour les université</w:t>
      </w:r>
      <w:r w:rsidRPr="000431F1">
        <w:rPr>
          <w:lang w:val="fr-FR"/>
        </w:rPr>
        <w:t xml:space="preserve">s </w:t>
      </w:r>
      <w:r>
        <w:rPr>
          <w:lang w:val="fr-FR"/>
        </w:rPr>
        <w:t>des pays en développement</w:t>
      </w:r>
      <w:r w:rsidRPr="000431F1">
        <w:rPr>
          <w:lang w:val="fr-FR"/>
        </w:rPr>
        <w:t xml:space="preserve"> (</w:t>
      </w:r>
      <w:r>
        <w:rPr>
          <w:lang w:val="fr-FR"/>
        </w:rPr>
        <w:t>voir le tableau </w:t>
      </w:r>
      <w:r w:rsidRPr="000431F1">
        <w:rPr>
          <w:lang w:val="fr-FR"/>
        </w:rPr>
        <w:t xml:space="preserve">4 </w:t>
      </w:r>
      <w:r>
        <w:rPr>
          <w:lang w:val="fr-FR"/>
        </w:rPr>
        <w:t xml:space="preserve">du </w:t>
      </w:r>
      <w:r w:rsidRPr="000431F1">
        <w:rPr>
          <w:lang w:val="fr-FR"/>
        </w:rPr>
        <w:t>document</w:t>
      </w:r>
      <w:r w:rsidR="00E7006A">
        <w:rPr>
          <w:lang w:val="fr-FR"/>
        </w:rPr>
        <w:t> </w:t>
      </w:r>
      <w:r w:rsidRPr="000431F1">
        <w:rPr>
          <w:lang w:val="fr-FR"/>
        </w:rPr>
        <w:t xml:space="preserve">PCT/WG/8/11).  </w:t>
      </w:r>
      <w:r>
        <w:rPr>
          <w:lang w:val="fr-FR"/>
        </w:rPr>
        <w:t>Le</w:t>
      </w:r>
      <w:r w:rsidR="009C189A">
        <w:rPr>
          <w:lang w:val="fr-FR"/>
        </w:rPr>
        <w:t> </w:t>
      </w:r>
      <w:r>
        <w:rPr>
          <w:lang w:val="fr-FR"/>
        </w:rPr>
        <w:t>président du groupe de travail a “</w:t>
      </w:r>
      <w:r w:rsidRPr="000431F1">
        <w:rPr>
          <w:lang w:val="fr-FR"/>
        </w:rPr>
        <w:t>invit</w:t>
      </w:r>
      <w:r>
        <w:rPr>
          <w:lang w:val="fr-FR"/>
        </w:rPr>
        <w:t xml:space="preserve">é </w:t>
      </w:r>
      <w:r w:rsidRPr="00E56CE9">
        <w:rPr>
          <w:lang w:val="fr-FR"/>
        </w:rPr>
        <w:t xml:space="preserve">les </w:t>
      </w:r>
      <w:r w:rsidRPr="00334DA0">
        <w:rPr>
          <w:lang w:val="fr-FR"/>
        </w:rPr>
        <w:t>États membres à soumettre des propositions à cet égard pour examen lors d</w:t>
      </w:r>
      <w:r>
        <w:rPr>
          <w:lang w:val="fr-FR"/>
        </w:rPr>
        <w:t>’</w:t>
      </w:r>
      <w:r w:rsidRPr="00334DA0">
        <w:rPr>
          <w:lang w:val="fr-FR"/>
        </w:rPr>
        <w:t>une future session du groupe de travail</w:t>
      </w:r>
      <w:r>
        <w:rPr>
          <w:lang w:val="fr-FR"/>
        </w:rPr>
        <w:t>”</w:t>
      </w:r>
      <w:r w:rsidRPr="000431F1">
        <w:rPr>
          <w:lang w:val="fr-FR"/>
        </w:rPr>
        <w:t xml:space="preserve"> (</w:t>
      </w:r>
      <w:r>
        <w:rPr>
          <w:lang w:val="fr-FR"/>
        </w:rPr>
        <w:t xml:space="preserve">voir le </w:t>
      </w:r>
      <w:r w:rsidRPr="000431F1">
        <w:rPr>
          <w:lang w:val="fr-FR"/>
        </w:rPr>
        <w:t>paragraph</w:t>
      </w:r>
      <w:r>
        <w:rPr>
          <w:lang w:val="fr-FR"/>
        </w:rPr>
        <w:t>e</w:t>
      </w:r>
      <w:r w:rsidRPr="000431F1">
        <w:rPr>
          <w:lang w:val="fr-FR"/>
        </w:rPr>
        <w:t xml:space="preserve"> 19 </w:t>
      </w:r>
      <w:r>
        <w:rPr>
          <w:lang w:val="fr-FR"/>
        </w:rPr>
        <w:t>du</w:t>
      </w:r>
      <w:r w:rsidRPr="000431F1">
        <w:rPr>
          <w:lang w:val="fr-FR"/>
        </w:rPr>
        <w:t xml:space="preserve"> document</w:t>
      </w:r>
      <w:r w:rsidR="00E7006A">
        <w:rPr>
          <w:lang w:val="fr-FR"/>
        </w:rPr>
        <w:t> </w:t>
      </w:r>
      <w:r w:rsidRPr="000431F1">
        <w:rPr>
          <w:lang w:val="fr-FR"/>
        </w:rPr>
        <w:t>PCT/WG/8/25).</w:t>
      </w:r>
    </w:p>
    <w:p w:rsidR="00ED3386" w:rsidRDefault="00ED3386" w:rsidP="00E56CE9">
      <w:pPr>
        <w:pStyle w:val="ONUMFS"/>
        <w:rPr>
          <w:lang w:val="fr-FR"/>
        </w:rPr>
      </w:pPr>
      <w:r>
        <w:rPr>
          <w:lang w:val="fr-FR"/>
        </w:rPr>
        <w:t>En réponse à l’invitation du président, la délégation du Brésil a présenté, à la neuvième session</w:t>
      </w:r>
      <w:r w:rsidRPr="000431F1">
        <w:rPr>
          <w:lang w:val="fr-FR"/>
        </w:rPr>
        <w:t xml:space="preserve"> </w:t>
      </w:r>
      <w:r>
        <w:rPr>
          <w:lang w:val="fr-FR"/>
        </w:rPr>
        <w:t>du groupe de travail</w:t>
      </w:r>
      <w:r w:rsidRPr="000431F1">
        <w:rPr>
          <w:lang w:val="fr-FR"/>
        </w:rPr>
        <w:t xml:space="preserve">, </w:t>
      </w:r>
      <w:r>
        <w:rPr>
          <w:lang w:val="fr-FR"/>
        </w:rPr>
        <w:t xml:space="preserve">une proposition de réduction d’au moins 50% des taxes pour les établissements universitaires de certains pays </w:t>
      </w:r>
      <w:r w:rsidRPr="000431F1">
        <w:rPr>
          <w:lang w:val="fr-FR"/>
        </w:rPr>
        <w:t>(</w:t>
      </w:r>
      <w:r>
        <w:rPr>
          <w:lang w:val="fr-FR"/>
        </w:rPr>
        <w:t>voir le d</w:t>
      </w:r>
      <w:r w:rsidRPr="000431F1">
        <w:rPr>
          <w:lang w:val="fr-FR"/>
        </w:rPr>
        <w:t>ocument</w:t>
      </w:r>
      <w:r w:rsidR="00E7006A">
        <w:rPr>
          <w:lang w:val="fr-FR"/>
        </w:rPr>
        <w:t> </w:t>
      </w:r>
      <w:r w:rsidRPr="000431F1">
        <w:rPr>
          <w:lang w:val="fr-FR"/>
        </w:rPr>
        <w:t xml:space="preserve">PCT/WG/9/25).  </w:t>
      </w:r>
      <w:r>
        <w:rPr>
          <w:lang w:val="fr-FR"/>
        </w:rPr>
        <w:t>Les</w:t>
      </w:r>
      <w:r w:rsidR="009C189A">
        <w:rPr>
          <w:lang w:val="fr-FR"/>
        </w:rPr>
        <w:t> </w:t>
      </w:r>
      <w:r w:rsidRPr="006516B1">
        <w:rPr>
          <w:lang w:val="fr-FR"/>
        </w:rPr>
        <w:t>pays potentiellement bénéficiaires de cette mesure ont dans l</w:t>
      </w:r>
      <w:r>
        <w:rPr>
          <w:lang w:val="fr-FR"/>
        </w:rPr>
        <w:t>’</w:t>
      </w:r>
      <w:r w:rsidRPr="006516B1">
        <w:rPr>
          <w:lang w:val="fr-FR"/>
        </w:rPr>
        <w:t>ensemble réservé un accueil favorable au document</w:t>
      </w:r>
      <w:r>
        <w:rPr>
          <w:lang w:val="fr-FR"/>
        </w:rPr>
        <w:t xml:space="preserve">.  D’autres </w:t>
      </w:r>
      <w:r w:rsidRPr="006516B1">
        <w:rPr>
          <w:lang w:val="fr-FR"/>
        </w:rPr>
        <w:t>ont proposé d</w:t>
      </w:r>
      <w:r>
        <w:rPr>
          <w:lang w:val="fr-FR"/>
        </w:rPr>
        <w:t>’</w:t>
      </w:r>
      <w:r w:rsidRPr="006516B1">
        <w:rPr>
          <w:lang w:val="fr-FR"/>
        </w:rPr>
        <w:t>ouvrir la discussion à une réduction de taxes de portée plus générale, qui engloberait les pays développés</w:t>
      </w:r>
      <w:r>
        <w:rPr>
          <w:lang w:val="fr-FR"/>
        </w:rPr>
        <w:t xml:space="preserve">.  </w:t>
      </w:r>
      <w:r w:rsidRPr="006516B1">
        <w:rPr>
          <w:lang w:val="fr-FR"/>
        </w:rPr>
        <w:t>Certaines délégations se sont dites préoccupées par la définition de l</w:t>
      </w:r>
      <w:r>
        <w:rPr>
          <w:lang w:val="fr-FR"/>
        </w:rPr>
        <w:t>’</w:t>
      </w:r>
      <w:r w:rsidRPr="006516B1">
        <w:rPr>
          <w:lang w:val="fr-FR"/>
        </w:rPr>
        <w:t>expression “organismes de recherche publics” et par l</w:t>
      </w:r>
      <w:r>
        <w:rPr>
          <w:lang w:val="fr-FR"/>
        </w:rPr>
        <w:t>’</w:t>
      </w:r>
      <w:r w:rsidRPr="006516B1">
        <w:rPr>
          <w:lang w:val="fr-FR"/>
        </w:rPr>
        <w:t>incidence financière de la réduction des taxes</w:t>
      </w:r>
      <w:r w:rsidRPr="000431F1">
        <w:rPr>
          <w:lang w:val="fr-FR"/>
        </w:rPr>
        <w:t>.</w:t>
      </w:r>
    </w:p>
    <w:p w:rsidR="00ED3386" w:rsidRDefault="00ED3386" w:rsidP="00E56CE9">
      <w:pPr>
        <w:pStyle w:val="ONUMFS"/>
        <w:rPr>
          <w:lang w:val="fr-FR"/>
        </w:rPr>
      </w:pPr>
      <w:r>
        <w:rPr>
          <w:lang w:val="fr-FR"/>
        </w:rPr>
        <w:t xml:space="preserve">Au regard des observations formulées à la précédente session, la délégation du Brésil a présenté à la dixième session du groupe de travail une proposition révisée visant à </w:t>
      </w:r>
      <w:r w:rsidRPr="000431F1">
        <w:rPr>
          <w:lang w:val="fr-FR"/>
        </w:rPr>
        <w:t>limite</w:t>
      </w:r>
      <w:r>
        <w:rPr>
          <w:lang w:val="fr-FR"/>
        </w:rPr>
        <w:t>r les avantages accordés aux établissements universitaires (voir le d</w:t>
      </w:r>
      <w:r w:rsidRPr="000431F1">
        <w:rPr>
          <w:lang w:val="fr-FR"/>
        </w:rPr>
        <w:t>ocument</w:t>
      </w:r>
      <w:r w:rsidR="00E7006A">
        <w:rPr>
          <w:lang w:val="fr-FR"/>
        </w:rPr>
        <w:t> </w:t>
      </w:r>
      <w:r w:rsidRPr="000431F1">
        <w:rPr>
          <w:lang w:val="fr-FR"/>
        </w:rPr>
        <w:t xml:space="preserve">PCT/WG/10/18).  </w:t>
      </w:r>
      <w:r>
        <w:rPr>
          <w:lang w:val="fr-FR"/>
        </w:rPr>
        <w:t>Dans</w:t>
      </w:r>
      <w:r w:rsidR="009C189A">
        <w:rPr>
          <w:lang w:val="fr-FR"/>
        </w:rPr>
        <w:t> </w:t>
      </w:r>
      <w:r>
        <w:rPr>
          <w:lang w:val="fr-FR"/>
        </w:rPr>
        <w:t xml:space="preserve">la proposition révisée, il était proposé d’introduire un plafond de 20 demandes par année par </w:t>
      </w:r>
      <w:r w:rsidRPr="000431F1">
        <w:rPr>
          <w:lang w:val="fr-FR"/>
        </w:rPr>
        <w:t>institution</w:t>
      </w:r>
      <w:r>
        <w:rPr>
          <w:lang w:val="fr-FR"/>
        </w:rPr>
        <w:t xml:space="preserve"> afin de tenir compte des préoccupations soulevées par l’incidence financière de la réduction des taxes.  Les pays bénéficiaires ont réitéré leur appui au </w:t>
      </w:r>
      <w:r w:rsidRPr="000431F1">
        <w:rPr>
          <w:lang w:val="fr-FR"/>
        </w:rPr>
        <w:t>document</w:t>
      </w:r>
      <w:r>
        <w:rPr>
          <w:lang w:val="fr-FR"/>
        </w:rPr>
        <w:t xml:space="preserve"> dont ils ont considéré le contenu comme une politique peu coûteuse et efficace visant à encourager l’innovation dans les pays disposant de peu de moyens afin de renforcer leur capacité à participer au système du </w:t>
      </w:r>
      <w:r w:rsidRPr="000431F1">
        <w:rPr>
          <w:lang w:val="fr-FR"/>
        </w:rPr>
        <w:t>PCT</w:t>
      </w:r>
      <w:r>
        <w:rPr>
          <w:lang w:val="fr-FR"/>
        </w:rPr>
        <w:t>.  En particulier, les membres des quatre groupes régionaux ont fait part de leur</w:t>
      </w:r>
      <w:r w:rsidRPr="006D2297">
        <w:rPr>
          <w:lang w:val="fr-FR"/>
        </w:rPr>
        <w:t xml:space="preserve"> accord concernant la proposition de réduction soumise</w:t>
      </w:r>
      <w:r w:rsidRPr="000431F1">
        <w:rPr>
          <w:lang w:val="fr-FR"/>
        </w:rPr>
        <w:t xml:space="preserve">, </w:t>
      </w:r>
      <w:r>
        <w:rPr>
          <w:lang w:val="fr-FR"/>
        </w:rPr>
        <w:t>faisant ainsi passer à 109 le nombre de membres appuyant la proposition, soit plus des deux tiers des 152 parties contractantes du PCT</w:t>
      </w:r>
      <w:r w:rsidRPr="000431F1">
        <w:rPr>
          <w:lang w:val="fr-FR"/>
        </w:rPr>
        <w:t>.</w:t>
      </w:r>
    </w:p>
    <w:p w:rsidR="00ED3386" w:rsidRDefault="00ED3386" w:rsidP="00E56CE9">
      <w:pPr>
        <w:pStyle w:val="ONUMFS"/>
        <w:rPr>
          <w:lang w:val="fr-FR"/>
        </w:rPr>
      </w:pPr>
      <w:r w:rsidRPr="00817E7E">
        <w:rPr>
          <w:lang w:val="fr-FR"/>
        </w:rPr>
        <w:t>Le deuxième supplément à l</w:t>
      </w:r>
      <w:r>
        <w:rPr>
          <w:lang w:val="fr-FR"/>
        </w:rPr>
        <w:t>’</w:t>
      </w:r>
      <w:r w:rsidRPr="00817E7E">
        <w:rPr>
          <w:lang w:val="fr-FR"/>
        </w:rPr>
        <w:t>étude intitulée “Estimer l</w:t>
      </w:r>
      <w:r>
        <w:rPr>
          <w:lang w:val="fr-FR"/>
        </w:rPr>
        <w:t>’</w:t>
      </w:r>
      <w:r w:rsidRPr="00817E7E">
        <w:rPr>
          <w:lang w:val="fr-FR"/>
        </w:rPr>
        <w:t>élasticité par rapport à la taxe de dépôt du</w:t>
      </w:r>
      <w:r>
        <w:rPr>
          <w:lang w:val="fr-FR"/>
        </w:rPr>
        <w:t> </w:t>
      </w:r>
      <w:r w:rsidRPr="00817E7E">
        <w:rPr>
          <w:lang w:val="fr-FR"/>
        </w:rPr>
        <w:t>PCT” (document PCT/WG/10/2), expose</w:t>
      </w:r>
      <w:r w:rsidR="005A16FB">
        <w:rPr>
          <w:lang w:val="fr-FR"/>
        </w:rPr>
        <w:t xml:space="preserve"> </w:t>
      </w:r>
      <w:r w:rsidRPr="00817E7E">
        <w:rPr>
          <w:lang w:val="fr-FR"/>
        </w:rPr>
        <w:t>des simulations concernant le manque à gagner découlant de divers niveaux de réduction appliqués aux établissements universitaires</w:t>
      </w:r>
      <w:r>
        <w:rPr>
          <w:lang w:val="fr-FR"/>
        </w:rPr>
        <w:t xml:space="preserve">.  </w:t>
      </w:r>
      <w:r w:rsidRPr="00817E7E">
        <w:rPr>
          <w:lang w:val="fr-FR"/>
        </w:rPr>
        <w:t>Selon les estimations du Secrétariat, la perte de recettes découlant d</w:t>
      </w:r>
      <w:r>
        <w:rPr>
          <w:lang w:val="fr-FR"/>
        </w:rPr>
        <w:t>’</w:t>
      </w:r>
      <w:r w:rsidRPr="00817E7E">
        <w:rPr>
          <w:lang w:val="fr-FR"/>
        </w:rPr>
        <w:t>une réduction des taxes de 50% généralisée à l</w:t>
      </w:r>
      <w:r>
        <w:rPr>
          <w:lang w:val="fr-FR"/>
        </w:rPr>
        <w:t>’</w:t>
      </w:r>
      <w:r w:rsidRPr="00817E7E">
        <w:rPr>
          <w:lang w:val="fr-FR"/>
        </w:rPr>
        <w:t>ensemble des établissements universitaires des pays en développement s</w:t>
      </w:r>
      <w:r>
        <w:rPr>
          <w:lang w:val="fr-FR"/>
        </w:rPr>
        <w:t>’</w:t>
      </w:r>
      <w:r w:rsidRPr="00817E7E">
        <w:rPr>
          <w:lang w:val="fr-FR"/>
        </w:rPr>
        <w:t>élèverait au total à</w:t>
      </w:r>
      <w:r w:rsidRPr="000431F1">
        <w:rPr>
          <w:lang w:val="fr-FR"/>
        </w:rPr>
        <w:t xml:space="preserve"> 660</w:t>
      </w:r>
      <w:r>
        <w:rPr>
          <w:lang w:val="fr-FR"/>
        </w:rPr>
        <w:t> </w:t>
      </w:r>
      <w:r w:rsidRPr="000431F1">
        <w:rPr>
          <w:lang w:val="fr-FR"/>
        </w:rPr>
        <w:t xml:space="preserve">000 francs </w:t>
      </w:r>
      <w:r>
        <w:rPr>
          <w:lang w:val="fr-FR"/>
        </w:rPr>
        <w:t xml:space="preserve">suisses </w:t>
      </w:r>
      <w:r w:rsidRPr="000431F1">
        <w:rPr>
          <w:lang w:val="fr-FR"/>
        </w:rPr>
        <w:t>(</w:t>
      </w:r>
      <w:r>
        <w:rPr>
          <w:lang w:val="fr-FR"/>
        </w:rPr>
        <w:t>voir le tableau </w:t>
      </w:r>
      <w:r w:rsidRPr="000431F1">
        <w:rPr>
          <w:lang w:val="fr-FR"/>
        </w:rPr>
        <w:t xml:space="preserve">3b </w:t>
      </w:r>
      <w:r>
        <w:rPr>
          <w:lang w:val="fr-FR"/>
        </w:rPr>
        <w:t>du</w:t>
      </w:r>
      <w:r w:rsidRPr="000431F1">
        <w:rPr>
          <w:lang w:val="fr-FR"/>
        </w:rPr>
        <w:t xml:space="preserve"> document)</w:t>
      </w:r>
      <w:r>
        <w:rPr>
          <w:lang w:val="fr-FR"/>
        </w:rPr>
        <w:t xml:space="preserve"> si un plafond de 20 demandes est appliqué.  La perte de recettes découlant </w:t>
      </w:r>
      <w:r w:rsidRPr="005E69B2">
        <w:rPr>
          <w:lang w:val="fr-FR"/>
        </w:rPr>
        <w:t>d</w:t>
      </w:r>
      <w:r>
        <w:rPr>
          <w:lang w:val="fr-FR"/>
        </w:rPr>
        <w:t>’</w:t>
      </w:r>
      <w:r w:rsidRPr="005E69B2">
        <w:rPr>
          <w:lang w:val="fr-FR"/>
        </w:rPr>
        <w:t xml:space="preserve">une réduction des taxes de </w:t>
      </w:r>
      <w:r>
        <w:rPr>
          <w:lang w:val="fr-FR"/>
        </w:rPr>
        <w:t>2</w:t>
      </w:r>
      <w:r w:rsidRPr="005E69B2">
        <w:rPr>
          <w:lang w:val="fr-FR"/>
        </w:rPr>
        <w:t xml:space="preserve">5% </w:t>
      </w:r>
      <w:r>
        <w:rPr>
          <w:lang w:val="fr-FR"/>
        </w:rPr>
        <w:t>pour les</w:t>
      </w:r>
      <w:r w:rsidRPr="005E69B2">
        <w:rPr>
          <w:lang w:val="fr-FR"/>
        </w:rPr>
        <w:t xml:space="preserve"> établissements universitaires des pays en développement s</w:t>
      </w:r>
      <w:r>
        <w:rPr>
          <w:lang w:val="fr-FR"/>
        </w:rPr>
        <w:t>’</w:t>
      </w:r>
      <w:r w:rsidRPr="005E69B2">
        <w:rPr>
          <w:lang w:val="fr-FR"/>
        </w:rPr>
        <w:t xml:space="preserve">élèverait à </w:t>
      </w:r>
      <w:r w:rsidRPr="000431F1">
        <w:rPr>
          <w:lang w:val="fr-FR"/>
        </w:rPr>
        <w:t>780</w:t>
      </w:r>
      <w:r>
        <w:rPr>
          <w:lang w:val="fr-FR"/>
        </w:rPr>
        <w:t> </w:t>
      </w:r>
      <w:r w:rsidRPr="000431F1">
        <w:rPr>
          <w:lang w:val="fr-FR"/>
        </w:rPr>
        <w:t>000 francs</w:t>
      </w:r>
      <w:r>
        <w:rPr>
          <w:lang w:val="fr-FR"/>
        </w:rPr>
        <w:t> suisses si un plafond de cinq demandes est appliqué</w:t>
      </w:r>
      <w:r w:rsidRPr="000431F1">
        <w:rPr>
          <w:lang w:val="fr-FR"/>
        </w:rPr>
        <w:t xml:space="preserve"> (</w:t>
      </w:r>
      <w:r>
        <w:rPr>
          <w:lang w:val="fr-FR"/>
        </w:rPr>
        <w:t>voir le tableau </w:t>
      </w:r>
      <w:r w:rsidRPr="000431F1">
        <w:rPr>
          <w:lang w:val="fr-FR"/>
        </w:rPr>
        <w:t xml:space="preserve">3a </w:t>
      </w:r>
      <w:r>
        <w:rPr>
          <w:lang w:val="fr-FR"/>
        </w:rPr>
        <w:t xml:space="preserve">du </w:t>
      </w:r>
      <w:r w:rsidRPr="000431F1">
        <w:rPr>
          <w:lang w:val="fr-FR"/>
        </w:rPr>
        <w:t>document).</w:t>
      </w:r>
    </w:p>
    <w:p w:rsidR="00ED3386" w:rsidRPr="000431F1" w:rsidRDefault="00ED3386" w:rsidP="00675FBD">
      <w:pPr>
        <w:pStyle w:val="ONUMFS"/>
        <w:keepLines/>
        <w:rPr>
          <w:lang w:val="fr-FR"/>
        </w:rPr>
      </w:pPr>
      <w:r>
        <w:rPr>
          <w:lang w:val="fr-FR"/>
        </w:rPr>
        <w:lastRenderedPageBreak/>
        <w:t>E</w:t>
      </w:r>
      <w:r w:rsidRPr="000431F1">
        <w:rPr>
          <w:lang w:val="fr-FR"/>
        </w:rPr>
        <w:t xml:space="preserve">n </w:t>
      </w:r>
      <w:r>
        <w:rPr>
          <w:lang w:val="fr-FR"/>
        </w:rPr>
        <w:t>mars </w:t>
      </w:r>
      <w:r w:rsidRPr="000431F1">
        <w:rPr>
          <w:lang w:val="fr-FR"/>
        </w:rPr>
        <w:t xml:space="preserve">2018, </w:t>
      </w:r>
      <w:r w:rsidRPr="005E69B2">
        <w:rPr>
          <w:lang w:val="fr-FR"/>
        </w:rPr>
        <w:t>le Directeur général a annoncé que l</w:t>
      </w:r>
      <w:r>
        <w:rPr>
          <w:lang w:val="fr-FR"/>
        </w:rPr>
        <w:t>’</w:t>
      </w:r>
      <w:r w:rsidRPr="005E69B2">
        <w:rPr>
          <w:lang w:val="fr-FR"/>
        </w:rPr>
        <w:t>OMPI avait enregistré un excédent de 80</w:t>
      </w:r>
      <w:r>
        <w:rPr>
          <w:lang w:val="fr-FR"/>
        </w:rPr>
        <w:t> </w:t>
      </w:r>
      <w:r w:rsidRPr="005E69B2">
        <w:rPr>
          <w:lang w:val="fr-FR"/>
        </w:rPr>
        <w:t>millions de francs suisses pour l</w:t>
      </w:r>
      <w:r>
        <w:rPr>
          <w:lang w:val="fr-FR"/>
        </w:rPr>
        <w:t>’</w:t>
      </w:r>
      <w:r w:rsidRPr="005E69B2">
        <w:rPr>
          <w:lang w:val="fr-FR"/>
        </w:rPr>
        <w:t>exercice biennal</w:t>
      </w:r>
      <w:r>
        <w:rPr>
          <w:lang w:val="fr-FR"/>
        </w:rPr>
        <w:t> </w:t>
      </w:r>
      <w:r w:rsidRPr="000431F1">
        <w:rPr>
          <w:lang w:val="fr-FR"/>
        </w:rPr>
        <w:t>2016</w:t>
      </w:r>
      <w:r w:rsidR="00E7006A">
        <w:rPr>
          <w:lang w:val="fr-FR"/>
        </w:rPr>
        <w:noBreakHyphen/>
      </w:r>
      <w:r w:rsidRPr="000431F1">
        <w:rPr>
          <w:lang w:val="fr-FR"/>
        </w:rPr>
        <w:t xml:space="preserve">2017.  </w:t>
      </w:r>
      <w:r>
        <w:rPr>
          <w:lang w:val="fr-FR"/>
        </w:rPr>
        <w:t>Dans le programme et budget pour l’exercice biennal </w:t>
      </w:r>
      <w:r w:rsidRPr="000431F1">
        <w:rPr>
          <w:lang w:val="fr-FR"/>
        </w:rPr>
        <w:t>2018</w:t>
      </w:r>
      <w:r w:rsidR="00E7006A">
        <w:rPr>
          <w:lang w:val="fr-FR"/>
        </w:rPr>
        <w:noBreakHyphen/>
      </w:r>
      <w:r w:rsidRPr="000431F1">
        <w:rPr>
          <w:lang w:val="fr-FR"/>
        </w:rPr>
        <w:t xml:space="preserve">2019 </w:t>
      </w:r>
      <w:r>
        <w:rPr>
          <w:lang w:val="fr-FR"/>
        </w:rPr>
        <w:t xml:space="preserve">approuvé par les États membres, le montant des recettes provenant des taxes perçues au titre du système du PCT en 2018 était estimé à </w:t>
      </w:r>
      <w:r w:rsidRPr="000431F1">
        <w:rPr>
          <w:lang w:val="fr-FR"/>
        </w:rPr>
        <w:t>312</w:t>
      </w:r>
      <w:r>
        <w:rPr>
          <w:lang w:val="fr-FR"/>
        </w:rPr>
        <w:t>,</w:t>
      </w:r>
      <w:r w:rsidRPr="000431F1">
        <w:rPr>
          <w:lang w:val="fr-FR"/>
        </w:rPr>
        <w:t>2 million</w:t>
      </w:r>
      <w:r>
        <w:rPr>
          <w:lang w:val="fr-FR"/>
        </w:rPr>
        <w:t>s de francs suisses</w:t>
      </w:r>
      <w:r w:rsidRPr="000431F1">
        <w:rPr>
          <w:lang w:val="fr-FR"/>
        </w:rPr>
        <w:t xml:space="preserve"> (</w:t>
      </w:r>
      <w:r>
        <w:rPr>
          <w:lang w:val="fr-FR"/>
        </w:rPr>
        <w:t>voir l’annexe </w:t>
      </w:r>
      <w:r w:rsidRPr="000431F1">
        <w:rPr>
          <w:lang w:val="fr-FR"/>
        </w:rPr>
        <w:t xml:space="preserve">VI </w:t>
      </w:r>
      <w:r>
        <w:rPr>
          <w:lang w:val="fr-FR"/>
        </w:rPr>
        <w:t xml:space="preserve">du </w:t>
      </w:r>
      <w:r w:rsidRPr="000431F1">
        <w:rPr>
          <w:lang w:val="fr-FR"/>
        </w:rPr>
        <w:t xml:space="preserve">document A/57/6).  </w:t>
      </w:r>
      <w:r w:rsidRPr="005E69B2">
        <w:rPr>
          <w:lang w:val="fr-FR"/>
        </w:rPr>
        <w:t>Compte tenu de cela, la baisse potentielle des recettes représenterait une infime portion de l</w:t>
      </w:r>
      <w:r>
        <w:rPr>
          <w:lang w:val="fr-FR"/>
        </w:rPr>
        <w:t>’</w:t>
      </w:r>
      <w:r w:rsidRPr="005E69B2">
        <w:rPr>
          <w:lang w:val="fr-FR"/>
        </w:rPr>
        <w:t>excédent prévu, mais aurait en revanche des effets concrets et positifs sur les dépôts par les établissements universitaires</w:t>
      </w:r>
      <w:r w:rsidRPr="000431F1">
        <w:rPr>
          <w:lang w:val="fr-FR"/>
        </w:rPr>
        <w:t>.</w:t>
      </w:r>
    </w:p>
    <w:p w:rsidR="00ED3386" w:rsidRPr="000431F1" w:rsidRDefault="00ED3386" w:rsidP="008C3545">
      <w:pPr>
        <w:pStyle w:val="Heading1"/>
        <w:rPr>
          <w:lang w:val="fr-FR"/>
        </w:rPr>
      </w:pPr>
      <w:r w:rsidRPr="000431F1">
        <w:rPr>
          <w:lang w:val="fr-FR"/>
        </w:rPr>
        <w:t>Propos</w:t>
      </w:r>
      <w:r>
        <w:rPr>
          <w:lang w:val="fr-FR"/>
        </w:rPr>
        <w:t>ition</w:t>
      </w:r>
    </w:p>
    <w:p w:rsidR="00ED3386" w:rsidRPr="005E69B2" w:rsidRDefault="00ED3386" w:rsidP="00E56CE9">
      <w:pPr>
        <w:pStyle w:val="ONUMFS"/>
        <w:rPr>
          <w:lang w:val="fr-FR"/>
        </w:rPr>
      </w:pPr>
      <w:r>
        <w:rPr>
          <w:lang w:val="fr-FR"/>
        </w:rPr>
        <w:t>Compte tenu du large soutien des pays bénéficiaires, notamment les pays en développement, à la proposition</w:t>
      </w:r>
      <w:r w:rsidRPr="005E69B2">
        <w:rPr>
          <w:lang w:val="fr-FR"/>
        </w:rPr>
        <w:t xml:space="preserve"> </w:t>
      </w:r>
      <w:r>
        <w:rPr>
          <w:lang w:val="fr-FR"/>
        </w:rPr>
        <w:t>et de l’ouverture d’esprit des autres pays qui se sont déclarés disposés à envisager une réduction des taxes qui serait également appliquée pour les établissements universitaires des pays développés, il est proposé de modifier le barème de taxes de manière à appliquer une réduction de taxes d’au moins 50% pour les établissements universitaires de certains pays, notamment les pays en développement et les pays de la catégorie des moins avancés visés au point </w:t>
      </w:r>
      <w:r w:rsidRPr="005E69B2">
        <w:rPr>
          <w:lang w:val="fr-FR"/>
        </w:rPr>
        <w:t>5</w:t>
      </w:r>
      <w:r>
        <w:rPr>
          <w:lang w:val="fr-FR"/>
        </w:rPr>
        <w:t>.</w:t>
      </w:r>
      <w:r w:rsidRPr="005E69B2">
        <w:rPr>
          <w:lang w:val="fr-FR"/>
        </w:rPr>
        <w:t xml:space="preserve">a) </w:t>
      </w:r>
      <w:r>
        <w:rPr>
          <w:lang w:val="fr-FR"/>
        </w:rPr>
        <w:t xml:space="preserve">du barème de taxes, </w:t>
      </w:r>
      <w:r w:rsidRPr="009C249D">
        <w:rPr>
          <w:lang w:val="fr-FR"/>
        </w:rPr>
        <w:t>en s</w:t>
      </w:r>
      <w:r>
        <w:rPr>
          <w:lang w:val="fr-FR"/>
        </w:rPr>
        <w:t>’</w:t>
      </w:r>
      <w:r w:rsidRPr="009C249D">
        <w:rPr>
          <w:lang w:val="fr-FR"/>
        </w:rPr>
        <w:t xml:space="preserve">appuyant sur les critères par pays actuellement applicables pour les réductions de taxes </w:t>
      </w:r>
      <w:r w:rsidRPr="005E69B2">
        <w:rPr>
          <w:lang w:val="fr-FR"/>
        </w:rPr>
        <w:t>(</w:t>
      </w:r>
      <w:r>
        <w:rPr>
          <w:lang w:val="fr-FR"/>
        </w:rPr>
        <w:t>voir l’annexe </w:t>
      </w:r>
      <w:r w:rsidRPr="005E69B2">
        <w:rPr>
          <w:lang w:val="fr-FR"/>
        </w:rPr>
        <w:t xml:space="preserve">I).  </w:t>
      </w:r>
      <w:r>
        <w:rPr>
          <w:lang w:val="fr-FR"/>
        </w:rPr>
        <w:t>Les</w:t>
      </w:r>
      <w:r w:rsidR="009C189A">
        <w:rPr>
          <w:lang w:val="fr-FR"/>
        </w:rPr>
        <w:t> </w:t>
      </w:r>
      <w:r>
        <w:rPr>
          <w:lang w:val="fr-FR"/>
        </w:rPr>
        <w:t>pays visés au point </w:t>
      </w:r>
      <w:r w:rsidRPr="005E69B2">
        <w:rPr>
          <w:lang w:val="fr-FR"/>
        </w:rPr>
        <w:t>5</w:t>
      </w:r>
      <w:r>
        <w:rPr>
          <w:lang w:val="fr-FR"/>
        </w:rPr>
        <w:t>.</w:t>
      </w:r>
      <w:r w:rsidRPr="005E69B2">
        <w:rPr>
          <w:lang w:val="fr-FR"/>
        </w:rPr>
        <w:t xml:space="preserve">b) </w:t>
      </w:r>
      <w:r>
        <w:rPr>
          <w:lang w:val="fr-FR"/>
        </w:rPr>
        <w:t xml:space="preserve">bénéficient déjà d’une réduction générale de </w:t>
      </w:r>
      <w:r w:rsidRPr="005E69B2">
        <w:rPr>
          <w:lang w:val="fr-FR"/>
        </w:rPr>
        <w:t xml:space="preserve">90% </w:t>
      </w:r>
      <w:r>
        <w:rPr>
          <w:lang w:val="fr-FR"/>
        </w:rPr>
        <w:t>des taxes pour tous les déposants et s’ils devaient sortir de la catégorie des pays les moins avancés, ils entreraient dans celle des pays énumérés au point 5.</w:t>
      </w:r>
      <w:r w:rsidRPr="005E69B2">
        <w:rPr>
          <w:lang w:val="fr-FR"/>
        </w:rPr>
        <w:t>a).</w:t>
      </w:r>
    </w:p>
    <w:p w:rsidR="00ED3386" w:rsidRDefault="00ED3386" w:rsidP="00E56CE9">
      <w:pPr>
        <w:pStyle w:val="ONUMFS"/>
        <w:rPr>
          <w:lang w:val="fr-FR"/>
        </w:rPr>
      </w:pPr>
      <w:r w:rsidRPr="006B0B73">
        <w:rPr>
          <w:lang w:val="fr-FR"/>
        </w:rPr>
        <w:t>En ce qui concerne les pays qui ne sont pas visés au point 5 du barème de taxes, les États membres pourraient prévoir une réduction de taxes de 25% pour leurs établissements universitaires (voir l</w:t>
      </w:r>
      <w:r>
        <w:rPr>
          <w:lang w:val="fr-FR"/>
        </w:rPr>
        <w:t>’</w:t>
      </w:r>
      <w:r w:rsidRPr="006B0B73">
        <w:rPr>
          <w:lang w:val="fr-FR"/>
        </w:rPr>
        <w:t xml:space="preserve">annexe II).  </w:t>
      </w:r>
      <w:r>
        <w:rPr>
          <w:lang w:val="fr-FR"/>
        </w:rPr>
        <w:t>La réduction plus faible découle de la différence d’élasticité par rapport à la taxe dans les pays pris en considération dans les études menées par l’OMPI, selon laquelle par rapport aux pays en développement, une réduction de taxes pour les pays développés aurait un effet moindre, voire négatif, au regard de l’augmentation du nombre de dépôts.  La différence de taux présente également l’avantage de réduire l’impact budgétaire dans la mesure où les établissements universitaires des pays développés déposent un nombre plus élevé de demandes par année.</w:t>
      </w:r>
    </w:p>
    <w:p w:rsidR="00ED3386" w:rsidRDefault="00ED3386" w:rsidP="00E56CE9">
      <w:pPr>
        <w:pStyle w:val="ONUMFS"/>
        <w:rPr>
          <w:lang w:val="fr-FR"/>
        </w:rPr>
      </w:pPr>
      <w:r>
        <w:rPr>
          <w:lang w:val="fr-FR"/>
        </w:rPr>
        <w:t>Dans les deux cas, le nombre de demandes pouvant être déposées chaque année par une université est plafonné.  En ce qui concerne les universités des pays en développement, ce plafond est de</w:t>
      </w:r>
      <w:r w:rsidRPr="000431F1">
        <w:rPr>
          <w:lang w:val="fr-FR"/>
        </w:rPr>
        <w:t xml:space="preserve"> 20 </w:t>
      </w:r>
      <w:r>
        <w:rPr>
          <w:lang w:val="fr-FR"/>
        </w:rPr>
        <w:t>demandes.  Dans le cas des pays développés, la limite fixée est de cinq demandes, compte tenu du coût plus élevé des réductions de taxes accordées aux pays développés.  L’objectif est de réduire davantage l’impact financier pour l’OMPI en maintenant l’équilibre budgétaire global au regard de la part des taxes du PCT dans les recettes totales.  Selon les estimations, les deux réductions proposées devraient représenter 0,46% des recettes du PCT pour </w:t>
      </w:r>
      <w:r w:rsidRPr="000431F1">
        <w:rPr>
          <w:lang w:val="fr-FR"/>
        </w:rPr>
        <w:t>2018.</w:t>
      </w:r>
    </w:p>
    <w:p w:rsidR="00ED3386" w:rsidRPr="000431F1" w:rsidRDefault="00ED3386" w:rsidP="00E56CE9">
      <w:pPr>
        <w:pStyle w:val="ONUMFS"/>
        <w:rPr>
          <w:lang w:val="fr-FR"/>
        </w:rPr>
      </w:pPr>
      <w:r>
        <w:rPr>
          <w:lang w:val="fr-FR"/>
        </w:rPr>
        <w:t>Les notes de bas de page se rapportant aux nouveaux points </w:t>
      </w:r>
      <w:r w:rsidRPr="000431F1">
        <w:rPr>
          <w:lang w:val="fr-FR"/>
        </w:rPr>
        <w:t xml:space="preserve">6 </w:t>
      </w:r>
      <w:r>
        <w:rPr>
          <w:lang w:val="fr-FR"/>
        </w:rPr>
        <w:t xml:space="preserve">et </w:t>
      </w:r>
      <w:r w:rsidRPr="000431F1">
        <w:rPr>
          <w:lang w:val="fr-FR"/>
        </w:rPr>
        <w:t xml:space="preserve">7 </w:t>
      </w:r>
      <w:r>
        <w:rPr>
          <w:lang w:val="fr-FR"/>
        </w:rPr>
        <w:t>qu’il est proposé d’incorporer dans le barème de taxes visent à apporter des précisions quant aux déposants remplissant les conditions requises pour bénéficier de la réduction de taxes.  À notre connaissance, tous les États membres disposent d’un mécanisme de reconnaissance des établissements d’enseignement supérieur, relevant généralement d’un ministère de l’enseignement ou d’un organe similaire.  Le Bureau international pourrait demander au moyen de circulaires la liste annuelle des établissements universitaires dans les États membres.  Par</w:t>
      </w:r>
      <w:r w:rsidR="009C189A">
        <w:rPr>
          <w:lang w:val="fr-FR"/>
        </w:rPr>
        <w:t> </w:t>
      </w:r>
      <w:r>
        <w:rPr>
          <w:lang w:val="fr-FR"/>
        </w:rPr>
        <w:t>ailleurs, le Bureau international des universités rattaché à l’UNESCO établit chaque année un répertoire international des universités, accessible dans la Base de données mondiale des universités, sur la base des informations fournies par les organismes compétents dans chaque pays.  En outre, il est proposé de faire bénéficier de la réduction tant les établissements universitaires publics que les établissements privés afin d’éviter toute pratique discriminatoire injustifiée et toute complication inutile des tâches du Bureau international et des offices</w:t>
      </w:r>
      <w:r w:rsidRPr="000431F1">
        <w:rPr>
          <w:lang w:val="fr-FR"/>
        </w:rPr>
        <w:t xml:space="preserve"> </w:t>
      </w:r>
      <w:r>
        <w:rPr>
          <w:lang w:val="fr-FR"/>
        </w:rPr>
        <w:t>récepteurs</w:t>
      </w:r>
      <w:r w:rsidRPr="000431F1">
        <w:rPr>
          <w:lang w:val="fr-FR"/>
        </w:rPr>
        <w:t>.</w:t>
      </w:r>
    </w:p>
    <w:p w:rsidR="00ED3386" w:rsidRPr="000431F1" w:rsidRDefault="00ED3386" w:rsidP="00E56CE9">
      <w:pPr>
        <w:pStyle w:val="ONUMFS"/>
        <w:rPr>
          <w:lang w:val="fr-FR"/>
        </w:rPr>
      </w:pPr>
      <w:r>
        <w:rPr>
          <w:lang w:val="fr-FR"/>
        </w:rPr>
        <w:lastRenderedPageBreak/>
        <w:t>Afin de tenir compte des préoccupations exprimées au sujet de l’équilibre budgétaire global à long terme, il est proposé que l’Assemblée de l’Union du PCT réexamine au moins tous les cinq ans les réductions de taxes.  Les membres pourraient aussi proposer d’autres mesures qu’ils estimeraient nécessaires pour compenser les coûts</w:t>
      </w:r>
      <w:r w:rsidRPr="000431F1">
        <w:rPr>
          <w:lang w:val="fr-FR"/>
        </w:rPr>
        <w:t>.</w:t>
      </w:r>
    </w:p>
    <w:p w:rsidR="00ED3386" w:rsidRPr="00E56CE9" w:rsidRDefault="00ED3386" w:rsidP="00E56CE9">
      <w:pPr>
        <w:pStyle w:val="ONUMFS"/>
        <w:ind w:left="5534"/>
        <w:rPr>
          <w:lang w:val="fr-FR"/>
        </w:rPr>
      </w:pPr>
      <w:r w:rsidRPr="00E56CE9">
        <w:rPr>
          <w:i/>
          <w:lang w:val="fr-FR"/>
        </w:rPr>
        <w:t>Le groupe de travail est invité à examiner la proposition énoncée dans le présent document, ainsi que la modification qu’il est proposé d’apporter au barème de taxes figurant dans les annexes</w:t>
      </w:r>
      <w:r w:rsidRPr="00E56CE9">
        <w:rPr>
          <w:lang w:val="fr-FR"/>
        </w:rPr>
        <w:t>.</w:t>
      </w:r>
    </w:p>
    <w:p w:rsidR="001A1755" w:rsidRPr="000431F1" w:rsidRDefault="001A1755" w:rsidP="001A1755">
      <w:pPr>
        <w:pStyle w:val="ONUME"/>
        <w:numPr>
          <w:ilvl w:val="0"/>
          <w:numId w:val="0"/>
        </w:numPr>
        <w:rPr>
          <w:lang w:val="fr-FR"/>
        </w:rPr>
      </w:pPr>
    </w:p>
    <w:p w:rsidR="001A1755" w:rsidRPr="000431F1" w:rsidRDefault="001A1755" w:rsidP="001A1755">
      <w:pPr>
        <w:pStyle w:val="Endofdocument-Annex"/>
        <w:rPr>
          <w:lang w:val="fr-FR"/>
        </w:rPr>
        <w:sectPr w:rsidR="001A1755" w:rsidRPr="000431F1" w:rsidSect="007F2B7D">
          <w:headerReference w:type="default" r:id="rId10"/>
          <w:endnotePr>
            <w:numFmt w:val="decimal"/>
          </w:endnotePr>
          <w:pgSz w:w="11907" w:h="16840" w:code="9"/>
          <w:pgMar w:top="567" w:right="1134" w:bottom="1418" w:left="1418" w:header="510" w:footer="1021" w:gutter="0"/>
          <w:cols w:space="720"/>
          <w:titlePg/>
          <w:docGrid w:linePitch="299"/>
        </w:sectPr>
      </w:pPr>
      <w:r w:rsidRPr="000431F1">
        <w:rPr>
          <w:lang w:val="fr-FR"/>
        </w:rPr>
        <w:t>[</w:t>
      </w:r>
      <w:r w:rsidR="00FC5BF0">
        <w:rPr>
          <w:lang w:val="fr-FR"/>
        </w:rPr>
        <w:t>Les a</w:t>
      </w:r>
      <w:r w:rsidRPr="000431F1">
        <w:rPr>
          <w:lang w:val="fr-FR"/>
        </w:rPr>
        <w:t xml:space="preserve">nnexes </w:t>
      </w:r>
      <w:r w:rsidR="00FC5BF0">
        <w:rPr>
          <w:lang w:val="fr-FR"/>
        </w:rPr>
        <w:t>suivent</w:t>
      </w:r>
      <w:r w:rsidRPr="000431F1">
        <w:rPr>
          <w:lang w:val="fr-FR"/>
        </w:rPr>
        <w:t>]</w:t>
      </w:r>
    </w:p>
    <w:p w:rsidR="001A1755" w:rsidRPr="000431F1" w:rsidRDefault="002D0BC4" w:rsidP="001A1755">
      <w:pPr>
        <w:pStyle w:val="Heading2"/>
        <w:jc w:val="center"/>
        <w:rPr>
          <w:lang w:val="fr-FR"/>
        </w:rPr>
      </w:pPr>
      <w:r w:rsidRPr="002D0BC4">
        <w:rPr>
          <w:lang w:val="fr-FR"/>
        </w:rPr>
        <w:lastRenderedPageBreak/>
        <w:t>Proposition de modification du règlement d</w:t>
      </w:r>
      <w:r w:rsidR="00735129">
        <w:rPr>
          <w:lang w:val="fr-FR"/>
        </w:rPr>
        <w:t>’</w:t>
      </w:r>
      <w:r w:rsidRPr="002D0BC4">
        <w:rPr>
          <w:lang w:val="fr-FR"/>
        </w:rPr>
        <w:t>exécution du PCT</w:t>
      </w:r>
    </w:p>
    <w:p w:rsidR="001A1755" w:rsidRPr="000431F1" w:rsidRDefault="001A1755" w:rsidP="001A1755">
      <w:pPr>
        <w:rPr>
          <w:lang w:val="fr-FR"/>
        </w:rPr>
      </w:pPr>
    </w:p>
    <w:p w:rsidR="001A1755" w:rsidRPr="000431F1" w:rsidRDefault="00DF757A" w:rsidP="001A1755">
      <w:pPr>
        <w:pStyle w:val="LegTitle"/>
        <w:spacing w:after="240" w:line="360" w:lineRule="auto"/>
        <w:rPr>
          <w:rFonts w:eastAsia="Arial Unicode MS"/>
          <w:lang w:val="fr-FR"/>
        </w:rPr>
      </w:pPr>
      <w:r w:rsidRPr="00DF757A">
        <w:rPr>
          <w:rFonts w:eastAsia="Arial Unicode MS"/>
          <w:lang w:val="fr-FR"/>
        </w:rPr>
        <w:t>BARÈME DE TAXES</w:t>
      </w:r>
    </w:p>
    <w:tbl>
      <w:tblPr>
        <w:tblW w:w="0" w:type="auto"/>
        <w:jc w:val="center"/>
        <w:tblLayout w:type="fixed"/>
        <w:tblCellMar>
          <w:left w:w="56" w:type="dxa"/>
          <w:right w:w="56" w:type="dxa"/>
        </w:tblCellMar>
        <w:tblLook w:val="04A0" w:firstRow="1" w:lastRow="0" w:firstColumn="1" w:lastColumn="0" w:noHBand="0" w:noVBand="1"/>
      </w:tblPr>
      <w:tblGrid>
        <w:gridCol w:w="33"/>
        <w:gridCol w:w="6079"/>
        <w:gridCol w:w="3001"/>
        <w:gridCol w:w="33"/>
      </w:tblGrid>
      <w:tr w:rsidR="001A1755" w:rsidRPr="000431F1" w:rsidTr="0090437D">
        <w:trPr>
          <w:gridAfter w:val="1"/>
          <w:wAfter w:w="33" w:type="dxa"/>
          <w:jc w:val="center"/>
        </w:trPr>
        <w:tc>
          <w:tcPr>
            <w:tcW w:w="6112" w:type="dxa"/>
            <w:gridSpan w:val="2"/>
            <w:hideMark/>
          </w:tcPr>
          <w:p w:rsidR="001A1755" w:rsidRPr="000431F1" w:rsidRDefault="00DF757A" w:rsidP="0090437D">
            <w:pPr>
              <w:pStyle w:val="LegBasic"/>
              <w:spacing w:after="120" w:line="360" w:lineRule="auto"/>
              <w:rPr>
                <w:rFonts w:eastAsia="SimSun"/>
                <w:b/>
                <w:bCs/>
                <w:lang w:val="fr-FR"/>
              </w:rPr>
            </w:pPr>
            <w:r w:rsidRPr="00DF757A">
              <w:rPr>
                <w:rFonts w:eastAsia="SimSun"/>
                <w:b/>
                <w:bCs/>
                <w:lang w:val="fr-FR"/>
              </w:rPr>
              <w:t>Taxes</w:t>
            </w:r>
          </w:p>
        </w:tc>
        <w:tc>
          <w:tcPr>
            <w:tcW w:w="3001" w:type="dxa"/>
            <w:hideMark/>
          </w:tcPr>
          <w:p w:rsidR="001A1755" w:rsidRPr="000431F1" w:rsidRDefault="00DF757A" w:rsidP="0090437D">
            <w:pPr>
              <w:pStyle w:val="LegBasic"/>
              <w:spacing w:after="120" w:line="360" w:lineRule="auto"/>
              <w:rPr>
                <w:rFonts w:eastAsia="SimSun"/>
                <w:b/>
                <w:bCs/>
                <w:lang w:val="fr-FR"/>
              </w:rPr>
            </w:pPr>
            <w:r w:rsidRPr="00DF757A">
              <w:rPr>
                <w:rFonts w:eastAsia="SimSun"/>
                <w:b/>
                <w:bCs/>
                <w:lang w:val="fr-FR"/>
              </w:rPr>
              <w:t>Montant</w:t>
            </w:r>
          </w:p>
        </w:tc>
      </w:tr>
      <w:tr w:rsidR="001A1755" w:rsidRPr="000431F1" w:rsidTr="0090437D">
        <w:trPr>
          <w:gridBefore w:val="1"/>
          <w:wBefore w:w="33" w:type="dxa"/>
          <w:cantSplit/>
          <w:jc w:val="center"/>
        </w:trPr>
        <w:tc>
          <w:tcPr>
            <w:tcW w:w="9113" w:type="dxa"/>
            <w:gridSpan w:val="3"/>
            <w:hideMark/>
          </w:tcPr>
          <w:p w:rsidR="001A1755" w:rsidRPr="000431F1" w:rsidRDefault="001A1755" w:rsidP="00DF757A">
            <w:pPr>
              <w:pStyle w:val="LegBasic"/>
              <w:spacing w:after="120" w:line="360" w:lineRule="auto"/>
              <w:rPr>
                <w:lang w:val="fr-FR"/>
              </w:rPr>
            </w:pPr>
            <w:r w:rsidRPr="000431F1">
              <w:rPr>
                <w:lang w:val="fr-FR"/>
              </w:rPr>
              <w:t xml:space="preserve">1. </w:t>
            </w:r>
            <w:r w:rsidR="00DF757A">
              <w:rPr>
                <w:lang w:val="fr-FR"/>
              </w:rPr>
              <w:t>à</w:t>
            </w:r>
            <w:r w:rsidRPr="000431F1">
              <w:rPr>
                <w:lang w:val="fr-FR"/>
              </w:rPr>
              <w:t xml:space="preserve"> 3.</w:t>
            </w:r>
            <w:r w:rsidR="007B12B5">
              <w:tab/>
            </w:r>
            <w:r w:rsidRPr="000431F1">
              <w:rPr>
                <w:lang w:val="fr-FR"/>
              </w:rPr>
              <w:t>[</w:t>
            </w:r>
            <w:r w:rsidR="00DF757A" w:rsidRPr="00DF757A">
              <w:rPr>
                <w:lang w:val="fr-FR"/>
              </w:rPr>
              <w:t>Sans changement</w:t>
            </w:r>
            <w:r w:rsidRPr="000431F1">
              <w:rPr>
                <w:lang w:val="fr-FR"/>
              </w:rPr>
              <w:t>]</w:t>
            </w:r>
          </w:p>
        </w:tc>
      </w:tr>
      <w:tr w:rsidR="001A1755" w:rsidRPr="000431F1" w:rsidTr="0090437D">
        <w:trPr>
          <w:gridAfter w:val="1"/>
          <w:wAfter w:w="33" w:type="dxa"/>
          <w:jc w:val="center"/>
        </w:trPr>
        <w:tc>
          <w:tcPr>
            <w:tcW w:w="6112" w:type="dxa"/>
            <w:gridSpan w:val="2"/>
            <w:hideMark/>
          </w:tcPr>
          <w:p w:rsidR="001A1755" w:rsidRPr="000431F1" w:rsidRDefault="001A1755" w:rsidP="0090437D">
            <w:pPr>
              <w:pStyle w:val="LegBasic"/>
              <w:spacing w:after="120" w:line="360" w:lineRule="auto"/>
              <w:rPr>
                <w:rFonts w:eastAsia="SimSun"/>
                <w:b/>
                <w:bCs/>
                <w:lang w:val="fr-FR"/>
              </w:rPr>
            </w:pPr>
            <w:r w:rsidRPr="000431F1">
              <w:rPr>
                <w:rFonts w:eastAsia="SimSun"/>
                <w:b/>
                <w:bCs/>
                <w:lang w:val="fr-FR"/>
              </w:rPr>
              <w:t>R</w:t>
            </w:r>
            <w:r w:rsidR="00DF757A">
              <w:rPr>
                <w:rFonts w:eastAsia="SimSun"/>
                <w:b/>
                <w:bCs/>
                <w:lang w:val="fr-FR"/>
              </w:rPr>
              <w:t>é</w:t>
            </w:r>
            <w:r w:rsidRPr="000431F1">
              <w:rPr>
                <w:rFonts w:eastAsia="SimSun"/>
                <w:b/>
                <w:bCs/>
                <w:lang w:val="fr-FR"/>
              </w:rPr>
              <w:t>ductions</w:t>
            </w:r>
          </w:p>
          <w:p w:rsidR="001A1755" w:rsidRPr="000431F1" w:rsidRDefault="001A1755" w:rsidP="0090437D">
            <w:pPr>
              <w:pStyle w:val="LegBasic"/>
              <w:spacing w:after="120" w:line="360" w:lineRule="auto"/>
              <w:rPr>
                <w:rFonts w:eastAsia="SimSun"/>
                <w:b/>
                <w:bCs/>
                <w:lang w:val="fr-FR"/>
              </w:rPr>
            </w:pPr>
            <w:r w:rsidRPr="000431F1">
              <w:rPr>
                <w:lang w:val="fr-FR"/>
              </w:rPr>
              <w:t>4.</w:t>
            </w:r>
            <w:r w:rsidR="007B12B5">
              <w:tab/>
            </w:r>
            <w:r w:rsidRPr="000431F1">
              <w:rPr>
                <w:lang w:val="fr-FR"/>
              </w:rPr>
              <w:t>[</w:t>
            </w:r>
            <w:r w:rsidR="00DF757A" w:rsidRPr="00DF757A">
              <w:rPr>
                <w:lang w:val="fr-FR"/>
              </w:rPr>
              <w:t>Sans changement</w:t>
            </w:r>
            <w:r w:rsidRPr="000431F1">
              <w:rPr>
                <w:lang w:val="fr-FR"/>
              </w:rPr>
              <w:t>]</w:t>
            </w:r>
            <w:bookmarkStart w:id="6" w:name="_GoBack"/>
            <w:bookmarkEnd w:id="6"/>
          </w:p>
        </w:tc>
        <w:tc>
          <w:tcPr>
            <w:tcW w:w="3001" w:type="dxa"/>
          </w:tcPr>
          <w:p w:rsidR="001A1755" w:rsidRPr="000431F1" w:rsidRDefault="001A1755" w:rsidP="0090437D">
            <w:pPr>
              <w:pStyle w:val="LegBasic"/>
              <w:spacing w:after="120" w:line="360" w:lineRule="auto"/>
              <w:rPr>
                <w:rFonts w:eastAsia="SimSun"/>
                <w:b/>
                <w:bCs/>
                <w:lang w:val="fr-FR"/>
              </w:rPr>
            </w:pPr>
          </w:p>
        </w:tc>
      </w:tr>
    </w:tbl>
    <w:p w:rsidR="0094662C" w:rsidRPr="000431F1" w:rsidRDefault="0094662C" w:rsidP="0090437D">
      <w:pPr>
        <w:pStyle w:val="LegBasic"/>
        <w:spacing w:after="120" w:line="360" w:lineRule="auto"/>
        <w:rPr>
          <w:rFonts w:eastAsia="SimSun"/>
          <w:lang w:val="fr-FR" w:eastAsia="zh-CN"/>
        </w:rPr>
        <w:sectPr w:rsidR="0094662C" w:rsidRPr="000431F1" w:rsidSect="007F2B7D">
          <w:headerReference w:type="default" r:id="rId11"/>
          <w:headerReference w:type="first" r:id="rId12"/>
          <w:endnotePr>
            <w:numFmt w:val="decimal"/>
          </w:endnotePr>
          <w:pgSz w:w="11907" w:h="16840" w:code="9"/>
          <w:pgMar w:top="567" w:right="1134" w:bottom="1418" w:left="1418" w:header="510" w:footer="1021" w:gutter="0"/>
          <w:cols w:space="720"/>
          <w:titlePg/>
          <w:docGrid w:linePitch="299"/>
        </w:sectPr>
      </w:pPr>
    </w:p>
    <w:tbl>
      <w:tblPr>
        <w:tblW w:w="0" w:type="auto"/>
        <w:jc w:val="center"/>
        <w:tblInd w:w="33" w:type="dxa"/>
        <w:tblLayout w:type="fixed"/>
        <w:tblCellMar>
          <w:left w:w="56" w:type="dxa"/>
          <w:right w:w="56" w:type="dxa"/>
        </w:tblCellMar>
        <w:tblLook w:val="04A0" w:firstRow="1" w:lastRow="0" w:firstColumn="1" w:lastColumn="0" w:noHBand="0" w:noVBand="1"/>
      </w:tblPr>
      <w:tblGrid>
        <w:gridCol w:w="9113"/>
      </w:tblGrid>
      <w:tr w:rsidR="001A1755" w:rsidRPr="001C441B" w:rsidTr="0094662C">
        <w:trPr>
          <w:cantSplit/>
          <w:jc w:val="center"/>
        </w:trPr>
        <w:tc>
          <w:tcPr>
            <w:tcW w:w="9113" w:type="dxa"/>
            <w:hideMark/>
          </w:tcPr>
          <w:p w:rsidR="001A1755" w:rsidRPr="000431F1" w:rsidRDefault="001A1755" w:rsidP="0090437D">
            <w:pPr>
              <w:pStyle w:val="LegBasic"/>
              <w:spacing w:after="120" w:line="360" w:lineRule="auto"/>
              <w:rPr>
                <w:lang w:val="fr-FR"/>
              </w:rPr>
            </w:pPr>
            <w:r w:rsidRPr="000431F1">
              <w:rPr>
                <w:rFonts w:eastAsia="SimSun"/>
                <w:lang w:val="fr-FR" w:eastAsia="zh-CN"/>
              </w:rPr>
              <w:lastRenderedPageBreak/>
              <w:t>5.</w:t>
            </w:r>
            <w:r w:rsidR="007B12B5" w:rsidRPr="0020755F">
              <w:rPr>
                <w:lang w:val="fr-FR"/>
              </w:rPr>
              <w:tab/>
            </w:r>
            <w:r w:rsidRPr="000431F1">
              <w:rPr>
                <w:lang w:val="fr-FR"/>
              </w:rPr>
              <w:t>[</w:t>
            </w:r>
            <w:r w:rsidR="00DF757A" w:rsidRPr="00DF757A">
              <w:rPr>
                <w:lang w:val="fr-FR"/>
              </w:rPr>
              <w:t>Sans changement</w:t>
            </w:r>
            <w:r w:rsidRPr="000431F1">
              <w:rPr>
                <w:lang w:val="fr-FR"/>
              </w:rPr>
              <w:t>]</w:t>
            </w:r>
          </w:p>
          <w:p w:rsidR="001A1755" w:rsidRPr="000431F1" w:rsidRDefault="001A1755" w:rsidP="00935802">
            <w:pPr>
              <w:pStyle w:val="LegBasic"/>
              <w:spacing w:after="120" w:line="360" w:lineRule="auto"/>
              <w:rPr>
                <w:rFonts w:eastAsia="SimSun"/>
                <w:lang w:val="fr-FR"/>
              </w:rPr>
            </w:pPr>
            <w:r w:rsidRPr="000431F1">
              <w:rPr>
                <w:color w:val="0000FF"/>
                <w:u w:val="single"/>
                <w:lang w:val="fr-FR"/>
              </w:rPr>
              <w:t>6.</w:t>
            </w:r>
            <w:r w:rsidR="007B12B5" w:rsidRPr="0020755F">
              <w:rPr>
                <w:lang w:val="fr-FR"/>
              </w:rPr>
              <w:tab/>
            </w:r>
            <w:r w:rsidR="00DF757A" w:rsidRPr="00DF757A">
              <w:rPr>
                <w:rFonts w:eastAsia="SimSun"/>
                <w:color w:val="0000FF"/>
                <w:u w:val="single"/>
                <w:lang w:val="fr-FR" w:eastAsia="zh-CN"/>
              </w:rPr>
              <w:t>La taxe internationale de dépôt prévue au point</w:t>
            </w:r>
            <w:r w:rsidR="00DF757A">
              <w:rPr>
                <w:rFonts w:eastAsia="SimSun"/>
                <w:color w:val="0000FF"/>
                <w:u w:val="single"/>
                <w:lang w:val="fr-FR" w:eastAsia="zh-CN"/>
              </w:rPr>
              <w:t> </w:t>
            </w:r>
            <w:r w:rsidR="00DF757A" w:rsidRPr="00DF757A">
              <w:rPr>
                <w:rFonts w:eastAsia="SimSun"/>
                <w:color w:val="0000FF"/>
                <w:u w:val="single"/>
                <w:lang w:val="fr-FR" w:eastAsia="zh-CN"/>
              </w:rPr>
              <w:t>1 (compte tenu, le cas échéant, de la réduction prévue au point</w:t>
            </w:r>
            <w:r w:rsidR="00DF757A">
              <w:rPr>
                <w:rFonts w:eastAsia="SimSun"/>
                <w:color w:val="0000FF"/>
                <w:u w:val="single"/>
                <w:lang w:val="fr-FR" w:eastAsia="zh-CN"/>
              </w:rPr>
              <w:t> </w:t>
            </w:r>
            <w:r w:rsidR="00DF757A" w:rsidRPr="00DF757A">
              <w:rPr>
                <w:rFonts w:eastAsia="SimSun"/>
                <w:color w:val="0000FF"/>
                <w:u w:val="single"/>
                <w:lang w:val="fr-FR" w:eastAsia="zh-CN"/>
              </w:rPr>
              <w:t>4), la taxe de traitement de la recherche supplémentaire prévue au point</w:t>
            </w:r>
            <w:r w:rsidR="00DF757A">
              <w:rPr>
                <w:rFonts w:eastAsia="SimSun"/>
                <w:color w:val="0000FF"/>
                <w:u w:val="single"/>
                <w:lang w:val="fr-FR" w:eastAsia="zh-CN"/>
              </w:rPr>
              <w:t> </w:t>
            </w:r>
            <w:r w:rsidR="00DF757A" w:rsidRPr="00DF757A">
              <w:rPr>
                <w:rFonts w:eastAsia="SimSun"/>
                <w:color w:val="0000FF"/>
                <w:u w:val="single"/>
                <w:lang w:val="fr-FR" w:eastAsia="zh-CN"/>
              </w:rPr>
              <w:t>2 et la taxe de traitement prévue au point</w:t>
            </w:r>
            <w:r w:rsidR="00DF757A">
              <w:rPr>
                <w:rFonts w:eastAsia="SimSun"/>
                <w:color w:val="0000FF"/>
                <w:u w:val="single"/>
                <w:lang w:val="fr-FR" w:eastAsia="zh-CN"/>
              </w:rPr>
              <w:t> </w:t>
            </w:r>
            <w:r w:rsidR="00DF757A" w:rsidRPr="00DF757A">
              <w:rPr>
                <w:rFonts w:eastAsia="SimSun"/>
                <w:color w:val="0000FF"/>
                <w:u w:val="single"/>
                <w:lang w:val="fr-FR" w:eastAsia="zh-CN"/>
              </w:rPr>
              <w:t xml:space="preserve">3 sont réduites de 50% si la demande internationale est déposée par </w:t>
            </w:r>
            <w:r w:rsidR="00935802">
              <w:rPr>
                <w:rFonts w:eastAsia="SimSun"/>
                <w:color w:val="0000FF"/>
                <w:u w:val="single"/>
                <w:lang w:val="fr-FR" w:eastAsia="zh-CN"/>
              </w:rPr>
              <w:t xml:space="preserve">un déposant qui est </w:t>
            </w:r>
            <w:r w:rsidR="00DF757A" w:rsidRPr="00DF757A">
              <w:rPr>
                <w:rFonts w:eastAsia="SimSun"/>
                <w:color w:val="0000FF"/>
                <w:u w:val="single"/>
                <w:lang w:val="fr-FR" w:eastAsia="zh-CN"/>
              </w:rPr>
              <w:t>un</w:t>
            </w:r>
            <w:r w:rsidR="00DF757A">
              <w:rPr>
                <w:rFonts w:eastAsia="SimSun"/>
                <w:color w:val="0000FF"/>
                <w:u w:val="single"/>
                <w:lang w:val="fr-FR" w:eastAsia="zh-CN"/>
              </w:rPr>
              <w:t xml:space="preserve"> établissement universitaire</w:t>
            </w:r>
            <w:r w:rsidR="0094662C" w:rsidRPr="000431F1">
              <w:rPr>
                <w:rStyle w:val="FootnoteReference"/>
                <w:rFonts w:eastAsia="SimSun"/>
                <w:color w:val="0000FF"/>
                <w:u w:val="single"/>
                <w:lang w:val="fr-FR"/>
              </w:rPr>
              <w:footnoteReference w:id="5"/>
            </w:r>
            <w:r w:rsidRPr="000431F1">
              <w:rPr>
                <w:rFonts w:eastAsia="SimSun"/>
                <w:color w:val="0000FF"/>
                <w:u w:val="single"/>
                <w:lang w:val="fr-FR"/>
              </w:rPr>
              <w:t xml:space="preserve"> </w:t>
            </w:r>
            <w:r w:rsidR="00DF757A">
              <w:rPr>
                <w:rFonts w:eastAsia="SimSun"/>
                <w:color w:val="0000FF"/>
                <w:u w:val="single"/>
                <w:lang w:val="fr-FR"/>
              </w:rPr>
              <w:t>d</w:t>
            </w:r>
            <w:r w:rsidR="00735129">
              <w:rPr>
                <w:rFonts w:eastAsia="SimSun"/>
                <w:color w:val="0000FF"/>
                <w:u w:val="single"/>
                <w:lang w:val="fr-FR"/>
              </w:rPr>
              <w:t>’</w:t>
            </w:r>
            <w:r w:rsidR="00DF757A">
              <w:rPr>
                <w:rFonts w:eastAsia="SimSun"/>
                <w:color w:val="0000FF"/>
                <w:u w:val="single"/>
                <w:lang w:val="fr-FR"/>
              </w:rPr>
              <w:t xml:space="preserve">un État </w:t>
            </w:r>
            <w:r w:rsidR="001C5C50">
              <w:rPr>
                <w:rFonts w:eastAsia="SimSun"/>
                <w:color w:val="0000FF"/>
                <w:u w:val="single"/>
                <w:lang w:val="fr-FR"/>
              </w:rPr>
              <w:t>qui figure sur la liste visée</w:t>
            </w:r>
            <w:r w:rsidR="00DF757A">
              <w:rPr>
                <w:rFonts w:eastAsia="SimSun"/>
                <w:color w:val="0000FF"/>
                <w:u w:val="single"/>
                <w:lang w:val="fr-FR"/>
              </w:rPr>
              <w:t xml:space="preserve"> au point 5.a), sous réserve que le nombre de demandes internationales déposées dans l</w:t>
            </w:r>
            <w:r w:rsidR="00735129">
              <w:rPr>
                <w:rFonts w:eastAsia="SimSun"/>
                <w:color w:val="0000FF"/>
                <w:u w:val="single"/>
                <w:lang w:val="fr-FR"/>
              </w:rPr>
              <w:t>’</w:t>
            </w:r>
            <w:r w:rsidR="00DF757A">
              <w:rPr>
                <w:rFonts w:eastAsia="SimSun"/>
                <w:color w:val="0000FF"/>
                <w:u w:val="single"/>
                <w:lang w:val="fr-FR"/>
              </w:rPr>
              <w:t>année par ce déposant soit inférieur à 20.  Les critères énoncés sous ce point seront réexaminés par l</w:t>
            </w:r>
            <w:r w:rsidR="00735129">
              <w:rPr>
                <w:rFonts w:eastAsia="SimSun"/>
                <w:color w:val="0000FF"/>
                <w:u w:val="single"/>
                <w:lang w:val="fr-FR"/>
              </w:rPr>
              <w:t>’</w:t>
            </w:r>
            <w:r w:rsidR="00DF757A">
              <w:rPr>
                <w:rFonts w:eastAsia="SimSun"/>
                <w:color w:val="0000FF"/>
                <w:u w:val="single"/>
                <w:lang w:val="fr-FR"/>
              </w:rPr>
              <w:t>Assemblée au moins tous les cinq ans</w:t>
            </w:r>
            <w:r w:rsidRPr="000431F1">
              <w:rPr>
                <w:rFonts w:eastAsia="SimSun"/>
                <w:color w:val="0000FF"/>
                <w:u w:val="single"/>
                <w:lang w:val="fr-FR"/>
              </w:rPr>
              <w:t>.</w:t>
            </w:r>
          </w:p>
        </w:tc>
      </w:tr>
    </w:tbl>
    <w:p w:rsidR="00D317F6" w:rsidRPr="000431F1" w:rsidRDefault="00D317F6" w:rsidP="001A1755">
      <w:pPr>
        <w:pStyle w:val="Endofdocument-Annex"/>
        <w:rPr>
          <w:lang w:val="fr-FR"/>
        </w:rPr>
      </w:pPr>
    </w:p>
    <w:p w:rsidR="001A1755" w:rsidRPr="000431F1" w:rsidRDefault="001A1755" w:rsidP="001A1755">
      <w:pPr>
        <w:pStyle w:val="ONUME"/>
        <w:numPr>
          <w:ilvl w:val="0"/>
          <w:numId w:val="0"/>
        </w:numPr>
        <w:rPr>
          <w:lang w:val="fr-FR"/>
        </w:rPr>
      </w:pPr>
    </w:p>
    <w:p w:rsidR="001A1755" w:rsidRPr="000431F1" w:rsidRDefault="001A1755" w:rsidP="001A1755">
      <w:pPr>
        <w:pStyle w:val="Endofdocument-Annex"/>
        <w:rPr>
          <w:lang w:val="fr-FR"/>
        </w:rPr>
        <w:sectPr w:rsidR="001A1755" w:rsidRPr="000431F1" w:rsidSect="0094662C">
          <w:footnotePr>
            <w:numRestart w:val="eachSect"/>
          </w:footnotePr>
          <w:endnotePr>
            <w:numFmt w:val="decimal"/>
          </w:endnotePr>
          <w:type w:val="continuous"/>
          <w:pgSz w:w="11907" w:h="16840" w:code="9"/>
          <w:pgMar w:top="567" w:right="1134" w:bottom="1418" w:left="1418" w:header="510" w:footer="1021" w:gutter="0"/>
          <w:cols w:space="720"/>
          <w:titlePg/>
          <w:docGrid w:linePitch="299"/>
        </w:sectPr>
      </w:pPr>
      <w:r w:rsidRPr="000431F1">
        <w:rPr>
          <w:lang w:val="fr-FR"/>
        </w:rPr>
        <w:t>[</w:t>
      </w:r>
      <w:r w:rsidR="00DF757A">
        <w:rPr>
          <w:lang w:val="fr-FR"/>
        </w:rPr>
        <w:t>L</w:t>
      </w:r>
      <w:r w:rsidR="00735129">
        <w:rPr>
          <w:lang w:val="fr-FR"/>
        </w:rPr>
        <w:t>’a</w:t>
      </w:r>
      <w:r w:rsidR="00735129" w:rsidRPr="000431F1">
        <w:rPr>
          <w:lang w:val="fr-FR"/>
        </w:rPr>
        <w:t>nnex</w:t>
      </w:r>
      <w:r w:rsidR="00735129">
        <w:rPr>
          <w:lang w:val="fr-FR"/>
        </w:rPr>
        <w:t>e </w:t>
      </w:r>
      <w:r w:rsidR="00735129" w:rsidRPr="000431F1">
        <w:rPr>
          <w:lang w:val="fr-FR"/>
        </w:rPr>
        <w:t>I</w:t>
      </w:r>
      <w:r w:rsidRPr="000431F1">
        <w:rPr>
          <w:lang w:val="fr-FR"/>
        </w:rPr>
        <w:t xml:space="preserve">I </w:t>
      </w:r>
      <w:r w:rsidR="00DF757A">
        <w:rPr>
          <w:lang w:val="fr-FR"/>
        </w:rPr>
        <w:t>suit</w:t>
      </w:r>
      <w:r w:rsidRPr="000431F1">
        <w:rPr>
          <w:lang w:val="fr-FR"/>
        </w:rPr>
        <w:t>]</w:t>
      </w:r>
    </w:p>
    <w:p w:rsidR="001A1755" w:rsidRPr="000431F1" w:rsidRDefault="009971FF" w:rsidP="001A1755">
      <w:pPr>
        <w:pStyle w:val="Heading2"/>
        <w:jc w:val="center"/>
        <w:rPr>
          <w:lang w:val="fr-FR"/>
        </w:rPr>
      </w:pPr>
      <w:r w:rsidRPr="009971FF">
        <w:rPr>
          <w:lang w:val="fr-FR"/>
        </w:rPr>
        <w:lastRenderedPageBreak/>
        <w:t>Proposition de modification du règlement d</w:t>
      </w:r>
      <w:r w:rsidR="00735129">
        <w:rPr>
          <w:lang w:val="fr-FR"/>
        </w:rPr>
        <w:t>’</w:t>
      </w:r>
      <w:r w:rsidRPr="009971FF">
        <w:rPr>
          <w:lang w:val="fr-FR"/>
        </w:rPr>
        <w:t>exécution du PCT</w:t>
      </w:r>
    </w:p>
    <w:p w:rsidR="001A1755" w:rsidRPr="000431F1" w:rsidRDefault="001A1755" w:rsidP="001A1755">
      <w:pPr>
        <w:rPr>
          <w:lang w:val="fr-FR"/>
        </w:rPr>
      </w:pPr>
    </w:p>
    <w:p w:rsidR="001A1755" w:rsidRPr="000431F1" w:rsidRDefault="009971FF" w:rsidP="001A1755">
      <w:pPr>
        <w:pStyle w:val="LegTitle"/>
        <w:spacing w:after="240" w:line="360" w:lineRule="auto"/>
        <w:rPr>
          <w:rFonts w:eastAsia="Arial Unicode MS"/>
          <w:lang w:val="fr-FR"/>
        </w:rPr>
      </w:pPr>
      <w:r w:rsidRPr="009971FF">
        <w:rPr>
          <w:rFonts w:eastAsia="Arial Unicode MS"/>
          <w:lang w:val="fr-FR"/>
        </w:rPr>
        <w:t>BARÈME DE TAXES</w:t>
      </w:r>
    </w:p>
    <w:tbl>
      <w:tblPr>
        <w:tblW w:w="0" w:type="auto"/>
        <w:jc w:val="center"/>
        <w:tblLayout w:type="fixed"/>
        <w:tblCellMar>
          <w:left w:w="56" w:type="dxa"/>
          <w:right w:w="56" w:type="dxa"/>
        </w:tblCellMar>
        <w:tblLook w:val="04A0" w:firstRow="1" w:lastRow="0" w:firstColumn="1" w:lastColumn="0" w:noHBand="0" w:noVBand="1"/>
      </w:tblPr>
      <w:tblGrid>
        <w:gridCol w:w="33"/>
        <w:gridCol w:w="6079"/>
        <w:gridCol w:w="3001"/>
        <w:gridCol w:w="33"/>
      </w:tblGrid>
      <w:tr w:rsidR="001A1755" w:rsidRPr="000431F1" w:rsidTr="0090437D">
        <w:trPr>
          <w:gridAfter w:val="1"/>
          <w:wAfter w:w="33" w:type="dxa"/>
          <w:jc w:val="center"/>
        </w:trPr>
        <w:tc>
          <w:tcPr>
            <w:tcW w:w="6112" w:type="dxa"/>
            <w:gridSpan w:val="2"/>
            <w:hideMark/>
          </w:tcPr>
          <w:p w:rsidR="001A1755" w:rsidRPr="000431F1" w:rsidRDefault="009971FF" w:rsidP="0090437D">
            <w:pPr>
              <w:pStyle w:val="LegBasic"/>
              <w:spacing w:after="120" w:line="360" w:lineRule="auto"/>
              <w:rPr>
                <w:rFonts w:eastAsia="SimSun"/>
                <w:b/>
                <w:bCs/>
                <w:lang w:val="fr-FR"/>
              </w:rPr>
            </w:pPr>
            <w:r w:rsidRPr="009971FF">
              <w:rPr>
                <w:rFonts w:eastAsia="SimSun"/>
                <w:b/>
                <w:bCs/>
                <w:lang w:val="fr-FR"/>
              </w:rPr>
              <w:t>Taxes</w:t>
            </w:r>
          </w:p>
        </w:tc>
        <w:tc>
          <w:tcPr>
            <w:tcW w:w="3001" w:type="dxa"/>
            <w:hideMark/>
          </w:tcPr>
          <w:p w:rsidR="001A1755" w:rsidRPr="000431F1" w:rsidRDefault="009971FF" w:rsidP="0090437D">
            <w:pPr>
              <w:pStyle w:val="LegBasic"/>
              <w:spacing w:after="120" w:line="360" w:lineRule="auto"/>
              <w:rPr>
                <w:rFonts w:eastAsia="SimSun"/>
                <w:b/>
                <w:bCs/>
                <w:lang w:val="fr-FR"/>
              </w:rPr>
            </w:pPr>
            <w:r w:rsidRPr="009971FF">
              <w:rPr>
                <w:rFonts w:eastAsia="SimSun"/>
                <w:b/>
                <w:bCs/>
                <w:lang w:val="fr-FR"/>
              </w:rPr>
              <w:t>Montant</w:t>
            </w:r>
          </w:p>
        </w:tc>
      </w:tr>
      <w:tr w:rsidR="001A1755" w:rsidRPr="000431F1" w:rsidTr="0090437D">
        <w:trPr>
          <w:gridBefore w:val="1"/>
          <w:wBefore w:w="33" w:type="dxa"/>
          <w:cantSplit/>
          <w:jc w:val="center"/>
        </w:trPr>
        <w:tc>
          <w:tcPr>
            <w:tcW w:w="9113" w:type="dxa"/>
            <w:gridSpan w:val="3"/>
            <w:hideMark/>
          </w:tcPr>
          <w:p w:rsidR="001A1755" w:rsidRPr="000431F1" w:rsidRDefault="001A1755" w:rsidP="0090437D">
            <w:pPr>
              <w:pStyle w:val="LegBasic"/>
              <w:spacing w:after="120" w:line="360" w:lineRule="auto"/>
              <w:rPr>
                <w:lang w:val="fr-FR"/>
              </w:rPr>
            </w:pPr>
            <w:r w:rsidRPr="000431F1">
              <w:rPr>
                <w:lang w:val="fr-FR"/>
              </w:rPr>
              <w:t>1. to 3.</w:t>
            </w:r>
            <w:r w:rsidR="007B12B5">
              <w:tab/>
            </w:r>
            <w:r w:rsidRPr="000431F1">
              <w:rPr>
                <w:lang w:val="fr-FR"/>
              </w:rPr>
              <w:t>[</w:t>
            </w:r>
            <w:r w:rsidR="00DF757A" w:rsidRPr="00DF757A">
              <w:rPr>
                <w:lang w:val="fr-FR"/>
              </w:rPr>
              <w:t>Sans changement</w:t>
            </w:r>
            <w:r w:rsidRPr="000431F1">
              <w:rPr>
                <w:lang w:val="fr-FR"/>
              </w:rPr>
              <w:t>]</w:t>
            </w:r>
          </w:p>
        </w:tc>
      </w:tr>
      <w:tr w:rsidR="001A1755" w:rsidRPr="000431F1" w:rsidTr="0090437D">
        <w:trPr>
          <w:gridAfter w:val="1"/>
          <w:wAfter w:w="33" w:type="dxa"/>
          <w:jc w:val="center"/>
        </w:trPr>
        <w:tc>
          <w:tcPr>
            <w:tcW w:w="6112" w:type="dxa"/>
            <w:gridSpan w:val="2"/>
            <w:hideMark/>
          </w:tcPr>
          <w:p w:rsidR="001A1755" w:rsidRPr="000431F1" w:rsidRDefault="001A1755" w:rsidP="0090437D">
            <w:pPr>
              <w:pStyle w:val="LegBasic"/>
              <w:spacing w:after="120" w:line="360" w:lineRule="auto"/>
              <w:rPr>
                <w:rFonts w:eastAsia="SimSun"/>
                <w:b/>
                <w:bCs/>
                <w:lang w:val="fr-FR"/>
              </w:rPr>
            </w:pPr>
            <w:r w:rsidRPr="000431F1">
              <w:rPr>
                <w:rFonts w:eastAsia="SimSun"/>
                <w:b/>
                <w:bCs/>
                <w:lang w:val="fr-FR"/>
              </w:rPr>
              <w:t>R</w:t>
            </w:r>
            <w:r w:rsidR="009971FF">
              <w:rPr>
                <w:rFonts w:eastAsia="SimSun"/>
                <w:b/>
                <w:bCs/>
                <w:lang w:val="fr-FR"/>
              </w:rPr>
              <w:t>é</w:t>
            </w:r>
            <w:r w:rsidRPr="000431F1">
              <w:rPr>
                <w:rFonts w:eastAsia="SimSun"/>
                <w:b/>
                <w:bCs/>
                <w:lang w:val="fr-FR"/>
              </w:rPr>
              <w:t>ductions</w:t>
            </w:r>
          </w:p>
          <w:p w:rsidR="001A1755" w:rsidRPr="000431F1" w:rsidRDefault="001A1755" w:rsidP="0090437D">
            <w:pPr>
              <w:pStyle w:val="LegBasic"/>
              <w:spacing w:after="120" w:line="360" w:lineRule="auto"/>
              <w:rPr>
                <w:rFonts w:eastAsia="SimSun"/>
                <w:b/>
                <w:bCs/>
                <w:lang w:val="fr-FR"/>
              </w:rPr>
            </w:pPr>
            <w:r w:rsidRPr="000431F1">
              <w:rPr>
                <w:lang w:val="fr-FR"/>
              </w:rPr>
              <w:t>4.</w:t>
            </w:r>
            <w:r w:rsidR="007B12B5">
              <w:tab/>
            </w:r>
            <w:r w:rsidRPr="000431F1">
              <w:rPr>
                <w:lang w:val="fr-FR"/>
              </w:rPr>
              <w:t>[</w:t>
            </w:r>
            <w:r w:rsidR="00DF757A" w:rsidRPr="00DF757A">
              <w:rPr>
                <w:lang w:val="fr-FR"/>
              </w:rPr>
              <w:t>Sans changement</w:t>
            </w:r>
            <w:r w:rsidRPr="000431F1">
              <w:rPr>
                <w:lang w:val="fr-FR"/>
              </w:rPr>
              <w:t>]</w:t>
            </w:r>
          </w:p>
        </w:tc>
        <w:tc>
          <w:tcPr>
            <w:tcW w:w="3001" w:type="dxa"/>
          </w:tcPr>
          <w:p w:rsidR="001A1755" w:rsidRPr="000431F1" w:rsidRDefault="001A1755" w:rsidP="0090437D">
            <w:pPr>
              <w:pStyle w:val="LegBasic"/>
              <w:spacing w:after="120" w:line="360" w:lineRule="auto"/>
              <w:rPr>
                <w:rFonts w:eastAsia="SimSun"/>
                <w:b/>
                <w:bCs/>
                <w:lang w:val="fr-FR"/>
              </w:rPr>
            </w:pPr>
          </w:p>
        </w:tc>
      </w:tr>
      <w:tr w:rsidR="001A1755" w:rsidRPr="001C441B" w:rsidTr="0090437D">
        <w:trPr>
          <w:gridBefore w:val="1"/>
          <w:wBefore w:w="33" w:type="dxa"/>
          <w:cantSplit/>
          <w:jc w:val="center"/>
        </w:trPr>
        <w:tc>
          <w:tcPr>
            <w:tcW w:w="9113" w:type="dxa"/>
            <w:gridSpan w:val="3"/>
            <w:hideMark/>
          </w:tcPr>
          <w:p w:rsidR="001A1755" w:rsidRPr="000431F1" w:rsidRDefault="001A1755" w:rsidP="0090437D">
            <w:pPr>
              <w:pStyle w:val="LegBasic"/>
              <w:spacing w:after="120" w:line="360" w:lineRule="auto"/>
              <w:rPr>
                <w:lang w:val="fr-FR"/>
              </w:rPr>
            </w:pPr>
            <w:r w:rsidRPr="000431F1">
              <w:rPr>
                <w:rFonts w:eastAsia="SimSun"/>
                <w:lang w:val="fr-FR" w:eastAsia="zh-CN"/>
              </w:rPr>
              <w:t>5.</w:t>
            </w:r>
            <w:r w:rsidR="007B12B5" w:rsidRPr="0020755F">
              <w:rPr>
                <w:lang w:val="fr-FR"/>
              </w:rPr>
              <w:tab/>
            </w:r>
            <w:r w:rsidRPr="000431F1">
              <w:rPr>
                <w:lang w:val="fr-FR"/>
              </w:rPr>
              <w:t>[</w:t>
            </w:r>
            <w:r w:rsidR="00DF757A" w:rsidRPr="00DF757A">
              <w:rPr>
                <w:lang w:val="fr-FR"/>
              </w:rPr>
              <w:t>Sans changement</w:t>
            </w:r>
            <w:r w:rsidRPr="000431F1">
              <w:rPr>
                <w:lang w:val="fr-FR"/>
              </w:rPr>
              <w:t>]</w:t>
            </w:r>
          </w:p>
          <w:p w:rsidR="001A1755" w:rsidRPr="000431F1" w:rsidRDefault="001A1755" w:rsidP="0090437D">
            <w:pPr>
              <w:pStyle w:val="LegBasic"/>
              <w:spacing w:after="120" w:line="360" w:lineRule="auto"/>
              <w:rPr>
                <w:rFonts w:eastAsia="SimSun"/>
                <w:color w:val="0000FF"/>
                <w:u w:val="single"/>
                <w:lang w:val="fr-FR"/>
              </w:rPr>
            </w:pPr>
            <w:r w:rsidRPr="000431F1">
              <w:rPr>
                <w:color w:val="0000FF"/>
                <w:u w:val="single"/>
                <w:lang w:val="fr-FR"/>
              </w:rPr>
              <w:t>6.</w:t>
            </w:r>
            <w:r w:rsidR="007B12B5" w:rsidRPr="0020755F">
              <w:rPr>
                <w:lang w:val="fr-FR"/>
              </w:rPr>
              <w:tab/>
            </w:r>
            <w:r w:rsidR="0094662C" w:rsidRPr="000431F1">
              <w:rPr>
                <w:rFonts w:eastAsia="SimSun"/>
                <w:color w:val="0000FF"/>
                <w:u w:val="single"/>
                <w:lang w:val="fr-FR" w:eastAsia="zh-CN"/>
              </w:rPr>
              <w:t>[</w:t>
            </w:r>
            <w:r w:rsidR="009971FF">
              <w:rPr>
                <w:rFonts w:eastAsia="SimSun"/>
                <w:color w:val="0000FF"/>
                <w:u w:val="single"/>
                <w:lang w:val="fr-FR" w:eastAsia="zh-CN"/>
              </w:rPr>
              <w:t>Tel qu</w:t>
            </w:r>
            <w:r w:rsidR="00735129">
              <w:rPr>
                <w:rFonts w:eastAsia="SimSun"/>
                <w:color w:val="0000FF"/>
                <w:u w:val="single"/>
                <w:lang w:val="fr-FR" w:eastAsia="zh-CN"/>
              </w:rPr>
              <w:t>’</w:t>
            </w:r>
            <w:r w:rsidR="009971FF">
              <w:rPr>
                <w:rFonts w:eastAsia="SimSun"/>
                <w:color w:val="0000FF"/>
                <w:u w:val="single"/>
                <w:lang w:val="fr-FR" w:eastAsia="zh-CN"/>
              </w:rPr>
              <w:t>il figure à l</w:t>
            </w:r>
            <w:r w:rsidR="00735129">
              <w:rPr>
                <w:rFonts w:eastAsia="SimSun"/>
                <w:color w:val="0000FF"/>
                <w:u w:val="single"/>
                <w:lang w:val="fr-FR" w:eastAsia="zh-CN"/>
              </w:rPr>
              <w:t>’</w:t>
            </w:r>
            <w:r w:rsidR="009971FF">
              <w:rPr>
                <w:rFonts w:eastAsia="SimSun"/>
                <w:color w:val="0000FF"/>
                <w:u w:val="single"/>
                <w:lang w:val="fr-FR" w:eastAsia="zh-CN"/>
              </w:rPr>
              <w:t>annexe </w:t>
            </w:r>
            <w:r w:rsidR="0094662C" w:rsidRPr="000431F1">
              <w:rPr>
                <w:rFonts w:eastAsia="SimSun"/>
                <w:color w:val="0000FF"/>
                <w:u w:val="single"/>
                <w:lang w:val="fr-FR" w:eastAsia="zh-CN"/>
              </w:rPr>
              <w:t>I]</w:t>
            </w:r>
          </w:p>
          <w:p w:rsidR="001A1755" w:rsidRPr="000431F1" w:rsidRDefault="00BA1DC4" w:rsidP="00BE7BDA">
            <w:pPr>
              <w:pStyle w:val="LegBasic"/>
              <w:spacing w:after="120" w:line="360" w:lineRule="auto"/>
              <w:rPr>
                <w:rFonts w:eastAsia="SimSun"/>
                <w:lang w:val="fr-FR"/>
              </w:rPr>
            </w:pPr>
            <w:r w:rsidRPr="000431F1">
              <w:rPr>
                <w:color w:val="0000FF"/>
                <w:u w:val="single"/>
                <w:lang w:val="fr-FR"/>
              </w:rPr>
              <w:t>7</w:t>
            </w:r>
            <w:r w:rsidR="001A1755" w:rsidRPr="000431F1">
              <w:rPr>
                <w:color w:val="0000FF"/>
                <w:u w:val="single"/>
                <w:lang w:val="fr-FR"/>
              </w:rPr>
              <w:t>.</w:t>
            </w:r>
            <w:r w:rsidR="007B12B5" w:rsidRPr="0020755F">
              <w:rPr>
                <w:lang w:val="fr-FR"/>
              </w:rPr>
              <w:tab/>
            </w:r>
            <w:r w:rsidR="009971FF" w:rsidRPr="009971FF">
              <w:rPr>
                <w:rFonts w:eastAsia="SimSun"/>
                <w:color w:val="0000FF"/>
                <w:u w:val="single"/>
                <w:lang w:val="fr-FR" w:eastAsia="zh-CN"/>
              </w:rPr>
              <w:t xml:space="preserve">La taxe internationale de dépôt prévue au point 1 (compte tenu, le cas échéant, de la réduction prévue au point 4), la taxe de traitement de la recherche supplémentaire prévue au point 2 et la taxe de traitement prévue au point 3 sont réduites de </w:t>
            </w:r>
            <w:r w:rsidR="009971FF">
              <w:rPr>
                <w:rFonts w:eastAsia="SimSun"/>
                <w:color w:val="0000FF"/>
                <w:u w:val="single"/>
                <w:lang w:val="fr-FR" w:eastAsia="zh-CN"/>
              </w:rPr>
              <w:t>2</w:t>
            </w:r>
            <w:r w:rsidR="009971FF" w:rsidRPr="009971FF">
              <w:rPr>
                <w:rFonts w:eastAsia="SimSun"/>
                <w:color w:val="0000FF"/>
                <w:u w:val="single"/>
                <w:lang w:val="fr-FR" w:eastAsia="zh-CN"/>
              </w:rPr>
              <w:t xml:space="preserve">5% si la demande internationale est déposée par </w:t>
            </w:r>
            <w:r w:rsidR="001C5C50">
              <w:rPr>
                <w:rFonts w:eastAsia="SimSun"/>
                <w:color w:val="0000FF"/>
                <w:u w:val="single"/>
                <w:lang w:val="fr-FR" w:eastAsia="zh-CN"/>
              </w:rPr>
              <w:t xml:space="preserve">un déposant qui est </w:t>
            </w:r>
            <w:r w:rsidR="009971FF" w:rsidRPr="009971FF">
              <w:rPr>
                <w:rFonts w:eastAsia="SimSun"/>
                <w:color w:val="0000FF"/>
                <w:u w:val="single"/>
                <w:lang w:val="fr-FR" w:eastAsia="zh-CN"/>
              </w:rPr>
              <w:t>un établissement universitaire</w:t>
            </w:r>
            <w:r w:rsidR="009971FF" w:rsidRPr="009971FF">
              <w:rPr>
                <w:rFonts w:eastAsia="SimSun"/>
                <w:color w:val="0000FF"/>
                <w:u w:val="single"/>
                <w:vertAlign w:val="superscript"/>
                <w:lang w:val="fr-FR" w:eastAsia="zh-CN"/>
              </w:rPr>
              <w:footnoteReference w:id="6"/>
            </w:r>
            <w:r w:rsidR="009971FF" w:rsidRPr="009971FF">
              <w:rPr>
                <w:rFonts w:eastAsia="SimSun"/>
                <w:color w:val="0000FF"/>
                <w:u w:val="single"/>
                <w:lang w:val="fr-FR" w:eastAsia="zh-CN"/>
              </w:rPr>
              <w:t xml:space="preserve"> d</w:t>
            </w:r>
            <w:r w:rsidR="00735129">
              <w:rPr>
                <w:rFonts w:eastAsia="SimSun"/>
                <w:color w:val="0000FF"/>
                <w:u w:val="single"/>
                <w:lang w:val="fr-FR" w:eastAsia="zh-CN"/>
              </w:rPr>
              <w:t>’</w:t>
            </w:r>
            <w:r w:rsidR="009971FF" w:rsidRPr="009971FF">
              <w:rPr>
                <w:rFonts w:eastAsia="SimSun"/>
                <w:color w:val="0000FF"/>
                <w:u w:val="single"/>
                <w:lang w:val="fr-FR" w:eastAsia="zh-CN"/>
              </w:rPr>
              <w:t xml:space="preserve">un État </w:t>
            </w:r>
            <w:r w:rsidR="003F6970">
              <w:rPr>
                <w:rFonts w:eastAsia="SimSun"/>
                <w:color w:val="0000FF"/>
                <w:u w:val="single"/>
                <w:lang w:val="fr-FR" w:eastAsia="zh-CN"/>
              </w:rPr>
              <w:t xml:space="preserve">qui ne </w:t>
            </w:r>
            <w:r w:rsidR="001C5C50">
              <w:rPr>
                <w:rFonts w:eastAsia="SimSun"/>
                <w:color w:val="0000FF"/>
                <w:u w:val="single"/>
                <w:lang w:val="fr-FR" w:eastAsia="zh-CN"/>
              </w:rPr>
              <w:t>figure</w:t>
            </w:r>
            <w:r w:rsidR="003F6970">
              <w:rPr>
                <w:rFonts w:eastAsia="SimSun"/>
                <w:color w:val="0000FF"/>
                <w:u w:val="single"/>
                <w:lang w:val="fr-FR" w:eastAsia="zh-CN"/>
              </w:rPr>
              <w:t xml:space="preserve"> pas </w:t>
            </w:r>
            <w:r w:rsidR="001C5C50">
              <w:rPr>
                <w:rFonts w:eastAsia="SimSun"/>
                <w:color w:val="0000FF"/>
                <w:u w:val="single"/>
                <w:lang w:val="fr-FR" w:eastAsia="zh-CN"/>
              </w:rPr>
              <w:t xml:space="preserve">sur les listes </w:t>
            </w:r>
            <w:r w:rsidR="00BE7BDA">
              <w:rPr>
                <w:rFonts w:eastAsia="SimSun"/>
                <w:color w:val="0000FF"/>
                <w:u w:val="single"/>
                <w:lang w:val="fr-FR" w:eastAsia="zh-CN"/>
              </w:rPr>
              <w:t xml:space="preserve">visées </w:t>
            </w:r>
            <w:r w:rsidR="009971FF" w:rsidRPr="009971FF">
              <w:rPr>
                <w:rFonts w:eastAsia="SimSun"/>
                <w:color w:val="0000FF"/>
                <w:u w:val="single"/>
                <w:lang w:val="fr-FR" w:eastAsia="zh-CN"/>
              </w:rPr>
              <w:t>au point 5, sous réserve que le nombre de demandes internationales déposées dans l</w:t>
            </w:r>
            <w:r w:rsidR="00735129">
              <w:rPr>
                <w:rFonts w:eastAsia="SimSun"/>
                <w:color w:val="0000FF"/>
                <w:u w:val="single"/>
                <w:lang w:val="fr-FR" w:eastAsia="zh-CN"/>
              </w:rPr>
              <w:t>’</w:t>
            </w:r>
            <w:r w:rsidR="009971FF" w:rsidRPr="009971FF">
              <w:rPr>
                <w:rFonts w:eastAsia="SimSun"/>
                <w:color w:val="0000FF"/>
                <w:u w:val="single"/>
                <w:lang w:val="fr-FR" w:eastAsia="zh-CN"/>
              </w:rPr>
              <w:t xml:space="preserve">année par ce déposant soit inférieur à </w:t>
            </w:r>
            <w:r w:rsidR="009971FF">
              <w:rPr>
                <w:rFonts w:eastAsia="SimSun"/>
                <w:color w:val="0000FF"/>
                <w:u w:val="single"/>
                <w:lang w:val="fr-FR" w:eastAsia="zh-CN"/>
              </w:rPr>
              <w:t>cinq</w:t>
            </w:r>
            <w:r w:rsidR="009971FF" w:rsidRPr="009971FF">
              <w:rPr>
                <w:rFonts w:eastAsia="SimSun"/>
                <w:color w:val="0000FF"/>
                <w:u w:val="single"/>
                <w:lang w:val="fr-FR" w:eastAsia="zh-CN"/>
              </w:rPr>
              <w:t>.  Les critères énoncés sous ce point seront réexaminés par l</w:t>
            </w:r>
            <w:r w:rsidR="00735129">
              <w:rPr>
                <w:rFonts w:eastAsia="SimSun"/>
                <w:color w:val="0000FF"/>
                <w:u w:val="single"/>
                <w:lang w:val="fr-FR" w:eastAsia="zh-CN"/>
              </w:rPr>
              <w:t>’</w:t>
            </w:r>
            <w:r w:rsidR="009971FF" w:rsidRPr="009971FF">
              <w:rPr>
                <w:rFonts w:eastAsia="SimSun"/>
                <w:color w:val="0000FF"/>
                <w:u w:val="single"/>
                <w:lang w:val="fr-FR" w:eastAsia="zh-CN"/>
              </w:rPr>
              <w:t>Assemblée au moins tous les cinq ans</w:t>
            </w:r>
            <w:r w:rsidR="001A1755" w:rsidRPr="000431F1">
              <w:rPr>
                <w:rFonts w:eastAsia="SimSun"/>
                <w:color w:val="0000FF"/>
                <w:u w:val="single"/>
                <w:lang w:val="fr-FR"/>
              </w:rPr>
              <w:t>.</w:t>
            </w:r>
          </w:p>
        </w:tc>
      </w:tr>
    </w:tbl>
    <w:p w:rsidR="001A1755" w:rsidRPr="000431F1" w:rsidRDefault="001A1755" w:rsidP="001A1755">
      <w:pPr>
        <w:pStyle w:val="Endofdocument-Annex"/>
        <w:rPr>
          <w:lang w:val="fr-FR"/>
        </w:rPr>
      </w:pPr>
    </w:p>
    <w:p w:rsidR="001A1755" w:rsidRPr="000431F1" w:rsidRDefault="001A1755" w:rsidP="001A1755">
      <w:pPr>
        <w:pStyle w:val="Endofdocument-Annex"/>
        <w:rPr>
          <w:lang w:val="fr-FR"/>
        </w:rPr>
      </w:pPr>
    </w:p>
    <w:p w:rsidR="001A1755" w:rsidRPr="000431F1" w:rsidRDefault="001A1755" w:rsidP="001A1755">
      <w:pPr>
        <w:pStyle w:val="Endofdocument-Annex"/>
        <w:rPr>
          <w:lang w:val="fr-FR"/>
        </w:rPr>
      </w:pPr>
      <w:r w:rsidRPr="000431F1">
        <w:rPr>
          <w:lang w:val="fr-FR"/>
        </w:rPr>
        <w:t>[</w:t>
      </w:r>
      <w:r w:rsidR="009971FF">
        <w:rPr>
          <w:lang w:val="fr-FR"/>
        </w:rPr>
        <w:t>Fin de l</w:t>
      </w:r>
      <w:r w:rsidR="00735129">
        <w:rPr>
          <w:lang w:val="fr-FR"/>
        </w:rPr>
        <w:t>’</w:t>
      </w:r>
      <w:r w:rsidR="009971FF">
        <w:rPr>
          <w:lang w:val="fr-FR"/>
        </w:rPr>
        <w:t>annexe </w:t>
      </w:r>
      <w:r w:rsidR="009047C2" w:rsidRPr="000431F1">
        <w:rPr>
          <w:lang w:val="fr-FR"/>
        </w:rPr>
        <w:t xml:space="preserve">II </w:t>
      </w:r>
      <w:r w:rsidR="009971FF">
        <w:rPr>
          <w:lang w:val="fr-FR"/>
        </w:rPr>
        <w:t xml:space="preserve">et du </w:t>
      </w:r>
      <w:r w:rsidRPr="000431F1">
        <w:rPr>
          <w:lang w:val="fr-FR"/>
        </w:rPr>
        <w:t>document]</w:t>
      </w:r>
    </w:p>
    <w:sectPr w:rsidR="001A1755" w:rsidRPr="000431F1" w:rsidSect="007F2B7D">
      <w:headerReference w:type="first" r:id="rId13"/>
      <w:footnotePr>
        <w:numRestart w:val="eachSect"/>
      </w:footnotePr>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2B7D" w:rsidRDefault="007F2B7D">
      <w:r>
        <w:separator/>
      </w:r>
    </w:p>
  </w:endnote>
  <w:endnote w:type="continuationSeparator" w:id="0">
    <w:p w:rsidR="007F2B7D" w:rsidRDefault="007F2B7D" w:rsidP="003B38C1">
      <w:r>
        <w:separator/>
      </w:r>
    </w:p>
    <w:p w:rsidR="007F2B7D" w:rsidRPr="003B38C1" w:rsidRDefault="007F2B7D" w:rsidP="003B38C1">
      <w:pPr>
        <w:spacing w:after="60"/>
        <w:rPr>
          <w:sz w:val="17"/>
        </w:rPr>
      </w:pPr>
      <w:r>
        <w:rPr>
          <w:sz w:val="17"/>
        </w:rPr>
        <w:t>[Endnote continued from previous page]</w:t>
      </w:r>
    </w:p>
  </w:endnote>
  <w:endnote w:type="continuationNotice" w:id="1">
    <w:p w:rsidR="007F2B7D" w:rsidRPr="003B38C1" w:rsidRDefault="007F2B7D"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2B7D" w:rsidRDefault="007F2B7D">
      <w:r>
        <w:separator/>
      </w:r>
    </w:p>
  </w:footnote>
  <w:footnote w:type="continuationSeparator" w:id="0">
    <w:p w:rsidR="007F2B7D" w:rsidRDefault="007F2B7D" w:rsidP="008B60B2">
      <w:r>
        <w:separator/>
      </w:r>
    </w:p>
    <w:p w:rsidR="007F2B7D" w:rsidRPr="00ED77FB" w:rsidRDefault="007F2B7D" w:rsidP="008B60B2">
      <w:pPr>
        <w:spacing w:after="60"/>
        <w:rPr>
          <w:sz w:val="17"/>
          <w:szCs w:val="17"/>
        </w:rPr>
      </w:pPr>
      <w:r w:rsidRPr="00ED77FB">
        <w:rPr>
          <w:sz w:val="17"/>
          <w:szCs w:val="17"/>
        </w:rPr>
        <w:t>[Footnote continued from previous page]</w:t>
      </w:r>
    </w:p>
  </w:footnote>
  <w:footnote w:type="continuationNotice" w:id="1">
    <w:p w:rsidR="007F2B7D" w:rsidRPr="00ED77FB" w:rsidRDefault="007F2B7D" w:rsidP="008B60B2">
      <w:pPr>
        <w:spacing w:before="60"/>
        <w:jc w:val="right"/>
        <w:rPr>
          <w:sz w:val="17"/>
          <w:szCs w:val="17"/>
        </w:rPr>
      </w:pPr>
      <w:r w:rsidRPr="00ED77FB">
        <w:rPr>
          <w:sz w:val="17"/>
          <w:szCs w:val="17"/>
        </w:rPr>
        <w:t>[Footnote continued on next page]</w:t>
      </w:r>
    </w:p>
  </w:footnote>
  <w:footnote w:id="2">
    <w:p w:rsidR="00ED3386" w:rsidRDefault="00ED3386" w:rsidP="00ED3386">
      <w:pPr>
        <w:pStyle w:val="FootnoteText"/>
      </w:pPr>
      <w:r>
        <w:rPr>
          <w:rStyle w:val="FootnoteReference"/>
        </w:rPr>
        <w:footnoteRef/>
      </w:r>
      <w:r>
        <w:t xml:space="preserve"> </w:t>
      </w:r>
      <w:r>
        <w:tab/>
        <w:t xml:space="preserve">Cohen, W. et </w:t>
      </w:r>
      <w:proofErr w:type="spellStart"/>
      <w:r>
        <w:t>Levinthal</w:t>
      </w:r>
      <w:proofErr w:type="spellEnd"/>
      <w:r>
        <w:t>,</w:t>
      </w:r>
      <w:r w:rsidRPr="007032C7">
        <w:t xml:space="preserve"> D.</w:t>
      </w:r>
      <w:r>
        <w:t> </w:t>
      </w:r>
      <w:r w:rsidRPr="007032C7">
        <w:t>(1989)</w:t>
      </w:r>
      <w:r>
        <w:t>,</w:t>
      </w:r>
      <w:r w:rsidRPr="007032C7">
        <w:t xml:space="preserve"> “Innovation and </w:t>
      </w:r>
      <w:proofErr w:type="gramStart"/>
      <w:r>
        <w:t>Learning :</w:t>
      </w:r>
      <w:proofErr w:type="gramEnd"/>
      <w:r>
        <w:t xml:space="preserve"> the two faces of R&amp;D</w:t>
      </w:r>
      <w:r w:rsidR="005A16FB">
        <w:t>,”</w:t>
      </w:r>
      <w:r w:rsidRPr="007032C7">
        <w:t xml:space="preserve"> The Economic Journal, 99</w:t>
      </w:r>
      <w:r>
        <w:t> </w:t>
      </w:r>
      <w:r w:rsidRPr="007032C7">
        <w:t>(397), pp.</w:t>
      </w:r>
      <w:r>
        <w:t> </w:t>
      </w:r>
      <w:r w:rsidRPr="007032C7">
        <w:t>569–596</w:t>
      </w:r>
      <w:r>
        <w:t>.</w:t>
      </w:r>
    </w:p>
  </w:footnote>
  <w:footnote w:id="3">
    <w:p w:rsidR="00ED3386" w:rsidRDefault="00ED3386" w:rsidP="00ED3386">
      <w:pPr>
        <w:pStyle w:val="FootnoteText"/>
      </w:pPr>
      <w:r>
        <w:rPr>
          <w:rStyle w:val="FootnoteReference"/>
        </w:rPr>
        <w:footnoteRef/>
      </w:r>
      <w:r>
        <w:t xml:space="preserve"> </w:t>
      </w:r>
      <w:r>
        <w:tab/>
        <w:t>Cohen, W., Nelson, R., et Walsh,</w:t>
      </w:r>
      <w:r w:rsidRPr="007032C7">
        <w:t xml:space="preserve"> J.</w:t>
      </w:r>
      <w:r>
        <w:t> </w:t>
      </w:r>
      <w:r w:rsidRPr="007032C7">
        <w:t>(2002)</w:t>
      </w:r>
      <w:r>
        <w:t>,</w:t>
      </w:r>
      <w:r w:rsidRPr="007032C7">
        <w:t xml:space="preserve"> “Links and </w:t>
      </w:r>
      <w:proofErr w:type="gramStart"/>
      <w:r w:rsidRPr="007032C7">
        <w:t>impacts</w:t>
      </w:r>
      <w:r>
        <w:t> </w:t>
      </w:r>
      <w:r w:rsidRPr="007032C7">
        <w:t>:</w:t>
      </w:r>
      <w:proofErr w:type="gramEnd"/>
      <w:r w:rsidRPr="007032C7">
        <w:t xml:space="preserve"> the influence of public research on industrial R&amp;D”</w:t>
      </w:r>
      <w:r>
        <w:t>,</w:t>
      </w:r>
      <w:r w:rsidRPr="007032C7">
        <w:t xml:space="preserve"> Management Science, 48</w:t>
      </w:r>
      <w:r>
        <w:t xml:space="preserve"> </w:t>
      </w:r>
      <w:r w:rsidRPr="007032C7">
        <w:t>(1), pp.</w:t>
      </w:r>
      <w:r>
        <w:t> </w:t>
      </w:r>
      <w:r w:rsidRPr="007032C7">
        <w:t>1</w:t>
      </w:r>
      <w:r w:rsidR="00E7006A">
        <w:noBreakHyphen/>
      </w:r>
      <w:r w:rsidRPr="007032C7">
        <w:t>23.</w:t>
      </w:r>
    </w:p>
  </w:footnote>
  <w:footnote w:id="4">
    <w:p w:rsidR="00ED3386" w:rsidRDefault="00ED3386" w:rsidP="00ED3386">
      <w:pPr>
        <w:pStyle w:val="FootnoteText"/>
      </w:pPr>
      <w:r>
        <w:rPr>
          <w:rStyle w:val="FootnoteReference"/>
        </w:rPr>
        <w:footnoteRef/>
      </w:r>
      <w:r>
        <w:t xml:space="preserve"> </w:t>
      </w:r>
      <w:r>
        <w:tab/>
      </w:r>
      <w:r w:rsidRPr="00770B93">
        <w:t xml:space="preserve">Mohnen, P., </w:t>
      </w:r>
      <w:proofErr w:type="spellStart"/>
      <w:r w:rsidRPr="00770B93">
        <w:t>Mairesse</w:t>
      </w:r>
      <w:proofErr w:type="spellEnd"/>
      <w:r w:rsidRPr="00770B93">
        <w:t xml:space="preserve">, J., </w:t>
      </w:r>
      <w:r>
        <w:t>et</w:t>
      </w:r>
      <w:r w:rsidRPr="00770B93">
        <w:t xml:space="preserve"> </w:t>
      </w:r>
      <w:proofErr w:type="spellStart"/>
      <w:r w:rsidRPr="00770B93">
        <w:t>Dagenais</w:t>
      </w:r>
      <w:proofErr w:type="spellEnd"/>
      <w:r w:rsidRPr="00770B93">
        <w:t>, M.</w:t>
      </w:r>
      <w:r>
        <w:t> </w:t>
      </w:r>
      <w:r w:rsidRPr="00770B93">
        <w:t>(2006)</w:t>
      </w:r>
      <w:r>
        <w:t>,</w:t>
      </w:r>
      <w:r w:rsidRPr="00770B93">
        <w:t xml:space="preserve"> </w:t>
      </w:r>
      <w:r w:rsidR="005A16FB">
        <w:t>“</w:t>
      </w:r>
      <w:proofErr w:type="spellStart"/>
      <w:proofErr w:type="gramStart"/>
      <w:r w:rsidRPr="007032C7">
        <w:t>Innovativity</w:t>
      </w:r>
      <w:proofErr w:type="spellEnd"/>
      <w:r>
        <w:t> :</w:t>
      </w:r>
      <w:proofErr w:type="gramEnd"/>
      <w:r>
        <w:t xml:space="preserve"> </w:t>
      </w:r>
      <w:r w:rsidRPr="007032C7">
        <w:t>A comparison across seven European countries”</w:t>
      </w:r>
      <w:r>
        <w:t>,</w:t>
      </w:r>
      <w:r w:rsidRPr="007032C7">
        <w:t xml:space="preserve"> Economics of Innovation and New Technology, 15</w:t>
      </w:r>
      <w:r>
        <w:t xml:space="preserve"> </w:t>
      </w:r>
      <w:r w:rsidRPr="007032C7">
        <w:t>(4), pp.</w:t>
      </w:r>
      <w:r>
        <w:t> </w:t>
      </w:r>
      <w:r w:rsidRPr="007032C7">
        <w:t>391–413.</w:t>
      </w:r>
    </w:p>
  </w:footnote>
  <w:footnote w:id="5">
    <w:p w:rsidR="0094662C" w:rsidRPr="00CE7833" w:rsidRDefault="0094662C" w:rsidP="0094662C">
      <w:pPr>
        <w:pStyle w:val="FootnoteText"/>
        <w:rPr>
          <w:lang w:val="fr-FR"/>
        </w:rPr>
      </w:pPr>
      <w:r>
        <w:rPr>
          <w:rStyle w:val="FootnoteReference"/>
        </w:rPr>
        <w:footnoteRef/>
      </w:r>
      <w:r w:rsidRPr="0020755F">
        <w:rPr>
          <w:lang w:val="fr-FR"/>
        </w:rPr>
        <w:t xml:space="preserve"> </w:t>
      </w:r>
      <w:r w:rsidRPr="0020755F">
        <w:rPr>
          <w:lang w:val="fr-FR"/>
        </w:rPr>
        <w:tab/>
      </w:r>
      <w:r w:rsidR="00DF757A" w:rsidRPr="00CE7833">
        <w:rPr>
          <w:lang w:val="fr-FR"/>
        </w:rPr>
        <w:t xml:space="preserve">Aux fins du </w:t>
      </w:r>
      <w:r w:rsidR="00CE7833" w:rsidRPr="00CE7833">
        <w:rPr>
          <w:lang w:val="fr-FR"/>
        </w:rPr>
        <w:t xml:space="preserve">présent </w:t>
      </w:r>
      <w:r w:rsidR="00CE7833">
        <w:rPr>
          <w:lang w:val="fr-FR"/>
        </w:rPr>
        <w:t xml:space="preserve">point, </w:t>
      </w:r>
      <w:r w:rsidR="00CE7833" w:rsidRPr="00CE7833">
        <w:rPr>
          <w:lang w:val="fr-CH"/>
        </w:rPr>
        <w:t>on entend par “établissement universitaire” un établissement d</w:t>
      </w:r>
      <w:r w:rsidR="006D5978">
        <w:rPr>
          <w:lang w:val="fr-CH"/>
        </w:rPr>
        <w:t>’</w:t>
      </w:r>
      <w:r w:rsidR="00CE7833" w:rsidRPr="00CE7833">
        <w:rPr>
          <w:lang w:val="fr-CH"/>
        </w:rPr>
        <w:t>enseignement supérieur qui propose des programmes d</w:t>
      </w:r>
      <w:r w:rsidR="006D5978">
        <w:rPr>
          <w:lang w:val="fr-CH"/>
        </w:rPr>
        <w:t>’</w:t>
      </w:r>
      <w:r w:rsidR="00CE7833" w:rsidRPr="00CE7833">
        <w:rPr>
          <w:lang w:val="fr-CH"/>
        </w:rPr>
        <w:t>études postsecondaires et de recherche, et qui est reconnu par l</w:t>
      </w:r>
      <w:r w:rsidR="006D5978">
        <w:rPr>
          <w:lang w:val="fr-CH"/>
        </w:rPr>
        <w:t>’</w:t>
      </w:r>
      <w:r w:rsidR="00CE7833" w:rsidRPr="00CE7833">
        <w:rPr>
          <w:lang w:val="fr-CH"/>
        </w:rPr>
        <w:t>administration compétente d</w:t>
      </w:r>
      <w:r w:rsidR="006D5978">
        <w:rPr>
          <w:lang w:val="fr-CH"/>
        </w:rPr>
        <w:t>’</w:t>
      </w:r>
      <w:r w:rsidR="00CE7833" w:rsidRPr="00CE7833">
        <w:rPr>
          <w:lang w:val="fr-CH"/>
        </w:rPr>
        <w:t>une partie comme appartenant à son système d</w:t>
      </w:r>
      <w:r w:rsidR="006D5978">
        <w:rPr>
          <w:lang w:val="fr-CH"/>
        </w:rPr>
        <w:t>’</w:t>
      </w:r>
      <w:r w:rsidR="00CE7833" w:rsidRPr="00CE7833">
        <w:rPr>
          <w:lang w:val="fr-CH"/>
        </w:rPr>
        <w:t>enseignement supérieur</w:t>
      </w:r>
      <w:r w:rsidRPr="00CE7833">
        <w:rPr>
          <w:lang w:val="fr-FR"/>
        </w:rPr>
        <w:t>.</w:t>
      </w:r>
    </w:p>
  </w:footnote>
  <w:footnote w:id="6">
    <w:p w:rsidR="009971FF" w:rsidRPr="00CE7833" w:rsidRDefault="009971FF" w:rsidP="009971FF">
      <w:pPr>
        <w:pStyle w:val="FootnoteText"/>
        <w:rPr>
          <w:lang w:val="fr-FR"/>
        </w:rPr>
      </w:pPr>
      <w:r>
        <w:rPr>
          <w:rStyle w:val="FootnoteReference"/>
        </w:rPr>
        <w:footnoteRef/>
      </w:r>
      <w:r w:rsidRPr="0020755F">
        <w:rPr>
          <w:lang w:val="fr-FR"/>
        </w:rPr>
        <w:t xml:space="preserve"> </w:t>
      </w:r>
      <w:r w:rsidRPr="0020755F">
        <w:rPr>
          <w:lang w:val="fr-FR"/>
        </w:rPr>
        <w:tab/>
      </w:r>
      <w:r w:rsidRPr="00CE7833">
        <w:rPr>
          <w:lang w:val="fr-FR"/>
        </w:rPr>
        <w:t xml:space="preserve">Aux fins du présent </w:t>
      </w:r>
      <w:r>
        <w:rPr>
          <w:lang w:val="fr-FR"/>
        </w:rPr>
        <w:t xml:space="preserve">point, </w:t>
      </w:r>
      <w:r w:rsidRPr="00CE7833">
        <w:rPr>
          <w:lang w:val="fr-CH"/>
        </w:rPr>
        <w:t>on entend par “établissement universitaire” un établissement d</w:t>
      </w:r>
      <w:r w:rsidR="006D5978">
        <w:rPr>
          <w:lang w:val="fr-CH"/>
        </w:rPr>
        <w:t>’</w:t>
      </w:r>
      <w:r w:rsidRPr="00CE7833">
        <w:rPr>
          <w:lang w:val="fr-CH"/>
        </w:rPr>
        <w:t>enseignement supérieur qui propose des programmes d</w:t>
      </w:r>
      <w:r w:rsidR="006D5978">
        <w:rPr>
          <w:lang w:val="fr-CH"/>
        </w:rPr>
        <w:t>’</w:t>
      </w:r>
      <w:r w:rsidRPr="00CE7833">
        <w:rPr>
          <w:lang w:val="fr-CH"/>
        </w:rPr>
        <w:t>études postsecondaires et de recherche, et qui est reconnu par l</w:t>
      </w:r>
      <w:r w:rsidR="006D5978">
        <w:rPr>
          <w:lang w:val="fr-CH"/>
        </w:rPr>
        <w:t>’</w:t>
      </w:r>
      <w:r w:rsidRPr="00CE7833">
        <w:rPr>
          <w:lang w:val="fr-CH"/>
        </w:rPr>
        <w:t>administration compétente d</w:t>
      </w:r>
      <w:r w:rsidR="006D5978">
        <w:rPr>
          <w:lang w:val="fr-CH"/>
        </w:rPr>
        <w:t>’</w:t>
      </w:r>
      <w:r w:rsidRPr="00CE7833">
        <w:rPr>
          <w:lang w:val="fr-CH"/>
        </w:rPr>
        <w:t>une partie comme appartenant à son système d</w:t>
      </w:r>
      <w:r w:rsidR="006D5978">
        <w:rPr>
          <w:lang w:val="fr-CH"/>
        </w:rPr>
        <w:t>’</w:t>
      </w:r>
      <w:r w:rsidRPr="00CE7833">
        <w:rPr>
          <w:lang w:val="fr-CH"/>
        </w:rPr>
        <w:t>enseignement supérieur</w:t>
      </w:r>
      <w:r w:rsidRPr="00CE7833">
        <w:rPr>
          <w:lang w:val="fr-FR"/>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4E49" w:rsidRDefault="007F2B7D" w:rsidP="00477D6B">
    <w:pPr>
      <w:jc w:val="right"/>
    </w:pPr>
    <w:bookmarkStart w:id="5" w:name="Code2"/>
    <w:bookmarkEnd w:id="5"/>
    <w:r>
      <w:t>PCT/WG/11/18</w:t>
    </w:r>
  </w:p>
  <w:p w:rsidR="00EC4E49" w:rsidRDefault="00EC4E49" w:rsidP="00477D6B">
    <w:pPr>
      <w:jc w:val="right"/>
    </w:pPr>
    <w:proofErr w:type="gramStart"/>
    <w:r>
      <w:t>page</w:t>
    </w:r>
    <w:proofErr w:type="gramEnd"/>
    <w:r w:rsidR="00E7006A">
      <w:t> </w:t>
    </w:r>
    <w:r>
      <w:fldChar w:fldCharType="begin"/>
    </w:r>
    <w:r>
      <w:instrText xml:space="preserve"> PAGE  \* MERGEFORMAT </w:instrText>
    </w:r>
    <w:r>
      <w:fldChar w:fldCharType="separate"/>
    </w:r>
    <w:r w:rsidR="001C441B">
      <w:rPr>
        <w:noProof/>
      </w:rPr>
      <w:t>5</w:t>
    </w:r>
    <w:r>
      <w:fldChar w:fldCharType="end"/>
    </w:r>
  </w:p>
  <w:p w:rsidR="00EC4E49" w:rsidRDefault="00EC4E49" w:rsidP="00477D6B">
    <w:pP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1755" w:rsidRDefault="001A1755" w:rsidP="00477D6B">
    <w:pPr>
      <w:jc w:val="right"/>
    </w:pPr>
    <w:r>
      <w:t>PCT/WG/11/18</w:t>
    </w:r>
  </w:p>
  <w:p w:rsidR="001A1755" w:rsidRDefault="001A1755" w:rsidP="00477D6B">
    <w:pPr>
      <w:jc w:val="right"/>
    </w:pPr>
    <w:proofErr w:type="gramStart"/>
    <w:r>
      <w:t>page</w:t>
    </w:r>
    <w:proofErr w:type="gramEnd"/>
    <w:r>
      <w:t xml:space="preserve"> </w:t>
    </w:r>
    <w:r>
      <w:fldChar w:fldCharType="begin"/>
    </w:r>
    <w:r>
      <w:instrText xml:space="preserve"> PAGE  \* MERGEFORMAT </w:instrText>
    </w:r>
    <w:r>
      <w:fldChar w:fldCharType="separate"/>
    </w:r>
    <w:r w:rsidR="001C441B">
      <w:rPr>
        <w:noProof/>
      </w:rPr>
      <w:t>7</w:t>
    </w:r>
    <w:r>
      <w:fldChar w:fldCharType="end"/>
    </w:r>
  </w:p>
  <w:p w:rsidR="001A1755" w:rsidRDefault="001A1755" w:rsidP="00477D6B">
    <w:pPr>
      <w:jc w:val="right"/>
    </w:pPr>
  </w:p>
  <w:p w:rsidR="001A1755" w:rsidRDefault="001A1755" w:rsidP="00477D6B">
    <w:pP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1DC4" w:rsidRDefault="00BA1DC4" w:rsidP="00BA1DC4">
    <w:pPr>
      <w:pStyle w:val="Header"/>
      <w:jc w:val="right"/>
    </w:pPr>
    <w:r>
      <w:t>PCT/WG/11/18</w:t>
    </w:r>
  </w:p>
  <w:p w:rsidR="00BA1DC4" w:rsidRDefault="00BA1DC4" w:rsidP="00BA1DC4">
    <w:pPr>
      <w:pStyle w:val="Header"/>
      <w:jc w:val="right"/>
    </w:pPr>
    <w:r>
      <w:t>ANNEX</w:t>
    </w:r>
    <w:r w:rsidR="002D0BC4">
      <w:t>E</w:t>
    </w:r>
    <w:r>
      <w:t xml:space="preserve"> I</w:t>
    </w:r>
  </w:p>
  <w:p w:rsidR="00BA1DC4" w:rsidRDefault="00BA1DC4" w:rsidP="00BA1DC4">
    <w:pPr>
      <w:pStyle w:val="Header"/>
      <w:jc w:val="right"/>
    </w:pPr>
  </w:p>
  <w:p w:rsidR="00BA1DC4" w:rsidRDefault="00BA1DC4" w:rsidP="00BA1DC4">
    <w:pPr>
      <w:pStyle w:val="Header"/>
      <w:jc w:val="righ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1DC4" w:rsidRDefault="00BA1DC4" w:rsidP="00BA1DC4">
    <w:pPr>
      <w:pStyle w:val="Header"/>
      <w:jc w:val="right"/>
    </w:pPr>
    <w:r>
      <w:t>PCT/WG/11/18</w:t>
    </w:r>
  </w:p>
  <w:p w:rsidR="00BA1DC4" w:rsidRDefault="00BA1DC4" w:rsidP="00BA1DC4">
    <w:pPr>
      <w:pStyle w:val="Header"/>
      <w:jc w:val="right"/>
    </w:pPr>
    <w:r>
      <w:t>ANNEX</w:t>
    </w:r>
    <w:r w:rsidR="002D0BC4">
      <w:t>E</w:t>
    </w:r>
    <w:r>
      <w:t xml:space="preserve"> II</w:t>
    </w:r>
  </w:p>
  <w:p w:rsidR="00BA1DC4" w:rsidRDefault="00BA1DC4" w:rsidP="00BA1DC4">
    <w:pPr>
      <w:pStyle w:val="Header"/>
      <w:jc w:val="right"/>
    </w:pPr>
  </w:p>
  <w:p w:rsidR="00BA1DC4" w:rsidRDefault="00BA1DC4" w:rsidP="00BA1DC4">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6CD29E3"/>
    <w:multiLevelType w:val="multilevel"/>
    <w:tmpl w:val="5F84C8F6"/>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77D5000"/>
    <w:multiLevelType w:val="singleLevel"/>
    <w:tmpl w:val="0409000F"/>
    <w:lvl w:ilvl="0">
      <w:start w:val="1"/>
      <w:numFmt w:val="decimal"/>
      <w:lvlText w:val="%1."/>
      <w:lvlJc w:val="left"/>
      <w:pPr>
        <w:tabs>
          <w:tab w:val="num" w:pos="360"/>
        </w:tabs>
        <w:ind w:left="360" w:hanging="360"/>
      </w:pPr>
    </w:lvl>
  </w:abstractNum>
  <w:abstractNum w:abstractNumId="3">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7F1809F5"/>
    <w:multiLevelType w:val="hybridMultilevel"/>
    <w:tmpl w:val="51C66E40"/>
    <w:lvl w:ilvl="0" w:tplc="62EEC52A">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0"/>
  </w:num>
  <w:num w:numId="4">
    <w:abstractNumId w:val="5"/>
  </w:num>
  <w:num w:numId="5">
    <w:abstractNumId w:val="1"/>
  </w:num>
  <w:num w:numId="6">
    <w:abstractNumId w:val="3"/>
  </w:num>
  <w:num w:numId="7">
    <w:abstractNumId w:val="6"/>
  </w:num>
  <w:num w:numId="8">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3"/>
  </w:num>
  <w:num w:numId="11">
    <w:abstractNumId w:val="3"/>
  </w:num>
  <w:num w:numId="12">
    <w:abstractNumId w:val="3"/>
  </w:num>
  <w:num w:numId="13">
    <w:abstractNumId w:val="3"/>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40961"/>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2B7D"/>
    <w:rsid w:val="00014D92"/>
    <w:rsid w:val="00040A02"/>
    <w:rsid w:val="000431F1"/>
    <w:rsid w:val="00043CAA"/>
    <w:rsid w:val="00065AF0"/>
    <w:rsid w:val="00075432"/>
    <w:rsid w:val="000968ED"/>
    <w:rsid w:val="000C1817"/>
    <w:rsid w:val="000D4784"/>
    <w:rsid w:val="000D6927"/>
    <w:rsid w:val="000F5E56"/>
    <w:rsid w:val="001362EE"/>
    <w:rsid w:val="00154B10"/>
    <w:rsid w:val="001622C4"/>
    <w:rsid w:val="001647D5"/>
    <w:rsid w:val="001831DC"/>
    <w:rsid w:val="001832A6"/>
    <w:rsid w:val="00192228"/>
    <w:rsid w:val="00192290"/>
    <w:rsid w:val="001A1755"/>
    <w:rsid w:val="001C441B"/>
    <w:rsid w:val="001C5C50"/>
    <w:rsid w:val="001E4007"/>
    <w:rsid w:val="0020755F"/>
    <w:rsid w:val="0021217E"/>
    <w:rsid w:val="002145EA"/>
    <w:rsid w:val="00214AE9"/>
    <w:rsid w:val="002634C4"/>
    <w:rsid w:val="00272AB5"/>
    <w:rsid w:val="002918A3"/>
    <w:rsid w:val="002928D3"/>
    <w:rsid w:val="002D0BC4"/>
    <w:rsid w:val="002D5F5F"/>
    <w:rsid w:val="002F1FE6"/>
    <w:rsid w:val="002F4E68"/>
    <w:rsid w:val="00305368"/>
    <w:rsid w:val="00312F7F"/>
    <w:rsid w:val="003319AC"/>
    <w:rsid w:val="00334DA0"/>
    <w:rsid w:val="00361450"/>
    <w:rsid w:val="003673CF"/>
    <w:rsid w:val="00381F8B"/>
    <w:rsid w:val="003845C1"/>
    <w:rsid w:val="00393E84"/>
    <w:rsid w:val="003A6F89"/>
    <w:rsid w:val="003B08BD"/>
    <w:rsid w:val="003B38C1"/>
    <w:rsid w:val="003C2CA2"/>
    <w:rsid w:val="003E433E"/>
    <w:rsid w:val="003E5E9A"/>
    <w:rsid w:val="003F6970"/>
    <w:rsid w:val="00406537"/>
    <w:rsid w:val="00423E3E"/>
    <w:rsid w:val="00427AF4"/>
    <w:rsid w:val="00442DE4"/>
    <w:rsid w:val="0046016A"/>
    <w:rsid w:val="004647DA"/>
    <w:rsid w:val="00474062"/>
    <w:rsid w:val="00477D6B"/>
    <w:rsid w:val="00491FAD"/>
    <w:rsid w:val="004C2167"/>
    <w:rsid w:val="005019FF"/>
    <w:rsid w:val="0053057A"/>
    <w:rsid w:val="005409D1"/>
    <w:rsid w:val="00560A29"/>
    <w:rsid w:val="00584506"/>
    <w:rsid w:val="00596D0C"/>
    <w:rsid w:val="005A0391"/>
    <w:rsid w:val="005A16FB"/>
    <w:rsid w:val="005B06EC"/>
    <w:rsid w:val="005B4308"/>
    <w:rsid w:val="005B70C0"/>
    <w:rsid w:val="005C6649"/>
    <w:rsid w:val="005E28D4"/>
    <w:rsid w:val="005E65E2"/>
    <w:rsid w:val="005E69B2"/>
    <w:rsid w:val="00605827"/>
    <w:rsid w:val="00646050"/>
    <w:rsid w:val="006516B1"/>
    <w:rsid w:val="0066464D"/>
    <w:rsid w:val="006713CA"/>
    <w:rsid w:val="00672943"/>
    <w:rsid w:val="00675FBD"/>
    <w:rsid w:val="00676C5C"/>
    <w:rsid w:val="00681A34"/>
    <w:rsid w:val="006B0B73"/>
    <w:rsid w:val="006D2297"/>
    <w:rsid w:val="006D5978"/>
    <w:rsid w:val="007032C7"/>
    <w:rsid w:val="00717440"/>
    <w:rsid w:val="00735129"/>
    <w:rsid w:val="00780BBA"/>
    <w:rsid w:val="007B12B5"/>
    <w:rsid w:val="007C4FE7"/>
    <w:rsid w:val="007D1613"/>
    <w:rsid w:val="007E4C0E"/>
    <w:rsid w:val="007F2B7D"/>
    <w:rsid w:val="00817E7E"/>
    <w:rsid w:val="00841983"/>
    <w:rsid w:val="00851B5F"/>
    <w:rsid w:val="0088457C"/>
    <w:rsid w:val="00887C2F"/>
    <w:rsid w:val="008A134B"/>
    <w:rsid w:val="008B2CC1"/>
    <w:rsid w:val="008B60B2"/>
    <w:rsid w:val="008C3545"/>
    <w:rsid w:val="009047C2"/>
    <w:rsid w:val="0090731E"/>
    <w:rsid w:val="00916EE2"/>
    <w:rsid w:val="009177AE"/>
    <w:rsid w:val="00935802"/>
    <w:rsid w:val="0094662C"/>
    <w:rsid w:val="00966A22"/>
    <w:rsid w:val="0096722F"/>
    <w:rsid w:val="00980843"/>
    <w:rsid w:val="009922F7"/>
    <w:rsid w:val="009971FF"/>
    <w:rsid w:val="009C189A"/>
    <w:rsid w:val="009C249D"/>
    <w:rsid w:val="009E2791"/>
    <w:rsid w:val="009E3F6F"/>
    <w:rsid w:val="009F499F"/>
    <w:rsid w:val="00A053A6"/>
    <w:rsid w:val="00A0720A"/>
    <w:rsid w:val="00A26734"/>
    <w:rsid w:val="00A37342"/>
    <w:rsid w:val="00A42DAF"/>
    <w:rsid w:val="00A45BD8"/>
    <w:rsid w:val="00A544FA"/>
    <w:rsid w:val="00A8638F"/>
    <w:rsid w:val="00A869B7"/>
    <w:rsid w:val="00AC205C"/>
    <w:rsid w:val="00AC5DDE"/>
    <w:rsid w:val="00AF0A6B"/>
    <w:rsid w:val="00B02367"/>
    <w:rsid w:val="00B05A69"/>
    <w:rsid w:val="00B15A80"/>
    <w:rsid w:val="00B17253"/>
    <w:rsid w:val="00B2076F"/>
    <w:rsid w:val="00B66C21"/>
    <w:rsid w:val="00B96C3D"/>
    <w:rsid w:val="00B9734B"/>
    <w:rsid w:val="00BA1DC4"/>
    <w:rsid w:val="00BA30E2"/>
    <w:rsid w:val="00BA711D"/>
    <w:rsid w:val="00BB4ECE"/>
    <w:rsid w:val="00BC260D"/>
    <w:rsid w:val="00BE7BDA"/>
    <w:rsid w:val="00C045C3"/>
    <w:rsid w:val="00C11BFE"/>
    <w:rsid w:val="00C5068F"/>
    <w:rsid w:val="00C62A1E"/>
    <w:rsid w:val="00C86D74"/>
    <w:rsid w:val="00CA080C"/>
    <w:rsid w:val="00CB09A5"/>
    <w:rsid w:val="00CC5589"/>
    <w:rsid w:val="00CD04F1"/>
    <w:rsid w:val="00CD08D7"/>
    <w:rsid w:val="00CE7833"/>
    <w:rsid w:val="00D06043"/>
    <w:rsid w:val="00D13D01"/>
    <w:rsid w:val="00D317F6"/>
    <w:rsid w:val="00D45252"/>
    <w:rsid w:val="00D56811"/>
    <w:rsid w:val="00D62907"/>
    <w:rsid w:val="00D71B4D"/>
    <w:rsid w:val="00D84E13"/>
    <w:rsid w:val="00D93D55"/>
    <w:rsid w:val="00D97B01"/>
    <w:rsid w:val="00DE0A96"/>
    <w:rsid w:val="00DE4335"/>
    <w:rsid w:val="00DF757A"/>
    <w:rsid w:val="00E02A28"/>
    <w:rsid w:val="00E15015"/>
    <w:rsid w:val="00E335FE"/>
    <w:rsid w:val="00E56CE9"/>
    <w:rsid w:val="00E7006A"/>
    <w:rsid w:val="00EA7D6E"/>
    <w:rsid w:val="00EB29F4"/>
    <w:rsid w:val="00EC4E49"/>
    <w:rsid w:val="00ED3386"/>
    <w:rsid w:val="00ED77FB"/>
    <w:rsid w:val="00EE45FA"/>
    <w:rsid w:val="00F24A62"/>
    <w:rsid w:val="00F66152"/>
    <w:rsid w:val="00F7467C"/>
    <w:rsid w:val="00F960DD"/>
    <w:rsid w:val="00FC5BF0"/>
    <w:rsid w:val="00FC74C3"/>
  </w:rsids>
  <m:mathPr>
    <m:mathFont m:val="Cambria Math"/>
    <m:brkBin m:val="before"/>
    <m:brkBinSub m:val="--"/>
    <m:smallFrac m:val="0"/>
    <m:dispDef/>
    <m:lMargin m:val="0"/>
    <m:rMargin m:val="0"/>
    <m:defJc m:val="centerGroup"/>
    <m:wrapIndent m:val="1440"/>
    <m:intLim m:val="subSup"/>
    <m:naryLim m:val="undOvr"/>
  </m:mathPr>
  <w:themeFontLang w:val="fr-CH"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link w:val="FootnoteTextChar"/>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F960DD"/>
    <w:rPr>
      <w:rFonts w:ascii="Tahoma" w:hAnsi="Tahoma" w:cs="Tahoma"/>
      <w:sz w:val="16"/>
      <w:szCs w:val="16"/>
    </w:rPr>
  </w:style>
  <w:style w:type="character" w:customStyle="1" w:styleId="BalloonTextChar">
    <w:name w:val="Balloon Text Char"/>
    <w:basedOn w:val="DefaultParagraphFont"/>
    <w:link w:val="BalloonText"/>
    <w:rsid w:val="00F960DD"/>
    <w:rPr>
      <w:rFonts w:ascii="Tahoma" w:eastAsia="SimSun" w:hAnsi="Tahoma" w:cs="Tahoma"/>
      <w:sz w:val="16"/>
      <w:szCs w:val="16"/>
      <w:lang w:val="en-US" w:eastAsia="zh-CN"/>
    </w:rPr>
  </w:style>
  <w:style w:type="character" w:customStyle="1" w:styleId="FootnoteTextChar">
    <w:name w:val="Footnote Text Char"/>
    <w:basedOn w:val="DefaultParagraphFont"/>
    <w:link w:val="FootnoteText"/>
    <w:semiHidden/>
    <w:rsid w:val="001A1755"/>
    <w:rPr>
      <w:rFonts w:ascii="Arial" w:eastAsia="SimSun" w:hAnsi="Arial" w:cs="Arial"/>
      <w:sz w:val="18"/>
      <w:lang w:val="en-US" w:eastAsia="zh-CN"/>
    </w:rPr>
  </w:style>
  <w:style w:type="paragraph" w:customStyle="1" w:styleId="LegTitle">
    <w:name w:val="Leg # Title"/>
    <w:basedOn w:val="Normal"/>
    <w:next w:val="Normal"/>
    <w:rsid w:val="001A1755"/>
    <w:pPr>
      <w:keepNext/>
      <w:keepLines/>
      <w:suppressAutoHyphens/>
      <w:spacing w:before="240"/>
      <w:jc w:val="center"/>
    </w:pPr>
    <w:rPr>
      <w:rFonts w:eastAsia="Times New Roman" w:cs="Times New Roman"/>
      <w:b/>
      <w:lang w:eastAsia="ja-JP"/>
    </w:rPr>
  </w:style>
  <w:style w:type="paragraph" w:customStyle="1" w:styleId="LegBasic">
    <w:name w:val="Leg Basic"/>
    <w:rsid w:val="001A1755"/>
    <w:pPr>
      <w:snapToGrid w:val="0"/>
      <w:spacing w:after="480" w:line="480" w:lineRule="auto"/>
    </w:pPr>
    <w:rPr>
      <w:rFonts w:ascii="Arial" w:hAnsi="Arial"/>
      <w:sz w:val="22"/>
      <w:lang w:val="en-US" w:eastAsia="en-US"/>
    </w:rPr>
  </w:style>
  <w:style w:type="character" w:styleId="FootnoteReference">
    <w:name w:val="footnote reference"/>
    <w:basedOn w:val="DefaultParagraphFont"/>
    <w:unhideWhenUsed/>
    <w:rsid w:val="001A1755"/>
    <w:rPr>
      <w:vertAlign w:val="superscript"/>
    </w:rPr>
  </w:style>
  <w:style w:type="character" w:styleId="CommentReference">
    <w:name w:val="annotation reference"/>
    <w:basedOn w:val="DefaultParagraphFont"/>
    <w:rsid w:val="00717440"/>
    <w:rPr>
      <w:sz w:val="16"/>
      <w:szCs w:val="16"/>
    </w:rPr>
  </w:style>
  <w:style w:type="paragraph" w:styleId="CommentSubject">
    <w:name w:val="annotation subject"/>
    <w:basedOn w:val="CommentText"/>
    <w:next w:val="CommentText"/>
    <w:link w:val="CommentSubjectChar"/>
    <w:rsid w:val="00717440"/>
    <w:rPr>
      <w:b/>
      <w:bCs/>
      <w:sz w:val="20"/>
    </w:rPr>
  </w:style>
  <w:style w:type="character" w:customStyle="1" w:styleId="CommentTextChar">
    <w:name w:val="Comment Text Char"/>
    <w:basedOn w:val="DefaultParagraphFont"/>
    <w:link w:val="CommentText"/>
    <w:semiHidden/>
    <w:rsid w:val="00717440"/>
    <w:rPr>
      <w:rFonts w:ascii="Arial" w:eastAsia="SimSun" w:hAnsi="Arial" w:cs="Arial"/>
      <w:sz w:val="18"/>
      <w:lang w:val="en-US" w:eastAsia="zh-CN"/>
    </w:rPr>
  </w:style>
  <w:style w:type="character" w:customStyle="1" w:styleId="CommentSubjectChar">
    <w:name w:val="Comment Subject Char"/>
    <w:basedOn w:val="CommentTextChar"/>
    <w:link w:val="CommentSubject"/>
    <w:rsid w:val="00717440"/>
    <w:rPr>
      <w:rFonts w:ascii="Arial" w:eastAsia="SimSun" w:hAnsi="Arial" w:cs="Arial"/>
      <w:b/>
      <w:bCs/>
      <w:sz w:val="18"/>
      <w:lang w:val="en-U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link w:val="FootnoteTextChar"/>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F960DD"/>
    <w:rPr>
      <w:rFonts w:ascii="Tahoma" w:hAnsi="Tahoma" w:cs="Tahoma"/>
      <w:sz w:val="16"/>
      <w:szCs w:val="16"/>
    </w:rPr>
  </w:style>
  <w:style w:type="character" w:customStyle="1" w:styleId="BalloonTextChar">
    <w:name w:val="Balloon Text Char"/>
    <w:basedOn w:val="DefaultParagraphFont"/>
    <w:link w:val="BalloonText"/>
    <w:rsid w:val="00F960DD"/>
    <w:rPr>
      <w:rFonts w:ascii="Tahoma" w:eastAsia="SimSun" w:hAnsi="Tahoma" w:cs="Tahoma"/>
      <w:sz w:val="16"/>
      <w:szCs w:val="16"/>
      <w:lang w:val="en-US" w:eastAsia="zh-CN"/>
    </w:rPr>
  </w:style>
  <w:style w:type="character" w:customStyle="1" w:styleId="FootnoteTextChar">
    <w:name w:val="Footnote Text Char"/>
    <w:basedOn w:val="DefaultParagraphFont"/>
    <w:link w:val="FootnoteText"/>
    <w:semiHidden/>
    <w:rsid w:val="001A1755"/>
    <w:rPr>
      <w:rFonts w:ascii="Arial" w:eastAsia="SimSun" w:hAnsi="Arial" w:cs="Arial"/>
      <w:sz w:val="18"/>
      <w:lang w:val="en-US" w:eastAsia="zh-CN"/>
    </w:rPr>
  </w:style>
  <w:style w:type="paragraph" w:customStyle="1" w:styleId="LegTitle">
    <w:name w:val="Leg # Title"/>
    <w:basedOn w:val="Normal"/>
    <w:next w:val="Normal"/>
    <w:rsid w:val="001A1755"/>
    <w:pPr>
      <w:keepNext/>
      <w:keepLines/>
      <w:suppressAutoHyphens/>
      <w:spacing w:before="240"/>
      <w:jc w:val="center"/>
    </w:pPr>
    <w:rPr>
      <w:rFonts w:eastAsia="Times New Roman" w:cs="Times New Roman"/>
      <w:b/>
      <w:lang w:eastAsia="ja-JP"/>
    </w:rPr>
  </w:style>
  <w:style w:type="paragraph" w:customStyle="1" w:styleId="LegBasic">
    <w:name w:val="Leg Basic"/>
    <w:rsid w:val="001A1755"/>
    <w:pPr>
      <w:snapToGrid w:val="0"/>
      <w:spacing w:after="480" w:line="480" w:lineRule="auto"/>
    </w:pPr>
    <w:rPr>
      <w:rFonts w:ascii="Arial" w:hAnsi="Arial"/>
      <w:sz w:val="22"/>
      <w:lang w:val="en-US" w:eastAsia="en-US"/>
    </w:rPr>
  </w:style>
  <w:style w:type="character" w:styleId="FootnoteReference">
    <w:name w:val="footnote reference"/>
    <w:basedOn w:val="DefaultParagraphFont"/>
    <w:unhideWhenUsed/>
    <w:rsid w:val="001A1755"/>
    <w:rPr>
      <w:vertAlign w:val="superscript"/>
    </w:rPr>
  </w:style>
  <w:style w:type="character" w:styleId="CommentReference">
    <w:name w:val="annotation reference"/>
    <w:basedOn w:val="DefaultParagraphFont"/>
    <w:rsid w:val="00717440"/>
    <w:rPr>
      <w:sz w:val="16"/>
      <w:szCs w:val="16"/>
    </w:rPr>
  </w:style>
  <w:style w:type="paragraph" w:styleId="CommentSubject">
    <w:name w:val="annotation subject"/>
    <w:basedOn w:val="CommentText"/>
    <w:next w:val="CommentText"/>
    <w:link w:val="CommentSubjectChar"/>
    <w:rsid w:val="00717440"/>
    <w:rPr>
      <w:b/>
      <w:bCs/>
      <w:sz w:val="20"/>
    </w:rPr>
  </w:style>
  <w:style w:type="character" w:customStyle="1" w:styleId="CommentTextChar">
    <w:name w:val="Comment Text Char"/>
    <w:basedOn w:val="DefaultParagraphFont"/>
    <w:link w:val="CommentText"/>
    <w:semiHidden/>
    <w:rsid w:val="00717440"/>
    <w:rPr>
      <w:rFonts w:ascii="Arial" w:eastAsia="SimSun" w:hAnsi="Arial" w:cs="Arial"/>
      <w:sz w:val="18"/>
      <w:lang w:val="en-US" w:eastAsia="zh-CN"/>
    </w:rPr>
  </w:style>
  <w:style w:type="character" w:customStyle="1" w:styleId="CommentSubjectChar">
    <w:name w:val="Comment Subject Char"/>
    <w:basedOn w:val="CommentTextChar"/>
    <w:link w:val="CommentSubject"/>
    <w:rsid w:val="00717440"/>
    <w:rPr>
      <w:rFonts w:ascii="Arial" w:eastAsia="SimSun" w:hAnsi="Arial" w:cs="Arial"/>
      <w:b/>
      <w:bCs/>
      <w:sz w:val="18"/>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PCT\PCT%20WG%2011%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735B38-4FE3-48B1-B454-AF9A9BCC19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PCT WG 11 (E)</Template>
  <TotalTime>4</TotalTime>
  <Pages>7</Pages>
  <Words>2447</Words>
  <Characters>13401</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PCT/WG/11/18</vt:lpstr>
    </vt:vector>
  </TitlesOfParts>
  <Company>WIPO</Company>
  <LinksUpToDate>false</LinksUpToDate>
  <CharactersWithSpaces>15817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PCT/WG/11/18</dc:title>
  <dc:subject>Proposal on a PCT Fee Policy to Stimulate Patent Filing by Universities</dc:subject>
  <dc:creator>Marlow</dc:creator>
  <cp:lastModifiedBy>Marlow</cp:lastModifiedBy>
  <cp:revision>5</cp:revision>
  <cp:lastPrinted>2018-05-29T08:56:00Z</cp:lastPrinted>
  <dcterms:created xsi:type="dcterms:W3CDTF">2018-05-29T08:54:00Z</dcterms:created>
  <dcterms:modified xsi:type="dcterms:W3CDTF">2018-05-29T08:57:00Z</dcterms:modified>
</cp:coreProperties>
</file>