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581" w:rsidRPr="009A006E" w:rsidTr="00BC1C64">
        <w:tc>
          <w:tcPr>
            <w:tcW w:w="4513" w:type="dxa"/>
            <w:tcBorders>
              <w:bottom w:val="single" w:sz="4" w:space="0" w:color="auto"/>
            </w:tcBorders>
            <w:tcMar>
              <w:bottom w:w="170" w:type="dxa"/>
            </w:tcMar>
          </w:tcPr>
          <w:p w:rsidR="00EC4581" w:rsidRPr="009A006E" w:rsidRDefault="00EC4581" w:rsidP="00BC1C64">
            <w:pPr>
              <w:rPr>
                <w:lang w:val="fr-FR"/>
              </w:rPr>
            </w:pPr>
            <w:bookmarkStart w:id="0" w:name="TitleOfDoc"/>
            <w:bookmarkEnd w:id="0"/>
          </w:p>
        </w:tc>
        <w:tc>
          <w:tcPr>
            <w:tcW w:w="4337" w:type="dxa"/>
            <w:tcBorders>
              <w:bottom w:val="single" w:sz="4" w:space="0" w:color="auto"/>
            </w:tcBorders>
            <w:tcMar>
              <w:left w:w="0" w:type="dxa"/>
              <w:right w:w="0" w:type="dxa"/>
            </w:tcMar>
          </w:tcPr>
          <w:p w:rsidR="00EC4581" w:rsidRPr="009A006E" w:rsidRDefault="00EC4581" w:rsidP="00BC1C64">
            <w:pPr>
              <w:rPr>
                <w:lang w:val="fr-FR"/>
              </w:rPr>
            </w:pPr>
            <w:r w:rsidRPr="009A006E">
              <w:rPr>
                <w:noProof/>
                <w:lang w:eastAsia="en-US"/>
              </w:rPr>
              <w:drawing>
                <wp:inline distT="0" distB="0" distL="0" distR="0" wp14:anchorId="46253D3F" wp14:editId="1DAB6857">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581" w:rsidRPr="009A006E" w:rsidRDefault="00EC4581" w:rsidP="00BC1C64">
            <w:pPr>
              <w:jc w:val="right"/>
              <w:rPr>
                <w:lang w:val="fr-FR"/>
              </w:rPr>
            </w:pPr>
            <w:r w:rsidRPr="009A006E">
              <w:rPr>
                <w:b/>
                <w:sz w:val="40"/>
                <w:szCs w:val="40"/>
                <w:lang w:val="fr-FR"/>
              </w:rPr>
              <w:t>F</w:t>
            </w:r>
          </w:p>
        </w:tc>
      </w:tr>
      <w:tr w:rsidR="00EC4581" w:rsidRPr="009A006E" w:rsidTr="00BC1C64">
        <w:trPr>
          <w:trHeight w:hRule="exact" w:val="357"/>
        </w:trPr>
        <w:tc>
          <w:tcPr>
            <w:tcW w:w="9356" w:type="dxa"/>
            <w:gridSpan w:val="3"/>
            <w:tcBorders>
              <w:top w:val="single" w:sz="4" w:space="0" w:color="auto"/>
            </w:tcBorders>
            <w:tcMar>
              <w:top w:w="170" w:type="dxa"/>
              <w:left w:w="0" w:type="dxa"/>
              <w:right w:w="0" w:type="dxa"/>
            </w:tcMar>
            <w:vAlign w:val="bottom"/>
          </w:tcPr>
          <w:p w:rsidR="00EC4581" w:rsidRPr="009A006E" w:rsidRDefault="00EC4581" w:rsidP="00BC1C64">
            <w:pPr>
              <w:jc w:val="right"/>
              <w:rPr>
                <w:rFonts w:ascii="Arial Black" w:hAnsi="Arial Black"/>
                <w:caps/>
                <w:sz w:val="15"/>
                <w:lang w:val="fr-FR"/>
              </w:rPr>
            </w:pPr>
            <w:r w:rsidRPr="009A006E">
              <w:rPr>
                <w:rFonts w:ascii="Arial Black" w:hAnsi="Arial Black"/>
                <w:caps/>
                <w:sz w:val="15"/>
                <w:lang w:val="fr-FR"/>
              </w:rPr>
              <w:t>PCT/WG/10/</w:t>
            </w:r>
            <w:bookmarkStart w:id="1" w:name="Code"/>
            <w:bookmarkEnd w:id="1"/>
            <w:r w:rsidRPr="009A006E">
              <w:rPr>
                <w:rFonts w:ascii="Arial Black" w:hAnsi="Arial Black"/>
                <w:caps/>
                <w:sz w:val="15"/>
                <w:lang w:val="fr-FR"/>
              </w:rPr>
              <w:t xml:space="preserve">9 </w:t>
            </w:r>
          </w:p>
        </w:tc>
      </w:tr>
      <w:tr w:rsidR="00EC4581" w:rsidRPr="009A006E" w:rsidTr="00BC1C64">
        <w:trPr>
          <w:trHeight w:hRule="exact" w:val="170"/>
        </w:trPr>
        <w:tc>
          <w:tcPr>
            <w:tcW w:w="9356" w:type="dxa"/>
            <w:gridSpan w:val="3"/>
            <w:noWrap/>
            <w:tcMar>
              <w:left w:w="0" w:type="dxa"/>
              <w:right w:w="0" w:type="dxa"/>
            </w:tcMar>
            <w:vAlign w:val="bottom"/>
          </w:tcPr>
          <w:p w:rsidR="00EC4581" w:rsidRPr="009A006E" w:rsidRDefault="00EC4581" w:rsidP="00EC4581">
            <w:pPr>
              <w:jc w:val="right"/>
              <w:rPr>
                <w:rFonts w:ascii="Arial Black" w:hAnsi="Arial Black"/>
                <w:caps/>
                <w:sz w:val="15"/>
                <w:lang w:val="fr-FR"/>
              </w:rPr>
            </w:pPr>
            <w:r w:rsidRPr="009A006E">
              <w:rPr>
                <w:rFonts w:ascii="Arial Black" w:hAnsi="Arial Black"/>
                <w:caps/>
                <w:sz w:val="15"/>
                <w:lang w:val="fr-FR"/>
              </w:rPr>
              <w:t>ORIGINAL</w:t>
            </w:r>
            <w:r w:rsidR="00536DD9" w:rsidRPr="009A006E">
              <w:rPr>
                <w:rFonts w:ascii="Arial Black" w:hAnsi="Arial Black"/>
                <w:caps/>
                <w:sz w:val="15"/>
                <w:lang w:val="fr-FR"/>
              </w:rPr>
              <w:t> :</w:t>
            </w:r>
            <w:r w:rsidRPr="009A006E">
              <w:rPr>
                <w:rFonts w:ascii="Arial Black" w:hAnsi="Arial Black"/>
                <w:caps/>
                <w:sz w:val="15"/>
                <w:lang w:val="fr-FR"/>
              </w:rPr>
              <w:t xml:space="preserve"> </w:t>
            </w:r>
            <w:bookmarkStart w:id="2" w:name="Original"/>
            <w:bookmarkEnd w:id="2"/>
            <w:r w:rsidRPr="009A006E">
              <w:rPr>
                <w:rFonts w:ascii="Arial Black" w:hAnsi="Arial Black"/>
                <w:caps/>
                <w:sz w:val="15"/>
                <w:lang w:val="fr-FR"/>
              </w:rPr>
              <w:t>anglais</w:t>
            </w:r>
          </w:p>
        </w:tc>
      </w:tr>
      <w:tr w:rsidR="00EC4581" w:rsidRPr="009A006E" w:rsidTr="00BC1C64">
        <w:trPr>
          <w:trHeight w:hRule="exact" w:val="198"/>
        </w:trPr>
        <w:tc>
          <w:tcPr>
            <w:tcW w:w="9356" w:type="dxa"/>
            <w:gridSpan w:val="3"/>
            <w:tcMar>
              <w:left w:w="0" w:type="dxa"/>
              <w:right w:w="0" w:type="dxa"/>
            </w:tcMar>
            <w:vAlign w:val="bottom"/>
          </w:tcPr>
          <w:p w:rsidR="00EC4581" w:rsidRPr="009A006E" w:rsidRDefault="00EC4581" w:rsidP="00EC4581">
            <w:pPr>
              <w:jc w:val="right"/>
              <w:rPr>
                <w:rFonts w:ascii="Arial Black" w:hAnsi="Arial Black"/>
                <w:caps/>
                <w:sz w:val="15"/>
                <w:lang w:val="fr-FR"/>
              </w:rPr>
            </w:pPr>
            <w:r w:rsidRPr="009A006E">
              <w:rPr>
                <w:rFonts w:ascii="Arial Black" w:hAnsi="Arial Black"/>
                <w:caps/>
                <w:sz w:val="15"/>
                <w:lang w:val="fr-FR"/>
              </w:rPr>
              <w:t>DATE</w:t>
            </w:r>
            <w:r w:rsidR="00536DD9" w:rsidRPr="009A006E">
              <w:rPr>
                <w:rFonts w:ascii="Arial Black" w:hAnsi="Arial Black"/>
                <w:caps/>
                <w:sz w:val="15"/>
                <w:lang w:val="fr-FR"/>
              </w:rPr>
              <w:t> :</w:t>
            </w:r>
            <w:r w:rsidRPr="009A006E">
              <w:rPr>
                <w:rFonts w:ascii="Arial Black" w:hAnsi="Arial Black"/>
                <w:caps/>
                <w:sz w:val="15"/>
                <w:lang w:val="fr-FR"/>
              </w:rPr>
              <w:t xml:space="preserve"> </w:t>
            </w:r>
            <w:bookmarkStart w:id="3" w:name="Date"/>
            <w:bookmarkEnd w:id="3"/>
            <w:r w:rsidRPr="009A006E">
              <w:rPr>
                <w:rFonts w:ascii="Arial Black" w:hAnsi="Arial Black"/>
                <w:caps/>
                <w:sz w:val="15"/>
                <w:lang w:val="fr-FR"/>
              </w:rPr>
              <w:t>4 avril 2017</w:t>
            </w:r>
          </w:p>
        </w:tc>
      </w:tr>
    </w:tbl>
    <w:p w:rsidR="00EC4581" w:rsidRPr="009A006E" w:rsidRDefault="00EC4581" w:rsidP="00EC4581">
      <w:pPr>
        <w:rPr>
          <w:lang w:val="fr-FR"/>
        </w:rPr>
      </w:pPr>
    </w:p>
    <w:p w:rsidR="00EC4581" w:rsidRPr="009A006E" w:rsidRDefault="00EC4581" w:rsidP="00EC4581">
      <w:pPr>
        <w:rPr>
          <w:lang w:val="fr-FR"/>
        </w:rPr>
      </w:pPr>
    </w:p>
    <w:p w:rsidR="00EC4581" w:rsidRPr="009A006E" w:rsidRDefault="00EC4581" w:rsidP="00EC4581">
      <w:pPr>
        <w:rPr>
          <w:lang w:val="fr-FR"/>
        </w:rPr>
      </w:pPr>
    </w:p>
    <w:p w:rsidR="00EC4581" w:rsidRPr="009A006E" w:rsidRDefault="00EC4581" w:rsidP="00EC4581">
      <w:pPr>
        <w:rPr>
          <w:lang w:val="fr-FR"/>
        </w:rPr>
      </w:pPr>
    </w:p>
    <w:p w:rsidR="00EC4581" w:rsidRPr="009A006E" w:rsidRDefault="00EC4581" w:rsidP="00EC4581">
      <w:pPr>
        <w:rPr>
          <w:lang w:val="fr-FR"/>
        </w:rPr>
      </w:pPr>
    </w:p>
    <w:p w:rsidR="00EC4581" w:rsidRPr="009A006E" w:rsidRDefault="00EC4581" w:rsidP="00BA78EF">
      <w:pPr>
        <w:rPr>
          <w:b/>
          <w:sz w:val="28"/>
          <w:szCs w:val="28"/>
          <w:lang w:val="fr-FR"/>
        </w:rPr>
      </w:pPr>
      <w:r w:rsidRPr="009A006E">
        <w:rPr>
          <w:b/>
          <w:sz w:val="28"/>
          <w:szCs w:val="28"/>
          <w:lang w:val="fr-FR"/>
        </w:rPr>
        <w:t>Groupe de travail du Traité de coopération en matière de brevets (PCT)</w:t>
      </w:r>
    </w:p>
    <w:p w:rsidR="00EC4581" w:rsidRPr="009A006E" w:rsidRDefault="00EC4581" w:rsidP="00BA78EF">
      <w:pPr>
        <w:rPr>
          <w:lang w:val="fr-FR"/>
        </w:rPr>
      </w:pPr>
    </w:p>
    <w:p w:rsidR="00EC4581" w:rsidRPr="009A006E" w:rsidRDefault="00EC4581" w:rsidP="00BA78EF">
      <w:pPr>
        <w:rPr>
          <w:lang w:val="fr-FR"/>
        </w:rPr>
      </w:pPr>
    </w:p>
    <w:p w:rsidR="00EC4581" w:rsidRPr="009A006E" w:rsidRDefault="00EC4581" w:rsidP="00BA78EF">
      <w:pPr>
        <w:rPr>
          <w:b/>
          <w:sz w:val="24"/>
          <w:szCs w:val="24"/>
          <w:lang w:val="fr-FR"/>
        </w:rPr>
      </w:pPr>
      <w:r w:rsidRPr="009A006E">
        <w:rPr>
          <w:b/>
          <w:sz w:val="24"/>
          <w:szCs w:val="24"/>
          <w:lang w:val="fr-FR"/>
        </w:rPr>
        <w:t>Dix</w:t>
      </w:r>
      <w:r w:rsidR="00536DD9" w:rsidRPr="009A006E">
        <w:rPr>
          <w:b/>
          <w:sz w:val="24"/>
          <w:szCs w:val="24"/>
          <w:lang w:val="fr-FR"/>
        </w:rPr>
        <w:t>ième session</w:t>
      </w:r>
    </w:p>
    <w:p w:rsidR="00EC4581" w:rsidRPr="009A006E" w:rsidRDefault="00EC4581" w:rsidP="00BA78EF">
      <w:pPr>
        <w:rPr>
          <w:b/>
          <w:sz w:val="24"/>
          <w:szCs w:val="24"/>
          <w:lang w:val="fr-FR"/>
        </w:rPr>
      </w:pPr>
      <w:r w:rsidRPr="009A006E">
        <w:rPr>
          <w:b/>
          <w:sz w:val="24"/>
          <w:szCs w:val="24"/>
          <w:lang w:val="fr-FR"/>
        </w:rPr>
        <w:t>Genève, 8 – 1</w:t>
      </w:r>
      <w:r w:rsidR="00536DD9" w:rsidRPr="009A006E">
        <w:rPr>
          <w:b/>
          <w:sz w:val="24"/>
          <w:szCs w:val="24"/>
          <w:lang w:val="fr-FR"/>
        </w:rPr>
        <w:t>2 mai 20</w:t>
      </w:r>
      <w:r w:rsidRPr="009A006E">
        <w:rPr>
          <w:b/>
          <w:sz w:val="24"/>
          <w:szCs w:val="24"/>
          <w:lang w:val="fr-FR"/>
        </w:rPr>
        <w:t>17</w:t>
      </w:r>
    </w:p>
    <w:p w:rsidR="00EC4581" w:rsidRPr="009A006E" w:rsidRDefault="00EC4581" w:rsidP="00BA78EF">
      <w:pPr>
        <w:rPr>
          <w:lang w:val="fr-FR"/>
        </w:rPr>
      </w:pPr>
    </w:p>
    <w:p w:rsidR="00EC4581" w:rsidRPr="009A006E" w:rsidRDefault="00EC4581" w:rsidP="00BA78EF">
      <w:pPr>
        <w:rPr>
          <w:lang w:val="fr-FR"/>
        </w:rPr>
      </w:pPr>
    </w:p>
    <w:p w:rsidR="00EC4581" w:rsidRPr="009A006E" w:rsidRDefault="00EC4581" w:rsidP="00BA78EF">
      <w:pPr>
        <w:rPr>
          <w:lang w:val="fr-FR"/>
        </w:rPr>
      </w:pPr>
    </w:p>
    <w:p w:rsidR="008B2CC1" w:rsidRPr="009A006E" w:rsidRDefault="000B7B49" w:rsidP="00BA78EF">
      <w:pPr>
        <w:rPr>
          <w:caps/>
          <w:sz w:val="24"/>
          <w:lang w:val="fr-FR"/>
        </w:rPr>
      </w:pPr>
      <w:r w:rsidRPr="009A006E">
        <w:rPr>
          <w:caps/>
          <w:sz w:val="24"/>
          <w:lang w:val="fr-FR"/>
        </w:rPr>
        <w:t xml:space="preserve">Coordination </w:t>
      </w:r>
      <w:r w:rsidR="00331DF8" w:rsidRPr="009A006E">
        <w:rPr>
          <w:caps/>
          <w:sz w:val="24"/>
          <w:lang w:val="fr-FR"/>
        </w:rPr>
        <w:t>de la formation des examinateurs de brevets</w:t>
      </w:r>
    </w:p>
    <w:p w:rsidR="008B2CC1" w:rsidRPr="009A006E" w:rsidRDefault="008B2CC1" w:rsidP="00BA78EF">
      <w:pPr>
        <w:rPr>
          <w:lang w:val="fr-FR"/>
        </w:rPr>
      </w:pPr>
    </w:p>
    <w:p w:rsidR="008B2CC1" w:rsidRPr="009A006E" w:rsidRDefault="000B7B49" w:rsidP="00BA78EF">
      <w:pPr>
        <w:rPr>
          <w:i/>
          <w:lang w:val="fr-FR"/>
        </w:rPr>
      </w:pPr>
      <w:bookmarkStart w:id="4" w:name="Prepared"/>
      <w:bookmarkEnd w:id="4"/>
      <w:r w:rsidRPr="009A006E">
        <w:rPr>
          <w:i/>
          <w:lang w:val="fr-FR"/>
        </w:rPr>
        <w:t xml:space="preserve">Document </w:t>
      </w:r>
      <w:r w:rsidR="00331DF8" w:rsidRPr="009A006E">
        <w:rPr>
          <w:i/>
          <w:lang w:val="fr-FR"/>
        </w:rPr>
        <w:t>établi par le Bureau i</w:t>
      </w:r>
      <w:r w:rsidR="00EC4581" w:rsidRPr="009A006E">
        <w:rPr>
          <w:i/>
          <w:lang w:val="fr-FR"/>
        </w:rPr>
        <w:t>nternational</w:t>
      </w:r>
    </w:p>
    <w:p w:rsidR="00AC205C" w:rsidRPr="009A006E" w:rsidRDefault="00AC205C" w:rsidP="00BA78EF">
      <w:pPr>
        <w:rPr>
          <w:lang w:val="fr-FR"/>
        </w:rPr>
      </w:pPr>
    </w:p>
    <w:p w:rsidR="000F5E56" w:rsidRPr="009A006E" w:rsidRDefault="000F5E56" w:rsidP="00BA78EF">
      <w:pPr>
        <w:rPr>
          <w:lang w:val="fr-FR"/>
        </w:rPr>
      </w:pPr>
    </w:p>
    <w:p w:rsidR="002928D3" w:rsidRPr="009A006E" w:rsidRDefault="002928D3" w:rsidP="00BA78EF">
      <w:pPr>
        <w:rPr>
          <w:lang w:val="fr-FR"/>
        </w:rPr>
      </w:pPr>
    </w:p>
    <w:p w:rsidR="000B7B49" w:rsidRPr="009A006E" w:rsidRDefault="000B7B49" w:rsidP="00BA78EF">
      <w:pPr>
        <w:rPr>
          <w:lang w:val="fr-FR"/>
        </w:rPr>
      </w:pPr>
    </w:p>
    <w:p w:rsidR="000B7B49" w:rsidRPr="009A006E" w:rsidRDefault="00331DF8" w:rsidP="00BA78EF">
      <w:pPr>
        <w:pStyle w:val="Heading1"/>
        <w:rPr>
          <w:lang w:val="fr-FR"/>
        </w:rPr>
      </w:pPr>
      <w:r w:rsidRPr="009A006E">
        <w:rPr>
          <w:lang w:val="fr-FR"/>
        </w:rPr>
        <w:t>Résumé</w:t>
      </w:r>
    </w:p>
    <w:p w:rsidR="00EC4581" w:rsidRPr="009A006E" w:rsidRDefault="00EC4581" w:rsidP="00BA78EF">
      <w:pPr>
        <w:rPr>
          <w:lang w:val="fr-FR"/>
        </w:rPr>
      </w:pPr>
    </w:p>
    <w:p w:rsidR="00331DF8" w:rsidRPr="009A006E" w:rsidRDefault="00331DF8" w:rsidP="00BA78EF">
      <w:pPr>
        <w:pStyle w:val="ONUMFS"/>
        <w:rPr>
          <w:lang w:val="fr-FR"/>
        </w:rPr>
      </w:pPr>
      <w:r w:rsidRPr="009A006E">
        <w:rPr>
          <w:lang w:val="fr-FR"/>
        </w:rPr>
        <w:t xml:space="preserve">Le présent document </w:t>
      </w:r>
      <w:r w:rsidR="00DA3D60">
        <w:rPr>
          <w:lang w:val="fr-FR"/>
        </w:rPr>
        <w:t>contien</w:t>
      </w:r>
      <w:r w:rsidRPr="009A006E">
        <w:rPr>
          <w:lang w:val="fr-FR"/>
        </w:rPr>
        <w:t>t une proposition d</w:t>
      </w:r>
      <w:r w:rsidR="00536DD9" w:rsidRPr="009A006E">
        <w:rPr>
          <w:lang w:val="fr-FR"/>
        </w:rPr>
        <w:t>’</w:t>
      </w:r>
      <w:r w:rsidRPr="009A006E">
        <w:rPr>
          <w:lang w:val="fr-FR"/>
        </w:rPr>
        <w:t>amélioration de la coordination entre offices bénéficiaires et offices donateurs de la formation des examinateurs chargés de l</w:t>
      </w:r>
      <w:r w:rsidR="00536DD9" w:rsidRPr="009A006E">
        <w:rPr>
          <w:lang w:val="fr-FR"/>
        </w:rPr>
        <w:t>’</w:t>
      </w:r>
      <w:r w:rsidRPr="009A006E">
        <w:rPr>
          <w:lang w:val="fr-FR"/>
        </w:rPr>
        <w:t>examen des brevets quant au fond, notamment une proposition d</w:t>
      </w:r>
      <w:r w:rsidR="00536DD9" w:rsidRPr="009A006E">
        <w:rPr>
          <w:lang w:val="fr-FR"/>
        </w:rPr>
        <w:t>’</w:t>
      </w:r>
      <w:r w:rsidRPr="009A006E">
        <w:rPr>
          <w:lang w:val="fr-FR"/>
        </w:rPr>
        <w:t>élaboration d</w:t>
      </w:r>
      <w:r w:rsidR="00536DD9" w:rsidRPr="009A006E">
        <w:rPr>
          <w:lang w:val="fr-FR"/>
        </w:rPr>
        <w:t>’</w:t>
      </w:r>
      <w:r w:rsidRPr="009A006E">
        <w:rPr>
          <w:lang w:val="fr-FR"/>
        </w:rPr>
        <w:t>un cadre de compétence</w:t>
      </w:r>
      <w:r w:rsidR="005115FB" w:rsidRPr="009A006E">
        <w:rPr>
          <w:lang w:val="fr-FR"/>
        </w:rPr>
        <w:t>s pour</w:t>
      </w:r>
      <w:r w:rsidRPr="009A006E">
        <w:rPr>
          <w:lang w:val="fr-FR"/>
        </w:rPr>
        <w:t xml:space="preserve"> ces examinateurs et d</w:t>
      </w:r>
      <w:r w:rsidR="00536DD9" w:rsidRPr="009A006E">
        <w:rPr>
          <w:lang w:val="fr-FR"/>
        </w:rPr>
        <w:t>’</w:t>
      </w:r>
      <w:r w:rsidRPr="009A006E">
        <w:rPr>
          <w:lang w:val="fr-FR"/>
        </w:rPr>
        <w:t>un système de gestion de la formation.</w:t>
      </w:r>
    </w:p>
    <w:p w:rsidR="000B7B49" w:rsidRPr="009A006E" w:rsidRDefault="000B7B49" w:rsidP="00BA78EF">
      <w:pPr>
        <w:pStyle w:val="Heading1"/>
        <w:rPr>
          <w:lang w:val="fr-FR"/>
        </w:rPr>
      </w:pPr>
      <w:r w:rsidRPr="009A006E">
        <w:rPr>
          <w:lang w:val="fr-FR"/>
        </w:rPr>
        <w:t>Introduction</w:t>
      </w:r>
    </w:p>
    <w:p w:rsidR="00EC4581" w:rsidRPr="009A006E" w:rsidRDefault="00EC4581" w:rsidP="00BA78EF">
      <w:pPr>
        <w:rPr>
          <w:lang w:val="fr-FR"/>
        </w:rPr>
      </w:pPr>
    </w:p>
    <w:p w:rsidR="00992872" w:rsidRPr="009A006E" w:rsidRDefault="00992872" w:rsidP="00BA78EF">
      <w:pPr>
        <w:pStyle w:val="ONUMFS"/>
        <w:rPr>
          <w:lang w:val="fr-FR"/>
        </w:rPr>
      </w:pPr>
      <w:r w:rsidRPr="009A006E">
        <w:rPr>
          <w:lang w:val="fr-FR"/>
        </w:rPr>
        <w:t>À sa neuv</w:t>
      </w:r>
      <w:r w:rsidR="00536DD9" w:rsidRPr="009A006E">
        <w:rPr>
          <w:lang w:val="fr-FR"/>
        </w:rPr>
        <w:t>ième session</w:t>
      </w:r>
      <w:r w:rsidRPr="009A006E">
        <w:rPr>
          <w:lang w:val="fr-FR"/>
        </w:rPr>
        <w:t xml:space="preserve"> tenue à Genève du 17 au 2</w:t>
      </w:r>
      <w:r w:rsidR="00536DD9" w:rsidRPr="009A006E">
        <w:rPr>
          <w:lang w:val="fr-FR"/>
        </w:rPr>
        <w:t>0 mai 20</w:t>
      </w:r>
      <w:r w:rsidRPr="009A006E">
        <w:rPr>
          <w:lang w:val="fr-FR"/>
        </w:rPr>
        <w:t>16, le Groupe de travail</w:t>
      </w:r>
      <w:r w:rsidR="00536DD9" w:rsidRPr="009A006E">
        <w:rPr>
          <w:lang w:val="fr-FR"/>
        </w:rPr>
        <w:t xml:space="preserve"> du PCT</w:t>
      </w:r>
      <w:r w:rsidRPr="009A006E">
        <w:rPr>
          <w:lang w:val="fr-FR"/>
        </w:rPr>
        <w:t xml:space="preserve"> a examiné l</w:t>
      </w:r>
      <w:r w:rsidR="00536DD9" w:rsidRPr="009A006E">
        <w:rPr>
          <w:lang w:val="fr-FR"/>
        </w:rPr>
        <w:t>’</w:t>
      </w:r>
      <w:r w:rsidRPr="009A006E">
        <w:rPr>
          <w:lang w:val="fr-FR"/>
        </w:rPr>
        <w:t>évaluation d</w:t>
      </w:r>
      <w:r w:rsidR="00536DD9" w:rsidRPr="009A006E">
        <w:rPr>
          <w:lang w:val="fr-FR"/>
        </w:rPr>
        <w:t>’</w:t>
      </w:r>
      <w:r w:rsidRPr="009A006E">
        <w:rPr>
          <w:lang w:val="fr-FR"/>
        </w:rPr>
        <w:t>un questionnaire sur la formation des examinateurs chargés de l</w:t>
      </w:r>
      <w:r w:rsidR="00536DD9" w:rsidRPr="009A006E">
        <w:rPr>
          <w:lang w:val="fr-FR"/>
        </w:rPr>
        <w:t>’</w:t>
      </w:r>
      <w:r w:rsidRPr="009A006E">
        <w:rPr>
          <w:lang w:val="fr-FR"/>
        </w:rPr>
        <w:t xml:space="preserve">examen des brevets quant au fond (document PCT/WG/9/18).  Ce questionnaire, joint </w:t>
      </w:r>
      <w:r w:rsidR="00C622E8">
        <w:rPr>
          <w:lang w:val="fr-FR"/>
        </w:rPr>
        <w:t>en annexe à la circulaire C.PCT </w:t>
      </w:r>
      <w:r w:rsidRPr="009A006E">
        <w:rPr>
          <w:lang w:val="fr-FR"/>
        </w:rPr>
        <w:t>1464, était adressé, d</w:t>
      </w:r>
      <w:r w:rsidR="00536DD9" w:rsidRPr="009A006E">
        <w:rPr>
          <w:lang w:val="fr-FR"/>
        </w:rPr>
        <w:t>’</w:t>
      </w:r>
      <w:r w:rsidRPr="009A006E">
        <w:rPr>
          <w:lang w:val="fr-FR"/>
        </w:rPr>
        <w:t>une part, aux offices donateurs (c</w:t>
      </w:r>
      <w:r w:rsidR="00536DD9" w:rsidRPr="009A006E">
        <w:rPr>
          <w:lang w:val="fr-FR"/>
        </w:rPr>
        <w:t>’</w:t>
      </w:r>
      <w:r w:rsidRPr="009A006E">
        <w:rPr>
          <w:lang w:val="fr-FR"/>
        </w:rPr>
        <w:t>est</w:t>
      </w:r>
      <w:r w:rsidR="00C622E8">
        <w:rPr>
          <w:lang w:val="fr-FR"/>
        </w:rPr>
        <w:noBreakHyphen/>
      </w:r>
      <w:r w:rsidRPr="009A006E">
        <w:rPr>
          <w:lang w:val="fr-FR"/>
        </w:rPr>
        <w:t>à</w:t>
      </w:r>
      <w:r w:rsidR="00C622E8">
        <w:rPr>
          <w:lang w:val="fr-FR"/>
        </w:rPr>
        <w:noBreakHyphen/>
      </w:r>
      <w:r w:rsidRPr="009A006E">
        <w:rPr>
          <w:lang w:val="fr-FR"/>
        </w:rPr>
        <w:t>dire, aux offices ayant dispensé une formation à l</w:t>
      </w:r>
      <w:r w:rsidR="00536DD9" w:rsidRPr="009A006E">
        <w:rPr>
          <w:lang w:val="fr-FR"/>
        </w:rPr>
        <w:t>’</w:t>
      </w:r>
      <w:r w:rsidRPr="009A006E">
        <w:rPr>
          <w:lang w:val="fr-FR"/>
        </w:rPr>
        <w:t>examen des brevets quant au fond destinée aux examinateurs d</w:t>
      </w:r>
      <w:r w:rsidR="00536DD9" w:rsidRPr="009A006E">
        <w:rPr>
          <w:lang w:val="fr-FR"/>
        </w:rPr>
        <w:t>’</w:t>
      </w:r>
      <w:r w:rsidRPr="009A006E">
        <w:rPr>
          <w:lang w:val="fr-FR"/>
        </w:rPr>
        <w:t>autres offices ou ayant contribué à des activités de formation de ce type organisées par une autre organisation) et, d</w:t>
      </w:r>
      <w:r w:rsidR="00536DD9" w:rsidRPr="009A006E">
        <w:rPr>
          <w:lang w:val="fr-FR"/>
        </w:rPr>
        <w:t>’</w:t>
      </w:r>
      <w:r w:rsidRPr="009A006E">
        <w:rPr>
          <w:lang w:val="fr-FR"/>
        </w:rPr>
        <w:t>autre part, aux offices bénéficiaires (offices dont les examinateurs ont bénéficié d</w:t>
      </w:r>
      <w:r w:rsidR="00536DD9" w:rsidRPr="009A006E">
        <w:rPr>
          <w:lang w:val="fr-FR"/>
        </w:rPr>
        <w:t>’</w:t>
      </w:r>
      <w:r w:rsidRPr="009A006E">
        <w:rPr>
          <w:lang w:val="fr-FR"/>
        </w:rPr>
        <w:t>une formation à l</w:t>
      </w:r>
      <w:r w:rsidR="00536DD9" w:rsidRPr="009A006E">
        <w:rPr>
          <w:lang w:val="fr-FR"/>
        </w:rPr>
        <w:t>’</w:t>
      </w:r>
      <w:r w:rsidRPr="009A006E">
        <w:rPr>
          <w:lang w:val="fr-FR"/>
        </w:rPr>
        <w:t>examen des brevets quant au fond dispensée par d</w:t>
      </w:r>
      <w:r w:rsidR="00536DD9" w:rsidRPr="009A006E">
        <w:rPr>
          <w:lang w:val="fr-FR"/>
        </w:rPr>
        <w:t>’</w:t>
      </w:r>
      <w:r w:rsidRPr="009A006E">
        <w:rPr>
          <w:lang w:val="fr-FR"/>
        </w:rPr>
        <w:t xml:space="preserve">autres organisations), </w:t>
      </w:r>
      <w:r w:rsidR="006D7801" w:rsidRPr="009A006E">
        <w:rPr>
          <w:lang w:val="fr-FR"/>
        </w:rPr>
        <w:t xml:space="preserve">et </w:t>
      </w:r>
      <w:r w:rsidRPr="009A006E">
        <w:rPr>
          <w:lang w:val="fr-FR"/>
        </w:rPr>
        <w:t>demanda</w:t>
      </w:r>
      <w:r w:rsidR="006D7801" w:rsidRPr="009A006E">
        <w:rPr>
          <w:lang w:val="fr-FR"/>
        </w:rPr>
        <w:t>i</w:t>
      </w:r>
      <w:r w:rsidRPr="009A006E">
        <w:rPr>
          <w:lang w:val="fr-FR"/>
        </w:rPr>
        <w:t>t des informations sur toutes les activités de formation pertinentes menées pendant la</w:t>
      </w:r>
      <w:r w:rsidR="00C622E8">
        <w:rPr>
          <w:lang w:val="fr-FR"/>
        </w:rPr>
        <w:t xml:space="preserve"> période comprise entre 2013 et </w:t>
      </w:r>
      <w:r w:rsidRPr="009A006E">
        <w:rPr>
          <w:lang w:val="fr-FR"/>
        </w:rPr>
        <w:t>2015, ainsi que des informations concernant la gestion et la mise en place d</w:t>
      </w:r>
      <w:r w:rsidR="00536DD9" w:rsidRPr="009A006E">
        <w:rPr>
          <w:lang w:val="fr-FR"/>
        </w:rPr>
        <w:t>’</w:t>
      </w:r>
      <w:r w:rsidRPr="009A006E">
        <w:rPr>
          <w:lang w:val="fr-FR"/>
        </w:rPr>
        <w:t>une formation à l</w:t>
      </w:r>
      <w:r w:rsidR="00536DD9" w:rsidRPr="009A006E">
        <w:rPr>
          <w:lang w:val="fr-FR"/>
        </w:rPr>
        <w:t>’</w:t>
      </w:r>
      <w:r w:rsidRPr="009A006E">
        <w:rPr>
          <w:lang w:val="fr-FR"/>
        </w:rPr>
        <w:t>examen quant au fond dans chaque office, notamment en ce qui concerne l</w:t>
      </w:r>
      <w:r w:rsidR="00536DD9" w:rsidRPr="009A006E">
        <w:rPr>
          <w:lang w:val="fr-FR"/>
        </w:rPr>
        <w:t>’</w:t>
      </w:r>
      <w:r w:rsidRPr="009A006E">
        <w:rPr>
          <w:lang w:val="fr-FR"/>
        </w:rPr>
        <w:t xml:space="preserve">utilisation de modèles de compétences, de systèmes de gestion </w:t>
      </w:r>
      <w:r w:rsidR="006D7801" w:rsidRPr="009A006E">
        <w:rPr>
          <w:lang w:val="fr-FR"/>
        </w:rPr>
        <w:t>de la formation</w:t>
      </w:r>
      <w:r w:rsidRPr="009A006E">
        <w:rPr>
          <w:lang w:val="fr-FR"/>
        </w:rPr>
        <w:t xml:space="preserve"> ou d</w:t>
      </w:r>
      <w:r w:rsidR="00536DD9" w:rsidRPr="009A006E">
        <w:rPr>
          <w:lang w:val="fr-FR"/>
        </w:rPr>
        <w:t>’</w:t>
      </w:r>
      <w:r w:rsidRPr="009A006E">
        <w:rPr>
          <w:lang w:val="fr-FR"/>
        </w:rPr>
        <w:t>outils d</w:t>
      </w:r>
      <w:r w:rsidR="00536DD9" w:rsidRPr="009A006E">
        <w:rPr>
          <w:lang w:val="fr-FR"/>
        </w:rPr>
        <w:t>’</w:t>
      </w:r>
      <w:r w:rsidRPr="009A006E">
        <w:rPr>
          <w:lang w:val="fr-FR"/>
        </w:rPr>
        <w:t xml:space="preserve">évaluation, ou encore la </w:t>
      </w:r>
      <w:r w:rsidRPr="009A006E">
        <w:rPr>
          <w:lang w:val="fr-FR"/>
        </w:rPr>
        <w:lastRenderedPageBreak/>
        <w:t>disponibilité de matériel ou d</w:t>
      </w:r>
      <w:r w:rsidR="00536DD9" w:rsidRPr="009A006E">
        <w:rPr>
          <w:lang w:val="fr-FR"/>
        </w:rPr>
        <w:t>’</w:t>
      </w:r>
      <w:r w:rsidRPr="009A006E">
        <w:rPr>
          <w:lang w:val="fr-FR"/>
        </w:rPr>
        <w:t>autres supports de formation pour l</w:t>
      </w:r>
      <w:r w:rsidR="00536DD9" w:rsidRPr="009A006E">
        <w:rPr>
          <w:lang w:val="fr-FR"/>
        </w:rPr>
        <w:t>’</w:t>
      </w:r>
      <w:r w:rsidRPr="009A006E">
        <w:rPr>
          <w:lang w:val="fr-FR"/>
        </w:rPr>
        <w:t>auto</w:t>
      </w:r>
      <w:r w:rsidR="00C622E8">
        <w:rPr>
          <w:lang w:val="fr-FR"/>
        </w:rPr>
        <w:noBreakHyphen/>
      </w:r>
      <w:r w:rsidRPr="009A006E">
        <w:rPr>
          <w:lang w:val="fr-FR"/>
        </w:rPr>
        <w:t>apprentissa</w:t>
      </w:r>
      <w:r w:rsidR="00C93934" w:rsidRPr="009A006E">
        <w:rPr>
          <w:lang w:val="fr-FR"/>
        </w:rPr>
        <w:t>ge.  Le</w:t>
      </w:r>
      <w:r w:rsidR="006D7801" w:rsidRPr="009A006E">
        <w:rPr>
          <w:lang w:val="fr-FR"/>
        </w:rPr>
        <w:t xml:space="preserve">s délibérations du groupe de travail sont résumées aux </w:t>
      </w:r>
      <w:r w:rsidR="00536DD9" w:rsidRPr="009A006E">
        <w:rPr>
          <w:lang w:val="fr-FR"/>
        </w:rPr>
        <w:t>paragraphes 6</w:t>
      </w:r>
      <w:r w:rsidR="00C622E8">
        <w:rPr>
          <w:lang w:val="fr-FR"/>
        </w:rPr>
        <w:t>3 à </w:t>
      </w:r>
      <w:r w:rsidR="006D7801" w:rsidRPr="009A006E">
        <w:rPr>
          <w:lang w:val="fr-FR"/>
        </w:rPr>
        <w:t xml:space="preserve">67 du document PCT/WG/9/27 et reproduites intégralement aux </w:t>
      </w:r>
      <w:r w:rsidR="00536DD9" w:rsidRPr="009A006E">
        <w:rPr>
          <w:lang w:val="fr-FR"/>
        </w:rPr>
        <w:t>paragraphes 1</w:t>
      </w:r>
      <w:r w:rsidR="00C622E8">
        <w:rPr>
          <w:lang w:val="fr-FR"/>
        </w:rPr>
        <w:t>55 à </w:t>
      </w:r>
      <w:r w:rsidR="006D7801" w:rsidRPr="009A006E">
        <w:rPr>
          <w:lang w:val="fr-FR"/>
        </w:rPr>
        <w:t>169 du document PCT/WG/9/28.</w:t>
      </w:r>
    </w:p>
    <w:p w:rsidR="006D7801" w:rsidRPr="009A006E" w:rsidRDefault="006D7801" w:rsidP="00BA78EF">
      <w:pPr>
        <w:pStyle w:val="ONUMFS"/>
        <w:rPr>
          <w:lang w:val="fr-FR"/>
        </w:rPr>
      </w:pPr>
      <w:r w:rsidRPr="009A006E">
        <w:rPr>
          <w:lang w:val="fr-FR"/>
        </w:rPr>
        <w:t xml:space="preserve">Après ses délibérations, le groupe de travail est convenu que le Bureau international donnerait suite aux suggestions faites aux </w:t>
      </w:r>
      <w:r w:rsidR="00536DD9" w:rsidRPr="009A006E">
        <w:rPr>
          <w:lang w:val="fr-FR"/>
        </w:rPr>
        <w:t>paragraphes 5</w:t>
      </w:r>
      <w:r w:rsidR="00C622E8">
        <w:rPr>
          <w:lang w:val="fr-FR"/>
        </w:rPr>
        <w:t>0, 60 et </w:t>
      </w:r>
      <w:r w:rsidRPr="009A006E">
        <w:rPr>
          <w:lang w:val="fr-FR"/>
        </w:rPr>
        <w:t xml:space="preserve">65 du document PCT/WG/9/18;  le groupe de travail est notamment convenu </w:t>
      </w:r>
      <w:r w:rsidR="00DA3D60">
        <w:rPr>
          <w:lang w:val="fr-FR"/>
        </w:rPr>
        <w:t xml:space="preserve">qu’il faudrait </w:t>
      </w:r>
      <w:r w:rsidRPr="009A006E">
        <w:rPr>
          <w:lang w:val="fr-FR"/>
        </w:rPr>
        <w:t>que</w:t>
      </w:r>
      <w:r w:rsidR="00536DD9" w:rsidRPr="009A006E">
        <w:rPr>
          <w:lang w:val="fr-FR"/>
        </w:rPr>
        <w:t> :</w:t>
      </w:r>
    </w:p>
    <w:p w:rsidR="000B7B49" w:rsidRPr="009A006E" w:rsidRDefault="000B7B49" w:rsidP="00BA78EF">
      <w:pPr>
        <w:ind w:left="567"/>
        <w:rPr>
          <w:lang w:val="fr-FR"/>
        </w:rPr>
      </w:pPr>
      <w:r w:rsidRPr="009A006E">
        <w:rPr>
          <w:lang w:val="fr-FR"/>
        </w:rPr>
        <w:t>“50.</w:t>
      </w:r>
      <w:r w:rsidRPr="009A006E">
        <w:rPr>
          <w:lang w:val="fr-FR"/>
        </w:rPr>
        <w:tab/>
        <w:t xml:space="preserve">… </w:t>
      </w:r>
      <w:r w:rsidR="006D7801" w:rsidRPr="009A006E">
        <w:rPr>
          <w:lang w:val="fr-FR"/>
        </w:rPr>
        <w:t>le Bureau international élabore une stratégie qui permette d</w:t>
      </w:r>
      <w:r w:rsidR="00536DD9" w:rsidRPr="009A006E">
        <w:rPr>
          <w:lang w:val="fr-FR"/>
        </w:rPr>
        <w:t>’</w:t>
      </w:r>
      <w:r w:rsidR="006D7801" w:rsidRPr="009A006E">
        <w:rPr>
          <w:lang w:val="fr-FR"/>
        </w:rPr>
        <w:t>améliorer la coordination des activités de formation à l</w:t>
      </w:r>
      <w:r w:rsidR="00536DD9" w:rsidRPr="009A006E">
        <w:rPr>
          <w:lang w:val="fr-FR"/>
        </w:rPr>
        <w:t>’</w:t>
      </w:r>
      <w:r w:rsidR="006D7801" w:rsidRPr="009A006E">
        <w:rPr>
          <w:lang w:val="fr-FR"/>
        </w:rPr>
        <w:t>examen des brevets quant au fond, notamment avec les offices donateu</w:t>
      </w:r>
      <w:r w:rsidR="00C93934" w:rsidRPr="009A006E">
        <w:rPr>
          <w:lang w:val="fr-FR"/>
        </w:rPr>
        <w:t>rs.  Ce</w:t>
      </w:r>
      <w:r w:rsidR="006D7801" w:rsidRPr="009A006E">
        <w:rPr>
          <w:lang w:val="fr-FR"/>
        </w:rPr>
        <w:t>tte stratégie serait examinée par le groupe de travail à sa prochaine session</w:t>
      </w:r>
      <w:r w:rsidRPr="009A006E">
        <w:rPr>
          <w:lang w:val="fr-FR"/>
        </w:rPr>
        <w:t>.</w:t>
      </w:r>
    </w:p>
    <w:p w:rsidR="000B7B49" w:rsidRPr="009A006E" w:rsidRDefault="000B7B49" w:rsidP="00BA78EF">
      <w:pPr>
        <w:ind w:left="567"/>
        <w:rPr>
          <w:lang w:val="fr-FR"/>
        </w:rPr>
      </w:pPr>
    </w:p>
    <w:p w:rsidR="000B7B49" w:rsidRPr="009A006E" w:rsidRDefault="000B7B49" w:rsidP="00BA78EF">
      <w:pPr>
        <w:ind w:left="567"/>
        <w:rPr>
          <w:lang w:val="fr-FR"/>
        </w:rPr>
      </w:pPr>
      <w:r w:rsidRPr="009A006E">
        <w:rPr>
          <w:lang w:val="fr-FR"/>
        </w:rPr>
        <w:t>“60.</w:t>
      </w:r>
      <w:r w:rsidRPr="009A006E">
        <w:rPr>
          <w:lang w:val="fr-FR"/>
        </w:rPr>
        <w:tab/>
        <w:t xml:space="preserve">… </w:t>
      </w:r>
      <w:r w:rsidR="00771E0D" w:rsidRPr="009A006E">
        <w:rPr>
          <w:lang w:val="fr-FR"/>
        </w:rPr>
        <w:t>que le Bureau international</w:t>
      </w:r>
    </w:p>
    <w:p w:rsidR="000B7B49" w:rsidRPr="009A006E" w:rsidRDefault="000B7B49" w:rsidP="00BA78EF">
      <w:pPr>
        <w:ind w:left="567"/>
        <w:rPr>
          <w:lang w:val="fr-FR"/>
        </w:rPr>
      </w:pPr>
    </w:p>
    <w:p w:rsidR="000B7B49" w:rsidRPr="009A006E" w:rsidRDefault="00EC4581" w:rsidP="00BA78EF">
      <w:pPr>
        <w:ind w:left="1134"/>
        <w:rPr>
          <w:lang w:val="fr-FR"/>
        </w:rPr>
      </w:pPr>
      <w:r w:rsidRPr="009A006E">
        <w:rPr>
          <w:lang w:val="fr-FR"/>
        </w:rPr>
        <w:t>“a)</w:t>
      </w:r>
      <w:r w:rsidRPr="009A006E">
        <w:rPr>
          <w:lang w:val="fr-FR"/>
        </w:rPr>
        <w:tab/>
      </w:r>
      <w:r w:rsidR="006D7801" w:rsidRPr="009A006E">
        <w:rPr>
          <w:lang w:val="fr-FR"/>
        </w:rPr>
        <w:t>invite les offices à lui communiquer le programme qu</w:t>
      </w:r>
      <w:r w:rsidR="00536DD9" w:rsidRPr="009A006E">
        <w:rPr>
          <w:lang w:val="fr-FR"/>
        </w:rPr>
        <w:t>’</w:t>
      </w:r>
      <w:r w:rsidR="006D7801" w:rsidRPr="009A006E">
        <w:rPr>
          <w:lang w:val="fr-FR"/>
        </w:rPr>
        <w:t>ils ont établi pour la formation des examinateurs chargés de l</w:t>
      </w:r>
      <w:r w:rsidR="00536DD9" w:rsidRPr="009A006E">
        <w:rPr>
          <w:lang w:val="fr-FR"/>
        </w:rPr>
        <w:t>’</w:t>
      </w:r>
      <w:r w:rsidR="006D7801" w:rsidRPr="009A006E">
        <w:rPr>
          <w:lang w:val="fr-FR"/>
        </w:rPr>
        <w:t>examen des brevets quant au fond</w:t>
      </w:r>
      <w:r w:rsidR="000B7B49" w:rsidRPr="009A006E">
        <w:rPr>
          <w:lang w:val="fr-FR"/>
        </w:rPr>
        <w:t>;</w:t>
      </w:r>
    </w:p>
    <w:p w:rsidR="00EC4581" w:rsidRPr="009A006E" w:rsidRDefault="00EC4581" w:rsidP="00BA78EF">
      <w:pPr>
        <w:ind w:left="1134"/>
        <w:rPr>
          <w:lang w:val="fr-FR"/>
        </w:rPr>
      </w:pPr>
    </w:p>
    <w:p w:rsidR="00771E0D" w:rsidRPr="009A006E" w:rsidRDefault="00EC4581" w:rsidP="00BA78EF">
      <w:pPr>
        <w:ind w:left="1134"/>
        <w:rPr>
          <w:lang w:val="fr-FR"/>
        </w:rPr>
      </w:pPr>
      <w:r w:rsidRPr="009A006E">
        <w:rPr>
          <w:lang w:val="fr-FR"/>
        </w:rPr>
        <w:t>“b)</w:t>
      </w:r>
      <w:r w:rsidRPr="009A006E">
        <w:rPr>
          <w:lang w:val="fr-FR"/>
        </w:rPr>
        <w:tab/>
      </w:r>
      <w:r w:rsidR="00771E0D" w:rsidRPr="009A006E">
        <w:rPr>
          <w:lang w:val="fr-FR"/>
        </w:rPr>
        <w:t>invite les offices à lui communiquer leurs modèles de compétences pour les examinateurs chargés de l</w:t>
      </w:r>
      <w:r w:rsidR="00536DD9" w:rsidRPr="009A006E">
        <w:rPr>
          <w:lang w:val="fr-FR"/>
        </w:rPr>
        <w:t>’</w:t>
      </w:r>
      <w:r w:rsidR="00771E0D" w:rsidRPr="009A006E">
        <w:rPr>
          <w:lang w:val="fr-FR"/>
        </w:rPr>
        <w:t>examen des brevets quant au fond</w:t>
      </w:r>
      <w:r w:rsidR="005115FB" w:rsidRPr="009A006E">
        <w:rPr>
          <w:lang w:val="fr-FR"/>
        </w:rPr>
        <w:t>;</w:t>
      </w:r>
      <w:r w:rsidRPr="009A006E">
        <w:rPr>
          <w:lang w:val="fr-FR"/>
        </w:rPr>
        <w:t xml:space="preserve">  </w:t>
      </w:r>
      <w:r w:rsidR="005115FB" w:rsidRPr="009A006E">
        <w:rPr>
          <w:lang w:val="fr-FR"/>
        </w:rPr>
        <w:t>et</w:t>
      </w:r>
    </w:p>
    <w:p w:rsidR="00EC4581" w:rsidRPr="009A006E" w:rsidRDefault="00EC4581" w:rsidP="00BA78EF">
      <w:pPr>
        <w:ind w:left="1134"/>
        <w:rPr>
          <w:lang w:val="fr-FR"/>
        </w:rPr>
      </w:pPr>
    </w:p>
    <w:p w:rsidR="006D7801" w:rsidRPr="009A006E" w:rsidRDefault="00EC4581" w:rsidP="00BA78EF">
      <w:pPr>
        <w:ind w:left="1134"/>
        <w:rPr>
          <w:lang w:val="fr-FR"/>
        </w:rPr>
      </w:pPr>
      <w:r w:rsidRPr="009A006E">
        <w:rPr>
          <w:lang w:val="fr-FR"/>
        </w:rPr>
        <w:t>“c)</w:t>
      </w:r>
      <w:r w:rsidRPr="009A006E">
        <w:rPr>
          <w:lang w:val="fr-FR"/>
        </w:rPr>
        <w:tab/>
      </w:r>
      <w:r w:rsidR="006D7801" w:rsidRPr="009A006E">
        <w:rPr>
          <w:lang w:val="fr-FR"/>
        </w:rPr>
        <w:t>établisse un recueil de ces modèles de compétences afin de dresser un inventaire des différentes compétences pouvant être requises pour exercer la fonction d</w:t>
      </w:r>
      <w:r w:rsidR="00536DD9" w:rsidRPr="009A006E">
        <w:rPr>
          <w:lang w:val="fr-FR"/>
        </w:rPr>
        <w:t>’</w:t>
      </w:r>
      <w:r w:rsidR="006D7801" w:rsidRPr="009A006E">
        <w:rPr>
          <w:lang w:val="fr-FR"/>
        </w:rPr>
        <w:t>examinateur chargé de l</w:t>
      </w:r>
      <w:r w:rsidR="00536DD9" w:rsidRPr="009A006E">
        <w:rPr>
          <w:lang w:val="fr-FR"/>
        </w:rPr>
        <w:t>’</w:t>
      </w:r>
      <w:r w:rsidR="006D7801" w:rsidRPr="009A006E">
        <w:rPr>
          <w:lang w:val="fr-FR"/>
        </w:rPr>
        <w:t>examen des brevets quant au fond dans des offices de différentes tailles;</w:t>
      </w:r>
    </w:p>
    <w:p w:rsidR="00EC4581" w:rsidRPr="009A006E" w:rsidRDefault="00EC4581" w:rsidP="00BA78EF">
      <w:pPr>
        <w:ind w:left="567"/>
        <w:rPr>
          <w:lang w:val="fr-FR"/>
        </w:rPr>
      </w:pPr>
    </w:p>
    <w:p w:rsidR="000B7B49" w:rsidRPr="009A006E" w:rsidRDefault="000B7B49" w:rsidP="00BA78EF">
      <w:pPr>
        <w:ind w:left="567"/>
        <w:rPr>
          <w:lang w:val="fr-FR"/>
        </w:rPr>
      </w:pPr>
      <w:r w:rsidRPr="009A006E">
        <w:rPr>
          <w:lang w:val="fr-FR"/>
        </w:rPr>
        <w:t>“65.</w:t>
      </w:r>
      <w:r w:rsidRPr="009A006E">
        <w:rPr>
          <w:lang w:val="fr-FR"/>
        </w:rPr>
        <w:tab/>
        <w:t xml:space="preserve">… </w:t>
      </w:r>
      <w:r w:rsidR="00771E0D" w:rsidRPr="009A006E">
        <w:rPr>
          <w:lang w:val="fr-FR"/>
        </w:rPr>
        <w:t>le Bureau international envisage la possibilité de créer et de gérer un système de gestion de la formation et qu</w:t>
      </w:r>
      <w:r w:rsidR="00536DD9" w:rsidRPr="009A006E">
        <w:rPr>
          <w:lang w:val="fr-FR"/>
        </w:rPr>
        <w:t>’</w:t>
      </w:r>
      <w:r w:rsidR="00771E0D" w:rsidRPr="009A006E">
        <w:rPr>
          <w:lang w:val="fr-FR"/>
        </w:rPr>
        <w:t>il élabore un projet pour examen par le groupe de travail à sa prochaine session”.</w:t>
      </w:r>
    </w:p>
    <w:p w:rsidR="00EC4581" w:rsidRPr="009A006E" w:rsidRDefault="00EC4581" w:rsidP="00BA78EF">
      <w:pPr>
        <w:ind w:left="567"/>
        <w:rPr>
          <w:lang w:val="fr-FR"/>
        </w:rPr>
      </w:pPr>
    </w:p>
    <w:p w:rsidR="00EB426C" w:rsidRPr="009A006E" w:rsidRDefault="00EB426C" w:rsidP="00BA78EF">
      <w:pPr>
        <w:pStyle w:val="ONUMFS"/>
        <w:rPr>
          <w:lang w:val="fr-FR"/>
        </w:rPr>
      </w:pPr>
      <w:r w:rsidRPr="009A006E">
        <w:rPr>
          <w:lang w:val="fr-FR"/>
        </w:rPr>
        <w:t xml:space="preserve">Le Bureau international a demandé </w:t>
      </w:r>
      <w:r w:rsidR="005115FB" w:rsidRPr="009A006E">
        <w:rPr>
          <w:lang w:val="fr-FR"/>
        </w:rPr>
        <w:t>d</w:t>
      </w:r>
      <w:r w:rsidRPr="009A006E">
        <w:rPr>
          <w:lang w:val="fr-FR"/>
        </w:rPr>
        <w:t xml:space="preserve">es informations </w:t>
      </w:r>
      <w:r w:rsidR="00DA3D60">
        <w:rPr>
          <w:lang w:val="fr-FR"/>
        </w:rPr>
        <w:t>pour assurer le suivi des mesures</w:t>
      </w:r>
      <w:r w:rsidRPr="009A006E">
        <w:rPr>
          <w:lang w:val="fr-FR"/>
        </w:rPr>
        <w:t xml:space="preserve"> susvisées </w:t>
      </w:r>
      <w:r w:rsidR="005115FB" w:rsidRPr="009A006E">
        <w:rPr>
          <w:lang w:val="fr-FR"/>
        </w:rPr>
        <w:t>par le biais d</w:t>
      </w:r>
      <w:r w:rsidR="00536DD9" w:rsidRPr="009A006E">
        <w:rPr>
          <w:lang w:val="fr-FR"/>
        </w:rPr>
        <w:t>’</w:t>
      </w:r>
      <w:r w:rsidRPr="009A006E">
        <w:rPr>
          <w:lang w:val="fr-FR"/>
        </w:rPr>
        <w:t xml:space="preserve">un questionnaire adressé aux offices de propriété intellectuelle joint en annexe à la circulaire PCT 1497 datée du </w:t>
      </w:r>
      <w:r w:rsidR="00536DD9" w:rsidRPr="009A006E">
        <w:rPr>
          <w:lang w:val="fr-FR"/>
        </w:rPr>
        <w:t>6 janvier 20</w:t>
      </w:r>
      <w:r w:rsidRPr="009A006E">
        <w:rPr>
          <w:lang w:val="fr-FR"/>
        </w:rPr>
        <w:t xml:space="preserve">17. </w:t>
      </w:r>
      <w:r w:rsidR="00F1470D" w:rsidRPr="009A006E">
        <w:rPr>
          <w:lang w:val="fr-FR"/>
        </w:rPr>
        <w:t xml:space="preserve"> </w:t>
      </w:r>
      <w:r w:rsidRPr="009A006E">
        <w:rPr>
          <w:lang w:val="fr-FR"/>
        </w:rPr>
        <w:t>La circulaire est reproduite sur le site</w:t>
      </w:r>
      <w:r w:rsidR="00F1470D" w:rsidRPr="009A006E">
        <w:rPr>
          <w:lang w:val="fr-FR"/>
        </w:rPr>
        <w:t> </w:t>
      </w:r>
      <w:r w:rsidRPr="009A006E">
        <w:rPr>
          <w:lang w:val="fr-FR"/>
        </w:rPr>
        <w:t>Web de l</w:t>
      </w:r>
      <w:r w:rsidR="00536DD9" w:rsidRPr="009A006E">
        <w:rPr>
          <w:lang w:val="fr-FR"/>
        </w:rPr>
        <w:t>’</w:t>
      </w:r>
      <w:r w:rsidRPr="009A006E">
        <w:rPr>
          <w:lang w:val="fr-FR"/>
        </w:rPr>
        <w:t>OMPI à l</w:t>
      </w:r>
      <w:r w:rsidR="00536DD9" w:rsidRPr="009A006E">
        <w:rPr>
          <w:lang w:val="fr-FR"/>
        </w:rPr>
        <w:t>’</w:t>
      </w:r>
      <w:r w:rsidRPr="009A006E">
        <w:rPr>
          <w:lang w:val="fr-FR"/>
        </w:rPr>
        <w:t xml:space="preserve">adresse </w:t>
      </w:r>
      <w:hyperlink r:id="rId9" w:history="1">
        <w:r w:rsidR="002C42E4" w:rsidRPr="00554B82">
          <w:rPr>
            <w:rStyle w:val="Hyperlink"/>
            <w:color w:val="auto"/>
            <w:u w:val="none"/>
            <w:lang w:val="fr-FR"/>
          </w:rPr>
          <w:t>http://www.wipo.int/pct/fr/circulars/</w:t>
        </w:r>
      </w:hyperlink>
      <w:r w:rsidRPr="009A006E">
        <w:rPr>
          <w:lang w:val="fr-FR"/>
        </w:rPr>
        <w:t xml:space="preserve">.  </w:t>
      </w:r>
      <w:r w:rsidR="002C42E4" w:rsidRPr="009A006E">
        <w:rPr>
          <w:lang w:val="fr-FR"/>
        </w:rPr>
        <w:t xml:space="preserve">Les réponses au questionnaire sont résumées dans le </w:t>
      </w:r>
      <w:r w:rsidR="000B7B49" w:rsidRPr="009A006E">
        <w:rPr>
          <w:lang w:val="fr-FR"/>
        </w:rPr>
        <w:t>document PCT/WG/10/7.</w:t>
      </w:r>
    </w:p>
    <w:p w:rsidR="002C42E4" w:rsidRPr="009A006E" w:rsidRDefault="002C42E4" w:rsidP="00BA78EF">
      <w:pPr>
        <w:pStyle w:val="ONUMFS"/>
        <w:rPr>
          <w:lang w:val="fr-FR"/>
        </w:rPr>
      </w:pPr>
      <w:r w:rsidRPr="009A006E">
        <w:rPr>
          <w:lang w:val="fr-FR"/>
        </w:rPr>
        <w:t xml:space="preserve">Le présent document </w:t>
      </w:r>
      <w:r w:rsidR="005115FB" w:rsidRPr="009A006E">
        <w:rPr>
          <w:lang w:val="fr-FR"/>
        </w:rPr>
        <w:t>contient</w:t>
      </w:r>
      <w:r w:rsidRPr="009A006E">
        <w:rPr>
          <w:lang w:val="fr-FR"/>
        </w:rPr>
        <w:t xml:space="preserve"> une proposition </w:t>
      </w:r>
      <w:r w:rsidR="00DA3D60">
        <w:rPr>
          <w:lang w:val="fr-FR"/>
        </w:rPr>
        <w:t>visant à mieux coordo</w:t>
      </w:r>
      <w:r w:rsidRPr="009A006E">
        <w:rPr>
          <w:lang w:val="fr-FR"/>
        </w:rPr>
        <w:t>n</w:t>
      </w:r>
      <w:r w:rsidR="00DA3D60">
        <w:rPr>
          <w:lang w:val="fr-FR"/>
        </w:rPr>
        <w:t>ner</w:t>
      </w:r>
      <w:r w:rsidRPr="009A006E">
        <w:rPr>
          <w:lang w:val="fr-FR"/>
        </w:rPr>
        <w:t xml:space="preserve"> </w:t>
      </w:r>
      <w:r w:rsidR="00DA3D60" w:rsidRPr="009A006E">
        <w:rPr>
          <w:lang w:val="fr-FR"/>
        </w:rPr>
        <w:t xml:space="preserve">la formation des examinateurs </w:t>
      </w:r>
      <w:r w:rsidRPr="009A006E">
        <w:rPr>
          <w:lang w:val="fr-FR"/>
        </w:rPr>
        <w:t>entre offices et fait le point des travaux entrepris en vue de l</w:t>
      </w:r>
      <w:r w:rsidR="00536DD9" w:rsidRPr="009A006E">
        <w:rPr>
          <w:lang w:val="fr-FR"/>
        </w:rPr>
        <w:t>’</w:t>
      </w:r>
      <w:r w:rsidRPr="009A006E">
        <w:rPr>
          <w:lang w:val="fr-FR"/>
        </w:rPr>
        <w:t>élaboration d</w:t>
      </w:r>
      <w:r w:rsidR="00536DD9" w:rsidRPr="009A006E">
        <w:rPr>
          <w:lang w:val="fr-FR"/>
        </w:rPr>
        <w:t>’</w:t>
      </w:r>
      <w:r w:rsidRPr="009A006E">
        <w:rPr>
          <w:lang w:val="fr-FR"/>
        </w:rPr>
        <w:t>un système de gestion de la formation.</w:t>
      </w:r>
    </w:p>
    <w:p w:rsidR="000B7B49" w:rsidRPr="009A006E" w:rsidRDefault="001963EE" w:rsidP="00BA78EF">
      <w:pPr>
        <w:pStyle w:val="Heading1"/>
        <w:rPr>
          <w:lang w:val="fr-FR"/>
        </w:rPr>
      </w:pPr>
      <w:r w:rsidRPr="009A006E">
        <w:rPr>
          <w:lang w:val="fr-FR"/>
        </w:rPr>
        <w:t>P</w:t>
      </w:r>
      <w:r w:rsidR="00033EE4" w:rsidRPr="009A006E">
        <w:rPr>
          <w:lang w:val="fr-FR"/>
        </w:rPr>
        <w:t>roposition visant à mieux coordonner la formation des examinateurs entre offices donateurs et offices bénéficiaires</w:t>
      </w:r>
    </w:p>
    <w:p w:rsidR="000B7B49" w:rsidRPr="009A006E" w:rsidRDefault="001963EE" w:rsidP="00BA78EF">
      <w:pPr>
        <w:pStyle w:val="Heading2"/>
        <w:rPr>
          <w:lang w:val="fr-FR"/>
        </w:rPr>
      </w:pPr>
      <w:r w:rsidRPr="009A006E">
        <w:rPr>
          <w:lang w:val="fr-FR"/>
        </w:rPr>
        <w:t>Si</w:t>
      </w:r>
      <w:r w:rsidR="00033EE4" w:rsidRPr="009A006E">
        <w:rPr>
          <w:lang w:val="fr-FR"/>
        </w:rPr>
        <w:t>tuation actuelle</w:t>
      </w:r>
    </w:p>
    <w:p w:rsidR="001963EE" w:rsidRPr="009A006E" w:rsidRDefault="001963EE" w:rsidP="00BA78EF">
      <w:pPr>
        <w:rPr>
          <w:lang w:val="fr-FR"/>
        </w:rPr>
      </w:pPr>
    </w:p>
    <w:p w:rsidR="00033EE4" w:rsidRPr="009A006E" w:rsidRDefault="00033EE4" w:rsidP="00BA78EF">
      <w:pPr>
        <w:pStyle w:val="ONUMFS"/>
        <w:rPr>
          <w:lang w:val="fr-FR"/>
        </w:rPr>
      </w:pPr>
      <w:r w:rsidRPr="009A006E">
        <w:rPr>
          <w:lang w:val="fr-FR"/>
        </w:rPr>
        <w:t xml:space="preserve">Comme indiqué au </w:t>
      </w:r>
      <w:r w:rsidR="00536DD9" w:rsidRPr="009A006E">
        <w:rPr>
          <w:lang w:val="fr-FR"/>
        </w:rPr>
        <w:t>paragraphe 1</w:t>
      </w:r>
      <w:r w:rsidRPr="009A006E">
        <w:rPr>
          <w:lang w:val="fr-FR"/>
        </w:rPr>
        <w:t>2 du document PCT/WG/8/7,</w:t>
      </w:r>
      <w:r w:rsidR="00BB673F" w:rsidRPr="009A006E">
        <w:rPr>
          <w:lang w:val="fr-FR"/>
        </w:rPr>
        <w:t xml:space="preserve"> il n</w:t>
      </w:r>
      <w:r w:rsidR="00536DD9" w:rsidRPr="009A006E">
        <w:rPr>
          <w:lang w:val="fr-FR"/>
        </w:rPr>
        <w:t>’</w:t>
      </w:r>
      <w:r w:rsidR="00BB673F" w:rsidRPr="009A006E">
        <w:rPr>
          <w:lang w:val="fr-FR"/>
        </w:rPr>
        <w:t>existe pas d</w:t>
      </w:r>
      <w:r w:rsidR="00536DD9" w:rsidRPr="009A006E">
        <w:rPr>
          <w:lang w:val="fr-FR"/>
        </w:rPr>
        <w:t>’</w:t>
      </w:r>
      <w:r w:rsidR="00BB673F" w:rsidRPr="009A006E">
        <w:rPr>
          <w:lang w:val="fr-FR"/>
        </w:rPr>
        <w:t>approche universelle en matière de formation des examinateu</w:t>
      </w:r>
      <w:r w:rsidR="00C93934" w:rsidRPr="009A006E">
        <w:rPr>
          <w:lang w:val="fr-FR"/>
        </w:rPr>
        <w:t>rs.  Le</w:t>
      </w:r>
      <w:r w:rsidR="00BB673F" w:rsidRPr="009A006E">
        <w:rPr>
          <w:lang w:val="fr-FR"/>
        </w:rPr>
        <w:t>s méthodes d</w:t>
      </w:r>
      <w:r w:rsidR="00536DD9" w:rsidRPr="009A006E">
        <w:rPr>
          <w:lang w:val="fr-FR"/>
        </w:rPr>
        <w:t>’</w:t>
      </w:r>
      <w:r w:rsidR="00BB673F" w:rsidRPr="009A006E">
        <w:rPr>
          <w:lang w:val="fr-FR"/>
        </w:rPr>
        <w:t>examen des demandes de brevet varient considérablement, notamment d</w:t>
      </w:r>
      <w:r w:rsidR="00536DD9" w:rsidRPr="009A006E">
        <w:rPr>
          <w:lang w:val="fr-FR"/>
        </w:rPr>
        <w:t>’</w:t>
      </w:r>
      <w:r w:rsidR="00BB673F" w:rsidRPr="009A006E">
        <w:rPr>
          <w:lang w:val="fr-FR"/>
        </w:rPr>
        <w:t>un pays en développement à l</w:t>
      </w:r>
      <w:r w:rsidR="00536DD9" w:rsidRPr="009A006E">
        <w:rPr>
          <w:lang w:val="fr-FR"/>
        </w:rPr>
        <w:t>’</w:t>
      </w:r>
      <w:r w:rsidR="00BB673F" w:rsidRPr="009A006E">
        <w:rPr>
          <w:lang w:val="fr-FR"/>
        </w:rPr>
        <w:t>autre, allant de simples systèmes d</w:t>
      </w:r>
      <w:r w:rsidR="00536DD9" w:rsidRPr="009A006E">
        <w:rPr>
          <w:lang w:val="fr-FR"/>
        </w:rPr>
        <w:t>’</w:t>
      </w:r>
      <w:r w:rsidR="00BB673F" w:rsidRPr="009A006E">
        <w:rPr>
          <w:lang w:val="fr-FR"/>
        </w:rPr>
        <w:t>enregistrement à des examens comple</w:t>
      </w:r>
      <w:r w:rsidR="00C93934" w:rsidRPr="009A006E">
        <w:rPr>
          <w:lang w:val="fr-FR"/>
        </w:rPr>
        <w:t>ts.  Le</w:t>
      </w:r>
      <w:r w:rsidR="00BB673F" w:rsidRPr="009A006E">
        <w:rPr>
          <w:lang w:val="fr-FR"/>
        </w:rPr>
        <w:t>s besoins en matière de formation dépendent par conséquent de la taille, des ressources et des politiques d</w:t>
      </w:r>
      <w:r w:rsidR="00536DD9" w:rsidRPr="009A006E">
        <w:rPr>
          <w:lang w:val="fr-FR"/>
        </w:rPr>
        <w:t>’</w:t>
      </w:r>
      <w:r w:rsidR="00BB673F" w:rsidRPr="009A006E">
        <w:rPr>
          <w:lang w:val="fr-FR"/>
        </w:rPr>
        <w:t>examen des offices des pays en développement.</w:t>
      </w:r>
    </w:p>
    <w:p w:rsidR="00BB673F" w:rsidRPr="009A006E" w:rsidRDefault="00B077B3" w:rsidP="00554B82">
      <w:pPr>
        <w:pStyle w:val="ONUMFS"/>
        <w:keepLines/>
        <w:rPr>
          <w:lang w:val="fr-FR"/>
        </w:rPr>
      </w:pPr>
      <w:r w:rsidRPr="009A006E">
        <w:rPr>
          <w:lang w:val="fr-FR"/>
        </w:rPr>
        <w:lastRenderedPageBreak/>
        <w:t>Les offices disposant d</w:t>
      </w:r>
      <w:r w:rsidR="00536DD9" w:rsidRPr="009A006E">
        <w:rPr>
          <w:lang w:val="fr-FR"/>
        </w:rPr>
        <w:t>’</w:t>
      </w:r>
      <w:r w:rsidRPr="009A006E">
        <w:rPr>
          <w:lang w:val="fr-FR"/>
        </w:rPr>
        <w:t xml:space="preserve">un </w:t>
      </w:r>
      <w:r w:rsidR="005115FB" w:rsidRPr="009A006E">
        <w:rPr>
          <w:lang w:val="fr-FR"/>
        </w:rPr>
        <w:t xml:space="preserve">petit </w:t>
      </w:r>
      <w:r w:rsidRPr="009A006E">
        <w:rPr>
          <w:lang w:val="fr-FR"/>
        </w:rPr>
        <w:t>nombre d</w:t>
      </w:r>
      <w:r w:rsidR="00536DD9" w:rsidRPr="009A006E">
        <w:rPr>
          <w:lang w:val="fr-FR"/>
        </w:rPr>
        <w:t>’</w:t>
      </w:r>
      <w:r w:rsidRPr="009A006E">
        <w:rPr>
          <w:lang w:val="fr-FR"/>
        </w:rPr>
        <w:t>examinateurs, dans lesquels ces derniers couvrent une grande diversité de domaines technologiques, la formation doit</w:t>
      </w:r>
      <w:r w:rsidR="00B6094B" w:rsidRPr="009A006E">
        <w:rPr>
          <w:lang w:val="fr-FR"/>
        </w:rPr>
        <w:t>,</w:t>
      </w:r>
      <w:r w:rsidRPr="009A006E">
        <w:rPr>
          <w:lang w:val="fr-FR"/>
        </w:rPr>
        <w:t xml:space="preserve"> dans l</w:t>
      </w:r>
      <w:r w:rsidR="00536DD9" w:rsidRPr="009A006E">
        <w:rPr>
          <w:lang w:val="fr-FR"/>
        </w:rPr>
        <w:t>’</w:t>
      </w:r>
      <w:r w:rsidRPr="009A006E">
        <w:rPr>
          <w:lang w:val="fr-FR"/>
        </w:rPr>
        <w:t>idéal</w:t>
      </w:r>
      <w:r w:rsidR="00B6094B" w:rsidRPr="009A006E">
        <w:rPr>
          <w:lang w:val="fr-FR"/>
        </w:rPr>
        <w:t>,</w:t>
      </w:r>
      <w:r w:rsidRPr="009A006E">
        <w:rPr>
          <w:lang w:val="fr-FR"/>
        </w:rPr>
        <w:t xml:space="preserve"> essentiellement</w:t>
      </w:r>
      <w:r w:rsidR="00B6094B" w:rsidRPr="009A006E">
        <w:rPr>
          <w:lang w:val="fr-FR"/>
        </w:rPr>
        <w:t xml:space="preserve"> privilégier l</w:t>
      </w:r>
      <w:r w:rsidR="00536DD9" w:rsidRPr="009A006E">
        <w:rPr>
          <w:lang w:val="fr-FR"/>
        </w:rPr>
        <w:t>’</w:t>
      </w:r>
      <w:r w:rsidR="00B6094B" w:rsidRPr="009A006E">
        <w:rPr>
          <w:lang w:val="fr-FR"/>
        </w:rPr>
        <w:t>amélioration des compétences permettant d</w:t>
      </w:r>
      <w:r w:rsidR="00536DD9" w:rsidRPr="009A006E">
        <w:rPr>
          <w:lang w:val="fr-FR"/>
        </w:rPr>
        <w:t>’</w:t>
      </w:r>
      <w:r w:rsidR="00B6094B" w:rsidRPr="009A006E">
        <w:rPr>
          <w:lang w:val="fr-FR"/>
        </w:rPr>
        <w:t>utiliser et d</w:t>
      </w:r>
      <w:r w:rsidR="00536DD9" w:rsidRPr="009A006E">
        <w:rPr>
          <w:lang w:val="fr-FR"/>
        </w:rPr>
        <w:t>’</w:t>
      </w:r>
      <w:r w:rsidR="00B6094B" w:rsidRPr="009A006E">
        <w:rPr>
          <w:lang w:val="fr-FR"/>
        </w:rPr>
        <w:t>exploiter les produits provenant d</w:t>
      </w:r>
      <w:r w:rsidR="00536DD9" w:rsidRPr="009A006E">
        <w:rPr>
          <w:lang w:val="fr-FR"/>
        </w:rPr>
        <w:t>’</w:t>
      </w:r>
      <w:r w:rsidR="00B6094B" w:rsidRPr="009A006E">
        <w:rPr>
          <w:lang w:val="fr-FR"/>
        </w:rPr>
        <w:t>autres offic</w:t>
      </w:r>
      <w:r w:rsidR="00C93934" w:rsidRPr="009A006E">
        <w:rPr>
          <w:lang w:val="fr-FR"/>
        </w:rPr>
        <w:t>es.  Ai</w:t>
      </w:r>
      <w:r w:rsidR="00B6094B" w:rsidRPr="009A006E">
        <w:rPr>
          <w:lang w:val="fr-FR"/>
        </w:rPr>
        <w:t>nsi, l</w:t>
      </w:r>
      <w:r w:rsidR="00536DD9" w:rsidRPr="009A006E">
        <w:rPr>
          <w:lang w:val="fr-FR"/>
        </w:rPr>
        <w:t>’</w:t>
      </w:r>
      <w:r w:rsidR="00B6094B" w:rsidRPr="009A006E">
        <w:rPr>
          <w:lang w:val="fr-FR"/>
        </w:rPr>
        <w:t>examinateur peut prendre des décisions concernant le droit matériel des brevets en s</w:t>
      </w:r>
      <w:r w:rsidR="00536DD9" w:rsidRPr="009A006E">
        <w:rPr>
          <w:lang w:val="fr-FR"/>
        </w:rPr>
        <w:t>’</w:t>
      </w:r>
      <w:r w:rsidR="00B6094B" w:rsidRPr="009A006E">
        <w:rPr>
          <w:lang w:val="fr-FR"/>
        </w:rPr>
        <w:t>appuyant sur les recherches sur l</w:t>
      </w:r>
      <w:r w:rsidR="00536DD9" w:rsidRPr="009A006E">
        <w:rPr>
          <w:lang w:val="fr-FR"/>
        </w:rPr>
        <w:t>’</w:t>
      </w:r>
      <w:r w:rsidR="00B6094B" w:rsidRPr="009A006E">
        <w:rPr>
          <w:lang w:val="fr-FR"/>
        </w:rPr>
        <w:t>état de la technique relatif aux membres d</w:t>
      </w:r>
      <w:r w:rsidR="00536DD9" w:rsidRPr="009A006E">
        <w:rPr>
          <w:lang w:val="fr-FR"/>
        </w:rPr>
        <w:t>’</w:t>
      </w:r>
      <w:r w:rsidR="00B6094B" w:rsidRPr="009A006E">
        <w:rPr>
          <w:lang w:val="fr-FR"/>
        </w:rPr>
        <w:t>une famille de brevets effectuées par des examinateurs d</w:t>
      </w:r>
      <w:r w:rsidR="00536DD9" w:rsidRPr="009A006E">
        <w:rPr>
          <w:lang w:val="fr-FR"/>
        </w:rPr>
        <w:t>’</w:t>
      </w:r>
      <w:r w:rsidR="00B6094B" w:rsidRPr="009A006E">
        <w:rPr>
          <w:lang w:val="fr-FR"/>
        </w:rPr>
        <w:t>autres offices dotés d</w:t>
      </w:r>
      <w:r w:rsidR="00536DD9" w:rsidRPr="009A006E">
        <w:rPr>
          <w:lang w:val="fr-FR"/>
        </w:rPr>
        <w:t>’</w:t>
      </w:r>
      <w:r w:rsidR="00B6094B" w:rsidRPr="009A006E">
        <w:rPr>
          <w:lang w:val="fr-FR"/>
        </w:rPr>
        <w:t xml:space="preserve">une plus grande expertise technique dans le domaine en question, </w:t>
      </w:r>
      <w:r w:rsidR="005115FB" w:rsidRPr="009A006E">
        <w:rPr>
          <w:lang w:val="fr-FR"/>
        </w:rPr>
        <w:t>ce qui donne</w:t>
      </w:r>
      <w:r w:rsidR="00B6094B" w:rsidRPr="009A006E">
        <w:rPr>
          <w:lang w:val="fr-FR"/>
        </w:rPr>
        <w:t xml:space="preserve"> à l</w:t>
      </w:r>
      <w:r w:rsidR="00536DD9" w:rsidRPr="009A006E">
        <w:rPr>
          <w:lang w:val="fr-FR"/>
        </w:rPr>
        <w:t>’</w:t>
      </w:r>
      <w:r w:rsidR="00B6094B" w:rsidRPr="009A006E">
        <w:rPr>
          <w:lang w:val="fr-FR"/>
        </w:rPr>
        <w:t>examinateur plus d</w:t>
      </w:r>
      <w:r w:rsidR="00536DD9" w:rsidRPr="009A006E">
        <w:rPr>
          <w:lang w:val="fr-FR"/>
        </w:rPr>
        <w:t>’</w:t>
      </w:r>
      <w:r w:rsidR="00B6094B" w:rsidRPr="009A006E">
        <w:rPr>
          <w:lang w:val="fr-FR"/>
        </w:rPr>
        <w:t xml:space="preserve">informations sur la base desquelles prendre des décisions éclairées </w:t>
      </w:r>
      <w:r w:rsidR="005115FB" w:rsidRPr="009A006E">
        <w:rPr>
          <w:lang w:val="fr-FR"/>
        </w:rPr>
        <w:t>tenant compte</w:t>
      </w:r>
      <w:r w:rsidR="00B6094B" w:rsidRPr="009A006E">
        <w:rPr>
          <w:lang w:val="fr-FR"/>
        </w:rPr>
        <w:t xml:space="preserve"> à la fois</w:t>
      </w:r>
      <w:r w:rsidR="005115FB" w:rsidRPr="009A006E">
        <w:rPr>
          <w:lang w:val="fr-FR"/>
        </w:rPr>
        <w:t xml:space="preserve"> de</w:t>
      </w:r>
      <w:r w:rsidR="00B43048" w:rsidRPr="009A006E">
        <w:rPr>
          <w:lang w:val="fr-FR"/>
        </w:rPr>
        <w:t xml:space="preserve"> la différence e</w:t>
      </w:r>
      <w:r w:rsidR="00EE264C" w:rsidRPr="009A006E">
        <w:rPr>
          <w:lang w:val="fr-FR"/>
        </w:rPr>
        <w:t>ntre l</w:t>
      </w:r>
      <w:r w:rsidR="00536DD9" w:rsidRPr="009A006E">
        <w:rPr>
          <w:lang w:val="fr-FR"/>
        </w:rPr>
        <w:t>’</w:t>
      </w:r>
      <w:r w:rsidR="00EE264C" w:rsidRPr="009A006E">
        <w:rPr>
          <w:lang w:val="fr-FR"/>
        </w:rPr>
        <w:t xml:space="preserve">invention revendiquée et </w:t>
      </w:r>
      <w:r w:rsidR="00B43048" w:rsidRPr="009A006E">
        <w:rPr>
          <w:lang w:val="fr-FR"/>
        </w:rPr>
        <w:t>l</w:t>
      </w:r>
      <w:r w:rsidR="00536DD9" w:rsidRPr="009A006E">
        <w:rPr>
          <w:lang w:val="fr-FR"/>
        </w:rPr>
        <w:t>’</w:t>
      </w:r>
      <w:r w:rsidR="00B43048" w:rsidRPr="009A006E">
        <w:rPr>
          <w:lang w:val="fr-FR"/>
        </w:rPr>
        <w:t>état de la technique</w:t>
      </w:r>
      <w:r w:rsidR="00EE264C" w:rsidRPr="009A006E">
        <w:rPr>
          <w:lang w:val="fr-FR"/>
        </w:rPr>
        <w:t xml:space="preserve"> et </w:t>
      </w:r>
      <w:r w:rsidR="005115FB" w:rsidRPr="009A006E">
        <w:rPr>
          <w:lang w:val="fr-FR"/>
        </w:rPr>
        <w:t>des</w:t>
      </w:r>
      <w:r w:rsidR="00EE264C" w:rsidRPr="009A006E">
        <w:rPr>
          <w:lang w:val="fr-FR"/>
        </w:rPr>
        <w:t xml:space="preserve"> prescriptions particulières de la législation nationa</w:t>
      </w:r>
      <w:r w:rsidR="00C93934" w:rsidRPr="009A006E">
        <w:rPr>
          <w:lang w:val="fr-FR"/>
        </w:rPr>
        <w:t>le.  En</w:t>
      </w:r>
      <w:r w:rsidR="00EE264C" w:rsidRPr="009A006E">
        <w:rPr>
          <w:lang w:val="fr-FR"/>
        </w:rPr>
        <w:t xml:space="preserve"> outre, eu égard à leur nombre restreint d</w:t>
      </w:r>
      <w:r w:rsidR="00536DD9" w:rsidRPr="009A006E">
        <w:rPr>
          <w:lang w:val="fr-FR"/>
        </w:rPr>
        <w:t>’</w:t>
      </w:r>
      <w:r w:rsidR="00EE264C" w:rsidRPr="009A006E">
        <w:rPr>
          <w:lang w:val="fr-FR"/>
        </w:rPr>
        <w:t>examinateurs de brevets, les petits offices n</w:t>
      </w:r>
      <w:r w:rsidR="00536DD9" w:rsidRPr="009A006E">
        <w:rPr>
          <w:lang w:val="fr-FR"/>
        </w:rPr>
        <w:t>’</w:t>
      </w:r>
      <w:r w:rsidR="00EE264C" w:rsidRPr="009A006E">
        <w:rPr>
          <w:lang w:val="fr-FR"/>
        </w:rPr>
        <w:t>ont pas toujours la possibilité sur le plan financier de mettre en place et en œuvre des structures de formation intern</w:t>
      </w:r>
      <w:r w:rsidR="00C93934" w:rsidRPr="009A006E">
        <w:rPr>
          <w:lang w:val="fr-FR"/>
        </w:rPr>
        <w:t>es.  Il</w:t>
      </w:r>
      <w:r w:rsidR="00EE264C" w:rsidRPr="009A006E">
        <w:rPr>
          <w:lang w:val="fr-FR"/>
        </w:rPr>
        <w:t xml:space="preserve">s </w:t>
      </w:r>
      <w:r w:rsidR="005115FB" w:rsidRPr="009A006E">
        <w:rPr>
          <w:lang w:val="fr-FR"/>
        </w:rPr>
        <w:t>dépendent</w:t>
      </w:r>
      <w:r w:rsidR="00EE264C" w:rsidRPr="009A006E">
        <w:rPr>
          <w:lang w:val="fr-FR"/>
        </w:rPr>
        <w:t xml:space="preserve"> par conséquent dans une large mesure </w:t>
      </w:r>
      <w:r w:rsidR="005115FB" w:rsidRPr="009A006E">
        <w:rPr>
          <w:lang w:val="fr-FR"/>
        </w:rPr>
        <w:t>de l</w:t>
      </w:r>
      <w:r w:rsidR="00536DD9" w:rsidRPr="009A006E">
        <w:rPr>
          <w:lang w:val="fr-FR"/>
        </w:rPr>
        <w:t>’</w:t>
      </w:r>
      <w:r w:rsidR="005115FB" w:rsidRPr="009A006E">
        <w:rPr>
          <w:lang w:val="fr-FR"/>
        </w:rPr>
        <w:t>a</w:t>
      </w:r>
      <w:r w:rsidR="00202ECC" w:rsidRPr="009A006E">
        <w:rPr>
          <w:lang w:val="fr-FR"/>
        </w:rPr>
        <w:t>ide</w:t>
      </w:r>
      <w:r w:rsidR="00EE264C" w:rsidRPr="009A006E">
        <w:rPr>
          <w:lang w:val="fr-FR"/>
        </w:rPr>
        <w:t xml:space="preserve"> </w:t>
      </w:r>
      <w:r w:rsidR="005115FB" w:rsidRPr="009A006E">
        <w:rPr>
          <w:lang w:val="fr-FR"/>
        </w:rPr>
        <w:t>extérieure à la formation</w:t>
      </w:r>
      <w:r w:rsidR="00202ECC" w:rsidRPr="009A006E">
        <w:rPr>
          <w:lang w:val="fr-FR"/>
        </w:rPr>
        <w:t>.</w:t>
      </w:r>
    </w:p>
    <w:p w:rsidR="00202ECC" w:rsidRPr="009A006E" w:rsidRDefault="00202ECC" w:rsidP="00BA78EF">
      <w:pPr>
        <w:pStyle w:val="ONUMFS"/>
        <w:rPr>
          <w:lang w:val="fr-FR"/>
        </w:rPr>
      </w:pPr>
      <w:r w:rsidRPr="009A006E">
        <w:rPr>
          <w:lang w:val="fr-FR"/>
        </w:rPr>
        <w:t>En revanche, les offices de taille moyenne des pays en développement peuvent avoir pour objectif</w:t>
      </w:r>
      <w:r w:rsidR="005115FB" w:rsidRPr="009A006E">
        <w:rPr>
          <w:lang w:val="fr-FR"/>
        </w:rPr>
        <w:t xml:space="preserve"> central</w:t>
      </w:r>
      <w:r w:rsidRPr="009A006E">
        <w:rPr>
          <w:lang w:val="fr-FR"/>
        </w:rPr>
        <w:t xml:space="preserve"> en matière de formation d</w:t>
      </w:r>
      <w:r w:rsidR="00536DD9" w:rsidRPr="009A006E">
        <w:rPr>
          <w:lang w:val="fr-FR"/>
        </w:rPr>
        <w:t>’</w:t>
      </w:r>
      <w:r w:rsidRPr="009A006E">
        <w:rPr>
          <w:lang w:val="fr-FR"/>
        </w:rPr>
        <w:t>aider les offices des pays en développement à améliorer leurs infrastructures de formation et à adopter des méthodes de formation qui sont appliquées par des offices qui ont une longue expérience en matière de recherche et d</w:t>
      </w:r>
      <w:r w:rsidR="00536DD9" w:rsidRPr="009A006E">
        <w:rPr>
          <w:lang w:val="fr-FR"/>
        </w:rPr>
        <w:t>’</w:t>
      </w:r>
      <w:r w:rsidRPr="009A006E">
        <w:rPr>
          <w:lang w:val="fr-FR"/>
        </w:rPr>
        <w:t>exam</w:t>
      </w:r>
      <w:r w:rsidR="00C93934" w:rsidRPr="009A006E">
        <w:rPr>
          <w:lang w:val="fr-FR"/>
        </w:rPr>
        <w:t>en.  Au</w:t>
      </w:r>
      <w:r w:rsidRPr="009A006E">
        <w:rPr>
          <w:lang w:val="fr-FR"/>
        </w:rPr>
        <w:t xml:space="preserve"> cours des quatre</w:t>
      </w:r>
      <w:r w:rsidR="00F1470D" w:rsidRPr="009A006E">
        <w:rPr>
          <w:lang w:val="fr-FR"/>
        </w:rPr>
        <w:t> </w:t>
      </w:r>
      <w:r w:rsidRPr="009A006E">
        <w:rPr>
          <w:lang w:val="fr-FR"/>
        </w:rPr>
        <w:t>dernières années, plusieurs initiatives en ce sens ont été menées en faveur d</w:t>
      </w:r>
      <w:r w:rsidR="00536DD9" w:rsidRPr="009A006E">
        <w:rPr>
          <w:lang w:val="fr-FR"/>
        </w:rPr>
        <w:t>’</w:t>
      </w:r>
      <w:r w:rsidRPr="009A006E">
        <w:rPr>
          <w:lang w:val="fr-FR"/>
        </w:rPr>
        <w:t>offices de pays en développement ou par</w:t>
      </w:r>
      <w:r w:rsidR="0048398C" w:rsidRPr="009A006E">
        <w:rPr>
          <w:lang w:val="fr-FR"/>
        </w:rPr>
        <w:t xml:space="preserve"> d</w:t>
      </w:r>
      <w:r w:rsidRPr="009A006E">
        <w:rPr>
          <w:lang w:val="fr-FR"/>
        </w:rPr>
        <w:t>es offices</w:t>
      </w:r>
      <w:r w:rsidR="0048398C" w:rsidRPr="009A006E">
        <w:rPr>
          <w:lang w:val="fr-FR"/>
        </w:rPr>
        <w:t xml:space="preserve"> de ces pays, de façon à moins dépendre de l</w:t>
      </w:r>
      <w:r w:rsidR="00536DD9" w:rsidRPr="009A006E">
        <w:rPr>
          <w:lang w:val="fr-FR"/>
        </w:rPr>
        <w:t>’</w:t>
      </w:r>
      <w:r w:rsidR="0048398C" w:rsidRPr="009A006E">
        <w:rPr>
          <w:lang w:val="fr-FR"/>
        </w:rPr>
        <w:t>aide à la formation de la part des donateurs</w:t>
      </w:r>
      <w:r w:rsidR="0048398C" w:rsidRPr="009A006E">
        <w:rPr>
          <w:rStyle w:val="FootnoteReference"/>
          <w:sz w:val="24"/>
          <w:szCs w:val="24"/>
          <w:lang w:val="fr-FR"/>
        </w:rPr>
        <w:footnoteReference w:id="2"/>
      </w:r>
      <w:r w:rsidR="0048398C" w:rsidRPr="009A006E">
        <w:rPr>
          <w:lang w:val="fr-FR"/>
        </w:rPr>
        <w:t>.</w:t>
      </w:r>
    </w:p>
    <w:p w:rsidR="00E0664B" w:rsidRPr="009A006E" w:rsidRDefault="00970018" w:rsidP="00BA78EF">
      <w:pPr>
        <w:pStyle w:val="ONUMFS"/>
        <w:rPr>
          <w:lang w:val="fr-FR"/>
        </w:rPr>
      </w:pPr>
      <w:r w:rsidRPr="009A006E">
        <w:rPr>
          <w:lang w:val="fr-FR"/>
        </w:rPr>
        <w:t>Les offices de taille moyenne qui élaborent ou ont élaboré une infrastructure de formation interne peuvent, néanmoins, avoir quand même besoin d</w:t>
      </w:r>
      <w:r w:rsidR="00536DD9" w:rsidRPr="009A006E">
        <w:rPr>
          <w:lang w:val="fr-FR"/>
        </w:rPr>
        <w:t>’</w:t>
      </w:r>
      <w:r w:rsidRPr="009A006E">
        <w:rPr>
          <w:lang w:val="fr-FR"/>
        </w:rPr>
        <w:t xml:space="preserve">une aide </w:t>
      </w:r>
      <w:r w:rsidR="005115FB" w:rsidRPr="009A006E">
        <w:rPr>
          <w:lang w:val="fr-FR"/>
        </w:rPr>
        <w:t xml:space="preserve">extérieure </w:t>
      </w:r>
      <w:r w:rsidRPr="009A006E">
        <w:rPr>
          <w:lang w:val="fr-FR"/>
        </w:rPr>
        <w:t xml:space="preserve">des donateurs en matière de formation, en particulier pour des formations </w:t>
      </w:r>
      <w:r w:rsidR="00720F2E" w:rsidRPr="009A006E">
        <w:rPr>
          <w:lang w:val="fr-FR"/>
        </w:rPr>
        <w:t>spéciales consacrées aux technologies ou aux outils de recherche, et pour des formations en cours d</w:t>
      </w:r>
      <w:r w:rsidR="00536DD9" w:rsidRPr="009A006E">
        <w:rPr>
          <w:lang w:val="fr-FR"/>
        </w:rPr>
        <w:t>’</w:t>
      </w:r>
      <w:r w:rsidR="00720F2E" w:rsidRPr="009A006E">
        <w:rPr>
          <w:lang w:val="fr-FR"/>
        </w:rPr>
        <w:t>emploi dans le but d</w:t>
      </w:r>
      <w:r w:rsidR="00536DD9" w:rsidRPr="009A006E">
        <w:rPr>
          <w:lang w:val="fr-FR"/>
        </w:rPr>
        <w:t>’</w:t>
      </w:r>
      <w:r w:rsidR="00720F2E" w:rsidRPr="009A006E">
        <w:rPr>
          <w:lang w:val="fr-FR"/>
        </w:rPr>
        <w:t>acquérir ou d</w:t>
      </w:r>
      <w:r w:rsidR="00536DD9" w:rsidRPr="009A006E">
        <w:rPr>
          <w:lang w:val="fr-FR"/>
        </w:rPr>
        <w:t>’</w:t>
      </w:r>
      <w:r w:rsidR="00720F2E" w:rsidRPr="009A006E">
        <w:rPr>
          <w:lang w:val="fr-FR"/>
        </w:rPr>
        <w:t>échanger des meilleures pratiques.</w:t>
      </w:r>
    </w:p>
    <w:p w:rsidR="00720F2E" w:rsidRPr="009A006E" w:rsidRDefault="00720F2E" w:rsidP="00BA78EF">
      <w:pPr>
        <w:pStyle w:val="ONUMFS"/>
        <w:rPr>
          <w:lang w:val="fr-FR"/>
        </w:rPr>
      </w:pPr>
      <w:r w:rsidRPr="009A006E">
        <w:rPr>
          <w:lang w:val="fr-FR"/>
        </w:rPr>
        <w:t>Sur la base de l</w:t>
      </w:r>
      <w:r w:rsidR="00536DD9" w:rsidRPr="009A006E">
        <w:rPr>
          <w:lang w:val="fr-FR"/>
        </w:rPr>
        <w:t>’</w:t>
      </w:r>
      <w:r w:rsidRPr="009A006E">
        <w:rPr>
          <w:lang w:val="fr-FR"/>
        </w:rPr>
        <w:t>évaluation des deux</w:t>
      </w:r>
      <w:r w:rsidR="00F1470D" w:rsidRPr="009A006E">
        <w:rPr>
          <w:lang w:val="fr-FR"/>
        </w:rPr>
        <w:t> </w:t>
      </w:r>
      <w:r w:rsidRPr="009A006E">
        <w:rPr>
          <w:lang w:val="fr-FR"/>
        </w:rPr>
        <w:t xml:space="preserve">enquêtes menées par le Bureau international au sujet des activités de formation </w:t>
      </w:r>
      <w:r w:rsidR="00803915" w:rsidRPr="009A006E">
        <w:rPr>
          <w:lang w:val="fr-FR"/>
        </w:rPr>
        <w:t>entreprises</w:t>
      </w:r>
      <w:r w:rsidRPr="009A006E">
        <w:rPr>
          <w:lang w:val="fr-FR"/>
        </w:rPr>
        <w:t xml:space="preserve"> par des offices donateurs en faveur d</w:t>
      </w:r>
      <w:r w:rsidR="00536DD9" w:rsidRPr="009A006E">
        <w:rPr>
          <w:lang w:val="fr-FR"/>
        </w:rPr>
        <w:t>’</w:t>
      </w:r>
      <w:r w:rsidRPr="009A006E">
        <w:rPr>
          <w:lang w:val="fr-FR"/>
        </w:rPr>
        <w:t>offices bénéficiaires (voir les documents PCT/WG/9/18 et PCT/WG/10/7), l</w:t>
      </w:r>
      <w:r w:rsidR="00536DD9" w:rsidRPr="009A006E">
        <w:rPr>
          <w:lang w:val="fr-FR"/>
        </w:rPr>
        <w:t>’</w:t>
      </w:r>
      <w:r w:rsidRPr="009A006E">
        <w:rPr>
          <w:lang w:val="fr-FR"/>
        </w:rPr>
        <w:t>aide actuellement fournie par les offices donateurs pour la formation des examinateurs de brevets d</w:t>
      </w:r>
      <w:r w:rsidR="00536DD9" w:rsidRPr="009A006E">
        <w:rPr>
          <w:lang w:val="fr-FR"/>
        </w:rPr>
        <w:t>’</w:t>
      </w:r>
      <w:r w:rsidRPr="009A006E">
        <w:rPr>
          <w:lang w:val="fr-FR"/>
        </w:rPr>
        <w:t>offices de pays en développement regroupe les caractéristiques suivantes</w:t>
      </w:r>
      <w:r w:rsidR="00536DD9" w:rsidRPr="009A006E">
        <w:rPr>
          <w:lang w:val="fr-FR"/>
        </w:rPr>
        <w:t> :</w:t>
      </w:r>
    </w:p>
    <w:p w:rsidR="00803915" w:rsidRPr="009A006E" w:rsidRDefault="00600B9A"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w:t>
      </w:r>
      <w:r w:rsidR="00A46F8B" w:rsidRPr="009A006E">
        <w:rPr>
          <w:rFonts w:ascii="Arial" w:hAnsi="Arial" w:cs="Arial"/>
          <w:lang w:val="fr-FR"/>
        </w:rPr>
        <w:t>e n</w:t>
      </w:r>
      <w:r w:rsidR="00803915" w:rsidRPr="009A006E">
        <w:rPr>
          <w:rFonts w:ascii="Arial" w:hAnsi="Arial" w:cs="Arial"/>
          <w:lang w:val="fr-FR"/>
        </w:rPr>
        <w:t xml:space="preserve">ombre de possibilités de formation </w:t>
      </w:r>
      <w:r w:rsidR="00A46F8B" w:rsidRPr="009A006E">
        <w:rPr>
          <w:rFonts w:ascii="Arial" w:hAnsi="Arial" w:cs="Arial"/>
          <w:lang w:val="fr-FR"/>
        </w:rPr>
        <w:t>est insuffisant</w:t>
      </w:r>
      <w:r w:rsidR="00803915" w:rsidRPr="009A006E">
        <w:rPr>
          <w:rFonts w:ascii="Arial" w:hAnsi="Arial" w:cs="Arial"/>
          <w:lang w:val="fr-FR"/>
        </w:rPr>
        <w:t xml:space="preserve">; </w:t>
      </w:r>
      <w:r w:rsidR="00F1470D" w:rsidRPr="009A006E">
        <w:rPr>
          <w:rFonts w:ascii="Arial" w:hAnsi="Arial" w:cs="Arial"/>
          <w:lang w:val="fr-FR"/>
        </w:rPr>
        <w:t xml:space="preserve"> </w:t>
      </w:r>
      <w:r w:rsidR="00803915" w:rsidRPr="009A006E">
        <w:rPr>
          <w:rFonts w:ascii="Arial" w:hAnsi="Arial" w:cs="Arial"/>
          <w:lang w:val="fr-FR"/>
        </w:rPr>
        <w:t>en particulier, l</w:t>
      </w:r>
      <w:r w:rsidR="00536DD9" w:rsidRPr="009A006E">
        <w:rPr>
          <w:rFonts w:ascii="Arial" w:hAnsi="Arial" w:cs="Arial"/>
          <w:lang w:val="fr-FR"/>
        </w:rPr>
        <w:t>’</w:t>
      </w:r>
      <w:r w:rsidR="00803915" w:rsidRPr="009A006E">
        <w:rPr>
          <w:rFonts w:ascii="Arial" w:hAnsi="Arial" w:cs="Arial"/>
          <w:lang w:val="fr-FR"/>
        </w:rPr>
        <w:t xml:space="preserve">offre </w:t>
      </w:r>
      <w:r w:rsidR="00A46F8B" w:rsidRPr="009A006E">
        <w:rPr>
          <w:rFonts w:ascii="Arial" w:hAnsi="Arial" w:cs="Arial"/>
          <w:lang w:val="fr-FR"/>
        </w:rPr>
        <w:t>relative à la</w:t>
      </w:r>
      <w:r w:rsidR="00803915" w:rsidRPr="009A006E">
        <w:rPr>
          <w:rFonts w:ascii="Arial" w:hAnsi="Arial" w:cs="Arial"/>
          <w:lang w:val="fr-FR"/>
        </w:rPr>
        <w:t xml:space="preserve"> formation en cours d</w:t>
      </w:r>
      <w:r w:rsidR="00536DD9" w:rsidRPr="009A006E">
        <w:rPr>
          <w:rFonts w:ascii="Arial" w:hAnsi="Arial" w:cs="Arial"/>
          <w:lang w:val="fr-FR"/>
        </w:rPr>
        <w:t>’</w:t>
      </w:r>
      <w:r w:rsidR="00803915" w:rsidRPr="009A006E">
        <w:rPr>
          <w:rFonts w:ascii="Arial" w:hAnsi="Arial" w:cs="Arial"/>
          <w:lang w:val="fr-FR"/>
        </w:rPr>
        <w:t>emploi</w:t>
      </w:r>
      <w:r w:rsidR="00A46F8B" w:rsidRPr="009A006E">
        <w:rPr>
          <w:rFonts w:ascii="Arial" w:hAnsi="Arial" w:cs="Arial"/>
          <w:lang w:val="fr-FR"/>
        </w:rPr>
        <w:t xml:space="preserve"> et à des formations </w:t>
      </w:r>
      <w:r w:rsidR="00E93F93" w:rsidRPr="009A006E">
        <w:rPr>
          <w:rFonts w:ascii="Arial" w:hAnsi="Arial" w:cs="Arial"/>
          <w:lang w:val="fr-FR"/>
        </w:rPr>
        <w:t xml:space="preserve">de niveau </w:t>
      </w:r>
      <w:r w:rsidR="00A46F8B" w:rsidRPr="009A006E">
        <w:rPr>
          <w:rFonts w:ascii="Arial" w:hAnsi="Arial" w:cs="Arial"/>
          <w:lang w:val="fr-FR"/>
        </w:rPr>
        <w:t>avancé ou techniques ne satisfait</w:t>
      </w:r>
      <w:r w:rsidR="00536DD9" w:rsidRPr="009A006E">
        <w:rPr>
          <w:rFonts w:ascii="Arial" w:hAnsi="Arial" w:cs="Arial"/>
          <w:lang w:val="fr-FR"/>
        </w:rPr>
        <w:t xml:space="preserve"> pas la demande dans ce domaine</w:t>
      </w:r>
      <w:r w:rsidR="00A46F8B"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A46F8B" w:rsidRPr="009A006E" w:rsidRDefault="00600B9A"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w:t>
      </w:r>
      <w:r w:rsidR="00A46F8B" w:rsidRPr="009A006E">
        <w:rPr>
          <w:rFonts w:ascii="Arial" w:hAnsi="Arial" w:cs="Arial"/>
          <w:lang w:val="fr-FR"/>
        </w:rPr>
        <w:t xml:space="preserve">es </w:t>
      </w:r>
      <w:r w:rsidR="00E93F93" w:rsidRPr="009A006E">
        <w:rPr>
          <w:rFonts w:ascii="Arial" w:hAnsi="Arial" w:cs="Arial"/>
          <w:lang w:val="fr-FR"/>
        </w:rPr>
        <w:t>participants</w:t>
      </w:r>
      <w:r w:rsidR="00A46F8B" w:rsidRPr="009A006E">
        <w:rPr>
          <w:rFonts w:ascii="Arial" w:hAnsi="Arial" w:cs="Arial"/>
          <w:lang w:val="fr-FR"/>
        </w:rPr>
        <w:t xml:space="preserve"> sont invités à suivre des formations </w:t>
      </w:r>
      <w:r w:rsidR="00E93F93" w:rsidRPr="009A006E">
        <w:rPr>
          <w:rFonts w:ascii="Arial" w:hAnsi="Arial" w:cs="Arial"/>
          <w:lang w:val="fr-FR"/>
        </w:rPr>
        <w:t>disparates</w:t>
      </w:r>
      <w:r w:rsidR="00A46F8B" w:rsidRPr="009A006E">
        <w:rPr>
          <w:rFonts w:ascii="Arial" w:hAnsi="Arial" w:cs="Arial"/>
          <w:lang w:val="fr-FR"/>
        </w:rPr>
        <w:t xml:space="preserve"> dispensées p</w:t>
      </w:r>
      <w:r w:rsidR="00536DD9" w:rsidRPr="009A006E">
        <w:rPr>
          <w:rFonts w:ascii="Arial" w:hAnsi="Arial" w:cs="Arial"/>
          <w:lang w:val="fr-FR"/>
        </w:rPr>
        <w:t>ar différents offices donateurs</w:t>
      </w:r>
      <w:r w:rsidR="00A46F8B"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A46F8B" w:rsidRDefault="00600B9A"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w:t>
      </w:r>
      <w:r w:rsidR="00A46F8B" w:rsidRPr="009A006E">
        <w:rPr>
          <w:rFonts w:ascii="Arial" w:hAnsi="Arial" w:cs="Arial"/>
          <w:lang w:val="fr-FR"/>
        </w:rPr>
        <w:t xml:space="preserve">es activités de formation </w:t>
      </w:r>
      <w:r w:rsidR="00E93F93" w:rsidRPr="009A006E">
        <w:rPr>
          <w:rFonts w:ascii="Arial" w:hAnsi="Arial" w:cs="Arial"/>
          <w:lang w:val="fr-FR"/>
        </w:rPr>
        <w:t>proposées</w:t>
      </w:r>
      <w:r w:rsidR="00A46F8B" w:rsidRPr="009A006E">
        <w:rPr>
          <w:rFonts w:ascii="Arial" w:hAnsi="Arial" w:cs="Arial"/>
          <w:lang w:val="fr-FR"/>
        </w:rPr>
        <w:t xml:space="preserve"> par les offices donateurs n</w:t>
      </w:r>
      <w:r w:rsidR="00536DD9" w:rsidRPr="009A006E">
        <w:rPr>
          <w:rFonts w:ascii="Arial" w:hAnsi="Arial" w:cs="Arial"/>
          <w:lang w:val="fr-FR"/>
        </w:rPr>
        <w:t>’</w:t>
      </w:r>
      <w:r w:rsidR="00A46F8B" w:rsidRPr="009A006E">
        <w:rPr>
          <w:rFonts w:ascii="Arial" w:hAnsi="Arial" w:cs="Arial"/>
          <w:lang w:val="fr-FR"/>
        </w:rPr>
        <w:t>ont généralement pas de description précise ou normalisée</w:t>
      </w:r>
      <w:r w:rsidR="00D36116" w:rsidRPr="009A006E">
        <w:rPr>
          <w:rFonts w:ascii="Arial" w:hAnsi="Arial" w:cs="Arial"/>
          <w:lang w:val="fr-FR"/>
        </w:rPr>
        <w:t xml:space="preserve"> des compétences et </w:t>
      </w:r>
      <w:r w:rsidR="00E93F93" w:rsidRPr="009A006E">
        <w:rPr>
          <w:rFonts w:ascii="Arial" w:hAnsi="Arial" w:cs="Arial"/>
          <w:lang w:val="fr-FR"/>
        </w:rPr>
        <w:t>connaissances concernées</w:t>
      </w:r>
      <w:r w:rsidR="00536DD9" w:rsidRPr="009A006E">
        <w:rPr>
          <w:rFonts w:ascii="Arial" w:hAnsi="Arial" w:cs="Arial"/>
          <w:lang w:val="fr-FR"/>
        </w:rPr>
        <w:t>;</w:t>
      </w:r>
      <w:r w:rsidR="00E93F93" w:rsidRPr="009A006E">
        <w:rPr>
          <w:rFonts w:ascii="Arial" w:hAnsi="Arial" w:cs="Arial"/>
          <w:lang w:val="fr-FR"/>
        </w:rPr>
        <w:t xml:space="preserve"> </w:t>
      </w:r>
      <w:r w:rsidR="00F1470D" w:rsidRPr="009A006E">
        <w:rPr>
          <w:rFonts w:ascii="Arial" w:hAnsi="Arial" w:cs="Arial"/>
          <w:lang w:val="fr-FR"/>
        </w:rPr>
        <w:t xml:space="preserve"> </w:t>
      </w:r>
      <w:r w:rsidR="00E93F93" w:rsidRPr="009A006E">
        <w:rPr>
          <w:rFonts w:ascii="Arial" w:hAnsi="Arial" w:cs="Arial"/>
          <w:lang w:val="fr-FR"/>
        </w:rPr>
        <w:t>on ne sait donc</w:t>
      </w:r>
      <w:r w:rsidR="00D36116" w:rsidRPr="009A006E">
        <w:rPr>
          <w:rFonts w:ascii="Arial" w:hAnsi="Arial" w:cs="Arial"/>
          <w:lang w:val="fr-FR"/>
        </w:rPr>
        <w:t xml:space="preserve"> jamais vraiment si les formations </w:t>
      </w:r>
      <w:r w:rsidR="00E93F93" w:rsidRPr="009A006E">
        <w:rPr>
          <w:rFonts w:ascii="Arial" w:hAnsi="Arial" w:cs="Arial"/>
          <w:lang w:val="fr-FR"/>
        </w:rPr>
        <w:t>proposées</w:t>
      </w:r>
      <w:r w:rsidR="00D36116" w:rsidRPr="009A006E">
        <w:rPr>
          <w:rFonts w:ascii="Arial" w:hAnsi="Arial" w:cs="Arial"/>
          <w:lang w:val="fr-FR"/>
        </w:rPr>
        <w:t xml:space="preserve"> par différents donateurs sont complémentaires ni si les participants ont des possibilités suffisantes d</w:t>
      </w:r>
      <w:r w:rsidR="00536DD9" w:rsidRPr="009A006E">
        <w:rPr>
          <w:rFonts w:ascii="Arial" w:hAnsi="Arial" w:cs="Arial"/>
          <w:lang w:val="fr-FR"/>
        </w:rPr>
        <w:t>’</w:t>
      </w:r>
      <w:r w:rsidR="00D36116" w:rsidRPr="009A006E">
        <w:rPr>
          <w:rFonts w:ascii="Arial" w:hAnsi="Arial" w:cs="Arial"/>
          <w:lang w:val="fr-FR"/>
        </w:rPr>
        <w:t xml:space="preserve">acquérir </w:t>
      </w:r>
      <w:r w:rsidR="00E93F93" w:rsidRPr="009A006E">
        <w:rPr>
          <w:rFonts w:ascii="Arial" w:hAnsi="Arial" w:cs="Arial"/>
          <w:lang w:val="fr-FR"/>
        </w:rPr>
        <w:t>l</w:t>
      </w:r>
      <w:r w:rsidR="00536DD9" w:rsidRPr="009A006E">
        <w:rPr>
          <w:rFonts w:ascii="Arial" w:hAnsi="Arial" w:cs="Arial"/>
          <w:lang w:val="fr-FR"/>
        </w:rPr>
        <w:t>’</w:t>
      </w:r>
      <w:r w:rsidR="00E93F93" w:rsidRPr="009A006E">
        <w:rPr>
          <w:rFonts w:ascii="Arial" w:hAnsi="Arial" w:cs="Arial"/>
          <w:lang w:val="fr-FR"/>
        </w:rPr>
        <w:t>ensemble d</w:t>
      </w:r>
      <w:r w:rsidR="00D36116" w:rsidRPr="009A006E">
        <w:rPr>
          <w:rFonts w:ascii="Arial" w:hAnsi="Arial" w:cs="Arial"/>
          <w:lang w:val="fr-FR"/>
        </w:rPr>
        <w:t>es compétences requises</w:t>
      </w:r>
      <w:r w:rsidR="00C622E8">
        <w:rPr>
          <w:rFonts w:ascii="Arial" w:hAnsi="Arial" w:cs="Arial"/>
          <w:lang w:val="fr-FR"/>
        </w:rPr>
        <w:t>;</w:t>
      </w:r>
    </w:p>
    <w:p w:rsidR="00C622E8" w:rsidRPr="009A006E" w:rsidRDefault="00C622E8" w:rsidP="00BA78EF">
      <w:pPr>
        <w:pStyle w:val="ListParagraph"/>
        <w:spacing w:line="240" w:lineRule="auto"/>
        <w:ind w:left="1134"/>
        <w:rPr>
          <w:rFonts w:ascii="Arial" w:hAnsi="Arial" w:cs="Arial"/>
          <w:lang w:val="fr-FR"/>
        </w:rPr>
      </w:pPr>
    </w:p>
    <w:p w:rsidR="00600B9A" w:rsidRPr="009A006E" w:rsidRDefault="00D46A88"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lastRenderedPageBreak/>
        <w:t>i</w:t>
      </w:r>
      <w:r w:rsidR="00600B9A" w:rsidRPr="009A006E">
        <w:rPr>
          <w:rFonts w:ascii="Arial" w:hAnsi="Arial" w:cs="Arial"/>
          <w:lang w:val="fr-FR"/>
        </w:rPr>
        <w:t>l n</w:t>
      </w:r>
      <w:r w:rsidR="00536DD9" w:rsidRPr="009A006E">
        <w:rPr>
          <w:rFonts w:ascii="Arial" w:hAnsi="Arial" w:cs="Arial"/>
          <w:lang w:val="fr-FR"/>
        </w:rPr>
        <w:t>’</w:t>
      </w:r>
      <w:r w:rsidR="00600B9A" w:rsidRPr="009A006E">
        <w:rPr>
          <w:rFonts w:ascii="Arial" w:hAnsi="Arial" w:cs="Arial"/>
          <w:lang w:val="fr-FR"/>
        </w:rPr>
        <w:t>y a pas de suivi systématique de la participation (tant de la part des donateurs que des bénéficiaires)</w:t>
      </w:r>
      <w:r w:rsidR="00536DD9" w:rsidRPr="009A006E">
        <w:rPr>
          <w:rFonts w:ascii="Arial" w:hAnsi="Arial" w:cs="Arial"/>
          <w:lang w:val="fr-FR"/>
        </w:rPr>
        <w:t>;</w:t>
      </w:r>
      <w:r w:rsidR="00600B9A" w:rsidRPr="009A006E">
        <w:rPr>
          <w:rFonts w:ascii="Arial" w:hAnsi="Arial" w:cs="Arial"/>
          <w:lang w:val="fr-FR"/>
        </w:rPr>
        <w:t xml:space="preserve"> </w:t>
      </w:r>
      <w:r w:rsidR="00F1470D" w:rsidRPr="009A006E">
        <w:rPr>
          <w:rFonts w:ascii="Arial" w:hAnsi="Arial" w:cs="Arial"/>
          <w:lang w:val="fr-FR"/>
        </w:rPr>
        <w:t xml:space="preserve"> </w:t>
      </w:r>
      <w:r w:rsidR="00600B9A" w:rsidRPr="009A006E">
        <w:rPr>
          <w:rFonts w:ascii="Arial" w:hAnsi="Arial" w:cs="Arial"/>
          <w:lang w:val="fr-FR"/>
        </w:rPr>
        <w:t>et, de même, l</w:t>
      </w:r>
      <w:r w:rsidR="00536DD9" w:rsidRPr="009A006E">
        <w:rPr>
          <w:rFonts w:ascii="Arial" w:hAnsi="Arial" w:cs="Arial"/>
          <w:lang w:val="fr-FR"/>
        </w:rPr>
        <w:t>’</w:t>
      </w:r>
      <w:r w:rsidR="00600B9A" w:rsidRPr="009A006E">
        <w:rPr>
          <w:rFonts w:ascii="Arial" w:hAnsi="Arial" w:cs="Arial"/>
          <w:lang w:val="fr-FR"/>
        </w:rPr>
        <w:t xml:space="preserve">évaluation de la participation ou des acquis est </w:t>
      </w:r>
      <w:r w:rsidR="00E93F93" w:rsidRPr="009A006E">
        <w:rPr>
          <w:rFonts w:ascii="Arial" w:hAnsi="Arial" w:cs="Arial"/>
          <w:lang w:val="fr-FR"/>
        </w:rPr>
        <w:t>insuffisante</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D36116" w:rsidRPr="009A006E" w:rsidRDefault="00D46A88"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possibilités de formation sont utilisées de manière inefficace, du fait essentiellement</w:t>
      </w:r>
      <w:r w:rsidR="00536DD9" w:rsidRPr="009A006E">
        <w:rPr>
          <w:rFonts w:ascii="Arial" w:hAnsi="Arial" w:cs="Arial"/>
          <w:lang w:val="fr-FR"/>
        </w:rPr>
        <w:t> :</w:t>
      </w:r>
    </w:p>
    <w:p w:rsidR="00D46A88" w:rsidRPr="009A006E" w:rsidRDefault="00D46A88" w:rsidP="00BA78EF">
      <w:pPr>
        <w:pStyle w:val="ListParagraph"/>
        <w:numPr>
          <w:ilvl w:val="0"/>
          <w:numId w:val="15"/>
        </w:numPr>
        <w:spacing w:line="240" w:lineRule="auto"/>
        <w:ind w:left="1701" w:hanging="567"/>
        <w:rPr>
          <w:rFonts w:ascii="Arial" w:hAnsi="Arial" w:cs="Arial"/>
          <w:lang w:val="fr-FR"/>
        </w:rPr>
      </w:pPr>
      <w:r w:rsidRPr="009A006E">
        <w:rPr>
          <w:rFonts w:ascii="Arial" w:hAnsi="Arial" w:cs="Arial"/>
          <w:lang w:val="fr-FR"/>
        </w:rPr>
        <w:t xml:space="preserve">que certains examinateurs participent plusieurs fois à </w:t>
      </w:r>
      <w:r w:rsidR="005E690F" w:rsidRPr="009A006E">
        <w:rPr>
          <w:rFonts w:ascii="Arial" w:hAnsi="Arial" w:cs="Arial"/>
          <w:lang w:val="fr-FR"/>
        </w:rPr>
        <w:t>des</w:t>
      </w:r>
      <w:r w:rsidRPr="009A006E">
        <w:rPr>
          <w:rFonts w:ascii="Arial" w:hAnsi="Arial" w:cs="Arial"/>
          <w:lang w:val="fr-FR"/>
        </w:rPr>
        <w:t xml:space="preserve"> formation</w:t>
      </w:r>
      <w:r w:rsidR="005E690F" w:rsidRPr="009A006E">
        <w:rPr>
          <w:rFonts w:ascii="Arial" w:hAnsi="Arial" w:cs="Arial"/>
          <w:lang w:val="fr-FR"/>
        </w:rPr>
        <w:t>s identiques</w:t>
      </w:r>
      <w:r w:rsidR="00536DD9" w:rsidRPr="009A006E">
        <w:rPr>
          <w:rFonts w:ascii="Arial" w:hAnsi="Arial" w:cs="Arial"/>
          <w:lang w:val="fr-FR"/>
        </w:rPr>
        <w:t>;</w:t>
      </w:r>
    </w:p>
    <w:p w:rsidR="00D46A88" w:rsidRPr="009A006E" w:rsidRDefault="00D46A88" w:rsidP="00BA78EF">
      <w:pPr>
        <w:pStyle w:val="ListParagraph"/>
        <w:numPr>
          <w:ilvl w:val="0"/>
          <w:numId w:val="15"/>
        </w:numPr>
        <w:spacing w:line="240" w:lineRule="auto"/>
        <w:ind w:left="1701" w:hanging="567"/>
        <w:rPr>
          <w:rFonts w:ascii="Arial" w:hAnsi="Arial" w:cs="Arial"/>
          <w:lang w:val="fr-FR"/>
        </w:rPr>
      </w:pPr>
      <w:r w:rsidRPr="009A006E">
        <w:rPr>
          <w:rFonts w:ascii="Arial" w:hAnsi="Arial" w:cs="Arial"/>
          <w:lang w:val="fr-FR"/>
        </w:rPr>
        <w:t>qu</w:t>
      </w:r>
      <w:r w:rsidR="00536DD9" w:rsidRPr="009A006E">
        <w:rPr>
          <w:rFonts w:ascii="Arial" w:hAnsi="Arial" w:cs="Arial"/>
          <w:lang w:val="fr-FR"/>
        </w:rPr>
        <w:t>’</w:t>
      </w:r>
      <w:r w:rsidRPr="009A006E">
        <w:rPr>
          <w:rFonts w:ascii="Arial" w:hAnsi="Arial" w:cs="Arial"/>
          <w:lang w:val="fr-FR"/>
        </w:rPr>
        <w:t>il n</w:t>
      </w:r>
      <w:r w:rsidR="00536DD9" w:rsidRPr="009A006E">
        <w:rPr>
          <w:rFonts w:ascii="Arial" w:hAnsi="Arial" w:cs="Arial"/>
          <w:lang w:val="fr-FR"/>
        </w:rPr>
        <w:t>’</w:t>
      </w:r>
      <w:r w:rsidRPr="009A006E">
        <w:rPr>
          <w:rFonts w:ascii="Arial" w:hAnsi="Arial" w:cs="Arial"/>
          <w:lang w:val="fr-FR"/>
        </w:rPr>
        <w:t xml:space="preserve">est pas défini de conditions préalables à la participation aux formations, notamment pour les formations </w:t>
      </w:r>
      <w:r w:rsidR="005E690F" w:rsidRPr="009A006E">
        <w:rPr>
          <w:rFonts w:ascii="Arial" w:hAnsi="Arial" w:cs="Arial"/>
          <w:lang w:val="fr-FR"/>
        </w:rPr>
        <w:t xml:space="preserve">de niveau </w:t>
      </w:r>
      <w:r w:rsidRPr="009A006E">
        <w:rPr>
          <w:rFonts w:ascii="Arial" w:hAnsi="Arial" w:cs="Arial"/>
          <w:lang w:val="fr-FR"/>
        </w:rPr>
        <w:t>avancé;</w:t>
      </w:r>
    </w:p>
    <w:p w:rsidR="00D46A88" w:rsidRPr="009A006E" w:rsidRDefault="00D46A88" w:rsidP="00BA78EF">
      <w:pPr>
        <w:pStyle w:val="ListParagraph"/>
        <w:numPr>
          <w:ilvl w:val="0"/>
          <w:numId w:val="15"/>
        </w:numPr>
        <w:spacing w:line="240" w:lineRule="auto"/>
        <w:ind w:left="1701" w:hanging="567"/>
        <w:rPr>
          <w:rFonts w:ascii="Arial" w:hAnsi="Arial" w:cs="Arial"/>
          <w:lang w:val="fr-FR"/>
        </w:rPr>
      </w:pPr>
      <w:r w:rsidRPr="009A006E">
        <w:rPr>
          <w:rFonts w:ascii="Arial" w:hAnsi="Arial" w:cs="Arial"/>
          <w:lang w:val="fr-FR"/>
        </w:rPr>
        <w:t>que l</w:t>
      </w:r>
      <w:r w:rsidR="00536DD9" w:rsidRPr="009A006E">
        <w:rPr>
          <w:rFonts w:ascii="Arial" w:hAnsi="Arial" w:cs="Arial"/>
          <w:lang w:val="fr-FR"/>
        </w:rPr>
        <w:t>’</w:t>
      </w:r>
      <w:r w:rsidRPr="009A006E">
        <w:rPr>
          <w:rFonts w:ascii="Arial" w:hAnsi="Arial" w:cs="Arial"/>
          <w:lang w:val="fr-FR"/>
        </w:rPr>
        <w:t>on ne vérifie pas si les participants remplissent ces conditions</w:t>
      </w:r>
      <w:r w:rsidR="00536DD9" w:rsidRPr="009A006E">
        <w:rPr>
          <w:rFonts w:ascii="Arial" w:hAnsi="Arial" w:cs="Arial"/>
          <w:lang w:val="fr-FR"/>
        </w:rPr>
        <w:t>;</w:t>
      </w:r>
    </w:p>
    <w:p w:rsidR="00D46A88" w:rsidRPr="009A006E" w:rsidRDefault="00D46A88" w:rsidP="00BA78EF">
      <w:pPr>
        <w:pStyle w:val="ListParagraph"/>
        <w:numPr>
          <w:ilvl w:val="0"/>
          <w:numId w:val="15"/>
        </w:numPr>
        <w:spacing w:line="240" w:lineRule="auto"/>
        <w:ind w:left="1701" w:hanging="567"/>
        <w:rPr>
          <w:rFonts w:ascii="Arial" w:hAnsi="Arial" w:cs="Arial"/>
          <w:lang w:val="fr-FR"/>
        </w:rPr>
      </w:pPr>
      <w:r w:rsidRPr="009A006E">
        <w:rPr>
          <w:rFonts w:ascii="Arial" w:hAnsi="Arial" w:cs="Arial"/>
          <w:lang w:val="fr-FR"/>
        </w:rPr>
        <w:t>que l</w:t>
      </w:r>
      <w:r w:rsidR="00536DD9" w:rsidRPr="009A006E">
        <w:rPr>
          <w:rFonts w:ascii="Arial" w:hAnsi="Arial" w:cs="Arial"/>
          <w:lang w:val="fr-FR"/>
        </w:rPr>
        <w:t>’</w:t>
      </w:r>
      <w:r w:rsidRPr="009A006E">
        <w:rPr>
          <w:rFonts w:ascii="Arial" w:hAnsi="Arial" w:cs="Arial"/>
          <w:lang w:val="fr-FR"/>
        </w:rPr>
        <w:t xml:space="preserve">on </w:t>
      </w:r>
      <w:r w:rsidR="00E13A4A" w:rsidRPr="009A006E">
        <w:rPr>
          <w:rFonts w:ascii="Arial" w:hAnsi="Arial" w:cs="Arial"/>
          <w:lang w:val="fr-FR"/>
        </w:rPr>
        <w:t>n</w:t>
      </w:r>
      <w:r w:rsidR="00536DD9" w:rsidRPr="009A006E">
        <w:rPr>
          <w:rFonts w:ascii="Arial" w:hAnsi="Arial" w:cs="Arial"/>
          <w:lang w:val="fr-FR"/>
        </w:rPr>
        <w:t>’</w:t>
      </w:r>
      <w:r w:rsidRPr="009A006E">
        <w:rPr>
          <w:rFonts w:ascii="Arial" w:hAnsi="Arial" w:cs="Arial"/>
          <w:lang w:val="fr-FR"/>
        </w:rPr>
        <w:t xml:space="preserve">évalue pas ou </w:t>
      </w:r>
      <w:r w:rsidR="005E690F" w:rsidRPr="009A006E">
        <w:rPr>
          <w:rFonts w:ascii="Arial" w:hAnsi="Arial" w:cs="Arial"/>
          <w:lang w:val="fr-FR"/>
        </w:rPr>
        <w:t>rarement</w:t>
      </w:r>
      <w:r w:rsidRPr="009A006E">
        <w:rPr>
          <w:rFonts w:ascii="Arial" w:hAnsi="Arial" w:cs="Arial"/>
          <w:lang w:val="fr-FR"/>
        </w:rPr>
        <w:t xml:space="preserve"> leurs connaissances préalables</w:t>
      </w:r>
      <w:r w:rsidR="00536DD9" w:rsidRPr="009A006E">
        <w:rPr>
          <w:rFonts w:ascii="Arial" w:hAnsi="Arial" w:cs="Arial"/>
          <w:lang w:val="fr-FR"/>
        </w:rPr>
        <w:t>;</w:t>
      </w:r>
    </w:p>
    <w:p w:rsidR="00536DD9" w:rsidRPr="009A006E" w:rsidRDefault="00E13A4A" w:rsidP="00BA78EF">
      <w:pPr>
        <w:pStyle w:val="ListParagraph"/>
        <w:numPr>
          <w:ilvl w:val="0"/>
          <w:numId w:val="15"/>
        </w:numPr>
        <w:spacing w:line="240" w:lineRule="auto"/>
        <w:ind w:left="1701" w:hanging="567"/>
        <w:rPr>
          <w:rFonts w:ascii="Arial" w:hAnsi="Arial" w:cs="Arial"/>
          <w:lang w:val="fr-FR"/>
        </w:rPr>
      </w:pPr>
      <w:r w:rsidRPr="009A006E">
        <w:rPr>
          <w:rFonts w:ascii="Arial" w:hAnsi="Arial" w:cs="Arial"/>
          <w:lang w:val="fr-FR"/>
        </w:rPr>
        <w:t>que les compétences apportées par la formation ne sont pas utiles eu égard à la description du poste.</w:t>
      </w:r>
    </w:p>
    <w:p w:rsidR="000B7B49" w:rsidRPr="009A006E" w:rsidRDefault="00536DD9" w:rsidP="00BA78EF">
      <w:pPr>
        <w:pStyle w:val="Heading2"/>
        <w:rPr>
          <w:lang w:val="fr-FR"/>
        </w:rPr>
      </w:pPr>
      <w:r w:rsidRPr="009A006E">
        <w:rPr>
          <w:lang w:val="fr-FR"/>
        </w:rPr>
        <w:t>Objectifs d’amélioration de la coordination</w:t>
      </w:r>
    </w:p>
    <w:p w:rsidR="00536DD9" w:rsidRPr="009A006E" w:rsidRDefault="00536DD9" w:rsidP="00BA78EF">
      <w:pPr>
        <w:rPr>
          <w:lang w:val="fr-FR"/>
        </w:rPr>
      </w:pPr>
    </w:p>
    <w:p w:rsidR="00A357C0" w:rsidRPr="009A006E" w:rsidRDefault="00A357C0" w:rsidP="00BA78EF">
      <w:pPr>
        <w:pStyle w:val="ONUMFS"/>
        <w:rPr>
          <w:lang w:val="fr-FR"/>
        </w:rPr>
      </w:pPr>
      <w:r w:rsidRPr="009A006E">
        <w:rPr>
          <w:lang w:val="fr-FR"/>
        </w:rPr>
        <w:t>Compte tenu des lacunes mentionnées, les objectifs en vue d</w:t>
      </w:r>
      <w:r w:rsidR="00536DD9" w:rsidRPr="009A006E">
        <w:rPr>
          <w:lang w:val="fr-FR"/>
        </w:rPr>
        <w:t>’</w:t>
      </w:r>
      <w:r w:rsidRPr="009A006E">
        <w:rPr>
          <w:lang w:val="fr-FR"/>
        </w:rPr>
        <w:t>améliorer la coordination et la gestion de la formation des examinateurs de brevets seraient les suivants</w:t>
      </w:r>
      <w:r w:rsidR="00536DD9" w:rsidRPr="009A006E">
        <w:rPr>
          <w:lang w:val="fr-FR"/>
        </w:rPr>
        <w:t> :</w:t>
      </w:r>
    </w:p>
    <w:p w:rsidR="00A357C0" w:rsidRPr="009A006E" w:rsidRDefault="00AF5509"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f</w:t>
      </w:r>
      <w:r w:rsidR="00A357C0" w:rsidRPr="009A006E">
        <w:rPr>
          <w:rFonts w:ascii="Arial" w:hAnsi="Arial" w:cs="Arial"/>
          <w:lang w:val="fr-FR"/>
        </w:rPr>
        <w:t>aire en sorte que les examinateurs de brevets puissent acquérir les compétences nécessaires eu égard à leur description de poste</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A357C0" w:rsidRPr="009A006E" w:rsidRDefault="00AF5509"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f</w:t>
      </w:r>
      <w:r w:rsidR="00A357C0" w:rsidRPr="009A006E">
        <w:rPr>
          <w:rFonts w:ascii="Arial" w:hAnsi="Arial" w:cs="Arial"/>
          <w:lang w:val="fr-FR"/>
        </w:rPr>
        <w:t>aire correspondre l</w:t>
      </w:r>
      <w:r w:rsidR="00536DD9" w:rsidRPr="009A006E">
        <w:rPr>
          <w:rFonts w:ascii="Arial" w:hAnsi="Arial" w:cs="Arial"/>
          <w:lang w:val="fr-FR"/>
        </w:rPr>
        <w:t>’</w:t>
      </w:r>
      <w:r w:rsidR="00A357C0" w:rsidRPr="009A006E">
        <w:rPr>
          <w:rFonts w:ascii="Arial" w:hAnsi="Arial" w:cs="Arial"/>
          <w:lang w:val="fr-FR"/>
        </w:rPr>
        <w:t xml:space="preserve">offre </w:t>
      </w:r>
      <w:r w:rsidRPr="009A006E">
        <w:rPr>
          <w:rFonts w:ascii="Arial" w:hAnsi="Arial" w:cs="Arial"/>
          <w:lang w:val="fr-FR"/>
        </w:rPr>
        <w:t xml:space="preserve">des offices donateurs </w:t>
      </w:r>
      <w:r w:rsidR="00A357C0" w:rsidRPr="009A006E">
        <w:rPr>
          <w:rFonts w:ascii="Arial" w:hAnsi="Arial" w:cs="Arial"/>
          <w:lang w:val="fr-FR"/>
        </w:rPr>
        <w:t>et la demande</w:t>
      </w:r>
      <w:r w:rsidRPr="009A006E">
        <w:rPr>
          <w:rFonts w:ascii="Arial" w:hAnsi="Arial" w:cs="Arial"/>
          <w:lang w:val="fr-FR"/>
        </w:rPr>
        <w:t xml:space="preserve"> en matière de formation individuelle ou institutionnelle</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AF5509" w:rsidRPr="009A006E" w:rsidRDefault="00AF5509"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organiser le suivi de la participation aux formations et l</w:t>
      </w:r>
      <w:r w:rsidR="00536DD9" w:rsidRPr="009A006E">
        <w:rPr>
          <w:rFonts w:ascii="Arial" w:hAnsi="Arial" w:cs="Arial"/>
          <w:lang w:val="fr-FR"/>
        </w:rPr>
        <w:t>’</w:t>
      </w:r>
      <w:r w:rsidRPr="009A006E">
        <w:rPr>
          <w:rFonts w:ascii="Arial" w:hAnsi="Arial" w:cs="Arial"/>
          <w:lang w:val="fr-FR"/>
        </w:rPr>
        <w:t xml:space="preserve">évaluation des compétences </w:t>
      </w:r>
      <w:r w:rsidR="005E690F" w:rsidRPr="009A006E">
        <w:rPr>
          <w:rFonts w:ascii="Arial" w:hAnsi="Arial" w:cs="Arial"/>
          <w:lang w:val="fr-FR"/>
        </w:rPr>
        <w:t xml:space="preserve">ou connaissances </w:t>
      </w:r>
      <w:r w:rsidRPr="009A006E">
        <w:rPr>
          <w:rFonts w:ascii="Arial" w:hAnsi="Arial" w:cs="Arial"/>
          <w:lang w:val="fr-FR"/>
        </w:rPr>
        <w:t>acquises par chaque examinateur</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5B4E61" w:rsidRPr="009A006E" w:rsidRDefault="005B4E61"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exploiter efficacement les possibilités de formation</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5B4E61" w:rsidRPr="009A006E" w:rsidRDefault="005B4E61"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mettre en place un suivi et une évaluation détaillés des collaborations entre bénéficiaires et donateurs en termes de formation (au</w:t>
      </w:r>
      <w:r w:rsidR="00C622E8">
        <w:rPr>
          <w:rFonts w:ascii="Arial" w:hAnsi="Arial" w:cs="Arial"/>
          <w:lang w:val="fr-FR"/>
        </w:rPr>
        <w:noBreakHyphen/>
      </w:r>
      <w:r w:rsidRPr="009A006E">
        <w:rPr>
          <w:rFonts w:ascii="Arial" w:hAnsi="Arial" w:cs="Arial"/>
          <w:lang w:val="fr-FR"/>
        </w:rPr>
        <w:t>delà d</w:t>
      </w:r>
      <w:r w:rsidR="00536DD9" w:rsidRPr="009A006E">
        <w:rPr>
          <w:rFonts w:ascii="Arial" w:hAnsi="Arial" w:cs="Arial"/>
          <w:lang w:val="fr-FR"/>
        </w:rPr>
        <w:t>’</w:t>
      </w:r>
      <w:r w:rsidRPr="009A006E">
        <w:rPr>
          <w:rFonts w:ascii="Arial" w:hAnsi="Arial" w:cs="Arial"/>
          <w:lang w:val="fr-FR"/>
        </w:rPr>
        <w:t>un simple comptage des activités et des participants).</w:t>
      </w:r>
    </w:p>
    <w:p w:rsidR="000B7B49" w:rsidRPr="009A006E" w:rsidRDefault="000B7B49" w:rsidP="00BA78EF">
      <w:pPr>
        <w:pStyle w:val="Heading2"/>
        <w:rPr>
          <w:lang w:val="fr-FR"/>
        </w:rPr>
      </w:pPr>
      <w:r w:rsidRPr="009A006E">
        <w:rPr>
          <w:lang w:val="fr-FR"/>
        </w:rPr>
        <w:t>U</w:t>
      </w:r>
      <w:r w:rsidR="005B4E61" w:rsidRPr="009A006E">
        <w:rPr>
          <w:lang w:val="fr-FR"/>
        </w:rPr>
        <w:t>tilisation de cadres de compétences</w:t>
      </w:r>
    </w:p>
    <w:p w:rsidR="00536DD9" w:rsidRPr="009A006E" w:rsidRDefault="00536DD9" w:rsidP="00BA78EF">
      <w:pPr>
        <w:rPr>
          <w:lang w:val="fr-FR"/>
        </w:rPr>
      </w:pPr>
    </w:p>
    <w:p w:rsidR="005B4E61" w:rsidRPr="009A006E" w:rsidRDefault="005B4E61" w:rsidP="00BA78EF">
      <w:pPr>
        <w:pStyle w:val="ONUMFS"/>
        <w:rPr>
          <w:rFonts w:eastAsia="Times New Roman"/>
          <w:lang w:val="fr-FR" w:eastAsia="en-US"/>
        </w:rPr>
      </w:pPr>
      <w:bookmarkStart w:id="5" w:name="_Ref478478031"/>
      <w:r w:rsidRPr="009A006E">
        <w:rPr>
          <w:rFonts w:eastAsia="Times New Roman"/>
          <w:lang w:val="fr-FR" w:eastAsia="en-US"/>
        </w:rPr>
        <w:t>Il est d</w:t>
      </w:r>
      <w:r w:rsidR="00536DD9" w:rsidRPr="009A006E">
        <w:rPr>
          <w:rFonts w:eastAsia="Times New Roman"/>
          <w:lang w:val="fr-FR" w:eastAsia="en-US"/>
        </w:rPr>
        <w:t>’</w:t>
      </w:r>
      <w:r w:rsidRPr="009A006E">
        <w:rPr>
          <w:rFonts w:eastAsia="Times New Roman"/>
          <w:lang w:val="fr-FR" w:eastAsia="en-US"/>
        </w:rPr>
        <w:t>usage désormais que la formation des professionnels, le bilan et l</w:t>
      </w:r>
      <w:r w:rsidR="00536DD9" w:rsidRPr="009A006E">
        <w:rPr>
          <w:rFonts w:eastAsia="Times New Roman"/>
          <w:lang w:val="fr-FR" w:eastAsia="en-US"/>
        </w:rPr>
        <w:t>’</w:t>
      </w:r>
      <w:r w:rsidRPr="009A006E">
        <w:rPr>
          <w:rFonts w:eastAsia="Times New Roman"/>
          <w:lang w:val="fr-FR" w:eastAsia="en-US"/>
        </w:rPr>
        <w:t>évaluation des performances reposent sur des modèles de compétenc</w:t>
      </w:r>
      <w:r w:rsidR="00C93934" w:rsidRPr="009A006E">
        <w:rPr>
          <w:rFonts w:eastAsia="Times New Roman"/>
          <w:lang w:val="fr-FR" w:eastAsia="en-US"/>
        </w:rPr>
        <w:t>es.  Ai</w:t>
      </w:r>
      <w:r w:rsidR="005E690F" w:rsidRPr="009A006E">
        <w:rPr>
          <w:rFonts w:eastAsia="Times New Roman"/>
          <w:lang w:val="fr-FR" w:eastAsia="en-US"/>
        </w:rPr>
        <w:t>nsi, l</w:t>
      </w:r>
      <w:r w:rsidR="00536DD9" w:rsidRPr="009A006E">
        <w:rPr>
          <w:rFonts w:eastAsia="Times New Roman"/>
          <w:lang w:val="fr-FR" w:eastAsia="en-US"/>
        </w:rPr>
        <w:t>’</w:t>
      </w:r>
      <w:r w:rsidR="00EC5B61" w:rsidRPr="009A006E">
        <w:rPr>
          <w:rFonts w:eastAsia="Times New Roman"/>
          <w:lang w:val="fr-FR" w:eastAsia="en-US"/>
        </w:rPr>
        <w:t>utilisat</w:t>
      </w:r>
      <w:r w:rsidRPr="009A006E">
        <w:rPr>
          <w:rFonts w:eastAsia="Times New Roman"/>
          <w:lang w:val="fr-FR" w:eastAsia="en-US"/>
        </w:rPr>
        <w:t>ion systématique d</w:t>
      </w:r>
      <w:r w:rsidR="00536DD9" w:rsidRPr="009A006E">
        <w:rPr>
          <w:rFonts w:eastAsia="Times New Roman"/>
          <w:lang w:val="fr-FR" w:eastAsia="en-US"/>
        </w:rPr>
        <w:t>’</w:t>
      </w:r>
      <w:r w:rsidRPr="009A006E">
        <w:rPr>
          <w:rFonts w:eastAsia="Times New Roman"/>
          <w:lang w:val="fr-FR" w:eastAsia="en-US"/>
        </w:rPr>
        <w:t>un cadre générique de compétences techniques par les bénéficiaires et les donateurs const</w:t>
      </w:r>
      <w:r w:rsidR="00EC5B61" w:rsidRPr="009A006E">
        <w:rPr>
          <w:rFonts w:eastAsia="Times New Roman"/>
          <w:lang w:val="fr-FR" w:eastAsia="en-US"/>
        </w:rPr>
        <w:t>ituerait un bon moyen d</w:t>
      </w:r>
      <w:r w:rsidR="00536DD9" w:rsidRPr="009A006E">
        <w:rPr>
          <w:rFonts w:eastAsia="Times New Roman"/>
          <w:lang w:val="fr-FR" w:eastAsia="en-US"/>
        </w:rPr>
        <w:t>’</w:t>
      </w:r>
      <w:r w:rsidR="00EC5B61" w:rsidRPr="009A006E">
        <w:rPr>
          <w:rFonts w:eastAsia="Times New Roman"/>
          <w:lang w:val="fr-FR" w:eastAsia="en-US"/>
        </w:rPr>
        <w:t>atteindre</w:t>
      </w:r>
      <w:r w:rsidRPr="009A006E">
        <w:rPr>
          <w:rFonts w:eastAsia="Times New Roman"/>
          <w:lang w:val="fr-FR" w:eastAsia="en-US"/>
        </w:rPr>
        <w:t xml:space="preserve"> </w:t>
      </w:r>
      <w:r w:rsidR="00EC5B61" w:rsidRPr="009A006E">
        <w:rPr>
          <w:rFonts w:eastAsia="Times New Roman"/>
          <w:lang w:val="fr-FR" w:eastAsia="en-US"/>
        </w:rPr>
        <w:t>les objectifs susmentionn</w:t>
      </w:r>
      <w:r w:rsidR="00C93934" w:rsidRPr="009A006E">
        <w:rPr>
          <w:rFonts w:eastAsia="Times New Roman"/>
          <w:lang w:val="fr-FR" w:eastAsia="en-US"/>
        </w:rPr>
        <w:t>és.  Il</w:t>
      </w:r>
      <w:r w:rsidR="00EC5B61" w:rsidRPr="009A006E">
        <w:rPr>
          <w:rFonts w:eastAsia="Times New Roman"/>
          <w:lang w:val="fr-FR" w:eastAsia="en-US"/>
        </w:rPr>
        <w:t xml:space="preserve"> faudrait que ce cadre soit suffisamment complet et détaillé pour que</w:t>
      </w:r>
      <w:r w:rsidR="00536DD9" w:rsidRPr="009A006E">
        <w:rPr>
          <w:rFonts w:eastAsia="Times New Roman"/>
          <w:lang w:val="fr-FR" w:eastAsia="en-US"/>
        </w:rPr>
        <w:t> :</w:t>
      </w:r>
    </w:p>
    <w:bookmarkEnd w:id="5"/>
    <w:p w:rsidR="00EC5B61" w:rsidRPr="009A006E" w:rsidRDefault="00EC5B61"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offices puissent définir des modèles de compétences individuels adaptés à la description de poste des examinateurs, et la politique de l</w:t>
      </w:r>
      <w:r w:rsidR="00536DD9" w:rsidRPr="009A006E">
        <w:rPr>
          <w:rFonts w:ascii="Arial" w:hAnsi="Arial" w:cs="Arial"/>
          <w:lang w:val="fr-FR"/>
        </w:rPr>
        <w:t>’</w:t>
      </w:r>
      <w:r w:rsidRPr="009A006E">
        <w:rPr>
          <w:rFonts w:ascii="Arial" w:hAnsi="Arial" w:cs="Arial"/>
          <w:lang w:val="fr-FR"/>
        </w:rPr>
        <w:t>office en matière d</w:t>
      </w:r>
      <w:r w:rsidR="00536DD9" w:rsidRPr="009A006E">
        <w:rPr>
          <w:rFonts w:ascii="Arial" w:hAnsi="Arial" w:cs="Arial"/>
          <w:lang w:val="fr-FR"/>
        </w:rPr>
        <w:t>’</w:t>
      </w:r>
      <w:r w:rsidRPr="009A006E">
        <w:rPr>
          <w:rFonts w:ascii="Arial" w:hAnsi="Arial" w:cs="Arial"/>
          <w:lang w:val="fr-FR"/>
        </w:rPr>
        <w:t>examen en choisissant les compétences appropriées dans un cadre générique</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EC5B61" w:rsidRPr="009A006E" w:rsidRDefault="00EC5B61"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 xml:space="preserve">les offices puissent communiquer les besoins (individuels ou institutionnels) de formation aux donateurs en termes de compétences spécifiques afin </w:t>
      </w:r>
      <w:r w:rsidR="005E690F" w:rsidRPr="009A006E">
        <w:rPr>
          <w:rFonts w:ascii="Arial" w:hAnsi="Arial" w:cs="Arial"/>
          <w:lang w:val="fr-FR"/>
        </w:rPr>
        <w:t>de permettre à</w:t>
      </w:r>
      <w:r w:rsidRPr="009A006E">
        <w:rPr>
          <w:rFonts w:ascii="Arial" w:hAnsi="Arial" w:cs="Arial"/>
          <w:lang w:val="fr-FR"/>
        </w:rPr>
        <w:t xml:space="preserve"> ces derniers </w:t>
      </w:r>
      <w:r w:rsidR="005E690F" w:rsidRPr="009A006E">
        <w:rPr>
          <w:rFonts w:ascii="Arial" w:hAnsi="Arial" w:cs="Arial"/>
          <w:lang w:val="fr-FR"/>
        </w:rPr>
        <w:t>de</w:t>
      </w:r>
      <w:r w:rsidRPr="009A006E">
        <w:rPr>
          <w:rFonts w:ascii="Arial" w:hAnsi="Arial" w:cs="Arial"/>
          <w:lang w:val="fr-FR"/>
        </w:rPr>
        <w:t xml:space="preserve"> répondre à la demande de façon plus précise</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EC5B61" w:rsidRPr="009A006E" w:rsidRDefault="00EC5B61"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donateurs puissent décrire le contenu de leurs formations et définir les conditions préalables à la participation en termes de compétences</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EC5B61" w:rsidRPr="009A006E" w:rsidRDefault="005319B5"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responsables de l</w:t>
      </w:r>
      <w:r w:rsidR="00536DD9" w:rsidRPr="009A006E">
        <w:rPr>
          <w:rFonts w:ascii="Arial" w:hAnsi="Arial" w:cs="Arial"/>
          <w:lang w:val="fr-FR"/>
        </w:rPr>
        <w:t>’</w:t>
      </w:r>
      <w:r w:rsidRPr="009A006E">
        <w:rPr>
          <w:rFonts w:ascii="Arial" w:hAnsi="Arial" w:cs="Arial"/>
          <w:lang w:val="fr-FR"/>
        </w:rPr>
        <w:t>administration ou de la gestion des formations puissent évaluer et consigner le niveau de connaissances préalables des participants et repérer leurs lacunes éventuelles</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5319B5" w:rsidRPr="009A006E" w:rsidRDefault="005319B5"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responsables de l</w:t>
      </w:r>
      <w:r w:rsidR="00536DD9" w:rsidRPr="009A006E">
        <w:rPr>
          <w:rFonts w:ascii="Arial" w:hAnsi="Arial" w:cs="Arial"/>
          <w:lang w:val="fr-FR"/>
        </w:rPr>
        <w:t>’</w:t>
      </w:r>
      <w:r w:rsidRPr="009A006E">
        <w:rPr>
          <w:rFonts w:ascii="Arial" w:hAnsi="Arial" w:cs="Arial"/>
          <w:lang w:val="fr-FR"/>
        </w:rPr>
        <w:t xml:space="preserve">administration ou de la gestion des formations puissent suivre et évaluer les compétences acquises par </w:t>
      </w:r>
      <w:r w:rsidR="005E690F" w:rsidRPr="009A006E">
        <w:rPr>
          <w:rFonts w:ascii="Arial" w:hAnsi="Arial" w:cs="Arial"/>
          <w:lang w:val="fr-FR"/>
        </w:rPr>
        <w:t>chaque</w:t>
      </w:r>
      <w:r w:rsidRPr="009A006E">
        <w:rPr>
          <w:rFonts w:ascii="Arial" w:hAnsi="Arial" w:cs="Arial"/>
          <w:lang w:val="fr-FR"/>
        </w:rPr>
        <w:t xml:space="preserve"> examinateur à la suite de leur participation à une formation</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5319B5" w:rsidRPr="009A006E" w:rsidRDefault="005319B5"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responsables de l</w:t>
      </w:r>
      <w:r w:rsidR="00536DD9" w:rsidRPr="009A006E">
        <w:rPr>
          <w:rFonts w:ascii="Arial" w:hAnsi="Arial" w:cs="Arial"/>
          <w:lang w:val="fr-FR"/>
        </w:rPr>
        <w:t>’</w:t>
      </w:r>
      <w:r w:rsidRPr="009A006E">
        <w:rPr>
          <w:rFonts w:ascii="Arial" w:hAnsi="Arial" w:cs="Arial"/>
          <w:lang w:val="fr-FR"/>
        </w:rPr>
        <w:t>organisation ou de l</w:t>
      </w:r>
      <w:r w:rsidR="00536DD9" w:rsidRPr="009A006E">
        <w:rPr>
          <w:rFonts w:ascii="Arial" w:hAnsi="Arial" w:cs="Arial"/>
          <w:lang w:val="fr-FR"/>
        </w:rPr>
        <w:t>’</w:t>
      </w:r>
      <w:r w:rsidRPr="009A006E">
        <w:rPr>
          <w:rFonts w:ascii="Arial" w:hAnsi="Arial" w:cs="Arial"/>
          <w:lang w:val="fr-FR"/>
        </w:rPr>
        <w:t xml:space="preserve">administration des formations </w:t>
      </w:r>
      <w:r w:rsidR="005E690F" w:rsidRPr="009A006E">
        <w:rPr>
          <w:rFonts w:ascii="Arial" w:hAnsi="Arial" w:cs="Arial"/>
          <w:lang w:val="fr-FR"/>
        </w:rPr>
        <w:t>puissent proposer</w:t>
      </w:r>
      <w:r w:rsidRPr="009A006E">
        <w:rPr>
          <w:rFonts w:ascii="Arial" w:hAnsi="Arial" w:cs="Arial"/>
          <w:lang w:val="fr-FR"/>
        </w:rPr>
        <w:t xml:space="preserve"> des formations plus efficacement en tenant compte des connaissances préalables des candidats à une formation et de leurs lacunes, mais également du contenu des formations et des conditions préalables à remplir pour participer à telle ou telle formation</w:t>
      </w:r>
      <w:r w:rsidR="00536DD9" w:rsidRPr="009A006E">
        <w:rPr>
          <w:rFonts w:ascii="Arial" w:hAnsi="Arial" w:cs="Arial"/>
          <w:lang w:val="fr-FR"/>
        </w:rPr>
        <w:t>;</w:t>
      </w:r>
    </w:p>
    <w:p w:rsidR="00536DD9" w:rsidRPr="009A006E" w:rsidRDefault="00536DD9" w:rsidP="00BA78EF">
      <w:pPr>
        <w:pStyle w:val="ListParagraph"/>
        <w:spacing w:line="240" w:lineRule="auto"/>
        <w:ind w:left="1134"/>
        <w:rPr>
          <w:rFonts w:ascii="Arial" w:hAnsi="Arial" w:cs="Arial"/>
          <w:lang w:val="fr-FR"/>
        </w:rPr>
      </w:pPr>
    </w:p>
    <w:p w:rsidR="005319B5" w:rsidRPr="009A006E" w:rsidRDefault="00116733"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les besoins tant des</w:t>
      </w:r>
      <w:r w:rsidR="005319B5" w:rsidRPr="009A006E">
        <w:rPr>
          <w:rFonts w:ascii="Arial" w:hAnsi="Arial" w:cs="Arial"/>
          <w:lang w:val="fr-FR"/>
        </w:rPr>
        <w:t xml:space="preserve"> offices qui organisent régulièrement des examens </w:t>
      </w:r>
      <w:r w:rsidRPr="009A006E">
        <w:rPr>
          <w:rFonts w:ascii="Arial" w:hAnsi="Arial" w:cs="Arial"/>
          <w:lang w:val="fr-FR"/>
        </w:rPr>
        <w:t xml:space="preserve">de brevets </w:t>
      </w:r>
      <w:r w:rsidR="005319B5" w:rsidRPr="009A006E">
        <w:rPr>
          <w:rFonts w:ascii="Arial" w:hAnsi="Arial" w:cs="Arial"/>
          <w:lang w:val="fr-FR"/>
        </w:rPr>
        <w:t xml:space="preserve">quant au fond </w:t>
      </w:r>
      <w:r w:rsidRPr="009A006E">
        <w:rPr>
          <w:rFonts w:ascii="Arial" w:hAnsi="Arial" w:cs="Arial"/>
          <w:lang w:val="fr-FR"/>
        </w:rPr>
        <w:t>sans aide extérieure que de ceux</w:t>
      </w:r>
      <w:r w:rsidR="005319B5" w:rsidRPr="009A006E">
        <w:rPr>
          <w:rFonts w:ascii="Arial" w:hAnsi="Arial" w:cs="Arial"/>
          <w:lang w:val="fr-FR"/>
        </w:rPr>
        <w:t xml:space="preserve"> disposant de capacités limitées en matière d</w:t>
      </w:r>
      <w:r w:rsidR="00536DD9" w:rsidRPr="009A006E">
        <w:rPr>
          <w:rFonts w:ascii="Arial" w:hAnsi="Arial" w:cs="Arial"/>
          <w:lang w:val="fr-FR"/>
        </w:rPr>
        <w:t>’</w:t>
      </w:r>
      <w:r w:rsidR="005319B5" w:rsidRPr="009A006E">
        <w:rPr>
          <w:rFonts w:ascii="Arial" w:hAnsi="Arial" w:cs="Arial"/>
          <w:lang w:val="fr-FR"/>
        </w:rPr>
        <w:t>examen</w:t>
      </w:r>
      <w:r w:rsidRPr="009A006E">
        <w:rPr>
          <w:rFonts w:ascii="Arial" w:hAnsi="Arial" w:cs="Arial"/>
          <w:lang w:val="fr-FR"/>
        </w:rPr>
        <w:t xml:space="preserve"> puissent être satisfaits</w:t>
      </w:r>
      <w:r w:rsidR="005319B5" w:rsidRPr="009A006E">
        <w:rPr>
          <w:rFonts w:ascii="Arial" w:hAnsi="Arial" w:cs="Arial"/>
          <w:lang w:val="fr-FR"/>
        </w:rPr>
        <w:t>.</w:t>
      </w:r>
    </w:p>
    <w:p w:rsidR="00536DD9" w:rsidRPr="009A006E" w:rsidRDefault="00536DD9" w:rsidP="00BA78EF">
      <w:pPr>
        <w:rPr>
          <w:lang w:val="fr-FR"/>
        </w:rPr>
      </w:pPr>
    </w:p>
    <w:p w:rsidR="0056146B" w:rsidRPr="009A006E" w:rsidRDefault="0056146B" w:rsidP="00BA78EF">
      <w:pPr>
        <w:pStyle w:val="ONUMFS"/>
        <w:rPr>
          <w:lang w:val="fr-FR" w:eastAsia="en-US"/>
        </w:rPr>
      </w:pPr>
      <w:r w:rsidRPr="009A006E">
        <w:rPr>
          <w:lang w:val="fr-FR" w:eastAsia="en-US"/>
        </w:rPr>
        <w:t>Les modèles de compétences de ce type, adaptés aux besoins d</w:t>
      </w:r>
      <w:r w:rsidR="00536DD9" w:rsidRPr="009A006E">
        <w:rPr>
          <w:lang w:val="fr-FR" w:eastAsia="en-US"/>
        </w:rPr>
        <w:t>’</w:t>
      </w:r>
      <w:r w:rsidR="004548AE" w:rsidRPr="009A006E">
        <w:rPr>
          <w:lang w:val="fr-FR" w:eastAsia="en-US"/>
        </w:rPr>
        <w:t>un</w:t>
      </w:r>
      <w:r w:rsidRPr="009A006E">
        <w:rPr>
          <w:lang w:val="fr-FR" w:eastAsia="en-US"/>
        </w:rPr>
        <w:t xml:space="preserve"> examinateur</w:t>
      </w:r>
      <w:r w:rsidR="004548AE" w:rsidRPr="009A006E">
        <w:rPr>
          <w:lang w:val="fr-FR" w:eastAsia="en-US"/>
        </w:rPr>
        <w:t xml:space="preserve"> en particulier</w:t>
      </w:r>
      <w:r w:rsidRPr="009A006E">
        <w:rPr>
          <w:lang w:val="fr-FR" w:eastAsia="en-US"/>
        </w:rPr>
        <w:t xml:space="preserve"> ou de groupes d</w:t>
      </w:r>
      <w:r w:rsidR="00536DD9" w:rsidRPr="009A006E">
        <w:rPr>
          <w:lang w:val="fr-FR" w:eastAsia="en-US"/>
        </w:rPr>
        <w:t>’</w:t>
      </w:r>
      <w:r w:rsidRPr="009A006E">
        <w:rPr>
          <w:lang w:val="fr-FR" w:eastAsia="en-US"/>
        </w:rPr>
        <w:t>examinateurs ainsi qu</w:t>
      </w:r>
      <w:r w:rsidR="00536DD9" w:rsidRPr="009A006E">
        <w:rPr>
          <w:lang w:val="fr-FR" w:eastAsia="en-US"/>
        </w:rPr>
        <w:t>’</w:t>
      </w:r>
      <w:r w:rsidRPr="009A006E">
        <w:rPr>
          <w:lang w:val="fr-FR" w:eastAsia="en-US"/>
        </w:rPr>
        <w:t>aux capacités de l</w:t>
      </w:r>
      <w:r w:rsidR="00536DD9" w:rsidRPr="009A006E">
        <w:rPr>
          <w:lang w:val="fr-FR" w:eastAsia="en-US"/>
        </w:rPr>
        <w:t>’</w:t>
      </w:r>
      <w:r w:rsidRPr="009A006E">
        <w:rPr>
          <w:lang w:val="fr-FR" w:eastAsia="en-US"/>
        </w:rPr>
        <w:t xml:space="preserve">office concerné </w:t>
      </w:r>
      <w:r w:rsidR="004548AE" w:rsidRPr="009A006E">
        <w:rPr>
          <w:lang w:val="fr-FR" w:eastAsia="en-US"/>
        </w:rPr>
        <w:t>servirait</w:t>
      </w:r>
      <w:r w:rsidRPr="009A006E">
        <w:rPr>
          <w:lang w:val="fr-FR" w:eastAsia="en-US"/>
        </w:rPr>
        <w:t xml:space="preserve"> alors </w:t>
      </w:r>
      <w:r w:rsidR="004548AE" w:rsidRPr="009A006E">
        <w:rPr>
          <w:lang w:val="fr-FR" w:eastAsia="en-US"/>
        </w:rPr>
        <w:t>de base à la planification et à</w:t>
      </w:r>
      <w:r w:rsidRPr="009A006E">
        <w:rPr>
          <w:lang w:val="fr-FR" w:eastAsia="en-US"/>
        </w:rPr>
        <w:t xml:space="preserve"> la coordination de la formation des examinateu</w:t>
      </w:r>
      <w:r w:rsidR="00C93934" w:rsidRPr="009A006E">
        <w:rPr>
          <w:lang w:val="fr-FR" w:eastAsia="en-US"/>
        </w:rPr>
        <w:t>rs.  Un</w:t>
      </w:r>
      <w:r w:rsidRPr="009A006E">
        <w:rPr>
          <w:lang w:val="fr-FR" w:eastAsia="en-US"/>
        </w:rPr>
        <w:t xml:space="preserve"> office pourrait </w:t>
      </w:r>
      <w:r w:rsidR="00F1470D" w:rsidRPr="009A006E">
        <w:rPr>
          <w:lang w:val="fr-FR" w:eastAsia="en-US"/>
        </w:rPr>
        <w:t>“</w:t>
      </w:r>
      <w:r w:rsidRPr="009A006E">
        <w:rPr>
          <w:lang w:val="fr-FR" w:eastAsia="en-US"/>
        </w:rPr>
        <w:t>gérer</w:t>
      </w:r>
      <w:r w:rsidR="00F1470D" w:rsidRPr="009A006E">
        <w:rPr>
          <w:lang w:val="fr-FR" w:eastAsia="en-US"/>
        </w:rPr>
        <w:t>”</w:t>
      </w:r>
      <w:r w:rsidRPr="009A006E">
        <w:rPr>
          <w:lang w:val="fr-FR" w:eastAsia="en-US"/>
        </w:rPr>
        <w:t xml:space="preserve"> ses besoins en matière de formation, par exemple, en demandant une aide spécifique dans ce domaine, soit lui</w:t>
      </w:r>
      <w:r w:rsidR="00C622E8">
        <w:rPr>
          <w:lang w:val="fr-FR" w:eastAsia="en-US"/>
        </w:rPr>
        <w:noBreakHyphen/>
      </w:r>
      <w:r w:rsidRPr="009A006E">
        <w:rPr>
          <w:lang w:val="fr-FR" w:eastAsia="en-US"/>
        </w:rPr>
        <w:t xml:space="preserve">même soit </w:t>
      </w:r>
      <w:r w:rsidR="00F1470D" w:rsidRPr="009A006E">
        <w:rPr>
          <w:lang w:val="fr-FR" w:eastAsia="en-US"/>
        </w:rPr>
        <w:t>“</w:t>
      </w:r>
      <w:r w:rsidRPr="009A006E">
        <w:rPr>
          <w:lang w:val="fr-FR" w:eastAsia="en-US"/>
        </w:rPr>
        <w:t>par l</w:t>
      </w:r>
      <w:r w:rsidR="00536DD9" w:rsidRPr="009A006E">
        <w:rPr>
          <w:lang w:val="fr-FR" w:eastAsia="en-US"/>
        </w:rPr>
        <w:t>’</w:t>
      </w:r>
      <w:r w:rsidRPr="009A006E">
        <w:rPr>
          <w:lang w:val="fr-FR" w:eastAsia="en-US"/>
        </w:rPr>
        <w:t>intermédiaire</w:t>
      </w:r>
      <w:r w:rsidR="00F1470D" w:rsidRPr="009A006E">
        <w:rPr>
          <w:lang w:val="fr-FR" w:eastAsia="en-US"/>
        </w:rPr>
        <w:t>”</w:t>
      </w:r>
      <w:r w:rsidRPr="009A006E">
        <w:rPr>
          <w:lang w:val="fr-FR" w:eastAsia="en-US"/>
        </w:rPr>
        <w:t xml:space="preserve"> d</w:t>
      </w:r>
      <w:r w:rsidR="00536DD9" w:rsidRPr="009A006E">
        <w:rPr>
          <w:lang w:val="fr-FR" w:eastAsia="en-US"/>
        </w:rPr>
        <w:t>’</w:t>
      </w:r>
      <w:r w:rsidRPr="009A006E">
        <w:rPr>
          <w:lang w:val="fr-FR" w:eastAsia="en-US"/>
        </w:rPr>
        <w:t>une autre organisation, telle que le Bureau internation</w:t>
      </w:r>
      <w:r w:rsidR="00C93934" w:rsidRPr="009A006E">
        <w:rPr>
          <w:lang w:val="fr-FR" w:eastAsia="en-US"/>
        </w:rPr>
        <w:t>al.  On</w:t>
      </w:r>
      <w:r w:rsidRPr="009A006E">
        <w:rPr>
          <w:lang w:val="fr-FR" w:eastAsia="en-US"/>
        </w:rPr>
        <w:t xml:space="preserve"> s</w:t>
      </w:r>
      <w:r w:rsidR="00536DD9" w:rsidRPr="009A006E">
        <w:rPr>
          <w:lang w:val="fr-FR" w:eastAsia="en-US"/>
        </w:rPr>
        <w:t>’</w:t>
      </w:r>
      <w:r w:rsidRPr="009A006E">
        <w:rPr>
          <w:lang w:val="fr-FR" w:eastAsia="en-US"/>
        </w:rPr>
        <w:t>apercevrait ainsi que les petits offices ayant des capacités limitées en matière de gestion des ressources humaines ont besoin d</w:t>
      </w:r>
      <w:r w:rsidR="00536DD9" w:rsidRPr="009A006E">
        <w:rPr>
          <w:lang w:val="fr-FR" w:eastAsia="en-US"/>
        </w:rPr>
        <w:t>’</w:t>
      </w:r>
      <w:r w:rsidRPr="009A006E">
        <w:rPr>
          <w:lang w:val="fr-FR" w:eastAsia="en-US"/>
        </w:rPr>
        <w:t>une aide externe pour gérer la formation de leurs examinateurs.</w:t>
      </w:r>
    </w:p>
    <w:p w:rsidR="00FD0461" w:rsidRPr="009A006E" w:rsidRDefault="00FD0461" w:rsidP="00BA78EF">
      <w:pPr>
        <w:pStyle w:val="ONUMFS"/>
        <w:rPr>
          <w:lang w:val="fr-FR" w:eastAsia="en-US"/>
        </w:rPr>
      </w:pPr>
      <w:r w:rsidRPr="009A006E">
        <w:rPr>
          <w:lang w:val="fr-FR" w:eastAsia="en-US"/>
        </w:rPr>
        <w:t xml:space="preserve">Il est en outre à noter que le Bureau international serait en mesure de fournir plus de précisions, notamment en ce qui concerne les formations </w:t>
      </w:r>
      <w:r w:rsidR="004548AE" w:rsidRPr="009A006E">
        <w:rPr>
          <w:lang w:val="fr-FR" w:eastAsia="en-US"/>
        </w:rPr>
        <w:t>de niveau avancé</w:t>
      </w:r>
      <w:r w:rsidRPr="009A006E">
        <w:rPr>
          <w:lang w:val="fr-FR" w:eastAsia="en-US"/>
        </w:rPr>
        <w:t xml:space="preserve"> des examinateurs, dans ses rapports annuels sur les activités de formation des offices donateurs ou bénéficiaires dont les </w:t>
      </w:r>
      <w:r w:rsidR="00D4697A" w:rsidRPr="009A006E">
        <w:rPr>
          <w:lang w:val="fr-FR" w:eastAsia="en-US"/>
        </w:rPr>
        <w:t>É</w:t>
      </w:r>
      <w:r w:rsidRPr="009A006E">
        <w:rPr>
          <w:lang w:val="fr-FR" w:eastAsia="en-US"/>
        </w:rPr>
        <w:t xml:space="preserve">tats membres lui </w:t>
      </w:r>
      <w:r w:rsidR="004548AE" w:rsidRPr="009A006E">
        <w:rPr>
          <w:lang w:val="fr-FR" w:eastAsia="en-US"/>
        </w:rPr>
        <w:t>o</w:t>
      </w:r>
      <w:r w:rsidRPr="009A006E">
        <w:rPr>
          <w:lang w:val="fr-FR" w:eastAsia="en-US"/>
        </w:rPr>
        <w:t>nt confié l</w:t>
      </w:r>
      <w:r w:rsidR="00536DD9" w:rsidRPr="009A006E">
        <w:rPr>
          <w:lang w:val="fr-FR" w:eastAsia="en-US"/>
        </w:rPr>
        <w:t>’</w:t>
      </w:r>
      <w:r w:rsidRPr="009A006E">
        <w:rPr>
          <w:lang w:val="fr-FR" w:eastAsia="en-US"/>
        </w:rPr>
        <w:t xml:space="preserve">élaboration (voir le document PCT/WG/10/7), </w:t>
      </w:r>
      <w:r w:rsidR="008708F5" w:rsidRPr="009A006E">
        <w:rPr>
          <w:lang w:val="fr-FR" w:eastAsia="en-US"/>
        </w:rPr>
        <w:t>si les donateurs utilisaient le cadre générique de compétences pour décrire le contenu de leurs formations.</w:t>
      </w:r>
    </w:p>
    <w:p w:rsidR="000B7B49" w:rsidRPr="009A006E" w:rsidRDefault="000B7B49" w:rsidP="00BA78EF">
      <w:pPr>
        <w:pStyle w:val="Heading2"/>
        <w:rPr>
          <w:lang w:val="fr-FR"/>
        </w:rPr>
      </w:pPr>
      <w:r w:rsidRPr="009A006E">
        <w:rPr>
          <w:lang w:val="fr-FR"/>
        </w:rPr>
        <w:t>Facilitati</w:t>
      </w:r>
      <w:r w:rsidR="00D079A6" w:rsidRPr="009A006E">
        <w:rPr>
          <w:lang w:val="fr-FR"/>
        </w:rPr>
        <w:t xml:space="preserve">on de la </w:t>
      </w:r>
      <w:r w:rsidR="00536DD9" w:rsidRPr="009A006E">
        <w:rPr>
          <w:lang w:val="fr-FR"/>
        </w:rPr>
        <w:t>c</w:t>
      </w:r>
      <w:r w:rsidRPr="009A006E">
        <w:rPr>
          <w:lang w:val="fr-FR"/>
        </w:rPr>
        <w:t xml:space="preserve">oordination </w:t>
      </w:r>
      <w:r w:rsidR="00D079A6" w:rsidRPr="009A006E">
        <w:rPr>
          <w:lang w:val="fr-FR"/>
        </w:rPr>
        <w:t>grâce au système de gestion de la formation</w:t>
      </w:r>
    </w:p>
    <w:p w:rsidR="00536DD9" w:rsidRPr="009A006E" w:rsidRDefault="00536DD9" w:rsidP="00BA78EF">
      <w:pPr>
        <w:rPr>
          <w:lang w:val="fr-FR"/>
        </w:rPr>
      </w:pPr>
    </w:p>
    <w:p w:rsidR="00D079A6" w:rsidRPr="009A006E" w:rsidRDefault="00761EBB" w:rsidP="00BA78EF">
      <w:pPr>
        <w:pStyle w:val="ONUMFS"/>
        <w:rPr>
          <w:lang w:val="fr-FR"/>
        </w:rPr>
      </w:pPr>
      <w:bookmarkStart w:id="6" w:name="_Ref478478288"/>
      <w:r w:rsidRPr="009A006E">
        <w:rPr>
          <w:lang w:val="fr-FR"/>
        </w:rPr>
        <w:t>I</w:t>
      </w:r>
      <w:r w:rsidR="00D079A6" w:rsidRPr="009A006E">
        <w:rPr>
          <w:lang w:val="fr-FR"/>
        </w:rPr>
        <w:t xml:space="preserve">l est </w:t>
      </w:r>
      <w:r w:rsidR="004548AE" w:rsidRPr="009A006E">
        <w:rPr>
          <w:lang w:val="fr-FR"/>
        </w:rPr>
        <w:t>d</w:t>
      </w:r>
      <w:r w:rsidR="00536DD9" w:rsidRPr="009A006E">
        <w:rPr>
          <w:lang w:val="fr-FR"/>
        </w:rPr>
        <w:t>’</w:t>
      </w:r>
      <w:r w:rsidR="004548AE" w:rsidRPr="009A006E">
        <w:rPr>
          <w:lang w:val="fr-FR"/>
        </w:rPr>
        <w:t xml:space="preserve">usage </w:t>
      </w:r>
      <w:r w:rsidRPr="009A006E">
        <w:rPr>
          <w:lang w:val="fr-FR"/>
        </w:rPr>
        <w:t xml:space="preserve">désormais </w:t>
      </w:r>
      <w:r w:rsidR="00D079A6" w:rsidRPr="009A006E">
        <w:rPr>
          <w:lang w:val="fr-FR"/>
        </w:rPr>
        <w:t>d</w:t>
      </w:r>
      <w:r w:rsidR="00536DD9" w:rsidRPr="009A006E">
        <w:rPr>
          <w:lang w:val="fr-FR"/>
        </w:rPr>
        <w:t>’</w:t>
      </w:r>
      <w:r w:rsidR="00D079A6" w:rsidRPr="009A006E">
        <w:rPr>
          <w:lang w:val="fr-FR"/>
        </w:rPr>
        <w:t xml:space="preserve">organiser et de dispenser </w:t>
      </w:r>
      <w:r w:rsidRPr="009A006E">
        <w:rPr>
          <w:lang w:val="fr-FR"/>
        </w:rPr>
        <w:t>des</w:t>
      </w:r>
      <w:r w:rsidR="00D079A6" w:rsidRPr="009A006E">
        <w:rPr>
          <w:lang w:val="fr-FR"/>
        </w:rPr>
        <w:t xml:space="preserve"> formation</w:t>
      </w:r>
      <w:r w:rsidRPr="009A006E">
        <w:rPr>
          <w:lang w:val="fr-FR"/>
        </w:rPr>
        <w:t>s</w:t>
      </w:r>
      <w:r w:rsidR="00D079A6" w:rsidRPr="009A006E">
        <w:rPr>
          <w:lang w:val="fr-FR"/>
        </w:rPr>
        <w:t xml:space="preserve"> et de mesurer les progrès réalisés </w:t>
      </w:r>
      <w:r w:rsidR="004548AE" w:rsidRPr="009A006E">
        <w:rPr>
          <w:lang w:val="fr-FR"/>
        </w:rPr>
        <w:t xml:space="preserve">sur le plan de la formation </w:t>
      </w:r>
      <w:r w:rsidR="00D079A6" w:rsidRPr="009A006E">
        <w:rPr>
          <w:lang w:val="fr-FR"/>
        </w:rPr>
        <w:t>au moyen d</w:t>
      </w:r>
      <w:r w:rsidR="00536DD9" w:rsidRPr="009A006E">
        <w:rPr>
          <w:lang w:val="fr-FR"/>
        </w:rPr>
        <w:t>’</w:t>
      </w:r>
      <w:r w:rsidR="00D079A6" w:rsidRPr="009A006E">
        <w:rPr>
          <w:lang w:val="fr-FR"/>
        </w:rPr>
        <w:t>un système de gestion de la formati</w:t>
      </w:r>
      <w:r w:rsidR="00C93934" w:rsidRPr="009A006E">
        <w:rPr>
          <w:lang w:val="fr-FR"/>
        </w:rPr>
        <w:t>on.  L’é</w:t>
      </w:r>
      <w:r w:rsidR="004548AE" w:rsidRPr="009A006E">
        <w:rPr>
          <w:lang w:val="fr-FR"/>
        </w:rPr>
        <w:t>laboration et l</w:t>
      </w:r>
      <w:r w:rsidR="00536DD9" w:rsidRPr="009A006E">
        <w:rPr>
          <w:lang w:val="fr-FR"/>
        </w:rPr>
        <w:t>’</w:t>
      </w:r>
      <w:r w:rsidRPr="009A006E">
        <w:rPr>
          <w:lang w:val="fr-FR"/>
        </w:rPr>
        <w:t>utilisation d</w:t>
      </w:r>
      <w:r w:rsidR="00536DD9" w:rsidRPr="009A006E">
        <w:rPr>
          <w:lang w:val="fr-FR"/>
        </w:rPr>
        <w:t>’</w:t>
      </w:r>
      <w:r w:rsidRPr="009A006E">
        <w:rPr>
          <w:lang w:val="fr-FR"/>
        </w:rPr>
        <w:t>un système de gestion de la formation qui s</w:t>
      </w:r>
      <w:r w:rsidR="00536DD9" w:rsidRPr="009A006E">
        <w:rPr>
          <w:lang w:val="fr-FR"/>
        </w:rPr>
        <w:t>’</w:t>
      </w:r>
      <w:r w:rsidRPr="009A006E">
        <w:rPr>
          <w:lang w:val="fr-FR"/>
        </w:rPr>
        <w:t>appuierait sur des modèles de compétences individuels ainsi que s</w:t>
      </w:r>
      <w:r w:rsidR="004548AE" w:rsidRPr="009A006E">
        <w:rPr>
          <w:lang w:val="fr-FR"/>
        </w:rPr>
        <w:t>ur des méthodes d</w:t>
      </w:r>
      <w:r w:rsidR="00536DD9" w:rsidRPr="009A006E">
        <w:rPr>
          <w:lang w:val="fr-FR"/>
        </w:rPr>
        <w:t>’</w:t>
      </w:r>
      <w:r w:rsidR="004548AE" w:rsidRPr="009A006E">
        <w:rPr>
          <w:lang w:val="fr-FR"/>
        </w:rPr>
        <w:t>apprentissage</w:t>
      </w:r>
      <w:r w:rsidRPr="009A006E">
        <w:rPr>
          <w:lang w:val="fr-FR"/>
        </w:rPr>
        <w:t xml:space="preserve"> hybrides (c</w:t>
      </w:r>
      <w:r w:rsidR="00536DD9" w:rsidRPr="009A006E">
        <w:rPr>
          <w:lang w:val="fr-FR"/>
        </w:rPr>
        <w:t>’</w:t>
      </w:r>
      <w:r w:rsidRPr="009A006E">
        <w:rPr>
          <w:lang w:val="fr-FR"/>
        </w:rPr>
        <w:t>est</w:t>
      </w:r>
      <w:r w:rsidR="00C622E8">
        <w:rPr>
          <w:lang w:val="fr-FR"/>
        </w:rPr>
        <w:noBreakHyphen/>
      </w:r>
      <w:r w:rsidRPr="009A006E">
        <w:rPr>
          <w:lang w:val="fr-FR"/>
        </w:rPr>
        <w:t>à</w:t>
      </w:r>
      <w:r w:rsidR="00C622E8">
        <w:rPr>
          <w:lang w:val="fr-FR"/>
        </w:rPr>
        <w:noBreakHyphen/>
      </w:r>
      <w:r w:rsidRPr="009A006E">
        <w:rPr>
          <w:lang w:val="fr-FR"/>
        </w:rPr>
        <w:t>dire divers types et moyens d</w:t>
      </w:r>
      <w:r w:rsidR="00536DD9" w:rsidRPr="009A006E">
        <w:rPr>
          <w:lang w:val="fr-FR"/>
        </w:rPr>
        <w:t>’</w:t>
      </w:r>
      <w:r w:rsidRPr="009A006E">
        <w:rPr>
          <w:lang w:val="fr-FR"/>
        </w:rPr>
        <w:t>apprentissage) faciliterai</w:t>
      </w:r>
      <w:r w:rsidR="00C622E8">
        <w:rPr>
          <w:lang w:val="fr-FR"/>
        </w:rPr>
        <w:t>ent</w:t>
      </w:r>
      <w:r w:rsidRPr="009A006E">
        <w:rPr>
          <w:lang w:val="fr-FR"/>
        </w:rPr>
        <w:t xml:space="preserve"> </w:t>
      </w:r>
      <w:r w:rsidR="004548AE" w:rsidRPr="009A006E">
        <w:rPr>
          <w:lang w:val="fr-FR"/>
        </w:rPr>
        <w:t xml:space="preserve">nettement </w:t>
      </w:r>
      <w:r w:rsidRPr="009A006E">
        <w:rPr>
          <w:lang w:val="fr-FR"/>
        </w:rPr>
        <w:t>la coordination et la gestion de la formati</w:t>
      </w:r>
      <w:r w:rsidR="00C93934" w:rsidRPr="009A006E">
        <w:rPr>
          <w:lang w:val="fr-FR"/>
        </w:rPr>
        <w:t>on.  Au</w:t>
      </w:r>
      <w:r w:rsidRPr="009A006E">
        <w:rPr>
          <w:lang w:val="fr-FR"/>
        </w:rPr>
        <w:t>x fins d</w:t>
      </w:r>
      <w:r w:rsidR="00536DD9" w:rsidRPr="009A006E">
        <w:rPr>
          <w:lang w:val="fr-FR"/>
        </w:rPr>
        <w:t>’</w:t>
      </w:r>
      <w:r w:rsidRPr="009A006E">
        <w:rPr>
          <w:lang w:val="fr-FR"/>
        </w:rPr>
        <w:t>un tel système, il faudrait</w:t>
      </w:r>
      <w:r w:rsidR="00654505" w:rsidRPr="009A006E">
        <w:rPr>
          <w:lang w:val="fr-FR"/>
        </w:rPr>
        <w:t xml:space="preserve"> prendre les mesures essentielles suivantes</w:t>
      </w:r>
      <w:r w:rsidR="00536DD9" w:rsidRPr="009A006E">
        <w:rPr>
          <w:lang w:val="fr-FR"/>
        </w:rPr>
        <w:t> :</w:t>
      </w:r>
    </w:p>
    <w:bookmarkEnd w:id="6"/>
    <w:p w:rsidR="000B7B49" w:rsidRPr="009A006E" w:rsidRDefault="0057122D" w:rsidP="00BA78EF">
      <w:pPr>
        <w:pStyle w:val="ListParagraph"/>
        <w:numPr>
          <w:ilvl w:val="0"/>
          <w:numId w:val="14"/>
        </w:numPr>
        <w:spacing w:line="240" w:lineRule="auto"/>
        <w:ind w:left="1134" w:hanging="567"/>
        <w:rPr>
          <w:rFonts w:ascii="Arial" w:hAnsi="Arial" w:cs="Arial"/>
          <w:u w:val="single"/>
          <w:lang w:val="fr-FR"/>
        </w:rPr>
      </w:pPr>
      <w:r w:rsidRPr="009A006E">
        <w:rPr>
          <w:rFonts w:ascii="Arial" w:hAnsi="Arial" w:cs="Arial"/>
          <w:u w:val="single"/>
          <w:lang w:val="fr-FR"/>
        </w:rPr>
        <w:t>p</w:t>
      </w:r>
      <w:r w:rsidR="00654505" w:rsidRPr="009A006E">
        <w:rPr>
          <w:rFonts w:ascii="Arial" w:hAnsi="Arial" w:cs="Arial"/>
          <w:u w:val="single"/>
          <w:lang w:val="fr-FR"/>
        </w:rPr>
        <w:t>our chaque</w:t>
      </w:r>
      <w:r w:rsidR="000B7B49" w:rsidRPr="009A006E">
        <w:rPr>
          <w:rFonts w:ascii="Arial" w:hAnsi="Arial" w:cs="Arial"/>
          <w:u w:val="single"/>
          <w:lang w:val="fr-FR"/>
        </w:rPr>
        <w:t xml:space="preserve"> examin</w:t>
      </w:r>
      <w:r w:rsidR="00654505" w:rsidRPr="009A006E">
        <w:rPr>
          <w:rFonts w:ascii="Arial" w:hAnsi="Arial" w:cs="Arial"/>
          <w:u w:val="single"/>
          <w:lang w:val="fr-FR"/>
        </w:rPr>
        <w:t>at</w:t>
      </w:r>
      <w:r w:rsidR="000B7B49" w:rsidRPr="009A006E">
        <w:rPr>
          <w:rFonts w:ascii="Arial" w:hAnsi="Arial" w:cs="Arial"/>
          <w:u w:val="single"/>
          <w:lang w:val="fr-FR"/>
        </w:rPr>
        <w:t>e</w:t>
      </w:r>
      <w:r w:rsidR="00654505" w:rsidRPr="009A006E">
        <w:rPr>
          <w:rFonts w:ascii="Arial" w:hAnsi="Arial" w:cs="Arial"/>
          <w:u w:val="single"/>
          <w:lang w:val="fr-FR"/>
        </w:rPr>
        <w:t>u</w:t>
      </w:r>
      <w:r w:rsidR="000B7B49" w:rsidRPr="009A006E">
        <w:rPr>
          <w:rFonts w:ascii="Arial" w:hAnsi="Arial" w:cs="Arial"/>
          <w:u w:val="single"/>
          <w:lang w:val="fr-FR"/>
        </w:rPr>
        <w:t>r</w:t>
      </w:r>
      <w:r w:rsidR="00536DD9" w:rsidRPr="009A006E">
        <w:rPr>
          <w:rFonts w:ascii="Arial" w:hAnsi="Arial" w:cs="Arial"/>
          <w:lang w:val="fr-FR"/>
        </w:rPr>
        <w:t> :</w:t>
      </w:r>
    </w:p>
    <w:p w:rsidR="000B7B49" w:rsidRPr="009A006E" w:rsidRDefault="00654505"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appliquer un modèle</w:t>
      </w:r>
      <w:r w:rsidR="000B7B49" w:rsidRPr="009A006E">
        <w:rPr>
          <w:rFonts w:ascii="Arial" w:hAnsi="Arial" w:cs="Arial"/>
          <w:lang w:val="fr-FR"/>
        </w:rPr>
        <w:t xml:space="preserve"> </w:t>
      </w:r>
      <w:r w:rsidRPr="009A006E">
        <w:rPr>
          <w:rFonts w:ascii="Arial" w:hAnsi="Arial" w:cs="Arial"/>
          <w:lang w:val="fr-FR"/>
        </w:rPr>
        <w:t>de compétence</w:t>
      </w:r>
      <w:r w:rsidR="004548AE" w:rsidRPr="009A006E">
        <w:rPr>
          <w:rFonts w:ascii="Arial" w:hAnsi="Arial" w:cs="Arial"/>
          <w:lang w:val="fr-FR"/>
        </w:rPr>
        <w:t>s</w:t>
      </w:r>
      <w:r w:rsidRPr="009A006E">
        <w:rPr>
          <w:rFonts w:ascii="Arial" w:hAnsi="Arial" w:cs="Arial"/>
          <w:lang w:val="fr-FR"/>
        </w:rPr>
        <w:t xml:space="preserve"> </w:t>
      </w:r>
      <w:r w:rsidR="004548AE" w:rsidRPr="009A006E">
        <w:rPr>
          <w:rFonts w:ascii="Arial" w:hAnsi="Arial" w:cs="Arial"/>
          <w:lang w:val="fr-FR"/>
        </w:rPr>
        <w:t>adapté à l</w:t>
      </w:r>
      <w:r w:rsidR="00536DD9" w:rsidRPr="009A006E">
        <w:rPr>
          <w:rFonts w:ascii="Arial" w:hAnsi="Arial" w:cs="Arial"/>
          <w:lang w:val="fr-FR"/>
        </w:rPr>
        <w:t>’</w:t>
      </w:r>
      <w:r w:rsidR="004548AE" w:rsidRPr="009A006E">
        <w:rPr>
          <w:rFonts w:ascii="Arial" w:hAnsi="Arial" w:cs="Arial"/>
          <w:lang w:val="fr-FR"/>
        </w:rPr>
        <w:t xml:space="preserve">examinateur et consigner les </w:t>
      </w:r>
      <w:r w:rsidRPr="009A006E">
        <w:rPr>
          <w:rFonts w:ascii="Arial" w:hAnsi="Arial" w:cs="Arial"/>
          <w:lang w:val="fr-FR"/>
        </w:rPr>
        <w:t>information</w:t>
      </w:r>
      <w:r w:rsidR="004548AE" w:rsidRPr="009A006E">
        <w:rPr>
          <w:rFonts w:ascii="Arial" w:hAnsi="Arial" w:cs="Arial"/>
          <w:lang w:val="fr-FR"/>
        </w:rPr>
        <w:t>s annexes dans son dossier</w:t>
      </w:r>
      <w:r w:rsidR="000B7B49" w:rsidRPr="009A006E">
        <w:rPr>
          <w:rFonts w:ascii="Arial" w:hAnsi="Arial" w:cs="Arial"/>
          <w:lang w:val="fr-FR"/>
        </w:rPr>
        <w:t>;</w:t>
      </w:r>
    </w:p>
    <w:p w:rsidR="00654505" w:rsidRPr="009A006E" w:rsidRDefault="00654505"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consigner les informations sur les connaissances préalables</w:t>
      </w:r>
      <w:r w:rsidR="004548AE" w:rsidRPr="009A006E">
        <w:rPr>
          <w:rFonts w:ascii="Arial" w:hAnsi="Arial" w:cs="Arial"/>
          <w:lang w:val="fr-FR"/>
        </w:rPr>
        <w:t xml:space="preserve"> du candidat à la formation</w:t>
      </w:r>
      <w:r w:rsidRPr="009A006E">
        <w:rPr>
          <w:rFonts w:ascii="Arial" w:hAnsi="Arial" w:cs="Arial"/>
          <w:lang w:val="fr-FR"/>
        </w:rPr>
        <w:t xml:space="preserve"> en termes de compétences;</w:t>
      </w:r>
    </w:p>
    <w:p w:rsidR="00654505" w:rsidRPr="009A006E" w:rsidRDefault="004548AE"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proposer</w:t>
      </w:r>
      <w:r w:rsidR="00654505" w:rsidRPr="009A006E">
        <w:rPr>
          <w:rFonts w:ascii="Arial" w:hAnsi="Arial" w:cs="Arial"/>
          <w:lang w:val="fr-FR"/>
        </w:rPr>
        <w:t xml:space="preserve"> (par un procédé automatique) des possibilités de formation appropriées</w:t>
      </w:r>
      <w:r w:rsidR="00536DD9" w:rsidRPr="009A006E">
        <w:rPr>
          <w:rFonts w:ascii="Arial" w:hAnsi="Arial" w:cs="Arial"/>
          <w:lang w:val="fr-FR"/>
        </w:rPr>
        <w:t>;</w:t>
      </w:r>
    </w:p>
    <w:p w:rsidR="00654505" w:rsidRPr="009A006E" w:rsidRDefault="00C83BE6"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lastRenderedPageBreak/>
        <w:t>assurer un suivi de la participation à des formations</w:t>
      </w:r>
      <w:r w:rsidR="00536DD9" w:rsidRPr="009A006E">
        <w:rPr>
          <w:rFonts w:ascii="Arial" w:hAnsi="Arial" w:cs="Arial"/>
          <w:lang w:val="fr-FR"/>
        </w:rPr>
        <w:t>;</w:t>
      </w:r>
    </w:p>
    <w:p w:rsidR="00C83BE6" w:rsidRPr="009A006E" w:rsidRDefault="00C83BE6"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procéder à des évaluations des acquis tirés de la formation en termes de compétences et consigner l</w:t>
      </w:r>
      <w:r w:rsidR="00536DD9" w:rsidRPr="009A006E">
        <w:rPr>
          <w:rFonts w:ascii="Arial" w:hAnsi="Arial" w:cs="Arial"/>
          <w:lang w:val="fr-FR"/>
        </w:rPr>
        <w:t>’</w:t>
      </w:r>
      <w:r w:rsidRPr="009A006E">
        <w:rPr>
          <w:rFonts w:ascii="Arial" w:hAnsi="Arial" w:cs="Arial"/>
          <w:lang w:val="fr-FR"/>
        </w:rPr>
        <w:t>information dans un dossier</w:t>
      </w:r>
      <w:r w:rsidR="00536DD9" w:rsidRPr="009A006E">
        <w:rPr>
          <w:rFonts w:ascii="Arial" w:hAnsi="Arial" w:cs="Arial"/>
          <w:lang w:val="fr-FR"/>
        </w:rPr>
        <w:t>;</w:t>
      </w:r>
    </w:p>
    <w:p w:rsidR="00C83BE6" w:rsidRPr="009A006E" w:rsidRDefault="00C83BE6"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rendre compte des progrès de</w:t>
      </w:r>
      <w:r w:rsidR="004548AE" w:rsidRPr="009A006E">
        <w:rPr>
          <w:rFonts w:ascii="Arial" w:hAnsi="Arial" w:cs="Arial"/>
          <w:lang w:val="fr-FR"/>
        </w:rPr>
        <w:t xml:space="preserve"> l</w:t>
      </w:r>
      <w:r w:rsidR="00536DD9" w:rsidRPr="009A006E">
        <w:rPr>
          <w:rFonts w:ascii="Arial" w:hAnsi="Arial" w:cs="Arial"/>
          <w:lang w:val="fr-FR"/>
        </w:rPr>
        <w:t>’</w:t>
      </w:r>
      <w:r w:rsidR="004548AE" w:rsidRPr="009A006E">
        <w:rPr>
          <w:rFonts w:ascii="Arial" w:hAnsi="Arial" w:cs="Arial"/>
          <w:lang w:val="fr-FR"/>
        </w:rPr>
        <w:t>examinateur</w:t>
      </w:r>
      <w:r w:rsidRPr="009A006E">
        <w:rPr>
          <w:rFonts w:ascii="Arial" w:hAnsi="Arial" w:cs="Arial"/>
          <w:lang w:val="fr-FR"/>
        </w:rPr>
        <w:t xml:space="preserve"> dans le domaine de la formation eu égard au modèle de compétence individuel appliqué</w:t>
      </w:r>
      <w:r w:rsidR="00536DD9" w:rsidRPr="009A006E">
        <w:rPr>
          <w:rFonts w:ascii="Arial" w:hAnsi="Arial" w:cs="Arial"/>
          <w:lang w:val="fr-FR"/>
        </w:rPr>
        <w:t>;</w:t>
      </w:r>
    </w:p>
    <w:p w:rsidR="00536DD9" w:rsidRPr="009A006E" w:rsidRDefault="00536DD9" w:rsidP="00BA78EF">
      <w:pPr>
        <w:pStyle w:val="ListParagraph"/>
        <w:spacing w:line="240" w:lineRule="auto"/>
        <w:ind w:left="1701"/>
        <w:rPr>
          <w:rFonts w:ascii="Arial" w:hAnsi="Arial" w:cs="Arial"/>
          <w:lang w:val="fr-FR"/>
        </w:rPr>
      </w:pPr>
    </w:p>
    <w:p w:rsidR="000B7B49" w:rsidRPr="009A006E" w:rsidRDefault="000B7B49" w:rsidP="00BA78EF">
      <w:pPr>
        <w:pStyle w:val="ListParagraph"/>
        <w:numPr>
          <w:ilvl w:val="0"/>
          <w:numId w:val="14"/>
        </w:numPr>
        <w:spacing w:line="240" w:lineRule="auto"/>
        <w:ind w:left="1134" w:hanging="567"/>
        <w:rPr>
          <w:rFonts w:ascii="Arial" w:hAnsi="Arial" w:cs="Arial"/>
          <w:u w:val="single"/>
          <w:lang w:val="fr-FR"/>
        </w:rPr>
      </w:pPr>
      <w:r w:rsidRPr="009A006E">
        <w:rPr>
          <w:rFonts w:ascii="Arial" w:hAnsi="Arial" w:cs="Arial"/>
          <w:u w:val="single"/>
          <w:lang w:val="fr-FR"/>
        </w:rPr>
        <w:t>p</w:t>
      </w:r>
      <w:r w:rsidR="00C83BE6" w:rsidRPr="009A006E">
        <w:rPr>
          <w:rFonts w:ascii="Arial" w:hAnsi="Arial" w:cs="Arial"/>
          <w:u w:val="single"/>
          <w:lang w:val="fr-FR"/>
        </w:rPr>
        <w:t>our chaque activité de formation</w:t>
      </w:r>
      <w:r w:rsidR="00536DD9" w:rsidRPr="009A006E">
        <w:rPr>
          <w:rFonts w:ascii="Arial" w:hAnsi="Arial" w:cs="Arial"/>
          <w:lang w:val="fr-FR"/>
        </w:rPr>
        <w:t> :</w:t>
      </w:r>
    </w:p>
    <w:p w:rsidR="00C83BE6" w:rsidRPr="009A006E" w:rsidRDefault="00C83BE6"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décrire le contenu de la formation (les objectifs en termes d</w:t>
      </w:r>
      <w:r w:rsidR="00536DD9" w:rsidRPr="009A006E">
        <w:rPr>
          <w:rFonts w:ascii="Arial" w:hAnsi="Arial" w:cs="Arial"/>
          <w:lang w:val="fr-FR"/>
        </w:rPr>
        <w:t>’</w:t>
      </w:r>
      <w:r w:rsidRPr="009A006E">
        <w:rPr>
          <w:rFonts w:ascii="Arial" w:hAnsi="Arial" w:cs="Arial"/>
          <w:lang w:val="fr-FR"/>
        </w:rPr>
        <w:t xml:space="preserve">apprentissage) et les conditions </w:t>
      </w:r>
      <w:r w:rsidR="004548AE" w:rsidRPr="009A006E">
        <w:rPr>
          <w:rFonts w:ascii="Arial" w:hAnsi="Arial" w:cs="Arial"/>
          <w:lang w:val="fr-FR"/>
        </w:rPr>
        <w:t>préalables</w:t>
      </w:r>
      <w:r w:rsidR="00F51495" w:rsidRPr="009A006E">
        <w:rPr>
          <w:rFonts w:ascii="Arial" w:hAnsi="Arial" w:cs="Arial"/>
          <w:lang w:val="fr-FR"/>
        </w:rPr>
        <w:t xml:space="preserve"> </w:t>
      </w:r>
      <w:r w:rsidRPr="009A006E">
        <w:rPr>
          <w:rFonts w:ascii="Arial" w:hAnsi="Arial" w:cs="Arial"/>
          <w:lang w:val="fr-FR"/>
        </w:rPr>
        <w:t xml:space="preserve">à remplir </w:t>
      </w:r>
      <w:r w:rsidR="00F51495" w:rsidRPr="009A006E">
        <w:rPr>
          <w:rFonts w:ascii="Arial" w:hAnsi="Arial" w:cs="Arial"/>
          <w:lang w:val="fr-FR"/>
        </w:rPr>
        <w:t>sur le plan</w:t>
      </w:r>
      <w:r w:rsidRPr="009A006E">
        <w:rPr>
          <w:rFonts w:ascii="Arial" w:hAnsi="Arial" w:cs="Arial"/>
          <w:lang w:val="fr-FR"/>
        </w:rPr>
        <w:t xml:space="preserve"> de</w:t>
      </w:r>
      <w:r w:rsidR="00F51495" w:rsidRPr="009A006E">
        <w:rPr>
          <w:rFonts w:ascii="Arial" w:hAnsi="Arial" w:cs="Arial"/>
          <w:lang w:val="fr-FR"/>
        </w:rPr>
        <w:t>s</w:t>
      </w:r>
      <w:r w:rsidRPr="009A006E">
        <w:rPr>
          <w:rFonts w:ascii="Arial" w:hAnsi="Arial" w:cs="Arial"/>
          <w:lang w:val="fr-FR"/>
        </w:rPr>
        <w:t xml:space="preserve"> compétences pour participer à la formation</w:t>
      </w:r>
      <w:r w:rsidR="00536DD9" w:rsidRPr="009A006E">
        <w:rPr>
          <w:rFonts w:ascii="Arial" w:hAnsi="Arial" w:cs="Arial"/>
          <w:lang w:val="fr-FR"/>
        </w:rPr>
        <w:t>;</w:t>
      </w:r>
    </w:p>
    <w:p w:rsidR="00C83BE6" w:rsidRPr="009A006E" w:rsidRDefault="003F38C7"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sélectionner les candidats appropriés (en fonction des besoins et des prérequis)</w:t>
      </w:r>
      <w:r w:rsidR="00A70DEE" w:rsidRPr="009A006E">
        <w:rPr>
          <w:rFonts w:ascii="Arial" w:hAnsi="Arial" w:cs="Arial"/>
          <w:lang w:val="fr-FR"/>
        </w:rPr>
        <w:t xml:space="preserve"> à telle ou telle formation </w:t>
      </w:r>
      <w:r w:rsidR="00F51495" w:rsidRPr="009A006E">
        <w:rPr>
          <w:rFonts w:ascii="Arial" w:hAnsi="Arial" w:cs="Arial"/>
          <w:lang w:val="fr-FR"/>
        </w:rPr>
        <w:t>proposée</w:t>
      </w:r>
      <w:r w:rsidR="00A70DEE" w:rsidRPr="009A006E">
        <w:rPr>
          <w:rFonts w:ascii="Arial" w:hAnsi="Arial" w:cs="Arial"/>
          <w:lang w:val="fr-FR"/>
        </w:rPr>
        <w:t xml:space="preserve"> par un donateur</w:t>
      </w:r>
      <w:r w:rsidR="00536DD9" w:rsidRPr="009A006E">
        <w:rPr>
          <w:rFonts w:ascii="Arial" w:hAnsi="Arial" w:cs="Arial"/>
          <w:lang w:val="fr-FR"/>
        </w:rPr>
        <w:t>;</w:t>
      </w:r>
    </w:p>
    <w:p w:rsidR="00A70DEE" w:rsidRPr="009A006E" w:rsidRDefault="00A70DEE" w:rsidP="00BA78EF">
      <w:pPr>
        <w:pStyle w:val="ListParagraph"/>
        <w:numPr>
          <w:ilvl w:val="0"/>
          <w:numId w:val="16"/>
        </w:numPr>
        <w:spacing w:line="240" w:lineRule="auto"/>
        <w:ind w:left="1701" w:hanging="567"/>
        <w:rPr>
          <w:rFonts w:ascii="Arial" w:hAnsi="Arial" w:cs="Arial"/>
          <w:lang w:val="fr-FR"/>
        </w:rPr>
      </w:pPr>
      <w:r w:rsidRPr="009A006E">
        <w:rPr>
          <w:rFonts w:ascii="Arial" w:hAnsi="Arial" w:cs="Arial"/>
          <w:lang w:val="fr-FR"/>
        </w:rPr>
        <w:t>évaluer les acquis suite à la formation en termes de compétences</w:t>
      </w:r>
      <w:r w:rsidR="00536DD9" w:rsidRPr="009A006E">
        <w:rPr>
          <w:rFonts w:ascii="Arial" w:hAnsi="Arial" w:cs="Arial"/>
          <w:lang w:val="fr-FR"/>
        </w:rPr>
        <w:t>;</w:t>
      </w:r>
    </w:p>
    <w:p w:rsidR="00536DD9" w:rsidRPr="009A006E" w:rsidRDefault="00536DD9" w:rsidP="00BA78EF">
      <w:pPr>
        <w:pStyle w:val="ListParagraph"/>
        <w:spacing w:line="240" w:lineRule="auto"/>
        <w:ind w:left="1701"/>
        <w:rPr>
          <w:rFonts w:ascii="Arial" w:hAnsi="Arial" w:cs="Arial"/>
          <w:lang w:val="fr-FR"/>
        </w:rPr>
      </w:pPr>
    </w:p>
    <w:p w:rsidR="000B7B49" w:rsidRPr="009A006E" w:rsidRDefault="00A70DEE" w:rsidP="00BA78EF">
      <w:pPr>
        <w:pStyle w:val="ListParagraph"/>
        <w:numPr>
          <w:ilvl w:val="0"/>
          <w:numId w:val="14"/>
        </w:numPr>
        <w:spacing w:line="240" w:lineRule="auto"/>
        <w:ind w:left="1134" w:hanging="567"/>
        <w:rPr>
          <w:rFonts w:ascii="Arial" w:hAnsi="Arial" w:cs="Arial"/>
          <w:lang w:val="fr-FR"/>
        </w:rPr>
      </w:pPr>
      <w:r w:rsidRPr="009A006E">
        <w:rPr>
          <w:rFonts w:ascii="Arial" w:hAnsi="Arial" w:cs="Arial"/>
          <w:lang w:val="fr-FR"/>
        </w:rPr>
        <w:t>présenter un compte rendu analytique des différentes statistiques sur les activités de formation susceptibles d</w:t>
      </w:r>
      <w:r w:rsidR="00536DD9" w:rsidRPr="009A006E">
        <w:rPr>
          <w:rFonts w:ascii="Arial" w:hAnsi="Arial" w:cs="Arial"/>
          <w:lang w:val="fr-FR"/>
        </w:rPr>
        <w:t>’</w:t>
      </w:r>
      <w:r w:rsidRPr="009A006E">
        <w:rPr>
          <w:rFonts w:ascii="Arial" w:hAnsi="Arial" w:cs="Arial"/>
          <w:lang w:val="fr-FR"/>
        </w:rPr>
        <w:t>intéresser les offices donateurs et les offices bénéficiaires</w:t>
      </w:r>
      <w:r w:rsidR="000B7B49" w:rsidRPr="009A006E">
        <w:rPr>
          <w:rFonts w:ascii="Arial" w:hAnsi="Arial" w:cs="Arial"/>
          <w:lang w:val="fr-FR"/>
        </w:rPr>
        <w:t>.</w:t>
      </w:r>
    </w:p>
    <w:p w:rsidR="00A70DEE" w:rsidRPr="009A006E" w:rsidRDefault="00A70DEE" w:rsidP="00BA78EF">
      <w:pPr>
        <w:pStyle w:val="ONUMFS"/>
        <w:rPr>
          <w:lang w:val="fr-FR"/>
        </w:rPr>
      </w:pPr>
      <w:r w:rsidRPr="009A006E">
        <w:rPr>
          <w:lang w:val="fr-FR"/>
        </w:rPr>
        <w:t>Éventuellement (et si possible), le système pourrait également prévoir l</w:t>
      </w:r>
      <w:r w:rsidR="00536DD9" w:rsidRPr="009A006E">
        <w:rPr>
          <w:lang w:val="fr-FR"/>
        </w:rPr>
        <w:t>’</w:t>
      </w:r>
      <w:r w:rsidRPr="009A006E">
        <w:rPr>
          <w:lang w:val="fr-FR"/>
        </w:rPr>
        <w:t>élaboration de contenu didactique</w:t>
      </w:r>
      <w:r w:rsidR="00FC7513" w:rsidRPr="009A006E">
        <w:rPr>
          <w:lang w:val="fr-FR"/>
        </w:rPr>
        <w:t xml:space="preserve"> et la fourniture d</w:t>
      </w:r>
      <w:r w:rsidR="00536DD9" w:rsidRPr="009A006E">
        <w:rPr>
          <w:lang w:val="fr-FR"/>
        </w:rPr>
        <w:t>’</w:t>
      </w:r>
      <w:r w:rsidR="00FC7513" w:rsidRPr="009A006E">
        <w:rPr>
          <w:lang w:val="fr-FR"/>
        </w:rPr>
        <w:t>activités de formation à proprement parler, par exemple, des cours d</w:t>
      </w:r>
      <w:r w:rsidR="00536DD9" w:rsidRPr="009A006E">
        <w:rPr>
          <w:lang w:val="fr-FR"/>
        </w:rPr>
        <w:t>’</w:t>
      </w:r>
      <w:r w:rsidR="00FC7513" w:rsidRPr="009A006E">
        <w:rPr>
          <w:lang w:val="fr-FR"/>
        </w:rPr>
        <w:t>enseignement à distance.</w:t>
      </w:r>
    </w:p>
    <w:p w:rsidR="000B7B49" w:rsidRPr="009A006E" w:rsidRDefault="00536DD9" w:rsidP="00BA78EF">
      <w:pPr>
        <w:pStyle w:val="Heading1"/>
        <w:rPr>
          <w:lang w:val="fr-FR"/>
        </w:rPr>
      </w:pPr>
      <w:r w:rsidRPr="009A006E">
        <w:rPr>
          <w:lang w:val="fr-FR"/>
        </w:rPr>
        <w:t>D</w:t>
      </w:r>
      <w:r w:rsidR="00FC7513" w:rsidRPr="009A006E">
        <w:rPr>
          <w:lang w:val="fr-FR"/>
        </w:rPr>
        <w:t>isponibilité de cadres de compétence</w:t>
      </w:r>
      <w:r w:rsidR="000B7B49" w:rsidRPr="009A006E">
        <w:rPr>
          <w:lang w:val="fr-FR"/>
        </w:rPr>
        <w:t>s</w:t>
      </w:r>
    </w:p>
    <w:p w:rsidR="00536DD9" w:rsidRPr="009A006E" w:rsidRDefault="00536DD9" w:rsidP="00BA78EF">
      <w:pPr>
        <w:rPr>
          <w:lang w:val="fr-FR"/>
        </w:rPr>
      </w:pPr>
    </w:p>
    <w:p w:rsidR="00FC7513" w:rsidRPr="009A006E" w:rsidRDefault="00FC7513" w:rsidP="00BA78EF">
      <w:pPr>
        <w:pStyle w:val="ONUMFS"/>
        <w:rPr>
          <w:lang w:val="fr-FR"/>
        </w:rPr>
      </w:pPr>
      <w:bookmarkStart w:id="7" w:name="_Ref478477916"/>
      <w:r w:rsidRPr="009A006E">
        <w:rPr>
          <w:lang w:val="fr-FR"/>
        </w:rPr>
        <w:t>En réponse à la précédente enquête (circulaire C.</w:t>
      </w:r>
      <w:r w:rsidR="00F1470D" w:rsidRPr="009A006E">
        <w:rPr>
          <w:lang w:val="fr-FR"/>
        </w:rPr>
        <w:t> </w:t>
      </w:r>
      <w:r w:rsidR="00C93934" w:rsidRPr="009A006E">
        <w:rPr>
          <w:lang w:val="fr-FR"/>
        </w:rPr>
        <w:t>PCT 1464), 27 </w:t>
      </w:r>
      <w:r w:rsidRPr="009A006E">
        <w:rPr>
          <w:lang w:val="fr-FR"/>
        </w:rPr>
        <w:t>offices avaient indiqué avoir élaboré un modèle de compétences pour la formation de leurs examinateurs chargés de l</w:t>
      </w:r>
      <w:r w:rsidR="00536DD9" w:rsidRPr="009A006E">
        <w:rPr>
          <w:lang w:val="fr-FR"/>
        </w:rPr>
        <w:t>’</w:t>
      </w:r>
      <w:r w:rsidRPr="009A006E">
        <w:rPr>
          <w:lang w:val="fr-FR"/>
        </w:rPr>
        <w:t>examen des brevets quant au fo</w:t>
      </w:r>
      <w:r w:rsidR="00C93934" w:rsidRPr="009A006E">
        <w:rPr>
          <w:lang w:val="fr-FR"/>
        </w:rPr>
        <w:t>nd.  Or</w:t>
      </w:r>
      <w:r w:rsidRPr="009A006E">
        <w:rPr>
          <w:lang w:val="fr-FR"/>
        </w:rPr>
        <w:t>, en réponse à l</w:t>
      </w:r>
      <w:r w:rsidR="00536DD9" w:rsidRPr="009A006E">
        <w:rPr>
          <w:lang w:val="fr-FR"/>
        </w:rPr>
        <w:t>’</w:t>
      </w:r>
      <w:r w:rsidRPr="009A006E">
        <w:rPr>
          <w:lang w:val="fr-FR"/>
        </w:rPr>
        <w:t>enquête actuelle (circulaire C.</w:t>
      </w:r>
      <w:r w:rsidR="00F1470D" w:rsidRPr="009A006E">
        <w:rPr>
          <w:lang w:val="fr-FR"/>
        </w:rPr>
        <w:t> </w:t>
      </w:r>
      <w:r w:rsidRPr="009A006E">
        <w:rPr>
          <w:lang w:val="fr-FR"/>
        </w:rPr>
        <w:t>PCT 1497), seulement deux</w:t>
      </w:r>
      <w:r w:rsidR="00F1470D" w:rsidRPr="009A006E">
        <w:rPr>
          <w:lang w:val="fr-FR"/>
        </w:rPr>
        <w:t> </w:t>
      </w:r>
      <w:r w:rsidRPr="009A006E">
        <w:rPr>
          <w:lang w:val="fr-FR"/>
        </w:rPr>
        <w:t>offices ont communiqué leurs modèles de compétences au Bureau internation</w:t>
      </w:r>
      <w:r w:rsidR="00C93934" w:rsidRPr="009A006E">
        <w:rPr>
          <w:lang w:val="fr-FR"/>
        </w:rPr>
        <w:t>al.  De</w:t>
      </w:r>
      <w:r w:rsidRPr="009A006E">
        <w:rPr>
          <w:lang w:val="fr-FR"/>
        </w:rPr>
        <w:t>s modèles de compétences pour les examinateurs chargés de l</w:t>
      </w:r>
      <w:r w:rsidR="00536DD9" w:rsidRPr="009A006E">
        <w:rPr>
          <w:lang w:val="fr-FR"/>
        </w:rPr>
        <w:t>’</w:t>
      </w:r>
      <w:r w:rsidRPr="009A006E">
        <w:rPr>
          <w:lang w:val="fr-FR"/>
        </w:rPr>
        <w:t>examen des brevets quant au fond ont également été élabo</w:t>
      </w:r>
      <w:r w:rsidR="00F51495" w:rsidRPr="009A006E">
        <w:rPr>
          <w:lang w:val="fr-FR"/>
        </w:rPr>
        <w:t>rés dans le cadre du programme R</w:t>
      </w:r>
      <w:r w:rsidRPr="009A006E">
        <w:rPr>
          <w:lang w:val="fr-FR"/>
        </w:rPr>
        <w:t>PET et de l</w:t>
      </w:r>
      <w:r w:rsidR="00536DD9" w:rsidRPr="009A006E">
        <w:rPr>
          <w:lang w:val="fr-FR"/>
        </w:rPr>
        <w:t>’</w:t>
      </w:r>
      <w:r w:rsidRPr="009A006E">
        <w:rPr>
          <w:lang w:val="fr-FR"/>
        </w:rPr>
        <w:t>initiative IPET (Ideal Patent Examiner Training) des offices des brevets de l</w:t>
      </w:r>
      <w:r w:rsidR="00536DD9" w:rsidRPr="009A006E">
        <w:rPr>
          <w:lang w:val="fr-FR"/>
        </w:rPr>
        <w:t>’</w:t>
      </w:r>
      <w:r w:rsidRPr="009A006E">
        <w:rPr>
          <w:lang w:val="fr-FR"/>
        </w:rPr>
        <w:t>ASEAN</w:t>
      </w:r>
      <w:r w:rsidR="0048416B" w:rsidRPr="009A006E">
        <w:rPr>
          <w:lang w:val="fr-FR"/>
        </w:rPr>
        <w:t xml:space="preserve"> (voir le </w:t>
      </w:r>
      <w:r w:rsidR="00536DD9" w:rsidRPr="009A006E">
        <w:rPr>
          <w:lang w:val="fr-FR"/>
        </w:rPr>
        <w:t>paragraphe 8</w:t>
      </w:r>
      <w:r w:rsidR="0048416B" w:rsidRPr="009A006E">
        <w:rPr>
          <w:lang w:val="fr-FR"/>
        </w:rPr>
        <w:t xml:space="preserve"> du présent document).</w:t>
      </w:r>
    </w:p>
    <w:p w:rsidR="0048416B" w:rsidRPr="009A006E" w:rsidRDefault="0049536F" w:rsidP="00BA78EF">
      <w:pPr>
        <w:pStyle w:val="ONUMFS"/>
        <w:rPr>
          <w:lang w:val="fr-FR"/>
        </w:rPr>
      </w:pPr>
      <w:r w:rsidRPr="009A006E">
        <w:rPr>
          <w:lang w:val="fr-FR"/>
        </w:rPr>
        <w:t>Au moment de la rédaction du présent document, le Bureau international procède à l</w:t>
      </w:r>
      <w:r w:rsidR="00536DD9" w:rsidRPr="009A006E">
        <w:rPr>
          <w:lang w:val="fr-FR"/>
        </w:rPr>
        <w:t>’</w:t>
      </w:r>
      <w:r w:rsidRPr="009A006E">
        <w:rPr>
          <w:lang w:val="fr-FR"/>
        </w:rPr>
        <w:t>élaboration d</w:t>
      </w:r>
      <w:r w:rsidR="00536DD9" w:rsidRPr="009A006E">
        <w:rPr>
          <w:lang w:val="fr-FR"/>
        </w:rPr>
        <w:t>’</w:t>
      </w:r>
      <w:r w:rsidRPr="009A006E">
        <w:rPr>
          <w:lang w:val="fr-FR"/>
        </w:rPr>
        <w:t>une compilation de</w:t>
      </w:r>
      <w:r w:rsidR="00DA3D60">
        <w:rPr>
          <w:lang w:val="fr-FR"/>
        </w:rPr>
        <w:t>s</w:t>
      </w:r>
      <w:r w:rsidRPr="009A006E">
        <w:rPr>
          <w:lang w:val="fr-FR"/>
        </w:rPr>
        <w:t xml:space="preserve"> modèles de compétences </w:t>
      </w:r>
      <w:r w:rsidR="00DA3D60">
        <w:rPr>
          <w:lang w:val="fr-FR"/>
        </w:rPr>
        <w:t>mentionnés</w:t>
      </w:r>
      <w:r w:rsidRPr="009A006E">
        <w:rPr>
          <w:lang w:val="fr-FR"/>
        </w:rPr>
        <w:t xml:space="preserve"> au </w:t>
      </w:r>
      <w:r w:rsidR="00536DD9" w:rsidRPr="009A006E">
        <w:rPr>
          <w:lang w:val="fr-FR"/>
        </w:rPr>
        <w:t>paragraphe 1</w:t>
      </w:r>
      <w:r w:rsidRPr="009A006E">
        <w:rPr>
          <w:lang w:val="fr-FR"/>
        </w:rPr>
        <w:t>7 d</w:t>
      </w:r>
      <w:r w:rsidR="00C93934" w:rsidRPr="009A006E">
        <w:rPr>
          <w:lang w:val="fr-FR"/>
        </w:rPr>
        <w:t>u</w:t>
      </w:r>
      <w:r w:rsidR="00DA3D60">
        <w:rPr>
          <w:lang w:val="fr-FR"/>
        </w:rPr>
        <w:t xml:space="preserve"> présent document</w:t>
      </w:r>
      <w:r w:rsidR="00C93934" w:rsidRPr="009A006E">
        <w:rPr>
          <w:lang w:val="fr-FR"/>
        </w:rPr>
        <w:t>.  Le</w:t>
      </w:r>
      <w:r w:rsidRPr="009A006E">
        <w:rPr>
          <w:lang w:val="fr-FR"/>
        </w:rPr>
        <w:t xml:space="preserve"> Bureau international fera le point oralement sur cette compilation au cours de la présente session du groupe de travail.</w:t>
      </w:r>
    </w:p>
    <w:p w:rsidR="005A7DA9" w:rsidRPr="00C622E8" w:rsidRDefault="0049536F" w:rsidP="00BA78EF">
      <w:pPr>
        <w:pStyle w:val="ONUMFS"/>
        <w:rPr>
          <w:spacing w:val="-2"/>
          <w:lang w:val="fr-FR"/>
        </w:rPr>
      </w:pPr>
      <w:r w:rsidRPr="00C622E8">
        <w:rPr>
          <w:spacing w:val="-2"/>
          <w:lang w:val="fr-FR"/>
        </w:rPr>
        <w:t>Une analyse préliminaire de ces modèles de compétences a révélé que les compétences techniques qui y figurent sont de nature plutôt basique et ne paraissent pas être suffisamment détaillées pour permettre une communication efficace des besoins en matière de formation ou du contenu de la formati</w:t>
      </w:r>
      <w:r w:rsidR="00C93934" w:rsidRPr="00C622E8">
        <w:rPr>
          <w:spacing w:val="-2"/>
          <w:lang w:val="fr-FR"/>
        </w:rPr>
        <w:t>on.  Le</w:t>
      </w:r>
      <w:r w:rsidRPr="00C622E8">
        <w:rPr>
          <w:spacing w:val="-2"/>
          <w:lang w:val="fr-FR"/>
        </w:rPr>
        <w:t xml:space="preserve"> modèle de compétences le </w:t>
      </w:r>
      <w:r w:rsidR="00C93934" w:rsidRPr="00C622E8">
        <w:rPr>
          <w:spacing w:val="-2"/>
          <w:lang w:val="fr-FR"/>
        </w:rPr>
        <w:t>plus élaboré ne comporte que 14 </w:t>
      </w:r>
      <w:r w:rsidRPr="00C622E8">
        <w:rPr>
          <w:spacing w:val="-2"/>
          <w:lang w:val="fr-FR"/>
        </w:rPr>
        <w:t>compétences techniques différent</w:t>
      </w:r>
      <w:r w:rsidR="00C93934" w:rsidRPr="00C622E8">
        <w:rPr>
          <w:spacing w:val="-2"/>
          <w:lang w:val="fr-FR"/>
        </w:rPr>
        <w:t>es.  Pa</w:t>
      </w:r>
      <w:r w:rsidRPr="00C622E8">
        <w:rPr>
          <w:spacing w:val="-2"/>
          <w:lang w:val="fr-FR"/>
        </w:rPr>
        <w:t xml:space="preserve">r exemple, </w:t>
      </w:r>
      <w:r w:rsidR="00F51DA8" w:rsidRPr="00C622E8">
        <w:rPr>
          <w:spacing w:val="-2"/>
          <w:lang w:val="fr-FR"/>
        </w:rPr>
        <w:t xml:space="preserve">une compétence libellée comme suit </w:t>
      </w:r>
      <w:r w:rsidR="00F1470D" w:rsidRPr="00C622E8">
        <w:rPr>
          <w:spacing w:val="-2"/>
          <w:lang w:val="fr-FR"/>
        </w:rPr>
        <w:t>“</w:t>
      </w:r>
      <w:r w:rsidR="00F51DA8" w:rsidRPr="00C622E8">
        <w:rPr>
          <w:spacing w:val="-2"/>
          <w:lang w:val="fr-FR"/>
        </w:rPr>
        <w:t>élaborer une strat</w:t>
      </w:r>
      <w:r w:rsidR="00F51495" w:rsidRPr="00C622E8">
        <w:rPr>
          <w:spacing w:val="-2"/>
          <w:lang w:val="fr-FR"/>
        </w:rPr>
        <w:t xml:space="preserve">égie de recherche efficace et </w:t>
      </w:r>
      <w:r w:rsidR="00F51DA8" w:rsidRPr="00C622E8">
        <w:rPr>
          <w:spacing w:val="-2"/>
          <w:lang w:val="fr-FR"/>
        </w:rPr>
        <w:t>mener des recherches en ligne</w:t>
      </w:r>
      <w:r w:rsidR="00F1470D" w:rsidRPr="00C622E8">
        <w:rPr>
          <w:spacing w:val="-2"/>
          <w:lang w:val="fr-FR"/>
        </w:rPr>
        <w:t>”</w:t>
      </w:r>
      <w:r w:rsidR="00F51DA8" w:rsidRPr="00C622E8">
        <w:rPr>
          <w:spacing w:val="-2"/>
          <w:lang w:val="fr-FR"/>
        </w:rPr>
        <w:t xml:space="preserve"> ne décrit pas suffisamment les diverses compétences requises pour élaborer, effectuer et affiner une recherche sur l</w:t>
      </w:r>
      <w:r w:rsidR="00536DD9" w:rsidRPr="00C622E8">
        <w:rPr>
          <w:spacing w:val="-2"/>
          <w:lang w:val="fr-FR"/>
        </w:rPr>
        <w:t>’</w:t>
      </w:r>
      <w:r w:rsidR="00891905" w:rsidRPr="00C622E8">
        <w:rPr>
          <w:spacing w:val="-2"/>
          <w:lang w:val="fr-FR"/>
        </w:rPr>
        <w:t>état</w:t>
      </w:r>
      <w:r w:rsidR="00F51DA8" w:rsidRPr="00C622E8">
        <w:rPr>
          <w:spacing w:val="-2"/>
          <w:lang w:val="fr-FR"/>
        </w:rPr>
        <w:t xml:space="preserve"> de la</w:t>
      </w:r>
      <w:r w:rsidR="00891905" w:rsidRPr="00C622E8">
        <w:rPr>
          <w:spacing w:val="-2"/>
          <w:lang w:val="fr-FR"/>
        </w:rPr>
        <w:t xml:space="preserve"> techniq</w:t>
      </w:r>
      <w:r w:rsidR="00C93934" w:rsidRPr="00C622E8">
        <w:rPr>
          <w:spacing w:val="-2"/>
          <w:lang w:val="fr-FR"/>
        </w:rPr>
        <w:t>ue.  Le</w:t>
      </w:r>
      <w:r w:rsidR="00891905" w:rsidRPr="00C622E8">
        <w:rPr>
          <w:spacing w:val="-2"/>
          <w:lang w:val="fr-FR"/>
        </w:rPr>
        <w:t>s modèles communiqués ne contiennent pas de compétences propres à certains domaines technologiques ou à des bases de données particulières ni de compétences pour exécuter des tâches comme l</w:t>
      </w:r>
      <w:r w:rsidR="00536DD9" w:rsidRPr="00C622E8">
        <w:rPr>
          <w:spacing w:val="-2"/>
          <w:lang w:val="fr-FR"/>
        </w:rPr>
        <w:t>’</w:t>
      </w:r>
      <w:r w:rsidR="00891905" w:rsidRPr="00C622E8">
        <w:rPr>
          <w:spacing w:val="-2"/>
          <w:lang w:val="fr-FR"/>
        </w:rPr>
        <w:t>organisation de procédures d</w:t>
      </w:r>
      <w:r w:rsidR="00536DD9" w:rsidRPr="00C622E8">
        <w:rPr>
          <w:spacing w:val="-2"/>
          <w:lang w:val="fr-FR"/>
        </w:rPr>
        <w:t>’</w:t>
      </w:r>
      <w:r w:rsidR="00891905" w:rsidRPr="00C622E8">
        <w:rPr>
          <w:spacing w:val="-2"/>
          <w:lang w:val="fr-FR"/>
        </w:rPr>
        <w:t>opposition ou l</w:t>
      </w:r>
      <w:r w:rsidR="00536DD9" w:rsidRPr="00C622E8">
        <w:rPr>
          <w:spacing w:val="-2"/>
          <w:lang w:val="fr-FR"/>
        </w:rPr>
        <w:t>’</w:t>
      </w:r>
      <w:r w:rsidR="00891905" w:rsidRPr="00C622E8">
        <w:rPr>
          <w:spacing w:val="-2"/>
          <w:lang w:val="fr-FR"/>
        </w:rPr>
        <w:t>instruction de ces oppositio</w:t>
      </w:r>
      <w:r w:rsidR="00C93934" w:rsidRPr="00C622E8">
        <w:rPr>
          <w:spacing w:val="-2"/>
          <w:lang w:val="fr-FR"/>
        </w:rPr>
        <w:t>ns.  Il</w:t>
      </w:r>
      <w:r w:rsidR="00891905" w:rsidRPr="00C622E8">
        <w:rPr>
          <w:spacing w:val="-2"/>
          <w:lang w:val="fr-FR"/>
        </w:rPr>
        <w:t>s mentionnent essentiellement des compétences liées à la conduite d</w:t>
      </w:r>
      <w:r w:rsidR="00536DD9" w:rsidRPr="00C622E8">
        <w:rPr>
          <w:spacing w:val="-2"/>
          <w:lang w:val="fr-FR"/>
        </w:rPr>
        <w:t>’</w:t>
      </w:r>
      <w:r w:rsidR="00891905" w:rsidRPr="00C622E8">
        <w:rPr>
          <w:spacing w:val="-2"/>
          <w:lang w:val="fr-FR"/>
        </w:rPr>
        <w:t>examen</w:t>
      </w:r>
      <w:r w:rsidR="005A7DA9" w:rsidRPr="00C622E8">
        <w:rPr>
          <w:spacing w:val="-2"/>
          <w:lang w:val="fr-FR"/>
        </w:rPr>
        <w:t xml:space="preserve">s de brevets quant au fond </w:t>
      </w:r>
      <w:r w:rsidR="00F51495" w:rsidRPr="00C622E8">
        <w:rPr>
          <w:spacing w:val="-2"/>
          <w:lang w:val="fr-FR"/>
        </w:rPr>
        <w:t xml:space="preserve">sans aide extérieure </w:t>
      </w:r>
      <w:r w:rsidR="005A7DA9" w:rsidRPr="00C622E8">
        <w:rPr>
          <w:spacing w:val="-2"/>
          <w:lang w:val="fr-FR"/>
        </w:rPr>
        <w:t>et ne tiennent pas compte des besoins des offices de taille inférieure qui sont différents.</w:t>
      </w:r>
    </w:p>
    <w:p w:rsidR="005A7DA9" w:rsidRPr="009A006E" w:rsidRDefault="005A7DA9" w:rsidP="00BA78EF">
      <w:pPr>
        <w:pStyle w:val="ONUMFS"/>
        <w:rPr>
          <w:lang w:val="fr-FR"/>
        </w:rPr>
      </w:pPr>
      <w:r w:rsidRPr="009A006E">
        <w:rPr>
          <w:lang w:val="fr-FR"/>
        </w:rPr>
        <w:t>Si l</w:t>
      </w:r>
      <w:r w:rsidR="00536DD9" w:rsidRPr="009A006E">
        <w:rPr>
          <w:lang w:val="fr-FR"/>
        </w:rPr>
        <w:t>’</w:t>
      </w:r>
      <w:r w:rsidRPr="009A006E">
        <w:rPr>
          <w:lang w:val="fr-FR"/>
        </w:rPr>
        <w:t>on veut mettre en œuvre une coordination et une gestion plus efficace</w:t>
      </w:r>
      <w:r w:rsidR="00F51495" w:rsidRPr="009A006E">
        <w:rPr>
          <w:lang w:val="fr-FR"/>
        </w:rPr>
        <w:t>s</w:t>
      </w:r>
      <w:r w:rsidRPr="009A006E">
        <w:rPr>
          <w:lang w:val="fr-FR"/>
        </w:rPr>
        <w:t xml:space="preserve"> de la formation des examinateurs, il apparaît </w:t>
      </w:r>
      <w:r w:rsidR="00F51495" w:rsidRPr="009A006E">
        <w:rPr>
          <w:lang w:val="fr-FR"/>
        </w:rPr>
        <w:t xml:space="preserve">donc </w:t>
      </w:r>
      <w:r w:rsidRPr="009A006E">
        <w:rPr>
          <w:lang w:val="fr-FR"/>
        </w:rPr>
        <w:t>nécessaire d</w:t>
      </w:r>
      <w:r w:rsidR="00536DD9" w:rsidRPr="009A006E">
        <w:rPr>
          <w:lang w:val="fr-FR"/>
        </w:rPr>
        <w:t>’</w:t>
      </w:r>
      <w:r w:rsidRPr="009A006E">
        <w:rPr>
          <w:lang w:val="fr-FR"/>
        </w:rPr>
        <w:t>élaborer un ca</w:t>
      </w:r>
      <w:r w:rsidR="00F51495" w:rsidRPr="009A006E">
        <w:rPr>
          <w:lang w:val="fr-FR"/>
        </w:rPr>
        <w:t>dre de compétences qui réponde</w:t>
      </w:r>
      <w:r w:rsidRPr="009A006E">
        <w:rPr>
          <w:lang w:val="fr-FR"/>
        </w:rPr>
        <w:t xml:space="preserve"> aux critères </w:t>
      </w:r>
      <w:r w:rsidR="00F51495" w:rsidRPr="009A006E">
        <w:rPr>
          <w:lang w:val="fr-FR"/>
        </w:rPr>
        <w:t>mentionnés</w:t>
      </w:r>
      <w:r w:rsidRPr="009A006E">
        <w:rPr>
          <w:lang w:val="fr-FR"/>
        </w:rPr>
        <w:t xml:space="preserve"> au </w:t>
      </w:r>
      <w:r w:rsidR="00536DD9" w:rsidRPr="009A006E">
        <w:rPr>
          <w:lang w:val="fr-FR"/>
        </w:rPr>
        <w:t>paragraphe 1</w:t>
      </w:r>
      <w:r w:rsidRPr="009A006E">
        <w:rPr>
          <w:lang w:val="fr-FR"/>
        </w:rPr>
        <w:t>2 du présent docume</w:t>
      </w:r>
      <w:r w:rsidR="00C93934" w:rsidRPr="009A006E">
        <w:rPr>
          <w:lang w:val="fr-FR"/>
        </w:rPr>
        <w:t>nt.  L’é</w:t>
      </w:r>
      <w:r w:rsidRPr="009A006E">
        <w:rPr>
          <w:lang w:val="fr-FR"/>
        </w:rPr>
        <w:t xml:space="preserve">laboration </w:t>
      </w:r>
      <w:r w:rsidRPr="009A006E">
        <w:rPr>
          <w:lang w:val="fr-FR"/>
        </w:rPr>
        <w:lastRenderedPageBreak/>
        <w:t>d</w:t>
      </w:r>
      <w:r w:rsidR="00536DD9" w:rsidRPr="009A006E">
        <w:rPr>
          <w:lang w:val="fr-FR"/>
        </w:rPr>
        <w:t>’</w:t>
      </w:r>
      <w:r w:rsidRPr="009A006E">
        <w:rPr>
          <w:lang w:val="fr-FR"/>
        </w:rPr>
        <w:t>un tel cadre est actuellement en cours dans le contexte d</w:t>
      </w:r>
      <w:r w:rsidR="00536DD9" w:rsidRPr="009A006E">
        <w:rPr>
          <w:lang w:val="fr-FR"/>
        </w:rPr>
        <w:t>’</w:t>
      </w:r>
      <w:r w:rsidRPr="009A006E">
        <w:rPr>
          <w:lang w:val="fr-FR"/>
        </w:rPr>
        <w:t>un projet d</w:t>
      </w:r>
      <w:r w:rsidR="00536DD9" w:rsidRPr="009A006E">
        <w:rPr>
          <w:lang w:val="fr-FR"/>
        </w:rPr>
        <w:t>’</w:t>
      </w:r>
      <w:r w:rsidRPr="009A006E">
        <w:rPr>
          <w:lang w:val="fr-FR"/>
        </w:rPr>
        <w:t>amélioration de l</w:t>
      </w:r>
      <w:r w:rsidR="00536DD9" w:rsidRPr="009A006E">
        <w:rPr>
          <w:lang w:val="fr-FR"/>
        </w:rPr>
        <w:t>’</w:t>
      </w:r>
      <w:r w:rsidRPr="009A006E">
        <w:rPr>
          <w:lang w:val="fr-FR"/>
        </w:rPr>
        <w:t>efficacité de la formation des examinateurs</w:t>
      </w:r>
      <w:r w:rsidR="00F51495" w:rsidRPr="009A006E">
        <w:rPr>
          <w:lang w:val="fr-FR"/>
        </w:rPr>
        <w:t xml:space="preserve"> financée</w:t>
      </w:r>
      <w:r w:rsidRPr="009A006E">
        <w:rPr>
          <w:lang w:val="fr-FR"/>
        </w:rPr>
        <w:t xml:space="preserve"> par les donateurs, mené par le Bureau régional de l</w:t>
      </w:r>
      <w:r w:rsidR="00536DD9" w:rsidRPr="009A006E">
        <w:rPr>
          <w:lang w:val="fr-FR"/>
        </w:rPr>
        <w:t>’</w:t>
      </w:r>
      <w:r w:rsidRPr="009A006E">
        <w:rPr>
          <w:lang w:val="fr-FR"/>
        </w:rPr>
        <w:t>OMPI pour l</w:t>
      </w:r>
      <w:r w:rsidR="00536DD9" w:rsidRPr="009A006E">
        <w:rPr>
          <w:lang w:val="fr-FR"/>
        </w:rPr>
        <w:t>’</w:t>
      </w:r>
      <w:r w:rsidRPr="009A006E">
        <w:rPr>
          <w:lang w:val="fr-FR"/>
        </w:rPr>
        <w:t>Asie et le Pacifiq</w:t>
      </w:r>
      <w:r w:rsidR="00C93934" w:rsidRPr="009A006E">
        <w:rPr>
          <w:lang w:val="fr-FR"/>
        </w:rPr>
        <w:t>ue.  Le</w:t>
      </w:r>
      <w:r w:rsidRPr="009A006E">
        <w:rPr>
          <w:lang w:val="fr-FR"/>
        </w:rPr>
        <w:t xml:space="preserve"> Bureau international présentera ce projet en détail à l</w:t>
      </w:r>
      <w:r w:rsidR="00536DD9" w:rsidRPr="009A006E">
        <w:rPr>
          <w:lang w:val="fr-FR"/>
        </w:rPr>
        <w:t>’</w:t>
      </w:r>
      <w:r w:rsidRPr="009A006E">
        <w:rPr>
          <w:lang w:val="fr-FR"/>
        </w:rPr>
        <w:t>occasion d</w:t>
      </w:r>
      <w:r w:rsidR="00536DD9" w:rsidRPr="009A006E">
        <w:rPr>
          <w:lang w:val="fr-FR"/>
        </w:rPr>
        <w:t>’</w:t>
      </w:r>
      <w:r w:rsidRPr="009A006E">
        <w:rPr>
          <w:lang w:val="fr-FR"/>
        </w:rPr>
        <w:t>une manifestation parallèle qui aura lieu au cours de la présente session du groupe de travail.</w:t>
      </w:r>
    </w:p>
    <w:bookmarkEnd w:id="7"/>
    <w:p w:rsidR="000B7B49" w:rsidRPr="009A006E" w:rsidRDefault="00536DD9" w:rsidP="00BA78EF">
      <w:pPr>
        <w:pStyle w:val="Heading1"/>
        <w:rPr>
          <w:lang w:val="fr-FR"/>
        </w:rPr>
      </w:pPr>
      <w:r w:rsidRPr="009A006E">
        <w:rPr>
          <w:lang w:val="fr-FR"/>
        </w:rPr>
        <w:t>É</w:t>
      </w:r>
      <w:r w:rsidR="005A7DA9" w:rsidRPr="009A006E">
        <w:rPr>
          <w:lang w:val="fr-FR"/>
        </w:rPr>
        <w:t>laboration d</w:t>
      </w:r>
      <w:r w:rsidRPr="009A006E">
        <w:rPr>
          <w:lang w:val="fr-FR"/>
        </w:rPr>
        <w:t>’</w:t>
      </w:r>
      <w:r w:rsidR="005A7DA9" w:rsidRPr="009A006E">
        <w:rPr>
          <w:lang w:val="fr-FR"/>
        </w:rPr>
        <w:t>un systè</w:t>
      </w:r>
      <w:r w:rsidR="000B7B49" w:rsidRPr="009A006E">
        <w:rPr>
          <w:lang w:val="fr-FR"/>
        </w:rPr>
        <w:t>m</w:t>
      </w:r>
      <w:r w:rsidR="005A7DA9" w:rsidRPr="009A006E">
        <w:rPr>
          <w:lang w:val="fr-FR"/>
        </w:rPr>
        <w:t>e de gestion de la formation</w:t>
      </w:r>
    </w:p>
    <w:p w:rsidR="00536DD9" w:rsidRPr="009A006E" w:rsidRDefault="00536DD9" w:rsidP="00BA78EF">
      <w:pPr>
        <w:rPr>
          <w:lang w:val="fr-FR"/>
        </w:rPr>
      </w:pPr>
    </w:p>
    <w:p w:rsidR="005A7DA9" w:rsidRPr="009A006E" w:rsidRDefault="005A7DA9" w:rsidP="00BA78EF">
      <w:pPr>
        <w:pStyle w:val="ONUMFS"/>
        <w:rPr>
          <w:lang w:val="fr-FR"/>
        </w:rPr>
      </w:pPr>
      <w:bookmarkStart w:id="8" w:name="_Ref478649370"/>
      <w:r w:rsidRPr="009A006E">
        <w:rPr>
          <w:lang w:val="fr-FR"/>
        </w:rPr>
        <w:t>Les systèmes de gestion de la formation</w:t>
      </w:r>
      <w:r w:rsidR="00E9336A" w:rsidRPr="009A006E">
        <w:rPr>
          <w:lang w:val="fr-FR"/>
        </w:rPr>
        <w:t xml:space="preserve"> se présentent sous la forme de systèmes reposant sur des plateformes en libre accès comme Moodle, qui sont sous la licence publique générale GNU, ou en tant que systèmes exclusifs, par exemple, comme le système SAAS (Software as a Servi</w:t>
      </w:r>
      <w:r w:rsidR="00C93934" w:rsidRPr="009A006E">
        <w:rPr>
          <w:lang w:val="fr-FR"/>
        </w:rPr>
        <w:t>ce).  No</w:t>
      </w:r>
      <w:r w:rsidR="00A652E4" w:rsidRPr="009A006E">
        <w:rPr>
          <w:lang w:val="fr-FR"/>
        </w:rPr>
        <w:t xml:space="preserve">mbre de ces systèmes sont essentiellement dédiés à la conception, </w:t>
      </w:r>
      <w:r w:rsidR="00F51495" w:rsidRPr="009A006E">
        <w:rPr>
          <w:lang w:val="fr-FR"/>
        </w:rPr>
        <w:t xml:space="preserve">à </w:t>
      </w:r>
      <w:r w:rsidR="00A652E4" w:rsidRPr="009A006E">
        <w:rPr>
          <w:lang w:val="fr-FR"/>
        </w:rPr>
        <w:t xml:space="preserve">la gestion et </w:t>
      </w:r>
      <w:r w:rsidR="00F51495" w:rsidRPr="009A006E">
        <w:rPr>
          <w:lang w:val="fr-FR"/>
        </w:rPr>
        <w:t>à la fourniture</w:t>
      </w:r>
      <w:r w:rsidR="00A652E4" w:rsidRPr="009A006E">
        <w:rPr>
          <w:lang w:val="fr-FR"/>
        </w:rPr>
        <w:t xml:space="preserve"> de contenu didactique, mais plusieurs d</w:t>
      </w:r>
      <w:r w:rsidR="00536DD9" w:rsidRPr="009A006E">
        <w:rPr>
          <w:lang w:val="fr-FR"/>
        </w:rPr>
        <w:t>’</w:t>
      </w:r>
      <w:r w:rsidR="00A652E4" w:rsidRPr="009A006E">
        <w:rPr>
          <w:lang w:val="fr-FR"/>
        </w:rPr>
        <w:t xml:space="preserve">entre eux (notamment Moodle) permettent </w:t>
      </w:r>
      <w:r w:rsidR="00F51495" w:rsidRPr="009A006E">
        <w:rPr>
          <w:lang w:val="fr-FR"/>
        </w:rPr>
        <w:t xml:space="preserve">également </w:t>
      </w:r>
      <w:r w:rsidR="00A652E4" w:rsidRPr="009A006E">
        <w:rPr>
          <w:lang w:val="fr-FR"/>
        </w:rPr>
        <w:t xml:space="preserve">des tâches comme celles mentionnées au </w:t>
      </w:r>
      <w:r w:rsidR="00536DD9" w:rsidRPr="009A006E">
        <w:rPr>
          <w:lang w:val="fr-FR"/>
        </w:rPr>
        <w:t>paragraphe 1</w:t>
      </w:r>
      <w:r w:rsidR="00A652E4" w:rsidRPr="009A006E">
        <w:rPr>
          <w:lang w:val="fr-FR"/>
        </w:rPr>
        <w:t>5 du</w:t>
      </w:r>
      <w:r w:rsidR="00370862" w:rsidRPr="009A006E">
        <w:rPr>
          <w:lang w:val="fr-FR"/>
        </w:rPr>
        <w:t xml:space="preserve"> présent document et acceptent l</w:t>
      </w:r>
      <w:r w:rsidR="00A652E4" w:rsidRPr="009A006E">
        <w:rPr>
          <w:lang w:val="fr-FR"/>
        </w:rPr>
        <w:t>es modèles de compétences.</w:t>
      </w:r>
    </w:p>
    <w:p w:rsidR="00536DD9" w:rsidRPr="00C622E8" w:rsidRDefault="00370862" w:rsidP="00BA78EF">
      <w:pPr>
        <w:pStyle w:val="ONUMFS"/>
        <w:rPr>
          <w:spacing w:val="-2"/>
          <w:lang w:val="fr-FR"/>
        </w:rPr>
      </w:pPr>
      <w:r w:rsidRPr="00C622E8">
        <w:rPr>
          <w:spacing w:val="-2"/>
          <w:lang w:val="fr-FR"/>
        </w:rPr>
        <w:t>L</w:t>
      </w:r>
      <w:r w:rsidR="00536DD9" w:rsidRPr="00C622E8">
        <w:rPr>
          <w:spacing w:val="-2"/>
          <w:lang w:val="fr-FR"/>
        </w:rPr>
        <w:t>’</w:t>
      </w:r>
      <w:r w:rsidRPr="00C622E8">
        <w:rPr>
          <w:spacing w:val="-2"/>
          <w:lang w:val="fr-FR"/>
        </w:rPr>
        <w:t>Académie de l</w:t>
      </w:r>
      <w:r w:rsidR="00536DD9" w:rsidRPr="00C622E8">
        <w:rPr>
          <w:spacing w:val="-2"/>
          <w:lang w:val="fr-FR"/>
        </w:rPr>
        <w:t>’</w:t>
      </w:r>
      <w:r w:rsidRPr="00C622E8">
        <w:rPr>
          <w:spacing w:val="-2"/>
          <w:lang w:val="fr-FR"/>
        </w:rPr>
        <w:t>OMPI a déjà mis en service un système de gestion de la formation qui repose sur la plateforme en libre accès Mood</w:t>
      </w:r>
      <w:r w:rsidR="00C93934" w:rsidRPr="00C622E8">
        <w:rPr>
          <w:spacing w:val="-2"/>
          <w:lang w:val="fr-FR"/>
        </w:rPr>
        <w:t>le.  To</w:t>
      </w:r>
      <w:r w:rsidRPr="00C622E8">
        <w:rPr>
          <w:spacing w:val="-2"/>
          <w:lang w:val="fr-FR"/>
        </w:rPr>
        <w:t>utefois, ce système de gestion est uniquement conçu pour élaborer, gérer et dispenser des cours individuels en ligne du programme d</w:t>
      </w:r>
      <w:r w:rsidR="00536DD9" w:rsidRPr="00C622E8">
        <w:rPr>
          <w:spacing w:val="-2"/>
          <w:lang w:val="fr-FR"/>
        </w:rPr>
        <w:t>’</w:t>
      </w:r>
      <w:r w:rsidRPr="00C622E8">
        <w:rPr>
          <w:spacing w:val="-2"/>
          <w:lang w:val="fr-FR"/>
        </w:rPr>
        <w:t>enseignement à distance de l</w:t>
      </w:r>
      <w:r w:rsidR="00536DD9" w:rsidRPr="00C622E8">
        <w:rPr>
          <w:spacing w:val="-2"/>
          <w:lang w:val="fr-FR"/>
        </w:rPr>
        <w:t>’</w:t>
      </w:r>
      <w:r w:rsidRPr="00C622E8">
        <w:rPr>
          <w:spacing w:val="-2"/>
          <w:lang w:val="fr-FR"/>
        </w:rPr>
        <w:t>O</w:t>
      </w:r>
      <w:r w:rsidR="00C93934" w:rsidRPr="00C622E8">
        <w:rPr>
          <w:spacing w:val="-2"/>
          <w:lang w:val="fr-FR"/>
        </w:rPr>
        <w:t>MPI.  Il</w:t>
      </w:r>
      <w:r w:rsidRPr="00C622E8">
        <w:rPr>
          <w:spacing w:val="-2"/>
          <w:lang w:val="fr-FR"/>
        </w:rPr>
        <w:t xml:space="preserve"> n</w:t>
      </w:r>
      <w:r w:rsidR="00191C35" w:rsidRPr="00C622E8">
        <w:rPr>
          <w:spacing w:val="-2"/>
          <w:lang w:val="fr-FR"/>
        </w:rPr>
        <w:t>e permet pas de</w:t>
      </w:r>
      <w:r w:rsidRPr="00C622E8">
        <w:rPr>
          <w:spacing w:val="-2"/>
          <w:lang w:val="fr-FR"/>
        </w:rPr>
        <w:t xml:space="preserve"> gérer </w:t>
      </w:r>
      <w:r w:rsidR="00F51495" w:rsidRPr="00C622E8">
        <w:rPr>
          <w:spacing w:val="-2"/>
          <w:lang w:val="fr-FR"/>
        </w:rPr>
        <w:t>l</w:t>
      </w:r>
      <w:r w:rsidR="00536DD9" w:rsidRPr="00C622E8">
        <w:rPr>
          <w:spacing w:val="-2"/>
          <w:lang w:val="fr-FR"/>
        </w:rPr>
        <w:t>’</w:t>
      </w:r>
      <w:r w:rsidR="00F51495" w:rsidRPr="00C622E8">
        <w:rPr>
          <w:spacing w:val="-2"/>
          <w:lang w:val="fr-FR"/>
        </w:rPr>
        <w:t>intégralité de la</w:t>
      </w:r>
      <w:r w:rsidRPr="00C622E8">
        <w:rPr>
          <w:spacing w:val="-2"/>
          <w:lang w:val="fr-FR"/>
        </w:rPr>
        <w:t xml:space="preserve"> formation professionnelle </w:t>
      </w:r>
      <w:r w:rsidR="00F51495" w:rsidRPr="00C622E8">
        <w:rPr>
          <w:spacing w:val="-2"/>
          <w:lang w:val="fr-FR"/>
        </w:rPr>
        <w:t>d</w:t>
      </w:r>
      <w:r w:rsidR="00536DD9" w:rsidRPr="00C622E8">
        <w:rPr>
          <w:spacing w:val="-2"/>
          <w:lang w:val="fr-FR"/>
        </w:rPr>
        <w:t>’</w:t>
      </w:r>
      <w:r w:rsidR="00F51495" w:rsidRPr="00C622E8">
        <w:rPr>
          <w:spacing w:val="-2"/>
          <w:lang w:val="fr-FR"/>
        </w:rPr>
        <w:t xml:space="preserve">un examinateur en particulier selon un </w:t>
      </w:r>
      <w:r w:rsidR="00191C35" w:rsidRPr="00C622E8">
        <w:rPr>
          <w:spacing w:val="-2"/>
          <w:lang w:val="fr-FR"/>
        </w:rPr>
        <w:t>modèle de compétences adapté.</w:t>
      </w:r>
    </w:p>
    <w:p w:rsidR="00D73CEA" w:rsidRPr="00C622E8" w:rsidRDefault="00D73CEA" w:rsidP="00BA78EF">
      <w:pPr>
        <w:pStyle w:val="ONUMFS"/>
        <w:rPr>
          <w:spacing w:val="-2"/>
          <w:lang w:val="fr-FR"/>
        </w:rPr>
      </w:pPr>
      <w:bookmarkStart w:id="9" w:name="_Ref478478465"/>
      <w:bookmarkEnd w:id="8"/>
      <w:r w:rsidRPr="00C622E8">
        <w:rPr>
          <w:spacing w:val="-2"/>
          <w:lang w:val="fr-FR" w:eastAsia="en-US"/>
        </w:rPr>
        <w:t>En vue de garantir une utilisation efficace du nombre restreint de formations offertes, l</w:t>
      </w:r>
      <w:r w:rsidR="00536DD9" w:rsidRPr="00C622E8">
        <w:rPr>
          <w:spacing w:val="-2"/>
          <w:lang w:val="fr-FR" w:eastAsia="en-US"/>
        </w:rPr>
        <w:t>’</w:t>
      </w:r>
      <w:r w:rsidRPr="00C622E8">
        <w:rPr>
          <w:spacing w:val="-2"/>
          <w:lang w:val="fr-FR" w:eastAsia="en-US"/>
        </w:rPr>
        <w:t>élaboration et la mise en service d</w:t>
      </w:r>
      <w:r w:rsidR="00536DD9" w:rsidRPr="00C622E8">
        <w:rPr>
          <w:spacing w:val="-2"/>
          <w:lang w:val="fr-FR" w:eastAsia="en-US"/>
        </w:rPr>
        <w:t>’</w:t>
      </w:r>
      <w:r w:rsidRPr="00C622E8">
        <w:rPr>
          <w:spacing w:val="-2"/>
          <w:lang w:val="fr-FR" w:eastAsia="en-US"/>
        </w:rPr>
        <w:t xml:space="preserve">un système de gestion de la formation qui réponde aux besoins indiqués au </w:t>
      </w:r>
      <w:r w:rsidR="00536DD9" w:rsidRPr="00C622E8">
        <w:rPr>
          <w:spacing w:val="-2"/>
          <w:lang w:val="fr-FR" w:eastAsia="en-US"/>
        </w:rPr>
        <w:t>paragraphe 1</w:t>
      </w:r>
      <w:r w:rsidRPr="00C622E8">
        <w:rPr>
          <w:spacing w:val="-2"/>
          <w:lang w:val="fr-FR" w:eastAsia="en-US"/>
        </w:rPr>
        <w:t xml:space="preserve">5 </w:t>
      </w:r>
      <w:r w:rsidR="00F51495" w:rsidRPr="00C622E8">
        <w:rPr>
          <w:spacing w:val="-2"/>
          <w:lang w:val="fr-FR" w:eastAsia="en-US"/>
        </w:rPr>
        <w:t>du présent document</w:t>
      </w:r>
      <w:r w:rsidRPr="00C622E8">
        <w:rPr>
          <w:spacing w:val="-2"/>
          <w:lang w:val="fr-FR" w:eastAsia="en-US"/>
        </w:rPr>
        <w:t xml:space="preserve"> </w:t>
      </w:r>
      <w:r w:rsidR="00C622E8" w:rsidRPr="00C622E8">
        <w:rPr>
          <w:spacing w:val="-2"/>
          <w:lang w:val="fr-FR" w:eastAsia="en-US"/>
        </w:rPr>
        <w:t>son</w:t>
      </w:r>
      <w:r w:rsidRPr="00C622E8">
        <w:rPr>
          <w:spacing w:val="-2"/>
          <w:lang w:val="fr-FR" w:eastAsia="en-US"/>
        </w:rPr>
        <w:t>t en cours d</w:t>
      </w:r>
      <w:r w:rsidR="00536DD9" w:rsidRPr="00C622E8">
        <w:rPr>
          <w:spacing w:val="-2"/>
          <w:lang w:val="fr-FR" w:eastAsia="en-US"/>
        </w:rPr>
        <w:t>’</w:t>
      </w:r>
      <w:r w:rsidRPr="00C622E8">
        <w:rPr>
          <w:spacing w:val="-2"/>
          <w:lang w:val="fr-FR" w:eastAsia="en-US"/>
        </w:rPr>
        <w:t>examen dans le cadre du projet</w:t>
      </w:r>
      <w:r w:rsidR="00F51495" w:rsidRPr="00C622E8">
        <w:rPr>
          <w:spacing w:val="-2"/>
          <w:lang w:val="fr-FR" w:eastAsia="en-US"/>
        </w:rPr>
        <w:t xml:space="preserve"> du Bureau régional pour l</w:t>
      </w:r>
      <w:r w:rsidR="00536DD9" w:rsidRPr="00C622E8">
        <w:rPr>
          <w:spacing w:val="-2"/>
          <w:lang w:val="fr-FR" w:eastAsia="en-US"/>
        </w:rPr>
        <w:t>’</w:t>
      </w:r>
      <w:r w:rsidR="00F51495" w:rsidRPr="00C622E8">
        <w:rPr>
          <w:spacing w:val="-2"/>
          <w:lang w:val="fr-FR" w:eastAsia="en-US"/>
        </w:rPr>
        <w:t>Asie et le Pacifique en vue de l</w:t>
      </w:r>
      <w:r w:rsidR="00536DD9" w:rsidRPr="00C622E8">
        <w:rPr>
          <w:spacing w:val="-2"/>
          <w:lang w:val="fr-FR" w:eastAsia="en-US"/>
        </w:rPr>
        <w:t>’</w:t>
      </w:r>
      <w:r w:rsidRPr="00C622E8">
        <w:rPr>
          <w:spacing w:val="-2"/>
          <w:lang w:val="fr-FR" w:eastAsia="en-US"/>
        </w:rPr>
        <w:t>amélioration de la rentabilité des formations d</w:t>
      </w:r>
      <w:r w:rsidR="00536DD9" w:rsidRPr="00C622E8">
        <w:rPr>
          <w:spacing w:val="-2"/>
          <w:lang w:val="fr-FR" w:eastAsia="en-US"/>
        </w:rPr>
        <w:t>’</w:t>
      </w:r>
      <w:r w:rsidRPr="00C622E8">
        <w:rPr>
          <w:spacing w:val="-2"/>
          <w:lang w:val="fr-FR" w:eastAsia="en-US"/>
        </w:rPr>
        <w:t>examinateurs financées par les donateu</w:t>
      </w:r>
      <w:r w:rsidR="00C93934" w:rsidRPr="00C622E8">
        <w:rPr>
          <w:spacing w:val="-2"/>
          <w:lang w:val="fr-FR" w:eastAsia="en-US"/>
        </w:rPr>
        <w:t>rs.  De</w:t>
      </w:r>
      <w:r w:rsidRPr="00C622E8">
        <w:rPr>
          <w:spacing w:val="-2"/>
          <w:lang w:val="fr-FR" w:eastAsia="en-US"/>
        </w:rPr>
        <w:t xml:space="preserve"> plus amples informations sur cette étude seront présentées lors de la manifestation parallèle mentionnée au </w:t>
      </w:r>
      <w:r w:rsidR="00536DD9" w:rsidRPr="00C622E8">
        <w:rPr>
          <w:spacing w:val="-2"/>
          <w:lang w:val="fr-FR" w:eastAsia="en-US"/>
        </w:rPr>
        <w:t>paragraphe 2</w:t>
      </w:r>
      <w:r w:rsidRPr="00C622E8">
        <w:rPr>
          <w:spacing w:val="-2"/>
          <w:lang w:val="fr-FR" w:eastAsia="en-US"/>
        </w:rPr>
        <w:t>0 du</w:t>
      </w:r>
      <w:r w:rsidR="00DA3D60">
        <w:rPr>
          <w:spacing w:val="-2"/>
          <w:lang w:val="fr-FR" w:eastAsia="en-US"/>
        </w:rPr>
        <w:t xml:space="preserve"> présent document</w:t>
      </w:r>
      <w:r w:rsidRPr="00C622E8">
        <w:rPr>
          <w:spacing w:val="-2"/>
          <w:lang w:val="fr-FR" w:eastAsia="en-US"/>
        </w:rPr>
        <w:t>.</w:t>
      </w:r>
    </w:p>
    <w:p w:rsidR="00D73CEA" w:rsidRPr="009A006E" w:rsidRDefault="008B5948" w:rsidP="00BA78EF">
      <w:pPr>
        <w:pStyle w:val="ONUMFS"/>
        <w:rPr>
          <w:lang w:val="fr-FR"/>
        </w:rPr>
      </w:pPr>
      <w:bookmarkStart w:id="10" w:name="_Ref478649377"/>
      <w:bookmarkEnd w:id="9"/>
      <w:r w:rsidRPr="009A006E">
        <w:rPr>
          <w:lang w:val="fr-FR"/>
        </w:rPr>
        <w:t>L</w:t>
      </w:r>
      <w:r w:rsidR="00536DD9" w:rsidRPr="009A006E">
        <w:rPr>
          <w:lang w:val="fr-FR"/>
        </w:rPr>
        <w:t>’</w:t>
      </w:r>
      <w:r w:rsidR="000D0A90" w:rsidRPr="009A006E">
        <w:rPr>
          <w:lang w:val="fr-FR"/>
        </w:rPr>
        <w:t>utilisation de</w:t>
      </w:r>
      <w:r w:rsidR="00D73CEA" w:rsidRPr="009A006E">
        <w:rPr>
          <w:lang w:val="fr-FR"/>
        </w:rPr>
        <w:t xml:space="preserve"> ce système par le Bureau international</w:t>
      </w:r>
      <w:r w:rsidR="000D0A90" w:rsidRPr="009A006E">
        <w:rPr>
          <w:lang w:val="fr-FR"/>
        </w:rPr>
        <w:t xml:space="preserve"> est envisagée</w:t>
      </w:r>
      <w:r w:rsidR="00D73CEA" w:rsidRPr="009A006E">
        <w:rPr>
          <w:lang w:val="fr-FR"/>
        </w:rPr>
        <w:t xml:space="preserve"> </w:t>
      </w:r>
      <w:r w:rsidR="000D0A90" w:rsidRPr="009A006E">
        <w:rPr>
          <w:lang w:val="fr-FR"/>
        </w:rPr>
        <w:t xml:space="preserve">pour la gestion des </w:t>
      </w:r>
      <w:r w:rsidR="00F51495" w:rsidRPr="009A006E">
        <w:rPr>
          <w:lang w:val="fr-FR"/>
        </w:rPr>
        <w:t>activités de formation</w:t>
      </w:r>
      <w:r w:rsidR="000D0A90" w:rsidRPr="009A006E">
        <w:rPr>
          <w:lang w:val="fr-FR"/>
        </w:rPr>
        <w:t xml:space="preserve"> d</w:t>
      </w:r>
      <w:r w:rsidR="00F51495" w:rsidRPr="009A006E">
        <w:rPr>
          <w:lang w:val="fr-FR"/>
        </w:rPr>
        <w:t xml:space="preserve">es </w:t>
      </w:r>
      <w:r w:rsidR="000D0A90" w:rsidRPr="009A006E">
        <w:rPr>
          <w:lang w:val="fr-FR"/>
        </w:rPr>
        <w:t xml:space="preserve">examinateurs </w:t>
      </w:r>
      <w:r w:rsidR="00D73CEA" w:rsidRPr="009A006E">
        <w:rPr>
          <w:lang w:val="fr-FR"/>
        </w:rPr>
        <w:t>qu</w:t>
      </w:r>
      <w:r w:rsidR="00536DD9" w:rsidRPr="009A006E">
        <w:rPr>
          <w:lang w:val="fr-FR"/>
        </w:rPr>
        <w:t>’</w:t>
      </w:r>
      <w:r w:rsidR="00D73CEA" w:rsidRPr="009A006E">
        <w:rPr>
          <w:lang w:val="fr-FR"/>
        </w:rPr>
        <w:t xml:space="preserve">il organisera </w:t>
      </w:r>
      <w:r w:rsidR="00F51495" w:rsidRPr="009A006E">
        <w:rPr>
          <w:lang w:val="fr-FR"/>
        </w:rPr>
        <w:t>seul ou en coopération avec d</w:t>
      </w:r>
      <w:r w:rsidR="00536DD9" w:rsidRPr="009A006E">
        <w:rPr>
          <w:lang w:val="fr-FR"/>
        </w:rPr>
        <w:t>’</w:t>
      </w:r>
      <w:r w:rsidR="00F51495" w:rsidRPr="009A006E">
        <w:rPr>
          <w:lang w:val="fr-FR"/>
        </w:rPr>
        <w:t xml:space="preserve">autres entités </w:t>
      </w:r>
      <w:r w:rsidR="00D73CEA" w:rsidRPr="009A006E">
        <w:rPr>
          <w:lang w:val="fr-FR"/>
        </w:rPr>
        <w:t>et pour le suivi des progrès des participants</w:t>
      </w:r>
      <w:r w:rsidR="000D0A90" w:rsidRPr="009A006E">
        <w:rPr>
          <w:lang w:val="fr-FR"/>
        </w:rPr>
        <w:t xml:space="preserve"> à ces formatio</w:t>
      </w:r>
      <w:r w:rsidR="00C93934" w:rsidRPr="009A006E">
        <w:rPr>
          <w:lang w:val="fr-FR"/>
        </w:rPr>
        <w:t>ns.  Le</w:t>
      </w:r>
      <w:r w:rsidR="000D0A90" w:rsidRPr="009A006E">
        <w:rPr>
          <w:lang w:val="fr-FR"/>
        </w:rPr>
        <w:t xml:space="preserve"> système ainsi que les rapports sur </w:t>
      </w:r>
      <w:r w:rsidR="00F51495" w:rsidRPr="009A006E">
        <w:rPr>
          <w:lang w:val="fr-FR"/>
        </w:rPr>
        <w:t>les progrès de la formation seraie</w:t>
      </w:r>
      <w:r w:rsidR="000D0A90" w:rsidRPr="009A006E">
        <w:rPr>
          <w:lang w:val="fr-FR"/>
        </w:rPr>
        <w:t>nt mis à la disposition des offices intéress</w:t>
      </w:r>
      <w:r w:rsidR="00C93934" w:rsidRPr="009A006E">
        <w:rPr>
          <w:lang w:val="fr-FR"/>
        </w:rPr>
        <w:t>és.  Le</w:t>
      </w:r>
      <w:r w:rsidR="001D06E6" w:rsidRPr="009A006E">
        <w:rPr>
          <w:lang w:val="fr-FR"/>
        </w:rPr>
        <w:t>s offices seraient invités à communiquer les rapports analogues qu</w:t>
      </w:r>
      <w:r w:rsidR="00536DD9" w:rsidRPr="009A006E">
        <w:rPr>
          <w:lang w:val="fr-FR"/>
        </w:rPr>
        <w:t>’</w:t>
      </w:r>
      <w:r w:rsidR="001D06E6" w:rsidRPr="009A006E">
        <w:rPr>
          <w:lang w:val="fr-FR"/>
        </w:rPr>
        <w:t xml:space="preserve">ils auraient établis sur les progrès des participants </w:t>
      </w:r>
      <w:r w:rsidR="00F51495" w:rsidRPr="009A006E">
        <w:rPr>
          <w:lang w:val="fr-FR"/>
        </w:rPr>
        <w:t>aux</w:t>
      </w:r>
      <w:r w:rsidR="001D06E6" w:rsidRPr="009A006E">
        <w:rPr>
          <w:lang w:val="fr-FR"/>
        </w:rPr>
        <w:t xml:space="preserve"> formations qui n</w:t>
      </w:r>
      <w:r w:rsidR="00536DD9" w:rsidRPr="009A006E">
        <w:rPr>
          <w:lang w:val="fr-FR"/>
        </w:rPr>
        <w:t>’</w:t>
      </w:r>
      <w:r w:rsidR="001D06E6" w:rsidRPr="009A006E">
        <w:rPr>
          <w:lang w:val="fr-FR"/>
        </w:rPr>
        <w:t xml:space="preserve">auraient pas été organisées par le Bureau international, afin de </w:t>
      </w:r>
      <w:r w:rsidR="008F519D" w:rsidRPr="009A006E">
        <w:rPr>
          <w:lang w:val="fr-FR"/>
        </w:rPr>
        <w:t>consigner au dossier des examinateurs inscrits à une</w:t>
      </w:r>
      <w:r w:rsidR="001D06E6" w:rsidRPr="009A006E">
        <w:rPr>
          <w:lang w:val="fr-FR"/>
        </w:rPr>
        <w:t xml:space="preserve"> formation</w:t>
      </w:r>
      <w:r w:rsidR="008F519D" w:rsidRPr="009A006E">
        <w:rPr>
          <w:lang w:val="fr-FR"/>
        </w:rPr>
        <w:t xml:space="preserve"> leurs progr</w:t>
      </w:r>
      <w:r w:rsidR="00C93934" w:rsidRPr="009A006E">
        <w:rPr>
          <w:lang w:val="fr-FR"/>
        </w:rPr>
        <w:t>ès.  Il</w:t>
      </w:r>
      <w:r w:rsidR="001D06E6" w:rsidRPr="009A006E">
        <w:rPr>
          <w:lang w:val="fr-FR"/>
        </w:rPr>
        <w:t xml:space="preserve"> serait de la sorte possible </w:t>
      </w:r>
      <w:r w:rsidR="008F519D" w:rsidRPr="009A006E">
        <w:rPr>
          <w:lang w:val="fr-FR"/>
        </w:rPr>
        <w:t>de faire en sorte</w:t>
      </w:r>
      <w:r w:rsidR="001D06E6" w:rsidRPr="009A006E">
        <w:rPr>
          <w:lang w:val="fr-FR"/>
        </w:rPr>
        <w:t xml:space="preserve"> </w:t>
      </w:r>
      <w:r w:rsidR="008F519D" w:rsidRPr="009A006E">
        <w:rPr>
          <w:lang w:val="fr-FR"/>
        </w:rPr>
        <w:t>que</w:t>
      </w:r>
      <w:r w:rsidR="001D06E6" w:rsidRPr="009A006E">
        <w:rPr>
          <w:lang w:val="fr-FR"/>
        </w:rPr>
        <w:t xml:space="preserve"> chaque examinateur </w:t>
      </w:r>
      <w:r w:rsidR="008F519D" w:rsidRPr="009A006E">
        <w:rPr>
          <w:lang w:val="fr-FR"/>
        </w:rPr>
        <w:t>bénéficie d</w:t>
      </w:r>
      <w:r w:rsidR="00536DD9" w:rsidRPr="009A006E">
        <w:rPr>
          <w:lang w:val="fr-FR"/>
        </w:rPr>
        <w:t>’</w:t>
      </w:r>
      <w:r w:rsidR="001D06E6" w:rsidRPr="009A006E">
        <w:rPr>
          <w:lang w:val="fr-FR"/>
        </w:rPr>
        <w:t xml:space="preserve">une formation complète et </w:t>
      </w:r>
      <w:r w:rsidR="008F519D" w:rsidRPr="009A006E">
        <w:rPr>
          <w:lang w:val="fr-FR"/>
        </w:rPr>
        <w:t xml:space="preserve">de veiller à </w:t>
      </w:r>
      <w:r w:rsidR="001D06E6" w:rsidRPr="009A006E">
        <w:rPr>
          <w:lang w:val="fr-FR"/>
        </w:rPr>
        <w:t>une utilisation efficiente des activités et des ressources en matière de formation.</w:t>
      </w:r>
    </w:p>
    <w:bookmarkEnd w:id="10"/>
    <w:p w:rsidR="000B7B49" w:rsidRPr="009A006E" w:rsidRDefault="00C537D7" w:rsidP="00BA78EF">
      <w:pPr>
        <w:pStyle w:val="Heading1"/>
        <w:rPr>
          <w:lang w:val="fr-FR"/>
        </w:rPr>
      </w:pPr>
      <w:r w:rsidRPr="009A006E">
        <w:rPr>
          <w:lang w:val="fr-FR"/>
        </w:rPr>
        <w:t xml:space="preserve">Rapport </w:t>
      </w:r>
      <w:r w:rsidR="008F519D" w:rsidRPr="009A006E">
        <w:rPr>
          <w:lang w:val="fr-FR"/>
        </w:rPr>
        <w:t>sur l</w:t>
      </w:r>
      <w:r w:rsidR="00536DD9" w:rsidRPr="009A006E">
        <w:rPr>
          <w:lang w:val="fr-FR"/>
        </w:rPr>
        <w:t>’</w:t>
      </w:r>
      <w:r w:rsidR="008F519D" w:rsidRPr="009A006E">
        <w:rPr>
          <w:lang w:val="fr-FR"/>
        </w:rPr>
        <w:t>évolution de la situation</w:t>
      </w:r>
    </w:p>
    <w:p w:rsidR="00536DD9" w:rsidRPr="009A006E" w:rsidRDefault="00536DD9" w:rsidP="00BA78EF">
      <w:pPr>
        <w:rPr>
          <w:lang w:val="fr-FR"/>
        </w:rPr>
      </w:pPr>
    </w:p>
    <w:p w:rsidR="000B7B49" w:rsidRPr="009A006E" w:rsidRDefault="00C537D7" w:rsidP="00BA78EF">
      <w:pPr>
        <w:pStyle w:val="ONUMFS"/>
        <w:rPr>
          <w:lang w:val="fr-FR" w:eastAsia="en-US"/>
        </w:rPr>
      </w:pPr>
      <w:r w:rsidRPr="009A006E">
        <w:rPr>
          <w:lang w:val="fr-FR" w:eastAsia="en-US"/>
        </w:rPr>
        <w:t xml:space="preserve">Le Bureau international fera rapport au groupe de travail, à sa session </w:t>
      </w:r>
      <w:r w:rsidR="00536DD9" w:rsidRPr="009A006E">
        <w:rPr>
          <w:lang w:val="fr-FR" w:eastAsia="en-US"/>
        </w:rPr>
        <w:t>de 2018</w:t>
      </w:r>
      <w:r w:rsidRPr="009A006E">
        <w:rPr>
          <w:lang w:val="fr-FR" w:eastAsia="en-US"/>
        </w:rPr>
        <w:t>, sur l</w:t>
      </w:r>
      <w:r w:rsidR="00536DD9" w:rsidRPr="009A006E">
        <w:rPr>
          <w:lang w:val="fr-FR" w:eastAsia="en-US"/>
        </w:rPr>
        <w:t>’</w:t>
      </w:r>
      <w:r w:rsidRPr="009A006E">
        <w:rPr>
          <w:lang w:val="fr-FR" w:eastAsia="en-US"/>
        </w:rPr>
        <w:t>évolution de la situation concernant l</w:t>
      </w:r>
      <w:r w:rsidR="00536DD9" w:rsidRPr="009A006E">
        <w:rPr>
          <w:lang w:val="fr-FR" w:eastAsia="en-US"/>
        </w:rPr>
        <w:t>’</w:t>
      </w:r>
      <w:r w:rsidRPr="009A006E">
        <w:rPr>
          <w:lang w:val="fr-FR" w:eastAsia="en-US"/>
        </w:rPr>
        <w:t xml:space="preserve">élaboration du cadre de compétences décrit aux </w:t>
      </w:r>
      <w:r w:rsidR="00536DD9" w:rsidRPr="009A006E">
        <w:rPr>
          <w:lang w:val="fr-FR" w:eastAsia="en-US"/>
        </w:rPr>
        <w:t>paragraphes 1</w:t>
      </w:r>
      <w:r w:rsidR="00C93934" w:rsidRPr="009A006E">
        <w:rPr>
          <w:lang w:val="fr-FR" w:eastAsia="en-US"/>
        </w:rPr>
        <w:t>7 à </w:t>
      </w:r>
      <w:r w:rsidRPr="009A006E">
        <w:rPr>
          <w:lang w:val="fr-FR" w:eastAsia="en-US"/>
        </w:rPr>
        <w:t xml:space="preserve">20 du présent document et du système de gestion de la formation décrit aux </w:t>
      </w:r>
      <w:r w:rsidR="00536DD9" w:rsidRPr="009A006E">
        <w:rPr>
          <w:lang w:val="fr-FR" w:eastAsia="en-US"/>
        </w:rPr>
        <w:t>paragraphes 2</w:t>
      </w:r>
      <w:r w:rsidR="00C93934" w:rsidRPr="009A006E">
        <w:rPr>
          <w:lang w:val="fr-FR" w:eastAsia="en-US"/>
        </w:rPr>
        <w:t>1 à </w:t>
      </w:r>
      <w:r w:rsidRPr="009A006E">
        <w:rPr>
          <w:lang w:val="fr-FR" w:eastAsia="en-US"/>
        </w:rPr>
        <w:t>24 du présent document.</w:t>
      </w:r>
    </w:p>
    <w:p w:rsidR="00C622E8" w:rsidRPr="00554B82" w:rsidRDefault="00C537D7" w:rsidP="00554B82">
      <w:pPr>
        <w:pStyle w:val="ONUMFS"/>
        <w:ind w:left="5533"/>
        <w:rPr>
          <w:i/>
          <w:lang w:val="fr-FR"/>
        </w:rPr>
      </w:pPr>
      <w:r w:rsidRPr="009A006E">
        <w:rPr>
          <w:i/>
          <w:lang w:val="fr-FR"/>
        </w:rPr>
        <w:t xml:space="preserve">Le groupe de travail est </w:t>
      </w:r>
      <w:r w:rsidR="003B5AB3" w:rsidRPr="009A006E">
        <w:rPr>
          <w:i/>
          <w:lang w:val="fr-FR"/>
        </w:rPr>
        <w:t>invité</w:t>
      </w:r>
      <w:r w:rsidRPr="009A006E">
        <w:rPr>
          <w:i/>
          <w:lang w:val="fr-FR"/>
        </w:rPr>
        <w:t xml:space="preserve"> à prendre note du contenu du présent document</w:t>
      </w:r>
      <w:r w:rsidR="000B7B49" w:rsidRPr="009A006E">
        <w:rPr>
          <w:i/>
          <w:lang w:val="fr-FR"/>
        </w:rPr>
        <w:t>.</w:t>
      </w:r>
      <w:bookmarkStart w:id="11" w:name="_GoBack"/>
      <w:bookmarkEnd w:id="11"/>
    </w:p>
    <w:p w:rsidR="00C622E8" w:rsidRDefault="00C622E8" w:rsidP="00BA78EF">
      <w:pPr>
        <w:pStyle w:val="Endofdocument-Annex"/>
        <w:rPr>
          <w:lang w:val="fr-FR"/>
        </w:rPr>
      </w:pPr>
    </w:p>
    <w:p w:rsidR="002928D3" w:rsidRPr="009A006E" w:rsidRDefault="00FE7A4F" w:rsidP="00BA78EF">
      <w:pPr>
        <w:pStyle w:val="Endofdocument-Annex"/>
        <w:rPr>
          <w:lang w:val="fr-FR"/>
        </w:rPr>
      </w:pPr>
      <w:r w:rsidRPr="009A006E">
        <w:rPr>
          <w:lang w:val="fr-FR"/>
        </w:rPr>
        <w:t>[</w:t>
      </w:r>
      <w:r w:rsidR="00C537D7" w:rsidRPr="009A006E">
        <w:rPr>
          <w:lang w:val="fr-FR"/>
        </w:rPr>
        <w:t>Fin du</w:t>
      </w:r>
      <w:r w:rsidRPr="009A006E">
        <w:rPr>
          <w:lang w:val="fr-FR"/>
        </w:rPr>
        <w:t xml:space="preserve"> </w:t>
      </w:r>
      <w:r w:rsidR="000B7B49" w:rsidRPr="009A006E">
        <w:rPr>
          <w:lang w:val="fr-FR"/>
        </w:rPr>
        <w:t>document]</w:t>
      </w:r>
    </w:p>
    <w:sectPr w:rsidR="002928D3" w:rsidRPr="009A006E" w:rsidSect="000B7B4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13" w:rsidRDefault="00FC7513">
      <w:r>
        <w:separator/>
      </w:r>
    </w:p>
  </w:endnote>
  <w:endnote w:type="continuationSeparator" w:id="0">
    <w:p w:rsidR="00FC7513" w:rsidRDefault="00FC7513" w:rsidP="003B38C1">
      <w:r>
        <w:separator/>
      </w:r>
    </w:p>
    <w:p w:rsidR="00FC7513" w:rsidRPr="003B38C1" w:rsidRDefault="00FC7513" w:rsidP="003B38C1">
      <w:pPr>
        <w:spacing w:after="60"/>
        <w:rPr>
          <w:sz w:val="17"/>
        </w:rPr>
      </w:pPr>
      <w:r>
        <w:rPr>
          <w:sz w:val="17"/>
        </w:rPr>
        <w:t>[Endnote continued from previous page]</w:t>
      </w:r>
    </w:p>
  </w:endnote>
  <w:endnote w:type="continuationNotice" w:id="1">
    <w:p w:rsidR="00FC7513" w:rsidRPr="003B38C1" w:rsidRDefault="00FC75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13" w:rsidRDefault="00FC7513">
      <w:r>
        <w:separator/>
      </w:r>
    </w:p>
  </w:footnote>
  <w:footnote w:type="continuationSeparator" w:id="0">
    <w:p w:rsidR="00FC7513" w:rsidRDefault="00FC7513" w:rsidP="008B60B2">
      <w:r>
        <w:separator/>
      </w:r>
    </w:p>
    <w:p w:rsidR="00FC7513" w:rsidRPr="00ED77FB" w:rsidRDefault="00FC7513" w:rsidP="008B60B2">
      <w:pPr>
        <w:spacing w:after="60"/>
        <w:rPr>
          <w:sz w:val="17"/>
          <w:szCs w:val="17"/>
        </w:rPr>
      </w:pPr>
      <w:r w:rsidRPr="00ED77FB">
        <w:rPr>
          <w:sz w:val="17"/>
          <w:szCs w:val="17"/>
        </w:rPr>
        <w:t>[Footnote continued from previous page]</w:t>
      </w:r>
    </w:p>
  </w:footnote>
  <w:footnote w:type="continuationNotice" w:id="1">
    <w:p w:rsidR="00FC7513" w:rsidRPr="00ED77FB" w:rsidRDefault="00FC7513" w:rsidP="008B60B2">
      <w:pPr>
        <w:spacing w:before="60"/>
        <w:jc w:val="right"/>
        <w:rPr>
          <w:sz w:val="17"/>
          <w:szCs w:val="17"/>
        </w:rPr>
      </w:pPr>
      <w:r w:rsidRPr="00ED77FB">
        <w:rPr>
          <w:sz w:val="17"/>
          <w:szCs w:val="17"/>
        </w:rPr>
        <w:t>[Footnote continued on next page]</w:t>
      </w:r>
    </w:p>
  </w:footnote>
  <w:footnote w:id="2">
    <w:p w:rsidR="00FC7513" w:rsidRPr="0048398C" w:rsidRDefault="00FC7513" w:rsidP="0048398C">
      <w:pPr>
        <w:rPr>
          <w:sz w:val="20"/>
          <w:lang w:val="fr-FR"/>
        </w:rPr>
      </w:pPr>
      <w:r w:rsidRPr="0048398C">
        <w:rPr>
          <w:rStyle w:val="FootnoteReference"/>
          <w:sz w:val="20"/>
          <w:lang w:val="fr-FR"/>
        </w:rPr>
        <w:footnoteRef/>
      </w:r>
      <w:r w:rsidR="00536DD9">
        <w:rPr>
          <w:sz w:val="20"/>
          <w:lang w:val="fr-FR"/>
        </w:rPr>
        <w:t xml:space="preserve"> </w:t>
      </w:r>
      <w:r w:rsidR="00536DD9">
        <w:rPr>
          <w:sz w:val="20"/>
          <w:lang w:val="fr-FR"/>
        </w:rPr>
        <w:tab/>
      </w:r>
      <w:r w:rsidRPr="0048398C">
        <w:rPr>
          <w:sz w:val="20"/>
          <w:lang w:val="fr-FR"/>
        </w:rPr>
        <w:t>Par exemple,</w:t>
      </w:r>
      <w:r>
        <w:rPr>
          <w:sz w:val="20"/>
          <w:lang w:val="fr-FR"/>
        </w:rPr>
        <w:t xml:space="preserve"> le </w:t>
      </w:r>
      <w:r w:rsidRPr="0048398C">
        <w:rPr>
          <w:sz w:val="20"/>
          <w:lang w:val="fr-FR"/>
        </w:rPr>
        <w:t>programme RPE</w:t>
      </w:r>
      <w:r w:rsidR="00E93F93">
        <w:rPr>
          <w:sz w:val="20"/>
          <w:lang w:val="fr-FR"/>
        </w:rPr>
        <w:t>T de l</w:t>
      </w:r>
      <w:r w:rsidR="00B62B6E">
        <w:rPr>
          <w:sz w:val="20"/>
          <w:lang w:val="fr-FR"/>
        </w:rPr>
        <w:t>’</w:t>
      </w:r>
      <w:r w:rsidR="00E93F93">
        <w:rPr>
          <w:sz w:val="20"/>
          <w:lang w:val="fr-FR"/>
        </w:rPr>
        <w:t>Accord de libre</w:t>
      </w:r>
      <w:r w:rsidR="00C622E8">
        <w:rPr>
          <w:sz w:val="20"/>
          <w:lang w:val="fr-FR"/>
        </w:rPr>
        <w:noBreakHyphen/>
      </w:r>
      <w:r w:rsidR="00E93F93">
        <w:rPr>
          <w:sz w:val="20"/>
          <w:lang w:val="fr-FR"/>
        </w:rPr>
        <w:t xml:space="preserve">échange </w:t>
      </w:r>
      <w:r w:rsidR="00E93F93" w:rsidRPr="00E93F93">
        <w:rPr>
          <w:sz w:val="20"/>
          <w:lang w:val="fr-FR"/>
        </w:rPr>
        <w:t>Association des nations de l</w:t>
      </w:r>
      <w:r w:rsidR="00B62B6E">
        <w:rPr>
          <w:sz w:val="20"/>
          <w:lang w:val="fr-FR"/>
        </w:rPr>
        <w:t>’</w:t>
      </w:r>
      <w:r w:rsidR="00E93F93" w:rsidRPr="00E93F93">
        <w:rPr>
          <w:sz w:val="20"/>
          <w:lang w:val="fr-FR"/>
        </w:rPr>
        <w:t>Asie du Sud</w:t>
      </w:r>
      <w:r w:rsidR="00C622E8">
        <w:rPr>
          <w:sz w:val="20"/>
          <w:lang w:val="fr-FR"/>
        </w:rPr>
        <w:noBreakHyphen/>
      </w:r>
      <w:r w:rsidR="00E93F93" w:rsidRPr="00E93F93">
        <w:rPr>
          <w:sz w:val="20"/>
          <w:lang w:val="fr-FR"/>
        </w:rPr>
        <w:t>Est</w:t>
      </w:r>
      <w:r w:rsidR="00E93F93">
        <w:rPr>
          <w:sz w:val="20"/>
          <w:lang w:val="fr-FR"/>
        </w:rPr>
        <w:t xml:space="preserve"> (ASEAN)</w:t>
      </w:r>
      <w:r w:rsidRPr="0048398C">
        <w:rPr>
          <w:sz w:val="20"/>
          <w:lang w:val="fr-FR"/>
        </w:rPr>
        <w:t xml:space="preserve"> – Australie – Nouvelle</w:t>
      </w:r>
      <w:r w:rsidR="00C622E8">
        <w:rPr>
          <w:sz w:val="20"/>
          <w:lang w:val="fr-FR"/>
        </w:rPr>
        <w:noBreakHyphen/>
      </w:r>
      <w:r w:rsidRPr="0048398C">
        <w:rPr>
          <w:sz w:val="20"/>
          <w:lang w:val="fr-FR"/>
        </w:rPr>
        <w:t>Zélande</w:t>
      </w:r>
      <w:r w:rsidR="00F1470D">
        <w:rPr>
          <w:sz w:val="20"/>
          <w:lang w:val="fr-FR"/>
        </w:rPr>
        <w:t xml:space="preserve">; </w:t>
      </w:r>
      <w:r>
        <w:rPr>
          <w:sz w:val="20"/>
          <w:lang w:val="fr-FR"/>
        </w:rPr>
        <w:t xml:space="preserve"> le programme de mentorat RPET récemment lancé, qui remplace</w:t>
      </w:r>
      <w:r w:rsidR="00B62B6E" w:rsidRPr="00B62B6E">
        <w:rPr>
          <w:sz w:val="20"/>
          <w:lang w:val="fr-FR"/>
        </w:rPr>
        <w:t xml:space="preserve"> le RPE</w:t>
      </w:r>
      <w:r>
        <w:rPr>
          <w:sz w:val="20"/>
          <w:lang w:val="fr-FR"/>
        </w:rPr>
        <w:t>T</w:t>
      </w:r>
      <w:r w:rsidR="00F1470D">
        <w:rPr>
          <w:sz w:val="20"/>
          <w:lang w:val="fr-FR"/>
        </w:rPr>
        <w:t xml:space="preserve">; </w:t>
      </w:r>
      <w:r w:rsidRPr="0048398C">
        <w:rPr>
          <w:sz w:val="20"/>
          <w:lang w:val="fr-FR"/>
        </w:rPr>
        <w:t xml:space="preserve"> </w:t>
      </w:r>
      <w:r>
        <w:rPr>
          <w:sz w:val="20"/>
          <w:lang w:val="fr-FR"/>
        </w:rPr>
        <w:t>l</w:t>
      </w:r>
      <w:r w:rsidR="00B62B6E">
        <w:rPr>
          <w:sz w:val="20"/>
          <w:lang w:val="fr-FR"/>
        </w:rPr>
        <w:t>’</w:t>
      </w:r>
      <w:r>
        <w:rPr>
          <w:sz w:val="20"/>
          <w:lang w:val="fr-FR"/>
        </w:rPr>
        <w:t>initiative de formation de l</w:t>
      </w:r>
      <w:r w:rsidR="00B62B6E">
        <w:rPr>
          <w:sz w:val="20"/>
          <w:lang w:val="fr-FR"/>
        </w:rPr>
        <w:t>’</w:t>
      </w:r>
      <w:r>
        <w:rPr>
          <w:sz w:val="20"/>
          <w:lang w:val="fr-FR"/>
        </w:rPr>
        <w:t>examinateur de brevets idéal (IPET) conduite par les États membres de l</w:t>
      </w:r>
      <w:r w:rsidR="00B62B6E">
        <w:rPr>
          <w:sz w:val="20"/>
          <w:lang w:val="fr-FR"/>
        </w:rPr>
        <w:t>’</w:t>
      </w:r>
      <w:r>
        <w:rPr>
          <w:sz w:val="20"/>
          <w:lang w:val="fr-FR"/>
        </w:rPr>
        <w:t>ASEAN</w:t>
      </w:r>
      <w:r w:rsidR="00F1470D">
        <w:rPr>
          <w:sz w:val="20"/>
          <w:lang w:val="fr-FR"/>
        </w:rPr>
        <w:t xml:space="preserve">; </w:t>
      </w:r>
      <w:r>
        <w:rPr>
          <w:sz w:val="20"/>
          <w:lang w:val="fr-FR"/>
        </w:rPr>
        <w:t xml:space="preserve"> ou l</w:t>
      </w:r>
      <w:r w:rsidR="00B62B6E">
        <w:rPr>
          <w:sz w:val="20"/>
          <w:lang w:val="fr-FR"/>
        </w:rPr>
        <w:t>’</w:t>
      </w:r>
      <w:r>
        <w:rPr>
          <w:sz w:val="20"/>
          <w:lang w:val="fr-FR"/>
        </w:rPr>
        <w:t xml:space="preserve">initiative de </w:t>
      </w:r>
      <w:r w:rsidR="00F1470D">
        <w:rPr>
          <w:sz w:val="20"/>
          <w:lang w:val="fr-FR"/>
        </w:rPr>
        <w:t>“</w:t>
      </w:r>
      <w:r>
        <w:rPr>
          <w:sz w:val="20"/>
          <w:lang w:val="fr-FR"/>
        </w:rPr>
        <w:t>création d</w:t>
      </w:r>
      <w:r w:rsidR="00B62B6E">
        <w:rPr>
          <w:sz w:val="20"/>
          <w:lang w:val="fr-FR"/>
        </w:rPr>
        <w:t>’</w:t>
      </w:r>
      <w:r>
        <w:rPr>
          <w:sz w:val="20"/>
          <w:lang w:val="fr-FR"/>
        </w:rPr>
        <w:t>un réseau régional de formateurs des examinateurs de brevet</w:t>
      </w:r>
      <w:r w:rsidR="005115FB">
        <w:rPr>
          <w:sz w:val="20"/>
          <w:lang w:val="fr-FR"/>
        </w:rPr>
        <w:t>s</w:t>
      </w:r>
      <w:r w:rsidR="00F1470D">
        <w:rPr>
          <w:sz w:val="20"/>
          <w:lang w:val="fr-FR"/>
        </w:rPr>
        <w:t>”</w:t>
      </w:r>
      <w:r>
        <w:rPr>
          <w:sz w:val="20"/>
          <w:lang w:val="fr-FR"/>
        </w:rPr>
        <w:t xml:space="preserve"> </w:t>
      </w:r>
      <w:r w:rsidR="00E93F93">
        <w:rPr>
          <w:sz w:val="20"/>
          <w:lang w:val="fr-FR"/>
        </w:rPr>
        <w:t>lancée par l</w:t>
      </w:r>
      <w:r w:rsidR="00B62B6E">
        <w:rPr>
          <w:sz w:val="20"/>
          <w:lang w:val="fr-FR"/>
        </w:rPr>
        <w:t>’</w:t>
      </w:r>
      <w:r w:rsidR="00E93F93">
        <w:rPr>
          <w:sz w:val="20"/>
          <w:lang w:val="fr-FR"/>
        </w:rPr>
        <w:t>Office européen des brevets</w:t>
      </w:r>
      <w:r>
        <w:rPr>
          <w:sz w:val="20"/>
          <w:lang w:val="fr-FR"/>
        </w:rPr>
        <w:t xml:space="preserve"> dans l</w:t>
      </w:r>
      <w:r w:rsidR="00B62B6E">
        <w:rPr>
          <w:sz w:val="20"/>
          <w:lang w:val="fr-FR"/>
        </w:rPr>
        <w:t>’</w:t>
      </w:r>
      <w:r>
        <w:rPr>
          <w:sz w:val="20"/>
          <w:lang w:val="fr-FR"/>
        </w:rPr>
        <w:t xml:space="preserve">intérêt des États </w:t>
      </w:r>
      <w:r w:rsidR="00F1470D">
        <w:rPr>
          <w:sz w:val="20"/>
          <w:lang w:val="fr-FR"/>
        </w:rPr>
        <w:t>membres</w:t>
      </w:r>
      <w:r>
        <w:rPr>
          <w:sz w:val="20"/>
          <w:lang w:val="fr-FR"/>
        </w:rPr>
        <w:t xml:space="preserve"> de l</w:t>
      </w:r>
      <w:r w:rsidR="00B62B6E">
        <w:rPr>
          <w:sz w:val="20"/>
          <w:lang w:val="fr-FR"/>
        </w:rPr>
        <w:t>’</w:t>
      </w:r>
      <w:r>
        <w:rPr>
          <w:sz w:val="20"/>
          <w:lang w:val="fr-FR"/>
        </w:rPr>
        <w:t>ASEAN.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13" w:rsidRDefault="00FC7513" w:rsidP="00477D6B">
    <w:pPr>
      <w:jc w:val="right"/>
    </w:pPr>
    <w:bookmarkStart w:id="12" w:name="Code2"/>
    <w:bookmarkEnd w:id="12"/>
    <w:r>
      <w:t>PCT/WG/10/9</w:t>
    </w:r>
  </w:p>
  <w:p w:rsidR="00FC7513" w:rsidRPr="00536DD9" w:rsidRDefault="00536DD9" w:rsidP="00477D6B">
    <w:pPr>
      <w:jc w:val="right"/>
    </w:pPr>
    <w:r w:rsidRPr="00536DD9">
      <w:t>p</w:t>
    </w:r>
    <w:r w:rsidR="00FC7513" w:rsidRPr="00536DD9">
      <w:t>age</w:t>
    </w:r>
    <w:r w:rsidRPr="00536DD9">
      <w:t> </w:t>
    </w:r>
    <w:r w:rsidR="00FC7513" w:rsidRPr="00536DD9">
      <w:fldChar w:fldCharType="begin"/>
    </w:r>
    <w:r w:rsidR="00FC7513" w:rsidRPr="00536DD9">
      <w:instrText xml:space="preserve"> PAGE  \* MERGEFORMAT </w:instrText>
    </w:r>
    <w:r w:rsidR="00FC7513" w:rsidRPr="00536DD9">
      <w:fldChar w:fldCharType="separate"/>
    </w:r>
    <w:r w:rsidR="00554B82">
      <w:rPr>
        <w:noProof/>
      </w:rPr>
      <w:t>7</w:t>
    </w:r>
    <w:r w:rsidR="00FC7513" w:rsidRPr="00536DD9">
      <w:fldChar w:fldCharType="end"/>
    </w:r>
  </w:p>
  <w:p w:rsidR="00FC7513" w:rsidRDefault="00FC751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E6662"/>
    <w:multiLevelType w:val="hybridMultilevel"/>
    <w:tmpl w:val="BA14486A"/>
    <w:lvl w:ilvl="0" w:tplc="29E45E72">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BAA02C5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0835C1"/>
    <w:multiLevelType w:val="hybridMultilevel"/>
    <w:tmpl w:val="E196C6DA"/>
    <w:lvl w:ilvl="0" w:tplc="29E45E72">
      <w:start w:val="2"/>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8B14698"/>
    <w:multiLevelType w:val="hybridMultilevel"/>
    <w:tmpl w:val="FA645DD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7D31BE"/>
    <w:multiLevelType w:val="hybridMultilevel"/>
    <w:tmpl w:val="086A3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F14088"/>
    <w:multiLevelType w:val="hybridMultilevel"/>
    <w:tmpl w:val="CE04110E"/>
    <w:lvl w:ilvl="0" w:tplc="4CFE101E">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6715CE"/>
    <w:multiLevelType w:val="hybridMultilevel"/>
    <w:tmpl w:val="881890D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A7896"/>
    <w:multiLevelType w:val="hybridMultilevel"/>
    <w:tmpl w:val="C7CEA460"/>
    <w:lvl w:ilvl="0" w:tplc="924282DC">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E820EA"/>
    <w:multiLevelType w:val="hybridMultilevel"/>
    <w:tmpl w:val="D0946636"/>
    <w:lvl w:ilvl="0" w:tplc="29E45E72">
      <w:start w:val="2"/>
      <w:numFmt w:val="bullet"/>
      <w:lvlText w:val="-"/>
      <w:lvlJc w:val="left"/>
      <w:pPr>
        <w:ind w:left="108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B3BB7"/>
    <w:multiLevelType w:val="hybridMultilevel"/>
    <w:tmpl w:val="516AE88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
  </w:num>
  <w:num w:numId="8">
    <w:abstractNumId w:val="11"/>
  </w:num>
  <w:num w:numId="9">
    <w:abstractNumId w:val="3"/>
  </w:num>
  <w:num w:numId="10">
    <w:abstractNumId w:val="7"/>
  </w:num>
  <w:num w:numId="11">
    <w:abstractNumId w:val="14"/>
  </w:num>
  <w:num w:numId="12">
    <w:abstractNumId w:val="9"/>
  </w:num>
  <w:num w:numId="13">
    <w:abstractNumId w:val="12"/>
  </w:num>
  <w:num w:numId="14">
    <w:abstractNumId w:val="1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ransmlp.wipo.int\TextBase TMs\WorkspaceFTS\Patents &amp; Innovation\PCT|transmlp.wipo.int\TextBase TMs\WorkspaceFTS\xLegacy\Patents|transmlp.wipo.int\TextBase TMs\WorkspaceFTS\Patents &amp; Innovation\Patents|transmlp.wipo.int\TextBase TMs\WorkspaceFTS\Treaties &amp; Laws\WIPO Treaties|transmlp.wipo.int\TextBase TMs\WorkspaceFTS\Ad-hoc\Glossaires|transmlp.wipo.int\TextBase TMs\WorkspaceFTS\Brands, Designs &amp; DN\Madrid|transmlp.wipo.int\TextBase TMs\WorkspaceFTS\Outreach\Outreach|transmlp.wipo.int\TextBase TMs\WorkspaceFTS\Outreach\Publications|transmlp.wipo.int\TextBase TMs\WorkspaceFTS\Administration &amp; Finance\Administration|transmlp.wipo.int\TextBase TMs\WorkspaceFTS\Administration &amp; Finance\PBC|transmlp.wipo.int\TextBase TMs\WorkspaceFTS\Brands, Designs &amp; DN\AMC|transmlp.wipo.int\TextBase TMs\WorkspaceFTS\Brands, Designs &amp; DN\Brands|transmlp.wipo.int\TextBase TMs\WorkspaceFTS\Brands, Designs &amp; DN\Hague|transmlp.wipo.int\TextBase TMs\WorkspaceFTS\Brands, Designs &amp; DN\Lisbon|transmlp.wipo.int\TextBase TMs\WorkspaceFTS\Copyright\Copyright|transmlp.wipo.int\TextBase TMs\WorkspaceFTS\Ad-hoc\Assemblies|transmlp.wipo.int\TextBase TMs\WorkspaceFTS\Development\Development|transmlp.wipo.int\TextBase TMs\WorkspaceFTS\Outreach\Academy|transmlp.wipo.int\TextBase TMs\WorkspaceFTS\Outreach\ACE|transmlp.wipo.int\TextBase TMs\WorkspaceFTS\GRTKF\GRTKF|transmlp.wipo.int\TextBase TMs\WorkspaceFTS\Outreach\Communications|transmlp.wipo.int\TextBase TMs\WorkspaceFTS\Patents &amp; Innovation\Budapest|transmlp.wipo.int\TextBase TMs\WorkspaceFTS\Patents &amp; Innovation\CWS|transmlp.wipo.int\TextBase TMs\WorkspaceFTS\Patents &amp; Innovation\IPC|transmlp.wipo.int\TextBase TMs\WorkspaceFTS\Patents &amp; Innovation\SCP|transmlp.wipo.int\TextBase TMs\WorkspaceFTS\Treaties &amp; Laws\WIPO Lex|transmlp.wipo.int\TextBase TMs\WorkspaceFTS\UPOV\TGs|transmlp.wipo.int\TextBase TMs\WorkspaceFTS\UPOV\UPOV|transmlp.wipo.int\TextBase TMs\WorkspaceFTS\xLegacy\Academy|transmlp.wipo.int\TextBase TMs\WorkspaceFTS\xLegacy\Administrative|transmlp.wipo.int\TextBase TMs\WorkspaceFTS\xLegacy\Budget and Finance|transmlp.wipo.int\TextBase TMs\WorkspaceFTS\xLegacy\Copyright|transmlp.wipo.int\TextBase TMs\WorkspaceFTS\xLegacy\IP_Press_Other|transmlp.wipo.int\TextBase TMs\WorkspaceFTS\xLegacy\Trademarks|transmlp.wipo.int\TextBase TMs\WorkspaceFTS\xLegacy\Treaties|transmlp.wipo.int\TextBase TMs\WorkspaceFTS\xLegacy\UPOV"/>
    <w:docVar w:name="TextBaseURL" w:val="empty"/>
    <w:docVar w:name="UILng" w:val="en"/>
  </w:docVars>
  <w:rsids>
    <w:rsidRoot w:val="000B7B49"/>
    <w:rsid w:val="00033EE4"/>
    <w:rsid w:val="00043CAA"/>
    <w:rsid w:val="00045D7F"/>
    <w:rsid w:val="00075432"/>
    <w:rsid w:val="000968ED"/>
    <w:rsid w:val="00096E82"/>
    <w:rsid w:val="000B7B49"/>
    <w:rsid w:val="000D0A90"/>
    <w:rsid w:val="000F5E56"/>
    <w:rsid w:val="00116733"/>
    <w:rsid w:val="001362EE"/>
    <w:rsid w:val="00181417"/>
    <w:rsid w:val="001832A6"/>
    <w:rsid w:val="00191C35"/>
    <w:rsid w:val="001963EE"/>
    <w:rsid w:val="001A5DDA"/>
    <w:rsid w:val="001D06E6"/>
    <w:rsid w:val="00202ECC"/>
    <w:rsid w:val="0021217E"/>
    <w:rsid w:val="002634C4"/>
    <w:rsid w:val="002928D3"/>
    <w:rsid w:val="00297C54"/>
    <w:rsid w:val="002C42E4"/>
    <w:rsid w:val="002F1FE6"/>
    <w:rsid w:val="002F4E68"/>
    <w:rsid w:val="00312F7F"/>
    <w:rsid w:val="00331DF8"/>
    <w:rsid w:val="0033339D"/>
    <w:rsid w:val="00361450"/>
    <w:rsid w:val="003673CF"/>
    <w:rsid w:val="00370862"/>
    <w:rsid w:val="003845C1"/>
    <w:rsid w:val="003A6F89"/>
    <w:rsid w:val="003B38C1"/>
    <w:rsid w:val="003B5AB3"/>
    <w:rsid w:val="003D58D6"/>
    <w:rsid w:val="003F38C7"/>
    <w:rsid w:val="00401F62"/>
    <w:rsid w:val="00423E3E"/>
    <w:rsid w:val="00425B04"/>
    <w:rsid w:val="00427AF4"/>
    <w:rsid w:val="004548AE"/>
    <w:rsid w:val="004647DA"/>
    <w:rsid w:val="00474062"/>
    <w:rsid w:val="00477D6B"/>
    <w:rsid w:val="0048398C"/>
    <w:rsid w:val="0048416B"/>
    <w:rsid w:val="0049536F"/>
    <w:rsid w:val="004E0C6D"/>
    <w:rsid w:val="005019FF"/>
    <w:rsid w:val="005115FB"/>
    <w:rsid w:val="0053057A"/>
    <w:rsid w:val="005319B5"/>
    <w:rsid w:val="00536DD9"/>
    <w:rsid w:val="00554B82"/>
    <w:rsid w:val="00560A29"/>
    <w:rsid w:val="0056146B"/>
    <w:rsid w:val="0057122D"/>
    <w:rsid w:val="005A7DA9"/>
    <w:rsid w:val="005B4E61"/>
    <w:rsid w:val="005B6DD4"/>
    <w:rsid w:val="005C6649"/>
    <w:rsid w:val="005E690F"/>
    <w:rsid w:val="00600B9A"/>
    <w:rsid w:val="00605827"/>
    <w:rsid w:val="00646050"/>
    <w:rsid w:val="00654505"/>
    <w:rsid w:val="006713CA"/>
    <w:rsid w:val="00676C5C"/>
    <w:rsid w:val="006B149D"/>
    <w:rsid w:val="006D7801"/>
    <w:rsid w:val="00720F2E"/>
    <w:rsid w:val="00761EBB"/>
    <w:rsid w:val="00771E0D"/>
    <w:rsid w:val="007D1613"/>
    <w:rsid w:val="007E4C0E"/>
    <w:rsid w:val="00803915"/>
    <w:rsid w:val="0086387B"/>
    <w:rsid w:val="008708F5"/>
    <w:rsid w:val="00891905"/>
    <w:rsid w:val="008B2CC1"/>
    <w:rsid w:val="008B5948"/>
    <w:rsid w:val="008B60B2"/>
    <w:rsid w:val="008F519D"/>
    <w:rsid w:val="0090731E"/>
    <w:rsid w:val="00916EE2"/>
    <w:rsid w:val="0096408F"/>
    <w:rsid w:val="00966A22"/>
    <w:rsid w:val="0096722F"/>
    <w:rsid w:val="00970018"/>
    <w:rsid w:val="00980843"/>
    <w:rsid w:val="00992872"/>
    <w:rsid w:val="009A006E"/>
    <w:rsid w:val="009E2791"/>
    <w:rsid w:val="009E3F6F"/>
    <w:rsid w:val="009F499F"/>
    <w:rsid w:val="00A0469D"/>
    <w:rsid w:val="00A357C0"/>
    <w:rsid w:val="00A42DAF"/>
    <w:rsid w:val="00A44E80"/>
    <w:rsid w:val="00A45BD8"/>
    <w:rsid w:val="00A46F8B"/>
    <w:rsid w:val="00A652E4"/>
    <w:rsid w:val="00A70DEE"/>
    <w:rsid w:val="00A869B7"/>
    <w:rsid w:val="00A90A12"/>
    <w:rsid w:val="00AC205C"/>
    <w:rsid w:val="00AC7E1D"/>
    <w:rsid w:val="00AF0A6B"/>
    <w:rsid w:val="00AF5509"/>
    <w:rsid w:val="00B05A69"/>
    <w:rsid w:val="00B077B3"/>
    <w:rsid w:val="00B43048"/>
    <w:rsid w:val="00B6094B"/>
    <w:rsid w:val="00B62B6E"/>
    <w:rsid w:val="00B637CB"/>
    <w:rsid w:val="00B9734B"/>
    <w:rsid w:val="00BA30E2"/>
    <w:rsid w:val="00BA78EF"/>
    <w:rsid w:val="00BB673F"/>
    <w:rsid w:val="00C11BFE"/>
    <w:rsid w:val="00C5068F"/>
    <w:rsid w:val="00C537D7"/>
    <w:rsid w:val="00C622E8"/>
    <w:rsid w:val="00C83BE6"/>
    <w:rsid w:val="00C93934"/>
    <w:rsid w:val="00CD04F1"/>
    <w:rsid w:val="00CE5238"/>
    <w:rsid w:val="00D079A6"/>
    <w:rsid w:val="00D36116"/>
    <w:rsid w:val="00D366F1"/>
    <w:rsid w:val="00D45252"/>
    <w:rsid w:val="00D4697A"/>
    <w:rsid w:val="00D46A88"/>
    <w:rsid w:val="00D5379C"/>
    <w:rsid w:val="00D71B4D"/>
    <w:rsid w:val="00D73CEA"/>
    <w:rsid w:val="00D93D55"/>
    <w:rsid w:val="00DA3D60"/>
    <w:rsid w:val="00DD04BB"/>
    <w:rsid w:val="00E0664B"/>
    <w:rsid w:val="00E13A4A"/>
    <w:rsid w:val="00E15015"/>
    <w:rsid w:val="00E335FE"/>
    <w:rsid w:val="00E91682"/>
    <w:rsid w:val="00E9336A"/>
    <w:rsid w:val="00E93F93"/>
    <w:rsid w:val="00EB426C"/>
    <w:rsid w:val="00EC4581"/>
    <w:rsid w:val="00EC4E49"/>
    <w:rsid w:val="00EC5B61"/>
    <w:rsid w:val="00ED77FB"/>
    <w:rsid w:val="00EE264C"/>
    <w:rsid w:val="00EE45FA"/>
    <w:rsid w:val="00F1470D"/>
    <w:rsid w:val="00F51495"/>
    <w:rsid w:val="00F51DA8"/>
    <w:rsid w:val="00F526DC"/>
    <w:rsid w:val="00F66152"/>
    <w:rsid w:val="00FC7513"/>
    <w:rsid w:val="00FD0461"/>
    <w:rsid w:val="00FE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7B49"/>
    <w:rPr>
      <w:rFonts w:ascii="Tahoma" w:hAnsi="Tahoma" w:cs="Tahoma"/>
      <w:sz w:val="16"/>
      <w:szCs w:val="16"/>
    </w:rPr>
  </w:style>
  <w:style w:type="character" w:customStyle="1" w:styleId="BalloonTextChar">
    <w:name w:val="Balloon Text Char"/>
    <w:basedOn w:val="DefaultParagraphFont"/>
    <w:link w:val="BalloonText"/>
    <w:rsid w:val="000B7B49"/>
    <w:rPr>
      <w:rFonts w:ascii="Tahoma" w:eastAsia="SimSun" w:hAnsi="Tahoma" w:cs="Tahoma"/>
      <w:sz w:val="16"/>
      <w:szCs w:val="16"/>
      <w:lang w:eastAsia="zh-CN"/>
    </w:rPr>
  </w:style>
  <w:style w:type="character" w:customStyle="1" w:styleId="ONUMEChar">
    <w:name w:val="ONUM E Char"/>
    <w:link w:val="ONUME"/>
    <w:locked/>
    <w:rsid w:val="000B7B49"/>
    <w:rPr>
      <w:rFonts w:ascii="Arial" w:eastAsia="SimSun" w:hAnsi="Arial" w:cs="Arial"/>
      <w:sz w:val="22"/>
      <w:lang w:eastAsia="zh-CN"/>
    </w:rPr>
  </w:style>
  <w:style w:type="character" w:styleId="Hyperlink">
    <w:name w:val="Hyperlink"/>
    <w:basedOn w:val="DefaultParagraphFont"/>
    <w:uiPriority w:val="99"/>
    <w:rsid w:val="001963EE"/>
    <w:rPr>
      <w:color w:val="0000FF" w:themeColor="hyperlink"/>
      <w:sz w:val="22"/>
      <w:u w:val="single"/>
    </w:rPr>
  </w:style>
  <w:style w:type="paragraph" w:styleId="ListParagraph">
    <w:name w:val="List Paragraph"/>
    <w:basedOn w:val="Normal"/>
    <w:uiPriority w:val="34"/>
    <w:qFormat/>
    <w:rsid w:val="000B7B49"/>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unhideWhenUsed/>
    <w:rsid w:val="000B7B49"/>
    <w:rPr>
      <w:vertAlign w:val="superscript"/>
    </w:rPr>
  </w:style>
  <w:style w:type="character" w:styleId="FollowedHyperlink">
    <w:name w:val="FollowedHyperlink"/>
    <w:basedOn w:val="DefaultParagraphFont"/>
    <w:rsid w:val="00EB42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7B49"/>
    <w:rPr>
      <w:rFonts w:ascii="Tahoma" w:hAnsi="Tahoma" w:cs="Tahoma"/>
      <w:sz w:val="16"/>
      <w:szCs w:val="16"/>
    </w:rPr>
  </w:style>
  <w:style w:type="character" w:customStyle="1" w:styleId="BalloonTextChar">
    <w:name w:val="Balloon Text Char"/>
    <w:basedOn w:val="DefaultParagraphFont"/>
    <w:link w:val="BalloonText"/>
    <w:rsid w:val="000B7B49"/>
    <w:rPr>
      <w:rFonts w:ascii="Tahoma" w:eastAsia="SimSun" w:hAnsi="Tahoma" w:cs="Tahoma"/>
      <w:sz w:val="16"/>
      <w:szCs w:val="16"/>
      <w:lang w:eastAsia="zh-CN"/>
    </w:rPr>
  </w:style>
  <w:style w:type="character" w:customStyle="1" w:styleId="ONUMEChar">
    <w:name w:val="ONUM E Char"/>
    <w:link w:val="ONUME"/>
    <w:locked/>
    <w:rsid w:val="000B7B49"/>
    <w:rPr>
      <w:rFonts w:ascii="Arial" w:eastAsia="SimSun" w:hAnsi="Arial" w:cs="Arial"/>
      <w:sz w:val="22"/>
      <w:lang w:eastAsia="zh-CN"/>
    </w:rPr>
  </w:style>
  <w:style w:type="character" w:styleId="Hyperlink">
    <w:name w:val="Hyperlink"/>
    <w:basedOn w:val="DefaultParagraphFont"/>
    <w:uiPriority w:val="99"/>
    <w:rsid w:val="001963EE"/>
    <w:rPr>
      <w:color w:val="0000FF" w:themeColor="hyperlink"/>
      <w:sz w:val="22"/>
      <w:u w:val="single"/>
    </w:rPr>
  </w:style>
  <w:style w:type="paragraph" w:styleId="ListParagraph">
    <w:name w:val="List Paragraph"/>
    <w:basedOn w:val="Normal"/>
    <w:uiPriority w:val="34"/>
    <w:qFormat/>
    <w:rsid w:val="000B7B49"/>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unhideWhenUsed/>
    <w:rsid w:val="000B7B49"/>
    <w:rPr>
      <w:vertAlign w:val="superscript"/>
    </w:rPr>
  </w:style>
  <w:style w:type="character" w:styleId="FollowedHyperlink">
    <w:name w:val="FollowedHyperlink"/>
    <w:basedOn w:val="DefaultParagraphFont"/>
    <w:rsid w:val="00EB4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pct/fr/circu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0</TotalTime>
  <Pages>7</Pages>
  <Words>3122</Words>
  <Characters>17602</Characters>
  <Application>Microsoft Office Word</Application>
  <DocSecurity>0</DocSecurity>
  <Lines>366</Lines>
  <Paragraphs>151</Paragraphs>
  <ScaleCrop>false</ScaleCrop>
  <HeadingPairs>
    <vt:vector size="2" baseType="variant">
      <vt:variant>
        <vt:lpstr>Title</vt:lpstr>
      </vt:variant>
      <vt:variant>
        <vt:i4>1</vt:i4>
      </vt:variant>
    </vt:vector>
  </HeadingPairs>
  <TitlesOfParts>
    <vt:vector size="1" baseType="lpstr">
      <vt:lpstr>PCT/WG/10/9</vt:lpstr>
    </vt:vector>
  </TitlesOfParts>
  <Company>WIPO</Company>
  <LinksUpToDate>false</LinksUpToDate>
  <CharactersWithSpaces>20573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PCT/WG/10/9</dc:title>
  <dc:subject>Coordination of Patent Examiner Training</dc:subject>
  <dc:creator>MARLOW Thomas</dc:creator>
  <cp:lastModifiedBy>MARLOW Thomas</cp:lastModifiedBy>
  <cp:revision>2</cp:revision>
  <cp:lastPrinted>2017-04-12T13:23:00Z</cp:lastPrinted>
  <dcterms:created xsi:type="dcterms:W3CDTF">2017-04-12T14:07:00Z</dcterms:created>
  <dcterms:modified xsi:type="dcterms:W3CDTF">2017-04-12T14:07:00Z</dcterms:modified>
</cp:coreProperties>
</file>