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A6CCE" w:rsidRPr="00DA6CCE" w:rsidTr="008C54B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A6CCE" w:rsidRPr="00DA6CCE" w:rsidRDefault="00DA6CCE" w:rsidP="008D5856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6CCE" w:rsidRPr="00DA6CCE" w:rsidRDefault="00DA6CCE" w:rsidP="008D5856">
            <w:pPr>
              <w:rPr>
                <w:lang w:val="fr-FR"/>
              </w:rPr>
            </w:pPr>
            <w:r w:rsidRPr="00DA6CCE">
              <w:rPr>
                <w:noProof/>
                <w:lang w:eastAsia="en-US"/>
              </w:rPr>
              <w:drawing>
                <wp:inline distT="0" distB="0" distL="0" distR="0" wp14:anchorId="2FDDB4C1" wp14:editId="676C2F32">
                  <wp:extent cx="1855470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6CCE" w:rsidRPr="00DA6CCE" w:rsidRDefault="00DA6CCE" w:rsidP="008D5856">
            <w:pPr>
              <w:jc w:val="right"/>
              <w:rPr>
                <w:lang w:val="fr-FR"/>
              </w:rPr>
            </w:pPr>
            <w:r w:rsidRPr="00DA6CC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A6CCE" w:rsidRPr="00DA6CCE" w:rsidTr="008C54B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A6CCE" w:rsidRPr="00DA6CCE" w:rsidRDefault="00DA6CCE" w:rsidP="008D585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6CCE">
              <w:rPr>
                <w:rFonts w:ascii="Arial Black" w:hAnsi="Arial Black"/>
                <w:caps/>
                <w:sz w:val="15"/>
                <w:lang w:val="fr-FR"/>
              </w:rPr>
              <w:t>PCT/WG/10/</w:t>
            </w:r>
            <w:bookmarkStart w:id="1" w:name="Code"/>
            <w:bookmarkEnd w:id="1"/>
            <w:r w:rsidRPr="00DA6CCE">
              <w:rPr>
                <w:rFonts w:ascii="Arial Black" w:hAnsi="Arial Black"/>
                <w:caps/>
                <w:sz w:val="15"/>
                <w:lang w:val="fr-FR"/>
              </w:rPr>
              <w:t xml:space="preserve">22 </w:t>
            </w:r>
          </w:p>
        </w:tc>
      </w:tr>
      <w:tr w:rsidR="00DA6CCE" w:rsidRPr="00DA6CCE" w:rsidTr="008C54B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A6CCE" w:rsidRPr="00DA6CCE" w:rsidRDefault="00DA6CCE" w:rsidP="008D585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6CC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DA6CC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DA6CC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A6CCE" w:rsidRPr="00DA6CCE" w:rsidTr="008C54B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A6CCE" w:rsidRPr="00DA6CCE" w:rsidRDefault="00DA6CCE" w:rsidP="008D585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6CC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DA6CC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DA6CCE">
              <w:rPr>
                <w:rFonts w:ascii="Arial Black" w:hAnsi="Arial Black"/>
                <w:caps/>
                <w:sz w:val="15"/>
                <w:lang w:val="fr-FR"/>
              </w:rPr>
              <w:t>27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A6CCE">
              <w:rPr>
                <w:rFonts w:ascii="Arial Black" w:hAnsi="Arial Black"/>
                <w:caps/>
                <w:sz w:val="15"/>
                <w:lang w:val="fr-FR"/>
              </w:rPr>
              <w:t>avril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A6CCE">
              <w:rPr>
                <w:rFonts w:ascii="Arial Black" w:hAnsi="Arial Black"/>
                <w:caps/>
                <w:sz w:val="15"/>
                <w:lang w:val="fr-FR"/>
              </w:rPr>
              <w:t>2017</w:t>
            </w:r>
          </w:p>
        </w:tc>
      </w:tr>
    </w:tbl>
    <w:p w:rsidR="00DA6CCE" w:rsidRPr="00DA6CCE" w:rsidRDefault="00DA6CCE" w:rsidP="008D5856">
      <w:pPr>
        <w:rPr>
          <w:lang w:val="fr-FR"/>
        </w:rPr>
      </w:pPr>
    </w:p>
    <w:p w:rsidR="00DA6CCE" w:rsidRPr="00DA6CCE" w:rsidRDefault="00DA6CCE" w:rsidP="008D5856">
      <w:pPr>
        <w:rPr>
          <w:lang w:val="fr-FR"/>
        </w:rPr>
      </w:pPr>
    </w:p>
    <w:p w:rsidR="00DA6CCE" w:rsidRPr="00DA6CCE" w:rsidRDefault="00DA6CCE" w:rsidP="008D5856">
      <w:pPr>
        <w:rPr>
          <w:lang w:val="fr-FR"/>
        </w:rPr>
      </w:pPr>
    </w:p>
    <w:p w:rsidR="00DA6CCE" w:rsidRPr="00DA6CCE" w:rsidRDefault="00DA6CCE" w:rsidP="008D5856">
      <w:pPr>
        <w:rPr>
          <w:lang w:val="fr-FR"/>
        </w:rPr>
      </w:pPr>
    </w:p>
    <w:p w:rsidR="00DA6CCE" w:rsidRPr="00DA6CCE" w:rsidRDefault="00DA6CCE" w:rsidP="008D5856">
      <w:pPr>
        <w:rPr>
          <w:lang w:val="fr-FR"/>
        </w:rPr>
      </w:pPr>
    </w:p>
    <w:p w:rsidR="00DA6CCE" w:rsidRPr="00DA6CCE" w:rsidRDefault="00DA6CCE" w:rsidP="008D5856">
      <w:pPr>
        <w:rPr>
          <w:b/>
          <w:sz w:val="28"/>
          <w:szCs w:val="28"/>
          <w:lang w:val="fr-FR"/>
        </w:rPr>
      </w:pPr>
      <w:r w:rsidRPr="00DA6CCE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DA6CCE" w:rsidRPr="00DA6CCE" w:rsidRDefault="00DA6CCE" w:rsidP="008D5856">
      <w:pPr>
        <w:rPr>
          <w:lang w:val="fr-FR"/>
        </w:rPr>
      </w:pPr>
    </w:p>
    <w:p w:rsidR="00DA6CCE" w:rsidRPr="00DA6CCE" w:rsidRDefault="00DA6CCE" w:rsidP="008D5856">
      <w:pPr>
        <w:rPr>
          <w:lang w:val="fr-FR"/>
        </w:rPr>
      </w:pPr>
    </w:p>
    <w:p w:rsidR="00DA6CCE" w:rsidRPr="00DA6CCE" w:rsidRDefault="00DA6CCE" w:rsidP="008D5856">
      <w:pPr>
        <w:rPr>
          <w:b/>
          <w:sz w:val="24"/>
          <w:szCs w:val="24"/>
          <w:lang w:val="fr-FR"/>
        </w:rPr>
      </w:pPr>
      <w:r w:rsidRPr="00DA6CCE">
        <w:rPr>
          <w:b/>
          <w:sz w:val="24"/>
          <w:szCs w:val="24"/>
          <w:lang w:val="fr-FR"/>
        </w:rPr>
        <w:t>Dix</w:t>
      </w:r>
      <w:r>
        <w:rPr>
          <w:b/>
          <w:sz w:val="24"/>
          <w:szCs w:val="24"/>
          <w:lang w:val="fr-FR"/>
        </w:rPr>
        <w:t>ième session</w:t>
      </w:r>
    </w:p>
    <w:p w:rsidR="00DA6CCE" w:rsidRPr="00DA6CCE" w:rsidRDefault="00DA6CCE" w:rsidP="008D5856">
      <w:pPr>
        <w:rPr>
          <w:b/>
          <w:sz w:val="24"/>
          <w:szCs w:val="24"/>
          <w:lang w:val="fr-FR"/>
        </w:rPr>
      </w:pPr>
      <w:r w:rsidRPr="00DA6CCE">
        <w:rPr>
          <w:b/>
          <w:sz w:val="24"/>
          <w:szCs w:val="24"/>
          <w:lang w:val="fr-FR"/>
        </w:rPr>
        <w:t>Genève, 8 – 12</w:t>
      </w:r>
      <w:r>
        <w:rPr>
          <w:b/>
          <w:sz w:val="24"/>
          <w:szCs w:val="24"/>
          <w:lang w:val="fr-FR"/>
        </w:rPr>
        <w:t> </w:t>
      </w:r>
      <w:r w:rsidRPr="00DA6CCE">
        <w:rPr>
          <w:b/>
          <w:sz w:val="24"/>
          <w:szCs w:val="24"/>
          <w:lang w:val="fr-FR"/>
        </w:rPr>
        <w:t>mai</w:t>
      </w:r>
      <w:r>
        <w:rPr>
          <w:b/>
          <w:sz w:val="24"/>
          <w:szCs w:val="24"/>
          <w:lang w:val="fr-FR"/>
        </w:rPr>
        <w:t> </w:t>
      </w:r>
      <w:r w:rsidRPr="00DA6CCE">
        <w:rPr>
          <w:b/>
          <w:sz w:val="24"/>
          <w:szCs w:val="24"/>
          <w:lang w:val="fr-FR"/>
        </w:rPr>
        <w:t>2017</w:t>
      </w:r>
    </w:p>
    <w:p w:rsidR="00DA6CCE" w:rsidRPr="00DA6CCE" w:rsidRDefault="00DA6CCE" w:rsidP="008D5856">
      <w:pPr>
        <w:rPr>
          <w:lang w:val="fr-FR"/>
        </w:rPr>
      </w:pPr>
    </w:p>
    <w:p w:rsidR="00DA6CCE" w:rsidRPr="00DA6CCE" w:rsidRDefault="00DA6CCE" w:rsidP="008D5856">
      <w:pPr>
        <w:rPr>
          <w:lang w:val="fr-FR"/>
        </w:rPr>
      </w:pPr>
    </w:p>
    <w:p w:rsidR="00DA6CCE" w:rsidRPr="00DA6CCE" w:rsidRDefault="00DA6CCE" w:rsidP="008D5856">
      <w:pPr>
        <w:rPr>
          <w:lang w:val="fr-FR"/>
        </w:rPr>
      </w:pPr>
    </w:p>
    <w:p w:rsidR="0089564A" w:rsidRPr="00DA6CCE" w:rsidRDefault="0089564A" w:rsidP="008D5856">
      <w:pPr>
        <w:rPr>
          <w:caps/>
          <w:sz w:val="24"/>
          <w:lang w:val="fr-FR"/>
        </w:rPr>
      </w:pPr>
      <w:proofErr w:type="spellStart"/>
      <w:proofErr w:type="gramStart"/>
      <w:r w:rsidRPr="00DA6CCE">
        <w:rPr>
          <w:sz w:val="24"/>
          <w:lang w:val="fr-FR"/>
        </w:rPr>
        <w:t>e</w:t>
      </w:r>
      <w:r w:rsidRPr="00DA6CCE">
        <w:rPr>
          <w:caps/>
          <w:sz w:val="24"/>
          <w:lang w:val="fr-FR"/>
        </w:rPr>
        <w:t>SearchCopy</w:t>
      </w:r>
      <w:proofErr w:type="spellEnd"/>
      <w:proofErr w:type="gramEnd"/>
    </w:p>
    <w:p w:rsidR="0089564A" w:rsidRPr="00DA6CCE" w:rsidRDefault="0089564A" w:rsidP="008D5856">
      <w:pPr>
        <w:rPr>
          <w:lang w:val="fr-FR"/>
        </w:rPr>
      </w:pPr>
    </w:p>
    <w:p w:rsidR="0089564A" w:rsidRPr="00DA6CCE" w:rsidRDefault="0089564A" w:rsidP="008D5856">
      <w:pPr>
        <w:rPr>
          <w:i/>
          <w:lang w:val="fr-FR"/>
        </w:rPr>
      </w:pPr>
      <w:bookmarkStart w:id="4" w:name="Prepared"/>
      <w:bookmarkEnd w:id="4"/>
      <w:r w:rsidRPr="00DA6CCE">
        <w:rPr>
          <w:i/>
          <w:lang w:val="fr-FR"/>
        </w:rPr>
        <w:t xml:space="preserve">Document </w:t>
      </w:r>
      <w:r w:rsidR="00234445" w:rsidRPr="00DA6CCE">
        <w:rPr>
          <w:i/>
          <w:lang w:val="fr-FR"/>
        </w:rPr>
        <w:t>établi par le</w:t>
      </w:r>
      <w:r w:rsidRPr="00DA6CCE">
        <w:rPr>
          <w:i/>
          <w:lang w:val="fr-FR"/>
        </w:rPr>
        <w:t xml:space="preserve"> Bureau</w:t>
      </w:r>
      <w:r w:rsidR="00234445" w:rsidRPr="00DA6CCE">
        <w:rPr>
          <w:i/>
          <w:lang w:val="fr-FR"/>
        </w:rPr>
        <w:t xml:space="preserve"> international</w:t>
      </w:r>
    </w:p>
    <w:p w:rsidR="0089564A" w:rsidRPr="00DA6CCE" w:rsidRDefault="0089564A" w:rsidP="008D5856">
      <w:pPr>
        <w:rPr>
          <w:lang w:val="fr-FR"/>
        </w:rPr>
      </w:pPr>
    </w:p>
    <w:p w:rsidR="0089564A" w:rsidRPr="00DA6CCE" w:rsidRDefault="0089564A" w:rsidP="008D5856">
      <w:pPr>
        <w:rPr>
          <w:lang w:val="fr-FR"/>
        </w:rPr>
      </w:pPr>
    </w:p>
    <w:p w:rsidR="0089564A" w:rsidRPr="00DA6CCE" w:rsidRDefault="0089564A" w:rsidP="008D5856">
      <w:pPr>
        <w:rPr>
          <w:lang w:val="fr-FR"/>
        </w:rPr>
      </w:pPr>
    </w:p>
    <w:p w:rsidR="0089564A" w:rsidRDefault="004D220E" w:rsidP="008D5856">
      <w:pPr>
        <w:pStyle w:val="Heading1"/>
        <w:rPr>
          <w:lang w:val="fr-FR"/>
        </w:rPr>
      </w:pPr>
      <w:r w:rsidRPr="00DA6CCE">
        <w:rPr>
          <w:lang w:val="fr-FR"/>
        </w:rPr>
        <w:t>Résumé</w:t>
      </w:r>
    </w:p>
    <w:p w:rsidR="004D220E" w:rsidRPr="004D220E" w:rsidRDefault="004D220E" w:rsidP="008D5856">
      <w:pPr>
        <w:rPr>
          <w:lang w:val="fr-FR"/>
        </w:rPr>
      </w:pPr>
    </w:p>
    <w:p w:rsidR="00234445" w:rsidRPr="00DA6CCE" w:rsidRDefault="00234445" w:rsidP="008D5856">
      <w:pPr>
        <w:pStyle w:val="ONUMFS"/>
        <w:rPr>
          <w:lang w:val="fr-FR"/>
        </w:rPr>
      </w:pPr>
      <w:bookmarkStart w:id="5" w:name="_Ref469922613"/>
      <w:r w:rsidRPr="00DA6CCE">
        <w:rPr>
          <w:lang w:val="fr-FR"/>
        </w:rPr>
        <w:t xml:space="preserve">Le </w:t>
      </w:r>
      <w:r w:rsidR="000C5F1F" w:rsidRPr="00DA6CCE">
        <w:rPr>
          <w:lang w:val="fr-FR"/>
        </w:rPr>
        <w:t xml:space="preserve">service </w:t>
      </w:r>
      <w:proofErr w:type="spellStart"/>
      <w:r w:rsidR="000C5F1F" w:rsidRPr="00DA6CCE">
        <w:rPr>
          <w:lang w:val="fr-FR"/>
        </w:rPr>
        <w:t>eSearchCopy</w:t>
      </w:r>
      <w:proofErr w:type="spellEnd"/>
      <w:r w:rsidR="000C5F1F" w:rsidRPr="00DA6CCE">
        <w:rPr>
          <w:lang w:val="fr-FR"/>
        </w:rPr>
        <w:t xml:space="preserve"> est à présent régulièrement utilisé par un grand nombre d</w:t>
      </w:r>
      <w:r w:rsidR="00DA6CCE">
        <w:rPr>
          <w:lang w:val="fr-FR"/>
        </w:rPr>
        <w:t>’</w:t>
      </w:r>
      <w:r w:rsidR="000C5F1F" w:rsidRPr="00DA6CCE">
        <w:rPr>
          <w:lang w:val="fr-FR"/>
        </w:rPr>
        <w:t>offices récepteurs</w:t>
      </w:r>
      <w:r w:rsidR="001821C0" w:rsidRPr="00DA6CCE">
        <w:rPr>
          <w:lang w:val="fr-FR"/>
        </w:rPr>
        <w:t xml:space="preserve"> </w:t>
      </w:r>
      <w:r w:rsidR="000C5F1F" w:rsidRPr="00DA6CCE">
        <w:rPr>
          <w:lang w:val="fr-FR"/>
        </w:rPr>
        <w:t>et d</w:t>
      </w:r>
      <w:r w:rsidR="00DA6CCE">
        <w:rPr>
          <w:lang w:val="fr-FR"/>
        </w:rPr>
        <w:t>’</w:t>
      </w:r>
      <w:r w:rsidR="000C5F1F" w:rsidRPr="00DA6CCE">
        <w:rPr>
          <w:lang w:val="fr-FR"/>
        </w:rPr>
        <w:t>administrations chargées de la recherche internationale et fonctionne bi</w:t>
      </w:r>
      <w:r w:rsidR="00982AC1" w:rsidRPr="00DA6CCE">
        <w:rPr>
          <w:lang w:val="fr-FR"/>
        </w:rPr>
        <w:t>en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Le</w:t>
      </w:r>
      <w:r w:rsidR="000C5F1F" w:rsidRPr="00DA6CCE">
        <w:rPr>
          <w:lang w:val="fr-FR"/>
        </w:rPr>
        <w:t xml:space="preserve"> Bureau international s</w:t>
      </w:r>
      <w:r w:rsidR="00DA6CCE">
        <w:rPr>
          <w:lang w:val="fr-FR"/>
        </w:rPr>
        <w:t>’</w:t>
      </w:r>
      <w:r w:rsidR="000C5F1F" w:rsidRPr="00DA6CCE">
        <w:rPr>
          <w:lang w:val="fr-FR"/>
        </w:rPr>
        <w:t>efforce d</w:t>
      </w:r>
      <w:r w:rsidR="00DA6CCE">
        <w:rPr>
          <w:lang w:val="fr-FR"/>
        </w:rPr>
        <w:t>’</w:t>
      </w:r>
      <w:r w:rsidR="000C5F1F" w:rsidRPr="00DA6CCE">
        <w:rPr>
          <w:lang w:val="fr-FR"/>
        </w:rPr>
        <w:t>encourager d</w:t>
      </w:r>
      <w:r w:rsidR="00DA6CCE">
        <w:rPr>
          <w:lang w:val="fr-FR"/>
        </w:rPr>
        <w:t>’</w:t>
      </w:r>
      <w:r w:rsidR="000C5F1F" w:rsidRPr="00DA6CCE">
        <w:rPr>
          <w:lang w:val="fr-FR"/>
        </w:rPr>
        <w:t>autres paires d</w:t>
      </w:r>
      <w:r w:rsidR="00DA6CCE">
        <w:rPr>
          <w:lang w:val="fr-FR"/>
        </w:rPr>
        <w:t>’</w:t>
      </w:r>
      <w:r w:rsidR="000C5F1F" w:rsidRPr="00DA6CCE">
        <w:rPr>
          <w:lang w:val="fr-FR"/>
        </w:rPr>
        <w:t xml:space="preserve">offices à utiliser ce système pour </w:t>
      </w:r>
      <w:r w:rsidR="00052F69" w:rsidRPr="00DA6CCE">
        <w:rPr>
          <w:lang w:val="fr-FR"/>
        </w:rPr>
        <w:t>la transmission</w:t>
      </w:r>
      <w:r w:rsidR="000C5F1F" w:rsidRPr="00DA6CCE">
        <w:rPr>
          <w:lang w:val="fr-FR"/>
        </w:rPr>
        <w:t xml:space="preserve"> des copies de recherche.</w:t>
      </w:r>
    </w:p>
    <w:p w:rsidR="0089564A" w:rsidRDefault="004D220E" w:rsidP="008D5856">
      <w:pPr>
        <w:pStyle w:val="Heading1"/>
        <w:rPr>
          <w:lang w:val="fr-FR"/>
        </w:rPr>
      </w:pPr>
      <w:r w:rsidRPr="00DA6CCE">
        <w:rPr>
          <w:lang w:val="fr-FR"/>
        </w:rPr>
        <w:t xml:space="preserve">Utilisation du service </w:t>
      </w:r>
      <w:proofErr w:type="spellStart"/>
      <w:r w:rsidRPr="00DA6CCE">
        <w:rPr>
          <w:caps w:val="0"/>
          <w:lang w:val="fr-FR"/>
        </w:rPr>
        <w:t>e</w:t>
      </w:r>
      <w:r w:rsidR="00052F69" w:rsidRPr="00DA6CCE">
        <w:rPr>
          <w:lang w:val="fr-FR"/>
        </w:rPr>
        <w:t>SearchCopy</w:t>
      </w:r>
      <w:proofErr w:type="spellEnd"/>
    </w:p>
    <w:p w:rsidR="004D220E" w:rsidRPr="004D220E" w:rsidRDefault="004D220E" w:rsidP="008D5856">
      <w:pPr>
        <w:rPr>
          <w:lang w:val="fr-FR"/>
        </w:rPr>
      </w:pPr>
    </w:p>
    <w:p w:rsidR="00052F69" w:rsidRPr="00DA6CCE" w:rsidRDefault="00052F69" w:rsidP="008D5856">
      <w:pPr>
        <w:pStyle w:val="ONUMFS"/>
        <w:rPr>
          <w:lang w:val="fr-FR"/>
        </w:rPr>
      </w:pPr>
      <w:r w:rsidRPr="00DA6CCE">
        <w:rPr>
          <w:lang w:val="fr-FR"/>
        </w:rPr>
        <w:t xml:space="preserve">Au moment de la rédaction du présent document, le service </w:t>
      </w:r>
      <w:proofErr w:type="spellStart"/>
      <w:r w:rsidRPr="00DA6CCE">
        <w:rPr>
          <w:lang w:val="fr-FR"/>
        </w:rPr>
        <w:t>eSearchCopy</w:t>
      </w:r>
      <w:proofErr w:type="spellEnd"/>
      <w:r w:rsidRPr="00DA6CCE">
        <w:rPr>
          <w:lang w:val="fr-FR"/>
        </w:rPr>
        <w:t xml:space="preserve"> était utilisé par 40</w:t>
      </w:r>
      <w:r w:rsidR="000C747A">
        <w:rPr>
          <w:lang w:val="fr-FR"/>
        </w:rPr>
        <w:t> </w:t>
      </w:r>
      <w:r w:rsidRPr="00DA6CCE">
        <w:rPr>
          <w:lang w:val="fr-FR"/>
        </w:rPr>
        <w:t>offices récepteurs et 16</w:t>
      </w:r>
      <w:r w:rsidR="000C747A">
        <w:rPr>
          <w:lang w:val="fr-FR"/>
        </w:rPr>
        <w:t> </w:t>
      </w:r>
      <w:r w:rsidRPr="00DA6CCE">
        <w:rPr>
          <w:lang w:val="fr-FR"/>
        </w:rPr>
        <w:t>administrations chargées de la recherche internationale, pour un total de 98</w:t>
      </w:r>
      <w:r w:rsidR="000C747A">
        <w:rPr>
          <w:lang w:val="fr-FR"/>
        </w:rPr>
        <w:t> </w:t>
      </w:r>
      <w:r w:rsidR="008F134B" w:rsidRPr="00DA6CCE">
        <w:rPr>
          <w:lang w:val="fr-FR"/>
        </w:rPr>
        <w:t>combinaisons</w:t>
      </w:r>
      <w:r w:rsidRPr="00DA6CCE">
        <w:rPr>
          <w:lang w:val="fr-FR"/>
        </w:rPr>
        <w:t>,</w:t>
      </w:r>
      <w:r w:rsidR="008F134B" w:rsidRPr="00DA6CCE">
        <w:rPr>
          <w:lang w:val="fr-FR"/>
        </w:rPr>
        <w:t xml:space="preserve"> et il était prévu que</w:t>
      </w:r>
      <w:r w:rsidRPr="00DA6CCE">
        <w:rPr>
          <w:lang w:val="fr-FR"/>
        </w:rPr>
        <w:t xml:space="preserve"> </w:t>
      </w:r>
      <w:r w:rsidR="008F134B" w:rsidRPr="00DA6CCE">
        <w:rPr>
          <w:lang w:val="fr-FR"/>
        </w:rPr>
        <w:t>plusieurs autres paires adoptent sous peu ce systè</w:t>
      </w:r>
      <w:r w:rsidR="00982AC1" w:rsidRPr="00DA6CCE">
        <w:rPr>
          <w:lang w:val="fr-FR"/>
        </w:rPr>
        <w:t>me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Le</w:t>
      </w:r>
      <w:r w:rsidR="008F134B" w:rsidRPr="00DA6CCE">
        <w:rPr>
          <w:lang w:val="fr-FR"/>
        </w:rPr>
        <w:t xml:space="preserve"> service </w:t>
      </w:r>
      <w:proofErr w:type="spellStart"/>
      <w:r w:rsidR="008F134B" w:rsidRPr="00DA6CCE">
        <w:rPr>
          <w:lang w:val="fr-FR"/>
        </w:rPr>
        <w:t>eSearchCopy</w:t>
      </w:r>
      <w:proofErr w:type="spellEnd"/>
      <w:r w:rsidR="008F134B" w:rsidRPr="00DA6CCE">
        <w:rPr>
          <w:lang w:val="fr-FR"/>
        </w:rPr>
        <w:t xml:space="preserve"> couvre environ 24% des copies de recherche transmises d</w:t>
      </w:r>
      <w:r w:rsidR="00DA6CCE">
        <w:rPr>
          <w:lang w:val="fr-FR"/>
        </w:rPr>
        <w:t>’</w:t>
      </w:r>
      <w:r w:rsidR="008F134B" w:rsidRPr="00DA6CCE">
        <w:rPr>
          <w:lang w:val="fr-FR"/>
        </w:rPr>
        <w:t>un office</w:t>
      </w:r>
      <w:r w:rsidR="00653CD4" w:rsidRPr="00DA6CCE">
        <w:rPr>
          <w:lang w:val="fr-FR"/>
        </w:rPr>
        <w:t xml:space="preserve"> récepteur à un office représentant l</w:t>
      </w:r>
      <w:r w:rsidR="00DA6CCE">
        <w:rPr>
          <w:lang w:val="fr-FR"/>
        </w:rPr>
        <w:t>’</w:t>
      </w:r>
      <w:r w:rsidR="008F134B" w:rsidRPr="00DA6CCE">
        <w:rPr>
          <w:lang w:val="fr-FR"/>
        </w:rPr>
        <w:t>administration chargée de la recherche internationale.</w:t>
      </w:r>
    </w:p>
    <w:bookmarkEnd w:id="5"/>
    <w:p w:rsidR="008F134B" w:rsidRPr="00DA6CCE" w:rsidRDefault="00A871DD" w:rsidP="008D5856">
      <w:pPr>
        <w:pStyle w:val="ONUMFS"/>
        <w:rPr>
          <w:lang w:val="fr-FR"/>
        </w:rPr>
      </w:pPr>
      <w:r w:rsidRPr="00DA6CCE">
        <w:rPr>
          <w:lang w:val="fr-FR"/>
        </w:rPr>
        <w:t>A</w:t>
      </w:r>
      <w:r w:rsidR="00B3570A" w:rsidRPr="00DA6CCE">
        <w:rPr>
          <w:lang w:val="fr-FR"/>
        </w:rPr>
        <w:t>ctuellement</w:t>
      </w:r>
      <w:r w:rsidRPr="00DA6CCE">
        <w:rPr>
          <w:lang w:val="fr-FR"/>
        </w:rPr>
        <w:t>,</w:t>
      </w:r>
      <w:r w:rsidR="00B3570A" w:rsidRPr="00DA6CCE">
        <w:rPr>
          <w:lang w:val="fr-FR"/>
        </w:rPr>
        <w:t xml:space="preserve"> </w:t>
      </w:r>
      <w:r w:rsidR="008F134B" w:rsidRPr="00DA6CCE">
        <w:rPr>
          <w:lang w:val="fr-FR"/>
        </w:rPr>
        <w:t>285</w:t>
      </w:r>
      <w:r w:rsidR="000C747A">
        <w:rPr>
          <w:lang w:val="fr-FR"/>
        </w:rPr>
        <w:t> </w:t>
      </w:r>
      <w:r w:rsidR="008F134B" w:rsidRPr="00DA6CCE">
        <w:rPr>
          <w:lang w:val="fr-FR"/>
        </w:rPr>
        <w:t>paires d</w:t>
      </w:r>
      <w:r w:rsidR="00DA6CCE">
        <w:rPr>
          <w:lang w:val="fr-FR"/>
        </w:rPr>
        <w:t>’</w:t>
      </w:r>
      <w:r w:rsidR="008F134B" w:rsidRPr="00DA6CCE">
        <w:rPr>
          <w:lang w:val="fr-FR"/>
        </w:rPr>
        <w:t>offices récepteurs et d</w:t>
      </w:r>
      <w:r w:rsidR="00DA6CCE">
        <w:rPr>
          <w:lang w:val="fr-FR"/>
        </w:rPr>
        <w:t>’</w:t>
      </w:r>
      <w:r w:rsidR="008F134B" w:rsidRPr="00DA6CCE">
        <w:rPr>
          <w:lang w:val="fr-FR"/>
        </w:rPr>
        <w:t xml:space="preserve">administrations chargées de la recherche internationale </w:t>
      </w:r>
      <w:r w:rsidR="00B3570A" w:rsidRPr="00DA6CCE">
        <w:rPr>
          <w:lang w:val="fr-FR"/>
        </w:rPr>
        <w:t xml:space="preserve">utilisent </w:t>
      </w:r>
      <w:r w:rsidRPr="00DA6CCE">
        <w:rPr>
          <w:lang w:val="fr-FR"/>
        </w:rPr>
        <w:t xml:space="preserve">encore </w:t>
      </w:r>
      <w:r w:rsidR="00B3570A" w:rsidRPr="00DA6CCE">
        <w:rPr>
          <w:lang w:val="fr-FR"/>
        </w:rPr>
        <w:t>des moyens différents pour transmettre les copies de recherc</w:t>
      </w:r>
      <w:r w:rsidR="00982AC1" w:rsidRPr="00DA6CCE">
        <w:rPr>
          <w:lang w:val="fr-FR"/>
        </w:rPr>
        <w:t>he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L</w:t>
      </w:r>
      <w:r w:rsidR="00982AC1">
        <w:rPr>
          <w:lang w:val="fr-FR"/>
        </w:rPr>
        <w:t>’</w:t>
      </w:r>
      <w:r w:rsidR="00982AC1" w:rsidRPr="00DA6CCE">
        <w:rPr>
          <w:lang w:val="fr-FR"/>
        </w:rPr>
        <w:t>a</w:t>
      </w:r>
      <w:r w:rsidR="008F134B" w:rsidRPr="00DA6CCE">
        <w:rPr>
          <w:lang w:val="fr-FR"/>
        </w:rPr>
        <w:t>nnexe du présent document indique</w:t>
      </w:r>
      <w:r w:rsidRPr="00DA6CCE">
        <w:rPr>
          <w:lang w:val="fr-FR"/>
        </w:rPr>
        <w:t xml:space="preserve"> quels étaient, au moment de la rédaction du présent document,</w:t>
      </w:r>
      <w:r w:rsidR="008F134B" w:rsidRPr="00DA6CCE">
        <w:rPr>
          <w:lang w:val="fr-FR"/>
        </w:rPr>
        <w:t xml:space="preserve"> les offices récepteurs qui utilisaient le service </w:t>
      </w:r>
      <w:proofErr w:type="spellStart"/>
      <w:r w:rsidR="008F134B" w:rsidRPr="00DA6CCE">
        <w:rPr>
          <w:lang w:val="fr-FR"/>
        </w:rPr>
        <w:t>eSearchCopy</w:t>
      </w:r>
      <w:proofErr w:type="spellEnd"/>
      <w:r w:rsidR="00B3570A" w:rsidRPr="00DA6CCE">
        <w:rPr>
          <w:lang w:val="fr-FR"/>
        </w:rPr>
        <w:t xml:space="preserve"> </w:t>
      </w:r>
      <w:r w:rsidR="00BE7785" w:rsidRPr="00DA6CCE">
        <w:rPr>
          <w:lang w:val="fr-FR"/>
        </w:rPr>
        <w:t>et ceux qui ne l</w:t>
      </w:r>
      <w:r w:rsidR="00DA6CCE">
        <w:rPr>
          <w:lang w:val="fr-FR"/>
        </w:rPr>
        <w:t>’</w:t>
      </w:r>
      <w:r w:rsidR="00BE7785" w:rsidRPr="00DA6CCE">
        <w:rPr>
          <w:lang w:val="fr-FR"/>
        </w:rPr>
        <w:t xml:space="preserve">utilisaient pas </w:t>
      </w:r>
      <w:r w:rsidRPr="00DA6CCE">
        <w:rPr>
          <w:lang w:val="fr-FR"/>
        </w:rPr>
        <w:t>pour transmettre les copies de recherche aux différentes administrations chargées de la recherche internationale.</w:t>
      </w:r>
    </w:p>
    <w:p w:rsidR="0089564A" w:rsidRPr="00DA6CCE" w:rsidRDefault="007032C0" w:rsidP="008D5856">
      <w:pPr>
        <w:pStyle w:val="ONUMFS"/>
        <w:rPr>
          <w:lang w:val="fr-FR"/>
        </w:rPr>
      </w:pPr>
      <w:r w:rsidRPr="00DA6CCE">
        <w:rPr>
          <w:lang w:val="fr-FR"/>
        </w:rPr>
        <w:lastRenderedPageBreak/>
        <w:t>Le tableau ci</w:t>
      </w:r>
      <w:r w:rsidR="004D220E">
        <w:rPr>
          <w:lang w:val="fr-FR"/>
        </w:rPr>
        <w:noBreakHyphen/>
      </w:r>
      <w:r w:rsidR="00E761DE" w:rsidRPr="00DA6CCE">
        <w:rPr>
          <w:lang w:val="fr-FR"/>
        </w:rPr>
        <w:t>après</w:t>
      </w:r>
      <w:r w:rsidRPr="00DA6CCE">
        <w:rPr>
          <w:lang w:val="fr-FR"/>
        </w:rPr>
        <w:t xml:space="preserve"> indique dans quelle mesure les différentes administrations chargées de la recherche inter</w:t>
      </w:r>
      <w:r w:rsidR="00E761DE" w:rsidRPr="00DA6CCE">
        <w:rPr>
          <w:lang w:val="fr-FR"/>
        </w:rPr>
        <w:t>nationale reçoivent l</w:t>
      </w:r>
      <w:r w:rsidRPr="00DA6CCE">
        <w:rPr>
          <w:lang w:val="fr-FR"/>
        </w:rPr>
        <w:t xml:space="preserve">es copies </w:t>
      </w:r>
      <w:r w:rsidR="00E761DE" w:rsidRPr="00DA6CCE">
        <w:rPr>
          <w:lang w:val="fr-FR"/>
        </w:rPr>
        <w:t xml:space="preserve">de recherche </w:t>
      </w:r>
      <w:r w:rsidR="006B3F69" w:rsidRPr="00DA6CCE">
        <w:rPr>
          <w:lang w:val="fr-FR"/>
        </w:rPr>
        <w:t xml:space="preserve">de la part </w:t>
      </w:r>
      <w:r w:rsidR="00653CD4" w:rsidRPr="00DA6CCE">
        <w:rPr>
          <w:lang w:val="fr-FR"/>
        </w:rPr>
        <w:t xml:space="preserve">des offices </w:t>
      </w:r>
      <w:r w:rsidR="00E761DE" w:rsidRPr="00DA6CCE">
        <w:rPr>
          <w:lang w:val="fr-FR"/>
        </w:rPr>
        <w:t xml:space="preserve">récepteurs par le biais du service </w:t>
      </w:r>
      <w:proofErr w:type="spellStart"/>
      <w:r w:rsidR="00E761DE" w:rsidRPr="00DA6CCE">
        <w:rPr>
          <w:lang w:val="fr-FR"/>
        </w:rPr>
        <w:t>eSearchCopy</w:t>
      </w:r>
      <w:proofErr w:type="spellEnd"/>
      <w:r w:rsidR="00043B10">
        <w:rPr>
          <w:lang w:val="fr-FR"/>
        </w:rPr>
        <w:t xml:space="preserve">; </w:t>
      </w:r>
      <w:r w:rsidR="00E761DE" w:rsidRPr="00DA6CCE">
        <w:rPr>
          <w:lang w:val="fr-FR"/>
        </w:rPr>
        <w:t xml:space="preserve"> il ne </w:t>
      </w:r>
      <w:r w:rsidR="006B3F69" w:rsidRPr="00DA6CCE">
        <w:rPr>
          <w:lang w:val="fr-FR"/>
        </w:rPr>
        <w:t xml:space="preserve">prend </w:t>
      </w:r>
      <w:r w:rsidR="00E761DE" w:rsidRPr="00DA6CCE">
        <w:rPr>
          <w:lang w:val="fr-FR"/>
        </w:rPr>
        <w:t xml:space="preserve">pas </w:t>
      </w:r>
      <w:r w:rsidR="006B3F69" w:rsidRPr="00DA6CCE">
        <w:rPr>
          <w:lang w:val="fr-FR"/>
        </w:rPr>
        <w:t xml:space="preserve">en </w:t>
      </w:r>
      <w:r w:rsidR="00E761DE" w:rsidRPr="00DA6CCE">
        <w:rPr>
          <w:lang w:val="fr-FR"/>
        </w:rPr>
        <w:t xml:space="preserve">compte </w:t>
      </w:r>
      <w:r w:rsidR="006B3F69" w:rsidRPr="00DA6CCE">
        <w:rPr>
          <w:lang w:val="fr-FR"/>
        </w:rPr>
        <w:t>l</w:t>
      </w:r>
      <w:r w:rsidR="00E761DE" w:rsidRPr="00DA6CCE">
        <w:rPr>
          <w:lang w:val="fr-FR"/>
        </w:rPr>
        <w:t xml:space="preserve">es demandes internationales </w:t>
      </w:r>
      <w:r w:rsidR="00653CD4" w:rsidRPr="00DA6CCE">
        <w:rPr>
          <w:lang w:val="fr-FR"/>
        </w:rPr>
        <w:t xml:space="preserve">dans le cas </w:t>
      </w:r>
      <w:r w:rsidR="00154020" w:rsidRPr="00DA6CCE">
        <w:rPr>
          <w:lang w:val="fr-FR"/>
        </w:rPr>
        <w:t>desquelles l</w:t>
      </w:r>
      <w:r w:rsidR="00DA6CCE">
        <w:rPr>
          <w:lang w:val="fr-FR"/>
        </w:rPr>
        <w:t>’</w:t>
      </w:r>
      <w:r w:rsidR="00154020" w:rsidRPr="00DA6CCE">
        <w:rPr>
          <w:lang w:val="fr-FR"/>
        </w:rPr>
        <w:t>office récepteur et l</w:t>
      </w:r>
      <w:r w:rsidR="00DA6CCE">
        <w:rPr>
          <w:lang w:val="fr-FR"/>
        </w:rPr>
        <w:t>’</w:t>
      </w:r>
      <w:r w:rsidR="00154020" w:rsidRPr="00DA6CCE">
        <w:rPr>
          <w:lang w:val="fr-FR"/>
        </w:rPr>
        <w:t>administration chargée de la recherche internationale</w:t>
      </w:r>
      <w:r w:rsidR="00EE46B2" w:rsidRPr="00DA6CCE">
        <w:rPr>
          <w:lang w:val="fr-FR"/>
        </w:rPr>
        <w:t xml:space="preserve"> ne forment qu</w:t>
      </w:r>
      <w:r w:rsidR="00DA6CCE">
        <w:rPr>
          <w:lang w:val="fr-FR"/>
        </w:rPr>
        <w:t>’</w:t>
      </w:r>
      <w:r w:rsidR="00EE46B2" w:rsidRPr="00DA6CCE">
        <w:rPr>
          <w:lang w:val="fr-FR"/>
        </w:rPr>
        <w:t>un seul et même office</w:t>
      </w:r>
      <w:r w:rsidR="00154020" w:rsidRPr="00DA6CCE">
        <w:rPr>
          <w:lang w:val="fr-FR"/>
        </w:rPr>
        <w:t xml:space="preserve"> (dans ce cas, </w:t>
      </w:r>
      <w:r w:rsidR="00173704" w:rsidRPr="00DA6CCE">
        <w:rPr>
          <w:lang w:val="fr-FR"/>
        </w:rPr>
        <w:t xml:space="preserve">il est </w:t>
      </w:r>
      <w:r w:rsidR="00EE46B2" w:rsidRPr="00DA6CCE">
        <w:rPr>
          <w:lang w:val="fr-FR"/>
        </w:rPr>
        <w:t xml:space="preserve">normalement </w:t>
      </w:r>
      <w:r w:rsidR="00173704" w:rsidRPr="00DA6CCE">
        <w:rPr>
          <w:lang w:val="fr-FR"/>
        </w:rPr>
        <w:t>prévu que l</w:t>
      </w:r>
      <w:r w:rsidR="00DA6CCE">
        <w:rPr>
          <w:lang w:val="fr-FR"/>
        </w:rPr>
        <w:t>’</w:t>
      </w:r>
      <w:r w:rsidR="00173704" w:rsidRPr="00DA6CCE">
        <w:rPr>
          <w:lang w:val="fr-FR"/>
        </w:rPr>
        <w:t>office concerné</w:t>
      </w:r>
      <w:r w:rsidR="00154020" w:rsidRPr="00DA6CCE">
        <w:rPr>
          <w:lang w:val="fr-FR"/>
        </w:rPr>
        <w:t xml:space="preserve"> </w:t>
      </w:r>
      <w:r w:rsidR="00EE46B2" w:rsidRPr="00DA6CCE">
        <w:rPr>
          <w:lang w:val="fr-FR"/>
        </w:rPr>
        <w:t>ajoute</w:t>
      </w:r>
      <w:r w:rsidR="00154020" w:rsidRPr="00DA6CCE">
        <w:rPr>
          <w:lang w:val="fr-FR"/>
        </w:rPr>
        <w:t xml:space="preserve"> ses données </w:t>
      </w:r>
      <w:r w:rsidR="00EE46B2" w:rsidRPr="00DA6CCE">
        <w:rPr>
          <w:lang w:val="fr-FR"/>
        </w:rPr>
        <w:t xml:space="preserve">propres </w:t>
      </w:r>
      <w:r w:rsidR="00154020" w:rsidRPr="00DA6CCE">
        <w:rPr>
          <w:lang w:val="fr-FR"/>
        </w:rPr>
        <w:t>dans le système</w:t>
      </w:r>
      <w:r w:rsidR="00EE46B2" w:rsidRPr="00DA6CCE">
        <w:rPr>
          <w:lang w:val="fr-FR"/>
        </w:rPr>
        <w:t xml:space="preserve"> de recherche</w:t>
      </w:r>
      <w:r w:rsidR="00043B10">
        <w:rPr>
          <w:lang w:val="fr-FR"/>
        </w:rPr>
        <w:t xml:space="preserve">; </w:t>
      </w:r>
      <w:r w:rsidR="00653CD4" w:rsidRPr="00DA6CCE">
        <w:rPr>
          <w:lang w:val="fr-FR"/>
        </w:rPr>
        <w:t xml:space="preserve"> </w:t>
      </w:r>
      <w:r w:rsidR="00A871DD" w:rsidRPr="00DA6CCE">
        <w:rPr>
          <w:lang w:val="fr-FR"/>
        </w:rPr>
        <w:t>ce dernier</w:t>
      </w:r>
      <w:r w:rsidR="00EE46B2" w:rsidRPr="00DA6CCE">
        <w:rPr>
          <w:lang w:val="fr-FR"/>
        </w:rPr>
        <w:t xml:space="preserve"> p</w:t>
      </w:r>
      <w:r w:rsidR="00653CD4" w:rsidRPr="00DA6CCE">
        <w:rPr>
          <w:lang w:val="fr-FR"/>
        </w:rPr>
        <w:t>eut cependant</w:t>
      </w:r>
      <w:r w:rsidR="00EE46B2" w:rsidRPr="00DA6CCE">
        <w:rPr>
          <w:lang w:val="fr-FR"/>
        </w:rPr>
        <w:t xml:space="preserve"> </w:t>
      </w:r>
      <w:r w:rsidR="00154020" w:rsidRPr="00DA6CCE">
        <w:rPr>
          <w:lang w:val="fr-FR"/>
        </w:rPr>
        <w:t xml:space="preserve">être configuré de manière à transmettre les copies de recherche </w:t>
      </w:r>
      <w:r w:rsidR="00EE46B2" w:rsidRPr="00DA6CCE">
        <w:rPr>
          <w:lang w:val="fr-FR"/>
        </w:rPr>
        <w:t xml:space="preserve">à ce même office en </w:t>
      </w:r>
      <w:r w:rsidR="006B3F69" w:rsidRPr="00DA6CCE">
        <w:rPr>
          <w:lang w:val="fr-FR"/>
        </w:rPr>
        <w:t>sa qualité d</w:t>
      </w:r>
      <w:r w:rsidR="00DA6CCE">
        <w:rPr>
          <w:lang w:val="fr-FR"/>
        </w:rPr>
        <w:t>’</w:t>
      </w:r>
      <w:r w:rsidR="00EE46B2" w:rsidRPr="00DA6CCE">
        <w:rPr>
          <w:lang w:val="fr-FR"/>
        </w:rPr>
        <w:t>administration chargée de la recherche internationale si cela peut faciliter les processus d</w:t>
      </w:r>
      <w:r w:rsidR="00DA6CCE">
        <w:rPr>
          <w:lang w:val="fr-FR"/>
        </w:rPr>
        <w:t>’</w:t>
      </w:r>
      <w:r w:rsidR="00EE46B2" w:rsidRPr="00DA6CCE">
        <w:rPr>
          <w:lang w:val="fr-FR"/>
        </w:rPr>
        <w:t xml:space="preserve">importation de </w:t>
      </w:r>
      <w:r w:rsidR="00A871DD" w:rsidRPr="00DA6CCE">
        <w:rPr>
          <w:lang w:val="fr-FR"/>
        </w:rPr>
        <w:t>celle</w:t>
      </w:r>
      <w:r w:rsidR="004D220E">
        <w:rPr>
          <w:lang w:val="fr-FR"/>
        </w:rPr>
        <w:noBreakHyphen/>
      </w:r>
      <w:r w:rsidR="00982AC1" w:rsidRPr="00DA6CCE">
        <w:rPr>
          <w:lang w:val="fr-FR"/>
        </w:rPr>
        <w:t>ci)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La</w:t>
      </w:r>
      <w:r w:rsidR="00EE46B2" w:rsidRPr="00DA6CCE">
        <w:rPr>
          <w:lang w:val="fr-FR"/>
        </w:rPr>
        <w:t xml:space="preserve"> dernière colonne, qui indique le pourcentage des copies de recherche transmises par le biais du service </w:t>
      </w:r>
      <w:proofErr w:type="spellStart"/>
      <w:r w:rsidR="00EE46B2" w:rsidRPr="00DA6CCE">
        <w:rPr>
          <w:lang w:val="fr-FR"/>
        </w:rPr>
        <w:t>eSearchCopy</w:t>
      </w:r>
      <w:proofErr w:type="spellEnd"/>
      <w:r w:rsidR="00EE46B2" w:rsidRPr="00DA6CCE">
        <w:rPr>
          <w:lang w:val="fr-FR"/>
        </w:rPr>
        <w:t xml:space="preserve">, </w:t>
      </w:r>
      <w:r w:rsidR="00565FFA" w:rsidRPr="00DA6CCE">
        <w:rPr>
          <w:lang w:val="fr-FR"/>
        </w:rPr>
        <w:t>constitue</w:t>
      </w:r>
      <w:r w:rsidR="00F72208" w:rsidRPr="00DA6CCE">
        <w:rPr>
          <w:lang w:val="fr-FR"/>
        </w:rPr>
        <w:t xml:space="preserve"> une approximation fondée sur l</w:t>
      </w:r>
      <w:r w:rsidR="00DA6CCE">
        <w:rPr>
          <w:lang w:val="fr-FR"/>
        </w:rPr>
        <w:t>’</w:t>
      </w:r>
      <w:r w:rsidR="00F72208" w:rsidRPr="00DA6CCE">
        <w:rPr>
          <w:lang w:val="fr-FR"/>
        </w:rPr>
        <w:t xml:space="preserve">utilisation du service </w:t>
      </w:r>
      <w:proofErr w:type="spellStart"/>
      <w:r w:rsidR="00F72208" w:rsidRPr="00DA6CCE">
        <w:rPr>
          <w:lang w:val="fr-FR"/>
        </w:rPr>
        <w:t>eSearchCopy</w:t>
      </w:r>
      <w:proofErr w:type="spellEnd"/>
      <w:r w:rsidR="00F72208" w:rsidRPr="00DA6CCE">
        <w:rPr>
          <w:lang w:val="fr-FR"/>
        </w:rPr>
        <w:t xml:space="preserve"> </w:t>
      </w:r>
      <w:r w:rsidR="00DC79FD" w:rsidRPr="00DA6CCE">
        <w:rPr>
          <w:lang w:val="fr-FR"/>
        </w:rPr>
        <w:t xml:space="preserve">entre </w:t>
      </w:r>
      <w:r w:rsidR="00565FFA" w:rsidRPr="00DA6CCE">
        <w:rPr>
          <w:lang w:val="fr-FR"/>
        </w:rPr>
        <w:t>les offices</w:t>
      </w:r>
      <w:r w:rsidR="00DC79FD" w:rsidRPr="00DA6CCE">
        <w:rPr>
          <w:lang w:val="fr-FR"/>
        </w:rPr>
        <w:t xml:space="preserve"> récepteur</w:t>
      </w:r>
      <w:r w:rsidR="00565FFA" w:rsidRPr="00DA6CCE">
        <w:rPr>
          <w:lang w:val="fr-FR"/>
        </w:rPr>
        <w:t>s</w:t>
      </w:r>
      <w:r w:rsidR="00DC79FD" w:rsidRPr="00DA6CCE">
        <w:rPr>
          <w:lang w:val="fr-FR"/>
        </w:rPr>
        <w:t xml:space="preserve"> et </w:t>
      </w:r>
      <w:r w:rsidR="00565FFA" w:rsidRPr="00DA6CCE">
        <w:rPr>
          <w:lang w:val="fr-FR"/>
        </w:rPr>
        <w:t>l</w:t>
      </w:r>
      <w:r w:rsidR="00DA6CCE">
        <w:rPr>
          <w:lang w:val="fr-FR"/>
        </w:rPr>
        <w:t>’</w:t>
      </w:r>
      <w:r w:rsidR="000C747A">
        <w:rPr>
          <w:lang w:val="fr-FR"/>
        </w:rPr>
        <w:t>administration chargée de la recherche internationale</w:t>
      </w:r>
      <w:r w:rsidR="00653CD4" w:rsidRPr="00DA6CCE">
        <w:rPr>
          <w:lang w:val="fr-FR"/>
        </w:rPr>
        <w:t xml:space="preserve"> concernée, et </w:t>
      </w:r>
      <w:r w:rsidR="00DC79FD" w:rsidRPr="00DA6CCE">
        <w:rPr>
          <w:lang w:val="fr-FR"/>
        </w:rPr>
        <w:t xml:space="preserve">pondérée </w:t>
      </w:r>
      <w:r w:rsidR="00653CD4" w:rsidRPr="00DA6CCE">
        <w:rPr>
          <w:lang w:val="fr-FR"/>
        </w:rPr>
        <w:t>par le nombre</w:t>
      </w:r>
      <w:r w:rsidR="00DC79FD" w:rsidRPr="00DA6CCE">
        <w:rPr>
          <w:lang w:val="fr-FR"/>
        </w:rPr>
        <w:t xml:space="preserve"> réel de copies de recherche transmises entre ces paires au cours de l</w:t>
      </w:r>
      <w:r w:rsidR="00DA6CCE">
        <w:rPr>
          <w:lang w:val="fr-FR"/>
        </w:rPr>
        <w:t>’</w:t>
      </w:r>
      <w:r w:rsidR="00D85325" w:rsidRPr="00DA6CCE">
        <w:rPr>
          <w:lang w:val="fr-FR"/>
        </w:rPr>
        <w:t xml:space="preserve">année 2016. </w:t>
      </w:r>
      <w:r w:rsidR="00043B10">
        <w:rPr>
          <w:lang w:val="fr-FR"/>
        </w:rPr>
        <w:t xml:space="preserve"> </w:t>
      </w:r>
      <w:r w:rsidR="00D85325" w:rsidRPr="00DA6CCE">
        <w:rPr>
          <w:lang w:val="fr-FR"/>
        </w:rPr>
        <w:t>Il est possible que l</w:t>
      </w:r>
      <w:r w:rsidR="00DA6CCE">
        <w:rPr>
          <w:lang w:val="fr-FR"/>
        </w:rPr>
        <w:t>’</w:t>
      </w:r>
      <w:r w:rsidR="00D85325" w:rsidRPr="00DA6CCE">
        <w:rPr>
          <w:lang w:val="fr-FR"/>
        </w:rPr>
        <w:t>on retrouve des différences mineures dans la pratique si l</w:t>
      </w:r>
      <w:r w:rsidR="00DA6CCE">
        <w:rPr>
          <w:lang w:val="fr-FR"/>
        </w:rPr>
        <w:t>’</w:t>
      </w:r>
      <w:r w:rsidR="000C747A">
        <w:rPr>
          <w:lang w:val="fr-FR"/>
        </w:rPr>
        <w:t>administration chargée de la recherche internationale</w:t>
      </w:r>
      <w:r w:rsidR="00D85325" w:rsidRPr="00DA6CCE">
        <w:rPr>
          <w:lang w:val="fr-FR"/>
        </w:rPr>
        <w:t xml:space="preserve"> compétente </w:t>
      </w:r>
      <w:r w:rsidR="00DA6CCE">
        <w:rPr>
          <w:lang w:val="fr-FR"/>
        </w:rPr>
        <w:t>à l’égard</w:t>
      </w:r>
      <w:r w:rsidR="00D85325" w:rsidRPr="00DA6CCE">
        <w:rPr>
          <w:lang w:val="fr-FR"/>
        </w:rPr>
        <w:t xml:space="preserve"> des différents offices récepteurs n</w:t>
      </w:r>
      <w:r w:rsidR="00DA6CCE">
        <w:rPr>
          <w:lang w:val="fr-FR"/>
        </w:rPr>
        <w:t>’</w:t>
      </w:r>
      <w:r w:rsidR="00D85325" w:rsidRPr="00DA6CCE">
        <w:rPr>
          <w:lang w:val="fr-FR"/>
        </w:rPr>
        <w:t>est plus la même, ou si les modalités d</w:t>
      </w:r>
      <w:r w:rsidR="00DA6CCE">
        <w:rPr>
          <w:lang w:val="fr-FR"/>
        </w:rPr>
        <w:t>’</w:t>
      </w:r>
      <w:r w:rsidR="00D85325" w:rsidRPr="00DA6CCE">
        <w:rPr>
          <w:lang w:val="fr-FR"/>
        </w:rPr>
        <w:t>utilisation ont changé de manière significative pour d</w:t>
      </w:r>
      <w:r w:rsidR="00DA6CCE">
        <w:rPr>
          <w:lang w:val="fr-FR"/>
        </w:rPr>
        <w:t>’</w:t>
      </w:r>
      <w:r w:rsidR="00D85325" w:rsidRPr="00DA6CCE">
        <w:rPr>
          <w:lang w:val="fr-FR"/>
        </w:rPr>
        <w:t>autres raisons.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3"/>
        <w:gridCol w:w="1706"/>
        <w:gridCol w:w="1880"/>
        <w:gridCol w:w="1756"/>
        <w:gridCol w:w="2336"/>
      </w:tblGrid>
      <w:tr w:rsidR="0089564A" w:rsidRPr="00C46516" w:rsidTr="004D220E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64A" w:rsidRPr="004D220E" w:rsidRDefault="000C747A" w:rsidP="008D5856">
            <w:pPr>
              <w:keepNext/>
              <w:keepLines/>
              <w:jc w:val="center"/>
              <w:rPr>
                <w:rFonts w:eastAsiaTheme="minorHAnsi"/>
                <w:b/>
                <w:sz w:val="20"/>
                <w:szCs w:val="22"/>
                <w:lang w:val="fr-FR" w:eastAsia="en-US"/>
              </w:rPr>
            </w:pPr>
            <w:r w:rsidRPr="004D220E">
              <w:rPr>
                <w:rFonts w:eastAsiaTheme="minorHAnsi"/>
                <w:b/>
                <w:sz w:val="20"/>
                <w:szCs w:val="22"/>
                <w:lang w:val="fr-FR" w:eastAsia="en-US"/>
              </w:rPr>
              <w:t xml:space="preserve">Administration chargée de la recherche internationale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64A" w:rsidRPr="004D220E" w:rsidRDefault="00EE09AD" w:rsidP="008D5856">
            <w:pPr>
              <w:keepNext/>
              <w:keepLines/>
              <w:jc w:val="center"/>
              <w:rPr>
                <w:rFonts w:eastAsiaTheme="minorHAnsi"/>
                <w:b/>
                <w:sz w:val="20"/>
                <w:szCs w:val="22"/>
                <w:lang w:val="fr-FR" w:eastAsia="en-US"/>
              </w:rPr>
            </w:pPr>
            <w:r w:rsidRPr="004D220E">
              <w:rPr>
                <w:b/>
                <w:sz w:val="20"/>
                <w:lang w:val="fr-FR" w:eastAsia="en-US"/>
              </w:rPr>
              <w:t>Nombre d</w:t>
            </w:r>
            <w:r w:rsidR="00DA6CCE" w:rsidRPr="004D220E">
              <w:rPr>
                <w:b/>
                <w:sz w:val="20"/>
                <w:lang w:val="fr-FR" w:eastAsia="en-US"/>
              </w:rPr>
              <w:t>’</w:t>
            </w:r>
            <w:r w:rsidRPr="004D220E">
              <w:rPr>
                <w:b/>
                <w:sz w:val="20"/>
                <w:lang w:val="fr-FR" w:eastAsia="en-US"/>
              </w:rPr>
              <w:t xml:space="preserve">autres </w:t>
            </w:r>
            <w:r w:rsidR="000C747A" w:rsidRPr="004D220E">
              <w:rPr>
                <w:b/>
                <w:sz w:val="20"/>
                <w:lang w:val="fr-FR" w:eastAsia="en-US"/>
              </w:rPr>
              <w:t>offices récepteurs</w:t>
            </w:r>
            <w:r w:rsidR="001821C0" w:rsidRPr="004D220E">
              <w:rPr>
                <w:b/>
                <w:sz w:val="20"/>
                <w:lang w:val="fr-FR" w:eastAsia="en-US"/>
              </w:rPr>
              <w:t xml:space="preserve"> </w:t>
            </w:r>
            <w:r w:rsidR="00DA6CCE" w:rsidRPr="004D220E">
              <w:rPr>
                <w:b/>
                <w:sz w:val="20"/>
                <w:lang w:val="fr-FR" w:eastAsia="en-US"/>
              </w:rPr>
              <w:t>à l’égard</w:t>
            </w:r>
            <w:r w:rsidRPr="004D220E">
              <w:rPr>
                <w:b/>
                <w:sz w:val="20"/>
                <w:lang w:val="fr-FR" w:eastAsia="en-US"/>
              </w:rPr>
              <w:t xml:space="preserve"> d</w:t>
            </w:r>
            <w:r w:rsidR="001821C0" w:rsidRPr="004D220E">
              <w:rPr>
                <w:b/>
                <w:sz w:val="20"/>
                <w:lang w:val="fr-FR" w:eastAsia="en-US"/>
              </w:rPr>
              <w:t>esquels l</w:t>
            </w:r>
            <w:r w:rsidR="00DA6CCE" w:rsidRPr="004D220E">
              <w:rPr>
                <w:b/>
                <w:sz w:val="20"/>
                <w:lang w:val="fr-FR" w:eastAsia="en-US"/>
              </w:rPr>
              <w:t>’</w:t>
            </w:r>
            <w:r w:rsidR="000C747A" w:rsidRPr="004D220E">
              <w:rPr>
                <w:b/>
                <w:sz w:val="20"/>
                <w:lang w:val="fr-FR" w:eastAsia="en-US"/>
              </w:rPr>
              <w:t>administration chargée de la recherche internationale</w:t>
            </w:r>
            <w:r w:rsidRPr="004D220E">
              <w:rPr>
                <w:b/>
                <w:sz w:val="20"/>
                <w:lang w:val="fr-FR" w:eastAsia="en-US"/>
              </w:rPr>
              <w:t xml:space="preserve"> est compétente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64A" w:rsidRPr="004D220E" w:rsidRDefault="009A08A7" w:rsidP="008D5856">
            <w:pPr>
              <w:keepNext/>
              <w:keepLines/>
              <w:jc w:val="center"/>
              <w:rPr>
                <w:rFonts w:eastAsiaTheme="minorHAnsi"/>
                <w:b/>
                <w:sz w:val="20"/>
                <w:szCs w:val="22"/>
                <w:lang w:val="fr-FR" w:eastAsia="en-US"/>
              </w:rPr>
            </w:pPr>
            <w:r w:rsidRPr="004D220E">
              <w:rPr>
                <w:b/>
                <w:sz w:val="20"/>
                <w:lang w:val="fr-FR" w:eastAsia="en-US"/>
              </w:rPr>
              <w:t xml:space="preserve">Nombre </w:t>
            </w:r>
            <w:r w:rsidR="000C747A" w:rsidRPr="004D220E">
              <w:rPr>
                <w:b/>
                <w:sz w:val="20"/>
                <w:lang w:val="fr-FR" w:eastAsia="en-US"/>
              </w:rPr>
              <w:t xml:space="preserve">d’offices récepteurs </w:t>
            </w:r>
            <w:r w:rsidRPr="004D220E">
              <w:rPr>
                <w:b/>
                <w:sz w:val="20"/>
                <w:lang w:val="fr-FR" w:eastAsia="en-US"/>
              </w:rPr>
              <w:t>utilisant</w:t>
            </w:r>
            <w:r w:rsidR="0089564A" w:rsidRPr="004D220E">
              <w:rPr>
                <w:b/>
                <w:sz w:val="20"/>
                <w:lang w:val="fr-FR" w:eastAsia="en-US"/>
              </w:rPr>
              <w:t xml:space="preserve"> </w:t>
            </w:r>
            <w:r w:rsidR="001821C0" w:rsidRPr="004D220E">
              <w:rPr>
                <w:b/>
                <w:sz w:val="20"/>
                <w:lang w:val="fr-FR" w:eastAsia="en-US"/>
              </w:rPr>
              <w:t xml:space="preserve">le service </w:t>
            </w:r>
            <w:proofErr w:type="spellStart"/>
            <w:r w:rsidR="0089564A" w:rsidRPr="004D220E">
              <w:rPr>
                <w:b/>
                <w:sz w:val="20"/>
                <w:lang w:val="fr-FR" w:eastAsia="en-US"/>
              </w:rPr>
              <w:t>eSearchCopy</w:t>
            </w:r>
            <w:proofErr w:type="spellEnd"/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64A" w:rsidRPr="004D220E" w:rsidRDefault="001821C0" w:rsidP="008D5856">
            <w:pPr>
              <w:keepNext/>
              <w:keepLines/>
              <w:jc w:val="center"/>
              <w:rPr>
                <w:rFonts w:eastAsiaTheme="minorHAnsi"/>
                <w:b/>
                <w:sz w:val="20"/>
                <w:szCs w:val="22"/>
                <w:lang w:val="fr-FR" w:eastAsia="en-US"/>
              </w:rPr>
            </w:pPr>
            <w:r w:rsidRPr="004D220E">
              <w:rPr>
                <w:b/>
                <w:sz w:val="20"/>
                <w:lang w:val="fr-FR" w:eastAsia="en-US"/>
              </w:rPr>
              <w:t xml:space="preserve">Utilisation du service </w:t>
            </w:r>
            <w:proofErr w:type="spellStart"/>
            <w:r w:rsidRPr="004D220E">
              <w:rPr>
                <w:b/>
                <w:sz w:val="20"/>
                <w:lang w:val="fr-FR" w:eastAsia="en-US"/>
              </w:rPr>
              <w:t>eSearchCopy</w:t>
            </w:r>
            <w:proofErr w:type="spellEnd"/>
            <w:r w:rsidRPr="004D220E">
              <w:rPr>
                <w:b/>
                <w:sz w:val="20"/>
                <w:lang w:val="fr-FR" w:eastAsia="en-US"/>
              </w:rPr>
              <w:t xml:space="preserve"> par le </w:t>
            </w:r>
            <w:r w:rsidR="000C747A" w:rsidRPr="004D220E">
              <w:rPr>
                <w:b/>
                <w:sz w:val="20"/>
                <w:lang w:val="fr-FR" w:eastAsia="en-US"/>
              </w:rPr>
              <w:t>Bureau international agissant en tant qu’office récepteur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64A" w:rsidRPr="004D220E" w:rsidRDefault="0089564A" w:rsidP="008D5856">
            <w:pPr>
              <w:keepNext/>
              <w:keepLines/>
              <w:jc w:val="center"/>
              <w:rPr>
                <w:rFonts w:eastAsiaTheme="minorHAnsi"/>
                <w:b/>
                <w:sz w:val="20"/>
                <w:szCs w:val="22"/>
                <w:lang w:val="fr-FR" w:eastAsia="en-US"/>
              </w:rPr>
            </w:pPr>
            <w:r w:rsidRPr="004D220E">
              <w:rPr>
                <w:rFonts w:eastAsiaTheme="minorHAnsi"/>
                <w:b/>
                <w:sz w:val="20"/>
                <w:szCs w:val="22"/>
                <w:lang w:val="fr-FR" w:eastAsia="en-US"/>
              </w:rPr>
              <w:t>P</w:t>
            </w:r>
            <w:r w:rsidR="001821C0" w:rsidRPr="004D220E">
              <w:rPr>
                <w:rFonts w:eastAsiaTheme="minorHAnsi"/>
                <w:b/>
                <w:sz w:val="20"/>
                <w:szCs w:val="22"/>
                <w:lang w:val="fr-FR" w:eastAsia="en-US"/>
              </w:rPr>
              <w:t>ourcentage des copies de recherche</w:t>
            </w:r>
            <w:r w:rsidRPr="004D220E">
              <w:rPr>
                <w:rFonts w:eastAsiaTheme="minorHAnsi"/>
                <w:b/>
                <w:sz w:val="20"/>
                <w:szCs w:val="22"/>
                <w:lang w:val="fr-FR" w:eastAsia="en-US"/>
              </w:rPr>
              <w:t xml:space="preserve"> </w:t>
            </w:r>
            <w:r w:rsidR="001821C0" w:rsidRPr="004D220E">
              <w:rPr>
                <w:rFonts w:eastAsiaTheme="minorHAnsi"/>
                <w:b/>
                <w:sz w:val="20"/>
                <w:szCs w:val="22"/>
                <w:lang w:val="fr-FR" w:eastAsia="en-US"/>
              </w:rPr>
              <w:t xml:space="preserve">transmises par le biais du service </w:t>
            </w:r>
            <w:proofErr w:type="spellStart"/>
            <w:r w:rsidRPr="004D220E">
              <w:rPr>
                <w:rFonts w:eastAsiaTheme="minorHAnsi"/>
                <w:b/>
                <w:sz w:val="20"/>
                <w:szCs w:val="22"/>
                <w:lang w:val="fr-FR" w:eastAsia="en-US"/>
              </w:rPr>
              <w:t>eSearchCopy</w:t>
            </w:r>
            <w:proofErr w:type="spellEnd"/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AT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37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99%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AU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100%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BR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70%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CA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42"/>
              <w:jc w:val="center"/>
              <w:rPr>
                <w:sz w:val="20"/>
                <w:lang w:val="fr-FR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CL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92%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CN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83%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EG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100%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EP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22%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ES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42"/>
              <w:jc w:val="center"/>
              <w:rPr>
                <w:sz w:val="20"/>
                <w:lang w:val="fr-FR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FI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42"/>
              <w:jc w:val="center"/>
              <w:rPr>
                <w:sz w:val="20"/>
                <w:lang w:val="fr-FR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IL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100%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IN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42"/>
              <w:jc w:val="center"/>
              <w:rPr>
                <w:sz w:val="20"/>
                <w:lang w:val="fr-FR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JP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100%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KR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1821C0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2,</w:t>
            </w:r>
            <w:r w:rsidR="007737D7" w:rsidRPr="004D220E">
              <w:rPr>
                <w:sz w:val="20"/>
                <w:lang w:val="fr-FR"/>
              </w:rPr>
              <w:t>2%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RU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94%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SE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42"/>
              <w:jc w:val="center"/>
              <w:rPr>
                <w:sz w:val="20"/>
                <w:lang w:val="fr-FR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57%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SG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100%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TR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42"/>
              <w:jc w:val="center"/>
              <w:rPr>
                <w:sz w:val="20"/>
                <w:lang w:val="fr-FR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UA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100%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US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42"/>
              <w:jc w:val="center"/>
              <w:rPr>
                <w:sz w:val="20"/>
                <w:lang w:val="fr-FR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XN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100%</w:t>
            </w:r>
          </w:p>
        </w:tc>
      </w:tr>
      <w:tr w:rsidR="007737D7" w:rsidRPr="004D220E" w:rsidTr="004D220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jc w:val="center"/>
              <w:rPr>
                <w:b/>
                <w:sz w:val="20"/>
                <w:lang w:val="fr-FR"/>
              </w:rPr>
            </w:pPr>
            <w:r w:rsidRPr="004D220E">
              <w:rPr>
                <w:b/>
                <w:sz w:val="20"/>
                <w:lang w:val="fr-FR"/>
              </w:rPr>
              <w:t>XV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1821C0" w:rsidP="008D5856">
            <w:pPr>
              <w:ind w:right="42"/>
              <w:jc w:val="center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Oui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D7" w:rsidRPr="004D220E" w:rsidRDefault="007737D7" w:rsidP="008D5856">
            <w:pPr>
              <w:ind w:right="803"/>
              <w:jc w:val="right"/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100%</w:t>
            </w:r>
          </w:p>
        </w:tc>
      </w:tr>
    </w:tbl>
    <w:p w:rsidR="0089564A" w:rsidRPr="00DA6CCE" w:rsidRDefault="0089564A" w:rsidP="008D5856">
      <w:pPr>
        <w:rPr>
          <w:lang w:val="fr-FR"/>
        </w:rPr>
      </w:pPr>
    </w:p>
    <w:p w:rsidR="00C46516" w:rsidRDefault="00D279E4" w:rsidP="008D5856">
      <w:pPr>
        <w:pStyle w:val="ONUMFS"/>
        <w:rPr>
          <w:lang w:val="fr-FR"/>
        </w:rPr>
      </w:pPr>
      <w:r w:rsidRPr="00DA6CCE">
        <w:rPr>
          <w:lang w:val="fr-FR"/>
        </w:rPr>
        <w:t>Les paires d</w:t>
      </w:r>
      <w:r w:rsidR="00DA6CCE">
        <w:rPr>
          <w:lang w:val="fr-FR"/>
        </w:rPr>
        <w:t>’</w:t>
      </w:r>
      <w:r w:rsidRPr="00DA6CCE">
        <w:rPr>
          <w:lang w:val="fr-FR"/>
        </w:rPr>
        <w:t>offices n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utilisant pas encore le service </w:t>
      </w:r>
      <w:proofErr w:type="spellStart"/>
      <w:r w:rsidRPr="00DA6CCE">
        <w:rPr>
          <w:lang w:val="fr-FR"/>
        </w:rPr>
        <w:t>eSearchCopy</w:t>
      </w:r>
      <w:proofErr w:type="spellEnd"/>
      <w:r w:rsidRPr="00DA6CCE">
        <w:rPr>
          <w:lang w:val="fr-FR"/>
        </w:rPr>
        <w:t xml:space="preserve"> les plus importantes au regard du volume des demandes internationales transmises sont celles composées par l</w:t>
      </w:r>
      <w:r w:rsidR="00DA6CCE">
        <w:rPr>
          <w:lang w:val="fr-FR"/>
        </w:rPr>
        <w:t>’</w:t>
      </w:r>
      <w:r w:rsidRPr="00DA6CCE">
        <w:rPr>
          <w:lang w:val="fr-FR"/>
        </w:rPr>
        <w:t>Office des brevets et des marques des États</w:t>
      </w:r>
      <w:r w:rsidR="004D220E">
        <w:rPr>
          <w:lang w:val="fr-FR"/>
        </w:rPr>
        <w:noBreakHyphen/>
      </w:r>
      <w:r w:rsidRPr="00DA6CCE">
        <w:rPr>
          <w:lang w:val="fr-FR"/>
        </w:rPr>
        <w:t>Unis d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Amérique, </w:t>
      </w:r>
      <w:r w:rsidR="000C747A">
        <w:rPr>
          <w:lang w:val="fr-FR"/>
        </w:rPr>
        <w:t xml:space="preserve">agissant </w:t>
      </w:r>
      <w:r w:rsidRPr="00DA6CCE">
        <w:rPr>
          <w:lang w:val="fr-FR"/>
        </w:rPr>
        <w:t>en tant qu</w:t>
      </w:r>
      <w:r w:rsidR="00DA6CCE">
        <w:rPr>
          <w:lang w:val="fr-FR"/>
        </w:rPr>
        <w:t>’</w:t>
      </w:r>
      <w:r w:rsidRPr="00DA6CCE">
        <w:rPr>
          <w:lang w:val="fr-FR"/>
        </w:rPr>
        <w:t>office récepteur, et l</w:t>
      </w:r>
      <w:r w:rsidR="00DA6CCE">
        <w:rPr>
          <w:lang w:val="fr-FR"/>
        </w:rPr>
        <w:t>’</w:t>
      </w:r>
      <w:r w:rsidRPr="00DA6CCE">
        <w:rPr>
          <w:lang w:val="fr-FR"/>
        </w:rPr>
        <w:t>Office européen des brevets (OEB) et l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Office coréen de la propriété intellectuelle, </w:t>
      </w:r>
      <w:r w:rsidR="000C747A">
        <w:rPr>
          <w:lang w:val="fr-FR"/>
        </w:rPr>
        <w:t xml:space="preserve">agissant </w:t>
      </w:r>
      <w:r w:rsidRPr="00DA6CCE">
        <w:rPr>
          <w:lang w:val="fr-FR"/>
        </w:rPr>
        <w:t>en tant qu</w:t>
      </w:r>
      <w:r w:rsidR="00DA6CCE">
        <w:rPr>
          <w:lang w:val="fr-FR"/>
        </w:rPr>
        <w:t>’</w:t>
      </w:r>
      <w:r w:rsidR="000C747A">
        <w:rPr>
          <w:lang w:val="fr-FR"/>
        </w:rPr>
        <w:t>administration chargée de la recherche internationale</w:t>
      </w:r>
      <w:r w:rsidRPr="00DA6CCE">
        <w:rPr>
          <w:lang w:val="fr-FR"/>
        </w:rPr>
        <w:t>, et par l</w:t>
      </w:r>
      <w:r w:rsidR="00DA6CCE">
        <w:rPr>
          <w:lang w:val="fr-FR"/>
        </w:rPr>
        <w:t>’</w:t>
      </w:r>
      <w:r w:rsidRPr="00DA6CCE">
        <w:rPr>
          <w:lang w:val="fr-FR"/>
        </w:rPr>
        <w:t>Office de la propriété</w:t>
      </w:r>
    </w:p>
    <w:p w:rsidR="00D61924" w:rsidRPr="00DA6CCE" w:rsidRDefault="00D279E4" w:rsidP="00C46516">
      <w:pPr>
        <w:pStyle w:val="ONUMFS"/>
        <w:numPr>
          <w:ilvl w:val="0"/>
          <w:numId w:val="0"/>
        </w:numPr>
        <w:rPr>
          <w:lang w:val="fr-FR"/>
        </w:rPr>
      </w:pPr>
      <w:proofErr w:type="gramStart"/>
      <w:r w:rsidRPr="00DA6CCE">
        <w:rPr>
          <w:lang w:val="fr-FR"/>
        </w:rPr>
        <w:lastRenderedPageBreak/>
        <w:t>intellectuelle</w:t>
      </w:r>
      <w:proofErr w:type="gramEnd"/>
      <w:r w:rsidRPr="00DA6CCE">
        <w:rPr>
          <w:lang w:val="fr-FR"/>
        </w:rPr>
        <w:t xml:space="preserve"> du Royaume</w:t>
      </w:r>
      <w:r w:rsidR="004D220E">
        <w:rPr>
          <w:lang w:val="fr-FR"/>
        </w:rPr>
        <w:noBreakHyphen/>
      </w:r>
      <w:r w:rsidRPr="00DA6CCE">
        <w:rPr>
          <w:lang w:val="fr-FR"/>
        </w:rPr>
        <w:t xml:space="preserve">Uni, </w:t>
      </w:r>
      <w:r w:rsidR="000C747A">
        <w:rPr>
          <w:lang w:val="fr-FR"/>
        </w:rPr>
        <w:t xml:space="preserve">agissant </w:t>
      </w:r>
      <w:r w:rsidRPr="00DA6CCE">
        <w:rPr>
          <w:lang w:val="fr-FR"/>
        </w:rPr>
        <w:t>en tant qu</w:t>
      </w:r>
      <w:r w:rsidR="00DA6CCE">
        <w:rPr>
          <w:lang w:val="fr-FR"/>
        </w:rPr>
        <w:t>’</w:t>
      </w:r>
      <w:r w:rsidRPr="00DA6CCE">
        <w:rPr>
          <w:lang w:val="fr-FR"/>
        </w:rPr>
        <w:t>office récepteur, et l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OEB, </w:t>
      </w:r>
      <w:r w:rsidR="000C747A">
        <w:rPr>
          <w:lang w:val="fr-FR"/>
        </w:rPr>
        <w:t xml:space="preserve">agissant </w:t>
      </w:r>
      <w:r w:rsidRPr="00DA6CCE">
        <w:rPr>
          <w:lang w:val="fr-FR"/>
        </w:rPr>
        <w:t>en tant qu</w:t>
      </w:r>
      <w:r w:rsidR="00DA6CCE">
        <w:rPr>
          <w:lang w:val="fr-FR"/>
        </w:rPr>
        <w:t>’</w:t>
      </w:r>
      <w:r w:rsidR="000C747A">
        <w:rPr>
          <w:lang w:val="fr-FR"/>
        </w:rPr>
        <w:t>administration chargée de la recherche internationale</w:t>
      </w:r>
      <w:r w:rsidRPr="00DA6CCE">
        <w:rPr>
          <w:lang w:val="fr-FR"/>
        </w:rPr>
        <w:t xml:space="preserve">. </w:t>
      </w:r>
      <w:r w:rsidR="00043B10">
        <w:rPr>
          <w:lang w:val="fr-FR"/>
        </w:rPr>
        <w:t xml:space="preserve"> </w:t>
      </w:r>
      <w:r w:rsidR="00DF1A16" w:rsidRPr="00DA6CCE">
        <w:rPr>
          <w:lang w:val="fr-FR"/>
        </w:rPr>
        <w:t>L</w:t>
      </w:r>
      <w:r w:rsidR="00DA6CCE">
        <w:rPr>
          <w:lang w:val="fr-FR"/>
        </w:rPr>
        <w:t>’</w:t>
      </w:r>
      <w:r w:rsidR="00DF1A16" w:rsidRPr="00DA6CCE">
        <w:rPr>
          <w:lang w:val="fr-FR"/>
        </w:rPr>
        <w:t>ensemble de c</w:t>
      </w:r>
      <w:r w:rsidRPr="00DA6CCE">
        <w:rPr>
          <w:lang w:val="fr-FR"/>
        </w:rPr>
        <w:t xml:space="preserve">es transferts </w:t>
      </w:r>
      <w:r w:rsidR="00DF1A16" w:rsidRPr="00DA6CCE">
        <w:rPr>
          <w:lang w:val="fr-FR"/>
        </w:rPr>
        <w:t>représente</w:t>
      </w:r>
      <w:r w:rsidRPr="00DA6CCE">
        <w:rPr>
          <w:lang w:val="fr-FR"/>
        </w:rPr>
        <w:t xml:space="preserve"> environ 60% des</w:t>
      </w:r>
      <w:r w:rsidR="00207DD9" w:rsidRPr="00DA6CCE">
        <w:rPr>
          <w:lang w:val="fr-FR"/>
        </w:rPr>
        <w:t xml:space="preserve"> transmissions des</w:t>
      </w:r>
      <w:r w:rsidRPr="00DA6CCE">
        <w:rPr>
          <w:lang w:val="fr-FR"/>
        </w:rPr>
        <w:t xml:space="preserve"> copies de recherche</w:t>
      </w:r>
      <w:r w:rsidR="00DF1A16" w:rsidRPr="00DA6CCE">
        <w:rPr>
          <w:lang w:val="fr-FR"/>
        </w:rPr>
        <w:t xml:space="preserve"> </w:t>
      </w:r>
      <w:r w:rsidRPr="00DA6CCE">
        <w:rPr>
          <w:lang w:val="fr-FR"/>
        </w:rPr>
        <w:t>d</w:t>
      </w:r>
      <w:r w:rsidR="00DA6CCE">
        <w:rPr>
          <w:lang w:val="fr-FR"/>
        </w:rPr>
        <w:t>’</w:t>
      </w:r>
      <w:r w:rsidRPr="00DA6CCE">
        <w:rPr>
          <w:lang w:val="fr-FR"/>
        </w:rPr>
        <w:t>un office à un autre.</w:t>
      </w:r>
    </w:p>
    <w:p w:rsidR="00DA6CCE" w:rsidRDefault="005D5A79" w:rsidP="008D5856">
      <w:pPr>
        <w:pStyle w:val="ONUMFS"/>
        <w:rPr>
          <w:lang w:val="fr-FR"/>
        </w:rPr>
      </w:pPr>
      <w:r w:rsidRPr="00DA6CCE">
        <w:rPr>
          <w:lang w:val="fr-FR"/>
        </w:rPr>
        <w:t>La transmission de ces</w:t>
      </w:r>
      <w:r w:rsidR="006B3F69" w:rsidRPr="00DA6CCE">
        <w:rPr>
          <w:lang w:val="fr-FR"/>
        </w:rPr>
        <w:t xml:space="preserve"> très nombreuses</w:t>
      </w:r>
      <w:r w:rsidRPr="00DA6CCE">
        <w:rPr>
          <w:lang w:val="fr-FR"/>
        </w:rPr>
        <w:t xml:space="preserve"> demandes est</w:t>
      </w:r>
      <w:r w:rsidR="002F57AE" w:rsidRPr="00DA6CCE">
        <w:rPr>
          <w:lang w:val="fr-FR"/>
        </w:rPr>
        <w:t xml:space="preserve"> déjà en grande partie automatis</w:t>
      </w:r>
      <w:r w:rsidR="00982AC1" w:rsidRPr="00DA6CCE">
        <w:rPr>
          <w:lang w:val="fr-FR"/>
        </w:rPr>
        <w:t>ée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Il</w:t>
      </w:r>
      <w:r w:rsidR="002F57AE" w:rsidRPr="00DA6CCE">
        <w:rPr>
          <w:lang w:val="fr-FR"/>
        </w:rPr>
        <w:t xml:space="preserve"> est peu probable que l</w:t>
      </w:r>
      <w:r w:rsidRPr="00DA6CCE">
        <w:rPr>
          <w:lang w:val="fr-FR"/>
        </w:rPr>
        <w:t xml:space="preserve">eur </w:t>
      </w:r>
      <w:r w:rsidR="002F57AE" w:rsidRPr="00DA6CCE">
        <w:rPr>
          <w:lang w:val="fr-FR"/>
        </w:rPr>
        <w:t xml:space="preserve">inclusion dans le service </w:t>
      </w:r>
      <w:proofErr w:type="spellStart"/>
      <w:r w:rsidR="002F57AE" w:rsidRPr="00DA6CCE">
        <w:rPr>
          <w:lang w:val="fr-FR"/>
        </w:rPr>
        <w:t>eSearchCopy</w:t>
      </w:r>
      <w:proofErr w:type="spellEnd"/>
      <w:r w:rsidR="002F57AE" w:rsidRPr="00DA6CCE">
        <w:rPr>
          <w:lang w:val="fr-FR"/>
        </w:rPr>
        <w:t xml:space="preserve"> ait </w:t>
      </w:r>
      <w:r w:rsidRPr="00DA6CCE">
        <w:rPr>
          <w:lang w:val="fr-FR"/>
        </w:rPr>
        <w:t>un impact déterminant</w:t>
      </w:r>
      <w:r w:rsidR="002F57AE" w:rsidRPr="00DA6CCE">
        <w:rPr>
          <w:lang w:val="fr-FR"/>
        </w:rPr>
        <w:t xml:space="preserve"> sur les performances générales du système</w:t>
      </w:r>
      <w:r w:rsidR="00DA6CCE" w:rsidRPr="00DA6CCE">
        <w:rPr>
          <w:lang w:val="fr-FR"/>
        </w:rPr>
        <w:t xml:space="preserve"> du PCT</w:t>
      </w:r>
      <w:r w:rsidRPr="00DA6CCE">
        <w:rPr>
          <w:lang w:val="fr-FR"/>
        </w:rPr>
        <w:t xml:space="preserve"> à court terme, mais il peut s</w:t>
      </w:r>
      <w:r w:rsidR="00DA6CCE">
        <w:rPr>
          <w:lang w:val="fr-FR"/>
        </w:rPr>
        <w:t>’</w:t>
      </w:r>
      <w:r w:rsidRPr="00DA6CCE">
        <w:rPr>
          <w:lang w:val="fr-FR"/>
        </w:rPr>
        <w:t>agir d</w:t>
      </w:r>
      <w:r w:rsidR="00DA6CCE">
        <w:rPr>
          <w:lang w:val="fr-FR"/>
        </w:rPr>
        <w:t>’</w:t>
      </w:r>
      <w:r w:rsidRPr="00DA6CCE">
        <w:rPr>
          <w:lang w:val="fr-FR"/>
        </w:rPr>
        <w:t>une priorité pour les offices</w:t>
      </w:r>
      <w:r w:rsidR="005E1AF2" w:rsidRPr="00DA6CCE">
        <w:rPr>
          <w:lang w:val="fr-FR"/>
        </w:rPr>
        <w:t xml:space="preserve"> concernés</w:t>
      </w:r>
      <w:r w:rsidRPr="00DA6CCE">
        <w:rPr>
          <w:lang w:val="fr-FR"/>
        </w:rPr>
        <w:t xml:space="preserve"> qui souhaitent consolider leur</w:t>
      </w:r>
      <w:r w:rsidR="005D0B33" w:rsidRPr="00DA6CCE">
        <w:rPr>
          <w:lang w:val="fr-FR"/>
        </w:rPr>
        <w:t>s</w:t>
      </w:r>
      <w:r w:rsidRPr="00DA6CCE">
        <w:rPr>
          <w:lang w:val="fr-FR"/>
        </w:rPr>
        <w:t xml:space="preserve"> système</w:t>
      </w:r>
      <w:r w:rsidR="005D0B33" w:rsidRPr="00DA6CCE">
        <w:rPr>
          <w:lang w:val="fr-FR"/>
        </w:rPr>
        <w:t>s</w:t>
      </w:r>
      <w:r w:rsidRPr="00DA6CCE">
        <w:rPr>
          <w:lang w:val="fr-FR"/>
        </w:rPr>
        <w:t xml:space="preserve"> informatique</w:t>
      </w:r>
      <w:r w:rsidR="005D0B33" w:rsidRPr="00DA6CCE">
        <w:rPr>
          <w:lang w:val="fr-FR"/>
        </w:rPr>
        <w:t>s</w:t>
      </w:r>
      <w:r w:rsidRPr="00DA6CCE">
        <w:rPr>
          <w:lang w:val="fr-FR"/>
        </w:rPr>
        <w:t xml:space="preserve"> et les processus connexes.</w:t>
      </w:r>
    </w:p>
    <w:p w:rsidR="005E1AF2" w:rsidRPr="00DA6CCE" w:rsidRDefault="005D0B33" w:rsidP="008D5856">
      <w:pPr>
        <w:pStyle w:val="ONUMFS"/>
        <w:rPr>
          <w:lang w:val="fr-FR"/>
        </w:rPr>
      </w:pPr>
      <w:r w:rsidRPr="00DA6CCE">
        <w:rPr>
          <w:lang w:val="fr-FR"/>
        </w:rPr>
        <w:t>Le plus grand avantage à court terme du système</w:t>
      </w:r>
      <w:r w:rsidR="00DA6CCE" w:rsidRPr="00DA6CCE">
        <w:rPr>
          <w:lang w:val="fr-FR"/>
        </w:rPr>
        <w:t xml:space="preserve"> du PCT</w:t>
      </w:r>
      <w:r w:rsidRPr="00DA6CCE">
        <w:rPr>
          <w:lang w:val="fr-FR"/>
        </w:rPr>
        <w:t xml:space="preserve"> dans son ensemble </w:t>
      </w:r>
      <w:r w:rsidR="000E3A58" w:rsidRPr="00DA6CCE">
        <w:rPr>
          <w:lang w:val="fr-FR"/>
        </w:rPr>
        <w:t>devrait découler de l</w:t>
      </w:r>
      <w:r w:rsidR="00DA6CCE">
        <w:rPr>
          <w:lang w:val="fr-FR"/>
        </w:rPr>
        <w:t>’</w:t>
      </w:r>
      <w:r w:rsidR="000E3A58" w:rsidRPr="00DA6CCE">
        <w:rPr>
          <w:lang w:val="fr-FR"/>
        </w:rPr>
        <w:t xml:space="preserve">utilisation du service </w:t>
      </w:r>
      <w:proofErr w:type="spellStart"/>
      <w:r w:rsidR="000E3A58" w:rsidRPr="00DA6CCE">
        <w:rPr>
          <w:lang w:val="fr-FR"/>
        </w:rPr>
        <w:t>eSearchCopy</w:t>
      </w:r>
      <w:proofErr w:type="spellEnd"/>
      <w:r w:rsidR="000E3A58" w:rsidRPr="00DA6CCE">
        <w:rPr>
          <w:lang w:val="fr-FR"/>
        </w:rPr>
        <w:t xml:space="preserve"> par les offices qui transmettent actuellement les copies de recherche </w:t>
      </w:r>
      <w:r w:rsidR="00C915EF" w:rsidRPr="00DA6CCE">
        <w:rPr>
          <w:lang w:val="fr-FR"/>
        </w:rPr>
        <w:t>sur papi</w:t>
      </w:r>
      <w:r w:rsidR="00982AC1" w:rsidRPr="00DA6CCE">
        <w:rPr>
          <w:lang w:val="fr-FR"/>
        </w:rPr>
        <w:t>er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Sa</w:t>
      </w:r>
      <w:r w:rsidR="00C915EF" w:rsidRPr="00DA6CCE">
        <w:rPr>
          <w:lang w:val="fr-FR"/>
        </w:rPr>
        <w:t xml:space="preserve">chant que la plupart des </w:t>
      </w:r>
      <w:r w:rsidR="008A15A8" w:rsidRPr="00DA6CCE">
        <w:rPr>
          <w:lang w:val="fr-FR"/>
        </w:rPr>
        <w:t xml:space="preserve">exemplaires </w:t>
      </w:r>
      <w:r w:rsidR="00C915EF" w:rsidRPr="00DA6CCE">
        <w:rPr>
          <w:lang w:val="fr-FR"/>
        </w:rPr>
        <w:t>origina</w:t>
      </w:r>
      <w:r w:rsidR="008A15A8" w:rsidRPr="00DA6CCE">
        <w:rPr>
          <w:lang w:val="fr-FR"/>
        </w:rPr>
        <w:t>ux sont transmis</w:t>
      </w:r>
      <w:r w:rsidR="00C915EF" w:rsidRPr="00DA6CCE">
        <w:rPr>
          <w:lang w:val="fr-FR"/>
        </w:rPr>
        <w:t xml:space="preserve"> au Bureau international sous forme électronique (et qu</w:t>
      </w:r>
      <w:r w:rsidR="00DA6CCE">
        <w:rPr>
          <w:lang w:val="fr-FR"/>
        </w:rPr>
        <w:t>’</w:t>
      </w:r>
      <w:r w:rsidR="00C915EF" w:rsidRPr="00DA6CCE">
        <w:rPr>
          <w:lang w:val="fr-FR"/>
        </w:rPr>
        <w:t>il existe</w:t>
      </w:r>
      <w:r w:rsidR="008811FD" w:rsidRPr="00DA6CCE">
        <w:rPr>
          <w:lang w:val="fr-FR"/>
        </w:rPr>
        <w:t xml:space="preserve"> des systèmes permettant aux autres offices récepteurs de </w:t>
      </w:r>
      <w:r w:rsidR="00AB4A2E" w:rsidRPr="00DA6CCE">
        <w:rPr>
          <w:lang w:val="fr-FR"/>
        </w:rPr>
        <w:t>passer à la transmission par voie</w:t>
      </w:r>
      <w:r w:rsidR="008811FD" w:rsidRPr="00DA6CCE">
        <w:rPr>
          <w:lang w:val="fr-FR"/>
        </w:rPr>
        <w:t xml:space="preserve"> électronique), </w:t>
      </w:r>
      <w:r w:rsidR="00AB4A2E" w:rsidRPr="00DA6CCE">
        <w:rPr>
          <w:lang w:val="fr-FR"/>
        </w:rPr>
        <w:t>ce</w:t>
      </w:r>
      <w:r w:rsidR="003E1CE1" w:rsidRPr="00DA6CCE">
        <w:rPr>
          <w:lang w:val="fr-FR"/>
        </w:rPr>
        <w:t xml:space="preserve"> service </w:t>
      </w:r>
      <w:r w:rsidR="00AB4A2E" w:rsidRPr="00DA6CCE">
        <w:rPr>
          <w:lang w:val="fr-FR"/>
        </w:rPr>
        <w:t>devrait permettre de réduire de manière significative les délais de réception des copies de recherche, de même que les coûts d</w:t>
      </w:r>
      <w:r w:rsidR="00DA6CCE">
        <w:rPr>
          <w:lang w:val="fr-FR"/>
        </w:rPr>
        <w:t>’</w:t>
      </w:r>
      <w:r w:rsidR="00AB4A2E" w:rsidRPr="00DA6CCE">
        <w:rPr>
          <w:lang w:val="fr-FR"/>
        </w:rPr>
        <w:t>impression et d</w:t>
      </w:r>
      <w:r w:rsidR="00DA6CCE">
        <w:rPr>
          <w:lang w:val="fr-FR"/>
        </w:rPr>
        <w:t>’</w:t>
      </w:r>
      <w:r w:rsidR="00AB4A2E" w:rsidRPr="00DA6CCE">
        <w:rPr>
          <w:lang w:val="fr-FR"/>
        </w:rPr>
        <w:t xml:space="preserve">envoi pour les offices récepteurs et les coûts de </w:t>
      </w:r>
      <w:r w:rsidR="00E002F4" w:rsidRPr="00DA6CCE">
        <w:rPr>
          <w:lang w:val="fr-FR"/>
        </w:rPr>
        <w:t xml:space="preserve">numérisation et de classification des documents pour les </w:t>
      </w:r>
      <w:r w:rsidR="003E1CE1" w:rsidRPr="00DA6CCE">
        <w:rPr>
          <w:lang w:val="fr-FR"/>
        </w:rPr>
        <w:t>administrations chargées de la recherche internationale</w:t>
      </w:r>
      <w:r w:rsidR="00E002F4" w:rsidRPr="00DA6CCE">
        <w:rPr>
          <w:lang w:val="fr-FR"/>
        </w:rPr>
        <w:t>.</w:t>
      </w:r>
    </w:p>
    <w:p w:rsidR="00E002F4" w:rsidRPr="00DA6CCE" w:rsidRDefault="008431A2" w:rsidP="008D5856">
      <w:pPr>
        <w:pStyle w:val="ONUMFS"/>
        <w:rPr>
          <w:lang w:val="fr-FR"/>
        </w:rPr>
      </w:pPr>
      <w:r w:rsidRPr="00DA6CCE">
        <w:rPr>
          <w:lang w:val="fr-FR"/>
        </w:rPr>
        <w:t xml:space="preserve">En outre, </w:t>
      </w:r>
      <w:r w:rsidR="00E52199" w:rsidRPr="00DA6CCE">
        <w:rPr>
          <w:lang w:val="fr-FR"/>
        </w:rPr>
        <w:t xml:space="preserve">le fait de permettre la transmission </w:t>
      </w:r>
      <w:r w:rsidR="00A64B06" w:rsidRPr="00DA6CCE">
        <w:rPr>
          <w:lang w:val="fr-FR"/>
        </w:rPr>
        <w:t>par voie</w:t>
      </w:r>
      <w:r w:rsidR="00E52199" w:rsidRPr="00DA6CCE">
        <w:rPr>
          <w:lang w:val="fr-FR"/>
        </w:rPr>
        <w:t xml:space="preserve"> électronique tant de l</w:t>
      </w:r>
      <w:r w:rsidR="00DA6CCE">
        <w:rPr>
          <w:lang w:val="fr-FR"/>
        </w:rPr>
        <w:t>’</w:t>
      </w:r>
      <w:r w:rsidR="00E52199" w:rsidRPr="00DA6CCE">
        <w:rPr>
          <w:lang w:val="fr-FR"/>
        </w:rPr>
        <w:t xml:space="preserve">exemplaire original au Bureau international que de la </w:t>
      </w:r>
      <w:r w:rsidR="00A64B06" w:rsidRPr="00DA6CCE">
        <w:rPr>
          <w:lang w:val="fr-FR"/>
        </w:rPr>
        <w:t>copie de recherche à l</w:t>
      </w:r>
      <w:r w:rsidR="00DA6CCE">
        <w:rPr>
          <w:lang w:val="fr-FR"/>
        </w:rPr>
        <w:t>’</w:t>
      </w:r>
      <w:r w:rsidR="000C747A">
        <w:rPr>
          <w:lang w:val="fr-FR"/>
        </w:rPr>
        <w:t>administration chargée de la recherche internationale</w:t>
      </w:r>
      <w:r w:rsidR="00E52199" w:rsidRPr="00DA6CCE">
        <w:rPr>
          <w:lang w:val="fr-FR"/>
        </w:rPr>
        <w:t xml:space="preserve"> ainsi que des d</w:t>
      </w:r>
      <w:r w:rsidR="00A64B06" w:rsidRPr="00DA6CCE">
        <w:rPr>
          <w:lang w:val="fr-FR"/>
        </w:rPr>
        <w:t>ocuments déposés ultérieurement</w:t>
      </w:r>
      <w:r w:rsidR="00E52199" w:rsidRPr="00DA6CCE">
        <w:rPr>
          <w:lang w:val="fr-FR"/>
        </w:rPr>
        <w:t xml:space="preserve"> offre à l</w:t>
      </w:r>
      <w:r w:rsidR="00DA6CCE">
        <w:rPr>
          <w:lang w:val="fr-FR"/>
        </w:rPr>
        <w:t>’</w:t>
      </w:r>
      <w:r w:rsidR="00E52199" w:rsidRPr="00DA6CCE">
        <w:rPr>
          <w:lang w:val="fr-FR"/>
        </w:rPr>
        <w:t>ensemble des offices récepteurs qui n</w:t>
      </w:r>
      <w:r w:rsidR="00DA6CCE">
        <w:rPr>
          <w:lang w:val="fr-FR"/>
        </w:rPr>
        <w:t>’</w:t>
      </w:r>
      <w:r w:rsidR="00E52199" w:rsidRPr="00DA6CCE">
        <w:rPr>
          <w:lang w:val="fr-FR"/>
        </w:rPr>
        <w:t>acceptent pas pour l</w:t>
      </w:r>
      <w:r w:rsidR="00DA6CCE">
        <w:rPr>
          <w:lang w:val="fr-FR"/>
        </w:rPr>
        <w:t>’</w:t>
      </w:r>
      <w:r w:rsidR="00E52199" w:rsidRPr="00DA6CCE">
        <w:rPr>
          <w:lang w:val="fr-FR"/>
        </w:rPr>
        <w:t xml:space="preserve">heure les dépôts électroniques </w:t>
      </w:r>
      <w:r w:rsidR="00A64B06" w:rsidRPr="00DA6CCE">
        <w:rPr>
          <w:lang w:val="fr-FR"/>
        </w:rPr>
        <w:t>la possibilité</w:t>
      </w:r>
      <w:r w:rsidR="00E52199" w:rsidRPr="00DA6CCE">
        <w:rPr>
          <w:lang w:val="fr-FR"/>
        </w:rPr>
        <w:t xml:space="preserve"> </w:t>
      </w:r>
      <w:r w:rsidR="00A64B06" w:rsidRPr="00DA6CCE">
        <w:rPr>
          <w:lang w:val="fr-FR"/>
        </w:rPr>
        <w:t>de le faire</w:t>
      </w:r>
      <w:r w:rsidR="00E52199" w:rsidRPr="00DA6CCE">
        <w:rPr>
          <w:lang w:val="fr-FR"/>
        </w:rPr>
        <w:t xml:space="preserve"> </w:t>
      </w:r>
      <w:r w:rsidR="00F67A2E" w:rsidRPr="00DA6CCE">
        <w:rPr>
          <w:lang w:val="fr-FR"/>
        </w:rPr>
        <w:t>par le biais du portail e</w:t>
      </w:r>
      <w:r w:rsidR="00982AC1" w:rsidRPr="00DA6CCE">
        <w:rPr>
          <w:lang w:val="fr-FR"/>
        </w:rPr>
        <w:t>PCT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Ce</w:t>
      </w:r>
      <w:r w:rsidR="00E52199" w:rsidRPr="00DA6CCE">
        <w:rPr>
          <w:lang w:val="fr-FR"/>
        </w:rPr>
        <w:t>lui</w:t>
      </w:r>
      <w:r w:rsidR="004D220E">
        <w:rPr>
          <w:lang w:val="fr-FR"/>
        </w:rPr>
        <w:noBreakHyphen/>
      </w:r>
      <w:r w:rsidR="00E52199" w:rsidRPr="00DA6CCE">
        <w:rPr>
          <w:lang w:val="fr-FR"/>
        </w:rPr>
        <w:t>ci permet le dépôt électronique des demandes par les déposants ainsi que la transmission par voie électronique de l</w:t>
      </w:r>
      <w:r w:rsidR="00DA6CCE">
        <w:rPr>
          <w:lang w:val="fr-FR"/>
        </w:rPr>
        <w:t>’</w:t>
      </w:r>
      <w:r w:rsidR="00E52199" w:rsidRPr="00DA6CCE">
        <w:rPr>
          <w:lang w:val="fr-FR"/>
        </w:rPr>
        <w:t>exemplaire original au Bureau international</w:t>
      </w:r>
      <w:r w:rsidR="00043B10">
        <w:rPr>
          <w:lang w:val="fr-FR"/>
        </w:rPr>
        <w:t xml:space="preserve">; </w:t>
      </w:r>
      <w:r w:rsidR="004B5E91" w:rsidRPr="00DA6CCE">
        <w:rPr>
          <w:lang w:val="fr-FR"/>
        </w:rPr>
        <w:t xml:space="preserve"> ce même fichier électronique</w:t>
      </w:r>
      <w:r w:rsidR="00F67A2E" w:rsidRPr="00DA6CCE">
        <w:rPr>
          <w:lang w:val="fr-FR"/>
        </w:rPr>
        <w:t xml:space="preserve"> est utilisé par le service </w:t>
      </w:r>
      <w:proofErr w:type="spellStart"/>
      <w:r w:rsidR="00F67A2E" w:rsidRPr="00DA6CCE">
        <w:rPr>
          <w:lang w:val="fr-FR"/>
        </w:rPr>
        <w:t>eSearchCopy</w:t>
      </w:r>
      <w:proofErr w:type="spellEnd"/>
      <w:r w:rsidR="004B5E91" w:rsidRPr="00DA6CCE">
        <w:rPr>
          <w:lang w:val="fr-FR"/>
        </w:rPr>
        <w:t xml:space="preserve"> pour transmettre la copie de recherche à l</w:t>
      </w:r>
      <w:r w:rsidR="00DA6CCE">
        <w:rPr>
          <w:lang w:val="fr-FR"/>
        </w:rPr>
        <w:t>’</w:t>
      </w:r>
      <w:r w:rsidR="000C747A">
        <w:rPr>
          <w:lang w:val="fr-FR"/>
        </w:rPr>
        <w:t>administration chargée de la recherche internationale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Lo</w:t>
      </w:r>
      <w:r w:rsidR="00A64B06" w:rsidRPr="00DA6CCE">
        <w:rPr>
          <w:lang w:val="fr-FR"/>
        </w:rPr>
        <w:t>rsqu</w:t>
      </w:r>
      <w:r w:rsidR="00DA6CCE">
        <w:rPr>
          <w:lang w:val="fr-FR"/>
        </w:rPr>
        <w:t>’</w:t>
      </w:r>
      <w:r w:rsidR="00A64B06" w:rsidRPr="00DA6CCE">
        <w:rPr>
          <w:lang w:val="fr-FR"/>
        </w:rPr>
        <w:t xml:space="preserve">une </w:t>
      </w:r>
      <w:r w:rsidR="000C747A">
        <w:rPr>
          <w:lang w:val="fr-FR"/>
        </w:rPr>
        <w:t>administration chargée de la recherche internationale</w:t>
      </w:r>
      <w:r w:rsidR="00A64B06" w:rsidRPr="00DA6CCE">
        <w:rPr>
          <w:lang w:val="fr-FR"/>
        </w:rPr>
        <w:t xml:space="preserve"> donnée n</w:t>
      </w:r>
      <w:r w:rsidR="00DA6CCE">
        <w:rPr>
          <w:lang w:val="fr-FR"/>
        </w:rPr>
        <w:t>’</w:t>
      </w:r>
      <w:r w:rsidR="00A64B06" w:rsidRPr="00DA6CCE">
        <w:rPr>
          <w:lang w:val="fr-FR"/>
        </w:rPr>
        <w:t>utilise pas le</w:t>
      </w:r>
      <w:r w:rsidR="00083C92" w:rsidRPr="00DA6CCE">
        <w:rPr>
          <w:lang w:val="fr-FR"/>
        </w:rPr>
        <w:t xml:space="preserve"> service </w:t>
      </w:r>
      <w:proofErr w:type="spellStart"/>
      <w:r w:rsidR="00083C92" w:rsidRPr="00DA6CCE">
        <w:rPr>
          <w:lang w:val="fr-FR"/>
        </w:rPr>
        <w:t>eSearchCopy</w:t>
      </w:r>
      <w:proofErr w:type="spellEnd"/>
      <w:r w:rsidR="00083C92" w:rsidRPr="00DA6CCE">
        <w:rPr>
          <w:lang w:val="fr-FR"/>
        </w:rPr>
        <w:t>, les offices récepteurs</w:t>
      </w:r>
      <w:r w:rsidR="00A64B06" w:rsidRPr="00DA6CCE">
        <w:rPr>
          <w:lang w:val="fr-FR"/>
        </w:rPr>
        <w:t xml:space="preserve"> qui</w:t>
      </w:r>
      <w:r w:rsidR="00083C92" w:rsidRPr="00DA6CCE">
        <w:rPr>
          <w:lang w:val="fr-FR"/>
        </w:rPr>
        <w:t xml:space="preserve"> accept</w:t>
      </w:r>
      <w:r w:rsidR="00A64B06" w:rsidRPr="00DA6CCE">
        <w:rPr>
          <w:lang w:val="fr-FR"/>
        </w:rPr>
        <w:t>e</w:t>
      </w:r>
      <w:r w:rsidR="00083C92" w:rsidRPr="00DA6CCE">
        <w:rPr>
          <w:lang w:val="fr-FR"/>
        </w:rPr>
        <w:t>nt les dépôts électroniques doivent recourir à des supports matériels pour</w:t>
      </w:r>
      <w:r w:rsidR="00A64B06" w:rsidRPr="00DA6CCE">
        <w:rPr>
          <w:lang w:val="fr-FR"/>
        </w:rPr>
        <w:t xml:space="preserve"> lui faire parvenir</w:t>
      </w:r>
      <w:r w:rsidR="00083C92" w:rsidRPr="00DA6CCE">
        <w:rPr>
          <w:lang w:val="fr-FR"/>
        </w:rPr>
        <w:t xml:space="preserve"> </w:t>
      </w:r>
      <w:r w:rsidR="00A64B06" w:rsidRPr="00DA6CCE">
        <w:rPr>
          <w:lang w:val="fr-FR"/>
        </w:rPr>
        <w:t>les</w:t>
      </w:r>
      <w:r w:rsidR="00083C92" w:rsidRPr="00DA6CCE">
        <w:rPr>
          <w:lang w:val="fr-FR"/>
        </w:rPr>
        <w:t xml:space="preserve"> copies de recherche, un procédé qui se révèle nettement moins pratique que l</w:t>
      </w:r>
      <w:r w:rsidR="00DA6CCE">
        <w:rPr>
          <w:lang w:val="fr-FR"/>
        </w:rPr>
        <w:t>’</w:t>
      </w:r>
      <w:r w:rsidR="00083C92" w:rsidRPr="00DA6CCE">
        <w:rPr>
          <w:lang w:val="fr-FR"/>
        </w:rPr>
        <w:t xml:space="preserve">utilisation du service </w:t>
      </w:r>
      <w:proofErr w:type="spellStart"/>
      <w:r w:rsidR="00083C92" w:rsidRPr="00DA6CCE">
        <w:rPr>
          <w:lang w:val="fr-FR"/>
        </w:rPr>
        <w:t>eSearchCopy</w:t>
      </w:r>
      <w:proofErr w:type="spellEnd"/>
      <w:r w:rsidR="00083C92" w:rsidRPr="00DA6CCE">
        <w:rPr>
          <w:lang w:val="fr-FR"/>
        </w:rPr>
        <w:t>.</w:t>
      </w:r>
    </w:p>
    <w:p w:rsidR="00D52A1F" w:rsidRPr="00DA6CCE" w:rsidRDefault="00BC1138" w:rsidP="008D5856">
      <w:pPr>
        <w:pStyle w:val="ONUMFS"/>
        <w:rPr>
          <w:lang w:val="fr-FR"/>
        </w:rPr>
      </w:pPr>
      <w:r w:rsidRPr="00DA6CCE">
        <w:rPr>
          <w:lang w:val="fr-FR"/>
        </w:rPr>
        <w:t xml:space="preserve">Il convient </w:t>
      </w:r>
      <w:r w:rsidR="00F67A2E" w:rsidRPr="00DA6CCE">
        <w:rPr>
          <w:lang w:val="fr-FR"/>
        </w:rPr>
        <w:t>par ailleurs</w:t>
      </w:r>
      <w:r w:rsidRPr="00DA6CCE">
        <w:rPr>
          <w:lang w:val="fr-FR"/>
        </w:rPr>
        <w:t xml:space="preserve"> de noter </w:t>
      </w:r>
      <w:r w:rsidR="00BF37E1" w:rsidRPr="00DA6CCE">
        <w:rPr>
          <w:lang w:val="fr-FR"/>
        </w:rPr>
        <w:t>qu</w:t>
      </w:r>
      <w:r w:rsidR="00DA6CCE">
        <w:rPr>
          <w:lang w:val="fr-FR"/>
        </w:rPr>
        <w:t>’</w:t>
      </w:r>
      <w:r w:rsidR="00BF37E1" w:rsidRPr="00DA6CCE">
        <w:rPr>
          <w:lang w:val="fr-FR"/>
        </w:rPr>
        <w:t xml:space="preserve">un projet pilote est </w:t>
      </w:r>
      <w:r w:rsidR="00F67A2E" w:rsidRPr="00DA6CCE">
        <w:rPr>
          <w:lang w:val="fr-FR"/>
        </w:rPr>
        <w:t>mené</w:t>
      </w:r>
      <w:r w:rsidR="00BF37E1" w:rsidRPr="00DA6CCE">
        <w:rPr>
          <w:lang w:val="fr-FR"/>
        </w:rPr>
        <w:t xml:space="preserve"> en vue </w:t>
      </w:r>
      <w:r w:rsidR="00732270" w:rsidRPr="00DA6CCE">
        <w:rPr>
          <w:lang w:val="fr-FR"/>
        </w:rPr>
        <w:t xml:space="preserve">de transférer les </w:t>
      </w:r>
      <w:r w:rsidR="00D52A1F" w:rsidRPr="00DA6CCE">
        <w:rPr>
          <w:lang w:val="fr-FR"/>
        </w:rPr>
        <w:t>taxes</w:t>
      </w:r>
      <w:r w:rsidR="00AF345F" w:rsidRPr="00DA6CCE">
        <w:rPr>
          <w:lang w:val="fr-FR"/>
        </w:rPr>
        <w:t xml:space="preserve"> de recherche </w:t>
      </w:r>
      <w:r w:rsidR="00D52A1F" w:rsidRPr="00DA6CCE">
        <w:rPr>
          <w:lang w:val="fr-FR"/>
        </w:rPr>
        <w:t>de l</w:t>
      </w:r>
      <w:r w:rsidR="00DA6CCE">
        <w:rPr>
          <w:lang w:val="fr-FR"/>
        </w:rPr>
        <w:t>’</w:t>
      </w:r>
      <w:r w:rsidR="00D52A1F" w:rsidRPr="00DA6CCE">
        <w:rPr>
          <w:lang w:val="fr-FR"/>
        </w:rPr>
        <w:t>Office des brevets et des marques des États</w:t>
      </w:r>
      <w:r w:rsidR="004D220E">
        <w:rPr>
          <w:lang w:val="fr-FR"/>
        </w:rPr>
        <w:noBreakHyphen/>
      </w:r>
      <w:r w:rsidR="00D52A1F" w:rsidRPr="00DA6CCE">
        <w:rPr>
          <w:lang w:val="fr-FR"/>
        </w:rPr>
        <w:t>Unis d</w:t>
      </w:r>
      <w:r w:rsidR="00DA6CCE">
        <w:rPr>
          <w:lang w:val="fr-FR"/>
        </w:rPr>
        <w:t>’</w:t>
      </w:r>
      <w:r w:rsidR="00D52A1F" w:rsidRPr="00DA6CCE">
        <w:rPr>
          <w:lang w:val="fr-FR"/>
        </w:rPr>
        <w:t xml:space="preserve">Amérique </w:t>
      </w:r>
      <w:r w:rsidR="000C747A">
        <w:rPr>
          <w:lang w:val="fr-FR"/>
        </w:rPr>
        <w:t xml:space="preserve">agissant </w:t>
      </w:r>
      <w:r w:rsidR="00D52A1F" w:rsidRPr="00DA6CCE">
        <w:rPr>
          <w:lang w:val="fr-FR"/>
        </w:rPr>
        <w:t>en tant qu</w:t>
      </w:r>
      <w:r w:rsidR="00DA6CCE">
        <w:rPr>
          <w:lang w:val="fr-FR"/>
        </w:rPr>
        <w:t>’</w:t>
      </w:r>
      <w:r w:rsidR="00D52A1F" w:rsidRPr="00DA6CCE">
        <w:rPr>
          <w:lang w:val="fr-FR"/>
        </w:rPr>
        <w:t>office récepteur à l</w:t>
      </w:r>
      <w:r w:rsidR="00DA6CCE">
        <w:rPr>
          <w:lang w:val="fr-FR"/>
        </w:rPr>
        <w:t>’</w:t>
      </w:r>
      <w:r w:rsidR="00D52A1F" w:rsidRPr="00DA6CCE">
        <w:rPr>
          <w:lang w:val="fr-FR"/>
        </w:rPr>
        <w:t xml:space="preserve">Office européen des brevets </w:t>
      </w:r>
      <w:r w:rsidR="000C747A">
        <w:rPr>
          <w:lang w:val="fr-FR"/>
        </w:rPr>
        <w:t xml:space="preserve">agissant </w:t>
      </w:r>
      <w:r w:rsidR="00D52A1F" w:rsidRPr="00DA6CCE">
        <w:rPr>
          <w:lang w:val="fr-FR"/>
        </w:rPr>
        <w:t>en tant qu</w:t>
      </w:r>
      <w:r w:rsidR="00DA6CCE">
        <w:rPr>
          <w:lang w:val="fr-FR"/>
        </w:rPr>
        <w:t>’</w:t>
      </w:r>
      <w:r w:rsidR="00D52A1F" w:rsidRPr="00DA6CCE">
        <w:rPr>
          <w:lang w:val="fr-FR"/>
        </w:rPr>
        <w:t>administration chargée de la recherche internationale par l</w:t>
      </w:r>
      <w:r w:rsidR="00DA6CCE">
        <w:rPr>
          <w:lang w:val="fr-FR"/>
        </w:rPr>
        <w:t>’</w:t>
      </w:r>
      <w:r w:rsidR="00D52A1F" w:rsidRPr="00DA6CCE">
        <w:rPr>
          <w:lang w:val="fr-FR"/>
        </w:rPr>
        <w:t>intermédiaire du Bureau international</w:t>
      </w:r>
      <w:r w:rsidR="00F67A2E" w:rsidRPr="00DA6CCE">
        <w:rPr>
          <w:lang w:val="fr-FR"/>
        </w:rPr>
        <w:t>,</w:t>
      </w:r>
      <w:r w:rsidR="00D52A1F" w:rsidRPr="00DA6CCE">
        <w:rPr>
          <w:lang w:val="fr-FR"/>
        </w:rPr>
        <w:t xml:space="preserve"> et qu</w:t>
      </w:r>
      <w:r w:rsidR="00DA6CCE">
        <w:rPr>
          <w:lang w:val="fr-FR"/>
        </w:rPr>
        <w:t>’</w:t>
      </w:r>
      <w:r w:rsidR="00D52A1F" w:rsidRPr="00DA6CCE">
        <w:rPr>
          <w:lang w:val="fr-FR"/>
        </w:rPr>
        <w:t>il est prévu d</w:t>
      </w:r>
      <w:r w:rsidR="00DA6CCE">
        <w:rPr>
          <w:lang w:val="fr-FR"/>
        </w:rPr>
        <w:t>’</w:t>
      </w:r>
      <w:r w:rsidR="00D52A1F" w:rsidRPr="00DA6CCE">
        <w:rPr>
          <w:lang w:val="fr-FR"/>
        </w:rPr>
        <w:t xml:space="preserve">étendre ce projet </w:t>
      </w:r>
      <w:r w:rsidR="00F67A2E" w:rsidRPr="00DA6CCE">
        <w:rPr>
          <w:lang w:val="fr-FR"/>
        </w:rPr>
        <w:t xml:space="preserve">pilote </w:t>
      </w:r>
      <w:r w:rsidR="00D52A1F" w:rsidRPr="00DA6CCE">
        <w:rPr>
          <w:lang w:val="fr-FR"/>
        </w:rPr>
        <w:t xml:space="preserve">à un certain nombre </w:t>
      </w:r>
      <w:r w:rsidR="00C17B27" w:rsidRPr="00DA6CCE">
        <w:rPr>
          <w:lang w:val="fr-FR"/>
        </w:rPr>
        <w:t>d</w:t>
      </w:r>
      <w:r w:rsidR="00DA6CCE">
        <w:rPr>
          <w:lang w:val="fr-FR"/>
        </w:rPr>
        <w:t>’</w:t>
      </w:r>
      <w:r w:rsidR="00712F03" w:rsidRPr="00DA6CCE">
        <w:rPr>
          <w:lang w:val="fr-FR"/>
        </w:rPr>
        <w:t xml:space="preserve">autres </w:t>
      </w:r>
      <w:r w:rsidR="00C17B27" w:rsidRPr="00DA6CCE">
        <w:rPr>
          <w:lang w:val="fr-FR"/>
        </w:rPr>
        <w:t>offices récepteurs</w:t>
      </w:r>
      <w:r w:rsidR="00D52A1F" w:rsidRPr="00DA6CCE">
        <w:rPr>
          <w:lang w:val="fr-FR"/>
        </w:rPr>
        <w:t xml:space="preserve"> et d</w:t>
      </w:r>
      <w:r w:rsidR="00DA6CCE">
        <w:rPr>
          <w:lang w:val="fr-FR"/>
        </w:rPr>
        <w:t>’</w:t>
      </w:r>
      <w:r w:rsidR="00C17B27" w:rsidRPr="00DA6CCE">
        <w:rPr>
          <w:lang w:val="fr-FR"/>
        </w:rPr>
        <w:t>administrations chargées de la recherche internationale</w:t>
      </w:r>
      <w:r w:rsidR="00D52A1F" w:rsidRPr="00DA6CCE">
        <w:rPr>
          <w:lang w:val="fr-FR"/>
        </w:rPr>
        <w:t xml:space="preserve"> au cours de l</w:t>
      </w:r>
      <w:r w:rsidR="00DA6CCE">
        <w:rPr>
          <w:lang w:val="fr-FR"/>
        </w:rPr>
        <w:t>’</w:t>
      </w:r>
      <w:r w:rsidR="00D52A1F" w:rsidRPr="00DA6CCE">
        <w:rPr>
          <w:lang w:val="fr-FR"/>
        </w:rPr>
        <w:t xml:space="preserve">année 2017 (voir </w:t>
      </w:r>
      <w:r w:rsidR="00E14E89" w:rsidRPr="00DA6CCE">
        <w:rPr>
          <w:lang w:val="fr-FR"/>
        </w:rPr>
        <w:t xml:space="preserve">le </w:t>
      </w:r>
      <w:r w:rsidR="00D52A1F" w:rsidRPr="00DA6CCE">
        <w:rPr>
          <w:lang w:val="fr-FR"/>
        </w:rPr>
        <w:t xml:space="preserve">document </w:t>
      </w:r>
      <w:r w:rsidR="007806C5" w:rsidRPr="00DA6CCE">
        <w:rPr>
          <w:lang w:val="fr-FR"/>
        </w:rPr>
        <w:t>PCT/WG/10/6)</w:t>
      </w:r>
      <w:r w:rsidR="00D52A1F" w:rsidRPr="00DA6CCE">
        <w:rPr>
          <w:lang w:val="fr-FR"/>
        </w:rPr>
        <w:t xml:space="preserve">. </w:t>
      </w:r>
      <w:r w:rsidR="00043B10">
        <w:rPr>
          <w:lang w:val="fr-FR"/>
        </w:rPr>
        <w:t xml:space="preserve"> </w:t>
      </w:r>
      <w:r w:rsidR="00DA072D" w:rsidRPr="00DA6CCE">
        <w:rPr>
          <w:lang w:val="fr-FR"/>
        </w:rPr>
        <w:t xml:space="preserve">En cas de succès </w:t>
      </w:r>
      <w:r w:rsidR="00712F03" w:rsidRPr="00DA6CCE">
        <w:rPr>
          <w:lang w:val="fr-FR"/>
        </w:rPr>
        <w:t>du</w:t>
      </w:r>
      <w:r w:rsidR="00DA072D" w:rsidRPr="00DA6CCE">
        <w:rPr>
          <w:lang w:val="fr-FR"/>
        </w:rPr>
        <w:t xml:space="preserve"> projet pilote</w:t>
      </w:r>
      <w:r w:rsidR="00D52A1F" w:rsidRPr="00DA6CCE">
        <w:rPr>
          <w:lang w:val="fr-FR"/>
        </w:rPr>
        <w:t xml:space="preserve">, </w:t>
      </w:r>
      <w:r w:rsidR="00DA072D" w:rsidRPr="00DA6CCE">
        <w:rPr>
          <w:lang w:val="fr-FR"/>
        </w:rPr>
        <w:t>d</w:t>
      </w:r>
      <w:r w:rsidR="00DA6CCE">
        <w:rPr>
          <w:lang w:val="fr-FR"/>
        </w:rPr>
        <w:t>’</w:t>
      </w:r>
      <w:r w:rsidR="00DA072D" w:rsidRPr="00DA6CCE">
        <w:rPr>
          <w:lang w:val="fr-FR"/>
        </w:rPr>
        <w:t>importantes synergies pourr</w:t>
      </w:r>
      <w:r w:rsidR="00F67A2E" w:rsidRPr="00DA6CCE">
        <w:rPr>
          <w:lang w:val="fr-FR"/>
        </w:rPr>
        <w:t>o</w:t>
      </w:r>
      <w:r w:rsidR="00DA072D" w:rsidRPr="00DA6CCE">
        <w:rPr>
          <w:lang w:val="fr-FR"/>
        </w:rPr>
        <w:t xml:space="preserve">nt être établies avec le système </w:t>
      </w:r>
      <w:proofErr w:type="spellStart"/>
      <w:r w:rsidR="00DA072D" w:rsidRPr="00DA6CCE">
        <w:rPr>
          <w:lang w:val="fr-FR"/>
        </w:rPr>
        <w:t>eSearchCopy</w:t>
      </w:r>
      <w:proofErr w:type="spellEnd"/>
      <w:r w:rsidR="00DA072D" w:rsidRPr="00DA6CCE">
        <w:rPr>
          <w:lang w:val="fr-FR"/>
        </w:rPr>
        <w:t>,</w:t>
      </w:r>
      <w:r w:rsidR="009B7C84" w:rsidRPr="00DA6CCE">
        <w:rPr>
          <w:lang w:val="fr-FR"/>
        </w:rPr>
        <w:t xml:space="preserve"> afin</w:t>
      </w:r>
      <w:r w:rsidR="00DA072D" w:rsidRPr="00DA6CCE">
        <w:rPr>
          <w:lang w:val="fr-FR"/>
        </w:rPr>
        <w:t xml:space="preserve"> </w:t>
      </w:r>
      <w:r w:rsidR="009B7C84" w:rsidRPr="00DA6CCE">
        <w:rPr>
          <w:lang w:val="fr-FR"/>
        </w:rPr>
        <w:t>de garantir que les données soie</w:t>
      </w:r>
      <w:r w:rsidR="00DA072D" w:rsidRPr="00DA6CCE">
        <w:rPr>
          <w:lang w:val="fr-FR"/>
        </w:rPr>
        <w:t>nt collectées en temps voulu et de façon cohérente</w:t>
      </w:r>
      <w:r w:rsidR="009B7C84" w:rsidRPr="00DA6CCE">
        <w:rPr>
          <w:lang w:val="fr-FR"/>
        </w:rPr>
        <w:t xml:space="preserve"> dans les deux</w:t>
      </w:r>
      <w:r w:rsidR="00043B10">
        <w:rPr>
          <w:lang w:val="fr-FR"/>
        </w:rPr>
        <w:t> </w:t>
      </w:r>
      <w:r w:rsidR="009B7C84" w:rsidRPr="00DA6CCE">
        <w:rPr>
          <w:lang w:val="fr-FR"/>
        </w:rPr>
        <w:t xml:space="preserve">cas, </w:t>
      </w:r>
      <w:r w:rsidR="00712F03" w:rsidRPr="00DA6CCE">
        <w:rPr>
          <w:lang w:val="fr-FR"/>
        </w:rPr>
        <w:t xml:space="preserve">et ainsi </w:t>
      </w:r>
      <w:r w:rsidR="009B7C84" w:rsidRPr="00DA6CCE">
        <w:rPr>
          <w:lang w:val="fr-FR"/>
        </w:rPr>
        <w:t>d</w:t>
      </w:r>
      <w:r w:rsidR="00D45B75" w:rsidRPr="00DA6CCE">
        <w:rPr>
          <w:lang w:val="fr-FR"/>
        </w:rPr>
        <w:t>e continuer d</w:t>
      </w:r>
      <w:r w:rsidR="00DA6CCE">
        <w:rPr>
          <w:lang w:val="fr-FR"/>
        </w:rPr>
        <w:t>’</w:t>
      </w:r>
      <w:r w:rsidR="00AB25EB" w:rsidRPr="00DA6CCE">
        <w:rPr>
          <w:lang w:val="fr-FR"/>
        </w:rPr>
        <w:t xml:space="preserve">améliorer </w:t>
      </w:r>
      <w:r w:rsidR="00F67A2E" w:rsidRPr="00DA6CCE">
        <w:rPr>
          <w:lang w:val="fr-FR"/>
        </w:rPr>
        <w:t>le</w:t>
      </w:r>
      <w:r w:rsidR="00AB25EB" w:rsidRPr="00DA6CCE">
        <w:rPr>
          <w:lang w:val="fr-FR"/>
        </w:rPr>
        <w:t xml:space="preserve"> traitement des copies de recherche et les délais y relatifs, de réduire les coûts administratifs supportés par les offices récepteurs et </w:t>
      </w:r>
      <w:r w:rsidR="00115AE9" w:rsidRPr="00DA6CCE">
        <w:rPr>
          <w:lang w:val="fr-FR"/>
        </w:rPr>
        <w:t xml:space="preserve">par </w:t>
      </w:r>
      <w:r w:rsidR="00AB25EB" w:rsidRPr="00DA6CCE">
        <w:rPr>
          <w:lang w:val="fr-FR"/>
        </w:rPr>
        <w:t>les administrations chargées de la recherch</w:t>
      </w:r>
      <w:r w:rsidR="00115AE9" w:rsidRPr="00DA6CCE">
        <w:rPr>
          <w:lang w:val="fr-FR"/>
        </w:rPr>
        <w:t>e internationale, et de permettre au Bureau international de mieux gérer les coûts dus aux variations des taux de change.</w:t>
      </w:r>
    </w:p>
    <w:p w:rsidR="0089564A" w:rsidRPr="00DA6CCE" w:rsidRDefault="004D220E" w:rsidP="008D5856">
      <w:pPr>
        <w:pStyle w:val="Heading1"/>
        <w:rPr>
          <w:lang w:val="fr-FR"/>
        </w:rPr>
      </w:pPr>
      <w:r w:rsidRPr="00DA6CCE">
        <w:rPr>
          <w:lang w:val="fr-FR"/>
        </w:rPr>
        <w:t>Évaluation de l</w:t>
      </w:r>
      <w:r>
        <w:rPr>
          <w:lang w:val="fr-FR"/>
        </w:rPr>
        <w:t>’</w:t>
      </w:r>
      <w:r w:rsidRPr="00DA6CCE">
        <w:rPr>
          <w:lang w:val="fr-FR"/>
        </w:rPr>
        <w:t>efficacité du service</w:t>
      </w:r>
    </w:p>
    <w:p w:rsidR="0089564A" w:rsidRDefault="006B3F69" w:rsidP="008D5856">
      <w:pPr>
        <w:pStyle w:val="Heading3"/>
        <w:rPr>
          <w:lang w:val="fr-FR"/>
        </w:rPr>
      </w:pPr>
      <w:r w:rsidRPr="00DA6CCE">
        <w:rPr>
          <w:lang w:val="fr-FR"/>
        </w:rPr>
        <w:t>Délai</w:t>
      </w:r>
      <w:r w:rsidR="005D0B33" w:rsidRPr="00DA6CCE">
        <w:rPr>
          <w:lang w:val="fr-FR"/>
        </w:rPr>
        <w:t xml:space="preserve"> de réception des copies de recherche</w:t>
      </w:r>
    </w:p>
    <w:p w:rsidR="004D220E" w:rsidRPr="004D220E" w:rsidRDefault="004D220E" w:rsidP="008D5856">
      <w:pPr>
        <w:rPr>
          <w:lang w:val="fr-FR"/>
        </w:rPr>
      </w:pPr>
    </w:p>
    <w:p w:rsidR="00C46516" w:rsidRDefault="00115AE9" w:rsidP="008D5856">
      <w:pPr>
        <w:pStyle w:val="ONUMFS"/>
        <w:rPr>
          <w:lang w:val="fr-FR"/>
        </w:rPr>
      </w:pPr>
      <w:r w:rsidRPr="00DA6CCE">
        <w:rPr>
          <w:lang w:val="fr-FR"/>
        </w:rPr>
        <w:t xml:space="preserve">Une analyse réalisée dans le courant du mois de </w:t>
      </w:r>
      <w:r w:rsidR="00DA6CCE" w:rsidRPr="00DA6CCE">
        <w:rPr>
          <w:lang w:val="fr-FR"/>
        </w:rPr>
        <w:t>décembre</w:t>
      </w:r>
      <w:r w:rsidR="00DA6CCE">
        <w:rPr>
          <w:lang w:val="fr-FR"/>
        </w:rPr>
        <w:t> </w:t>
      </w:r>
      <w:r w:rsidR="00DA6CCE" w:rsidRPr="00DA6CCE">
        <w:rPr>
          <w:lang w:val="fr-FR"/>
        </w:rPr>
        <w:t>20</w:t>
      </w:r>
      <w:r w:rsidRPr="00DA6CCE">
        <w:rPr>
          <w:lang w:val="fr-FR"/>
        </w:rPr>
        <w:t>16 a comparé</w:t>
      </w:r>
      <w:r w:rsidR="007E478A" w:rsidRPr="00DA6CCE">
        <w:rPr>
          <w:lang w:val="fr-FR"/>
        </w:rPr>
        <w:t>, une fois déposées les demandes internationales,</w:t>
      </w:r>
      <w:r w:rsidRPr="00DA6CCE">
        <w:rPr>
          <w:lang w:val="fr-FR"/>
        </w:rPr>
        <w:t xml:space="preserve"> le délai de réception des 50</w:t>
      </w:r>
      <w:r w:rsidR="000C747A">
        <w:rPr>
          <w:lang w:val="fr-FR"/>
        </w:rPr>
        <w:t> </w:t>
      </w:r>
      <w:r w:rsidRPr="00DA6CCE">
        <w:rPr>
          <w:lang w:val="fr-FR"/>
        </w:rPr>
        <w:t>dernières copies de recherche transmises entre les deux</w:t>
      </w:r>
      <w:r w:rsidR="00043B10">
        <w:rPr>
          <w:lang w:val="fr-FR"/>
        </w:rPr>
        <w:t> </w:t>
      </w:r>
      <w:r w:rsidRPr="00DA6CCE">
        <w:rPr>
          <w:lang w:val="fr-FR"/>
        </w:rPr>
        <w:t>offices avant</w:t>
      </w:r>
      <w:r w:rsidR="00386B5F" w:rsidRPr="00DA6CCE">
        <w:rPr>
          <w:lang w:val="fr-FR"/>
        </w:rPr>
        <w:t xml:space="preserve"> </w:t>
      </w:r>
      <w:r w:rsidRPr="00DA6CCE">
        <w:rPr>
          <w:lang w:val="fr-FR"/>
        </w:rPr>
        <w:t>l</w:t>
      </w:r>
      <w:r w:rsidR="00DA6CCE">
        <w:rPr>
          <w:lang w:val="fr-FR"/>
        </w:rPr>
        <w:t>’</w:t>
      </w:r>
      <w:r w:rsidRPr="00DA6CCE">
        <w:rPr>
          <w:lang w:val="fr-FR"/>
        </w:rPr>
        <w:t>adoption du s</w:t>
      </w:r>
      <w:r w:rsidR="00FF3B0B" w:rsidRPr="00DA6CCE">
        <w:rPr>
          <w:lang w:val="fr-FR"/>
        </w:rPr>
        <w:t>ervice</w:t>
      </w:r>
      <w:r w:rsidRPr="00DA6CCE">
        <w:rPr>
          <w:lang w:val="fr-FR"/>
        </w:rPr>
        <w:t xml:space="preserve"> </w:t>
      </w:r>
      <w:proofErr w:type="spellStart"/>
      <w:r w:rsidRPr="00DA6CCE">
        <w:rPr>
          <w:lang w:val="fr-FR"/>
        </w:rPr>
        <w:t>eSearchCopy</w:t>
      </w:r>
      <w:proofErr w:type="spellEnd"/>
      <w:r w:rsidR="007E478A" w:rsidRPr="00DA6CCE">
        <w:rPr>
          <w:lang w:val="fr-FR"/>
        </w:rPr>
        <w:t xml:space="preserve"> et des </w:t>
      </w:r>
    </w:p>
    <w:p w:rsidR="00115AE9" w:rsidRPr="00DA6CCE" w:rsidRDefault="007E478A" w:rsidP="00C46516">
      <w:pPr>
        <w:pStyle w:val="ONUMFS"/>
        <w:numPr>
          <w:ilvl w:val="0"/>
          <w:numId w:val="0"/>
        </w:numPr>
        <w:rPr>
          <w:lang w:val="fr-FR"/>
        </w:rPr>
      </w:pPr>
      <w:bookmarkStart w:id="6" w:name="_GoBack"/>
      <w:bookmarkEnd w:id="6"/>
      <w:r w:rsidRPr="00DA6CCE">
        <w:rPr>
          <w:lang w:val="fr-FR"/>
        </w:rPr>
        <w:lastRenderedPageBreak/>
        <w:t>50</w:t>
      </w:r>
      <w:r w:rsidR="000C747A">
        <w:rPr>
          <w:lang w:val="fr-FR"/>
        </w:rPr>
        <w:t> </w:t>
      </w:r>
      <w:r w:rsidRPr="00DA6CCE">
        <w:rPr>
          <w:lang w:val="fr-FR"/>
        </w:rPr>
        <w:t xml:space="preserve">dernières copies de recherche transmises depuis son adoption </w:t>
      </w:r>
      <w:r w:rsidR="00115AE9" w:rsidRPr="00DA6CCE">
        <w:rPr>
          <w:lang w:val="fr-FR"/>
        </w:rPr>
        <w:t xml:space="preserve">(ou </w:t>
      </w:r>
      <w:r w:rsidRPr="00DA6CCE">
        <w:rPr>
          <w:lang w:val="fr-FR"/>
        </w:rPr>
        <w:t xml:space="preserve">de </w:t>
      </w:r>
      <w:r w:rsidR="009C23C7" w:rsidRPr="00DA6CCE">
        <w:rPr>
          <w:lang w:val="fr-FR"/>
        </w:rPr>
        <w:t>l</w:t>
      </w:r>
      <w:r w:rsidR="00DA6CCE">
        <w:rPr>
          <w:lang w:val="fr-FR"/>
        </w:rPr>
        <w:t>’</w:t>
      </w:r>
      <w:r w:rsidR="009C23C7" w:rsidRPr="00DA6CCE">
        <w:rPr>
          <w:lang w:val="fr-FR"/>
        </w:rPr>
        <w:t>ensemble des</w:t>
      </w:r>
      <w:r w:rsidR="00870BE0" w:rsidRPr="00DA6CCE">
        <w:rPr>
          <w:lang w:val="fr-FR"/>
        </w:rPr>
        <w:t xml:space="preserve"> copies de recherche </w:t>
      </w:r>
      <w:r w:rsidRPr="00DA6CCE">
        <w:rPr>
          <w:lang w:val="fr-FR"/>
        </w:rPr>
        <w:t>correspondant à l</w:t>
      </w:r>
      <w:r w:rsidR="00DA6CCE">
        <w:rPr>
          <w:lang w:val="fr-FR"/>
        </w:rPr>
        <w:t>’</w:t>
      </w:r>
      <w:r w:rsidRPr="00DA6CCE">
        <w:rPr>
          <w:lang w:val="fr-FR"/>
        </w:rPr>
        <w:t>un ou l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autre cas </w:t>
      </w:r>
      <w:r w:rsidR="00870BE0" w:rsidRPr="00DA6CCE">
        <w:rPr>
          <w:lang w:val="fr-FR"/>
        </w:rPr>
        <w:t>des demandes internationales déposées le</w:t>
      </w:r>
      <w:r w:rsidR="00DA6CCE">
        <w:rPr>
          <w:lang w:val="fr-FR"/>
        </w:rPr>
        <w:t xml:space="preserve"> 1</w:t>
      </w:r>
      <w:r w:rsidR="00DA6CCE" w:rsidRPr="00DA6CCE">
        <w:rPr>
          <w:vertAlign w:val="superscript"/>
          <w:lang w:val="fr-FR"/>
        </w:rPr>
        <w:t>er</w:t>
      </w:r>
      <w:r w:rsidR="00DA6CCE">
        <w:rPr>
          <w:lang w:val="fr-FR"/>
        </w:rPr>
        <w:t> </w:t>
      </w:r>
      <w:r w:rsidR="00DA6CCE" w:rsidRPr="00DA6CCE">
        <w:rPr>
          <w:lang w:val="fr-FR"/>
        </w:rPr>
        <w:t>janvier</w:t>
      </w:r>
      <w:r w:rsidR="00DA6CCE">
        <w:rPr>
          <w:lang w:val="fr-FR"/>
        </w:rPr>
        <w:t> </w:t>
      </w:r>
      <w:r w:rsidR="00DA6CCE" w:rsidRPr="00DA6CCE">
        <w:rPr>
          <w:lang w:val="fr-FR"/>
        </w:rPr>
        <w:t>20</w:t>
      </w:r>
      <w:r w:rsidR="00870BE0" w:rsidRPr="00DA6CCE">
        <w:rPr>
          <w:lang w:val="fr-FR"/>
        </w:rPr>
        <w:t>14 ou à la suite de cette date,</w:t>
      </w:r>
      <w:r w:rsidR="00386B5F" w:rsidRPr="00DA6CCE">
        <w:rPr>
          <w:lang w:val="fr-FR"/>
        </w:rPr>
        <w:t xml:space="preserve"> à laquelle leur nombre est moins élevé</w:t>
      </w:r>
      <w:r w:rsidR="00870BE0" w:rsidRPr="00DA6CCE">
        <w:rPr>
          <w:lang w:val="fr-FR"/>
        </w:rPr>
        <w:t>).</w:t>
      </w:r>
    </w:p>
    <w:p w:rsidR="00870BE0" w:rsidRPr="00DA6CCE" w:rsidRDefault="00484429" w:rsidP="008D5856">
      <w:pPr>
        <w:pStyle w:val="ONUMFS"/>
        <w:rPr>
          <w:lang w:val="fr-FR"/>
        </w:rPr>
      </w:pPr>
      <w:r w:rsidRPr="00DA6CCE">
        <w:rPr>
          <w:lang w:val="fr-FR"/>
        </w:rPr>
        <w:t>À l</w:t>
      </w:r>
      <w:r w:rsidR="00DA6CCE">
        <w:rPr>
          <w:lang w:val="fr-FR"/>
        </w:rPr>
        <w:t>’</w:t>
      </w:r>
      <w:r w:rsidRPr="00DA6CCE">
        <w:rPr>
          <w:lang w:val="fr-FR"/>
        </w:rPr>
        <w:t>exception de six d</w:t>
      </w:r>
      <w:r w:rsidR="00DA6CCE">
        <w:rPr>
          <w:lang w:val="fr-FR"/>
        </w:rPr>
        <w:t>’</w:t>
      </w:r>
      <w:r w:rsidRPr="00DA6CCE">
        <w:rPr>
          <w:lang w:val="fr-FR"/>
        </w:rPr>
        <w:t>entre elles, les paires concernées ont vu le délai moyen de réception des copies de recherche se rédui</w:t>
      </w:r>
      <w:r w:rsidR="00982AC1" w:rsidRPr="00DA6CCE">
        <w:rPr>
          <w:lang w:val="fr-FR"/>
        </w:rPr>
        <w:t>re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Pa</w:t>
      </w:r>
      <w:r w:rsidR="00B81C2A" w:rsidRPr="00DA6CCE">
        <w:rPr>
          <w:lang w:val="fr-FR"/>
        </w:rPr>
        <w:t>rmi</w:t>
      </w:r>
      <w:r w:rsidRPr="00DA6CCE">
        <w:rPr>
          <w:lang w:val="fr-FR"/>
        </w:rPr>
        <w:t xml:space="preserve"> celles dont le nombre de copies de recherche</w:t>
      </w:r>
      <w:r w:rsidR="00923372" w:rsidRPr="00DA6CCE">
        <w:rPr>
          <w:lang w:val="fr-FR"/>
        </w:rPr>
        <w:t xml:space="preserve"> transmises était supérieur à </w:t>
      </w:r>
      <w:r w:rsidR="00C93270">
        <w:rPr>
          <w:lang w:val="fr-FR"/>
        </w:rPr>
        <w:t>20</w:t>
      </w:r>
      <w:r w:rsidR="00923372" w:rsidRPr="00DA6CCE">
        <w:rPr>
          <w:lang w:val="fr-FR"/>
        </w:rPr>
        <w:t xml:space="preserve">, </w:t>
      </w:r>
      <w:r w:rsidRPr="00DA6CCE">
        <w:rPr>
          <w:lang w:val="fr-FR"/>
        </w:rPr>
        <w:t>la réduction du délai moyen allait de deux</w:t>
      </w:r>
      <w:r w:rsidR="00043B10">
        <w:rPr>
          <w:lang w:val="fr-FR"/>
        </w:rPr>
        <w:t> </w:t>
      </w:r>
      <w:r w:rsidRPr="00DA6CCE">
        <w:rPr>
          <w:lang w:val="fr-FR"/>
        </w:rPr>
        <w:t>jours à plus d</w:t>
      </w:r>
      <w:r w:rsidR="00DA6CCE">
        <w:rPr>
          <w:lang w:val="fr-FR"/>
        </w:rPr>
        <w:t>’</w:t>
      </w:r>
      <w:r w:rsidRPr="00DA6CCE">
        <w:rPr>
          <w:lang w:val="fr-FR"/>
        </w:rPr>
        <w:t>un mois (</w:t>
      </w:r>
      <w:r w:rsidR="00B81C2A" w:rsidRPr="00DA6CCE">
        <w:rPr>
          <w:lang w:val="fr-FR"/>
        </w:rPr>
        <w:t>des réductions plus importantes</w:t>
      </w:r>
      <w:r w:rsidR="00096E1F" w:rsidRPr="00DA6CCE">
        <w:rPr>
          <w:lang w:val="fr-FR"/>
        </w:rPr>
        <w:t xml:space="preserve"> </w:t>
      </w:r>
      <w:r w:rsidR="00B81C2A" w:rsidRPr="00DA6CCE">
        <w:rPr>
          <w:lang w:val="fr-FR"/>
        </w:rPr>
        <w:t>ont été constatées</w:t>
      </w:r>
      <w:r w:rsidR="00096E1F" w:rsidRPr="00DA6CCE">
        <w:rPr>
          <w:lang w:val="fr-FR"/>
        </w:rPr>
        <w:t xml:space="preserve"> p</w:t>
      </w:r>
      <w:r w:rsidR="00B81C2A" w:rsidRPr="00DA6CCE">
        <w:rPr>
          <w:lang w:val="fr-FR"/>
        </w:rPr>
        <w:t xml:space="preserve">armi </w:t>
      </w:r>
      <w:r w:rsidR="00096E1F" w:rsidRPr="00DA6CCE">
        <w:rPr>
          <w:lang w:val="fr-FR"/>
        </w:rPr>
        <w:t>les paires dont le nombre de copies de recherche</w:t>
      </w:r>
      <w:r w:rsidR="00923372" w:rsidRPr="00DA6CCE">
        <w:rPr>
          <w:lang w:val="fr-FR"/>
        </w:rPr>
        <w:t xml:space="preserve"> transmises</w:t>
      </w:r>
      <w:r w:rsidR="00096E1F" w:rsidRPr="00DA6CCE">
        <w:rPr>
          <w:lang w:val="fr-FR"/>
        </w:rPr>
        <w:t xml:space="preserve"> était inférieur, mais les variations statistiques rendent les comparaisons moins pertinent</w:t>
      </w:r>
      <w:r w:rsidR="00982AC1" w:rsidRPr="00DA6CCE">
        <w:rPr>
          <w:lang w:val="fr-FR"/>
        </w:rPr>
        <w:t>es)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La</w:t>
      </w:r>
      <w:r w:rsidR="00923372" w:rsidRPr="00DA6CCE">
        <w:rPr>
          <w:lang w:val="fr-FR"/>
        </w:rPr>
        <w:t xml:space="preserve"> réduction du délai moyen de réception des copies de recherche s</w:t>
      </w:r>
      <w:r w:rsidR="00DA6CCE">
        <w:rPr>
          <w:lang w:val="fr-FR"/>
        </w:rPr>
        <w:t>’</w:t>
      </w:r>
      <w:r w:rsidR="00923372" w:rsidRPr="00DA6CCE">
        <w:rPr>
          <w:lang w:val="fr-FR"/>
        </w:rPr>
        <w:t>ajoute aux autres gains</w:t>
      </w:r>
      <w:r w:rsidR="00E56FEE" w:rsidRPr="00DA6CCE">
        <w:rPr>
          <w:lang w:val="fr-FR"/>
        </w:rPr>
        <w:t xml:space="preserve"> internes</w:t>
      </w:r>
      <w:r w:rsidR="00923372" w:rsidRPr="00DA6CCE">
        <w:rPr>
          <w:lang w:val="fr-FR"/>
        </w:rPr>
        <w:t xml:space="preserve"> d</w:t>
      </w:r>
      <w:r w:rsidR="00DA6CCE">
        <w:rPr>
          <w:lang w:val="fr-FR"/>
        </w:rPr>
        <w:t>’</w:t>
      </w:r>
      <w:r w:rsidR="00923372" w:rsidRPr="00DA6CCE">
        <w:rPr>
          <w:lang w:val="fr-FR"/>
        </w:rPr>
        <w:t>efficacité qui peuvent être réalisés par l</w:t>
      </w:r>
      <w:r w:rsidR="00DA6CCE">
        <w:rPr>
          <w:lang w:val="fr-FR"/>
        </w:rPr>
        <w:t>’</w:t>
      </w:r>
      <w:r w:rsidR="000C747A">
        <w:rPr>
          <w:lang w:val="fr-FR"/>
        </w:rPr>
        <w:t>administration chargée de la recherche internationale</w:t>
      </w:r>
      <w:r w:rsidR="00923372" w:rsidRPr="00DA6CCE">
        <w:rPr>
          <w:lang w:val="fr-FR"/>
        </w:rPr>
        <w:t xml:space="preserve"> grâce au fait que les copies sont transmises sous forme électronique et que le type </w:t>
      </w:r>
      <w:r w:rsidR="00D36A30" w:rsidRPr="00DA6CCE">
        <w:rPr>
          <w:lang w:val="fr-FR"/>
        </w:rPr>
        <w:t>de ces</w:t>
      </w:r>
      <w:r w:rsidR="00923372" w:rsidRPr="00DA6CCE">
        <w:rPr>
          <w:lang w:val="fr-FR"/>
        </w:rPr>
        <w:t xml:space="preserve"> documents </w:t>
      </w:r>
      <w:r w:rsidR="00D36A30" w:rsidRPr="00DA6CCE">
        <w:rPr>
          <w:lang w:val="fr-FR"/>
        </w:rPr>
        <w:t xml:space="preserve">est </w:t>
      </w:r>
      <w:r w:rsidR="00923372" w:rsidRPr="00DA6CCE">
        <w:rPr>
          <w:lang w:val="fr-FR"/>
        </w:rPr>
        <w:t>systématiquement codé, ce qui fait qu</w:t>
      </w:r>
      <w:r w:rsidR="00DA6CCE">
        <w:rPr>
          <w:lang w:val="fr-FR"/>
        </w:rPr>
        <w:t>’</w:t>
      </w:r>
      <w:r w:rsidR="00923372" w:rsidRPr="00DA6CCE">
        <w:rPr>
          <w:lang w:val="fr-FR"/>
        </w:rPr>
        <w:t>il n</w:t>
      </w:r>
      <w:r w:rsidR="00DA6CCE">
        <w:rPr>
          <w:lang w:val="fr-FR"/>
        </w:rPr>
        <w:t>’</w:t>
      </w:r>
      <w:r w:rsidR="00923372" w:rsidRPr="00DA6CCE">
        <w:rPr>
          <w:lang w:val="fr-FR"/>
        </w:rPr>
        <w:t>est pas nécessaire de numériser et de classer manuellement l</w:t>
      </w:r>
      <w:r w:rsidR="00D36A30" w:rsidRPr="00DA6CCE">
        <w:rPr>
          <w:lang w:val="fr-FR"/>
        </w:rPr>
        <w:t>es</w:t>
      </w:r>
      <w:r w:rsidR="00923372" w:rsidRPr="00DA6CCE">
        <w:rPr>
          <w:lang w:val="fr-FR"/>
        </w:rPr>
        <w:t xml:space="preserve"> copie</w:t>
      </w:r>
      <w:r w:rsidR="00D36A30" w:rsidRPr="00DA6CCE">
        <w:rPr>
          <w:lang w:val="fr-FR"/>
        </w:rPr>
        <w:t>s</w:t>
      </w:r>
      <w:r w:rsidR="00923372" w:rsidRPr="00DA6CCE">
        <w:rPr>
          <w:lang w:val="fr-FR"/>
        </w:rPr>
        <w:t xml:space="preserve"> de recherche avant de pouvoir l</w:t>
      </w:r>
      <w:r w:rsidR="00D36A30" w:rsidRPr="00DA6CCE">
        <w:rPr>
          <w:lang w:val="fr-FR"/>
        </w:rPr>
        <w:t>es</w:t>
      </w:r>
      <w:r w:rsidR="00923372" w:rsidRPr="00DA6CCE">
        <w:rPr>
          <w:lang w:val="fr-FR"/>
        </w:rPr>
        <w:t xml:space="preserve"> transmettre </w:t>
      </w:r>
      <w:r w:rsidR="00E56FEE" w:rsidRPr="00DA6CCE">
        <w:rPr>
          <w:lang w:val="fr-FR"/>
        </w:rPr>
        <w:t xml:space="preserve">aux </w:t>
      </w:r>
      <w:r w:rsidR="00923372" w:rsidRPr="00DA6CCE">
        <w:rPr>
          <w:lang w:val="fr-FR"/>
        </w:rPr>
        <w:t>examinateur</w:t>
      </w:r>
      <w:r w:rsidR="00E56FEE" w:rsidRPr="00DA6CCE">
        <w:rPr>
          <w:lang w:val="fr-FR"/>
        </w:rPr>
        <w:t>s</w:t>
      </w:r>
      <w:r w:rsidR="00923372" w:rsidRPr="00DA6CCE">
        <w:rPr>
          <w:lang w:val="fr-FR"/>
        </w:rPr>
        <w:t>.</w:t>
      </w:r>
    </w:p>
    <w:p w:rsidR="00F60A2E" w:rsidRPr="00DA6CCE" w:rsidRDefault="00F60A2E" w:rsidP="008D5856">
      <w:pPr>
        <w:pStyle w:val="ONUMFS"/>
        <w:rPr>
          <w:lang w:val="fr-FR"/>
        </w:rPr>
      </w:pPr>
      <w:r w:rsidRPr="00DA6CCE">
        <w:rPr>
          <w:lang w:val="fr-FR"/>
        </w:rPr>
        <w:t xml:space="preserve">En outre, </w:t>
      </w:r>
      <w:r w:rsidR="00466A8F" w:rsidRPr="00DA6CCE">
        <w:rPr>
          <w:lang w:val="fr-FR"/>
        </w:rPr>
        <w:t>le fait</w:t>
      </w:r>
      <w:r w:rsidRPr="00DA6CCE">
        <w:rPr>
          <w:lang w:val="fr-FR"/>
        </w:rPr>
        <w:t xml:space="preserve"> que le Bureau international </w:t>
      </w:r>
      <w:r w:rsidR="00466A8F" w:rsidRPr="00DA6CCE">
        <w:rPr>
          <w:lang w:val="fr-FR"/>
        </w:rPr>
        <w:t xml:space="preserve">ait </w:t>
      </w:r>
      <w:r w:rsidRPr="00DA6CCE">
        <w:rPr>
          <w:lang w:val="fr-FR"/>
        </w:rPr>
        <w:t xml:space="preserve">une meilleure vue </w:t>
      </w:r>
      <w:r w:rsidR="00466A8F" w:rsidRPr="00DA6CCE">
        <w:rPr>
          <w:lang w:val="fr-FR"/>
        </w:rPr>
        <w:t>d</w:t>
      </w:r>
      <w:r w:rsidR="00DA6CCE">
        <w:rPr>
          <w:lang w:val="fr-FR"/>
        </w:rPr>
        <w:t>’</w:t>
      </w:r>
      <w:r w:rsidR="00466A8F" w:rsidRPr="00DA6CCE">
        <w:rPr>
          <w:lang w:val="fr-FR"/>
        </w:rPr>
        <w:t xml:space="preserve">ensemble de la situation et soit </w:t>
      </w:r>
      <w:r w:rsidR="006B3F69" w:rsidRPr="00DA6CCE">
        <w:rPr>
          <w:lang w:val="fr-FR"/>
        </w:rPr>
        <w:t>en mesure</w:t>
      </w:r>
      <w:r w:rsidR="00466A8F" w:rsidRPr="00DA6CCE">
        <w:rPr>
          <w:lang w:val="fr-FR"/>
        </w:rPr>
        <w:t xml:space="preserve"> de surveiller les anomalies décelées à un stade plus précoce semble avoir permis de réduire considérablement le nombre de demandes internationales dont le délai de </w:t>
      </w:r>
      <w:r w:rsidR="0057359A" w:rsidRPr="00DA6CCE">
        <w:rPr>
          <w:lang w:val="fr-FR"/>
        </w:rPr>
        <w:t>transmission</w:t>
      </w:r>
      <w:r w:rsidR="00466A8F" w:rsidRPr="00DA6CCE">
        <w:rPr>
          <w:lang w:val="fr-FR"/>
        </w:rPr>
        <w:t xml:space="preserve"> de la copie de recherche est supérieur à trois</w:t>
      </w:r>
      <w:r w:rsidR="00043B10">
        <w:rPr>
          <w:lang w:val="fr-FR"/>
        </w:rPr>
        <w:t> </w:t>
      </w:r>
      <w:r w:rsidR="00466A8F" w:rsidRPr="00DA6CCE">
        <w:rPr>
          <w:lang w:val="fr-FR"/>
        </w:rPr>
        <w:t xml:space="preserve">mois </w:t>
      </w:r>
      <w:r w:rsidR="0057359A" w:rsidRPr="00DA6CCE">
        <w:rPr>
          <w:lang w:val="fr-FR"/>
        </w:rPr>
        <w:t>dès lors que la demande a été dépos</w:t>
      </w:r>
      <w:r w:rsidR="00982AC1" w:rsidRPr="00DA6CCE">
        <w:rPr>
          <w:lang w:val="fr-FR"/>
        </w:rPr>
        <w:t>ée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Le</w:t>
      </w:r>
      <w:r w:rsidR="00E07AEE" w:rsidRPr="00DA6CCE">
        <w:rPr>
          <w:lang w:val="fr-FR"/>
        </w:rPr>
        <w:t xml:space="preserve"> problème des copies de recherche qui sont égarées par les services postaux et qui ne sont </w:t>
      </w:r>
      <w:r w:rsidR="000F2BAD" w:rsidRPr="00DA6CCE">
        <w:rPr>
          <w:lang w:val="fr-FR"/>
        </w:rPr>
        <w:t>reçues</w:t>
      </w:r>
      <w:r w:rsidR="00E07AEE" w:rsidRPr="00DA6CCE">
        <w:rPr>
          <w:lang w:val="fr-FR"/>
        </w:rPr>
        <w:t xml:space="preserve"> que bien plus tard (</w:t>
      </w:r>
      <w:r w:rsidR="00966395" w:rsidRPr="00DA6CCE">
        <w:rPr>
          <w:lang w:val="fr-FR"/>
        </w:rPr>
        <w:t xml:space="preserve">dans certains cas, </w:t>
      </w:r>
      <w:r w:rsidR="00E07AEE" w:rsidRPr="00DA6CCE">
        <w:rPr>
          <w:lang w:val="fr-FR"/>
        </w:rPr>
        <w:t>plus d</w:t>
      </w:r>
      <w:r w:rsidR="00DA6CCE">
        <w:rPr>
          <w:lang w:val="fr-FR"/>
        </w:rPr>
        <w:t>’</w:t>
      </w:r>
      <w:r w:rsidR="00E07AEE" w:rsidRPr="00DA6CCE">
        <w:rPr>
          <w:lang w:val="fr-FR"/>
        </w:rPr>
        <w:t xml:space="preserve">un an après) </w:t>
      </w:r>
      <w:r w:rsidR="00966395" w:rsidRPr="00DA6CCE">
        <w:rPr>
          <w:lang w:val="fr-FR"/>
        </w:rPr>
        <w:t>suite à leur retransmission par le déposant ou par le Burea</w:t>
      </w:r>
      <w:r w:rsidR="00BB5071" w:rsidRPr="00DA6CCE">
        <w:rPr>
          <w:lang w:val="fr-FR"/>
        </w:rPr>
        <w:t xml:space="preserve">u international </w:t>
      </w:r>
      <w:r w:rsidR="000F2BAD" w:rsidRPr="00DA6CCE">
        <w:rPr>
          <w:lang w:val="fr-FR"/>
        </w:rPr>
        <w:t>a</w:t>
      </w:r>
      <w:r w:rsidR="00BB5071" w:rsidRPr="00DA6CCE">
        <w:rPr>
          <w:lang w:val="fr-FR"/>
        </w:rPr>
        <w:t xml:space="preserve"> également</w:t>
      </w:r>
      <w:r w:rsidR="000F2BAD" w:rsidRPr="00DA6CCE">
        <w:rPr>
          <w:lang w:val="fr-FR"/>
        </w:rPr>
        <w:t xml:space="preserve"> été</w:t>
      </w:r>
      <w:r w:rsidR="00BB5071" w:rsidRPr="00DA6CCE">
        <w:rPr>
          <w:lang w:val="fr-FR"/>
        </w:rPr>
        <w:t xml:space="preserve"> résolu</w:t>
      </w:r>
      <w:r w:rsidR="00966395" w:rsidRPr="00DA6CCE">
        <w:rPr>
          <w:lang w:val="fr-FR"/>
        </w:rPr>
        <w:t>.</w:t>
      </w:r>
    </w:p>
    <w:p w:rsidR="00BB5071" w:rsidRPr="00DA6CCE" w:rsidRDefault="00BB5071" w:rsidP="008D5856">
      <w:pPr>
        <w:pStyle w:val="ONUMFS"/>
        <w:rPr>
          <w:lang w:val="fr-FR"/>
        </w:rPr>
      </w:pPr>
      <w:r w:rsidRPr="00DA6CCE">
        <w:rPr>
          <w:lang w:val="fr-FR"/>
        </w:rPr>
        <w:t>En ce qui concerne les paires d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offices </w:t>
      </w:r>
      <w:r w:rsidR="000F2BAD" w:rsidRPr="00DA6CCE">
        <w:rPr>
          <w:lang w:val="fr-FR"/>
        </w:rPr>
        <w:t>pour</w:t>
      </w:r>
      <w:r w:rsidRPr="00DA6CCE">
        <w:rPr>
          <w:lang w:val="fr-FR"/>
        </w:rPr>
        <w:t xml:space="preserve"> lesquel</w:t>
      </w:r>
      <w:r w:rsidR="000F2BAD" w:rsidRPr="00DA6CCE">
        <w:rPr>
          <w:lang w:val="fr-FR"/>
        </w:rPr>
        <w:t>le</w:t>
      </w:r>
      <w:r w:rsidRPr="00DA6CCE">
        <w:rPr>
          <w:lang w:val="fr-FR"/>
        </w:rPr>
        <w:t>s le délai moyen de</w:t>
      </w:r>
      <w:r w:rsidR="000F2BAD" w:rsidRPr="00DA6CCE">
        <w:rPr>
          <w:lang w:val="fr-FR"/>
        </w:rPr>
        <w:t xml:space="preserve"> transmission</w:t>
      </w:r>
      <w:r w:rsidRPr="00DA6CCE">
        <w:rPr>
          <w:lang w:val="fr-FR"/>
        </w:rPr>
        <w:t xml:space="preserve"> s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est accru, le principal problème semble </w:t>
      </w:r>
      <w:r w:rsidR="000572D8" w:rsidRPr="00DA6CCE">
        <w:rPr>
          <w:lang w:val="fr-FR"/>
        </w:rPr>
        <w:t>relever de</w:t>
      </w:r>
      <w:r w:rsidRPr="00DA6CCE">
        <w:rPr>
          <w:lang w:val="fr-FR"/>
        </w:rPr>
        <w:t xml:space="preserve"> la transmission des traductions aux fins d</w:t>
      </w:r>
      <w:r w:rsidR="000572D8" w:rsidRPr="00DA6CCE">
        <w:rPr>
          <w:lang w:val="fr-FR"/>
        </w:rPr>
        <w:t>e la recherche internationa</w:t>
      </w:r>
      <w:r w:rsidR="00982AC1" w:rsidRPr="00DA6CCE">
        <w:rPr>
          <w:lang w:val="fr-FR"/>
        </w:rPr>
        <w:t>le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Po</w:t>
      </w:r>
      <w:r w:rsidR="000572D8" w:rsidRPr="00DA6CCE">
        <w:rPr>
          <w:lang w:val="fr-FR"/>
        </w:rPr>
        <w:t>ur y remédier, d</w:t>
      </w:r>
      <w:r w:rsidRPr="00DA6CCE">
        <w:rPr>
          <w:lang w:val="fr-FR"/>
        </w:rPr>
        <w:t>es modifications ont été apportées tant dans les systèmes informatiques que dans les pratiques du Bureau international</w:t>
      </w:r>
      <w:r w:rsidR="008F1D89" w:rsidRPr="00DA6CCE">
        <w:rPr>
          <w:lang w:val="fr-FR"/>
        </w:rPr>
        <w:t>, et des améliorations importantes devraient être constatées dans le courant de l</w:t>
      </w:r>
      <w:r w:rsidR="00DA6CCE">
        <w:rPr>
          <w:lang w:val="fr-FR"/>
        </w:rPr>
        <w:t>’</w:t>
      </w:r>
      <w:r w:rsidR="008F1D89" w:rsidRPr="00DA6CCE">
        <w:rPr>
          <w:lang w:val="fr-FR"/>
        </w:rPr>
        <w:t xml:space="preserve">année 2017. </w:t>
      </w:r>
      <w:r w:rsidR="00043B10">
        <w:rPr>
          <w:lang w:val="fr-FR"/>
        </w:rPr>
        <w:t xml:space="preserve"> </w:t>
      </w:r>
      <w:r w:rsidR="0037240B" w:rsidRPr="00DA6CCE">
        <w:rPr>
          <w:lang w:val="fr-FR"/>
        </w:rPr>
        <w:t>D</w:t>
      </w:r>
      <w:r w:rsidR="00DA6CCE">
        <w:rPr>
          <w:lang w:val="fr-FR"/>
        </w:rPr>
        <w:t>’</w:t>
      </w:r>
      <w:r w:rsidR="0037240B" w:rsidRPr="00DA6CCE">
        <w:rPr>
          <w:lang w:val="fr-FR"/>
        </w:rPr>
        <w:t>a</w:t>
      </w:r>
      <w:r w:rsidR="008F1D89" w:rsidRPr="00DA6CCE">
        <w:rPr>
          <w:lang w:val="fr-FR"/>
        </w:rPr>
        <w:t>utres problèmes sont encore à l</w:t>
      </w:r>
      <w:r w:rsidR="00DA6CCE">
        <w:rPr>
          <w:lang w:val="fr-FR"/>
        </w:rPr>
        <w:t>’</w:t>
      </w:r>
      <w:r w:rsidR="008F1D89" w:rsidRPr="00DA6CCE">
        <w:rPr>
          <w:lang w:val="fr-FR"/>
        </w:rPr>
        <w:t xml:space="preserve">examen mais ils semblent être dus principalement à des difficultés transitoires </w:t>
      </w:r>
      <w:r w:rsidR="006A7A6F" w:rsidRPr="00DA6CCE">
        <w:rPr>
          <w:lang w:val="fr-FR"/>
        </w:rPr>
        <w:t xml:space="preserve">qui ont été </w:t>
      </w:r>
      <w:r w:rsidR="008F1D89" w:rsidRPr="00DA6CCE">
        <w:rPr>
          <w:lang w:val="fr-FR"/>
        </w:rPr>
        <w:t xml:space="preserve">rencontrées par certains offices récepteurs </w:t>
      </w:r>
      <w:r w:rsidR="006A7A6F" w:rsidRPr="00DA6CCE">
        <w:rPr>
          <w:lang w:val="fr-FR"/>
        </w:rPr>
        <w:t xml:space="preserve">et </w:t>
      </w:r>
      <w:r w:rsidR="008F1D89" w:rsidRPr="00DA6CCE">
        <w:rPr>
          <w:lang w:val="fr-FR"/>
        </w:rPr>
        <w:t>qui ne devraient pas durer</w:t>
      </w:r>
      <w:r w:rsidR="006B3F69" w:rsidRPr="00DA6CCE">
        <w:rPr>
          <w:lang w:val="fr-FR"/>
        </w:rPr>
        <w:t>,</w:t>
      </w:r>
      <w:r w:rsidR="008F1D89" w:rsidRPr="00DA6CCE">
        <w:rPr>
          <w:lang w:val="fr-FR"/>
        </w:rPr>
        <w:t xml:space="preserve"> ou à d</w:t>
      </w:r>
      <w:r w:rsidR="00DA6CCE">
        <w:rPr>
          <w:lang w:val="fr-FR"/>
        </w:rPr>
        <w:t>’</w:t>
      </w:r>
      <w:r w:rsidR="008F1D89" w:rsidRPr="00DA6CCE">
        <w:rPr>
          <w:lang w:val="fr-FR"/>
        </w:rPr>
        <w:t>autres difficultés techniques qui ont depuis été résolu</w:t>
      </w:r>
      <w:r w:rsidR="00982AC1" w:rsidRPr="00DA6CCE">
        <w:rPr>
          <w:lang w:val="fr-FR"/>
        </w:rPr>
        <w:t>es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Su</w:t>
      </w:r>
      <w:r w:rsidR="0037240B" w:rsidRPr="00DA6CCE">
        <w:rPr>
          <w:lang w:val="fr-FR"/>
        </w:rPr>
        <w:t xml:space="preserve">r le long terme, </w:t>
      </w:r>
      <w:r w:rsidR="00E14E89" w:rsidRPr="00DA6CCE">
        <w:rPr>
          <w:lang w:val="fr-FR"/>
        </w:rPr>
        <w:t>il est pré</w:t>
      </w:r>
      <w:r w:rsidR="00D45B75" w:rsidRPr="00DA6CCE">
        <w:rPr>
          <w:lang w:val="fr-FR"/>
        </w:rPr>
        <w:t>vu non seulement de continuer d</w:t>
      </w:r>
      <w:r w:rsidR="00DA6CCE">
        <w:rPr>
          <w:lang w:val="fr-FR"/>
        </w:rPr>
        <w:t>’</w:t>
      </w:r>
      <w:r w:rsidR="00E14E89" w:rsidRPr="00DA6CCE">
        <w:rPr>
          <w:lang w:val="fr-FR"/>
        </w:rPr>
        <w:t>améliorer l</w:t>
      </w:r>
      <w:r w:rsidR="00A44A21" w:rsidRPr="00DA6CCE">
        <w:rPr>
          <w:lang w:val="fr-FR"/>
        </w:rPr>
        <w:t>a clarté et la facilité d</w:t>
      </w:r>
      <w:r w:rsidR="00DA6CCE">
        <w:rPr>
          <w:lang w:val="fr-FR"/>
        </w:rPr>
        <w:t>’</w:t>
      </w:r>
      <w:r w:rsidR="00A44A21" w:rsidRPr="00DA6CCE">
        <w:rPr>
          <w:lang w:val="fr-FR"/>
        </w:rPr>
        <w:t>utilisation du</w:t>
      </w:r>
      <w:r w:rsidR="00E14E89" w:rsidRPr="00DA6CCE">
        <w:rPr>
          <w:lang w:val="fr-FR"/>
        </w:rPr>
        <w:t xml:space="preserve"> système ePCT</w:t>
      </w:r>
      <w:r w:rsidR="00A44A21" w:rsidRPr="00DA6CCE">
        <w:rPr>
          <w:lang w:val="fr-FR"/>
        </w:rPr>
        <w:t>, mais également de proposer des f</w:t>
      </w:r>
      <w:r w:rsidR="00DB6E94" w:rsidRPr="00DA6CCE">
        <w:rPr>
          <w:lang w:val="fr-FR"/>
        </w:rPr>
        <w:t>ormations supplémentaires et de</w:t>
      </w:r>
      <w:r w:rsidR="005B3515" w:rsidRPr="00DA6CCE">
        <w:rPr>
          <w:lang w:val="fr-FR"/>
        </w:rPr>
        <w:t xml:space="preserve">s </w:t>
      </w:r>
      <w:r w:rsidR="00A44A21" w:rsidRPr="00DA6CCE">
        <w:rPr>
          <w:lang w:val="fr-FR"/>
        </w:rPr>
        <w:t>services</w:t>
      </w:r>
      <w:r w:rsidR="005B3515" w:rsidRPr="00DA6CCE">
        <w:rPr>
          <w:lang w:val="fr-FR"/>
        </w:rPr>
        <w:t xml:space="preserve"> de</w:t>
      </w:r>
      <w:r w:rsidR="00A44A21" w:rsidRPr="00DA6CCE">
        <w:rPr>
          <w:lang w:val="fr-FR"/>
        </w:rPr>
        <w:t xml:space="preserve"> compte rendu</w:t>
      </w:r>
      <w:r w:rsidR="00DB6E94" w:rsidRPr="00DA6CCE">
        <w:rPr>
          <w:lang w:val="fr-FR"/>
        </w:rPr>
        <w:t xml:space="preserve"> </w:t>
      </w:r>
      <w:r w:rsidR="005B3515" w:rsidRPr="00DA6CCE">
        <w:rPr>
          <w:lang w:val="fr-FR"/>
        </w:rPr>
        <w:t xml:space="preserve">améliorés </w:t>
      </w:r>
      <w:r w:rsidR="00A44A21" w:rsidRPr="00DA6CCE">
        <w:rPr>
          <w:lang w:val="fr-FR"/>
        </w:rPr>
        <w:t>afin de s</w:t>
      </w:r>
      <w:r w:rsidR="00DA6CCE">
        <w:rPr>
          <w:lang w:val="fr-FR"/>
        </w:rPr>
        <w:t>’</w:t>
      </w:r>
      <w:r w:rsidR="00A44A21" w:rsidRPr="00DA6CCE">
        <w:rPr>
          <w:lang w:val="fr-FR"/>
        </w:rPr>
        <w:t xml:space="preserve">assurer que les offices récepteurs ne </w:t>
      </w:r>
      <w:r w:rsidR="00DB6E94" w:rsidRPr="00DA6CCE">
        <w:rPr>
          <w:lang w:val="fr-FR"/>
        </w:rPr>
        <w:t xml:space="preserve">négligent aucune des actions </w:t>
      </w:r>
      <w:r w:rsidR="00E563EA" w:rsidRPr="00DA6CCE">
        <w:rPr>
          <w:lang w:val="fr-FR"/>
        </w:rPr>
        <w:t>essentielles liées à</w:t>
      </w:r>
      <w:r w:rsidR="00DB6E94" w:rsidRPr="00DA6CCE">
        <w:rPr>
          <w:lang w:val="fr-FR"/>
        </w:rPr>
        <w:t xml:space="preserve"> la transmission de</w:t>
      </w:r>
      <w:r w:rsidR="005B3515" w:rsidRPr="00DA6CCE">
        <w:rPr>
          <w:lang w:val="fr-FR"/>
        </w:rPr>
        <w:t xml:space="preserve"> la copie</w:t>
      </w:r>
      <w:r w:rsidR="00DB6E94" w:rsidRPr="00DA6CCE">
        <w:rPr>
          <w:lang w:val="fr-FR"/>
        </w:rPr>
        <w:t xml:space="preserve"> de recherche, telles que la notification du paiement de la taxe de recherche, qui </w:t>
      </w:r>
      <w:r w:rsidR="005B3515" w:rsidRPr="00DA6CCE">
        <w:rPr>
          <w:lang w:val="fr-FR"/>
        </w:rPr>
        <w:t>constitue</w:t>
      </w:r>
      <w:r w:rsidR="00DB6E94" w:rsidRPr="00DA6CCE">
        <w:rPr>
          <w:lang w:val="fr-FR"/>
        </w:rPr>
        <w:t xml:space="preserve"> la </w:t>
      </w:r>
      <w:r w:rsidR="00E563EA" w:rsidRPr="00DA6CCE">
        <w:rPr>
          <w:lang w:val="fr-FR"/>
        </w:rPr>
        <w:t>cause</w:t>
      </w:r>
      <w:r w:rsidR="00DB6E94" w:rsidRPr="00DA6CCE">
        <w:rPr>
          <w:lang w:val="fr-FR"/>
        </w:rPr>
        <w:t xml:space="preserve"> la plus fréquente </w:t>
      </w:r>
      <w:r w:rsidR="00E563EA" w:rsidRPr="00DA6CCE">
        <w:rPr>
          <w:lang w:val="fr-FR"/>
        </w:rPr>
        <w:t>à l</w:t>
      </w:r>
      <w:r w:rsidR="00DA6CCE">
        <w:rPr>
          <w:lang w:val="fr-FR"/>
        </w:rPr>
        <w:t>’</w:t>
      </w:r>
      <w:r w:rsidR="00E563EA" w:rsidRPr="00DA6CCE">
        <w:rPr>
          <w:lang w:val="fr-FR"/>
        </w:rPr>
        <w:t>origine du retard</w:t>
      </w:r>
      <w:r w:rsidR="005B3515" w:rsidRPr="00DA6CCE">
        <w:rPr>
          <w:lang w:val="fr-FR"/>
        </w:rPr>
        <w:t xml:space="preserve"> de transmi</w:t>
      </w:r>
      <w:r w:rsidR="00461400" w:rsidRPr="00DA6CCE">
        <w:rPr>
          <w:lang w:val="fr-FR"/>
        </w:rPr>
        <w:t>ssion de la copie de recherche.</w:t>
      </w:r>
    </w:p>
    <w:p w:rsidR="00E563EA" w:rsidRPr="00DA6CCE" w:rsidRDefault="00E563EA" w:rsidP="008D5856">
      <w:pPr>
        <w:pStyle w:val="ONUMFS"/>
        <w:rPr>
          <w:lang w:val="fr-FR"/>
        </w:rPr>
      </w:pPr>
      <w:r w:rsidRPr="00DA6CCE">
        <w:rPr>
          <w:lang w:val="fr-FR"/>
        </w:rPr>
        <w:t xml:space="preserve">En outre, dans le cadre du projet </w:t>
      </w:r>
      <w:r w:rsidR="00043B10">
        <w:rPr>
          <w:lang w:val="fr-FR"/>
        </w:rPr>
        <w:t>“</w:t>
      </w:r>
      <w:r w:rsidRPr="00DA6CCE">
        <w:rPr>
          <w:lang w:val="fr-FR"/>
        </w:rPr>
        <w:t xml:space="preserve">PCT </w:t>
      </w:r>
      <w:proofErr w:type="spellStart"/>
      <w:r w:rsidRPr="00DA6CCE">
        <w:rPr>
          <w:lang w:val="fr-FR"/>
        </w:rPr>
        <w:t>Paperless</w:t>
      </w:r>
      <w:proofErr w:type="spellEnd"/>
      <w:r w:rsidR="00043B10">
        <w:rPr>
          <w:lang w:val="fr-FR"/>
        </w:rPr>
        <w:t>”</w:t>
      </w:r>
      <w:r w:rsidRPr="00DA6CCE">
        <w:rPr>
          <w:lang w:val="fr-FR"/>
        </w:rPr>
        <w:t xml:space="preserve"> </w:t>
      </w:r>
      <w:r w:rsidR="00F55E88" w:rsidRPr="00DA6CCE">
        <w:rPr>
          <w:lang w:val="fr-FR"/>
        </w:rPr>
        <w:t>à</w:t>
      </w:r>
      <w:r w:rsidR="007E4EF2" w:rsidRPr="00DA6CCE">
        <w:rPr>
          <w:lang w:val="fr-FR"/>
        </w:rPr>
        <w:t xml:space="preserve"> l</w:t>
      </w:r>
      <w:r w:rsidR="00DA6CCE">
        <w:rPr>
          <w:lang w:val="fr-FR"/>
        </w:rPr>
        <w:t>’</w:t>
      </w:r>
      <w:r w:rsidR="007E4EF2" w:rsidRPr="00DA6CCE">
        <w:rPr>
          <w:lang w:val="fr-FR"/>
        </w:rPr>
        <w:t xml:space="preserve">OEB </w:t>
      </w:r>
      <w:r w:rsidR="00F55E88" w:rsidRPr="00DA6CCE">
        <w:rPr>
          <w:lang w:val="fr-FR"/>
        </w:rPr>
        <w:t>visant à passer au</w:t>
      </w:r>
      <w:r w:rsidRPr="00DA6CCE">
        <w:rPr>
          <w:lang w:val="fr-FR"/>
        </w:rPr>
        <w:t xml:space="preserve"> service </w:t>
      </w:r>
      <w:proofErr w:type="spellStart"/>
      <w:r w:rsidRPr="00DA6CCE">
        <w:rPr>
          <w:lang w:val="fr-FR"/>
        </w:rPr>
        <w:t>eSearchCopy</w:t>
      </w:r>
      <w:proofErr w:type="spellEnd"/>
      <w:r w:rsidRPr="00DA6CCE">
        <w:rPr>
          <w:lang w:val="fr-FR"/>
        </w:rPr>
        <w:t xml:space="preserve"> </w:t>
      </w:r>
      <w:r w:rsidR="00552D69" w:rsidRPr="00DA6CCE">
        <w:rPr>
          <w:lang w:val="fr-FR"/>
        </w:rPr>
        <w:t xml:space="preserve">(voir le document PCT/WG/10/13), </w:t>
      </w:r>
      <w:r w:rsidR="00F55E88" w:rsidRPr="00DA6CCE">
        <w:rPr>
          <w:lang w:val="fr-FR"/>
        </w:rPr>
        <w:t>l</w:t>
      </w:r>
      <w:r w:rsidR="00DA6CCE">
        <w:rPr>
          <w:lang w:val="fr-FR"/>
        </w:rPr>
        <w:t>’</w:t>
      </w:r>
      <w:r w:rsidR="00F55E88" w:rsidRPr="00DA6CCE">
        <w:rPr>
          <w:lang w:val="fr-FR"/>
        </w:rPr>
        <w:t>OEB</w:t>
      </w:r>
      <w:r w:rsidR="00552D69" w:rsidRPr="00DA6CCE">
        <w:rPr>
          <w:lang w:val="fr-FR"/>
        </w:rPr>
        <w:t xml:space="preserve"> a évalué, grâce à la transmission parallèle sur papier des copies de rec</w:t>
      </w:r>
      <w:r w:rsidR="007E4EF2" w:rsidRPr="00DA6CCE">
        <w:rPr>
          <w:lang w:val="fr-FR"/>
        </w:rPr>
        <w:t xml:space="preserve">herche, les délais de transmission </w:t>
      </w:r>
      <w:r w:rsidR="00F55E88" w:rsidRPr="00DA6CCE">
        <w:rPr>
          <w:lang w:val="fr-FR"/>
        </w:rPr>
        <w:t>de différents</w:t>
      </w:r>
      <w:r w:rsidR="00552D69" w:rsidRPr="00DA6CCE">
        <w:rPr>
          <w:lang w:val="fr-FR"/>
        </w:rPr>
        <w:t xml:space="preserve"> office</w:t>
      </w:r>
      <w:r w:rsidR="00F55E88" w:rsidRPr="00DA6CCE">
        <w:rPr>
          <w:lang w:val="fr-FR"/>
        </w:rPr>
        <w:t>s</w:t>
      </w:r>
      <w:r w:rsidR="00552D69" w:rsidRPr="00DA6CCE">
        <w:rPr>
          <w:lang w:val="fr-FR"/>
        </w:rPr>
        <w:t xml:space="preserve"> récepteur</w:t>
      </w:r>
      <w:r w:rsidR="00F55E88" w:rsidRPr="00DA6CCE">
        <w:rPr>
          <w:lang w:val="fr-FR"/>
        </w:rPr>
        <w:t>s</w:t>
      </w:r>
      <w:r w:rsidR="00552D69" w:rsidRPr="00DA6CCE">
        <w:rPr>
          <w:lang w:val="fr-FR"/>
        </w:rPr>
        <w:t xml:space="preserve">. </w:t>
      </w:r>
      <w:r w:rsidR="00043B10">
        <w:rPr>
          <w:lang w:val="fr-FR"/>
        </w:rPr>
        <w:t xml:space="preserve"> </w:t>
      </w:r>
      <w:r w:rsidR="00F55E88" w:rsidRPr="00DA6CCE">
        <w:rPr>
          <w:lang w:val="fr-FR"/>
        </w:rPr>
        <w:t>L</w:t>
      </w:r>
      <w:r w:rsidR="00DA6CCE">
        <w:rPr>
          <w:lang w:val="fr-FR"/>
        </w:rPr>
        <w:t>’</w:t>
      </w:r>
      <w:r w:rsidR="00552D69" w:rsidRPr="00DA6CCE">
        <w:rPr>
          <w:lang w:val="fr-FR"/>
        </w:rPr>
        <w:t>OEB</w:t>
      </w:r>
      <w:r w:rsidR="007E4EF2" w:rsidRPr="00DA6CCE">
        <w:rPr>
          <w:lang w:val="fr-FR"/>
        </w:rPr>
        <w:t xml:space="preserve"> a été</w:t>
      </w:r>
      <w:r w:rsidR="00552D69" w:rsidRPr="00DA6CCE">
        <w:rPr>
          <w:lang w:val="fr-FR"/>
        </w:rPr>
        <w:t xml:space="preserve"> </w:t>
      </w:r>
      <w:r w:rsidR="007E4EF2" w:rsidRPr="00DA6CCE">
        <w:rPr>
          <w:lang w:val="fr-FR"/>
        </w:rPr>
        <w:t xml:space="preserve">suffisamment satisfait des délais </w:t>
      </w:r>
      <w:r w:rsidR="00F55E88" w:rsidRPr="00DA6CCE">
        <w:rPr>
          <w:lang w:val="fr-FR"/>
        </w:rPr>
        <w:t>ob</w:t>
      </w:r>
      <w:r w:rsidR="00133770" w:rsidRPr="00DA6CCE">
        <w:rPr>
          <w:lang w:val="fr-FR"/>
        </w:rPr>
        <w:t>tenus</w:t>
      </w:r>
      <w:r w:rsidR="00F55E88" w:rsidRPr="00DA6CCE">
        <w:rPr>
          <w:lang w:val="fr-FR"/>
        </w:rPr>
        <w:t xml:space="preserve"> </w:t>
      </w:r>
      <w:r w:rsidR="007E4EF2" w:rsidRPr="00DA6CCE">
        <w:rPr>
          <w:lang w:val="fr-FR"/>
        </w:rPr>
        <w:t xml:space="preserve">pour </w:t>
      </w:r>
      <w:r w:rsidR="00F55E88" w:rsidRPr="00DA6CCE">
        <w:rPr>
          <w:lang w:val="fr-FR"/>
        </w:rPr>
        <w:t xml:space="preserve">valider </w:t>
      </w:r>
      <w:r w:rsidR="00461400" w:rsidRPr="00DA6CCE">
        <w:rPr>
          <w:lang w:val="fr-FR"/>
        </w:rPr>
        <w:t>l</w:t>
      </w:r>
      <w:r w:rsidR="00DA6CCE">
        <w:rPr>
          <w:lang w:val="fr-FR"/>
        </w:rPr>
        <w:t>’</w:t>
      </w:r>
      <w:r w:rsidR="00133770" w:rsidRPr="00DA6CCE">
        <w:rPr>
          <w:lang w:val="fr-FR"/>
        </w:rPr>
        <w:t>adoption</w:t>
      </w:r>
      <w:r w:rsidR="00461400" w:rsidRPr="00DA6CCE">
        <w:rPr>
          <w:lang w:val="fr-FR"/>
        </w:rPr>
        <w:t xml:space="preserve"> définitive</w:t>
      </w:r>
      <w:r w:rsidR="00DF6414" w:rsidRPr="00DA6CCE">
        <w:rPr>
          <w:lang w:val="fr-FR"/>
        </w:rPr>
        <w:t xml:space="preserve"> </w:t>
      </w:r>
      <w:r w:rsidR="00461400" w:rsidRPr="00DA6CCE">
        <w:rPr>
          <w:lang w:val="fr-FR"/>
        </w:rPr>
        <w:t>d</w:t>
      </w:r>
      <w:r w:rsidR="00F55E88" w:rsidRPr="00DA6CCE">
        <w:rPr>
          <w:lang w:val="fr-FR"/>
        </w:rPr>
        <w:t>u</w:t>
      </w:r>
      <w:r w:rsidR="007E4EF2" w:rsidRPr="00DA6CCE">
        <w:rPr>
          <w:lang w:val="fr-FR"/>
        </w:rPr>
        <w:t xml:space="preserve"> service </w:t>
      </w:r>
      <w:proofErr w:type="spellStart"/>
      <w:r w:rsidR="007E4EF2" w:rsidRPr="00DA6CCE">
        <w:rPr>
          <w:lang w:val="fr-FR"/>
        </w:rPr>
        <w:t>eSearchCopy</w:t>
      </w:r>
      <w:proofErr w:type="spellEnd"/>
      <w:r w:rsidR="00F55E88" w:rsidRPr="00DA6CCE">
        <w:rPr>
          <w:lang w:val="fr-FR"/>
        </w:rPr>
        <w:t>.</w:t>
      </w:r>
    </w:p>
    <w:p w:rsidR="0089564A" w:rsidRDefault="005D0B33" w:rsidP="008D5856">
      <w:pPr>
        <w:pStyle w:val="Heading3"/>
        <w:rPr>
          <w:lang w:val="fr-FR"/>
        </w:rPr>
      </w:pPr>
      <w:r w:rsidRPr="00DA6CCE">
        <w:rPr>
          <w:lang w:val="fr-FR"/>
        </w:rPr>
        <w:t>Qualité des copies de recherche</w:t>
      </w:r>
    </w:p>
    <w:p w:rsidR="004D220E" w:rsidRPr="004D220E" w:rsidRDefault="004D220E" w:rsidP="008D5856">
      <w:pPr>
        <w:rPr>
          <w:lang w:val="fr-FR"/>
        </w:rPr>
      </w:pPr>
    </w:p>
    <w:p w:rsidR="00DF6414" w:rsidRPr="00DA6CCE" w:rsidRDefault="00DF6414" w:rsidP="008D5856">
      <w:pPr>
        <w:pStyle w:val="ONUMFS"/>
        <w:rPr>
          <w:lang w:val="fr-FR"/>
        </w:rPr>
      </w:pPr>
      <w:r w:rsidRPr="00DA6CCE">
        <w:rPr>
          <w:lang w:val="fr-FR"/>
        </w:rPr>
        <w:t>Le Bureau international ne dispose pas des données nécessaires pour évaluer la qualité réelle des copies de recherche reçues par les examinateurs avant et après l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adoption du service </w:t>
      </w:r>
      <w:proofErr w:type="spellStart"/>
      <w:r w:rsidRPr="00DA6CCE">
        <w:rPr>
          <w:lang w:val="fr-FR"/>
        </w:rPr>
        <w:t>eSearchCo</w:t>
      </w:r>
      <w:r w:rsidR="00982AC1" w:rsidRPr="00DA6CCE">
        <w:rPr>
          <w:lang w:val="fr-FR"/>
        </w:rPr>
        <w:t>py</w:t>
      </w:r>
      <w:proofErr w:type="spellEnd"/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To</w:t>
      </w:r>
      <w:r w:rsidRPr="00DA6CCE">
        <w:rPr>
          <w:lang w:val="fr-FR"/>
        </w:rPr>
        <w:t>utefois, dans le cadre de son projet pilote d</w:t>
      </w:r>
      <w:r w:rsidR="00DA6CCE">
        <w:rPr>
          <w:lang w:val="fr-FR"/>
        </w:rPr>
        <w:t>’</w:t>
      </w:r>
      <w:r w:rsidRPr="00DA6CCE">
        <w:rPr>
          <w:lang w:val="fr-FR"/>
        </w:rPr>
        <w:t>utilisation de ce service, l</w:t>
      </w:r>
      <w:r w:rsidR="00DA6CCE">
        <w:rPr>
          <w:lang w:val="fr-FR"/>
        </w:rPr>
        <w:t>’</w:t>
      </w:r>
      <w:r w:rsidRPr="00DA6CCE">
        <w:rPr>
          <w:lang w:val="fr-FR"/>
        </w:rPr>
        <w:t>OEB a effectué des évaluations de la qualité et</w:t>
      </w:r>
      <w:r w:rsidR="004A62A6" w:rsidRPr="00DA6CCE">
        <w:rPr>
          <w:lang w:val="fr-FR"/>
        </w:rPr>
        <w:t xml:space="preserve"> a</w:t>
      </w:r>
      <w:r w:rsidRPr="00DA6CCE">
        <w:rPr>
          <w:lang w:val="fr-FR"/>
        </w:rPr>
        <w:t xml:space="preserve"> </w:t>
      </w:r>
      <w:r w:rsidR="00A679EF" w:rsidRPr="00DA6CCE">
        <w:rPr>
          <w:lang w:val="fr-FR"/>
        </w:rPr>
        <w:t>constaté</w:t>
      </w:r>
      <w:r w:rsidRPr="00DA6CCE">
        <w:rPr>
          <w:lang w:val="fr-FR"/>
        </w:rPr>
        <w:t xml:space="preserve"> que, de manière générale, la qualité des copies de recherche </w:t>
      </w:r>
      <w:r w:rsidR="00461400" w:rsidRPr="00DA6CCE">
        <w:rPr>
          <w:lang w:val="fr-FR"/>
        </w:rPr>
        <w:t>était</w:t>
      </w:r>
      <w:r w:rsidRPr="00DA6CCE">
        <w:rPr>
          <w:lang w:val="fr-FR"/>
        </w:rPr>
        <w:t xml:space="preserve"> équivalente ou supérieure à celle des copies auparavant reçues sur papi</w:t>
      </w:r>
      <w:r w:rsidR="00982AC1" w:rsidRPr="00DA6CCE">
        <w:rPr>
          <w:lang w:val="fr-FR"/>
        </w:rPr>
        <w:t>er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Pl</w:t>
      </w:r>
      <w:r w:rsidR="00461400" w:rsidRPr="00DA6CCE">
        <w:rPr>
          <w:lang w:val="fr-FR"/>
        </w:rPr>
        <w:t>usieurs</w:t>
      </w:r>
      <w:r w:rsidRPr="00DA6CCE">
        <w:rPr>
          <w:lang w:val="fr-FR"/>
        </w:rPr>
        <w:t xml:space="preserve"> problèmes </w:t>
      </w:r>
      <w:r w:rsidR="00624785" w:rsidRPr="00DA6CCE">
        <w:rPr>
          <w:lang w:val="fr-FR"/>
        </w:rPr>
        <w:t xml:space="preserve">de longue date liés à la qualité des copies de recherche doivent encore être résolus, </w:t>
      </w:r>
      <w:r w:rsidR="00461400" w:rsidRPr="00DA6CCE">
        <w:rPr>
          <w:lang w:val="fr-FR"/>
        </w:rPr>
        <w:t>notamment en ce qui concerne</w:t>
      </w:r>
      <w:r w:rsidR="00624785" w:rsidRPr="00DA6CCE">
        <w:rPr>
          <w:lang w:val="fr-FR"/>
        </w:rPr>
        <w:t xml:space="preserve"> les dessins accompagnés de petits textes ou </w:t>
      </w:r>
      <w:r w:rsidR="00461400" w:rsidRPr="00DA6CCE">
        <w:rPr>
          <w:lang w:val="fr-FR"/>
        </w:rPr>
        <w:t>encore</w:t>
      </w:r>
      <w:r w:rsidR="00624785" w:rsidRPr="00DA6CCE">
        <w:rPr>
          <w:lang w:val="fr-FR"/>
        </w:rPr>
        <w:t xml:space="preserve"> les couleurs et les niveaux de gris, mais ces problèmes ont été dans certains cas atténués ou, au moins, n</w:t>
      </w:r>
      <w:r w:rsidR="00DA6CCE">
        <w:rPr>
          <w:lang w:val="fr-FR"/>
        </w:rPr>
        <w:t>’</w:t>
      </w:r>
      <w:r w:rsidR="00624785" w:rsidRPr="00DA6CCE">
        <w:rPr>
          <w:lang w:val="fr-FR"/>
        </w:rPr>
        <w:t>ont pas été aggravés par l</w:t>
      </w:r>
      <w:r w:rsidR="00DA6CCE">
        <w:rPr>
          <w:lang w:val="fr-FR"/>
        </w:rPr>
        <w:t>’</w:t>
      </w:r>
      <w:r w:rsidR="00624785" w:rsidRPr="00DA6CCE">
        <w:rPr>
          <w:lang w:val="fr-FR"/>
        </w:rPr>
        <w:t xml:space="preserve">utilisation du service </w:t>
      </w:r>
      <w:proofErr w:type="spellStart"/>
      <w:r w:rsidR="00624785" w:rsidRPr="00DA6CCE">
        <w:rPr>
          <w:lang w:val="fr-FR"/>
        </w:rPr>
        <w:t>eSearchCopy</w:t>
      </w:r>
      <w:proofErr w:type="spellEnd"/>
      <w:r w:rsidR="00624785" w:rsidRPr="00DA6CCE">
        <w:rPr>
          <w:lang w:val="fr-FR"/>
        </w:rPr>
        <w:t>.</w:t>
      </w:r>
    </w:p>
    <w:p w:rsidR="00C53FBD" w:rsidRPr="00DA6CCE" w:rsidRDefault="00C53FBD" w:rsidP="008D5856">
      <w:pPr>
        <w:pStyle w:val="ONUMFS"/>
        <w:rPr>
          <w:lang w:val="fr-FR"/>
        </w:rPr>
      </w:pPr>
      <w:r w:rsidRPr="00DA6CCE">
        <w:rPr>
          <w:lang w:val="fr-FR"/>
        </w:rPr>
        <w:lastRenderedPageBreak/>
        <w:t>Sur la base du retour d</w:t>
      </w:r>
      <w:r w:rsidR="00DA6CCE">
        <w:rPr>
          <w:lang w:val="fr-FR"/>
        </w:rPr>
        <w:t>’</w:t>
      </w:r>
      <w:r w:rsidRPr="00DA6CCE">
        <w:rPr>
          <w:lang w:val="fr-FR"/>
        </w:rPr>
        <w:t>information fourni par plusieurs</w:t>
      </w:r>
      <w:r w:rsidR="00D45B75" w:rsidRPr="00DA6CCE">
        <w:rPr>
          <w:lang w:val="fr-FR"/>
        </w:rPr>
        <w:t xml:space="preserve"> administrations chargées de la recherche internationale</w:t>
      </w:r>
      <w:r w:rsidRPr="00DA6CCE">
        <w:rPr>
          <w:lang w:val="fr-FR"/>
        </w:rPr>
        <w:t>, le Bureau international a apporté un certain nombre d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améliorations aux </w:t>
      </w:r>
      <w:r w:rsidR="00226739" w:rsidRPr="00DA6CCE">
        <w:rPr>
          <w:lang w:val="fr-FR"/>
        </w:rPr>
        <w:t>dossiers</w:t>
      </w:r>
      <w:r w:rsidRPr="00DA6CCE">
        <w:rPr>
          <w:lang w:val="fr-FR"/>
        </w:rPr>
        <w:t xml:space="preserve"> de données bibliographiques qui sont transmis par le biais du s</w:t>
      </w:r>
      <w:r w:rsidR="00226739" w:rsidRPr="00DA6CCE">
        <w:rPr>
          <w:lang w:val="fr-FR"/>
        </w:rPr>
        <w:t>ervice</w:t>
      </w:r>
      <w:r w:rsidRPr="00DA6CCE">
        <w:rPr>
          <w:lang w:val="fr-FR"/>
        </w:rPr>
        <w:t xml:space="preserve"> et est en train de mettre en place un système</w:t>
      </w:r>
      <w:r w:rsidR="00F75D88" w:rsidRPr="00DA6CCE">
        <w:rPr>
          <w:lang w:val="fr-FR"/>
        </w:rPr>
        <w:t xml:space="preserve"> </w:t>
      </w:r>
      <w:r w:rsidR="00226739" w:rsidRPr="00DA6CCE">
        <w:rPr>
          <w:lang w:val="fr-FR"/>
        </w:rPr>
        <w:t>visant</w:t>
      </w:r>
      <w:r w:rsidR="00D45B75" w:rsidRPr="00DA6CCE">
        <w:rPr>
          <w:lang w:val="fr-FR"/>
        </w:rPr>
        <w:t xml:space="preserve"> </w:t>
      </w:r>
      <w:r w:rsidR="00226739" w:rsidRPr="00DA6CCE">
        <w:rPr>
          <w:lang w:val="fr-FR"/>
        </w:rPr>
        <w:t xml:space="preserve">à </w:t>
      </w:r>
      <w:r w:rsidR="00F75D88" w:rsidRPr="00DA6CCE">
        <w:rPr>
          <w:lang w:val="fr-FR"/>
        </w:rPr>
        <w:t xml:space="preserve">accompagner les </w:t>
      </w:r>
      <w:r w:rsidRPr="00DA6CCE">
        <w:rPr>
          <w:lang w:val="fr-FR"/>
        </w:rPr>
        <w:t xml:space="preserve">traductions aux fins de la recherche </w:t>
      </w:r>
      <w:r w:rsidR="00F75D88" w:rsidRPr="00DA6CCE">
        <w:rPr>
          <w:lang w:val="fr-FR"/>
        </w:rPr>
        <w:t>d</w:t>
      </w:r>
      <w:r w:rsidR="00DA6CCE">
        <w:rPr>
          <w:lang w:val="fr-FR"/>
        </w:rPr>
        <w:t>’</w:t>
      </w:r>
      <w:r w:rsidR="00F75D88" w:rsidRPr="00DA6CCE">
        <w:rPr>
          <w:lang w:val="fr-FR"/>
        </w:rPr>
        <w:t>un</w:t>
      </w:r>
      <w:r w:rsidR="00EB403B" w:rsidRPr="00DA6CCE">
        <w:rPr>
          <w:lang w:val="fr-FR"/>
        </w:rPr>
        <w:t xml:space="preserve"> index des sections du corps de la demande </w:t>
      </w:r>
      <w:r w:rsidR="00226739" w:rsidRPr="00DA6CCE">
        <w:rPr>
          <w:lang w:val="fr-FR"/>
        </w:rPr>
        <w:t>et un</w:t>
      </w:r>
      <w:r w:rsidR="00EB403B" w:rsidRPr="00DA6CCE">
        <w:rPr>
          <w:lang w:val="fr-FR"/>
        </w:rPr>
        <w:t xml:space="preserve"> système </w:t>
      </w:r>
      <w:r w:rsidR="00226739" w:rsidRPr="00DA6CCE">
        <w:rPr>
          <w:lang w:val="fr-FR"/>
        </w:rPr>
        <w:t>permettant d</w:t>
      </w:r>
      <w:r w:rsidR="00DA6CCE">
        <w:rPr>
          <w:lang w:val="fr-FR"/>
        </w:rPr>
        <w:t>’</w:t>
      </w:r>
      <w:r w:rsidR="00226739" w:rsidRPr="00DA6CCE">
        <w:rPr>
          <w:lang w:val="fr-FR"/>
        </w:rPr>
        <w:t>effectuer</w:t>
      </w:r>
      <w:r w:rsidR="00162100" w:rsidRPr="00DA6CCE">
        <w:rPr>
          <w:lang w:val="fr-FR"/>
        </w:rPr>
        <w:t xml:space="preserve"> une</w:t>
      </w:r>
      <w:r w:rsidR="005D1986" w:rsidRPr="00DA6CCE">
        <w:rPr>
          <w:lang w:val="fr-FR"/>
        </w:rPr>
        <w:t xml:space="preserve"> première</w:t>
      </w:r>
      <w:r w:rsidR="00EB403B" w:rsidRPr="00DA6CCE">
        <w:rPr>
          <w:lang w:val="fr-FR"/>
        </w:rPr>
        <w:t xml:space="preserve"> reconnaissance optique</w:t>
      </w:r>
      <w:r w:rsidR="00162100" w:rsidRPr="00DA6CCE">
        <w:rPr>
          <w:lang w:val="fr-FR"/>
        </w:rPr>
        <w:t xml:space="preserve"> </w:t>
      </w:r>
      <w:r w:rsidR="00EB403B" w:rsidRPr="00DA6CCE">
        <w:rPr>
          <w:lang w:val="fr-FR"/>
        </w:rPr>
        <w:t xml:space="preserve">des caractères </w:t>
      </w:r>
      <w:r w:rsidR="00162100" w:rsidRPr="00DA6CCE">
        <w:rPr>
          <w:lang w:val="fr-FR"/>
        </w:rPr>
        <w:t>des</w:t>
      </w:r>
      <w:r w:rsidR="00EB403B" w:rsidRPr="00DA6CCE">
        <w:rPr>
          <w:lang w:val="fr-FR"/>
        </w:rPr>
        <w:t xml:space="preserve"> demandes au format image en vue d</w:t>
      </w:r>
      <w:r w:rsidR="00DA6CCE">
        <w:rPr>
          <w:lang w:val="fr-FR"/>
        </w:rPr>
        <w:t>’</w:t>
      </w:r>
      <w:r w:rsidR="00EB403B" w:rsidRPr="00DA6CCE">
        <w:rPr>
          <w:lang w:val="fr-FR"/>
        </w:rPr>
        <w:t>aider les examinateurs.</w:t>
      </w:r>
    </w:p>
    <w:p w:rsidR="00044423" w:rsidRPr="00DA6CCE" w:rsidRDefault="008C6717" w:rsidP="008D5856">
      <w:pPr>
        <w:pStyle w:val="ONUMFS"/>
        <w:rPr>
          <w:lang w:val="fr-FR"/>
        </w:rPr>
      </w:pPr>
      <w:r w:rsidRPr="00DA6CCE">
        <w:rPr>
          <w:lang w:val="fr-FR"/>
        </w:rPr>
        <w:t>L</w:t>
      </w:r>
      <w:r w:rsidR="000E242C" w:rsidRPr="00DA6CCE">
        <w:rPr>
          <w:lang w:val="fr-FR"/>
        </w:rPr>
        <w:t xml:space="preserve">es offices récepteurs qui </w:t>
      </w:r>
      <w:r w:rsidR="00044423" w:rsidRPr="00DA6CCE">
        <w:rPr>
          <w:lang w:val="fr-FR"/>
        </w:rPr>
        <w:t xml:space="preserve">transmettent les exemplaires originaux par le biais </w:t>
      </w:r>
      <w:r w:rsidRPr="00DA6CCE">
        <w:rPr>
          <w:lang w:val="fr-FR"/>
        </w:rPr>
        <w:t>d</w:t>
      </w:r>
      <w:r w:rsidR="00A679EF" w:rsidRPr="00DA6CCE">
        <w:rPr>
          <w:lang w:val="fr-FR"/>
        </w:rPr>
        <w:t xml:space="preserve">es </w:t>
      </w:r>
      <w:r w:rsidRPr="00DA6CCE">
        <w:rPr>
          <w:lang w:val="fr-FR"/>
        </w:rPr>
        <w:t>s</w:t>
      </w:r>
      <w:r w:rsidR="00A679EF" w:rsidRPr="00DA6CCE">
        <w:rPr>
          <w:lang w:val="fr-FR"/>
        </w:rPr>
        <w:t>ervices</w:t>
      </w:r>
      <w:r w:rsidRPr="00DA6CCE">
        <w:rPr>
          <w:lang w:val="fr-FR"/>
        </w:rPr>
        <w:t xml:space="preserve"> ePCT fondé</w:t>
      </w:r>
      <w:r w:rsidR="00A679EF" w:rsidRPr="00DA6CCE">
        <w:rPr>
          <w:lang w:val="fr-FR"/>
        </w:rPr>
        <w:t>s</w:t>
      </w:r>
      <w:r w:rsidRPr="00DA6CCE">
        <w:rPr>
          <w:lang w:val="fr-FR"/>
        </w:rPr>
        <w:t xml:space="preserve"> sur un navigateur</w:t>
      </w:r>
      <w:r w:rsidR="00044423" w:rsidRPr="00DA6CCE">
        <w:rPr>
          <w:lang w:val="fr-FR"/>
        </w:rPr>
        <w:t xml:space="preserve"> </w:t>
      </w:r>
      <w:r w:rsidRPr="00DA6CCE">
        <w:rPr>
          <w:lang w:val="fr-FR"/>
        </w:rPr>
        <w:t xml:space="preserve">sont </w:t>
      </w:r>
      <w:r w:rsidR="00A679EF" w:rsidRPr="00DA6CCE">
        <w:rPr>
          <w:lang w:val="fr-FR"/>
        </w:rPr>
        <w:t xml:space="preserve">très souvent </w:t>
      </w:r>
      <w:r w:rsidRPr="00DA6CCE">
        <w:rPr>
          <w:lang w:val="fr-FR"/>
        </w:rPr>
        <w:t xml:space="preserve">avertis </w:t>
      </w:r>
      <w:r w:rsidR="00044423" w:rsidRPr="00DA6CCE">
        <w:rPr>
          <w:lang w:val="fr-FR"/>
        </w:rPr>
        <w:t>lorsqu</w:t>
      </w:r>
      <w:r w:rsidR="00DA6CCE">
        <w:rPr>
          <w:lang w:val="fr-FR"/>
        </w:rPr>
        <w:t>’</w:t>
      </w:r>
      <w:r w:rsidR="00044423" w:rsidRPr="00DA6CCE">
        <w:rPr>
          <w:lang w:val="fr-FR"/>
        </w:rPr>
        <w:t>il est probable qu</w:t>
      </w:r>
      <w:r w:rsidR="00DA6CCE">
        <w:rPr>
          <w:lang w:val="fr-FR"/>
        </w:rPr>
        <w:t>’</w:t>
      </w:r>
      <w:r w:rsidR="00044423" w:rsidRPr="00DA6CCE">
        <w:rPr>
          <w:lang w:val="fr-FR"/>
        </w:rPr>
        <w:t xml:space="preserve">il y ait des problèmes avec </w:t>
      </w:r>
      <w:r w:rsidRPr="00DA6CCE">
        <w:rPr>
          <w:lang w:val="fr-FR"/>
        </w:rPr>
        <w:t>un</w:t>
      </w:r>
      <w:r w:rsidR="00044423" w:rsidRPr="00DA6CCE">
        <w:rPr>
          <w:lang w:val="fr-FR"/>
        </w:rPr>
        <w:t xml:space="preserve"> document </w:t>
      </w:r>
      <w:r w:rsidRPr="00DA6CCE">
        <w:rPr>
          <w:lang w:val="fr-FR"/>
        </w:rPr>
        <w:t xml:space="preserve">numérisé </w:t>
      </w:r>
      <w:r w:rsidR="00044423" w:rsidRPr="00DA6CCE">
        <w:rPr>
          <w:lang w:val="fr-FR"/>
        </w:rPr>
        <w:t xml:space="preserve">et </w:t>
      </w:r>
      <w:r w:rsidR="00440142" w:rsidRPr="00DA6CCE">
        <w:rPr>
          <w:lang w:val="fr-FR"/>
        </w:rPr>
        <w:t>peuvent</w:t>
      </w:r>
      <w:r w:rsidR="00044423" w:rsidRPr="00DA6CCE">
        <w:rPr>
          <w:lang w:val="fr-FR"/>
        </w:rPr>
        <w:t xml:space="preserve"> voir le résultat de toute conversion avant que l</w:t>
      </w:r>
      <w:r w:rsidR="00DA6CCE">
        <w:rPr>
          <w:lang w:val="fr-FR"/>
        </w:rPr>
        <w:t>’</w:t>
      </w:r>
      <w:r w:rsidR="00044423" w:rsidRPr="00DA6CCE">
        <w:rPr>
          <w:lang w:val="fr-FR"/>
        </w:rPr>
        <w:t xml:space="preserve">exemplaire original (qui sera également utilisé </w:t>
      </w:r>
      <w:r w:rsidR="008A614F" w:rsidRPr="00DA6CCE">
        <w:rPr>
          <w:lang w:val="fr-FR"/>
        </w:rPr>
        <w:t xml:space="preserve">dans le cadre du service </w:t>
      </w:r>
      <w:proofErr w:type="spellStart"/>
      <w:r w:rsidR="008A614F" w:rsidRPr="00DA6CCE">
        <w:rPr>
          <w:lang w:val="fr-FR"/>
        </w:rPr>
        <w:t>eSearchCopy</w:t>
      </w:r>
      <w:proofErr w:type="spellEnd"/>
      <w:r w:rsidR="008A614F" w:rsidRPr="00DA6CCE">
        <w:rPr>
          <w:lang w:val="fr-FR"/>
        </w:rPr>
        <w:t>) ne soit transm</w:t>
      </w:r>
      <w:r w:rsidR="00982AC1" w:rsidRPr="00DA6CCE">
        <w:rPr>
          <w:lang w:val="fr-FR"/>
        </w:rPr>
        <w:t>is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Ce</w:t>
      </w:r>
      <w:r w:rsidR="003858EC" w:rsidRPr="00DA6CCE">
        <w:rPr>
          <w:lang w:val="fr-FR"/>
        </w:rPr>
        <w:t xml:space="preserve">la permet </w:t>
      </w:r>
      <w:r w:rsidRPr="00DA6CCE">
        <w:rPr>
          <w:lang w:val="fr-FR"/>
        </w:rPr>
        <w:t>d</w:t>
      </w:r>
      <w:r w:rsidR="00DA6CCE">
        <w:rPr>
          <w:lang w:val="fr-FR"/>
        </w:rPr>
        <w:t>’</w:t>
      </w:r>
      <w:r w:rsidRPr="00DA6CCE">
        <w:rPr>
          <w:lang w:val="fr-FR"/>
        </w:rPr>
        <w:t>améliorer les</w:t>
      </w:r>
      <w:r w:rsidR="003858EC" w:rsidRPr="00DA6CCE">
        <w:rPr>
          <w:lang w:val="fr-FR"/>
        </w:rPr>
        <w:t xml:space="preserve"> documents numérisés </w:t>
      </w:r>
      <w:r w:rsidR="00B721F6" w:rsidRPr="00DA6CCE">
        <w:rPr>
          <w:lang w:val="fr-FR"/>
        </w:rPr>
        <w:t>à la sour</w:t>
      </w:r>
      <w:r w:rsidR="00982AC1" w:rsidRPr="00DA6CCE">
        <w:rPr>
          <w:lang w:val="fr-FR"/>
        </w:rPr>
        <w:t>ce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Le</w:t>
      </w:r>
      <w:r w:rsidR="00B721F6" w:rsidRPr="00DA6CCE">
        <w:rPr>
          <w:lang w:val="fr-FR"/>
        </w:rPr>
        <w:t xml:space="preserve"> service hébergé de dépôt électronique offre </w:t>
      </w:r>
      <w:r w:rsidR="00440142" w:rsidRPr="00DA6CCE">
        <w:rPr>
          <w:lang w:val="fr-FR"/>
        </w:rPr>
        <w:t>en outre</w:t>
      </w:r>
      <w:r w:rsidR="00B721F6" w:rsidRPr="00DA6CCE">
        <w:rPr>
          <w:lang w:val="fr-FR"/>
        </w:rPr>
        <w:t xml:space="preserve"> au</w:t>
      </w:r>
      <w:r w:rsidR="00982241" w:rsidRPr="00DA6CCE">
        <w:rPr>
          <w:lang w:val="fr-FR"/>
        </w:rPr>
        <w:t>x offices qui n</w:t>
      </w:r>
      <w:r w:rsidR="00DA6CCE">
        <w:rPr>
          <w:lang w:val="fr-FR"/>
        </w:rPr>
        <w:t>’</w:t>
      </w:r>
      <w:r w:rsidR="00982241" w:rsidRPr="00DA6CCE">
        <w:rPr>
          <w:lang w:val="fr-FR"/>
        </w:rPr>
        <w:t>acceptent pour l</w:t>
      </w:r>
      <w:r w:rsidR="00DA6CCE">
        <w:rPr>
          <w:lang w:val="fr-FR"/>
        </w:rPr>
        <w:t>’</w:t>
      </w:r>
      <w:r w:rsidR="00982241" w:rsidRPr="00DA6CCE">
        <w:rPr>
          <w:lang w:val="fr-FR"/>
        </w:rPr>
        <w:t>heure</w:t>
      </w:r>
      <w:r w:rsidR="00B721F6" w:rsidRPr="00DA6CCE">
        <w:rPr>
          <w:lang w:val="fr-FR"/>
        </w:rPr>
        <w:t xml:space="preserve"> que les dépôts sur papier la possibilité de passer aux dépôts électronique</w:t>
      </w:r>
      <w:r w:rsidR="00404297" w:rsidRPr="00DA6CCE">
        <w:rPr>
          <w:lang w:val="fr-FR"/>
        </w:rPr>
        <w:t>s</w:t>
      </w:r>
      <w:r w:rsidR="002A1B87" w:rsidRPr="00DA6CCE">
        <w:rPr>
          <w:lang w:val="fr-FR"/>
        </w:rPr>
        <w:t xml:space="preserve"> (et </w:t>
      </w:r>
      <w:r w:rsidRPr="00DA6CCE">
        <w:rPr>
          <w:lang w:val="fr-FR"/>
        </w:rPr>
        <w:t>d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adopter </w:t>
      </w:r>
      <w:r w:rsidR="002A1B87" w:rsidRPr="00DA6CCE">
        <w:rPr>
          <w:lang w:val="fr-FR"/>
        </w:rPr>
        <w:t xml:space="preserve">ultérieurement le service </w:t>
      </w:r>
      <w:proofErr w:type="spellStart"/>
      <w:r w:rsidR="002A1B87" w:rsidRPr="00DA6CCE">
        <w:rPr>
          <w:lang w:val="fr-FR"/>
        </w:rPr>
        <w:t>eSearchCopy</w:t>
      </w:r>
      <w:proofErr w:type="spellEnd"/>
      <w:r w:rsidR="002A1B87" w:rsidRPr="00DA6CCE">
        <w:rPr>
          <w:lang w:val="fr-FR"/>
        </w:rPr>
        <w:t xml:space="preserve">) </w:t>
      </w:r>
      <w:r w:rsidR="007B4598" w:rsidRPr="00DA6CCE">
        <w:rPr>
          <w:lang w:val="fr-FR"/>
        </w:rPr>
        <w:t>sans qu</w:t>
      </w:r>
      <w:r w:rsidR="00DA6CCE">
        <w:rPr>
          <w:lang w:val="fr-FR"/>
        </w:rPr>
        <w:t>’</w:t>
      </w:r>
      <w:r w:rsidR="007B4598" w:rsidRPr="00DA6CCE">
        <w:rPr>
          <w:lang w:val="fr-FR"/>
        </w:rPr>
        <w:t xml:space="preserve">il soit nécessaire de numériser les documents au niveau local, ce qui élimine </w:t>
      </w:r>
      <w:r w:rsidR="00DE0E21" w:rsidRPr="00DA6CCE">
        <w:rPr>
          <w:lang w:val="fr-FR"/>
        </w:rPr>
        <w:t>les coûts locaux de développement et de maintenance</w:t>
      </w:r>
      <w:r w:rsidR="00981757" w:rsidRPr="00DA6CCE">
        <w:rPr>
          <w:lang w:val="fr-FR"/>
        </w:rPr>
        <w:t>.</w:t>
      </w:r>
    </w:p>
    <w:p w:rsidR="0089564A" w:rsidRDefault="004D220E" w:rsidP="008D5856">
      <w:pPr>
        <w:pStyle w:val="Heading1"/>
        <w:rPr>
          <w:lang w:val="fr-FR"/>
        </w:rPr>
      </w:pPr>
      <w:r w:rsidRPr="00DA6CCE">
        <w:rPr>
          <w:lang w:val="fr-FR"/>
        </w:rPr>
        <w:t>Étapes suivantes</w:t>
      </w:r>
    </w:p>
    <w:p w:rsidR="004D220E" w:rsidRPr="004D220E" w:rsidRDefault="004D220E" w:rsidP="008D5856">
      <w:pPr>
        <w:rPr>
          <w:lang w:val="fr-FR"/>
        </w:rPr>
      </w:pPr>
    </w:p>
    <w:p w:rsidR="00404297" w:rsidRPr="00DA6CCE" w:rsidRDefault="00404297" w:rsidP="008D5856">
      <w:pPr>
        <w:pStyle w:val="ONUMFS"/>
        <w:rPr>
          <w:lang w:val="fr-FR"/>
        </w:rPr>
      </w:pPr>
      <w:r w:rsidRPr="00DA6CCE">
        <w:rPr>
          <w:lang w:val="fr-FR"/>
        </w:rPr>
        <w:t xml:space="preserve">Le Bureau international prend des mesures pour mettre à jour le service </w:t>
      </w:r>
      <w:proofErr w:type="spellStart"/>
      <w:r w:rsidRPr="00DA6CCE">
        <w:rPr>
          <w:lang w:val="fr-FR"/>
        </w:rPr>
        <w:t>eSearchCopy</w:t>
      </w:r>
      <w:proofErr w:type="spellEnd"/>
      <w:r w:rsidRPr="00DA6CCE">
        <w:rPr>
          <w:lang w:val="fr-FR"/>
        </w:rPr>
        <w:t xml:space="preserve"> en prévision de l</w:t>
      </w:r>
      <w:r w:rsidR="00DA6CCE">
        <w:rPr>
          <w:lang w:val="fr-FR"/>
        </w:rPr>
        <w:t>’</w:t>
      </w:r>
      <w:r w:rsidRPr="00DA6CCE">
        <w:rPr>
          <w:lang w:val="fr-FR"/>
        </w:rPr>
        <w:t>entrée en vigueur, le</w:t>
      </w:r>
      <w:r w:rsidR="00DA6CCE">
        <w:rPr>
          <w:lang w:val="fr-FR"/>
        </w:rPr>
        <w:t xml:space="preserve"> 1</w:t>
      </w:r>
      <w:r w:rsidR="00DA6CCE" w:rsidRPr="00DA6CCE">
        <w:rPr>
          <w:vertAlign w:val="superscript"/>
          <w:lang w:val="fr-FR"/>
        </w:rPr>
        <w:t>er</w:t>
      </w:r>
      <w:r w:rsidR="00DA6CCE">
        <w:rPr>
          <w:lang w:val="fr-FR"/>
        </w:rPr>
        <w:t> </w:t>
      </w:r>
      <w:r w:rsidR="00DA6CCE" w:rsidRPr="00DA6CCE">
        <w:rPr>
          <w:lang w:val="fr-FR"/>
        </w:rPr>
        <w:t>juillet</w:t>
      </w:r>
      <w:r w:rsidR="00DA6CCE">
        <w:rPr>
          <w:lang w:val="fr-FR"/>
        </w:rPr>
        <w:t> </w:t>
      </w:r>
      <w:r w:rsidR="00DA6CCE" w:rsidRPr="00DA6CCE">
        <w:rPr>
          <w:lang w:val="fr-FR"/>
        </w:rPr>
        <w:t>20</w:t>
      </w:r>
      <w:r w:rsidRPr="00DA6CCE">
        <w:rPr>
          <w:lang w:val="fr-FR"/>
        </w:rPr>
        <w:t xml:space="preserve">17, de la nouvelle </w:t>
      </w:r>
      <w:r w:rsidR="00DA6CCE" w:rsidRPr="00DA6CCE">
        <w:rPr>
          <w:lang w:val="fr-FR"/>
        </w:rPr>
        <w:t>règle</w:t>
      </w:r>
      <w:r w:rsidR="00DA6CCE">
        <w:rPr>
          <w:lang w:val="fr-FR"/>
        </w:rPr>
        <w:t> </w:t>
      </w:r>
      <w:r w:rsidR="00DA6CCE" w:rsidRPr="00DA6CCE">
        <w:rPr>
          <w:lang w:val="fr-FR"/>
        </w:rPr>
        <w:t>2</w:t>
      </w:r>
      <w:r w:rsidRPr="00DA6CCE">
        <w:rPr>
          <w:lang w:val="fr-FR"/>
        </w:rPr>
        <w:t>3</w:t>
      </w:r>
      <w:r w:rsidRPr="00DA6CCE">
        <w:rPr>
          <w:i/>
          <w:lang w:val="fr-FR"/>
        </w:rPr>
        <w:t>bis</w:t>
      </w:r>
      <w:r w:rsidRPr="00DA6CCE">
        <w:rPr>
          <w:lang w:val="fr-FR"/>
        </w:rPr>
        <w:t xml:space="preserve"> du règlement d</w:t>
      </w:r>
      <w:r w:rsidR="00DA6CCE">
        <w:rPr>
          <w:lang w:val="fr-FR"/>
        </w:rPr>
        <w:t>’</w:t>
      </w:r>
      <w:r w:rsidRPr="00DA6CCE">
        <w:rPr>
          <w:lang w:val="fr-FR"/>
        </w:rPr>
        <w:t>exécution</w:t>
      </w:r>
      <w:r w:rsidR="00DA6CCE" w:rsidRPr="00DA6CCE">
        <w:rPr>
          <w:lang w:val="fr-FR"/>
        </w:rPr>
        <w:t xml:space="preserve"> du PCT</w:t>
      </w:r>
      <w:r w:rsidRPr="00DA6CCE">
        <w:rPr>
          <w:lang w:val="fr-FR"/>
        </w:rPr>
        <w:t xml:space="preserve">. </w:t>
      </w:r>
      <w:r w:rsidR="00043B10">
        <w:rPr>
          <w:lang w:val="fr-FR"/>
        </w:rPr>
        <w:t xml:space="preserve"> </w:t>
      </w:r>
      <w:r w:rsidRPr="00DA6CCE">
        <w:rPr>
          <w:lang w:val="fr-FR"/>
        </w:rPr>
        <w:t>L</w:t>
      </w:r>
      <w:r w:rsidR="00DA6CCE">
        <w:rPr>
          <w:lang w:val="fr-FR"/>
        </w:rPr>
        <w:t>’</w:t>
      </w:r>
      <w:r w:rsidRPr="00DA6CCE">
        <w:rPr>
          <w:lang w:val="fr-FR"/>
        </w:rPr>
        <w:t>entrée en vigueur de cette règle se traduira par la transmission d</w:t>
      </w:r>
      <w:r w:rsidR="00DA6CCE">
        <w:rPr>
          <w:lang w:val="fr-FR"/>
        </w:rPr>
        <w:t>’</w:t>
      </w:r>
      <w:r w:rsidRPr="00DA6CCE">
        <w:rPr>
          <w:lang w:val="fr-FR"/>
        </w:rPr>
        <w:t>un grand nombre de</w:t>
      </w:r>
      <w:r w:rsidR="00EB79F7" w:rsidRPr="00DA6CCE">
        <w:rPr>
          <w:lang w:val="fr-FR"/>
        </w:rPr>
        <w:t xml:space="preserve"> types de</w:t>
      </w:r>
      <w:r w:rsidRPr="00DA6CCE">
        <w:rPr>
          <w:lang w:val="fr-FR"/>
        </w:rPr>
        <w:t xml:space="preserve"> documents supplémentaires par le biais du service </w:t>
      </w:r>
      <w:r w:rsidR="00A77DAB" w:rsidRPr="00DA6CCE">
        <w:rPr>
          <w:lang w:val="fr-FR"/>
        </w:rPr>
        <w:t xml:space="preserve">en vertu de la nouvelle exigence </w:t>
      </w:r>
      <w:r w:rsidR="00C770AD" w:rsidRPr="00DA6CCE">
        <w:rPr>
          <w:lang w:val="fr-FR"/>
        </w:rPr>
        <w:t xml:space="preserve">qui impose aux </w:t>
      </w:r>
      <w:r w:rsidR="00A77DAB" w:rsidRPr="00DA6CCE">
        <w:rPr>
          <w:lang w:val="fr-FR"/>
        </w:rPr>
        <w:t xml:space="preserve">offices récepteurs de transmettre </w:t>
      </w:r>
      <w:r w:rsidR="00C770AD" w:rsidRPr="00DA6CCE">
        <w:rPr>
          <w:lang w:val="fr-FR"/>
        </w:rPr>
        <w:t>de manière générale à l</w:t>
      </w:r>
      <w:r w:rsidR="00DA6CCE">
        <w:rPr>
          <w:lang w:val="fr-FR"/>
        </w:rPr>
        <w:t>’</w:t>
      </w:r>
      <w:r w:rsidR="004D220E">
        <w:rPr>
          <w:lang w:val="fr-FR"/>
        </w:rPr>
        <w:t xml:space="preserve">administration chargée de la recherche internationale </w:t>
      </w:r>
      <w:r w:rsidR="00C770AD" w:rsidRPr="00DA6CCE">
        <w:rPr>
          <w:lang w:val="fr-FR"/>
        </w:rPr>
        <w:t>l</w:t>
      </w:r>
      <w:r w:rsidR="00DA6CCE">
        <w:rPr>
          <w:lang w:val="fr-FR"/>
        </w:rPr>
        <w:t>’</w:t>
      </w:r>
      <w:r w:rsidR="00C770AD" w:rsidRPr="00DA6CCE">
        <w:rPr>
          <w:lang w:val="fr-FR"/>
        </w:rPr>
        <w:t xml:space="preserve">ensemble des résultats </w:t>
      </w:r>
      <w:r w:rsidR="0097566B" w:rsidRPr="00DA6CCE">
        <w:rPr>
          <w:lang w:val="fr-FR"/>
        </w:rPr>
        <w:t>d</w:t>
      </w:r>
      <w:r w:rsidR="00DA6CCE">
        <w:rPr>
          <w:lang w:val="fr-FR"/>
        </w:rPr>
        <w:t>’</w:t>
      </w:r>
      <w:r w:rsidR="0097566B" w:rsidRPr="00DA6CCE">
        <w:rPr>
          <w:lang w:val="fr-FR"/>
        </w:rPr>
        <w:t>une</w:t>
      </w:r>
      <w:r w:rsidR="00C770AD" w:rsidRPr="00DA6CCE">
        <w:rPr>
          <w:lang w:val="fr-FR"/>
        </w:rPr>
        <w:t xml:space="preserve"> recherche antérieure </w:t>
      </w:r>
      <w:r w:rsidR="00263B3E" w:rsidRPr="00DA6CCE">
        <w:rPr>
          <w:lang w:val="fr-FR"/>
        </w:rPr>
        <w:t>dont ils disposent</w:t>
      </w:r>
      <w:r w:rsidR="00C770AD" w:rsidRPr="00DA6CCE">
        <w:rPr>
          <w:lang w:val="fr-FR"/>
        </w:rPr>
        <w:t>.</w:t>
      </w:r>
    </w:p>
    <w:p w:rsidR="0097566B" w:rsidRPr="00DA6CCE" w:rsidRDefault="009C2F4D" w:rsidP="008D5856">
      <w:pPr>
        <w:pStyle w:val="ONUMFS"/>
        <w:rPr>
          <w:lang w:val="fr-FR"/>
        </w:rPr>
      </w:pPr>
      <w:r w:rsidRPr="00DA6CCE">
        <w:rPr>
          <w:lang w:val="fr-FR"/>
        </w:rPr>
        <w:t>Le Bureau international souhaiterait encourager les offices récepteurs et les administrations chargées de la recherche internationale qui n</w:t>
      </w:r>
      <w:r w:rsidR="00DA6CCE">
        <w:rPr>
          <w:lang w:val="fr-FR"/>
        </w:rPr>
        <w:t>’</w:t>
      </w:r>
      <w:r w:rsidRPr="00DA6CCE">
        <w:rPr>
          <w:lang w:val="fr-FR"/>
        </w:rPr>
        <w:t>utilisent pas pour l</w:t>
      </w:r>
      <w:r w:rsidR="00DA6CCE">
        <w:rPr>
          <w:lang w:val="fr-FR"/>
        </w:rPr>
        <w:t>’</w:t>
      </w:r>
      <w:r w:rsidRPr="00DA6CCE">
        <w:rPr>
          <w:lang w:val="fr-FR"/>
        </w:rPr>
        <w:t xml:space="preserve">heure le service </w:t>
      </w:r>
      <w:proofErr w:type="spellStart"/>
      <w:r w:rsidRPr="00DA6CCE">
        <w:rPr>
          <w:lang w:val="fr-FR"/>
        </w:rPr>
        <w:t>eSearchCopy</w:t>
      </w:r>
      <w:proofErr w:type="spellEnd"/>
      <w:r w:rsidRPr="00DA6CCE">
        <w:rPr>
          <w:lang w:val="fr-FR"/>
        </w:rPr>
        <w:t xml:space="preserve"> à évaluer ce dernier </w:t>
      </w:r>
      <w:r w:rsidR="007243BE" w:rsidRPr="00DA6CCE">
        <w:rPr>
          <w:lang w:val="fr-FR"/>
        </w:rPr>
        <w:t>et à</w:t>
      </w:r>
      <w:r w:rsidR="00846FCB" w:rsidRPr="00DA6CCE">
        <w:rPr>
          <w:lang w:val="fr-FR"/>
        </w:rPr>
        <w:t xml:space="preserve"> </w:t>
      </w:r>
      <w:r w:rsidR="00263B3E" w:rsidRPr="00DA6CCE">
        <w:rPr>
          <w:lang w:val="fr-FR"/>
        </w:rPr>
        <w:t>s</w:t>
      </w:r>
      <w:r w:rsidR="00DA6CCE">
        <w:rPr>
          <w:lang w:val="fr-FR"/>
        </w:rPr>
        <w:t>’</w:t>
      </w:r>
      <w:r w:rsidR="00263B3E" w:rsidRPr="00DA6CCE">
        <w:rPr>
          <w:lang w:val="fr-FR"/>
        </w:rPr>
        <w:t>efforcer</w:t>
      </w:r>
      <w:r w:rsidR="00846FCB" w:rsidRPr="00DA6CCE">
        <w:rPr>
          <w:lang w:val="fr-FR"/>
        </w:rPr>
        <w:t xml:space="preserve"> de</w:t>
      </w:r>
      <w:r w:rsidR="007243BE" w:rsidRPr="00DA6CCE">
        <w:rPr>
          <w:lang w:val="fr-FR"/>
        </w:rPr>
        <w:t xml:space="preserve"> </w:t>
      </w:r>
      <w:r w:rsidR="007742A2" w:rsidRPr="00DA6CCE">
        <w:rPr>
          <w:lang w:val="fr-FR"/>
        </w:rPr>
        <w:t>l</w:t>
      </w:r>
      <w:r w:rsidR="00DA6CCE">
        <w:rPr>
          <w:lang w:val="fr-FR"/>
        </w:rPr>
        <w:t>’</w:t>
      </w:r>
      <w:r w:rsidR="007742A2" w:rsidRPr="00DA6CCE">
        <w:rPr>
          <w:lang w:val="fr-FR"/>
        </w:rPr>
        <w:t>adopter comme moyen</w:t>
      </w:r>
      <w:r w:rsidR="007243BE" w:rsidRPr="00DA6CCE">
        <w:rPr>
          <w:lang w:val="fr-FR"/>
        </w:rPr>
        <w:t xml:space="preserve"> de </w:t>
      </w:r>
      <w:r w:rsidR="007742A2" w:rsidRPr="00DA6CCE">
        <w:rPr>
          <w:lang w:val="fr-FR"/>
        </w:rPr>
        <w:t>recevoir les</w:t>
      </w:r>
      <w:r w:rsidR="007243BE" w:rsidRPr="00DA6CCE">
        <w:rPr>
          <w:lang w:val="fr-FR"/>
        </w:rPr>
        <w:t xml:space="preserve"> copies de recherc</w:t>
      </w:r>
      <w:r w:rsidR="00982AC1" w:rsidRPr="00DA6CCE">
        <w:rPr>
          <w:lang w:val="fr-FR"/>
        </w:rPr>
        <w:t>he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Il</w:t>
      </w:r>
      <w:r w:rsidR="007243BE" w:rsidRPr="00DA6CCE">
        <w:rPr>
          <w:lang w:val="fr-FR"/>
        </w:rPr>
        <w:t xml:space="preserve"> souhaiterait mettre hors service les anciens systèmes de transmission des copies de recherche du Bureau international </w:t>
      </w:r>
      <w:r w:rsidR="000C747A">
        <w:rPr>
          <w:lang w:val="fr-FR"/>
        </w:rPr>
        <w:t xml:space="preserve">agissant </w:t>
      </w:r>
      <w:r w:rsidR="007243BE" w:rsidRPr="00DA6CCE">
        <w:rPr>
          <w:lang w:val="fr-FR"/>
        </w:rPr>
        <w:t>en tant qu</w:t>
      </w:r>
      <w:r w:rsidR="00DA6CCE">
        <w:rPr>
          <w:lang w:val="fr-FR"/>
        </w:rPr>
        <w:t>’</w:t>
      </w:r>
      <w:r w:rsidR="007243BE" w:rsidRPr="00DA6CCE">
        <w:rPr>
          <w:lang w:val="fr-FR"/>
        </w:rPr>
        <w:t xml:space="preserve">office récepteur aux </w:t>
      </w:r>
      <w:r w:rsidR="00D45B75" w:rsidRPr="00DA6CCE">
        <w:rPr>
          <w:lang w:val="fr-FR"/>
        </w:rPr>
        <w:t>administrations chargées de la recherche internationale</w:t>
      </w:r>
      <w:r w:rsidR="007243BE" w:rsidRPr="00DA6CCE">
        <w:rPr>
          <w:lang w:val="fr-FR"/>
        </w:rPr>
        <w:t xml:space="preserve"> le plus tôt possib</w:t>
      </w:r>
      <w:r w:rsidR="00982AC1" w:rsidRPr="00DA6CCE">
        <w:rPr>
          <w:lang w:val="fr-FR"/>
        </w:rPr>
        <w:t>le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Ce</w:t>
      </w:r>
      <w:r w:rsidR="007243BE" w:rsidRPr="00DA6CCE">
        <w:rPr>
          <w:lang w:val="fr-FR"/>
        </w:rPr>
        <w:t>la</w:t>
      </w:r>
      <w:r w:rsidR="00846FCB" w:rsidRPr="00DA6CCE">
        <w:rPr>
          <w:lang w:val="fr-FR"/>
        </w:rPr>
        <w:t xml:space="preserve"> lui</w:t>
      </w:r>
      <w:r w:rsidR="007243BE" w:rsidRPr="00DA6CCE">
        <w:rPr>
          <w:lang w:val="fr-FR"/>
        </w:rPr>
        <w:t xml:space="preserve"> permettrait à la fois de réduire les coûts de maintenance </w:t>
      </w:r>
      <w:r w:rsidR="00EB3EE4" w:rsidRPr="00DA6CCE">
        <w:rPr>
          <w:lang w:val="fr-FR"/>
        </w:rPr>
        <w:t>actuels liés à</w:t>
      </w:r>
      <w:r w:rsidR="007243BE" w:rsidRPr="00DA6CCE">
        <w:rPr>
          <w:lang w:val="fr-FR"/>
        </w:rPr>
        <w:t xml:space="preserve"> l</w:t>
      </w:r>
      <w:r w:rsidR="00DA6CCE">
        <w:rPr>
          <w:lang w:val="fr-FR"/>
        </w:rPr>
        <w:t>’</w:t>
      </w:r>
      <w:r w:rsidR="00846FCB" w:rsidRPr="00DA6CCE">
        <w:rPr>
          <w:lang w:val="fr-FR"/>
        </w:rPr>
        <w:t>utilisation de</w:t>
      </w:r>
      <w:r w:rsidR="00EB3EE4" w:rsidRPr="00DA6CCE">
        <w:rPr>
          <w:lang w:val="fr-FR"/>
        </w:rPr>
        <w:t>s différents</w:t>
      </w:r>
      <w:r w:rsidR="007243BE" w:rsidRPr="00DA6CCE">
        <w:rPr>
          <w:lang w:val="fr-FR"/>
        </w:rPr>
        <w:t xml:space="preserve"> systèmes et </w:t>
      </w:r>
      <w:r w:rsidR="00846FCB" w:rsidRPr="00DA6CCE">
        <w:rPr>
          <w:lang w:val="fr-FR"/>
        </w:rPr>
        <w:t>de concentrer ses efforts sur un seul service, lequel pourra être</w:t>
      </w:r>
      <w:r w:rsidR="00263B3E" w:rsidRPr="00DA6CCE">
        <w:rPr>
          <w:lang w:val="fr-FR"/>
        </w:rPr>
        <w:t xml:space="preserve"> surveillé de manière efficace en vue</w:t>
      </w:r>
      <w:r w:rsidR="00846FCB" w:rsidRPr="00DA6CCE">
        <w:rPr>
          <w:lang w:val="fr-FR"/>
        </w:rPr>
        <w:t xml:space="preserve"> de garantir que les copies de recherche soient transmises de façon rapide et précise </w:t>
      </w:r>
      <w:r w:rsidR="00EB3EE4" w:rsidRPr="00DA6CCE">
        <w:rPr>
          <w:lang w:val="fr-FR"/>
        </w:rPr>
        <w:t>aux administrations chargées de la recherche internationale</w:t>
      </w:r>
      <w:r w:rsidR="00846FCB" w:rsidRPr="00DA6CCE">
        <w:rPr>
          <w:lang w:val="fr-FR"/>
        </w:rPr>
        <w:t xml:space="preserve"> par l</w:t>
      </w:r>
      <w:r w:rsidR="00DA6CCE">
        <w:rPr>
          <w:lang w:val="fr-FR"/>
        </w:rPr>
        <w:t>’</w:t>
      </w:r>
      <w:r w:rsidR="00846FCB" w:rsidRPr="00DA6CCE">
        <w:rPr>
          <w:lang w:val="fr-FR"/>
        </w:rPr>
        <w:t xml:space="preserve">ensemble des offices récepteurs </w:t>
      </w:r>
      <w:r w:rsidR="00DA6CCE">
        <w:rPr>
          <w:lang w:val="fr-FR"/>
        </w:rPr>
        <w:t>à l’égard</w:t>
      </w:r>
      <w:r w:rsidR="00846FCB" w:rsidRPr="00DA6CCE">
        <w:rPr>
          <w:lang w:val="fr-FR"/>
        </w:rPr>
        <w:t xml:space="preserve"> desquels </w:t>
      </w:r>
      <w:r w:rsidR="00EB3EE4" w:rsidRPr="00DA6CCE">
        <w:rPr>
          <w:lang w:val="fr-FR"/>
        </w:rPr>
        <w:t>chacune d</w:t>
      </w:r>
      <w:r w:rsidR="00DA6CCE">
        <w:rPr>
          <w:lang w:val="fr-FR"/>
        </w:rPr>
        <w:t>’</w:t>
      </w:r>
      <w:r w:rsidR="006B3F69" w:rsidRPr="00DA6CCE">
        <w:rPr>
          <w:lang w:val="fr-FR"/>
        </w:rPr>
        <w:t xml:space="preserve">entre </w:t>
      </w:r>
      <w:r w:rsidR="00EB3EE4" w:rsidRPr="00DA6CCE">
        <w:rPr>
          <w:lang w:val="fr-FR"/>
        </w:rPr>
        <w:t>elles</w:t>
      </w:r>
      <w:r w:rsidR="00846FCB" w:rsidRPr="00DA6CCE">
        <w:rPr>
          <w:lang w:val="fr-FR"/>
        </w:rPr>
        <w:t xml:space="preserve"> est compétente.</w:t>
      </w:r>
    </w:p>
    <w:p w:rsidR="0089564A" w:rsidRPr="004D220E" w:rsidRDefault="00234445" w:rsidP="008D5856">
      <w:pPr>
        <w:pStyle w:val="ONUMFS"/>
        <w:ind w:left="5533"/>
        <w:rPr>
          <w:i/>
          <w:lang w:val="fr-FR"/>
        </w:rPr>
      </w:pPr>
      <w:r w:rsidRPr="004D220E">
        <w:rPr>
          <w:i/>
          <w:lang w:val="fr-FR"/>
        </w:rPr>
        <w:t>Le groupe de travail est invité à prendre note du contenu du présent document.</w:t>
      </w:r>
    </w:p>
    <w:p w:rsidR="0089564A" w:rsidRDefault="0089564A" w:rsidP="008D5856">
      <w:pPr>
        <w:pStyle w:val="Endofdocument-Annex"/>
        <w:rPr>
          <w:lang w:val="fr-FR"/>
        </w:rPr>
      </w:pPr>
    </w:p>
    <w:p w:rsidR="004D220E" w:rsidRPr="00DA6CCE" w:rsidRDefault="004D220E" w:rsidP="008D5856">
      <w:pPr>
        <w:pStyle w:val="Endofdocument-Annex"/>
        <w:rPr>
          <w:lang w:val="fr-FR"/>
        </w:rPr>
      </w:pPr>
    </w:p>
    <w:p w:rsidR="0089564A" w:rsidRPr="00DA6CCE" w:rsidRDefault="00234445" w:rsidP="008D5856">
      <w:pPr>
        <w:pStyle w:val="Endofdocument-Annex"/>
        <w:rPr>
          <w:lang w:val="fr-FR"/>
        </w:rPr>
        <w:sectPr w:rsidR="0089564A" w:rsidRPr="00DA6CCE" w:rsidSect="00DA6CCE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A6CCE">
        <w:rPr>
          <w:lang w:val="fr-FR"/>
        </w:rPr>
        <w:t>[L</w:t>
      </w:r>
      <w:r w:rsidR="00DA6CCE">
        <w:rPr>
          <w:lang w:val="fr-FR"/>
        </w:rPr>
        <w:t>’</w:t>
      </w:r>
      <w:r w:rsidRPr="00DA6CCE">
        <w:rPr>
          <w:lang w:val="fr-FR"/>
        </w:rPr>
        <w:t>a</w:t>
      </w:r>
      <w:r w:rsidR="0089564A" w:rsidRPr="00DA6CCE">
        <w:rPr>
          <w:lang w:val="fr-FR"/>
        </w:rPr>
        <w:t>nnex</w:t>
      </w:r>
      <w:r w:rsidRPr="00DA6CCE">
        <w:rPr>
          <w:lang w:val="fr-FR"/>
        </w:rPr>
        <w:t xml:space="preserve">e </w:t>
      </w:r>
      <w:r w:rsidR="0089564A" w:rsidRPr="00DA6CCE">
        <w:rPr>
          <w:lang w:val="fr-FR"/>
        </w:rPr>
        <w:t>s</w:t>
      </w:r>
      <w:r w:rsidRPr="00DA6CCE">
        <w:rPr>
          <w:lang w:val="fr-FR"/>
        </w:rPr>
        <w:t>uit</w:t>
      </w:r>
      <w:r w:rsidR="0089564A" w:rsidRPr="00DA6CCE">
        <w:rPr>
          <w:lang w:val="fr-FR"/>
        </w:rPr>
        <w:t>]</w:t>
      </w:r>
    </w:p>
    <w:p w:rsidR="0089564A" w:rsidRPr="00DA6CCE" w:rsidRDefault="009A08A7" w:rsidP="008D5856">
      <w:pPr>
        <w:jc w:val="center"/>
        <w:rPr>
          <w:lang w:val="fr-FR"/>
        </w:rPr>
      </w:pPr>
      <w:r w:rsidRPr="00DA6CCE">
        <w:rPr>
          <w:lang w:val="fr-FR"/>
        </w:rPr>
        <w:lastRenderedPageBreak/>
        <w:t>TRANSMISSION DES COPIES DE RECHERCHE</w:t>
      </w:r>
    </w:p>
    <w:p w:rsidR="0089564A" w:rsidRPr="00DA6CCE" w:rsidRDefault="0089564A" w:rsidP="008D5856">
      <w:pPr>
        <w:rPr>
          <w:lang w:val="fr-FR"/>
        </w:rPr>
      </w:pPr>
    </w:p>
    <w:p w:rsidR="0089564A" w:rsidRPr="00DA6CCE" w:rsidRDefault="0089564A" w:rsidP="008D5856">
      <w:pPr>
        <w:rPr>
          <w:lang w:val="fr-FR"/>
        </w:rPr>
      </w:pPr>
    </w:p>
    <w:p w:rsidR="007032C0" w:rsidRPr="00DA6CCE" w:rsidRDefault="007032C0" w:rsidP="008D5856">
      <w:pPr>
        <w:rPr>
          <w:lang w:val="fr-FR"/>
        </w:rPr>
      </w:pPr>
      <w:r w:rsidRPr="00DA6CCE">
        <w:rPr>
          <w:lang w:val="fr-FR"/>
        </w:rPr>
        <w:t>Le tableau ci</w:t>
      </w:r>
      <w:r w:rsidR="004D220E">
        <w:rPr>
          <w:lang w:val="fr-FR"/>
        </w:rPr>
        <w:noBreakHyphen/>
      </w:r>
      <w:r w:rsidRPr="00DA6CCE">
        <w:rPr>
          <w:lang w:val="fr-FR"/>
        </w:rPr>
        <w:t>après indique</w:t>
      </w:r>
      <w:r w:rsidR="009A08A7" w:rsidRPr="00DA6CCE">
        <w:rPr>
          <w:lang w:val="fr-FR"/>
        </w:rPr>
        <w:t xml:space="preserve"> quels étaient</w:t>
      </w:r>
      <w:r w:rsidR="006B3F69" w:rsidRPr="00DA6CCE">
        <w:rPr>
          <w:lang w:val="fr-FR"/>
        </w:rPr>
        <w:t>, au moment de la rédaction du présent document,</w:t>
      </w:r>
      <w:r w:rsidRPr="00DA6CCE">
        <w:rPr>
          <w:lang w:val="fr-FR"/>
        </w:rPr>
        <w:t xml:space="preserve"> les offices récepteurs qui utilisaient le service </w:t>
      </w:r>
      <w:proofErr w:type="spellStart"/>
      <w:r w:rsidRPr="00DA6CCE">
        <w:rPr>
          <w:lang w:val="fr-FR"/>
        </w:rPr>
        <w:t>eSearchCopy</w:t>
      </w:r>
      <w:proofErr w:type="spellEnd"/>
      <w:r w:rsidRPr="00DA6CCE">
        <w:rPr>
          <w:lang w:val="fr-FR"/>
        </w:rPr>
        <w:t xml:space="preserve"> et ceux qui ne l</w:t>
      </w:r>
      <w:r w:rsidR="00DA6CCE">
        <w:rPr>
          <w:lang w:val="fr-FR"/>
        </w:rPr>
        <w:t>’</w:t>
      </w:r>
      <w:r w:rsidRPr="00DA6CCE">
        <w:rPr>
          <w:lang w:val="fr-FR"/>
        </w:rPr>
        <w:t>utilisaient pas</w:t>
      </w:r>
      <w:r w:rsidR="006B3F69" w:rsidRPr="00DA6CCE">
        <w:rPr>
          <w:lang w:val="fr-FR"/>
        </w:rPr>
        <w:t xml:space="preserve"> pour transmettre les copies de recherche aux différentes administrations chargées de la recherche internationa</w:t>
      </w:r>
      <w:r w:rsidR="00982AC1" w:rsidRPr="00DA6CCE">
        <w:rPr>
          <w:lang w:val="fr-FR"/>
        </w:rPr>
        <w:t>le</w:t>
      </w:r>
      <w:r w:rsidR="00982AC1">
        <w:rPr>
          <w:lang w:val="fr-FR"/>
        </w:rPr>
        <w:t xml:space="preserve">.  </w:t>
      </w:r>
      <w:r w:rsidR="00982AC1" w:rsidRPr="00DA6CCE">
        <w:rPr>
          <w:lang w:val="fr-FR"/>
        </w:rPr>
        <w:t>Le</w:t>
      </w:r>
      <w:r w:rsidRPr="00DA6CCE">
        <w:rPr>
          <w:lang w:val="fr-FR"/>
        </w:rPr>
        <w:t xml:space="preserve">s offices récepteurs </w:t>
      </w:r>
      <w:r w:rsidR="009A08A7" w:rsidRPr="00DA6CCE">
        <w:rPr>
          <w:lang w:val="fr-FR"/>
        </w:rPr>
        <w:t xml:space="preserve">sont répertoriés </w:t>
      </w:r>
      <w:r w:rsidRPr="00DA6CCE">
        <w:rPr>
          <w:lang w:val="fr-FR"/>
        </w:rPr>
        <w:t>dans l</w:t>
      </w:r>
      <w:r w:rsidR="00DA6CCE">
        <w:rPr>
          <w:lang w:val="fr-FR"/>
        </w:rPr>
        <w:t>’</w:t>
      </w:r>
      <w:r w:rsidR="009A08A7" w:rsidRPr="00DA6CCE">
        <w:rPr>
          <w:lang w:val="fr-FR"/>
        </w:rPr>
        <w:t xml:space="preserve">ordre décroissant du nombre de copies de recherche transmises aux administrations chargées de la recherche internationale </w:t>
      </w:r>
      <w:r w:rsidR="00DA6CCE" w:rsidRPr="00DA6CCE">
        <w:rPr>
          <w:lang w:val="fr-FR"/>
        </w:rPr>
        <w:t>en</w:t>
      </w:r>
      <w:r w:rsidR="00DA6CCE">
        <w:rPr>
          <w:lang w:val="fr-FR"/>
        </w:rPr>
        <w:t> </w:t>
      </w:r>
      <w:r w:rsidR="00DA6CCE" w:rsidRPr="00DA6CCE">
        <w:rPr>
          <w:lang w:val="fr-FR"/>
        </w:rPr>
        <w:t>2016</w:t>
      </w:r>
      <w:r w:rsidR="009A08A7" w:rsidRPr="00DA6CCE">
        <w:rPr>
          <w:lang w:val="fr-FR"/>
        </w:rPr>
        <w:t>.</w:t>
      </w:r>
    </w:p>
    <w:p w:rsidR="0089564A" w:rsidRPr="00DA6CCE" w:rsidRDefault="0089564A" w:rsidP="008D5856">
      <w:pPr>
        <w:rPr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23"/>
        <w:gridCol w:w="2860"/>
        <w:gridCol w:w="4988"/>
      </w:tblGrid>
      <w:tr w:rsidR="0089564A" w:rsidRPr="00C46516" w:rsidTr="004D220E">
        <w:tc>
          <w:tcPr>
            <w:tcW w:w="1723" w:type="dxa"/>
            <w:shd w:val="clear" w:color="auto" w:fill="auto"/>
            <w:hideMark/>
          </w:tcPr>
          <w:p w:rsidR="0089564A" w:rsidRPr="004D220E" w:rsidRDefault="004D220E" w:rsidP="008D5856">
            <w:pPr>
              <w:rPr>
                <w:rFonts w:eastAsia="Times New Roman"/>
                <w:b/>
                <w:color w:val="000000"/>
                <w:sz w:val="20"/>
                <w:lang w:val="fr-FR" w:eastAsia="en-GB"/>
              </w:rPr>
            </w:pPr>
            <w:r w:rsidRPr="004D220E">
              <w:rPr>
                <w:rFonts w:eastAsia="Times New Roman"/>
                <w:b/>
                <w:color w:val="000000"/>
                <w:sz w:val="20"/>
                <w:lang w:val="fr-FR" w:eastAsia="en-GB"/>
              </w:rPr>
              <w:t>Administration chargée de la recherche internationale</w:t>
            </w:r>
          </w:p>
        </w:tc>
        <w:tc>
          <w:tcPr>
            <w:tcW w:w="2860" w:type="dxa"/>
            <w:shd w:val="clear" w:color="auto" w:fill="auto"/>
            <w:hideMark/>
          </w:tcPr>
          <w:p w:rsidR="0089564A" w:rsidRPr="004D220E" w:rsidRDefault="009A08A7" w:rsidP="008D5856">
            <w:pPr>
              <w:rPr>
                <w:rFonts w:eastAsia="Times New Roman"/>
                <w:b/>
                <w:color w:val="000000"/>
                <w:sz w:val="20"/>
                <w:lang w:val="fr-FR" w:eastAsia="en-GB"/>
              </w:rPr>
            </w:pPr>
            <w:r w:rsidRPr="004D220E">
              <w:rPr>
                <w:rFonts w:eastAsia="Times New Roman"/>
                <w:b/>
                <w:color w:val="000000"/>
                <w:sz w:val="20"/>
                <w:lang w:val="fr-FR" w:eastAsia="en-GB"/>
              </w:rPr>
              <w:t xml:space="preserve">Offices récepteurs utilisant le service </w:t>
            </w:r>
            <w:proofErr w:type="spellStart"/>
            <w:r w:rsidRPr="004D220E">
              <w:rPr>
                <w:rFonts w:eastAsia="Times New Roman"/>
                <w:b/>
                <w:color w:val="000000"/>
                <w:sz w:val="20"/>
                <w:lang w:val="fr-FR" w:eastAsia="en-GB"/>
              </w:rPr>
              <w:t>eSearchCopy</w:t>
            </w:r>
            <w:proofErr w:type="spellEnd"/>
          </w:p>
        </w:tc>
        <w:tc>
          <w:tcPr>
            <w:tcW w:w="4988" w:type="dxa"/>
            <w:shd w:val="clear" w:color="auto" w:fill="auto"/>
            <w:hideMark/>
          </w:tcPr>
          <w:p w:rsidR="0089564A" w:rsidRPr="004D220E" w:rsidRDefault="009A08A7" w:rsidP="008D5856">
            <w:pPr>
              <w:rPr>
                <w:rFonts w:eastAsia="Times New Roman"/>
                <w:b/>
                <w:color w:val="000000"/>
                <w:sz w:val="20"/>
                <w:lang w:val="fr-FR" w:eastAsia="en-GB"/>
              </w:rPr>
            </w:pPr>
            <w:r w:rsidRPr="004D220E">
              <w:rPr>
                <w:rFonts w:eastAsia="Times New Roman"/>
                <w:b/>
                <w:color w:val="000000"/>
                <w:sz w:val="20"/>
                <w:lang w:val="fr-FR" w:eastAsia="en-GB"/>
              </w:rPr>
              <w:t>Offices récepteurs n</w:t>
            </w:r>
            <w:r w:rsidR="00DA6CCE" w:rsidRPr="004D220E">
              <w:rPr>
                <w:rFonts w:eastAsia="Times New Roman"/>
                <w:b/>
                <w:color w:val="000000"/>
                <w:sz w:val="20"/>
                <w:lang w:val="fr-FR" w:eastAsia="en-GB"/>
              </w:rPr>
              <w:t>’</w:t>
            </w:r>
            <w:r w:rsidRPr="004D220E">
              <w:rPr>
                <w:rFonts w:eastAsia="Times New Roman"/>
                <w:b/>
                <w:color w:val="000000"/>
                <w:sz w:val="20"/>
                <w:lang w:val="fr-FR" w:eastAsia="en-GB"/>
              </w:rPr>
              <w:t xml:space="preserve">utilisant pas le service </w:t>
            </w:r>
            <w:proofErr w:type="spellStart"/>
            <w:r w:rsidRPr="004D220E">
              <w:rPr>
                <w:rFonts w:eastAsia="Times New Roman"/>
                <w:b/>
                <w:color w:val="000000"/>
                <w:sz w:val="20"/>
                <w:lang w:val="fr-FR" w:eastAsia="en-GB"/>
              </w:rPr>
              <w:t>eSearchCopy</w:t>
            </w:r>
            <w:proofErr w:type="spellEnd"/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AT</w:t>
            </w:r>
          </w:p>
        </w:tc>
        <w:tc>
          <w:tcPr>
            <w:tcW w:w="2860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IB ZA IN KR DZ BR SG KE CO DJ EG MA MX OM</w:t>
            </w: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VN AE AO AP BB BH CU GE GH GT KP LC LR LS LY MG OA PE ST SY TT ZM ZW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AU</w:t>
            </w:r>
          </w:p>
        </w:tc>
        <w:tc>
          <w:tcPr>
            <w:tcW w:w="2860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US IB NZ SG MY KR IN ZA TH BN ID KE OM PH</w:t>
            </w: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AE GH LC LK LR NG PG VC VN ZW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BR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IB CO</w:t>
            </w: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PE AO CU GT PA ST</w:t>
            </w:r>
          </w:p>
        </w:tc>
      </w:tr>
      <w:tr w:rsidR="00F54F73" w:rsidRPr="00C46516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CA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IB AG BZ NG SA VC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CL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IB MX CO</w:t>
            </w: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PE EC SV CR CU DO GT PA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CN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IB</w:t>
            </w: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TH IN KP KE AO GH IR LR ZW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EG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SA IB OM DJ EG</w:t>
            </w: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KW QA SD SY</w:t>
            </w:r>
          </w:p>
        </w:tc>
      </w:tr>
      <w:tr w:rsidR="00F54F73" w:rsidRPr="00C46516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EP</w:t>
            </w:r>
          </w:p>
        </w:tc>
        <w:tc>
          <w:tcPr>
            <w:tcW w:w="2860" w:type="dxa"/>
            <w:shd w:val="clear" w:color="auto" w:fill="auto"/>
          </w:tcPr>
          <w:p w:rsidR="00F54F73" w:rsidRPr="00EB4B71" w:rsidRDefault="00F54F73" w:rsidP="008D5856">
            <w:pPr>
              <w:rPr>
                <w:sz w:val="20"/>
                <w:lang w:val="es-ES"/>
              </w:rPr>
            </w:pPr>
            <w:r w:rsidRPr="00EB4B71">
              <w:rPr>
                <w:sz w:val="20"/>
                <w:lang w:val="es-ES"/>
              </w:rPr>
              <w:t>IB JP FI SE AT IT IL ES NO ZA NZ DJ</w:t>
            </w: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  <w:lang w:val="es-ES"/>
              </w:rPr>
            </w:pPr>
            <w:r w:rsidRPr="00C46516">
              <w:rPr>
                <w:sz w:val="20"/>
                <w:lang w:val="es-ES"/>
              </w:rPr>
              <w:t>US GB FR DE NL TR DK IN PL CZ CH HU RU BR GR BE SG PT MY MA UA HR SI IE IS BG RO SK RS TH EG PH GE SM QA TN AM ID SA CL EE CU CY OA BA KZ LT LU LV MD MK OM VN AG AL AO AP AZ BB BH BN BW BY BZ CO CR DO DZ EA EC GH GT HN IR KE KG KH KW LA LC LK LR LS LY MC ME MG MN MT MW MX NG NI PA PE SC SD ST SV SY TJ TM TT UZ VC ZW</w:t>
            </w:r>
          </w:p>
        </w:tc>
      </w:tr>
      <w:tr w:rsidR="00F54F73" w:rsidRPr="00C46516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ES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  <w:lang w:val="es-ES"/>
              </w:rPr>
            </w:pPr>
            <w:r w:rsidRPr="00C46516">
              <w:rPr>
                <w:sz w:val="20"/>
                <w:lang w:val="es-ES"/>
              </w:rPr>
              <w:t>MX IB PE CL CO DO PA CR CU EC GT HN NI SV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FI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IB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IL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US IB</w:t>
            </w: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GE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IN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IB IR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JP</w:t>
            </w:r>
          </w:p>
        </w:tc>
        <w:tc>
          <w:tcPr>
            <w:tcW w:w="2860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US IB TH SG MY KR PH ID BN</w:t>
            </w: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KH LA VN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KR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IB NZ</w:t>
            </w: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US SG MY AU PE PH TH CL ID LK MN MX SA VN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RU</w:t>
            </w:r>
          </w:p>
        </w:tc>
        <w:tc>
          <w:tcPr>
            <w:tcW w:w="2860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US IB BG AZ EA SA LV CO ID LT MA</w:t>
            </w: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UA KZ BY RO GE MD VN UZ AM CU IR KG KP MG MN OA SY TJ TM ZW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SE</w:t>
            </w:r>
          </w:p>
        </w:tc>
        <w:tc>
          <w:tcPr>
            <w:tcW w:w="2860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NO FI DK BR IN KE MA MX</w:t>
            </w: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IB AP BB GH IS LK LR MG OA TT VN ZM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SG</w:t>
            </w:r>
          </w:p>
        </w:tc>
        <w:tc>
          <w:tcPr>
            <w:tcW w:w="2860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US IB JP ID MX</w:t>
            </w: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KH TH VN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TR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IB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UA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IB</w:t>
            </w: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US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</w:p>
        </w:tc>
        <w:tc>
          <w:tcPr>
            <w:tcW w:w="4988" w:type="dxa"/>
            <w:shd w:val="clear" w:color="auto" w:fill="auto"/>
          </w:tcPr>
          <w:p w:rsidR="00F54F73" w:rsidRPr="00C46516" w:rsidRDefault="00F54F73" w:rsidP="008D5856">
            <w:pPr>
              <w:rPr>
                <w:sz w:val="20"/>
              </w:rPr>
            </w:pPr>
            <w:r w:rsidRPr="00C46516">
              <w:rPr>
                <w:sz w:val="20"/>
              </w:rPr>
              <w:t>IB IL IN BR NZ CL TH MX EG ZA PH OM PE BB BH DO GE GT LC PA QA TT VC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XN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NO DK IB SE</w:t>
            </w: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IS</w:t>
            </w:r>
          </w:p>
        </w:tc>
      </w:tr>
      <w:tr w:rsidR="00F54F73" w:rsidRPr="004D220E" w:rsidTr="004D220E">
        <w:tc>
          <w:tcPr>
            <w:tcW w:w="1723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XV</w:t>
            </w:r>
          </w:p>
        </w:tc>
        <w:tc>
          <w:tcPr>
            <w:tcW w:w="2860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  <w:r w:rsidRPr="004D220E">
              <w:rPr>
                <w:sz w:val="20"/>
                <w:lang w:val="fr-FR"/>
              </w:rPr>
              <w:t>HU PL CZ IB SK</w:t>
            </w:r>
          </w:p>
        </w:tc>
        <w:tc>
          <w:tcPr>
            <w:tcW w:w="4988" w:type="dxa"/>
            <w:shd w:val="clear" w:color="auto" w:fill="auto"/>
          </w:tcPr>
          <w:p w:rsidR="00F54F73" w:rsidRPr="004D220E" w:rsidRDefault="00F54F73" w:rsidP="008D5856">
            <w:pPr>
              <w:rPr>
                <w:sz w:val="20"/>
                <w:lang w:val="fr-FR"/>
              </w:rPr>
            </w:pPr>
          </w:p>
        </w:tc>
      </w:tr>
    </w:tbl>
    <w:p w:rsidR="0089564A" w:rsidRPr="00DA6CCE" w:rsidRDefault="0089564A" w:rsidP="008D5856">
      <w:pPr>
        <w:rPr>
          <w:lang w:val="fr-FR"/>
        </w:rPr>
      </w:pPr>
    </w:p>
    <w:p w:rsidR="0089564A" w:rsidRPr="00DA6CCE" w:rsidRDefault="0089564A" w:rsidP="008D5856">
      <w:pPr>
        <w:rPr>
          <w:lang w:val="fr-FR"/>
        </w:rPr>
      </w:pPr>
    </w:p>
    <w:p w:rsidR="00DA6CCE" w:rsidRDefault="0089564A" w:rsidP="008D5856">
      <w:pPr>
        <w:pStyle w:val="Endofdocument-Annex"/>
        <w:rPr>
          <w:lang w:val="fr-FR"/>
        </w:rPr>
      </w:pPr>
      <w:r w:rsidRPr="00DA6CCE">
        <w:rPr>
          <w:lang w:val="fr-FR"/>
        </w:rPr>
        <w:t>[</w:t>
      </w:r>
      <w:r w:rsidR="00234445" w:rsidRPr="00DA6CCE">
        <w:rPr>
          <w:lang w:val="fr-FR"/>
        </w:rPr>
        <w:t>Fin de l</w:t>
      </w:r>
      <w:r w:rsidR="00DA6CCE">
        <w:rPr>
          <w:lang w:val="fr-FR"/>
        </w:rPr>
        <w:t>’</w:t>
      </w:r>
      <w:r w:rsidR="00234445" w:rsidRPr="00DA6CCE">
        <w:rPr>
          <w:lang w:val="fr-FR"/>
        </w:rPr>
        <w:t xml:space="preserve">annexe et du </w:t>
      </w:r>
      <w:r w:rsidRPr="00DA6CCE">
        <w:rPr>
          <w:lang w:val="fr-FR"/>
        </w:rPr>
        <w:t>document]</w:t>
      </w:r>
    </w:p>
    <w:sectPr w:rsidR="00DA6CCE" w:rsidSect="00DA6CCE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7E" w:rsidRDefault="000B527E">
      <w:r>
        <w:separator/>
      </w:r>
    </w:p>
  </w:endnote>
  <w:endnote w:type="continuationSeparator" w:id="0">
    <w:p w:rsidR="000B527E" w:rsidRDefault="000B527E" w:rsidP="003B38C1">
      <w:r>
        <w:separator/>
      </w:r>
    </w:p>
    <w:p w:rsidR="000B527E" w:rsidRPr="003B38C1" w:rsidRDefault="000B527E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0B527E" w:rsidRPr="003B38C1" w:rsidRDefault="000B52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0E" w:rsidRPr="004D220E" w:rsidRDefault="004D220E" w:rsidP="004D2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7E" w:rsidRDefault="000B527E">
      <w:r>
        <w:separator/>
      </w:r>
    </w:p>
  </w:footnote>
  <w:footnote w:type="continuationSeparator" w:id="0">
    <w:p w:rsidR="000B527E" w:rsidRDefault="000B527E" w:rsidP="008B60B2">
      <w:r>
        <w:separator/>
      </w:r>
    </w:p>
    <w:p w:rsidR="000B527E" w:rsidRPr="00ED77FB" w:rsidRDefault="000B52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0B527E" w:rsidRPr="00ED77FB" w:rsidRDefault="000B52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99" w:rsidRDefault="00E52199" w:rsidP="00477D6B">
    <w:pPr>
      <w:jc w:val="right"/>
    </w:pPr>
    <w:r>
      <w:t>PCT/WG/10/22</w:t>
    </w:r>
  </w:p>
  <w:p w:rsidR="00E52199" w:rsidRDefault="00E52199" w:rsidP="00477D6B">
    <w:pPr>
      <w:jc w:val="right"/>
    </w:pPr>
    <w:proofErr w:type="gramStart"/>
    <w:r>
      <w:t>page</w:t>
    </w:r>
    <w:proofErr w:type="gramEnd"/>
    <w:r>
      <w:t xml:space="preserve"> </w:t>
    </w:r>
    <w:r w:rsidR="00DA6CCE">
      <w:fldChar w:fldCharType="begin"/>
    </w:r>
    <w:r w:rsidR="00DA6CCE">
      <w:instrText xml:space="preserve"> PAGE  \* MERGEFORMAT </w:instrText>
    </w:r>
    <w:r w:rsidR="00DA6CCE">
      <w:fldChar w:fldCharType="separate"/>
    </w:r>
    <w:r w:rsidR="00C46516">
      <w:rPr>
        <w:noProof/>
      </w:rPr>
      <w:t>5</w:t>
    </w:r>
    <w:r w:rsidR="00DA6CCE">
      <w:rPr>
        <w:noProof/>
      </w:rPr>
      <w:fldChar w:fldCharType="end"/>
    </w:r>
  </w:p>
  <w:p w:rsidR="00E52199" w:rsidRDefault="00E5219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99" w:rsidRDefault="00E52199" w:rsidP="00477D6B">
    <w:pPr>
      <w:jc w:val="right"/>
    </w:pPr>
    <w:bookmarkStart w:id="7" w:name="Code2"/>
    <w:bookmarkEnd w:id="7"/>
    <w:r>
      <w:t>PCT/WG/10/</w:t>
    </w:r>
    <w:r w:rsidR="004D220E">
      <w:t>22</w:t>
    </w:r>
  </w:p>
  <w:p w:rsidR="00E52199" w:rsidRDefault="004D220E" w:rsidP="00477D6B">
    <w:pPr>
      <w:jc w:val="right"/>
    </w:pPr>
    <w:r>
      <w:t xml:space="preserve">Annexe, </w:t>
    </w:r>
    <w:r w:rsidR="00E52199">
      <w:t>page</w:t>
    </w:r>
    <w:r>
      <w:t xml:space="preserve"> </w:t>
    </w:r>
    <w:r w:rsidR="00DA6CCE">
      <w:fldChar w:fldCharType="begin"/>
    </w:r>
    <w:r w:rsidR="00DA6CCE">
      <w:instrText xml:space="preserve"> PAGE  \* MERGEFORMAT </w:instrText>
    </w:r>
    <w:r w:rsidR="00DA6CCE">
      <w:fldChar w:fldCharType="separate"/>
    </w:r>
    <w:r w:rsidR="008D5856">
      <w:rPr>
        <w:noProof/>
      </w:rPr>
      <w:t>2</w:t>
    </w:r>
    <w:r w:rsidR="00DA6CCE">
      <w:rPr>
        <w:noProof/>
      </w:rPr>
      <w:fldChar w:fldCharType="end"/>
    </w:r>
  </w:p>
  <w:p w:rsidR="00E52199" w:rsidRDefault="00E5219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99" w:rsidRDefault="00E52199" w:rsidP="004D220E">
    <w:pPr>
      <w:pStyle w:val="Header"/>
      <w:jc w:val="right"/>
    </w:pPr>
    <w:r>
      <w:t>PCT/WG/10/22</w:t>
    </w:r>
  </w:p>
  <w:p w:rsidR="004D220E" w:rsidRPr="00DA6CCE" w:rsidRDefault="004D220E" w:rsidP="004D220E">
    <w:pPr>
      <w:jc w:val="right"/>
      <w:rPr>
        <w:lang w:val="fr-FR"/>
      </w:rPr>
    </w:pPr>
    <w:r w:rsidRPr="00DA6CCE">
      <w:rPr>
        <w:lang w:val="fr-FR"/>
      </w:rPr>
      <w:t>ANNEXE</w:t>
    </w:r>
  </w:p>
  <w:p w:rsidR="004D220E" w:rsidRPr="00DA6CCE" w:rsidRDefault="004D220E" w:rsidP="004D220E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07"/>
    <w:rsid w:val="0000077A"/>
    <w:rsid w:val="000160E3"/>
    <w:rsid w:val="00040038"/>
    <w:rsid w:val="00043B10"/>
    <w:rsid w:val="00043CAA"/>
    <w:rsid w:val="00044423"/>
    <w:rsid w:val="00052F69"/>
    <w:rsid w:val="000572D8"/>
    <w:rsid w:val="00075432"/>
    <w:rsid w:val="00083C92"/>
    <w:rsid w:val="00092DA8"/>
    <w:rsid w:val="000968ED"/>
    <w:rsid w:val="00096E1F"/>
    <w:rsid w:val="000A0218"/>
    <w:rsid w:val="000B527E"/>
    <w:rsid w:val="000C5F1F"/>
    <w:rsid w:val="000C747A"/>
    <w:rsid w:val="000E242C"/>
    <w:rsid w:val="000E3A58"/>
    <w:rsid w:val="000F2BAD"/>
    <w:rsid w:val="000F5E56"/>
    <w:rsid w:val="00104E0A"/>
    <w:rsid w:val="00115AE9"/>
    <w:rsid w:val="001169DB"/>
    <w:rsid w:val="00133770"/>
    <w:rsid w:val="001362EE"/>
    <w:rsid w:val="00154020"/>
    <w:rsid w:val="00162100"/>
    <w:rsid w:val="00173704"/>
    <w:rsid w:val="001821BA"/>
    <w:rsid w:val="001821C0"/>
    <w:rsid w:val="001832A6"/>
    <w:rsid w:val="001948CA"/>
    <w:rsid w:val="001E388E"/>
    <w:rsid w:val="001E6B64"/>
    <w:rsid w:val="00207DD9"/>
    <w:rsid w:val="0021217E"/>
    <w:rsid w:val="002219D8"/>
    <w:rsid w:val="00226739"/>
    <w:rsid w:val="00234445"/>
    <w:rsid w:val="002634C4"/>
    <w:rsid w:val="00263B3E"/>
    <w:rsid w:val="002737C4"/>
    <w:rsid w:val="002928D3"/>
    <w:rsid w:val="002A189A"/>
    <w:rsid w:val="002A1B87"/>
    <w:rsid w:val="002B476E"/>
    <w:rsid w:val="002C3723"/>
    <w:rsid w:val="002E28BC"/>
    <w:rsid w:val="002F1FE6"/>
    <w:rsid w:val="002F4E68"/>
    <w:rsid w:val="002F57AE"/>
    <w:rsid w:val="00312F7F"/>
    <w:rsid w:val="00322516"/>
    <w:rsid w:val="00327762"/>
    <w:rsid w:val="0033339D"/>
    <w:rsid w:val="00361450"/>
    <w:rsid w:val="003648BD"/>
    <w:rsid w:val="003673CF"/>
    <w:rsid w:val="0037240B"/>
    <w:rsid w:val="003845C1"/>
    <w:rsid w:val="003858EC"/>
    <w:rsid w:val="00386B5F"/>
    <w:rsid w:val="003A6F89"/>
    <w:rsid w:val="003B38C1"/>
    <w:rsid w:val="003D10A3"/>
    <w:rsid w:val="003E08C7"/>
    <w:rsid w:val="003E1CE1"/>
    <w:rsid w:val="003F50AE"/>
    <w:rsid w:val="00404297"/>
    <w:rsid w:val="00423E3E"/>
    <w:rsid w:val="00427AF4"/>
    <w:rsid w:val="00430138"/>
    <w:rsid w:val="00440142"/>
    <w:rsid w:val="004612C2"/>
    <w:rsid w:val="00461400"/>
    <w:rsid w:val="004647DA"/>
    <w:rsid w:val="00466A8F"/>
    <w:rsid w:val="00474062"/>
    <w:rsid w:val="004777D7"/>
    <w:rsid w:val="00477D6B"/>
    <w:rsid w:val="00481E90"/>
    <w:rsid w:val="00484429"/>
    <w:rsid w:val="004A62A6"/>
    <w:rsid w:val="004B5E91"/>
    <w:rsid w:val="004B72C2"/>
    <w:rsid w:val="004D220E"/>
    <w:rsid w:val="005019FF"/>
    <w:rsid w:val="00501DBA"/>
    <w:rsid w:val="0050398E"/>
    <w:rsid w:val="0051171B"/>
    <w:rsid w:val="0053057A"/>
    <w:rsid w:val="00552D69"/>
    <w:rsid w:val="00556BFD"/>
    <w:rsid w:val="00560A29"/>
    <w:rsid w:val="00565FFA"/>
    <w:rsid w:val="0057359A"/>
    <w:rsid w:val="005B3515"/>
    <w:rsid w:val="005C6649"/>
    <w:rsid w:val="005D0B33"/>
    <w:rsid w:val="005D1986"/>
    <w:rsid w:val="005D5A79"/>
    <w:rsid w:val="005E1AF2"/>
    <w:rsid w:val="00605827"/>
    <w:rsid w:val="00624785"/>
    <w:rsid w:val="00646050"/>
    <w:rsid w:val="00653CD4"/>
    <w:rsid w:val="00662907"/>
    <w:rsid w:val="006713CA"/>
    <w:rsid w:val="00676C5C"/>
    <w:rsid w:val="00697877"/>
    <w:rsid w:val="006A7A6F"/>
    <w:rsid w:val="006B3F69"/>
    <w:rsid w:val="007032C0"/>
    <w:rsid w:val="00710965"/>
    <w:rsid w:val="00712F03"/>
    <w:rsid w:val="007243BE"/>
    <w:rsid w:val="00732270"/>
    <w:rsid w:val="00736493"/>
    <w:rsid w:val="0074714C"/>
    <w:rsid w:val="007737D7"/>
    <w:rsid w:val="007742A2"/>
    <w:rsid w:val="007806C5"/>
    <w:rsid w:val="007B4598"/>
    <w:rsid w:val="007D1613"/>
    <w:rsid w:val="007E29C4"/>
    <w:rsid w:val="007E478A"/>
    <w:rsid w:val="007E4C0E"/>
    <w:rsid w:val="007E4EF2"/>
    <w:rsid w:val="00801242"/>
    <w:rsid w:val="00822EE2"/>
    <w:rsid w:val="00837311"/>
    <w:rsid w:val="008431A2"/>
    <w:rsid w:val="00846FCB"/>
    <w:rsid w:val="00856BFB"/>
    <w:rsid w:val="008647F3"/>
    <w:rsid w:val="00870BE0"/>
    <w:rsid w:val="008811FD"/>
    <w:rsid w:val="00883345"/>
    <w:rsid w:val="0089564A"/>
    <w:rsid w:val="00895BDB"/>
    <w:rsid w:val="008A15A8"/>
    <w:rsid w:val="008A1A9D"/>
    <w:rsid w:val="008A614F"/>
    <w:rsid w:val="008B23FB"/>
    <w:rsid w:val="008B2CC1"/>
    <w:rsid w:val="008B60B2"/>
    <w:rsid w:val="008C6717"/>
    <w:rsid w:val="008D5856"/>
    <w:rsid w:val="008D7890"/>
    <w:rsid w:val="008F134B"/>
    <w:rsid w:val="008F13AA"/>
    <w:rsid w:val="008F1D89"/>
    <w:rsid w:val="0090731E"/>
    <w:rsid w:val="00916EE2"/>
    <w:rsid w:val="00923372"/>
    <w:rsid w:val="0096203E"/>
    <w:rsid w:val="00966395"/>
    <w:rsid w:val="00966A22"/>
    <w:rsid w:val="0096722F"/>
    <w:rsid w:val="0097566B"/>
    <w:rsid w:val="00980843"/>
    <w:rsid w:val="00981757"/>
    <w:rsid w:val="00982241"/>
    <w:rsid w:val="00982AC1"/>
    <w:rsid w:val="00985F92"/>
    <w:rsid w:val="009A08A7"/>
    <w:rsid w:val="009B7C84"/>
    <w:rsid w:val="009C23C7"/>
    <w:rsid w:val="009C2F4D"/>
    <w:rsid w:val="009D6B49"/>
    <w:rsid w:val="009E2791"/>
    <w:rsid w:val="009E3F6F"/>
    <w:rsid w:val="009F499F"/>
    <w:rsid w:val="00A0469D"/>
    <w:rsid w:val="00A05014"/>
    <w:rsid w:val="00A2223A"/>
    <w:rsid w:val="00A3403B"/>
    <w:rsid w:val="00A42DAF"/>
    <w:rsid w:val="00A44A21"/>
    <w:rsid w:val="00A45BD8"/>
    <w:rsid w:val="00A64B06"/>
    <w:rsid w:val="00A679EF"/>
    <w:rsid w:val="00A71824"/>
    <w:rsid w:val="00A74CD6"/>
    <w:rsid w:val="00A77DAB"/>
    <w:rsid w:val="00A869B7"/>
    <w:rsid w:val="00A871DD"/>
    <w:rsid w:val="00AB25EB"/>
    <w:rsid w:val="00AB4A2E"/>
    <w:rsid w:val="00AC205C"/>
    <w:rsid w:val="00AF0A6B"/>
    <w:rsid w:val="00AF345F"/>
    <w:rsid w:val="00B05A69"/>
    <w:rsid w:val="00B16137"/>
    <w:rsid w:val="00B260C2"/>
    <w:rsid w:val="00B3570A"/>
    <w:rsid w:val="00B721F6"/>
    <w:rsid w:val="00B75150"/>
    <w:rsid w:val="00B81C2A"/>
    <w:rsid w:val="00B84013"/>
    <w:rsid w:val="00B9719E"/>
    <w:rsid w:val="00B9734B"/>
    <w:rsid w:val="00BA067D"/>
    <w:rsid w:val="00BA30E2"/>
    <w:rsid w:val="00BB5071"/>
    <w:rsid w:val="00BC1138"/>
    <w:rsid w:val="00BD4C8A"/>
    <w:rsid w:val="00BE7785"/>
    <w:rsid w:val="00BF37E1"/>
    <w:rsid w:val="00C11BFE"/>
    <w:rsid w:val="00C1721C"/>
    <w:rsid w:val="00C17B27"/>
    <w:rsid w:val="00C24931"/>
    <w:rsid w:val="00C310C7"/>
    <w:rsid w:val="00C37B64"/>
    <w:rsid w:val="00C46516"/>
    <w:rsid w:val="00C5068F"/>
    <w:rsid w:val="00C53FBD"/>
    <w:rsid w:val="00C770AD"/>
    <w:rsid w:val="00C915EF"/>
    <w:rsid w:val="00C93270"/>
    <w:rsid w:val="00CB268E"/>
    <w:rsid w:val="00CD04F1"/>
    <w:rsid w:val="00CF1D5C"/>
    <w:rsid w:val="00D279E4"/>
    <w:rsid w:val="00D31B4E"/>
    <w:rsid w:val="00D36A30"/>
    <w:rsid w:val="00D45252"/>
    <w:rsid w:val="00D45B75"/>
    <w:rsid w:val="00D52A1F"/>
    <w:rsid w:val="00D61924"/>
    <w:rsid w:val="00D71B4D"/>
    <w:rsid w:val="00D85325"/>
    <w:rsid w:val="00D93D55"/>
    <w:rsid w:val="00DA072D"/>
    <w:rsid w:val="00DA3FD0"/>
    <w:rsid w:val="00DA6CCE"/>
    <w:rsid w:val="00DB6E94"/>
    <w:rsid w:val="00DC79FD"/>
    <w:rsid w:val="00DE0E21"/>
    <w:rsid w:val="00DF1A16"/>
    <w:rsid w:val="00DF634E"/>
    <w:rsid w:val="00DF6414"/>
    <w:rsid w:val="00E002F4"/>
    <w:rsid w:val="00E00BDC"/>
    <w:rsid w:val="00E07AEE"/>
    <w:rsid w:val="00E14E89"/>
    <w:rsid w:val="00E15015"/>
    <w:rsid w:val="00E335FE"/>
    <w:rsid w:val="00E52199"/>
    <w:rsid w:val="00E563EA"/>
    <w:rsid w:val="00E56FEE"/>
    <w:rsid w:val="00E66F82"/>
    <w:rsid w:val="00E761DE"/>
    <w:rsid w:val="00E7715A"/>
    <w:rsid w:val="00E84A60"/>
    <w:rsid w:val="00EB3EE4"/>
    <w:rsid w:val="00EB403B"/>
    <w:rsid w:val="00EB4B71"/>
    <w:rsid w:val="00EB79F7"/>
    <w:rsid w:val="00EC4E49"/>
    <w:rsid w:val="00ED5395"/>
    <w:rsid w:val="00ED77FB"/>
    <w:rsid w:val="00EE09AD"/>
    <w:rsid w:val="00EE45FA"/>
    <w:rsid w:val="00EE46B2"/>
    <w:rsid w:val="00F13BA5"/>
    <w:rsid w:val="00F20B1B"/>
    <w:rsid w:val="00F54F73"/>
    <w:rsid w:val="00F55E88"/>
    <w:rsid w:val="00F60A2E"/>
    <w:rsid w:val="00F6153E"/>
    <w:rsid w:val="00F66152"/>
    <w:rsid w:val="00F67A2E"/>
    <w:rsid w:val="00F72208"/>
    <w:rsid w:val="00F75D88"/>
    <w:rsid w:val="00F86829"/>
    <w:rsid w:val="00F96C40"/>
    <w:rsid w:val="00FF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6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90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6290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62907"/>
    <w:rPr>
      <w:vertAlign w:val="superscript"/>
    </w:rPr>
  </w:style>
  <w:style w:type="table" w:styleId="TableGrid">
    <w:name w:val="Table Grid"/>
    <w:basedOn w:val="TableNormal"/>
    <w:rsid w:val="0089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DA6CCE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DA6CCE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DA6CCE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DA6CCE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A6CCE"/>
    <w:rPr>
      <w:rFonts w:ascii="Arial" w:eastAsia="SimSun" w:hAnsi="Arial" w:cs="Arial"/>
      <w:sz w:val="18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DA6CCE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DA6CCE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DA6CCE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DA6CCE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DA6CCE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DA6CCE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DA6CC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A6CC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DA6CCE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DA6CCE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6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90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6290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62907"/>
    <w:rPr>
      <w:vertAlign w:val="superscript"/>
    </w:rPr>
  </w:style>
  <w:style w:type="table" w:styleId="TableGrid">
    <w:name w:val="Table Grid"/>
    <w:basedOn w:val="TableNormal"/>
    <w:rsid w:val="0089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DA6CCE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DA6CCE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DA6CCE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DA6CCE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A6CCE"/>
    <w:rPr>
      <w:rFonts w:ascii="Arial" w:eastAsia="SimSun" w:hAnsi="Arial" w:cs="Arial"/>
      <w:sz w:val="18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DA6CCE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DA6CCE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DA6CCE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DA6CCE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DA6CCE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DA6CCE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DA6CC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A6CC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DA6CCE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DA6CCE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FB3B-C8C9-4A1E-A04E-F8CC4948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2896</Words>
  <Characters>14789</Characters>
  <Application>Microsoft Office Word</Application>
  <DocSecurity>0</DocSecurity>
  <Lines>123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PCT/WG/10/22</vt:lpstr>
      <vt:lpstr>PCT/WG/10/22</vt:lpstr>
    </vt:vector>
  </TitlesOfParts>
  <Company>WIPO</Company>
  <LinksUpToDate>false</LinksUpToDate>
  <CharactersWithSpaces>17650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PCT/WG/10/22</dc:title>
  <dc:subject>eSearchCopy</dc:subject>
  <dc:creator>RICHARDSON Michael</dc:creator>
  <cp:keywords>APE/sc</cp:keywords>
  <cp:lastModifiedBy>MARLOW Thomas</cp:lastModifiedBy>
  <cp:revision>3</cp:revision>
  <cp:lastPrinted>2017-05-03T07:33:00Z</cp:lastPrinted>
  <dcterms:created xsi:type="dcterms:W3CDTF">2017-05-03T09:51:00Z</dcterms:created>
  <dcterms:modified xsi:type="dcterms:W3CDTF">2017-05-03T09:52:00Z</dcterms:modified>
</cp:coreProperties>
</file>