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0553" w14:textId="77777777" w:rsidR="008B2CC1" w:rsidRPr="00F22A7C" w:rsidRDefault="0040540C" w:rsidP="00F34ECA">
      <w:pPr>
        <w:pBdr>
          <w:bottom w:val="single" w:sz="4" w:space="10" w:color="auto"/>
        </w:pBdr>
        <w:spacing w:after="120"/>
        <w:jc w:val="right"/>
        <w:rPr>
          <w:lang w:val="fr-FR"/>
        </w:rPr>
      </w:pPr>
      <w:r w:rsidRPr="00F22A7C">
        <w:rPr>
          <w:noProof/>
          <w:lang w:val="fr-FR" w:eastAsia="en-US"/>
        </w:rPr>
        <w:drawing>
          <wp:inline distT="0" distB="0" distL="0" distR="0" wp14:anchorId="680EF0C9" wp14:editId="203842C9">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FABF395" w14:textId="4822217C" w:rsidR="00B1090C" w:rsidRPr="00F22A7C" w:rsidRDefault="00EF529F" w:rsidP="00F34ECA">
      <w:pPr>
        <w:jc w:val="right"/>
        <w:rPr>
          <w:rFonts w:ascii="Arial Black" w:hAnsi="Arial Black"/>
          <w:caps/>
          <w:sz w:val="15"/>
          <w:lang w:val="fr-FR"/>
        </w:rPr>
      </w:pPr>
      <w:r w:rsidRPr="00F22A7C">
        <w:rPr>
          <w:rFonts w:ascii="Arial Black" w:hAnsi="Arial Black"/>
          <w:caps/>
          <w:sz w:val="15"/>
          <w:lang w:val="fr-FR"/>
        </w:rPr>
        <w:t>PCT/CTC/3</w:t>
      </w:r>
      <w:r w:rsidR="0068189D" w:rsidRPr="00F22A7C">
        <w:rPr>
          <w:rFonts w:ascii="Arial Black" w:hAnsi="Arial Black"/>
          <w:caps/>
          <w:sz w:val="15"/>
          <w:lang w:val="fr-FR"/>
        </w:rPr>
        <w:t>3</w:t>
      </w:r>
      <w:r w:rsidRPr="00F22A7C">
        <w:rPr>
          <w:rFonts w:ascii="Arial Black" w:hAnsi="Arial Black"/>
          <w:caps/>
          <w:sz w:val="15"/>
          <w:lang w:val="fr-FR"/>
        </w:rPr>
        <w:t>/</w:t>
      </w:r>
      <w:bookmarkStart w:id="0" w:name="Code"/>
      <w:bookmarkEnd w:id="0"/>
      <w:r w:rsidR="00773110" w:rsidRPr="00F22A7C">
        <w:rPr>
          <w:rFonts w:ascii="Arial Black" w:hAnsi="Arial Black"/>
          <w:caps/>
          <w:sz w:val="15"/>
          <w:lang w:val="fr-FR"/>
        </w:rPr>
        <w:t>6</w:t>
      </w:r>
    </w:p>
    <w:p w14:paraId="72AC57F8" w14:textId="46D4743A" w:rsidR="008B2CC1" w:rsidRPr="00F22A7C" w:rsidRDefault="00B1090C" w:rsidP="00F34ECA">
      <w:pPr>
        <w:jc w:val="right"/>
        <w:rPr>
          <w:rFonts w:ascii="Arial Black" w:hAnsi="Arial Black"/>
          <w:sz w:val="15"/>
          <w:szCs w:val="15"/>
          <w:lang w:val="fr-FR"/>
        </w:rPr>
      </w:pPr>
      <w:r w:rsidRPr="00F22A7C">
        <w:rPr>
          <w:rFonts w:ascii="Arial Black" w:hAnsi="Arial Black"/>
          <w:caps/>
          <w:sz w:val="15"/>
          <w:szCs w:val="15"/>
          <w:lang w:val="fr-FR"/>
        </w:rPr>
        <w:t>ORIGINAL</w:t>
      </w:r>
      <w:r w:rsidR="00F34ECA" w:rsidRPr="00F22A7C">
        <w:rPr>
          <w:rFonts w:ascii="Arial Black" w:hAnsi="Arial Black"/>
          <w:caps/>
          <w:sz w:val="15"/>
          <w:szCs w:val="15"/>
          <w:lang w:val="fr-FR"/>
        </w:rPr>
        <w:t> :</w:t>
      </w:r>
      <w:r w:rsidR="002956DE" w:rsidRPr="00F22A7C">
        <w:rPr>
          <w:rFonts w:ascii="Arial Black" w:hAnsi="Arial Black"/>
          <w:caps/>
          <w:sz w:val="15"/>
          <w:szCs w:val="15"/>
          <w:lang w:val="fr-FR"/>
        </w:rPr>
        <w:t xml:space="preserve"> </w:t>
      </w:r>
      <w:bookmarkStart w:id="1" w:name="Original"/>
      <w:r w:rsidR="00773110" w:rsidRPr="00F22A7C">
        <w:rPr>
          <w:rFonts w:ascii="Arial Black" w:hAnsi="Arial Black"/>
          <w:caps/>
          <w:sz w:val="15"/>
          <w:szCs w:val="15"/>
          <w:lang w:val="fr-FR"/>
        </w:rPr>
        <w:t>anglais/espagnol</w:t>
      </w:r>
    </w:p>
    <w:bookmarkEnd w:id="1"/>
    <w:p w14:paraId="58B7B1D0" w14:textId="5F712472" w:rsidR="008B2CC1" w:rsidRPr="00F22A7C" w:rsidRDefault="00B1090C" w:rsidP="00F34ECA">
      <w:pPr>
        <w:spacing w:after="1200"/>
        <w:jc w:val="right"/>
        <w:rPr>
          <w:rFonts w:ascii="Arial Black" w:hAnsi="Arial Black"/>
          <w:sz w:val="15"/>
          <w:szCs w:val="15"/>
          <w:lang w:val="fr-FR"/>
        </w:rPr>
      </w:pPr>
      <w:r w:rsidRPr="00F22A7C">
        <w:rPr>
          <w:rFonts w:ascii="Arial Black" w:hAnsi="Arial Black"/>
          <w:caps/>
          <w:sz w:val="15"/>
          <w:szCs w:val="15"/>
          <w:lang w:val="fr-FR"/>
        </w:rPr>
        <w:t>DATE</w:t>
      </w:r>
      <w:r w:rsidR="00F34ECA" w:rsidRPr="00F22A7C">
        <w:rPr>
          <w:rFonts w:ascii="Arial Black" w:hAnsi="Arial Black"/>
          <w:caps/>
          <w:sz w:val="15"/>
          <w:szCs w:val="15"/>
          <w:lang w:val="fr-FR"/>
        </w:rPr>
        <w:t> :</w:t>
      </w:r>
      <w:r w:rsidR="002956DE" w:rsidRPr="00F22A7C">
        <w:rPr>
          <w:rFonts w:ascii="Arial Black" w:hAnsi="Arial Black"/>
          <w:caps/>
          <w:sz w:val="15"/>
          <w:szCs w:val="15"/>
          <w:lang w:val="fr-FR"/>
        </w:rPr>
        <w:t xml:space="preserve"> </w:t>
      </w:r>
      <w:bookmarkStart w:id="2" w:name="Date"/>
      <w:r w:rsidR="00773110" w:rsidRPr="00F22A7C">
        <w:rPr>
          <w:rFonts w:ascii="Arial Black" w:hAnsi="Arial Black"/>
          <w:caps/>
          <w:sz w:val="15"/>
          <w:szCs w:val="15"/>
          <w:lang w:val="fr-FR"/>
        </w:rPr>
        <w:t>19 décembre 2025</w:t>
      </w:r>
    </w:p>
    <w:bookmarkEnd w:id="2"/>
    <w:p w14:paraId="1A2D67FC" w14:textId="078CFE2A" w:rsidR="003845C1" w:rsidRPr="00F22A7C" w:rsidRDefault="00EF529F" w:rsidP="00F34ECA">
      <w:pPr>
        <w:pStyle w:val="Title"/>
        <w:rPr>
          <w:lang w:val="fr-FR"/>
        </w:rPr>
      </w:pPr>
      <w:r w:rsidRPr="00F22A7C">
        <w:rPr>
          <w:lang w:val="fr-FR"/>
        </w:rPr>
        <w:t>Traité de coopération en matière de brevets (PCT)</w:t>
      </w:r>
      <w:r w:rsidRPr="00F22A7C">
        <w:rPr>
          <w:lang w:val="fr-FR"/>
        </w:rPr>
        <w:br/>
        <w:t>Comité de coopération technique</w:t>
      </w:r>
    </w:p>
    <w:p w14:paraId="5AFAE5D8" w14:textId="13A11FD4" w:rsidR="00FE19E9" w:rsidRPr="00F22A7C" w:rsidRDefault="00EF529F" w:rsidP="00F34ECA">
      <w:pPr>
        <w:outlineLvl w:val="1"/>
        <w:rPr>
          <w:b/>
          <w:sz w:val="24"/>
          <w:szCs w:val="24"/>
          <w:lang w:val="fr-FR"/>
        </w:rPr>
      </w:pPr>
      <w:r w:rsidRPr="00F22A7C">
        <w:rPr>
          <w:b/>
          <w:sz w:val="24"/>
          <w:szCs w:val="24"/>
          <w:lang w:val="fr-FR"/>
        </w:rPr>
        <w:t>Trente</w:t>
      </w:r>
      <w:r w:rsidR="00F22A7C">
        <w:rPr>
          <w:b/>
          <w:sz w:val="24"/>
          <w:szCs w:val="24"/>
          <w:lang w:val="fr-FR"/>
        </w:rPr>
        <w:noBreakHyphen/>
      </w:r>
      <w:r w:rsidR="0068189D" w:rsidRPr="00F22A7C">
        <w:rPr>
          <w:b/>
          <w:sz w:val="24"/>
          <w:szCs w:val="24"/>
          <w:lang w:val="fr-FR"/>
        </w:rPr>
        <w:t>trois</w:t>
      </w:r>
      <w:r w:rsidR="00F34ECA" w:rsidRPr="00F22A7C">
        <w:rPr>
          <w:b/>
          <w:sz w:val="24"/>
          <w:szCs w:val="24"/>
          <w:lang w:val="fr-FR"/>
        </w:rPr>
        <w:t>ième session</w:t>
      </w:r>
    </w:p>
    <w:p w14:paraId="66506B41" w14:textId="264F0C70" w:rsidR="008B2CC1" w:rsidRPr="00F22A7C" w:rsidRDefault="00EF529F" w:rsidP="00F34ECA">
      <w:pPr>
        <w:spacing w:after="720"/>
        <w:outlineLvl w:val="1"/>
        <w:rPr>
          <w:b/>
          <w:sz w:val="24"/>
          <w:szCs w:val="24"/>
          <w:lang w:val="fr-FR"/>
        </w:rPr>
      </w:pPr>
      <w:r w:rsidRPr="00F22A7C">
        <w:rPr>
          <w:b/>
          <w:sz w:val="24"/>
          <w:szCs w:val="24"/>
          <w:lang w:val="fr-FR"/>
        </w:rPr>
        <w:t xml:space="preserve">Genève, </w:t>
      </w:r>
      <w:r w:rsidR="0068189D" w:rsidRPr="00F22A7C">
        <w:rPr>
          <w:b/>
          <w:sz w:val="24"/>
          <w:szCs w:val="24"/>
          <w:lang w:val="fr-FR"/>
        </w:rPr>
        <w:t>2</w:t>
      </w:r>
      <w:r w:rsidRPr="00F22A7C">
        <w:rPr>
          <w:b/>
          <w:sz w:val="24"/>
          <w:szCs w:val="24"/>
          <w:lang w:val="fr-FR"/>
        </w:rPr>
        <w:t xml:space="preserve"> – </w:t>
      </w:r>
      <w:r w:rsidR="00F34ECA" w:rsidRPr="00F22A7C">
        <w:rPr>
          <w:b/>
          <w:sz w:val="24"/>
          <w:szCs w:val="24"/>
          <w:lang w:val="fr-FR"/>
        </w:rPr>
        <w:t>6 février</w:t>
      </w:r>
      <w:r w:rsidR="0068189D" w:rsidRPr="00F22A7C">
        <w:rPr>
          <w:b/>
          <w:sz w:val="24"/>
          <w:szCs w:val="24"/>
          <w:lang w:val="fr-FR"/>
        </w:rPr>
        <w:t> </w:t>
      </w:r>
      <w:r w:rsidRPr="00F22A7C">
        <w:rPr>
          <w:b/>
          <w:sz w:val="24"/>
          <w:szCs w:val="24"/>
          <w:lang w:val="fr-FR"/>
        </w:rPr>
        <w:t>202</w:t>
      </w:r>
      <w:r w:rsidR="0068189D" w:rsidRPr="00F22A7C">
        <w:rPr>
          <w:b/>
          <w:sz w:val="24"/>
          <w:szCs w:val="24"/>
          <w:lang w:val="fr-FR"/>
        </w:rPr>
        <w:t>6</w:t>
      </w:r>
    </w:p>
    <w:p w14:paraId="215D6495" w14:textId="211B1AF0" w:rsidR="00773110" w:rsidRPr="00F22A7C" w:rsidRDefault="00773110" w:rsidP="00F34ECA">
      <w:pPr>
        <w:spacing w:after="360"/>
        <w:rPr>
          <w:caps/>
          <w:sz w:val="24"/>
          <w:lang w:val="fr-FR"/>
        </w:rPr>
      </w:pPr>
      <w:bookmarkStart w:id="3" w:name="TitleOfDoc"/>
      <w:r w:rsidRPr="00F22A7C">
        <w:rPr>
          <w:caps/>
          <w:sz w:val="24"/>
          <w:lang w:val="fr-FR"/>
        </w:rPr>
        <w:t>Prolongation de la nomination de l</w:t>
      </w:r>
      <w:r w:rsidR="00F34ECA" w:rsidRPr="00F22A7C">
        <w:rPr>
          <w:caps/>
          <w:sz w:val="24"/>
          <w:lang w:val="fr-FR"/>
        </w:rPr>
        <w:t>’</w:t>
      </w:r>
      <w:r w:rsidRPr="00F22A7C">
        <w:rPr>
          <w:caps/>
          <w:sz w:val="24"/>
          <w:lang w:val="fr-FR"/>
        </w:rPr>
        <w:t>Institut national de la propriété industrielle du Chili en qualité d</w:t>
      </w:r>
      <w:r w:rsidR="00F34ECA" w:rsidRPr="00F22A7C">
        <w:rPr>
          <w:caps/>
          <w:sz w:val="24"/>
          <w:lang w:val="fr-FR"/>
        </w:rPr>
        <w:t>’</w:t>
      </w:r>
      <w:r w:rsidRPr="00F22A7C">
        <w:rPr>
          <w:caps/>
          <w:sz w:val="24"/>
          <w:lang w:val="fr-FR"/>
        </w:rPr>
        <w:t>administration chargée de la recherche internationale et de l</w:t>
      </w:r>
      <w:r w:rsidR="00F34ECA" w:rsidRPr="00F22A7C">
        <w:rPr>
          <w:caps/>
          <w:sz w:val="24"/>
          <w:lang w:val="fr-FR"/>
        </w:rPr>
        <w:t>’</w:t>
      </w:r>
      <w:r w:rsidRPr="00F22A7C">
        <w:rPr>
          <w:caps/>
          <w:sz w:val="24"/>
          <w:lang w:val="fr-FR"/>
        </w:rPr>
        <w:t>examen préliminaire international selon</w:t>
      </w:r>
      <w:r w:rsidR="00F34ECA" w:rsidRPr="00F22A7C">
        <w:rPr>
          <w:caps/>
          <w:sz w:val="24"/>
          <w:lang w:val="fr-FR"/>
        </w:rPr>
        <w:t xml:space="preserve"> le PCT</w:t>
      </w:r>
    </w:p>
    <w:p w14:paraId="1CC81B1B" w14:textId="77777777" w:rsidR="00F34ECA" w:rsidRPr="00F22A7C" w:rsidRDefault="00773110" w:rsidP="00F34ECA">
      <w:pPr>
        <w:spacing w:after="1040"/>
        <w:rPr>
          <w:i/>
          <w:lang w:val="fr-FR"/>
        </w:rPr>
      </w:pPr>
      <w:bookmarkStart w:id="4" w:name="Prepared"/>
      <w:bookmarkEnd w:id="4"/>
      <w:bookmarkEnd w:id="3"/>
      <w:r w:rsidRPr="00F22A7C">
        <w:rPr>
          <w:i/>
          <w:lang w:val="fr-FR"/>
        </w:rPr>
        <w:t>Document établi par le Bureau international</w:t>
      </w:r>
    </w:p>
    <w:p w14:paraId="766655EB" w14:textId="7AC6FD30" w:rsidR="00773110" w:rsidRPr="00F22A7C" w:rsidRDefault="00773110" w:rsidP="00F22A7C">
      <w:pPr>
        <w:pStyle w:val="ONUMFS"/>
      </w:pPr>
      <w:r w:rsidRPr="00F22A7C">
        <w:t>Toutes les administrations internationales existantes ont été nommées par l</w:t>
      </w:r>
      <w:r w:rsidR="00F34ECA" w:rsidRPr="00F22A7C">
        <w:t>’</w:t>
      </w:r>
      <w:r w:rsidRPr="00F22A7C">
        <w:t>Assemblée de l</w:t>
      </w:r>
      <w:r w:rsidR="00F34ECA" w:rsidRPr="00F22A7C">
        <w:t>’</w:t>
      </w:r>
      <w:r w:rsidRPr="00F22A7C">
        <w:t>Union</w:t>
      </w:r>
      <w:r w:rsidR="00F34ECA" w:rsidRPr="00F22A7C">
        <w:t xml:space="preserve"> du PCT</w:t>
      </w:r>
      <w:r w:rsidRPr="00F22A7C">
        <w:t xml:space="preserve"> pour une période s</w:t>
      </w:r>
      <w:r w:rsidR="00F34ECA" w:rsidRPr="00F22A7C">
        <w:t>’</w:t>
      </w:r>
      <w:r w:rsidRPr="00F22A7C">
        <w:t>achevant le 31 </w:t>
      </w:r>
      <w:r w:rsidR="00F34ECA" w:rsidRPr="00F22A7C">
        <w:t>décembre 20</w:t>
      </w:r>
      <w:r w:rsidRPr="00F22A7C">
        <w:t xml:space="preserve">27. </w:t>
      </w:r>
      <w:r w:rsidR="005070E1" w:rsidRPr="00F22A7C">
        <w:t xml:space="preserve"> </w:t>
      </w:r>
      <w:r w:rsidRPr="00F22A7C">
        <w:t>Avant l</w:t>
      </w:r>
      <w:r w:rsidR="00F34ECA" w:rsidRPr="00F22A7C">
        <w:t>’</w:t>
      </w:r>
      <w:r w:rsidRPr="00F22A7C">
        <w:t>expiration de ce délai, l</w:t>
      </w:r>
      <w:r w:rsidR="00F34ECA" w:rsidRPr="00F22A7C">
        <w:t>’</w:t>
      </w:r>
      <w:r w:rsidRPr="00F22A7C">
        <w:t>assemblée devra se prononcer sur la prolongation de la nomination de chaque administration internationale existante qui souhaite demander une telle prolongation, après avoir sollicité l</w:t>
      </w:r>
      <w:r w:rsidR="00F34ECA" w:rsidRPr="00F22A7C">
        <w:t>’</w:t>
      </w:r>
      <w:r w:rsidRPr="00F22A7C">
        <w:t>avis du comité (voir les articles 16.3.e) et 32.3)</w:t>
      </w:r>
      <w:r w:rsidR="00F34ECA" w:rsidRPr="00F22A7C">
        <w:t xml:space="preserve"> du PCT</w:t>
      </w:r>
      <w:r w:rsidRPr="00F22A7C">
        <w:t xml:space="preserve">). </w:t>
      </w:r>
      <w:r w:rsidR="005070E1" w:rsidRPr="00F22A7C">
        <w:t xml:space="preserve"> </w:t>
      </w:r>
      <w:r w:rsidRPr="00F22A7C">
        <w:t>Les informations relatives à cette procédure ainsi qu</w:t>
      </w:r>
      <w:r w:rsidR="00F34ECA" w:rsidRPr="00F22A7C">
        <w:t>’</w:t>
      </w:r>
      <w:r w:rsidRPr="00F22A7C">
        <w:t xml:space="preserve">au rôle du comité figurent dans le </w:t>
      </w:r>
      <w:r w:rsidR="00F34ECA" w:rsidRPr="00F22A7C">
        <w:t>document</w:t>
      </w:r>
      <w:r w:rsidR="00F22A7C" w:rsidRPr="00F22A7C">
        <w:t> </w:t>
      </w:r>
      <w:r w:rsidR="00F34ECA" w:rsidRPr="00F22A7C">
        <w:t>PC</w:t>
      </w:r>
      <w:r w:rsidRPr="00F22A7C">
        <w:t>T/CTC/33/INF/1.</w:t>
      </w:r>
    </w:p>
    <w:p w14:paraId="4EFB18DF" w14:textId="100E00D7" w:rsidR="00773110" w:rsidRPr="00F22A7C" w:rsidRDefault="00773110" w:rsidP="00F22A7C">
      <w:pPr>
        <w:pStyle w:val="ONUMFS"/>
      </w:pPr>
      <w:r w:rsidRPr="00F22A7C">
        <w:t>Le 19 novembre 2025, l</w:t>
      </w:r>
      <w:r w:rsidR="00F34ECA" w:rsidRPr="00F22A7C">
        <w:t>’</w:t>
      </w:r>
      <w:r w:rsidRPr="00F22A7C">
        <w:t>Institut national de la propriété industrielle du Chili (INAPI) a présenté une demande de prolongation de sa nomination, qui est reproduite à l</w:t>
      </w:r>
      <w:r w:rsidR="00F34ECA" w:rsidRPr="00F22A7C">
        <w:t>’</w:t>
      </w:r>
      <w:r w:rsidRPr="00F22A7C">
        <w:t>annexe du présent document.</w:t>
      </w:r>
    </w:p>
    <w:p w14:paraId="11F610A3" w14:textId="77777777" w:rsidR="00773110" w:rsidRPr="00F22A7C" w:rsidRDefault="00773110" w:rsidP="00F22A7C">
      <w:pPr>
        <w:pStyle w:val="ONUMFS"/>
        <w:ind w:left="5533"/>
        <w:rPr>
          <w:i/>
        </w:rPr>
      </w:pPr>
      <w:r w:rsidRPr="00F22A7C">
        <w:rPr>
          <w:i/>
        </w:rPr>
        <w:t>Le comité est invité à faire part de son avis sur cette question.</w:t>
      </w:r>
    </w:p>
    <w:p w14:paraId="27E8E6BA" w14:textId="1914C51E" w:rsidR="00773110" w:rsidRPr="00F22A7C" w:rsidRDefault="00773110" w:rsidP="00F34ECA">
      <w:pPr>
        <w:pStyle w:val="Endofdocument-Annex"/>
        <w:sectPr w:rsidR="00773110" w:rsidRPr="00F22A7C" w:rsidSect="00F34ECA">
          <w:headerReference w:type="default" r:id="rId9"/>
          <w:endnotePr>
            <w:numFmt w:val="decimal"/>
          </w:endnotePr>
          <w:pgSz w:w="11907" w:h="16840" w:code="9"/>
          <w:pgMar w:top="567" w:right="1134" w:bottom="1418" w:left="1418" w:header="510" w:footer="1021" w:gutter="0"/>
          <w:cols w:space="720"/>
          <w:titlePg/>
          <w:docGrid w:linePitch="299"/>
        </w:sectPr>
      </w:pPr>
      <w:r w:rsidRPr="00F22A7C">
        <w:t>[L</w:t>
      </w:r>
      <w:r w:rsidR="00F34ECA" w:rsidRPr="00F22A7C">
        <w:t>’</w:t>
      </w:r>
      <w:r w:rsidRPr="00F22A7C">
        <w:t>annexe suit]</w:t>
      </w:r>
    </w:p>
    <w:p w14:paraId="2CE8392D" w14:textId="76476C86" w:rsidR="00773110" w:rsidRPr="00F22A7C" w:rsidRDefault="00773110" w:rsidP="00F34ECA">
      <w:pPr>
        <w:pStyle w:val="Heading2"/>
        <w:jc w:val="center"/>
        <w:rPr>
          <w:lang w:val="fr-FR"/>
        </w:rPr>
      </w:pPr>
      <w:r w:rsidRPr="00F22A7C">
        <w:rPr>
          <w:lang w:val="fr-FR"/>
        </w:rPr>
        <w:lastRenderedPageBreak/>
        <w:t>Demande de prolongation de la nomination en qualité d</w:t>
      </w:r>
      <w:r w:rsidR="00F34ECA" w:rsidRPr="00F22A7C">
        <w:rPr>
          <w:lang w:val="fr-FR"/>
        </w:rPr>
        <w:t>’</w:t>
      </w:r>
      <w:r w:rsidRPr="00F22A7C">
        <w:rPr>
          <w:lang w:val="fr-FR"/>
        </w:rPr>
        <w:t>administration chargée de la recherche internationale et de l</w:t>
      </w:r>
      <w:r w:rsidR="00F34ECA" w:rsidRPr="00F22A7C">
        <w:rPr>
          <w:lang w:val="fr-FR"/>
        </w:rPr>
        <w:t>’</w:t>
      </w:r>
      <w:r w:rsidRPr="00F22A7C">
        <w:rPr>
          <w:lang w:val="fr-FR"/>
        </w:rPr>
        <w:t>examen préliminaire international selon</w:t>
      </w:r>
      <w:r w:rsidR="00F34ECA" w:rsidRPr="00F22A7C">
        <w:rPr>
          <w:lang w:val="fr-FR"/>
        </w:rPr>
        <w:t xml:space="preserve"> le PCT</w:t>
      </w:r>
    </w:p>
    <w:p w14:paraId="63E63163" w14:textId="77777777" w:rsidR="00773110" w:rsidRPr="00F22A7C" w:rsidRDefault="00773110" w:rsidP="00F34ECA">
      <w:pPr>
        <w:keepNext/>
        <w:keepLines/>
        <w:pBdr>
          <w:top w:val="single" w:sz="4" w:space="1" w:color="000000"/>
          <w:left w:val="nil"/>
          <w:bottom w:val="nil"/>
          <w:right w:val="nil"/>
          <w:between w:val="nil"/>
        </w:pBdr>
        <w:spacing w:before="360" w:after="200" w:line="480" w:lineRule="auto"/>
        <w:rPr>
          <w:b/>
          <w:smallCaps/>
          <w:color w:val="000000"/>
          <w:lang w:val="fr-FR"/>
        </w:rPr>
      </w:pPr>
      <w:r w:rsidRPr="00F22A7C">
        <w:rPr>
          <w:b/>
          <w:smallCaps/>
          <w:color w:val="000000"/>
          <w:lang w:val="fr-FR"/>
        </w:rPr>
        <w:t xml:space="preserve">1 – </w:t>
      </w:r>
      <w:r w:rsidRPr="00F22A7C">
        <w:rPr>
          <w:b/>
          <w:caps/>
          <w:color w:val="000000"/>
          <w:lang w:val="fr-FR"/>
        </w:rPr>
        <w:t>Généralités</w:t>
      </w:r>
    </w:p>
    <w:p w14:paraId="6B16E433" w14:textId="4C2D84E8" w:rsidR="00F34ECA" w:rsidRPr="00F22A7C" w:rsidRDefault="00773110" w:rsidP="00F34ECA">
      <w:pPr>
        <w:keepNext/>
        <w:keepLines/>
        <w:pBdr>
          <w:top w:val="nil"/>
          <w:left w:val="nil"/>
          <w:bottom w:val="nil"/>
          <w:right w:val="nil"/>
          <w:between w:val="nil"/>
        </w:pBdr>
        <w:spacing w:after="480"/>
        <w:rPr>
          <w:b/>
          <w:color w:val="000000"/>
          <w:lang w:val="fr-FR"/>
        </w:rPr>
      </w:pPr>
      <w:r w:rsidRPr="00F22A7C">
        <w:rPr>
          <w:b/>
          <w:color w:val="000000"/>
          <w:lang w:val="fr-FR"/>
        </w:rPr>
        <w:t>a)</w:t>
      </w:r>
      <w:r w:rsidRPr="00F22A7C">
        <w:rPr>
          <w:b/>
          <w:color w:val="000000"/>
          <w:lang w:val="fr-FR"/>
        </w:rPr>
        <w:tab/>
        <w:t>Nom de l</w:t>
      </w:r>
      <w:r w:rsidR="00F34ECA" w:rsidRPr="00F22A7C">
        <w:rPr>
          <w:b/>
          <w:color w:val="000000"/>
          <w:lang w:val="fr-FR"/>
        </w:rPr>
        <w:t>’</w:t>
      </w:r>
      <w:r w:rsidRPr="00F22A7C">
        <w:rPr>
          <w:b/>
          <w:color w:val="000000"/>
          <w:lang w:val="fr-FR"/>
        </w:rPr>
        <w:t>office ou de l</w:t>
      </w:r>
      <w:r w:rsidR="00F34ECA" w:rsidRPr="00F22A7C">
        <w:rPr>
          <w:b/>
          <w:color w:val="000000"/>
          <w:lang w:val="fr-FR"/>
        </w:rPr>
        <w:t>’</w:t>
      </w:r>
      <w:r w:rsidRPr="00F22A7C">
        <w:rPr>
          <w:b/>
          <w:color w:val="000000"/>
          <w:lang w:val="fr-FR"/>
        </w:rPr>
        <w:t>organisation intergouvernementale</w:t>
      </w:r>
      <w:r w:rsidR="00F34ECA" w:rsidRPr="00F22A7C">
        <w:rPr>
          <w:b/>
          <w:color w:val="000000"/>
          <w:lang w:val="fr-FR"/>
        </w:rPr>
        <w:t> :</w:t>
      </w:r>
    </w:p>
    <w:p w14:paraId="03682221" w14:textId="43C4AC68" w:rsidR="00773110" w:rsidRPr="00F22A7C" w:rsidRDefault="00773110" w:rsidP="00F34ECA">
      <w:pPr>
        <w:keepNext/>
        <w:keepLines/>
        <w:pBdr>
          <w:top w:val="nil"/>
          <w:left w:val="nil"/>
          <w:bottom w:val="nil"/>
          <w:right w:val="nil"/>
          <w:between w:val="nil"/>
        </w:pBdr>
        <w:spacing w:after="480"/>
        <w:rPr>
          <w:bCs/>
          <w:color w:val="000000" w:themeColor="text1"/>
          <w:lang w:val="fr-FR"/>
        </w:rPr>
      </w:pPr>
      <w:r w:rsidRPr="00F22A7C">
        <w:rPr>
          <w:color w:val="000000" w:themeColor="text1"/>
          <w:lang w:val="fr-FR"/>
        </w:rPr>
        <w:t>INSTITUT NATIONAL DE LA PROPRIÉTÉ INDUSTRIELLE DU CHILI (INAPI)</w:t>
      </w:r>
    </w:p>
    <w:p w14:paraId="4CF20250" w14:textId="7D961B42" w:rsidR="00773110" w:rsidRPr="00F22A7C" w:rsidRDefault="00773110" w:rsidP="00F34ECA">
      <w:pPr>
        <w:keepNext/>
        <w:keepLines/>
        <w:pBdr>
          <w:top w:val="nil"/>
          <w:left w:val="nil"/>
          <w:bottom w:val="nil"/>
          <w:right w:val="nil"/>
          <w:between w:val="nil"/>
        </w:pBdr>
        <w:spacing w:after="480"/>
        <w:rPr>
          <w:b/>
          <w:color w:val="000000"/>
          <w:lang w:val="fr-FR"/>
        </w:rPr>
      </w:pPr>
      <w:r w:rsidRPr="00F22A7C">
        <w:rPr>
          <w:b/>
          <w:color w:val="000000"/>
          <w:lang w:val="fr-FR"/>
        </w:rPr>
        <w:t>b)</w:t>
      </w:r>
      <w:r w:rsidRPr="00F22A7C">
        <w:rPr>
          <w:b/>
          <w:color w:val="000000"/>
          <w:lang w:val="fr-FR"/>
        </w:rPr>
        <w:tab/>
        <w:t>Nom et coordonnées du fonctionnaire pour toute question relative à la présente demande</w:t>
      </w:r>
      <w:r w:rsidR="00F34ECA" w:rsidRPr="00F22A7C">
        <w:rPr>
          <w:b/>
          <w:color w:val="000000"/>
          <w:lang w:val="fr-FR"/>
        </w:rPr>
        <w:t> :</w:t>
      </w:r>
    </w:p>
    <w:p w14:paraId="7B4F84FC" w14:textId="77C729FD" w:rsidR="00773110" w:rsidRPr="00F22A7C" w:rsidRDefault="00773110" w:rsidP="00F34ECA">
      <w:pPr>
        <w:pBdr>
          <w:top w:val="nil"/>
          <w:left w:val="nil"/>
          <w:bottom w:val="nil"/>
          <w:right w:val="nil"/>
          <w:between w:val="nil"/>
        </w:pBdr>
        <w:spacing w:after="220"/>
        <w:jc w:val="both"/>
        <w:rPr>
          <w:color w:val="000000" w:themeColor="text1"/>
          <w:lang w:val="fr-FR"/>
        </w:rPr>
      </w:pPr>
      <w:r w:rsidRPr="00F22A7C">
        <w:rPr>
          <w:color w:val="000000" w:themeColor="text1"/>
          <w:lang w:val="fr-FR"/>
        </w:rPr>
        <w:t>Henry</w:t>
      </w:r>
      <w:r w:rsidR="00F22A7C">
        <w:rPr>
          <w:color w:val="000000" w:themeColor="text1"/>
          <w:lang w:val="fr-FR"/>
        </w:rPr>
        <w:t> </w:t>
      </w:r>
      <w:r w:rsidRPr="00F22A7C">
        <w:rPr>
          <w:color w:val="000000" w:themeColor="text1"/>
          <w:lang w:val="fr-FR"/>
        </w:rPr>
        <w:t>Crew, chef du département PCT de l</w:t>
      </w:r>
      <w:r w:rsidR="00F34ECA" w:rsidRPr="00F22A7C">
        <w:rPr>
          <w:color w:val="000000" w:themeColor="text1"/>
          <w:lang w:val="fr-FR"/>
        </w:rPr>
        <w:t>’</w:t>
      </w:r>
      <w:r w:rsidRPr="00F22A7C">
        <w:rPr>
          <w:color w:val="000000" w:themeColor="text1"/>
          <w:lang w:val="fr-FR"/>
        </w:rPr>
        <w:t xml:space="preserve">INAPI, </w:t>
      </w:r>
      <w:hyperlink r:id="rId10">
        <w:r w:rsidRPr="00F22A7C">
          <w:rPr>
            <w:rStyle w:val="Hyperlink"/>
            <w:lang w:val="fr-FR"/>
          </w:rPr>
          <w:t>hcrew@inapi.cl</w:t>
        </w:r>
      </w:hyperlink>
    </w:p>
    <w:p w14:paraId="34ADB427" w14:textId="6A6B5901" w:rsidR="00773110" w:rsidRPr="00F22A7C" w:rsidRDefault="00773110" w:rsidP="00F34ECA">
      <w:pPr>
        <w:keepNext/>
        <w:keepLines/>
        <w:pBdr>
          <w:top w:val="nil"/>
          <w:left w:val="nil"/>
          <w:bottom w:val="nil"/>
          <w:right w:val="nil"/>
          <w:between w:val="nil"/>
        </w:pBdr>
        <w:spacing w:after="220"/>
        <w:rPr>
          <w:b/>
          <w:color w:val="000000"/>
          <w:lang w:val="fr-FR"/>
        </w:rPr>
      </w:pPr>
      <w:r w:rsidRPr="00F22A7C">
        <w:rPr>
          <w:b/>
          <w:color w:val="000000"/>
          <w:lang w:val="fr-FR"/>
        </w:rPr>
        <w:t>c)</w:t>
      </w:r>
      <w:r w:rsidRPr="00F22A7C">
        <w:rPr>
          <w:b/>
          <w:color w:val="000000"/>
          <w:lang w:val="fr-FR"/>
        </w:rPr>
        <w:tab/>
        <w:t>Date à laquelle le Directeur général a reçu la demande de prolongation de la nomination</w:t>
      </w:r>
      <w:r w:rsidR="00F34ECA" w:rsidRPr="00F22A7C">
        <w:rPr>
          <w:b/>
          <w:color w:val="000000"/>
          <w:lang w:val="fr-FR"/>
        </w:rPr>
        <w:t> :</w:t>
      </w:r>
    </w:p>
    <w:p w14:paraId="06E518B5" w14:textId="42C98B18" w:rsidR="00773110" w:rsidRPr="00F22A7C" w:rsidRDefault="00773110" w:rsidP="00F34ECA">
      <w:pPr>
        <w:pBdr>
          <w:top w:val="nil"/>
          <w:left w:val="nil"/>
          <w:bottom w:val="nil"/>
          <w:right w:val="nil"/>
          <w:between w:val="nil"/>
        </w:pBdr>
        <w:spacing w:after="220"/>
        <w:ind w:left="567"/>
        <w:rPr>
          <w:b/>
          <w:bCs/>
          <w:i/>
          <w:color w:val="000000"/>
          <w:lang w:val="fr-FR"/>
        </w:rPr>
      </w:pPr>
      <w:r w:rsidRPr="00F22A7C">
        <w:rPr>
          <w:lang w:val="fr-FR"/>
        </w:rPr>
        <w:t>19 </w:t>
      </w:r>
      <w:r w:rsidR="00F34ECA" w:rsidRPr="00F22A7C">
        <w:rPr>
          <w:lang w:val="fr-FR"/>
        </w:rPr>
        <w:t>novembre 20</w:t>
      </w:r>
      <w:r w:rsidRPr="00F22A7C">
        <w:rPr>
          <w:lang w:val="fr-FR"/>
        </w:rPr>
        <w:t>25</w:t>
      </w:r>
    </w:p>
    <w:p w14:paraId="1DF197BF" w14:textId="77777777" w:rsidR="00773110" w:rsidRPr="00F22A7C" w:rsidRDefault="00773110" w:rsidP="00F34ECA">
      <w:pPr>
        <w:keepNext/>
        <w:keepLines/>
        <w:pBdr>
          <w:top w:val="single" w:sz="4" w:space="1" w:color="000000"/>
          <w:left w:val="nil"/>
          <w:bottom w:val="nil"/>
          <w:right w:val="nil"/>
          <w:between w:val="nil"/>
        </w:pBdr>
        <w:spacing w:before="360" w:after="200" w:line="480" w:lineRule="auto"/>
        <w:rPr>
          <w:b/>
          <w:caps/>
          <w:color w:val="000000"/>
          <w:lang w:val="fr-FR"/>
        </w:rPr>
      </w:pPr>
      <w:r w:rsidRPr="00F22A7C">
        <w:rPr>
          <w:b/>
          <w:caps/>
          <w:color w:val="000000"/>
          <w:lang w:val="fr-FR"/>
        </w:rPr>
        <w:t>2 – Exigences minimales applicables à la nomination</w:t>
      </w:r>
    </w:p>
    <w:p w14:paraId="58573282" w14:textId="34D9B556" w:rsidR="00773110" w:rsidRPr="00F22A7C" w:rsidRDefault="00773110" w:rsidP="00F34ECA">
      <w:pPr>
        <w:rPr>
          <w:lang w:val="fr-FR"/>
        </w:rPr>
      </w:pPr>
      <w:r w:rsidRPr="00F22A7C">
        <w:rPr>
          <w:lang w:val="fr-FR"/>
        </w:rPr>
        <w:t>Outre le rapport annuel sur le système de gestion de la qualité de l</w:t>
      </w:r>
      <w:r w:rsidR="00F34ECA" w:rsidRPr="00F22A7C">
        <w:rPr>
          <w:lang w:val="fr-FR"/>
        </w:rPr>
        <w:t>’</w:t>
      </w:r>
      <w:r w:rsidRPr="00F22A7C">
        <w:rPr>
          <w:lang w:val="fr-FR"/>
        </w:rPr>
        <w:t>office ou de l</w:t>
      </w:r>
      <w:r w:rsidR="00F34ECA" w:rsidRPr="00F22A7C">
        <w:rPr>
          <w:lang w:val="fr-FR"/>
        </w:rPr>
        <w:t>’</w:t>
      </w:r>
      <w:r w:rsidRPr="00F22A7C">
        <w:rPr>
          <w:lang w:val="fr-FR"/>
        </w:rPr>
        <w:t xml:space="preserve">organisation </w:t>
      </w:r>
      <w:r w:rsidR="00F34ECA" w:rsidRPr="00F22A7C">
        <w:rPr>
          <w:lang w:val="fr-FR"/>
        </w:rPr>
        <w:t>pour 2025</w:t>
      </w:r>
      <w:r w:rsidRPr="00F22A7C">
        <w:rPr>
          <w:lang w:val="fr-FR"/>
        </w:rPr>
        <w:t xml:space="preserve"> (</w:t>
      </w:r>
      <w:hyperlink r:id="rId11" w:anchor="CA" w:history="1">
        <w:r w:rsidR="00F22A7C" w:rsidRPr="00737DB3">
          <w:rPr>
            <w:rStyle w:val="Hyperlink"/>
            <w:lang w:val="fr-FR"/>
          </w:rPr>
          <w:t>https://www.wipo.int/en/web/pct-system/quality/authorities#CA</w:t>
        </w:r>
      </w:hyperlink>
      <w:r w:rsidRPr="00F22A7C">
        <w:rPr>
          <w:rStyle w:val="Hyperlink"/>
          <w:lang w:val="fr-FR"/>
        </w:rPr>
        <w:t>)</w:t>
      </w:r>
      <w:r w:rsidRPr="00F22A7C">
        <w:rPr>
          <w:lang w:val="fr-FR"/>
        </w:rPr>
        <w:t>, établi conformément aux paragraphes 21.31 et 21.32 des directives relatives à la recherche internationale et à l</w:t>
      </w:r>
      <w:r w:rsidR="00F34ECA" w:rsidRPr="00F22A7C">
        <w:rPr>
          <w:lang w:val="fr-FR"/>
        </w:rPr>
        <w:t>’</w:t>
      </w:r>
      <w:r w:rsidRPr="00F22A7C">
        <w:rPr>
          <w:lang w:val="fr-FR"/>
        </w:rPr>
        <w:t>examen préliminaire international (ci</w:t>
      </w:r>
      <w:r w:rsidR="00F22A7C">
        <w:rPr>
          <w:lang w:val="fr-FR"/>
        </w:rPr>
        <w:noBreakHyphen/>
      </w:r>
      <w:r w:rsidRPr="00F22A7C">
        <w:rPr>
          <w:lang w:val="fr-FR"/>
        </w:rPr>
        <w:t>après dénommées “directives”), l</w:t>
      </w:r>
      <w:r w:rsidR="00F34ECA" w:rsidRPr="00F22A7C">
        <w:rPr>
          <w:lang w:val="fr-FR"/>
        </w:rPr>
        <w:t>’</w:t>
      </w:r>
      <w:r w:rsidRPr="00F22A7C">
        <w:rPr>
          <w:lang w:val="fr-FR"/>
        </w:rPr>
        <w:t>administration fournit les informations ci</w:t>
      </w:r>
      <w:r w:rsidR="00F22A7C">
        <w:rPr>
          <w:lang w:val="fr-FR"/>
        </w:rPr>
        <w:noBreakHyphen/>
      </w:r>
      <w:r w:rsidRPr="00F22A7C">
        <w:rPr>
          <w:lang w:val="fr-FR"/>
        </w:rPr>
        <w:t>après.</w:t>
      </w:r>
    </w:p>
    <w:p w14:paraId="243980F1" w14:textId="71BE14E7" w:rsidR="00773110" w:rsidRPr="00F22A7C" w:rsidRDefault="00773110" w:rsidP="00F22A7C">
      <w:pPr>
        <w:keepNext/>
        <w:keepLines/>
        <w:pBdr>
          <w:top w:val="single" w:sz="4" w:space="1" w:color="000000"/>
          <w:left w:val="nil"/>
          <w:bottom w:val="nil"/>
          <w:right w:val="nil"/>
          <w:between w:val="nil"/>
        </w:pBdr>
        <w:spacing w:before="360" w:after="200" w:line="480" w:lineRule="auto"/>
        <w:rPr>
          <w:b/>
          <w:caps/>
          <w:color w:val="000000"/>
          <w:lang w:val="fr-FR"/>
        </w:rPr>
      </w:pPr>
      <w:r w:rsidRPr="00F22A7C">
        <w:rPr>
          <w:b/>
          <w:caps/>
          <w:color w:val="000000"/>
          <w:lang w:val="fr-FR"/>
        </w:rPr>
        <w:t>2.1 – Capacité en matière de recherche et d</w:t>
      </w:r>
      <w:r w:rsidR="00F34ECA" w:rsidRPr="00F22A7C">
        <w:rPr>
          <w:b/>
          <w:caps/>
          <w:color w:val="000000"/>
          <w:lang w:val="fr-FR"/>
        </w:rPr>
        <w:t>’</w:t>
      </w:r>
      <w:r w:rsidRPr="00F22A7C">
        <w:rPr>
          <w:b/>
          <w:caps/>
          <w:color w:val="000000"/>
          <w:lang w:val="fr-FR"/>
        </w:rPr>
        <w:t>examen</w:t>
      </w:r>
    </w:p>
    <w:p w14:paraId="4D145D9D" w14:textId="728BD999" w:rsidR="00773110" w:rsidRPr="00F22A7C" w:rsidRDefault="00773110" w:rsidP="00F34ECA">
      <w:pPr>
        <w:keepLines/>
        <w:pBdr>
          <w:top w:val="nil"/>
          <w:left w:val="nil"/>
          <w:bottom w:val="nil"/>
          <w:right w:val="nil"/>
          <w:between w:val="nil"/>
        </w:pBdr>
        <w:spacing w:after="240"/>
        <w:ind w:left="567" w:right="567"/>
        <w:rPr>
          <w:i/>
          <w:color w:val="000000"/>
          <w:lang w:val="fr-FR"/>
        </w:rPr>
      </w:pPr>
      <w:r w:rsidRPr="00F22A7C">
        <w:rPr>
          <w:i/>
          <w:color w:val="000000"/>
          <w:lang w:val="fr-FR"/>
        </w:rPr>
        <w:t>Règles 36.1.i) et 63.1.i)</w:t>
      </w:r>
      <w:r w:rsidR="00F34ECA" w:rsidRPr="00F22A7C">
        <w:rPr>
          <w:i/>
          <w:color w:val="000000"/>
          <w:lang w:val="fr-FR"/>
        </w:rPr>
        <w:t> :</w:t>
      </w:r>
      <w:r w:rsidRPr="00F22A7C">
        <w:rPr>
          <w:i/>
          <w:color w:val="000000"/>
          <w:lang w:val="fr-FR"/>
        </w:rPr>
        <w:t xml:space="preserve"> L</w:t>
      </w:r>
      <w:r w:rsidR="00F34ECA" w:rsidRPr="00F22A7C">
        <w:rPr>
          <w:i/>
          <w:color w:val="000000"/>
          <w:lang w:val="fr-FR"/>
        </w:rPr>
        <w:t>’</w:t>
      </w:r>
      <w:r w:rsidRPr="00F22A7C">
        <w:rPr>
          <w:i/>
          <w:color w:val="000000"/>
          <w:lang w:val="fr-FR"/>
        </w:rPr>
        <w:t>office national ou l</w:t>
      </w:r>
      <w:r w:rsidR="00F34ECA" w:rsidRPr="00F22A7C">
        <w:rPr>
          <w:i/>
          <w:color w:val="000000"/>
          <w:lang w:val="fr-FR"/>
        </w:rPr>
        <w:t>’</w:t>
      </w:r>
      <w:r w:rsidRPr="00F22A7C">
        <w:rPr>
          <w:i/>
          <w:color w:val="000000"/>
          <w:lang w:val="fr-FR"/>
        </w:rPr>
        <w:t>organisation intergouvernementale doit avoir au moins cent employés à plein temps possédant des qualifications techniques suffisantes pour procéder aux recherches et aux examens.</w:t>
      </w:r>
    </w:p>
    <w:p w14:paraId="2011E53F" w14:textId="0343C340" w:rsidR="00F34ECA" w:rsidRPr="00F22A7C" w:rsidRDefault="00773110" w:rsidP="00F34ECA">
      <w:pPr>
        <w:keepLines/>
        <w:pBdr>
          <w:top w:val="nil"/>
          <w:left w:val="nil"/>
          <w:bottom w:val="nil"/>
          <w:right w:val="nil"/>
          <w:between w:val="nil"/>
        </w:pBdr>
        <w:spacing w:after="240"/>
        <w:ind w:right="567"/>
        <w:rPr>
          <w:color w:val="000000"/>
          <w:lang w:val="fr-FR"/>
        </w:rPr>
      </w:pPr>
      <w:r w:rsidRPr="00F22A7C">
        <w:rPr>
          <w:color w:val="000000"/>
          <w:lang w:val="fr-FR"/>
        </w:rPr>
        <w:t>Le rapport sur le système de gestion de la qualité fournit des informations de l</w:t>
      </w:r>
      <w:r w:rsidR="00F34ECA" w:rsidRPr="00F22A7C">
        <w:rPr>
          <w:color w:val="000000"/>
          <w:lang w:val="fr-FR"/>
        </w:rPr>
        <w:t>’</w:t>
      </w:r>
      <w:r w:rsidRPr="00F22A7C">
        <w:rPr>
          <w:color w:val="000000"/>
          <w:lang w:val="fr-FR"/>
        </w:rPr>
        <w:t>administration sur l</w:t>
      </w:r>
      <w:r w:rsidR="00F34ECA" w:rsidRPr="00F22A7C">
        <w:rPr>
          <w:color w:val="000000"/>
          <w:lang w:val="fr-FR"/>
        </w:rPr>
        <w:t>’</w:t>
      </w:r>
      <w:r w:rsidRPr="00F22A7C">
        <w:rPr>
          <w:color w:val="000000"/>
          <w:lang w:val="fr-FR"/>
        </w:rPr>
        <w:t>infrastructure mise en place pour garantir un personnel techniquement qualifié suffisamment nombreux, conformément au paragraphe 21.</w:t>
      </w:r>
      <w:proofErr w:type="gramStart"/>
      <w:r w:rsidRPr="00F22A7C">
        <w:rPr>
          <w:color w:val="000000"/>
          <w:lang w:val="fr-FR"/>
        </w:rPr>
        <w:t>15.i</w:t>
      </w:r>
      <w:proofErr w:type="gramEnd"/>
      <w:r w:rsidRPr="00F22A7C">
        <w:rPr>
          <w:color w:val="000000"/>
          <w:lang w:val="fr-FR"/>
        </w:rPr>
        <w:t>) des directives, et sur les programmes de formation et de perfectionnement destinés au personnel participant au processus de recherche et d</w:t>
      </w:r>
      <w:r w:rsidR="00F34ECA" w:rsidRPr="00F22A7C">
        <w:rPr>
          <w:color w:val="000000"/>
          <w:lang w:val="fr-FR"/>
        </w:rPr>
        <w:t>’</w:t>
      </w:r>
      <w:r w:rsidRPr="00F22A7C">
        <w:rPr>
          <w:color w:val="000000"/>
          <w:lang w:val="fr-FR"/>
        </w:rPr>
        <w:t>examen, conformément au paragraphe 21.15.vi).  L</w:t>
      </w:r>
      <w:r w:rsidR="00F34ECA" w:rsidRPr="00F22A7C">
        <w:rPr>
          <w:color w:val="000000"/>
          <w:lang w:val="fr-FR"/>
        </w:rPr>
        <w:t>’</w:t>
      </w:r>
      <w:r w:rsidRPr="00F22A7C">
        <w:rPr>
          <w:color w:val="000000"/>
          <w:lang w:val="fr-FR"/>
        </w:rPr>
        <w:t>administration inclut également les informations ci</w:t>
      </w:r>
      <w:r w:rsidR="00F22A7C">
        <w:rPr>
          <w:color w:val="000000"/>
          <w:lang w:val="fr-FR"/>
        </w:rPr>
        <w:noBreakHyphen/>
      </w:r>
      <w:r w:rsidRPr="00F22A7C">
        <w:rPr>
          <w:color w:val="000000"/>
          <w:lang w:val="fr-FR"/>
        </w:rPr>
        <w:t>après sur le nombre d</w:t>
      </w:r>
      <w:r w:rsidR="00F34ECA" w:rsidRPr="00F22A7C">
        <w:rPr>
          <w:color w:val="000000"/>
          <w:lang w:val="fr-FR"/>
        </w:rPr>
        <w:t>’</w:t>
      </w:r>
      <w:r w:rsidRPr="00F22A7C">
        <w:rPr>
          <w:color w:val="000000"/>
          <w:lang w:val="fr-FR"/>
        </w:rPr>
        <w:t>employés qualifiés pour procéder à la recherche et à l</w:t>
      </w:r>
      <w:r w:rsidR="00F34ECA" w:rsidRPr="00F22A7C">
        <w:rPr>
          <w:color w:val="000000"/>
          <w:lang w:val="fr-FR"/>
        </w:rPr>
        <w:t>’</w:t>
      </w:r>
      <w:r w:rsidRPr="00F22A7C">
        <w:rPr>
          <w:color w:val="000000"/>
          <w:lang w:val="fr-FR"/>
        </w:rPr>
        <w:t>examen.</w:t>
      </w:r>
    </w:p>
    <w:p w14:paraId="5008D400" w14:textId="4FB73BCF" w:rsidR="00773110" w:rsidRPr="00F22A7C" w:rsidRDefault="00773110" w:rsidP="00F22A7C">
      <w:pPr>
        <w:keepNext/>
        <w:keepLines/>
        <w:pBdr>
          <w:top w:val="nil"/>
          <w:left w:val="nil"/>
          <w:bottom w:val="nil"/>
          <w:right w:val="nil"/>
          <w:between w:val="nil"/>
        </w:pBdr>
        <w:spacing w:after="240"/>
        <w:rPr>
          <w:b/>
          <w:color w:val="000000"/>
          <w:lang w:val="fr-FR"/>
        </w:rPr>
      </w:pPr>
      <w:r w:rsidRPr="00F22A7C">
        <w:rPr>
          <w:b/>
          <w:color w:val="000000"/>
          <w:lang w:val="fr-FR"/>
        </w:rPr>
        <w:lastRenderedPageBreak/>
        <w:t>Employés qualifiés pour procéder à la recherche et à l</w:t>
      </w:r>
      <w:r w:rsidR="00F34ECA" w:rsidRPr="00F22A7C">
        <w:rPr>
          <w:b/>
          <w:color w:val="000000"/>
          <w:lang w:val="fr-FR"/>
        </w:rPr>
        <w:t>’</w:t>
      </w:r>
      <w:r w:rsidRPr="00F22A7C">
        <w:rPr>
          <w:b/>
          <w:color w:val="000000"/>
          <w:lang w:val="fr-FR"/>
        </w:rPr>
        <w:t>examen</w:t>
      </w:r>
      <w:r w:rsidR="00F34ECA" w:rsidRPr="00F22A7C">
        <w:rPr>
          <w:b/>
          <w:color w:val="000000"/>
          <w:lang w:val="fr-FR"/>
        </w:rPr>
        <w:t> :</w:t>
      </w:r>
    </w:p>
    <w:tbl>
      <w:tblPr>
        <w:tblW w:w="7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2310"/>
        <w:gridCol w:w="2595"/>
      </w:tblGrid>
      <w:tr w:rsidR="00773110" w:rsidRPr="00F22A7C" w14:paraId="26E89BC0" w14:textId="77777777" w:rsidTr="00511B44">
        <w:trPr>
          <w:cantSplit/>
          <w:tblHeader/>
        </w:trPr>
        <w:tc>
          <w:tcPr>
            <w:tcW w:w="3015" w:type="dxa"/>
            <w:tcBorders>
              <w:top w:val="single" w:sz="4" w:space="0" w:color="000000"/>
              <w:left w:val="single" w:sz="4" w:space="0" w:color="000000"/>
              <w:bottom w:val="single" w:sz="4" w:space="0" w:color="000000"/>
              <w:right w:val="single" w:sz="4" w:space="0" w:color="000000"/>
            </w:tcBorders>
          </w:tcPr>
          <w:p w14:paraId="7DB9EACC" w14:textId="77777777" w:rsidR="00773110" w:rsidRPr="00F22A7C" w:rsidRDefault="00773110" w:rsidP="00F34ECA">
            <w:pPr>
              <w:keepNext/>
              <w:keepLines/>
              <w:rPr>
                <w:b/>
                <w:lang w:val="fr-FR"/>
              </w:rPr>
            </w:pPr>
            <w:r w:rsidRPr="00F22A7C">
              <w:rPr>
                <w:b/>
                <w:lang w:val="fr-FR"/>
              </w:rPr>
              <w:t>Domaine technique</w:t>
            </w:r>
          </w:p>
        </w:tc>
        <w:tc>
          <w:tcPr>
            <w:tcW w:w="2310" w:type="dxa"/>
            <w:tcBorders>
              <w:top w:val="single" w:sz="4" w:space="0" w:color="000000"/>
              <w:left w:val="single" w:sz="4" w:space="0" w:color="000000"/>
              <w:bottom w:val="single" w:sz="4" w:space="0" w:color="000000"/>
              <w:right w:val="single" w:sz="4" w:space="0" w:color="000000"/>
            </w:tcBorders>
          </w:tcPr>
          <w:p w14:paraId="60719C67" w14:textId="77777777" w:rsidR="00773110" w:rsidRPr="00F22A7C" w:rsidRDefault="00773110" w:rsidP="00F34ECA">
            <w:pPr>
              <w:keepNext/>
              <w:keepLines/>
              <w:rPr>
                <w:b/>
                <w:lang w:val="fr-FR"/>
              </w:rPr>
            </w:pPr>
            <w:r w:rsidRPr="00F22A7C">
              <w:rPr>
                <w:b/>
                <w:lang w:val="fr-FR"/>
              </w:rPr>
              <w:t>Nombre (équivalent plein temps)</w:t>
            </w:r>
          </w:p>
        </w:tc>
        <w:tc>
          <w:tcPr>
            <w:tcW w:w="2595" w:type="dxa"/>
            <w:tcBorders>
              <w:top w:val="single" w:sz="4" w:space="0" w:color="000000"/>
              <w:left w:val="single" w:sz="4" w:space="0" w:color="000000"/>
              <w:bottom w:val="single" w:sz="4" w:space="0" w:color="000000"/>
              <w:right w:val="single" w:sz="4" w:space="0" w:color="000000"/>
            </w:tcBorders>
          </w:tcPr>
          <w:p w14:paraId="018A04D9" w14:textId="6173110F" w:rsidR="00773110" w:rsidRPr="00F22A7C" w:rsidRDefault="00773110" w:rsidP="00F34ECA">
            <w:pPr>
              <w:keepNext/>
              <w:keepLines/>
              <w:rPr>
                <w:b/>
                <w:lang w:val="fr-FR"/>
              </w:rPr>
            </w:pPr>
            <w:r w:rsidRPr="00F22A7C">
              <w:rPr>
                <w:b/>
                <w:lang w:val="fr-FR"/>
              </w:rPr>
              <w:t>Expérience moyenne en tant qu</w:t>
            </w:r>
            <w:r w:rsidR="00F34ECA" w:rsidRPr="00F22A7C">
              <w:rPr>
                <w:b/>
                <w:lang w:val="fr-FR"/>
              </w:rPr>
              <w:t>’</w:t>
            </w:r>
            <w:r w:rsidRPr="00F22A7C">
              <w:rPr>
                <w:b/>
                <w:lang w:val="fr-FR"/>
              </w:rPr>
              <w:t>examinateurs (années)</w:t>
            </w:r>
          </w:p>
        </w:tc>
      </w:tr>
      <w:tr w:rsidR="00773110" w:rsidRPr="00F22A7C" w14:paraId="0159E5EE" w14:textId="77777777" w:rsidTr="00511B44">
        <w:trPr>
          <w:cantSplit/>
        </w:trPr>
        <w:tc>
          <w:tcPr>
            <w:tcW w:w="3015" w:type="dxa"/>
            <w:tcBorders>
              <w:top w:val="single" w:sz="4" w:space="0" w:color="000000"/>
              <w:left w:val="single" w:sz="4" w:space="0" w:color="000000"/>
              <w:bottom w:val="single" w:sz="4" w:space="0" w:color="000000"/>
              <w:right w:val="single" w:sz="4" w:space="0" w:color="000000"/>
            </w:tcBorders>
          </w:tcPr>
          <w:p w14:paraId="44ABE0F4" w14:textId="77777777" w:rsidR="00773110" w:rsidRPr="00F22A7C" w:rsidRDefault="00773110" w:rsidP="00F34ECA">
            <w:pPr>
              <w:keepNext/>
              <w:keepLines/>
              <w:rPr>
                <w:lang w:val="fr-FR"/>
              </w:rPr>
            </w:pPr>
            <w:r w:rsidRPr="00F22A7C">
              <w:rPr>
                <w:lang w:val="fr-FR"/>
              </w:rPr>
              <w:t>Mécanique</w:t>
            </w:r>
          </w:p>
        </w:tc>
        <w:tc>
          <w:tcPr>
            <w:tcW w:w="2310" w:type="dxa"/>
            <w:tcBorders>
              <w:top w:val="single" w:sz="4" w:space="0" w:color="000000"/>
              <w:left w:val="single" w:sz="4" w:space="0" w:color="000000"/>
              <w:bottom w:val="single" w:sz="4" w:space="0" w:color="000000"/>
              <w:right w:val="single" w:sz="4" w:space="0" w:color="000000"/>
            </w:tcBorders>
          </w:tcPr>
          <w:p w14:paraId="10E1CB92" w14:textId="77777777" w:rsidR="00773110" w:rsidRPr="00F22A7C" w:rsidRDefault="00773110" w:rsidP="00F34ECA">
            <w:pPr>
              <w:keepNext/>
              <w:keepLines/>
              <w:rPr>
                <w:color w:val="000000"/>
                <w:lang w:val="fr-FR"/>
              </w:rPr>
            </w:pPr>
            <w:r w:rsidRPr="00F22A7C">
              <w:rPr>
                <w:color w:val="000000"/>
                <w:lang w:val="fr-FR"/>
              </w:rPr>
              <w:t>25</w:t>
            </w:r>
          </w:p>
        </w:tc>
        <w:tc>
          <w:tcPr>
            <w:tcW w:w="2595" w:type="dxa"/>
            <w:tcBorders>
              <w:top w:val="single" w:sz="4" w:space="0" w:color="000000"/>
              <w:left w:val="single" w:sz="4" w:space="0" w:color="000000"/>
              <w:bottom w:val="single" w:sz="4" w:space="0" w:color="000000"/>
              <w:right w:val="single" w:sz="4" w:space="0" w:color="000000"/>
            </w:tcBorders>
          </w:tcPr>
          <w:p w14:paraId="414B5071" w14:textId="77777777" w:rsidR="00773110" w:rsidRPr="00F22A7C" w:rsidRDefault="00773110" w:rsidP="00F34ECA">
            <w:pPr>
              <w:keepNext/>
              <w:keepLines/>
              <w:rPr>
                <w:color w:val="000000"/>
                <w:lang w:val="fr-FR"/>
              </w:rPr>
            </w:pPr>
            <w:r w:rsidRPr="00F22A7C">
              <w:rPr>
                <w:color w:val="000000"/>
                <w:lang w:val="fr-FR"/>
              </w:rPr>
              <w:t>10,3</w:t>
            </w:r>
          </w:p>
        </w:tc>
      </w:tr>
      <w:tr w:rsidR="00773110" w:rsidRPr="00F22A7C" w14:paraId="52820B13" w14:textId="77777777" w:rsidTr="00511B44">
        <w:trPr>
          <w:cantSplit/>
        </w:trPr>
        <w:tc>
          <w:tcPr>
            <w:tcW w:w="3015" w:type="dxa"/>
            <w:tcBorders>
              <w:top w:val="single" w:sz="4" w:space="0" w:color="000000"/>
              <w:left w:val="single" w:sz="4" w:space="0" w:color="000000"/>
              <w:bottom w:val="single" w:sz="4" w:space="0" w:color="000000"/>
              <w:right w:val="single" w:sz="4" w:space="0" w:color="000000"/>
            </w:tcBorders>
          </w:tcPr>
          <w:p w14:paraId="70D69DFF" w14:textId="77777777" w:rsidR="00773110" w:rsidRPr="00F22A7C" w:rsidRDefault="00773110" w:rsidP="00F34ECA">
            <w:pPr>
              <w:keepNext/>
              <w:keepLines/>
              <w:rPr>
                <w:lang w:val="fr-FR"/>
              </w:rPr>
            </w:pPr>
            <w:r w:rsidRPr="00F22A7C">
              <w:rPr>
                <w:lang w:val="fr-FR"/>
              </w:rPr>
              <w:t>Électrique/électronique</w:t>
            </w:r>
          </w:p>
        </w:tc>
        <w:tc>
          <w:tcPr>
            <w:tcW w:w="2310" w:type="dxa"/>
            <w:tcBorders>
              <w:top w:val="single" w:sz="4" w:space="0" w:color="000000"/>
              <w:left w:val="single" w:sz="4" w:space="0" w:color="000000"/>
              <w:bottom w:val="single" w:sz="4" w:space="0" w:color="000000"/>
              <w:right w:val="single" w:sz="4" w:space="0" w:color="000000"/>
            </w:tcBorders>
          </w:tcPr>
          <w:p w14:paraId="747824DD" w14:textId="77777777" w:rsidR="00773110" w:rsidRPr="00F22A7C" w:rsidRDefault="00773110" w:rsidP="00F34ECA">
            <w:pPr>
              <w:keepNext/>
              <w:keepLines/>
              <w:rPr>
                <w:color w:val="000000"/>
                <w:lang w:val="fr-FR"/>
              </w:rPr>
            </w:pPr>
            <w:r w:rsidRPr="00F22A7C">
              <w:rPr>
                <w:color w:val="000000"/>
                <w:lang w:val="fr-FR"/>
              </w:rPr>
              <w:t>14</w:t>
            </w:r>
          </w:p>
        </w:tc>
        <w:tc>
          <w:tcPr>
            <w:tcW w:w="2595" w:type="dxa"/>
            <w:tcBorders>
              <w:top w:val="single" w:sz="4" w:space="0" w:color="000000"/>
              <w:left w:val="single" w:sz="4" w:space="0" w:color="000000"/>
              <w:bottom w:val="single" w:sz="4" w:space="0" w:color="000000"/>
              <w:right w:val="single" w:sz="4" w:space="0" w:color="000000"/>
            </w:tcBorders>
          </w:tcPr>
          <w:p w14:paraId="402B26F3" w14:textId="77777777" w:rsidR="00773110" w:rsidRPr="00F22A7C" w:rsidRDefault="00773110" w:rsidP="00F34ECA">
            <w:pPr>
              <w:keepNext/>
              <w:keepLines/>
              <w:rPr>
                <w:color w:val="000000"/>
                <w:lang w:val="fr-FR"/>
              </w:rPr>
            </w:pPr>
            <w:r w:rsidRPr="00F22A7C">
              <w:rPr>
                <w:color w:val="000000"/>
                <w:lang w:val="fr-FR"/>
              </w:rPr>
              <w:t>8,5</w:t>
            </w:r>
          </w:p>
        </w:tc>
      </w:tr>
      <w:tr w:rsidR="00773110" w:rsidRPr="00F22A7C" w14:paraId="05801682" w14:textId="77777777" w:rsidTr="00511B44">
        <w:trPr>
          <w:cantSplit/>
        </w:trPr>
        <w:tc>
          <w:tcPr>
            <w:tcW w:w="3015" w:type="dxa"/>
            <w:tcBorders>
              <w:top w:val="single" w:sz="4" w:space="0" w:color="000000"/>
              <w:left w:val="single" w:sz="4" w:space="0" w:color="000000"/>
              <w:bottom w:val="single" w:sz="4" w:space="0" w:color="000000"/>
              <w:right w:val="single" w:sz="4" w:space="0" w:color="000000"/>
            </w:tcBorders>
          </w:tcPr>
          <w:p w14:paraId="61EFA6BA" w14:textId="77777777" w:rsidR="00773110" w:rsidRPr="00F22A7C" w:rsidRDefault="00773110" w:rsidP="00F34ECA">
            <w:pPr>
              <w:keepNext/>
              <w:keepLines/>
              <w:rPr>
                <w:lang w:val="fr-FR"/>
              </w:rPr>
            </w:pPr>
            <w:r w:rsidRPr="00F22A7C">
              <w:rPr>
                <w:lang w:val="fr-FR"/>
              </w:rPr>
              <w:t>Produits pharmaceutiques</w:t>
            </w:r>
          </w:p>
        </w:tc>
        <w:tc>
          <w:tcPr>
            <w:tcW w:w="2310" w:type="dxa"/>
            <w:tcBorders>
              <w:top w:val="single" w:sz="4" w:space="0" w:color="000000"/>
              <w:left w:val="single" w:sz="4" w:space="0" w:color="000000"/>
              <w:bottom w:val="single" w:sz="4" w:space="0" w:color="000000"/>
              <w:right w:val="single" w:sz="4" w:space="0" w:color="000000"/>
            </w:tcBorders>
          </w:tcPr>
          <w:p w14:paraId="41DC0AB5" w14:textId="77777777" w:rsidR="00773110" w:rsidRPr="00F22A7C" w:rsidRDefault="00773110" w:rsidP="00F34ECA">
            <w:pPr>
              <w:keepNext/>
              <w:keepLines/>
              <w:rPr>
                <w:color w:val="000000"/>
                <w:lang w:val="fr-FR"/>
              </w:rPr>
            </w:pPr>
            <w:r w:rsidRPr="00F22A7C">
              <w:rPr>
                <w:color w:val="000000"/>
                <w:lang w:val="fr-FR"/>
              </w:rPr>
              <w:t>24</w:t>
            </w:r>
          </w:p>
        </w:tc>
        <w:tc>
          <w:tcPr>
            <w:tcW w:w="2595" w:type="dxa"/>
            <w:tcBorders>
              <w:top w:val="single" w:sz="4" w:space="0" w:color="000000"/>
              <w:left w:val="single" w:sz="4" w:space="0" w:color="000000"/>
              <w:bottom w:val="single" w:sz="4" w:space="0" w:color="000000"/>
              <w:right w:val="single" w:sz="4" w:space="0" w:color="000000"/>
            </w:tcBorders>
          </w:tcPr>
          <w:p w14:paraId="31939321" w14:textId="77777777" w:rsidR="00773110" w:rsidRPr="00F22A7C" w:rsidRDefault="00773110" w:rsidP="00F34ECA">
            <w:pPr>
              <w:keepNext/>
              <w:keepLines/>
              <w:rPr>
                <w:color w:val="000000"/>
                <w:lang w:val="fr-FR"/>
              </w:rPr>
            </w:pPr>
            <w:r w:rsidRPr="00F22A7C">
              <w:rPr>
                <w:color w:val="000000"/>
                <w:lang w:val="fr-FR"/>
              </w:rPr>
              <w:t>12,6</w:t>
            </w:r>
          </w:p>
        </w:tc>
      </w:tr>
      <w:tr w:rsidR="00773110" w:rsidRPr="00F22A7C" w14:paraId="0D73184D" w14:textId="77777777" w:rsidTr="00511B44">
        <w:trPr>
          <w:cantSplit/>
        </w:trPr>
        <w:tc>
          <w:tcPr>
            <w:tcW w:w="3015" w:type="dxa"/>
            <w:tcBorders>
              <w:top w:val="single" w:sz="4" w:space="0" w:color="000000"/>
              <w:left w:val="single" w:sz="4" w:space="0" w:color="000000"/>
              <w:bottom w:val="single" w:sz="4" w:space="0" w:color="000000"/>
              <w:right w:val="single" w:sz="4" w:space="0" w:color="000000"/>
            </w:tcBorders>
          </w:tcPr>
          <w:p w14:paraId="1DEC3193" w14:textId="77777777" w:rsidR="00773110" w:rsidRPr="00F22A7C" w:rsidRDefault="00773110" w:rsidP="00F34ECA">
            <w:pPr>
              <w:keepNext/>
              <w:keepLines/>
              <w:rPr>
                <w:lang w:val="fr-FR"/>
              </w:rPr>
            </w:pPr>
            <w:r w:rsidRPr="00F22A7C">
              <w:rPr>
                <w:lang w:val="fr-FR"/>
              </w:rPr>
              <w:t>Chimie</w:t>
            </w:r>
          </w:p>
        </w:tc>
        <w:tc>
          <w:tcPr>
            <w:tcW w:w="2310" w:type="dxa"/>
            <w:tcBorders>
              <w:top w:val="single" w:sz="4" w:space="0" w:color="000000"/>
              <w:left w:val="single" w:sz="4" w:space="0" w:color="000000"/>
              <w:bottom w:val="single" w:sz="4" w:space="0" w:color="000000"/>
              <w:right w:val="single" w:sz="4" w:space="0" w:color="000000"/>
            </w:tcBorders>
          </w:tcPr>
          <w:p w14:paraId="09369EA9" w14:textId="77777777" w:rsidR="00773110" w:rsidRPr="00F22A7C" w:rsidRDefault="00773110" w:rsidP="00F34ECA">
            <w:pPr>
              <w:keepNext/>
              <w:keepLines/>
              <w:rPr>
                <w:color w:val="000000"/>
                <w:lang w:val="fr-FR"/>
              </w:rPr>
            </w:pPr>
            <w:r w:rsidRPr="00F22A7C">
              <w:rPr>
                <w:lang w:val="fr-FR"/>
              </w:rPr>
              <w:t>19</w:t>
            </w:r>
          </w:p>
        </w:tc>
        <w:tc>
          <w:tcPr>
            <w:tcW w:w="2595" w:type="dxa"/>
            <w:tcBorders>
              <w:top w:val="single" w:sz="4" w:space="0" w:color="000000"/>
              <w:left w:val="single" w:sz="4" w:space="0" w:color="000000"/>
              <w:bottom w:val="single" w:sz="4" w:space="0" w:color="000000"/>
              <w:right w:val="single" w:sz="4" w:space="0" w:color="000000"/>
            </w:tcBorders>
          </w:tcPr>
          <w:p w14:paraId="0F716D19" w14:textId="77777777" w:rsidR="00773110" w:rsidRPr="00F22A7C" w:rsidRDefault="00773110" w:rsidP="00F34ECA">
            <w:pPr>
              <w:keepNext/>
              <w:keepLines/>
              <w:rPr>
                <w:color w:val="000000"/>
                <w:lang w:val="fr-FR"/>
              </w:rPr>
            </w:pPr>
            <w:r w:rsidRPr="00F22A7C">
              <w:rPr>
                <w:color w:val="000000"/>
                <w:lang w:val="fr-FR"/>
              </w:rPr>
              <w:t>10,6</w:t>
            </w:r>
          </w:p>
        </w:tc>
      </w:tr>
      <w:tr w:rsidR="00773110" w:rsidRPr="00F22A7C" w14:paraId="6D164C52" w14:textId="77777777" w:rsidTr="00511B44">
        <w:trPr>
          <w:cantSplit/>
        </w:trPr>
        <w:tc>
          <w:tcPr>
            <w:tcW w:w="3015" w:type="dxa"/>
            <w:tcBorders>
              <w:top w:val="single" w:sz="4" w:space="0" w:color="000000"/>
              <w:left w:val="single" w:sz="4" w:space="0" w:color="000000"/>
              <w:bottom w:val="single" w:sz="4" w:space="0" w:color="000000"/>
              <w:right w:val="single" w:sz="4" w:space="0" w:color="000000"/>
            </w:tcBorders>
          </w:tcPr>
          <w:p w14:paraId="1377E8A4" w14:textId="77777777" w:rsidR="00773110" w:rsidRPr="00F22A7C" w:rsidRDefault="00773110" w:rsidP="00F34ECA">
            <w:pPr>
              <w:keepNext/>
              <w:keepLines/>
              <w:rPr>
                <w:lang w:val="fr-FR"/>
              </w:rPr>
            </w:pPr>
            <w:r w:rsidRPr="00F22A7C">
              <w:rPr>
                <w:lang w:val="fr-FR"/>
              </w:rPr>
              <w:t>Biotechnologie</w:t>
            </w:r>
          </w:p>
        </w:tc>
        <w:tc>
          <w:tcPr>
            <w:tcW w:w="2310" w:type="dxa"/>
            <w:tcBorders>
              <w:top w:val="single" w:sz="4" w:space="0" w:color="000000"/>
              <w:left w:val="single" w:sz="4" w:space="0" w:color="000000"/>
              <w:bottom w:val="single" w:sz="4" w:space="0" w:color="000000"/>
              <w:right w:val="single" w:sz="4" w:space="0" w:color="000000"/>
            </w:tcBorders>
          </w:tcPr>
          <w:p w14:paraId="7A248490" w14:textId="77777777" w:rsidR="00773110" w:rsidRPr="00F22A7C" w:rsidRDefault="00773110" w:rsidP="00F34ECA">
            <w:pPr>
              <w:keepNext/>
              <w:keepLines/>
              <w:rPr>
                <w:color w:val="000000"/>
                <w:lang w:val="fr-FR"/>
              </w:rPr>
            </w:pPr>
            <w:r w:rsidRPr="00F22A7C">
              <w:rPr>
                <w:lang w:val="fr-FR"/>
              </w:rPr>
              <w:t>25</w:t>
            </w:r>
          </w:p>
        </w:tc>
        <w:tc>
          <w:tcPr>
            <w:tcW w:w="2595" w:type="dxa"/>
            <w:tcBorders>
              <w:top w:val="single" w:sz="4" w:space="0" w:color="000000"/>
              <w:left w:val="single" w:sz="4" w:space="0" w:color="000000"/>
              <w:bottom w:val="single" w:sz="4" w:space="0" w:color="000000"/>
              <w:right w:val="single" w:sz="4" w:space="0" w:color="000000"/>
            </w:tcBorders>
          </w:tcPr>
          <w:p w14:paraId="65FE6FDD" w14:textId="77777777" w:rsidR="00773110" w:rsidRPr="00F22A7C" w:rsidRDefault="00773110" w:rsidP="00F34ECA">
            <w:pPr>
              <w:keepNext/>
              <w:keepLines/>
              <w:rPr>
                <w:color w:val="000000"/>
                <w:lang w:val="fr-FR"/>
              </w:rPr>
            </w:pPr>
            <w:r w:rsidRPr="00F22A7C">
              <w:rPr>
                <w:color w:val="000000"/>
                <w:lang w:val="fr-FR"/>
              </w:rPr>
              <w:t>7,4</w:t>
            </w:r>
          </w:p>
        </w:tc>
      </w:tr>
      <w:tr w:rsidR="00773110" w:rsidRPr="00F22A7C" w14:paraId="625BCD82" w14:textId="77777777" w:rsidTr="00511B44">
        <w:trPr>
          <w:cantSplit/>
        </w:trPr>
        <w:tc>
          <w:tcPr>
            <w:tcW w:w="3015" w:type="dxa"/>
            <w:tcBorders>
              <w:top w:val="single" w:sz="4" w:space="0" w:color="000000"/>
              <w:left w:val="single" w:sz="4" w:space="0" w:color="000000"/>
              <w:bottom w:val="single" w:sz="4" w:space="0" w:color="000000"/>
              <w:right w:val="single" w:sz="4" w:space="0" w:color="000000"/>
            </w:tcBorders>
          </w:tcPr>
          <w:p w14:paraId="0B7ADA3B" w14:textId="77777777" w:rsidR="00773110" w:rsidRPr="00F22A7C" w:rsidRDefault="00773110" w:rsidP="00F34ECA">
            <w:pPr>
              <w:keepLines/>
              <w:rPr>
                <w:lang w:val="fr-FR"/>
              </w:rPr>
            </w:pPr>
            <w:r w:rsidRPr="00F22A7C">
              <w:rPr>
                <w:lang w:val="fr-FR"/>
              </w:rPr>
              <w:t>Dessins et modèles industriels</w:t>
            </w:r>
          </w:p>
        </w:tc>
        <w:tc>
          <w:tcPr>
            <w:tcW w:w="2310" w:type="dxa"/>
            <w:tcBorders>
              <w:top w:val="single" w:sz="4" w:space="0" w:color="000000"/>
              <w:left w:val="single" w:sz="4" w:space="0" w:color="000000"/>
              <w:bottom w:val="single" w:sz="4" w:space="0" w:color="000000"/>
              <w:right w:val="single" w:sz="4" w:space="0" w:color="000000"/>
            </w:tcBorders>
          </w:tcPr>
          <w:p w14:paraId="0312C767" w14:textId="77777777" w:rsidR="00773110" w:rsidRPr="00F22A7C" w:rsidRDefault="00773110" w:rsidP="00F34ECA">
            <w:pPr>
              <w:keepLines/>
              <w:rPr>
                <w:color w:val="000000"/>
                <w:lang w:val="fr-FR"/>
              </w:rPr>
            </w:pPr>
            <w:r w:rsidRPr="00F22A7C">
              <w:rPr>
                <w:color w:val="000000"/>
                <w:lang w:val="fr-FR"/>
              </w:rPr>
              <w:t>5</w:t>
            </w:r>
          </w:p>
        </w:tc>
        <w:tc>
          <w:tcPr>
            <w:tcW w:w="2595" w:type="dxa"/>
            <w:tcBorders>
              <w:top w:val="single" w:sz="4" w:space="0" w:color="000000"/>
              <w:left w:val="single" w:sz="4" w:space="0" w:color="000000"/>
              <w:bottom w:val="single" w:sz="4" w:space="0" w:color="000000"/>
              <w:right w:val="single" w:sz="4" w:space="0" w:color="000000"/>
            </w:tcBorders>
          </w:tcPr>
          <w:p w14:paraId="02787637" w14:textId="77777777" w:rsidR="00773110" w:rsidRPr="00F22A7C" w:rsidRDefault="00773110" w:rsidP="00F34ECA">
            <w:pPr>
              <w:keepLines/>
              <w:rPr>
                <w:color w:val="000000"/>
                <w:lang w:val="fr-FR"/>
              </w:rPr>
            </w:pPr>
            <w:r w:rsidRPr="00F22A7C">
              <w:rPr>
                <w:color w:val="000000"/>
                <w:lang w:val="fr-FR"/>
              </w:rPr>
              <w:t>17,7</w:t>
            </w:r>
          </w:p>
        </w:tc>
      </w:tr>
      <w:tr w:rsidR="00773110" w:rsidRPr="00F22A7C" w14:paraId="4A2D1601" w14:textId="77777777" w:rsidTr="00511B44">
        <w:trPr>
          <w:cantSplit/>
        </w:trPr>
        <w:tc>
          <w:tcPr>
            <w:tcW w:w="3015" w:type="dxa"/>
            <w:tcBorders>
              <w:top w:val="single" w:sz="4" w:space="0" w:color="000000"/>
              <w:left w:val="single" w:sz="4" w:space="0" w:color="000000"/>
              <w:bottom w:val="single" w:sz="4" w:space="0" w:color="000000"/>
              <w:right w:val="single" w:sz="4" w:space="0" w:color="000000"/>
            </w:tcBorders>
          </w:tcPr>
          <w:p w14:paraId="76E7E789" w14:textId="77777777" w:rsidR="00773110" w:rsidRPr="00F22A7C" w:rsidRDefault="00773110" w:rsidP="00F34ECA">
            <w:pPr>
              <w:rPr>
                <w:i/>
                <w:lang w:val="fr-FR"/>
              </w:rPr>
            </w:pPr>
            <w:r w:rsidRPr="00F22A7C">
              <w:rPr>
                <w:i/>
                <w:lang w:val="fr-FR"/>
              </w:rPr>
              <w:t>Total</w:t>
            </w:r>
          </w:p>
        </w:tc>
        <w:tc>
          <w:tcPr>
            <w:tcW w:w="2310" w:type="dxa"/>
            <w:tcBorders>
              <w:top w:val="single" w:sz="4" w:space="0" w:color="000000"/>
              <w:left w:val="single" w:sz="4" w:space="0" w:color="000000"/>
              <w:bottom w:val="single" w:sz="4" w:space="0" w:color="000000"/>
              <w:right w:val="single" w:sz="4" w:space="0" w:color="000000"/>
            </w:tcBorders>
          </w:tcPr>
          <w:p w14:paraId="39AA59DF" w14:textId="77777777" w:rsidR="00773110" w:rsidRPr="00F22A7C" w:rsidRDefault="00773110" w:rsidP="00F34ECA">
            <w:pPr>
              <w:rPr>
                <w:i/>
                <w:color w:val="000000"/>
                <w:lang w:val="fr-FR"/>
              </w:rPr>
            </w:pPr>
            <w:r w:rsidRPr="00F22A7C">
              <w:rPr>
                <w:i/>
                <w:color w:val="000000"/>
                <w:lang w:val="fr-FR"/>
              </w:rPr>
              <w:t>112</w:t>
            </w:r>
          </w:p>
        </w:tc>
        <w:tc>
          <w:tcPr>
            <w:tcW w:w="2595" w:type="dxa"/>
            <w:tcBorders>
              <w:top w:val="single" w:sz="4" w:space="0" w:color="000000"/>
              <w:left w:val="single" w:sz="4" w:space="0" w:color="000000"/>
              <w:bottom w:val="single" w:sz="4" w:space="0" w:color="000000"/>
              <w:right w:val="single" w:sz="4" w:space="0" w:color="000000"/>
            </w:tcBorders>
          </w:tcPr>
          <w:p w14:paraId="57469774" w14:textId="77777777" w:rsidR="00773110" w:rsidRPr="00F22A7C" w:rsidRDefault="00773110" w:rsidP="00F34ECA">
            <w:pPr>
              <w:rPr>
                <w:i/>
                <w:color w:val="000000"/>
                <w:lang w:val="fr-FR"/>
              </w:rPr>
            </w:pPr>
            <w:r w:rsidRPr="00F22A7C">
              <w:rPr>
                <w:i/>
                <w:color w:val="000000"/>
                <w:lang w:val="fr-FR"/>
              </w:rPr>
              <w:t>10,</w:t>
            </w:r>
            <w:r w:rsidRPr="00F22A7C">
              <w:rPr>
                <w:i/>
                <w:lang w:val="fr-FR"/>
              </w:rPr>
              <w:t>4</w:t>
            </w:r>
          </w:p>
        </w:tc>
      </w:tr>
    </w:tbl>
    <w:p w14:paraId="3EB20E89" w14:textId="77777777" w:rsidR="00773110" w:rsidRPr="00F22A7C" w:rsidRDefault="00773110" w:rsidP="00F34ECA">
      <w:pPr>
        <w:keepLines/>
        <w:pBdr>
          <w:top w:val="nil"/>
          <w:left w:val="nil"/>
          <w:bottom w:val="nil"/>
          <w:right w:val="nil"/>
          <w:between w:val="nil"/>
        </w:pBdr>
        <w:spacing w:after="240"/>
        <w:ind w:right="567"/>
        <w:rPr>
          <w:color w:val="000000"/>
          <w:lang w:val="fr-FR"/>
        </w:rPr>
      </w:pPr>
    </w:p>
    <w:p w14:paraId="182DFC9E" w14:textId="5499B78E" w:rsidR="00F34ECA" w:rsidRPr="00F22A7C" w:rsidRDefault="00773110" w:rsidP="00F34ECA">
      <w:pPr>
        <w:keepLines/>
        <w:pBdr>
          <w:top w:val="nil"/>
          <w:left w:val="nil"/>
          <w:bottom w:val="nil"/>
          <w:right w:val="nil"/>
          <w:between w:val="nil"/>
        </w:pBdr>
        <w:spacing w:after="240"/>
        <w:ind w:right="567"/>
        <w:rPr>
          <w:color w:val="000000"/>
          <w:lang w:val="fr-FR"/>
        </w:rPr>
      </w:pPr>
      <w:r w:rsidRPr="00F22A7C">
        <w:rPr>
          <w:color w:val="000000"/>
          <w:lang w:val="fr-FR"/>
        </w:rPr>
        <w:t>Autres informations que celles figurant dans le rapport sur le système de gestion de la qualité et dans le tableau ci</w:t>
      </w:r>
      <w:r w:rsidR="00F22A7C">
        <w:rPr>
          <w:color w:val="000000"/>
          <w:lang w:val="fr-FR"/>
        </w:rPr>
        <w:noBreakHyphen/>
      </w:r>
      <w:r w:rsidRPr="00F22A7C">
        <w:rPr>
          <w:color w:val="000000"/>
          <w:lang w:val="fr-FR"/>
        </w:rPr>
        <w:t>dessus (facultatif)</w:t>
      </w:r>
      <w:r w:rsidR="00F34ECA" w:rsidRPr="00F22A7C">
        <w:rPr>
          <w:color w:val="000000"/>
          <w:lang w:val="fr-FR"/>
        </w:rPr>
        <w:t> :</w:t>
      </w:r>
    </w:p>
    <w:p w14:paraId="0D03B3DF" w14:textId="19B8F90E" w:rsidR="00773110" w:rsidRPr="00F22A7C" w:rsidRDefault="00773110" w:rsidP="00F34ECA">
      <w:pPr>
        <w:keepLines/>
        <w:pBdr>
          <w:top w:val="nil"/>
          <w:left w:val="nil"/>
          <w:bottom w:val="nil"/>
          <w:right w:val="nil"/>
          <w:between w:val="nil"/>
        </w:pBdr>
        <w:jc w:val="both"/>
        <w:rPr>
          <w:color w:val="000000" w:themeColor="text1"/>
          <w:lang w:val="fr-FR"/>
        </w:rPr>
      </w:pPr>
      <w:r w:rsidRPr="00F22A7C">
        <w:rPr>
          <w:color w:val="000000" w:themeColor="text1"/>
          <w:lang w:val="fr-FR"/>
        </w:rPr>
        <w:t>L</w:t>
      </w:r>
      <w:r w:rsidR="00F34ECA" w:rsidRPr="00F22A7C">
        <w:rPr>
          <w:color w:val="000000" w:themeColor="text1"/>
          <w:lang w:val="fr-FR"/>
        </w:rPr>
        <w:t>’</w:t>
      </w:r>
      <w:r w:rsidRPr="00F22A7C">
        <w:rPr>
          <w:color w:val="000000" w:themeColor="text1"/>
          <w:lang w:val="fr-FR"/>
        </w:rPr>
        <w:t>office dispose d</w:t>
      </w:r>
      <w:r w:rsidR="00F34ECA" w:rsidRPr="00F22A7C">
        <w:rPr>
          <w:color w:val="000000" w:themeColor="text1"/>
          <w:lang w:val="fr-FR"/>
        </w:rPr>
        <w:t>’</w:t>
      </w:r>
      <w:r w:rsidRPr="00F22A7C">
        <w:rPr>
          <w:color w:val="000000" w:themeColor="text1"/>
          <w:lang w:val="fr-FR"/>
        </w:rPr>
        <w:t>un personnel et fait intervenir des experts externes formés et qualifiés pour procéder à des recherches et examiner les demand</w:t>
      </w:r>
      <w:r w:rsidR="00F22A7C" w:rsidRPr="00F22A7C">
        <w:rPr>
          <w:color w:val="000000" w:themeColor="text1"/>
          <w:lang w:val="fr-FR"/>
        </w:rPr>
        <w:t>es.  Le</w:t>
      </w:r>
      <w:r w:rsidRPr="00F22A7C">
        <w:rPr>
          <w:color w:val="000000" w:themeColor="text1"/>
          <w:lang w:val="fr-FR"/>
        </w:rPr>
        <w:t>s experts externes interviennent principalement dans le cadre de demandes national</w:t>
      </w:r>
      <w:r w:rsidR="00F22A7C" w:rsidRPr="00F22A7C">
        <w:rPr>
          <w:color w:val="000000" w:themeColor="text1"/>
          <w:lang w:val="fr-FR"/>
        </w:rPr>
        <w:t>es.  Le</w:t>
      </w:r>
      <w:r w:rsidRPr="00F22A7C">
        <w:rPr>
          <w:color w:val="000000" w:themeColor="text1"/>
          <w:lang w:val="fr-FR"/>
        </w:rPr>
        <w:t>s experts internes se concentrent sur les demandes PCT dans la phase internationale, mais examinent également les demandes nationales lorsqu</w:t>
      </w:r>
      <w:r w:rsidR="00F34ECA" w:rsidRPr="00F22A7C">
        <w:rPr>
          <w:color w:val="000000" w:themeColor="text1"/>
          <w:lang w:val="fr-FR"/>
        </w:rPr>
        <w:t>’</w:t>
      </w:r>
      <w:r w:rsidRPr="00F22A7C">
        <w:rPr>
          <w:color w:val="000000" w:themeColor="text1"/>
          <w:lang w:val="fr-FR"/>
        </w:rPr>
        <w:t>il s</w:t>
      </w:r>
      <w:r w:rsidR="00F34ECA" w:rsidRPr="00F22A7C">
        <w:rPr>
          <w:color w:val="000000" w:themeColor="text1"/>
          <w:lang w:val="fr-FR"/>
        </w:rPr>
        <w:t>’</w:t>
      </w:r>
      <w:r w:rsidRPr="00F22A7C">
        <w:rPr>
          <w:color w:val="000000" w:themeColor="text1"/>
          <w:lang w:val="fr-FR"/>
        </w:rPr>
        <w:t>agit de recommander d</w:t>
      </w:r>
      <w:r w:rsidR="00F34ECA" w:rsidRPr="00F22A7C">
        <w:rPr>
          <w:color w:val="000000" w:themeColor="text1"/>
          <w:lang w:val="fr-FR"/>
        </w:rPr>
        <w:t>’</w:t>
      </w:r>
      <w:r w:rsidRPr="00F22A7C">
        <w:rPr>
          <w:color w:val="000000" w:themeColor="text1"/>
          <w:lang w:val="fr-FR"/>
        </w:rPr>
        <w:t>accepter ou de refuser la demande.</w:t>
      </w:r>
    </w:p>
    <w:p w14:paraId="62181ED1" w14:textId="77777777" w:rsidR="00773110" w:rsidRPr="00F22A7C" w:rsidRDefault="00773110" w:rsidP="00F34ECA">
      <w:pPr>
        <w:keepNext/>
        <w:keepLines/>
        <w:pBdr>
          <w:top w:val="nil"/>
          <w:left w:val="nil"/>
          <w:bottom w:val="nil"/>
          <w:right w:val="nil"/>
          <w:between w:val="nil"/>
        </w:pBdr>
        <w:jc w:val="both"/>
        <w:rPr>
          <w:color w:val="000000" w:themeColor="text1"/>
          <w:lang w:val="fr-FR"/>
        </w:rPr>
      </w:pPr>
    </w:p>
    <w:p w14:paraId="52632997" w14:textId="7B0F1DED" w:rsidR="00773110" w:rsidRPr="00F22A7C" w:rsidRDefault="00773110" w:rsidP="00F34ECA">
      <w:pPr>
        <w:keepLines/>
        <w:pBdr>
          <w:top w:val="nil"/>
          <w:left w:val="nil"/>
          <w:bottom w:val="nil"/>
          <w:right w:val="nil"/>
          <w:between w:val="nil"/>
        </w:pBdr>
        <w:jc w:val="both"/>
        <w:rPr>
          <w:color w:val="000000" w:themeColor="text1"/>
          <w:lang w:val="fr-FR"/>
        </w:rPr>
      </w:pPr>
      <w:r w:rsidRPr="00F22A7C">
        <w:rPr>
          <w:color w:val="000000" w:themeColor="text1"/>
          <w:lang w:val="fr-FR"/>
        </w:rPr>
        <w:t>L</w:t>
      </w:r>
      <w:r w:rsidR="00F34ECA" w:rsidRPr="00F22A7C">
        <w:rPr>
          <w:color w:val="000000" w:themeColor="text1"/>
          <w:lang w:val="fr-FR"/>
        </w:rPr>
        <w:t>’</w:t>
      </w:r>
      <w:r w:rsidRPr="00F22A7C">
        <w:rPr>
          <w:color w:val="000000" w:themeColor="text1"/>
          <w:lang w:val="fr-FR"/>
        </w:rPr>
        <w:t>INAPI compte 107 spécialistes hautement qualifiés pour procéder aux recherches et aux examens dans toutes les sections des domaines techniques concernant la mécanique, l</w:t>
      </w:r>
      <w:r w:rsidR="00F34ECA" w:rsidRPr="00F22A7C">
        <w:rPr>
          <w:color w:val="000000" w:themeColor="text1"/>
          <w:lang w:val="fr-FR"/>
        </w:rPr>
        <w:t>’</w:t>
      </w:r>
      <w:r w:rsidRPr="00F22A7C">
        <w:rPr>
          <w:color w:val="000000" w:themeColor="text1"/>
          <w:lang w:val="fr-FR"/>
        </w:rPr>
        <w:t>électronique, les produits pharmaceutiques, la chimie et la biotechnologie, comme indiqué dans le tableau ci</w:t>
      </w:r>
      <w:r w:rsidR="00F22A7C">
        <w:rPr>
          <w:color w:val="000000" w:themeColor="text1"/>
          <w:lang w:val="fr-FR"/>
        </w:rPr>
        <w:noBreakHyphen/>
      </w:r>
      <w:r w:rsidRPr="00F22A7C">
        <w:rPr>
          <w:color w:val="000000" w:themeColor="text1"/>
          <w:lang w:val="fr-FR"/>
        </w:rPr>
        <w:t>dess</w:t>
      </w:r>
      <w:r w:rsidR="00F22A7C" w:rsidRPr="00F22A7C">
        <w:rPr>
          <w:color w:val="000000" w:themeColor="text1"/>
          <w:lang w:val="fr-FR"/>
        </w:rPr>
        <w:t>us.  No</w:t>
      </w:r>
      <w:r w:rsidRPr="00F22A7C">
        <w:rPr>
          <w:color w:val="000000" w:themeColor="text1"/>
          <w:lang w:val="fr-FR"/>
        </w:rPr>
        <w:t>tre office dispose en outre de cinq examinateurs quant au fond pour les dessins et modèles industrie</w:t>
      </w:r>
      <w:r w:rsidR="00F22A7C" w:rsidRPr="00F22A7C">
        <w:rPr>
          <w:color w:val="000000" w:themeColor="text1"/>
          <w:lang w:val="fr-FR"/>
        </w:rPr>
        <w:t>ls.  Pl</w:t>
      </w:r>
      <w:r w:rsidRPr="00F22A7C">
        <w:rPr>
          <w:color w:val="000000" w:themeColor="text1"/>
          <w:lang w:val="fr-FR"/>
        </w:rPr>
        <w:t>us de la moitié d</w:t>
      </w:r>
      <w:r w:rsidR="00F34ECA" w:rsidRPr="00F22A7C">
        <w:rPr>
          <w:color w:val="000000" w:themeColor="text1"/>
          <w:lang w:val="fr-FR"/>
        </w:rPr>
        <w:t>’</w:t>
      </w:r>
      <w:r w:rsidRPr="00F22A7C">
        <w:rPr>
          <w:color w:val="000000" w:themeColor="text1"/>
          <w:lang w:val="fr-FR"/>
        </w:rPr>
        <w:t>entre eux ont fait des études universitaires supérieures et sont titulaires d</w:t>
      </w:r>
      <w:r w:rsidR="00F34ECA" w:rsidRPr="00F22A7C">
        <w:rPr>
          <w:color w:val="000000" w:themeColor="text1"/>
          <w:lang w:val="fr-FR"/>
        </w:rPr>
        <w:t>’</w:t>
      </w:r>
      <w:r w:rsidRPr="00F22A7C">
        <w:rPr>
          <w:color w:val="000000" w:themeColor="text1"/>
          <w:lang w:val="fr-FR"/>
        </w:rPr>
        <w:t>une maîtrise ou d</w:t>
      </w:r>
      <w:r w:rsidR="00F34ECA" w:rsidRPr="00F22A7C">
        <w:rPr>
          <w:color w:val="000000" w:themeColor="text1"/>
          <w:lang w:val="fr-FR"/>
        </w:rPr>
        <w:t>’</w:t>
      </w:r>
      <w:r w:rsidRPr="00F22A7C">
        <w:rPr>
          <w:color w:val="000000" w:themeColor="text1"/>
          <w:lang w:val="fr-FR"/>
        </w:rPr>
        <w:t>un doctorat.</w:t>
      </w:r>
    </w:p>
    <w:p w14:paraId="413F74C0" w14:textId="77777777" w:rsidR="00773110" w:rsidRPr="00F22A7C" w:rsidRDefault="00773110" w:rsidP="00F34ECA">
      <w:pPr>
        <w:keepNext/>
        <w:keepLines/>
        <w:pBdr>
          <w:top w:val="nil"/>
          <w:left w:val="nil"/>
          <w:bottom w:val="nil"/>
          <w:right w:val="nil"/>
          <w:between w:val="nil"/>
        </w:pBdr>
        <w:jc w:val="both"/>
        <w:rPr>
          <w:color w:val="000000" w:themeColor="text1"/>
          <w:lang w:val="fr-FR"/>
        </w:rPr>
      </w:pPr>
    </w:p>
    <w:p w14:paraId="3A6EBCFF" w14:textId="77777777" w:rsidR="00773110" w:rsidRPr="00F22A7C" w:rsidRDefault="00773110" w:rsidP="00F34ECA">
      <w:pPr>
        <w:keepLines/>
        <w:pBdr>
          <w:top w:val="nil"/>
          <w:left w:val="nil"/>
          <w:bottom w:val="nil"/>
          <w:right w:val="nil"/>
          <w:between w:val="nil"/>
        </w:pBdr>
        <w:jc w:val="both"/>
        <w:rPr>
          <w:color w:val="000000" w:themeColor="text1"/>
          <w:u w:val="single"/>
          <w:lang w:val="fr-FR"/>
        </w:rPr>
      </w:pPr>
      <w:r w:rsidRPr="00F22A7C">
        <w:rPr>
          <w:color w:val="000000" w:themeColor="text1"/>
          <w:u w:val="single"/>
          <w:lang w:val="fr-FR"/>
        </w:rPr>
        <w:t>Programmes de formation</w:t>
      </w:r>
    </w:p>
    <w:p w14:paraId="455554E8" w14:textId="77777777" w:rsidR="00773110" w:rsidRPr="00F22A7C" w:rsidRDefault="00773110" w:rsidP="00F34ECA">
      <w:pPr>
        <w:keepLines/>
        <w:pBdr>
          <w:top w:val="nil"/>
          <w:left w:val="nil"/>
          <w:bottom w:val="nil"/>
          <w:right w:val="nil"/>
          <w:between w:val="nil"/>
        </w:pBdr>
        <w:jc w:val="both"/>
        <w:rPr>
          <w:color w:val="000000" w:themeColor="text1"/>
          <w:lang w:val="fr-FR"/>
        </w:rPr>
      </w:pPr>
    </w:p>
    <w:p w14:paraId="75A7330D" w14:textId="32BFC543" w:rsidR="00773110" w:rsidRPr="00F22A7C" w:rsidRDefault="00773110" w:rsidP="00F34ECA">
      <w:pPr>
        <w:keepLines/>
        <w:pBdr>
          <w:top w:val="nil"/>
          <w:left w:val="nil"/>
          <w:bottom w:val="nil"/>
          <w:right w:val="nil"/>
          <w:between w:val="nil"/>
        </w:pBdr>
        <w:jc w:val="both"/>
        <w:rPr>
          <w:color w:val="000000" w:themeColor="text1"/>
          <w:lang w:val="fr-FR"/>
        </w:rPr>
      </w:pPr>
      <w:r w:rsidRPr="00F22A7C">
        <w:rPr>
          <w:color w:val="000000" w:themeColor="text1"/>
          <w:lang w:val="fr-FR"/>
        </w:rPr>
        <w:t>La première étape du processus de recrutement de nouveaux effectifs consiste à recenser les besoins dans les domaines techniques et à établir les descriptions de post</w:t>
      </w:r>
      <w:r w:rsidR="00F22A7C" w:rsidRPr="00F22A7C">
        <w:rPr>
          <w:color w:val="000000" w:themeColor="text1"/>
          <w:lang w:val="fr-FR"/>
        </w:rPr>
        <w:t>es.  Un</w:t>
      </w:r>
      <w:r w:rsidRPr="00F22A7C">
        <w:rPr>
          <w:color w:val="000000" w:themeColor="text1"/>
          <w:lang w:val="fr-FR"/>
        </w:rPr>
        <w:t xml:space="preserve"> appel à candidatures public décrivant les qualifications requises est alors lancé, à l</w:t>
      </w:r>
      <w:r w:rsidR="00F34ECA" w:rsidRPr="00F22A7C">
        <w:rPr>
          <w:color w:val="000000" w:themeColor="text1"/>
          <w:lang w:val="fr-FR"/>
        </w:rPr>
        <w:t>’</w:t>
      </w:r>
      <w:r w:rsidRPr="00F22A7C">
        <w:rPr>
          <w:color w:val="000000" w:themeColor="text1"/>
          <w:lang w:val="fr-FR"/>
        </w:rPr>
        <w:t>issue duquel des candidats sont sélectionn</w:t>
      </w:r>
      <w:r w:rsidR="00F22A7C" w:rsidRPr="00F22A7C">
        <w:rPr>
          <w:color w:val="000000" w:themeColor="text1"/>
          <w:lang w:val="fr-FR"/>
        </w:rPr>
        <w:t>és.  Ce</w:t>
      </w:r>
      <w:r w:rsidRPr="00F22A7C">
        <w:rPr>
          <w:color w:val="000000" w:themeColor="text1"/>
          <w:lang w:val="fr-FR"/>
        </w:rPr>
        <w:t>ux</w:t>
      </w:r>
      <w:r w:rsidR="00F22A7C">
        <w:rPr>
          <w:color w:val="000000" w:themeColor="text1"/>
          <w:lang w:val="fr-FR"/>
        </w:rPr>
        <w:noBreakHyphen/>
      </w:r>
      <w:r w:rsidRPr="00F22A7C">
        <w:rPr>
          <w:color w:val="000000" w:themeColor="text1"/>
          <w:lang w:val="fr-FR"/>
        </w:rPr>
        <w:t>ci reçoivent une formation approfondie et font l</w:t>
      </w:r>
      <w:r w:rsidR="00F34ECA" w:rsidRPr="00F22A7C">
        <w:rPr>
          <w:color w:val="000000" w:themeColor="text1"/>
          <w:lang w:val="fr-FR"/>
        </w:rPr>
        <w:t>’</w:t>
      </w:r>
      <w:r w:rsidRPr="00F22A7C">
        <w:rPr>
          <w:color w:val="000000" w:themeColor="text1"/>
          <w:lang w:val="fr-FR"/>
        </w:rPr>
        <w:t>objet d</w:t>
      </w:r>
      <w:r w:rsidR="00F34ECA" w:rsidRPr="00F22A7C">
        <w:rPr>
          <w:color w:val="000000" w:themeColor="text1"/>
          <w:lang w:val="fr-FR"/>
        </w:rPr>
        <w:t>’</w:t>
      </w:r>
      <w:r w:rsidRPr="00F22A7C">
        <w:rPr>
          <w:color w:val="000000" w:themeColor="text1"/>
          <w:lang w:val="fr-FR"/>
        </w:rPr>
        <w:t>un processus de sélection en deux</w:t>
      </w:r>
      <w:r w:rsidR="005070E1" w:rsidRPr="00F22A7C">
        <w:rPr>
          <w:color w:val="000000" w:themeColor="text1"/>
          <w:lang w:val="fr-FR"/>
        </w:rPr>
        <w:t> </w:t>
      </w:r>
      <w:r w:rsidRPr="00F22A7C">
        <w:rPr>
          <w:color w:val="000000" w:themeColor="text1"/>
          <w:lang w:val="fr-FR"/>
        </w:rPr>
        <w:t>étapes</w:t>
      </w:r>
      <w:r w:rsidR="00F34ECA" w:rsidRPr="00F22A7C">
        <w:rPr>
          <w:color w:val="000000" w:themeColor="text1"/>
          <w:lang w:val="fr-FR"/>
        </w:rPr>
        <w:t> :</w:t>
      </w:r>
      <w:r w:rsidRPr="00F22A7C">
        <w:rPr>
          <w:color w:val="000000" w:themeColor="text1"/>
          <w:lang w:val="fr-FR"/>
        </w:rPr>
        <w:t xml:space="preserve"> pour commencer, un stage d</w:t>
      </w:r>
      <w:r w:rsidR="00F34ECA" w:rsidRPr="00F22A7C">
        <w:rPr>
          <w:color w:val="000000" w:themeColor="text1"/>
          <w:lang w:val="fr-FR"/>
        </w:rPr>
        <w:t>’</w:t>
      </w:r>
      <w:r w:rsidRPr="00F22A7C">
        <w:rPr>
          <w:color w:val="000000" w:themeColor="text1"/>
          <w:lang w:val="fr-FR"/>
        </w:rPr>
        <w:t xml:space="preserve">initiation, qui vise à dispenser des connaissances et des compétences générales sur les brevets et la propriété </w:t>
      </w:r>
      <w:proofErr w:type="gramStart"/>
      <w:r w:rsidRPr="00F22A7C">
        <w:rPr>
          <w:color w:val="000000" w:themeColor="text1"/>
          <w:lang w:val="fr-FR"/>
        </w:rPr>
        <w:t>industrielle;  une</w:t>
      </w:r>
      <w:proofErr w:type="gramEnd"/>
      <w:r w:rsidRPr="00F22A7C">
        <w:rPr>
          <w:color w:val="000000" w:themeColor="text1"/>
          <w:lang w:val="fr-FR"/>
        </w:rPr>
        <w:t xml:space="preserve"> deuxième étape correspond à la formation elle</w:t>
      </w:r>
      <w:r w:rsidR="00F22A7C">
        <w:rPr>
          <w:color w:val="000000" w:themeColor="text1"/>
          <w:lang w:val="fr-FR"/>
        </w:rPr>
        <w:noBreakHyphen/>
      </w:r>
      <w:r w:rsidRPr="00F22A7C">
        <w:rPr>
          <w:color w:val="000000" w:themeColor="text1"/>
          <w:lang w:val="fr-FR"/>
        </w:rPr>
        <w:t>mê</w:t>
      </w:r>
      <w:r w:rsidR="00F22A7C" w:rsidRPr="00F22A7C">
        <w:rPr>
          <w:color w:val="000000" w:themeColor="text1"/>
          <w:lang w:val="fr-FR"/>
        </w:rPr>
        <w:t>me.  Pe</w:t>
      </w:r>
      <w:r w:rsidRPr="00F22A7C">
        <w:rPr>
          <w:color w:val="000000" w:themeColor="text1"/>
          <w:lang w:val="fr-FR"/>
        </w:rPr>
        <w:t>ndant cette période, les candidats travaillent sous la direction d</w:t>
      </w:r>
      <w:r w:rsidR="00F34ECA" w:rsidRPr="00F22A7C">
        <w:rPr>
          <w:color w:val="000000" w:themeColor="text1"/>
          <w:lang w:val="fr-FR"/>
        </w:rPr>
        <w:t>’</w:t>
      </w:r>
      <w:r w:rsidRPr="00F22A7C">
        <w:rPr>
          <w:color w:val="000000" w:themeColor="text1"/>
          <w:lang w:val="fr-FR"/>
        </w:rPr>
        <w:t>experts de l</w:t>
      </w:r>
      <w:r w:rsidR="00F34ECA" w:rsidRPr="00F22A7C">
        <w:rPr>
          <w:color w:val="000000" w:themeColor="text1"/>
          <w:lang w:val="fr-FR"/>
        </w:rPr>
        <w:t>’</w:t>
      </w:r>
      <w:r w:rsidRPr="00F22A7C">
        <w:rPr>
          <w:color w:val="000000" w:themeColor="text1"/>
          <w:lang w:val="fr-FR"/>
        </w:rPr>
        <w:t>INAPI à l</w:t>
      </w:r>
      <w:r w:rsidR="00F34ECA" w:rsidRPr="00F22A7C">
        <w:rPr>
          <w:color w:val="000000" w:themeColor="text1"/>
          <w:lang w:val="fr-FR"/>
        </w:rPr>
        <w:t>’</w:t>
      </w:r>
      <w:r w:rsidRPr="00F22A7C">
        <w:rPr>
          <w:color w:val="000000" w:themeColor="text1"/>
          <w:lang w:val="fr-FR"/>
        </w:rPr>
        <w:t>examen de demandes de brevet en conditions réell</w:t>
      </w:r>
      <w:r w:rsidR="00F22A7C" w:rsidRPr="00F22A7C">
        <w:rPr>
          <w:color w:val="000000" w:themeColor="text1"/>
          <w:lang w:val="fr-FR"/>
        </w:rPr>
        <w:t>es.  L’e</w:t>
      </w:r>
      <w:r w:rsidRPr="00F22A7C">
        <w:rPr>
          <w:color w:val="000000" w:themeColor="text1"/>
          <w:lang w:val="fr-FR"/>
        </w:rPr>
        <w:t>nsemble du processus est supervisé par les responsables des différents domaines techniques du Département de l</w:t>
      </w:r>
      <w:r w:rsidR="00F34ECA" w:rsidRPr="00F22A7C">
        <w:rPr>
          <w:color w:val="000000" w:themeColor="text1"/>
          <w:lang w:val="fr-FR"/>
        </w:rPr>
        <w:t>’</w:t>
      </w:r>
      <w:r w:rsidRPr="00F22A7C">
        <w:rPr>
          <w:color w:val="000000" w:themeColor="text1"/>
          <w:lang w:val="fr-FR"/>
        </w:rPr>
        <w:t>examen des brevets, qui évaluent les capacités des candidats et la qualité de leur travail afin de retenir ceux qui répondent aux exigences fixées par l</w:t>
      </w:r>
      <w:r w:rsidR="00F34ECA" w:rsidRPr="00F22A7C">
        <w:rPr>
          <w:color w:val="000000" w:themeColor="text1"/>
          <w:lang w:val="fr-FR"/>
        </w:rPr>
        <w:t>’</w:t>
      </w:r>
      <w:r w:rsidRPr="00F22A7C">
        <w:rPr>
          <w:color w:val="000000" w:themeColor="text1"/>
          <w:lang w:val="fr-FR"/>
        </w:rPr>
        <w:t>INAPI.</w:t>
      </w:r>
    </w:p>
    <w:p w14:paraId="2A5E73B5" w14:textId="77777777" w:rsidR="00773110" w:rsidRPr="00F22A7C" w:rsidRDefault="00773110" w:rsidP="00F34ECA">
      <w:pPr>
        <w:keepNext/>
        <w:keepLines/>
        <w:pBdr>
          <w:top w:val="nil"/>
          <w:left w:val="nil"/>
          <w:bottom w:val="nil"/>
          <w:right w:val="nil"/>
          <w:between w:val="nil"/>
        </w:pBdr>
        <w:jc w:val="both"/>
        <w:rPr>
          <w:color w:val="000000" w:themeColor="text1"/>
          <w:lang w:val="fr-FR"/>
        </w:rPr>
      </w:pPr>
    </w:p>
    <w:p w14:paraId="0489B582" w14:textId="750DBEB1" w:rsidR="00773110" w:rsidRPr="00F22A7C" w:rsidRDefault="00773110" w:rsidP="00F34ECA">
      <w:pPr>
        <w:pBdr>
          <w:top w:val="nil"/>
          <w:left w:val="nil"/>
          <w:bottom w:val="nil"/>
          <w:right w:val="nil"/>
          <w:between w:val="nil"/>
        </w:pBdr>
        <w:jc w:val="both"/>
        <w:rPr>
          <w:color w:val="000000" w:themeColor="text1"/>
          <w:lang w:val="fr-FR"/>
        </w:rPr>
      </w:pPr>
      <w:r w:rsidRPr="00F22A7C">
        <w:rPr>
          <w:color w:val="000000" w:themeColor="text1"/>
          <w:lang w:val="fr-FR"/>
        </w:rPr>
        <w:t>Chacun des candidats retenus est placé sous la supervision d</w:t>
      </w:r>
      <w:r w:rsidR="00F34ECA" w:rsidRPr="00F22A7C">
        <w:rPr>
          <w:color w:val="000000" w:themeColor="text1"/>
          <w:lang w:val="fr-FR"/>
        </w:rPr>
        <w:t>’</w:t>
      </w:r>
      <w:r w:rsidRPr="00F22A7C">
        <w:rPr>
          <w:color w:val="000000" w:themeColor="text1"/>
          <w:lang w:val="fr-FR"/>
        </w:rPr>
        <w:t>un formateur qui l</w:t>
      </w:r>
      <w:r w:rsidR="00F34ECA" w:rsidRPr="00F22A7C">
        <w:rPr>
          <w:color w:val="000000" w:themeColor="text1"/>
          <w:lang w:val="fr-FR"/>
        </w:rPr>
        <w:t>’</w:t>
      </w:r>
      <w:r w:rsidRPr="00F22A7C">
        <w:rPr>
          <w:color w:val="000000" w:themeColor="text1"/>
          <w:lang w:val="fr-FR"/>
        </w:rPr>
        <w:t>aide à rédiger ses premiers rappor</w:t>
      </w:r>
      <w:r w:rsidR="00F22A7C" w:rsidRPr="00F22A7C">
        <w:rPr>
          <w:color w:val="000000" w:themeColor="text1"/>
          <w:lang w:val="fr-FR"/>
        </w:rPr>
        <w:t>ts.  Ce</w:t>
      </w:r>
      <w:r w:rsidRPr="00F22A7C">
        <w:rPr>
          <w:color w:val="000000" w:themeColor="text1"/>
          <w:lang w:val="fr-FR"/>
        </w:rPr>
        <w:t>t encadrement se poursuit pendant une année et fait intervenir différents formateurs d</w:t>
      </w:r>
      <w:r w:rsidR="00F34ECA" w:rsidRPr="00F22A7C">
        <w:rPr>
          <w:color w:val="000000" w:themeColor="text1"/>
          <w:lang w:val="fr-FR"/>
        </w:rPr>
        <w:t>’</w:t>
      </w:r>
      <w:r w:rsidRPr="00F22A7C">
        <w:rPr>
          <w:color w:val="000000" w:themeColor="text1"/>
          <w:lang w:val="fr-FR"/>
        </w:rPr>
        <w:t>un même domaine techniq</w:t>
      </w:r>
      <w:r w:rsidR="00F22A7C" w:rsidRPr="00F22A7C">
        <w:rPr>
          <w:color w:val="000000" w:themeColor="text1"/>
          <w:lang w:val="fr-FR"/>
        </w:rPr>
        <w:t>ue.  Le</w:t>
      </w:r>
      <w:r w:rsidRPr="00F22A7C">
        <w:rPr>
          <w:color w:val="000000" w:themeColor="text1"/>
          <w:lang w:val="fr-FR"/>
        </w:rPr>
        <w:t xml:space="preserve"> travail des nouvelles recrues est évalué tous les quatre mo</w:t>
      </w:r>
      <w:r w:rsidR="00F22A7C" w:rsidRPr="00F22A7C">
        <w:rPr>
          <w:color w:val="000000" w:themeColor="text1"/>
          <w:lang w:val="fr-FR"/>
        </w:rPr>
        <w:t>is.  Le</w:t>
      </w:r>
      <w:r w:rsidRPr="00F22A7C">
        <w:rPr>
          <w:color w:val="000000" w:themeColor="text1"/>
          <w:lang w:val="fr-FR"/>
        </w:rPr>
        <w:t>s candidats qui, après un an ou moins, ont acquis les compétences et les aptitudes nécessaires pour établir des rapports de recherche et d</w:t>
      </w:r>
      <w:r w:rsidR="00F34ECA" w:rsidRPr="00F22A7C">
        <w:rPr>
          <w:color w:val="000000" w:themeColor="text1"/>
          <w:lang w:val="fr-FR"/>
        </w:rPr>
        <w:t>’</w:t>
      </w:r>
      <w:r w:rsidRPr="00F22A7C">
        <w:rPr>
          <w:color w:val="000000" w:themeColor="text1"/>
          <w:lang w:val="fr-FR"/>
        </w:rPr>
        <w:t>examen, peuvent commencer à travailler de manière indépendan</w:t>
      </w:r>
      <w:r w:rsidR="00F22A7C" w:rsidRPr="00F22A7C">
        <w:rPr>
          <w:color w:val="000000" w:themeColor="text1"/>
          <w:lang w:val="fr-FR"/>
        </w:rPr>
        <w:t>te.  L’o</w:t>
      </w:r>
      <w:r w:rsidRPr="00F22A7C">
        <w:rPr>
          <w:color w:val="000000" w:themeColor="text1"/>
          <w:lang w:val="fr-FR"/>
        </w:rPr>
        <w:t>bjectif de ce système est de faire en sorte que, en l</w:t>
      </w:r>
      <w:r w:rsidR="00F34ECA" w:rsidRPr="00F22A7C">
        <w:rPr>
          <w:color w:val="000000" w:themeColor="text1"/>
          <w:lang w:val="fr-FR"/>
        </w:rPr>
        <w:t>’</w:t>
      </w:r>
      <w:r w:rsidRPr="00F22A7C">
        <w:rPr>
          <w:color w:val="000000" w:themeColor="text1"/>
          <w:lang w:val="fr-FR"/>
        </w:rPr>
        <w:t>espace de 18 mois, tous les nouveaux experts soient en mesure d</w:t>
      </w:r>
      <w:r w:rsidR="00F34ECA" w:rsidRPr="00F22A7C">
        <w:rPr>
          <w:color w:val="000000" w:themeColor="text1"/>
          <w:lang w:val="fr-FR"/>
        </w:rPr>
        <w:t>’</w:t>
      </w:r>
      <w:r w:rsidRPr="00F22A7C">
        <w:rPr>
          <w:color w:val="000000" w:themeColor="text1"/>
          <w:lang w:val="fr-FR"/>
        </w:rPr>
        <w:t xml:space="preserve">effectuer les travaux </w:t>
      </w:r>
      <w:r w:rsidRPr="00F22A7C">
        <w:rPr>
          <w:color w:val="000000" w:themeColor="text1"/>
          <w:lang w:val="fr-FR"/>
        </w:rPr>
        <w:lastRenderedPageBreak/>
        <w:t>de recherche et d</w:t>
      </w:r>
      <w:r w:rsidR="00F34ECA" w:rsidRPr="00F22A7C">
        <w:rPr>
          <w:color w:val="000000" w:themeColor="text1"/>
          <w:lang w:val="fr-FR"/>
        </w:rPr>
        <w:t>’</w:t>
      </w:r>
      <w:r w:rsidRPr="00F22A7C">
        <w:rPr>
          <w:color w:val="000000" w:themeColor="text1"/>
          <w:lang w:val="fr-FR"/>
        </w:rPr>
        <w:t>examen sur les demandes de brevet sans l</w:t>
      </w:r>
      <w:r w:rsidR="00F34ECA" w:rsidRPr="00F22A7C">
        <w:rPr>
          <w:color w:val="000000" w:themeColor="text1"/>
          <w:lang w:val="fr-FR"/>
        </w:rPr>
        <w:t>’</w:t>
      </w:r>
      <w:r w:rsidRPr="00F22A7C">
        <w:rPr>
          <w:color w:val="000000" w:themeColor="text1"/>
          <w:lang w:val="fr-FR"/>
        </w:rPr>
        <w:t>aide d</w:t>
      </w:r>
      <w:r w:rsidR="00F34ECA" w:rsidRPr="00F22A7C">
        <w:rPr>
          <w:color w:val="000000" w:themeColor="text1"/>
          <w:lang w:val="fr-FR"/>
        </w:rPr>
        <w:t>’</w:t>
      </w:r>
      <w:r w:rsidRPr="00F22A7C">
        <w:rPr>
          <w:color w:val="000000" w:themeColor="text1"/>
          <w:lang w:val="fr-FR"/>
        </w:rPr>
        <w:t>un formateur, en conformité avec la législation, la réglementation et les directives.</w:t>
      </w:r>
    </w:p>
    <w:p w14:paraId="3204EC08" w14:textId="5A41CF53" w:rsidR="00773110" w:rsidRPr="00F22A7C" w:rsidRDefault="00773110" w:rsidP="00F34ECA">
      <w:pPr>
        <w:keepLines/>
        <w:pBdr>
          <w:top w:val="nil"/>
          <w:left w:val="nil"/>
          <w:bottom w:val="nil"/>
          <w:right w:val="nil"/>
          <w:between w:val="nil"/>
        </w:pBdr>
        <w:spacing w:before="240" w:after="480"/>
        <w:jc w:val="both"/>
        <w:rPr>
          <w:color w:val="000000" w:themeColor="text1"/>
          <w:lang w:val="fr-FR"/>
        </w:rPr>
      </w:pPr>
      <w:r w:rsidRPr="00F22A7C">
        <w:rPr>
          <w:color w:val="000000" w:themeColor="text1"/>
          <w:lang w:val="fr-FR"/>
        </w:rPr>
        <w:t>Le processus de recrutement et de formation a été conçu de façon à ne pas compromettre la productivité de l</w:t>
      </w:r>
      <w:r w:rsidR="00F34ECA" w:rsidRPr="00F22A7C">
        <w:rPr>
          <w:color w:val="000000" w:themeColor="text1"/>
          <w:lang w:val="fr-FR"/>
        </w:rPr>
        <w:t>’</w:t>
      </w:r>
      <w:r w:rsidRPr="00F22A7C">
        <w:rPr>
          <w:color w:val="000000" w:themeColor="text1"/>
          <w:lang w:val="fr-FR"/>
        </w:rPr>
        <w:t>offi</w:t>
      </w:r>
      <w:r w:rsidR="00F22A7C" w:rsidRPr="00F22A7C">
        <w:rPr>
          <w:color w:val="000000" w:themeColor="text1"/>
          <w:lang w:val="fr-FR"/>
        </w:rPr>
        <w:t>ce.  Ce</w:t>
      </w:r>
      <w:r w:rsidRPr="00F22A7C">
        <w:rPr>
          <w:color w:val="000000" w:themeColor="text1"/>
          <w:lang w:val="fr-FR"/>
        </w:rPr>
        <w:t>la s</w:t>
      </w:r>
      <w:r w:rsidR="00F34ECA" w:rsidRPr="00F22A7C">
        <w:rPr>
          <w:color w:val="000000" w:themeColor="text1"/>
          <w:lang w:val="fr-FR"/>
        </w:rPr>
        <w:t>’</w:t>
      </w:r>
      <w:r w:rsidRPr="00F22A7C">
        <w:rPr>
          <w:color w:val="000000" w:themeColor="text1"/>
          <w:lang w:val="fr-FR"/>
        </w:rPr>
        <w:t>est traduit ces dernières années par une réduction rapide du nombre de demandes en instance.</w:t>
      </w:r>
    </w:p>
    <w:p w14:paraId="01DFC467" w14:textId="0E2D4B3B" w:rsidR="00773110" w:rsidRPr="00F22A7C" w:rsidRDefault="00773110" w:rsidP="00F34ECA">
      <w:pPr>
        <w:keepNext/>
        <w:keepLines/>
        <w:pBdr>
          <w:top w:val="single" w:sz="4" w:space="1" w:color="000000"/>
          <w:left w:val="nil"/>
          <w:bottom w:val="nil"/>
          <w:right w:val="nil"/>
          <w:between w:val="nil"/>
        </w:pBdr>
        <w:spacing w:before="360" w:after="200" w:line="480" w:lineRule="auto"/>
        <w:rPr>
          <w:b/>
          <w:caps/>
          <w:color w:val="000000"/>
          <w:lang w:val="fr-FR"/>
        </w:rPr>
      </w:pPr>
      <w:r w:rsidRPr="00F22A7C">
        <w:rPr>
          <w:b/>
          <w:caps/>
          <w:color w:val="000000"/>
          <w:lang w:val="fr-FR"/>
        </w:rPr>
        <w:t>2.2 </w:t>
      </w:r>
      <w:r w:rsidR="00F22A7C" w:rsidRPr="00F22A7C">
        <w:rPr>
          <w:b/>
          <w:caps/>
          <w:color w:val="000000"/>
          <w:lang w:val="fr-FR"/>
        </w:rPr>
        <w:t>–</w:t>
      </w:r>
      <w:r w:rsidRPr="00F22A7C">
        <w:rPr>
          <w:b/>
          <w:caps/>
          <w:color w:val="000000"/>
          <w:lang w:val="fr-FR"/>
        </w:rPr>
        <w:t xml:space="preserve"> Documentation minimale </w:t>
      </w:r>
      <w:r w:rsidR="00F22A7C" w:rsidRPr="00F22A7C">
        <w:rPr>
          <w:b/>
          <w:caps/>
          <w:color w:val="000000"/>
          <w:lang w:val="fr-FR"/>
        </w:rPr>
        <w:t>–</w:t>
      </w:r>
      <w:r w:rsidRPr="00F22A7C">
        <w:rPr>
          <w:b/>
          <w:caps/>
          <w:color w:val="000000"/>
          <w:lang w:val="fr-FR"/>
        </w:rPr>
        <w:t xml:space="preserve"> Mise à disposition pour consultation</w:t>
      </w:r>
    </w:p>
    <w:p w14:paraId="007E6090" w14:textId="556A4D71" w:rsidR="00773110" w:rsidRPr="00F22A7C" w:rsidRDefault="00773110" w:rsidP="00F34ECA">
      <w:pPr>
        <w:keepNext/>
        <w:keepLines/>
        <w:pBdr>
          <w:top w:val="nil"/>
          <w:left w:val="nil"/>
          <w:bottom w:val="nil"/>
          <w:right w:val="nil"/>
          <w:between w:val="nil"/>
        </w:pBdr>
        <w:spacing w:after="240"/>
        <w:ind w:left="567" w:right="567"/>
        <w:rPr>
          <w:i/>
          <w:color w:val="000000"/>
          <w:lang w:val="fr-FR"/>
        </w:rPr>
      </w:pPr>
      <w:r w:rsidRPr="00F22A7C">
        <w:rPr>
          <w:i/>
          <w:color w:val="000000"/>
          <w:lang w:val="fr-FR"/>
        </w:rPr>
        <w:t>Règles 36.</w:t>
      </w:r>
      <w:proofErr w:type="gramStart"/>
      <w:r w:rsidRPr="00F22A7C">
        <w:rPr>
          <w:i/>
          <w:color w:val="000000"/>
          <w:lang w:val="fr-FR"/>
        </w:rPr>
        <w:t>1.ii</w:t>
      </w:r>
      <w:proofErr w:type="gramEnd"/>
      <w:r w:rsidRPr="00F22A7C">
        <w:rPr>
          <w:i/>
          <w:color w:val="000000"/>
          <w:lang w:val="fr-FR"/>
        </w:rPr>
        <w:t>) et 63.1.ii)</w:t>
      </w:r>
      <w:r w:rsidR="00F34ECA" w:rsidRPr="00F22A7C">
        <w:rPr>
          <w:i/>
          <w:color w:val="000000"/>
          <w:lang w:val="fr-FR"/>
        </w:rPr>
        <w:t> :</w:t>
      </w:r>
      <w:r w:rsidRPr="00F22A7C">
        <w:rPr>
          <w:i/>
          <w:color w:val="000000"/>
          <w:lang w:val="fr-FR"/>
        </w:rPr>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0B4B3030" w14:textId="0AE51359" w:rsidR="00773110" w:rsidRPr="00F22A7C" w:rsidRDefault="00773110" w:rsidP="00F34ECA">
      <w:pPr>
        <w:keepNext/>
        <w:keepLines/>
        <w:pBdr>
          <w:top w:val="nil"/>
          <w:left w:val="nil"/>
          <w:bottom w:val="nil"/>
          <w:right w:val="nil"/>
          <w:between w:val="nil"/>
        </w:pBdr>
        <w:spacing w:after="240"/>
        <w:ind w:left="567" w:right="567"/>
        <w:rPr>
          <w:i/>
          <w:iCs/>
          <w:color w:val="000000"/>
          <w:lang w:val="fr-FR"/>
        </w:rPr>
      </w:pPr>
      <w:r w:rsidRPr="00F22A7C">
        <w:rPr>
          <w:i/>
          <w:iCs/>
          <w:lang w:val="fr-FR"/>
        </w:rPr>
        <w:t xml:space="preserve">Les exigences prévues dans les instructions administratives sont précisées dans la circulaire </w:t>
      </w:r>
      <w:hyperlink r:id="rId12">
        <w:r w:rsidRPr="00F22A7C">
          <w:rPr>
            <w:rStyle w:val="Hyperlink"/>
            <w:i/>
            <w:iCs/>
            <w:lang w:val="fr-FR"/>
          </w:rPr>
          <w:t>C. PCT 1672</w:t>
        </w:r>
      </w:hyperlink>
      <w:r w:rsidRPr="00F22A7C">
        <w:rPr>
          <w:i/>
          <w:iCs/>
          <w:lang w:val="fr-FR"/>
        </w:rPr>
        <w:t xml:space="preserve"> datée du 19 juin 2024.</w:t>
      </w:r>
    </w:p>
    <w:p w14:paraId="5E844A91" w14:textId="293939A0" w:rsidR="00773110" w:rsidRPr="00F22A7C" w:rsidRDefault="00773110" w:rsidP="00F34ECA">
      <w:pPr>
        <w:keepNext/>
        <w:keepLines/>
        <w:pBdr>
          <w:top w:val="nil"/>
          <w:left w:val="nil"/>
          <w:bottom w:val="nil"/>
          <w:right w:val="nil"/>
          <w:between w:val="nil"/>
        </w:pBdr>
        <w:rPr>
          <w:color w:val="000000"/>
          <w:lang w:val="fr-FR"/>
        </w:rPr>
      </w:pPr>
      <w:r w:rsidRPr="00F22A7C">
        <w:rPr>
          <w:color w:val="000000"/>
          <w:lang w:val="fr-FR"/>
        </w:rPr>
        <w:t>La mise à disposition pour consultation, dans le cadre de la documentation minimale visée à la règle 34, des brevets délivrés et des demandes de brevet publiées par l</w:t>
      </w:r>
      <w:r w:rsidR="00F34ECA" w:rsidRPr="00F22A7C">
        <w:rPr>
          <w:color w:val="000000"/>
          <w:lang w:val="fr-FR"/>
        </w:rPr>
        <w:t>’</w:t>
      </w:r>
      <w:r w:rsidRPr="00F22A7C">
        <w:rPr>
          <w:color w:val="000000"/>
          <w:lang w:val="fr-FR"/>
        </w:rPr>
        <w:t>office ou, le cas échéant, par les offices qui sont membres de l</w:t>
      </w:r>
      <w:r w:rsidR="00F34ECA" w:rsidRPr="00F22A7C">
        <w:rPr>
          <w:color w:val="000000"/>
          <w:lang w:val="fr-FR"/>
        </w:rPr>
        <w:t>’</w:t>
      </w:r>
      <w:r w:rsidRPr="00F22A7C">
        <w:rPr>
          <w:color w:val="000000"/>
          <w:lang w:val="fr-FR"/>
        </w:rPr>
        <w:t>organisation intergouvernementale, conformément à l</w:t>
      </w:r>
      <w:r w:rsidR="00F34ECA" w:rsidRPr="00F22A7C">
        <w:rPr>
          <w:color w:val="000000"/>
          <w:lang w:val="fr-FR"/>
        </w:rPr>
        <w:t>’</w:t>
      </w:r>
      <w:r w:rsidRPr="00F22A7C">
        <w:rPr>
          <w:color w:val="000000"/>
          <w:lang w:val="fr-FR"/>
        </w:rPr>
        <w:t>accord de principe adopté par l</w:t>
      </w:r>
      <w:r w:rsidR="00F34ECA" w:rsidRPr="00F22A7C">
        <w:rPr>
          <w:color w:val="000000"/>
          <w:lang w:val="fr-FR"/>
        </w:rPr>
        <w:t>’</w:t>
      </w:r>
      <w:r w:rsidRPr="00F22A7C">
        <w:rPr>
          <w:color w:val="000000"/>
          <w:lang w:val="fr-FR"/>
        </w:rPr>
        <w:t>Assemblée de l</w:t>
      </w:r>
      <w:r w:rsidR="00F34ECA" w:rsidRPr="00F22A7C">
        <w:rPr>
          <w:color w:val="000000"/>
          <w:lang w:val="fr-FR"/>
        </w:rPr>
        <w:t>’</w:t>
      </w:r>
      <w:r w:rsidRPr="00F22A7C">
        <w:rPr>
          <w:color w:val="000000"/>
          <w:lang w:val="fr-FR"/>
        </w:rPr>
        <w:t>Union</w:t>
      </w:r>
      <w:r w:rsidR="00F34ECA" w:rsidRPr="00F22A7C">
        <w:rPr>
          <w:color w:val="000000"/>
          <w:lang w:val="fr-FR"/>
        </w:rPr>
        <w:t xml:space="preserve"> du PCT</w:t>
      </w:r>
      <w:r w:rsidRPr="00F22A7C">
        <w:rPr>
          <w:color w:val="000000"/>
          <w:lang w:val="fr-FR"/>
        </w:rPr>
        <w:t xml:space="preserve"> figurant au paragraphe 8 du </w:t>
      </w:r>
      <w:r w:rsidR="00F34ECA" w:rsidRPr="00F22A7C">
        <w:rPr>
          <w:color w:val="000000"/>
          <w:lang w:val="fr-FR"/>
        </w:rPr>
        <w:t>document</w:t>
      </w:r>
      <w:r w:rsidR="00F22A7C">
        <w:rPr>
          <w:color w:val="000000"/>
          <w:lang w:val="fr-FR"/>
        </w:rPr>
        <w:t> </w:t>
      </w:r>
      <w:r w:rsidR="00F34ECA" w:rsidRPr="00F22A7C">
        <w:rPr>
          <w:color w:val="000000"/>
          <w:lang w:val="fr-FR"/>
        </w:rPr>
        <w:t>PC</w:t>
      </w:r>
      <w:r w:rsidRPr="00F22A7C">
        <w:rPr>
          <w:color w:val="000000"/>
          <w:lang w:val="fr-FR"/>
        </w:rPr>
        <w:t>T/A/55/2, est notifiée comme suit</w:t>
      </w:r>
      <w:r w:rsidR="00F34ECA" w:rsidRPr="00F22A7C">
        <w:rPr>
          <w:color w:val="000000"/>
          <w:lang w:val="fr-FR"/>
        </w:rPr>
        <w:t> :</w:t>
      </w:r>
      <w:r w:rsidRPr="00F22A7C">
        <w:rPr>
          <w:color w:val="000000"/>
          <w:lang w:val="fr-FR"/>
        </w:rPr>
        <w:br/>
      </w:r>
      <w:r w:rsidRPr="00F22A7C">
        <w:rPr>
          <w:color w:val="000000"/>
          <w:lang w:val="fr-FR"/>
        </w:rPr>
        <w:br/>
        <w:t>Soit</w:t>
      </w:r>
      <w:r w:rsidR="00F34ECA" w:rsidRPr="00F22A7C">
        <w:rPr>
          <w:color w:val="000000"/>
          <w:lang w:val="fr-FR"/>
        </w:rPr>
        <w:t> :</w:t>
      </w:r>
      <w:r w:rsidRPr="00F22A7C">
        <w:rPr>
          <w:color w:val="000000"/>
          <w:lang w:val="fr-FR"/>
        </w:rPr>
        <w:br/>
      </w:r>
      <w:r w:rsidRPr="00F22A7C">
        <w:rPr>
          <w:color w:val="000000"/>
          <w:lang w:val="fr-FR"/>
        </w:rPr>
        <w:br/>
      </w:r>
      <w:r w:rsidRPr="00F22A7C">
        <w:rPr>
          <w:rFonts w:ascii="MS Gothic" w:hAnsi="MS Gothic"/>
          <w:lang w:val="fr-FR"/>
        </w:rPr>
        <w:t>☒</w:t>
      </w:r>
      <w:r w:rsidRPr="00F22A7C">
        <w:rPr>
          <w:color w:val="000000"/>
          <w:lang w:val="fr-FR"/>
        </w:rPr>
        <w:t xml:space="preserve"> L</w:t>
      </w:r>
      <w:r w:rsidR="00F34ECA" w:rsidRPr="00F22A7C">
        <w:rPr>
          <w:color w:val="000000"/>
          <w:lang w:val="fr-FR"/>
        </w:rPr>
        <w:t>’</w:t>
      </w:r>
      <w:r w:rsidRPr="00F22A7C">
        <w:rPr>
          <w:color w:val="000000"/>
          <w:lang w:val="fr-FR"/>
        </w:rPr>
        <w:t>Équipe d</w:t>
      </w:r>
      <w:r w:rsidR="00F34ECA" w:rsidRPr="00F22A7C">
        <w:rPr>
          <w:color w:val="000000"/>
          <w:lang w:val="fr-FR"/>
        </w:rPr>
        <w:t>’</w:t>
      </w:r>
      <w:r w:rsidRPr="00F22A7C">
        <w:rPr>
          <w:color w:val="000000"/>
          <w:lang w:val="fr-FR"/>
        </w:rPr>
        <w:t>experts chargée de la documentation minimale</w:t>
      </w:r>
      <w:r w:rsidR="00F34ECA" w:rsidRPr="00F22A7C">
        <w:rPr>
          <w:color w:val="000000"/>
          <w:lang w:val="fr-FR"/>
        </w:rPr>
        <w:t xml:space="preserve"> du PCT</w:t>
      </w:r>
      <w:r w:rsidRPr="00F22A7C">
        <w:rPr>
          <w:color w:val="000000"/>
          <w:lang w:val="fr-FR"/>
        </w:rPr>
        <w:t xml:space="preserve"> a vérifié la disponibilité des collections de documents de brevet avant le</w:t>
      </w:r>
      <w:r w:rsidR="00F34ECA" w:rsidRPr="00F22A7C">
        <w:rPr>
          <w:color w:val="000000"/>
          <w:lang w:val="fr-FR"/>
        </w:rPr>
        <w:t xml:space="preserve"> 1</w:t>
      </w:r>
      <w:r w:rsidR="00F34ECA" w:rsidRPr="00F22A7C">
        <w:rPr>
          <w:color w:val="000000"/>
          <w:vertAlign w:val="superscript"/>
          <w:lang w:val="fr-FR"/>
        </w:rPr>
        <w:t>er</w:t>
      </w:r>
      <w:r w:rsidR="00F34ECA" w:rsidRPr="00F22A7C">
        <w:rPr>
          <w:color w:val="000000"/>
          <w:lang w:val="fr-FR"/>
        </w:rPr>
        <w:t> </w:t>
      </w:r>
      <w:r w:rsidRPr="00F22A7C">
        <w:rPr>
          <w:color w:val="000000"/>
          <w:lang w:val="fr-FR"/>
        </w:rPr>
        <w:t>novembre 2025 et certifie que les exigences ont été respecté</w:t>
      </w:r>
      <w:r w:rsidR="00F22A7C" w:rsidRPr="00F22A7C">
        <w:rPr>
          <w:color w:val="000000"/>
          <w:lang w:val="fr-FR"/>
        </w:rPr>
        <w:t>es.  La</w:t>
      </w:r>
      <w:r w:rsidRPr="00F22A7C">
        <w:rPr>
          <w:color w:val="000000"/>
          <w:lang w:val="fr-FR"/>
        </w:rPr>
        <w:t xml:space="preserve"> portée et le format des documents que l</w:t>
      </w:r>
      <w:r w:rsidR="00F34ECA" w:rsidRPr="00F22A7C">
        <w:rPr>
          <w:color w:val="000000"/>
          <w:lang w:val="fr-FR"/>
        </w:rPr>
        <w:t>’</w:t>
      </w:r>
      <w:r w:rsidRPr="00F22A7C">
        <w:rPr>
          <w:color w:val="000000"/>
          <w:lang w:val="fr-FR"/>
        </w:rPr>
        <w:t>administration a mis à disposition pour consultation ont été publiés dans la Gazette</w:t>
      </w:r>
      <w:r w:rsidR="00F34ECA" w:rsidRPr="00F22A7C">
        <w:rPr>
          <w:color w:val="000000"/>
          <w:lang w:val="fr-FR"/>
        </w:rPr>
        <w:t xml:space="preserve"> du PCT</w:t>
      </w:r>
      <w:r w:rsidRPr="00F22A7C">
        <w:rPr>
          <w:color w:val="000000"/>
          <w:lang w:val="fr-FR"/>
        </w:rPr>
        <w:t xml:space="preserve"> le </w:t>
      </w:r>
      <w:bookmarkStart w:id="5" w:name="_Hlk215085357"/>
      <w:r w:rsidRPr="00F22A7C">
        <w:rPr>
          <w:lang w:val="fr-FR"/>
        </w:rPr>
        <w:t>23 octobre 2025 à l</w:t>
      </w:r>
      <w:r w:rsidR="00F34ECA" w:rsidRPr="00F22A7C">
        <w:rPr>
          <w:lang w:val="fr-FR"/>
        </w:rPr>
        <w:t>’</w:t>
      </w:r>
      <w:r w:rsidRPr="00F22A7C">
        <w:rPr>
          <w:lang w:val="fr-FR"/>
        </w:rPr>
        <w:t>adresse suivante</w:t>
      </w:r>
      <w:r w:rsidR="00F34ECA" w:rsidRPr="00F22A7C">
        <w:rPr>
          <w:lang w:val="fr-FR"/>
        </w:rPr>
        <w:t> :</w:t>
      </w:r>
      <w:r w:rsidRPr="00F22A7C">
        <w:rPr>
          <w:lang w:val="fr-FR"/>
        </w:rPr>
        <w:t xml:space="preserve"> </w:t>
      </w:r>
      <w:bookmarkEnd w:id="5"/>
      <w:r w:rsidR="00F22A7C">
        <w:rPr>
          <w:rStyle w:val="Hyperlink"/>
          <w:lang w:val="fr-FR"/>
        </w:rPr>
        <w:fldChar w:fldCharType="begin"/>
      </w:r>
      <w:r w:rsidR="00F22A7C">
        <w:rPr>
          <w:rStyle w:val="Hyperlink"/>
          <w:lang w:val="fr-FR"/>
        </w:rPr>
        <w:instrText>HYPERLINK "</w:instrText>
      </w:r>
      <w:r w:rsidR="00F22A7C" w:rsidRPr="00F22A7C">
        <w:rPr>
          <w:rStyle w:val="Hyperlink"/>
          <w:lang w:val="fr-FR"/>
        </w:rPr>
        <w:instrText>https://www.wipo.int/documents/d/pct-system/docs-fr-official-notices-officialnotices.pdf#page=184</w:instrText>
      </w:r>
      <w:r w:rsidR="00F22A7C">
        <w:rPr>
          <w:rStyle w:val="Hyperlink"/>
          <w:lang w:val="fr-FR"/>
        </w:rPr>
        <w:instrText>"</w:instrText>
      </w:r>
      <w:r w:rsidR="00D9599C">
        <w:rPr>
          <w:rStyle w:val="Hyperlink"/>
          <w:lang w:val="fr-FR"/>
        </w:rPr>
      </w:r>
      <w:r w:rsidR="00F22A7C">
        <w:rPr>
          <w:rStyle w:val="Hyperlink"/>
          <w:lang w:val="fr-FR"/>
        </w:rPr>
        <w:fldChar w:fldCharType="separate"/>
      </w:r>
      <w:r w:rsidR="00F22A7C" w:rsidRPr="00737DB3">
        <w:rPr>
          <w:rStyle w:val="Hyperlink"/>
          <w:lang w:val="fr-FR"/>
        </w:rPr>
        <w:t>https://www.wipo.int/documents/d/pct-system/docs-fr-official-notices-officialnotices.pdf#page=184</w:t>
      </w:r>
      <w:r w:rsidR="00F22A7C">
        <w:rPr>
          <w:rStyle w:val="Hyperlink"/>
          <w:lang w:val="fr-FR"/>
        </w:rPr>
        <w:fldChar w:fldCharType="end"/>
      </w:r>
      <w:r w:rsidRPr="00F22A7C">
        <w:rPr>
          <w:color w:val="000000"/>
          <w:lang w:val="fr-FR"/>
        </w:rPr>
        <w:t>.</w:t>
      </w:r>
    </w:p>
    <w:p w14:paraId="142D7F0A" w14:textId="77777777" w:rsidR="00773110" w:rsidRPr="00F22A7C" w:rsidRDefault="00773110" w:rsidP="00F22A7C">
      <w:pPr>
        <w:pBdr>
          <w:top w:val="nil"/>
          <w:left w:val="nil"/>
          <w:bottom w:val="nil"/>
          <w:right w:val="nil"/>
          <w:between w:val="nil"/>
        </w:pBdr>
        <w:spacing w:after="220"/>
        <w:rPr>
          <w:color w:val="000000"/>
          <w:lang w:val="fr-FR"/>
        </w:rPr>
      </w:pPr>
    </w:p>
    <w:p w14:paraId="306F70EF" w14:textId="7D1695FF" w:rsidR="00773110" w:rsidRPr="00F22A7C" w:rsidRDefault="00773110" w:rsidP="00F34ECA">
      <w:pPr>
        <w:pBdr>
          <w:top w:val="nil"/>
          <w:left w:val="nil"/>
          <w:bottom w:val="nil"/>
          <w:right w:val="nil"/>
          <w:between w:val="nil"/>
        </w:pBdr>
        <w:spacing w:after="220"/>
        <w:rPr>
          <w:color w:val="000000"/>
          <w:lang w:val="fr-FR"/>
        </w:rPr>
      </w:pPr>
      <w:r w:rsidRPr="00F22A7C">
        <w:rPr>
          <w:color w:val="000000"/>
          <w:lang w:val="fr-FR"/>
        </w:rPr>
        <w:t>Soit</w:t>
      </w:r>
      <w:r w:rsidR="00F34ECA" w:rsidRPr="00F22A7C">
        <w:rPr>
          <w:color w:val="000000"/>
          <w:lang w:val="fr-FR"/>
        </w:rPr>
        <w:t> :</w:t>
      </w:r>
    </w:p>
    <w:p w14:paraId="3E4C538C" w14:textId="36549EEC" w:rsidR="00773110" w:rsidRPr="00F22A7C" w:rsidRDefault="00773110" w:rsidP="00F34ECA">
      <w:pPr>
        <w:pBdr>
          <w:top w:val="nil"/>
          <w:left w:val="nil"/>
          <w:bottom w:val="nil"/>
          <w:right w:val="nil"/>
          <w:between w:val="nil"/>
        </w:pBdr>
        <w:spacing w:after="220"/>
        <w:rPr>
          <w:color w:val="000000"/>
          <w:lang w:val="fr-FR"/>
        </w:rPr>
      </w:pPr>
      <w:r w:rsidRPr="00F22A7C">
        <w:rPr>
          <w:rFonts w:ascii="MS Gothic" w:hAnsi="MS Gothic"/>
          <w:color w:val="000000"/>
          <w:lang w:val="fr-FR"/>
        </w:rPr>
        <w:t>☐</w:t>
      </w:r>
      <w:r w:rsidRPr="00F22A7C">
        <w:rPr>
          <w:color w:val="000000"/>
          <w:lang w:val="fr-FR"/>
        </w:rPr>
        <w:t xml:space="preserve"> L</w:t>
      </w:r>
      <w:r w:rsidR="00F34ECA" w:rsidRPr="00F22A7C">
        <w:rPr>
          <w:color w:val="000000"/>
          <w:lang w:val="fr-FR"/>
        </w:rPr>
        <w:t>’</w:t>
      </w:r>
      <w:r w:rsidRPr="00F22A7C">
        <w:rPr>
          <w:color w:val="000000"/>
          <w:lang w:val="fr-FR"/>
        </w:rPr>
        <w:t>administration rend compte de la disponibilité de sa collection de documents de brevet comme suit, avec un calendrier indiquant à quel moment les vérifications et la disponibilité totale pourront être certifiées par l</w:t>
      </w:r>
      <w:r w:rsidR="00F34ECA" w:rsidRPr="00F22A7C">
        <w:rPr>
          <w:color w:val="000000"/>
          <w:lang w:val="fr-FR"/>
        </w:rPr>
        <w:t>’</w:t>
      </w:r>
      <w:r w:rsidRPr="00F22A7C">
        <w:rPr>
          <w:color w:val="000000"/>
          <w:lang w:val="fr-FR"/>
        </w:rPr>
        <w:t>Équipe d</w:t>
      </w:r>
      <w:r w:rsidR="00F34ECA" w:rsidRPr="00F22A7C">
        <w:rPr>
          <w:color w:val="000000"/>
          <w:lang w:val="fr-FR"/>
        </w:rPr>
        <w:t>’</w:t>
      </w:r>
      <w:r w:rsidRPr="00F22A7C">
        <w:rPr>
          <w:color w:val="000000"/>
          <w:lang w:val="fr-FR"/>
        </w:rPr>
        <w:t>experts chargée de la documentation minimale</w:t>
      </w:r>
      <w:r w:rsidR="00F34ECA" w:rsidRPr="00F22A7C">
        <w:rPr>
          <w:color w:val="000000"/>
          <w:lang w:val="fr-FR"/>
        </w:rPr>
        <w:t xml:space="preserve"> du </w:t>
      </w:r>
      <w:r w:rsidR="00F22A7C" w:rsidRPr="00F22A7C">
        <w:rPr>
          <w:color w:val="000000"/>
          <w:lang w:val="fr-FR"/>
        </w:rPr>
        <w:t>PCT.  Ve</w:t>
      </w:r>
      <w:r w:rsidRPr="00F22A7C">
        <w:rPr>
          <w:color w:val="000000"/>
          <w:lang w:val="fr-FR"/>
        </w:rPr>
        <w:t>uillez également fournir des indications sur votre fichier d</w:t>
      </w:r>
      <w:r w:rsidR="00F34ECA" w:rsidRPr="00F22A7C">
        <w:rPr>
          <w:color w:val="000000"/>
          <w:lang w:val="fr-FR"/>
        </w:rPr>
        <w:t>’</w:t>
      </w:r>
      <w:r w:rsidRPr="00F22A7C">
        <w:rPr>
          <w:color w:val="000000"/>
          <w:lang w:val="fr-FR"/>
        </w:rPr>
        <w:t>autorité ainsi que des liens, le cas échéant.</w:t>
      </w:r>
    </w:p>
    <w:p w14:paraId="112DE9B8" w14:textId="392076A5" w:rsidR="00773110" w:rsidRPr="00F22A7C" w:rsidRDefault="00773110" w:rsidP="00F22A7C">
      <w:pPr>
        <w:keepNext/>
        <w:keepLines/>
        <w:pBdr>
          <w:top w:val="single" w:sz="4" w:space="1" w:color="000000"/>
          <w:left w:val="nil"/>
          <w:bottom w:val="nil"/>
          <w:right w:val="nil"/>
          <w:between w:val="nil"/>
        </w:pBdr>
        <w:spacing w:before="360" w:after="200" w:line="480" w:lineRule="auto"/>
        <w:rPr>
          <w:b/>
          <w:caps/>
          <w:color w:val="000000"/>
          <w:lang w:val="fr-FR"/>
        </w:rPr>
      </w:pPr>
      <w:r w:rsidRPr="00F22A7C">
        <w:rPr>
          <w:b/>
          <w:caps/>
          <w:color w:val="000000"/>
          <w:lang w:val="fr-FR"/>
        </w:rPr>
        <w:t xml:space="preserve">2.3 </w:t>
      </w:r>
      <w:r w:rsidR="00F22A7C" w:rsidRPr="00F22A7C">
        <w:rPr>
          <w:b/>
          <w:caps/>
          <w:color w:val="000000"/>
          <w:lang w:val="fr-FR"/>
        </w:rPr>
        <w:t>–</w:t>
      </w:r>
      <w:r w:rsidRPr="00F22A7C">
        <w:rPr>
          <w:b/>
          <w:caps/>
          <w:color w:val="000000"/>
          <w:lang w:val="fr-FR"/>
        </w:rPr>
        <w:t xml:space="preserve"> Documentation minimale </w:t>
      </w:r>
      <w:r w:rsidR="00F22A7C" w:rsidRPr="00F22A7C">
        <w:rPr>
          <w:b/>
          <w:caps/>
          <w:color w:val="000000"/>
          <w:lang w:val="fr-FR"/>
        </w:rPr>
        <w:t>–</w:t>
      </w:r>
      <w:r w:rsidRPr="00F22A7C">
        <w:rPr>
          <w:b/>
          <w:caps/>
          <w:color w:val="000000"/>
          <w:lang w:val="fr-FR"/>
        </w:rPr>
        <w:t xml:space="preserve"> Accès</w:t>
      </w:r>
    </w:p>
    <w:p w14:paraId="296BF2BD" w14:textId="6CF44BED" w:rsidR="00773110" w:rsidRPr="00F22A7C" w:rsidRDefault="00773110" w:rsidP="00F34ECA">
      <w:pPr>
        <w:keepLines/>
        <w:pBdr>
          <w:top w:val="nil"/>
          <w:left w:val="nil"/>
          <w:bottom w:val="nil"/>
          <w:right w:val="nil"/>
          <w:between w:val="nil"/>
        </w:pBdr>
        <w:spacing w:after="240"/>
        <w:ind w:left="567" w:right="567"/>
        <w:rPr>
          <w:color w:val="000000"/>
          <w:lang w:val="fr-FR"/>
        </w:rPr>
      </w:pPr>
      <w:r w:rsidRPr="00F22A7C">
        <w:rPr>
          <w:i/>
          <w:color w:val="000000"/>
          <w:lang w:val="fr-FR"/>
        </w:rPr>
        <w:t>Règles 36.1.iii) et 63.1.iii)</w:t>
      </w:r>
      <w:r w:rsidR="00F34ECA" w:rsidRPr="00F22A7C">
        <w:rPr>
          <w:i/>
          <w:color w:val="000000"/>
          <w:lang w:val="fr-FR"/>
        </w:rPr>
        <w:t> :</w:t>
      </w:r>
      <w:r w:rsidRPr="00F22A7C">
        <w:rPr>
          <w:i/>
          <w:color w:val="000000"/>
          <w:lang w:val="fr-FR"/>
        </w:rPr>
        <w:t xml:space="preserve"> Cet office ou cette organisation doit avoir en sa possession au moins la documentation minimale de la règle 34, ou maintenir l</w:t>
      </w:r>
      <w:r w:rsidR="00F34ECA" w:rsidRPr="00F22A7C">
        <w:rPr>
          <w:i/>
          <w:color w:val="000000"/>
          <w:lang w:val="fr-FR"/>
        </w:rPr>
        <w:t>’</w:t>
      </w:r>
      <w:r w:rsidRPr="00F22A7C">
        <w:rPr>
          <w:i/>
          <w:color w:val="000000"/>
          <w:lang w:val="fr-FR"/>
        </w:rPr>
        <w:t>accès à cette documentation minimale, aux fins de la recherche conformément aux instructions administratives.</w:t>
      </w:r>
    </w:p>
    <w:p w14:paraId="504AC4DE" w14:textId="12C76918" w:rsidR="00F34ECA" w:rsidRPr="00F22A7C" w:rsidRDefault="00773110" w:rsidP="00F22A7C">
      <w:pPr>
        <w:pBdr>
          <w:top w:val="nil"/>
          <w:left w:val="nil"/>
          <w:bottom w:val="nil"/>
          <w:right w:val="nil"/>
          <w:between w:val="nil"/>
        </w:pBdr>
        <w:spacing w:after="240"/>
        <w:ind w:right="567"/>
        <w:rPr>
          <w:color w:val="000000"/>
          <w:lang w:val="fr-FR"/>
        </w:rPr>
      </w:pPr>
      <w:r w:rsidRPr="00F22A7C">
        <w:rPr>
          <w:color w:val="000000"/>
          <w:lang w:val="fr-FR"/>
        </w:rPr>
        <w:t>Le rapport sur le système de gestion de la qualité contient des informations sur l</w:t>
      </w:r>
      <w:r w:rsidR="00F34ECA" w:rsidRPr="00F22A7C">
        <w:rPr>
          <w:color w:val="000000"/>
          <w:lang w:val="fr-FR"/>
        </w:rPr>
        <w:t>’</w:t>
      </w:r>
      <w:r w:rsidRPr="00F22A7C">
        <w:rPr>
          <w:color w:val="000000"/>
          <w:lang w:val="fr-FR"/>
        </w:rPr>
        <w:t>infrastructure mise en place pour veiller à ce qu</w:t>
      </w:r>
      <w:r w:rsidR="00F34ECA" w:rsidRPr="00F22A7C">
        <w:rPr>
          <w:color w:val="000000"/>
          <w:lang w:val="fr-FR"/>
        </w:rPr>
        <w:t>’</w:t>
      </w:r>
      <w:r w:rsidRPr="00F22A7C">
        <w:rPr>
          <w:color w:val="000000"/>
          <w:lang w:val="fr-FR"/>
        </w:rPr>
        <w:t>au moins la documentation minimale dont il est question à la règle 34 soit disponible, accessible, correctement organisée et tenue à jour aux fins de la recherche et de l</w:t>
      </w:r>
      <w:r w:rsidR="00F34ECA" w:rsidRPr="00F22A7C">
        <w:rPr>
          <w:color w:val="000000"/>
          <w:lang w:val="fr-FR"/>
        </w:rPr>
        <w:t>’</w:t>
      </w:r>
      <w:r w:rsidRPr="00F22A7C">
        <w:rPr>
          <w:color w:val="000000"/>
          <w:lang w:val="fr-FR"/>
        </w:rPr>
        <w:t>examen au titre du paragraphe 21.15.v) des directives.</w:t>
      </w:r>
    </w:p>
    <w:p w14:paraId="4BB6C2DA" w14:textId="05056680" w:rsidR="00F34ECA" w:rsidRPr="00F22A7C" w:rsidRDefault="00773110" w:rsidP="00F34ECA">
      <w:pPr>
        <w:keepNext/>
        <w:keepLines/>
        <w:pBdr>
          <w:top w:val="nil"/>
          <w:left w:val="nil"/>
          <w:bottom w:val="nil"/>
          <w:right w:val="nil"/>
          <w:between w:val="nil"/>
        </w:pBdr>
        <w:spacing w:after="240"/>
        <w:ind w:right="567"/>
        <w:rPr>
          <w:color w:val="000000"/>
          <w:lang w:val="fr-FR"/>
        </w:rPr>
      </w:pPr>
      <w:r w:rsidRPr="00F22A7C">
        <w:rPr>
          <w:color w:val="000000"/>
          <w:lang w:val="fr-FR"/>
        </w:rPr>
        <w:t>Autres informations que celles figurant dans le rapport sur le système de gestion de la qualité (facultatif)</w:t>
      </w:r>
      <w:r w:rsidR="00F34ECA" w:rsidRPr="00F22A7C">
        <w:rPr>
          <w:color w:val="000000"/>
          <w:lang w:val="fr-FR"/>
        </w:rPr>
        <w:t> :</w:t>
      </w:r>
    </w:p>
    <w:p w14:paraId="0839E848" w14:textId="2625D76A" w:rsidR="00773110" w:rsidRPr="00F22A7C" w:rsidRDefault="00773110" w:rsidP="00F34ECA">
      <w:pPr>
        <w:keepNext/>
        <w:keepLines/>
        <w:pBdr>
          <w:top w:val="nil"/>
          <w:left w:val="nil"/>
          <w:bottom w:val="nil"/>
          <w:right w:val="nil"/>
          <w:between w:val="nil"/>
        </w:pBdr>
        <w:spacing w:after="240"/>
        <w:ind w:right="567"/>
        <w:jc w:val="both"/>
        <w:rPr>
          <w:color w:val="000000" w:themeColor="text1"/>
          <w:lang w:val="fr-FR"/>
        </w:rPr>
      </w:pPr>
      <w:bookmarkStart w:id="6" w:name="_heading=h.hp10366k0hmg"/>
      <w:bookmarkEnd w:id="6"/>
      <w:r w:rsidRPr="00F22A7C">
        <w:rPr>
          <w:color w:val="000000" w:themeColor="text1"/>
          <w:lang w:val="fr-FR"/>
        </w:rPr>
        <w:t>L</w:t>
      </w:r>
      <w:r w:rsidR="00F34ECA" w:rsidRPr="00F22A7C">
        <w:rPr>
          <w:color w:val="000000" w:themeColor="text1"/>
          <w:lang w:val="fr-FR"/>
        </w:rPr>
        <w:t>’</w:t>
      </w:r>
      <w:r w:rsidRPr="00F22A7C">
        <w:rPr>
          <w:color w:val="000000" w:themeColor="text1"/>
          <w:lang w:val="fr-FR"/>
        </w:rPr>
        <w:t>INAPI fournit aux examinateurs un accès à des bases de données internes et extern</w:t>
      </w:r>
      <w:r w:rsidR="00F22A7C" w:rsidRPr="00F22A7C">
        <w:rPr>
          <w:color w:val="000000" w:themeColor="text1"/>
          <w:lang w:val="fr-FR"/>
        </w:rPr>
        <w:t>es.  Ce</w:t>
      </w:r>
      <w:r w:rsidRPr="00F22A7C">
        <w:rPr>
          <w:color w:val="000000" w:themeColor="text1"/>
          <w:lang w:val="fr-FR"/>
        </w:rPr>
        <w:t xml:space="preserve">s bases de données incluent des plateformes en ligne gratuites, telles que </w:t>
      </w:r>
      <w:proofErr w:type="spellStart"/>
      <w:r w:rsidRPr="00F22A7C">
        <w:rPr>
          <w:color w:val="000000" w:themeColor="text1"/>
          <w:lang w:val="fr-FR"/>
        </w:rPr>
        <w:t>Espacenet</w:t>
      </w:r>
      <w:proofErr w:type="spellEnd"/>
      <w:r w:rsidRPr="00F22A7C">
        <w:rPr>
          <w:color w:val="000000" w:themeColor="text1"/>
          <w:lang w:val="fr-FR"/>
        </w:rPr>
        <w:t>, Google Patents, la propre base de données de l</w:t>
      </w:r>
      <w:r w:rsidR="00F34ECA" w:rsidRPr="00F22A7C">
        <w:rPr>
          <w:color w:val="000000" w:themeColor="text1"/>
          <w:lang w:val="fr-FR"/>
        </w:rPr>
        <w:t>’</w:t>
      </w:r>
      <w:r w:rsidRPr="00F22A7C">
        <w:rPr>
          <w:color w:val="000000" w:themeColor="text1"/>
          <w:lang w:val="fr-FR"/>
        </w:rPr>
        <w:t xml:space="preserve">INAPI et </w:t>
      </w:r>
      <w:proofErr w:type="spellStart"/>
      <w:r w:rsidRPr="00F22A7C">
        <w:rPr>
          <w:color w:val="000000" w:themeColor="text1"/>
          <w:lang w:val="fr-FR"/>
        </w:rPr>
        <w:t>Patentsco</w:t>
      </w:r>
      <w:r w:rsidR="00F22A7C" w:rsidRPr="00F22A7C">
        <w:rPr>
          <w:color w:val="000000" w:themeColor="text1"/>
          <w:lang w:val="fr-FR"/>
        </w:rPr>
        <w:t>pe</w:t>
      </w:r>
      <w:proofErr w:type="spellEnd"/>
      <w:r w:rsidR="00F22A7C" w:rsidRPr="00F22A7C">
        <w:rPr>
          <w:color w:val="000000" w:themeColor="text1"/>
          <w:lang w:val="fr-FR"/>
        </w:rPr>
        <w:t>.  De</w:t>
      </w:r>
      <w:r w:rsidRPr="00F22A7C">
        <w:rPr>
          <w:color w:val="000000" w:themeColor="text1"/>
          <w:lang w:val="fr-FR"/>
        </w:rPr>
        <w:t>s contrats ont également été signés pour l</w:t>
      </w:r>
      <w:r w:rsidR="00F34ECA" w:rsidRPr="00F22A7C">
        <w:rPr>
          <w:color w:val="000000" w:themeColor="text1"/>
          <w:lang w:val="fr-FR"/>
        </w:rPr>
        <w:t>’</w:t>
      </w:r>
      <w:r w:rsidRPr="00F22A7C">
        <w:rPr>
          <w:color w:val="000000" w:themeColor="text1"/>
          <w:lang w:val="fr-FR"/>
        </w:rPr>
        <w:t xml:space="preserve">accès à diverses plateformes payantes, telles que STN (avec un module de recherche par listage des séquences), Derwent Innovation (anciennement Thomson Innovation) et </w:t>
      </w:r>
      <w:proofErr w:type="spellStart"/>
      <w:r w:rsidRPr="00F22A7C">
        <w:rPr>
          <w:color w:val="000000" w:themeColor="text1"/>
          <w:lang w:val="fr-FR"/>
        </w:rPr>
        <w:t>ProQuest</w:t>
      </w:r>
      <w:proofErr w:type="spellEnd"/>
      <w:r w:rsidRPr="00F22A7C">
        <w:rPr>
          <w:color w:val="000000" w:themeColor="text1"/>
          <w:lang w:val="fr-FR"/>
        </w:rPr>
        <w:t xml:space="preserve"> </w:t>
      </w:r>
      <w:proofErr w:type="spellStart"/>
      <w:r w:rsidRPr="00F22A7C">
        <w:rPr>
          <w:color w:val="000000" w:themeColor="text1"/>
          <w:lang w:val="fr-FR"/>
        </w:rPr>
        <w:t>Dialog</w:t>
      </w:r>
      <w:proofErr w:type="spellEnd"/>
      <w:r w:rsidRPr="00F22A7C">
        <w:rPr>
          <w:color w:val="000000" w:themeColor="text1"/>
          <w:lang w:val="fr-FR"/>
        </w:rPr>
        <w:t>, qui donne accès à plus de 200 bases de données couvrant tous les domaines techniqu</w:t>
      </w:r>
      <w:r w:rsidR="00F22A7C" w:rsidRPr="00F22A7C">
        <w:rPr>
          <w:color w:val="000000" w:themeColor="text1"/>
          <w:lang w:val="fr-FR"/>
        </w:rPr>
        <w:t>es.  De</w:t>
      </w:r>
      <w:r w:rsidRPr="00F22A7C">
        <w:rPr>
          <w:color w:val="000000" w:themeColor="text1"/>
          <w:lang w:val="fr-FR"/>
        </w:rPr>
        <w:t xml:space="preserve">puis 2015, un accès complet à EPOQUE Net est assuré. </w:t>
      </w:r>
      <w:r w:rsidR="005070E1" w:rsidRPr="00F22A7C">
        <w:rPr>
          <w:color w:val="000000" w:themeColor="text1"/>
          <w:lang w:val="fr-FR"/>
        </w:rPr>
        <w:t xml:space="preserve"> </w:t>
      </w:r>
      <w:r w:rsidRPr="00F22A7C">
        <w:rPr>
          <w:color w:val="000000" w:themeColor="text1"/>
          <w:lang w:val="fr-FR"/>
        </w:rPr>
        <w:t>EPOQUE ne sera plus disponible à compter du 31 décembre 2025 et sera remplacé par la plateforme ANSERA</w:t>
      </w:r>
      <w:r w:rsidR="00F22A7C">
        <w:rPr>
          <w:color w:val="000000" w:themeColor="text1"/>
          <w:lang w:val="fr-FR"/>
        </w:rPr>
        <w:noBreakHyphen/>
      </w:r>
      <w:proofErr w:type="spellStart"/>
      <w:r w:rsidRPr="00F22A7C">
        <w:rPr>
          <w:color w:val="000000" w:themeColor="text1"/>
          <w:lang w:val="fr-FR"/>
        </w:rPr>
        <w:t>based</w:t>
      </w:r>
      <w:proofErr w:type="spellEnd"/>
      <w:r w:rsidRPr="00F22A7C">
        <w:rPr>
          <w:color w:val="000000" w:themeColor="text1"/>
          <w:lang w:val="fr-FR"/>
        </w:rPr>
        <w:t xml:space="preserve"> </w:t>
      </w:r>
      <w:proofErr w:type="spellStart"/>
      <w:r w:rsidRPr="00F22A7C">
        <w:rPr>
          <w:color w:val="000000" w:themeColor="text1"/>
          <w:lang w:val="fr-FR"/>
        </w:rPr>
        <w:t>Search</w:t>
      </w:r>
      <w:proofErr w:type="spellEnd"/>
      <w:r w:rsidRPr="00F22A7C">
        <w:rPr>
          <w:color w:val="000000" w:themeColor="text1"/>
          <w:lang w:val="fr-FR"/>
        </w:rPr>
        <w:t xml:space="preserve"> (</w:t>
      </w:r>
      <w:proofErr w:type="spellStart"/>
      <w:r w:rsidRPr="00F22A7C">
        <w:rPr>
          <w:color w:val="000000" w:themeColor="text1"/>
          <w:lang w:val="fr-FR"/>
        </w:rPr>
        <w:t>AbS</w:t>
      </w:r>
      <w:proofErr w:type="spellEnd"/>
      <w:r w:rsidRPr="00F22A7C">
        <w:rPr>
          <w:color w:val="000000" w:themeColor="text1"/>
          <w:lang w:val="fr-FR"/>
        </w:rPr>
        <w:t>).  Les examinateurs de l</w:t>
      </w:r>
      <w:r w:rsidR="00F34ECA" w:rsidRPr="00F22A7C">
        <w:rPr>
          <w:color w:val="000000" w:themeColor="text1"/>
          <w:lang w:val="fr-FR"/>
        </w:rPr>
        <w:t>’</w:t>
      </w:r>
      <w:r w:rsidRPr="00F22A7C">
        <w:rPr>
          <w:color w:val="000000" w:themeColor="text1"/>
          <w:lang w:val="fr-FR"/>
        </w:rPr>
        <w:t>INAPI ont donc reçu une formation pour se familiariser avec ce nouveau système.  L</w:t>
      </w:r>
      <w:r w:rsidR="00F34ECA" w:rsidRPr="00F22A7C">
        <w:rPr>
          <w:color w:val="000000" w:themeColor="text1"/>
          <w:lang w:val="fr-FR"/>
        </w:rPr>
        <w:t>’</w:t>
      </w:r>
      <w:r w:rsidRPr="00F22A7C">
        <w:rPr>
          <w:color w:val="000000" w:themeColor="text1"/>
          <w:lang w:val="fr-FR"/>
        </w:rPr>
        <w:t>INAPI et l</w:t>
      </w:r>
      <w:r w:rsidR="00F34ECA" w:rsidRPr="00F22A7C">
        <w:rPr>
          <w:color w:val="000000" w:themeColor="text1"/>
          <w:lang w:val="fr-FR"/>
        </w:rPr>
        <w:t>’</w:t>
      </w:r>
      <w:r w:rsidRPr="00F22A7C">
        <w:rPr>
          <w:color w:val="000000" w:themeColor="text1"/>
          <w:lang w:val="fr-FR"/>
        </w:rPr>
        <w:t>Office européen des brevets ont par ailleurs tenu des réunions pour étudier et mettre en place les mécanismes les plus appropriés pour garantir une utilisation optimale et efficace de ce nouvel outil à l</w:t>
      </w:r>
      <w:r w:rsidR="00F34ECA" w:rsidRPr="00F22A7C">
        <w:rPr>
          <w:color w:val="000000" w:themeColor="text1"/>
          <w:lang w:val="fr-FR"/>
        </w:rPr>
        <w:t>’</w:t>
      </w:r>
      <w:r w:rsidRPr="00F22A7C">
        <w:rPr>
          <w:color w:val="000000" w:themeColor="text1"/>
          <w:lang w:val="fr-FR"/>
        </w:rPr>
        <w:t>aven</w:t>
      </w:r>
      <w:r w:rsidR="00F22A7C" w:rsidRPr="00F22A7C">
        <w:rPr>
          <w:color w:val="000000" w:themeColor="text1"/>
          <w:lang w:val="fr-FR"/>
        </w:rPr>
        <w:t>ir.  En</w:t>
      </w:r>
      <w:r w:rsidRPr="00F22A7C">
        <w:rPr>
          <w:color w:val="000000" w:themeColor="text1"/>
          <w:lang w:val="fr-FR"/>
        </w:rPr>
        <w:t xml:space="preserve"> outre, dans le cadre d</w:t>
      </w:r>
      <w:r w:rsidR="00F34ECA" w:rsidRPr="00F22A7C">
        <w:rPr>
          <w:color w:val="000000" w:themeColor="text1"/>
          <w:lang w:val="fr-FR"/>
        </w:rPr>
        <w:t>’</w:t>
      </w:r>
      <w:r w:rsidRPr="00F22A7C">
        <w:rPr>
          <w:color w:val="000000" w:themeColor="text1"/>
          <w:lang w:val="fr-FR"/>
        </w:rPr>
        <w:t>un accord conclu avec l</w:t>
      </w:r>
      <w:r w:rsidR="00F34ECA" w:rsidRPr="00F22A7C">
        <w:rPr>
          <w:color w:val="000000" w:themeColor="text1"/>
          <w:lang w:val="fr-FR"/>
        </w:rPr>
        <w:t>’</w:t>
      </w:r>
      <w:r w:rsidRPr="00F22A7C">
        <w:rPr>
          <w:color w:val="000000" w:themeColor="text1"/>
          <w:lang w:val="fr-FR"/>
        </w:rPr>
        <w:t>Agence nationale pour la recherche</w:t>
      </w:r>
      <w:r w:rsidR="00F22A7C">
        <w:rPr>
          <w:color w:val="000000" w:themeColor="text1"/>
          <w:lang w:val="fr-FR"/>
        </w:rPr>
        <w:noBreakHyphen/>
      </w:r>
      <w:r w:rsidRPr="00F22A7C">
        <w:rPr>
          <w:color w:val="000000" w:themeColor="text1"/>
          <w:lang w:val="fr-FR"/>
        </w:rPr>
        <w:t>développement (ANID), l</w:t>
      </w:r>
      <w:r w:rsidR="00F34ECA" w:rsidRPr="00F22A7C">
        <w:rPr>
          <w:color w:val="000000" w:themeColor="text1"/>
          <w:lang w:val="fr-FR"/>
        </w:rPr>
        <w:t>’</w:t>
      </w:r>
      <w:r w:rsidRPr="00F22A7C">
        <w:rPr>
          <w:color w:val="000000" w:themeColor="text1"/>
          <w:lang w:val="fr-FR"/>
        </w:rPr>
        <w:t xml:space="preserve">INAPI a accès au texte intégral de près </w:t>
      </w:r>
      <w:r w:rsidR="00F34ECA" w:rsidRPr="00F22A7C">
        <w:rPr>
          <w:color w:val="000000" w:themeColor="text1"/>
          <w:lang w:val="fr-FR"/>
        </w:rPr>
        <w:t>de 5000</w:t>
      </w:r>
      <w:r w:rsidRPr="00F22A7C">
        <w:rPr>
          <w:color w:val="000000" w:themeColor="text1"/>
          <w:lang w:val="fr-FR"/>
        </w:rPr>
        <w:t> revues scientifiques et technologiques en format électronique et dans 99 disciplines par le biais de la bibliothèque électronique d</w:t>
      </w:r>
      <w:r w:rsidR="00F34ECA" w:rsidRPr="00F22A7C">
        <w:rPr>
          <w:color w:val="000000" w:themeColor="text1"/>
          <w:lang w:val="fr-FR"/>
        </w:rPr>
        <w:t>’</w:t>
      </w:r>
      <w:r w:rsidRPr="00F22A7C">
        <w:rPr>
          <w:color w:val="000000" w:themeColor="text1"/>
          <w:lang w:val="fr-FR"/>
        </w:rPr>
        <w:t xml:space="preserve">information scientifique (BEIC), qui donne accès à des sources telles que Oxford </w:t>
      </w:r>
      <w:proofErr w:type="spellStart"/>
      <w:r w:rsidRPr="00F22A7C">
        <w:rPr>
          <w:color w:val="000000" w:themeColor="text1"/>
          <w:lang w:val="fr-FR"/>
        </w:rPr>
        <w:t>University</w:t>
      </w:r>
      <w:proofErr w:type="spellEnd"/>
      <w:r w:rsidRPr="00F22A7C">
        <w:rPr>
          <w:color w:val="000000" w:themeColor="text1"/>
          <w:lang w:val="fr-FR"/>
        </w:rPr>
        <w:t xml:space="preserve"> Press, Elsevier, the American Chemical Society, </w:t>
      </w:r>
      <w:proofErr w:type="spellStart"/>
      <w:r w:rsidRPr="00F22A7C">
        <w:rPr>
          <w:color w:val="000000" w:themeColor="text1"/>
          <w:lang w:val="fr-FR"/>
        </w:rPr>
        <w:t>Annual</w:t>
      </w:r>
      <w:proofErr w:type="spellEnd"/>
      <w:r w:rsidRPr="00F22A7C">
        <w:rPr>
          <w:color w:val="000000" w:themeColor="text1"/>
          <w:lang w:val="fr-FR"/>
        </w:rPr>
        <w:t xml:space="preserve"> </w:t>
      </w:r>
      <w:proofErr w:type="spellStart"/>
      <w:r w:rsidRPr="00F22A7C">
        <w:rPr>
          <w:color w:val="000000" w:themeColor="text1"/>
          <w:lang w:val="fr-FR"/>
        </w:rPr>
        <w:t>Reviews</w:t>
      </w:r>
      <w:proofErr w:type="spellEnd"/>
      <w:r w:rsidRPr="00F22A7C">
        <w:rPr>
          <w:color w:val="000000" w:themeColor="text1"/>
          <w:lang w:val="fr-FR"/>
        </w:rPr>
        <w:t xml:space="preserve">, Nature, Springer, Science Magazine et </w:t>
      </w:r>
      <w:proofErr w:type="spellStart"/>
      <w:r w:rsidRPr="00F22A7C">
        <w:rPr>
          <w:color w:val="000000" w:themeColor="text1"/>
          <w:lang w:val="fr-FR"/>
        </w:rPr>
        <w:t>Wil</w:t>
      </w:r>
      <w:r w:rsidR="00F22A7C" w:rsidRPr="00F22A7C">
        <w:rPr>
          <w:color w:val="000000" w:themeColor="text1"/>
          <w:lang w:val="fr-FR"/>
        </w:rPr>
        <w:t>ey</w:t>
      </w:r>
      <w:proofErr w:type="spellEnd"/>
      <w:r w:rsidR="00F22A7C" w:rsidRPr="00F22A7C">
        <w:rPr>
          <w:color w:val="000000" w:themeColor="text1"/>
          <w:lang w:val="fr-FR"/>
        </w:rPr>
        <w:t>.  Le</w:t>
      </w:r>
      <w:r w:rsidRPr="00F22A7C">
        <w:rPr>
          <w:color w:val="000000" w:themeColor="text1"/>
          <w:lang w:val="fr-FR"/>
        </w:rPr>
        <w:t xml:space="preserve"> coût de cette plateforme a dépassé 12 millions de dollars</w:t>
      </w:r>
      <w:r w:rsidR="005070E1" w:rsidRPr="00F22A7C">
        <w:rPr>
          <w:color w:val="000000" w:themeColor="text1"/>
          <w:lang w:val="fr-FR"/>
        </w:rPr>
        <w:t> </w:t>
      </w:r>
      <w:r w:rsidRPr="00F22A7C">
        <w:rPr>
          <w:color w:val="000000" w:themeColor="text1"/>
          <w:lang w:val="fr-FR"/>
        </w:rPr>
        <w:t>É.</w:t>
      </w:r>
      <w:r w:rsidR="00F22A7C">
        <w:rPr>
          <w:color w:val="000000" w:themeColor="text1"/>
          <w:lang w:val="fr-FR"/>
        </w:rPr>
        <w:noBreakHyphen/>
      </w:r>
      <w:r w:rsidRPr="00F22A7C">
        <w:rPr>
          <w:color w:val="000000" w:themeColor="text1"/>
          <w:lang w:val="fr-FR"/>
        </w:rPr>
        <w:t>U. en 2024.</w:t>
      </w:r>
    </w:p>
    <w:p w14:paraId="3090B42D" w14:textId="5C8B9B47" w:rsidR="00773110" w:rsidRPr="00F22A7C" w:rsidRDefault="00773110" w:rsidP="00F34ECA">
      <w:pPr>
        <w:keepLines/>
        <w:pBdr>
          <w:top w:val="nil"/>
          <w:left w:val="nil"/>
          <w:bottom w:val="nil"/>
          <w:right w:val="nil"/>
          <w:between w:val="nil"/>
        </w:pBdr>
        <w:spacing w:after="240"/>
        <w:ind w:right="567"/>
        <w:jc w:val="both"/>
        <w:rPr>
          <w:color w:val="000000" w:themeColor="text1"/>
          <w:lang w:val="fr-FR"/>
        </w:rPr>
      </w:pPr>
      <w:r w:rsidRPr="00F22A7C">
        <w:rPr>
          <w:color w:val="000000" w:themeColor="text1"/>
          <w:lang w:val="fr-FR"/>
        </w:rPr>
        <w:t>L</w:t>
      </w:r>
      <w:r w:rsidR="00F34ECA" w:rsidRPr="00F22A7C">
        <w:rPr>
          <w:color w:val="000000" w:themeColor="text1"/>
          <w:lang w:val="fr-FR"/>
        </w:rPr>
        <w:t>’</w:t>
      </w:r>
      <w:r w:rsidRPr="00F22A7C">
        <w:rPr>
          <w:color w:val="000000" w:themeColor="text1"/>
          <w:lang w:val="fr-FR"/>
        </w:rPr>
        <w:t>INAPI est constamment à la recherche d</w:t>
      </w:r>
      <w:r w:rsidR="00F34ECA" w:rsidRPr="00F22A7C">
        <w:rPr>
          <w:color w:val="000000" w:themeColor="text1"/>
          <w:lang w:val="fr-FR"/>
        </w:rPr>
        <w:t>’</w:t>
      </w:r>
      <w:r w:rsidRPr="00F22A7C">
        <w:rPr>
          <w:color w:val="000000" w:themeColor="text1"/>
          <w:lang w:val="fr-FR"/>
        </w:rPr>
        <w:t>autres bases de données qui pourraient renforcer encore ses capacités en matière de recherche.</w:t>
      </w:r>
    </w:p>
    <w:p w14:paraId="3A5CE7A8" w14:textId="77777777" w:rsidR="00773110" w:rsidRPr="00F22A7C" w:rsidRDefault="00773110" w:rsidP="00F34ECA">
      <w:pPr>
        <w:keepLines/>
        <w:pBdr>
          <w:top w:val="single" w:sz="4" w:space="1" w:color="000000"/>
          <w:left w:val="nil"/>
          <w:bottom w:val="nil"/>
          <w:right w:val="nil"/>
          <w:between w:val="nil"/>
        </w:pBdr>
        <w:spacing w:before="360" w:after="200" w:line="480" w:lineRule="auto"/>
        <w:rPr>
          <w:b/>
          <w:smallCaps/>
          <w:color w:val="000000" w:themeColor="text1"/>
          <w:lang w:val="fr-FR"/>
        </w:rPr>
      </w:pPr>
      <w:r w:rsidRPr="00F22A7C">
        <w:rPr>
          <w:b/>
          <w:smallCaps/>
          <w:color w:val="000000" w:themeColor="text1"/>
          <w:lang w:val="fr-FR"/>
        </w:rPr>
        <w:t>2.4 – GESTION DE LA QUALITÉ</w:t>
      </w:r>
    </w:p>
    <w:p w14:paraId="192FF28C" w14:textId="08539731" w:rsidR="00773110" w:rsidRPr="00F22A7C" w:rsidRDefault="00773110" w:rsidP="00F34ECA">
      <w:pPr>
        <w:keepLines/>
        <w:pBdr>
          <w:top w:val="nil"/>
          <w:left w:val="nil"/>
          <w:bottom w:val="nil"/>
          <w:right w:val="nil"/>
          <w:between w:val="nil"/>
        </w:pBdr>
        <w:spacing w:after="240"/>
        <w:ind w:left="567" w:right="567"/>
        <w:rPr>
          <w:i/>
          <w:color w:val="000000" w:themeColor="text1"/>
          <w:lang w:val="fr-FR"/>
        </w:rPr>
      </w:pPr>
      <w:r w:rsidRPr="00F22A7C">
        <w:rPr>
          <w:i/>
          <w:color w:val="000000" w:themeColor="text1"/>
          <w:lang w:val="fr-FR"/>
        </w:rPr>
        <w:t>Règles 36.</w:t>
      </w:r>
      <w:proofErr w:type="gramStart"/>
      <w:r w:rsidRPr="00F22A7C">
        <w:rPr>
          <w:i/>
          <w:color w:val="000000" w:themeColor="text1"/>
          <w:lang w:val="fr-FR"/>
        </w:rPr>
        <w:t>1.iv</w:t>
      </w:r>
      <w:proofErr w:type="gramEnd"/>
      <w:r w:rsidRPr="00F22A7C">
        <w:rPr>
          <w:i/>
          <w:color w:val="000000" w:themeColor="text1"/>
          <w:lang w:val="fr-FR"/>
        </w:rPr>
        <w:t>) et 63.1.iv)</w:t>
      </w:r>
      <w:r w:rsidR="00F34ECA" w:rsidRPr="00F22A7C">
        <w:rPr>
          <w:i/>
          <w:color w:val="000000" w:themeColor="text1"/>
          <w:lang w:val="fr-FR"/>
        </w:rPr>
        <w:t> :</w:t>
      </w:r>
      <w:r w:rsidRPr="00F22A7C">
        <w:rPr>
          <w:i/>
          <w:color w:val="000000" w:themeColor="text1"/>
          <w:lang w:val="fr-FR"/>
        </w:rPr>
        <w:t xml:space="preserve"> Cet office ou cette organisation doit disposer d</w:t>
      </w:r>
      <w:r w:rsidR="00F34ECA" w:rsidRPr="00F22A7C">
        <w:rPr>
          <w:i/>
          <w:color w:val="000000" w:themeColor="text1"/>
          <w:lang w:val="fr-FR"/>
        </w:rPr>
        <w:t>’</w:t>
      </w:r>
      <w:r w:rsidRPr="00F22A7C">
        <w:rPr>
          <w:i/>
          <w:color w:val="000000" w:themeColor="text1"/>
          <w:lang w:val="fr-FR"/>
        </w:rPr>
        <w:t>un système de gestion de la qualité et de dispositions internes en matière d</w:t>
      </w:r>
      <w:r w:rsidR="00F34ECA" w:rsidRPr="00F22A7C">
        <w:rPr>
          <w:i/>
          <w:color w:val="000000" w:themeColor="text1"/>
          <w:lang w:val="fr-FR"/>
        </w:rPr>
        <w:t>’</w:t>
      </w:r>
      <w:r w:rsidRPr="00F22A7C">
        <w:rPr>
          <w:i/>
          <w:color w:val="000000" w:themeColor="text1"/>
          <w:lang w:val="fr-FR"/>
        </w:rPr>
        <w:t>évaluation conformément aux règles communes de la recherche internationale.</w:t>
      </w:r>
    </w:p>
    <w:p w14:paraId="5F78A885" w14:textId="252D3035" w:rsidR="00773110" w:rsidRPr="00F22A7C" w:rsidRDefault="00773110" w:rsidP="00F34ECA">
      <w:pPr>
        <w:keepLines/>
        <w:pBdr>
          <w:top w:val="nil"/>
          <w:left w:val="nil"/>
          <w:bottom w:val="nil"/>
          <w:right w:val="nil"/>
          <w:between w:val="nil"/>
        </w:pBdr>
        <w:spacing w:after="240"/>
        <w:ind w:right="567"/>
        <w:rPr>
          <w:color w:val="000000" w:themeColor="text1"/>
          <w:lang w:val="fr-FR"/>
        </w:rPr>
      </w:pPr>
      <w:r w:rsidRPr="00F22A7C">
        <w:rPr>
          <w:color w:val="000000" w:themeColor="text1"/>
          <w:lang w:val="fr-FR"/>
        </w:rPr>
        <w:t>Le rapport sur le système de gestion de la qualité contient des informations sur le système de gestion de la qualité mis en place par l</w:t>
      </w:r>
      <w:r w:rsidR="00F34ECA" w:rsidRPr="00F22A7C">
        <w:rPr>
          <w:color w:val="000000" w:themeColor="text1"/>
          <w:lang w:val="fr-FR"/>
        </w:rPr>
        <w:t>’</w:t>
      </w:r>
      <w:r w:rsidRPr="00F22A7C">
        <w:rPr>
          <w:color w:val="000000" w:themeColor="text1"/>
          <w:lang w:val="fr-FR"/>
        </w:rPr>
        <w:t>administration conformément au chapitre 21 des directives et inclut un bilan, conformément au paragraphe 21.09, sur les</w:t>
      </w:r>
      <w:r w:rsidR="00F22A7C">
        <w:rPr>
          <w:color w:val="000000" w:themeColor="text1"/>
          <w:lang w:val="fr-FR"/>
        </w:rPr>
        <w:t> </w:t>
      </w:r>
      <w:r w:rsidRPr="00F22A7C">
        <w:rPr>
          <w:color w:val="000000" w:themeColor="text1"/>
          <w:lang w:val="fr-FR"/>
        </w:rPr>
        <w:t>dispositions en matière d</w:t>
      </w:r>
      <w:r w:rsidR="00F34ECA" w:rsidRPr="00F22A7C">
        <w:rPr>
          <w:color w:val="000000" w:themeColor="text1"/>
          <w:lang w:val="fr-FR"/>
        </w:rPr>
        <w:t>’</w:t>
      </w:r>
      <w:r w:rsidRPr="00F22A7C">
        <w:rPr>
          <w:color w:val="000000" w:themeColor="text1"/>
          <w:lang w:val="fr-FR"/>
        </w:rPr>
        <w:t>évaluation interne qui sont décrites aux paragraphes 21.27 à</w:t>
      </w:r>
      <w:r w:rsidR="00F22A7C">
        <w:rPr>
          <w:color w:val="000000" w:themeColor="text1"/>
          <w:lang w:val="fr-FR"/>
        </w:rPr>
        <w:t> </w:t>
      </w:r>
      <w:r w:rsidRPr="00F22A7C">
        <w:rPr>
          <w:color w:val="000000" w:themeColor="text1"/>
          <w:lang w:val="fr-FR"/>
        </w:rPr>
        <w:t>21.30 des directives.</w:t>
      </w:r>
    </w:p>
    <w:p w14:paraId="0CB5044D" w14:textId="38473295" w:rsidR="00F34ECA" w:rsidRPr="00F22A7C" w:rsidRDefault="00773110" w:rsidP="00F34ECA">
      <w:pPr>
        <w:keepLines/>
        <w:pBdr>
          <w:top w:val="nil"/>
          <w:left w:val="nil"/>
          <w:bottom w:val="nil"/>
          <w:right w:val="nil"/>
          <w:between w:val="nil"/>
        </w:pBdr>
        <w:spacing w:after="240"/>
        <w:ind w:right="567"/>
        <w:jc w:val="both"/>
        <w:rPr>
          <w:color w:val="000000" w:themeColor="text1"/>
          <w:lang w:val="fr-FR"/>
        </w:rPr>
      </w:pPr>
      <w:r w:rsidRPr="00F22A7C">
        <w:rPr>
          <w:color w:val="000000" w:themeColor="text1"/>
          <w:lang w:val="fr-FR"/>
        </w:rPr>
        <w:t>Autres informations que celles figurant dans le rapport sur le système de gestion de la qualité (facultatif)</w:t>
      </w:r>
      <w:r w:rsidR="00F34ECA" w:rsidRPr="00F22A7C">
        <w:rPr>
          <w:color w:val="000000" w:themeColor="text1"/>
          <w:lang w:val="fr-FR"/>
        </w:rPr>
        <w:t> :</w:t>
      </w:r>
    </w:p>
    <w:p w14:paraId="358EFEC8" w14:textId="38631E9A" w:rsidR="00773110" w:rsidRPr="00F22A7C" w:rsidRDefault="00773110" w:rsidP="00F34ECA">
      <w:pPr>
        <w:pBdr>
          <w:top w:val="nil"/>
          <w:left w:val="nil"/>
          <w:bottom w:val="nil"/>
          <w:right w:val="nil"/>
          <w:between w:val="nil"/>
        </w:pBdr>
        <w:spacing w:after="240"/>
        <w:ind w:right="567"/>
        <w:jc w:val="both"/>
        <w:rPr>
          <w:color w:val="000000" w:themeColor="text1"/>
          <w:lang w:val="fr-FR"/>
        </w:rPr>
      </w:pPr>
      <w:r w:rsidRPr="00F22A7C">
        <w:rPr>
          <w:color w:val="000000" w:themeColor="text1"/>
          <w:lang w:val="fr-FR"/>
        </w:rPr>
        <w:t>L</w:t>
      </w:r>
      <w:r w:rsidR="00F34ECA" w:rsidRPr="00F22A7C">
        <w:rPr>
          <w:color w:val="000000" w:themeColor="text1"/>
          <w:lang w:val="fr-FR"/>
        </w:rPr>
        <w:t>’</w:t>
      </w:r>
      <w:r w:rsidRPr="00F22A7C">
        <w:rPr>
          <w:color w:val="000000" w:themeColor="text1"/>
          <w:lang w:val="fr-FR"/>
        </w:rPr>
        <w:t>INAPI est doté d</w:t>
      </w:r>
      <w:r w:rsidR="00F34ECA" w:rsidRPr="00F22A7C">
        <w:rPr>
          <w:color w:val="000000" w:themeColor="text1"/>
          <w:lang w:val="fr-FR"/>
        </w:rPr>
        <w:t>’</w:t>
      </w:r>
      <w:r w:rsidRPr="00F22A7C">
        <w:rPr>
          <w:color w:val="000000" w:themeColor="text1"/>
          <w:lang w:val="fr-FR"/>
        </w:rPr>
        <w:t>un système de gestion de la qualité remplissant les conditions du chapitre 21 des directives concernant la recherche internationale et l</w:t>
      </w:r>
      <w:r w:rsidR="00F34ECA" w:rsidRPr="00F22A7C">
        <w:rPr>
          <w:color w:val="000000" w:themeColor="text1"/>
          <w:lang w:val="fr-FR"/>
        </w:rPr>
        <w:t>’</w:t>
      </w:r>
      <w:r w:rsidRPr="00F22A7C">
        <w:rPr>
          <w:color w:val="000000" w:themeColor="text1"/>
          <w:lang w:val="fr-FR"/>
        </w:rPr>
        <w:t>examen préliminaire international selon</w:t>
      </w:r>
      <w:r w:rsidR="00F34ECA" w:rsidRPr="00F22A7C">
        <w:rPr>
          <w:color w:val="000000" w:themeColor="text1"/>
          <w:lang w:val="fr-FR"/>
        </w:rPr>
        <w:t xml:space="preserve"> le </w:t>
      </w:r>
      <w:r w:rsidR="00F22A7C" w:rsidRPr="00F22A7C">
        <w:rPr>
          <w:color w:val="000000" w:themeColor="text1"/>
          <w:lang w:val="fr-FR"/>
        </w:rPr>
        <w:t>PCT.  Il</w:t>
      </w:r>
      <w:r w:rsidRPr="00F22A7C">
        <w:rPr>
          <w:color w:val="000000" w:themeColor="text1"/>
          <w:lang w:val="fr-FR"/>
        </w:rPr>
        <w:t xml:space="preserve"> est bien développé et sans cesse amélio</w:t>
      </w:r>
      <w:r w:rsidR="00F22A7C" w:rsidRPr="00F22A7C">
        <w:rPr>
          <w:color w:val="000000" w:themeColor="text1"/>
          <w:lang w:val="fr-FR"/>
        </w:rPr>
        <w:t>ré.  To</w:t>
      </w:r>
      <w:r w:rsidRPr="00F22A7C">
        <w:rPr>
          <w:color w:val="000000" w:themeColor="text1"/>
          <w:lang w:val="fr-FR"/>
        </w:rPr>
        <w:t>utes les procédures de la phase internationale selon</w:t>
      </w:r>
      <w:r w:rsidR="00F34ECA" w:rsidRPr="00F22A7C">
        <w:rPr>
          <w:color w:val="000000" w:themeColor="text1"/>
          <w:lang w:val="fr-FR"/>
        </w:rPr>
        <w:t xml:space="preserve"> le PCT</w:t>
      </w:r>
      <w:r w:rsidRPr="00F22A7C">
        <w:rPr>
          <w:color w:val="000000" w:themeColor="text1"/>
          <w:lang w:val="fr-FR"/>
        </w:rPr>
        <w:t xml:space="preserve"> que mène l</w:t>
      </w:r>
      <w:r w:rsidR="00F34ECA" w:rsidRPr="00F22A7C">
        <w:rPr>
          <w:color w:val="000000" w:themeColor="text1"/>
          <w:lang w:val="fr-FR"/>
        </w:rPr>
        <w:t>’</w:t>
      </w:r>
      <w:r w:rsidRPr="00F22A7C">
        <w:rPr>
          <w:color w:val="000000" w:themeColor="text1"/>
          <w:lang w:val="fr-FR"/>
        </w:rPr>
        <w:t>INAPI, que ce soit en qualité d</w:t>
      </w:r>
      <w:r w:rsidR="00F34ECA" w:rsidRPr="00F22A7C">
        <w:rPr>
          <w:color w:val="000000" w:themeColor="text1"/>
          <w:lang w:val="fr-FR"/>
        </w:rPr>
        <w:t>’</w:t>
      </w:r>
      <w:r w:rsidRPr="00F22A7C">
        <w:rPr>
          <w:color w:val="000000" w:themeColor="text1"/>
          <w:lang w:val="fr-FR"/>
        </w:rPr>
        <w:t>office récepteur, d</w:t>
      </w:r>
      <w:r w:rsidR="00F34ECA" w:rsidRPr="00F22A7C">
        <w:rPr>
          <w:color w:val="000000" w:themeColor="text1"/>
          <w:lang w:val="fr-FR"/>
        </w:rPr>
        <w:t>’</w:t>
      </w:r>
      <w:r w:rsidRPr="00F22A7C">
        <w:rPr>
          <w:color w:val="000000" w:themeColor="text1"/>
          <w:lang w:val="fr-FR"/>
        </w:rPr>
        <w:t>administration chargée de la recherche internationale ou d</w:t>
      </w:r>
      <w:r w:rsidR="00F34ECA" w:rsidRPr="00F22A7C">
        <w:rPr>
          <w:color w:val="000000" w:themeColor="text1"/>
          <w:lang w:val="fr-FR"/>
        </w:rPr>
        <w:t>’</w:t>
      </w:r>
      <w:r w:rsidRPr="00F22A7C">
        <w:rPr>
          <w:color w:val="000000" w:themeColor="text1"/>
          <w:lang w:val="fr-FR"/>
        </w:rPr>
        <w:t>administration chargée de l</w:t>
      </w:r>
      <w:r w:rsidR="00F34ECA" w:rsidRPr="00F22A7C">
        <w:rPr>
          <w:color w:val="000000" w:themeColor="text1"/>
          <w:lang w:val="fr-FR"/>
        </w:rPr>
        <w:t>’</w:t>
      </w:r>
      <w:r w:rsidRPr="00F22A7C">
        <w:rPr>
          <w:color w:val="000000" w:themeColor="text1"/>
          <w:lang w:val="fr-FR"/>
        </w:rPr>
        <w:t>examen préliminaire international, sont certifiées ISO</w:t>
      </w:r>
      <w:r w:rsidR="00F22A7C">
        <w:rPr>
          <w:color w:val="000000" w:themeColor="text1"/>
          <w:lang w:val="fr-FR"/>
        </w:rPr>
        <w:t> </w:t>
      </w:r>
      <w:proofErr w:type="gramStart"/>
      <w:r w:rsidRPr="00F22A7C">
        <w:rPr>
          <w:color w:val="000000" w:themeColor="text1"/>
          <w:lang w:val="fr-FR"/>
        </w:rPr>
        <w:t>9001:</w:t>
      </w:r>
      <w:proofErr w:type="gramEnd"/>
      <w:r w:rsidRPr="00F22A7C">
        <w:rPr>
          <w:color w:val="000000" w:themeColor="text1"/>
          <w:lang w:val="fr-FR"/>
        </w:rPr>
        <w:t>2015.  Cela garantit notre engagement à offrir en permanence un niveau de qualité élevé aux utilisateurs qui recourent aux services PCT fournis par l</w:t>
      </w:r>
      <w:r w:rsidR="00F34ECA" w:rsidRPr="00F22A7C">
        <w:rPr>
          <w:color w:val="000000" w:themeColor="text1"/>
          <w:lang w:val="fr-FR"/>
        </w:rPr>
        <w:t>’</w:t>
      </w:r>
      <w:r w:rsidRPr="00F22A7C">
        <w:rPr>
          <w:color w:val="000000" w:themeColor="text1"/>
          <w:lang w:val="fr-FR"/>
        </w:rPr>
        <w:t>INAPI.</w:t>
      </w:r>
    </w:p>
    <w:p w14:paraId="49D11114" w14:textId="68F14B52" w:rsidR="00773110" w:rsidRPr="00F22A7C" w:rsidRDefault="00773110" w:rsidP="00F34ECA">
      <w:pPr>
        <w:keepNext/>
        <w:keepLines/>
        <w:pBdr>
          <w:top w:val="single" w:sz="4" w:space="1" w:color="000000"/>
          <w:left w:val="nil"/>
          <w:bottom w:val="nil"/>
          <w:right w:val="nil"/>
          <w:between w:val="nil"/>
        </w:pBdr>
        <w:spacing w:before="360" w:after="200" w:line="480" w:lineRule="auto"/>
        <w:rPr>
          <w:b/>
          <w:caps/>
          <w:color w:val="000000"/>
          <w:lang w:val="fr-FR"/>
        </w:rPr>
      </w:pPr>
      <w:r w:rsidRPr="00F22A7C">
        <w:rPr>
          <w:b/>
          <w:caps/>
          <w:color w:val="000000"/>
          <w:lang w:val="fr-FR"/>
        </w:rPr>
        <w:t xml:space="preserve">3 </w:t>
      </w:r>
      <w:r w:rsidR="00F22A7C" w:rsidRPr="00F22A7C">
        <w:rPr>
          <w:b/>
          <w:caps/>
          <w:color w:val="000000"/>
          <w:lang w:val="fr-FR"/>
        </w:rPr>
        <w:t>–</w:t>
      </w:r>
      <w:r w:rsidRPr="00F22A7C">
        <w:rPr>
          <w:b/>
          <w:caps/>
          <w:color w:val="000000"/>
          <w:lang w:val="fr-FR"/>
        </w:rPr>
        <w:t xml:space="preserve"> Champ d</w:t>
      </w:r>
      <w:r w:rsidR="00F34ECA" w:rsidRPr="00F22A7C">
        <w:rPr>
          <w:b/>
          <w:caps/>
          <w:color w:val="000000"/>
          <w:lang w:val="fr-FR"/>
        </w:rPr>
        <w:t>’</w:t>
      </w:r>
      <w:r w:rsidRPr="00F22A7C">
        <w:rPr>
          <w:b/>
          <w:caps/>
          <w:color w:val="000000"/>
          <w:lang w:val="fr-FR"/>
        </w:rPr>
        <w:t>activité</w:t>
      </w:r>
    </w:p>
    <w:p w14:paraId="7488FE9C" w14:textId="0BE37FDB" w:rsidR="00773110" w:rsidRPr="00F22A7C" w:rsidRDefault="00773110" w:rsidP="00F34ECA">
      <w:pPr>
        <w:keepNext/>
        <w:keepLines/>
        <w:pBdr>
          <w:top w:val="nil"/>
          <w:left w:val="nil"/>
          <w:bottom w:val="nil"/>
          <w:right w:val="nil"/>
          <w:between w:val="nil"/>
        </w:pBdr>
        <w:spacing w:after="480"/>
        <w:rPr>
          <w:b/>
          <w:color w:val="000000" w:themeColor="text1"/>
          <w:lang w:val="fr-FR"/>
        </w:rPr>
      </w:pPr>
      <w:r w:rsidRPr="00F22A7C">
        <w:rPr>
          <w:b/>
          <w:color w:val="000000" w:themeColor="text1"/>
          <w:lang w:val="fr-FR"/>
        </w:rPr>
        <w:t>a)</w:t>
      </w:r>
      <w:r w:rsidRPr="00F22A7C">
        <w:rPr>
          <w:b/>
          <w:color w:val="000000" w:themeColor="text1"/>
          <w:lang w:val="fr-FR"/>
        </w:rPr>
        <w:tab/>
        <w:t>Champ d</w:t>
      </w:r>
      <w:r w:rsidR="00F34ECA" w:rsidRPr="00F22A7C">
        <w:rPr>
          <w:b/>
          <w:color w:val="000000" w:themeColor="text1"/>
          <w:lang w:val="fr-FR"/>
        </w:rPr>
        <w:t>’</w:t>
      </w:r>
      <w:r w:rsidRPr="00F22A7C">
        <w:rPr>
          <w:b/>
          <w:color w:val="000000" w:themeColor="text1"/>
          <w:lang w:val="fr-FR"/>
        </w:rPr>
        <w:t>activité actuel</w:t>
      </w:r>
    </w:p>
    <w:p w14:paraId="469C986A" w14:textId="5A400335" w:rsidR="00773110" w:rsidRPr="00F22A7C" w:rsidRDefault="00773110" w:rsidP="00F34ECA">
      <w:pPr>
        <w:pStyle w:val="Question"/>
        <w:spacing w:after="480"/>
        <w:rPr>
          <w:b w:val="0"/>
          <w:szCs w:val="20"/>
        </w:rPr>
      </w:pPr>
      <w:r w:rsidRPr="00F22A7C">
        <w:rPr>
          <w:b w:val="0"/>
          <w:color w:val="000000" w:themeColor="text1"/>
        </w:rPr>
        <w:t>Les offices récepteurs pour lesquels l</w:t>
      </w:r>
      <w:r w:rsidR="00F34ECA" w:rsidRPr="00F22A7C">
        <w:rPr>
          <w:b w:val="0"/>
          <w:color w:val="000000" w:themeColor="text1"/>
        </w:rPr>
        <w:t>’</w:t>
      </w:r>
      <w:r w:rsidRPr="00F22A7C">
        <w:rPr>
          <w:b w:val="0"/>
          <w:color w:val="000000" w:themeColor="text1"/>
        </w:rPr>
        <w:t>office ou l</w:t>
      </w:r>
      <w:r w:rsidR="00F34ECA" w:rsidRPr="00F22A7C">
        <w:rPr>
          <w:b w:val="0"/>
          <w:color w:val="000000" w:themeColor="text1"/>
        </w:rPr>
        <w:t>’</w:t>
      </w:r>
      <w:r w:rsidRPr="00F22A7C">
        <w:rPr>
          <w:b w:val="0"/>
          <w:color w:val="000000" w:themeColor="text1"/>
        </w:rPr>
        <w:t>organisation intergouvernementale est compétent en tant qu</w:t>
      </w:r>
      <w:r w:rsidR="00F34ECA" w:rsidRPr="00F22A7C">
        <w:rPr>
          <w:b w:val="0"/>
          <w:color w:val="000000" w:themeColor="text1"/>
        </w:rPr>
        <w:t>’</w:t>
      </w:r>
      <w:r w:rsidRPr="00F22A7C">
        <w:rPr>
          <w:b w:val="0"/>
          <w:color w:val="000000" w:themeColor="text1"/>
        </w:rPr>
        <w:t>administration chargée de la recherche internationale et administration chargée de l</w:t>
      </w:r>
      <w:r w:rsidR="00F34ECA" w:rsidRPr="00F22A7C">
        <w:rPr>
          <w:b w:val="0"/>
          <w:color w:val="000000" w:themeColor="text1"/>
        </w:rPr>
        <w:t>’</w:t>
      </w:r>
      <w:r w:rsidRPr="00F22A7C">
        <w:rPr>
          <w:b w:val="0"/>
          <w:color w:val="000000" w:themeColor="text1"/>
        </w:rPr>
        <w:t>examen préliminaire international, la ou les langues dans lesquelles les services sont proposés et d</w:t>
      </w:r>
      <w:r w:rsidR="00F34ECA" w:rsidRPr="00F22A7C">
        <w:rPr>
          <w:b w:val="0"/>
          <w:color w:val="000000" w:themeColor="text1"/>
        </w:rPr>
        <w:t>’</w:t>
      </w:r>
      <w:r w:rsidRPr="00F22A7C">
        <w:rPr>
          <w:b w:val="0"/>
          <w:color w:val="000000" w:themeColor="text1"/>
        </w:rPr>
        <w:t>autres détails concernant le champ d</w:t>
      </w:r>
      <w:r w:rsidR="00F34ECA" w:rsidRPr="00F22A7C">
        <w:rPr>
          <w:b w:val="0"/>
          <w:color w:val="000000" w:themeColor="text1"/>
        </w:rPr>
        <w:t>’</w:t>
      </w:r>
      <w:r w:rsidRPr="00F22A7C">
        <w:rPr>
          <w:b w:val="0"/>
          <w:color w:val="000000" w:themeColor="text1"/>
        </w:rPr>
        <w:t xml:space="preserve">activité peuvent être consultés dans le </w:t>
      </w:r>
      <w:r w:rsidRPr="00F22A7C">
        <w:rPr>
          <w:b w:val="0"/>
          <w:i/>
          <w:color w:val="000000" w:themeColor="text1"/>
        </w:rPr>
        <w:t>Guide du déposant</w:t>
      </w:r>
      <w:r w:rsidR="00F34ECA" w:rsidRPr="00F22A7C">
        <w:rPr>
          <w:b w:val="0"/>
          <w:i/>
          <w:color w:val="000000" w:themeColor="text1"/>
        </w:rPr>
        <w:t xml:space="preserve"> du PCT</w:t>
      </w:r>
      <w:r w:rsidRPr="00F22A7C">
        <w:rPr>
          <w:b w:val="0"/>
          <w:color w:val="000000" w:themeColor="text1"/>
        </w:rPr>
        <w:t xml:space="preserve">, </w:t>
      </w:r>
      <w:r w:rsidR="00F22A7C">
        <w:rPr>
          <w:b w:val="0"/>
          <w:color w:val="000000" w:themeColor="text1"/>
        </w:rPr>
        <w:t xml:space="preserve">aux </w:t>
      </w:r>
      <w:r w:rsidRPr="00F22A7C">
        <w:rPr>
          <w:b w:val="0"/>
          <w:color w:val="000000" w:themeColor="text1"/>
        </w:rPr>
        <w:t>adresse</w:t>
      </w:r>
      <w:r w:rsidR="00F22A7C">
        <w:rPr>
          <w:b w:val="0"/>
          <w:color w:val="000000" w:themeColor="text1"/>
        </w:rPr>
        <w:t>s</w:t>
      </w:r>
      <w:r w:rsidRPr="00F22A7C">
        <w:rPr>
          <w:b w:val="0"/>
          <w:color w:val="000000" w:themeColor="text1"/>
        </w:rPr>
        <w:t xml:space="preserve"> suivante</w:t>
      </w:r>
      <w:r w:rsidR="00F22A7C">
        <w:rPr>
          <w:b w:val="0"/>
          <w:color w:val="000000" w:themeColor="text1"/>
        </w:rPr>
        <w:t>s</w:t>
      </w:r>
      <w:r w:rsidR="00F34ECA" w:rsidRPr="00F22A7C">
        <w:rPr>
          <w:b w:val="0"/>
          <w:color w:val="000000" w:themeColor="text1"/>
        </w:rPr>
        <w:t> :</w:t>
      </w:r>
      <w:r w:rsidRPr="00F22A7C">
        <w:rPr>
          <w:b w:val="0"/>
          <w:bCs w:val="0"/>
          <w:color w:val="000000" w:themeColor="text1"/>
        </w:rPr>
        <w:t xml:space="preserve"> </w:t>
      </w:r>
      <w:hyperlink r:id="rId13" w:anchor="ISA" w:history="1">
        <w:r w:rsidR="00F22A7C" w:rsidRPr="00737DB3">
          <w:rPr>
            <w:rStyle w:val="Hyperlink"/>
            <w:b w:val="0"/>
          </w:rPr>
          <w:t>https://pctlegal.wipo.int/eGuide/view-doc.xhtml?doc-code=CL&amp;amp;doc-lang=fr#ISA</w:t>
        </w:r>
      </w:hyperlink>
      <w:r w:rsidRPr="00F22A7C">
        <w:rPr>
          <w:b w:val="0"/>
          <w:color w:val="000000" w:themeColor="text1"/>
        </w:rPr>
        <w:t xml:space="preserve">; </w:t>
      </w:r>
      <w:r w:rsidR="005070E1" w:rsidRPr="00F22A7C">
        <w:rPr>
          <w:b w:val="0"/>
          <w:color w:val="000000" w:themeColor="text1"/>
        </w:rPr>
        <w:t xml:space="preserve"> </w:t>
      </w:r>
      <w:hyperlink r:id="rId14" w:anchor="IPEA" w:history="1">
        <w:r w:rsidR="00F22A7C" w:rsidRPr="00737DB3">
          <w:rPr>
            <w:rStyle w:val="Hyperlink"/>
            <w:b w:val="0"/>
          </w:rPr>
          <w:t>https://pctlegal.wipo.int/eGuide/view-doc.xhtml?doc-code=CL&amp;amp;doc-lang=fr#IPEA</w:t>
        </w:r>
      </w:hyperlink>
      <w:r w:rsidRPr="00F22A7C">
        <w:rPr>
          <w:rStyle w:val="Hyperlink"/>
          <w:b w:val="0"/>
          <w:color w:val="auto"/>
          <w:u w:val="none"/>
        </w:rPr>
        <w:t>.</w:t>
      </w:r>
    </w:p>
    <w:p w14:paraId="58B1FD97" w14:textId="31AC99B9" w:rsidR="00F34ECA" w:rsidRPr="00F22A7C" w:rsidRDefault="00773110" w:rsidP="00F34ECA">
      <w:pPr>
        <w:keepLines/>
        <w:pBdr>
          <w:top w:val="nil"/>
          <w:left w:val="nil"/>
          <w:bottom w:val="nil"/>
          <w:right w:val="nil"/>
          <w:between w:val="nil"/>
        </w:pBdr>
        <w:spacing w:after="480"/>
        <w:rPr>
          <w:b/>
          <w:color w:val="000000" w:themeColor="text1"/>
          <w:lang w:val="fr-FR"/>
        </w:rPr>
      </w:pPr>
      <w:r w:rsidRPr="00F22A7C">
        <w:rPr>
          <w:b/>
          <w:color w:val="000000" w:themeColor="text1"/>
          <w:lang w:val="fr-FR"/>
        </w:rPr>
        <w:t>b)</w:t>
      </w:r>
      <w:r w:rsidRPr="00F22A7C">
        <w:rPr>
          <w:b/>
          <w:color w:val="000000" w:themeColor="text1"/>
          <w:lang w:val="fr-FR"/>
        </w:rPr>
        <w:tab/>
        <w:t>Les modifications prévues concernant le champ d</w:t>
      </w:r>
      <w:r w:rsidR="00F34ECA" w:rsidRPr="00F22A7C">
        <w:rPr>
          <w:b/>
          <w:color w:val="000000" w:themeColor="text1"/>
          <w:lang w:val="fr-FR"/>
        </w:rPr>
        <w:t>’</w:t>
      </w:r>
      <w:r w:rsidRPr="00F22A7C">
        <w:rPr>
          <w:b/>
          <w:color w:val="000000" w:themeColor="text1"/>
          <w:lang w:val="fr-FR"/>
        </w:rPr>
        <w:t>activité de l</w:t>
      </w:r>
      <w:r w:rsidR="00F34ECA" w:rsidRPr="00F22A7C">
        <w:rPr>
          <w:b/>
          <w:color w:val="000000" w:themeColor="text1"/>
          <w:lang w:val="fr-FR"/>
        </w:rPr>
        <w:t>’</w:t>
      </w:r>
      <w:r w:rsidRPr="00F22A7C">
        <w:rPr>
          <w:b/>
          <w:color w:val="000000" w:themeColor="text1"/>
          <w:lang w:val="fr-FR"/>
        </w:rPr>
        <w:t>administration, telles que les offices récepteurs pour lesquels l</w:t>
      </w:r>
      <w:r w:rsidR="00F34ECA" w:rsidRPr="00F22A7C">
        <w:rPr>
          <w:b/>
          <w:color w:val="000000" w:themeColor="text1"/>
          <w:lang w:val="fr-FR"/>
        </w:rPr>
        <w:t>’</w:t>
      </w:r>
      <w:r w:rsidRPr="00F22A7C">
        <w:rPr>
          <w:b/>
          <w:color w:val="000000" w:themeColor="text1"/>
          <w:lang w:val="fr-FR"/>
        </w:rPr>
        <w:t>administration est compétente et les langues disponibles (le cas échéant)</w:t>
      </w:r>
      <w:r w:rsidR="00F34ECA" w:rsidRPr="00F22A7C">
        <w:rPr>
          <w:b/>
          <w:color w:val="000000" w:themeColor="text1"/>
          <w:lang w:val="fr-FR"/>
        </w:rPr>
        <w:t> :</w:t>
      </w:r>
    </w:p>
    <w:p w14:paraId="2C16DD98" w14:textId="2D879B5C" w:rsidR="00773110" w:rsidRPr="00F22A7C" w:rsidRDefault="00773110" w:rsidP="00F34ECA">
      <w:pPr>
        <w:keepLines/>
        <w:pBdr>
          <w:top w:val="nil"/>
          <w:left w:val="nil"/>
          <w:bottom w:val="nil"/>
          <w:right w:val="nil"/>
          <w:between w:val="nil"/>
        </w:pBdr>
        <w:spacing w:after="480"/>
        <w:jc w:val="both"/>
        <w:rPr>
          <w:color w:val="000000" w:themeColor="text1"/>
          <w:lang w:val="fr-FR"/>
        </w:rPr>
      </w:pPr>
      <w:r w:rsidRPr="00F22A7C">
        <w:rPr>
          <w:color w:val="000000" w:themeColor="text1"/>
          <w:lang w:val="fr-FR"/>
        </w:rPr>
        <w:t>L</w:t>
      </w:r>
      <w:r w:rsidR="00F34ECA" w:rsidRPr="00F22A7C">
        <w:rPr>
          <w:color w:val="000000" w:themeColor="text1"/>
          <w:lang w:val="fr-FR"/>
        </w:rPr>
        <w:t>’</w:t>
      </w:r>
      <w:r w:rsidRPr="00F22A7C">
        <w:rPr>
          <w:color w:val="000000" w:themeColor="text1"/>
          <w:lang w:val="fr-FR"/>
        </w:rPr>
        <w:t>INAPI n</w:t>
      </w:r>
      <w:r w:rsidR="00F34ECA" w:rsidRPr="00F22A7C">
        <w:rPr>
          <w:color w:val="000000" w:themeColor="text1"/>
          <w:lang w:val="fr-FR"/>
        </w:rPr>
        <w:t>’</w:t>
      </w:r>
      <w:r w:rsidRPr="00F22A7C">
        <w:rPr>
          <w:color w:val="000000" w:themeColor="text1"/>
          <w:lang w:val="fr-FR"/>
        </w:rPr>
        <w:t>envisage aucun changement à cet éga</w:t>
      </w:r>
      <w:r w:rsidR="00F22A7C" w:rsidRPr="00F22A7C">
        <w:rPr>
          <w:color w:val="000000" w:themeColor="text1"/>
          <w:lang w:val="fr-FR"/>
        </w:rPr>
        <w:t>rd.  En</w:t>
      </w:r>
      <w:r w:rsidRPr="00F22A7C">
        <w:rPr>
          <w:color w:val="000000" w:themeColor="text1"/>
          <w:lang w:val="fr-FR"/>
        </w:rPr>
        <w:t xml:space="preserve"> sa qualité d</w:t>
      </w:r>
      <w:r w:rsidR="00F34ECA" w:rsidRPr="00F22A7C">
        <w:rPr>
          <w:color w:val="000000" w:themeColor="text1"/>
          <w:lang w:val="fr-FR"/>
        </w:rPr>
        <w:t>’</w:t>
      </w:r>
      <w:r w:rsidRPr="00F22A7C">
        <w:rPr>
          <w:color w:val="000000" w:themeColor="text1"/>
          <w:lang w:val="fr-FR"/>
        </w:rPr>
        <w:t>administration internationale</w:t>
      </w:r>
      <w:r w:rsidR="00F34ECA" w:rsidRPr="00F22A7C">
        <w:rPr>
          <w:color w:val="000000" w:themeColor="text1"/>
          <w:lang w:val="fr-FR"/>
        </w:rPr>
        <w:t xml:space="preserve"> du PCT</w:t>
      </w:r>
      <w:r w:rsidRPr="00F22A7C">
        <w:rPr>
          <w:color w:val="000000" w:themeColor="text1"/>
          <w:lang w:val="fr-FR"/>
        </w:rPr>
        <w:t>, l</w:t>
      </w:r>
      <w:r w:rsidR="00F34ECA" w:rsidRPr="00F22A7C">
        <w:rPr>
          <w:color w:val="000000" w:themeColor="text1"/>
          <w:lang w:val="fr-FR"/>
        </w:rPr>
        <w:t>’</w:t>
      </w:r>
      <w:r w:rsidRPr="00F22A7C">
        <w:rPr>
          <w:color w:val="000000" w:themeColor="text1"/>
          <w:lang w:val="fr-FR"/>
        </w:rPr>
        <w:t>INAPI travaille en espagnol et en anglais uniquement pour les déposants de pays qui sont des parties contractantes</w:t>
      </w:r>
      <w:r w:rsidR="00F34ECA" w:rsidRPr="00F22A7C">
        <w:rPr>
          <w:color w:val="000000" w:themeColor="text1"/>
          <w:lang w:val="fr-FR"/>
        </w:rPr>
        <w:t xml:space="preserve"> du PCT</w:t>
      </w:r>
      <w:r w:rsidRPr="00F22A7C">
        <w:rPr>
          <w:color w:val="000000" w:themeColor="text1"/>
          <w:lang w:val="fr-FR"/>
        </w:rPr>
        <w:t xml:space="preserve"> en Amérique latine et dans les Caraïb</w:t>
      </w:r>
      <w:r w:rsidR="00F22A7C" w:rsidRPr="00F22A7C">
        <w:rPr>
          <w:color w:val="000000" w:themeColor="text1"/>
          <w:lang w:val="fr-FR"/>
        </w:rPr>
        <w:t>es.  Ac</w:t>
      </w:r>
      <w:r w:rsidRPr="00F22A7C">
        <w:rPr>
          <w:color w:val="000000" w:themeColor="text1"/>
          <w:lang w:val="fr-FR"/>
        </w:rPr>
        <w:t>tuellement, 14 pays ont désigné l</w:t>
      </w:r>
      <w:r w:rsidR="00F34ECA" w:rsidRPr="00F22A7C">
        <w:rPr>
          <w:color w:val="000000" w:themeColor="text1"/>
          <w:lang w:val="fr-FR"/>
        </w:rPr>
        <w:t>’</w:t>
      </w:r>
      <w:r w:rsidRPr="00F22A7C">
        <w:rPr>
          <w:color w:val="000000" w:themeColor="text1"/>
          <w:lang w:val="fr-FR"/>
        </w:rPr>
        <w:t>INAPI comme organisme pouvant agir en qualité d</w:t>
      </w:r>
      <w:r w:rsidR="00F34ECA" w:rsidRPr="00F22A7C">
        <w:rPr>
          <w:color w:val="000000" w:themeColor="text1"/>
          <w:lang w:val="fr-FR"/>
        </w:rPr>
        <w:t>’</w:t>
      </w:r>
      <w:r w:rsidRPr="00F22A7C">
        <w:rPr>
          <w:color w:val="000000" w:themeColor="text1"/>
          <w:lang w:val="fr-FR"/>
        </w:rPr>
        <w:t>administration chargée de la recherche internationale et de l</w:t>
      </w:r>
      <w:r w:rsidR="00F34ECA" w:rsidRPr="00F22A7C">
        <w:rPr>
          <w:color w:val="000000" w:themeColor="text1"/>
          <w:lang w:val="fr-FR"/>
        </w:rPr>
        <w:t>’</w:t>
      </w:r>
      <w:r w:rsidRPr="00F22A7C">
        <w:rPr>
          <w:color w:val="000000" w:themeColor="text1"/>
          <w:lang w:val="fr-FR"/>
        </w:rPr>
        <w:t>examen préliminaire international pour leurs déposants</w:t>
      </w:r>
      <w:r w:rsidR="00F34ECA" w:rsidRPr="00F22A7C">
        <w:rPr>
          <w:color w:val="000000" w:themeColor="text1"/>
          <w:lang w:val="fr-FR"/>
        </w:rPr>
        <w:t> :</w:t>
      </w:r>
      <w:r w:rsidRPr="00F22A7C">
        <w:rPr>
          <w:color w:val="000000" w:themeColor="text1"/>
          <w:lang w:val="fr-FR"/>
        </w:rPr>
        <w:t xml:space="preserve"> Brésil, Chili, Colombie, Costa</w:t>
      </w:r>
      <w:r w:rsidR="005070E1" w:rsidRPr="00F22A7C">
        <w:rPr>
          <w:color w:val="000000" w:themeColor="text1"/>
          <w:lang w:val="fr-FR"/>
        </w:rPr>
        <w:t> </w:t>
      </w:r>
      <w:r w:rsidRPr="00F22A7C">
        <w:rPr>
          <w:color w:val="000000" w:themeColor="text1"/>
          <w:lang w:val="fr-FR"/>
        </w:rPr>
        <w:t>Rica, Cuba, Équateur, El</w:t>
      </w:r>
      <w:r w:rsidR="005070E1" w:rsidRPr="00F22A7C">
        <w:rPr>
          <w:color w:val="000000" w:themeColor="text1"/>
          <w:lang w:val="fr-FR"/>
        </w:rPr>
        <w:t> </w:t>
      </w:r>
      <w:r w:rsidRPr="00F22A7C">
        <w:rPr>
          <w:color w:val="000000" w:themeColor="text1"/>
          <w:lang w:val="fr-FR"/>
        </w:rPr>
        <w:t>Salvador, Guatemala, Mexique, Panama, Pérou, République dominicaine, Trinité</w:t>
      </w:r>
      <w:r w:rsidR="00F22A7C">
        <w:rPr>
          <w:color w:val="000000" w:themeColor="text1"/>
          <w:lang w:val="fr-FR"/>
        </w:rPr>
        <w:noBreakHyphen/>
      </w:r>
      <w:r w:rsidRPr="00F22A7C">
        <w:rPr>
          <w:color w:val="000000" w:themeColor="text1"/>
          <w:lang w:val="fr-FR"/>
        </w:rPr>
        <w:t>et</w:t>
      </w:r>
      <w:r w:rsidR="00F22A7C">
        <w:rPr>
          <w:color w:val="000000" w:themeColor="text1"/>
          <w:lang w:val="fr-FR"/>
        </w:rPr>
        <w:noBreakHyphen/>
      </w:r>
      <w:r w:rsidRPr="00F22A7C">
        <w:rPr>
          <w:color w:val="000000" w:themeColor="text1"/>
          <w:lang w:val="fr-FR"/>
        </w:rPr>
        <w:t>Tobago et Uruguay.</w:t>
      </w:r>
    </w:p>
    <w:p w14:paraId="043FDAA1" w14:textId="77777777" w:rsidR="00773110" w:rsidRPr="00F22A7C" w:rsidRDefault="00773110" w:rsidP="00F34ECA">
      <w:pPr>
        <w:keepNext/>
        <w:keepLines/>
        <w:pBdr>
          <w:top w:val="single" w:sz="4" w:space="1" w:color="000000"/>
          <w:left w:val="nil"/>
          <w:bottom w:val="nil"/>
          <w:right w:val="nil"/>
          <w:between w:val="nil"/>
        </w:pBdr>
        <w:spacing w:before="360" w:after="200" w:line="480" w:lineRule="auto"/>
        <w:rPr>
          <w:b/>
          <w:caps/>
          <w:color w:val="000000"/>
          <w:lang w:val="fr-FR"/>
        </w:rPr>
      </w:pPr>
      <w:r w:rsidRPr="00F22A7C">
        <w:rPr>
          <w:b/>
          <w:caps/>
          <w:color w:val="000000"/>
          <w:lang w:val="fr-FR"/>
        </w:rPr>
        <w:t>4 – Divers</w:t>
      </w:r>
    </w:p>
    <w:p w14:paraId="28BA7BAC" w14:textId="0ECDCC6F" w:rsidR="00F34ECA" w:rsidRPr="00F22A7C" w:rsidRDefault="00773110" w:rsidP="00F34ECA">
      <w:pPr>
        <w:rPr>
          <w:color w:val="000000" w:themeColor="text1"/>
          <w:lang w:val="fr-FR"/>
        </w:rPr>
      </w:pPr>
      <w:r w:rsidRPr="00F22A7C">
        <w:rPr>
          <w:color w:val="000000" w:themeColor="text1"/>
          <w:lang w:val="fr-FR"/>
        </w:rPr>
        <w:t>Toute autre information concernant la prolongation de la nomination en qualité d</w:t>
      </w:r>
      <w:r w:rsidR="00F34ECA" w:rsidRPr="00F22A7C">
        <w:rPr>
          <w:color w:val="000000" w:themeColor="text1"/>
          <w:lang w:val="fr-FR"/>
        </w:rPr>
        <w:t>’</w:t>
      </w:r>
      <w:r w:rsidRPr="00F22A7C">
        <w:rPr>
          <w:color w:val="000000" w:themeColor="text1"/>
          <w:lang w:val="fr-FR"/>
        </w:rPr>
        <w:t>administration chargée de la recherche internationale et de l</w:t>
      </w:r>
      <w:r w:rsidR="00F34ECA" w:rsidRPr="00F22A7C">
        <w:rPr>
          <w:color w:val="000000" w:themeColor="text1"/>
          <w:lang w:val="fr-FR"/>
        </w:rPr>
        <w:t>’</w:t>
      </w:r>
      <w:r w:rsidRPr="00F22A7C">
        <w:rPr>
          <w:color w:val="000000" w:themeColor="text1"/>
          <w:lang w:val="fr-FR"/>
        </w:rPr>
        <w:t>examen préliminaire international</w:t>
      </w:r>
      <w:r w:rsidR="00F34ECA" w:rsidRPr="00F22A7C">
        <w:rPr>
          <w:color w:val="000000" w:themeColor="text1"/>
          <w:lang w:val="fr-FR"/>
        </w:rPr>
        <w:t> :</w:t>
      </w:r>
    </w:p>
    <w:p w14:paraId="0D116C54" w14:textId="1772C349" w:rsidR="00773110" w:rsidRPr="00F22A7C" w:rsidRDefault="00773110" w:rsidP="00F34ECA">
      <w:pPr>
        <w:rPr>
          <w:color w:val="000000" w:themeColor="text1"/>
          <w:lang w:val="fr-FR"/>
        </w:rPr>
      </w:pPr>
    </w:p>
    <w:p w14:paraId="70757A56" w14:textId="77777777" w:rsidR="00773110" w:rsidRPr="00F22A7C" w:rsidRDefault="00773110" w:rsidP="00F34ECA">
      <w:pPr>
        <w:rPr>
          <w:color w:val="000000" w:themeColor="text1"/>
          <w:u w:val="single"/>
          <w:lang w:val="fr-FR"/>
        </w:rPr>
      </w:pPr>
      <w:r w:rsidRPr="00F22A7C">
        <w:rPr>
          <w:color w:val="000000" w:themeColor="text1"/>
          <w:u w:val="single"/>
          <w:lang w:val="fr-FR"/>
        </w:rPr>
        <w:t>Énoncé des motivations</w:t>
      </w:r>
    </w:p>
    <w:p w14:paraId="65E3370E" w14:textId="77777777" w:rsidR="00773110" w:rsidRPr="00F22A7C" w:rsidRDefault="00773110" w:rsidP="00F34ECA">
      <w:pPr>
        <w:rPr>
          <w:color w:val="000000" w:themeColor="text1"/>
          <w:lang w:val="fr-FR"/>
        </w:rPr>
      </w:pPr>
    </w:p>
    <w:p w14:paraId="58C3F56B" w14:textId="3EAF9E94" w:rsidR="00773110" w:rsidRPr="00F22A7C" w:rsidRDefault="00773110" w:rsidP="00F34ECA">
      <w:pPr>
        <w:jc w:val="both"/>
        <w:rPr>
          <w:color w:val="000000" w:themeColor="text1"/>
          <w:lang w:val="fr-FR"/>
        </w:rPr>
      </w:pPr>
      <w:r w:rsidRPr="00F22A7C">
        <w:rPr>
          <w:color w:val="000000" w:themeColor="text1"/>
          <w:lang w:val="fr-FR"/>
        </w:rPr>
        <w:t>La création de l</w:t>
      </w:r>
      <w:r w:rsidR="00F34ECA" w:rsidRPr="00F22A7C">
        <w:rPr>
          <w:color w:val="000000" w:themeColor="text1"/>
          <w:lang w:val="fr-FR"/>
        </w:rPr>
        <w:t>’</w:t>
      </w:r>
      <w:r w:rsidRPr="00F22A7C">
        <w:rPr>
          <w:color w:val="000000" w:themeColor="text1"/>
          <w:lang w:val="fr-FR"/>
        </w:rPr>
        <w:t>INAPI en 2009 et les travaux menés depuis cette date ont permis de franchir une nouvelle étape dans la transformation du système de la propriété intellectuelle au Chili.  L</w:t>
      </w:r>
      <w:r w:rsidR="00F34ECA" w:rsidRPr="00F22A7C">
        <w:rPr>
          <w:color w:val="000000" w:themeColor="text1"/>
          <w:lang w:val="fr-FR"/>
        </w:rPr>
        <w:t>’</w:t>
      </w:r>
      <w:r w:rsidRPr="00F22A7C">
        <w:rPr>
          <w:color w:val="000000" w:themeColor="text1"/>
          <w:lang w:val="fr-FR"/>
        </w:rPr>
        <w:t>INAPI est devenu un office moderne et efficace capable non seulement de fournir des services de qualité, mais aussi d</w:t>
      </w:r>
      <w:r w:rsidR="00F34ECA" w:rsidRPr="00F22A7C">
        <w:rPr>
          <w:color w:val="000000" w:themeColor="text1"/>
          <w:lang w:val="fr-FR"/>
        </w:rPr>
        <w:t>’</w:t>
      </w:r>
      <w:r w:rsidRPr="00F22A7C">
        <w:rPr>
          <w:color w:val="000000" w:themeColor="text1"/>
          <w:lang w:val="fr-FR"/>
        </w:rPr>
        <w:t>interagir de manière constructive avec le système international de la propriété intellectuelle dans son ensemble.</w:t>
      </w:r>
    </w:p>
    <w:p w14:paraId="70AAE1D6" w14:textId="77777777" w:rsidR="00773110" w:rsidRPr="00F22A7C" w:rsidRDefault="00773110" w:rsidP="00F34ECA">
      <w:pPr>
        <w:jc w:val="both"/>
        <w:rPr>
          <w:color w:val="000000" w:themeColor="text1"/>
          <w:lang w:val="fr-FR"/>
        </w:rPr>
      </w:pPr>
    </w:p>
    <w:p w14:paraId="66A6B205" w14:textId="40F1671B" w:rsidR="00773110" w:rsidRPr="00F22A7C" w:rsidRDefault="00773110" w:rsidP="00F34ECA">
      <w:pPr>
        <w:jc w:val="both"/>
        <w:rPr>
          <w:color w:val="000000" w:themeColor="text1"/>
          <w:lang w:val="fr-FR"/>
        </w:rPr>
      </w:pPr>
      <w:r w:rsidRPr="00F22A7C">
        <w:rPr>
          <w:color w:val="000000" w:themeColor="text1"/>
          <w:lang w:val="fr-FR"/>
        </w:rPr>
        <w:t>L</w:t>
      </w:r>
      <w:r w:rsidR="00F34ECA" w:rsidRPr="00F22A7C">
        <w:rPr>
          <w:color w:val="000000" w:themeColor="text1"/>
          <w:lang w:val="fr-FR"/>
        </w:rPr>
        <w:t>’</w:t>
      </w:r>
      <w:r w:rsidRPr="00F22A7C">
        <w:rPr>
          <w:color w:val="000000" w:themeColor="text1"/>
          <w:lang w:val="fr-FR"/>
        </w:rPr>
        <w:t>INAPI est fermement convaincu de l</w:t>
      </w:r>
      <w:r w:rsidR="00F34ECA" w:rsidRPr="00F22A7C">
        <w:rPr>
          <w:color w:val="000000" w:themeColor="text1"/>
          <w:lang w:val="fr-FR"/>
        </w:rPr>
        <w:t>’</w:t>
      </w:r>
      <w:r w:rsidRPr="00F22A7C">
        <w:rPr>
          <w:color w:val="000000" w:themeColor="text1"/>
          <w:lang w:val="fr-FR"/>
        </w:rPr>
        <w:t>importance du système international de la propriété intellectuelle dans la promotion de l</w:t>
      </w:r>
      <w:r w:rsidR="00F34ECA" w:rsidRPr="00F22A7C">
        <w:rPr>
          <w:color w:val="000000" w:themeColor="text1"/>
          <w:lang w:val="fr-FR"/>
        </w:rPr>
        <w:t>’</w:t>
      </w:r>
      <w:r w:rsidRPr="00F22A7C">
        <w:rPr>
          <w:color w:val="000000" w:themeColor="text1"/>
          <w:lang w:val="fr-FR"/>
        </w:rPr>
        <w:t>innovation et de l</w:t>
      </w:r>
      <w:r w:rsidR="00F34ECA" w:rsidRPr="00F22A7C">
        <w:rPr>
          <w:color w:val="000000" w:themeColor="text1"/>
          <w:lang w:val="fr-FR"/>
        </w:rPr>
        <w:t>’</w:t>
      </w:r>
      <w:r w:rsidRPr="00F22A7C">
        <w:rPr>
          <w:color w:val="000000" w:themeColor="text1"/>
          <w:lang w:val="fr-FR"/>
        </w:rPr>
        <w:t>esprit d</w:t>
      </w:r>
      <w:r w:rsidR="00F34ECA" w:rsidRPr="00F22A7C">
        <w:rPr>
          <w:color w:val="000000" w:themeColor="text1"/>
          <w:lang w:val="fr-FR"/>
        </w:rPr>
        <w:t>’</w:t>
      </w:r>
      <w:r w:rsidRPr="00F22A7C">
        <w:rPr>
          <w:color w:val="000000" w:themeColor="text1"/>
          <w:lang w:val="fr-FR"/>
        </w:rPr>
        <w:t>entrepri</w:t>
      </w:r>
      <w:r w:rsidR="00F22A7C" w:rsidRPr="00F22A7C">
        <w:rPr>
          <w:color w:val="000000" w:themeColor="text1"/>
          <w:lang w:val="fr-FR"/>
        </w:rPr>
        <w:t>se.  Le</w:t>
      </w:r>
      <w:r w:rsidR="00F34ECA" w:rsidRPr="00F22A7C">
        <w:rPr>
          <w:color w:val="000000" w:themeColor="text1"/>
          <w:lang w:val="fr-FR"/>
        </w:rPr>
        <w:t> PCT</w:t>
      </w:r>
      <w:r w:rsidRPr="00F22A7C">
        <w:rPr>
          <w:color w:val="000000" w:themeColor="text1"/>
          <w:lang w:val="fr-FR"/>
        </w:rPr>
        <w:t xml:space="preserve"> jouant un rôle clé dans ce contexte, l</w:t>
      </w:r>
      <w:r w:rsidR="00F34ECA" w:rsidRPr="00F22A7C">
        <w:rPr>
          <w:color w:val="000000" w:themeColor="text1"/>
          <w:lang w:val="fr-FR"/>
        </w:rPr>
        <w:t>’</w:t>
      </w:r>
      <w:r w:rsidRPr="00F22A7C">
        <w:rPr>
          <w:color w:val="000000" w:themeColor="text1"/>
          <w:lang w:val="fr-FR"/>
        </w:rPr>
        <w:t>INAPI a fait de sa mise en œuvre une priorité stratégique depuis l</w:t>
      </w:r>
      <w:r w:rsidR="00F34ECA" w:rsidRPr="00F22A7C">
        <w:rPr>
          <w:color w:val="000000" w:themeColor="text1"/>
          <w:lang w:val="fr-FR"/>
        </w:rPr>
        <w:t>’</w:t>
      </w:r>
      <w:r w:rsidRPr="00F22A7C">
        <w:rPr>
          <w:color w:val="000000" w:themeColor="text1"/>
          <w:lang w:val="fr-FR"/>
        </w:rPr>
        <w:t>entrée en vigueur du traité au Chili.</w:t>
      </w:r>
    </w:p>
    <w:p w14:paraId="24085D95" w14:textId="77777777" w:rsidR="00773110" w:rsidRPr="00F22A7C" w:rsidRDefault="00773110" w:rsidP="00F34ECA">
      <w:pPr>
        <w:jc w:val="both"/>
        <w:rPr>
          <w:color w:val="000000" w:themeColor="text1"/>
          <w:lang w:val="fr-FR"/>
        </w:rPr>
      </w:pPr>
    </w:p>
    <w:p w14:paraId="6FFAE8F4" w14:textId="6DE78BE0" w:rsidR="00773110" w:rsidRPr="00F22A7C" w:rsidRDefault="00773110" w:rsidP="00F34ECA">
      <w:pPr>
        <w:jc w:val="both"/>
        <w:rPr>
          <w:color w:val="000000" w:themeColor="text1"/>
          <w:lang w:val="fr-FR"/>
        </w:rPr>
      </w:pPr>
      <w:r w:rsidRPr="00F22A7C">
        <w:rPr>
          <w:color w:val="000000" w:themeColor="text1"/>
          <w:lang w:val="fr-FR"/>
        </w:rPr>
        <w:t>Le Gouvernement chilien voit dans le PCT une possibilité concrète pour les États membres d</w:t>
      </w:r>
      <w:r w:rsidR="00F34ECA" w:rsidRPr="00F22A7C">
        <w:rPr>
          <w:color w:val="000000" w:themeColor="text1"/>
          <w:lang w:val="fr-FR"/>
        </w:rPr>
        <w:t>’</w:t>
      </w:r>
      <w:r w:rsidRPr="00F22A7C">
        <w:rPr>
          <w:color w:val="000000" w:themeColor="text1"/>
          <w:lang w:val="fr-FR"/>
        </w:rPr>
        <w:t>interagir et d</w:t>
      </w:r>
      <w:r w:rsidR="00F34ECA" w:rsidRPr="00F22A7C">
        <w:rPr>
          <w:color w:val="000000" w:themeColor="text1"/>
          <w:lang w:val="fr-FR"/>
        </w:rPr>
        <w:t>’</w:t>
      </w:r>
      <w:r w:rsidRPr="00F22A7C">
        <w:rPr>
          <w:color w:val="000000" w:themeColor="text1"/>
          <w:lang w:val="fr-FR"/>
        </w:rPr>
        <w:t>apporter une contribution réelle au système, en le rendant plus attrayant et plus accessible pour tous les utilisateu</w:t>
      </w:r>
      <w:r w:rsidR="00F22A7C" w:rsidRPr="00F22A7C">
        <w:rPr>
          <w:color w:val="000000" w:themeColor="text1"/>
          <w:lang w:val="fr-FR"/>
        </w:rPr>
        <w:t>rs.  Il</w:t>
      </w:r>
      <w:r w:rsidRPr="00F22A7C">
        <w:rPr>
          <w:color w:val="000000" w:themeColor="text1"/>
          <w:lang w:val="fr-FR"/>
        </w:rPr>
        <w:t xml:space="preserve"> est d</w:t>
      </w:r>
      <w:r w:rsidR="00F34ECA" w:rsidRPr="00F22A7C">
        <w:rPr>
          <w:color w:val="000000" w:themeColor="text1"/>
          <w:lang w:val="fr-FR"/>
        </w:rPr>
        <w:t>’</w:t>
      </w:r>
      <w:r w:rsidRPr="00F22A7C">
        <w:rPr>
          <w:color w:val="000000" w:themeColor="text1"/>
          <w:lang w:val="fr-FR"/>
        </w:rPr>
        <w:t>avis que renouveler la nomination de l</w:t>
      </w:r>
      <w:r w:rsidR="00F34ECA" w:rsidRPr="00F22A7C">
        <w:rPr>
          <w:color w:val="000000" w:themeColor="text1"/>
          <w:lang w:val="fr-FR"/>
        </w:rPr>
        <w:t>’</w:t>
      </w:r>
      <w:r w:rsidRPr="00F22A7C">
        <w:rPr>
          <w:color w:val="000000" w:themeColor="text1"/>
          <w:lang w:val="fr-FR"/>
        </w:rPr>
        <w:t>INAPI en qualité d</w:t>
      </w:r>
      <w:r w:rsidR="00F34ECA" w:rsidRPr="00F22A7C">
        <w:rPr>
          <w:color w:val="000000" w:themeColor="text1"/>
          <w:lang w:val="fr-FR"/>
        </w:rPr>
        <w:t>’</w:t>
      </w:r>
      <w:r w:rsidRPr="00F22A7C">
        <w:rPr>
          <w:color w:val="000000" w:themeColor="text1"/>
          <w:lang w:val="fr-FR"/>
        </w:rPr>
        <w:t>administration chargée de la recherche internationale et de l</w:t>
      </w:r>
      <w:r w:rsidR="00F34ECA" w:rsidRPr="00F22A7C">
        <w:rPr>
          <w:color w:val="000000" w:themeColor="text1"/>
          <w:lang w:val="fr-FR"/>
        </w:rPr>
        <w:t>’</w:t>
      </w:r>
      <w:r w:rsidRPr="00F22A7C">
        <w:rPr>
          <w:color w:val="000000" w:themeColor="text1"/>
          <w:lang w:val="fr-FR"/>
        </w:rPr>
        <w:t>examen préliminaire international lui permettra de continuer à promouvoir le développement du système dans la région, tout en encourageant les dépôts de demandes selon le PCT en Amérique latine, où le nombre total de demandes par année reste inférieur à 1</w:t>
      </w:r>
      <w:r w:rsidR="00F22A7C">
        <w:rPr>
          <w:color w:val="000000" w:themeColor="text1"/>
          <w:lang w:val="fr-FR"/>
        </w:rPr>
        <w:t> </w:t>
      </w:r>
      <w:r w:rsidRPr="00F22A7C">
        <w:rPr>
          <w:color w:val="000000" w:themeColor="text1"/>
          <w:lang w:val="fr-FR"/>
        </w:rPr>
        <w:t>000.</w:t>
      </w:r>
    </w:p>
    <w:p w14:paraId="07C7D1F4" w14:textId="77777777" w:rsidR="00773110" w:rsidRPr="00F22A7C" w:rsidRDefault="00773110" w:rsidP="00F34ECA">
      <w:pPr>
        <w:jc w:val="both"/>
        <w:rPr>
          <w:color w:val="000000" w:themeColor="text1"/>
          <w:lang w:val="fr-FR"/>
        </w:rPr>
      </w:pPr>
    </w:p>
    <w:p w14:paraId="17CE341E" w14:textId="6A6D7F8B" w:rsidR="00773110" w:rsidRPr="00F22A7C" w:rsidRDefault="00773110" w:rsidP="00F34ECA">
      <w:pPr>
        <w:jc w:val="both"/>
        <w:rPr>
          <w:color w:val="000000" w:themeColor="text1"/>
          <w:lang w:val="fr-FR"/>
        </w:rPr>
      </w:pPr>
      <w:r w:rsidRPr="00F22A7C">
        <w:rPr>
          <w:color w:val="000000" w:themeColor="text1"/>
          <w:lang w:val="fr-FR"/>
        </w:rPr>
        <w:t>L</w:t>
      </w:r>
      <w:r w:rsidR="00F34ECA" w:rsidRPr="00F22A7C">
        <w:rPr>
          <w:color w:val="000000" w:themeColor="text1"/>
          <w:lang w:val="fr-FR"/>
        </w:rPr>
        <w:t>’</w:t>
      </w:r>
      <w:r w:rsidRPr="00F22A7C">
        <w:rPr>
          <w:color w:val="000000" w:themeColor="text1"/>
          <w:lang w:val="fr-FR"/>
        </w:rPr>
        <w:t>INAPI estime que, en tant qu</w:t>
      </w:r>
      <w:r w:rsidR="00F34ECA" w:rsidRPr="00F22A7C">
        <w:rPr>
          <w:color w:val="000000" w:themeColor="text1"/>
          <w:lang w:val="fr-FR"/>
        </w:rPr>
        <w:t>’</w:t>
      </w:r>
      <w:r w:rsidRPr="00F22A7C">
        <w:rPr>
          <w:color w:val="000000" w:themeColor="text1"/>
          <w:lang w:val="fr-FR"/>
        </w:rPr>
        <w:t>administration chargée de la recherche internationale et de l</w:t>
      </w:r>
      <w:r w:rsidR="00F34ECA" w:rsidRPr="00F22A7C">
        <w:rPr>
          <w:color w:val="000000" w:themeColor="text1"/>
          <w:lang w:val="fr-FR"/>
        </w:rPr>
        <w:t>’</w:t>
      </w:r>
      <w:r w:rsidRPr="00F22A7C">
        <w:rPr>
          <w:color w:val="000000" w:themeColor="text1"/>
          <w:lang w:val="fr-FR"/>
        </w:rPr>
        <w:t>examen préliminaire international de langue espagnole, il joue un rôle utile auprès des pays latino</w:t>
      </w:r>
      <w:r w:rsidR="00F22A7C">
        <w:rPr>
          <w:color w:val="000000" w:themeColor="text1"/>
          <w:lang w:val="fr-FR"/>
        </w:rPr>
        <w:noBreakHyphen/>
      </w:r>
      <w:r w:rsidRPr="00F22A7C">
        <w:rPr>
          <w:color w:val="000000" w:themeColor="text1"/>
          <w:lang w:val="fr-FR"/>
        </w:rPr>
        <w:t>américains qui n</w:t>
      </w:r>
      <w:r w:rsidR="00F34ECA" w:rsidRPr="00F22A7C">
        <w:rPr>
          <w:color w:val="000000" w:themeColor="text1"/>
          <w:lang w:val="fr-FR"/>
        </w:rPr>
        <w:t>’</w:t>
      </w:r>
      <w:r w:rsidRPr="00F22A7C">
        <w:rPr>
          <w:color w:val="000000" w:themeColor="text1"/>
          <w:lang w:val="fr-FR"/>
        </w:rPr>
        <w:t>ont pas encore adhéré au traité ou qui envisagent de le fai</w:t>
      </w:r>
      <w:r w:rsidR="00F22A7C" w:rsidRPr="00F22A7C">
        <w:rPr>
          <w:color w:val="000000" w:themeColor="text1"/>
          <w:lang w:val="fr-FR"/>
        </w:rPr>
        <w:t>re.  La</w:t>
      </w:r>
      <w:r w:rsidRPr="00F22A7C">
        <w:rPr>
          <w:color w:val="000000" w:themeColor="text1"/>
          <w:lang w:val="fr-FR"/>
        </w:rPr>
        <w:t xml:space="preserve"> participation active de l</w:t>
      </w:r>
      <w:r w:rsidR="00F34ECA" w:rsidRPr="00F22A7C">
        <w:rPr>
          <w:color w:val="000000" w:themeColor="text1"/>
          <w:lang w:val="fr-FR"/>
        </w:rPr>
        <w:t>’</w:t>
      </w:r>
      <w:r w:rsidRPr="00F22A7C">
        <w:rPr>
          <w:color w:val="000000" w:themeColor="text1"/>
          <w:lang w:val="fr-FR"/>
        </w:rPr>
        <w:t>INAPI à tous les aspects du système du PCT lui permet de partager son expérience et d</w:t>
      </w:r>
      <w:r w:rsidR="00F34ECA" w:rsidRPr="00F22A7C">
        <w:rPr>
          <w:color w:val="000000" w:themeColor="text1"/>
          <w:lang w:val="fr-FR"/>
        </w:rPr>
        <w:t>’</w:t>
      </w:r>
      <w:r w:rsidRPr="00F22A7C">
        <w:rPr>
          <w:color w:val="000000" w:themeColor="text1"/>
          <w:lang w:val="fr-FR"/>
        </w:rPr>
        <w:t>aider les pays qui mettent en œuvre le système ou qui souhaitent y adhér</w:t>
      </w:r>
      <w:r w:rsidR="00F22A7C" w:rsidRPr="00F22A7C">
        <w:rPr>
          <w:color w:val="000000" w:themeColor="text1"/>
          <w:lang w:val="fr-FR"/>
        </w:rPr>
        <w:t>er.  Do</w:t>
      </w:r>
      <w:r w:rsidRPr="00F22A7C">
        <w:rPr>
          <w:color w:val="000000" w:themeColor="text1"/>
          <w:lang w:val="fr-FR"/>
        </w:rPr>
        <w:t>ter la région d</w:t>
      </w:r>
      <w:r w:rsidR="00F34ECA" w:rsidRPr="00F22A7C">
        <w:rPr>
          <w:color w:val="000000" w:themeColor="text1"/>
          <w:lang w:val="fr-FR"/>
        </w:rPr>
        <w:t>’</w:t>
      </w:r>
      <w:r w:rsidRPr="00F22A7C">
        <w:rPr>
          <w:color w:val="000000" w:themeColor="text1"/>
          <w:lang w:val="fr-FR"/>
        </w:rPr>
        <w:t>une administration de langue espagnole habilitée à effectuer des recherches internationales et des examens préliminaires internationaux profite sans aucun doute au système tout enti</w:t>
      </w:r>
      <w:r w:rsidR="00F22A7C" w:rsidRPr="00F22A7C">
        <w:rPr>
          <w:color w:val="000000" w:themeColor="text1"/>
          <w:lang w:val="fr-FR"/>
        </w:rPr>
        <w:t>er.  Un</w:t>
      </w:r>
      <w:r w:rsidRPr="00F22A7C">
        <w:rPr>
          <w:color w:val="000000" w:themeColor="text1"/>
          <w:lang w:val="fr-FR"/>
        </w:rPr>
        <w:t xml:space="preserve"> exemple à cet égard est l</w:t>
      </w:r>
      <w:r w:rsidR="00F34ECA" w:rsidRPr="00F22A7C">
        <w:rPr>
          <w:color w:val="000000" w:themeColor="text1"/>
          <w:lang w:val="fr-FR"/>
        </w:rPr>
        <w:t>’</w:t>
      </w:r>
      <w:r w:rsidRPr="00F22A7C">
        <w:rPr>
          <w:color w:val="000000" w:themeColor="text1"/>
          <w:lang w:val="fr-FR"/>
        </w:rPr>
        <w:t>assistance technique que l</w:t>
      </w:r>
      <w:r w:rsidR="00F34ECA" w:rsidRPr="00F22A7C">
        <w:rPr>
          <w:color w:val="000000" w:themeColor="text1"/>
          <w:lang w:val="fr-FR"/>
        </w:rPr>
        <w:t>’</w:t>
      </w:r>
      <w:r w:rsidRPr="00F22A7C">
        <w:rPr>
          <w:color w:val="000000" w:themeColor="text1"/>
          <w:lang w:val="fr-FR"/>
        </w:rPr>
        <w:t>INAPI a apportée à l</w:t>
      </w:r>
      <w:r w:rsidR="00F34ECA" w:rsidRPr="00F22A7C">
        <w:rPr>
          <w:color w:val="000000" w:themeColor="text1"/>
          <w:lang w:val="fr-FR"/>
        </w:rPr>
        <w:t>’</w:t>
      </w:r>
      <w:r w:rsidRPr="00F22A7C">
        <w:rPr>
          <w:color w:val="000000" w:themeColor="text1"/>
          <w:lang w:val="fr-FR"/>
        </w:rPr>
        <w:t>Uruguay, qui a récemment adhéré</w:t>
      </w:r>
      <w:r w:rsidR="00F34ECA" w:rsidRPr="00F22A7C">
        <w:rPr>
          <w:color w:val="000000" w:themeColor="text1"/>
          <w:lang w:val="fr-FR"/>
        </w:rPr>
        <w:t xml:space="preserve"> au PCT</w:t>
      </w:r>
      <w:r w:rsidRPr="00F22A7C">
        <w:rPr>
          <w:color w:val="000000" w:themeColor="text1"/>
          <w:lang w:val="fr-FR"/>
        </w:rPr>
        <w:t>, dans le cadre de la mise en œuvre du traité.</w:t>
      </w:r>
    </w:p>
    <w:p w14:paraId="5CB21865" w14:textId="77777777" w:rsidR="00773110" w:rsidRPr="00F22A7C" w:rsidRDefault="00773110" w:rsidP="00F34ECA">
      <w:pPr>
        <w:jc w:val="both"/>
        <w:rPr>
          <w:color w:val="000000" w:themeColor="text1"/>
          <w:lang w:val="fr-FR"/>
        </w:rPr>
      </w:pPr>
    </w:p>
    <w:p w14:paraId="375ECF0E" w14:textId="6E86EB16" w:rsidR="00773110" w:rsidRPr="00F22A7C" w:rsidRDefault="00773110" w:rsidP="00F34ECA">
      <w:pPr>
        <w:jc w:val="both"/>
        <w:rPr>
          <w:color w:val="000000" w:themeColor="text1"/>
          <w:lang w:val="fr-FR"/>
        </w:rPr>
      </w:pPr>
      <w:r w:rsidRPr="00F22A7C">
        <w:rPr>
          <w:color w:val="000000" w:themeColor="text1"/>
          <w:lang w:val="fr-FR"/>
        </w:rPr>
        <w:t>En ce sens, et dans l</w:t>
      </w:r>
      <w:r w:rsidR="00F34ECA" w:rsidRPr="00F22A7C">
        <w:rPr>
          <w:color w:val="000000" w:themeColor="text1"/>
          <w:lang w:val="fr-FR"/>
        </w:rPr>
        <w:t>’</w:t>
      </w:r>
      <w:r w:rsidRPr="00F22A7C">
        <w:rPr>
          <w:color w:val="000000" w:themeColor="text1"/>
          <w:lang w:val="fr-FR"/>
        </w:rPr>
        <w:t>objectif stratégique de promouvoir l</w:t>
      </w:r>
      <w:r w:rsidR="00F34ECA" w:rsidRPr="00F22A7C">
        <w:rPr>
          <w:color w:val="000000" w:themeColor="text1"/>
          <w:lang w:val="fr-FR"/>
        </w:rPr>
        <w:t>’</w:t>
      </w:r>
      <w:r w:rsidRPr="00F22A7C">
        <w:rPr>
          <w:color w:val="000000" w:themeColor="text1"/>
          <w:lang w:val="fr-FR"/>
        </w:rPr>
        <w:t>utilisation du système dans son ensemble, le gouvernement considère que le rôle de l</w:t>
      </w:r>
      <w:r w:rsidR="00F34ECA" w:rsidRPr="00F22A7C">
        <w:rPr>
          <w:color w:val="000000" w:themeColor="text1"/>
          <w:lang w:val="fr-FR"/>
        </w:rPr>
        <w:t>’</w:t>
      </w:r>
      <w:r w:rsidRPr="00F22A7C">
        <w:rPr>
          <w:color w:val="000000" w:themeColor="text1"/>
          <w:lang w:val="fr-FR"/>
        </w:rPr>
        <w:t>INAPI en qualité d</w:t>
      </w:r>
      <w:r w:rsidR="00F34ECA" w:rsidRPr="00F22A7C">
        <w:rPr>
          <w:color w:val="000000" w:themeColor="text1"/>
          <w:lang w:val="fr-FR"/>
        </w:rPr>
        <w:t>’</w:t>
      </w:r>
      <w:r w:rsidRPr="00F22A7C">
        <w:rPr>
          <w:color w:val="000000" w:themeColor="text1"/>
          <w:lang w:val="fr-FR"/>
        </w:rPr>
        <w:t>administration chargée de la recherche internationale et de l</w:t>
      </w:r>
      <w:r w:rsidR="00F34ECA" w:rsidRPr="00F22A7C">
        <w:rPr>
          <w:color w:val="000000" w:themeColor="text1"/>
          <w:lang w:val="fr-FR"/>
        </w:rPr>
        <w:t>’</w:t>
      </w:r>
      <w:r w:rsidRPr="00F22A7C">
        <w:rPr>
          <w:color w:val="000000" w:themeColor="text1"/>
          <w:lang w:val="fr-FR"/>
        </w:rPr>
        <w:t>examen préliminaire international en Amérique latine contribue à éviter d</w:t>
      </w:r>
      <w:r w:rsidR="00F34ECA" w:rsidRPr="00F22A7C">
        <w:rPr>
          <w:color w:val="000000" w:themeColor="text1"/>
          <w:lang w:val="fr-FR"/>
        </w:rPr>
        <w:t>’</w:t>
      </w:r>
      <w:r w:rsidRPr="00F22A7C">
        <w:rPr>
          <w:color w:val="000000" w:themeColor="text1"/>
          <w:lang w:val="fr-FR"/>
        </w:rPr>
        <w:t>éventuels retards dans le traitement des demandes internationales selon le PCT imputables à une surcharge de travail dans certains offic</w:t>
      </w:r>
      <w:r w:rsidR="00F22A7C" w:rsidRPr="00F22A7C">
        <w:rPr>
          <w:color w:val="000000" w:themeColor="text1"/>
          <w:lang w:val="fr-FR"/>
        </w:rPr>
        <w:t>es.  No</w:t>
      </w:r>
      <w:r w:rsidRPr="00F22A7C">
        <w:rPr>
          <w:color w:val="000000" w:themeColor="text1"/>
          <w:lang w:val="fr-FR"/>
        </w:rPr>
        <w:t>us estimons par ailleurs qu</w:t>
      </w:r>
      <w:r w:rsidR="00F34ECA" w:rsidRPr="00F22A7C">
        <w:rPr>
          <w:color w:val="000000" w:themeColor="text1"/>
          <w:lang w:val="fr-FR"/>
        </w:rPr>
        <w:t>’</w:t>
      </w:r>
      <w:r w:rsidRPr="00F22A7C">
        <w:rPr>
          <w:color w:val="000000" w:themeColor="text1"/>
          <w:lang w:val="fr-FR"/>
        </w:rPr>
        <w:t>il serait bon de répartir les ressources en matière de recherche dans différentes régions du monde pour en optimiser l</w:t>
      </w:r>
      <w:r w:rsidR="00F34ECA" w:rsidRPr="00F22A7C">
        <w:rPr>
          <w:color w:val="000000" w:themeColor="text1"/>
          <w:lang w:val="fr-FR"/>
        </w:rPr>
        <w:t>’</w:t>
      </w:r>
      <w:r w:rsidRPr="00F22A7C">
        <w:rPr>
          <w:color w:val="000000" w:themeColor="text1"/>
          <w:lang w:val="fr-FR"/>
        </w:rPr>
        <w:t>utilisation.</w:t>
      </w:r>
    </w:p>
    <w:p w14:paraId="4B3A294C" w14:textId="77777777" w:rsidR="00773110" w:rsidRPr="00F22A7C" w:rsidRDefault="00773110" w:rsidP="00F34ECA">
      <w:pPr>
        <w:jc w:val="both"/>
        <w:rPr>
          <w:color w:val="000000" w:themeColor="text1"/>
          <w:lang w:val="fr-FR"/>
        </w:rPr>
      </w:pPr>
    </w:p>
    <w:p w14:paraId="114F20F4" w14:textId="61C361AB" w:rsidR="00773110" w:rsidRPr="00F22A7C" w:rsidRDefault="00773110" w:rsidP="00F34ECA">
      <w:pPr>
        <w:jc w:val="both"/>
        <w:rPr>
          <w:color w:val="000000" w:themeColor="text1"/>
          <w:lang w:val="fr-FR"/>
        </w:rPr>
      </w:pPr>
      <w:r w:rsidRPr="00F22A7C">
        <w:rPr>
          <w:color w:val="000000" w:themeColor="text1"/>
          <w:lang w:val="fr-FR"/>
        </w:rPr>
        <w:t>Étant donné la volonté du Chili de promouvoir l</w:t>
      </w:r>
      <w:r w:rsidR="00F34ECA" w:rsidRPr="00F22A7C">
        <w:rPr>
          <w:color w:val="000000" w:themeColor="text1"/>
          <w:lang w:val="fr-FR"/>
        </w:rPr>
        <w:t>’</w:t>
      </w:r>
      <w:r w:rsidRPr="00F22A7C">
        <w:rPr>
          <w:color w:val="000000" w:themeColor="text1"/>
          <w:lang w:val="fr-FR"/>
        </w:rPr>
        <w:t>innovation et l</w:t>
      </w:r>
      <w:r w:rsidR="00F34ECA" w:rsidRPr="00F22A7C">
        <w:rPr>
          <w:color w:val="000000" w:themeColor="text1"/>
          <w:lang w:val="fr-FR"/>
        </w:rPr>
        <w:t>’</w:t>
      </w:r>
      <w:r w:rsidRPr="00F22A7C">
        <w:rPr>
          <w:color w:val="000000" w:themeColor="text1"/>
          <w:lang w:val="fr-FR"/>
        </w:rPr>
        <w:t>esprit d</w:t>
      </w:r>
      <w:r w:rsidR="00F34ECA" w:rsidRPr="00F22A7C">
        <w:rPr>
          <w:color w:val="000000" w:themeColor="text1"/>
          <w:lang w:val="fr-FR"/>
        </w:rPr>
        <w:t>’</w:t>
      </w:r>
      <w:r w:rsidRPr="00F22A7C">
        <w:rPr>
          <w:color w:val="000000" w:themeColor="text1"/>
          <w:lang w:val="fr-FR"/>
        </w:rPr>
        <w:t>entreprise, et compte tenu de l</w:t>
      </w:r>
      <w:r w:rsidR="00F34ECA" w:rsidRPr="00F22A7C">
        <w:rPr>
          <w:color w:val="000000" w:themeColor="text1"/>
          <w:lang w:val="fr-FR"/>
        </w:rPr>
        <w:t>’</w:t>
      </w:r>
      <w:r w:rsidRPr="00F22A7C">
        <w:rPr>
          <w:color w:val="000000" w:themeColor="text1"/>
          <w:lang w:val="fr-FR"/>
        </w:rPr>
        <w:t>importance du système international des brevets pour atteindre cet objectif, nous sommes d</w:t>
      </w:r>
      <w:r w:rsidR="00F34ECA" w:rsidRPr="00F22A7C">
        <w:rPr>
          <w:color w:val="000000" w:themeColor="text1"/>
          <w:lang w:val="fr-FR"/>
        </w:rPr>
        <w:t>’</w:t>
      </w:r>
      <w:r w:rsidRPr="00F22A7C">
        <w:rPr>
          <w:color w:val="000000" w:themeColor="text1"/>
          <w:lang w:val="fr-FR"/>
        </w:rPr>
        <w:t>avis que la nomination de l</w:t>
      </w:r>
      <w:r w:rsidR="00F34ECA" w:rsidRPr="00F22A7C">
        <w:rPr>
          <w:color w:val="000000" w:themeColor="text1"/>
          <w:lang w:val="fr-FR"/>
        </w:rPr>
        <w:t>’</w:t>
      </w:r>
      <w:r w:rsidRPr="00F22A7C">
        <w:rPr>
          <w:color w:val="000000" w:themeColor="text1"/>
          <w:lang w:val="fr-FR"/>
        </w:rPr>
        <w:t>INAPI en qualité d</w:t>
      </w:r>
      <w:r w:rsidR="00F34ECA" w:rsidRPr="00F22A7C">
        <w:rPr>
          <w:color w:val="000000" w:themeColor="text1"/>
          <w:lang w:val="fr-FR"/>
        </w:rPr>
        <w:t>’</w:t>
      </w:r>
      <w:r w:rsidRPr="00F22A7C">
        <w:rPr>
          <w:color w:val="000000" w:themeColor="text1"/>
          <w:lang w:val="fr-FR"/>
        </w:rPr>
        <w:t>administration chargée de la recherche internationale et de l</w:t>
      </w:r>
      <w:r w:rsidR="00F34ECA" w:rsidRPr="00F22A7C">
        <w:rPr>
          <w:color w:val="000000" w:themeColor="text1"/>
          <w:lang w:val="fr-FR"/>
        </w:rPr>
        <w:t>’</w:t>
      </w:r>
      <w:r w:rsidRPr="00F22A7C">
        <w:rPr>
          <w:color w:val="000000" w:themeColor="text1"/>
          <w:lang w:val="fr-FR"/>
        </w:rPr>
        <w:t>examen préliminaire international devrait être renouvel</w:t>
      </w:r>
      <w:r w:rsidR="00F22A7C" w:rsidRPr="00F22A7C">
        <w:rPr>
          <w:color w:val="000000" w:themeColor="text1"/>
          <w:lang w:val="fr-FR"/>
        </w:rPr>
        <w:t>ée.  L’i</w:t>
      </w:r>
      <w:r w:rsidRPr="00F22A7C">
        <w:rPr>
          <w:color w:val="000000" w:themeColor="text1"/>
          <w:lang w:val="fr-FR"/>
        </w:rPr>
        <w:t>nstitut remplit les conditions techniques requises pour offrir des services de recherche et d</w:t>
      </w:r>
      <w:r w:rsidR="00F34ECA" w:rsidRPr="00F22A7C">
        <w:rPr>
          <w:color w:val="000000" w:themeColor="text1"/>
          <w:lang w:val="fr-FR"/>
        </w:rPr>
        <w:t>’</w:t>
      </w:r>
      <w:r w:rsidRPr="00F22A7C">
        <w:rPr>
          <w:color w:val="000000" w:themeColor="text1"/>
          <w:lang w:val="fr-FR"/>
        </w:rPr>
        <w:t>examen aux ressortissants chiliens et aux déposants des autres États membres du PCT, contribuant ainsi à encourager et renforcer l</w:t>
      </w:r>
      <w:r w:rsidR="00F34ECA" w:rsidRPr="00F22A7C">
        <w:rPr>
          <w:color w:val="000000" w:themeColor="text1"/>
          <w:lang w:val="fr-FR"/>
        </w:rPr>
        <w:t>’</w:t>
      </w:r>
      <w:r w:rsidRPr="00F22A7C">
        <w:rPr>
          <w:color w:val="000000" w:themeColor="text1"/>
          <w:lang w:val="fr-FR"/>
        </w:rPr>
        <w:t>utilisation du système dans la région.</w:t>
      </w:r>
    </w:p>
    <w:p w14:paraId="23AFEA0A" w14:textId="77777777" w:rsidR="00773110" w:rsidRPr="00F22A7C" w:rsidRDefault="00773110" w:rsidP="00F34ECA">
      <w:pPr>
        <w:jc w:val="both"/>
        <w:rPr>
          <w:color w:val="000000" w:themeColor="text1"/>
          <w:lang w:val="fr-FR"/>
        </w:rPr>
      </w:pPr>
    </w:p>
    <w:p w14:paraId="2EB23A5B" w14:textId="2D54D5E4" w:rsidR="00773110" w:rsidRPr="00F22A7C" w:rsidRDefault="00773110" w:rsidP="00F34ECA">
      <w:pPr>
        <w:jc w:val="both"/>
        <w:rPr>
          <w:color w:val="000000" w:themeColor="text1"/>
          <w:lang w:val="fr-FR"/>
        </w:rPr>
      </w:pPr>
      <w:r w:rsidRPr="00F22A7C">
        <w:rPr>
          <w:color w:val="000000" w:themeColor="text1"/>
          <w:lang w:val="fr-FR"/>
        </w:rPr>
        <w:t>En outre, le rôle joué par l</w:t>
      </w:r>
      <w:r w:rsidR="00F34ECA" w:rsidRPr="00F22A7C">
        <w:rPr>
          <w:color w:val="000000" w:themeColor="text1"/>
          <w:lang w:val="fr-FR"/>
        </w:rPr>
        <w:t>’</w:t>
      </w:r>
      <w:r w:rsidRPr="00F22A7C">
        <w:rPr>
          <w:color w:val="000000" w:themeColor="text1"/>
          <w:lang w:val="fr-FR"/>
        </w:rPr>
        <w:t>INAPI en qualité d</w:t>
      </w:r>
      <w:r w:rsidR="00F34ECA" w:rsidRPr="00F22A7C">
        <w:rPr>
          <w:color w:val="000000" w:themeColor="text1"/>
          <w:lang w:val="fr-FR"/>
        </w:rPr>
        <w:t>’</w:t>
      </w:r>
      <w:r w:rsidRPr="00F22A7C">
        <w:rPr>
          <w:color w:val="000000" w:themeColor="text1"/>
          <w:lang w:val="fr-FR"/>
        </w:rPr>
        <w:t>administration chargée de la recherche internationale et de l</w:t>
      </w:r>
      <w:r w:rsidR="00F34ECA" w:rsidRPr="00F22A7C">
        <w:rPr>
          <w:color w:val="000000" w:themeColor="text1"/>
          <w:lang w:val="fr-FR"/>
        </w:rPr>
        <w:t>’</w:t>
      </w:r>
      <w:r w:rsidRPr="00F22A7C">
        <w:rPr>
          <w:color w:val="000000" w:themeColor="text1"/>
          <w:lang w:val="fr-FR"/>
        </w:rPr>
        <w:t>examen préliminaire international a apporté de nombreux avantages à nos utilisateu</w:t>
      </w:r>
      <w:r w:rsidR="00F22A7C" w:rsidRPr="00F22A7C">
        <w:rPr>
          <w:color w:val="000000" w:themeColor="text1"/>
          <w:lang w:val="fr-FR"/>
        </w:rPr>
        <w:t>rs.  Ma</w:t>
      </w:r>
      <w:r w:rsidRPr="00F22A7C">
        <w:rPr>
          <w:color w:val="000000" w:themeColor="text1"/>
          <w:lang w:val="fr-FR"/>
        </w:rPr>
        <w:t>nifestant cette reconnaissance, le Gouvernement chilien lui a décerné à trois reprises le Prix national pour l</w:t>
      </w:r>
      <w:r w:rsidR="00F34ECA" w:rsidRPr="00F22A7C">
        <w:rPr>
          <w:color w:val="000000" w:themeColor="text1"/>
          <w:lang w:val="fr-FR"/>
        </w:rPr>
        <w:t>’</w:t>
      </w:r>
      <w:r w:rsidRPr="00F22A7C">
        <w:rPr>
          <w:color w:val="000000" w:themeColor="text1"/>
          <w:lang w:val="fr-FR"/>
        </w:rPr>
        <w:t>excellence en matière de service public, faisant figurer l</w:t>
      </w:r>
      <w:r w:rsidR="00F34ECA" w:rsidRPr="00F22A7C">
        <w:rPr>
          <w:color w:val="000000" w:themeColor="text1"/>
          <w:lang w:val="fr-FR"/>
        </w:rPr>
        <w:t>’</w:t>
      </w:r>
      <w:r w:rsidRPr="00F22A7C">
        <w:rPr>
          <w:color w:val="000000" w:themeColor="text1"/>
          <w:lang w:val="fr-FR"/>
        </w:rPr>
        <w:t>INAPI parmi les trois meilleures institutions publiques du pa</w:t>
      </w:r>
      <w:r w:rsidR="00F22A7C" w:rsidRPr="00F22A7C">
        <w:rPr>
          <w:color w:val="000000" w:themeColor="text1"/>
          <w:lang w:val="fr-FR"/>
        </w:rPr>
        <w:t>ys.  Ce</w:t>
      </w:r>
      <w:r w:rsidRPr="00F22A7C">
        <w:rPr>
          <w:color w:val="000000" w:themeColor="text1"/>
          <w:lang w:val="fr-FR"/>
        </w:rPr>
        <w:t xml:space="preserve"> prix récompense les institutions nationales qui s</w:t>
      </w:r>
      <w:r w:rsidR="00F34ECA" w:rsidRPr="00F22A7C">
        <w:rPr>
          <w:color w:val="000000" w:themeColor="text1"/>
          <w:lang w:val="fr-FR"/>
        </w:rPr>
        <w:t>’</w:t>
      </w:r>
      <w:r w:rsidRPr="00F22A7C">
        <w:rPr>
          <w:color w:val="000000" w:themeColor="text1"/>
          <w:lang w:val="fr-FR"/>
        </w:rPr>
        <w:t>attachent à améliorer sensiblement la qualité de vie de leurs utilisateurs, notamment en faisant connaître le système de la propriété intellectuelle et les avantages du dépôt de demandes de brevet à l</w:t>
      </w:r>
      <w:r w:rsidR="00F34ECA" w:rsidRPr="00F22A7C">
        <w:rPr>
          <w:color w:val="000000" w:themeColor="text1"/>
          <w:lang w:val="fr-FR"/>
        </w:rPr>
        <w:t>’</w:t>
      </w:r>
      <w:r w:rsidRPr="00F22A7C">
        <w:rPr>
          <w:color w:val="000000" w:themeColor="text1"/>
          <w:lang w:val="fr-FR"/>
        </w:rPr>
        <w:t>étrang</w:t>
      </w:r>
      <w:r w:rsidR="00F22A7C" w:rsidRPr="00F22A7C">
        <w:rPr>
          <w:color w:val="000000" w:themeColor="text1"/>
          <w:lang w:val="fr-FR"/>
        </w:rPr>
        <w:t>er.  De</w:t>
      </w:r>
      <w:r w:rsidRPr="00F22A7C">
        <w:rPr>
          <w:color w:val="000000" w:themeColor="text1"/>
          <w:lang w:val="fr-FR"/>
        </w:rPr>
        <w:t xml:space="preserve"> fait, depuis que l</w:t>
      </w:r>
      <w:r w:rsidR="00F34ECA" w:rsidRPr="00F22A7C">
        <w:rPr>
          <w:color w:val="000000" w:themeColor="text1"/>
          <w:lang w:val="fr-FR"/>
        </w:rPr>
        <w:t>’</w:t>
      </w:r>
      <w:r w:rsidRPr="00F22A7C">
        <w:rPr>
          <w:color w:val="000000" w:themeColor="text1"/>
          <w:lang w:val="fr-FR"/>
        </w:rPr>
        <w:t>INAPI a commencé à agir en qualité d</w:t>
      </w:r>
      <w:r w:rsidR="00F34ECA" w:rsidRPr="00F22A7C">
        <w:rPr>
          <w:color w:val="000000" w:themeColor="text1"/>
          <w:lang w:val="fr-FR"/>
        </w:rPr>
        <w:t>’</w:t>
      </w:r>
      <w:r w:rsidRPr="00F22A7C">
        <w:rPr>
          <w:color w:val="000000" w:themeColor="text1"/>
          <w:lang w:val="fr-FR"/>
        </w:rPr>
        <w:t>administration internationale</w:t>
      </w:r>
      <w:r w:rsidR="00F34ECA" w:rsidRPr="00F22A7C">
        <w:rPr>
          <w:color w:val="000000" w:themeColor="text1"/>
          <w:lang w:val="fr-FR"/>
        </w:rPr>
        <w:t xml:space="preserve"> du PCT</w:t>
      </w:r>
      <w:r w:rsidRPr="00F22A7C">
        <w:rPr>
          <w:color w:val="000000" w:themeColor="text1"/>
          <w:lang w:val="fr-FR"/>
        </w:rPr>
        <w:t>, le nombre de dépôts de demandes internationales a généralement augmenté dans la régi</w:t>
      </w:r>
      <w:r w:rsidR="00F22A7C" w:rsidRPr="00F22A7C">
        <w:rPr>
          <w:color w:val="000000" w:themeColor="text1"/>
          <w:lang w:val="fr-FR"/>
        </w:rPr>
        <w:t>on.  Be</w:t>
      </w:r>
      <w:r w:rsidRPr="00F22A7C">
        <w:rPr>
          <w:color w:val="000000" w:themeColor="text1"/>
          <w:lang w:val="fr-FR"/>
        </w:rPr>
        <w:t>aucoup de déposants qui ne connaissaient pas le système de la propriété intellectuelle ont demandé des informations sur le fonctionnement du traité, ce qui a renforcé la participation à ce système, les nouveaux venus envisageant d</w:t>
      </w:r>
      <w:r w:rsidR="00F34ECA" w:rsidRPr="00F22A7C">
        <w:rPr>
          <w:color w:val="000000" w:themeColor="text1"/>
          <w:lang w:val="fr-FR"/>
        </w:rPr>
        <w:t>’</w:t>
      </w:r>
      <w:r w:rsidRPr="00F22A7C">
        <w:rPr>
          <w:color w:val="000000" w:themeColor="text1"/>
          <w:lang w:val="fr-FR"/>
        </w:rPr>
        <w:t>utiliser</w:t>
      </w:r>
      <w:r w:rsidR="00F34ECA" w:rsidRPr="00F22A7C">
        <w:rPr>
          <w:color w:val="000000" w:themeColor="text1"/>
          <w:lang w:val="fr-FR"/>
        </w:rPr>
        <w:t xml:space="preserve"> le PCT</w:t>
      </w:r>
      <w:r w:rsidRPr="00F22A7C">
        <w:rPr>
          <w:color w:val="000000" w:themeColor="text1"/>
          <w:lang w:val="fr-FR"/>
        </w:rPr>
        <w:t xml:space="preserve"> dans le cadre de leurs stratégies en matière de brevets.</w:t>
      </w:r>
    </w:p>
    <w:p w14:paraId="06757BCB" w14:textId="77777777" w:rsidR="00773110" w:rsidRPr="00F22A7C" w:rsidRDefault="00773110" w:rsidP="00F34ECA">
      <w:pPr>
        <w:jc w:val="both"/>
        <w:rPr>
          <w:color w:val="000000" w:themeColor="text1"/>
          <w:lang w:val="fr-FR"/>
        </w:rPr>
      </w:pPr>
    </w:p>
    <w:p w14:paraId="641AE034" w14:textId="1F895B82" w:rsidR="00773110" w:rsidRPr="00F22A7C" w:rsidRDefault="00773110" w:rsidP="00F34ECA">
      <w:pPr>
        <w:jc w:val="both"/>
        <w:rPr>
          <w:color w:val="000000" w:themeColor="text1"/>
          <w:u w:val="single"/>
          <w:lang w:val="fr-FR"/>
        </w:rPr>
      </w:pPr>
      <w:r w:rsidRPr="00F22A7C">
        <w:rPr>
          <w:color w:val="000000" w:themeColor="text1"/>
          <w:u w:val="single"/>
          <w:lang w:val="fr-FR"/>
        </w:rPr>
        <w:t>Activité de l</w:t>
      </w:r>
      <w:r w:rsidR="00F34ECA" w:rsidRPr="00F22A7C">
        <w:rPr>
          <w:color w:val="000000" w:themeColor="text1"/>
          <w:u w:val="single"/>
          <w:lang w:val="fr-FR"/>
        </w:rPr>
        <w:t>’</w:t>
      </w:r>
      <w:r w:rsidRPr="00F22A7C">
        <w:rPr>
          <w:color w:val="000000" w:themeColor="text1"/>
          <w:u w:val="single"/>
          <w:lang w:val="fr-FR"/>
        </w:rPr>
        <w:t>INAPI en qualité d</w:t>
      </w:r>
      <w:r w:rsidR="00F34ECA" w:rsidRPr="00F22A7C">
        <w:rPr>
          <w:color w:val="000000" w:themeColor="text1"/>
          <w:u w:val="single"/>
          <w:lang w:val="fr-FR"/>
        </w:rPr>
        <w:t>’</w:t>
      </w:r>
      <w:r w:rsidRPr="00F22A7C">
        <w:rPr>
          <w:color w:val="000000" w:themeColor="text1"/>
          <w:u w:val="single"/>
          <w:lang w:val="fr-FR"/>
        </w:rPr>
        <w:t>administration chargée de la recherche internationale et de l</w:t>
      </w:r>
      <w:r w:rsidR="00F34ECA" w:rsidRPr="00F22A7C">
        <w:rPr>
          <w:color w:val="000000" w:themeColor="text1"/>
          <w:u w:val="single"/>
          <w:lang w:val="fr-FR"/>
        </w:rPr>
        <w:t>’</w:t>
      </w:r>
      <w:r w:rsidRPr="00F22A7C">
        <w:rPr>
          <w:color w:val="000000" w:themeColor="text1"/>
          <w:u w:val="single"/>
          <w:lang w:val="fr-FR"/>
        </w:rPr>
        <w:t>examen préliminaire international</w:t>
      </w:r>
    </w:p>
    <w:p w14:paraId="76181356" w14:textId="77777777" w:rsidR="00773110" w:rsidRPr="00F22A7C" w:rsidRDefault="00773110" w:rsidP="00F34ECA">
      <w:pPr>
        <w:jc w:val="both"/>
        <w:rPr>
          <w:color w:val="000000" w:themeColor="text1"/>
          <w:lang w:val="fr-FR"/>
        </w:rPr>
      </w:pPr>
    </w:p>
    <w:p w14:paraId="099B563F" w14:textId="04D7C340" w:rsidR="00F34ECA" w:rsidRPr="00F22A7C" w:rsidRDefault="00773110" w:rsidP="00F34ECA">
      <w:pPr>
        <w:jc w:val="both"/>
        <w:rPr>
          <w:color w:val="000000" w:themeColor="text1"/>
          <w:lang w:val="fr-FR"/>
        </w:rPr>
      </w:pPr>
      <w:r w:rsidRPr="00F22A7C">
        <w:rPr>
          <w:color w:val="000000" w:themeColor="text1"/>
          <w:lang w:val="fr-FR"/>
        </w:rPr>
        <w:t>L</w:t>
      </w:r>
      <w:r w:rsidR="00F34ECA" w:rsidRPr="00F22A7C">
        <w:rPr>
          <w:color w:val="000000" w:themeColor="text1"/>
          <w:lang w:val="fr-FR"/>
        </w:rPr>
        <w:t>’</w:t>
      </w:r>
      <w:r w:rsidRPr="00F22A7C">
        <w:rPr>
          <w:color w:val="000000" w:themeColor="text1"/>
          <w:lang w:val="fr-FR"/>
        </w:rPr>
        <w:t>INAPI agit en qualité d</w:t>
      </w:r>
      <w:r w:rsidR="00F34ECA" w:rsidRPr="00F22A7C">
        <w:rPr>
          <w:color w:val="000000" w:themeColor="text1"/>
          <w:lang w:val="fr-FR"/>
        </w:rPr>
        <w:t>’</w:t>
      </w:r>
      <w:r w:rsidRPr="00F22A7C">
        <w:rPr>
          <w:color w:val="000000" w:themeColor="text1"/>
          <w:lang w:val="fr-FR"/>
        </w:rPr>
        <w:t>administration internationale</w:t>
      </w:r>
      <w:r w:rsidR="00F34ECA" w:rsidRPr="00F22A7C">
        <w:rPr>
          <w:color w:val="000000" w:themeColor="text1"/>
          <w:lang w:val="fr-FR"/>
        </w:rPr>
        <w:t xml:space="preserve"> du PCT</w:t>
      </w:r>
      <w:r w:rsidRPr="00F22A7C">
        <w:rPr>
          <w:color w:val="000000" w:themeColor="text1"/>
          <w:lang w:val="fr-FR"/>
        </w:rPr>
        <w:t xml:space="preserve"> depuis le 22 octobre 2014.  En 2024, l</w:t>
      </w:r>
      <w:r w:rsidR="00F34ECA" w:rsidRPr="00F22A7C">
        <w:rPr>
          <w:color w:val="000000" w:themeColor="text1"/>
          <w:lang w:val="fr-FR"/>
        </w:rPr>
        <w:t>’</w:t>
      </w:r>
      <w:r w:rsidRPr="00F22A7C">
        <w:rPr>
          <w:color w:val="000000" w:themeColor="text1"/>
          <w:lang w:val="fr-FR"/>
        </w:rPr>
        <w:t>INAPI a fêté son dixième anniversaire en tant qu</w:t>
      </w:r>
      <w:r w:rsidR="00F34ECA" w:rsidRPr="00F22A7C">
        <w:rPr>
          <w:color w:val="000000" w:themeColor="text1"/>
          <w:lang w:val="fr-FR"/>
        </w:rPr>
        <w:t>’</w:t>
      </w:r>
      <w:r w:rsidRPr="00F22A7C">
        <w:rPr>
          <w:color w:val="000000" w:themeColor="text1"/>
          <w:lang w:val="fr-FR"/>
        </w:rPr>
        <w:t>administration chargée de la recherche internationale et de l</w:t>
      </w:r>
      <w:r w:rsidR="00F34ECA" w:rsidRPr="00F22A7C">
        <w:rPr>
          <w:color w:val="000000" w:themeColor="text1"/>
          <w:lang w:val="fr-FR"/>
        </w:rPr>
        <w:t>’</w:t>
      </w:r>
      <w:r w:rsidRPr="00F22A7C">
        <w:rPr>
          <w:color w:val="000000" w:themeColor="text1"/>
          <w:lang w:val="fr-FR"/>
        </w:rPr>
        <w:t>examen préliminaire international, consolidant sa position en tant qu</w:t>
      </w:r>
      <w:r w:rsidR="00F34ECA" w:rsidRPr="00F22A7C">
        <w:rPr>
          <w:color w:val="000000" w:themeColor="text1"/>
          <w:lang w:val="fr-FR"/>
        </w:rPr>
        <w:t>’</w:t>
      </w:r>
      <w:r w:rsidRPr="00F22A7C">
        <w:rPr>
          <w:color w:val="000000" w:themeColor="text1"/>
          <w:lang w:val="fr-FR"/>
        </w:rPr>
        <w:t>administration internationale</w:t>
      </w:r>
      <w:r w:rsidR="00F34ECA" w:rsidRPr="00F22A7C">
        <w:rPr>
          <w:color w:val="000000" w:themeColor="text1"/>
          <w:lang w:val="fr-FR"/>
        </w:rPr>
        <w:t xml:space="preserve"> du PCT</w:t>
      </w:r>
      <w:r w:rsidRPr="00F22A7C">
        <w:rPr>
          <w:color w:val="000000" w:themeColor="text1"/>
          <w:lang w:val="fr-FR"/>
        </w:rPr>
        <w:t xml:space="preserve"> en espagnol la plus utilisée en Amérique lati</w:t>
      </w:r>
      <w:r w:rsidR="00F22A7C" w:rsidRPr="00F22A7C">
        <w:rPr>
          <w:color w:val="000000" w:themeColor="text1"/>
          <w:lang w:val="fr-FR"/>
        </w:rPr>
        <w:t>ne.  Du</w:t>
      </w:r>
      <w:r w:rsidRPr="00F22A7C">
        <w:rPr>
          <w:color w:val="000000" w:themeColor="text1"/>
          <w:lang w:val="fr-FR"/>
        </w:rPr>
        <w:t>rant toutes ces années, nous avons observé une augmentation régulière du nombre de demandes selon</w:t>
      </w:r>
      <w:r w:rsidR="00F34ECA" w:rsidRPr="00F22A7C">
        <w:rPr>
          <w:color w:val="000000" w:themeColor="text1"/>
          <w:lang w:val="fr-FR"/>
        </w:rPr>
        <w:t xml:space="preserve"> le PCT</w:t>
      </w:r>
      <w:r w:rsidRPr="00F22A7C">
        <w:rPr>
          <w:color w:val="000000" w:themeColor="text1"/>
          <w:lang w:val="fr-FR"/>
        </w:rPr>
        <w:t>, non seulement par des déposants chiliens, mais également par des déposants de pays de la région, tels que le Mexique, la Colombie, le Pérou, l</w:t>
      </w:r>
      <w:r w:rsidR="00F34ECA" w:rsidRPr="00F22A7C">
        <w:rPr>
          <w:color w:val="000000" w:themeColor="text1"/>
          <w:lang w:val="fr-FR"/>
        </w:rPr>
        <w:t>’</w:t>
      </w:r>
      <w:r w:rsidRPr="00F22A7C">
        <w:rPr>
          <w:color w:val="000000" w:themeColor="text1"/>
          <w:lang w:val="fr-FR"/>
        </w:rPr>
        <w:t>Équateur et le Costa</w:t>
      </w:r>
      <w:r w:rsidR="005070E1" w:rsidRPr="00F22A7C">
        <w:rPr>
          <w:color w:val="000000" w:themeColor="text1"/>
          <w:lang w:val="fr-FR"/>
        </w:rPr>
        <w:t> </w:t>
      </w:r>
      <w:r w:rsidRPr="00F22A7C">
        <w:rPr>
          <w:color w:val="000000" w:themeColor="text1"/>
          <w:lang w:val="fr-FR"/>
        </w:rPr>
        <w:t>Rica.</w:t>
      </w:r>
    </w:p>
    <w:p w14:paraId="7855FB73" w14:textId="3F5A632C" w:rsidR="00773110" w:rsidRPr="00F22A7C" w:rsidRDefault="00773110" w:rsidP="00F34ECA">
      <w:pPr>
        <w:jc w:val="both"/>
        <w:rPr>
          <w:color w:val="000000" w:themeColor="text1"/>
          <w:lang w:val="fr-FR"/>
        </w:rPr>
      </w:pPr>
    </w:p>
    <w:p w14:paraId="159C62AA" w14:textId="5330960B" w:rsidR="00773110" w:rsidRPr="00F22A7C" w:rsidRDefault="00773110" w:rsidP="00F34ECA">
      <w:pPr>
        <w:jc w:val="both"/>
        <w:rPr>
          <w:color w:val="000000" w:themeColor="text1"/>
          <w:lang w:val="fr-FR"/>
        </w:rPr>
      </w:pPr>
      <w:r w:rsidRPr="00F22A7C">
        <w:rPr>
          <w:color w:val="000000" w:themeColor="text1"/>
          <w:lang w:val="fr-FR"/>
        </w:rPr>
        <w:t>Entre 2014 et 2024, l</w:t>
      </w:r>
      <w:r w:rsidR="00F34ECA" w:rsidRPr="00F22A7C">
        <w:rPr>
          <w:color w:val="000000" w:themeColor="text1"/>
          <w:lang w:val="fr-FR"/>
        </w:rPr>
        <w:t>’</w:t>
      </w:r>
      <w:r w:rsidRPr="00F22A7C">
        <w:rPr>
          <w:color w:val="000000" w:themeColor="text1"/>
          <w:lang w:val="fr-FR"/>
        </w:rPr>
        <w:t>INAPI a été désigné en tant qu</w:t>
      </w:r>
      <w:r w:rsidR="00F34ECA" w:rsidRPr="00F22A7C">
        <w:rPr>
          <w:color w:val="000000" w:themeColor="text1"/>
          <w:lang w:val="fr-FR"/>
        </w:rPr>
        <w:t>’</w:t>
      </w:r>
      <w:r w:rsidRPr="00F22A7C">
        <w:rPr>
          <w:color w:val="000000" w:themeColor="text1"/>
          <w:lang w:val="fr-FR"/>
        </w:rPr>
        <w:t>administration chargée de la recherche internationale dans 2 809 demandes et a remis 2 449 rapports de recherche et opinions écrit</w:t>
      </w:r>
      <w:r w:rsidR="00F22A7C" w:rsidRPr="00F22A7C">
        <w:rPr>
          <w:color w:val="000000" w:themeColor="text1"/>
          <w:lang w:val="fr-FR"/>
        </w:rPr>
        <w:t>es.  En</w:t>
      </w:r>
      <w:r w:rsidRPr="00F22A7C">
        <w:rPr>
          <w:color w:val="000000" w:themeColor="text1"/>
          <w:lang w:val="fr-FR"/>
        </w:rPr>
        <w:t> 2024, il a été désigné dans 293 demand</w:t>
      </w:r>
      <w:r w:rsidR="00F22A7C" w:rsidRPr="00F22A7C">
        <w:rPr>
          <w:color w:val="000000" w:themeColor="text1"/>
          <w:lang w:val="fr-FR"/>
        </w:rPr>
        <w:t>es.  Su</w:t>
      </w:r>
      <w:r w:rsidRPr="00F22A7C">
        <w:rPr>
          <w:color w:val="000000" w:themeColor="text1"/>
          <w:lang w:val="fr-FR"/>
        </w:rPr>
        <w:t>r la même période, l</w:t>
      </w:r>
      <w:r w:rsidR="00F34ECA" w:rsidRPr="00F22A7C">
        <w:rPr>
          <w:color w:val="000000" w:themeColor="text1"/>
          <w:lang w:val="fr-FR"/>
        </w:rPr>
        <w:t>’</w:t>
      </w:r>
      <w:r w:rsidRPr="00F22A7C">
        <w:rPr>
          <w:color w:val="000000" w:themeColor="text1"/>
          <w:lang w:val="fr-FR"/>
        </w:rPr>
        <w:t>INAPI a été désigné en tant qu</w:t>
      </w:r>
      <w:r w:rsidR="00F34ECA" w:rsidRPr="00F22A7C">
        <w:rPr>
          <w:color w:val="000000" w:themeColor="text1"/>
          <w:lang w:val="fr-FR"/>
        </w:rPr>
        <w:t>’</w:t>
      </w:r>
      <w:r w:rsidRPr="00F22A7C">
        <w:rPr>
          <w:color w:val="000000" w:themeColor="text1"/>
          <w:lang w:val="fr-FR"/>
        </w:rPr>
        <w:t>administration chargée de l</w:t>
      </w:r>
      <w:r w:rsidR="00F34ECA" w:rsidRPr="00F22A7C">
        <w:rPr>
          <w:color w:val="000000" w:themeColor="text1"/>
          <w:lang w:val="fr-FR"/>
        </w:rPr>
        <w:t>’</w:t>
      </w:r>
      <w:r w:rsidRPr="00F22A7C">
        <w:rPr>
          <w:color w:val="000000" w:themeColor="text1"/>
          <w:lang w:val="fr-FR"/>
        </w:rPr>
        <w:t>examen préliminaire international dans 96 demandes, dont 11 ont été déposées en 2024.</w:t>
      </w:r>
    </w:p>
    <w:p w14:paraId="2B81DF36" w14:textId="77777777" w:rsidR="00773110" w:rsidRPr="00F22A7C" w:rsidRDefault="00773110" w:rsidP="00F34ECA">
      <w:pPr>
        <w:jc w:val="both"/>
        <w:rPr>
          <w:color w:val="000000" w:themeColor="text1"/>
          <w:lang w:val="fr-FR"/>
        </w:rPr>
      </w:pPr>
    </w:p>
    <w:p w14:paraId="305CF116" w14:textId="246BC43F" w:rsidR="00773110" w:rsidRPr="00F22A7C" w:rsidRDefault="00773110" w:rsidP="00F34ECA">
      <w:pPr>
        <w:jc w:val="both"/>
        <w:rPr>
          <w:color w:val="000000" w:themeColor="text1"/>
          <w:lang w:val="fr-FR"/>
        </w:rPr>
      </w:pPr>
      <w:r w:rsidRPr="00F22A7C">
        <w:rPr>
          <w:color w:val="000000" w:themeColor="text1"/>
          <w:lang w:val="fr-FR"/>
        </w:rPr>
        <w:t>À la dernière réunion des autorités internationales</w:t>
      </w:r>
      <w:r w:rsidR="00F34ECA" w:rsidRPr="00F22A7C">
        <w:rPr>
          <w:color w:val="000000" w:themeColor="text1"/>
          <w:lang w:val="fr-FR"/>
        </w:rPr>
        <w:t xml:space="preserve"> du PCT</w:t>
      </w:r>
      <w:r w:rsidRPr="00F22A7C">
        <w:rPr>
          <w:color w:val="000000" w:themeColor="text1"/>
          <w:lang w:val="fr-FR"/>
        </w:rPr>
        <w:t>, tenue en octobre 2025, l</w:t>
      </w:r>
      <w:r w:rsidR="00F34ECA" w:rsidRPr="00F22A7C">
        <w:rPr>
          <w:color w:val="000000" w:themeColor="text1"/>
          <w:lang w:val="fr-FR"/>
        </w:rPr>
        <w:t>’</w:t>
      </w:r>
      <w:r w:rsidRPr="00F22A7C">
        <w:rPr>
          <w:color w:val="000000" w:themeColor="text1"/>
          <w:lang w:val="fr-FR"/>
        </w:rPr>
        <w:t>INAPI a été reconnu comme l</w:t>
      </w:r>
      <w:r w:rsidR="00F34ECA" w:rsidRPr="00F22A7C">
        <w:rPr>
          <w:color w:val="000000" w:themeColor="text1"/>
          <w:lang w:val="fr-FR"/>
        </w:rPr>
        <w:t>’</w:t>
      </w:r>
      <w:r w:rsidRPr="00F22A7C">
        <w:rPr>
          <w:color w:val="000000" w:themeColor="text1"/>
          <w:lang w:val="fr-FR"/>
        </w:rPr>
        <w:t>une des administrations chargées de la recherche internationale et de l</w:t>
      </w:r>
      <w:r w:rsidR="00F34ECA" w:rsidRPr="00F22A7C">
        <w:rPr>
          <w:color w:val="000000" w:themeColor="text1"/>
          <w:lang w:val="fr-FR"/>
        </w:rPr>
        <w:t>’</w:t>
      </w:r>
      <w:r w:rsidRPr="00F22A7C">
        <w:rPr>
          <w:color w:val="000000" w:themeColor="text1"/>
          <w:lang w:val="fr-FR"/>
        </w:rPr>
        <w:t>examen préliminaire international ayant remis 100% des rapports de recherche, opinions écrites et examens préliminaires internationaux dans les délais prescri</w:t>
      </w:r>
      <w:r w:rsidR="00F22A7C" w:rsidRPr="00F22A7C">
        <w:rPr>
          <w:color w:val="000000" w:themeColor="text1"/>
          <w:lang w:val="fr-FR"/>
        </w:rPr>
        <w:t>ts.  Le</w:t>
      </w:r>
      <w:r w:rsidRPr="00F22A7C">
        <w:rPr>
          <w:color w:val="000000" w:themeColor="text1"/>
          <w:lang w:val="fr-FR"/>
        </w:rPr>
        <w:t xml:space="preserve"> respect des délais</w:t>
      </w:r>
      <w:r w:rsidR="00F34ECA" w:rsidRPr="00F22A7C">
        <w:rPr>
          <w:color w:val="000000" w:themeColor="text1"/>
          <w:lang w:val="fr-FR"/>
        </w:rPr>
        <w:t xml:space="preserve"> du PCT</w:t>
      </w:r>
      <w:r w:rsidRPr="00F22A7C">
        <w:rPr>
          <w:color w:val="000000" w:themeColor="text1"/>
          <w:lang w:val="fr-FR"/>
        </w:rPr>
        <w:t xml:space="preserve"> et la remise en temps voulu des rapports à nos utilisateurs a été le fer de lance de la gestion de l</w:t>
      </w:r>
      <w:r w:rsidR="00F34ECA" w:rsidRPr="00F22A7C">
        <w:rPr>
          <w:color w:val="000000" w:themeColor="text1"/>
          <w:lang w:val="fr-FR"/>
        </w:rPr>
        <w:t>’</w:t>
      </w:r>
      <w:r w:rsidRPr="00F22A7C">
        <w:rPr>
          <w:color w:val="000000" w:themeColor="text1"/>
          <w:lang w:val="fr-FR"/>
        </w:rPr>
        <w:t>INAPI en qualité d</w:t>
      </w:r>
      <w:r w:rsidR="00F34ECA" w:rsidRPr="00F22A7C">
        <w:rPr>
          <w:color w:val="000000" w:themeColor="text1"/>
          <w:lang w:val="fr-FR"/>
        </w:rPr>
        <w:t>’</w:t>
      </w:r>
      <w:r w:rsidRPr="00F22A7C">
        <w:rPr>
          <w:color w:val="000000" w:themeColor="text1"/>
          <w:lang w:val="fr-FR"/>
        </w:rPr>
        <w:t>administration internationale</w:t>
      </w:r>
      <w:r w:rsidR="00F34ECA" w:rsidRPr="00F22A7C">
        <w:rPr>
          <w:color w:val="000000" w:themeColor="text1"/>
          <w:lang w:val="fr-FR"/>
        </w:rPr>
        <w:t xml:space="preserve"> du PCT</w:t>
      </w:r>
      <w:r w:rsidRPr="00F22A7C">
        <w:rPr>
          <w:color w:val="000000" w:themeColor="text1"/>
          <w:lang w:val="fr-FR"/>
        </w:rPr>
        <w:t>.</w:t>
      </w:r>
    </w:p>
    <w:p w14:paraId="7899A3FE" w14:textId="77777777" w:rsidR="00773110" w:rsidRPr="00F22A7C" w:rsidRDefault="00773110" w:rsidP="00F34ECA">
      <w:pPr>
        <w:jc w:val="both"/>
        <w:rPr>
          <w:color w:val="000000" w:themeColor="text1"/>
          <w:lang w:val="fr-FR"/>
        </w:rPr>
      </w:pPr>
    </w:p>
    <w:p w14:paraId="393540A8" w14:textId="160DE6A4" w:rsidR="00773110" w:rsidRPr="00F22A7C" w:rsidRDefault="00773110" w:rsidP="00F34ECA">
      <w:pPr>
        <w:jc w:val="both"/>
        <w:rPr>
          <w:color w:val="000000" w:themeColor="text1"/>
          <w:lang w:val="fr-FR"/>
        </w:rPr>
      </w:pPr>
      <w:r w:rsidRPr="00F22A7C">
        <w:rPr>
          <w:color w:val="000000" w:themeColor="text1"/>
          <w:lang w:val="fr-FR"/>
        </w:rPr>
        <w:t>Le travail de l</w:t>
      </w:r>
      <w:r w:rsidR="00F34ECA" w:rsidRPr="00F22A7C">
        <w:rPr>
          <w:color w:val="000000" w:themeColor="text1"/>
          <w:lang w:val="fr-FR"/>
        </w:rPr>
        <w:t>’</w:t>
      </w:r>
      <w:r w:rsidRPr="00F22A7C">
        <w:rPr>
          <w:color w:val="000000" w:themeColor="text1"/>
          <w:lang w:val="fr-FR"/>
        </w:rPr>
        <w:t>institut en qualité d</w:t>
      </w:r>
      <w:r w:rsidR="00F34ECA" w:rsidRPr="00F22A7C">
        <w:rPr>
          <w:color w:val="000000" w:themeColor="text1"/>
          <w:lang w:val="fr-FR"/>
        </w:rPr>
        <w:t>’</w:t>
      </w:r>
      <w:r w:rsidRPr="00F22A7C">
        <w:rPr>
          <w:color w:val="000000" w:themeColor="text1"/>
          <w:lang w:val="fr-FR"/>
        </w:rPr>
        <w:t>administration internationale</w:t>
      </w:r>
      <w:r w:rsidR="00F34ECA" w:rsidRPr="00F22A7C">
        <w:rPr>
          <w:color w:val="000000" w:themeColor="text1"/>
          <w:lang w:val="fr-FR"/>
        </w:rPr>
        <w:t xml:space="preserve"> du PCT</w:t>
      </w:r>
      <w:r w:rsidRPr="00F22A7C">
        <w:rPr>
          <w:color w:val="000000" w:themeColor="text1"/>
          <w:lang w:val="fr-FR"/>
        </w:rPr>
        <w:t xml:space="preserve"> est très apprécié par les déposants du Chili et de toute la régi</w:t>
      </w:r>
      <w:r w:rsidR="00F22A7C" w:rsidRPr="00F22A7C">
        <w:rPr>
          <w:color w:val="000000" w:themeColor="text1"/>
          <w:lang w:val="fr-FR"/>
        </w:rPr>
        <w:t>on.  C’e</w:t>
      </w:r>
      <w:r w:rsidRPr="00F22A7C">
        <w:rPr>
          <w:color w:val="000000" w:themeColor="text1"/>
          <w:lang w:val="fr-FR"/>
        </w:rPr>
        <w:t>st ce qui ressort des enquêtes de satisfaction menées pour chaque demande qu</w:t>
      </w:r>
      <w:r w:rsidR="00F34ECA" w:rsidRPr="00F22A7C">
        <w:rPr>
          <w:color w:val="000000" w:themeColor="text1"/>
          <w:lang w:val="fr-FR"/>
        </w:rPr>
        <w:t>’</w:t>
      </w:r>
      <w:r w:rsidRPr="00F22A7C">
        <w:rPr>
          <w:color w:val="000000" w:themeColor="text1"/>
          <w:lang w:val="fr-FR"/>
        </w:rPr>
        <w:t>il a traitée en sa qualité d</w:t>
      </w:r>
      <w:r w:rsidR="00F34ECA" w:rsidRPr="00F22A7C">
        <w:rPr>
          <w:color w:val="000000" w:themeColor="text1"/>
          <w:lang w:val="fr-FR"/>
        </w:rPr>
        <w:t>’</w:t>
      </w:r>
      <w:r w:rsidRPr="00F22A7C">
        <w:rPr>
          <w:color w:val="000000" w:themeColor="text1"/>
          <w:lang w:val="fr-FR"/>
        </w:rPr>
        <w:t>administration chargée de la recherche internationale, lors des réunions annuelles avec les principaux utilisateurs et des réunions avec de nombreux déposants ayant déposé plus d</w:t>
      </w:r>
      <w:r w:rsidR="00F34ECA" w:rsidRPr="00F22A7C">
        <w:rPr>
          <w:color w:val="000000" w:themeColor="text1"/>
          <w:lang w:val="fr-FR"/>
        </w:rPr>
        <w:t>’</w:t>
      </w:r>
      <w:r w:rsidRPr="00F22A7C">
        <w:rPr>
          <w:color w:val="000000" w:themeColor="text1"/>
          <w:lang w:val="fr-FR"/>
        </w:rPr>
        <w:t>une demande en choisissant l</w:t>
      </w:r>
      <w:r w:rsidR="00F34ECA" w:rsidRPr="00F22A7C">
        <w:rPr>
          <w:color w:val="000000" w:themeColor="text1"/>
          <w:lang w:val="fr-FR"/>
        </w:rPr>
        <w:t>’</w:t>
      </w:r>
      <w:r w:rsidRPr="00F22A7C">
        <w:rPr>
          <w:color w:val="000000" w:themeColor="text1"/>
          <w:lang w:val="fr-FR"/>
        </w:rPr>
        <w:t>INAPI comme administration chargée de la recherche internationa</w:t>
      </w:r>
      <w:r w:rsidR="00F22A7C" w:rsidRPr="00F22A7C">
        <w:rPr>
          <w:color w:val="000000" w:themeColor="text1"/>
          <w:lang w:val="fr-FR"/>
        </w:rPr>
        <w:t>le.  To</w:t>
      </w:r>
      <w:r w:rsidRPr="00F22A7C">
        <w:rPr>
          <w:color w:val="000000" w:themeColor="text1"/>
          <w:lang w:val="fr-FR"/>
        </w:rPr>
        <w:t>ut cela témoigne de leur confiance dans la qualité de notre travail et de la reconnaissance de notre efficacité.</w:t>
      </w:r>
    </w:p>
    <w:p w14:paraId="7DE22769" w14:textId="06EBB6F8" w:rsidR="000F5E56" w:rsidRPr="00F22A7C" w:rsidRDefault="00773110" w:rsidP="00F34ECA">
      <w:pPr>
        <w:pStyle w:val="Endofdocument-Annex"/>
      </w:pPr>
      <w:r w:rsidRPr="00F22A7C">
        <w:t>[Fin de l</w:t>
      </w:r>
      <w:r w:rsidR="00F34ECA" w:rsidRPr="00F22A7C">
        <w:t>’</w:t>
      </w:r>
      <w:r w:rsidRPr="00F22A7C">
        <w:t>annexe et du document]</w:t>
      </w:r>
    </w:p>
    <w:sectPr w:rsidR="000F5E56" w:rsidRPr="00F22A7C" w:rsidSect="00F34ECA">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344C" w14:textId="77777777" w:rsidR="00773110" w:rsidRDefault="00773110">
      <w:r>
        <w:separator/>
      </w:r>
    </w:p>
  </w:endnote>
  <w:endnote w:type="continuationSeparator" w:id="0">
    <w:p w14:paraId="0141E824" w14:textId="77777777" w:rsidR="00773110" w:rsidRPr="009D30E6" w:rsidRDefault="00773110" w:rsidP="00D45252">
      <w:pPr>
        <w:rPr>
          <w:sz w:val="17"/>
          <w:szCs w:val="17"/>
        </w:rPr>
      </w:pPr>
      <w:r w:rsidRPr="009D30E6">
        <w:rPr>
          <w:sz w:val="17"/>
          <w:szCs w:val="17"/>
        </w:rPr>
        <w:separator/>
      </w:r>
    </w:p>
    <w:p w14:paraId="58736952" w14:textId="77777777" w:rsidR="00773110" w:rsidRPr="009D30E6" w:rsidRDefault="00773110" w:rsidP="00D45252">
      <w:pPr>
        <w:spacing w:after="60"/>
        <w:rPr>
          <w:sz w:val="17"/>
          <w:szCs w:val="17"/>
        </w:rPr>
      </w:pPr>
      <w:r w:rsidRPr="009D30E6">
        <w:rPr>
          <w:sz w:val="17"/>
          <w:szCs w:val="17"/>
        </w:rPr>
        <w:t>[Suite de la note de la page précédente]</w:t>
      </w:r>
    </w:p>
  </w:endnote>
  <w:endnote w:type="continuationNotice" w:id="1">
    <w:p w14:paraId="2CD4A30A" w14:textId="77777777" w:rsidR="00773110" w:rsidRPr="009D30E6" w:rsidRDefault="0077311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59A2" w14:textId="605A365B"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6E3D" w14:textId="5DCB6E7A"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D0E3" w14:textId="36D9D4F4"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2BC6" w14:textId="77777777" w:rsidR="00773110" w:rsidRDefault="00773110">
      <w:r>
        <w:separator/>
      </w:r>
    </w:p>
  </w:footnote>
  <w:footnote w:type="continuationSeparator" w:id="0">
    <w:p w14:paraId="25814422" w14:textId="77777777" w:rsidR="00773110" w:rsidRDefault="00773110" w:rsidP="007461F1">
      <w:r>
        <w:separator/>
      </w:r>
    </w:p>
    <w:p w14:paraId="6B1F860B" w14:textId="77777777" w:rsidR="00773110" w:rsidRPr="009D30E6" w:rsidRDefault="00773110" w:rsidP="007461F1">
      <w:pPr>
        <w:spacing w:after="60"/>
        <w:rPr>
          <w:sz w:val="17"/>
          <w:szCs w:val="17"/>
        </w:rPr>
      </w:pPr>
      <w:r w:rsidRPr="009D30E6">
        <w:rPr>
          <w:sz w:val="17"/>
          <w:szCs w:val="17"/>
        </w:rPr>
        <w:t>[Suite de la note de la page précédente]</w:t>
      </w:r>
    </w:p>
  </w:footnote>
  <w:footnote w:type="continuationNotice" w:id="1">
    <w:p w14:paraId="76EFC353" w14:textId="77777777" w:rsidR="00773110" w:rsidRPr="009D30E6" w:rsidRDefault="0077311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30BA" w14:textId="77777777" w:rsidR="00773110" w:rsidRDefault="00773110" w:rsidP="00477D6B">
    <w:pPr>
      <w:jc w:val="right"/>
    </w:pPr>
    <w:r>
      <w:t>PCT/CTC/30/10</w:t>
    </w:r>
  </w:p>
  <w:p w14:paraId="46BEF077" w14:textId="77777777" w:rsidR="00773110" w:rsidRDefault="00773110" w:rsidP="00477D6B">
    <w:pPr>
      <w:jc w:val="right"/>
    </w:pPr>
    <w:r>
      <w:t>ANNEXE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FC12" w14:textId="02727B49" w:rsidR="00F16975" w:rsidRPr="00B45C15" w:rsidRDefault="00773110" w:rsidP="00477D6B">
    <w:pPr>
      <w:jc w:val="right"/>
      <w:rPr>
        <w:caps/>
      </w:rPr>
    </w:pPr>
    <w:bookmarkStart w:id="7" w:name="Code2"/>
    <w:bookmarkEnd w:id="7"/>
    <w:r>
      <w:rPr>
        <w:caps/>
      </w:rPr>
      <w:t>PCT/CTC/33/6</w:t>
    </w:r>
  </w:p>
  <w:p w14:paraId="38F1239E" w14:textId="038DCAE1" w:rsidR="00574036" w:rsidRDefault="00F34ECA"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4B1F" w14:textId="77777777" w:rsidR="00F34ECA" w:rsidRPr="00B45C15" w:rsidRDefault="00F34ECA" w:rsidP="00F34ECA">
    <w:pPr>
      <w:jc w:val="right"/>
      <w:rPr>
        <w:caps/>
      </w:rPr>
    </w:pPr>
    <w:r>
      <w:rPr>
        <w:caps/>
      </w:rPr>
      <w:t>PCT/CTC/33/6</w:t>
    </w:r>
  </w:p>
  <w:p w14:paraId="2B489185" w14:textId="1B22E24B" w:rsidR="00F34ECA" w:rsidRDefault="00F34ECA" w:rsidP="00F34ECA">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2"/>
  </w:num>
  <w:num w:numId="2" w16cid:durableId="2120054960">
    <w:abstractNumId w:val="4"/>
  </w:num>
  <w:num w:numId="3" w16cid:durableId="757362259">
    <w:abstractNumId w:val="0"/>
  </w:num>
  <w:num w:numId="4" w16cid:durableId="1538662951">
    <w:abstractNumId w:val="5"/>
  </w:num>
  <w:num w:numId="5" w16cid:durableId="1333725512">
    <w:abstractNumId w:val="1"/>
  </w:num>
  <w:num w:numId="6" w16cid:durableId="139277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10"/>
    <w:rsid w:val="00011B7D"/>
    <w:rsid w:val="00075432"/>
    <w:rsid w:val="0009458A"/>
    <w:rsid w:val="000F5E56"/>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070E1"/>
    <w:rsid w:val="005072FB"/>
    <w:rsid w:val="0051455D"/>
    <w:rsid w:val="00525B63"/>
    <w:rsid w:val="00525E59"/>
    <w:rsid w:val="00541348"/>
    <w:rsid w:val="005421DD"/>
    <w:rsid w:val="00554FA5"/>
    <w:rsid w:val="00567A4C"/>
    <w:rsid w:val="00574036"/>
    <w:rsid w:val="00595F07"/>
    <w:rsid w:val="005E6516"/>
    <w:rsid w:val="00605827"/>
    <w:rsid w:val="00616671"/>
    <w:rsid w:val="006519E3"/>
    <w:rsid w:val="0068189D"/>
    <w:rsid w:val="006B0DB5"/>
    <w:rsid w:val="007461F1"/>
    <w:rsid w:val="00773110"/>
    <w:rsid w:val="007D6961"/>
    <w:rsid w:val="007F07CB"/>
    <w:rsid w:val="00810CEF"/>
    <w:rsid w:val="0081208D"/>
    <w:rsid w:val="008959C5"/>
    <w:rsid w:val="008B2CC1"/>
    <w:rsid w:val="008E7930"/>
    <w:rsid w:val="0090731E"/>
    <w:rsid w:val="00966A22"/>
    <w:rsid w:val="00974CD6"/>
    <w:rsid w:val="00994696"/>
    <w:rsid w:val="009D30E6"/>
    <w:rsid w:val="009E3F6F"/>
    <w:rsid w:val="009F499F"/>
    <w:rsid w:val="00A11D74"/>
    <w:rsid w:val="00AC0AE4"/>
    <w:rsid w:val="00AD61DB"/>
    <w:rsid w:val="00B1090C"/>
    <w:rsid w:val="00B3282A"/>
    <w:rsid w:val="00B35AF5"/>
    <w:rsid w:val="00B45C15"/>
    <w:rsid w:val="00BE0BE0"/>
    <w:rsid w:val="00C664C8"/>
    <w:rsid w:val="00CF0460"/>
    <w:rsid w:val="00D43E0F"/>
    <w:rsid w:val="00D45252"/>
    <w:rsid w:val="00D71B4D"/>
    <w:rsid w:val="00D75C1E"/>
    <w:rsid w:val="00D93D55"/>
    <w:rsid w:val="00D9407C"/>
    <w:rsid w:val="00D9599C"/>
    <w:rsid w:val="00DB1C48"/>
    <w:rsid w:val="00DD4917"/>
    <w:rsid w:val="00DD6A16"/>
    <w:rsid w:val="00E0091A"/>
    <w:rsid w:val="00E203AA"/>
    <w:rsid w:val="00E5217A"/>
    <w:rsid w:val="00E527A5"/>
    <w:rsid w:val="00E76456"/>
    <w:rsid w:val="00E878EE"/>
    <w:rsid w:val="00EE71CB"/>
    <w:rsid w:val="00EF529F"/>
    <w:rsid w:val="00F16975"/>
    <w:rsid w:val="00F22A7C"/>
    <w:rsid w:val="00F34ECA"/>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ACC58"/>
  <w15:docId w15:val="{A76FACF2-A464-4628-AE50-8A117AAA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773110"/>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paragraph" w:customStyle="1" w:styleId="Question">
    <w:name w:val="Question"/>
    <w:basedOn w:val="BodyText"/>
    <w:next w:val="Normal"/>
    <w:qFormat/>
    <w:rsid w:val="00773110"/>
    <w:pPr>
      <w:keepNext/>
      <w:keepLines/>
    </w:pPr>
    <w:rPr>
      <w:b/>
      <w:bCs/>
      <w:szCs w:val="22"/>
      <w:lang w:val="fr-FR"/>
    </w:rPr>
  </w:style>
  <w:style w:type="character" w:styleId="Hyperlink">
    <w:name w:val="Hyperlink"/>
    <w:basedOn w:val="DefaultParagraphFont"/>
    <w:uiPriority w:val="99"/>
    <w:unhideWhenUsed/>
    <w:rsid w:val="00773110"/>
    <w:rPr>
      <w:color w:val="0000FF" w:themeColor="hyperlink"/>
      <w:u w:val="single"/>
    </w:rPr>
  </w:style>
  <w:style w:type="character" w:styleId="UnresolvedMention">
    <w:name w:val="Unresolved Mention"/>
    <w:basedOn w:val="DefaultParagraphFont"/>
    <w:uiPriority w:val="99"/>
    <w:semiHidden/>
    <w:unhideWhenUsed/>
    <w:rsid w:val="00F22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CL&amp;amp;doc-lang=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export/sites/www/pct/fr/docs/circulars/2024/167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crew@inapi.c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doc.xhtml?doc-code=CL&amp;amp;doc-lang=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1</TotalTime>
  <Pages>8</Pages>
  <Words>3254</Words>
  <Characters>18551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PCT/CTC/33/6</vt:lpstr>
    </vt:vector>
  </TitlesOfParts>
  <Company>WIPO</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PCT/CTC/33/6</dc:title>
  <dc:subject>PROLONGATION DE LA NOMINATION DE L’INSTITUT NATIONAL DE LA PROPRIETE INDUSTRIELLE DU CHILI EN QUALITE D’ADMINISTRATION CHARGEE DE LA RECHERCHE INTERNATIONALE ET DE L’EXAMEN PRELIMINAIRE INTERNATIONAL SELON LE PCT</dc:subject>
  <dc:creator>OLIVIÉ Karen</dc:creator>
  <cp:keywords/>
  <dc:description>French</dc:description>
  <cp:lastModifiedBy>MARLOW Thomas</cp:lastModifiedBy>
  <cp:revision>2</cp:revision>
  <cp:lastPrinted>2011-05-19T12:37:00Z</cp:lastPrinted>
  <dcterms:created xsi:type="dcterms:W3CDTF">2026-01-13T14:39:00Z</dcterms:created>
  <dcterms:modified xsi:type="dcterms:W3CDTF">2026-01-13T14:39:00Z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2026-01-13T14:18:52Z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92f48f7b-3edd-4966-aa33-77d101404a3c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