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B834" w14:textId="77777777" w:rsidR="008B2CC1" w:rsidRPr="00F16887" w:rsidRDefault="0040540C" w:rsidP="00F16887">
      <w:pPr>
        <w:pBdr>
          <w:bottom w:val="single" w:sz="4" w:space="10" w:color="auto"/>
        </w:pBdr>
        <w:spacing w:after="120"/>
        <w:jc w:val="right"/>
        <w:rPr>
          <w:lang w:val="fr-FR"/>
        </w:rPr>
      </w:pPr>
      <w:r w:rsidRPr="00F16887">
        <w:rPr>
          <w:noProof/>
          <w:lang w:val="fr-FR" w:eastAsia="en-US"/>
        </w:rPr>
        <w:drawing>
          <wp:inline distT="0" distB="0" distL="0" distR="0" wp14:anchorId="3FE1BFE4" wp14:editId="528B5D67">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378E6F18" w14:textId="34B773FF" w:rsidR="00B1090C" w:rsidRPr="00F16887" w:rsidRDefault="00EF529F" w:rsidP="00F16887">
      <w:pPr>
        <w:jc w:val="right"/>
        <w:rPr>
          <w:rFonts w:ascii="Arial Black" w:hAnsi="Arial Black"/>
          <w:caps/>
          <w:sz w:val="15"/>
          <w:lang w:val="fr-FR"/>
        </w:rPr>
      </w:pPr>
      <w:r w:rsidRPr="00F16887">
        <w:rPr>
          <w:rFonts w:ascii="Arial Black" w:hAnsi="Arial Black"/>
          <w:caps/>
          <w:sz w:val="15"/>
          <w:lang w:val="fr-FR"/>
        </w:rPr>
        <w:t>PCT/CTC/3</w:t>
      </w:r>
      <w:r w:rsidR="0068189D" w:rsidRPr="00F16887">
        <w:rPr>
          <w:rFonts w:ascii="Arial Black" w:hAnsi="Arial Black"/>
          <w:caps/>
          <w:sz w:val="15"/>
          <w:lang w:val="fr-FR"/>
        </w:rPr>
        <w:t>3</w:t>
      </w:r>
      <w:r w:rsidRPr="00F16887">
        <w:rPr>
          <w:rFonts w:ascii="Arial Black" w:hAnsi="Arial Black"/>
          <w:caps/>
          <w:sz w:val="15"/>
          <w:lang w:val="fr-FR"/>
        </w:rPr>
        <w:t>/</w:t>
      </w:r>
      <w:bookmarkStart w:id="0" w:name="Code"/>
      <w:bookmarkEnd w:id="0"/>
      <w:r w:rsidR="001077E2" w:rsidRPr="00F16887">
        <w:rPr>
          <w:rFonts w:ascii="Arial Black" w:hAnsi="Arial Black"/>
          <w:caps/>
          <w:sz w:val="15"/>
          <w:lang w:val="fr-FR"/>
        </w:rPr>
        <w:t>27</w:t>
      </w:r>
    </w:p>
    <w:p w14:paraId="6E48BB24" w14:textId="7404A481" w:rsidR="008B2CC1" w:rsidRPr="00F16887" w:rsidRDefault="00B1090C" w:rsidP="00F16887">
      <w:pPr>
        <w:jc w:val="right"/>
        <w:rPr>
          <w:rFonts w:ascii="Arial Black" w:hAnsi="Arial Black"/>
          <w:sz w:val="15"/>
          <w:szCs w:val="15"/>
          <w:lang w:val="fr-FR"/>
        </w:rPr>
      </w:pPr>
      <w:r w:rsidRPr="00F16887">
        <w:rPr>
          <w:rFonts w:ascii="Arial Black" w:hAnsi="Arial Black"/>
          <w:caps/>
          <w:sz w:val="15"/>
          <w:szCs w:val="15"/>
          <w:lang w:val="fr-FR"/>
        </w:rPr>
        <w:t>ORIGINAL</w:t>
      </w:r>
      <w:r w:rsidR="00F16887">
        <w:rPr>
          <w:rFonts w:ascii="Arial Black" w:hAnsi="Arial Black"/>
          <w:caps/>
          <w:sz w:val="15"/>
          <w:szCs w:val="15"/>
          <w:lang w:val="fr-FR"/>
        </w:rPr>
        <w:t> :</w:t>
      </w:r>
      <w:r w:rsidR="002956DE" w:rsidRPr="00F16887">
        <w:rPr>
          <w:rFonts w:ascii="Arial Black" w:hAnsi="Arial Black"/>
          <w:caps/>
          <w:sz w:val="15"/>
          <w:szCs w:val="15"/>
          <w:lang w:val="fr-FR"/>
        </w:rPr>
        <w:t xml:space="preserve"> </w:t>
      </w:r>
      <w:bookmarkStart w:id="1" w:name="Original"/>
      <w:r w:rsidR="001077E2" w:rsidRPr="00F16887">
        <w:rPr>
          <w:rFonts w:ascii="Arial Black" w:hAnsi="Arial Black"/>
          <w:caps/>
          <w:sz w:val="15"/>
          <w:szCs w:val="15"/>
          <w:lang w:val="fr-FR"/>
        </w:rPr>
        <w:t>anglais</w:t>
      </w:r>
      <w:r w:rsidR="00C603FB">
        <w:rPr>
          <w:rFonts w:ascii="Arial Black" w:hAnsi="Arial Black"/>
          <w:caps/>
          <w:sz w:val="15"/>
          <w:szCs w:val="15"/>
          <w:lang w:val="fr-FR"/>
        </w:rPr>
        <w:t>/ESPAGNOL</w:t>
      </w:r>
    </w:p>
    <w:bookmarkEnd w:id="1"/>
    <w:p w14:paraId="77404298" w14:textId="1A33CE4B" w:rsidR="008B2CC1" w:rsidRPr="00F16887" w:rsidRDefault="00B1090C" w:rsidP="00F16887">
      <w:pPr>
        <w:spacing w:after="1200"/>
        <w:jc w:val="right"/>
        <w:rPr>
          <w:rFonts w:ascii="Arial Black" w:hAnsi="Arial Black"/>
          <w:sz w:val="15"/>
          <w:szCs w:val="15"/>
          <w:lang w:val="fr-FR"/>
        </w:rPr>
      </w:pPr>
      <w:r w:rsidRPr="00F16887">
        <w:rPr>
          <w:rFonts w:ascii="Arial Black" w:hAnsi="Arial Black"/>
          <w:caps/>
          <w:sz w:val="15"/>
          <w:szCs w:val="15"/>
          <w:lang w:val="fr-FR"/>
        </w:rPr>
        <w:t>DATE</w:t>
      </w:r>
      <w:r w:rsidR="00F16887">
        <w:rPr>
          <w:rFonts w:ascii="Arial Black" w:hAnsi="Arial Black"/>
          <w:caps/>
          <w:sz w:val="15"/>
          <w:szCs w:val="15"/>
          <w:lang w:val="fr-FR"/>
        </w:rPr>
        <w:t> :</w:t>
      </w:r>
      <w:r w:rsidR="002956DE" w:rsidRPr="00F16887">
        <w:rPr>
          <w:rFonts w:ascii="Arial Black" w:hAnsi="Arial Black"/>
          <w:caps/>
          <w:sz w:val="15"/>
          <w:szCs w:val="15"/>
          <w:lang w:val="fr-FR"/>
        </w:rPr>
        <w:t xml:space="preserve"> </w:t>
      </w:r>
      <w:bookmarkStart w:id="2" w:name="Date"/>
      <w:r w:rsidR="001077E2" w:rsidRPr="00F16887">
        <w:rPr>
          <w:rFonts w:ascii="Arial Black" w:hAnsi="Arial Black"/>
          <w:caps/>
          <w:sz w:val="15"/>
          <w:szCs w:val="15"/>
          <w:lang w:val="fr-FR"/>
        </w:rPr>
        <w:t>18 décembre 2025</w:t>
      </w:r>
    </w:p>
    <w:bookmarkEnd w:id="2"/>
    <w:p w14:paraId="7747BE6C" w14:textId="2CE37BBC" w:rsidR="003845C1" w:rsidRPr="00F16887" w:rsidRDefault="00EF529F" w:rsidP="00F16887">
      <w:pPr>
        <w:pStyle w:val="Title"/>
        <w:rPr>
          <w:lang w:val="fr-FR"/>
        </w:rPr>
      </w:pPr>
      <w:r w:rsidRPr="00F16887">
        <w:rPr>
          <w:lang w:val="fr-FR"/>
        </w:rPr>
        <w:t>Traité de coopération en matière de brevets (PCT)</w:t>
      </w:r>
      <w:r w:rsidRPr="00F16887">
        <w:rPr>
          <w:lang w:val="fr-FR"/>
        </w:rPr>
        <w:br/>
        <w:t>Comité de coopération technique</w:t>
      </w:r>
    </w:p>
    <w:p w14:paraId="16612328" w14:textId="65E6E2C8" w:rsidR="00FE19E9" w:rsidRPr="00F16887" w:rsidRDefault="00EF529F" w:rsidP="00F16887">
      <w:pPr>
        <w:outlineLvl w:val="1"/>
        <w:rPr>
          <w:b/>
          <w:sz w:val="24"/>
          <w:szCs w:val="24"/>
          <w:lang w:val="fr-FR"/>
        </w:rPr>
      </w:pPr>
      <w:r w:rsidRPr="00F16887">
        <w:rPr>
          <w:b/>
          <w:sz w:val="24"/>
          <w:szCs w:val="24"/>
          <w:lang w:val="fr-FR"/>
        </w:rPr>
        <w:t>Trente</w:t>
      </w:r>
      <w:r w:rsidR="00C95B35">
        <w:rPr>
          <w:b/>
          <w:sz w:val="24"/>
          <w:szCs w:val="24"/>
          <w:lang w:val="fr-FR"/>
        </w:rPr>
        <w:noBreakHyphen/>
      </w:r>
      <w:r w:rsidR="0068189D" w:rsidRPr="00F16887">
        <w:rPr>
          <w:b/>
          <w:sz w:val="24"/>
          <w:szCs w:val="24"/>
          <w:lang w:val="fr-FR"/>
        </w:rPr>
        <w:t>trois</w:t>
      </w:r>
      <w:r w:rsidR="00F16887">
        <w:rPr>
          <w:b/>
          <w:sz w:val="24"/>
          <w:szCs w:val="24"/>
          <w:lang w:val="fr-FR"/>
        </w:rPr>
        <w:t>ième session</w:t>
      </w:r>
    </w:p>
    <w:p w14:paraId="278E7AFE" w14:textId="4918085C" w:rsidR="008B2CC1" w:rsidRPr="00F16887" w:rsidRDefault="00EF529F" w:rsidP="00F16887">
      <w:pPr>
        <w:spacing w:after="720"/>
        <w:outlineLvl w:val="1"/>
        <w:rPr>
          <w:b/>
          <w:sz w:val="24"/>
          <w:szCs w:val="24"/>
          <w:lang w:val="fr-FR"/>
        </w:rPr>
      </w:pPr>
      <w:r w:rsidRPr="00F16887">
        <w:rPr>
          <w:b/>
          <w:sz w:val="24"/>
          <w:szCs w:val="24"/>
          <w:lang w:val="fr-FR"/>
        </w:rPr>
        <w:t xml:space="preserve">Genève, </w:t>
      </w:r>
      <w:r w:rsidR="0068189D" w:rsidRPr="00F16887">
        <w:rPr>
          <w:b/>
          <w:sz w:val="24"/>
          <w:szCs w:val="24"/>
          <w:lang w:val="fr-FR"/>
        </w:rPr>
        <w:t>2</w:t>
      </w:r>
      <w:r w:rsidRPr="00F16887">
        <w:rPr>
          <w:b/>
          <w:sz w:val="24"/>
          <w:szCs w:val="24"/>
          <w:lang w:val="fr-FR"/>
        </w:rPr>
        <w:t xml:space="preserve"> – </w:t>
      </w:r>
      <w:r w:rsidR="00F16887" w:rsidRPr="00F16887">
        <w:rPr>
          <w:b/>
          <w:sz w:val="24"/>
          <w:szCs w:val="24"/>
          <w:lang w:val="fr-FR"/>
        </w:rPr>
        <w:t>6</w:t>
      </w:r>
      <w:r w:rsidR="00F16887">
        <w:rPr>
          <w:b/>
          <w:sz w:val="24"/>
          <w:szCs w:val="24"/>
          <w:lang w:val="fr-FR"/>
        </w:rPr>
        <w:t> </w:t>
      </w:r>
      <w:r w:rsidR="00F16887" w:rsidRPr="00F16887">
        <w:rPr>
          <w:b/>
          <w:sz w:val="24"/>
          <w:szCs w:val="24"/>
          <w:lang w:val="fr-FR"/>
        </w:rPr>
        <w:t>février</w:t>
      </w:r>
      <w:r w:rsidR="0068189D" w:rsidRPr="00F16887">
        <w:rPr>
          <w:b/>
          <w:sz w:val="24"/>
          <w:szCs w:val="24"/>
          <w:lang w:val="fr-FR"/>
        </w:rPr>
        <w:t> </w:t>
      </w:r>
      <w:r w:rsidRPr="00F16887">
        <w:rPr>
          <w:b/>
          <w:sz w:val="24"/>
          <w:szCs w:val="24"/>
          <w:lang w:val="fr-FR"/>
        </w:rPr>
        <w:t>202</w:t>
      </w:r>
      <w:r w:rsidR="0068189D" w:rsidRPr="00F16887">
        <w:rPr>
          <w:b/>
          <w:sz w:val="24"/>
          <w:szCs w:val="24"/>
          <w:lang w:val="fr-FR"/>
        </w:rPr>
        <w:t>6</w:t>
      </w:r>
    </w:p>
    <w:p w14:paraId="56C3C9A4" w14:textId="2579F4CF" w:rsidR="001077E2" w:rsidRPr="00F16887" w:rsidRDefault="001077E2" w:rsidP="00F16887">
      <w:pPr>
        <w:spacing w:after="360"/>
        <w:outlineLvl w:val="0"/>
        <w:rPr>
          <w:caps/>
          <w:sz w:val="24"/>
          <w:lang w:val="fr-FR"/>
        </w:rPr>
      </w:pPr>
      <w:bookmarkStart w:id="3" w:name="TitleOfDoc"/>
      <w:r w:rsidRPr="00F16887">
        <w:rPr>
          <w:caps/>
          <w:sz w:val="24"/>
          <w:lang w:val="fr-FR"/>
        </w:rPr>
        <w:t>Nomination de l</w:t>
      </w:r>
      <w:r w:rsidR="00F16887">
        <w:rPr>
          <w:caps/>
          <w:sz w:val="24"/>
          <w:lang w:val="fr-FR"/>
        </w:rPr>
        <w:t>’</w:t>
      </w:r>
      <w:r w:rsidRPr="00F16887">
        <w:rPr>
          <w:caps/>
          <w:sz w:val="24"/>
          <w:lang w:val="fr-FR"/>
        </w:rPr>
        <w:t>Institut mexicain de la propriété industrielle en qualité d</w:t>
      </w:r>
      <w:r w:rsidR="00F16887">
        <w:rPr>
          <w:caps/>
          <w:sz w:val="24"/>
          <w:lang w:val="fr-FR"/>
        </w:rPr>
        <w:t>’</w:t>
      </w:r>
      <w:r w:rsidRPr="00F16887">
        <w:rPr>
          <w:caps/>
          <w:sz w:val="24"/>
          <w:lang w:val="fr-FR"/>
        </w:rPr>
        <w:t>administration chargée de la recherche internationale et de l</w:t>
      </w:r>
      <w:r w:rsidR="00F16887">
        <w:rPr>
          <w:caps/>
          <w:sz w:val="24"/>
          <w:lang w:val="fr-FR"/>
        </w:rPr>
        <w:t>’</w:t>
      </w:r>
      <w:r w:rsidRPr="00F16887">
        <w:rPr>
          <w:caps/>
          <w:sz w:val="24"/>
          <w:lang w:val="fr-FR"/>
        </w:rPr>
        <w:t>examen préliminaire international selon le</w:t>
      </w:r>
      <w:r w:rsidR="00F16887" w:rsidRPr="00F16887">
        <w:rPr>
          <w:caps/>
          <w:sz w:val="24"/>
          <w:lang w:val="fr-FR"/>
        </w:rPr>
        <w:t> </w:t>
      </w:r>
      <w:r w:rsidRPr="00F16887">
        <w:rPr>
          <w:caps/>
          <w:sz w:val="24"/>
          <w:lang w:val="fr-FR"/>
        </w:rPr>
        <w:t>PCT</w:t>
      </w:r>
    </w:p>
    <w:p w14:paraId="301B8CDE" w14:textId="77777777" w:rsidR="001077E2" w:rsidRPr="00F16887" w:rsidRDefault="001077E2" w:rsidP="00F16887">
      <w:pPr>
        <w:spacing w:after="1040"/>
        <w:rPr>
          <w:i/>
          <w:lang w:val="fr-FR"/>
        </w:rPr>
      </w:pPr>
      <w:bookmarkStart w:id="4" w:name="Prepared"/>
      <w:bookmarkEnd w:id="3"/>
      <w:bookmarkEnd w:id="4"/>
      <w:r w:rsidRPr="00F16887">
        <w:rPr>
          <w:i/>
          <w:lang w:val="fr-FR"/>
        </w:rPr>
        <w:t>Document établi par le Bureau international</w:t>
      </w:r>
    </w:p>
    <w:p w14:paraId="2BF7F6E4" w14:textId="6C573AA6" w:rsidR="001077E2" w:rsidRPr="00F16887" w:rsidRDefault="001077E2" w:rsidP="00F16887">
      <w:pPr>
        <w:pStyle w:val="ONUMFS"/>
        <w:rPr>
          <w:lang w:val="fr-FR"/>
        </w:rPr>
      </w:pPr>
      <w:r w:rsidRPr="00F16887">
        <w:rPr>
          <w:lang w:val="fr-FR"/>
        </w:rPr>
        <w:t>Le 2 </w:t>
      </w:r>
      <w:r w:rsidR="00F16887" w:rsidRPr="00F16887">
        <w:rPr>
          <w:lang w:val="fr-FR"/>
        </w:rPr>
        <w:t>décembre</w:t>
      </w:r>
      <w:r w:rsidR="00F16887">
        <w:rPr>
          <w:lang w:val="fr-FR"/>
        </w:rPr>
        <w:t> </w:t>
      </w:r>
      <w:r w:rsidR="00F16887" w:rsidRPr="00F16887">
        <w:rPr>
          <w:lang w:val="fr-FR"/>
        </w:rPr>
        <w:t>20</w:t>
      </w:r>
      <w:r w:rsidRPr="00F16887">
        <w:rPr>
          <w:lang w:val="fr-FR"/>
        </w:rPr>
        <w:t>25, conformément à l</w:t>
      </w:r>
      <w:r w:rsidR="00F16887">
        <w:rPr>
          <w:lang w:val="fr-FR"/>
        </w:rPr>
        <w:t>’</w:t>
      </w:r>
      <w:r w:rsidRPr="00F16887">
        <w:rPr>
          <w:lang w:val="fr-FR"/>
        </w:rPr>
        <w:t>alinéa e) des procédures établies dans l</w:t>
      </w:r>
      <w:r w:rsidR="00F16887">
        <w:rPr>
          <w:lang w:val="fr-FR"/>
        </w:rPr>
        <w:t>’</w:t>
      </w:r>
      <w:r w:rsidRPr="00F16887">
        <w:rPr>
          <w:lang w:val="fr-FR"/>
        </w:rPr>
        <w:t>accord de principe concernant les procédures de nomination des administrations internationales adopté par l</w:t>
      </w:r>
      <w:r w:rsidR="00F16887">
        <w:rPr>
          <w:lang w:val="fr-FR"/>
        </w:rPr>
        <w:t>’</w:t>
      </w:r>
      <w:r w:rsidRPr="00F16887">
        <w:rPr>
          <w:lang w:val="fr-FR"/>
        </w:rPr>
        <w:t>Assemblée de l</w:t>
      </w:r>
      <w:r w:rsidR="00F16887">
        <w:rPr>
          <w:lang w:val="fr-FR"/>
        </w:rPr>
        <w:t>’</w:t>
      </w:r>
      <w:r w:rsidRPr="00F16887">
        <w:rPr>
          <w:lang w:val="fr-FR"/>
        </w:rPr>
        <w:t>Union du PCT lors de sa quarante</w:t>
      </w:r>
      <w:r w:rsidR="00C95B35">
        <w:rPr>
          <w:lang w:val="fr-FR"/>
        </w:rPr>
        <w:noBreakHyphen/>
      </w:r>
      <w:r w:rsidRPr="00F16887">
        <w:rPr>
          <w:lang w:val="fr-FR"/>
        </w:rPr>
        <w:t>six</w:t>
      </w:r>
      <w:r w:rsidR="00F16887">
        <w:rPr>
          <w:lang w:val="fr-FR"/>
        </w:rPr>
        <w:t>ième session</w:t>
      </w:r>
      <w:r w:rsidRPr="00F16887">
        <w:rPr>
          <w:lang w:val="fr-FR"/>
        </w:rPr>
        <w:t xml:space="preserve"> tenue en septembre 2014, tel que modifié par l</w:t>
      </w:r>
      <w:r w:rsidR="00F16887">
        <w:rPr>
          <w:lang w:val="fr-FR"/>
        </w:rPr>
        <w:t>’</w:t>
      </w:r>
      <w:r w:rsidRPr="00F16887">
        <w:rPr>
          <w:lang w:val="fr-FR"/>
        </w:rPr>
        <w:t>assemblée à sa cinquant</w:t>
      </w:r>
      <w:r w:rsidR="00F16887">
        <w:rPr>
          <w:lang w:val="fr-FR"/>
        </w:rPr>
        <w:t>ième session</w:t>
      </w:r>
      <w:r w:rsidRPr="00F16887">
        <w:rPr>
          <w:lang w:val="fr-FR"/>
        </w:rPr>
        <w:t xml:space="preserve"> en 2018, l</w:t>
      </w:r>
      <w:r w:rsidR="00F16887">
        <w:rPr>
          <w:lang w:val="fr-FR"/>
        </w:rPr>
        <w:t>’</w:t>
      </w:r>
      <w:r w:rsidRPr="00F16887">
        <w:rPr>
          <w:lang w:val="fr-FR"/>
        </w:rPr>
        <w:t>Institut mexicain de la propriété industrielle (IMPI) a soumis sa candidature en vue d</w:t>
      </w:r>
      <w:r w:rsidR="00F16887">
        <w:rPr>
          <w:lang w:val="fr-FR"/>
        </w:rPr>
        <w:t>’</w:t>
      </w:r>
      <w:r w:rsidRPr="00F16887">
        <w:rPr>
          <w:lang w:val="fr-FR"/>
        </w:rPr>
        <w:t>obtenir une nomination en qualité d</w:t>
      </w:r>
      <w:r w:rsidR="00F16887">
        <w:rPr>
          <w:lang w:val="fr-FR"/>
        </w:rPr>
        <w:t>’</w:t>
      </w:r>
      <w:r w:rsidRPr="00F16887">
        <w:rPr>
          <w:lang w:val="fr-FR"/>
        </w:rPr>
        <w:t>administration chargée de la recherche internationale et de l</w:t>
      </w:r>
      <w:r w:rsidR="00F16887">
        <w:rPr>
          <w:lang w:val="fr-FR"/>
        </w:rPr>
        <w:t>’</w:t>
      </w:r>
      <w:r w:rsidRPr="00F16887">
        <w:rPr>
          <w:lang w:val="fr-FR"/>
        </w:rPr>
        <w:t>examen préliminaire internation</w:t>
      </w:r>
      <w:r w:rsidR="00C95B35" w:rsidRPr="00F16887">
        <w:rPr>
          <w:lang w:val="fr-FR"/>
        </w:rPr>
        <w:t>al</w:t>
      </w:r>
      <w:r w:rsidR="00C95B35">
        <w:rPr>
          <w:lang w:val="fr-FR"/>
        </w:rPr>
        <w:t xml:space="preserve">.  </w:t>
      </w:r>
      <w:r w:rsidR="00C95B35" w:rsidRPr="00F16887">
        <w:rPr>
          <w:lang w:val="fr-FR"/>
        </w:rPr>
        <w:t>Le</w:t>
      </w:r>
      <w:r w:rsidRPr="00F16887">
        <w:rPr>
          <w:lang w:val="fr-FR"/>
        </w:rPr>
        <w:t>s documents à l</w:t>
      </w:r>
      <w:r w:rsidR="00F16887">
        <w:rPr>
          <w:lang w:val="fr-FR"/>
        </w:rPr>
        <w:t>’</w:t>
      </w:r>
      <w:r w:rsidRPr="00F16887">
        <w:rPr>
          <w:lang w:val="fr-FR"/>
        </w:rPr>
        <w:t>appui de cette candidature sont présentés dans les annexes du présent docume</w:t>
      </w:r>
      <w:r w:rsidR="00C95B35" w:rsidRPr="00F16887">
        <w:rPr>
          <w:lang w:val="fr-FR"/>
        </w:rPr>
        <w:t>nt</w:t>
      </w:r>
      <w:r w:rsidR="00C95B35">
        <w:rPr>
          <w:lang w:val="fr-FR"/>
        </w:rPr>
        <w:t xml:space="preserve">.  </w:t>
      </w:r>
      <w:r w:rsidR="00C95B35" w:rsidRPr="00F16887">
        <w:rPr>
          <w:lang w:val="fr-FR"/>
        </w:rPr>
        <w:t>L</w:t>
      </w:r>
      <w:r w:rsidR="00C95B35">
        <w:rPr>
          <w:lang w:val="fr-FR"/>
        </w:rPr>
        <w:t>’</w:t>
      </w:r>
      <w:r w:rsidR="00C95B35" w:rsidRPr="00F16887">
        <w:rPr>
          <w:lang w:val="fr-FR"/>
        </w:rPr>
        <w:t>a</w:t>
      </w:r>
      <w:r w:rsidRPr="00F16887">
        <w:rPr>
          <w:lang w:val="fr-FR"/>
        </w:rPr>
        <w:t>nnexe I contient la candidature à la nomination de l</w:t>
      </w:r>
      <w:r w:rsidR="00F16887">
        <w:rPr>
          <w:lang w:val="fr-FR"/>
        </w:rPr>
        <w:t>’</w:t>
      </w:r>
      <w:r w:rsidRPr="00F16887">
        <w:rPr>
          <w:lang w:val="fr-FR"/>
        </w:rPr>
        <w:t>IMPI en qualité d</w:t>
      </w:r>
      <w:r w:rsidR="00F16887">
        <w:rPr>
          <w:lang w:val="fr-FR"/>
        </w:rPr>
        <w:t>’</w:t>
      </w:r>
      <w:r w:rsidRPr="00F16887">
        <w:rPr>
          <w:lang w:val="fr-FR"/>
        </w:rPr>
        <w:t>administration chargée de la recherche internationale et de l</w:t>
      </w:r>
      <w:r w:rsidR="00F16887">
        <w:rPr>
          <w:lang w:val="fr-FR"/>
        </w:rPr>
        <w:t>’</w:t>
      </w:r>
      <w:r w:rsidRPr="00F16887">
        <w:rPr>
          <w:lang w:val="fr-FR"/>
        </w:rPr>
        <w:t>examen préliminaire international;  l</w:t>
      </w:r>
      <w:r w:rsidR="00F16887">
        <w:rPr>
          <w:lang w:val="fr-FR"/>
        </w:rPr>
        <w:t>’</w:t>
      </w:r>
      <w:r w:rsidRPr="00F16887">
        <w:rPr>
          <w:lang w:val="fr-FR"/>
        </w:rPr>
        <w:t>annexe II contient le rapport de l</w:t>
      </w:r>
      <w:r w:rsidR="00F16887">
        <w:rPr>
          <w:lang w:val="fr-FR"/>
        </w:rPr>
        <w:t>’</w:t>
      </w:r>
      <w:r w:rsidRPr="00F16887">
        <w:rPr>
          <w:lang w:val="fr-FR"/>
        </w:rPr>
        <w:t>Office espagnol des brevets et des marques concernant la candidature à la nomination de l</w:t>
      </w:r>
      <w:r w:rsidR="00F16887">
        <w:rPr>
          <w:lang w:val="fr-FR"/>
        </w:rPr>
        <w:t>’</w:t>
      </w:r>
      <w:r w:rsidRPr="00F16887">
        <w:rPr>
          <w:lang w:val="fr-FR"/>
        </w:rPr>
        <w:t>IMPI en qualité d</w:t>
      </w:r>
      <w:r w:rsidR="00F16887">
        <w:rPr>
          <w:lang w:val="fr-FR"/>
        </w:rPr>
        <w:t>’</w:t>
      </w:r>
      <w:r w:rsidRPr="00F16887">
        <w:rPr>
          <w:lang w:val="fr-FR"/>
        </w:rPr>
        <w:t>administration chargée de la recherche internationale et d</w:t>
      </w:r>
      <w:r w:rsidR="00F16887">
        <w:rPr>
          <w:lang w:val="fr-FR"/>
        </w:rPr>
        <w:t>’</w:t>
      </w:r>
      <w:r w:rsidRPr="00F16887">
        <w:rPr>
          <w:lang w:val="fr-FR"/>
        </w:rPr>
        <w:t>administration chargée de l</w:t>
      </w:r>
      <w:r w:rsidR="00F16887">
        <w:rPr>
          <w:lang w:val="fr-FR"/>
        </w:rPr>
        <w:t>’</w:t>
      </w:r>
      <w:r w:rsidRPr="00F16887">
        <w:rPr>
          <w:lang w:val="fr-FR"/>
        </w:rPr>
        <w:t>examen préliminaire international.</w:t>
      </w:r>
    </w:p>
    <w:p w14:paraId="62C7654A" w14:textId="3B2A9607" w:rsidR="001077E2" w:rsidRPr="00F16887" w:rsidRDefault="001077E2" w:rsidP="00F16887">
      <w:pPr>
        <w:pStyle w:val="ONUMFS"/>
        <w:keepNext/>
        <w:rPr>
          <w:lang w:val="fr-FR"/>
        </w:rPr>
      </w:pPr>
      <w:r w:rsidRPr="00F16887">
        <w:rPr>
          <w:lang w:val="fr-FR"/>
        </w:rPr>
        <w:t>Comme l</w:t>
      </w:r>
      <w:r w:rsidR="00F16887">
        <w:rPr>
          <w:lang w:val="fr-FR"/>
        </w:rPr>
        <w:t>’</w:t>
      </w:r>
      <w:r w:rsidRPr="00F16887">
        <w:rPr>
          <w:lang w:val="fr-FR"/>
        </w:rPr>
        <w:t>exigent les articles 16.3.e) et 32.3) du Traité de coopération en matière de brevets (PCT), avant de prendre une décision quant à la nomination d</w:t>
      </w:r>
      <w:r w:rsidR="00F16887">
        <w:rPr>
          <w:lang w:val="fr-FR"/>
        </w:rPr>
        <w:t>’</w:t>
      </w:r>
      <w:r w:rsidRPr="00F16887">
        <w:rPr>
          <w:lang w:val="fr-FR"/>
        </w:rPr>
        <w:t>un office en qualité d</w:t>
      </w:r>
      <w:r w:rsidR="00F16887">
        <w:rPr>
          <w:lang w:val="fr-FR"/>
        </w:rPr>
        <w:t>’</w:t>
      </w:r>
      <w:r w:rsidRPr="00F16887">
        <w:rPr>
          <w:lang w:val="fr-FR"/>
        </w:rPr>
        <w:t>administration chargée de la recherche internationale et d</w:t>
      </w:r>
      <w:r w:rsidR="00F16887">
        <w:rPr>
          <w:lang w:val="fr-FR"/>
        </w:rPr>
        <w:t>’</w:t>
      </w:r>
      <w:r w:rsidRPr="00F16887">
        <w:rPr>
          <w:lang w:val="fr-FR"/>
        </w:rPr>
        <w:t>administration chargée de l</w:t>
      </w:r>
      <w:r w:rsidR="00F16887">
        <w:rPr>
          <w:lang w:val="fr-FR"/>
        </w:rPr>
        <w:t>’</w:t>
      </w:r>
      <w:r w:rsidRPr="00F16887">
        <w:rPr>
          <w:lang w:val="fr-FR"/>
        </w:rPr>
        <w:t>examen préliminaire international, l</w:t>
      </w:r>
      <w:r w:rsidR="00F16887">
        <w:rPr>
          <w:lang w:val="fr-FR"/>
        </w:rPr>
        <w:t>’</w:t>
      </w:r>
      <w:r w:rsidRPr="00F16887">
        <w:rPr>
          <w:lang w:val="fr-FR"/>
        </w:rPr>
        <w:t>assemblée doit entendre l</w:t>
      </w:r>
      <w:r w:rsidR="00F16887">
        <w:rPr>
          <w:lang w:val="fr-FR"/>
        </w:rPr>
        <w:t>’</w:t>
      </w:r>
      <w:r w:rsidRPr="00F16887">
        <w:rPr>
          <w:lang w:val="fr-FR"/>
        </w:rPr>
        <w:t>office ou l</w:t>
      </w:r>
      <w:r w:rsidR="00F16887">
        <w:rPr>
          <w:lang w:val="fr-FR"/>
        </w:rPr>
        <w:t>’</w:t>
      </w:r>
      <w:r w:rsidRPr="00F16887">
        <w:rPr>
          <w:lang w:val="fr-FR"/>
        </w:rPr>
        <w:t xml:space="preserve">organisation en cause et </w:t>
      </w:r>
      <w:r w:rsidRPr="00F16887">
        <w:rPr>
          <w:lang w:val="fr-FR"/>
        </w:rPr>
        <w:lastRenderedPageBreak/>
        <w:t>prendre l</w:t>
      </w:r>
      <w:r w:rsidR="00F16887">
        <w:rPr>
          <w:lang w:val="fr-FR"/>
        </w:rPr>
        <w:t>’</w:t>
      </w:r>
      <w:r w:rsidRPr="00F16887">
        <w:rPr>
          <w:lang w:val="fr-FR"/>
        </w:rPr>
        <w:t>avis du Comité de coopération techniq</w:t>
      </w:r>
      <w:r w:rsidR="00C95B35" w:rsidRPr="00F16887">
        <w:rPr>
          <w:lang w:val="fr-FR"/>
        </w:rPr>
        <w:t>ue</w:t>
      </w:r>
      <w:r w:rsidR="00C95B35">
        <w:rPr>
          <w:lang w:val="fr-FR"/>
        </w:rPr>
        <w:t xml:space="preserve">.  </w:t>
      </w:r>
      <w:r w:rsidR="00C95B35" w:rsidRPr="00F16887">
        <w:rPr>
          <w:lang w:val="fr-FR"/>
        </w:rPr>
        <w:t>Le</w:t>
      </w:r>
      <w:r w:rsidRPr="00F16887">
        <w:rPr>
          <w:lang w:val="fr-FR"/>
        </w:rPr>
        <w:t>s informations relatives à cette procédure ainsi qu</w:t>
      </w:r>
      <w:r w:rsidR="00F16887">
        <w:rPr>
          <w:lang w:val="fr-FR"/>
        </w:rPr>
        <w:t>’</w:t>
      </w:r>
      <w:r w:rsidRPr="00F16887">
        <w:rPr>
          <w:lang w:val="fr-FR"/>
        </w:rPr>
        <w:t xml:space="preserve">au rôle du comité figurent dans le </w:t>
      </w:r>
      <w:r w:rsidR="00F16887" w:rsidRPr="00F16887">
        <w:rPr>
          <w:lang w:val="fr-FR"/>
        </w:rPr>
        <w:t>document</w:t>
      </w:r>
      <w:r w:rsidR="00C95B35">
        <w:rPr>
          <w:lang w:val="fr-FR"/>
        </w:rPr>
        <w:t> </w:t>
      </w:r>
      <w:r w:rsidR="00F16887" w:rsidRPr="00F16887">
        <w:rPr>
          <w:lang w:val="fr-FR"/>
        </w:rPr>
        <w:t>PC</w:t>
      </w:r>
      <w:r w:rsidRPr="00F16887">
        <w:rPr>
          <w:lang w:val="fr-FR"/>
        </w:rPr>
        <w:t>T/CTC/33/INF/1.</w:t>
      </w:r>
    </w:p>
    <w:p w14:paraId="1685A745" w14:textId="77777777" w:rsidR="001077E2" w:rsidRPr="00F16887" w:rsidRDefault="001077E2" w:rsidP="00F16887">
      <w:pPr>
        <w:pStyle w:val="ONUMFS"/>
        <w:keepNext/>
        <w:ind w:left="5533"/>
        <w:rPr>
          <w:i/>
          <w:lang w:val="fr-FR"/>
        </w:rPr>
      </w:pPr>
      <w:r w:rsidRPr="00F16887">
        <w:rPr>
          <w:i/>
          <w:lang w:val="fr-FR"/>
        </w:rPr>
        <w:t>Le comité est invité à faire part de son avis sur cette question.</w:t>
      </w:r>
    </w:p>
    <w:p w14:paraId="206EBE50" w14:textId="1BAA3261" w:rsidR="001077E2" w:rsidRPr="00F16887" w:rsidRDefault="001077E2" w:rsidP="00F16887">
      <w:pPr>
        <w:pStyle w:val="Endofdocument-Annex"/>
        <w:sectPr w:rsidR="001077E2" w:rsidRPr="00F16887" w:rsidSect="00F16887">
          <w:headerReference w:type="default" r:id="rId9"/>
          <w:endnotePr>
            <w:numFmt w:val="decimal"/>
          </w:endnotePr>
          <w:pgSz w:w="11907" w:h="16840" w:code="9"/>
          <w:pgMar w:top="567" w:right="1134" w:bottom="1418" w:left="1418" w:header="510" w:footer="1021" w:gutter="0"/>
          <w:cols w:space="720"/>
          <w:titlePg/>
          <w:docGrid w:linePitch="299"/>
        </w:sectPr>
      </w:pPr>
      <w:r w:rsidRPr="00F16887">
        <w:t>[L</w:t>
      </w:r>
      <w:r w:rsidR="00F16887">
        <w:t>’</w:t>
      </w:r>
      <w:r w:rsidRPr="00F16887">
        <w:t>annexe I suit]</w:t>
      </w:r>
    </w:p>
    <w:p w14:paraId="5387B809" w14:textId="186E9C67" w:rsidR="001077E2" w:rsidRPr="00F16887" w:rsidRDefault="001077E2" w:rsidP="00F16887">
      <w:pPr>
        <w:pStyle w:val="Heading2"/>
        <w:jc w:val="center"/>
        <w:rPr>
          <w:lang w:val="fr-FR"/>
        </w:rPr>
      </w:pPr>
      <w:r w:rsidRPr="00F16887">
        <w:rPr>
          <w:lang w:val="fr-FR"/>
        </w:rPr>
        <w:lastRenderedPageBreak/>
        <w:t>Candidature à la nomination en qualité d</w:t>
      </w:r>
      <w:r w:rsidR="00F16887">
        <w:rPr>
          <w:lang w:val="fr-FR"/>
        </w:rPr>
        <w:t>’</w:t>
      </w:r>
      <w:r w:rsidRPr="00F16887">
        <w:rPr>
          <w:lang w:val="fr-FR"/>
        </w:rPr>
        <w:t>administration chargée de la recherche internationale et de l</w:t>
      </w:r>
      <w:r w:rsidR="00F16887">
        <w:rPr>
          <w:lang w:val="fr-FR"/>
        </w:rPr>
        <w:t>’</w:t>
      </w:r>
      <w:r w:rsidRPr="00F16887">
        <w:rPr>
          <w:lang w:val="fr-FR"/>
        </w:rPr>
        <w:t>examen préliminaire international selon le PCT</w:t>
      </w:r>
    </w:p>
    <w:p w14:paraId="18AC1B39" w14:textId="77777777" w:rsidR="001077E2" w:rsidRPr="00F16887" w:rsidRDefault="001077E2" w:rsidP="00F16887">
      <w:pPr>
        <w:pStyle w:val="SectionHeading"/>
        <w:spacing w:after="0"/>
        <w:rPr>
          <w:lang w:val="fr-FR"/>
        </w:rPr>
      </w:pPr>
      <w:r w:rsidRPr="00F16887">
        <w:rPr>
          <w:lang w:val="fr-FR"/>
        </w:rPr>
        <w:t>1 – Généralités</w:t>
      </w:r>
    </w:p>
    <w:p w14:paraId="0E5A8ADC" w14:textId="5BBFBE54" w:rsidR="00F16887" w:rsidRDefault="001077E2" w:rsidP="00F16887">
      <w:pPr>
        <w:pStyle w:val="Question"/>
        <w:spacing w:after="0"/>
      </w:pPr>
      <w:r w:rsidRPr="00F16887">
        <w:t>a)</w:t>
      </w:r>
      <w:r w:rsidRPr="00F16887">
        <w:tab/>
        <w:t>Nom de l</w:t>
      </w:r>
      <w:r w:rsidR="00F16887">
        <w:t>’</w:t>
      </w:r>
      <w:r w:rsidRPr="00F16887">
        <w:t>office ou de l</w:t>
      </w:r>
      <w:r w:rsidR="00F16887">
        <w:t>’</w:t>
      </w:r>
      <w:r w:rsidRPr="00F16887">
        <w:t>organisation intergouvernementale</w:t>
      </w:r>
      <w:r w:rsidR="00F16887">
        <w:t> :</w:t>
      </w:r>
    </w:p>
    <w:p w14:paraId="2C23E05A" w14:textId="30ECFAB4" w:rsidR="001077E2" w:rsidRPr="00F16887" w:rsidRDefault="001077E2" w:rsidP="00F16887">
      <w:pPr>
        <w:pStyle w:val="Question"/>
        <w:spacing w:after="0"/>
        <w:jc w:val="both"/>
        <w:rPr>
          <w:b w:val="0"/>
          <w:bCs w:val="0"/>
          <w:i/>
          <w:iCs/>
        </w:rPr>
      </w:pPr>
      <w:r w:rsidRPr="00F16887">
        <w:rPr>
          <w:b w:val="0"/>
        </w:rPr>
        <w:t>Institut mexicain de la propriété industrielle (IMPI).</w:t>
      </w:r>
    </w:p>
    <w:p w14:paraId="7762AEBD" w14:textId="77777777" w:rsidR="001077E2" w:rsidRPr="00F16887" w:rsidRDefault="001077E2" w:rsidP="00F16887">
      <w:pPr>
        <w:pStyle w:val="Question"/>
        <w:spacing w:after="0"/>
        <w:jc w:val="both"/>
        <w:rPr>
          <w:b w:val="0"/>
          <w:bCs w:val="0"/>
        </w:rPr>
      </w:pPr>
    </w:p>
    <w:p w14:paraId="1FD684E5" w14:textId="174694E4" w:rsidR="001077E2" w:rsidRPr="00F16887" w:rsidRDefault="001077E2" w:rsidP="00F16887">
      <w:pPr>
        <w:pStyle w:val="Question"/>
        <w:spacing w:after="0"/>
        <w:jc w:val="both"/>
        <w:rPr>
          <w:b w:val="0"/>
          <w:bCs w:val="0"/>
          <w:i/>
          <w:iCs/>
        </w:rPr>
      </w:pPr>
      <w:r w:rsidRPr="00F16887">
        <w:rPr>
          <w:b w:val="0"/>
        </w:rPr>
        <w:t>Le 10 décembre 1993, le décret établissant l</w:t>
      </w:r>
      <w:r w:rsidR="00F16887">
        <w:rPr>
          <w:b w:val="0"/>
        </w:rPr>
        <w:t>’</w:t>
      </w:r>
      <w:r w:rsidRPr="00F16887">
        <w:rPr>
          <w:b w:val="0"/>
        </w:rPr>
        <w:t>Institut mexicain de la propriété industrielle (IMPI), un organisme public décentralisé doté d</w:t>
      </w:r>
      <w:r w:rsidR="00F16887">
        <w:rPr>
          <w:b w:val="0"/>
        </w:rPr>
        <w:t>’</w:t>
      </w:r>
      <w:r w:rsidRPr="00F16887">
        <w:rPr>
          <w:b w:val="0"/>
        </w:rPr>
        <w:t>une personnalité juridique et qui dispose de ses propres actifs, a été publié au Journal officiel de la Fédération.</w:t>
      </w:r>
    </w:p>
    <w:p w14:paraId="03B4FEF7" w14:textId="77777777" w:rsidR="001077E2" w:rsidRPr="00F16887" w:rsidRDefault="001077E2" w:rsidP="00F16887">
      <w:pPr>
        <w:pStyle w:val="Question"/>
        <w:spacing w:after="0"/>
        <w:jc w:val="both"/>
        <w:rPr>
          <w:b w:val="0"/>
          <w:bCs w:val="0"/>
        </w:rPr>
      </w:pPr>
    </w:p>
    <w:p w14:paraId="51A5FEEE" w14:textId="3B649EA4" w:rsidR="001077E2" w:rsidRPr="00F16887" w:rsidRDefault="001077E2" w:rsidP="00F16887">
      <w:pPr>
        <w:pStyle w:val="Question"/>
        <w:spacing w:after="0"/>
        <w:jc w:val="both"/>
        <w:rPr>
          <w:b w:val="0"/>
          <w:bCs w:val="0"/>
        </w:rPr>
      </w:pPr>
      <w:r w:rsidRPr="00F16887">
        <w:rPr>
          <w:b w:val="0"/>
        </w:rPr>
        <w:t>Depuis lors, l</w:t>
      </w:r>
      <w:r w:rsidR="00F16887">
        <w:rPr>
          <w:b w:val="0"/>
        </w:rPr>
        <w:t>’</w:t>
      </w:r>
      <w:r w:rsidRPr="00F16887">
        <w:rPr>
          <w:b w:val="0"/>
        </w:rPr>
        <w:t>IMPI s</w:t>
      </w:r>
      <w:r w:rsidR="00F16887">
        <w:rPr>
          <w:b w:val="0"/>
        </w:rPr>
        <w:t>’</w:t>
      </w:r>
      <w:r w:rsidRPr="00F16887">
        <w:rPr>
          <w:b w:val="0"/>
        </w:rPr>
        <w:t>est professionnalisé afin de relever les défis liés à la protection de l</w:t>
      </w:r>
      <w:r w:rsidR="00F16887">
        <w:rPr>
          <w:b w:val="0"/>
        </w:rPr>
        <w:t>’</w:t>
      </w:r>
      <w:r w:rsidRPr="00F16887">
        <w:rPr>
          <w:b w:val="0"/>
        </w:rPr>
        <w:t>innovation au Mexique, d</w:t>
      </w:r>
      <w:r w:rsidR="00F16887">
        <w:rPr>
          <w:b w:val="0"/>
        </w:rPr>
        <w:t>’</w:t>
      </w:r>
      <w:r w:rsidRPr="00F16887">
        <w:rPr>
          <w:b w:val="0"/>
        </w:rPr>
        <w:t>accroître et de garantir la promotion de la propriété industrielle et d</w:t>
      </w:r>
      <w:r w:rsidR="00F16887">
        <w:rPr>
          <w:b w:val="0"/>
        </w:rPr>
        <w:t>’</w:t>
      </w:r>
      <w:r w:rsidRPr="00F16887">
        <w:rPr>
          <w:b w:val="0"/>
        </w:rPr>
        <w:t>améliorer ses services au profit des inventeurs et créateurs mexicains.</w:t>
      </w:r>
    </w:p>
    <w:p w14:paraId="6831C8F3" w14:textId="77777777" w:rsidR="001077E2" w:rsidRPr="00F16887" w:rsidRDefault="001077E2" w:rsidP="00F16887">
      <w:pPr>
        <w:pStyle w:val="Answer"/>
        <w:spacing w:after="0"/>
        <w:ind w:left="0"/>
        <w:jc w:val="both"/>
      </w:pPr>
    </w:p>
    <w:p w14:paraId="58F6FFF9" w14:textId="71B8C75C" w:rsidR="001077E2" w:rsidRPr="00F16887" w:rsidRDefault="001077E2" w:rsidP="00F16887">
      <w:pPr>
        <w:pStyle w:val="Question"/>
        <w:spacing w:after="0"/>
        <w:jc w:val="both"/>
        <w:rPr>
          <w:b w:val="0"/>
          <w:bCs w:val="0"/>
        </w:rPr>
      </w:pPr>
      <w:r w:rsidRPr="00F16887">
        <w:rPr>
          <w:b w:val="0"/>
        </w:rPr>
        <w:t>L</w:t>
      </w:r>
      <w:r w:rsidR="00F16887">
        <w:rPr>
          <w:b w:val="0"/>
        </w:rPr>
        <w:t>’</w:t>
      </w:r>
      <w:r w:rsidRPr="00F16887">
        <w:rPr>
          <w:b w:val="0"/>
        </w:rPr>
        <w:t>IMPI s</w:t>
      </w:r>
      <w:r w:rsidR="00F16887">
        <w:rPr>
          <w:b w:val="0"/>
        </w:rPr>
        <w:t>’</w:t>
      </w:r>
      <w:r w:rsidRPr="00F16887">
        <w:rPr>
          <w:b w:val="0"/>
        </w:rPr>
        <w:t>est imposé comme un office de référence international en favorisant un meilleur accès aux outils dans l</w:t>
      </w:r>
      <w:r w:rsidR="00F16887">
        <w:rPr>
          <w:b w:val="0"/>
        </w:rPr>
        <w:t>’</w:t>
      </w:r>
      <w:r w:rsidRPr="00F16887">
        <w:rPr>
          <w:b w:val="0"/>
        </w:rPr>
        <w:t>intérêt des utilisateu</w:t>
      </w:r>
      <w:r w:rsidR="00C95B35" w:rsidRPr="00F16887">
        <w:rPr>
          <w:b w:val="0"/>
        </w:rPr>
        <w:t>rs</w:t>
      </w:r>
      <w:r w:rsidR="00C95B35">
        <w:rPr>
          <w:b w:val="0"/>
        </w:rPr>
        <w:t xml:space="preserve">.  </w:t>
      </w:r>
      <w:r w:rsidR="00C95B35" w:rsidRPr="00F16887">
        <w:rPr>
          <w:b w:val="0"/>
        </w:rPr>
        <w:t>Le</w:t>
      </w:r>
      <w:r w:rsidRPr="00F16887">
        <w:rPr>
          <w:b w:val="0"/>
        </w:rPr>
        <w:t xml:space="preserve"> Mexique fait partie de quatre systèmes internationaux de protection de la propriété industrielle</w:t>
      </w:r>
      <w:r w:rsidR="00F16887">
        <w:rPr>
          <w:b w:val="0"/>
        </w:rPr>
        <w:t> :</w:t>
      </w:r>
      <w:r w:rsidRPr="00F16887">
        <w:rPr>
          <w:b w:val="0"/>
        </w:rPr>
        <w:t xml:space="preserve"> le Protocole de Madrid (marques), le Traité de coopération en matière de brevets (PCT), l</w:t>
      </w:r>
      <w:r w:rsidR="00F16887">
        <w:rPr>
          <w:b w:val="0"/>
        </w:rPr>
        <w:t>’</w:t>
      </w:r>
      <w:r w:rsidRPr="00F16887">
        <w:rPr>
          <w:b w:val="0"/>
        </w:rPr>
        <w:t>Arrangement de Lisbonne (appellations d</w:t>
      </w:r>
      <w:r w:rsidR="00F16887">
        <w:rPr>
          <w:b w:val="0"/>
        </w:rPr>
        <w:t>’</w:t>
      </w:r>
      <w:r w:rsidRPr="00F16887">
        <w:rPr>
          <w:b w:val="0"/>
        </w:rPr>
        <w:t>origine) et l</w:t>
      </w:r>
      <w:r w:rsidR="00F16887">
        <w:rPr>
          <w:b w:val="0"/>
        </w:rPr>
        <w:t>’</w:t>
      </w:r>
      <w:r w:rsidRPr="00F16887">
        <w:rPr>
          <w:b w:val="0"/>
        </w:rPr>
        <w:t xml:space="preserve">Arrangement de </w:t>
      </w:r>
      <w:r w:rsidR="00F16887">
        <w:rPr>
          <w:b w:val="0"/>
        </w:rPr>
        <w:t>La Haye</w:t>
      </w:r>
      <w:r w:rsidRPr="00F16887">
        <w:rPr>
          <w:b w:val="0"/>
        </w:rPr>
        <w:t xml:space="preserve"> (dessins et modèles industriels).</w:t>
      </w:r>
    </w:p>
    <w:p w14:paraId="16C6CA4D" w14:textId="77777777" w:rsidR="001077E2" w:rsidRPr="00F16887" w:rsidRDefault="001077E2" w:rsidP="00F16887">
      <w:pPr>
        <w:pStyle w:val="Answer"/>
        <w:spacing w:after="0"/>
        <w:ind w:left="0"/>
        <w:rPr>
          <w:b/>
          <w:bCs/>
        </w:rPr>
      </w:pPr>
    </w:p>
    <w:p w14:paraId="634BB374" w14:textId="6B9FB5C9" w:rsidR="001077E2" w:rsidRPr="00F16887" w:rsidRDefault="001077E2" w:rsidP="00F16887">
      <w:pPr>
        <w:pStyle w:val="Question"/>
        <w:spacing w:after="0"/>
      </w:pPr>
      <w:r w:rsidRPr="00F16887">
        <w:t>b)</w:t>
      </w:r>
      <w:r w:rsidRPr="00F16887">
        <w:tab/>
        <w:t>Date à laquelle le Directeur général a reçu la demande</w:t>
      </w:r>
      <w:r w:rsidR="00F16887">
        <w:t> :</w:t>
      </w:r>
    </w:p>
    <w:p w14:paraId="6A304DEB" w14:textId="77777777" w:rsidR="001077E2" w:rsidRPr="00F16887" w:rsidRDefault="001077E2" w:rsidP="00F16887">
      <w:pPr>
        <w:pStyle w:val="Answer"/>
        <w:spacing w:after="0"/>
        <w:ind w:left="0"/>
      </w:pPr>
    </w:p>
    <w:p w14:paraId="5A2A15F9" w14:textId="1C562193" w:rsidR="001077E2" w:rsidRPr="00F16887" w:rsidRDefault="001077E2" w:rsidP="00F16887">
      <w:pPr>
        <w:pStyle w:val="Answer"/>
        <w:spacing w:after="0"/>
        <w:ind w:left="0"/>
        <w:rPr>
          <w:iCs/>
        </w:rPr>
      </w:pPr>
      <w:r w:rsidRPr="00F16887">
        <w:t>2 </w:t>
      </w:r>
      <w:r w:rsidR="00F16887" w:rsidRPr="00F16887">
        <w:t>décembre</w:t>
      </w:r>
      <w:r w:rsidR="00F16887">
        <w:t> </w:t>
      </w:r>
      <w:r w:rsidR="00F16887" w:rsidRPr="00F16887">
        <w:t>20</w:t>
      </w:r>
      <w:r w:rsidRPr="00F16887">
        <w:t>25</w:t>
      </w:r>
    </w:p>
    <w:p w14:paraId="1B99D6FD" w14:textId="77777777" w:rsidR="001077E2" w:rsidRPr="00F16887" w:rsidRDefault="001077E2" w:rsidP="00F16887">
      <w:pPr>
        <w:pStyle w:val="Answer"/>
        <w:spacing w:after="0"/>
        <w:ind w:left="0"/>
        <w:rPr>
          <w:i/>
        </w:rPr>
      </w:pPr>
    </w:p>
    <w:p w14:paraId="77D9601A" w14:textId="635AE000" w:rsidR="001077E2" w:rsidRPr="00F16887" w:rsidRDefault="001077E2" w:rsidP="00F16887">
      <w:pPr>
        <w:pStyle w:val="Question"/>
        <w:spacing w:after="0"/>
      </w:pPr>
      <w:r w:rsidRPr="00F16887">
        <w:t>c)</w:t>
      </w:r>
      <w:r w:rsidRPr="00F16887">
        <w:tab/>
        <w:t>Session de l</w:t>
      </w:r>
      <w:r w:rsidR="00F16887">
        <w:t>’</w:t>
      </w:r>
      <w:r w:rsidRPr="00F16887">
        <w:t>assemblée à laquelle la nomination sera demandée</w:t>
      </w:r>
      <w:r w:rsidR="00F16887">
        <w:t> :</w:t>
      </w:r>
    </w:p>
    <w:p w14:paraId="6948CE7D" w14:textId="77777777" w:rsidR="001077E2" w:rsidRPr="00F16887" w:rsidRDefault="001077E2" w:rsidP="00C95B35">
      <w:pPr>
        <w:pStyle w:val="Answer"/>
        <w:spacing w:after="0"/>
        <w:ind w:left="0"/>
      </w:pPr>
    </w:p>
    <w:p w14:paraId="292673CB" w14:textId="5029DCBC" w:rsidR="001077E2" w:rsidRPr="00F16887" w:rsidRDefault="001077E2" w:rsidP="00F16887">
      <w:pPr>
        <w:pStyle w:val="Answer"/>
        <w:spacing w:after="0"/>
        <w:ind w:left="0"/>
      </w:pPr>
      <w:r w:rsidRPr="00F16887">
        <w:t>Soixante</w:t>
      </w:r>
      <w:r w:rsidR="00C95B35">
        <w:noBreakHyphen/>
      </w:r>
      <w:r w:rsidRPr="00F16887">
        <w:t>huitième série de réunions (juillet 2026).</w:t>
      </w:r>
    </w:p>
    <w:p w14:paraId="4334F92E" w14:textId="77777777" w:rsidR="001077E2" w:rsidRPr="00F16887" w:rsidRDefault="001077E2" w:rsidP="00F16887">
      <w:pPr>
        <w:pStyle w:val="Answer"/>
        <w:spacing w:after="0"/>
        <w:ind w:left="0"/>
      </w:pPr>
    </w:p>
    <w:p w14:paraId="624829A8" w14:textId="09324D91" w:rsidR="001077E2" w:rsidRPr="00F16887" w:rsidRDefault="001077E2" w:rsidP="00F16887">
      <w:pPr>
        <w:pStyle w:val="Question"/>
      </w:pPr>
      <w:r w:rsidRPr="00F16887">
        <w:t>d)</w:t>
      </w:r>
      <w:r w:rsidRPr="00F16887">
        <w:tab/>
        <w:t>Date à laquelle l</w:t>
      </w:r>
      <w:r w:rsidR="00F16887">
        <w:t>’</w:t>
      </w:r>
      <w:r w:rsidRPr="00F16887">
        <w:t>office pourrait commencer à agir en qualité d</w:t>
      </w:r>
      <w:r w:rsidR="00F16887">
        <w:t>’</w:t>
      </w:r>
      <w:r w:rsidRPr="00F16887">
        <w:t>administration chargée de la recherche internationale et de l</w:t>
      </w:r>
      <w:r w:rsidR="00F16887">
        <w:t>’</w:t>
      </w:r>
      <w:r w:rsidRPr="00F16887">
        <w:t>examen préliminaire international</w:t>
      </w:r>
      <w:r w:rsidR="00F16887">
        <w:t> :</w:t>
      </w:r>
    </w:p>
    <w:p w14:paraId="05730AF8" w14:textId="61C44EE4" w:rsidR="001077E2" w:rsidRPr="00F16887" w:rsidRDefault="001077E2" w:rsidP="00F16887">
      <w:pPr>
        <w:pStyle w:val="Answer"/>
        <w:spacing w:after="0"/>
        <w:ind w:left="0"/>
      </w:pPr>
      <w:r w:rsidRPr="00F16887">
        <w:t>Janvier 2027 (date provisoire pour l</w:t>
      </w:r>
      <w:r w:rsidR="00F16887">
        <w:t>’</w:t>
      </w:r>
      <w:r w:rsidRPr="00F16887">
        <w:t>IMPI).</w:t>
      </w:r>
    </w:p>
    <w:p w14:paraId="29788604" w14:textId="77777777" w:rsidR="001077E2" w:rsidRPr="00F16887" w:rsidRDefault="001077E2" w:rsidP="00F16887">
      <w:pPr>
        <w:pStyle w:val="Answer"/>
        <w:spacing w:after="0"/>
        <w:ind w:left="0"/>
      </w:pPr>
    </w:p>
    <w:p w14:paraId="0FBA0A98" w14:textId="527C1DCE" w:rsidR="001077E2" w:rsidRPr="00F16887" w:rsidRDefault="001077E2" w:rsidP="00F16887">
      <w:pPr>
        <w:pStyle w:val="Question"/>
      </w:pPr>
      <w:r w:rsidRPr="00F16887">
        <w:t>e)</w:t>
      </w:r>
      <w:r w:rsidRPr="00F16887">
        <w:tab/>
        <w:t>Administrations actuellement chargées de la recherche internationale et de l</w:t>
      </w:r>
      <w:r w:rsidR="00F16887">
        <w:t>’</w:t>
      </w:r>
      <w:r w:rsidRPr="00F16887">
        <w:t>examen préliminaire international qui prêtent leur concours à l</w:t>
      </w:r>
      <w:r w:rsidR="00F16887">
        <w:t>’</w:t>
      </w:r>
      <w:r w:rsidRPr="00F16887">
        <w:t>évaluation de la mesure dans laquelle les critères sont remplis</w:t>
      </w:r>
      <w:r w:rsidR="00F16887">
        <w:t> :</w:t>
      </w:r>
    </w:p>
    <w:p w14:paraId="6F35131A" w14:textId="77777777" w:rsidR="001077E2" w:rsidRPr="00F16887" w:rsidRDefault="001077E2" w:rsidP="00F16887">
      <w:pPr>
        <w:pStyle w:val="Answer"/>
        <w:spacing w:after="0"/>
        <w:ind w:left="0"/>
      </w:pPr>
      <w:r w:rsidRPr="00F16887">
        <w:t>Office espagnol des brevets et des marques (OEPM).</w:t>
      </w:r>
    </w:p>
    <w:p w14:paraId="622ABAE3" w14:textId="77777777" w:rsidR="001077E2" w:rsidRPr="00F16887" w:rsidRDefault="001077E2" w:rsidP="00F16887">
      <w:pPr>
        <w:pStyle w:val="SectionHeading"/>
        <w:spacing w:after="0"/>
        <w:rPr>
          <w:lang w:val="fr-FR"/>
        </w:rPr>
      </w:pPr>
      <w:r w:rsidRPr="00F16887">
        <w:rPr>
          <w:lang w:val="fr-FR"/>
        </w:rPr>
        <w:lastRenderedPageBreak/>
        <w:t>2 – Exigences minimales applicables à la nomination</w:t>
      </w:r>
    </w:p>
    <w:p w14:paraId="1C508CC7" w14:textId="1B5194FA" w:rsidR="001077E2" w:rsidRPr="00F16887" w:rsidRDefault="001077E2" w:rsidP="00F16887">
      <w:pPr>
        <w:pStyle w:val="SectionHeading"/>
        <w:spacing w:before="0" w:after="0" w:line="240" w:lineRule="auto"/>
        <w:rPr>
          <w:lang w:val="fr-FR"/>
        </w:rPr>
      </w:pPr>
      <w:r w:rsidRPr="00F16887">
        <w:rPr>
          <w:lang w:val="fr-FR"/>
        </w:rPr>
        <w:t xml:space="preserve">2.1. </w:t>
      </w:r>
      <w:r w:rsidR="00B22F9C">
        <w:rPr>
          <w:lang w:val="fr-FR"/>
        </w:rPr>
        <w:t xml:space="preserve"> </w:t>
      </w:r>
      <w:r w:rsidRPr="00F16887">
        <w:rPr>
          <w:lang w:val="fr-FR"/>
        </w:rPr>
        <w:t>Capacité en matière de recherche et d</w:t>
      </w:r>
      <w:r w:rsidR="00F16887">
        <w:rPr>
          <w:lang w:val="fr-FR"/>
        </w:rPr>
        <w:t>’</w:t>
      </w:r>
      <w:r w:rsidRPr="00F16887">
        <w:rPr>
          <w:lang w:val="fr-FR"/>
        </w:rPr>
        <w:t>examen</w:t>
      </w:r>
    </w:p>
    <w:p w14:paraId="593580DD" w14:textId="77777777" w:rsidR="001077E2" w:rsidRPr="00F16887" w:rsidRDefault="001077E2" w:rsidP="00C95B35">
      <w:pPr>
        <w:keepNext/>
        <w:jc w:val="both"/>
        <w:rPr>
          <w:i/>
          <w:iCs/>
          <w:lang w:val="fr-FR"/>
        </w:rPr>
      </w:pPr>
    </w:p>
    <w:p w14:paraId="749D7E91" w14:textId="4AB052A6" w:rsidR="001077E2" w:rsidRPr="00F16887" w:rsidRDefault="001077E2" w:rsidP="00F16887">
      <w:pPr>
        <w:pStyle w:val="RuleQuote"/>
      </w:pPr>
      <w:r w:rsidRPr="00F16887">
        <w:t>Règles 36.1.i) et 63.1.i)</w:t>
      </w:r>
      <w:r w:rsidR="00F16887">
        <w:t> :</w:t>
      </w:r>
      <w:r w:rsidRPr="00F16887">
        <w:t xml:space="preserve"> L</w:t>
      </w:r>
      <w:r w:rsidR="00F16887">
        <w:t>’</w:t>
      </w:r>
      <w:r w:rsidRPr="00F16887">
        <w:t>office national ou l</w:t>
      </w:r>
      <w:r w:rsidR="00F16887">
        <w:t>’</w:t>
      </w:r>
      <w:r w:rsidRPr="00F16887">
        <w:t>organisation intergouvernementale doit avoir au moins cent employés à plein temps possédant des qualifications techniques suffisantes pour procéder aux recherches et aux examens.</w:t>
      </w:r>
    </w:p>
    <w:p w14:paraId="590D6A2C" w14:textId="525342BE" w:rsidR="001077E2" w:rsidRPr="00F16887" w:rsidRDefault="001077E2" w:rsidP="00F16887">
      <w:pPr>
        <w:pStyle w:val="Question"/>
        <w:spacing w:after="0"/>
      </w:pPr>
      <w:r w:rsidRPr="00F16887">
        <w:t>a)</w:t>
      </w:r>
      <w:r w:rsidRPr="00F16887">
        <w:tab/>
        <w:t>Employés qualifiés pour procéder à la recherche et à l</w:t>
      </w:r>
      <w:r w:rsidR="00F16887">
        <w:t>’</w:t>
      </w:r>
      <w:r w:rsidRPr="00F16887">
        <w:t>examen</w:t>
      </w:r>
      <w:r w:rsidR="00F16887">
        <w:t> :</w:t>
      </w:r>
    </w:p>
    <w:p w14:paraId="54303DAF" w14:textId="724C55EA" w:rsidR="00F16887" w:rsidRDefault="001077E2" w:rsidP="00C95B35">
      <w:pPr>
        <w:keepLines/>
        <w:jc w:val="both"/>
        <w:rPr>
          <w:lang w:val="fr-FR"/>
        </w:rPr>
      </w:pPr>
      <w:r w:rsidRPr="00F16887">
        <w:rPr>
          <w:lang w:val="fr-FR"/>
        </w:rPr>
        <w:t>À l</w:t>
      </w:r>
      <w:r w:rsidR="00F16887">
        <w:rPr>
          <w:lang w:val="fr-FR"/>
        </w:rPr>
        <w:t>’</w:t>
      </w:r>
      <w:r w:rsidRPr="00F16887">
        <w:rPr>
          <w:lang w:val="fr-FR"/>
        </w:rPr>
        <w:t>heure actuelle, la Division des brevets compte deux sous</w:t>
      </w:r>
      <w:r w:rsidR="00C95B35">
        <w:rPr>
          <w:lang w:val="fr-FR"/>
        </w:rPr>
        <w:noBreakHyphen/>
      </w:r>
      <w:r w:rsidRPr="00F16887">
        <w:rPr>
          <w:lang w:val="fr-FR"/>
        </w:rPr>
        <w:t>divisions pour l</w:t>
      </w:r>
      <w:r w:rsidR="00F16887">
        <w:rPr>
          <w:lang w:val="fr-FR"/>
        </w:rPr>
        <w:t>’</w:t>
      </w:r>
      <w:r w:rsidRPr="00F16887">
        <w:rPr>
          <w:lang w:val="fr-FR"/>
        </w:rPr>
        <w:t>examen quant au fond, consistant en cinq unités de coordination pour l</w:t>
      </w:r>
      <w:r w:rsidR="00F16887">
        <w:rPr>
          <w:lang w:val="fr-FR"/>
        </w:rPr>
        <w:t>’</w:t>
      </w:r>
      <w:r w:rsidRPr="00F16887">
        <w:rPr>
          <w:lang w:val="fr-FR"/>
        </w:rPr>
        <w:t>examen quant au fond des brevets, des modèles d</w:t>
      </w:r>
      <w:r w:rsidR="00F16887">
        <w:rPr>
          <w:lang w:val="fr-FR"/>
        </w:rPr>
        <w:t>’</w:t>
      </w:r>
      <w:r w:rsidRPr="00F16887">
        <w:rPr>
          <w:lang w:val="fr-FR"/>
        </w:rPr>
        <w:t>utilité et des dessins et modèles industriels, en fonction des domaines techniques que ceux</w:t>
      </w:r>
      <w:r w:rsidR="00C95B35">
        <w:rPr>
          <w:lang w:val="fr-FR"/>
        </w:rPr>
        <w:noBreakHyphen/>
      </w:r>
      <w:r w:rsidRPr="00F16887">
        <w:rPr>
          <w:lang w:val="fr-FR"/>
        </w:rPr>
        <w:t>ci couvrent</w:t>
      </w:r>
      <w:r w:rsidR="00F16887">
        <w:rPr>
          <w:lang w:val="fr-FR"/>
        </w:rPr>
        <w:t> :</w:t>
      </w:r>
    </w:p>
    <w:p w14:paraId="411C85AA" w14:textId="428DC7A1" w:rsidR="001077E2" w:rsidRPr="00C95B35" w:rsidRDefault="001077E2" w:rsidP="00C95B35">
      <w:pPr>
        <w:jc w:val="both"/>
      </w:pPr>
    </w:p>
    <w:p w14:paraId="0087CEFC" w14:textId="5EFD4DC5" w:rsidR="00F16887" w:rsidRDefault="001077E2" w:rsidP="00C95B35">
      <w:pPr>
        <w:pStyle w:val="ListParagraph"/>
        <w:numPr>
          <w:ilvl w:val="0"/>
          <w:numId w:val="9"/>
        </w:numPr>
        <w:ind w:left="1134" w:hanging="567"/>
        <w:contextualSpacing w:val="0"/>
        <w:jc w:val="both"/>
      </w:pPr>
      <w:bookmarkStart w:id="5" w:name="_Hlk210299785"/>
      <w:r w:rsidRPr="00F16887">
        <w:t>unité de coordination d</w:t>
      </w:r>
      <w:r w:rsidR="00F16887">
        <w:t>’</w:t>
      </w:r>
      <w:r w:rsidRPr="00F16887">
        <w:t>examen quant au fond des brevets, domaine mécanique</w:t>
      </w:r>
      <w:bookmarkEnd w:id="5"/>
      <w:r w:rsidRPr="00F16887">
        <w:t>;</w:t>
      </w:r>
    </w:p>
    <w:p w14:paraId="0F7BE454" w14:textId="793D3385" w:rsidR="001077E2" w:rsidRPr="00F16887" w:rsidRDefault="001077E2" w:rsidP="00C95B35">
      <w:pPr>
        <w:pStyle w:val="ListParagraph"/>
        <w:numPr>
          <w:ilvl w:val="0"/>
          <w:numId w:val="9"/>
        </w:numPr>
        <w:ind w:left="1134" w:hanging="567"/>
        <w:contextualSpacing w:val="0"/>
        <w:jc w:val="both"/>
      </w:pPr>
      <w:r w:rsidRPr="00F16887">
        <w:t>unité de coordination d</w:t>
      </w:r>
      <w:r w:rsidR="00F16887">
        <w:t>’</w:t>
      </w:r>
      <w:r w:rsidRPr="00F16887">
        <w:t>examen quant au fond des brevets, domaine électrique;</w:t>
      </w:r>
    </w:p>
    <w:p w14:paraId="580BE4A3" w14:textId="424B0D3D" w:rsidR="00F16887" w:rsidRDefault="001077E2" w:rsidP="00C95B35">
      <w:pPr>
        <w:pStyle w:val="ListParagraph"/>
        <w:numPr>
          <w:ilvl w:val="0"/>
          <w:numId w:val="9"/>
        </w:numPr>
        <w:ind w:left="1134" w:hanging="567"/>
        <w:contextualSpacing w:val="0"/>
        <w:jc w:val="both"/>
      </w:pPr>
      <w:r w:rsidRPr="00F16887">
        <w:t>unité de coordination d</w:t>
      </w:r>
      <w:r w:rsidR="00F16887">
        <w:t>’</w:t>
      </w:r>
      <w:r w:rsidRPr="00F16887">
        <w:t>examen quant au fond des brevets, domaine de la chimie;</w:t>
      </w:r>
    </w:p>
    <w:p w14:paraId="70CF5F90" w14:textId="5E2A6DD6" w:rsidR="001077E2" w:rsidRPr="00F16887" w:rsidRDefault="001077E2" w:rsidP="00C95B35">
      <w:pPr>
        <w:pStyle w:val="ListParagraph"/>
        <w:numPr>
          <w:ilvl w:val="0"/>
          <w:numId w:val="9"/>
        </w:numPr>
        <w:ind w:left="1134" w:hanging="567"/>
        <w:contextualSpacing w:val="0"/>
        <w:jc w:val="both"/>
      </w:pPr>
      <w:r w:rsidRPr="00F16887">
        <w:t>unité de coordination d</w:t>
      </w:r>
      <w:r w:rsidR="00F16887">
        <w:t>’</w:t>
      </w:r>
      <w:r w:rsidRPr="00F16887">
        <w:t>examen quant au fond des brevets, domaine pharmaceutique;</w:t>
      </w:r>
    </w:p>
    <w:p w14:paraId="08FB09A7" w14:textId="39DCFCC7" w:rsidR="00F16887" w:rsidRDefault="001077E2" w:rsidP="00C95B35">
      <w:pPr>
        <w:pStyle w:val="ListParagraph"/>
        <w:numPr>
          <w:ilvl w:val="0"/>
          <w:numId w:val="9"/>
        </w:numPr>
        <w:ind w:left="1134" w:hanging="567"/>
        <w:contextualSpacing w:val="0"/>
        <w:jc w:val="both"/>
      </w:pPr>
      <w:r w:rsidRPr="00F16887">
        <w:t>unité de coordination d</w:t>
      </w:r>
      <w:r w:rsidR="00F16887">
        <w:t>’</w:t>
      </w:r>
      <w:r w:rsidRPr="00F16887">
        <w:t>examen quant au fond des brevets, domaine de la biotechnologie.</w:t>
      </w:r>
    </w:p>
    <w:p w14:paraId="22F0D37B" w14:textId="5B4F36ED" w:rsidR="001077E2" w:rsidRPr="00F16887" w:rsidRDefault="001077E2" w:rsidP="00F16887">
      <w:pPr>
        <w:jc w:val="both"/>
        <w:rPr>
          <w:lang w:val="fr-FR"/>
        </w:rPr>
      </w:pPr>
    </w:p>
    <w:p w14:paraId="0BEDE569" w14:textId="47996D67" w:rsidR="001077E2" w:rsidRPr="00F16887" w:rsidRDefault="001077E2" w:rsidP="00F16887">
      <w:pPr>
        <w:jc w:val="both"/>
        <w:rPr>
          <w:lang w:val="fr-FR"/>
        </w:rPr>
      </w:pPr>
      <w:r w:rsidRPr="00F16887">
        <w:rPr>
          <w:lang w:val="fr-FR"/>
        </w:rPr>
        <w:t>Au total, les équipes chargées de la coordination de l</w:t>
      </w:r>
      <w:r w:rsidR="00F16887">
        <w:rPr>
          <w:lang w:val="fr-FR"/>
        </w:rPr>
        <w:t>’</w:t>
      </w:r>
      <w:r w:rsidRPr="00F16887">
        <w:rPr>
          <w:lang w:val="fr-FR"/>
        </w:rPr>
        <w:t>examen quant au fond des brevets et des modèles d</w:t>
      </w:r>
      <w:r w:rsidR="00F16887">
        <w:rPr>
          <w:lang w:val="fr-FR"/>
        </w:rPr>
        <w:t>’</w:t>
      </w:r>
      <w:r w:rsidRPr="00F16887">
        <w:rPr>
          <w:lang w:val="fr-FR"/>
        </w:rPr>
        <w:t>utilité comptent 181 examinateurs quant au fond qui travaillent à plein temps à des tâches de recherche et d</w:t>
      </w:r>
      <w:r w:rsidR="00F16887">
        <w:rPr>
          <w:lang w:val="fr-FR"/>
        </w:rPr>
        <w:t>’</w:t>
      </w:r>
      <w:r w:rsidRPr="00F16887">
        <w:rPr>
          <w:lang w:val="fr-FR"/>
        </w:rPr>
        <w:t>examen, 10 superviseurs de secteur qui supervisent le travail d</w:t>
      </w:r>
      <w:r w:rsidR="00F16887">
        <w:rPr>
          <w:lang w:val="fr-FR"/>
        </w:rPr>
        <w:t>’</w:t>
      </w:r>
      <w:r w:rsidRPr="00F16887">
        <w:rPr>
          <w:lang w:val="fr-FR"/>
        </w:rPr>
        <w:t>examen des examinateurs sous leur responsabilité et cinq coordinateurs de secteur.</w:t>
      </w:r>
    </w:p>
    <w:p w14:paraId="4086AAD0" w14:textId="77777777" w:rsidR="001077E2" w:rsidRPr="00F16887" w:rsidRDefault="001077E2" w:rsidP="00F16887">
      <w:pPr>
        <w:jc w:val="both"/>
        <w:rPr>
          <w:lang w:val="fr-FR"/>
        </w:rPr>
      </w:pPr>
    </w:p>
    <w:p w14:paraId="0953B3D9" w14:textId="41C1541C" w:rsidR="001077E2" w:rsidRPr="00F16887" w:rsidRDefault="001077E2" w:rsidP="00F16887">
      <w:pPr>
        <w:jc w:val="both"/>
        <w:rPr>
          <w:lang w:val="fr-FR"/>
        </w:rPr>
      </w:pPr>
      <w:r w:rsidRPr="00F16887">
        <w:rPr>
          <w:lang w:val="fr-FR"/>
        </w:rPr>
        <w:t>L</w:t>
      </w:r>
      <w:r w:rsidR="00F16887">
        <w:rPr>
          <w:lang w:val="fr-FR"/>
        </w:rPr>
        <w:t>’</w:t>
      </w:r>
      <w:r w:rsidRPr="00F16887">
        <w:rPr>
          <w:lang w:val="fr-FR"/>
        </w:rPr>
        <w:t>équipe chargée de l</w:t>
      </w:r>
      <w:r w:rsidR="00F16887">
        <w:rPr>
          <w:lang w:val="fr-FR"/>
        </w:rPr>
        <w:t>’</w:t>
      </w:r>
      <w:r w:rsidRPr="00F16887">
        <w:rPr>
          <w:lang w:val="fr-FR"/>
        </w:rPr>
        <w:t>examen quant au fond possède un haut degré de spécialisation techniq</w:t>
      </w:r>
      <w:r w:rsidR="00C95B35" w:rsidRPr="00F16887">
        <w:rPr>
          <w:lang w:val="fr-FR"/>
        </w:rPr>
        <w:t>ue</w:t>
      </w:r>
      <w:r w:rsidR="00C95B35">
        <w:rPr>
          <w:lang w:val="fr-FR"/>
        </w:rPr>
        <w:t xml:space="preserve">.  </w:t>
      </w:r>
      <w:r w:rsidR="00C95B35" w:rsidRPr="00F16887">
        <w:rPr>
          <w:lang w:val="fr-FR"/>
        </w:rPr>
        <w:t>To</w:t>
      </w:r>
      <w:r w:rsidRPr="00F16887">
        <w:rPr>
          <w:lang w:val="fr-FR"/>
        </w:rPr>
        <w:t>us les membres sont titulaires d</w:t>
      </w:r>
      <w:r w:rsidR="00F16887">
        <w:rPr>
          <w:lang w:val="fr-FR"/>
        </w:rPr>
        <w:t>’</w:t>
      </w:r>
      <w:r w:rsidRPr="00F16887">
        <w:rPr>
          <w:lang w:val="fr-FR"/>
        </w:rPr>
        <w:t>une licence, 1% d</w:t>
      </w:r>
      <w:r w:rsidR="00F16887">
        <w:rPr>
          <w:lang w:val="fr-FR"/>
        </w:rPr>
        <w:t>’</w:t>
      </w:r>
      <w:r w:rsidRPr="00F16887">
        <w:rPr>
          <w:lang w:val="fr-FR"/>
        </w:rPr>
        <w:t>une spécialisation, 29% d</w:t>
      </w:r>
      <w:r w:rsidR="00F16887">
        <w:rPr>
          <w:lang w:val="fr-FR"/>
        </w:rPr>
        <w:t>’</w:t>
      </w:r>
      <w:r w:rsidRPr="00F16887">
        <w:rPr>
          <w:lang w:val="fr-FR"/>
        </w:rPr>
        <w:t>un master et 21% d</w:t>
      </w:r>
      <w:r w:rsidR="00F16887">
        <w:rPr>
          <w:lang w:val="fr-FR"/>
        </w:rPr>
        <w:t>’</w:t>
      </w:r>
      <w:r w:rsidRPr="00F16887">
        <w:rPr>
          <w:lang w:val="fr-FR"/>
        </w:rPr>
        <w:t>un doctorat, 3% d</w:t>
      </w:r>
      <w:r w:rsidR="00F16887">
        <w:rPr>
          <w:lang w:val="fr-FR"/>
        </w:rPr>
        <w:t>’</w:t>
      </w:r>
      <w:r w:rsidRPr="00F16887">
        <w:rPr>
          <w:lang w:val="fr-FR"/>
        </w:rPr>
        <w:t>entre eux ayant obtenu une bourse postdoctorale.</w:t>
      </w:r>
    </w:p>
    <w:p w14:paraId="6B274DD7" w14:textId="77777777" w:rsidR="001077E2" w:rsidRPr="00F16887" w:rsidRDefault="001077E2" w:rsidP="00F16887">
      <w:pPr>
        <w:jc w:val="both"/>
        <w:rPr>
          <w:lang w:val="fr-FR"/>
        </w:rPr>
      </w:pPr>
    </w:p>
    <w:p w14:paraId="5DE23248" w14:textId="2AB121A5" w:rsidR="001077E2" w:rsidRPr="00F16887" w:rsidRDefault="001077E2" w:rsidP="00F16887">
      <w:pPr>
        <w:jc w:val="both"/>
        <w:rPr>
          <w:lang w:val="fr-FR"/>
        </w:rPr>
      </w:pPr>
      <w:r w:rsidRPr="00F16887">
        <w:rPr>
          <w:lang w:val="fr-FR"/>
        </w:rPr>
        <w:t>L</w:t>
      </w:r>
      <w:r w:rsidR="00F16887">
        <w:rPr>
          <w:lang w:val="fr-FR"/>
        </w:rPr>
        <w:t>’</w:t>
      </w:r>
      <w:r w:rsidRPr="00F16887">
        <w:rPr>
          <w:lang w:val="fr-FR"/>
        </w:rPr>
        <w:t>équipe a un niveau avancé en anglais et des connaissances de base ou intermédiaires dans d</w:t>
      </w:r>
      <w:r w:rsidR="00F16887">
        <w:rPr>
          <w:lang w:val="fr-FR"/>
        </w:rPr>
        <w:t>’</w:t>
      </w:r>
      <w:r w:rsidRPr="00F16887">
        <w:rPr>
          <w:lang w:val="fr-FR"/>
        </w:rPr>
        <w:t>autres langues telles que le français et l</w:t>
      </w:r>
      <w:r w:rsidR="00F16887">
        <w:rPr>
          <w:lang w:val="fr-FR"/>
        </w:rPr>
        <w:t>’</w:t>
      </w:r>
      <w:r w:rsidRPr="00F16887">
        <w:rPr>
          <w:lang w:val="fr-FR"/>
        </w:rPr>
        <w:t>allemand.</w:t>
      </w:r>
    </w:p>
    <w:p w14:paraId="49AFD3B1" w14:textId="77777777" w:rsidR="001077E2" w:rsidRPr="00F16887" w:rsidRDefault="001077E2" w:rsidP="00F16887">
      <w:pPr>
        <w:jc w:val="both"/>
        <w:rPr>
          <w:lang w:val="fr-FR"/>
        </w:rPr>
      </w:pPr>
    </w:p>
    <w:p w14:paraId="7958F77A" w14:textId="222D943D" w:rsidR="001077E2" w:rsidRPr="00F16887" w:rsidRDefault="001077E2" w:rsidP="00F16887">
      <w:pPr>
        <w:jc w:val="both"/>
        <w:rPr>
          <w:lang w:val="fr-FR"/>
        </w:rPr>
      </w:pPr>
      <w:r w:rsidRPr="00F16887">
        <w:rPr>
          <w:lang w:val="fr-FR"/>
        </w:rPr>
        <w:t>Cette année, 84 examinateurs ont été recrut</w:t>
      </w:r>
      <w:r w:rsidR="00C95B35" w:rsidRPr="00F16887">
        <w:rPr>
          <w:lang w:val="fr-FR"/>
        </w:rPr>
        <w:t>és</w:t>
      </w:r>
      <w:r w:rsidR="00C95B35">
        <w:rPr>
          <w:lang w:val="fr-FR"/>
        </w:rPr>
        <w:t xml:space="preserve">.  </w:t>
      </w:r>
      <w:r w:rsidR="00C95B35" w:rsidRPr="00F16887">
        <w:rPr>
          <w:lang w:val="fr-FR"/>
        </w:rPr>
        <w:t>Pa</w:t>
      </w:r>
      <w:r w:rsidRPr="00F16887">
        <w:rPr>
          <w:lang w:val="fr-FR"/>
        </w:rPr>
        <w:t>rmi ces examinateurs, 79 ont été affectés à l</w:t>
      </w:r>
      <w:r w:rsidR="00F16887">
        <w:rPr>
          <w:lang w:val="fr-FR"/>
        </w:rPr>
        <w:t>’</w:t>
      </w:r>
      <w:r w:rsidRPr="00F16887">
        <w:rPr>
          <w:lang w:val="fr-FR"/>
        </w:rPr>
        <w:t>examen quant au fond des brevets et des modèles d</w:t>
      </w:r>
      <w:r w:rsidR="00F16887">
        <w:rPr>
          <w:lang w:val="fr-FR"/>
        </w:rPr>
        <w:t>’</w:t>
      </w:r>
      <w:r w:rsidRPr="00F16887">
        <w:rPr>
          <w:lang w:val="fr-FR"/>
        </w:rPr>
        <w:t>utilité et suivent actuellement une formation intensive, qui consiste à effectuer des examens quant au fond avec des tuteurs attitr</w:t>
      </w:r>
      <w:r w:rsidR="00C95B35" w:rsidRPr="00F16887">
        <w:rPr>
          <w:lang w:val="fr-FR"/>
        </w:rPr>
        <w:t>és</w:t>
      </w:r>
      <w:r w:rsidR="00C95B35">
        <w:rPr>
          <w:lang w:val="fr-FR"/>
        </w:rPr>
        <w:t xml:space="preserve">.  </w:t>
      </w:r>
      <w:r w:rsidR="00C95B35" w:rsidRPr="00F16887">
        <w:rPr>
          <w:lang w:val="fr-FR"/>
        </w:rPr>
        <w:t>Il</w:t>
      </w:r>
      <w:r w:rsidRPr="00F16887">
        <w:rPr>
          <w:lang w:val="fr-FR"/>
        </w:rPr>
        <w:t>s devraient être en mesure d</w:t>
      </w:r>
      <w:r w:rsidR="00F16887">
        <w:rPr>
          <w:lang w:val="fr-FR"/>
        </w:rPr>
        <w:t>’</w:t>
      </w:r>
      <w:r w:rsidRPr="00F16887">
        <w:rPr>
          <w:lang w:val="fr-FR"/>
        </w:rPr>
        <w:t>effectuer des recherches et des examens sans supervision dans un délai de quatre mois.</w:t>
      </w:r>
    </w:p>
    <w:p w14:paraId="651AFCC7" w14:textId="77777777" w:rsidR="001077E2" w:rsidRPr="00C95B35" w:rsidRDefault="001077E2" w:rsidP="00F16887">
      <w:pPr>
        <w:jc w:val="both"/>
        <w:rPr>
          <w:lang w:val="fr-FR"/>
        </w:rPr>
      </w:pP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és qualifiés pour effectuer des recherches et des examens"/>
        <w:tblDescription w:val="Ce tableau indique le nombre d’examinateurs, équivalent plein temps, qualifiés pour travailler dans les domaines de la mécanique, de l’électricité ou de l’électronique, de la chimie et de la biotechnologie;  il indique également l’expérience moyenne des examinateurs dans chacun des domaines et le détail de leurs qualifications."/>
      </w:tblPr>
      <w:tblGrid>
        <w:gridCol w:w="2430"/>
        <w:gridCol w:w="1861"/>
        <w:gridCol w:w="2469"/>
        <w:gridCol w:w="2469"/>
      </w:tblGrid>
      <w:tr w:rsidR="001077E2" w:rsidRPr="00F16887" w14:paraId="4BB5F1D9" w14:textId="77777777" w:rsidTr="00D113DB">
        <w:trPr>
          <w:cantSplit/>
          <w:tblHeader/>
        </w:trPr>
        <w:tc>
          <w:tcPr>
            <w:tcW w:w="2186" w:type="dxa"/>
            <w:tcBorders>
              <w:top w:val="single" w:sz="4" w:space="0" w:color="auto"/>
              <w:left w:val="single" w:sz="4" w:space="0" w:color="auto"/>
              <w:bottom w:val="single" w:sz="4" w:space="0" w:color="auto"/>
              <w:right w:val="single" w:sz="4" w:space="0" w:color="auto"/>
            </w:tcBorders>
            <w:shd w:val="clear" w:color="auto" w:fill="235B4E"/>
            <w:vAlign w:val="center"/>
            <w:hideMark/>
          </w:tcPr>
          <w:p w14:paraId="57604911" w14:textId="77777777" w:rsidR="001077E2" w:rsidRPr="00F16887" w:rsidRDefault="001077E2" w:rsidP="00F16887">
            <w:pPr>
              <w:keepNext/>
              <w:keepLines/>
              <w:suppressAutoHyphens/>
              <w:jc w:val="center"/>
              <w:rPr>
                <w:rFonts w:eastAsia="Times New Roman"/>
                <w:b/>
                <w:bCs/>
                <w:color w:val="FFFFFF" w:themeColor="background1"/>
                <w:szCs w:val="22"/>
                <w:lang w:val="fr-FR"/>
              </w:rPr>
            </w:pPr>
            <w:r w:rsidRPr="00F16887">
              <w:rPr>
                <w:b/>
                <w:color w:val="FFFFFF" w:themeColor="background1"/>
                <w:lang w:val="fr-FR"/>
              </w:rPr>
              <w:lastRenderedPageBreak/>
              <w:t>Domaine technique</w:t>
            </w:r>
          </w:p>
        </w:tc>
        <w:tc>
          <w:tcPr>
            <w:tcW w:w="1941" w:type="dxa"/>
            <w:tcBorders>
              <w:top w:val="single" w:sz="4" w:space="0" w:color="auto"/>
              <w:left w:val="single" w:sz="4" w:space="0" w:color="auto"/>
              <w:bottom w:val="single" w:sz="4" w:space="0" w:color="auto"/>
              <w:right w:val="single" w:sz="4" w:space="0" w:color="auto"/>
            </w:tcBorders>
            <w:shd w:val="clear" w:color="auto" w:fill="235B4E"/>
            <w:vAlign w:val="center"/>
            <w:hideMark/>
          </w:tcPr>
          <w:p w14:paraId="23DFE4CC" w14:textId="77777777" w:rsidR="001077E2" w:rsidRPr="00F16887" w:rsidRDefault="001077E2" w:rsidP="00F16887">
            <w:pPr>
              <w:keepNext/>
              <w:keepLines/>
              <w:suppressAutoHyphens/>
              <w:jc w:val="center"/>
              <w:rPr>
                <w:rFonts w:eastAsia="Times New Roman"/>
                <w:b/>
                <w:bCs/>
                <w:color w:val="FFFFFF" w:themeColor="background1"/>
                <w:szCs w:val="22"/>
                <w:lang w:val="fr-FR"/>
              </w:rPr>
            </w:pPr>
            <w:r w:rsidRPr="00F16887">
              <w:rPr>
                <w:b/>
                <w:color w:val="FFFFFF" w:themeColor="background1"/>
                <w:lang w:val="fr-FR"/>
              </w:rPr>
              <w:t>Nombre (équivalent plein temps)</w:t>
            </w:r>
          </w:p>
        </w:tc>
        <w:tc>
          <w:tcPr>
            <w:tcW w:w="2551" w:type="dxa"/>
            <w:tcBorders>
              <w:top w:val="single" w:sz="4" w:space="0" w:color="auto"/>
              <w:left w:val="single" w:sz="4" w:space="0" w:color="auto"/>
              <w:bottom w:val="single" w:sz="4" w:space="0" w:color="auto"/>
              <w:right w:val="single" w:sz="4" w:space="0" w:color="auto"/>
            </w:tcBorders>
            <w:shd w:val="clear" w:color="auto" w:fill="235B4E"/>
            <w:vAlign w:val="center"/>
            <w:hideMark/>
          </w:tcPr>
          <w:p w14:paraId="5F5934DC" w14:textId="71079B59" w:rsidR="001077E2" w:rsidRPr="00F16887" w:rsidRDefault="001077E2" w:rsidP="00F16887">
            <w:pPr>
              <w:suppressAutoHyphens/>
              <w:jc w:val="center"/>
              <w:rPr>
                <w:rFonts w:eastAsia="Times New Roman"/>
                <w:b/>
                <w:bCs/>
                <w:color w:val="FFFFFF" w:themeColor="background1"/>
                <w:szCs w:val="24"/>
                <w:lang w:val="fr-FR"/>
              </w:rPr>
            </w:pPr>
            <w:r w:rsidRPr="00F16887">
              <w:rPr>
                <w:b/>
                <w:color w:val="FFFFFF" w:themeColor="background1"/>
                <w:lang w:val="fr-FR"/>
              </w:rPr>
              <w:t>Expérience moyenne en tant qu</w:t>
            </w:r>
            <w:r w:rsidR="00F16887">
              <w:rPr>
                <w:b/>
                <w:color w:val="FFFFFF" w:themeColor="background1"/>
                <w:lang w:val="fr-FR"/>
              </w:rPr>
              <w:t>’</w:t>
            </w:r>
            <w:r w:rsidRPr="00F16887">
              <w:rPr>
                <w:b/>
                <w:color w:val="FFFFFF" w:themeColor="background1"/>
                <w:lang w:val="fr-FR"/>
              </w:rPr>
              <w:t>examinateurs (années)</w:t>
            </w:r>
          </w:p>
        </w:tc>
        <w:tc>
          <w:tcPr>
            <w:tcW w:w="2551" w:type="dxa"/>
            <w:tcBorders>
              <w:top w:val="single" w:sz="4" w:space="0" w:color="auto"/>
              <w:left w:val="single" w:sz="4" w:space="0" w:color="auto"/>
              <w:bottom w:val="single" w:sz="4" w:space="0" w:color="auto"/>
              <w:right w:val="single" w:sz="4" w:space="0" w:color="auto"/>
            </w:tcBorders>
            <w:shd w:val="clear" w:color="auto" w:fill="235B4E"/>
            <w:vAlign w:val="center"/>
            <w:hideMark/>
          </w:tcPr>
          <w:p w14:paraId="7C4DB216" w14:textId="77777777" w:rsidR="001077E2" w:rsidRPr="00F16887" w:rsidRDefault="001077E2" w:rsidP="00F16887">
            <w:pPr>
              <w:suppressAutoHyphens/>
              <w:jc w:val="center"/>
              <w:rPr>
                <w:rFonts w:eastAsia="Times New Roman"/>
                <w:b/>
                <w:bCs/>
                <w:color w:val="FFFFFF" w:themeColor="background1"/>
                <w:szCs w:val="24"/>
                <w:lang w:val="fr-FR"/>
              </w:rPr>
            </w:pPr>
            <w:r w:rsidRPr="00F16887">
              <w:rPr>
                <w:b/>
                <w:color w:val="FFFFFF" w:themeColor="background1"/>
                <w:lang w:val="fr-FR"/>
              </w:rPr>
              <w:t>Détail des qualifications</w:t>
            </w:r>
          </w:p>
        </w:tc>
      </w:tr>
      <w:tr w:rsidR="001077E2" w:rsidRPr="00F16887" w14:paraId="4097EB7E" w14:textId="77777777" w:rsidTr="00D113DB">
        <w:trPr>
          <w:cantSplit/>
        </w:trPr>
        <w:tc>
          <w:tcPr>
            <w:tcW w:w="2186" w:type="dxa"/>
            <w:tcBorders>
              <w:top w:val="single" w:sz="4" w:space="0" w:color="auto"/>
              <w:left w:val="single" w:sz="4" w:space="0" w:color="auto"/>
              <w:bottom w:val="single" w:sz="4" w:space="0" w:color="auto"/>
              <w:right w:val="single" w:sz="4" w:space="0" w:color="auto"/>
            </w:tcBorders>
            <w:hideMark/>
          </w:tcPr>
          <w:p w14:paraId="1E0BF56A" w14:textId="77777777" w:rsidR="001077E2" w:rsidRPr="00F16887" w:rsidRDefault="001077E2" w:rsidP="00F16887">
            <w:pPr>
              <w:keepNext/>
              <w:keepLines/>
              <w:suppressAutoHyphens/>
              <w:jc w:val="center"/>
              <w:rPr>
                <w:rFonts w:eastAsia="Times New Roman"/>
                <w:szCs w:val="22"/>
                <w:lang w:val="fr-FR"/>
              </w:rPr>
            </w:pPr>
            <w:r w:rsidRPr="00F16887">
              <w:rPr>
                <w:lang w:val="fr-FR"/>
              </w:rPr>
              <w:t>Mécanique</w:t>
            </w:r>
          </w:p>
        </w:tc>
        <w:tc>
          <w:tcPr>
            <w:tcW w:w="1941" w:type="dxa"/>
            <w:tcBorders>
              <w:top w:val="single" w:sz="4" w:space="0" w:color="auto"/>
              <w:left w:val="single" w:sz="4" w:space="0" w:color="auto"/>
              <w:bottom w:val="single" w:sz="4" w:space="0" w:color="auto"/>
              <w:right w:val="single" w:sz="4" w:space="0" w:color="auto"/>
            </w:tcBorders>
          </w:tcPr>
          <w:p w14:paraId="4BD2A658" w14:textId="77777777" w:rsidR="001077E2" w:rsidRPr="00F16887" w:rsidRDefault="001077E2" w:rsidP="00F16887">
            <w:pPr>
              <w:keepNext/>
              <w:keepLines/>
              <w:suppressAutoHyphens/>
              <w:jc w:val="center"/>
              <w:rPr>
                <w:lang w:val="fr-FR"/>
              </w:rPr>
            </w:pPr>
            <w:r w:rsidRPr="00F16887">
              <w:rPr>
                <w:lang w:val="fr-FR"/>
              </w:rPr>
              <w:t>57</w:t>
            </w:r>
            <w:r w:rsidRPr="00F16887">
              <w:rPr>
                <w:rStyle w:val="FootnoteReference"/>
                <w:lang w:val="fr-FR"/>
              </w:rPr>
              <w:footnoteReference w:id="2"/>
            </w:r>
          </w:p>
        </w:tc>
        <w:tc>
          <w:tcPr>
            <w:tcW w:w="2551" w:type="dxa"/>
            <w:tcBorders>
              <w:top w:val="single" w:sz="4" w:space="0" w:color="auto"/>
              <w:left w:val="single" w:sz="4" w:space="0" w:color="auto"/>
              <w:bottom w:val="single" w:sz="4" w:space="0" w:color="auto"/>
              <w:right w:val="single" w:sz="4" w:space="0" w:color="auto"/>
            </w:tcBorders>
          </w:tcPr>
          <w:p w14:paraId="6B4458B4" w14:textId="24EF581C" w:rsidR="001077E2" w:rsidRPr="00F16887" w:rsidRDefault="001077E2" w:rsidP="00F16887">
            <w:pPr>
              <w:keepNext/>
              <w:keepLines/>
              <w:suppressAutoHyphens/>
              <w:rPr>
                <w:rFonts w:eastAsia="Times New Roman"/>
                <w:szCs w:val="22"/>
                <w:lang w:val="fr-FR"/>
              </w:rPr>
            </w:pPr>
            <w:r w:rsidRPr="00F16887">
              <w:rPr>
                <w:lang w:val="fr-FR"/>
              </w:rPr>
              <w:t>Spécialistes experts</w:t>
            </w:r>
            <w:r w:rsidR="00F16887">
              <w:rPr>
                <w:lang w:val="fr-FR"/>
              </w:rPr>
              <w:t> :</w:t>
            </w:r>
            <w:r w:rsidRPr="00F16887">
              <w:rPr>
                <w:lang w:val="fr-FR"/>
              </w:rPr>
              <w:t xml:space="preserve"> 15,7 ans</w:t>
            </w:r>
          </w:p>
          <w:p w14:paraId="380BF052" w14:textId="77777777" w:rsidR="001077E2" w:rsidRPr="00F16887" w:rsidRDefault="001077E2" w:rsidP="00F16887">
            <w:pPr>
              <w:keepNext/>
              <w:keepLines/>
              <w:suppressAutoHyphens/>
              <w:rPr>
                <w:rFonts w:eastAsia="Times New Roman"/>
                <w:szCs w:val="22"/>
                <w:lang w:val="fr-FR" w:eastAsia="en-US" w:bidi="he-IL"/>
              </w:rPr>
            </w:pPr>
          </w:p>
          <w:p w14:paraId="3D0F483D" w14:textId="4FDFE751" w:rsidR="001077E2" w:rsidRPr="00F16887" w:rsidRDefault="001077E2" w:rsidP="00F16887">
            <w:pPr>
              <w:keepNext/>
              <w:keepLines/>
              <w:suppressAutoHyphens/>
              <w:rPr>
                <w:rFonts w:eastAsia="Times New Roman"/>
                <w:szCs w:val="22"/>
                <w:lang w:val="fr-FR"/>
              </w:rPr>
            </w:pPr>
            <w:r w:rsidRPr="00F16887">
              <w:rPr>
                <w:lang w:val="fr-FR"/>
              </w:rPr>
              <w:t>Spécialistes recrutés récemment</w:t>
            </w:r>
            <w:r w:rsidR="00F16887">
              <w:rPr>
                <w:lang w:val="fr-FR"/>
              </w:rPr>
              <w:t> :</w:t>
            </w:r>
            <w:r w:rsidRPr="00F16887">
              <w:rPr>
                <w:lang w:val="fr-FR"/>
              </w:rPr>
              <w:t xml:space="preserve"> 8 mois</w:t>
            </w:r>
          </w:p>
        </w:tc>
        <w:tc>
          <w:tcPr>
            <w:tcW w:w="2551" w:type="dxa"/>
            <w:tcBorders>
              <w:top w:val="single" w:sz="4" w:space="0" w:color="auto"/>
              <w:left w:val="single" w:sz="4" w:space="0" w:color="auto"/>
              <w:bottom w:val="single" w:sz="4" w:space="0" w:color="auto"/>
              <w:right w:val="single" w:sz="4" w:space="0" w:color="auto"/>
            </w:tcBorders>
          </w:tcPr>
          <w:p w14:paraId="0E532CD2" w14:textId="77777777" w:rsidR="001077E2" w:rsidRPr="00F16887" w:rsidRDefault="001077E2" w:rsidP="00F16887">
            <w:pPr>
              <w:keepNext/>
              <w:keepLines/>
              <w:suppressAutoHyphens/>
              <w:rPr>
                <w:rFonts w:eastAsia="Times New Roman"/>
                <w:szCs w:val="22"/>
                <w:lang w:val="fr-FR"/>
              </w:rPr>
            </w:pPr>
            <w:r w:rsidRPr="00F16887">
              <w:rPr>
                <w:lang w:val="fr-FR"/>
              </w:rPr>
              <w:t>1 coordonnateur</w:t>
            </w:r>
          </w:p>
          <w:p w14:paraId="27EB33E8" w14:textId="77777777" w:rsidR="001077E2" w:rsidRPr="00F16887" w:rsidRDefault="001077E2" w:rsidP="00F16887">
            <w:pPr>
              <w:keepNext/>
              <w:keepLines/>
              <w:suppressAutoHyphens/>
              <w:rPr>
                <w:rFonts w:eastAsia="Times New Roman"/>
                <w:szCs w:val="22"/>
                <w:lang w:val="fr-FR"/>
              </w:rPr>
            </w:pPr>
            <w:r w:rsidRPr="00F16887">
              <w:rPr>
                <w:lang w:val="fr-FR"/>
              </w:rPr>
              <w:t>4 superviseurs</w:t>
            </w:r>
          </w:p>
          <w:p w14:paraId="2B4A3E4E" w14:textId="09DBDEAB" w:rsidR="00F16887" w:rsidRDefault="001077E2" w:rsidP="00F16887">
            <w:pPr>
              <w:keepNext/>
              <w:keepLines/>
              <w:suppressAutoHyphens/>
              <w:rPr>
                <w:lang w:val="fr-FR"/>
              </w:rPr>
            </w:pPr>
            <w:r w:rsidRPr="00F16887">
              <w:rPr>
                <w:lang w:val="fr-FR"/>
              </w:rPr>
              <w:t>52 examinateurs</w:t>
            </w:r>
            <w:r w:rsidR="00F16887">
              <w:rPr>
                <w:lang w:val="fr-FR"/>
              </w:rPr>
              <w:t> :</w:t>
            </w:r>
          </w:p>
          <w:p w14:paraId="2393822A" w14:textId="77777777" w:rsidR="00F16887" w:rsidRDefault="001077E2" w:rsidP="00F16887">
            <w:pPr>
              <w:keepNext/>
              <w:keepLines/>
              <w:suppressAutoHyphens/>
              <w:ind w:left="300"/>
              <w:rPr>
                <w:lang w:val="fr-FR"/>
              </w:rPr>
            </w:pPr>
            <w:r w:rsidRPr="00F16887">
              <w:rPr>
                <w:lang w:val="fr-FR"/>
              </w:rPr>
              <w:t>28 experts</w:t>
            </w:r>
          </w:p>
          <w:p w14:paraId="61ACE346" w14:textId="5A44FC65" w:rsidR="001077E2" w:rsidRPr="00F16887" w:rsidRDefault="001077E2" w:rsidP="00F16887">
            <w:pPr>
              <w:keepNext/>
              <w:keepLines/>
              <w:suppressAutoHyphens/>
              <w:ind w:left="300"/>
              <w:rPr>
                <w:rFonts w:eastAsia="Times New Roman"/>
                <w:szCs w:val="22"/>
                <w:lang w:val="fr-FR"/>
              </w:rPr>
            </w:pPr>
            <w:r w:rsidRPr="00F16887">
              <w:rPr>
                <w:lang w:val="fr-FR"/>
              </w:rPr>
              <w:t xml:space="preserve">24 spécialistes </w:t>
            </w:r>
          </w:p>
        </w:tc>
      </w:tr>
      <w:tr w:rsidR="001077E2" w:rsidRPr="00F16887" w14:paraId="46EDF6AE" w14:textId="77777777" w:rsidTr="00D113DB">
        <w:trPr>
          <w:cantSplit/>
        </w:trPr>
        <w:tc>
          <w:tcPr>
            <w:tcW w:w="2186" w:type="dxa"/>
            <w:tcBorders>
              <w:top w:val="single" w:sz="4" w:space="0" w:color="auto"/>
              <w:left w:val="single" w:sz="4" w:space="0" w:color="auto"/>
              <w:bottom w:val="single" w:sz="4" w:space="0" w:color="auto"/>
              <w:right w:val="single" w:sz="4" w:space="0" w:color="auto"/>
            </w:tcBorders>
            <w:hideMark/>
          </w:tcPr>
          <w:p w14:paraId="1F320C4E" w14:textId="77777777" w:rsidR="001077E2" w:rsidRPr="00F16887" w:rsidRDefault="001077E2" w:rsidP="00F16887">
            <w:pPr>
              <w:keepNext/>
              <w:keepLines/>
              <w:suppressAutoHyphens/>
              <w:jc w:val="center"/>
              <w:rPr>
                <w:rFonts w:eastAsia="Times New Roman"/>
                <w:szCs w:val="22"/>
                <w:lang w:val="fr-FR"/>
              </w:rPr>
            </w:pPr>
            <w:r w:rsidRPr="00F16887">
              <w:rPr>
                <w:lang w:val="fr-FR"/>
              </w:rPr>
              <w:t>Électricité/électronique</w:t>
            </w:r>
          </w:p>
        </w:tc>
        <w:tc>
          <w:tcPr>
            <w:tcW w:w="1941" w:type="dxa"/>
            <w:tcBorders>
              <w:top w:val="single" w:sz="4" w:space="0" w:color="auto"/>
              <w:left w:val="single" w:sz="4" w:space="0" w:color="auto"/>
              <w:bottom w:val="single" w:sz="4" w:space="0" w:color="auto"/>
              <w:right w:val="single" w:sz="4" w:space="0" w:color="auto"/>
            </w:tcBorders>
          </w:tcPr>
          <w:p w14:paraId="5E0EC368" w14:textId="77777777" w:rsidR="001077E2" w:rsidRPr="00F16887" w:rsidRDefault="001077E2" w:rsidP="00F16887">
            <w:pPr>
              <w:keepNext/>
              <w:keepLines/>
              <w:suppressAutoHyphens/>
              <w:jc w:val="center"/>
              <w:rPr>
                <w:rFonts w:eastAsia="Times New Roman"/>
                <w:szCs w:val="22"/>
                <w:lang w:val="fr-FR"/>
              </w:rPr>
            </w:pPr>
            <w:r w:rsidRPr="00F16887">
              <w:rPr>
                <w:lang w:val="fr-FR"/>
              </w:rPr>
              <w:t>35</w:t>
            </w:r>
          </w:p>
        </w:tc>
        <w:tc>
          <w:tcPr>
            <w:tcW w:w="2551" w:type="dxa"/>
            <w:tcBorders>
              <w:top w:val="single" w:sz="4" w:space="0" w:color="auto"/>
              <w:left w:val="single" w:sz="4" w:space="0" w:color="auto"/>
              <w:bottom w:val="single" w:sz="4" w:space="0" w:color="auto"/>
              <w:right w:val="single" w:sz="4" w:space="0" w:color="auto"/>
            </w:tcBorders>
          </w:tcPr>
          <w:p w14:paraId="776B5A06" w14:textId="77777777" w:rsidR="001077E2" w:rsidRPr="00F16887" w:rsidRDefault="001077E2" w:rsidP="00F16887">
            <w:pPr>
              <w:keepNext/>
              <w:keepLines/>
              <w:suppressAutoHyphens/>
              <w:rPr>
                <w:rFonts w:eastAsia="Times New Roman"/>
                <w:szCs w:val="22"/>
                <w:lang w:val="fr-FR"/>
              </w:rPr>
            </w:pPr>
            <w:r w:rsidRPr="00F16887">
              <w:rPr>
                <w:lang w:val="fr-FR"/>
              </w:rPr>
              <w:t>Experts;  15,8 ans</w:t>
            </w:r>
          </w:p>
          <w:p w14:paraId="6C6991F0" w14:textId="5911C976" w:rsidR="001077E2" w:rsidRPr="00F16887" w:rsidRDefault="001077E2" w:rsidP="00F16887">
            <w:pPr>
              <w:keepNext/>
              <w:keepLines/>
              <w:suppressAutoHyphens/>
              <w:rPr>
                <w:rFonts w:eastAsia="Times New Roman"/>
                <w:szCs w:val="22"/>
                <w:lang w:val="fr-FR"/>
              </w:rPr>
            </w:pPr>
            <w:r w:rsidRPr="00F16887">
              <w:rPr>
                <w:lang w:val="fr-FR"/>
              </w:rPr>
              <w:t>Spécialistes</w:t>
            </w:r>
            <w:r w:rsidR="00F16887">
              <w:rPr>
                <w:lang w:val="fr-FR"/>
              </w:rPr>
              <w:t> :</w:t>
            </w:r>
            <w:r w:rsidRPr="00F16887">
              <w:rPr>
                <w:lang w:val="fr-FR"/>
              </w:rPr>
              <w:t xml:space="preserve"> 8 mois</w:t>
            </w:r>
          </w:p>
        </w:tc>
        <w:tc>
          <w:tcPr>
            <w:tcW w:w="2551" w:type="dxa"/>
            <w:tcBorders>
              <w:top w:val="single" w:sz="4" w:space="0" w:color="auto"/>
              <w:left w:val="single" w:sz="4" w:space="0" w:color="auto"/>
              <w:bottom w:val="single" w:sz="4" w:space="0" w:color="auto"/>
              <w:right w:val="single" w:sz="4" w:space="0" w:color="auto"/>
            </w:tcBorders>
          </w:tcPr>
          <w:p w14:paraId="29108479" w14:textId="77777777" w:rsidR="001077E2" w:rsidRPr="00F16887" w:rsidRDefault="001077E2" w:rsidP="00F16887">
            <w:pPr>
              <w:keepNext/>
              <w:keepLines/>
              <w:suppressAutoHyphens/>
              <w:rPr>
                <w:rFonts w:eastAsia="Times New Roman"/>
                <w:szCs w:val="22"/>
                <w:lang w:val="fr-FR"/>
              </w:rPr>
            </w:pPr>
            <w:r w:rsidRPr="00F16887">
              <w:rPr>
                <w:lang w:val="fr-FR"/>
              </w:rPr>
              <w:t>1 coordonnateur</w:t>
            </w:r>
          </w:p>
          <w:p w14:paraId="79B6D92A" w14:textId="77777777" w:rsidR="001077E2" w:rsidRPr="00F16887" w:rsidRDefault="001077E2" w:rsidP="00F16887">
            <w:pPr>
              <w:keepNext/>
              <w:keepLines/>
              <w:suppressAutoHyphens/>
              <w:rPr>
                <w:rFonts w:eastAsia="Times New Roman"/>
                <w:szCs w:val="22"/>
                <w:lang w:val="fr-FR"/>
              </w:rPr>
            </w:pPr>
            <w:r w:rsidRPr="00F16887">
              <w:rPr>
                <w:lang w:val="fr-FR"/>
              </w:rPr>
              <w:t>2 superviseurs</w:t>
            </w:r>
          </w:p>
          <w:p w14:paraId="188DFEF4" w14:textId="08464257" w:rsidR="00F16887" w:rsidRDefault="001077E2" w:rsidP="00F16887">
            <w:pPr>
              <w:keepNext/>
              <w:keepLines/>
              <w:suppressAutoHyphens/>
              <w:rPr>
                <w:lang w:val="fr-FR"/>
              </w:rPr>
            </w:pPr>
            <w:r w:rsidRPr="00F16887">
              <w:rPr>
                <w:lang w:val="fr-FR"/>
              </w:rPr>
              <w:t>32 examinateurs</w:t>
            </w:r>
            <w:r w:rsidR="00F16887">
              <w:rPr>
                <w:lang w:val="fr-FR"/>
              </w:rPr>
              <w:t> :</w:t>
            </w:r>
          </w:p>
          <w:p w14:paraId="43A38511" w14:textId="6CF54612" w:rsidR="001077E2" w:rsidRPr="00F16887" w:rsidRDefault="001077E2" w:rsidP="00F16887">
            <w:pPr>
              <w:keepNext/>
              <w:keepLines/>
              <w:suppressAutoHyphens/>
              <w:ind w:left="300"/>
              <w:rPr>
                <w:rFonts w:eastAsia="Times New Roman"/>
                <w:szCs w:val="22"/>
                <w:lang w:val="fr-FR"/>
              </w:rPr>
            </w:pPr>
            <w:r w:rsidRPr="00F16887">
              <w:rPr>
                <w:lang w:val="fr-FR"/>
              </w:rPr>
              <w:t>21 experts</w:t>
            </w:r>
          </w:p>
          <w:p w14:paraId="7334AD6C" w14:textId="77777777" w:rsidR="001077E2" w:rsidRPr="00F16887" w:rsidRDefault="001077E2" w:rsidP="00F16887">
            <w:pPr>
              <w:keepNext/>
              <w:keepLines/>
              <w:suppressAutoHyphens/>
              <w:ind w:left="300"/>
              <w:rPr>
                <w:rFonts w:eastAsia="Times New Roman"/>
                <w:szCs w:val="22"/>
                <w:lang w:val="fr-FR"/>
              </w:rPr>
            </w:pPr>
            <w:r w:rsidRPr="00F16887">
              <w:rPr>
                <w:lang w:val="fr-FR"/>
              </w:rPr>
              <w:t>11 spécialistes</w:t>
            </w:r>
          </w:p>
        </w:tc>
      </w:tr>
      <w:tr w:rsidR="001077E2" w:rsidRPr="00F16887" w14:paraId="2588C844" w14:textId="77777777" w:rsidTr="00D113DB">
        <w:trPr>
          <w:cantSplit/>
        </w:trPr>
        <w:tc>
          <w:tcPr>
            <w:tcW w:w="2186" w:type="dxa"/>
            <w:tcBorders>
              <w:top w:val="single" w:sz="4" w:space="0" w:color="auto"/>
              <w:left w:val="single" w:sz="4" w:space="0" w:color="auto"/>
              <w:bottom w:val="single" w:sz="4" w:space="0" w:color="auto"/>
              <w:right w:val="single" w:sz="4" w:space="0" w:color="auto"/>
            </w:tcBorders>
            <w:hideMark/>
          </w:tcPr>
          <w:p w14:paraId="321D4129" w14:textId="77777777" w:rsidR="001077E2" w:rsidRPr="00F16887" w:rsidRDefault="001077E2" w:rsidP="00F16887">
            <w:pPr>
              <w:keepNext/>
              <w:keepLines/>
              <w:suppressAutoHyphens/>
              <w:jc w:val="center"/>
              <w:rPr>
                <w:rFonts w:eastAsia="Times New Roman"/>
                <w:szCs w:val="22"/>
                <w:lang w:val="fr-FR"/>
              </w:rPr>
            </w:pPr>
            <w:r w:rsidRPr="00F16887">
              <w:rPr>
                <w:lang w:val="fr-FR"/>
              </w:rPr>
              <w:t>Chimie</w:t>
            </w:r>
          </w:p>
        </w:tc>
        <w:tc>
          <w:tcPr>
            <w:tcW w:w="1941" w:type="dxa"/>
            <w:tcBorders>
              <w:top w:val="single" w:sz="4" w:space="0" w:color="auto"/>
              <w:left w:val="single" w:sz="4" w:space="0" w:color="auto"/>
              <w:bottom w:val="single" w:sz="4" w:space="0" w:color="auto"/>
              <w:right w:val="single" w:sz="4" w:space="0" w:color="auto"/>
            </w:tcBorders>
          </w:tcPr>
          <w:p w14:paraId="27599478" w14:textId="77777777" w:rsidR="001077E2" w:rsidRPr="00F16887" w:rsidRDefault="001077E2" w:rsidP="00F16887">
            <w:pPr>
              <w:keepNext/>
              <w:keepLines/>
              <w:suppressAutoHyphens/>
              <w:jc w:val="center"/>
              <w:rPr>
                <w:rFonts w:eastAsia="Times New Roman"/>
                <w:szCs w:val="22"/>
                <w:lang w:val="fr-FR"/>
              </w:rPr>
            </w:pPr>
            <w:r w:rsidRPr="00F16887">
              <w:rPr>
                <w:lang w:val="fr-FR"/>
              </w:rPr>
              <w:t>35</w:t>
            </w:r>
          </w:p>
        </w:tc>
        <w:tc>
          <w:tcPr>
            <w:tcW w:w="2551" w:type="dxa"/>
            <w:tcBorders>
              <w:top w:val="single" w:sz="4" w:space="0" w:color="auto"/>
              <w:left w:val="single" w:sz="4" w:space="0" w:color="auto"/>
              <w:bottom w:val="single" w:sz="4" w:space="0" w:color="auto"/>
              <w:right w:val="single" w:sz="4" w:space="0" w:color="auto"/>
            </w:tcBorders>
          </w:tcPr>
          <w:p w14:paraId="32A17984" w14:textId="5F8F86FE" w:rsidR="001077E2" w:rsidRPr="00F16887" w:rsidRDefault="001077E2" w:rsidP="00F16887">
            <w:pPr>
              <w:keepNext/>
              <w:keepLines/>
              <w:suppressAutoHyphens/>
              <w:rPr>
                <w:rFonts w:eastAsia="Times New Roman"/>
                <w:szCs w:val="22"/>
                <w:lang w:val="fr-FR"/>
              </w:rPr>
            </w:pPr>
            <w:r w:rsidRPr="00F16887">
              <w:rPr>
                <w:lang w:val="fr-FR"/>
              </w:rPr>
              <w:t>Experts</w:t>
            </w:r>
            <w:r w:rsidR="00F16887">
              <w:rPr>
                <w:lang w:val="fr-FR"/>
              </w:rPr>
              <w:t> :</w:t>
            </w:r>
            <w:r w:rsidRPr="00F16887">
              <w:rPr>
                <w:lang w:val="fr-FR"/>
              </w:rPr>
              <w:t xml:space="preserve"> 16,4 ans</w:t>
            </w:r>
          </w:p>
          <w:p w14:paraId="77BF8016" w14:textId="77777777" w:rsidR="001077E2" w:rsidRPr="00F16887" w:rsidRDefault="001077E2" w:rsidP="00F16887">
            <w:pPr>
              <w:keepNext/>
              <w:keepLines/>
              <w:suppressAutoHyphens/>
              <w:rPr>
                <w:rFonts w:eastAsia="Times New Roman"/>
                <w:szCs w:val="22"/>
                <w:lang w:val="fr-FR" w:eastAsia="en-US" w:bidi="he-IL"/>
              </w:rPr>
            </w:pPr>
          </w:p>
          <w:p w14:paraId="08A1C29B" w14:textId="03ED1692" w:rsidR="001077E2" w:rsidRPr="00F16887" w:rsidRDefault="001077E2" w:rsidP="00F16887">
            <w:pPr>
              <w:keepNext/>
              <w:keepLines/>
              <w:suppressAutoHyphens/>
              <w:rPr>
                <w:rFonts w:eastAsia="Times New Roman"/>
                <w:szCs w:val="22"/>
                <w:lang w:val="fr-FR"/>
              </w:rPr>
            </w:pPr>
            <w:r w:rsidRPr="00F16887">
              <w:rPr>
                <w:lang w:val="fr-FR"/>
              </w:rPr>
              <w:t>Spécialistes</w:t>
            </w:r>
            <w:r w:rsidR="00F16887">
              <w:rPr>
                <w:lang w:val="fr-FR"/>
              </w:rPr>
              <w:t> :</w:t>
            </w:r>
            <w:r w:rsidRPr="00F16887">
              <w:rPr>
                <w:lang w:val="fr-FR"/>
              </w:rPr>
              <w:t xml:space="preserve"> 8 mois</w:t>
            </w:r>
          </w:p>
        </w:tc>
        <w:tc>
          <w:tcPr>
            <w:tcW w:w="2551" w:type="dxa"/>
            <w:tcBorders>
              <w:top w:val="single" w:sz="4" w:space="0" w:color="auto"/>
              <w:left w:val="single" w:sz="4" w:space="0" w:color="auto"/>
              <w:bottom w:val="single" w:sz="4" w:space="0" w:color="auto"/>
              <w:right w:val="single" w:sz="4" w:space="0" w:color="auto"/>
            </w:tcBorders>
          </w:tcPr>
          <w:p w14:paraId="40B37C77" w14:textId="77777777" w:rsidR="001077E2" w:rsidRPr="00F16887" w:rsidRDefault="001077E2" w:rsidP="00F16887">
            <w:pPr>
              <w:keepNext/>
              <w:keepLines/>
              <w:suppressAutoHyphens/>
              <w:rPr>
                <w:rFonts w:eastAsia="Times New Roman"/>
                <w:szCs w:val="22"/>
                <w:lang w:val="fr-FR"/>
              </w:rPr>
            </w:pPr>
            <w:r w:rsidRPr="00F16887">
              <w:rPr>
                <w:lang w:val="fr-FR"/>
              </w:rPr>
              <w:t>1 coordonnateur</w:t>
            </w:r>
          </w:p>
          <w:p w14:paraId="40BAB7FF" w14:textId="77777777" w:rsidR="001077E2" w:rsidRPr="00F16887" w:rsidRDefault="001077E2" w:rsidP="00F16887">
            <w:pPr>
              <w:keepNext/>
              <w:keepLines/>
              <w:suppressAutoHyphens/>
              <w:rPr>
                <w:rFonts w:eastAsia="Times New Roman"/>
                <w:szCs w:val="22"/>
                <w:lang w:val="fr-FR"/>
              </w:rPr>
            </w:pPr>
            <w:r w:rsidRPr="00F16887">
              <w:rPr>
                <w:lang w:val="fr-FR"/>
              </w:rPr>
              <w:t>1 superviseur</w:t>
            </w:r>
          </w:p>
          <w:p w14:paraId="56319883" w14:textId="22E40E6B" w:rsidR="001077E2" w:rsidRPr="00F16887" w:rsidRDefault="001077E2" w:rsidP="00F16887">
            <w:pPr>
              <w:keepNext/>
              <w:keepLines/>
              <w:suppressAutoHyphens/>
              <w:rPr>
                <w:rFonts w:eastAsia="Times New Roman"/>
                <w:szCs w:val="22"/>
                <w:lang w:val="fr-FR"/>
              </w:rPr>
            </w:pPr>
            <w:r w:rsidRPr="00F16887">
              <w:rPr>
                <w:lang w:val="fr-FR"/>
              </w:rPr>
              <w:t>33 examinateurs</w:t>
            </w:r>
            <w:r w:rsidR="00F16887">
              <w:rPr>
                <w:lang w:val="fr-FR"/>
              </w:rPr>
              <w:t> :</w:t>
            </w:r>
          </w:p>
          <w:p w14:paraId="694DFB5D" w14:textId="77777777" w:rsidR="00F16887" w:rsidRDefault="001077E2" w:rsidP="00F16887">
            <w:pPr>
              <w:keepNext/>
              <w:keepLines/>
              <w:suppressAutoHyphens/>
              <w:ind w:left="300"/>
              <w:rPr>
                <w:lang w:val="fr-FR"/>
              </w:rPr>
            </w:pPr>
            <w:r w:rsidRPr="00F16887">
              <w:rPr>
                <w:lang w:val="fr-FR"/>
              </w:rPr>
              <w:t>18 experts</w:t>
            </w:r>
          </w:p>
          <w:p w14:paraId="7C961AA3" w14:textId="1A7A8506" w:rsidR="001077E2" w:rsidRPr="00F16887" w:rsidRDefault="001077E2" w:rsidP="00F16887">
            <w:pPr>
              <w:keepNext/>
              <w:keepLines/>
              <w:suppressAutoHyphens/>
              <w:ind w:left="300"/>
              <w:rPr>
                <w:rFonts w:eastAsia="Times New Roman"/>
                <w:szCs w:val="22"/>
                <w:lang w:val="fr-FR"/>
              </w:rPr>
            </w:pPr>
            <w:r w:rsidRPr="00F16887">
              <w:rPr>
                <w:lang w:val="fr-FR"/>
              </w:rPr>
              <w:t xml:space="preserve">15 spécialistes </w:t>
            </w:r>
          </w:p>
        </w:tc>
      </w:tr>
      <w:tr w:rsidR="001077E2" w:rsidRPr="00F16887" w14:paraId="383DA9CB" w14:textId="77777777" w:rsidTr="00D113DB">
        <w:trPr>
          <w:cantSplit/>
          <w:trHeight w:val="1059"/>
        </w:trPr>
        <w:tc>
          <w:tcPr>
            <w:tcW w:w="2186" w:type="dxa"/>
            <w:tcBorders>
              <w:top w:val="single" w:sz="4" w:space="0" w:color="auto"/>
              <w:left w:val="single" w:sz="4" w:space="0" w:color="auto"/>
              <w:bottom w:val="single" w:sz="4" w:space="0" w:color="auto"/>
              <w:right w:val="single" w:sz="4" w:space="0" w:color="auto"/>
            </w:tcBorders>
          </w:tcPr>
          <w:p w14:paraId="0B77A5A8" w14:textId="77777777" w:rsidR="001077E2" w:rsidRPr="00F16887" w:rsidRDefault="001077E2" w:rsidP="00F16887">
            <w:pPr>
              <w:keepNext/>
              <w:keepLines/>
              <w:suppressAutoHyphens/>
              <w:jc w:val="center"/>
              <w:rPr>
                <w:lang w:val="fr-FR"/>
              </w:rPr>
            </w:pPr>
            <w:r w:rsidRPr="00F16887">
              <w:rPr>
                <w:lang w:val="fr-FR"/>
              </w:rPr>
              <w:t>Pharmacie</w:t>
            </w:r>
          </w:p>
        </w:tc>
        <w:tc>
          <w:tcPr>
            <w:tcW w:w="1941" w:type="dxa"/>
            <w:tcBorders>
              <w:top w:val="single" w:sz="4" w:space="0" w:color="auto"/>
              <w:left w:val="single" w:sz="4" w:space="0" w:color="auto"/>
              <w:bottom w:val="single" w:sz="4" w:space="0" w:color="auto"/>
              <w:right w:val="single" w:sz="4" w:space="0" w:color="auto"/>
            </w:tcBorders>
          </w:tcPr>
          <w:p w14:paraId="081AE66A" w14:textId="77777777" w:rsidR="001077E2" w:rsidRPr="00F16887" w:rsidRDefault="001077E2" w:rsidP="00F16887">
            <w:pPr>
              <w:keepNext/>
              <w:keepLines/>
              <w:suppressAutoHyphens/>
              <w:jc w:val="center"/>
              <w:rPr>
                <w:rFonts w:eastAsia="Times New Roman"/>
                <w:szCs w:val="22"/>
                <w:lang w:val="fr-FR"/>
              </w:rPr>
            </w:pPr>
            <w:r w:rsidRPr="00F16887">
              <w:rPr>
                <w:lang w:val="fr-FR"/>
              </w:rPr>
              <w:t>33</w:t>
            </w:r>
          </w:p>
        </w:tc>
        <w:tc>
          <w:tcPr>
            <w:tcW w:w="2551" w:type="dxa"/>
            <w:tcBorders>
              <w:top w:val="single" w:sz="4" w:space="0" w:color="auto"/>
              <w:left w:val="single" w:sz="4" w:space="0" w:color="auto"/>
              <w:bottom w:val="single" w:sz="4" w:space="0" w:color="auto"/>
              <w:right w:val="single" w:sz="4" w:space="0" w:color="auto"/>
            </w:tcBorders>
          </w:tcPr>
          <w:p w14:paraId="0B0635D2" w14:textId="6FF9996E" w:rsidR="001077E2" w:rsidRPr="00F16887" w:rsidRDefault="001077E2" w:rsidP="00F16887">
            <w:pPr>
              <w:keepNext/>
              <w:keepLines/>
              <w:suppressAutoHyphens/>
              <w:rPr>
                <w:rFonts w:eastAsia="Times New Roman"/>
                <w:szCs w:val="22"/>
                <w:lang w:val="fr-FR"/>
              </w:rPr>
            </w:pPr>
            <w:r w:rsidRPr="00F16887">
              <w:rPr>
                <w:lang w:val="fr-FR"/>
              </w:rPr>
              <w:t>Experts</w:t>
            </w:r>
            <w:r w:rsidR="00F16887">
              <w:rPr>
                <w:lang w:val="fr-FR"/>
              </w:rPr>
              <w:t> :</w:t>
            </w:r>
            <w:r w:rsidRPr="00F16887">
              <w:rPr>
                <w:lang w:val="fr-FR"/>
              </w:rPr>
              <w:t xml:space="preserve"> 12,82 ans</w:t>
            </w:r>
          </w:p>
          <w:p w14:paraId="084B6D71" w14:textId="77777777" w:rsidR="001077E2" w:rsidRPr="00F16887" w:rsidRDefault="001077E2" w:rsidP="00F16887">
            <w:pPr>
              <w:keepNext/>
              <w:keepLines/>
              <w:suppressAutoHyphens/>
              <w:rPr>
                <w:rFonts w:eastAsia="Times New Roman"/>
                <w:szCs w:val="22"/>
                <w:lang w:val="fr-FR" w:eastAsia="en-US" w:bidi="he-IL"/>
              </w:rPr>
            </w:pPr>
          </w:p>
          <w:p w14:paraId="50B24BB6" w14:textId="2AB265F1" w:rsidR="001077E2" w:rsidRPr="00F16887" w:rsidRDefault="001077E2" w:rsidP="00F16887">
            <w:pPr>
              <w:keepNext/>
              <w:keepLines/>
              <w:suppressAutoHyphens/>
              <w:rPr>
                <w:rFonts w:eastAsia="Times New Roman"/>
                <w:szCs w:val="22"/>
                <w:lang w:val="fr-FR"/>
              </w:rPr>
            </w:pPr>
            <w:r w:rsidRPr="00F16887">
              <w:rPr>
                <w:lang w:val="fr-FR"/>
              </w:rPr>
              <w:t>Spécialistes</w:t>
            </w:r>
            <w:r w:rsidR="00F16887">
              <w:rPr>
                <w:lang w:val="fr-FR"/>
              </w:rPr>
              <w:t> :</w:t>
            </w:r>
            <w:r w:rsidRPr="00F16887">
              <w:rPr>
                <w:lang w:val="fr-FR"/>
              </w:rPr>
              <w:t xml:space="preserve"> 8 mois</w:t>
            </w:r>
          </w:p>
        </w:tc>
        <w:tc>
          <w:tcPr>
            <w:tcW w:w="2551" w:type="dxa"/>
            <w:tcBorders>
              <w:top w:val="single" w:sz="4" w:space="0" w:color="auto"/>
              <w:left w:val="single" w:sz="4" w:space="0" w:color="auto"/>
              <w:bottom w:val="single" w:sz="4" w:space="0" w:color="auto"/>
              <w:right w:val="single" w:sz="4" w:space="0" w:color="auto"/>
            </w:tcBorders>
          </w:tcPr>
          <w:p w14:paraId="74EE1065" w14:textId="77777777" w:rsidR="00F16887" w:rsidRDefault="001077E2" w:rsidP="00F16887">
            <w:pPr>
              <w:keepNext/>
              <w:keepLines/>
              <w:suppressAutoHyphens/>
              <w:rPr>
                <w:lang w:val="fr-FR"/>
              </w:rPr>
            </w:pPr>
            <w:r w:rsidRPr="00F16887">
              <w:rPr>
                <w:lang w:val="fr-FR"/>
              </w:rPr>
              <w:t>1 coordonnateur</w:t>
            </w:r>
          </w:p>
          <w:p w14:paraId="5FDA4D40" w14:textId="6FB103DC" w:rsidR="001077E2" w:rsidRPr="00F16887" w:rsidRDefault="001077E2" w:rsidP="00F16887">
            <w:pPr>
              <w:keepNext/>
              <w:keepLines/>
              <w:suppressAutoHyphens/>
              <w:rPr>
                <w:rFonts w:eastAsia="Times New Roman"/>
                <w:szCs w:val="22"/>
                <w:lang w:val="fr-FR"/>
              </w:rPr>
            </w:pPr>
            <w:r w:rsidRPr="00F16887">
              <w:rPr>
                <w:lang w:val="fr-FR"/>
              </w:rPr>
              <w:t>2 superviseurs</w:t>
            </w:r>
          </w:p>
          <w:p w14:paraId="54D28909" w14:textId="52971F83" w:rsidR="001077E2" w:rsidRPr="00F16887" w:rsidRDefault="001077E2" w:rsidP="00F16887">
            <w:pPr>
              <w:keepNext/>
              <w:keepLines/>
              <w:suppressAutoHyphens/>
              <w:rPr>
                <w:rFonts w:eastAsia="Times New Roman"/>
                <w:szCs w:val="22"/>
                <w:lang w:val="fr-FR"/>
              </w:rPr>
            </w:pPr>
            <w:r w:rsidRPr="00F16887">
              <w:rPr>
                <w:lang w:val="fr-FR"/>
              </w:rPr>
              <w:t>30 examinateurs</w:t>
            </w:r>
            <w:r w:rsidR="00F16887">
              <w:rPr>
                <w:lang w:val="fr-FR"/>
              </w:rPr>
              <w:t> :</w:t>
            </w:r>
          </w:p>
          <w:p w14:paraId="2BDFF09E" w14:textId="77777777" w:rsidR="001077E2" w:rsidRPr="00F16887" w:rsidRDefault="001077E2" w:rsidP="00F16887">
            <w:pPr>
              <w:keepNext/>
              <w:keepLines/>
              <w:suppressAutoHyphens/>
              <w:ind w:left="300"/>
              <w:rPr>
                <w:rFonts w:eastAsia="Times New Roman"/>
                <w:szCs w:val="22"/>
                <w:lang w:val="fr-FR"/>
              </w:rPr>
            </w:pPr>
            <w:r w:rsidRPr="00F16887">
              <w:rPr>
                <w:lang w:val="fr-FR"/>
              </w:rPr>
              <w:t>17 experts</w:t>
            </w:r>
          </w:p>
          <w:p w14:paraId="491EA8C7" w14:textId="77777777" w:rsidR="001077E2" w:rsidRPr="00F16887" w:rsidRDefault="001077E2" w:rsidP="00F16887">
            <w:pPr>
              <w:keepNext/>
              <w:keepLines/>
              <w:suppressAutoHyphens/>
              <w:ind w:left="300"/>
              <w:rPr>
                <w:rFonts w:eastAsia="Times New Roman"/>
                <w:szCs w:val="22"/>
                <w:lang w:val="fr-FR"/>
              </w:rPr>
            </w:pPr>
            <w:r w:rsidRPr="00F16887">
              <w:rPr>
                <w:lang w:val="fr-FR"/>
              </w:rPr>
              <w:t>13 spécialistes</w:t>
            </w:r>
          </w:p>
        </w:tc>
      </w:tr>
      <w:tr w:rsidR="001077E2" w:rsidRPr="00F16887" w14:paraId="6D5A6049" w14:textId="77777777" w:rsidTr="00D113DB">
        <w:trPr>
          <w:cantSplit/>
        </w:trPr>
        <w:tc>
          <w:tcPr>
            <w:tcW w:w="2186" w:type="dxa"/>
            <w:tcBorders>
              <w:top w:val="single" w:sz="4" w:space="0" w:color="auto"/>
              <w:left w:val="single" w:sz="4" w:space="0" w:color="auto"/>
              <w:bottom w:val="single" w:sz="4" w:space="0" w:color="auto"/>
              <w:right w:val="single" w:sz="4" w:space="0" w:color="auto"/>
            </w:tcBorders>
            <w:hideMark/>
          </w:tcPr>
          <w:p w14:paraId="30A79FDF" w14:textId="77777777" w:rsidR="001077E2" w:rsidRPr="00F16887" w:rsidRDefault="001077E2" w:rsidP="00F16887">
            <w:pPr>
              <w:keepNext/>
              <w:keepLines/>
              <w:suppressAutoHyphens/>
              <w:jc w:val="center"/>
              <w:rPr>
                <w:rFonts w:eastAsia="Times New Roman"/>
                <w:szCs w:val="22"/>
                <w:lang w:val="fr-FR"/>
              </w:rPr>
            </w:pPr>
            <w:r w:rsidRPr="00F16887">
              <w:rPr>
                <w:lang w:val="fr-FR"/>
              </w:rPr>
              <w:t>Biotechnologie</w:t>
            </w:r>
          </w:p>
        </w:tc>
        <w:tc>
          <w:tcPr>
            <w:tcW w:w="1941" w:type="dxa"/>
            <w:tcBorders>
              <w:top w:val="single" w:sz="4" w:space="0" w:color="auto"/>
              <w:left w:val="single" w:sz="4" w:space="0" w:color="auto"/>
              <w:bottom w:val="single" w:sz="4" w:space="0" w:color="auto"/>
              <w:right w:val="single" w:sz="4" w:space="0" w:color="auto"/>
            </w:tcBorders>
          </w:tcPr>
          <w:p w14:paraId="29AD00A9" w14:textId="77777777" w:rsidR="001077E2" w:rsidRPr="00F16887" w:rsidRDefault="001077E2" w:rsidP="00F16887">
            <w:pPr>
              <w:keepNext/>
              <w:keepLines/>
              <w:suppressAutoHyphens/>
              <w:jc w:val="center"/>
              <w:rPr>
                <w:rFonts w:eastAsia="Times New Roman"/>
                <w:szCs w:val="22"/>
                <w:lang w:val="fr-FR"/>
              </w:rPr>
            </w:pPr>
            <w:r w:rsidRPr="00F16887">
              <w:rPr>
                <w:lang w:val="fr-FR"/>
              </w:rPr>
              <w:t>36</w:t>
            </w:r>
          </w:p>
        </w:tc>
        <w:tc>
          <w:tcPr>
            <w:tcW w:w="2551" w:type="dxa"/>
            <w:tcBorders>
              <w:top w:val="single" w:sz="4" w:space="0" w:color="auto"/>
              <w:left w:val="single" w:sz="4" w:space="0" w:color="auto"/>
              <w:bottom w:val="single" w:sz="4" w:space="0" w:color="auto"/>
              <w:right w:val="single" w:sz="4" w:space="0" w:color="auto"/>
            </w:tcBorders>
          </w:tcPr>
          <w:p w14:paraId="6CFF1448" w14:textId="566B1477" w:rsidR="001077E2" w:rsidRPr="00F16887" w:rsidRDefault="001077E2" w:rsidP="00F16887">
            <w:pPr>
              <w:keepNext/>
              <w:keepLines/>
              <w:suppressAutoHyphens/>
              <w:rPr>
                <w:rFonts w:eastAsia="Times New Roman"/>
                <w:szCs w:val="22"/>
                <w:lang w:val="fr-FR"/>
              </w:rPr>
            </w:pPr>
            <w:r w:rsidRPr="00F16887">
              <w:rPr>
                <w:lang w:val="fr-FR"/>
              </w:rPr>
              <w:t>Experts</w:t>
            </w:r>
            <w:r w:rsidR="00F16887">
              <w:rPr>
                <w:lang w:val="fr-FR"/>
              </w:rPr>
              <w:t> :</w:t>
            </w:r>
            <w:r w:rsidRPr="00F16887">
              <w:rPr>
                <w:lang w:val="fr-FR"/>
              </w:rPr>
              <w:t xml:space="preserve"> 15,8</w:t>
            </w:r>
          </w:p>
          <w:p w14:paraId="10B9F38A" w14:textId="77777777" w:rsidR="001077E2" w:rsidRPr="00F16887" w:rsidRDefault="001077E2" w:rsidP="00F16887">
            <w:pPr>
              <w:keepNext/>
              <w:keepLines/>
              <w:suppressAutoHyphens/>
              <w:rPr>
                <w:rFonts w:eastAsia="Times New Roman"/>
                <w:szCs w:val="22"/>
                <w:lang w:val="fr-FR" w:eastAsia="en-US" w:bidi="he-IL"/>
              </w:rPr>
            </w:pPr>
          </w:p>
          <w:p w14:paraId="48C09F78" w14:textId="5798649D" w:rsidR="001077E2" w:rsidRPr="00F16887" w:rsidRDefault="001077E2" w:rsidP="00F16887">
            <w:pPr>
              <w:keepNext/>
              <w:keepLines/>
              <w:suppressAutoHyphens/>
              <w:rPr>
                <w:rFonts w:eastAsia="Times New Roman"/>
                <w:szCs w:val="22"/>
                <w:lang w:val="fr-FR"/>
              </w:rPr>
            </w:pPr>
            <w:r w:rsidRPr="00F16887">
              <w:rPr>
                <w:lang w:val="fr-FR"/>
              </w:rPr>
              <w:t>Spécialistes</w:t>
            </w:r>
            <w:r w:rsidR="00F16887">
              <w:rPr>
                <w:lang w:val="fr-FR"/>
              </w:rPr>
              <w:t> :</w:t>
            </w:r>
            <w:r w:rsidRPr="00F16887">
              <w:rPr>
                <w:lang w:val="fr-FR"/>
              </w:rPr>
              <w:t xml:space="preserve"> 8 mois</w:t>
            </w:r>
          </w:p>
        </w:tc>
        <w:tc>
          <w:tcPr>
            <w:tcW w:w="2551" w:type="dxa"/>
            <w:tcBorders>
              <w:top w:val="single" w:sz="4" w:space="0" w:color="auto"/>
              <w:left w:val="single" w:sz="4" w:space="0" w:color="auto"/>
              <w:bottom w:val="single" w:sz="4" w:space="0" w:color="auto"/>
              <w:right w:val="single" w:sz="4" w:space="0" w:color="auto"/>
            </w:tcBorders>
          </w:tcPr>
          <w:p w14:paraId="20B28A20" w14:textId="77777777" w:rsidR="001077E2" w:rsidRPr="00F16887" w:rsidRDefault="001077E2" w:rsidP="00F16887">
            <w:pPr>
              <w:keepNext/>
              <w:keepLines/>
              <w:suppressAutoHyphens/>
              <w:rPr>
                <w:rFonts w:eastAsia="Times New Roman"/>
                <w:szCs w:val="22"/>
                <w:lang w:val="fr-FR"/>
              </w:rPr>
            </w:pPr>
            <w:r w:rsidRPr="00F16887">
              <w:rPr>
                <w:lang w:val="fr-FR"/>
              </w:rPr>
              <w:t>1 coordonnateur</w:t>
            </w:r>
          </w:p>
          <w:p w14:paraId="21761538" w14:textId="77777777" w:rsidR="00F16887" w:rsidRDefault="001077E2" w:rsidP="00F16887">
            <w:pPr>
              <w:keepNext/>
              <w:keepLines/>
              <w:suppressAutoHyphens/>
              <w:rPr>
                <w:lang w:val="fr-FR"/>
              </w:rPr>
            </w:pPr>
            <w:r w:rsidRPr="00F16887">
              <w:rPr>
                <w:lang w:val="fr-FR"/>
              </w:rPr>
              <w:t>1 superviseur</w:t>
            </w:r>
          </w:p>
          <w:p w14:paraId="31BC1EDC" w14:textId="450E054B" w:rsidR="00F16887" w:rsidRDefault="001077E2" w:rsidP="00F16887">
            <w:pPr>
              <w:keepNext/>
              <w:keepLines/>
              <w:suppressAutoHyphens/>
              <w:rPr>
                <w:lang w:val="fr-FR"/>
              </w:rPr>
            </w:pPr>
            <w:r w:rsidRPr="00F16887">
              <w:rPr>
                <w:lang w:val="fr-FR"/>
              </w:rPr>
              <w:t>34 examinateurs</w:t>
            </w:r>
            <w:r w:rsidR="00F16887">
              <w:rPr>
                <w:lang w:val="fr-FR"/>
              </w:rPr>
              <w:t> :</w:t>
            </w:r>
          </w:p>
          <w:p w14:paraId="624E1730" w14:textId="4A18BA9E" w:rsidR="001077E2" w:rsidRPr="00F16887" w:rsidRDefault="001077E2" w:rsidP="00F16887">
            <w:pPr>
              <w:keepNext/>
              <w:keepLines/>
              <w:suppressAutoHyphens/>
              <w:ind w:left="300"/>
              <w:rPr>
                <w:rFonts w:eastAsia="Times New Roman"/>
                <w:szCs w:val="22"/>
                <w:lang w:val="fr-FR"/>
              </w:rPr>
            </w:pPr>
            <w:r w:rsidRPr="00F16887">
              <w:rPr>
                <w:lang w:val="fr-FR"/>
              </w:rPr>
              <w:t>19 experts</w:t>
            </w:r>
          </w:p>
          <w:p w14:paraId="68DC7AA8" w14:textId="77777777" w:rsidR="001077E2" w:rsidRPr="00F16887" w:rsidRDefault="001077E2" w:rsidP="00F16887">
            <w:pPr>
              <w:keepNext/>
              <w:keepLines/>
              <w:suppressAutoHyphens/>
              <w:ind w:left="300"/>
              <w:rPr>
                <w:rFonts w:eastAsia="Times New Roman"/>
                <w:szCs w:val="22"/>
                <w:lang w:val="fr-FR"/>
              </w:rPr>
            </w:pPr>
            <w:r w:rsidRPr="00F16887">
              <w:rPr>
                <w:lang w:val="fr-FR"/>
              </w:rPr>
              <w:t>15 spécialistes</w:t>
            </w:r>
          </w:p>
        </w:tc>
      </w:tr>
      <w:tr w:rsidR="001077E2" w:rsidRPr="00F16887" w14:paraId="7CAE2F64" w14:textId="77777777" w:rsidTr="00D113DB">
        <w:trPr>
          <w:cantSplit/>
        </w:trPr>
        <w:tc>
          <w:tcPr>
            <w:tcW w:w="2186" w:type="dxa"/>
            <w:tcBorders>
              <w:top w:val="single" w:sz="4" w:space="0" w:color="auto"/>
              <w:left w:val="single" w:sz="4" w:space="0" w:color="auto"/>
              <w:bottom w:val="single" w:sz="4" w:space="0" w:color="auto"/>
              <w:right w:val="single" w:sz="4" w:space="0" w:color="auto"/>
            </w:tcBorders>
            <w:hideMark/>
          </w:tcPr>
          <w:p w14:paraId="3F2CC7E1" w14:textId="77777777" w:rsidR="001077E2" w:rsidRPr="00F16887" w:rsidRDefault="001077E2" w:rsidP="00F16887">
            <w:pPr>
              <w:suppressAutoHyphens/>
              <w:jc w:val="center"/>
              <w:rPr>
                <w:rFonts w:eastAsia="Times New Roman"/>
                <w:i/>
                <w:iCs/>
                <w:szCs w:val="22"/>
                <w:lang w:val="fr-FR"/>
              </w:rPr>
            </w:pPr>
            <w:r w:rsidRPr="00F16887">
              <w:rPr>
                <w:i/>
                <w:lang w:val="fr-FR"/>
              </w:rPr>
              <w:t>Total</w:t>
            </w:r>
          </w:p>
        </w:tc>
        <w:tc>
          <w:tcPr>
            <w:tcW w:w="1941" w:type="dxa"/>
            <w:tcBorders>
              <w:top w:val="single" w:sz="4" w:space="0" w:color="auto"/>
              <w:left w:val="single" w:sz="4" w:space="0" w:color="auto"/>
              <w:bottom w:val="single" w:sz="4" w:space="0" w:color="auto"/>
              <w:right w:val="single" w:sz="4" w:space="0" w:color="auto"/>
            </w:tcBorders>
          </w:tcPr>
          <w:p w14:paraId="33FCEA37" w14:textId="77777777" w:rsidR="001077E2" w:rsidRPr="00F16887" w:rsidRDefault="001077E2" w:rsidP="00F16887">
            <w:pPr>
              <w:suppressAutoHyphens/>
              <w:jc w:val="center"/>
              <w:rPr>
                <w:rFonts w:eastAsia="Times New Roman"/>
                <w:i/>
                <w:iCs/>
                <w:szCs w:val="22"/>
                <w:lang w:val="fr-FR"/>
              </w:rPr>
            </w:pPr>
            <w:r w:rsidRPr="00F16887">
              <w:rPr>
                <w:i/>
                <w:lang w:val="fr-FR"/>
              </w:rPr>
              <w:t>196</w:t>
            </w:r>
          </w:p>
        </w:tc>
        <w:tc>
          <w:tcPr>
            <w:tcW w:w="2551" w:type="dxa"/>
            <w:tcBorders>
              <w:top w:val="single" w:sz="4" w:space="0" w:color="auto"/>
              <w:left w:val="single" w:sz="4" w:space="0" w:color="auto"/>
              <w:bottom w:val="single" w:sz="4" w:space="0" w:color="auto"/>
              <w:right w:val="single" w:sz="4" w:space="0" w:color="auto"/>
            </w:tcBorders>
          </w:tcPr>
          <w:p w14:paraId="08B213E7" w14:textId="77777777" w:rsidR="001077E2" w:rsidRPr="00F16887" w:rsidRDefault="001077E2" w:rsidP="00F16887">
            <w:pPr>
              <w:suppressAutoHyphens/>
              <w:rPr>
                <w:rFonts w:eastAsia="Times New Roman"/>
                <w:i/>
                <w:iCs/>
                <w:szCs w:val="22"/>
                <w:lang w:val="fr-FR" w:eastAsia="en-US" w:bidi="he-IL"/>
              </w:rPr>
            </w:pPr>
          </w:p>
        </w:tc>
        <w:tc>
          <w:tcPr>
            <w:tcW w:w="2551" w:type="dxa"/>
            <w:tcBorders>
              <w:top w:val="single" w:sz="4" w:space="0" w:color="auto"/>
              <w:left w:val="single" w:sz="4" w:space="0" w:color="auto"/>
              <w:bottom w:val="single" w:sz="4" w:space="0" w:color="auto"/>
              <w:right w:val="single" w:sz="4" w:space="0" w:color="auto"/>
            </w:tcBorders>
          </w:tcPr>
          <w:p w14:paraId="32B2492E" w14:textId="77777777" w:rsidR="001077E2" w:rsidRPr="00F16887" w:rsidRDefault="001077E2" w:rsidP="00F16887">
            <w:pPr>
              <w:suppressAutoHyphens/>
              <w:rPr>
                <w:rFonts w:eastAsia="Times New Roman"/>
                <w:i/>
                <w:iCs/>
                <w:szCs w:val="22"/>
                <w:lang w:val="fr-FR"/>
              </w:rPr>
            </w:pPr>
            <w:r w:rsidRPr="00F16887">
              <w:rPr>
                <w:i/>
                <w:lang w:val="fr-FR"/>
              </w:rPr>
              <w:t>196</w:t>
            </w:r>
          </w:p>
        </w:tc>
      </w:tr>
    </w:tbl>
    <w:p w14:paraId="415D0CAF" w14:textId="77777777" w:rsidR="001077E2" w:rsidRPr="00F16887" w:rsidRDefault="001077E2" w:rsidP="00F16887">
      <w:pPr>
        <w:pStyle w:val="Question"/>
        <w:spacing w:after="0"/>
      </w:pPr>
    </w:p>
    <w:p w14:paraId="29BC6B12" w14:textId="52A588E5" w:rsidR="001077E2" w:rsidRPr="00F16887" w:rsidRDefault="001077E2" w:rsidP="00F16887">
      <w:pPr>
        <w:pStyle w:val="Question"/>
        <w:spacing w:after="0"/>
      </w:pPr>
      <w:r w:rsidRPr="00F16887">
        <w:t>b)</w:t>
      </w:r>
      <w:r w:rsidRPr="00F16887">
        <w:tab/>
        <w:t>Programmes de formation</w:t>
      </w:r>
      <w:r w:rsidR="00F16887">
        <w:t> :</w:t>
      </w:r>
    </w:p>
    <w:p w14:paraId="3C644EAE" w14:textId="77777777" w:rsidR="001077E2" w:rsidRPr="00F16887" w:rsidRDefault="001077E2" w:rsidP="00F16887">
      <w:pPr>
        <w:pStyle w:val="Answer"/>
        <w:spacing w:after="0"/>
        <w:ind w:left="0"/>
        <w:jc w:val="both"/>
      </w:pPr>
    </w:p>
    <w:p w14:paraId="154A6C92" w14:textId="0B1A3D77" w:rsidR="00F16887" w:rsidRDefault="001077E2" w:rsidP="00F16887">
      <w:pPr>
        <w:pStyle w:val="Answer"/>
        <w:spacing w:after="0"/>
        <w:ind w:left="0"/>
        <w:jc w:val="both"/>
      </w:pPr>
      <w:r w:rsidRPr="00F16887">
        <w:t>Dans le cadre de sa Division des brevets, l</w:t>
      </w:r>
      <w:r w:rsidR="00F16887">
        <w:t>’</w:t>
      </w:r>
      <w:r w:rsidRPr="00F16887">
        <w:t>IMPI a mis au point un programme de formation intensive d</w:t>
      </w:r>
      <w:r w:rsidR="00F16887">
        <w:t>’</w:t>
      </w:r>
      <w:r w:rsidRPr="00F16887">
        <w:t>une durée d</w:t>
      </w:r>
      <w:r w:rsidR="00F16887">
        <w:t>’</w:t>
      </w:r>
      <w:r w:rsidRPr="00F16887">
        <w:t>environ six semaines à l</w:t>
      </w:r>
      <w:r w:rsidR="00F16887">
        <w:t>’</w:t>
      </w:r>
      <w:r w:rsidRPr="00F16887">
        <w:t>intention des nouveaux examinateurs (voir le tableau).</w:t>
      </w:r>
    </w:p>
    <w:p w14:paraId="6AFA0CE8" w14:textId="18F8A123" w:rsidR="001077E2" w:rsidRPr="00F16887" w:rsidRDefault="001077E2" w:rsidP="00F16887">
      <w:pPr>
        <w:pStyle w:val="Answer"/>
        <w:spacing w:after="0"/>
        <w:ind w:left="0"/>
        <w:jc w:val="both"/>
      </w:pPr>
    </w:p>
    <w:p w14:paraId="584B8D2C" w14:textId="1C28F007" w:rsidR="00F16887" w:rsidRDefault="001077E2" w:rsidP="00F16887">
      <w:pPr>
        <w:pStyle w:val="Answer"/>
        <w:spacing w:after="0"/>
        <w:ind w:left="0"/>
        <w:jc w:val="both"/>
      </w:pPr>
      <w:r w:rsidRPr="00F16887">
        <w:t>Par la suite, la formation se poursuit sur le terrain sous la supervision d</w:t>
      </w:r>
      <w:r w:rsidR="00F16887">
        <w:t>’</w:t>
      </w:r>
      <w:r w:rsidRPr="00F16887">
        <w:t>un mentor, qui est un examinateur expérimenté, pendant environ un an, jusqu</w:t>
      </w:r>
      <w:r w:rsidR="00F16887">
        <w:t>’</w:t>
      </w:r>
      <w:r w:rsidRPr="00F16887">
        <w:t>à ce que les nouveaux examinateurs soient en mesure d</w:t>
      </w:r>
      <w:r w:rsidR="00F16887">
        <w:t>’</w:t>
      </w:r>
      <w:r w:rsidRPr="00F16887">
        <w:t>effectuer les recherches de manière autonome et d</w:t>
      </w:r>
      <w:r w:rsidR="00F16887">
        <w:t>’</w:t>
      </w:r>
      <w:r w:rsidRPr="00F16887">
        <w:t>examiner les demandes de brevet qui leur sont attribué</w:t>
      </w:r>
      <w:r w:rsidR="00C95B35" w:rsidRPr="00F16887">
        <w:t>es</w:t>
      </w:r>
      <w:r w:rsidR="00C95B35">
        <w:t xml:space="preserve">.  </w:t>
      </w:r>
      <w:r w:rsidR="00C95B35" w:rsidRPr="00F16887">
        <w:t>Le</w:t>
      </w:r>
      <w:r w:rsidRPr="00F16887">
        <w:t>s examinateurs discutent des aspects techniques de tous les travaux générés avec le mentor, le superviseur ou le coordonnateur afin d</w:t>
      </w:r>
      <w:r w:rsidR="00F16887">
        <w:t>’</w:t>
      </w:r>
      <w:r w:rsidRPr="00F16887">
        <w:t>uniformiser les critères d</w:t>
      </w:r>
      <w:r w:rsidR="00F16887">
        <w:t>’</w:t>
      </w:r>
      <w:r w:rsidRPr="00F16887">
        <w:t>examen et de renforcer les concepts de brevetabilité conformément aux pratiques d</w:t>
      </w:r>
      <w:r w:rsidR="00F16887">
        <w:t>’</w:t>
      </w:r>
      <w:r w:rsidRPr="00F16887">
        <w:t>examen de l</w:t>
      </w:r>
      <w:r w:rsidR="00F16887">
        <w:t>’</w:t>
      </w:r>
      <w:r w:rsidRPr="00F16887">
        <w:t>IMPI et aux dispositions de la loi fédérale sur la protection de la propriété industrielle et aux autres dispositions juridiques applicables.</w:t>
      </w:r>
    </w:p>
    <w:p w14:paraId="1F878962" w14:textId="6333E0FF" w:rsidR="001077E2" w:rsidRPr="00F16887" w:rsidRDefault="001077E2" w:rsidP="00F16887">
      <w:pPr>
        <w:pStyle w:val="Answer"/>
        <w:spacing w:after="0"/>
        <w:ind w:left="0"/>
        <w:jc w:val="both"/>
      </w:pPr>
    </w:p>
    <w:p w14:paraId="2DAE344B" w14:textId="02550C4E" w:rsidR="001077E2" w:rsidRPr="00F16887" w:rsidRDefault="001077E2" w:rsidP="00C95B35">
      <w:pPr>
        <w:keepNext/>
        <w:jc w:val="center"/>
        <w:rPr>
          <w:b/>
          <w:szCs w:val="22"/>
          <w:lang w:val="fr-FR"/>
        </w:rPr>
      </w:pPr>
      <w:r w:rsidRPr="00F16887">
        <w:rPr>
          <w:b/>
          <w:lang w:val="fr-FR"/>
        </w:rPr>
        <w:lastRenderedPageBreak/>
        <w:t>Programme de formation à l</w:t>
      </w:r>
      <w:r w:rsidR="00F16887">
        <w:rPr>
          <w:b/>
          <w:lang w:val="fr-FR"/>
        </w:rPr>
        <w:t>’</w:t>
      </w:r>
      <w:r w:rsidRPr="00F16887">
        <w:rPr>
          <w:b/>
          <w:lang w:val="fr-FR"/>
        </w:rPr>
        <w:t>intention des nouveaux examinateurs quant au fond de la Division des brevets de l</w:t>
      </w:r>
      <w:r w:rsidR="00F16887">
        <w:rPr>
          <w:b/>
          <w:lang w:val="fr-FR"/>
        </w:rPr>
        <w:t>’</w:t>
      </w:r>
      <w:r w:rsidRPr="00F16887">
        <w:rPr>
          <w:b/>
          <w:lang w:val="fr-FR"/>
        </w:rPr>
        <w:t>IMPI</w:t>
      </w:r>
    </w:p>
    <w:p w14:paraId="0F18E3DC" w14:textId="77777777" w:rsidR="001077E2" w:rsidRPr="00F16887" w:rsidRDefault="001077E2" w:rsidP="00C95B35">
      <w:pPr>
        <w:keepNext/>
        <w:tabs>
          <w:tab w:val="left" w:pos="1999"/>
        </w:tabs>
        <w:rPr>
          <w:sz w:val="20"/>
          <w:lang w:val="fr-FR"/>
        </w:rPr>
      </w:pPr>
    </w:p>
    <w:p w14:paraId="48EA34C1" w14:textId="77777777" w:rsidR="001077E2" w:rsidRPr="00F16887" w:rsidRDefault="001077E2" w:rsidP="00C95B35">
      <w:pPr>
        <w:keepNext/>
        <w:jc w:val="center"/>
        <w:rPr>
          <w:b/>
          <w:lang w:val="fr-FR"/>
        </w:rPr>
      </w:pPr>
      <w:r w:rsidRPr="00F16887">
        <w:rPr>
          <w:b/>
          <w:lang w:val="fr-FR"/>
        </w:rPr>
        <w:t>Programme</w:t>
      </w:r>
    </w:p>
    <w:p w14:paraId="5BF6B50A" w14:textId="77777777" w:rsidR="001077E2" w:rsidRPr="00F16887" w:rsidRDefault="001077E2" w:rsidP="00C95B35">
      <w:pPr>
        <w:keepNext/>
        <w:jc w:val="center"/>
        <w:rPr>
          <w:b/>
          <w:color w:val="245C4F"/>
          <w:lang w:val="fr-FR"/>
        </w:rPr>
      </w:pPr>
    </w:p>
    <w:tbl>
      <w:tblPr>
        <w:tblStyle w:val="TableGrid"/>
        <w:tblW w:w="0" w:type="auto"/>
        <w:jc w:val="center"/>
        <w:tblLook w:val="04A0" w:firstRow="1" w:lastRow="0" w:firstColumn="1" w:lastColumn="0" w:noHBand="0" w:noVBand="1"/>
        <w:tblCaption w:val="Programme de formation à l’intention des nouveaux examinateurs quant au fond de la Division des brevets de l’IMPI"/>
        <w:tblDescription w:val="Ce tableau montre les 10 modules que les nouveaux examinateurs de brevets doivent suivre dans leur programme de formation lorsqu’ils intègrent l’IMPI."/>
      </w:tblPr>
      <w:tblGrid>
        <w:gridCol w:w="1550"/>
        <w:gridCol w:w="3404"/>
        <w:gridCol w:w="4109"/>
      </w:tblGrid>
      <w:tr w:rsidR="001077E2" w:rsidRPr="00F16887" w14:paraId="74C2F7EE" w14:textId="77777777" w:rsidTr="00D113DB">
        <w:trPr>
          <w:jc w:val="center"/>
        </w:trPr>
        <w:tc>
          <w:tcPr>
            <w:tcW w:w="1550" w:type="dxa"/>
          </w:tcPr>
          <w:p w14:paraId="228C342D" w14:textId="10D21EF7" w:rsidR="001077E2" w:rsidRPr="00F16887" w:rsidRDefault="001077E2" w:rsidP="00F16887">
            <w:pPr>
              <w:jc w:val="both"/>
              <w:rPr>
                <w:sz w:val="20"/>
              </w:rPr>
            </w:pPr>
            <w:r w:rsidRPr="00F16887">
              <w:rPr>
                <w:b/>
                <w:sz w:val="20"/>
              </w:rPr>
              <w:t>Objectif</w:t>
            </w:r>
            <w:r w:rsidR="00F16887">
              <w:rPr>
                <w:b/>
                <w:sz w:val="20"/>
              </w:rPr>
              <w:t> :</w:t>
            </w:r>
          </w:p>
        </w:tc>
        <w:tc>
          <w:tcPr>
            <w:tcW w:w="7513" w:type="dxa"/>
            <w:gridSpan w:val="2"/>
          </w:tcPr>
          <w:p w14:paraId="23785ACA" w14:textId="77777777" w:rsidR="00F16887" w:rsidRDefault="001077E2" w:rsidP="00F16887">
            <w:pPr>
              <w:jc w:val="both"/>
              <w:rPr>
                <w:sz w:val="20"/>
              </w:rPr>
            </w:pPr>
            <w:r w:rsidRPr="00F16887">
              <w:rPr>
                <w:sz w:val="20"/>
              </w:rPr>
              <w:t>Définir les lignes directrices générales que les examinateurs de brevets doivent suivre lors des examens quant au fond, afin de déterminer les tâches à accomplir et leur hiérarchie respective.</w:t>
            </w:r>
          </w:p>
          <w:p w14:paraId="42FF8B60" w14:textId="6573B875" w:rsidR="001077E2" w:rsidRPr="00F16887" w:rsidRDefault="001077E2" w:rsidP="00F16887">
            <w:pPr>
              <w:jc w:val="both"/>
              <w:rPr>
                <w:sz w:val="20"/>
              </w:rPr>
            </w:pPr>
          </w:p>
          <w:p w14:paraId="6092BD83" w14:textId="140370B7" w:rsidR="001077E2" w:rsidRPr="00F16887" w:rsidRDefault="001077E2" w:rsidP="00F16887">
            <w:pPr>
              <w:jc w:val="both"/>
              <w:rPr>
                <w:sz w:val="20"/>
              </w:rPr>
            </w:pPr>
            <w:r w:rsidRPr="00F16887">
              <w:rPr>
                <w:sz w:val="20"/>
              </w:rPr>
              <w:t>Durée</w:t>
            </w:r>
            <w:r w:rsidR="00F16887">
              <w:rPr>
                <w:sz w:val="20"/>
              </w:rPr>
              <w:t> :</w:t>
            </w:r>
            <w:r w:rsidRPr="00F16887">
              <w:rPr>
                <w:sz w:val="20"/>
              </w:rPr>
              <w:t xml:space="preserve"> 51 heures</w:t>
            </w:r>
          </w:p>
          <w:p w14:paraId="787D2A0C" w14:textId="77777777" w:rsidR="001077E2" w:rsidRPr="00F16887" w:rsidRDefault="001077E2" w:rsidP="00F16887">
            <w:pPr>
              <w:jc w:val="both"/>
              <w:rPr>
                <w:sz w:val="20"/>
              </w:rPr>
            </w:pPr>
          </w:p>
        </w:tc>
      </w:tr>
      <w:tr w:rsidR="001077E2" w:rsidRPr="00F16887" w14:paraId="2846AACA" w14:textId="77777777" w:rsidTr="00D113DB">
        <w:trPr>
          <w:jc w:val="center"/>
        </w:trPr>
        <w:tc>
          <w:tcPr>
            <w:tcW w:w="9063" w:type="dxa"/>
            <w:gridSpan w:val="3"/>
            <w:tcBorders>
              <w:bottom w:val="single" w:sz="4" w:space="0" w:color="auto"/>
            </w:tcBorders>
          </w:tcPr>
          <w:p w14:paraId="76AE631D" w14:textId="77777777" w:rsidR="001077E2" w:rsidRPr="00F16887" w:rsidRDefault="001077E2" w:rsidP="00F16887">
            <w:pPr>
              <w:rPr>
                <w:b/>
                <w:bCs/>
                <w:color w:val="621132"/>
                <w:sz w:val="20"/>
              </w:rPr>
            </w:pPr>
          </w:p>
          <w:p w14:paraId="1B1D40E7" w14:textId="695F77B4" w:rsidR="001077E2" w:rsidRPr="00F16887" w:rsidRDefault="001077E2" w:rsidP="00F16887">
            <w:pPr>
              <w:rPr>
                <w:b/>
                <w:bCs/>
                <w:color w:val="621132"/>
                <w:sz w:val="20"/>
              </w:rPr>
            </w:pPr>
            <w:r w:rsidRPr="00F16887">
              <w:rPr>
                <w:b/>
                <w:color w:val="621132"/>
                <w:sz w:val="20"/>
              </w:rPr>
              <w:t>Module I.</w:t>
            </w:r>
            <w:r w:rsidR="00B22F9C">
              <w:rPr>
                <w:b/>
                <w:color w:val="621132"/>
                <w:sz w:val="20"/>
              </w:rPr>
              <w:t> </w:t>
            </w:r>
            <w:r w:rsidRPr="00F16887">
              <w:rPr>
                <w:b/>
                <w:color w:val="621132"/>
                <w:sz w:val="20"/>
              </w:rPr>
              <w:t>Connaissances générales en matière d</w:t>
            </w:r>
            <w:r w:rsidR="00F16887">
              <w:rPr>
                <w:b/>
                <w:color w:val="621132"/>
                <w:sz w:val="20"/>
              </w:rPr>
              <w:t>’</w:t>
            </w:r>
            <w:r w:rsidRPr="00F16887">
              <w:rPr>
                <w:b/>
                <w:color w:val="621132"/>
                <w:sz w:val="20"/>
              </w:rPr>
              <w:t>examen des brevets</w:t>
            </w:r>
          </w:p>
          <w:p w14:paraId="4C4FB103" w14:textId="77777777" w:rsidR="001077E2" w:rsidRPr="00F16887" w:rsidRDefault="001077E2" w:rsidP="00F16887">
            <w:pPr>
              <w:jc w:val="both"/>
              <w:rPr>
                <w:color w:val="4A442A" w:themeColor="background2" w:themeShade="40"/>
                <w:sz w:val="20"/>
              </w:rPr>
            </w:pPr>
          </w:p>
        </w:tc>
      </w:tr>
      <w:tr w:rsidR="001077E2" w:rsidRPr="00F16887" w14:paraId="4204061A"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3A12D409" w14:textId="77777777" w:rsidR="001077E2" w:rsidRPr="00F16887" w:rsidRDefault="001077E2" w:rsidP="00F16887">
            <w:pPr>
              <w:jc w:val="center"/>
              <w:rPr>
                <w:b/>
                <w:color w:val="621132"/>
                <w:sz w:val="20"/>
              </w:rPr>
            </w:pPr>
            <w:r w:rsidRPr="00F16887">
              <w:rPr>
                <w:b/>
                <w:color w:val="621132"/>
                <w:sz w:val="20"/>
              </w:rPr>
              <w:t>Thème</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7F5D3023" w14:textId="77777777" w:rsidR="001077E2" w:rsidRPr="00F16887" w:rsidRDefault="001077E2" w:rsidP="00F16887">
            <w:pPr>
              <w:jc w:val="center"/>
              <w:rPr>
                <w:b/>
                <w:color w:val="621132"/>
                <w:sz w:val="20"/>
              </w:rPr>
            </w:pPr>
            <w:r w:rsidRPr="00F16887">
              <w:rPr>
                <w:b/>
                <w:color w:val="621132"/>
                <w:sz w:val="20"/>
              </w:rPr>
              <w:t>Points à aborder/activités</w:t>
            </w:r>
          </w:p>
          <w:p w14:paraId="350CAADF" w14:textId="77777777" w:rsidR="001077E2" w:rsidRPr="00F16887" w:rsidRDefault="001077E2" w:rsidP="00F16887">
            <w:pPr>
              <w:jc w:val="center"/>
              <w:rPr>
                <w:b/>
                <w:color w:val="621132"/>
                <w:sz w:val="20"/>
              </w:rPr>
            </w:pPr>
          </w:p>
        </w:tc>
      </w:tr>
      <w:tr w:rsidR="001077E2" w:rsidRPr="00F16887" w14:paraId="54F34E9E"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18A5A748" w14:textId="77777777" w:rsidR="00F16887" w:rsidRDefault="001077E2" w:rsidP="00F16887">
            <w:pPr>
              <w:pStyle w:val="ListParagraph"/>
              <w:numPr>
                <w:ilvl w:val="0"/>
                <w:numId w:val="10"/>
              </w:numPr>
              <w:ind w:left="459" w:hanging="283"/>
              <w:contextualSpacing w:val="0"/>
              <w:jc w:val="both"/>
              <w:rPr>
                <w:b/>
                <w:bCs/>
                <w:sz w:val="20"/>
              </w:rPr>
            </w:pPr>
            <w:r w:rsidRPr="00F16887">
              <w:rPr>
                <w:b/>
                <w:sz w:val="20"/>
              </w:rPr>
              <w:t xml:space="preserve"> Introduction</w:t>
            </w:r>
          </w:p>
          <w:p w14:paraId="3239F69F" w14:textId="2BE904C4" w:rsidR="00F16887" w:rsidRDefault="001077E2" w:rsidP="00F16887">
            <w:pPr>
              <w:pStyle w:val="ListParagraph"/>
              <w:numPr>
                <w:ilvl w:val="1"/>
                <w:numId w:val="10"/>
              </w:numPr>
              <w:ind w:left="459" w:hanging="283"/>
              <w:contextualSpacing w:val="0"/>
              <w:jc w:val="both"/>
              <w:rPr>
                <w:sz w:val="20"/>
              </w:rPr>
            </w:pPr>
            <w:r w:rsidRPr="00F16887">
              <w:rPr>
                <w:sz w:val="20"/>
              </w:rPr>
              <w:t>Présentation de l</w:t>
            </w:r>
            <w:r w:rsidR="00F16887">
              <w:rPr>
                <w:sz w:val="20"/>
              </w:rPr>
              <w:t>’</w:t>
            </w:r>
            <w:r w:rsidRPr="00F16887">
              <w:rPr>
                <w:sz w:val="20"/>
              </w:rPr>
              <w:t>IMPI</w:t>
            </w:r>
          </w:p>
          <w:p w14:paraId="2E531876" w14:textId="77777777" w:rsidR="00F16887" w:rsidRDefault="001077E2" w:rsidP="00F16887">
            <w:pPr>
              <w:pStyle w:val="ListParagraph"/>
              <w:numPr>
                <w:ilvl w:val="1"/>
                <w:numId w:val="10"/>
              </w:numPr>
              <w:ind w:left="459" w:hanging="283"/>
              <w:contextualSpacing w:val="0"/>
              <w:jc w:val="both"/>
              <w:rPr>
                <w:sz w:val="20"/>
              </w:rPr>
            </w:pPr>
            <w:r w:rsidRPr="00F16887">
              <w:rPr>
                <w:sz w:val="20"/>
              </w:rPr>
              <w:t>Structure de la Division des brevets</w:t>
            </w:r>
          </w:p>
          <w:p w14:paraId="1A5732FD" w14:textId="3C392B5E" w:rsidR="001077E2" w:rsidRPr="00F16887" w:rsidRDefault="001077E2" w:rsidP="00F16887">
            <w:pPr>
              <w:pStyle w:val="ListParagraph"/>
              <w:numPr>
                <w:ilvl w:val="1"/>
                <w:numId w:val="10"/>
              </w:numPr>
              <w:ind w:left="459" w:hanging="283"/>
              <w:contextualSpacing w:val="0"/>
              <w:jc w:val="both"/>
              <w:rPr>
                <w:sz w:val="20"/>
              </w:rPr>
            </w:pPr>
            <w:r w:rsidRPr="00F16887">
              <w:rPr>
                <w:sz w:val="20"/>
              </w:rPr>
              <w:t>Concepts juridiques relatifs aux inventions</w:t>
            </w:r>
            <w:r w:rsidR="00F16887">
              <w:rPr>
                <w:sz w:val="20"/>
              </w:rPr>
              <w:t> :</w:t>
            </w:r>
            <w:r w:rsidRPr="00F16887">
              <w:rPr>
                <w:sz w:val="20"/>
              </w:rPr>
              <w:t xml:space="preserve"> brevets, modèles d</w:t>
            </w:r>
            <w:r w:rsidR="00F16887">
              <w:rPr>
                <w:sz w:val="20"/>
              </w:rPr>
              <w:t>’</w:t>
            </w:r>
            <w:r w:rsidRPr="00F16887">
              <w:rPr>
                <w:sz w:val="20"/>
              </w:rPr>
              <w:t>utilité et dessins et modèles industriels</w:t>
            </w:r>
          </w:p>
          <w:p w14:paraId="1E4BC7C4" w14:textId="77777777" w:rsidR="001077E2" w:rsidRPr="00F16887" w:rsidRDefault="001077E2" w:rsidP="00F16887">
            <w:pPr>
              <w:jc w:val="both"/>
              <w:rPr>
                <w:sz w:val="20"/>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5C3B68FE" w14:textId="77777777" w:rsidR="001077E2" w:rsidRPr="00F16887" w:rsidRDefault="001077E2" w:rsidP="00F16887">
            <w:pPr>
              <w:jc w:val="both"/>
              <w:rPr>
                <w:sz w:val="20"/>
              </w:rPr>
            </w:pPr>
          </w:p>
          <w:p w14:paraId="6E37BA5A" w14:textId="1D9F02F5" w:rsidR="001077E2" w:rsidRPr="00F16887" w:rsidRDefault="001077E2" w:rsidP="00F16887">
            <w:pPr>
              <w:jc w:val="both"/>
              <w:rPr>
                <w:sz w:val="20"/>
              </w:rPr>
            </w:pPr>
            <w:r w:rsidRPr="00F16887">
              <w:rPr>
                <w:sz w:val="20"/>
              </w:rPr>
              <w:t>Qu</w:t>
            </w:r>
            <w:r w:rsidR="00F16887">
              <w:rPr>
                <w:sz w:val="20"/>
              </w:rPr>
              <w:t>’</w:t>
            </w:r>
            <w:r w:rsidRPr="00F16887">
              <w:rPr>
                <w:sz w:val="20"/>
              </w:rPr>
              <w:t>est</w:t>
            </w:r>
            <w:r w:rsidR="00C95B35">
              <w:rPr>
                <w:sz w:val="20"/>
              </w:rPr>
              <w:noBreakHyphen/>
            </w:r>
            <w:r w:rsidRPr="00F16887">
              <w:rPr>
                <w:sz w:val="20"/>
              </w:rPr>
              <w:t>ce qu</w:t>
            </w:r>
            <w:r w:rsidR="00F16887">
              <w:rPr>
                <w:sz w:val="20"/>
              </w:rPr>
              <w:t>’</w:t>
            </w:r>
            <w:r w:rsidRPr="00F16887">
              <w:rPr>
                <w:sz w:val="20"/>
              </w:rPr>
              <w:t>une invention?</w:t>
            </w:r>
          </w:p>
          <w:p w14:paraId="6AF505FB" w14:textId="7A2C25CB" w:rsidR="001077E2" w:rsidRPr="00F16887" w:rsidRDefault="001077E2" w:rsidP="00F16887">
            <w:pPr>
              <w:jc w:val="both"/>
              <w:rPr>
                <w:b/>
                <w:bCs/>
                <w:sz w:val="20"/>
              </w:rPr>
            </w:pPr>
            <w:r w:rsidRPr="00F16887">
              <w:rPr>
                <w:sz w:val="20"/>
              </w:rPr>
              <w:t>Pourquoi est</w:t>
            </w:r>
            <w:r w:rsidR="00C95B35">
              <w:rPr>
                <w:sz w:val="20"/>
              </w:rPr>
              <w:noBreakHyphen/>
            </w:r>
            <w:r w:rsidRPr="00F16887">
              <w:rPr>
                <w:sz w:val="20"/>
              </w:rPr>
              <w:t>il important de protéger un nouveau progrès technologique?</w:t>
            </w:r>
          </w:p>
        </w:tc>
      </w:tr>
      <w:tr w:rsidR="001077E2" w:rsidRPr="00F16887" w14:paraId="44A64F74"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81"/>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151BD48C" w14:textId="0A3BC65D" w:rsidR="001077E2" w:rsidRPr="00F16887" w:rsidRDefault="001077E2" w:rsidP="00F16887">
            <w:pPr>
              <w:ind w:left="176"/>
              <w:jc w:val="both"/>
              <w:rPr>
                <w:b/>
                <w:bCs/>
                <w:sz w:val="20"/>
              </w:rPr>
            </w:pPr>
            <w:r w:rsidRPr="00F16887">
              <w:rPr>
                <w:sz w:val="20"/>
              </w:rPr>
              <w:t>1.4 Loi fédérale sur la propriété industrielle et son règlement d</w:t>
            </w:r>
            <w:r w:rsidR="00F16887">
              <w:rPr>
                <w:sz w:val="20"/>
              </w:rPr>
              <w:t>’</w:t>
            </w:r>
            <w:r w:rsidRPr="00F16887">
              <w:rPr>
                <w:sz w:val="20"/>
              </w:rPr>
              <w:t>exécution</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7B5CDD5" w14:textId="4A4C5D72" w:rsidR="001077E2" w:rsidRPr="00F16887" w:rsidRDefault="001077E2" w:rsidP="00F16887">
            <w:pPr>
              <w:jc w:val="both"/>
              <w:rPr>
                <w:sz w:val="20"/>
              </w:rPr>
            </w:pPr>
            <w:r w:rsidRPr="00F16887">
              <w:rPr>
                <w:sz w:val="20"/>
              </w:rPr>
              <w:t>Les participants recevront des liens vers le cadre juridique national et international et vers les guides pratiques de l</w:t>
            </w:r>
            <w:r w:rsidR="00F16887">
              <w:rPr>
                <w:sz w:val="20"/>
              </w:rPr>
              <w:t>’</w:t>
            </w:r>
            <w:r w:rsidRPr="00F16887">
              <w:rPr>
                <w:sz w:val="20"/>
              </w:rPr>
              <w:t>IMPI.</w:t>
            </w:r>
          </w:p>
        </w:tc>
      </w:tr>
      <w:tr w:rsidR="001077E2" w:rsidRPr="00F16887" w14:paraId="74C1629A"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79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1CC438AC" w14:textId="02C9AE1A" w:rsidR="00F16887" w:rsidRDefault="001077E2" w:rsidP="00F16887">
            <w:pPr>
              <w:pStyle w:val="ListParagraph"/>
              <w:numPr>
                <w:ilvl w:val="1"/>
                <w:numId w:val="11"/>
              </w:numPr>
              <w:ind w:left="459" w:hanging="283"/>
              <w:contextualSpacing w:val="0"/>
              <w:jc w:val="both"/>
              <w:rPr>
                <w:rFonts w:eastAsiaTheme="minorEastAsia"/>
                <w:sz w:val="20"/>
              </w:rPr>
            </w:pPr>
            <w:r w:rsidRPr="00F16887">
              <w:rPr>
                <w:sz w:val="20"/>
              </w:rPr>
              <w:t xml:space="preserve"> Types de demandes de brevets</w:t>
            </w:r>
            <w:r w:rsidR="00F16887">
              <w:rPr>
                <w:sz w:val="20"/>
              </w:rPr>
              <w:t> :</w:t>
            </w:r>
          </w:p>
          <w:p w14:paraId="698F5BC7" w14:textId="77777777" w:rsidR="00F16887" w:rsidRDefault="001077E2" w:rsidP="00C95B35">
            <w:pPr>
              <w:pStyle w:val="ListParagraph"/>
              <w:ind w:left="743" w:hanging="149"/>
              <w:contextualSpacing w:val="0"/>
              <w:jc w:val="both"/>
              <w:rPr>
                <w:rFonts w:eastAsiaTheme="minorEastAsia"/>
                <w:sz w:val="20"/>
              </w:rPr>
            </w:pPr>
            <w:r w:rsidRPr="00F16887">
              <w:rPr>
                <w:sz w:val="20"/>
              </w:rPr>
              <w:t>Voie nationale</w:t>
            </w:r>
          </w:p>
          <w:p w14:paraId="704A25CF" w14:textId="77777777" w:rsidR="00F16887" w:rsidRDefault="001077E2" w:rsidP="00C95B35">
            <w:pPr>
              <w:pStyle w:val="ListParagraph"/>
              <w:ind w:left="743" w:hanging="149"/>
              <w:contextualSpacing w:val="0"/>
              <w:jc w:val="both"/>
              <w:rPr>
                <w:rFonts w:eastAsiaTheme="minorEastAsia"/>
                <w:sz w:val="20"/>
              </w:rPr>
            </w:pPr>
            <w:r w:rsidRPr="00F16887">
              <w:rPr>
                <w:sz w:val="20"/>
              </w:rPr>
              <w:t>Voie PCT</w:t>
            </w:r>
          </w:p>
          <w:p w14:paraId="2697214A" w14:textId="3BC0D8CE" w:rsidR="001077E2" w:rsidRPr="00F16887" w:rsidRDefault="001077E2" w:rsidP="00C95B35">
            <w:pPr>
              <w:pStyle w:val="ListParagraph"/>
              <w:ind w:left="743" w:hanging="149"/>
              <w:contextualSpacing w:val="0"/>
              <w:jc w:val="both"/>
              <w:rPr>
                <w:rFonts w:eastAsiaTheme="minorEastAsia"/>
                <w:sz w:val="20"/>
              </w:rPr>
            </w:pPr>
            <w:r w:rsidRPr="00F16887">
              <w:rPr>
                <w:sz w:val="20"/>
              </w:rPr>
              <w:t>Voie de la Convention de Paris</w:t>
            </w:r>
          </w:p>
          <w:p w14:paraId="0EE4CB68" w14:textId="77777777" w:rsidR="001077E2" w:rsidRPr="00F16887" w:rsidRDefault="001077E2" w:rsidP="00F16887">
            <w:pPr>
              <w:pStyle w:val="ListParagraph"/>
              <w:ind w:left="743" w:hanging="283"/>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7A5C1F1B" w14:textId="7FD4E9DE" w:rsidR="001077E2" w:rsidRPr="00F16887" w:rsidRDefault="001077E2" w:rsidP="00F16887">
            <w:pPr>
              <w:jc w:val="both"/>
              <w:rPr>
                <w:sz w:val="20"/>
              </w:rPr>
            </w:pPr>
            <w:r w:rsidRPr="00F16887">
              <w:rPr>
                <w:sz w:val="20"/>
              </w:rPr>
              <w:t>Exigences pour le dépôt d</w:t>
            </w:r>
            <w:r w:rsidR="00F16887">
              <w:rPr>
                <w:sz w:val="20"/>
              </w:rPr>
              <w:t>’</w:t>
            </w:r>
            <w:r w:rsidRPr="00F16887">
              <w:rPr>
                <w:sz w:val="20"/>
              </w:rPr>
              <w:t>une demande de brevet.</w:t>
            </w:r>
          </w:p>
          <w:p w14:paraId="3B225634" w14:textId="3F1318A2" w:rsidR="001077E2" w:rsidRPr="00F16887" w:rsidRDefault="001077E2" w:rsidP="00F16887">
            <w:pPr>
              <w:jc w:val="both"/>
              <w:rPr>
                <w:sz w:val="20"/>
              </w:rPr>
            </w:pPr>
            <w:r w:rsidRPr="00F16887">
              <w:rPr>
                <w:sz w:val="20"/>
              </w:rPr>
              <w:t>Instruction d</w:t>
            </w:r>
            <w:r w:rsidR="00F16887">
              <w:rPr>
                <w:sz w:val="20"/>
              </w:rPr>
              <w:t>’</w:t>
            </w:r>
            <w:r w:rsidRPr="00F16887">
              <w:rPr>
                <w:sz w:val="20"/>
              </w:rPr>
              <w:t>une demande internationale (PCT).</w:t>
            </w:r>
          </w:p>
          <w:p w14:paraId="2F51EB6C" w14:textId="7DDB1558" w:rsidR="001077E2" w:rsidRPr="00F16887" w:rsidRDefault="001077E2" w:rsidP="00F16887">
            <w:pPr>
              <w:jc w:val="both"/>
              <w:rPr>
                <w:b/>
                <w:bCs/>
                <w:sz w:val="20"/>
              </w:rPr>
            </w:pPr>
            <w:r w:rsidRPr="00F16887">
              <w:rPr>
                <w:sz w:val="20"/>
              </w:rPr>
              <w:t>Instruction d</w:t>
            </w:r>
            <w:r w:rsidR="00F16887">
              <w:rPr>
                <w:sz w:val="20"/>
              </w:rPr>
              <w:t>’</w:t>
            </w:r>
            <w:r w:rsidRPr="00F16887">
              <w:rPr>
                <w:sz w:val="20"/>
              </w:rPr>
              <w:t>une demande au titre de la Convention de Paris.</w:t>
            </w:r>
          </w:p>
        </w:tc>
      </w:tr>
      <w:tr w:rsidR="001077E2" w:rsidRPr="00F16887" w14:paraId="1301893C"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86"/>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39F09C04" w14:textId="116C3476" w:rsidR="001077E2" w:rsidRPr="00F16887" w:rsidRDefault="001077E2" w:rsidP="00F16887">
            <w:pPr>
              <w:pStyle w:val="ListParagraph"/>
              <w:numPr>
                <w:ilvl w:val="1"/>
                <w:numId w:val="11"/>
              </w:numPr>
              <w:ind w:left="459" w:hanging="283"/>
              <w:contextualSpacing w:val="0"/>
              <w:jc w:val="both"/>
              <w:rPr>
                <w:rFonts w:eastAsiaTheme="minorEastAsia"/>
                <w:sz w:val="20"/>
              </w:rPr>
            </w:pPr>
            <w:r w:rsidRPr="00F16887">
              <w:rPr>
                <w:sz w:val="20"/>
              </w:rPr>
              <w:t xml:space="preserve"> Fonctions de l</w:t>
            </w:r>
            <w:r w:rsidR="00F16887">
              <w:rPr>
                <w:sz w:val="20"/>
              </w:rPr>
              <w:t>’</w:t>
            </w:r>
            <w:r w:rsidRPr="00F16887">
              <w:rPr>
                <w:sz w:val="20"/>
              </w:rPr>
              <w:t>examinateur quant au fond</w:t>
            </w:r>
            <w:r w:rsidR="00F16887">
              <w:rPr>
                <w:sz w:val="20"/>
              </w:rPr>
              <w:t> :</w:t>
            </w:r>
          </w:p>
          <w:p w14:paraId="5E9E18D9" w14:textId="54F704E8" w:rsidR="001077E2" w:rsidRPr="00F16887" w:rsidRDefault="001077E2" w:rsidP="00C95B35">
            <w:pPr>
              <w:pStyle w:val="ListParagraph"/>
              <w:ind w:left="594"/>
              <w:contextualSpacing w:val="0"/>
              <w:jc w:val="both"/>
              <w:rPr>
                <w:rFonts w:eastAsiaTheme="minorEastAsia"/>
                <w:sz w:val="20"/>
              </w:rPr>
            </w:pPr>
            <w:r w:rsidRPr="00F16887">
              <w:rPr>
                <w:sz w:val="20"/>
              </w:rPr>
              <w:t>Fonctions techniques associées à l</w:t>
            </w:r>
            <w:r w:rsidR="00F16887">
              <w:rPr>
                <w:sz w:val="20"/>
              </w:rPr>
              <w:t>’</w:t>
            </w:r>
            <w:r w:rsidRPr="00F16887">
              <w:rPr>
                <w:sz w:val="20"/>
              </w:rPr>
              <w:t>examen quant au fond</w:t>
            </w:r>
          </w:p>
          <w:p w14:paraId="722C1D0A" w14:textId="1D253C06" w:rsidR="001077E2" w:rsidRPr="00F16887" w:rsidRDefault="001077E2" w:rsidP="00C95B35">
            <w:pPr>
              <w:pStyle w:val="ListParagraph"/>
              <w:ind w:left="594"/>
              <w:contextualSpacing w:val="0"/>
              <w:jc w:val="both"/>
              <w:rPr>
                <w:rFonts w:eastAsiaTheme="minorEastAsia"/>
                <w:sz w:val="20"/>
              </w:rPr>
            </w:pPr>
            <w:r w:rsidRPr="00F16887">
              <w:rPr>
                <w:sz w:val="20"/>
              </w:rPr>
              <w:t>Éthique de l</w:t>
            </w:r>
            <w:r w:rsidR="00F16887">
              <w:rPr>
                <w:sz w:val="20"/>
              </w:rPr>
              <w:t>’</w:t>
            </w:r>
            <w:r w:rsidRPr="00F16887">
              <w:rPr>
                <w:sz w:val="20"/>
              </w:rPr>
              <w:t>examinateur de brevets</w:t>
            </w:r>
          </w:p>
          <w:p w14:paraId="2162EB2A" w14:textId="77777777" w:rsidR="001077E2" w:rsidRPr="00F16887" w:rsidRDefault="001077E2" w:rsidP="00F16887">
            <w:pPr>
              <w:pStyle w:val="ListParagraph"/>
              <w:ind w:left="459"/>
              <w:contextualSpacing w:val="0"/>
              <w:jc w:val="both"/>
              <w:rPr>
                <w:rFonts w:eastAsiaTheme="minorEastAsia"/>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AE47EB3" w14:textId="2B2F6E26" w:rsidR="001077E2" w:rsidRPr="00F16887" w:rsidRDefault="001077E2" w:rsidP="00F16887">
            <w:pPr>
              <w:jc w:val="both"/>
              <w:rPr>
                <w:sz w:val="20"/>
              </w:rPr>
            </w:pPr>
            <w:r w:rsidRPr="00F16887">
              <w:rPr>
                <w:sz w:val="20"/>
              </w:rPr>
              <w:t>Activités à effectuer, confidentialité, conflit d</w:t>
            </w:r>
            <w:r w:rsidR="00F16887">
              <w:rPr>
                <w:sz w:val="20"/>
              </w:rPr>
              <w:t>’</w:t>
            </w:r>
            <w:r w:rsidRPr="00F16887">
              <w:rPr>
                <w:sz w:val="20"/>
              </w:rPr>
              <w:t>intérêts, interruption d</w:t>
            </w:r>
            <w:r w:rsidR="00F16887">
              <w:rPr>
                <w:sz w:val="20"/>
              </w:rPr>
              <w:t>’</w:t>
            </w:r>
            <w:r w:rsidRPr="00F16887">
              <w:rPr>
                <w:sz w:val="20"/>
              </w:rPr>
              <w:t>un an à la fin du contrat avant de se lancer dans la même activité.</w:t>
            </w:r>
          </w:p>
          <w:p w14:paraId="5ADD8E10" w14:textId="77777777" w:rsidR="001077E2" w:rsidRPr="00F16887" w:rsidRDefault="001077E2" w:rsidP="00F16887">
            <w:pPr>
              <w:jc w:val="both"/>
              <w:rPr>
                <w:sz w:val="20"/>
              </w:rPr>
            </w:pPr>
            <w:r w:rsidRPr="00F16887">
              <w:rPr>
                <w:sz w:val="20"/>
              </w:rPr>
              <w:t>Communication via le module des brevets (PatMod).</w:t>
            </w:r>
          </w:p>
          <w:p w14:paraId="009FF187" w14:textId="3030E607" w:rsidR="001077E2" w:rsidRPr="00F16887" w:rsidRDefault="001077E2" w:rsidP="00F16887">
            <w:pPr>
              <w:jc w:val="both"/>
              <w:rPr>
                <w:sz w:val="20"/>
              </w:rPr>
            </w:pPr>
            <w:r w:rsidRPr="00F16887">
              <w:rPr>
                <w:sz w:val="20"/>
              </w:rPr>
              <w:t>Code de déontologie et comité d</w:t>
            </w:r>
            <w:r w:rsidR="00F16887">
              <w:rPr>
                <w:sz w:val="20"/>
              </w:rPr>
              <w:t>’</w:t>
            </w:r>
            <w:r w:rsidRPr="00F16887">
              <w:rPr>
                <w:sz w:val="20"/>
              </w:rPr>
              <w:t>éthique.</w:t>
            </w:r>
          </w:p>
        </w:tc>
      </w:tr>
      <w:tr w:rsidR="001077E2" w:rsidRPr="00F16887" w14:paraId="0A1570F0"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3CFA7753" w14:textId="0892EFE2" w:rsidR="001077E2" w:rsidRPr="00F16887" w:rsidRDefault="001077E2" w:rsidP="00F16887">
            <w:pPr>
              <w:pStyle w:val="ListParagraph"/>
              <w:numPr>
                <w:ilvl w:val="1"/>
                <w:numId w:val="11"/>
              </w:numPr>
              <w:tabs>
                <w:tab w:val="left" w:pos="514"/>
              </w:tabs>
              <w:ind w:hanging="643"/>
              <w:contextualSpacing w:val="0"/>
              <w:jc w:val="both"/>
              <w:rPr>
                <w:sz w:val="20"/>
              </w:rPr>
            </w:pPr>
            <w:r w:rsidRPr="00F16887">
              <w:rPr>
                <w:sz w:val="20"/>
              </w:rPr>
              <w:t>Cycle de vie d</w:t>
            </w:r>
            <w:r w:rsidR="00F16887">
              <w:rPr>
                <w:sz w:val="20"/>
              </w:rPr>
              <w:t>’</w:t>
            </w:r>
            <w:r w:rsidRPr="00F16887">
              <w:rPr>
                <w:sz w:val="20"/>
              </w:rPr>
              <w:t>un dossier</w:t>
            </w:r>
          </w:p>
          <w:p w14:paraId="6FC076CA" w14:textId="77777777" w:rsidR="001077E2" w:rsidRPr="00F16887" w:rsidRDefault="001077E2" w:rsidP="00F16887">
            <w:pPr>
              <w:pStyle w:val="ListParagraph"/>
              <w:tabs>
                <w:tab w:val="left" w:pos="514"/>
              </w:tabs>
              <w:ind w:left="819"/>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459A1E6A" w14:textId="6A3960E3" w:rsidR="001077E2" w:rsidRPr="00F16887" w:rsidRDefault="001077E2" w:rsidP="00F16887">
            <w:pPr>
              <w:tabs>
                <w:tab w:val="left" w:pos="514"/>
              </w:tabs>
              <w:ind w:left="516" w:hanging="516"/>
              <w:rPr>
                <w:sz w:val="20"/>
              </w:rPr>
            </w:pPr>
            <w:r w:rsidRPr="00F16887">
              <w:rPr>
                <w:sz w:val="20"/>
              </w:rPr>
              <w:t>Instruction d</w:t>
            </w:r>
            <w:r w:rsidR="00F16887">
              <w:rPr>
                <w:sz w:val="20"/>
              </w:rPr>
              <w:t>’</w:t>
            </w:r>
            <w:r w:rsidRPr="00F16887">
              <w:rPr>
                <w:sz w:val="20"/>
              </w:rPr>
              <w:t>une demande de brevet (calendrier).</w:t>
            </w:r>
          </w:p>
          <w:p w14:paraId="448DAC3D" w14:textId="3AF793C0" w:rsidR="001077E2" w:rsidRPr="00F16887" w:rsidRDefault="001077E2" w:rsidP="00F16887">
            <w:pPr>
              <w:ind w:left="38" w:hanging="38"/>
              <w:rPr>
                <w:b/>
                <w:bCs/>
                <w:sz w:val="20"/>
              </w:rPr>
            </w:pPr>
            <w:r w:rsidRPr="00F16887">
              <w:rPr>
                <w:sz w:val="20"/>
              </w:rPr>
              <w:t>Les tâches impliquées dans chaque service pour l</w:t>
            </w:r>
            <w:r w:rsidR="00F16887">
              <w:rPr>
                <w:sz w:val="20"/>
              </w:rPr>
              <w:t>’</w:t>
            </w:r>
            <w:r w:rsidRPr="00F16887">
              <w:rPr>
                <w:sz w:val="20"/>
              </w:rPr>
              <w:t>octroi d</w:t>
            </w:r>
            <w:r w:rsidR="00F16887">
              <w:rPr>
                <w:sz w:val="20"/>
              </w:rPr>
              <w:t>’</w:t>
            </w:r>
            <w:r w:rsidRPr="00F16887">
              <w:rPr>
                <w:sz w:val="20"/>
              </w:rPr>
              <w:t>un brevet (guichet, forme, fond et juridique).</w:t>
            </w:r>
          </w:p>
        </w:tc>
      </w:tr>
      <w:tr w:rsidR="001077E2" w:rsidRPr="00F16887" w14:paraId="4ED6B511"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739A5351" w14:textId="0CAA92D1" w:rsidR="001077E2" w:rsidRPr="00F16887" w:rsidRDefault="001077E2" w:rsidP="00F16887">
            <w:pPr>
              <w:pStyle w:val="ListParagraph"/>
              <w:numPr>
                <w:ilvl w:val="1"/>
                <w:numId w:val="11"/>
              </w:numPr>
              <w:tabs>
                <w:tab w:val="left" w:pos="514"/>
              </w:tabs>
              <w:ind w:hanging="643"/>
              <w:contextualSpacing w:val="0"/>
              <w:jc w:val="both"/>
              <w:rPr>
                <w:sz w:val="20"/>
              </w:rPr>
            </w:pPr>
            <w:r w:rsidRPr="00F16887">
              <w:rPr>
                <w:sz w:val="20"/>
              </w:rPr>
              <w:t>Exceptions à la brevetabilité et non</w:t>
            </w:r>
            <w:r w:rsidR="00C95B35">
              <w:rPr>
                <w:sz w:val="20"/>
              </w:rPr>
              <w:noBreakHyphen/>
            </w:r>
            <w:r w:rsidRPr="00F16887">
              <w:rPr>
                <w:sz w:val="20"/>
              </w:rPr>
              <w:t>inventions.</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027B4A1C" w14:textId="53BC2F7D" w:rsidR="001077E2" w:rsidRPr="00F16887" w:rsidRDefault="001077E2" w:rsidP="00F16887">
            <w:pPr>
              <w:tabs>
                <w:tab w:val="left" w:pos="514"/>
              </w:tabs>
              <w:rPr>
                <w:sz w:val="20"/>
              </w:rPr>
            </w:pPr>
            <w:r w:rsidRPr="00F16887">
              <w:rPr>
                <w:sz w:val="20"/>
              </w:rPr>
              <w:t>Identification des cas d</w:t>
            </w:r>
            <w:r w:rsidR="00F16887">
              <w:rPr>
                <w:sz w:val="20"/>
              </w:rPr>
              <w:t>’</w:t>
            </w:r>
            <w:r w:rsidRPr="00F16887">
              <w:rPr>
                <w:sz w:val="20"/>
              </w:rPr>
              <w:t>exceptions ou de non</w:t>
            </w:r>
            <w:r w:rsidR="00C95B35">
              <w:rPr>
                <w:sz w:val="20"/>
              </w:rPr>
              <w:noBreakHyphen/>
            </w:r>
            <w:r w:rsidRPr="00F16887">
              <w:rPr>
                <w:sz w:val="20"/>
              </w:rPr>
              <w:t>inventions.</w:t>
            </w:r>
          </w:p>
        </w:tc>
      </w:tr>
      <w:tr w:rsidR="001077E2" w:rsidRPr="00F16887" w14:paraId="53AF97DA"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1DED1D0E" w14:textId="4E956EAF" w:rsidR="001077E2" w:rsidRPr="00F16887" w:rsidRDefault="001077E2" w:rsidP="00F16887">
            <w:pPr>
              <w:keepNext/>
              <w:keepLines/>
              <w:rPr>
                <w:b/>
                <w:bCs/>
                <w:color w:val="621132"/>
                <w:sz w:val="20"/>
              </w:rPr>
            </w:pPr>
            <w:r w:rsidRPr="00F16887">
              <w:rPr>
                <w:b/>
                <w:color w:val="621132"/>
                <w:sz w:val="20"/>
              </w:rPr>
              <w:lastRenderedPageBreak/>
              <w:t xml:space="preserve">Module II. </w:t>
            </w:r>
            <w:r w:rsidR="00B22F9C">
              <w:rPr>
                <w:b/>
                <w:color w:val="621132"/>
                <w:sz w:val="20"/>
              </w:rPr>
              <w:t xml:space="preserve"> </w:t>
            </w:r>
            <w:r w:rsidRPr="00F16887">
              <w:rPr>
                <w:b/>
                <w:color w:val="621132"/>
                <w:sz w:val="20"/>
              </w:rPr>
              <w:t>Comment travailler sur une demande de brevet?</w:t>
            </w:r>
          </w:p>
          <w:p w14:paraId="2C805E54" w14:textId="77777777" w:rsidR="001077E2" w:rsidRPr="00F16887" w:rsidRDefault="001077E2" w:rsidP="00F16887">
            <w:pPr>
              <w:keepNext/>
              <w:keepLines/>
              <w:tabs>
                <w:tab w:val="left" w:pos="514"/>
              </w:tabs>
              <w:ind w:left="516" w:hanging="516"/>
              <w:rPr>
                <w:color w:val="13322B"/>
                <w:sz w:val="20"/>
              </w:rPr>
            </w:pPr>
          </w:p>
        </w:tc>
      </w:tr>
      <w:tr w:rsidR="001077E2" w:rsidRPr="00F16887" w14:paraId="1D9D7F60"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12617026" w14:textId="77777777" w:rsidR="001077E2" w:rsidRPr="00F16887" w:rsidRDefault="001077E2" w:rsidP="00F16887">
            <w:pPr>
              <w:keepNext/>
              <w:keepLines/>
              <w:jc w:val="center"/>
              <w:rPr>
                <w:b/>
                <w:color w:val="621132"/>
                <w:sz w:val="20"/>
              </w:rPr>
            </w:pPr>
            <w:r w:rsidRPr="00F16887">
              <w:rPr>
                <w:b/>
                <w:color w:val="621132"/>
                <w:sz w:val="20"/>
              </w:rPr>
              <w:t>Thème</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3F180F23" w14:textId="77777777" w:rsidR="001077E2" w:rsidRPr="00F16887" w:rsidRDefault="001077E2" w:rsidP="00F16887">
            <w:pPr>
              <w:jc w:val="center"/>
              <w:rPr>
                <w:b/>
                <w:color w:val="621132"/>
                <w:sz w:val="20"/>
              </w:rPr>
            </w:pPr>
            <w:r w:rsidRPr="00F16887">
              <w:rPr>
                <w:b/>
                <w:color w:val="621132"/>
                <w:sz w:val="20"/>
              </w:rPr>
              <w:t>Points à aborder/activités</w:t>
            </w:r>
          </w:p>
          <w:p w14:paraId="1909876F" w14:textId="77777777" w:rsidR="001077E2" w:rsidRPr="00F16887" w:rsidRDefault="001077E2" w:rsidP="00F16887">
            <w:pPr>
              <w:jc w:val="center"/>
              <w:rPr>
                <w:b/>
                <w:color w:val="621132"/>
                <w:sz w:val="20"/>
              </w:rPr>
            </w:pPr>
          </w:p>
        </w:tc>
      </w:tr>
      <w:tr w:rsidR="001077E2" w:rsidRPr="00F16887" w14:paraId="2604DADE"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0A13BD26" w14:textId="10EE3BEF" w:rsidR="00F16887" w:rsidRDefault="001077E2" w:rsidP="00F16887">
            <w:pPr>
              <w:pStyle w:val="ListParagraph"/>
              <w:keepNext/>
              <w:keepLines/>
              <w:numPr>
                <w:ilvl w:val="0"/>
                <w:numId w:val="10"/>
              </w:numPr>
              <w:ind w:left="459" w:hanging="283"/>
              <w:contextualSpacing w:val="0"/>
              <w:jc w:val="both"/>
              <w:rPr>
                <w:b/>
                <w:bCs/>
                <w:sz w:val="20"/>
              </w:rPr>
            </w:pPr>
            <w:r w:rsidRPr="00F16887">
              <w:rPr>
                <w:b/>
                <w:sz w:val="20"/>
              </w:rPr>
              <w:t xml:space="preserve"> Vue d</w:t>
            </w:r>
            <w:r w:rsidR="00F16887">
              <w:rPr>
                <w:b/>
                <w:sz w:val="20"/>
              </w:rPr>
              <w:t>’</w:t>
            </w:r>
            <w:r w:rsidRPr="00F16887">
              <w:rPr>
                <w:b/>
                <w:sz w:val="20"/>
              </w:rPr>
              <w:t>ensemble</w:t>
            </w:r>
          </w:p>
          <w:p w14:paraId="297C60F6" w14:textId="64CB5606" w:rsidR="00F16887" w:rsidRDefault="001077E2" w:rsidP="00F16887">
            <w:pPr>
              <w:pStyle w:val="ListParagraph"/>
              <w:keepNext/>
              <w:keepLines/>
              <w:numPr>
                <w:ilvl w:val="1"/>
                <w:numId w:val="10"/>
              </w:numPr>
              <w:ind w:left="459" w:hanging="283"/>
              <w:contextualSpacing w:val="0"/>
              <w:jc w:val="both"/>
              <w:rPr>
                <w:sz w:val="20"/>
              </w:rPr>
            </w:pPr>
            <w:r w:rsidRPr="00F16887">
              <w:rPr>
                <w:sz w:val="20"/>
              </w:rPr>
              <w:t>Étude d</w:t>
            </w:r>
            <w:r w:rsidR="00F16887">
              <w:rPr>
                <w:sz w:val="20"/>
              </w:rPr>
              <w:t>’</w:t>
            </w:r>
            <w:r w:rsidRPr="00F16887">
              <w:rPr>
                <w:sz w:val="20"/>
              </w:rPr>
              <w:t>une demande</w:t>
            </w:r>
          </w:p>
          <w:p w14:paraId="04771A56" w14:textId="0817021E" w:rsidR="001077E2" w:rsidRPr="00F16887" w:rsidRDefault="001077E2" w:rsidP="00F16887">
            <w:pPr>
              <w:pStyle w:val="ListParagraph"/>
              <w:keepNext/>
              <w:keepLines/>
              <w:numPr>
                <w:ilvl w:val="1"/>
                <w:numId w:val="10"/>
              </w:numPr>
              <w:ind w:left="459" w:hanging="283"/>
              <w:contextualSpacing w:val="0"/>
              <w:jc w:val="both"/>
              <w:rPr>
                <w:sz w:val="20"/>
              </w:rPr>
            </w:pPr>
            <w:r w:rsidRPr="00F16887">
              <w:rPr>
                <w:sz w:val="20"/>
              </w:rPr>
              <w:t>Critères formels</w:t>
            </w:r>
            <w:r w:rsidR="00F16887">
              <w:rPr>
                <w:sz w:val="20"/>
              </w:rPr>
              <w:t> :</w:t>
            </w:r>
          </w:p>
          <w:p w14:paraId="683A0F9C" w14:textId="77777777" w:rsidR="001077E2" w:rsidRPr="00F16887" w:rsidRDefault="001077E2" w:rsidP="00F16887">
            <w:pPr>
              <w:pStyle w:val="ListParagraph"/>
              <w:keepNext/>
              <w:keepLines/>
              <w:ind w:left="459"/>
              <w:contextualSpacing w:val="0"/>
              <w:jc w:val="both"/>
              <w:rPr>
                <w:sz w:val="20"/>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1675C09F" w14:textId="6782A9FE" w:rsidR="001077E2" w:rsidRPr="00F16887" w:rsidRDefault="001077E2" w:rsidP="00F16887">
            <w:pPr>
              <w:jc w:val="both"/>
              <w:rPr>
                <w:sz w:val="20"/>
              </w:rPr>
            </w:pPr>
            <w:r w:rsidRPr="00F16887">
              <w:rPr>
                <w:sz w:val="20"/>
              </w:rPr>
              <w:t>Comment un fichier de demande de brevet est</w:t>
            </w:r>
            <w:r w:rsidR="00C95B35">
              <w:rPr>
                <w:sz w:val="20"/>
              </w:rPr>
              <w:noBreakHyphen/>
            </w:r>
            <w:r w:rsidRPr="00F16887">
              <w:rPr>
                <w:sz w:val="20"/>
              </w:rPr>
              <w:t>il structuré?</w:t>
            </w:r>
          </w:p>
          <w:p w14:paraId="3E6B4B49" w14:textId="77777777" w:rsidR="001077E2" w:rsidRPr="00F16887" w:rsidRDefault="001077E2" w:rsidP="00F16887">
            <w:pPr>
              <w:jc w:val="both"/>
              <w:rPr>
                <w:sz w:val="20"/>
              </w:rPr>
            </w:pPr>
            <w:r w:rsidRPr="00F16887">
              <w:rPr>
                <w:sz w:val="20"/>
              </w:rPr>
              <w:t>Lignes directrices générales pour effectuer un examen quant au fond.</w:t>
            </w:r>
          </w:p>
          <w:p w14:paraId="3533F9D9" w14:textId="0E802696" w:rsidR="001077E2" w:rsidRPr="00F16887" w:rsidRDefault="001077E2" w:rsidP="00F16887">
            <w:pPr>
              <w:jc w:val="both"/>
              <w:rPr>
                <w:b/>
                <w:bCs/>
                <w:sz w:val="20"/>
              </w:rPr>
            </w:pPr>
            <w:r w:rsidRPr="00F16887">
              <w:rPr>
                <w:sz w:val="20"/>
              </w:rPr>
              <w:t>Attribuer à chaque participant cinq</w:t>
            </w:r>
            <w:r w:rsidR="00B22F9C">
              <w:rPr>
                <w:sz w:val="20"/>
              </w:rPr>
              <w:t> </w:t>
            </w:r>
            <w:r w:rsidRPr="00F16887">
              <w:rPr>
                <w:sz w:val="20"/>
              </w:rPr>
              <w:t>fichiers de demande de brev</w:t>
            </w:r>
            <w:r w:rsidR="00C95B35" w:rsidRPr="00F16887">
              <w:rPr>
                <w:sz w:val="20"/>
              </w:rPr>
              <w:t>et</w:t>
            </w:r>
            <w:r w:rsidR="00C95B35">
              <w:rPr>
                <w:sz w:val="20"/>
              </w:rPr>
              <w:t xml:space="preserve">.  </w:t>
            </w:r>
            <w:r w:rsidR="00C95B35" w:rsidRPr="00F16887">
              <w:rPr>
                <w:sz w:val="20"/>
              </w:rPr>
              <w:t>Un</w:t>
            </w:r>
            <w:r w:rsidRPr="00F16887">
              <w:rPr>
                <w:sz w:val="20"/>
              </w:rPr>
              <w:t>e copie de l</w:t>
            </w:r>
            <w:r w:rsidR="00F16887">
              <w:rPr>
                <w:sz w:val="20"/>
              </w:rPr>
              <w:t>’</w:t>
            </w:r>
            <w:r w:rsidRPr="00F16887">
              <w:rPr>
                <w:sz w:val="20"/>
              </w:rPr>
              <w:t>accord établissant les règles de dépôt des demandes auprès de l</w:t>
            </w:r>
            <w:r w:rsidR="00F16887">
              <w:rPr>
                <w:sz w:val="20"/>
              </w:rPr>
              <w:t>’</w:t>
            </w:r>
            <w:r w:rsidRPr="00F16887">
              <w:rPr>
                <w:sz w:val="20"/>
              </w:rPr>
              <w:t>IMPI sera fournie.</w:t>
            </w:r>
          </w:p>
        </w:tc>
      </w:tr>
      <w:tr w:rsidR="001077E2" w:rsidRPr="00F16887" w14:paraId="499D7F90"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81"/>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234D32BE" w14:textId="53EBFE0D" w:rsidR="001077E2" w:rsidRPr="00F16887" w:rsidRDefault="001077E2" w:rsidP="00F16887">
            <w:pPr>
              <w:pStyle w:val="ListParagraph"/>
              <w:ind w:left="459" w:hanging="283"/>
              <w:contextualSpacing w:val="0"/>
              <w:jc w:val="both"/>
              <w:rPr>
                <w:rFonts w:eastAsiaTheme="minorEastAsia"/>
                <w:sz w:val="20"/>
              </w:rPr>
            </w:pPr>
            <w:r w:rsidRPr="00F16887">
              <w:rPr>
                <w:sz w:val="20"/>
              </w:rPr>
              <w:t>2.2.1 Examen de la description</w:t>
            </w:r>
            <w:r w:rsidR="00F16887">
              <w:rPr>
                <w:sz w:val="20"/>
              </w:rPr>
              <w:t> :</w:t>
            </w:r>
          </w:p>
          <w:p w14:paraId="63A0706C" w14:textId="77777777" w:rsidR="001077E2" w:rsidRPr="00F16887" w:rsidRDefault="001077E2" w:rsidP="00F16887">
            <w:pPr>
              <w:ind w:left="1168" w:hanging="621"/>
              <w:jc w:val="both"/>
              <w:rPr>
                <w:rFonts w:eastAsiaTheme="minorHAnsi"/>
                <w:sz w:val="20"/>
              </w:rPr>
            </w:pPr>
            <w:r w:rsidRPr="00F16887">
              <w:rPr>
                <w:sz w:val="20"/>
              </w:rPr>
              <w:t>Domaine technologique</w:t>
            </w:r>
          </w:p>
          <w:p w14:paraId="1D05D16D" w14:textId="77777777" w:rsidR="001077E2" w:rsidRPr="00F16887" w:rsidRDefault="001077E2" w:rsidP="00F16887">
            <w:pPr>
              <w:ind w:left="1168" w:hanging="621"/>
              <w:jc w:val="both"/>
              <w:rPr>
                <w:rFonts w:eastAsiaTheme="minorHAnsi"/>
                <w:sz w:val="20"/>
              </w:rPr>
            </w:pPr>
            <w:r w:rsidRPr="00F16887">
              <w:rPr>
                <w:sz w:val="20"/>
              </w:rPr>
              <w:t>Rappel</w:t>
            </w:r>
          </w:p>
          <w:p w14:paraId="0340158C" w14:textId="77777777" w:rsidR="001077E2" w:rsidRPr="00F16887" w:rsidRDefault="001077E2" w:rsidP="00F16887">
            <w:pPr>
              <w:ind w:left="1168" w:hanging="621"/>
              <w:jc w:val="both"/>
              <w:rPr>
                <w:rFonts w:eastAsiaTheme="minorHAnsi"/>
                <w:sz w:val="20"/>
              </w:rPr>
            </w:pPr>
            <w:r w:rsidRPr="00F16887">
              <w:rPr>
                <w:sz w:val="20"/>
              </w:rPr>
              <w:t>Description des dessins</w:t>
            </w:r>
          </w:p>
          <w:p w14:paraId="4C875242" w14:textId="77777777" w:rsidR="001077E2" w:rsidRPr="00F16887" w:rsidRDefault="001077E2" w:rsidP="00F16887">
            <w:pPr>
              <w:ind w:left="1168" w:hanging="621"/>
              <w:jc w:val="both"/>
              <w:rPr>
                <w:rFonts w:eastAsiaTheme="minorHAnsi"/>
                <w:sz w:val="20"/>
              </w:rPr>
            </w:pPr>
            <w:r w:rsidRPr="00F16887">
              <w:rPr>
                <w:sz w:val="20"/>
              </w:rPr>
              <w:t>Exemples</w:t>
            </w:r>
          </w:p>
          <w:p w14:paraId="7E6B82DF" w14:textId="77777777" w:rsidR="001077E2" w:rsidRPr="00F16887" w:rsidRDefault="001077E2" w:rsidP="00F16887">
            <w:pPr>
              <w:ind w:left="1168" w:hanging="621"/>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7D888E22" w14:textId="46388657" w:rsidR="001077E2" w:rsidRPr="00F16887" w:rsidRDefault="001077E2" w:rsidP="00F16887">
            <w:pPr>
              <w:tabs>
                <w:tab w:val="left" w:pos="972"/>
              </w:tabs>
              <w:jc w:val="both"/>
              <w:rPr>
                <w:sz w:val="20"/>
              </w:rPr>
            </w:pPr>
            <w:r w:rsidRPr="00F16887">
              <w:rPr>
                <w:sz w:val="20"/>
              </w:rPr>
              <w:t>Expliquer le but de la description</w:t>
            </w:r>
            <w:r w:rsidR="00F16887">
              <w:rPr>
                <w:sz w:val="20"/>
              </w:rPr>
              <w:t> :</w:t>
            </w:r>
          </w:p>
          <w:p w14:paraId="7AC1A88E" w14:textId="77777777" w:rsidR="001077E2" w:rsidRPr="00F16887" w:rsidRDefault="001077E2" w:rsidP="00F16887">
            <w:pPr>
              <w:pStyle w:val="ListParagraph"/>
              <w:numPr>
                <w:ilvl w:val="0"/>
                <w:numId w:val="12"/>
              </w:numPr>
              <w:tabs>
                <w:tab w:val="left" w:pos="972"/>
              </w:tabs>
              <w:ind w:left="180" w:hanging="142"/>
              <w:contextualSpacing w:val="0"/>
              <w:jc w:val="both"/>
              <w:rPr>
                <w:sz w:val="20"/>
              </w:rPr>
            </w:pPr>
            <w:r w:rsidRPr="00F16887">
              <w:rPr>
                <w:sz w:val="20"/>
              </w:rPr>
              <w:t>Expliquer ce qui doit être examiné.</w:t>
            </w:r>
          </w:p>
          <w:p w14:paraId="47E8E2D7" w14:textId="5BF9F031" w:rsidR="00F16887" w:rsidRDefault="001077E2" w:rsidP="00F16887">
            <w:pPr>
              <w:pStyle w:val="ListParagraph"/>
              <w:numPr>
                <w:ilvl w:val="0"/>
                <w:numId w:val="12"/>
              </w:numPr>
              <w:tabs>
                <w:tab w:val="left" w:pos="972"/>
              </w:tabs>
              <w:ind w:left="180" w:hanging="142"/>
              <w:contextualSpacing w:val="0"/>
              <w:jc w:val="both"/>
              <w:rPr>
                <w:sz w:val="20"/>
              </w:rPr>
            </w:pPr>
            <w:r w:rsidRPr="00F16887">
              <w:rPr>
                <w:sz w:val="20"/>
              </w:rPr>
              <w:t>Utiliser une étude de cas, montrer comment l</w:t>
            </w:r>
            <w:r w:rsidR="00F16887">
              <w:rPr>
                <w:sz w:val="20"/>
              </w:rPr>
              <w:t>’</w:t>
            </w:r>
            <w:r w:rsidRPr="00F16887">
              <w:rPr>
                <w:sz w:val="20"/>
              </w:rPr>
              <w:t>examen doit être mené.</w:t>
            </w:r>
          </w:p>
          <w:p w14:paraId="41B9390F" w14:textId="60696F8A" w:rsidR="001077E2" w:rsidRPr="00F16887" w:rsidRDefault="001077E2" w:rsidP="00F16887">
            <w:pPr>
              <w:pStyle w:val="ListParagraph"/>
              <w:numPr>
                <w:ilvl w:val="0"/>
                <w:numId w:val="12"/>
              </w:numPr>
              <w:tabs>
                <w:tab w:val="left" w:pos="972"/>
              </w:tabs>
              <w:ind w:left="180" w:hanging="142"/>
              <w:contextualSpacing w:val="0"/>
              <w:jc w:val="both"/>
              <w:rPr>
                <w:sz w:val="20"/>
              </w:rPr>
            </w:pPr>
            <w:r w:rsidRPr="00F16887">
              <w:rPr>
                <w:sz w:val="20"/>
              </w:rPr>
              <w:t>Travailler sur un fichier en examinant seulement la description.</w:t>
            </w:r>
          </w:p>
          <w:p w14:paraId="79CECDFC" w14:textId="77777777" w:rsidR="001077E2" w:rsidRPr="00F16887" w:rsidRDefault="001077E2" w:rsidP="00F16887">
            <w:pPr>
              <w:pStyle w:val="ListParagraph"/>
              <w:numPr>
                <w:ilvl w:val="0"/>
                <w:numId w:val="12"/>
              </w:numPr>
              <w:tabs>
                <w:tab w:val="left" w:pos="972"/>
              </w:tabs>
              <w:ind w:left="180" w:hanging="142"/>
              <w:contextualSpacing w:val="0"/>
              <w:jc w:val="both"/>
              <w:rPr>
                <w:sz w:val="20"/>
              </w:rPr>
            </w:pPr>
            <w:r w:rsidRPr="00F16887">
              <w:rPr>
                <w:sz w:val="20"/>
              </w:rPr>
              <w:t>Demander aux participants de noter toutes leurs observations.</w:t>
            </w:r>
          </w:p>
          <w:p w14:paraId="0DC13F13" w14:textId="61ABBAEF" w:rsidR="001077E2" w:rsidRPr="00F16887" w:rsidRDefault="001077E2" w:rsidP="00F16887">
            <w:pPr>
              <w:pStyle w:val="ListParagraph"/>
              <w:numPr>
                <w:ilvl w:val="0"/>
                <w:numId w:val="12"/>
              </w:numPr>
              <w:tabs>
                <w:tab w:val="left" w:pos="972"/>
              </w:tabs>
              <w:ind w:left="180" w:hanging="142"/>
              <w:contextualSpacing w:val="0"/>
              <w:jc w:val="both"/>
              <w:rPr>
                <w:sz w:val="20"/>
              </w:rPr>
            </w:pPr>
            <w:r w:rsidRPr="00F16887">
              <w:rPr>
                <w:sz w:val="20"/>
              </w:rPr>
              <w:t>S</w:t>
            </w:r>
            <w:r w:rsidR="00F16887">
              <w:rPr>
                <w:sz w:val="20"/>
              </w:rPr>
              <w:t>’</w:t>
            </w:r>
            <w:r w:rsidRPr="00F16887">
              <w:rPr>
                <w:sz w:val="20"/>
              </w:rPr>
              <w:t>il y a des questions, l</w:t>
            </w:r>
            <w:r w:rsidR="00F16887">
              <w:rPr>
                <w:sz w:val="20"/>
              </w:rPr>
              <w:t>’</w:t>
            </w:r>
            <w:r w:rsidRPr="00F16887">
              <w:rPr>
                <w:sz w:val="20"/>
              </w:rPr>
              <w:t>instructeur apportera des explications à tous les participants.</w:t>
            </w:r>
          </w:p>
        </w:tc>
      </w:tr>
      <w:tr w:rsidR="001077E2" w:rsidRPr="00F16887" w14:paraId="0ADA25F4"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79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3A3391FA" w14:textId="24D0F9B5" w:rsidR="001077E2" w:rsidRPr="00F16887" w:rsidRDefault="001077E2" w:rsidP="00F16887">
            <w:pPr>
              <w:pStyle w:val="ListParagraph"/>
              <w:ind w:left="459" w:hanging="283"/>
              <w:contextualSpacing w:val="0"/>
              <w:jc w:val="both"/>
              <w:rPr>
                <w:rFonts w:eastAsiaTheme="minorEastAsia"/>
                <w:sz w:val="20"/>
              </w:rPr>
            </w:pPr>
            <w:r w:rsidRPr="00F16887">
              <w:rPr>
                <w:sz w:val="20"/>
              </w:rPr>
              <w:t>2.2.2 Examen des figures</w:t>
            </w:r>
            <w:r w:rsidR="00F16887">
              <w:rPr>
                <w:sz w:val="20"/>
              </w:rPr>
              <w:t> :</w:t>
            </w:r>
          </w:p>
          <w:p w14:paraId="6773F56A" w14:textId="77777777" w:rsidR="001077E2" w:rsidRPr="00F16887" w:rsidRDefault="001077E2" w:rsidP="00F16887">
            <w:pPr>
              <w:pStyle w:val="ListParagraph"/>
              <w:ind w:left="601"/>
              <w:contextualSpacing w:val="0"/>
              <w:jc w:val="both"/>
              <w:rPr>
                <w:sz w:val="20"/>
              </w:rPr>
            </w:pPr>
            <w:r w:rsidRPr="00F16887">
              <w:rPr>
                <w:sz w:val="20"/>
              </w:rPr>
              <w:t>Expliquer la finalité des figures</w:t>
            </w:r>
          </w:p>
          <w:p w14:paraId="669ADC4A" w14:textId="77777777" w:rsidR="001077E2" w:rsidRPr="00F16887" w:rsidRDefault="001077E2" w:rsidP="00F16887">
            <w:pPr>
              <w:pStyle w:val="ListParagraph"/>
              <w:ind w:left="601"/>
              <w:contextualSpacing w:val="0"/>
              <w:jc w:val="both"/>
              <w:rPr>
                <w:b/>
                <w:bCs/>
                <w:sz w:val="20"/>
              </w:rPr>
            </w:pPr>
            <w:r w:rsidRPr="00F16887">
              <w:rPr>
                <w:sz w:val="20"/>
              </w:rPr>
              <w:t>Expliquer ce qui devrait être examiné</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5E01FB97" w14:textId="77777777" w:rsidR="001077E2" w:rsidRPr="00F16887" w:rsidRDefault="001077E2" w:rsidP="00F16887">
            <w:pPr>
              <w:ind w:left="227" w:hanging="227"/>
              <w:jc w:val="both"/>
              <w:rPr>
                <w:rFonts w:eastAsiaTheme="minorHAnsi"/>
                <w:sz w:val="20"/>
              </w:rPr>
            </w:pPr>
            <w:r w:rsidRPr="00F16887">
              <w:rPr>
                <w:sz w:val="20"/>
              </w:rPr>
              <w:t>Règle de présentation des figures.</w:t>
            </w:r>
          </w:p>
          <w:p w14:paraId="0D1DC19A" w14:textId="787B3AC6" w:rsidR="001077E2" w:rsidRPr="00F16887" w:rsidRDefault="001077E2" w:rsidP="00F16887">
            <w:pPr>
              <w:pStyle w:val="ListParagraph"/>
              <w:numPr>
                <w:ilvl w:val="0"/>
                <w:numId w:val="12"/>
              </w:numPr>
              <w:tabs>
                <w:tab w:val="left" w:pos="972"/>
              </w:tabs>
              <w:ind w:left="180" w:hanging="142"/>
              <w:contextualSpacing w:val="0"/>
              <w:jc w:val="both"/>
              <w:rPr>
                <w:sz w:val="20"/>
              </w:rPr>
            </w:pPr>
            <w:r w:rsidRPr="00F16887">
              <w:rPr>
                <w:sz w:val="20"/>
              </w:rPr>
              <w:t>Utiliser une étude de cas pour montrer comment l</w:t>
            </w:r>
            <w:r w:rsidR="00F16887">
              <w:rPr>
                <w:sz w:val="20"/>
              </w:rPr>
              <w:t>’</w:t>
            </w:r>
            <w:r w:rsidRPr="00F16887">
              <w:rPr>
                <w:sz w:val="20"/>
              </w:rPr>
              <w:t>examen devrait être mené.</w:t>
            </w:r>
          </w:p>
          <w:p w14:paraId="4998DA15" w14:textId="77777777" w:rsidR="001077E2" w:rsidRPr="00F16887" w:rsidRDefault="001077E2" w:rsidP="00F16887">
            <w:pPr>
              <w:pStyle w:val="ListParagraph"/>
              <w:numPr>
                <w:ilvl w:val="0"/>
                <w:numId w:val="12"/>
              </w:numPr>
              <w:tabs>
                <w:tab w:val="left" w:pos="972"/>
              </w:tabs>
              <w:ind w:left="180" w:hanging="142"/>
              <w:contextualSpacing w:val="0"/>
              <w:jc w:val="both"/>
              <w:rPr>
                <w:sz w:val="20"/>
              </w:rPr>
            </w:pPr>
            <w:r w:rsidRPr="00F16887">
              <w:rPr>
                <w:sz w:val="20"/>
              </w:rPr>
              <w:t>Travailler sur un fichier en examinant seulement la description.</w:t>
            </w:r>
          </w:p>
          <w:p w14:paraId="370E6EA0" w14:textId="77777777" w:rsidR="00F16887" w:rsidRDefault="001077E2" w:rsidP="00F16887">
            <w:pPr>
              <w:pStyle w:val="ListParagraph"/>
              <w:numPr>
                <w:ilvl w:val="0"/>
                <w:numId w:val="12"/>
              </w:numPr>
              <w:tabs>
                <w:tab w:val="left" w:pos="972"/>
              </w:tabs>
              <w:ind w:left="180" w:hanging="142"/>
              <w:contextualSpacing w:val="0"/>
              <w:jc w:val="both"/>
              <w:rPr>
                <w:sz w:val="20"/>
              </w:rPr>
            </w:pPr>
            <w:r w:rsidRPr="00F16887">
              <w:rPr>
                <w:sz w:val="20"/>
              </w:rPr>
              <w:t>Demander aux participants de noter toutes leurs observations.</w:t>
            </w:r>
          </w:p>
          <w:p w14:paraId="16228CC3" w14:textId="23155D4B" w:rsidR="001077E2" w:rsidRPr="00F16887" w:rsidRDefault="001077E2" w:rsidP="00F16887">
            <w:pPr>
              <w:pStyle w:val="ListParagraph"/>
              <w:numPr>
                <w:ilvl w:val="0"/>
                <w:numId w:val="12"/>
              </w:numPr>
              <w:tabs>
                <w:tab w:val="left" w:pos="972"/>
              </w:tabs>
              <w:ind w:left="180" w:hanging="142"/>
              <w:contextualSpacing w:val="0"/>
              <w:jc w:val="both"/>
              <w:rPr>
                <w:sz w:val="20"/>
              </w:rPr>
            </w:pPr>
            <w:r w:rsidRPr="00F16887">
              <w:rPr>
                <w:sz w:val="20"/>
              </w:rPr>
              <w:t>S</w:t>
            </w:r>
            <w:r w:rsidR="00F16887">
              <w:rPr>
                <w:sz w:val="20"/>
              </w:rPr>
              <w:t>’</w:t>
            </w:r>
            <w:r w:rsidRPr="00F16887">
              <w:rPr>
                <w:sz w:val="20"/>
              </w:rPr>
              <w:t>il y a des questions, l</w:t>
            </w:r>
            <w:r w:rsidR="00F16887">
              <w:rPr>
                <w:sz w:val="20"/>
              </w:rPr>
              <w:t>’</w:t>
            </w:r>
            <w:r w:rsidRPr="00F16887">
              <w:rPr>
                <w:sz w:val="20"/>
              </w:rPr>
              <w:t>instructeur apportera des explications à tous les participants.</w:t>
            </w:r>
          </w:p>
          <w:p w14:paraId="467ED5BA" w14:textId="77777777" w:rsidR="001077E2" w:rsidRPr="00F16887" w:rsidRDefault="001077E2" w:rsidP="00F16887">
            <w:pPr>
              <w:ind w:left="227" w:hanging="227"/>
              <w:jc w:val="both"/>
              <w:rPr>
                <w:b/>
                <w:bCs/>
                <w:sz w:val="20"/>
              </w:rPr>
            </w:pPr>
          </w:p>
        </w:tc>
      </w:tr>
      <w:tr w:rsidR="001077E2" w:rsidRPr="00F16887" w14:paraId="6F89C2EC"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86"/>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6DEEABE6" w14:textId="593517B1" w:rsidR="001077E2" w:rsidRPr="00F16887" w:rsidRDefault="001077E2" w:rsidP="00F16887">
            <w:pPr>
              <w:pStyle w:val="ListParagraph"/>
              <w:ind w:left="459" w:hanging="283"/>
              <w:contextualSpacing w:val="0"/>
              <w:jc w:val="both"/>
              <w:rPr>
                <w:rFonts w:eastAsiaTheme="minorEastAsia"/>
                <w:sz w:val="20"/>
              </w:rPr>
            </w:pPr>
            <w:r w:rsidRPr="00F16887">
              <w:rPr>
                <w:sz w:val="20"/>
              </w:rPr>
              <w:t>2.2.3 Examen des revendications</w:t>
            </w:r>
            <w:r w:rsidR="00F16887">
              <w:rPr>
                <w:sz w:val="20"/>
              </w:rPr>
              <w:t> :</w:t>
            </w:r>
          </w:p>
          <w:p w14:paraId="78458179" w14:textId="77777777" w:rsidR="001077E2" w:rsidRPr="00F16887" w:rsidRDefault="001077E2" w:rsidP="00F16887">
            <w:pPr>
              <w:pStyle w:val="ListParagraph"/>
              <w:ind w:left="601"/>
              <w:contextualSpacing w:val="0"/>
              <w:jc w:val="both"/>
              <w:rPr>
                <w:sz w:val="20"/>
              </w:rPr>
            </w:pPr>
            <w:r w:rsidRPr="00F16887">
              <w:rPr>
                <w:sz w:val="20"/>
              </w:rPr>
              <w:t>Expliquer la finalité des revendications</w:t>
            </w:r>
          </w:p>
          <w:p w14:paraId="1D8506F4" w14:textId="77777777" w:rsidR="001077E2" w:rsidRPr="00F16887" w:rsidRDefault="001077E2" w:rsidP="00F16887">
            <w:pPr>
              <w:pStyle w:val="ListParagraph"/>
              <w:ind w:left="601"/>
              <w:contextualSpacing w:val="0"/>
              <w:jc w:val="both"/>
              <w:rPr>
                <w:rFonts w:eastAsiaTheme="minorEastAsia"/>
                <w:sz w:val="20"/>
              </w:rPr>
            </w:pPr>
            <w:r w:rsidRPr="00F16887">
              <w:rPr>
                <w:sz w:val="20"/>
              </w:rPr>
              <w:t>Expliquer ce qui doit être examiné</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13688C32" w14:textId="77777777" w:rsidR="001077E2" w:rsidRPr="00F16887" w:rsidRDefault="001077E2" w:rsidP="00F16887">
            <w:pPr>
              <w:ind w:left="227" w:hanging="227"/>
              <w:jc w:val="both"/>
              <w:rPr>
                <w:rFonts w:eastAsiaTheme="minorHAnsi"/>
                <w:sz w:val="20"/>
              </w:rPr>
            </w:pPr>
            <w:r w:rsidRPr="00F16887">
              <w:rPr>
                <w:sz w:val="20"/>
              </w:rPr>
              <w:t>Règle de présentation des revendications</w:t>
            </w:r>
          </w:p>
          <w:p w14:paraId="2CFABDE6" w14:textId="35821907" w:rsidR="00F16887" w:rsidRDefault="001077E2" w:rsidP="00F16887">
            <w:pPr>
              <w:pStyle w:val="ListParagraph"/>
              <w:numPr>
                <w:ilvl w:val="0"/>
                <w:numId w:val="12"/>
              </w:numPr>
              <w:tabs>
                <w:tab w:val="left" w:pos="972"/>
              </w:tabs>
              <w:ind w:left="180" w:hanging="142"/>
              <w:contextualSpacing w:val="0"/>
              <w:jc w:val="both"/>
              <w:rPr>
                <w:sz w:val="20"/>
              </w:rPr>
            </w:pPr>
            <w:r w:rsidRPr="00F16887">
              <w:rPr>
                <w:sz w:val="20"/>
              </w:rPr>
              <w:t>Utiliser une étude de cas pour montrer comment l</w:t>
            </w:r>
            <w:r w:rsidR="00F16887">
              <w:rPr>
                <w:sz w:val="20"/>
              </w:rPr>
              <w:t>’</w:t>
            </w:r>
            <w:r w:rsidRPr="00F16887">
              <w:rPr>
                <w:sz w:val="20"/>
              </w:rPr>
              <w:t>examen devrait être mené.</w:t>
            </w:r>
          </w:p>
          <w:p w14:paraId="51303E61" w14:textId="4C53268D" w:rsidR="001077E2" w:rsidRPr="00F16887" w:rsidRDefault="001077E2" w:rsidP="00F16887">
            <w:pPr>
              <w:pStyle w:val="ListParagraph"/>
              <w:numPr>
                <w:ilvl w:val="0"/>
                <w:numId w:val="12"/>
              </w:numPr>
              <w:tabs>
                <w:tab w:val="left" w:pos="972"/>
              </w:tabs>
              <w:ind w:left="180" w:hanging="142"/>
              <w:contextualSpacing w:val="0"/>
              <w:jc w:val="both"/>
              <w:rPr>
                <w:sz w:val="20"/>
              </w:rPr>
            </w:pPr>
            <w:r w:rsidRPr="00F16887">
              <w:rPr>
                <w:sz w:val="20"/>
              </w:rPr>
              <w:t>Travailler sur un fichier en examinant seulement la description.</w:t>
            </w:r>
          </w:p>
          <w:p w14:paraId="62019F51" w14:textId="77777777" w:rsidR="00F16887" w:rsidRDefault="001077E2" w:rsidP="00F16887">
            <w:pPr>
              <w:pStyle w:val="ListParagraph"/>
              <w:numPr>
                <w:ilvl w:val="0"/>
                <w:numId w:val="12"/>
              </w:numPr>
              <w:tabs>
                <w:tab w:val="left" w:pos="972"/>
              </w:tabs>
              <w:ind w:left="180" w:hanging="142"/>
              <w:contextualSpacing w:val="0"/>
              <w:jc w:val="both"/>
              <w:rPr>
                <w:sz w:val="20"/>
              </w:rPr>
            </w:pPr>
            <w:r w:rsidRPr="00F16887">
              <w:rPr>
                <w:sz w:val="20"/>
              </w:rPr>
              <w:t>Demander aux participants de noter toutes leurs observations.</w:t>
            </w:r>
          </w:p>
          <w:p w14:paraId="23E84F9A" w14:textId="34DD9B51" w:rsidR="001077E2" w:rsidRPr="00F16887" w:rsidRDefault="001077E2" w:rsidP="00F16887">
            <w:pPr>
              <w:pStyle w:val="ListParagraph"/>
              <w:numPr>
                <w:ilvl w:val="0"/>
                <w:numId w:val="12"/>
              </w:numPr>
              <w:tabs>
                <w:tab w:val="left" w:pos="972"/>
              </w:tabs>
              <w:ind w:left="180" w:hanging="142"/>
              <w:contextualSpacing w:val="0"/>
              <w:jc w:val="both"/>
              <w:rPr>
                <w:sz w:val="20"/>
              </w:rPr>
            </w:pPr>
            <w:r w:rsidRPr="00F16887">
              <w:rPr>
                <w:sz w:val="20"/>
              </w:rPr>
              <w:t>S</w:t>
            </w:r>
            <w:r w:rsidR="00F16887">
              <w:rPr>
                <w:sz w:val="20"/>
              </w:rPr>
              <w:t>’</w:t>
            </w:r>
            <w:r w:rsidRPr="00F16887">
              <w:rPr>
                <w:sz w:val="20"/>
              </w:rPr>
              <w:t>il y a des questions, l</w:t>
            </w:r>
            <w:r w:rsidR="00F16887">
              <w:rPr>
                <w:sz w:val="20"/>
              </w:rPr>
              <w:t>’</w:t>
            </w:r>
            <w:r w:rsidRPr="00F16887">
              <w:rPr>
                <w:sz w:val="20"/>
              </w:rPr>
              <w:t>instructeur apportera des explications à tous les participants.</w:t>
            </w:r>
          </w:p>
          <w:p w14:paraId="22429639" w14:textId="77777777" w:rsidR="001077E2" w:rsidRPr="00F16887" w:rsidRDefault="001077E2" w:rsidP="00F16887">
            <w:pPr>
              <w:jc w:val="both"/>
              <w:rPr>
                <w:sz w:val="20"/>
              </w:rPr>
            </w:pPr>
          </w:p>
        </w:tc>
      </w:tr>
      <w:tr w:rsidR="001077E2" w:rsidRPr="00F16887" w14:paraId="53444C86"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1307DD1C" w14:textId="37F2305A" w:rsidR="001077E2" w:rsidRPr="00F16887" w:rsidRDefault="001077E2" w:rsidP="00F16887">
            <w:pPr>
              <w:ind w:left="318" w:hanging="142"/>
              <w:jc w:val="both"/>
              <w:rPr>
                <w:sz w:val="20"/>
              </w:rPr>
            </w:pPr>
            <w:r w:rsidRPr="00F16887">
              <w:rPr>
                <w:sz w:val="20"/>
              </w:rPr>
              <w:t>2.2.4 Examen du titre</w:t>
            </w:r>
            <w:r w:rsidR="00F16887">
              <w:rPr>
                <w:sz w:val="20"/>
              </w:rPr>
              <w:t> :</w:t>
            </w:r>
          </w:p>
          <w:p w14:paraId="2FBA3AF0" w14:textId="77777777" w:rsidR="001077E2" w:rsidRPr="00F16887" w:rsidRDefault="001077E2" w:rsidP="00F16887">
            <w:pPr>
              <w:pStyle w:val="ListParagraph"/>
              <w:ind w:left="601"/>
              <w:contextualSpacing w:val="0"/>
              <w:jc w:val="both"/>
              <w:rPr>
                <w:sz w:val="20"/>
              </w:rPr>
            </w:pPr>
            <w:r w:rsidRPr="00F16887">
              <w:rPr>
                <w:sz w:val="20"/>
              </w:rPr>
              <w:t>Expliquer la finalité du titre</w:t>
            </w:r>
          </w:p>
          <w:p w14:paraId="1673D2C5" w14:textId="77777777" w:rsidR="001077E2" w:rsidRPr="00F16887" w:rsidRDefault="001077E2" w:rsidP="00F16887">
            <w:pPr>
              <w:pStyle w:val="ListParagraph"/>
              <w:tabs>
                <w:tab w:val="left" w:pos="514"/>
              </w:tabs>
              <w:ind w:left="819"/>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74699147" w14:textId="77777777" w:rsidR="001077E2" w:rsidRPr="00F16887" w:rsidRDefault="001077E2" w:rsidP="00F16887">
            <w:pPr>
              <w:ind w:left="227" w:hanging="227"/>
              <w:jc w:val="both"/>
              <w:rPr>
                <w:rFonts w:eastAsiaTheme="minorHAnsi"/>
                <w:sz w:val="20"/>
              </w:rPr>
            </w:pPr>
            <w:r w:rsidRPr="00F16887">
              <w:rPr>
                <w:sz w:val="20"/>
              </w:rPr>
              <w:t>Règle de présentation du titre</w:t>
            </w:r>
          </w:p>
          <w:p w14:paraId="10F73619" w14:textId="69D92D60" w:rsidR="001077E2" w:rsidRPr="00F16887" w:rsidRDefault="001077E2" w:rsidP="00F16887">
            <w:pPr>
              <w:pStyle w:val="ListParagraph"/>
              <w:numPr>
                <w:ilvl w:val="0"/>
                <w:numId w:val="12"/>
              </w:numPr>
              <w:tabs>
                <w:tab w:val="left" w:pos="972"/>
              </w:tabs>
              <w:ind w:left="180" w:hanging="142"/>
              <w:contextualSpacing w:val="0"/>
              <w:jc w:val="both"/>
              <w:rPr>
                <w:sz w:val="20"/>
              </w:rPr>
            </w:pPr>
            <w:r w:rsidRPr="00F16887">
              <w:rPr>
                <w:sz w:val="20"/>
              </w:rPr>
              <w:t>Utiliser une étude de cas pour montrer comment l</w:t>
            </w:r>
            <w:r w:rsidR="00F16887">
              <w:rPr>
                <w:sz w:val="20"/>
              </w:rPr>
              <w:t>’</w:t>
            </w:r>
            <w:r w:rsidRPr="00F16887">
              <w:rPr>
                <w:sz w:val="20"/>
              </w:rPr>
              <w:t>examen devrait être mené.</w:t>
            </w:r>
          </w:p>
          <w:p w14:paraId="76E326BC" w14:textId="77777777" w:rsidR="001077E2" w:rsidRPr="00F16887" w:rsidRDefault="001077E2" w:rsidP="00F16887">
            <w:pPr>
              <w:pStyle w:val="ListParagraph"/>
              <w:numPr>
                <w:ilvl w:val="0"/>
                <w:numId w:val="12"/>
              </w:numPr>
              <w:tabs>
                <w:tab w:val="left" w:pos="972"/>
              </w:tabs>
              <w:ind w:left="180" w:hanging="142"/>
              <w:contextualSpacing w:val="0"/>
              <w:jc w:val="both"/>
              <w:rPr>
                <w:sz w:val="20"/>
              </w:rPr>
            </w:pPr>
            <w:r w:rsidRPr="00F16887">
              <w:rPr>
                <w:sz w:val="20"/>
              </w:rPr>
              <w:t>Travailler sur un fichier en examinant seulement la description.</w:t>
            </w:r>
          </w:p>
          <w:p w14:paraId="6FC93DB7" w14:textId="77777777" w:rsidR="00F16887" w:rsidRDefault="001077E2" w:rsidP="00F16887">
            <w:pPr>
              <w:pStyle w:val="ListParagraph"/>
              <w:numPr>
                <w:ilvl w:val="0"/>
                <w:numId w:val="12"/>
              </w:numPr>
              <w:tabs>
                <w:tab w:val="left" w:pos="972"/>
              </w:tabs>
              <w:ind w:left="180" w:hanging="142"/>
              <w:contextualSpacing w:val="0"/>
              <w:jc w:val="both"/>
              <w:rPr>
                <w:sz w:val="20"/>
              </w:rPr>
            </w:pPr>
            <w:r w:rsidRPr="00F16887">
              <w:rPr>
                <w:sz w:val="20"/>
              </w:rPr>
              <w:t>Demander aux participants de noter toutes leurs observations</w:t>
            </w:r>
          </w:p>
          <w:p w14:paraId="78718FEF" w14:textId="25F22ED0" w:rsidR="001077E2" w:rsidRPr="00F16887" w:rsidRDefault="001077E2" w:rsidP="00F16887">
            <w:pPr>
              <w:pStyle w:val="ListParagraph"/>
              <w:numPr>
                <w:ilvl w:val="0"/>
                <w:numId w:val="12"/>
              </w:numPr>
              <w:tabs>
                <w:tab w:val="left" w:pos="972"/>
              </w:tabs>
              <w:ind w:left="180" w:hanging="142"/>
              <w:contextualSpacing w:val="0"/>
              <w:jc w:val="both"/>
              <w:rPr>
                <w:sz w:val="20"/>
              </w:rPr>
            </w:pPr>
            <w:r w:rsidRPr="00F16887">
              <w:rPr>
                <w:sz w:val="20"/>
              </w:rPr>
              <w:t>S</w:t>
            </w:r>
            <w:r w:rsidR="00F16887">
              <w:rPr>
                <w:sz w:val="20"/>
              </w:rPr>
              <w:t>’</w:t>
            </w:r>
            <w:r w:rsidRPr="00F16887">
              <w:rPr>
                <w:sz w:val="20"/>
              </w:rPr>
              <w:t>il y a des questions, l</w:t>
            </w:r>
            <w:r w:rsidR="00F16887">
              <w:rPr>
                <w:sz w:val="20"/>
              </w:rPr>
              <w:t>’</w:t>
            </w:r>
            <w:r w:rsidRPr="00F16887">
              <w:rPr>
                <w:sz w:val="20"/>
              </w:rPr>
              <w:t>instructeur apportera des explications à tous les participants.</w:t>
            </w:r>
          </w:p>
          <w:p w14:paraId="37ABC228" w14:textId="77777777" w:rsidR="001077E2" w:rsidRPr="00F16887" w:rsidRDefault="001077E2" w:rsidP="00F16887">
            <w:pPr>
              <w:ind w:left="38" w:hanging="38"/>
              <w:rPr>
                <w:b/>
                <w:bCs/>
                <w:sz w:val="20"/>
              </w:rPr>
            </w:pPr>
          </w:p>
        </w:tc>
      </w:tr>
      <w:tr w:rsidR="001077E2" w:rsidRPr="00F16887" w14:paraId="5FE862BC"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7E38A244" w14:textId="07C21AAE" w:rsidR="001077E2" w:rsidRPr="00F16887" w:rsidRDefault="001077E2" w:rsidP="00F16887">
            <w:pPr>
              <w:pStyle w:val="ListParagraph"/>
              <w:keepNext/>
              <w:ind w:left="459" w:hanging="283"/>
              <w:contextualSpacing w:val="0"/>
              <w:jc w:val="both"/>
              <w:rPr>
                <w:rFonts w:eastAsiaTheme="minorEastAsia"/>
                <w:sz w:val="20"/>
              </w:rPr>
            </w:pPr>
            <w:r w:rsidRPr="00F16887">
              <w:rPr>
                <w:sz w:val="20"/>
              </w:rPr>
              <w:lastRenderedPageBreak/>
              <w:t>2.2.5 Examen du résumé</w:t>
            </w:r>
            <w:r w:rsidR="00B22F9C">
              <w:rPr>
                <w:sz w:val="20"/>
              </w:rPr>
              <w:t> </w:t>
            </w:r>
            <w:r w:rsidRPr="00F16887">
              <w:rPr>
                <w:sz w:val="20"/>
              </w:rPr>
              <w:t>:</w:t>
            </w:r>
          </w:p>
          <w:p w14:paraId="5DB618FE" w14:textId="77777777" w:rsidR="001077E2" w:rsidRPr="00F16887" w:rsidRDefault="001077E2" w:rsidP="00F16887">
            <w:pPr>
              <w:pStyle w:val="ListParagraph"/>
              <w:keepNext/>
              <w:ind w:left="601"/>
              <w:contextualSpacing w:val="0"/>
              <w:jc w:val="both"/>
              <w:rPr>
                <w:sz w:val="20"/>
              </w:rPr>
            </w:pPr>
            <w:r w:rsidRPr="00F16887">
              <w:rPr>
                <w:sz w:val="20"/>
              </w:rPr>
              <w:t>Expliquer la finalité du résumé</w:t>
            </w:r>
            <w:r w:rsidRPr="00F16887">
              <w:rPr>
                <w:sz w:val="20"/>
              </w:rPr>
              <w:br/>
              <w:t>Expliquer ce qui devrait être examiné</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2DE99FB7" w14:textId="69311E4A" w:rsidR="001077E2" w:rsidRPr="00F16887" w:rsidRDefault="001077E2" w:rsidP="00F16887">
            <w:pPr>
              <w:pStyle w:val="ListParagraph"/>
              <w:numPr>
                <w:ilvl w:val="0"/>
                <w:numId w:val="12"/>
              </w:numPr>
              <w:tabs>
                <w:tab w:val="left" w:pos="972"/>
              </w:tabs>
              <w:ind w:left="180" w:hanging="142"/>
              <w:contextualSpacing w:val="0"/>
              <w:jc w:val="both"/>
              <w:rPr>
                <w:sz w:val="20"/>
              </w:rPr>
            </w:pPr>
            <w:r w:rsidRPr="00F16887">
              <w:rPr>
                <w:sz w:val="20"/>
              </w:rPr>
              <w:t>Utiliser une étude de cas pour montrer comment l</w:t>
            </w:r>
            <w:r w:rsidR="00F16887">
              <w:rPr>
                <w:sz w:val="20"/>
              </w:rPr>
              <w:t>’</w:t>
            </w:r>
            <w:r w:rsidRPr="00F16887">
              <w:rPr>
                <w:sz w:val="20"/>
              </w:rPr>
              <w:t>examen devrait être mené.</w:t>
            </w:r>
          </w:p>
          <w:p w14:paraId="76A10858" w14:textId="77777777" w:rsidR="001077E2" w:rsidRPr="00F16887" w:rsidRDefault="001077E2" w:rsidP="00F16887">
            <w:pPr>
              <w:pStyle w:val="ListParagraph"/>
              <w:numPr>
                <w:ilvl w:val="0"/>
                <w:numId w:val="12"/>
              </w:numPr>
              <w:tabs>
                <w:tab w:val="left" w:pos="972"/>
              </w:tabs>
              <w:ind w:left="180" w:hanging="142"/>
              <w:contextualSpacing w:val="0"/>
              <w:jc w:val="both"/>
              <w:rPr>
                <w:sz w:val="20"/>
              </w:rPr>
            </w:pPr>
            <w:r w:rsidRPr="00F16887">
              <w:rPr>
                <w:sz w:val="20"/>
              </w:rPr>
              <w:t>Travailler sur un fichier en examinant seulement la description.</w:t>
            </w:r>
          </w:p>
          <w:p w14:paraId="53A0240B" w14:textId="77777777" w:rsidR="00F16887" w:rsidRDefault="001077E2" w:rsidP="00F16887">
            <w:pPr>
              <w:pStyle w:val="ListParagraph"/>
              <w:numPr>
                <w:ilvl w:val="0"/>
                <w:numId w:val="12"/>
              </w:numPr>
              <w:tabs>
                <w:tab w:val="left" w:pos="972"/>
              </w:tabs>
              <w:ind w:left="180" w:hanging="142"/>
              <w:contextualSpacing w:val="0"/>
              <w:jc w:val="both"/>
              <w:rPr>
                <w:sz w:val="20"/>
              </w:rPr>
            </w:pPr>
            <w:r w:rsidRPr="00F16887">
              <w:rPr>
                <w:sz w:val="20"/>
              </w:rPr>
              <w:t>Demander aux participants de noter toutes leurs observations.</w:t>
            </w:r>
          </w:p>
          <w:p w14:paraId="52C107C1" w14:textId="727A5338" w:rsidR="001077E2" w:rsidRPr="00F16887" w:rsidRDefault="001077E2" w:rsidP="00F16887">
            <w:pPr>
              <w:pStyle w:val="ListParagraph"/>
              <w:numPr>
                <w:ilvl w:val="0"/>
                <w:numId w:val="12"/>
              </w:numPr>
              <w:tabs>
                <w:tab w:val="left" w:pos="972"/>
              </w:tabs>
              <w:ind w:left="180" w:hanging="142"/>
              <w:contextualSpacing w:val="0"/>
              <w:jc w:val="both"/>
              <w:rPr>
                <w:sz w:val="20"/>
              </w:rPr>
            </w:pPr>
            <w:r w:rsidRPr="00F16887">
              <w:rPr>
                <w:sz w:val="20"/>
              </w:rPr>
              <w:t>S</w:t>
            </w:r>
            <w:r w:rsidR="00F16887">
              <w:rPr>
                <w:sz w:val="20"/>
              </w:rPr>
              <w:t>’</w:t>
            </w:r>
            <w:r w:rsidRPr="00F16887">
              <w:rPr>
                <w:sz w:val="20"/>
              </w:rPr>
              <w:t>il y a des questions, l</w:t>
            </w:r>
            <w:r w:rsidR="00F16887">
              <w:rPr>
                <w:sz w:val="20"/>
              </w:rPr>
              <w:t>’</w:t>
            </w:r>
            <w:r w:rsidRPr="00F16887">
              <w:rPr>
                <w:sz w:val="20"/>
              </w:rPr>
              <w:t>instructeur apportera des explications à tous les participants.</w:t>
            </w:r>
          </w:p>
          <w:p w14:paraId="52534770" w14:textId="77777777" w:rsidR="001077E2" w:rsidRPr="00F16887" w:rsidRDefault="001077E2" w:rsidP="00F16887">
            <w:pPr>
              <w:ind w:left="38" w:hanging="38"/>
              <w:rPr>
                <w:b/>
                <w:bCs/>
                <w:sz w:val="20"/>
              </w:rPr>
            </w:pPr>
          </w:p>
        </w:tc>
      </w:tr>
      <w:tr w:rsidR="001077E2" w:rsidRPr="00F16887" w14:paraId="1A44F840"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7120B856" w14:textId="62FDB641" w:rsidR="001077E2" w:rsidRPr="00F16887" w:rsidRDefault="001077E2" w:rsidP="00F16887">
            <w:pPr>
              <w:pStyle w:val="ListParagraph"/>
              <w:tabs>
                <w:tab w:val="left" w:pos="514"/>
              </w:tabs>
              <w:ind w:left="601" w:hanging="425"/>
              <w:contextualSpacing w:val="0"/>
              <w:jc w:val="both"/>
              <w:rPr>
                <w:sz w:val="20"/>
              </w:rPr>
            </w:pPr>
            <w:r w:rsidRPr="00F16887">
              <w:rPr>
                <w:sz w:val="20"/>
              </w:rPr>
              <w:t>2.2.6 Examen des annexes</w:t>
            </w:r>
            <w:r w:rsidR="00F16887">
              <w:rPr>
                <w:sz w:val="20"/>
              </w:rPr>
              <w:t> :</w:t>
            </w:r>
          </w:p>
          <w:p w14:paraId="0F4CA69E" w14:textId="77777777" w:rsidR="001077E2" w:rsidRPr="00F16887" w:rsidRDefault="001077E2" w:rsidP="00F16887">
            <w:pPr>
              <w:pStyle w:val="ListParagraph"/>
              <w:tabs>
                <w:tab w:val="left" w:pos="514"/>
              </w:tabs>
              <w:ind w:left="601"/>
              <w:contextualSpacing w:val="0"/>
              <w:jc w:val="both"/>
              <w:rPr>
                <w:sz w:val="20"/>
              </w:rPr>
            </w:pPr>
            <w:r w:rsidRPr="00F16887">
              <w:rPr>
                <w:sz w:val="20"/>
              </w:rPr>
              <w:t>Présentation des listages de séquences</w:t>
            </w:r>
          </w:p>
          <w:p w14:paraId="0AA0BA1E" w14:textId="77777777" w:rsidR="001077E2" w:rsidRPr="00F16887" w:rsidRDefault="001077E2" w:rsidP="00F16887">
            <w:pPr>
              <w:pStyle w:val="ListParagraph"/>
              <w:tabs>
                <w:tab w:val="left" w:pos="514"/>
              </w:tabs>
              <w:ind w:left="601"/>
              <w:contextualSpacing w:val="0"/>
              <w:jc w:val="both"/>
              <w:rPr>
                <w:sz w:val="20"/>
              </w:rPr>
            </w:pPr>
            <w:r w:rsidRPr="00F16887">
              <w:rPr>
                <w:sz w:val="20"/>
              </w:rPr>
              <w:t>Enregistrement des dépôts de matériel biologique</w:t>
            </w:r>
          </w:p>
          <w:p w14:paraId="5310C5A6" w14:textId="77777777" w:rsidR="001077E2" w:rsidRPr="00F16887" w:rsidRDefault="001077E2" w:rsidP="00F16887">
            <w:pPr>
              <w:pStyle w:val="ListParagraph"/>
              <w:tabs>
                <w:tab w:val="left" w:pos="514"/>
              </w:tabs>
              <w:ind w:left="819"/>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457B4659" w14:textId="3D564881" w:rsidR="001077E2" w:rsidRPr="00F16887" w:rsidRDefault="001077E2" w:rsidP="00F16887">
            <w:pPr>
              <w:ind w:left="38" w:hanging="38"/>
              <w:rPr>
                <w:rFonts w:eastAsiaTheme="minorHAnsi"/>
                <w:sz w:val="20"/>
              </w:rPr>
            </w:pPr>
            <w:r w:rsidRPr="00F16887">
              <w:rPr>
                <w:sz w:val="20"/>
              </w:rPr>
              <w:t>Norme ST.26 de l</w:t>
            </w:r>
            <w:r w:rsidR="00F16887">
              <w:rPr>
                <w:sz w:val="20"/>
              </w:rPr>
              <w:t>’</w:t>
            </w:r>
            <w:r w:rsidRPr="00F16887">
              <w:rPr>
                <w:sz w:val="20"/>
              </w:rPr>
              <w:t>OMPI pour la présentation des séquences</w:t>
            </w:r>
          </w:p>
          <w:p w14:paraId="2546A464" w14:textId="77777777" w:rsidR="001077E2" w:rsidRPr="00F16887" w:rsidRDefault="001077E2" w:rsidP="00F16887">
            <w:pPr>
              <w:ind w:left="38" w:hanging="38"/>
              <w:rPr>
                <w:rFonts w:eastAsiaTheme="minorHAnsi"/>
                <w:sz w:val="20"/>
              </w:rPr>
            </w:pPr>
            <w:r w:rsidRPr="00F16887">
              <w:rPr>
                <w:sz w:val="20"/>
              </w:rPr>
              <w:t>Traité de Budapest</w:t>
            </w:r>
          </w:p>
          <w:p w14:paraId="221D64ED" w14:textId="77777777" w:rsidR="001077E2" w:rsidRPr="00F16887" w:rsidRDefault="001077E2" w:rsidP="00F16887">
            <w:pPr>
              <w:ind w:left="38" w:hanging="38"/>
              <w:rPr>
                <w:rFonts w:eastAsiaTheme="minorHAnsi"/>
                <w:sz w:val="20"/>
              </w:rPr>
            </w:pPr>
            <w:r w:rsidRPr="00F16887">
              <w:rPr>
                <w:sz w:val="20"/>
              </w:rPr>
              <w:t>Autorités de dépôt internationales</w:t>
            </w:r>
          </w:p>
          <w:p w14:paraId="5CB58E58" w14:textId="2456BAE0" w:rsidR="001077E2" w:rsidRPr="00F16887" w:rsidRDefault="001077E2" w:rsidP="00F16887">
            <w:pPr>
              <w:ind w:left="38" w:hanging="38"/>
              <w:rPr>
                <w:rFonts w:eastAsiaTheme="minorHAnsi"/>
                <w:sz w:val="20"/>
              </w:rPr>
            </w:pPr>
            <w:r w:rsidRPr="00F16887">
              <w:rPr>
                <w:sz w:val="20"/>
              </w:rPr>
              <w:t>Office de dépôt</w:t>
            </w:r>
            <w:r w:rsidR="00F16887">
              <w:rPr>
                <w:sz w:val="20"/>
              </w:rPr>
              <w:t> :</w:t>
            </w:r>
            <w:r w:rsidRPr="00F16887">
              <w:rPr>
                <w:sz w:val="20"/>
              </w:rPr>
              <w:t xml:space="preserve"> Collection de microorganismes du Centre national de ressources génétiques</w:t>
            </w:r>
          </w:p>
          <w:p w14:paraId="3C22B34A" w14:textId="77777777" w:rsidR="001077E2" w:rsidRPr="00F16887" w:rsidRDefault="001077E2" w:rsidP="00F16887">
            <w:pPr>
              <w:ind w:left="38" w:hanging="38"/>
              <w:rPr>
                <w:b/>
                <w:bCs/>
                <w:sz w:val="20"/>
              </w:rPr>
            </w:pPr>
          </w:p>
        </w:tc>
      </w:tr>
      <w:tr w:rsidR="001077E2" w:rsidRPr="00F16887" w14:paraId="190AC550"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62F464F9" w14:textId="77777777" w:rsidR="001077E2" w:rsidRPr="00F16887" w:rsidRDefault="001077E2" w:rsidP="00F16887">
            <w:pPr>
              <w:pStyle w:val="ListParagraph"/>
              <w:tabs>
                <w:tab w:val="left" w:pos="514"/>
              </w:tabs>
              <w:ind w:left="601" w:hanging="425"/>
              <w:contextualSpacing w:val="0"/>
              <w:jc w:val="both"/>
              <w:rPr>
                <w:sz w:val="20"/>
              </w:rPr>
            </w:pPr>
            <w:r w:rsidRPr="00F16887">
              <w:rPr>
                <w:b/>
                <w:sz w:val="20"/>
              </w:rPr>
              <w:t xml:space="preserve">2.3 </w:t>
            </w:r>
            <w:r w:rsidRPr="00F16887">
              <w:rPr>
                <w:sz w:val="20"/>
              </w:rPr>
              <w:t>Fichiers de demandes de brevet</w:t>
            </w:r>
          </w:p>
          <w:p w14:paraId="54D2875D" w14:textId="77777777" w:rsidR="001077E2" w:rsidRPr="00F16887" w:rsidRDefault="001077E2" w:rsidP="00F16887">
            <w:pPr>
              <w:pStyle w:val="ListParagraph"/>
              <w:ind w:left="176"/>
              <w:contextualSpacing w:val="0"/>
              <w:jc w:val="both"/>
              <w:rPr>
                <w:sz w:val="20"/>
              </w:rPr>
            </w:pPr>
            <w:r w:rsidRPr="00F16887">
              <w:rPr>
                <w:sz w:val="20"/>
              </w:rPr>
              <w:t>2.3.1 Explication du concept de priorité</w:t>
            </w:r>
          </w:p>
          <w:p w14:paraId="2B9FCBA2" w14:textId="77777777" w:rsidR="001077E2" w:rsidRPr="00F16887" w:rsidRDefault="001077E2" w:rsidP="00F16887">
            <w:pPr>
              <w:pStyle w:val="ListParagraph"/>
              <w:ind w:left="176"/>
              <w:contextualSpacing w:val="0"/>
              <w:jc w:val="both"/>
              <w:rPr>
                <w:sz w:val="20"/>
              </w:rPr>
            </w:pPr>
            <w:r w:rsidRPr="00F16887">
              <w:rPr>
                <w:sz w:val="20"/>
              </w:rPr>
              <w:t>2.3.2 Explication du concept de divulgation antérieure</w:t>
            </w:r>
          </w:p>
          <w:p w14:paraId="2C53DF51" w14:textId="77777777" w:rsidR="001077E2" w:rsidRPr="00F16887" w:rsidRDefault="001077E2" w:rsidP="00F16887">
            <w:pPr>
              <w:pStyle w:val="ListParagraph"/>
              <w:ind w:left="176"/>
              <w:contextualSpacing w:val="0"/>
              <w:jc w:val="both"/>
              <w:rPr>
                <w:sz w:val="20"/>
              </w:rPr>
            </w:pPr>
            <w:r w:rsidRPr="00F16887">
              <w:rPr>
                <w:sz w:val="20"/>
              </w:rPr>
              <w:t>2.3.3 Explication du concept de famille de brevets</w:t>
            </w:r>
          </w:p>
          <w:p w14:paraId="28AAFB9F" w14:textId="77777777" w:rsidR="001077E2" w:rsidRPr="00F16887" w:rsidRDefault="001077E2" w:rsidP="00F16887">
            <w:pPr>
              <w:pStyle w:val="ListParagraph"/>
              <w:tabs>
                <w:tab w:val="left" w:pos="514"/>
              </w:tabs>
              <w:ind w:left="601"/>
              <w:contextualSpacing w:val="0"/>
              <w:jc w:val="both"/>
              <w:rPr>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4283CA65" w14:textId="3374C1B5" w:rsidR="001077E2" w:rsidRPr="00F16887" w:rsidRDefault="001077E2" w:rsidP="00F16887">
            <w:pPr>
              <w:ind w:left="38" w:hanging="38"/>
              <w:rPr>
                <w:rFonts w:eastAsiaTheme="minorHAnsi"/>
                <w:sz w:val="20"/>
              </w:rPr>
            </w:pPr>
            <w:r w:rsidRPr="00F16887">
              <w:rPr>
                <w:sz w:val="20"/>
              </w:rPr>
              <w:t>Montrer des exemples de</w:t>
            </w:r>
            <w:r w:rsidR="00F16887">
              <w:rPr>
                <w:sz w:val="20"/>
              </w:rPr>
              <w:t> :</w:t>
            </w:r>
          </w:p>
          <w:p w14:paraId="54F8510B" w14:textId="492667BE" w:rsidR="001077E2" w:rsidRPr="00F16887" w:rsidRDefault="001077E2" w:rsidP="00F16887">
            <w:pPr>
              <w:ind w:left="38" w:hanging="38"/>
              <w:rPr>
                <w:rFonts w:eastAsiaTheme="minorHAnsi"/>
                <w:sz w:val="20"/>
              </w:rPr>
            </w:pPr>
            <w:r w:rsidRPr="00F16887">
              <w:rPr>
                <w:sz w:val="20"/>
              </w:rPr>
              <w:t>fichiers selon</w:t>
            </w:r>
            <w:r w:rsidR="00F16887" w:rsidRPr="00F16887">
              <w:rPr>
                <w:sz w:val="20"/>
              </w:rPr>
              <w:t xml:space="preserve"> le</w:t>
            </w:r>
            <w:r w:rsidR="00F16887">
              <w:rPr>
                <w:sz w:val="20"/>
              </w:rPr>
              <w:t> </w:t>
            </w:r>
            <w:r w:rsidR="00F16887" w:rsidRPr="00F16887">
              <w:rPr>
                <w:sz w:val="20"/>
              </w:rPr>
              <w:t>PCT</w:t>
            </w:r>
            <w:r w:rsidRPr="00F16887">
              <w:rPr>
                <w:sz w:val="20"/>
              </w:rPr>
              <w:t xml:space="preserve"> avec et sans priorité;</w:t>
            </w:r>
          </w:p>
          <w:p w14:paraId="5549F05B" w14:textId="77777777" w:rsidR="001077E2" w:rsidRPr="00F16887" w:rsidRDefault="001077E2" w:rsidP="00F16887">
            <w:pPr>
              <w:ind w:left="38" w:hanging="38"/>
              <w:rPr>
                <w:rFonts w:eastAsiaTheme="minorHAnsi"/>
                <w:sz w:val="20"/>
              </w:rPr>
            </w:pPr>
            <w:r w:rsidRPr="00F16887">
              <w:rPr>
                <w:sz w:val="20"/>
              </w:rPr>
              <w:t>fichiers relevant de la Convention de Paris (concept de priorité);</w:t>
            </w:r>
          </w:p>
          <w:p w14:paraId="1096B957" w14:textId="77777777" w:rsidR="001077E2" w:rsidRPr="00F16887" w:rsidRDefault="001077E2" w:rsidP="00F16887">
            <w:pPr>
              <w:ind w:left="38" w:hanging="38"/>
              <w:rPr>
                <w:rFonts w:eastAsiaTheme="minorHAnsi"/>
                <w:sz w:val="20"/>
              </w:rPr>
            </w:pPr>
            <w:r w:rsidRPr="00F16887">
              <w:rPr>
                <w:sz w:val="20"/>
              </w:rPr>
              <w:t>fichiers nationaux avec divulgation antérieure.</w:t>
            </w:r>
          </w:p>
          <w:p w14:paraId="0150EFC3" w14:textId="77777777" w:rsidR="001077E2" w:rsidRPr="00F16887" w:rsidRDefault="001077E2" w:rsidP="00F16887">
            <w:pPr>
              <w:ind w:left="38" w:hanging="38"/>
              <w:rPr>
                <w:b/>
                <w:bCs/>
                <w:sz w:val="20"/>
              </w:rPr>
            </w:pPr>
            <w:r w:rsidRPr="00F16887">
              <w:rPr>
                <w:sz w:val="20"/>
              </w:rPr>
              <w:t>Comparaison des documents de priorité avec une demande nationale.</w:t>
            </w:r>
          </w:p>
        </w:tc>
      </w:tr>
      <w:tr w:rsidR="001077E2" w:rsidRPr="00F16887" w14:paraId="3E2F8C97"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2"/>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4D404DC1" w14:textId="5805B590" w:rsidR="001077E2" w:rsidRPr="00F16887" w:rsidRDefault="001077E2" w:rsidP="00F16887">
            <w:pPr>
              <w:rPr>
                <w:b/>
                <w:bCs/>
                <w:color w:val="621132"/>
                <w:sz w:val="20"/>
              </w:rPr>
            </w:pPr>
            <w:r w:rsidRPr="00F16887">
              <w:rPr>
                <w:b/>
                <w:color w:val="621132"/>
                <w:sz w:val="20"/>
              </w:rPr>
              <w:t>Module </w:t>
            </w:r>
            <w:r w:rsidR="00C95B35" w:rsidRPr="00F16887">
              <w:rPr>
                <w:b/>
                <w:color w:val="621132"/>
                <w:sz w:val="20"/>
              </w:rPr>
              <w:t>III</w:t>
            </w:r>
            <w:r w:rsidR="00C95B35">
              <w:rPr>
                <w:b/>
                <w:color w:val="621132"/>
                <w:sz w:val="20"/>
              </w:rPr>
              <w:t xml:space="preserve">.  </w:t>
            </w:r>
            <w:r w:rsidR="00C95B35" w:rsidRPr="00F16887">
              <w:rPr>
                <w:b/>
                <w:color w:val="621132"/>
                <w:sz w:val="20"/>
              </w:rPr>
              <w:t>Sc</w:t>
            </w:r>
            <w:r w:rsidRPr="00F16887">
              <w:rPr>
                <w:b/>
                <w:color w:val="621132"/>
                <w:sz w:val="20"/>
              </w:rPr>
              <w:t>hémas de classification</w:t>
            </w:r>
          </w:p>
          <w:p w14:paraId="36F3B33A" w14:textId="77777777" w:rsidR="001077E2" w:rsidRPr="00F16887" w:rsidRDefault="001077E2" w:rsidP="00F16887">
            <w:pPr>
              <w:ind w:left="38" w:hanging="38"/>
              <w:rPr>
                <w:rFonts w:eastAsiaTheme="minorHAnsi"/>
                <w:color w:val="13322B"/>
                <w:sz w:val="20"/>
              </w:rPr>
            </w:pPr>
          </w:p>
        </w:tc>
      </w:tr>
      <w:tr w:rsidR="001077E2" w:rsidRPr="00F16887" w14:paraId="3BE371B9"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41315280" w14:textId="77777777" w:rsidR="001077E2" w:rsidRPr="00F16887" w:rsidRDefault="001077E2" w:rsidP="00F16887">
            <w:pPr>
              <w:jc w:val="center"/>
              <w:rPr>
                <w:b/>
                <w:color w:val="621132"/>
                <w:sz w:val="20"/>
              </w:rPr>
            </w:pPr>
            <w:r w:rsidRPr="00F16887">
              <w:rPr>
                <w:b/>
                <w:color w:val="621132"/>
                <w:sz w:val="20"/>
              </w:rPr>
              <w:t>Thème</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1C36C395" w14:textId="77777777" w:rsidR="001077E2" w:rsidRPr="00F16887" w:rsidRDefault="001077E2" w:rsidP="00F16887">
            <w:pPr>
              <w:jc w:val="center"/>
              <w:rPr>
                <w:b/>
                <w:color w:val="621132"/>
                <w:sz w:val="20"/>
              </w:rPr>
            </w:pPr>
            <w:r w:rsidRPr="00F16887">
              <w:rPr>
                <w:b/>
                <w:color w:val="621132"/>
                <w:sz w:val="20"/>
              </w:rPr>
              <w:t>Thèmes à aborder/activités</w:t>
            </w:r>
          </w:p>
          <w:p w14:paraId="7BF9DEC0" w14:textId="77777777" w:rsidR="001077E2" w:rsidRPr="00F16887" w:rsidRDefault="001077E2" w:rsidP="00F16887">
            <w:pPr>
              <w:jc w:val="center"/>
              <w:rPr>
                <w:b/>
                <w:color w:val="621132"/>
                <w:sz w:val="20"/>
              </w:rPr>
            </w:pPr>
          </w:p>
        </w:tc>
      </w:tr>
      <w:tr w:rsidR="001077E2" w:rsidRPr="00F16887" w14:paraId="224D93CC"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1F8E975B" w14:textId="4E3A4417" w:rsidR="001077E2" w:rsidRPr="00F16887" w:rsidRDefault="001077E2" w:rsidP="00F16887">
            <w:pPr>
              <w:pStyle w:val="ListParagraph"/>
              <w:numPr>
                <w:ilvl w:val="0"/>
                <w:numId w:val="10"/>
              </w:numPr>
              <w:ind w:left="459" w:hanging="283"/>
              <w:contextualSpacing w:val="0"/>
              <w:jc w:val="both"/>
              <w:rPr>
                <w:b/>
                <w:bCs/>
                <w:sz w:val="20"/>
              </w:rPr>
            </w:pPr>
            <w:r w:rsidRPr="00F16887">
              <w:rPr>
                <w:b/>
                <w:sz w:val="20"/>
              </w:rPr>
              <w:t>Introduction à l</w:t>
            </w:r>
            <w:r w:rsidR="00F16887">
              <w:rPr>
                <w:b/>
                <w:sz w:val="20"/>
              </w:rPr>
              <w:t>’</w:t>
            </w:r>
            <w:r w:rsidRPr="00F16887">
              <w:rPr>
                <w:b/>
                <w:sz w:val="20"/>
              </w:rPr>
              <w:t>utilisation des systèmes de classification</w:t>
            </w:r>
          </w:p>
          <w:p w14:paraId="023583A4" w14:textId="77777777" w:rsidR="00F16887" w:rsidRDefault="00F16887" w:rsidP="00F16887">
            <w:pPr>
              <w:jc w:val="both"/>
              <w:rPr>
                <w:b/>
                <w:bCs/>
                <w:sz w:val="20"/>
              </w:rPr>
            </w:pPr>
          </w:p>
          <w:p w14:paraId="160516FB" w14:textId="0D08FA44" w:rsidR="001077E2" w:rsidRPr="00F16887" w:rsidRDefault="00C95B35" w:rsidP="00F16887">
            <w:pPr>
              <w:pStyle w:val="ListParagraph"/>
              <w:numPr>
                <w:ilvl w:val="1"/>
                <w:numId w:val="10"/>
              </w:numPr>
              <w:ind w:left="459" w:hanging="283"/>
              <w:contextualSpacing w:val="0"/>
              <w:jc w:val="both"/>
              <w:rPr>
                <w:sz w:val="20"/>
              </w:rPr>
            </w:pPr>
            <w:r>
              <w:rPr>
                <w:sz w:val="20"/>
              </w:rPr>
              <w:t xml:space="preserve"> </w:t>
            </w:r>
            <w:r w:rsidR="001077E2" w:rsidRPr="00F16887">
              <w:rPr>
                <w:sz w:val="20"/>
              </w:rPr>
              <w:t>Classification internationale des brevets</w:t>
            </w:r>
          </w:p>
          <w:p w14:paraId="5C4F6450" w14:textId="77777777" w:rsidR="001077E2" w:rsidRPr="00F16887" w:rsidRDefault="001077E2" w:rsidP="00F16887">
            <w:pPr>
              <w:pStyle w:val="ListParagraph"/>
              <w:ind w:left="459"/>
              <w:contextualSpacing w:val="0"/>
              <w:jc w:val="both"/>
              <w:rPr>
                <w:sz w:val="20"/>
              </w:rPr>
            </w:pPr>
          </w:p>
          <w:p w14:paraId="6CC835B0" w14:textId="77777777" w:rsidR="001077E2" w:rsidRPr="00F16887" w:rsidRDefault="001077E2" w:rsidP="00F16887">
            <w:pPr>
              <w:pStyle w:val="ListParagraph"/>
              <w:ind w:left="459"/>
              <w:contextualSpacing w:val="0"/>
              <w:jc w:val="both"/>
              <w:rPr>
                <w:sz w:val="20"/>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57C09EF7" w14:textId="77777777" w:rsidR="001077E2" w:rsidRPr="00F16887" w:rsidRDefault="001077E2" w:rsidP="00F16887">
            <w:pPr>
              <w:jc w:val="both"/>
              <w:rPr>
                <w:sz w:val="20"/>
              </w:rPr>
            </w:pPr>
          </w:p>
          <w:p w14:paraId="139F57A7" w14:textId="77777777" w:rsidR="001077E2" w:rsidRPr="00F16887" w:rsidRDefault="001077E2" w:rsidP="00F16887">
            <w:pPr>
              <w:jc w:val="both"/>
              <w:rPr>
                <w:sz w:val="20"/>
              </w:rPr>
            </w:pPr>
            <w:r w:rsidRPr="00F16887">
              <w:rPr>
                <w:sz w:val="20"/>
              </w:rPr>
              <w:t>Affectation des symboles de classification (format, structure hiérarchique).</w:t>
            </w:r>
          </w:p>
          <w:p w14:paraId="62F2670D" w14:textId="733BCA32" w:rsidR="001077E2" w:rsidRPr="00F16887" w:rsidRDefault="001077E2" w:rsidP="00F16887">
            <w:pPr>
              <w:jc w:val="both"/>
              <w:rPr>
                <w:sz w:val="20"/>
              </w:rPr>
            </w:pPr>
            <w:r w:rsidRPr="00F16887">
              <w:rPr>
                <w:sz w:val="20"/>
              </w:rPr>
              <w:t>Expliquer comment classer conformément aux schémas de classification à l</w:t>
            </w:r>
            <w:r w:rsidR="00F16887">
              <w:rPr>
                <w:sz w:val="20"/>
              </w:rPr>
              <w:t>’</w:t>
            </w:r>
            <w:r w:rsidRPr="00F16887">
              <w:rPr>
                <w:sz w:val="20"/>
              </w:rPr>
              <w:t>aide d</w:t>
            </w:r>
            <w:r w:rsidR="00F16887">
              <w:rPr>
                <w:sz w:val="20"/>
              </w:rPr>
              <w:t>’</w:t>
            </w:r>
            <w:r w:rsidRPr="00F16887">
              <w:rPr>
                <w:sz w:val="20"/>
              </w:rPr>
              <w:t>un fichier exemple.</w:t>
            </w:r>
          </w:p>
          <w:p w14:paraId="08683F35" w14:textId="77777777" w:rsidR="001077E2" w:rsidRPr="00F16887" w:rsidRDefault="001077E2" w:rsidP="00F16887">
            <w:pPr>
              <w:jc w:val="both"/>
              <w:rPr>
                <w:b/>
                <w:bCs/>
                <w:sz w:val="20"/>
              </w:rPr>
            </w:pPr>
          </w:p>
        </w:tc>
      </w:tr>
      <w:tr w:rsidR="001077E2" w:rsidRPr="00F16887" w14:paraId="5B43CDC6"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81"/>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152BADC9" w14:textId="77777777" w:rsidR="001077E2" w:rsidRPr="00F16887" w:rsidRDefault="001077E2" w:rsidP="00F16887">
            <w:pPr>
              <w:ind w:left="176"/>
              <w:jc w:val="both"/>
              <w:rPr>
                <w:b/>
                <w:bCs/>
                <w:sz w:val="20"/>
              </w:rPr>
            </w:pPr>
            <w:r w:rsidRPr="00F16887">
              <w:rPr>
                <w:b/>
                <w:sz w:val="20"/>
              </w:rPr>
              <w:t xml:space="preserve">3.2 </w:t>
            </w:r>
            <w:r w:rsidRPr="00F16887">
              <w:rPr>
                <w:sz w:val="20"/>
              </w:rPr>
              <w:t>Classification coopérative des brevets</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47B6C618" w14:textId="50378930" w:rsidR="001077E2" w:rsidRPr="00F16887" w:rsidRDefault="001077E2" w:rsidP="00F16887">
            <w:pPr>
              <w:jc w:val="both"/>
              <w:rPr>
                <w:sz w:val="20"/>
              </w:rPr>
            </w:pPr>
            <w:r w:rsidRPr="00F16887">
              <w:rPr>
                <w:sz w:val="20"/>
              </w:rPr>
              <w:t>Avantages de l</w:t>
            </w:r>
            <w:r w:rsidR="00F16887">
              <w:rPr>
                <w:sz w:val="20"/>
              </w:rPr>
              <w:t>’</w:t>
            </w:r>
            <w:r w:rsidRPr="00F16887">
              <w:rPr>
                <w:sz w:val="20"/>
              </w:rPr>
              <w:t>utilisation des symboles de classification pour des recherches techniques.</w:t>
            </w:r>
          </w:p>
          <w:p w14:paraId="49DA6AE6" w14:textId="1F28554D" w:rsidR="001077E2" w:rsidRPr="00F16887" w:rsidRDefault="001077E2" w:rsidP="00F16887">
            <w:pPr>
              <w:jc w:val="both"/>
              <w:rPr>
                <w:sz w:val="20"/>
              </w:rPr>
            </w:pPr>
            <w:r w:rsidRPr="00F16887">
              <w:rPr>
                <w:sz w:val="20"/>
              </w:rPr>
              <w:t>Utilisation de l</w:t>
            </w:r>
            <w:r w:rsidR="00F16887">
              <w:rPr>
                <w:sz w:val="20"/>
              </w:rPr>
              <w:t>’</w:t>
            </w:r>
            <w:r w:rsidRPr="00F16887">
              <w:rPr>
                <w:sz w:val="20"/>
              </w:rPr>
              <w:t>outil ProClass.</w:t>
            </w:r>
          </w:p>
        </w:tc>
      </w:tr>
      <w:tr w:rsidR="001077E2" w:rsidRPr="00F16887" w14:paraId="1C8AC55E"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81"/>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533A0510" w14:textId="055EBC6C" w:rsidR="001077E2" w:rsidRPr="00F16887" w:rsidRDefault="001077E2" w:rsidP="00F16887">
            <w:pPr>
              <w:keepNext/>
              <w:rPr>
                <w:b/>
                <w:bCs/>
                <w:color w:val="621132"/>
                <w:sz w:val="20"/>
              </w:rPr>
            </w:pPr>
            <w:r w:rsidRPr="00F16887">
              <w:rPr>
                <w:b/>
                <w:color w:val="621132"/>
                <w:sz w:val="20"/>
              </w:rPr>
              <w:t xml:space="preserve">Module IV. </w:t>
            </w:r>
            <w:r w:rsidR="00B22F9C">
              <w:rPr>
                <w:b/>
                <w:color w:val="621132"/>
                <w:sz w:val="20"/>
              </w:rPr>
              <w:t xml:space="preserve"> </w:t>
            </w:r>
            <w:r w:rsidRPr="00F16887">
              <w:rPr>
                <w:b/>
                <w:color w:val="621132"/>
                <w:sz w:val="20"/>
              </w:rPr>
              <w:t>Établissement de l</w:t>
            </w:r>
            <w:r w:rsidR="00F16887">
              <w:rPr>
                <w:b/>
                <w:color w:val="621132"/>
                <w:sz w:val="20"/>
              </w:rPr>
              <w:t>’</w:t>
            </w:r>
            <w:r w:rsidRPr="00F16887">
              <w:rPr>
                <w:b/>
                <w:color w:val="621132"/>
                <w:sz w:val="20"/>
              </w:rPr>
              <w:t>état de la technique</w:t>
            </w:r>
          </w:p>
          <w:p w14:paraId="73E1125F" w14:textId="77777777" w:rsidR="001077E2" w:rsidRPr="00F16887" w:rsidRDefault="001077E2" w:rsidP="00F16887">
            <w:pPr>
              <w:keepNext/>
              <w:jc w:val="both"/>
              <w:rPr>
                <w:color w:val="13322B"/>
                <w:sz w:val="20"/>
              </w:rPr>
            </w:pPr>
          </w:p>
        </w:tc>
      </w:tr>
      <w:tr w:rsidR="001077E2" w:rsidRPr="00F16887" w14:paraId="29F156AA"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12C26E8F" w14:textId="77777777" w:rsidR="001077E2" w:rsidRPr="00F16887" w:rsidRDefault="001077E2" w:rsidP="00F16887">
            <w:pPr>
              <w:keepNext/>
              <w:jc w:val="center"/>
              <w:rPr>
                <w:b/>
                <w:color w:val="621132"/>
                <w:sz w:val="20"/>
              </w:rPr>
            </w:pPr>
            <w:r w:rsidRPr="00F16887">
              <w:rPr>
                <w:b/>
                <w:color w:val="621132"/>
                <w:sz w:val="20"/>
              </w:rPr>
              <w:t>Thème</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48181B65" w14:textId="77777777" w:rsidR="001077E2" w:rsidRPr="00F16887" w:rsidRDefault="001077E2" w:rsidP="00F16887">
            <w:pPr>
              <w:jc w:val="center"/>
              <w:rPr>
                <w:b/>
                <w:color w:val="621132"/>
                <w:sz w:val="20"/>
              </w:rPr>
            </w:pPr>
            <w:r w:rsidRPr="00F16887">
              <w:rPr>
                <w:b/>
                <w:color w:val="621132"/>
                <w:sz w:val="20"/>
              </w:rPr>
              <w:t>Points à aborder/activités</w:t>
            </w:r>
          </w:p>
          <w:p w14:paraId="5FDFDB6A" w14:textId="77777777" w:rsidR="001077E2" w:rsidRPr="00F16887" w:rsidRDefault="001077E2" w:rsidP="00F16887">
            <w:pPr>
              <w:jc w:val="center"/>
              <w:rPr>
                <w:b/>
                <w:color w:val="621132"/>
                <w:sz w:val="20"/>
              </w:rPr>
            </w:pPr>
          </w:p>
        </w:tc>
      </w:tr>
      <w:tr w:rsidR="001077E2" w:rsidRPr="00F16887" w14:paraId="3E1ACAF2"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712198BA" w14:textId="77777777" w:rsidR="00F16887" w:rsidRDefault="001077E2" w:rsidP="00F16887">
            <w:pPr>
              <w:pStyle w:val="ListParagraph"/>
              <w:numPr>
                <w:ilvl w:val="0"/>
                <w:numId w:val="10"/>
              </w:numPr>
              <w:ind w:left="459" w:hanging="280"/>
              <w:contextualSpacing w:val="0"/>
              <w:jc w:val="both"/>
              <w:rPr>
                <w:b/>
                <w:sz w:val="20"/>
              </w:rPr>
            </w:pPr>
            <w:r w:rsidRPr="00F16887">
              <w:rPr>
                <w:b/>
                <w:sz w:val="20"/>
              </w:rPr>
              <w:t>Stratégies de recherche</w:t>
            </w:r>
          </w:p>
          <w:p w14:paraId="77C81452" w14:textId="77777777" w:rsidR="00F16887" w:rsidRDefault="00F16887" w:rsidP="00F16887">
            <w:pPr>
              <w:pStyle w:val="ListParagraph"/>
              <w:ind w:left="459"/>
              <w:contextualSpacing w:val="0"/>
              <w:jc w:val="both"/>
              <w:rPr>
                <w:b/>
                <w:bCs/>
                <w:sz w:val="20"/>
              </w:rPr>
            </w:pPr>
          </w:p>
          <w:p w14:paraId="631F8AF4" w14:textId="2C75AE2A" w:rsidR="001077E2" w:rsidRPr="00F16887" w:rsidRDefault="00C95B35" w:rsidP="00F16887">
            <w:pPr>
              <w:pStyle w:val="ListParagraph"/>
              <w:numPr>
                <w:ilvl w:val="1"/>
                <w:numId w:val="10"/>
              </w:numPr>
              <w:ind w:left="462" w:hanging="283"/>
              <w:contextualSpacing w:val="0"/>
              <w:jc w:val="both"/>
              <w:rPr>
                <w:sz w:val="20"/>
              </w:rPr>
            </w:pPr>
            <w:r>
              <w:rPr>
                <w:sz w:val="20"/>
              </w:rPr>
              <w:t xml:space="preserve"> </w:t>
            </w:r>
            <w:r w:rsidR="001077E2" w:rsidRPr="00F16887">
              <w:rPr>
                <w:sz w:val="20"/>
              </w:rPr>
              <w:t>Critère pour établir l</w:t>
            </w:r>
            <w:r w:rsidR="00F16887">
              <w:rPr>
                <w:sz w:val="20"/>
              </w:rPr>
              <w:t>’</w:t>
            </w:r>
            <w:r w:rsidR="001077E2" w:rsidRPr="00F16887">
              <w:rPr>
                <w:sz w:val="20"/>
              </w:rPr>
              <w:t>état de la technique (PCT, Convention de Paris et demandes nationales)</w:t>
            </w:r>
          </w:p>
          <w:p w14:paraId="4C22AA13" w14:textId="77777777" w:rsidR="001077E2" w:rsidRPr="00F16887" w:rsidRDefault="001077E2" w:rsidP="00F16887">
            <w:pPr>
              <w:ind w:left="179"/>
              <w:jc w:val="both"/>
              <w:rPr>
                <w:sz w:val="20"/>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68E38945" w14:textId="77777777" w:rsidR="001077E2" w:rsidRPr="00F16887" w:rsidRDefault="001077E2" w:rsidP="00F16887">
            <w:pPr>
              <w:jc w:val="both"/>
              <w:rPr>
                <w:sz w:val="20"/>
              </w:rPr>
            </w:pPr>
          </w:p>
          <w:p w14:paraId="7C160B42" w14:textId="2322DE87" w:rsidR="001077E2" w:rsidRPr="00F16887" w:rsidRDefault="001077E2" w:rsidP="00F16887">
            <w:pPr>
              <w:jc w:val="both"/>
              <w:rPr>
                <w:sz w:val="20"/>
              </w:rPr>
            </w:pPr>
            <w:r w:rsidRPr="00F16887">
              <w:rPr>
                <w:sz w:val="20"/>
              </w:rPr>
              <w:t>Que rechercher?  Informations sur l</w:t>
            </w:r>
            <w:r w:rsidR="00F16887">
              <w:rPr>
                <w:sz w:val="20"/>
              </w:rPr>
              <w:t>’</w:t>
            </w:r>
            <w:r w:rsidRPr="00F16887">
              <w:rPr>
                <w:sz w:val="20"/>
              </w:rPr>
              <w:t>invention/informations supplémentaires</w:t>
            </w:r>
          </w:p>
          <w:p w14:paraId="74BAD218" w14:textId="022183C0" w:rsidR="001077E2" w:rsidRPr="00F16887" w:rsidRDefault="001077E2" w:rsidP="00F16887">
            <w:pPr>
              <w:jc w:val="both"/>
              <w:rPr>
                <w:b/>
                <w:bCs/>
                <w:sz w:val="20"/>
              </w:rPr>
            </w:pPr>
            <w:r w:rsidRPr="00F16887">
              <w:rPr>
                <w:sz w:val="20"/>
              </w:rPr>
              <w:t>Utilisation d</w:t>
            </w:r>
            <w:r w:rsidR="00F16887">
              <w:rPr>
                <w:sz w:val="20"/>
              </w:rPr>
              <w:t>’</w:t>
            </w:r>
            <w:r w:rsidRPr="00F16887">
              <w:rPr>
                <w:sz w:val="20"/>
              </w:rPr>
              <w:t>un modèle de rapport d</w:t>
            </w:r>
            <w:r w:rsidR="00F16887">
              <w:rPr>
                <w:sz w:val="20"/>
              </w:rPr>
              <w:t>’</w:t>
            </w:r>
            <w:r w:rsidRPr="00F16887">
              <w:rPr>
                <w:sz w:val="20"/>
              </w:rPr>
              <w:t>examen</w:t>
            </w:r>
          </w:p>
        </w:tc>
      </w:tr>
      <w:tr w:rsidR="001077E2" w:rsidRPr="00F16887" w14:paraId="77E502C5"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81"/>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24E872DE" w14:textId="77777777" w:rsidR="001077E2" w:rsidRPr="00F16887" w:rsidRDefault="001077E2" w:rsidP="00C95B35">
            <w:pPr>
              <w:pStyle w:val="ListParagraph"/>
              <w:keepLines/>
              <w:numPr>
                <w:ilvl w:val="2"/>
                <w:numId w:val="10"/>
              </w:numPr>
              <w:ind w:left="1029" w:hanging="567"/>
              <w:contextualSpacing w:val="0"/>
              <w:jc w:val="both"/>
              <w:rPr>
                <w:sz w:val="20"/>
              </w:rPr>
            </w:pPr>
            <w:r w:rsidRPr="00F16887">
              <w:rPr>
                <w:sz w:val="20"/>
              </w:rPr>
              <w:lastRenderedPageBreak/>
              <w:t>SAGPAT</w:t>
            </w:r>
          </w:p>
          <w:p w14:paraId="048B7708" w14:textId="48850E59" w:rsidR="001077E2" w:rsidRPr="00C95B35" w:rsidRDefault="001077E2" w:rsidP="00C95B35">
            <w:pPr>
              <w:pStyle w:val="ListParagraph"/>
              <w:keepLines/>
              <w:numPr>
                <w:ilvl w:val="2"/>
                <w:numId w:val="10"/>
              </w:numPr>
              <w:ind w:left="1029" w:hanging="567"/>
              <w:contextualSpacing w:val="0"/>
              <w:jc w:val="both"/>
              <w:rPr>
                <w:sz w:val="20"/>
              </w:rPr>
            </w:pPr>
            <w:r w:rsidRPr="00C95B35">
              <w:rPr>
                <w:sz w:val="20"/>
              </w:rPr>
              <w:t>Système d</w:t>
            </w:r>
            <w:r w:rsidR="00F16887" w:rsidRPr="00C95B35">
              <w:rPr>
                <w:sz w:val="20"/>
              </w:rPr>
              <w:t>’</w:t>
            </w:r>
            <w:r w:rsidRPr="00C95B35">
              <w:rPr>
                <w:sz w:val="20"/>
              </w:rPr>
              <w:t>information de la Gazette de la propriété industrielle (SIGA) et ViDoc (un éditeur de documents)</w:t>
            </w:r>
          </w:p>
          <w:p w14:paraId="75623336" w14:textId="77777777" w:rsidR="001077E2" w:rsidRPr="00F16887" w:rsidRDefault="001077E2" w:rsidP="00C95B35">
            <w:pPr>
              <w:keepLines/>
              <w:ind w:left="176"/>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53539F7E" w14:textId="77777777" w:rsidR="001077E2" w:rsidRPr="00F16887" w:rsidRDefault="001077E2" w:rsidP="00C95B35">
            <w:pPr>
              <w:keepNext/>
              <w:keepLines/>
              <w:jc w:val="both"/>
              <w:rPr>
                <w:sz w:val="20"/>
              </w:rPr>
            </w:pPr>
            <w:r w:rsidRPr="00F16887">
              <w:rPr>
                <w:sz w:val="20"/>
              </w:rPr>
              <w:t>Recherches pour les demandes nationales de brevet.</w:t>
            </w:r>
          </w:p>
          <w:p w14:paraId="4A1A8ECC" w14:textId="516386F4" w:rsidR="001077E2" w:rsidRPr="00F16887" w:rsidRDefault="001077E2" w:rsidP="00C95B35">
            <w:pPr>
              <w:keepLines/>
              <w:jc w:val="both"/>
              <w:rPr>
                <w:sz w:val="20"/>
              </w:rPr>
            </w:pPr>
            <w:r w:rsidRPr="00F16887">
              <w:rPr>
                <w:sz w:val="20"/>
              </w:rPr>
              <w:t>Recherches pour les demandes selon</w:t>
            </w:r>
            <w:r w:rsidR="00F16887" w:rsidRPr="00F16887">
              <w:rPr>
                <w:sz w:val="20"/>
              </w:rPr>
              <w:t xml:space="preserve"> le</w:t>
            </w:r>
            <w:r w:rsidR="00F16887">
              <w:rPr>
                <w:sz w:val="20"/>
              </w:rPr>
              <w:t> </w:t>
            </w:r>
            <w:r w:rsidR="00F16887" w:rsidRPr="00F16887">
              <w:rPr>
                <w:sz w:val="20"/>
              </w:rPr>
              <w:t>PCT</w:t>
            </w:r>
            <w:r w:rsidRPr="00F16887">
              <w:rPr>
                <w:sz w:val="20"/>
              </w:rPr>
              <w:t xml:space="preserve"> et en vertu de la Convention de Paris.</w:t>
            </w:r>
          </w:p>
        </w:tc>
      </w:tr>
      <w:tr w:rsidR="001077E2" w:rsidRPr="00F16887" w14:paraId="5D235608"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79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27A83787" w14:textId="77777777" w:rsidR="001077E2" w:rsidRPr="00F16887" w:rsidRDefault="001077E2" w:rsidP="00F16887">
            <w:pPr>
              <w:pStyle w:val="ListParagraph"/>
              <w:ind w:left="1029" w:hanging="569"/>
              <w:contextualSpacing w:val="0"/>
              <w:jc w:val="both"/>
              <w:rPr>
                <w:sz w:val="20"/>
              </w:rPr>
            </w:pPr>
            <w:r w:rsidRPr="00F16887">
              <w:rPr>
                <w:sz w:val="20"/>
              </w:rPr>
              <w:t>4.1.3 ESPACENET et PATENTSCOPE</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574D56E2" w14:textId="77777777" w:rsidR="00F16887" w:rsidRDefault="001077E2" w:rsidP="00F16887">
            <w:pPr>
              <w:ind w:left="29" w:hanging="29"/>
              <w:rPr>
                <w:sz w:val="20"/>
              </w:rPr>
            </w:pPr>
            <w:r w:rsidRPr="00F16887">
              <w:rPr>
                <w:sz w:val="20"/>
              </w:rPr>
              <w:t>Recherches dans ESPACENET.</w:t>
            </w:r>
          </w:p>
          <w:p w14:paraId="3ABF6F73" w14:textId="1E6F2FE9" w:rsidR="001077E2" w:rsidRPr="00F16887" w:rsidRDefault="001077E2" w:rsidP="00F16887">
            <w:pPr>
              <w:ind w:left="29" w:hanging="29"/>
              <w:rPr>
                <w:sz w:val="20"/>
              </w:rPr>
            </w:pPr>
            <w:r w:rsidRPr="00F16887">
              <w:rPr>
                <w:sz w:val="20"/>
              </w:rPr>
              <w:t>Récupérer un rapport de recherche, rapport d</w:t>
            </w:r>
            <w:r w:rsidR="00F16887">
              <w:rPr>
                <w:sz w:val="20"/>
              </w:rPr>
              <w:t>’</w:t>
            </w:r>
            <w:r w:rsidRPr="00F16887">
              <w:rPr>
                <w:sz w:val="20"/>
              </w:rPr>
              <w:t xml:space="preserve">examen préliminaire international. </w:t>
            </w:r>
            <w:r w:rsidR="00B22F9C">
              <w:rPr>
                <w:sz w:val="20"/>
              </w:rPr>
              <w:t xml:space="preserve"> </w:t>
            </w:r>
          </w:p>
        </w:tc>
      </w:tr>
      <w:tr w:rsidR="001077E2" w:rsidRPr="00F16887" w14:paraId="2E4B067B"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79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2FA86725" w14:textId="77777777" w:rsidR="001077E2" w:rsidRPr="00F16887" w:rsidRDefault="001077E2" w:rsidP="00F16887">
            <w:pPr>
              <w:pStyle w:val="ListParagraph"/>
              <w:numPr>
                <w:ilvl w:val="2"/>
                <w:numId w:val="13"/>
              </w:numPr>
              <w:ind w:left="1029" w:hanging="567"/>
              <w:contextualSpacing w:val="0"/>
              <w:jc w:val="both"/>
              <w:rPr>
                <w:sz w:val="20"/>
              </w:rPr>
            </w:pPr>
            <w:r w:rsidRPr="00F16887">
              <w:rPr>
                <w:sz w:val="20"/>
              </w:rPr>
              <w:t>CLARIVATE</w:t>
            </w:r>
          </w:p>
          <w:p w14:paraId="6A89C20B" w14:textId="77777777" w:rsidR="001077E2" w:rsidRPr="00F16887" w:rsidRDefault="001077E2" w:rsidP="00F16887">
            <w:pPr>
              <w:pStyle w:val="ListParagraph"/>
              <w:numPr>
                <w:ilvl w:val="2"/>
                <w:numId w:val="13"/>
              </w:numPr>
              <w:ind w:left="1029" w:hanging="567"/>
              <w:contextualSpacing w:val="0"/>
              <w:jc w:val="both"/>
              <w:rPr>
                <w:sz w:val="20"/>
              </w:rPr>
            </w:pPr>
            <w:r w:rsidRPr="00F16887">
              <w:rPr>
                <w:sz w:val="20"/>
              </w:rPr>
              <w:t>SequenceBase</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41E60466" w14:textId="626DB1C0" w:rsidR="001077E2" w:rsidRPr="00F16887" w:rsidRDefault="001077E2" w:rsidP="00F16887">
            <w:pPr>
              <w:ind w:left="29" w:hanging="29"/>
              <w:rPr>
                <w:sz w:val="20"/>
              </w:rPr>
            </w:pPr>
            <w:r w:rsidRPr="00F16887">
              <w:rPr>
                <w:sz w:val="20"/>
              </w:rPr>
              <w:t>Chercher des documents de brevet et de la littérature non</w:t>
            </w:r>
            <w:r w:rsidR="00C95B35">
              <w:rPr>
                <w:sz w:val="20"/>
              </w:rPr>
              <w:noBreakHyphen/>
            </w:r>
            <w:r w:rsidRPr="00F16887">
              <w:rPr>
                <w:sz w:val="20"/>
              </w:rPr>
              <w:t>brevet.</w:t>
            </w:r>
          </w:p>
          <w:p w14:paraId="3043A62E" w14:textId="77777777" w:rsidR="001077E2" w:rsidRPr="00F16887" w:rsidRDefault="001077E2" w:rsidP="00F16887">
            <w:pPr>
              <w:ind w:left="29" w:hanging="29"/>
              <w:rPr>
                <w:sz w:val="20"/>
              </w:rPr>
            </w:pPr>
            <w:r w:rsidRPr="00F16887">
              <w:rPr>
                <w:sz w:val="20"/>
              </w:rPr>
              <w:t>Rechercher des séquences.</w:t>
            </w:r>
          </w:p>
        </w:tc>
      </w:tr>
      <w:tr w:rsidR="001077E2" w:rsidRPr="00F16887" w14:paraId="488441EE"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79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0F447960" w14:textId="2802A3C5" w:rsidR="001077E2" w:rsidRPr="00F16887" w:rsidRDefault="001077E2" w:rsidP="00F16887">
            <w:pPr>
              <w:pStyle w:val="ListParagraph"/>
              <w:ind w:left="1029" w:hanging="569"/>
              <w:contextualSpacing w:val="0"/>
              <w:jc w:val="both"/>
              <w:rPr>
                <w:sz w:val="20"/>
              </w:rPr>
            </w:pPr>
            <w:r w:rsidRPr="00F16887">
              <w:rPr>
                <w:sz w:val="20"/>
              </w:rPr>
              <w:t>4.1.6 Contenu d</w:t>
            </w:r>
            <w:r w:rsidR="00F16887">
              <w:rPr>
                <w:sz w:val="20"/>
              </w:rPr>
              <w:t>’</w:t>
            </w:r>
            <w:r w:rsidRPr="00F16887">
              <w:rPr>
                <w:sz w:val="20"/>
              </w:rPr>
              <w:t>un rapport de recherche</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50F0FF70" w14:textId="77777777" w:rsidR="001077E2" w:rsidRPr="00F16887" w:rsidRDefault="001077E2" w:rsidP="00F16887">
            <w:pPr>
              <w:ind w:left="29" w:hanging="29"/>
              <w:rPr>
                <w:sz w:val="20"/>
              </w:rPr>
            </w:pPr>
            <w:r w:rsidRPr="00F16887">
              <w:rPr>
                <w:sz w:val="20"/>
              </w:rPr>
              <w:t>Établissement de rapports de recherche pour les dossiers nationaux.</w:t>
            </w:r>
          </w:p>
        </w:tc>
      </w:tr>
      <w:tr w:rsidR="001077E2" w:rsidRPr="00F16887" w14:paraId="1B0A0582"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794"/>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14E223ED" w14:textId="098DCD7A" w:rsidR="001077E2" w:rsidRPr="00F16887" w:rsidRDefault="001077E2" w:rsidP="00F16887">
            <w:pPr>
              <w:rPr>
                <w:b/>
                <w:bCs/>
                <w:color w:val="621132"/>
                <w:sz w:val="20"/>
              </w:rPr>
            </w:pPr>
            <w:r w:rsidRPr="00F16887">
              <w:rPr>
                <w:b/>
                <w:color w:val="621132"/>
                <w:sz w:val="20"/>
              </w:rPr>
              <w:t>Module V.</w:t>
            </w:r>
            <w:r w:rsidR="00C95B35">
              <w:rPr>
                <w:b/>
                <w:color w:val="621132"/>
                <w:sz w:val="20"/>
              </w:rPr>
              <w:t xml:space="preserve">  </w:t>
            </w:r>
            <w:r w:rsidRPr="00F16887">
              <w:rPr>
                <w:b/>
                <w:color w:val="621132"/>
                <w:sz w:val="20"/>
              </w:rPr>
              <w:t>Autres offices des brevets</w:t>
            </w:r>
          </w:p>
          <w:p w14:paraId="4288F41E" w14:textId="77777777" w:rsidR="001077E2" w:rsidRPr="00F16887" w:rsidRDefault="001077E2" w:rsidP="00F16887">
            <w:pPr>
              <w:rPr>
                <w:color w:val="13322B"/>
                <w:sz w:val="20"/>
              </w:rPr>
            </w:pPr>
          </w:p>
        </w:tc>
      </w:tr>
      <w:tr w:rsidR="001077E2" w:rsidRPr="00F16887" w14:paraId="6DCE1E2B"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6A820133" w14:textId="77777777" w:rsidR="001077E2" w:rsidRPr="00F16887" w:rsidRDefault="001077E2" w:rsidP="00F16887">
            <w:pPr>
              <w:jc w:val="center"/>
              <w:rPr>
                <w:b/>
                <w:color w:val="621132"/>
                <w:sz w:val="20"/>
              </w:rPr>
            </w:pPr>
            <w:r w:rsidRPr="00F16887">
              <w:rPr>
                <w:b/>
                <w:color w:val="621132"/>
                <w:sz w:val="20"/>
              </w:rPr>
              <w:t>Thème</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1874EB7B" w14:textId="77777777" w:rsidR="001077E2" w:rsidRPr="00F16887" w:rsidRDefault="001077E2" w:rsidP="00F16887">
            <w:pPr>
              <w:jc w:val="center"/>
              <w:rPr>
                <w:b/>
                <w:color w:val="621132"/>
                <w:sz w:val="20"/>
              </w:rPr>
            </w:pPr>
            <w:r w:rsidRPr="00F16887">
              <w:rPr>
                <w:b/>
                <w:color w:val="621132"/>
                <w:sz w:val="20"/>
              </w:rPr>
              <w:t>Points à aborder/activités</w:t>
            </w:r>
          </w:p>
          <w:p w14:paraId="587A7B04" w14:textId="77777777" w:rsidR="001077E2" w:rsidRPr="00F16887" w:rsidRDefault="001077E2" w:rsidP="00F16887">
            <w:pPr>
              <w:jc w:val="center"/>
              <w:rPr>
                <w:b/>
                <w:color w:val="621132"/>
                <w:sz w:val="20"/>
              </w:rPr>
            </w:pPr>
          </w:p>
        </w:tc>
      </w:tr>
      <w:tr w:rsidR="001077E2" w:rsidRPr="00F16887" w14:paraId="33143D38"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17685009" w14:textId="3B157BB3" w:rsidR="001077E2" w:rsidRPr="00F16887" w:rsidRDefault="001077E2" w:rsidP="00F16887">
            <w:pPr>
              <w:pStyle w:val="ListParagraph"/>
              <w:numPr>
                <w:ilvl w:val="0"/>
                <w:numId w:val="10"/>
              </w:numPr>
              <w:ind w:left="321" w:hanging="284"/>
              <w:contextualSpacing w:val="0"/>
              <w:jc w:val="both"/>
              <w:rPr>
                <w:b/>
                <w:bCs/>
                <w:sz w:val="20"/>
              </w:rPr>
            </w:pPr>
            <w:r w:rsidRPr="00F16887">
              <w:rPr>
                <w:b/>
                <w:sz w:val="20"/>
              </w:rPr>
              <w:t>Récupération des produits des travaux d</w:t>
            </w:r>
            <w:r w:rsidR="00F16887">
              <w:rPr>
                <w:b/>
                <w:sz w:val="20"/>
              </w:rPr>
              <w:t>’</w:t>
            </w:r>
            <w:r w:rsidRPr="00F16887">
              <w:rPr>
                <w:b/>
                <w:sz w:val="20"/>
              </w:rPr>
              <w:t>autres offices</w:t>
            </w:r>
          </w:p>
          <w:p w14:paraId="17D318DA" w14:textId="7ECDB34B" w:rsidR="001077E2" w:rsidRPr="00F16887" w:rsidRDefault="001077E2" w:rsidP="00F16887">
            <w:pPr>
              <w:pStyle w:val="ListParagraph"/>
              <w:numPr>
                <w:ilvl w:val="1"/>
                <w:numId w:val="10"/>
              </w:numPr>
              <w:ind w:left="680" w:hanging="340"/>
              <w:contextualSpacing w:val="0"/>
              <w:jc w:val="both"/>
              <w:rPr>
                <w:sz w:val="20"/>
              </w:rPr>
            </w:pPr>
            <w:r w:rsidRPr="00F16887">
              <w:rPr>
                <w:sz w:val="20"/>
              </w:rPr>
              <w:t>Explication du serveur de l</w:t>
            </w:r>
            <w:r w:rsidR="00F16887">
              <w:rPr>
                <w:sz w:val="20"/>
              </w:rPr>
              <w:t>’</w:t>
            </w:r>
            <w:r w:rsidRPr="00F16887">
              <w:rPr>
                <w:sz w:val="20"/>
              </w:rPr>
              <w:t>Office des brevets et des marques des États</w:t>
            </w:r>
            <w:r w:rsidR="00C95B35">
              <w:rPr>
                <w:sz w:val="20"/>
              </w:rPr>
              <w:noBreakHyphen/>
            </w:r>
            <w:r w:rsidRPr="00F16887">
              <w:rPr>
                <w:sz w:val="20"/>
              </w:rPr>
              <w:t>Unis d</w:t>
            </w:r>
            <w:r w:rsidR="00F16887">
              <w:rPr>
                <w:sz w:val="20"/>
              </w:rPr>
              <w:t>’</w:t>
            </w:r>
            <w:r w:rsidRPr="00F16887">
              <w:rPr>
                <w:sz w:val="20"/>
              </w:rPr>
              <w:t>Amérique (USPTO)</w:t>
            </w:r>
          </w:p>
          <w:p w14:paraId="186D23C9" w14:textId="23836D3E" w:rsidR="001077E2" w:rsidRPr="00F16887" w:rsidRDefault="001077E2" w:rsidP="00F16887">
            <w:pPr>
              <w:pStyle w:val="ListParagraph"/>
              <w:numPr>
                <w:ilvl w:val="1"/>
                <w:numId w:val="10"/>
              </w:numPr>
              <w:ind w:left="680" w:hanging="340"/>
              <w:contextualSpacing w:val="0"/>
              <w:jc w:val="both"/>
              <w:rPr>
                <w:sz w:val="20"/>
              </w:rPr>
            </w:pPr>
            <w:r w:rsidRPr="00F16887">
              <w:rPr>
                <w:sz w:val="20"/>
              </w:rPr>
              <w:t>Explication du serveur de l</w:t>
            </w:r>
            <w:r w:rsidR="00F16887">
              <w:rPr>
                <w:sz w:val="20"/>
              </w:rPr>
              <w:t>’</w:t>
            </w:r>
            <w:r w:rsidRPr="00F16887">
              <w:rPr>
                <w:sz w:val="20"/>
              </w:rPr>
              <w:t>Office des brevets du Japon</w:t>
            </w:r>
          </w:p>
          <w:p w14:paraId="2E029F87" w14:textId="77777777" w:rsidR="001077E2" w:rsidRPr="00F16887" w:rsidRDefault="001077E2" w:rsidP="00F16887">
            <w:pPr>
              <w:pStyle w:val="ListParagraph"/>
              <w:numPr>
                <w:ilvl w:val="1"/>
                <w:numId w:val="10"/>
              </w:numPr>
              <w:ind w:left="680" w:hanging="340"/>
              <w:contextualSpacing w:val="0"/>
              <w:jc w:val="both"/>
              <w:rPr>
                <w:sz w:val="20"/>
              </w:rPr>
            </w:pPr>
            <w:r w:rsidRPr="00F16887">
              <w:rPr>
                <w:sz w:val="20"/>
              </w:rPr>
              <w:t>Explication du Ministère de la propriété intellectuelle (MOIP) – Serveur de la République de Corée</w:t>
            </w:r>
          </w:p>
          <w:p w14:paraId="35AEB8CA" w14:textId="72538D93" w:rsidR="001077E2" w:rsidRPr="00F16887" w:rsidRDefault="001077E2" w:rsidP="00F16887">
            <w:pPr>
              <w:pStyle w:val="ListParagraph"/>
              <w:numPr>
                <w:ilvl w:val="1"/>
                <w:numId w:val="10"/>
              </w:numPr>
              <w:ind w:left="680" w:hanging="340"/>
              <w:contextualSpacing w:val="0"/>
              <w:jc w:val="both"/>
              <w:rPr>
                <w:sz w:val="20"/>
              </w:rPr>
            </w:pPr>
            <w:r w:rsidRPr="00F16887">
              <w:rPr>
                <w:sz w:val="20"/>
              </w:rPr>
              <w:t>Explication du serveur de l</w:t>
            </w:r>
            <w:r w:rsidR="00F16887">
              <w:rPr>
                <w:sz w:val="20"/>
              </w:rPr>
              <w:t>’</w:t>
            </w:r>
            <w:r w:rsidRPr="00F16887">
              <w:rPr>
                <w:sz w:val="20"/>
              </w:rPr>
              <w:t>Office de la propriété intellectuelle du Canada</w:t>
            </w:r>
          </w:p>
          <w:p w14:paraId="0AF3E072" w14:textId="77777777" w:rsidR="001077E2" w:rsidRPr="00F16887" w:rsidRDefault="001077E2" w:rsidP="00F16887">
            <w:pPr>
              <w:pStyle w:val="ListParagraph"/>
              <w:ind w:left="604"/>
              <w:contextualSpacing w:val="0"/>
              <w:jc w:val="both"/>
              <w:rPr>
                <w:sz w:val="20"/>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48F63EB2" w14:textId="77777777" w:rsidR="001077E2" w:rsidRPr="00F16887" w:rsidRDefault="001077E2" w:rsidP="00F16887">
            <w:pPr>
              <w:jc w:val="both"/>
              <w:rPr>
                <w:sz w:val="20"/>
              </w:rPr>
            </w:pPr>
          </w:p>
          <w:p w14:paraId="29CFFEDE" w14:textId="4E1BFD55" w:rsidR="001077E2" w:rsidRPr="00F16887" w:rsidRDefault="001077E2" w:rsidP="00F16887">
            <w:pPr>
              <w:jc w:val="both"/>
              <w:rPr>
                <w:sz w:val="20"/>
              </w:rPr>
            </w:pPr>
            <w:r w:rsidRPr="00F16887">
              <w:rPr>
                <w:sz w:val="20"/>
              </w:rPr>
              <w:t>Explication de la procédure et des codes utilisés dans d</w:t>
            </w:r>
            <w:r w:rsidR="00F16887">
              <w:rPr>
                <w:sz w:val="20"/>
              </w:rPr>
              <w:t>’</w:t>
            </w:r>
            <w:r w:rsidRPr="00F16887">
              <w:rPr>
                <w:sz w:val="20"/>
              </w:rPr>
              <w:t>autres offices.</w:t>
            </w:r>
          </w:p>
          <w:p w14:paraId="2B715A13" w14:textId="7E66BF70" w:rsidR="001077E2" w:rsidRPr="00F16887" w:rsidRDefault="001077E2" w:rsidP="00F16887">
            <w:pPr>
              <w:jc w:val="both"/>
              <w:rPr>
                <w:sz w:val="20"/>
              </w:rPr>
            </w:pPr>
            <w:r w:rsidRPr="00F16887">
              <w:rPr>
                <w:sz w:val="20"/>
              </w:rPr>
              <w:t>Recherche d</w:t>
            </w:r>
            <w:r w:rsidR="00F16887">
              <w:rPr>
                <w:sz w:val="20"/>
              </w:rPr>
              <w:t>’</w:t>
            </w:r>
            <w:r w:rsidRPr="00F16887">
              <w:rPr>
                <w:sz w:val="20"/>
              </w:rPr>
              <w:t>autres brevets délivrés.</w:t>
            </w:r>
          </w:p>
          <w:p w14:paraId="3699530F" w14:textId="77777777" w:rsidR="001077E2" w:rsidRPr="00F16887" w:rsidRDefault="001077E2" w:rsidP="00F16887">
            <w:pPr>
              <w:jc w:val="both"/>
              <w:rPr>
                <w:b/>
                <w:bCs/>
                <w:sz w:val="20"/>
              </w:rPr>
            </w:pPr>
          </w:p>
        </w:tc>
      </w:tr>
      <w:tr w:rsidR="001077E2" w:rsidRPr="00F16887" w14:paraId="083812FD"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2A7D4DDC" w14:textId="7A9384AE" w:rsidR="001077E2" w:rsidRPr="00F16887" w:rsidRDefault="001077E2" w:rsidP="00C95B35">
            <w:pPr>
              <w:pStyle w:val="ListParagraph"/>
              <w:tabs>
                <w:tab w:val="left" w:pos="703"/>
              </w:tabs>
              <w:ind w:left="736" w:hanging="413"/>
              <w:contextualSpacing w:val="0"/>
              <w:jc w:val="both"/>
              <w:rPr>
                <w:b/>
                <w:bCs/>
                <w:sz w:val="20"/>
              </w:rPr>
            </w:pPr>
            <w:r w:rsidRPr="00F16887">
              <w:rPr>
                <w:b/>
                <w:bCs/>
                <w:sz w:val="20"/>
              </w:rPr>
              <w:t>5.5</w:t>
            </w:r>
            <w:r w:rsidRPr="00F16887">
              <w:rPr>
                <w:sz w:val="20"/>
              </w:rPr>
              <w:tab/>
              <w:t>Récupération d</w:t>
            </w:r>
            <w:r w:rsidR="00F16887">
              <w:rPr>
                <w:sz w:val="20"/>
              </w:rPr>
              <w:t>’</w:t>
            </w:r>
            <w:r w:rsidRPr="00F16887">
              <w:rPr>
                <w:sz w:val="20"/>
              </w:rPr>
              <w:t>une demande de brevet et de la contrepartie octroyée par un autre office</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2420B376" w14:textId="6530F8CE" w:rsidR="001077E2" w:rsidRPr="00F16887" w:rsidRDefault="001077E2" w:rsidP="00F16887">
            <w:pPr>
              <w:jc w:val="both"/>
              <w:rPr>
                <w:sz w:val="20"/>
              </w:rPr>
            </w:pPr>
            <w:r w:rsidRPr="00F16887">
              <w:rPr>
                <w:sz w:val="20"/>
              </w:rPr>
              <w:t>Comparaison entre des brevets délivrés en ce qui concerne la demande déposée auprès de l</w:t>
            </w:r>
            <w:r w:rsidR="00F16887">
              <w:rPr>
                <w:sz w:val="20"/>
              </w:rPr>
              <w:t>’</w:t>
            </w:r>
            <w:r w:rsidRPr="00F16887">
              <w:rPr>
                <w:sz w:val="20"/>
              </w:rPr>
              <w:t>IMPI.</w:t>
            </w:r>
          </w:p>
          <w:p w14:paraId="159174BC" w14:textId="77777777" w:rsidR="001077E2" w:rsidRPr="00F16887" w:rsidRDefault="001077E2" w:rsidP="00F16887">
            <w:pPr>
              <w:jc w:val="both"/>
              <w:rPr>
                <w:sz w:val="20"/>
              </w:rPr>
            </w:pPr>
          </w:p>
        </w:tc>
      </w:tr>
      <w:tr w:rsidR="001077E2" w:rsidRPr="00F16887" w14:paraId="43ED97A1"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6A3D1A59" w14:textId="1CCD3606" w:rsidR="001077E2" w:rsidRPr="00F16887" w:rsidRDefault="001077E2" w:rsidP="00F16887">
            <w:pPr>
              <w:rPr>
                <w:b/>
                <w:bCs/>
                <w:color w:val="621132"/>
                <w:sz w:val="20"/>
              </w:rPr>
            </w:pPr>
            <w:r w:rsidRPr="00F16887">
              <w:rPr>
                <w:b/>
                <w:color w:val="621132"/>
                <w:sz w:val="20"/>
              </w:rPr>
              <w:t xml:space="preserve">Module VI. </w:t>
            </w:r>
            <w:r w:rsidR="00B22F9C">
              <w:rPr>
                <w:b/>
                <w:color w:val="621132"/>
                <w:sz w:val="20"/>
              </w:rPr>
              <w:t xml:space="preserve"> </w:t>
            </w:r>
            <w:r w:rsidRPr="00F16887">
              <w:rPr>
                <w:b/>
                <w:color w:val="621132"/>
                <w:sz w:val="20"/>
              </w:rPr>
              <w:t>Critères juridiques de brevetabilité</w:t>
            </w:r>
          </w:p>
          <w:p w14:paraId="4528A924" w14:textId="77777777" w:rsidR="001077E2" w:rsidRPr="00F16887" w:rsidRDefault="001077E2" w:rsidP="00F16887">
            <w:pPr>
              <w:jc w:val="both"/>
              <w:rPr>
                <w:color w:val="13322B"/>
                <w:sz w:val="20"/>
              </w:rPr>
            </w:pPr>
          </w:p>
        </w:tc>
      </w:tr>
      <w:tr w:rsidR="001077E2" w:rsidRPr="00F16887" w14:paraId="6E20B609"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0CDED541" w14:textId="77777777" w:rsidR="001077E2" w:rsidRPr="00F16887" w:rsidRDefault="001077E2" w:rsidP="00F16887">
            <w:pPr>
              <w:jc w:val="center"/>
              <w:rPr>
                <w:b/>
                <w:color w:val="621132"/>
                <w:sz w:val="20"/>
              </w:rPr>
            </w:pPr>
            <w:r w:rsidRPr="00F16887">
              <w:rPr>
                <w:b/>
                <w:color w:val="621132"/>
                <w:sz w:val="20"/>
              </w:rPr>
              <w:t>Thème</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5BA7E951" w14:textId="77777777" w:rsidR="001077E2" w:rsidRPr="00F16887" w:rsidRDefault="001077E2" w:rsidP="00F16887">
            <w:pPr>
              <w:jc w:val="center"/>
              <w:rPr>
                <w:b/>
                <w:color w:val="621132"/>
                <w:sz w:val="20"/>
              </w:rPr>
            </w:pPr>
            <w:r w:rsidRPr="00F16887">
              <w:rPr>
                <w:b/>
                <w:color w:val="621132"/>
                <w:sz w:val="20"/>
              </w:rPr>
              <w:t>Points à aborder/activités</w:t>
            </w:r>
          </w:p>
          <w:p w14:paraId="53AEA5EF" w14:textId="77777777" w:rsidR="001077E2" w:rsidRPr="00F16887" w:rsidRDefault="001077E2" w:rsidP="00F16887">
            <w:pPr>
              <w:jc w:val="center"/>
              <w:rPr>
                <w:b/>
                <w:color w:val="621132"/>
                <w:sz w:val="20"/>
              </w:rPr>
            </w:pPr>
          </w:p>
        </w:tc>
      </w:tr>
      <w:tr w:rsidR="001077E2" w:rsidRPr="00F16887" w14:paraId="2CEAADC3"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77F46CE7" w14:textId="77777777" w:rsidR="001077E2" w:rsidRPr="00F16887" w:rsidRDefault="001077E2" w:rsidP="00F16887">
            <w:pPr>
              <w:pStyle w:val="ListParagraph"/>
              <w:numPr>
                <w:ilvl w:val="1"/>
                <w:numId w:val="14"/>
              </w:numPr>
              <w:ind w:left="321" w:hanging="284"/>
              <w:contextualSpacing w:val="0"/>
              <w:jc w:val="both"/>
              <w:rPr>
                <w:b/>
                <w:bCs/>
                <w:sz w:val="20"/>
              </w:rPr>
            </w:pPr>
            <w:r w:rsidRPr="00F16887">
              <w:rPr>
                <w:b/>
                <w:sz w:val="20"/>
              </w:rPr>
              <w:t xml:space="preserve"> Nouveauté</w:t>
            </w:r>
          </w:p>
          <w:p w14:paraId="7702E103" w14:textId="77777777" w:rsidR="001077E2" w:rsidRPr="00F16887" w:rsidRDefault="001077E2" w:rsidP="00F16887">
            <w:pPr>
              <w:pStyle w:val="ListParagraph"/>
              <w:numPr>
                <w:ilvl w:val="2"/>
                <w:numId w:val="14"/>
              </w:numPr>
              <w:ind w:left="890" w:hanging="567"/>
              <w:contextualSpacing w:val="0"/>
              <w:jc w:val="both"/>
              <w:rPr>
                <w:sz w:val="20"/>
              </w:rPr>
            </w:pPr>
            <w:r w:rsidRPr="00F16887">
              <w:rPr>
                <w:sz w:val="20"/>
              </w:rPr>
              <w:t>Explication des critères et de leurs principes</w:t>
            </w:r>
          </w:p>
          <w:p w14:paraId="447F1D1C" w14:textId="77777777" w:rsidR="001077E2" w:rsidRPr="00F16887" w:rsidRDefault="001077E2" w:rsidP="00F16887">
            <w:pPr>
              <w:pStyle w:val="ListParagraph"/>
              <w:numPr>
                <w:ilvl w:val="2"/>
                <w:numId w:val="14"/>
              </w:numPr>
              <w:ind w:left="890" w:hanging="567"/>
              <w:contextualSpacing w:val="0"/>
              <w:jc w:val="both"/>
              <w:rPr>
                <w:sz w:val="20"/>
              </w:rPr>
            </w:pPr>
            <w:r w:rsidRPr="00F16887">
              <w:rPr>
                <w:sz w:val="20"/>
              </w:rPr>
              <w:t>Explication du contexte juridique</w:t>
            </w: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5B8CA019" w14:textId="77777777" w:rsidR="001077E2" w:rsidRPr="00F16887" w:rsidRDefault="001077E2" w:rsidP="00F16887">
            <w:pPr>
              <w:jc w:val="both"/>
              <w:rPr>
                <w:sz w:val="20"/>
              </w:rPr>
            </w:pPr>
          </w:p>
          <w:p w14:paraId="3CE6D29F" w14:textId="1CD74C82" w:rsidR="001077E2" w:rsidRPr="00F16887" w:rsidRDefault="001077E2" w:rsidP="00F16887">
            <w:pPr>
              <w:jc w:val="both"/>
              <w:rPr>
                <w:sz w:val="20"/>
              </w:rPr>
            </w:pPr>
            <w:r w:rsidRPr="00F16887">
              <w:rPr>
                <w:sz w:val="20"/>
              </w:rPr>
              <w:t>Explication de la procédure et des codes utilisés dans d</w:t>
            </w:r>
            <w:r w:rsidR="00F16887">
              <w:rPr>
                <w:sz w:val="20"/>
              </w:rPr>
              <w:t>’</w:t>
            </w:r>
            <w:r w:rsidRPr="00F16887">
              <w:rPr>
                <w:sz w:val="20"/>
              </w:rPr>
              <w:t>autres offices.</w:t>
            </w:r>
          </w:p>
          <w:p w14:paraId="7E2AFB0B" w14:textId="0D0EDC4F" w:rsidR="001077E2" w:rsidRPr="00F16887" w:rsidRDefault="001077E2" w:rsidP="00F16887">
            <w:pPr>
              <w:jc w:val="both"/>
              <w:rPr>
                <w:sz w:val="20"/>
              </w:rPr>
            </w:pPr>
            <w:r w:rsidRPr="00F16887">
              <w:rPr>
                <w:sz w:val="20"/>
              </w:rPr>
              <w:t>Recherche d</w:t>
            </w:r>
            <w:r w:rsidR="00F16887">
              <w:rPr>
                <w:sz w:val="20"/>
              </w:rPr>
              <w:t>’</w:t>
            </w:r>
            <w:r w:rsidRPr="00F16887">
              <w:rPr>
                <w:sz w:val="20"/>
              </w:rPr>
              <w:t>autres brevets délivrés.</w:t>
            </w:r>
          </w:p>
          <w:p w14:paraId="51EDDAAB" w14:textId="77777777" w:rsidR="001077E2" w:rsidRPr="00F16887" w:rsidRDefault="001077E2" w:rsidP="00F16887">
            <w:pPr>
              <w:jc w:val="both"/>
              <w:rPr>
                <w:b/>
                <w:bCs/>
                <w:sz w:val="20"/>
              </w:rPr>
            </w:pPr>
          </w:p>
        </w:tc>
      </w:tr>
      <w:tr w:rsidR="001077E2" w:rsidRPr="00F16887" w14:paraId="09F40549"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4218CAEF" w14:textId="77777777" w:rsidR="001077E2" w:rsidRPr="00F16887" w:rsidRDefault="001077E2" w:rsidP="00F16887">
            <w:pPr>
              <w:pStyle w:val="ListParagraph"/>
              <w:numPr>
                <w:ilvl w:val="1"/>
                <w:numId w:val="14"/>
              </w:numPr>
              <w:ind w:left="321" w:hanging="284"/>
              <w:contextualSpacing w:val="0"/>
              <w:jc w:val="both"/>
              <w:rPr>
                <w:b/>
                <w:bCs/>
                <w:sz w:val="20"/>
              </w:rPr>
            </w:pPr>
            <w:r w:rsidRPr="00F16887">
              <w:rPr>
                <w:b/>
                <w:sz w:val="20"/>
              </w:rPr>
              <w:t xml:space="preserve"> Activité inventive</w:t>
            </w:r>
          </w:p>
          <w:p w14:paraId="4C2E1C66" w14:textId="77777777" w:rsidR="001077E2" w:rsidRPr="00F16887" w:rsidRDefault="001077E2" w:rsidP="00F16887">
            <w:pPr>
              <w:pStyle w:val="ListParagraph"/>
              <w:numPr>
                <w:ilvl w:val="2"/>
                <w:numId w:val="14"/>
              </w:numPr>
              <w:ind w:left="890" w:hanging="567"/>
              <w:contextualSpacing w:val="0"/>
              <w:jc w:val="both"/>
              <w:rPr>
                <w:sz w:val="20"/>
              </w:rPr>
            </w:pPr>
            <w:r w:rsidRPr="00F16887">
              <w:rPr>
                <w:sz w:val="20"/>
              </w:rPr>
              <w:t>Explication des critères et de leurs principes</w:t>
            </w:r>
          </w:p>
          <w:p w14:paraId="20044C46" w14:textId="77777777" w:rsidR="001077E2" w:rsidRPr="00F16887" w:rsidRDefault="001077E2" w:rsidP="00F16887">
            <w:pPr>
              <w:pStyle w:val="ListParagraph"/>
              <w:numPr>
                <w:ilvl w:val="2"/>
                <w:numId w:val="14"/>
              </w:numPr>
              <w:ind w:left="890" w:hanging="567"/>
              <w:contextualSpacing w:val="0"/>
              <w:jc w:val="both"/>
              <w:rPr>
                <w:sz w:val="20"/>
              </w:rPr>
            </w:pPr>
            <w:r w:rsidRPr="00F16887">
              <w:rPr>
                <w:sz w:val="20"/>
              </w:rPr>
              <w:t>Explication du contexte juridique</w:t>
            </w:r>
          </w:p>
          <w:p w14:paraId="5FEEDD63" w14:textId="046C4F7F" w:rsidR="001077E2" w:rsidRPr="00F16887" w:rsidRDefault="001077E2" w:rsidP="00F16887">
            <w:pPr>
              <w:pStyle w:val="ListParagraph"/>
              <w:numPr>
                <w:ilvl w:val="2"/>
                <w:numId w:val="14"/>
              </w:numPr>
              <w:ind w:left="890" w:hanging="567"/>
              <w:contextualSpacing w:val="0"/>
              <w:jc w:val="both"/>
              <w:rPr>
                <w:sz w:val="20"/>
              </w:rPr>
            </w:pPr>
            <w:r w:rsidRPr="00F16887">
              <w:rPr>
                <w:sz w:val="20"/>
              </w:rPr>
              <w:t>Brève présentation de l</w:t>
            </w:r>
            <w:r w:rsidR="00F16887">
              <w:rPr>
                <w:sz w:val="20"/>
              </w:rPr>
              <w:t>’</w:t>
            </w:r>
            <w:r w:rsidRPr="00F16887">
              <w:rPr>
                <w:sz w:val="20"/>
              </w:rPr>
              <w:t>approche problème</w:t>
            </w:r>
            <w:r w:rsidR="00C95B35">
              <w:rPr>
                <w:sz w:val="20"/>
              </w:rPr>
              <w:noBreakHyphen/>
            </w:r>
            <w:r w:rsidRPr="00F16887">
              <w:rPr>
                <w:sz w:val="20"/>
              </w:rPr>
              <w:t>solution</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9B01580" w14:textId="77777777" w:rsidR="001077E2" w:rsidRPr="00F16887" w:rsidRDefault="001077E2" w:rsidP="00F16887">
            <w:pPr>
              <w:jc w:val="both"/>
              <w:rPr>
                <w:sz w:val="20"/>
              </w:rPr>
            </w:pPr>
          </w:p>
          <w:p w14:paraId="2335B6FA" w14:textId="0A79FDD7" w:rsidR="001077E2" w:rsidRPr="00F16887" w:rsidRDefault="001077E2" w:rsidP="00F16887">
            <w:pPr>
              <w:jc w:val="both"/>
              <w:rPr>
                <w:sz w:val="20"/>
              </w:rPr>
            </w:pPr>
            <w:r w:rsidRPr="00F16887">
              <w:rPr>
                <w:sz w:val="20"/>
              </w:rPr>
              <w:t>Demander aux déposants d</w:t>
            </w:r>
            <w:r w:rsidR="00F16887">
              <w:rPr>
                <w:sz w:val="20"/>
              </w:rPr>
              <w:t>’</w:t>
            </w:r>
            <w:r w:rsidRPr="00F16887">
              <w:rPr>
                <w:sz w:val="20"/>
              </w:rPr>
              <w:t>appliquer l</w:t>
            </w:r>
            <w:r w:rsidR="00F16887">
              <w:rPr>
                <w:sz w:val="20"/>
              </w:rPr>
              <w:t>’</w:t>
            </w:r>
            <w:r w:rsidRPr="00F16887">
              <w:rPr>
                <w:sz w:val="20"/>
              </w:rPr>
              <w:t>approche problème</w:t>
            </w:r>
            <w:r w:rsidR="00C95B35">
              <w:rPr>
                <w:sz w:val="20"/>
              </w:rPr>
              <w:noBreakHyphen/>
            </w:r>
            <w:r w:rsidRPr="00F16887">
              <w:rPr>
                <w:sz w:val="20"/>
              </w:rPr>
              <w:t>solution.</w:t>
            </w:r>
          </w:p>
          <w:p w14:paraId="5EB968BD" w14:textId="77777777" w:rsidR="001077E2" w:rsidRPr="00F16887" w:rsidRDefault="001077E2" w:rsidP="00F16887">
            <w:pPr>
              <w:jc w:val="both"/>
              <w:rPr>
                <w:sz w:val="20"/>
              </w:rPr>
            </w:pPr>
            <w:r w:rsidRPr="00F16887">
              <w:rPr>
                <w:sz w:val="20"/>
              </w:rPr>
              <w:t>Examiner les résultats en groupe.</w:t>
            </w:r>
          </w:p>
        </w:tc>
      </w:tr>
      <w:tr w:rsidR="001077E2" w:rsidRPr="00F16887" w14:paraId="17425B8D"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717B8733" w14:textId="77777777" w:rsidR="001077E2" w:rsidRPr="00F16887" w:rsidRDefault="001077E2" w:rsidP="00F16887">
            <w:pPr>
              <w:pStyle w:val="ListParagraph"/>
              <w:numPr>
                <w:ilvl w:val="1"/>
                <w:numId w:val="14"/>
              </w:numPr>
              <w:ind w:left="321" w:hanging="284"/>
              <w:contextualSpacing w:val="0"/>
              <w:jc w:val="both"/>
              <w:rPr>
                <w:b/>
                <w:bCs/>
                <w:sz w:val="20"/>
              </w:rPr>
            </w:pPr>
            <w:r w:rsidRPr="00F16887">
              <w:rPr>
                <w:b/>
                <w:sz w:val="20"/>
              </w:rPr>
              <w:lastRenderedPageBreak/>
              <w:t xml:space="preserve"> Application industrielle</w:t>
            </w:r>
          </w:p>
          <w:p w14:paraId="2AFEACE2" w14:textId="77777777" w:rsidR="001077E2" w:rsidRPr="00F16887" w:rsidRDefault="001077E2" w:rsidP="00F16887">
            <w:pPr>
              <w:pStyle w:val="ListParagraph"/>
              <w:numPr>
                <w:ilvl w:val="2"/>
                <w:numId w:val="14"/>
              </w:numPr>
              <w:ind w:left="890" w:hanging="567"/>
              <w:contextualSpacing w:val="0"/>
              <w:jc w:val="both"/>
              <w:rPr>
                <w:sz w:val="20"/>
              </w:rPr>
            </w:pPr>
            <w:r w:rsidRPr="00F16887">
              <w:rPr>
                <w:sz w:val="20"/>
              </w:rPr>
              <w:t>Explication des critères et de leurs principes</w:t>
            </w:r>
          </w:p>
          <w:p w14:paraId="073B2F99" w14:textId="77777777" w:rsidR="001077E2" w:rsidRPr="00F16887" w:rsidRDefault="001077E2" w:rsidP="00F16887">
            <w:pPr>
              <w:pStyle w:val="ListParagraph"/>
              <w:numPr>
                <w:ilvl w:val="2"/>
                <w:numId w:val="14"/>
              </w:numPr>
              <w:ind w:left="890" w:hanging="567"/>
              <w:contextualSpacing w:val="0"/>
              <w:jc w:val="both"/>
              <w:rPr>
                <w:sz w:val="20"/>
              </w:rPr>
            </w:pPr>
            <w:r w:rsidRPr="00F16887">
              <w:rPr>
                <w:sz w:val="20"/>
              </w:rPr>
              <w:t>Explication du contexte juridique</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049DBDBA" w14:textId="77777777" w:rsidR="001077E2" w:rsidRPr="00F16887" w:rsidRDefault="001077E2" w:rsidP="00F16887">
            <w:pPr>
              <w:jc w:val="both"/>
              <w:rPr>
                <w:sz w:val="20"/>
              </w:rPr>
            </w:pPr>
          </w:p>
          <w:p w14:paraId="32844470" w14:textId="03DF4A4F" w:rsidR="001077E2" w:rsidRPr="00F16887" w:rsidRDefault="001077E2" w:rsidP="00F16887">
            <w:pPr>
              <w:jc w:val="both"/>
              <w:rPr>
                <w:sz w:val="20"/>
              </w:rPr>
            </w:pPr>
            <w:r w:rsidRPr="00F16887">
              <w:rPr>
                <w:sz w:val="20"/>
              </w:rPr>
              <w:t>Examiner des exemples de manque d</w:t>
            </w:r>
            <w:r w:rsidR="00F16887">
              <w:rPr>
                <w:sz w:val="20"/>
              </w:rPr>
              <w:t>’</w:t>
            </w:r>
            <w:r w:rsidRPr="00F16887">
              <w:rPr>
                <w:sz w:val="20"/>
              </w:rPr>
              <w:t>application industrielle.</w:t>
            </w:r>
          </w:p>
        </w:tc>
      </w:tr>
      <w:tr w:rsidR="001077E2" w:rsidRPr="00F16887" w14:paraId="162C75C8"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67BEE20C" w14:textId="77777777" w:rsidR="001077E2" w:rsidRPr="00F16887" w:rsidRDefault="001077E2" w:rsidP="00F16887">
            <w:pPr>
              <w:pStyle w:val="ListParagraph"/>
              <w:numPr>
                <w:ilvl w:val="1"/>
                <w:numId w:val="14"/>
              </w:numPr>
              <w:ind w:left="321" w:hanging="284"/>
              <w:contextualSpacing w:val="0"/>
              <w:jc w:val="both"/>
              <w:rPr>
                <w:b/>
                <w:bCs/>
                <w:sz w:val="20"/>
              </w:rPr>
            </w:pPr>
            <w:r w:rsidRPr="00F16887">
              <w:rPr>
                <w:b/>
                <w:sz w:val="20"/>
              </w:rPr>
              <w:t xml:space="preserve"> Clarté</w:t>
            </w:r>
          </w:p>
          <w:p w14:paraId="20F2DE8C" w14:textId="77777777" w:rsidR="001077E2" w:rsidRPr="00F16887" w:rsidRDefault="001077E2" w:rsidP="00F16887">
            <w:pPr>
              <w:pStyle w:val="ListParagraph"/>
              <w:numPr>
                <w:ilvl w:val="2"/>
                <w:numId w:val="14"/>
              </w:numPr>
              <w:ind w:left="890" w:hanging="567"/>
              <w:contextualSpacing w:val="0"/>
              <w:jc w:val="both"/>
              <w:rPr>
                <w:sz w:val="20"/>
              </w:rPr>
            </w:pPr>
            <w:r w:rsidRPr="00F16887">
              <w:rPr>
                <w:sz w:val="20"/>
              </w:rPr>
              <w:t>Explication des critères et de leurs principes</w:t>
            </w:r>
          </w:p>
          <w:p w14:paraId="205061D3" w14:textId="77777777" w:rsidR="001077E2" w:rsidRPr="00F16887" w:rsidRDefault="001077E2" w:rsidP="00F16887">
            <w:pPr>
              <w:pStyle w:val="ListParagraph"/>
              <w:numPr>
                <w:ilvl w:val="2"/>
                <w:numId w:val="14"/>
              </w:numPr>
              <w:ind w:left="890" w:hanging="567"/>
              <w:contextualSpacing w:val="0"/>
              <w:jc w:val="both"/>
              <w:rPr>
                <w:b/>
                <w:bCs/>
                <w:sz w:val="20"/>
              </w:rPr>
            </w:pPr>
            <w:r w:rsidRPr="00F16887">
              <w:rPr>
                <w:sz w:val="20"/>
              </w:rPr>
              <w:t xml:space="preserve">Explication du contexte juridique </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46C5A1A3" w14:textId="77777777" w:rsidR="001077E2" w:rsidRPr="00F16887" w:rsidRDefault="001077E2" w:rsidP="00F16887">
            <w:pPr>
              <w:jc w:val="both"/>
              <w:rPr>
                <w:sz w:val="20"/>
              </w:rPr>
            </w:pPr>
          </w:p>
          <w:p w14:paraId="26D6B6B8" w14:textId="77777777" w:rsidR="001077E2" w:rsidRPr="00F16887" w:rsidRDefault="001077E2" w:rsidP="00F16887">
            <w:pPr>
              <w:jc w:val="both"/>
              <w:rPr>
                <w:sz w:val="20"/>
              </w:rPr>
            </w:pPr>
            <w:r w:rsidRPr="00F16887">
              <w:rPr>
                <w:sz w:val="20"/>
              </w:rPr>
              <w:t>Examiner certains exemples de manque de clarté.</w:t>
            </w:r>
          </w:p>
        </w:tc>
      </w:tr>
      <w:tr w:rsidR="001077E2" w:rsidRPr="00F16887" w14:paraId="531CAB2F"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42AF3154" w14:textId="77777777" w:rsidR="001077E2" w:rsidRPr="00F16887" w:rsidRDefault="001077E2" w:rsidP="00F16887">
            <w:pPr>
              <w:pStyle w:val="ListParagraph"/>
              <w:numPr>
                <w:ilvl w:val="1"/>
                <w:numId w:val="14"/>
              </w:numPr>
              <w:ind w:left="321" w:hanging="284"/>
              <w:contextualSpacing w:val="0"/>
              <w:jc w:val="both"/>
              <w:rPr>
                <w:b/>
                <w:bCs/>
                <w:sz w:val="20"/>
              </w:rPr>
            </w:pPr>
            <w:r w:rsidRPr="00F16887">
              <w:rPr>
                <w:b/>
                <w:sz w:val="20"/>
              </w:rPr>
              <w:t xml:space="preserve"> Caractère suffisant de la description</w:t>
            </w:r>
          </w:p>
          <w:p w14:paraId="56043BC8" w14:textId="3169EC26" w:rsidR="001077E2" w:rsidRPr="00F16887" w:rsidRDefault="001077E2" w:rsidP="00F16887">
            <w:pPr>
              <w:pStyle w:val="ListParagraph"/>
              <w:numPr>
                <w:ilvl w:val="2"/>
                <w:numId w:val="14"/>
              </w:numPr>
              <w:ind w:left="890" w:hanging="567"/>
              <w:contextualSpacing w:val="0"/>
              <w:jc w:val="both"/>
              <w:rPr>
                <w:sz w:val="20"/>
              </w:rPr>
            </w:pPr>
            <w:r w:rsidRPr="00F16887">
              <w:rPr>
                <w:sz w:val="20"/>
              </w:rPr>
              <w:t>Explication des raisons d</w:t>
            </w:r>
            <w:r w:rsidR="00F16887">
              <w:rPr>
                <w:sz w:val="20"/>
              </w:rPr>
              <w:t>’</w:t>
            </w:r>
            <w:r w:rsidRPr="00F16887">
              <w:rPr>
                <w:sz w:val="20"/>
              </w:rPr>
              <w:t>être de cette exigence</w:t>
            </w:r>
          </w:p>
          <w:p w14:paraId="7B764071" w14:textId="77777777" w:rsidR="001077E2" w:rsidRPr="00F16887" w:rsidRDefault="001077E2" w:rsidP="00F16887">
            <w:pPr>
              <w:pStyle w:val="ListParagraph"/>
              <w:numPr>
                <w:ilvl w:val="2"/>
                <w:numId w:val="14"/>
              </w:numPr>
              <w:ind w:left="890" w:hanging="567"/>
              <w:contextualSpacing w:val="0"/>
              <w:jc w:val="both"/>
              <w:rPr>
                <w:sz w:val="20"/>
              </w:rPr>
            </w:pPr>
            <w:r w:rsidRPr="00F16887">
              <w:rPr>
                <w:sz w:val="20"/>
              </w:rPr>
              <w:t>Explication des exigences juridiques</w:t>
            </w:r>
          </w:p>
          <w:p w14:paraId="029338A0" w14:textId="45773047" w:rsidR="001077E2" w:rsidRPr="00F16887" w:rsidRDefault="001077E2" w:rsidP="00F16887">
            <w:pPr>
              <w:pStyle w:val="ListParagraph"/>
              <w:numPr>
                <w:ilvl w:val="2"/>
                <w:numId w:val="14"/>
              </w:numPr>
              <w:ind w:left="890" w:hanging="567"/>
              <w:contextualSpacing w:val="0"/>
              <w:jc w:val="both"/>
              <w:rPr>
                <w:sz w:val="20"/>
              </w:rPr>
            </w:pPr>
            <w:r w:rsidRPr="00F16887">
              <w:rPr>
                <w:sz w:val="20"/>
              </w:rPr>
              <w:t>Explication de la manière d</w:t>
            </w:r>
            <w:r w:rsidR="00F16887">
              <w:rPr>
                <w:sz w:val="20"/>
              </w:rPr>
              <w:t>’</w:t>
            </w:r>
            <w:r w:rsidRPr="00F16887">
              <w:rPr>
                <w:sz w:val="20"/>
              </w:rPr>
              <w:t>évaluer cette exigence</w:t>
            </w:r>
          </w:p>
          <w:p w14:paraId="64EFF21E" w14:textId="77777777" w:rsidR="001077E2" w:rsidRPr="00F16887" w:rsidRDefault="001077E2" w:rsidP="00F16887">
            <w:pPr>
              <w:pStyle w:val="ListParagraph"/>
              <w:ind w:left="321"/>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428583E" w14:textId="77777777" w:rsidR="001077E2" w:rsidRPr="00F16887" w:rsidRDefault="001077E2" w:rsidP="00F16887">
            <w:pPr>
              <w:jc w:val="both"/>
              <w:rPr>
                <w:sz w:val="20"/>
              </w:rPr>
            </w:pPr>
          </w:p>
          <w:p w14:paraId="7ACE3037" w14:textId="77777777" w:rsidR="001077E2" w:rsidRPr="00F16887" w:rsidRDefault="001077E2" w:rsidP="00F16887">
            <w:pPr>
              <w:jc w:val="both"/>
              <w:rPr>
                <w:sz w:val="20"/>
              </w:rPr>
            </w:pPr>
            <w:r w:rsidRPr="00F16887">
              <w:rPr>
                <w:sz w:val="20"/>
              </w:rPr>
              <w:t>Examiner certains exemples de manque de caractère suffisant de la description</w:t>
            </w:r>
          </w:p>
        </w:tc>
      </w:tr>
      <w:tr w:rsidR="001077E2" w:rsidRPr="00F16887" w14:paraId="21EEBCFF"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0DE017FF" w14:textId="46AAE3C2" w:rsidR="001077E2" w:rsidRPr="00F16887" w:rsidRDefault="001077E2" w:rsidP="00F16887">
            <w:pPr>
              <w:pStyle w:val="ListParagraph"/>
              <w:keepNext/>
              <w:numPr>
                <w:ilvl w:val="1"/>
                <w:numId w:val="14"/>
              </w:numPr>
              <w:ind w:left="321" w:hanging="284"/>
              <w:contextualSpacing w:val="0"/>
              <w:jc w:val="both"/>
              <w:rPr>
                <w:b/>
                <w:bCs/>
                <w:sz w:val="20"/>
              </w:rPr>
            </w:pPr>
            <w:r w:rsidRPr="00F16887">
              <w:rPr>
                <w:b/>
                <w:sz w:val="20"/>
              </w:rPr>
              <w:t xml:space="preserve"> Unité d</w:t>
            </w:r>
            <w:r w:rsidR="00F16887">
              <w:rPr>
                <w:b/>
                <w:sz w:val="20"/>
              </w:rPr>
              <w:t>’</w:t>
            </w:r>
            <w:r w:rsidRPr="00F16887">
              <w:rPr>
                <w:b/>
                <w:sz w:val="20"/>
              </w:rPr>
              <w:t>invention</w:t>
            </w:r>
          </w:p>
          <w:p w14:paraId="69055705" w14:textId="35E5432D" w:rsidR="001077E2" w:rsidRPr="00F16887" w:rsidRDefault="001077E2" w:rsidP="00F16887">
            <w:pPr>
              <w:pStyle w:val="ListParagraph"/>
              <w:numPr>
                <w:ilvl w:val="2"/>
                <w:numId w:val="14"/>
              </w:numPr>
              <w:ind w:left="890" w:hanging="567"/>
              <w:contextualSpacing w:val="0"/>
              <w:jc w:val="both"/>
              <w:rPr>
                <w:sz w:val="20"/>
              </w:rPr>
            </w:pPr>
            <w:r w:rsidRPr="00F16887">
              <w:rPr>
                <w:sz w:val="20"/>
              </w:rPr>
              <w:t>Explication des raisons à l</w:t>
            </w:r>
            <w:r w:rsidR="00F16887">
              <w:rPr>
                <w:sz w:val="20"/>
              </w:rPr>
              <w:t>’</w:t>
            </w:r>
            <w:r w:rsidRPr="00F16887">
              <w:rPr>
                <w:sz w:val="20"/>
              </w:rPr>
              <w:t>origine de ce critère</w:t>
            </w:r>
          </w:p>
          <w:p w14:paraId="0CE83C4D" w14:textId="77777777" w:rsidR="001077E2" w:rsidRPr="00F16887" w:rsidRDefault="001077E2" w:rsidP="00F16887">
            <w:pPr>
              <w:pStyle w:val="ListParagraph"/>
              <w:numPr>
                <w:ilvl w:val="2"/>
                <w:numId w:val="14"/>
              </w:numPr>
              <w:ind w:left="890" w:hanging="567"/>
              <w:contextualSpacing w:val="0"/>
              <w:jc w:val="both"/>
              <w:rPr>
                <w:sz w:val="20"/>
              </w:rPr>
            </w:pPr>
            <w:r w:rsidRPr="00F16887">
              <w:rPr>
                <w:sz w:val="20"/>
              </w:rPr>
              <w:t>Explication du contexte juridique</w:t>
            </w:r>
          </w:p>
          <w:p w14:paraId="445E1583" w14:textId="77777777" w:rsidR="001077E2" w:rsidRPr="00F16887" w:rsidRDefault="001077E2" w:rsidP="00F16887">
            <w:pPr>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86C1DA0" w14:textId="77777777" w:rsidR="001077E2" w:rsidRPr="00F16887" w:rsidRDefault="001077E2" w:rsidP="00F16887">
            <w:pPr>
              <w:jc w:val="both"/>
              <w:rPr>
                <w:sz w:val="20"/>
              </w:rPr>
            </w:pPr>
          </w:p>
          <w:p w14:paraId="16B97791" w14:textId="2E756B8A" w:rsidR="001077E2" w:rsidRPr="00F16887" w:rsidRDefault="001077E2" w:rsidP="00F16887">
            <w:pPr>
              <w:jc w:val="both"/>
              <w:rPr>
                <w:sz w:val="20"/>
              </w:rPr>
            </w:pPr>
            <w:r w:rsidRPr="00F16887">
              <w:rPr>
                <w:sz w:val="20"/>
              </w:rPr>
              <w:t>Absence d</w:t>
            </w:r>
            <w:r w:rsidR="00F16887">
              <w:rPr>
                <w:sz w:val="20"/>
              </w:rPr>
              <w:t>’</w:t>
            </w:r>
            <w:r w:rsidRPr="00F16887">
              <w:rPr>
                <w:sz w:val="20"/>
              </w:rPr>
              <w:t>unité de l</w:t>
            </w:r>
            <w:r w:rsidR="00F16887">
              <w:rPr>
                <w:sz w:val="20"/>
              </w:rPr>
              <w:t>’</w:t>
            </w:r>
            <w:r w:rsidRPr="00F16887">
              <w:rPr>
                <w:sz w:val="20"/>
              </w:rPr>
              <w:t xml:space="preserve">invention </w:t>
            </w:r>
            <w:r w:rsidRPr="00F16887">
              <w:rPr>
                <w:i/>
                <w:sz w:val="20"/>
              </w:rPr>
              <w:t>a priori.</w:t>
            </w:r>
          </w:p>
          <w:p w14:paraId="642CB37D" w14:textId="6A3C584E" w:rsidR="001077E2" w:rsidRPr="00F16887" w:rsidRDefault="001077E2" w:rsidP="00F16887">
            <w:pPr>
              <w:jc w:val="both"/>
              <w:rPr>
                <w:sz w:val="20"/>
              </w:rPr>
            </w:pPr>
            <w:r w:rsidRPr="00F16887">
              <w:rPr>
                <w:sz w:val="20"/>
              </w:rPr>
              <w:t>Absence d</w:t>
            </w:r>
            <w:r w:rsidR="00F16887">
              <w:rPr>
                <w:sz w:val="20"/>
              </w:rPr>
              <w:t>’</w:t>
            </w:r>
            <w:r w:rsidRPr="00F16887">
              <w:rPr>
                <w:sz w:val="20"/>
              </w:rPr>
              <w:t>unité de l</w:t>
            </w:r>
            <w:r w:rsidR="00F16887">
              <w:rPr>
                <w:sz w:val="20"/>
              </w:rPr>
              <w:t>’</w:t>
            </w:r>
            <w:r w:rsidRPr="00F16887">
              <w:rPr>
                <w:sz w:val="20"/>
              </w:rPr>
              <w:t xml:space="preserve">invention </w:t>
            </w:r>
            <w:r w:rsidRPr="00F16887">
              <w:rPr>
                <w:i/>
                <w:sz w:val="20"/>
              </w:rPr>
              <w:t>a posteriori.</w:t>
            </w:r>
          </w:p>
        </w:tc>
      </w:tr>
      <w:tr w:rsidR="001077E2" w:rsidRPr="00F16887" w14:paraId="495AABAE"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5ED53C68" w14:textId="77777777" w:rsidR="001077E2" w:rsidRPr="00F16887" w:rsidRDefault="001077E2" w:rsidP="00F16887">
            <w:pPr>
              <w:pStyle w:val="ListParagraph"/>
              <w:numPr>
                <w:ilvl w:val="1"/>
                <w:numId w:val="14"/>
              </w:numPr>
              <w:ind w:left="321" w:hanging="284"/>
              <w:contextualSpacing w:val="0"/>
              <w:jc w:val="both"/>
              <w:rPr>
                <w:b/>
                <w:bCs/>
                <w:sz w:val="20"/>
              </w:rPr>
            </w:pPr>
            <w:r w:rsidRPr="00F16887">
              <w:rPr>
                <w:b/>
                <w:sz w:val="20"/>
              </w:rPr>
              <w:t xml:space="preserve"> Des demandes divisionnaires</w:t>
            </w:r>
          </w:p>
          <w:p w14:paraId="357B3D58" w14:textId="77777777" w:rsidR="001077E2" w:rsidRPr="00F16887" w:rsidRDefault="001077E2" w:rsidP="00F16887">
            <w:pPr>
              <w:pStyle w:val="ListParagraph"/>
              <w:numPr>
                <w:ilvl w:val="2"/>
                <w:numId w:val="14"/>
              </w:numPr>
              <w:ind w:left="890" w:hanging="567"/>
              <w:contextualSpacing w:val="0"/>
              <w:jc w:val="both"/>
              <w:rPr>
                <w:sz w:val="20"/>
              </w:rPr>
            </w:pPr>
            <w:r w:rsidRPr="00F16887">
              <w:rPr>
                <w:sz w:val="20"/>
              </w:rPr>
              <w:t>Origine</w:t>
            </w:r>
          </w:p>
          <w:p w14:paraId="53ED3175" w14:textId="77777777" w:rsidR="001077E2" w:rsidRPr="00F16887" w:rsidRDefault="001077E2" w:rsidP="00F16887">
            <w:pPr>
              <w:pStyle w:val="ListParagraph"/>
              <w:numPr>
                <w:ilvl w:val="2"/>
                <w:numId w:val="14"/>
              </w:numPr>
              <w:ind w:left="890" w:hanging="567"/>
              <w:contextualSpacing w:val="0"/>
              <w:jc w:val="both"/>
              <w:rPr>
                <w:sz w:val="20"/>
              </w:rPr>
            </w:pPr>
            <w:r w:rsidRPr="00F16887">
              <w:rPr>
                <w:sz w:val="20"/>
              </w:rPr>
              <w:t>Critères découlant de la loi fédérale sur la protection de la propriété industrielle</w:t>
            </w:r>
          </w:p>
          <w:p w14:paraId="4D8F4333" w14:textId="77777777" w:rsidR="001077E2" w:rsidRPr="00F16887" w:rsidRDefault="001077E2" w:rsidP="00F16887">
            <w:pPr>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0C11D25F" w14:textId="77777777" w:rsidR="001077E2" w:rsidRPr="00F16887" w:rsidRDefault="001077E2" w:rsidP="00F16887">
            <w:pPr>
              <w:jc w:val="both"/>
              <w:rPr>
                <w:sz w:val="20"/>
              </w:rPr>
            </w:pPr>
          </w:p>
          <w:p w14:paraId="22C04DFF" w14:textId="77777777" w:rsidR="001077E2" w:rsidRPr="00F16887" w:rsidRDefault="001077E2" w:rsidP="00F16887">
            <w:pPr>
              <w:jc w:val="both"/>
              <w:rPr>
                <w:sz w:val="20"/>
              </w:rPr>
            </w:pPr>
            <w:r w:rsidRPr="00F16887">
              <w:rPr>
                <w:sz w:val="20"/>
              </w:rPr>
              <w:t>Expliquer les concepts de demande principale et de demande secondaire (de première génération).</w:t>
            </w:r>
          </w:p>
          <w:p w14:paraId="467CEE0D" w14:textId="3A19F8BF" w:rsidR="001077E2" w:rsidRPr="00F16887" w:rsidRDefault="001077E2" w:rsidP="00F16887">
            <w:pPr>
              <w:jc w:val="both"/>
              <w:rPr>
                <w:sz w:val="20"/>
              </w:rPr>
            </w:pPr>
            <w:r w:rsidRPr="00F16887">
              <w:rPr>
                <w:sz w:val="20"/>
              </w:rPr>
              <w:t>Délais pour le dépôt d</w:t>
            </w:r>
            <w:r w:rsidR="00F16887">
              <w:rPr>
                <w:sz w:val="20"/>
              </w:rPr>
              <w:t>’</w:t>
            </w:r>
            <w:r w:rsidRPr="00F16887">
              <w:rPr>
                <w:sz w:val="20"/>
              </w:rPr>
              <w:t>une demande divisionnaire.</w:t>
            </w:r>
          </w:p>
          <w:p w14:paraId="41C54E53" w14:textId="73F14BBB" w:rsidR="001077E2" w:rsidRPr="00F16887" w:rsidRDefault="001077E2" w:rsidP="00F16887">
            <w:pPr>
              <w:jc w:val="both"/>
              <w:rPr>
                <w:sz w:val="20"/>
              </w:rPr>
            </w:pPr>
            <w:r w:rsidRPr="00F16887">
              <w:rPr>
                <w:sz w:val="20"/>
              </w:rPr>
              <w:t>Dépôt à la demande de l</w:t>
            </w:r>
            <w:r w:rsidR="00F16887">
              <w:rPr>
                <w:sz w:val="20"/>
              </w:rPr>
              <w:t>’</w:t>
            </w:r>
            <w:r w:rsidRPr="00F16887">
              <w:rPr>
                <w:sz w:val="20"/>
              </w:rPr>
              <w:t>IMPI.</w:t>
            </w:r>
          </w:p>
        </w:tc>
      </w:tr>
      <w:tr w:rsidR="001077E2" w:rsidRPr="00F16887" w14:paraId="5ACBAB31"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367910C5" w14:textId="49240E24" w:rsidR="001077E2" w:rsidRPr="00F16887" w:rsidRDefault="001077E2" w:rsidP="00F16887">
            <w:pPr>
              <w:rPr>
                <w:b/>
                <w:bCs/>
                <w:color w:val="621132"/>
                <w:sz w:val="20"/>
              </w:rPr>
            </w:pPr>
            <w:r w:rsidRPr="00F16887">
              <w:rPr>
                <w:b/>
                <w:color w:val="621132"/>
                <w:sz w:val="20"/>
              </w:rPr>
              <w:t>Module </w:t>
            </w:r>
            <w:r w:rsidR="00C95B35" w:rsidRPr="00F16887">
              <w:rPr>
                <w:b/>
                <w:color w:val="621132"/>
                <w:sz w:val="20"/>
              </w:rPr>
              <w:t>VII</w:t>
            </w:r>
            <w:r w:rsidR="00C95B35">
              <w:rPr>
                <w:b/>
                <w:color w:val="621132"/>
                <w:sz w:val="20"/>
              </w:rPr>
              <w:t xml:space="preserve">.  </w:t>
            </w:r>
            <w:r w:rsidR="00C95B35" w:rsidRPr="00F16887">
              <w:rPr>
                <w:b/>
                <w:color w:val="621132"/>
                <w:sz w:val="20"/>
              </w:rPr>
              <w:t>Ac</w:t>
            </w:r>
            <w:r w:rsidRPr="00F16887">
              <w:rPr>
                <w:b/>
                <w:color w:val="621132"/>
                <w:sz w:val="20"/>
              </w:rPr>
              <w:t>tes officiels</w:t>
            </w:r>
          </w:p>
          <w:p w14:paraId="5D85383F" w14:textId="77777777" w:rsidR="001077E2" w:rsidRPr="00F16887" w:rsidRDefault="001077E2" w:rsidP="00F16887">
            <w:pPr>
              <w:jc w:val="both"/>
              <w:rPr>
                <w:color w:val="13322B"/>
                <w:sz w:val="20"/>
              </w:rPr>
            </w:pPr>
          </w:p>
        </w:tc>
      </w:tr>
      <w:tr w:rsidR="001077E2" w:rsidRPr="00F16887" w14:paraId="404C0F3F"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52735CA1" w14:textId="77777777" w:rsidR="001077E2" w:rsidRPr="00F16887" w:rsidRDefault="001077E2" w:rsidP="00F16887">
            <w:pPr>
              <w:jc w:val="center"/>
              <w:rPr>
                <w:b/>
                <w:color w:val="621132"/>
                <w:sz w:val="20"/>
              </w:rPr>
            </w:pPr>
            <w:r w:rsidRPr="00F16887">
              <w:rPr>
                <w:b/>
                <w:color w:val="621132"/>
                <w:sz w:val="20"/>
              </w:rPr>
              <w:t>Thème</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2EB5608F" w14:textId="77777777" w:rsidR="001077E2" w:rsidRPr="00F16887" w:rsidRDefault="001077E2" w:rsidP="00F16887">
            <w:pPr>
              <w:jc w:val="center"/>
              <w:rPr>
                <w:b/>
                <w:color w:val="621132"/>
                <w:sz w:val="20"/>
              </w:rPr>
            </w:pPr>
            <w:r w:rsidRPr="00F16887">
              <w:rPr>
                <w:b/>
                <w:color w:val="621132"/>
                <w:sz w:val="20"/>
              </w:rPr>
              <w:t>Points à aborder/activités</w:t>
            </w:r>
          </w:p>
          <w:p w14:paraId="7F462024" w14:textId="77777777" w:rsidR="001077E2" w:rsidRPr="00F16887" w:rsidRDefault="001077E2" w:rsidP="00F16887">
            <w:pPr>
              <w:jc w:val="center"/>
              <w:rPr>
                <w:b/>
                <w:color w:val="621132"/>
                <w:sz w:val="20"/>
              </w:rPr>
            </w:pPr>
          </w:p>
        </w:tc>
      </w:tr>
      <w:tr w:rsidR="001077E2" w:rsidRPr="00F16887" w14:paraId="389A39D1"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40F1BBA1" w14:textId="2FB91805" w:rsidR="001077E2" w:rsidRPr="00F16887" w:rsidRDefault="001077E2" w:rsidP="00F16887">
            <w:pPr>
              <w:pStyle w:val="ListParagraph"/>
              <w:numPr>
                <w:ilvl w:val="0"/>
                <w:numId w:val="16"/>
              </w:numPr>
              <w:ind w:left="311" w:hanging="284"/>
              <w:contextualSpacing w:val="0"/>
              <w:jc w:val="both"/>
              <w:rPr>
                <w:b/>
                <w:bCs/>
                <w:sz w:val="20"/>
              </w:rPr>
            </w:pPr>
            <w:r w:rsidRPr="00F16887">
              <w:rPr>
                <w:b/>
                <w:sz w:val="20"/>
              </w:rPr>
              <w:t>Rédaction d</w:t>
            </w:r>
            <w:r w:rsidR="00F16887">
              <w:rPr>
                <w:b/>
                <w:sz w:val="20"/>
              </w:rPr>
              <w:t>’</w:t>
            </w:r>
            <w:r w:rsidRPr="00F16887">
              <w:rPr>
                <w:b/>
                <w:sz w:val="20"/>
              </w:rPr>
              <w:t>un acte officiel</w:t>
            </w:r>
          </w:p>
          <w:p w14:paraId="14B7DDDE" w14:textId="799F19CC" w:rsidR="001077E2" w:rsidRPr="00F16887" w:rsidRDefault="001077E2" w:rsidP="00F16887">
            <w:pPr>
              <w:pStyle w:val="ListParagraph"/>
              <w:numPr>
                <w:ilvl w:val="1"/>
                <w:numId w:val="17"/>
              </w:numPr>
              <w:ind w:left="680" w:hanging="340"/>
              <w:contextualSpacing w:val="0"/>
              <w:jc w:val="both"/>
              <w:rPr>
                <w:sz w:val="20"/>
              </w:rPr>
            </w:pPr>
            <w:r w:rsidRPr="00F16887">
              <w:rPr>
                <w:sz w:val="20"/>
              </w:rPr>
              <w:t>Objet d</w:t>
            </w:r>
            <w:r w:rsidR="00F16887">
              <w:rPr>
                <w:sz w:val="20"/>
              </w:rPr>
              <w:t>’</w:t>
            </w:r>
            <w:r w:rsidRPr="00F16887">
              <w:rPr>
                <w:sz w:val="20"/>
              </w:rPr>
              <w:t>un acte officiel</w:t>
            </w:r>
          </w:p>
          <w:p w14:paraId="6CC740F9" w14:textId="0A3DCDBB" w:rsidR="001077E2" w:rsidRPr="00F16887" w:rsidRDefault="001077E2" w:rsidP="00F16887">
            <w:pPr>
              <w:pStyle w:val="ListParagraph"/>
              <w:numPr>
                <w:ilvl w:val="1"/>
                <w:numId w:val="17"/>
              </w:numPr>
              <w:ind w:left="680" w:hanging="340"/>
              <w:contextualSpacing w:val="0"/>
              <w:jc w:val="both"/>
              <w:rPr>
                <w:sz w:val="20"/>
              </w:rPr>
            </w:pPr>
            <w:r w:rsidRPr="00F16887">
              <w:rPr>
                <w:sz w:val="20"/>
              </w:rPr>
              <w:t>Importance de l</w:t>
            </w:r>
            <w:r w:rsidR="00F16887">
              <w:rPr>
                <w:sz w:val="20"/>
              </w:rPr>
              <w:t>’</w:t>
            </w:r>
            <w:r w:rsidRPr="00F16887">
              <w:rPr>
                <w:sz w:val="20"/>
              </w:rPr>
              <w:t>ordre et de la structure dans un acte officiel</w:t>
            </w:r>
          </w:p>
          <w:p w14:paraId="33147A8E" w14:textId="77777777" w:rsidR="001077E2" w:rsidRPr="00F16887" w:rsidRDefault="001077E2" w:rsidP="00F16887">
            <w:pPr>
              <w:pStyle w:val="ListParagraph"/>
              <w:numPr>
                <w:ilvl w:val="1"/>
                <w:numId w:val="17"/>
              </w:numPr>
              <w:ind w:left="680" w:hanging="340"/>
              <w:contextualSpacing w:val="0"/>
              <w:jc w:val="both"/>
              <w:rPr>
                <w:sz w:val="20"/>
              </w:rPr>
            </w:pPr>
            <w:r w:rsidRPr="00F16887">
              <w:rPr>
                <w:sz w:val="20"/>
              </w:rPr>
              <w:t>Formulation des objections</w:t>
            </w:r>
          </w:p>
          <w:p w14:paraId="33AE7B38" w14:textId="77777777" w:rsidR="001077E2" w:rsidRPr="00F16887" w:rsidRDefault="001077E2" w:rsidP="00F16887">
            <w:pPr>
              <w:pStyle w:val="ListParagraph"/>
              <w:ind w:left="604"/>
              <w:contextualSpacing w:val="0"/>
              <w:jc w:val="both"/>
              <w:rPr>
                <w:sz w:val="20"/>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47B9E0D2" w14:textId="77777777" w:rsidR="001077E2" w:rsidRPr="00F16887" w:rsidRDefault="001077E2" w:rsidP="00F16887">
            <w:pPr>
              <w:jc w:val="both"/>
              <w:rPr>
                <w:sz w:val="20"/>
              </w:rPr>
            </w:pPr>
          </w:p>
          <w:p w14:paraId="40F2AB16" w14:textId="6554F513" w:rsidR="001077E2" w:rsidRPr="00F16887" w:rsidRDefault="001077E2" w:rsidP="00F16887">
            <w:pPr>
              <w:jc w:val="both"/>
              <w:rPr>
                <w:b/>
                <w:bCs/>
                <w:sz w:val="20"/>
              </w:rPr>
            </w:pPr>
            <w:r w:rsidRPr="00F16887">
              <w:rPr>
                <w:sz w:val="20"/>
              </w:rPr>
              <w:t>Attribuer à chaque participant cinq</w:t>
            </w:r>
            <w:r w:rsidR="00B22F9C">
              <w:rPr>
                <w:sz w:val="20"/>
              </w:rPr>
              <w:t> </w:t>
            </w:r>
            <w:r w:rsidRPr="00F16887">
              <w:rPr>
                <w:sz w:val="20"/>
              </w:rPr>
              <w:t>fichiers de demande de brev</w:t>
            </w:r>
            <w:r w:rsidR="00C95B35" w:rsidRPr="00F16887">
              <w:rPr>
                <w:sz w:val="20"/>
              </w:rPr>
              <w:t>et</w:t>
            </w:r>
            <w:r w:rsidR="00C95B35">
              <w:rPr>
                <w:sz w:val="20"/>
              </w:rPr>
              <w:t xml:space="preserve">.  </w:t>
            </w:r>
            <w:r w:rsidR="00C95B35" w:rsidRPr="00F16887">
              <w:rPr>
                <w:sz w:val="20"/>
              </w:rPr>
              <w:t>Fo</w:t>
            </w:r>
            <w:r w:rsidRPr="00F16887">
              <w:rPr>
                <w:sz w:val="20"/>
              </w:rPr>
              <w:t>urnir aux participants le document de vérification pour l</w:t>
            </w:r>
            <w:r w:rsidR="00F16887">
              <w:rPr>
                <w:sz w:val="20"/>
              </w:rPr>
              <w:t>’</w:t>
            </w:r>
            <w:r w:rsidRPr="00F16887">
              <w:rPr>
                <w:sz w:val="20"/>
              </w:rPr>
              <w:t xml:space="preserve">examen quant au fond (fiche de travail). </w:t>
            </w:r>
            <w:r w:rsidR="00B22F9C">
              <w:rPr>
                <w:sz w:val="20"/>
              </w:rPr>
              <w:t xml:space="preserve"> </w:t>
            </w:r>
          </w:p>
        </w:tc>
      </w:tr>
      <w:tr w:rsidR="001077E2" w:rsidRPr="00F16887" w14:paraId="59C7AEF3"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0FA8E411" w14:textId="074AB6AB" w:rsidR="001077E2" w:rsidRPr="00F16887" w:rsidRDefault="001077E2" w:rsidP="00F16887">
            <w:pPr>
              <w:pStyle w:val="ListParagraph"/>
              <w:numPr>
                <w:ilvl w:val="1"/>
                <w:numId w:val="17"/>
              </w:numPr>
              <w:ind w:left="680" w:hanging="340"/>
              <w:contextualSpacing w:val="0"/>
              <w:jc w:val="both"/>
              <w:rPr>
                <w:sz w:val="20"/>
              </w:rPr>
            </w:pPr>
            <w:r w:rsidRPr="00F16887">
              <w:rPr>
                <w:sz w:val="20"/>
              </w:rPr>
              <w:t>Type et structure des actes officiels</w:t>
            </w:r>
            <w:r w:rsidR="00F16887">
              <w:rPr>
                <w:sz w:val="20"/>
              </w:rPr>
              <w:t> :</w:t>
            </w:r>
            <w:r w:rsidRPr="00F16887">
              <w:rPr>
                <w:sz w:val="20"/>
              </w:rPr>
              <w:t xml:space="preserve"> examen de forme</w:t>
            </w:r>
          </w:p>
          <w:p w14:paraId="5D420B2F" w14:textId="77777777" w:rsidR="001077E2" w:rsidRPr="00F16887" w:rsidRDefault="001077E2" w:rsidP="00C95B35">
            <w:pPr>
              <w:pStyle w:val="ListParagraph"/>
              <w:ind w:left="1161" w:hanging="566"/>
              <w:contextualSpacing w:val="0"/>
              <w:jc w:val="both"/>
              <w:rPr>
                <w:sz w:val="20"/>
              </w:rPr>
            </w:pPr>
            <w:r w:rsidRPr="00F16887">
              <w:rPr>
                <w:sz w:val="20"/>
              </w:rPr>
              <w:t>7.4.1</w:t>
            </w:r>
            <w:r w:rsidRPr="00F16887">
              <w:rPr>
                <w:sz w:val="20"/>
              </w:rPr>
              <w:tab/>
              <w:t>Exigences formelles et approbations</w:t>
            </w:r>
          </w:p>
          <w:p w14:paraId="49B3EDF4" w14:textId="77777777" w:rsidR="001077E2" w:rsidRPr="00F16887" w:rsidRDefault="001077E2" w:rsidP="00F16887">
            <w:pPr>
              <w:pStyle w:val="ListParagraph"/>
              <w:ind w:left="1800" w:hanging="1206"/>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16BC885A" w14:textId="23869911" w:rsidR="001077E2" w:rsidRPr="00F16887" w:rsidRDefault="001077E2" w:rsidP="00F16887">
            <w:pPr>
              <w:jc w:val="both"/>
              <w:rPr>
                <w:sz w:val="20"/>
              </w:rPr>
            </w:pPr>
            <w:r w:rsidRPr="00F16887">
              <w:rPr>
                <w:sz w:val="20"/>
              </w:rPr>
              <w:t>Examen d</w:t>
            </w:r>
            <w:r w:rsidR="00F16887">
              <w:rPr>
                <w:sz w:val="20"/>
              </w:rPr>
              <w:t>’</w:t>
            </w:r>
            <w:r w:rsidRPr="00F16887">
              <w:rPr>
                <w:sz w:val="20"/>
              </w:rPr>
              <w:t>exemples d</w:t>
            </w:r>
            <w:r w:rsidR="00F16887">
              <w:rPr>
                <w:sz w:val="20"/>
              </w:rPr>
              <w:t>’</w:t>
            </w:r>
            <w:r w:rsidRPr="00F16887">
              <w:rPr>
                <w:sz w:val="20"/>
              </w:rPr>
              <w:t>actes officiels concernant des questions de forme.</w:t>
            </w:r>
          </w:p>
        </w:tc>
      </w:tr>
      <w:tr w:rsidR="001077E2" w:rsidRPr="00F16887" w14:paraId="0B9B3100"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5C8F7A57" w14:textId="4E15798C" w:rsidR="001077E2" w:rsidRPr="00F16887" w:rsidRDefault="001077E2" w:rsidP="00F16887">
            <w:pPr>
              <w:pStyle w:val="ListParagraph"/>
              <w:numPr>
                <w:ilvl w:val="1"/>
                <w:numId w:val="17"/>
              </w:numPr>
              <w:ind w:left="680" w:hanging="340"/>
              <w:contextualSpacing w:val="0"/>
              <w:jc w:val="both"/>
              <w:rPr>
                <w:sz w:val="20"/>
              </w:rPr>
            </w:pPr>
            <w:r w:rsidRPr="00F16887">
              <w:rPr>
                <w:sz w:val="20"/>
              </w:rPr>
              <w:t>Type et structure des actes officiels</w:t>
            </w:r>
            <w:r w:rsidR="00F16887">
              <w:rPr>
                <w:sz w:val="20"/>
              </w:rPr>
              <w:t> :</w:t>
            </w:r>
            <w:r w:rsidRPr="00F16887">
              <w:rPr>
                <w:sz w:val="20"/>
              </w:rPr>
              <w:t xml:space="preserve"> examen quant au fond</w:t>
            </w:r>
          </w:p>
          <w:p w14:paraId="07554230" w14:textId="77777777" w:rsidR="001077E2" w:rsidRPr="00F16887" w:rsidRDefault="001077E2" w:rsidP="00F16887">
            <w:pPr>
              <w:pStyle w:val="ListParagraph"/>
              <w:ind w:left="594"/>
              <w:contextualSpacing w:val="0"/>
              <w:jc w:val="both"/>
              <w:rPr>
                <w:sz w:val="20"/>
              </w:rPr>
            </w:pPr>
          </w:p>
          <w:p w14:paraId="6CD8D219" w14:textId="77777777" w:rsidR="001077E2" w:rsidRPr="00F16887" w:rsidRDefault="001077E2" w:rsidP="00F16887">
            <w:pPr>
              <w:pStyle w:val="ListParagraph"/>
              <w:numPr>
                <w:ilvl w:val="2"/>
                <w:numId w:val="17"/>
              </w:numPr>
              <w:ind w:left="1161" w:hanging="567"/>
              <w:contextualSpacing w:val="0"/>
              <w:jc w:val="both"/>
              <w:rPr>
                <w:sz w:val="20"/>
              </w:rPr>
            </w:pPr>
            <w:r w:rsidRPr="00F16887">
              <w:rPr>
                <w:sz w:val="20"/>
              </w:rPr>
              <w:t>Exigences de fond</w:t>
            </w:r>
          </w:p>
          <w:p w14:paraId="5500FECB" w14:textId="77777777" w:rsidR="001077E2" w:rsidRPr="00F16887" w:rsidRDefault="001077E2" w:rsidP="00F16887">
            <w:pPr>
              <w:pStyle w:val="ListParagraph"/>
              <w:numPr>
                <w:ilvl w:val="2"/>
                <w:numId w:val="17"/>
              </w:numPr>
              <w:ind w:left="1161" w:hanging="567"/>
              <w:contextualSpacing w:val="0"/>
              <w:jc w:val="both"/>
              <w:rPr>
                <w:sz w:val="20"/>
              </w:rPr>
            </w:pPr>
            <w:r w:rsidRPr="00F16887">
              <w:rPr>
                <w:sz w:val="20"/>
              </w:rPr>
              <w:t>Exigence de paiement</w:t>
            </w:r>
          </w:p>
          <w:p w14:paraId="223B9960" w14:textId="77777777" w:rsidR="001077E2" w:rsidRPr="00F16887" w:rsidRDefault="001077E2" w:rsidP="00F16887">
            <w:pPr>
              <w:pStyle w:val="ListParagraph"/>
              <w:numPr>
                <w:ilvl w:val="2"/>
                <w:numId w:val="17"/>
              </w:numPr>
              <w:ind w:left="1161" w:hanging="567"/>
              <w:contextualSpacing w:val="0"/>
              <w:jc w:val="both"/>
              <w:rPr>
                <w:sz w:val="20"/>
              </w:rPr>
            </w:pPr>
            <w:r w:rsidRPr="00F16887">
              <w:rPr>
                <w:sz w:val="20"/>
              </w:rPr>
              <w:t>Notifications de paiement</w:t>
            </w:r>
          </w:p>
          <w:p w14:paraId="6377B35E" w14:textId="77777777" w:rsidR="001077E2" w:rsidRPr="00F16887" w:rsidRDefault="001077E2" w:rsidP="00F16887">
            <w:pPr>
              <w:pStyle w:val="ListParagraph"/>
              <w:numPr>
                <w:ilvl w:val="2"/>
                <w:numId w:val="17"/>
              </w:numPr>
              <w:ind w:left="1161" w:hanging="567"/>
              <w:contextualSpacing w:val="0"/>
              <w:jc w:val="both"/>
              <w:rPr>
                <w:sz w:val="20"/>
              </w:rPr>
            </w:pPr>
            <w:r w:rsidRPr="00F16887">
              <w:rPr>
                <w:sz w:val="20"/>
              </w:rPr>
              <w:t>Abandons</w:t>
            </w:r>
          </w:p>
          <w:p w14:paraId="0228FF89" w14:textId="77777777" w:rsidR="001077E2" w:rsidRPr="00F16887" w:rsidRDefault="001077E2" w:rsidP="00F16887">
            <w:pPr>
              <w:pStyle w:val="ListParagraph"/>
              <w:numPr>
                <w:ilvl w:val="2"/>
                <w:numId w:val="17"/>
              </w:numPr>
              <w:ind w:left="1161" w:hanging="567"/>
              <w:contextualSpacing w:val="0"/>
              <w:jc w:val="both"/>
              <w:rPr>
                <w:sz w:val="20"/>
              </w:rPr>
            </w:pPr>
            <w:r w:rsidRPr="00F16887">
              <w:rPr>
                <w:sz w:val="20"/>
              </w:rPr>
              <w:t>Négatifs</w:t>
            </w:r>
          </w:p>
          <w:p w14:paraId="79DFCAD6" w14:textId="77777777" w:rsidR="001077E2" w:rsidRPr="00F16887" w:rsidRDefault="001077E2" w:rsidP="00F16887">
            <w:pPr>
              <w:pStyle w:val="ListParagraph"/>
              <w:ind w:left="321"/>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19756A0F" w14:textId="04D75C0C" w:rsidR="001077E2" w:rsidRPr="00F16887" w:rsidRDefault="001077E2" w:rsidP="00F16887">
            <w:pPr>
              <w:jc w:val="both"/>
              <w:rPr>
                <w:sz w:val="20"/>
              </w:rPr>
            </w:pPr>
            <w:r w:rsidRPr="00F16887">
              <w:rPr>
                <w:sz w:val="20"/>
              </w:rPr>
              <w:t>Examen d</w:t>
            </w:r>
            <w:r w:rsidR="00F16887">
              <w:rPr>
                <w:sz w:val="20"/>
              </w:rPr>
              <w:t>’</w:t>
            </w:r>
            <w:r w:rsidRPr="00F16887">
              <w:rPr>
                <w:sz w:val="20"/>
              </w:rPr>
              <w:t>exemples d</w:t>
            </w:r>
            <w:r w:rsidR="00F16887">
              <w:rPr>
                <w:sz w:val="20"/>
              </w:rPr>
              <w:t>’</w:t>
            </w:r>
            <w:r w:rsidRPr="00F16887">
              <w:rPr>
                <w:sz w:val="20"/>
              </w:rPr>
              <w:t>actes officiels concernant des questions de forme.</w:t>
            </w:r>
          </w:p>
          <w:p w14:paraId="487284A9" w14:textId="77777777" w:rsidR="001077E2" w:rsidRPr="00F16887" w:rsidRDefault="001077E2" w:rsidP="00F16887">
            <w:pPr>
              <w:jc w:val="both"/>
              <w:rPr>
                <w:sz w:val="20"/>
              </w:rPr>
            </w:pPr>
          </w:p>
          <w:p w14:paraId="6C581E9C" w14:textId="3E9349C8" w:rsidR="001077E2" w:rsidRPr="00F16887" w:rsidRDefault="001077E2" w:rsidP="00F16887">
            <w:pPr>
              <w:jc w:val="both"/>
              <w:rPr>
                <w:sz w:val="20"/>
              </w:rPr>
            </w:pPr>
            <w:r w:rsidRPr="00F16887">
              <w:rPr>
                <w:sz w:val="20"/>
              </w:rPr>
              <w:t>Discussion avec les examinateurs stagiaires des éléments nécessaires pour la rédaction d</w:t>
            </w:r>
            <w:r w:rsidR="00F16887">
              <w:rPr>
                <w:sz w:val="20"/>
              </w:rPr>
              <w:t>’</w:t>
            </w:r>
            <w:r w:rsidRPr="00F16887">
              <w:rPr>
                <w:sz w:val="20"/>
              </w:rPr>
              <w:t>un acte officiel à l</w:t>
            </w:r>
            <w:r w:rsidR="00F16887">
              <w:rPr>
                <w:sz w:val="20"/>
              </w:rPr>
              <w:t>’</w:t>
            </w:r>
            <w:r w:rsidRPr="00F16887">
              <w:rPr>
                <w:sz w:val="20"/>
              </w:rPr>
              <w:t>aide d</w:t>
            </w:r>
            <w:r w:rsidR="00F16887">
              <w:rPr>
                <w:sz w:val="20"/>
              </w:rPr>
              <w:t>’</w:t>
            </w:r>
            <w:r w:rsidRPr="00F16887">
              <w:rPr>
                <w:sz w:val="20"/>
              </w:rPr>
              <w:t>une étude de cas.</w:t>
            </w:r>
          </w:p>
        </w:tc>
      </w:tr>
      <w:tr w:rsidR="001077E2" w:rsidRPr="00F16887" w14:paraId="756F8CA8"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5BB376E2" w14:textId="77777777" w:rsidR="001077E2" w:rsidRPr="00F16887" w:rsidRDefault="001077E2" w:rsidP="00F16887">
            <w:pPr>
              <w:pStyle w:val="ListParagraph"/>
              <w:numPr>
                <w:ilvl w:val="1"/>
                <w:numId w:val="17"/>
              </w:numPr>
              <w:ind w:left="680" w:hanging="340"/>
              <w:contextualSpacing w:val="0"/>
              <w:jc w:val="both"/>
              <w:rPr>
                <w:sz w:val="20"/>
              </w:rPr>
            </w:pPr>
            <w:r w:rsidRPr="00F16887">
              <w:rPr>
                <w:sz w:val="20"/>
              </w:rPr>
              <w:t>Fondement juridique des actes officiels et de leur interprétation (Loi fédérale pour la protection de la propriété industrielle)</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0EE4AA8D" w14:textId="77777777" w:rsidR="001077E2" w:rsidRPr="00F16887" w:rsidRDefault="001077E2" w:rsidP="00F16887">
            <w:pPr>
              <w:jc w:val="both"/>
              <w:rPr>
                <w:sz w:val="20"/>
              </w:rPr>
            </w:pPr>
          </w:p>
        </w:tc>
      </w:tr>
      <w:tr w:rsidR="001077E2" w:rsidRPr="00F16887" w14:paraId="65BFA063"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5373F407" w14:textId="77777777" w:rsidR="001077E2" w:rsidRPr="00F16887" w:rsidRDefault="001077E2" w:rsidP="00F16887">
            <w:pPr>
              <w:pStyle w:val="ListParagraph"/>
              <w:ind w:left="594"/>
              <w:contextualSpacing w:val="0"/>
              <w:jc w:val="both"/>
              <w:rPr>
                <w:sz w:val="20"/>
              </w:rPr>
            </w:pPr>
            <w:r w:rsidRPr="00F16887">
              <w:rPr>
                <w:sz w:val="20"/>
              </w:rPr>
              <w:lastRenderedPageBreak/>
              <w:t>Séance de travail</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3D1D27C" w14:textId="1A19EEC3" w:rsidR="00F16887" w:rsidRDefault="001077E2" w:rsidP="00C95B35">
            <w:pPr>
              <w:keepLines/>
              <w:jc w:val="both"/>
              <w:rPr>
                <w:sz w:val="20"/>
              </w:rPr>
            </w:pPr>
            <w:r w:rsidRPr="00F16887">
              <w:rPr>
                <w:sz w:val="20"/>
              </w:rPr>
              <w:t>En travaillant en groupes dans chaque domaine technique et assistés par un spécialiste de chaque domaine, les examinateurs examineront l</w:t>
            </w:r>
            <w:r w:rsidR="00F16887">
              <w:rPr>
                <w:sz w:val="20"/>
              </w:rPr>
              <w:t>’</w:t>
            </w:r>
            <w:r w:rsidRPr="00F16887">
              <w:rPr>
                <w:sz w:val="20"/>
              </w:rPr>
              <w:t>un de leurs fichiers sur la base du document de vérification à des fins d</w:t>
            </w:r>
            <w:r w:rsidR="00F16887">
              <w:rPr>
                <w:sz w:val="20"/>
              </w:rPr>
              <w:t>’</w:t>
            </w:r>
            <w:r w:rsidRPr="00F16887">
              <w:rPr>
                <w:sz w:val="20"/>
              </w:rPr>
              <w:t>examen quant au fond (fiche de travail), en utilisant les connaissances acquises dans la première partie du cours.</w:t>
            </w:r>
          </w:p>
          <w:p w14:paraId="2EAE09ED" w14:textId="4A86511E" w:rsidR="001077E2" w:rsidRPr="00F16887" w:rsidRDefault="001077E2" w:rsidP="00F16887">
            <w:pPr>
              <w:jc w:val="both"/>
              <w:rPr>
                <w:sz w:val="20"/>
              </w:rPr>
            </w:pPr>
          </w:p>
        </w:tc>
      </w:tr>
      <w:tr w:rsidR="001077E2" w:rsidRPr="00F16887" w14:paraId="40FA4A17"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0378E743" w14:textId="77777777" w:rsidR="001077E2" w:rsidRPr="00F16887" w:rsidRDefault="001077E2" w:rsidP="00F16887">
            <w:pPr>
              <w:pStyle w:val="ListParagraph"/>
              <w:ind w:left="594"/>
              <w:contextualSpacing w:val="0"/>
              <w:jc w:val="both"/>
              <w:rPr>
                <w:sz w:val="20"/>
              </w:rPr>
            </w:pPr>
            <w:r w:rsidRPr="00F16887">
              <w:rPr>
                <w:sz w:val="20"/>
              </w:rPr>
              <w:t>Séance de travail</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3CF39D66" w14:textId="6BCD0D30" w:rsidR="00F16887" w:rsidRDefault="001077E2" w:rsidP="00F16887">
            <w:pPr>
              <w:jc w:val="both"/>
              <w:rPr>
                <w:sz w:val="20"/>
              </w:rPr>
            </w:pPr>
            <w:r w:rsidRPr="00F16887">
              <w:rPr>
                <w:sz w:val="20"/>
              </w:rPr>
              <w:t>Identifier le fichier attribué</w:t>
            </w:r>
            <w:r w:rsidR="00F16887">
              <w:rPr>
                <w:sz w:val="20"/>
              </w:rPr>
              <w:t> :</w:t>
            </w:r>
          </w:p>
          <w:p w14:paraId="25E44365" w14:textId="351A64F2" w:rsidR="001077E2" w:rsidRPr="00F16887" w:rsidRDefault="001077E2" w:rsidP="00F16887">
            <w:pPr>
              <w:jc w:val="both"/>
              <w:rPr>
                <w:sz w:val="20"/>
              </w:rPr>
            </w:pPr>
            <w:r w:rsidRPr="00F16887">
              <w:rPr>
                <w:sz w:val="20"/>
              </w:rPr>
              <w:t>Quelle est l</w:t>
            </w:r>
            <w:r w:rsidR="00F16887">
              <w:rPr>
                <w:sz w:val="20"/>
              </w:rPr>
              <w:t>’</w:t>
            </w:r>
            <w:r w:rsidRPr="00F16887">
              <w:rPr>
                <w:sz w:val="20"/>
              </w:rPr>
              <w:t>invention?  Quel est le problème technique?  Comment est</w:t>
            </w:r>
            <w:r w:rsidR="00C95B35">
              <w:rPr>
                <w:sz w:val="20"/>
              </w:rPr>
              <w:noBreakHyphen/>
            </w:r>
            <w:r w:rsidRPr="00F16887">
              <w:rPr>
                <w:sz w:val="20"/>
              </w:rPr>
              <w:t>il résolu?  Examiner les résultats en groupe.</w:t>
            </w:r>
          </w:p>
        </w:tc>
      </w:tr>
      <w:tr w:rsidR="001077E2" w:rsidRPr="00F16887" w14:paraId="5DDB6C6E"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5CF92A5F" w14:textId="60E931FD" w:rsidR="001077E2" w:rsidRPr="00F16887" w:rsidRDefault="001077E2" w:rsidP="00F16887">
            <w:pPr>
              <w:keepNext/>
              <w:jc w:val="both"/>
              <w:rPr>
                <w:color w:val="13322B"/>
                <w:sz w:val="20"/>
              </w:rPr>
            </w:pPr>
            <w:r w:rsidRPr="00F16887">
              <w:rPr>
                <w:b/>
                <w:color w:val="621132"/>
                <w:sz w:val="20"/>
              </w:rPr>
              <w:t>Module V</w:t>
            </w:r>
            <w:r w:rsidR="00C95B35" w:rsidRPr="00F16887">
              <w:rPr>
                <w:b/>
                <w:color w:val="621132"/>
                <w:sz w:val="20"/>
              </w:rPr>
              <w:t>III</w:t>
            </w:r>
            <w:r w:rsidR="00C95B35">
              <w:rPr>
                <w:b/>
                <w:color w:val="621132"/>
                <w:sz w:val="20"/>
              </w:rPr>
              <w:t xml:space="preserve">.  </w:t>
            </w:r>
            <w:r w:rsidR="00C95B35" w:rsidRPr="00F16887">
              <w:rPr>
                <w:b/>
                <w:color w:val="621132"/>
                <w:sz w:val="20"/>
              </w:rPr>
              <w:t>Do</w:t>
            </w:r>
            <w:r w:rsidRPr="00F16887">
              <w:rPr>
                <w:b/>
                <w:color w:val="621132"/>
                <w:sz w:val="20"/>
              </w:rPr>
              <w:t>maines techniques particuliers</w:t>
            </w:r>
          </w:p>
        </w:tc>
      </w:tr>
      <w:tr w:rsidR="001077E2" w:rsidRPr="00F16887" w14:paraId="19951D11"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45DBA3B5" w14:textId="77777777" w:rsidR="001077E2" w:rsidRPr="00F16887" w:rsidRDefault="001077E2" w:rsidP="00F16887">
            <w:pPr>
              <w:keepNext/>
              <w:jc w:val="center"/>
              <w:rPr>
                <w:b/>
                <w:color w:val="621132"/>
                <w:sz w:val="20"/>
              </w:rPr>
            </w:pPr>
            <w:r w:rsidRPr="00F16887">
              <w:rPr>
                <w:b/>
                <w:color w:val="621132"/>
                <w:sz w:val="20"/>
              </w:rPr>
              <w:t>Thème</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1624383D" w14:textId="77777777" w:rsidR="001077E2" w:rsidRPr="00F16887" w:rsidRDefault="001077E2" w:rsidP="00F16887">
            <w:pPr>
              <w:keepNext/>
              <w:jc w:val="center"/>
              <w:rPr>
                <w:b/>
                <w:color w:val="621132"/>
                <w:sz w:val="20"/>
              </w:rPr>
            </w:pPr>
            <w:r w:rsidRPr="00F16887">
              <w:rPr>
                <w:b/>
                <w:color w:val="621132"/>
                <w:sz w:val="20"/>
              </w:rPr>
              <w:t>Points à aborder/activités</w:t>
            </w:r>
          </w:p>
          <w:p w14:paraId="068E3BB4" w14:textId="77777777" w:rsidR="001077E2" w:rsidRPr="00F16887" w:rsidRDefault="001077E2" w:rsidP="00F16887">
            <w:pPr>
              <w:keepNext/>
              <w:jc w:val="center"/>
              <w:rPr>
                <w:b/>
                <w:color w:val="621132"/>
                <w:sz w:val="20"/>
              </w:rPr>
            </w:pPr>
          </w:p>
        </w:tc>
      </w:tr>
      <w:tr w:rsidR="001077E2" w:rsidRPr="00F16887" w14:paraId="24BFC763"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0888E341" w14:textId="77777777" w:rsidR="001077E2" w:rsidRPr="00F16887" w:rsidRDefault="001077E2" w:rsidP="00F16887">
            <w:pPr>
              <w:pStyle w:val="ListParagraph"/>
              <w:keepNext/>
              <w:numPr>
                <w:ilvl w:val="1"/>
                <w:numId w:val="18"/>
              </w:numPr>
              <w:contextualSpacing w:val="0"/>
              <w:jc w:val="both"/>
              <w:rPr>
                <w:b/>
                <w:bCs/>
                <w:sz w:val="20"/>
              </w:rPr>
            </w:pPr>
            <w:r w:rsidRPr="00F16887">
              <w:rPr>
                <w:b/>
                <w:sz w:val="20"/>
              </w:rPr>
              <w:t>Inventions mises en œuvre par ordinateur</w:t>
            </w:r>
          </w:p>
          <w:p w14:paraId="795270FE" w14:textId="77777777" w:rsidR="00F16887" w:rsidRDefault="001077E2" w:rsidP="0025290E">
            <w:pPr>
              <w:pStyle w:val="ListParagraph"/>
              <w:keepNext/>
              <w:numPr>
                <w:ilvl w:val="2"/>
                <w:numId w:val="18"/>
              </w:numPr>
              <w:ind w:left="594" w:hanging="594"/>
              <w:contextualSpacing w:val="0"/>
              <w:jc w:val="both"/>
              <w:rPr>
                <w:sz w:val="20"/>
              </w:rPr>
            </w:pPr>
            <w:r w:rsidRPr="00F16887">
              <w:rPr>
                <w:sz w:val="20"/>
              </w:rPr>
              <w:t>Problème technique</w:t>
            </w:r>
          </w:p>
          <w:p w14:paraId="3CE9575A" w14:textId="77777777" w:rsidR="00F16887" w:rsidRDefault="001077E2" w:rsidP="0025290E">
            <w:pPr>
              <w:pStyle w:val="ListParagraph"/>
              <w:keepNext/>
              <w:numPr>
                <w:ilvl w:val="2"/>
                <w:numId w:val="18"/>
              </w:numPr>
              <w:ind w:left="594" w:hanging="594"/>
              <w:contextualSpacing w:val="0"/>
              <w:jc w:val="both"/>
              <w:rPr>
                <w:sz w:val="20"/>
              </w:rPr>
            </w:pPr>
            <w:r w:rsidRPr="00F16887">
              <w:rPr>
                <w:sz w:val="20"/>
              </w:rPr>
              <w:t>Caractère suffisant de la description</w:t>
            </w:r>
          </w:p>
          <w:p w14:paraId="2613D6D9" w14:textId="6AC5AF77" w:rsidR="001077E2" w:rsidRPr="00F16887" w:rsidRDefault="001077E2" w:rsidP="0025290E">
            <w:pPr>
              <w:pStyle w:val="ListParagraph"/>
              <w:keepNext/>
              <w:numPr>
                <w:ilvl w:val="2"/>
                <w:numId w:val="18"/>
              </w:numPr>
              <w:ind w:left="594" w:hanging="594"/>
              <w:contextualSpacing w:val="0"/>
              <w:jc w:val="both"/>
              <w:rPr>
                <w:sz w:val="20"/>
              </w:rPr>
            </w:pPr>
            <w:r w:rsidRPr="00F16887">
              <w:rPr>
                <w:sz w:val="20"/>
              </w:rPr>
              <w:t xml:space="preserve">Type de revendications </w:t>
            </w: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6225F808" w14:textId="77777777" w:rsidR="001077E2" w:rsidRPr="00F16887" w:rsidRDefault="001077E2" w:rsidP="00F16887">
            <w:pPr>
              <w:keepNext/>
              <w:jc w:val="both"/>
              <w:rPr>
                <w:sz w:val="20"/>
              </w:rPr>
            </w:pPr>
          </w:p>
          <w:p w14:paraId="65A92365" w14:textId="18DE356A" w:rsidR="001077E2" w:rsidRPr="00F16887" w:rsidRDefault="001077E2" w:rsidP="00F16887">
            <w:pPr>
              <w:keepNext/>
              <w:jc w:val="both"/>
              <w:rPr>
                <w:b/>
                <w:bCs/>
                <w:sz w:val="20"/>
              </w:rPr>
            </w:pPr>
            <w:r w:rsidRPr="00F16887">
              <w:rPr>
                <w:sz w:val="20"/>
              </w:rPr>
              <w:t>Examen d</w:t>
            </w:r>
            <w:r w:rsidR="00F16887">
              <w:rPr>
                <w:sz w:val="20"/>
              </w:rPr>
              <w:t>’</w:t>
            </w:r>
            <w:r w:rsidRPr="00F16887">
              <w:rPr>
                <w:sz w:val="20"/>
              </w:rPr>
              <w:t>exemples tirés de différents cas.</w:t>
            </w:r>
          </w:p>
        </w:tc>
      </w:tr>
      <w:tr w:rsidR="001077E2" w:rsidRPr="00F16887" w14:paraId="55D8DF20"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162B88D6" w14:textId="77777777" w:rsidR="00F16887" w:rsidRDefault="001077E2" w:rsidP="00F16887">
            <w:pPr>
              <w:pStyle w:val="ListParagraph"/>
              <w:numPr>
                <w:ilvl w:val="1"/>
                <w:numId w:val="18"/>
              </w:numPr>
              <w:ind w:left="357" w:hanging="357"/>
              <w:contextualSpacing w:val="0"/>
              <w:jc w:val="both"/>
              <w:rPr>
                <w:b/>
                <w:bCs/>
                <w:sz w:val="20"/>
              </w:rPr>
            </w:pPr>
            <w:r w:rsidRPr="00F16887">
              <w:rPr>
                <w:b/>
                <w:sz w:val="20"/>
              </w:rPr>
              <w:t>Inventions biotechnologiques</w:t>
            </w:r>
          </w:p>
          <w:p w14:paraId="26880859" w14:textId="68158E0B" w:rsidR="00F16887" w:rsidRDefault="001077E2" w:rsidP="0025290E">
            <w:pPr>
              <w:pStyle w:val="ListParagraph"/>
              <w:numPr>
                <w:ilvl w:val="2"/>
                <w:numId w:val="18"/>
              </w:numPr>
              <w:ind w:left="594" w:hanging="594"/>
              <w:contextualSpacing w:val="0"/>
              <w:jc w:val="both"/>
              <w:rPr>
                <w:sz w:val="20"/>
              </w:rPr>
            </w:pPr>
            <w:r w:rsidRPr="00F16887">
              <w:rPr>
                <w:sz w:val="20"/>
              </w:rPr>
              <w:t>Impliquant des listages de séquences</w:t>
            </w:r>
          </w:p>
          <w:p w14:paraId="15450324" w14:textId="1DF72426" w:rsidR="001077E2" w:rsidRPr="00F16887" w:rsidRDefault="001077E2" w:rsidP="0025290E">
            <w:pPr>
              <w:pStyle w:val="ListParagraph"/>
              <w:numPr>
                <w:ilvl w:val="2"/>
                <w:numId w:val="18"/>
              </w:numPr>
              <w:ind w:left="594" w:hanging="594"/>
              <w:contextualSpacing w:val="0"/>
              <w:jc w:val="both"/>
              <w:rPr>
                <w:sz w:val="20"/>
              </w:rPr>
            </w:pPr>
            <w:r w:rsidRPr="00F16887">
              <w:rPr>
                <w:sz w:val="20"/>
              </w:rPr>
              <w:t>Impliquant des enregistrements de dépôts de matériel</w:t>
            </w:r>
          </w:p>
          <w:p w14:paraId="13964955" w14:textId="77777777" w:rsidR="001077E2" w:rsidRPr="00F16887" w:rsidRDefault="001077E2" w:rsidP="00F16887">
            <w:pPr>
              <w:pStyle w:val="ListParagraph"/>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0787FFC6" w14:textId="77777777" w:rsidR="001077E2" w:rsidRPr="00F16887" w:rsidRDefault="001077E2" w:rsidP="00F16887">
            <w:pPr>
              <w:jc w:val="both"/>
              <w:rPr>
                <w:sz w:val="20"/>
              </w:rPr>
            </w:pPr>
          </w:p>
          <w:p w14:paraId="076C03C2" w14:textId="540E7367" w:rsidR="001077E2" w:rsidRPr="00F16887" w:rsidRDefault="001077E2" w:rsidP="00F16887">
            <w:pPr>
              <w:jc w:val="both"/>
              <w:rPr>
                <w:sz w:val="20"/>
              </w:rPr>
            </w:pPr>
            <w:r w:rsidRPr="00F16887">
              <w:rPr>
                <w:sz w:val="20"/>
              </w:rPr>
              <w:t>Modification de la date de dépôt (en raison d</w:t>
            </w:r>
            <w:r w:rsidR="00F16887">
              <w:rPr>
                <w:sz w:val="20"/>
              </w:rPr>
              <w:t>’</w:t>
            </w:r>
            <w:r w:rsidRPr="00F16887">
              <w:rPr>
                <w:sz w:val="20"/>
              </w:rPr>
              <w:t>un dépôt de matériel).</w:t>
            </w:r>
          </w:p>
        </w:tc>
      </w:tr>
      <w:tr w:rsidR="001077E2" w:rsidRPr="00F16887" w14:paraId="0B3995F8"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7CAC8A51" w14:textId="77777777" w:rsidR="00F16887" w:rsidRDefault="001077E2" w:rsidP="00F16887">
            <w:pPr>
              <w:pStyle w:val="ListParagraph"/>
              <w:numPr>
                <w:ilvl w:val="1"/>
                <w:numId w:val="18"/>
              </w:numPr>
              <w:ind w:left="357" w:hanging="357"/>
              <w:contextualSpacing w:val="0"/>
              <w:jc w:val="both"/>
              <w:rPr>
                <w:b/>
                <w:bCs/>
                <w:sz w:val="20"/>
              </w:rPr>
            </w:pPr>
            <w:r w:rsidRPr="00F16887">
              <w:rPr>
                <w:b/>
                <w:sz w:val="20"/>
              </w:rPr>
              <w:t>Inventions pharmaceutiques</w:t>
            </w:r>
          </w:p>
          <w:p w14:paraId="6AE41706" w14:textId="2D328BB7" w:rsidR="00F16887" w:rsidRDefault="001077E2" w:rsidP="0025290E">
            <w:pPr>
              <w:pStyle w:val="ListParagraph"/>
              <w:numPr>
                <w:ilvl w:val="2"/>
                <w:numId w:val="18"/>
              </w:numPr>
              <w:ind w:left="594" w:hanging="594"/>
              <w:contextualSpacing w:val="0"/>
              <w:jc w:val="both"/>
              <w:rPr>
                <w:sz w:val="20"/>
              </w:rPr>
            </w:pPr>
            <w:r w:rsidRPr="00F16887">
              <w:rPr>
                <w:sz w:val="20"/>
              </w:rPr>
              <w:t>Première et deuxième utilisations pharmaceutiques</w:t>
            </w:r>
          </w:p>
          <w:p w14:paraId="75750DDD" w14:textId="0726B105" w:rsidR="00F16887" w:rsidRDefault="001077E2" w:rsidP="0025290E">
            <w:pPr>
              <w:pStyle w:val="ListParagraph"/>
              <w:numPr>
                <w:ilvl w:val="2"/>
                <w:numId w:val="18"/>
              </w:numPr>
              <w:ind w:left="594" w:hanging="594"/>
              <w:contextualSpacing w:val="0"/>
              <w:jc w:val="both"/>
              <w:rPr>
                <w:sz w:val="20"/>
              </w:rPr>
            </w:pPr>
            <w:r w:rsidRPr="00F16887">
              <w:rPr>
                <w:sz w:val="20"/>
              </w:rPr>
              <w:t>Formules de Markush</w:t>
            </w:r>
          </w:p>
          <w:p w14:paraId="3005036B" w14:textId="7261AF81" w:rsidR="001077E2" w:rsidRPr="00F16887" w:rsidRDefault="001077E2" w:rsidP="0025290E">
            <w:pPr>
              <w:pStyle w:val="ListParagraph"/>
              <w:numPr>
                <w:ilvl w:val="2"/>
                <w:numId w:val="18"/>
              </w:numPr>
              <w:ind w:left="594" w:hanging="594"/>
              <w:contextualSpacing w:val="0"/>
              <w:jc w:val="both"/>
              <w:rPr>
                <w:sz w:val="20"/>
              </w:rPr>
            </w:pPr>
            <w:r w:rsidRPr="00F16887">
              <w:rPr>
                <w:sz w:val="20"/>
              </w:rPr>
              <w:t>Protection d</w:t>
            </w:r>
            <w:r w:rsidR="00F16887">
              <w:rPr>
                <w:sz w:val="20"/>
              </w:rPr>
              <w:t>’</w:t>
            </w:r>
            <w:r w:rsidRPr="00F16887">
              <w:rPr>
                <w:sz w:val="20"/>
              </w:rPr>
              <w:t>un principe actif</w:t>
            </w:r>
          </w:p>
          <w:p w14:paraId="4B60FAD5" w14:textId="77777777" w:rsidR="001077E2" w:rsidRPr="00F16887" w:rsidRDefault="001077E2" w:rsidP="00F16887">
            <w:pPr>
              <w:pStyle w:val="ListParagraph"/>
              <w:ind w:left="321"/>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6283AAD9" w14:textId="77777777" w:rsidR="001077E2" w:rsidRPr="00F16887" w:rsidRDefault="001077E2" w:rsidP="00F16887">
            <w:pPr>
              <w:jc w:val="both"/>
              <w:rPr>
                <w:sz w:val="20"/>
              </w:rPr>
            </w:pPr>
          </w:p>
          <w:p w14:paraId="703E2F21" w14:textId="6E18BF3C" w:rsidR="001077E2" w:rsidRPr="00F16887" w:rsidRDefault="001077E2" w:rsidP="00F16887">
            <w:pPr>
              <w:jc w:val="both"/>
              <w:rPr>
                <w:sz w:val="20"/>
              </w:rPr>
            </w:pPr>
            <w:r w:rsidRPr="00F16887">
              <w:rPr>
                <w:sz w:val="20"/>
              </w:rPr>
              <w:t>Examen d</w:t>
            </w:r>
            <w:r w:rsidR="00F16887">
              <w:rPr>
                <w:sz w:val="20"/>
              </w:rPr>
              <w:t>’</w:t>
            </w:r>
            <w:r w:rsidRPr="00F16887">
              <w:rPr>
                <w:sz w:val="20"/>
              </w:rPr>
              <w:t>exemples tirés de différents cas d</w:t>
            </w:r>
            <w:r w:rsidR="00F16887">
              <w:rPr>
                <w:sz w:val="20"/>
              </w:rPr>
              <w:t>’</w:t>
            </w:r>
            <w:r w:rsidRPr="00F16887">
              <w:rPr>
                <w:sz w:val="20"/>
              </w:rPr>
              <w:t>utilisations pharmaceutiques.</w:t>
            </w:r>
          </w:p>
          <w:p w14:paraId="1CA2FF33" w14:textId="77777777" w:rsidR="001077E2" w:rsidRPr="00F16887" w:rsidRDefault="001077E2" w:rsidP="00F16887">
            <w:pPr>
              <w:jc w:val="both"/>
              <w:rPr>
                <w:sz w:val="20"/>
              </w:rPr>
            </w:pPr>
            <w:r w:rsidRPr="00F16887">
              <w:rPr>
                <w:sz w:val="20"/>
              </w:rPr>
              <w:t>Examen de la gazette des médicaments.</w:t>
            </w:r>
          </w:p>
          <w:p w14:paraId="342504E5" w14:textId="77777777" w:rsidR="001077E2" w:rsidRPr="00F16887" w:rsidRDefault="001077E2" w:rsidP="00F16887">
            <w:pPr>
              <w:jc w:val="both"/>
              <w:rPr>
                <w:sz w:val="20"/>
              </w:rPr>
            </w:pPr>
          </w:p>
        </w:tc>
      </w:tr>
      <w:tr w:rsidR="001077E2" w:rsidRPr="00F16887" w14:paraId="602B4562"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3B3AF73A" w14:textId="2E7511A7" w:rsidR="001077E2" w:rsidRPr="00F16887" w:rsidRDefault="001077E2" w:rsidP="00F16887">
            <w:pPr>
              <w:jc w:val="both"/>
              <w:rPr>
                <w:color w:val="13322B"/>
                <w:sz w:val="20"/>
              </w:rPr>
            </w:pPr>
            <w:r w:rsidRPr="00F16887">
              <w:rPr>
                <w:b/>
                <w:color w:val="621132"/>
                <w:sz w:val="20"/>
              </w:rPr>
              <w:t xml:space="preserve">Module IX. </w:t>
            </w:r>
            <w:r w:rsidR="00B22F9C">
              <w:rPr>
                <w:b/>
                <w:color w:val="621132"/>
                <w:sz w:val="20"/>
              </w:rPr>
              <w:t xml:space="preserve"> </w:t>
            </w:r>
            <w:r w:rsidRPr="00F16887">
              <w:rPr>
                <w:b/>
                <w:color w:val="621132"/>
                <w:sz w:val="20"/>
              </w:rPr>
              <w:t>Thèmes complémentaires</w:t>
            </w:r>
          </w:p>
        </w:tc>
      </w:tr>
      <w:tr w:rsidR="001077E2" w:rsidRPr="00F16887" w14:paraId="6808FD27"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7711AE38" w14:textId="77777777" w:rsidR="001077E2" w:rsidRPr="00F16887" w:rsidRDefault="001077E2" w:rsidP="00F16887">
            <w:pPr>
              <w:jc w:val="center"/>
              <w:rPr>
                <w:b/>
                <w:color w:val="621132"/>
                <w:sz w:val="20"/>
              </w:rPr>
            </w:pPr>
            <w:r w:rsidRPr="00F16887">
              <w:rPr>
                <w:b/>
                <w:color w:val="621132"/>
                <w:sz w:val="20"/>
              </w:rPr>
              <w:t>Thème</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7C559094" w14:textId="77777777" w:rsidR="001077E2" w:rsidRPr="00F16887" w:rsidRDefault="001077E2" w:rsidP="00F16887">
            <w:pPr>
              <w:jc w:val="center"/>
              <w:rPr>
                <w:b/>
                <w:color w:val="621132"/>
                <w:sz w:val="20"/>
              </w:rPr>
            </w:pPr>
            <w:r w:rsidRPr="00F16887">
              <w:rPr>
                <w:b/>
                <w:color w:val="621132"/>
                <w:sz w:val="20"/>
              </w:rPr>
              <w:t>Points à aborder/activités</w:t>
            </w:r>
          </w:p>
          <w:p w14:paraId="79986FE1" w14:textId="77777777" w:rsidR="001077E2" w:rsidRPr="00F16887" w:rsidRDefault="001077E2" w:rsidP="00F16887">
            <w:pPr>
              <w:jc w:val="center"/>
              <w:rPr>
                <w:b/>
                <w:color w:val="621132"/>
                <w:sz w:val="20"/>
              </w:rPr>
            </w:pPr>
          </w:p>
        </w:tc>
      </w:tr>
      <w:tr w:rsidR="001077E2" w:rsidRPr="00F16887" w14:paraId="6FB2D2B3"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3BE4A918" w14:textId="77777777" w:rsidR="001077E2" w:rsidRPr="00F16887" w:rsidRDefault="001077E2" w:rsidP="00F16887">
            <w:pPr>
              <w:pStyle w:val="ListParagraph"/>
              <w:numPr>
                <w:ilvl w:val="1"/>
                <w:numId w:val="19"/>
              </w:numPr>
              <w:ind w:left="284" w:hanging="284"/>
              <w:contextualSpacing w:val="0"/>
              <w:jc w:val="both"/>
              <w:rPr>
                <w:b/>
                <w:bCs/>
                <w:sz w:val="20"/>
              </w:rPr>
            </w:pPr>
            <w:r w:rsidRPr="00F16887">
              <w:rPr>
                <w:b/>
                <w:sz w:val="20"/>
              </w:rPr>
              <w:t>Intitulés et préservation des droits</w:t>
            </w:r>
          </w:p>
          <w:p w14:paraId="4E37D516" w14:textId="77777777" w:rsidR="001077E2" w:rsidRPr="00F16887" w:rsidRDefault="001077E2" w:rsidP="00F16887">
            <w:pPr>
              <w:jc w:val="both"/>
              <w:rPr>
                <w:sz w:val="20"/>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4EF67EE3" w14:textId="77777777" w:rsidR="001077E2" w:rsidRPr="00F16887" w:rsidRDefault="001077E2" w:rsidP="00F16887">
            <w:pPr>
              <w:jc w:val="both"/>
              <w:rPr>
                <w:sz w:val="20"/>
              </w:rPr>
            </w:pPr>
            <w:r w:rsidRPr="00F16887">
              <w:rPr>
                <w:sz w:val="20"/>
              </w:rPr>
              <w:t>Intégration des rapports techniques</w:t>
            </w:r>
          </w:p>
          <w:p w14:paraId="616EB8C2" w14:textId="77777777" w:rsidR="001077E2" w:rsidRPr="00F16887" w:rsidRDefault="001077E2" w:rsidP="00F16887">
            <w:pPr>
              <w:jc w:val="both"/>
              <w:rPr>
                <w:b/>
                <w:bCs/>
                <w:sz w:val="20"/>
              </w:rPr>
            </w:pPr>
            <w:r w:rsidRPr="00F16887">
              <w:rPr>
                <w:sz w:val="20"/>
              </w:rPr>
              <w:t>Module SIAI pour la “gestion des rapports techniques”</w:t>
            </w:r>
          </w:p>
        </w:tc>
      </w:tr>
      <w:tr w:rsidR="001077E2" w:rsidRPr="00F16887" w14:paraId="6BA33FD5"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3A4A1045" w14:textId="69E4D4B6" w:rsidR="001077E2" w:rsidRPr="00F16887" w:rsidRDefault="001077E2" w:rsidP="00F16887">
            <w:pPr>
              <w:pStyle w:val="ListParagraph"/>
              <w:numPr>
                <w:ilvl w:val="1"/>
                <w:numId w:val="19"/>
              </w:numPr>
              <w:ind w:left="357" w:hanging="357"/>
              <w:contextualSpacing w:val="0"/>
              <w:jc w:val="both"/>
              <w:rPr>
                <w:b/>
                <w:bCs/>
                <w:sz w:val="20"/>
              </w:rPr>
            </w:pPr>
            <w:r w:rsidRPr="00F16887">
              <w:rPr>
                <w:b/>
                <w:sz w:val="20"/>
              </w:rPr>
              <w:t>Mécanismes d</w:t>
            </w:r>
            <w:r w:rsidR="00F16887">
              <w:rPr>
                <w:b/>
                <w:sz w:val="20"/>
              </w:rPr>
              <w:t>’</w:t>
            </w:r>
            <w:r w:rsidRPr="00F16887">
              <w:rPr>
                <w:b/>
                <w:sz w:val="20"/>
              </w:rPr>
              <w:t>accélération pour les brevets</w:t>
            </w:r>
          </w:p>
          <w:p w14:paraId="465EE8A1" w14:textId="77777777" w:rsidR="001077E2" w:rsidRPr="00F16887" w:rsidRDefault="001077E2" w:rsidP="00F16887">
            <w:pPr>
              <w:jc w:val="both"/>
              <w:rPr>
                <w:sz w:val="20"/>
              </w:rPr>
            </w:pPr>
          </w:p>
          <w:p w14:paraId="5A4F0FD3" w14:textId="334D28F9" w:rsidR="00F16887" w:rsidRDefault="001077E2" w:rsidP="0025290E">
            <w:pPr>
              <w:pStyle w:val="ListParagraph"/>
              <w:numPr>
                <w:ilvl w:val="2"/>
                <w:numId w:val="19"/>
              </w:numPr>
              <w:ind w:left="594" w:hanging="594"/>
              <w:contextualSpacing w:val="0"/>
              <w:jc w:val="both"/>
              <w:rPr>
                <w:sz w:val="20"/>
              </w:rPr>
            </w:pPr>
            <w:r w:rsidRPr="00F16887">
              <w:rPr>
                <w:sz w:val="20"/>
              </w:rPr>
              <w:t>PPH (Procédure accélérée d</w:t>
            </w:r>
            <w:r w:rsidR="00F16887">
              <w:rPr>
                <w:sz w:val="20"/>
              </w:rPr>
              <w:t>’</w:t>
            </w:r>
            <w:r w:rsidRPr="00F16887">
              <w:rPr>
                <w:sz w:val="20"/>
              </w:rPr>
              <w:t>examen de demandes de brevet), APG (Accelerated Patent Grant),</w:t>
            </w:r>
          </w:p>
          <w:p w14:paraId="5E118674" w14:textId="5EC8D98E" w:rsidR="001077E2" w:rsidRPr="00F16887" w:rsidRDefault="001077E2" w:rsidP="0025290E">
            <w:pPr>
              <w:pStyle w:val="ListParagraph"/>
              <w:numPr>
                <w:ilvl w:val="2"/>
                <w:numId w:val="19"/>
              </w:numPr>
              <w:ind w:left="594" w:hanging="594"/>
              <w:contextualSpacing w:val="0"/>
              <w:jc w:val="both"/>
              <w:rPr>
                <w:sz w:val="20"/>
              </w:rPr>
            </w:pPr>
            <w:r w:rsidRPr="00F16887">
              <w:rPr>
                <w:sz w:val="20"/>
              </w:rPr>
              <w:t>PAMX</w:t>
            </w:r>
          </w:p>
          <w:p w14:paraId="615FFE6F" w14:textId="77777777" w:rsidR="001077E2" w:rsidRPr="00F16887" w:rsidRDefault="001077E2" w:rsidP="00F16887">
            <w:pPr>
              <w:pStyle w:val="ListParagraph"/>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3AB0D08D" w14:textId="77777777" w:rsidR="001077E2" w:rsidRPr="00F16887" w:rsidRDefault="001077E2" w:rsidP="00F16887">
            <w:pPr>
              <w:jc w:val="both"/>
              <w:rPr>
                <w:sz w:val="20"/>
              </w:rPr>
            </w:pPr>
          </w:p>
          <w:p w14:paraId="2C3D7E1A" w14:textId="77777777" w:rsidR="001077E2" w:rsidRPr="00F16887" w:rsidRDefault="001077E2" w:rsidP="00F16887">
            <w:pPr>
              <w:jc w:val="both"/>
              <w:rPr>
                <w:sz w:val="20"/>
              </w:rPr>
            </w:pPr>
            <w:r w:rsidRPr="00F16887">
              <w:rPr>
                <w:sz w:val="20"/>
              </w:rPr>
              <w:t>Modalités dans les accords PPH.</w:t>
            </w:r>
          </w:p>
          <w:p w14:paraId="4E1B6CDB" w14:textId="77777777" w:rsidR="001077E2" w:rsidRPr="00F16887" w:rsidRDefault="001077E2" w:rsidP="00F16887">
            <w:pPr>
              <w:jc w:val="both"/>
              <w:rPr>
                <w:sz w:val="20"/>
              </w:rPr>
            </w:pPr>
            <w:r w:rsidRPr="00F16887">
              <w:rPr>
                <w:sz w:val="20"/>
              </w:rPr>
              <w:t>Conditions de participation.</w:t>
            </w:r>
          </w:p>
          <w:p w14:paraId="0D2BFD5B" w14:textId="0211DD29" w:rsidR="001077E2" w:rsidRPr="00F16887" w:rsidRDefault="001077E2" w:rsidP="00F16887">
            <w:pPr>
              <w:jc w:val="both"/>
              <w:rPr>
                <w:sz w:val="20"/>
              </w:rPr>
            </w:pPr>
            <w:r w:rsidRPr="00F16887">
              <w:rPr>
                <w:sz w:val="20"/>
              </w:rPr>
              <w:t>Différences entre les mécanismes d</w:t>
            </w:r>
            <w:r w:rsidR="00F16887">
              <w:rPr>
                <w:sz w:val="20"/>
              </w:rPr>
              <w:t>’</w:t>
            </w:r>
            <w:r w:rsidRPr="00F16887">
              <w:rPr>
                <w:sz w:val="20"/>
              </w:rPr>
              <w:t>accélération.</w:t>
            </w:r>
          </w:p>
        </w:tc>
      </w:tr>
      <w:tr w:rsidR="001077E2" w:rsidRPr="00F16887" w14:paraId="33DE5DAD"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70D4BBEC" w14:textId="77777777" w:rsidR="001077E2" w:rsidRPr="00F16887" w:rsidRDefault="001077E2" w:rsidP="00F16887">
            <w:pPr>
              <w:pStyle w:val="ListParagraph"/>
              <w:numPr>
                <w:ilvl w:val="1"/>
                <w:numId w:val="19"/>
              </w:numPr>
              <w:ind w:left="357" w:hanging="357"/>
              <w:contextualSpacing w:val="0"/>
              <w:jc w:val="both"/>
              <w:rPr>
                <w:b/>
                <w:bCs/>
                <w:sz w:val="20"/>
              </w:rPr>
            </w:pPr>
            <w:r w:rsidRPr="00F16887">
              <w:rPr>
                <w:b/>
                <w:sz w:val="20"/>
              </w:rPr>
              <w:t>Observations de tiers</w:t>
            </w:r>
          </w:p>
          <w:p w14:paraId="2C3A3C27" w14:textId="77777777" w:rsidR="001077E2" w:rsidRPr="00F16887" w:rsidRDefault="001077E2" w:rsidP="00F16887">
            <w:pPr>
              <w:pStyle w:val="ListParagraph"/>
              <w:ind w:left="489"/>
              <w:contextualSpacing w:val="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512281E7" w14:textId="77777777" w:rsidR="001077E2" w:rsidRPr="00F16887" w:rsidRDefault="001077E2" w:rsidP="00F16887">
            <w:pPr>
              <w:jc w:val="both"/>
              <w:rPr>
                <w:sz w:val="20"/>
              </w:rPr>
            </w:pPr>
            <w:r w:rsidRPr="00F16887">
              <w:rPr>
                <w:sz w:val="20"/>
              </w:rPr>
              <w:t>Situations diverses dans lesquelles des observations de tiers sont présentées.</w:t>
            </w:r>
          </w:p>
        </w:tc>
      </w:tr>
      <w:tr w:rsidR="001077E2" w:rsidRPr="00F16887" w14:paraId="081BBB86"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74BC78C1" w14:textId="77777777" w:rsidR="001077E2" w:rsidRPr="00F16887" w:rsidRDefault="001077E2" w:rsidP="00F16887">
            <w:pPr>
              <w:pStyle w:val="ListParagraph"/>
              <w:numPr>
                <w:ilvl w:val="1"/>
                <w:numId w:val="19"/>
              </w:numPr>
              <w:ind w:left="357" w:hanging="357"/>
              <w:contextualSpacing w:val="0"/>
              <w:jc w:val="both"/>
              <w:rPr>
                <w:b/>
                <w:bCs/>
                <w:sz w:val="20"/>
              </w:rPr>
            </w:pPr>
            <w:r w:rsidRPr="00F16887">
              <w:rPr>
                <w:b/>
                <w:sz w:val="20"/>
              </w:rPr>
              <w:t>PCT et Convention de Paris</w:t>
            </w: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7D718C2E" w14:textId="77777777" w:rsidR="001077E2" w:rsidRPr="00F16887" w:rsidRDefault="001077E2" w:rsidP="00F16887">
            <w:pPr>
              <w:jc w:val="both"/>
              <w:rPr>
                <w:sz w:val="20"/>
              </w:rPr>
            </w:pPr>
          </w:p>
        </w:tc>
      </w:tr>
      <w:tr w:rsidR="001077E2" w:rsidRPr="00F16887" w14:paraId="7D16ED40"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2" w:space="0" w:color="244061" w:themeColor="accent1" w:themeShade="80"/>
              <w:left w:val="single" w:sz="2" w:space="0" w:color="244061" w:themeColor="accent1" w:themeShade="80"/>
              <w:bottom w:val="single" w:sz="2" w:space="0" w:color="244061" w:themeColor="accent1" w:themeShade="80"/>
            </w:tcBorders>
            <w:vAlign w:val="center"/>
          </w:tcPr>
          <w:p w14:paraId="2AF5AC11" w14:textId="77777777" w:rsidR="001077E2" w:rsidRPr="00F16887" w:rsidRDefault="001077E2" w:rsidP="0025290E">
            <w:pPr>
              <w:pStyle w:val="ListParagraph"/>
              <w:keepNext/>
              <w:numPr>
                <w:ilvl w:val="1"/>
                <w:numId w:val="19"/>
              </w:numPr>
              <w:ind w:left="357" w:hanging="357"/>
              <w:contextualSpacing w:val="0"/>
              <w:jc w:val="both"/>
              <w:rPr>
                <w:b/>
                <w:bCs/>
                <w:sz w:val="20"/>
              </w:rPr>
            </w:pPr>
            <w:r w:rsidRPr="00F16887">
              <w:rPr>
                <w:b/>
                <w:sz w:val="20"/>
              </w:rPr>
              <w:lastRenderedPageBreak/>
              <w:t>Organisations internationales et traités applicables au système des brevets</w:t>
            </w:r>
          </w:p>
          <w:p w14:paraId="2DD6DE58" w14:textId="77777777" w:rsidR="001077E2" w:rsidRPr="00F16887" w:rsidRDefault="001077E2" w:rsidP="00F16887">
            <w:pPr>
              <w:jc w:val="both"/>
              <w:rPr>
                <w:sz w:val="20"/>
              </w:rPr>
            </w:pPr>
          </w:p>
          <w:p w14:paraId="271CAB77" w14:textId="77777777" w:rsidR="001077E2" w:rsidRPr="00F16887" w:rsidRDefault="001077E2" w:rsidP="00F16887">
            <w:pPr>
              <w:pStyle w:val="ListParagraph"/>
              <w:numPr>
                <w:ilvl w:val="2"/>
                <w:numId w:val="19"/>
              </w:numPr>
              <w:ind w:left="567" w:hanging="567"/>
              <w:contextualSpacing w:val="0"/>
              <w:jc w:val="both"/>
              <w:rPr>
                <w:sz w:val="20"/>
              </w:rPr>
            </w:pPr>
            <w:r w:rsidRPr="00F16887">
              <w:rPr>
                <w:sz w:val="20"/>
              </w:rPr>
              <w:t>OMPI</w:t>
            </w:r>
          </w:p>
          <w:p w14:paraId="11EAB160" w14:textId="77777777" w:rsidR="001077E2" w:rsidRPr="00F16887" w:rsidRDefault="001077E2" w:rsidP="00F16887">
            <w:pPr>
              <w:pStyle w:val="ListParagraph"/>
              <w:numPr>
                <w:ilvl w:val="2"/>
                <w:numId w:val="19"/>
              </w:numPr>
              <w:ind w:left="567" w:hanging="567"/>
              <w:contextualSpacing w:val="0"/>
              <w:jc w:val="both"/>
              <w:rPr>
                <w:sz w:val="20"/>
              </w:rPr>
            </w:pPr>
            <w:r w:rsidRPr="00F16887">
              <w:rPr>
                <w:sz w:val="20"/>
              </w:rPr>
              <w:t>Office européen des brevets (OEB)</w:t>
            </w:r>
          </w:p>
          <w:p w14:paraId="73A36BBD" w14:textId="67BA3596" w:rsidR="001077E2" w:rsidRPr="00F16887" w:rsidRDefault="001077E2" w:rsidP="00F16887">
            <w:pPr>
              <w:pStyle w:val="ListParagraph"/>
              <w:numPr>
                <w:ilvl w:val="2"/>
                <w:numId w:val="19"/>
              </w:numPr>
              <w:ind w:left="567" w:hanging="567"/>
              <w:contextualSpacing w:val="0"/>
              <w:jc w:val="both"/>
              <w:rPr>
                <w:sz w:val="20"/>
              </w:rPr>
            </w:pPr>
            <w:r w:rsidRPr="00F16887">
              <w:rPr>
                <w:sz w:val="20"/>
              </w:rPr>
              <w:t>Accord sur les aspects des droits de propriété intellectuelle qui touchent au commerce (Accord sur</w:t>
            </w:r>
            <w:r w:rsidR="00F16887" w:rsidRPr="00F16887">
              <w:rPr>
                <w:sz w:val="20"/>
              </w:rPr>
              <w:t xml:space="preserve"> les</w:t>
            </w:r>
            <w:r w:rsidR="00F16887">
              <w:rPr>
                <w:sz w:val="20"/>
              </w:rPr>
              <w:t> </w:t>
            </w:r>
            <w:r w:rsidR="00F16887" w:rsidRPr="00F16887">
              <w:rPr>
                <w:sz w:val="20"/>
              </w:rPr>
              <w:t>ADP</w:t>
            </w:r>
            <w:r w:rsidRPr="00F16887">
              <w:rPr>
                <w:sz w:val="20"/>
              </w:rPr>
              <w:t>IC)</w:t>
            </w:r>
          </w:p>
          <w:p w14:paraId="5F6936E2" w14:textId="77777777" w:rsidR="001077E2" w:rsidRPr="00F16887" w:rsidRDefault="001077E2" w:rsidP="00F16887">
            <w:pPr>
              <w:pStyle w:val="ListParagraph"/>
              <w:numPr>
                <w:ilvl w:val="2"/>
                <w:numId w:val="19"/>
              </w:numPr>
              <w:ind w:left="567" w:hanging="567"/>
              <w:contextualSpacing w:val="0"/>
              <w:jc w:val="both"/>
              <w:rPr>
                <w:sz w:val="20"/>
              </w:rPr>
            </w:pPr>
            <w:r w:rsidRPr="00F16887">
              <w:rPr>
                <w:sz w:val="20"/>
              </w:rPr>
              <w:t>Convention de Paris</w:t>
            </w:r>
          </w:p>
          <w:p w14:paraId="626B5471" w14:textId="6F10B83F" w:rsidR="001077E2" w:rsidRPr="00F16887" w:rsidRDefault="001077E2" w:rsidP="00F16887">
            <w:pPr>
              <w:pStyle w:val="ListParagraph"/>
              <w:numPr>
                <w:ilvl w:val="2"/>
                <w:numId w:val="19"/>
              </w:numPr>
              <w:ind w:left="567" w:hanging="567"/>
              <w:contextualSpacing w:val="0"/>
              <w:jc w:val="both"/>
              <w:rPr>
                <w:sz w:val="20"/>
              </w:rPr>
            </w:pPr>
            <w:r w:rsidRPr="00F16887">
              <w:rPr>
                <w:sz w:val="20"/>
              </w:rPr>
              <w:t>Dispositions de l</w:t>
            </w:r>
            <w:r w:rsidR="00F16887">
              <w:rPr>
                <w:sz w:val="20"/>
              </w:rPr>
              <w:t>’</w:t>
            </w:r>
            <w:r w:rsidRPr="00F16887">
              <w:rPr>
                <w:sz w:val="20"/>
              </w:rPr>
              <w:t>accord USMCA</w:t>
            </w:r>
          </w:p>
          <w:p w14:paraId="4A9352CF" w14:textId="77777777" w:rsidR="001077E2" w:rsidRPr="00F16887" w:rsidRDefault="001077E2" w:rsidP="00F16887">
            <w:pPr>
              <w:ind w:left="720"/>
              <w:jc w:val="both"/>
              <w:rPr>
                <w:b/>
                <w:bCs/>
                <w:sz w:val="20"/>
              </w:rPr>
            </w:pPr>
          </w:p>
        </w:tc>
        <w:tc>
          <w:tcPr>
            <w:tcW w:w="4109" w:type="dxa"/>
            <w:tcBorders>
              <w:top w:val="single" w:sz="2" w:space="0" w:color="244061" w:themeColor="accent1" w:themeShade="80"/>
              <w:left w:val="single" w:sz="2" w:space="0" w:color="244061" w:themeColor="accent1" w:themeShade="80"/>
              <w:bottom w:val="single" w:sz="2" w:space="0" w:color="244061" w:themeColor="accent1" w:themeShade="80"/>
              <w:right w:val="single" w:sz="4" w:space="0" w:color="auto"/>
            </w:tcBorders>
          </w:tcPr>
          <w:p w14:paraId="10DCAE49" w14:textId="77777777" w:rsidR="001077E2" w:rsidRPr="00F16887" w:rsidRDefault="001077E2" w:rsidP="00F16887">
            <w:pPr>
              <w:jc w:val="both"/>
              <w:rPr>
                <w:color w:val="13322B"/>
                <w:sz w:val="20"/>
              </w:rPr>
            </w:pPr>
          </w:p>
        </w:tc>
      </w:tr>
      <w:tr w:rsidR="001077E2" w:rsidRPr="00F16887" w14:paraId="40A84710"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9063" w:type="dxa"/>
            <w:gridSpan w:val="3"/>
            <w:tcBorders>
              <w:top w:val="single" w:sz="2" w:space="0" w:color="244061" w:themeColor="accent1" w:themeShade="80"/>
              <w:left w:val="single" w:sz="2" w:space="0" w:color="244061" w:themeColor="accent1" w:themeShade="80"/>
              <w:bottom w:val="single" w:sz="4" w:space="0" w:color="auto"/>
              <w:right w:val="single" w:sz="4" w:space="0" w:color="auto"/>
            </w:tcBorders>
            <w:vAlign w:val="center"/>
          </w:tcPr>
          <w:p w14:paraId="73989C12" w14:textId="0EA17981" w:rsidR="001077E2" w:rsidRPr="00F16887" w:rsidRDefault="001077E2" w:rsidP="00F16887">
            <w:pPr>
              <w:jc w:val="both"/>
              <w:rPr>
                <w:color w:val="13322B"/>
                <w:sz w:val="20"/>
              </w:rPr>
            </w:pPr>
            <w:r w:rsidRPr="00F16887">
              <w:rPr>
                <w:b/>
                <w:color w:val="621132"/>
                <w:sz w:val="20"/>
              </w:rPr>
              <w:t>Module X.</w:t>
            </w:r>
            <w:r w:rsidR="00C95B35">
              <w:rPr>
                <w:b/>
                <w:color w:val="621132"/>
                <w:sz w:val="20"/>
              </w:rPr>
              <w:t xml:space="preserve">  </w:t>
            </w:r>
            <w:r w:rsidRPr="00F16887">
              <w:rPr>
                <w:b/>
                <w:color w:val="621132"/>
                <w:sz w:val="20"/>
              </w:rPr>
              <w:t>Modèles d</w:t>
            </w:r>
            <w:r w:rsidR="00F16887">
              <w:rPr>
                <w:b/>
                <w:color w:val="621132"/>
                <w:sz w:val="20"/>
              </w:rPr>
              <w:t>’</w:t>
            </w:r>
            <w:r w:rsidRPr="00F16887">
              <w:rPr>
                <w:b/>
                <w:color w:val="621132"/>
                <w:sz w:val="20"/>
              </w:rPr>
              <w:t>utilité</w:t>
            </w:r>
          </w:p>
        </w:tc>
      </w:tr>
      <w:tr w:rsidR="001077E2" w:rsidRPr="00F16887" w14:paraId="036A916B"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338"/>
          <w:jc w:val="center"/>
        </w:trPr>
        <w:tc>
          <w:tcPr>
            <w:tcW w:w="4954" w:type="dxa"/>
            <w:gridSpan w:val="2"/>
            <w:tcBorders>
              <w:top w:val="single" w:sz="4" w:space="0" w:color="auto"/>
              <w:left w:val="single" w:sz="4" w:space="0" w:color="auto"/>
              <w:bottom w:val="single" w:sz="4" w:space="0" w:color="auto"/>
              <w:right w:val="single" w:sz="4" w:space="0" w:color="auto"/>
            </w:tcBorders>
            <w:shd w:val="clear" w:color="auto" w:fill="D4C19C"/>
            <w:vAlign w:val="center"/>
          </w:tcPr>
          <w:p w14:paraId="12BB19A4" w14:textId="77777777" w:rsidR="001077E2" w:rsidRPr="00F16887" w:rsidRDefault="001077E2" w:rsidP="00F16887">
            <w:pPr>
              <w:jc w:val="center"/>
              <w:rPr>
                <w:b/>
                <w:color w:val="621132"/>
                <w:sz w:val="20"/>
              </w:rPr>
            </w:pPr>
            <w:r w:rsidRPr="00F16887">
              <w:rPr>
                <w:b/>
                <w:color w:val="621132"/>
                <w:sz w:val="20"/>
              </w:rPr>
              <w:t>Thème</w:t>
            </w:r>
          </w:p>
        </w:tc>
        <w:tc>
          <w:tcPr>
            <w:tcW w:w="4109" w:type="dxa"/>
            <w:tcBorders>
              <w:top w:val="single" w:sz="4" w:space="0" w:color="auto"/>
              <w:left w:val="single" w:sz="4" w:space="0" w:color="auto"/>
              <w:bottom w:val="single" w:sz="4" w:space="0" w:color="auto"/>
              <w:right w:val="single" w:sz="4" w:space="0" w:color="auto"/>
            </w:tcBorders>
            <w:shd w:val="clear" w:color="auto" w:fill="D4C19C"/>
          </w:tcPr>
          <w:p w14:paraId="2ED3607A" w14:textId="77777777" w:rsidR="001077E2" w:rsidRPr="00F16887" w:rsidRDefault="001077E2" w:rsidP="00F16887">
            <w:pPr>
              <w:jc w:val="center"/>
              <w:rPr>
                <w:b/>
                <w:color w:val="621132"/>
                <w:sz w:val="20"/>
              </w:rPr>
            </w:pPr>
            <w:r w:rsidRPr="00F16887">
              <w:rPr>
                <w:b/>
                <w:color w:val="621132"/>
                <w:sz w:val="20"/>
              </w:rPr>
              <w:t>Thèmes à aborder/activités</w:t>
            </w:r>
          </w:p>
          <w:p w14:paraId="7E28EF20" w14:textId="77777777" w:rsidR="001077E2" w:rsidRPr="00F16887" w:rsidRDefault="001077E2" w:rsidP="00F16887">
            <w:pPr>
              <w:jc w:val="center"/>
              <w:rPr>
                <w:b/>
                <w:color w:val="621132"/>
                <w:sz w:val="20"/>
              </w:rPr>
            </w:pPr>
          </w:p>
        </w:tc>
      </w:tr>
      <w:tr w:rsidR="001077E2" w:rsidRPr="00F16887" w14:paraId="5250AEBA" w14:textId="77777777" w:rsidTr="00D113DB">
        <w:tblPrEx>
          <w:tblBorders>
            <w:top w:val="none" w:sz="0" w:space="0" w:color="auto"/>
            <w:left w:val="none" w:sz="0" w:space="0" w:color="auto"/>
            <w:bottom w:val="none" w:sz="0" w:space="0" w:color="auto"/>
            <w:right w:val="none" w:sz="0" w:space="0" w:color="auto"/>
            <w:insideH w:val="single" w:sz="2" w:space="0" w:color="auto"/>
            <w:insideV w:val="single" w:sz="12" w:space="0" w:color="auto"/>
          </w:tblBorders>
          <w:tblCellMar>
            <w:top w:w="113" w:type="dxa"/>
          </w:tblCellMar>
        </w:tblPrEx>
        <w:trPr>
          <w:trHeight w:val="454"/>
          <w:jc w:val="center"/>
        </w:trPr>
        <w:tc>
          <w:tcPr>
            <w:tcW w:w="4954" w:type="dxa"/>
            <w:gridSpan w:val="2"/>
            <w:tcBorders>
              <w:top w:val="single" w:sz="4" w:space="0" w:color="auto"/>
              <w:left w:val="single" w:sz="2" w:space="0" w:color="244061" w:themeColor="accent1" w:themeShade="80"/>
              <w:bottom w:val="single" w:sz="2" w:space="0" w:color="244061" w:themeColor="accent1" w:themeShade="80"/>
            </w:tcBorders>
            <w:vAlign w:val="center"/>
          </w:tcPr>
          <w:p w14:paraId="2A5973D7" w14:textId="5810D940" w:rsidR="001077E2" w:rsidRPr="00F16887" w:rsidRDefault="001077E2" w:rsidP="00F16887">
            <w:pPr>
              <w:pStyle w:val="ListParagraph"/>
              <w:numPr>
                <w:ilvl w:val="1"/>
                <w:numId w:val="20"/>
              </w:numPr>
              <w:ind w:left="425" w:hanging="425"/>
              <w:contextualSpacing w:val="0"/>
              <w:jc w:val="both"/>
              <w:rPr>
                <w:b/>
                <w:bCs/>
                <w:sz w:val="20"/>
              </w:rPr>
            </w:pPr>
            <w:r w:rsidRPr="00F16887">
              <w:rPr>
                <w:b/>
                <w:sz w:val="20"/>
              </w:rPr>
              <w:t>Étude d</w:t>
            </w:r>
            <w:r w:rsidR="00F16887">
              <w:rPr>
                <w:b/>
                <w:sz w:val="20"/>
              </w:rPr>
              <w:t>’</w:t>
            </w:r>
            <w:r w:rsidRPr="00F16887">
              <w:rPr>
                <w:b/>
                <w:sz w:val="20"/>
              </w:rPr>
              <w:t>une demande de modèle d</w:t>
            </w:r>
            <w:r w:rsidR="00F16887">
              <w:rPr>
                <w:b/>
                <w:sz w:val="20"/>
              </w:rPr>
              <w:t>’</w:t>
            </w:r>
            <w:r w:rsidRPr="00F16887">
              <w:rPr>
                <w:b/>
                <w:sz w:val="20"/>
              </w:rPr>
              <w:t>utilité</w:t>
            </w:r>
          </w:p>
          <w:p w14:paraId="44BDBAE6" w14:textId="77777777" w:rsidR="001077E2" w:rsidRPr="00F16887" w:rsidRDefault="001077E2" w:rsidP="00F16887">
            <w:pPr>
              <w:jc w:val="both"/>
              <w:rPr>
                <w:sz w:val="20"/>
              </w:rPr>
            </w:pPr>
          </w:p>
        </w:tc>
        <w:tc>
          <w:tcPr>
            <w:tcW w:w="4109" w:type="dxa"/>
            <w:tcBorders>
              <w:top w:val="single" w:sz="4" w:space="0" w:color="auto"/>
              <w:left w:val="single" w:sz="2" w:space="0" w:color="244061" w:themeColor="accent1" w:themeShade="80"/>
              <w:bottom w:val="single" w:sz="2" w:space="0" w:color="244061" w:themeColor="accent1" w:themeShade="80"/>
              <w:right w:val="single" w:sz="4" w:space="0" w:color="auto"/>
            </w:tcBorders>
          </w:tcPr>
          <w:p w14:paraId="3DB7E172" w14:textId="51510ED7" w:rsidR="001077E2" w:rsidRPr="00F16887" w:rsidRDefault="001077E2" w:rsidP="00F16887">
            <w:pPr>
              <w:jc w:val="both"/>
              <w:rPr>
                <w:b/>
                <w:bCs/>
                <w:sz w:val="20"/>
              </w:rPr>
            </w:pPr>
            <w:r w:rsidRPr="00F16887">
              <w:rPr>
                <w:sz w:val="20"/>
              </w:rPr>
              <w:t>Examen d</w:t>
            </w:r>
            <w:r w:rsidR="00F16887">
              <w:rPr>
                <w:sz w:val="20"/>
              </w:rPr>
              <w:t>’</w:t>
            </w:r>
            <w:r w:rsidRPr="00F16887">
              <w:rPr>
                <w:sz w:val="20"/>
              </w:rPr>
              <w:t>exemples de différents cas de modèles d</w:t>
            </w:r>
            <w:r w:rsidR="00F16887">
              <w:rPr>
                <w:sz w:val="20"/>
              </w:rPr>
              <w:t>’</w:t>
            </w:r>
            <w:r w:rsidRPr="00F16887">
              <w:rPr>
                <w:sz w:val="20"/>
              </w:rPr>
              <w:t>utilité</w:t>
            </w:r>
          </w:p>
        </w:tc>
      </w:tr>
    </w:tbl>
    <w:p w14:paraId="7C4BE704" w14:textId="77777777" w:rsidR="001077E2" w:rsidRPr="0025290E" w:rsidRDefault="001077E2" w:rsidP="0025290E"/>
    <w:p w14:paraId="06EA6F4E" w14:textId="258BAB49" w:rsidR="001077E2" w:rsidRPr="00F16887" w:rsidRDefault="001077E2" w:rsidP="00F16887">
      <w:pPr>
        <w:pStyle w:val="Answer"/>
        <w:spacing w:after="0"/>
        <w:ind w:left="0"/>
        <w:jc w:val="both"/>
      </w:pPr>
      <w:r w:rsidRPr="00F16887">
        <w:t>La formation de l</w:t>
      </w:r>
      <w:r w:rsidR="00F16887">
        <w:t>’</w:t>
      </w:r>
      <w:r w:rsidRPr="00F16887">
        <w:t>équipe chargée de l</w:t>
      </w:r>
      <w:r w:rsidR="00F16887">
        <w:t>’</w:t>
      </w:r>
      <w:r w:rsidRPr="00F16887">
        <w:t>examen quant au fond est en cou</w:t>
      </w:r>
      <w:r w:rsidR="00C95B35" w:rsidRPr="00F16887">
        <w:t>rs</w:t>
      </w:r>
      <w:r w:rsidR="00C95B35">
        <w:t xml:space="preserve">.  </w:t>
      </w:r>
      <w:r w:rsidR="00C95B35" w:rsidRPr="00F16887">
        <w:t>Le</w:t>
      </w:r>
      <w:r w:rsidRPr="00F16887">
        <w:t>s examinateurs sont tenus de suivre les cours généraux proposés par l</w:t>
      </w:r>
      <w:r w:rsidR="00F16887">
        <w:t>’</w:t>
      </w:r>
      <w:r w:rsidRPr="00F16887">
        <w:t>Académie de l</w:t>
      </w:r>
      <w:r w:rsidR="00F16887">
        <w:t>’</w:t>
      </w:r>
      <w:r w:rsidRPr="00F16887">
        <w:t>OMPI, “Cours sur la propriété intellectuelle</w:t>
      </w:r>
      <w:r w:rsidR="00C95B35">
        <w:t> </w:t>
      </w:r>
      <w:r w:rsidRPr="00F16887">
        <w:t>DL</w:t>
      </w:r>
      <w:r w:rsidR="00C95B35">
        <w:noBreakHyphen/>
      </w:r>
      <w:r w:rsidRPr="00F16887">
        <w:t>001” et “Cours de base sur la propriété intellectuelle</w:t>
      </w:r>
      <w:r w:rsidR="00C95B35">
        <w:t> </w:t>
      </w:r>
      <w:r w:rsidRPr="00F16887">
        <w:t>DL</w:t>
      </w:r>
      <w:r w:rsidR="00C95B35">
        <w:noBreakHyphen/>
      </w:r>
      <w:r w:rsidRPr="00F16887">
        <w:t>101S”.</w:t>
      </w:r>
    </w:p>
    <w:p w14:paraId="6ABCB7B5" w14:textId="77777777" w:rsidR="001077E2" w:rsidRPr="00F16887" w:rsidRDefault="001077E2" w:rsidP="00F16887">
      <w:pPr>
        <w:pStyle w:val="Answer"/>
        <w:spacing w:after="0"/>
        <w:ind w:left="0"/>
        <w:jc w:val="both"/>
      </w:pPr>
    </w:p>
    <w:p w14:paraId="64E099AE" w14:textId="49F0EF51" w:rsidR="001077E2" w:rsidRPr="00F16887" w:rsidRDefault="001077E2" w:rsidP="00F16887">
      <w:pPr>
        <w:pStyle w:val="Answer"/>
        <w:spacing w:after="0"/>
        <w:ind w:left="0"/>
        <w:jc w:val="both"/>
      </w:pPr>
      <w:r w:rsidRPr="00F16887">
        <w:t>En vertu de la réglementation de l</w:t>
      </w:r>
      <w:r w:rsidR="00F16887">
        <w:t>’</w:t>
      </w:r>
      <w:r w:rsidRPr="00F16887">
        <w:t>IMPI, tous les membres du personnel doivent suivre au moins 40 heures de formation par an, dont un certain pourcentage doit être consacré à une formation spécialisée.</w:t>
      </w:r>
    </w:p>
    <w:p w14:paraId="17749CE1" w14:textId="77777777" w:rsidR="001077E2" w:rsidRPr="00F16887" w:rsidRDefault="001077E2" w:rsidP="00F16887">
      <w:pPr>
        <w:pStyle w:val="Answer"/>
        <w:spacing w:after="0"/>
        <w:ind w:left="0"/>
        <w:jc w:val="both"/>
      </w:pPr>
    </w:p>
    <w:p w14:paraId="6FB31018" w14:textId="49E34B8F" w:rsidR="001077E2" w:rsidRPr="00F16887" w:rsidRDefault="001077E2" w:rsidP="00F16887">
      <w:pPr>
        <w:pStyle w:val="Answer"/>
        <w:spacing w:after="0"/>
        <w:ind w:left="0"/>
        <w:jc w:val="both"/>
      </w:pPr>
      <w:r w:rsidRPr="00F16887">
        <w:t>Les examinateurs reçoivent une formation sur des sujets techniques fondamentaux afin d</w:t>
      </w:r>
      <w:r w:rsidR="00F16887">
        <w:t>’</w:t>
      </w:r>
      <w:r w:rsidRPr="00F16887">
        <w:t>actualiser leurs connaissances concernant le domaine technique qu</w:t>
      </w:r>
      <w:r w:rsidR="00F16887">
        <w:t>’</w:t>
      </w:r>
      <w:r w:rsidRPr="00F16887">
        <w:t>ils examinent et les critères d</w:t>
      </w:r>
      <w:r w:rsidR="00F16887">
        <w:t>’</w:t>
      </w:r>
      <w:r w:rsidRPr="00F16887">
        <w:t>examen des brevets.</w:t>
      </w:r>
    </w:p>
    <w:p w14:paraId="437D56F0" w14:textId="77777777" w:rsidR="001077E2" w:rsidRPr="00F16887" w:rsidRDefault="001077E2" w:rsidP="00F16887">
      <w:pPr>
        <w:pStyle w:val="Answer"/>
        <w:spacing w:after="0"/>
        <w:ind w:left="0"/>
        <w:jc w:val="both"/>
      </w:pPr>
    </w:p>
    <w:p w14:paraId="0D53BA65" w14:textId="12A4237D" w:rsidR="00F16887" w:rsidRDefault="001077E2" w:rsidP="00F16887">
      <w:pPr>
        <w:pStyle w:val="Answer"/>
        <w:spacing w:after="0"/>
        <w:ind w:left="0"/>
        <w:jc w:val="both"/>
      </w:pPr>
      <w:r w:rsidRPr="00F16887">
        <w:t>Cette formation comprend des cours sur les recherches sur l</w:t>
      </w:r>
      <w:r w:rsidR="00F16887">
        <w:t>’</w:t>
      </w:r>
      <w:r w:rsidRPr="00F16887">
        <w:t>état de la technique, des guides actualisés sur l</w:t>
      </w:r>
      <w:r w:rsidR="00F16887">
        <w:t>’</w:t>
      </w:r>
      <w:r w:rsidRPr="00F16887">
        <w:t>utilisation des outils de recherche et des bases de données, ainsi que des cours spécialisés sur des thèmes spécifiques proposés par les différents offices de brevets avec lesquels l</w:t>
      </w:r>
      <w:r w:rsidR="00F16887">
        <w:t>’</w:t>
      </w:r>
      <w:r w:rsidRPr="00F16887">
        <w:t>IMPI coopère, tels que l</w:t>
      </w:r>
      <w:r w:rsidR="00F16887">
        <w:t>’</w:t>
      </w:r>
      <w:r w:rsidRPr="00F16887">
        <w:t>USPTO, l</w:t>
      </w:r>
      <w:r w:rsidR="00F16887">
        <w:t>’</w:t>
      </w:r>
      <w:r w:rsidRPr="00F16887">
        <w:t>Office européen des brevets (OEB) et l</w:t>
      </w:r>
      <w:r w:rsidR="00F16887">
        <w:t>’</w:t>
      </w:r>
      <w:r w:rsidRPr="00F16887">
        <w:t>Office des brevets du Japon.</w:t>
      </w:r>
    </w:p>
    <w:p w14:paraId="6BD5C448" w14:textId="261EF96E" w:rsidR="001077E2" w:rsidRPr="00F16887" w:rsidRDefault="001077E2" w:rsidP="00F16887">
      <w:pPr>
        <w:pStyle w:val="Answer"/>
        <w:spacing w:after="0"/>
        <w:ind w:left="0"/>
        <w:jc w:val="both"/>
      </w:pPr>
    </w:p>
    <w:p w14:paraId="230E8AC7" w14:textId="2837BA06" w:rsidR="00F16887" w:rsidRDefault="001077E2" w:rsidP="00F16887">
      <w:pPr>
        <w:pStyle w:val="Answer"/>
        <w:spacing w:after="0"/>
        <w:ind w:left="0"/>
        <w:jc w:val="both"/>
      </w:pPr>
      <w:r w:rsidRPr="00F16887">
        <w:t>En 2007, l</w:t>
      </w:r>
      <w:r w:rsidR="00F16887">
        <w:t>’</w:t>
      </w:r>
      <w:r w:rsidRPr="00F16887">
        <w:t>IMPI a mis en place un système de coopération avec les pays d</w:t>
      </w:r>
      <w:r w:rsidR="00F16887">
        <w:t>’</w:t>
      </w:r>
      <w:r w:rsidRPr="00F16887">
        <w:t>Amérique latine et des Caraïbes, connu sous le nom de Système d</w:t>
      </w:r>
      <w:r w:rsidR="00F16887">
        <w:t>’</w:t>
      </w:r>
      <w:r w:rsidRPr="00F16887">
        <w:t>appui à la gestion des demandes de brevet pour les pays d</w:t>
      </w:r>
      <w:r w:rsidR="00F16887">
        <w:t>’</w:t>
      </w:r>
      <w:r w:rsidRPr="00F16887">
        <w:t>Amérique centrale et la République dominicai</w:t>
      </w:r>
      <w:r w:rsidR="00C95B35" w:rsidRPr="00F16887">
        <w:t>ne</w:t>
      </w:r>
      <w:r w:rsidR="00C95B35">
        <w:t xml:space="preserve">.  </w:t>
      </w:r>
      <w:r w:rsidR="00C95B35" w:rsidRPr="00F16887">
        <w:t>Il</w:t>
      </w:r>
      <w:r w:rsidRPr="00F16887">
        <w:t xml:space="preserve"> utilise ce système pour partager avec les offices de ces pays les résultats des examens quant au fond des demandes déposées auprès de l</w:t>
      </w:r>
      <w:r w:rsidR="00F16887">
        <w:t>’</w:t>
      </w:r>
      <w:r w:rsidRPr="00F16887">
        <w:t>IMPI et de ces offices afin de simplifier les procédures et d</w:t>
      </w:r>
      <w:r w:rsidR="00F16887">
        <w:t>’</w:t>
      </w:r>
      <w:r w:rsidRPr="00F16887">
        <w:t>éviter la duplication des recherches et des examens.</w:t>
      </w:r>
    </w:p>
    <w:p w14:paraId="2EF05317" w14:textId="60226877" w:rsidR="001077E2" w:rsidRPr="00F16887" w:rsidRDefault="001077E2" w:rsidP="00F16887">
      <w:pPr>
        <w:pStyle w:val="Answer"/>
        <w:spacing w:after="0"/>
        <w:ind w:left="0"/>
        <w:jc w:val="both"/>
      </w:pPr>
    </w:p>
    <w:p w14:paraId="54B0652F" w14:textId="09C94BE4" w:rsidR="001077E2" w:rsidRPr="00F16887" w:rsidRDefault="001077E2" w:rsidP="00F16887">
      <w:pPr>
        <w:pStyle w:val="Answer"/>
        <w:spacing w:after="0"/>
        <w:ind w:left="0"/>
        <w:jc w:val="both"/>
      </w:pPr>
      <w:r w:rsidRPr="00F16887">
        <w:t>Dans le cadre de cette coopération, l</w:t>
      </w:r>
      <w:r w:rsidR="00F16887">
        <w:t>’</w:t>
      </w:r>
      <w:r w:rsidRPr="00F16887">
        <w:t>IMPI apporte également son soutien aux recherches sur l</w:t>
      </w:r>
      <w:r w:rsidR="00F16887">
        <w:t>’</w:t>
      </w:r>
      <w:r w:rsidRPr="00F16887">
        <w:t>état de la technique et émet des avis sur la brevetabilité des demandes nationales déposées auprès des offices de propriété industrielle des pays d</w:t>
      </w:r>
      <w:r w:rsidR="00F16887">
        <w:t>’</w:t>
      </w:r>
      <w:r w:rsidRPr="00F16887">
        <w:t>Amérique latine et des Caraïbes, même lorsqu</w:t>
      </w:r>
      <w:r w:rsidR="00F16887">
        <w:t>’</w:t>
      </w:r>
      <w:r w:rsidRPr="00F16887">
        <w:t>ils n</w:t>
      </w:r>
      <w:r w:rsidR="00F16887">
        <w:t>’</w:t>
      </w:r>
      <w:r w:rsidRPr="00F16887">
        <w:t>ont pas de demandes correspondant à celles déposées auprès de l</w:t>
      </w:r>
      <w:r w:rsidR="00F16887">
        <w:t>’</w:t>
      </w:r>
      <w:r w:rsidRPr="00F16887">
        <w:t>IMPI.</w:t>
      </w:r>
    </w:p>
    <w:p w14:paraId="0E26A607" w14:textId="77777777" w:rsidR="001077E2" w:rsidRPr="00F16887" w:rsidRDefault="001077E2" w:rsidP="00F16887">
      <w:pPr>
        <w:pStyle w:val="Answer"/>
        <w:spacing w:after="0"/>
        <w:ind w:left="0"/>
        <w:jc w:val="both"/>
      </w:pPr>
    </w:p>
    <w:p w14:paraId="7BBC07DF" w14:textId="7D48B750" w:rsidR="001077E2" w:rsidRPr="00F16887" w:rsidRDefault="001077E2" w:rsidP="00F16887">
      <w:pPr>
        <w:pStyle w:val="Answer"/>
        <w:spacing w:after="0"/>
        <w:ind w:left="0"/>
        <w:jc w:val="both"/>
      </w:pPr>
      <w:r w:rsidRPr="00F16887">
        <w:t>Les résultats des examens, des recherches et les avis de brevetabilité sont partagés avec les pays participants via le portail électronique mis au point à cet effet par l</w:t>
      </w:r>
      <w:r w:rsidR="00F16887">
        <w:t>’</w:t>
      </w:r>
      <w:r w:rsidRPr="00F16887">
        <w:t>IMPI</w:t>
      </w:r>
      <w:r w:rsidR="00F16887">
        <w:t> :</w:t>
      </w:r>
      <w:r w:rsidRPr="00F16887">
        <w:t xml:space="preserve"> </w:t>
      </w:r>
      <w:hyperlink r:id="rId10" w:history="1">
        <w:r w:rsidRPr="00F16887">
          <w:rPr>
            <w:rStyle w:val="Hyperlink"/>
          </w:rPr>
          <w:t>https://cadopat.impi.gob.mx/</w:t>
        </w:r>
      </w:hyperlink>
    </w:p>
    <w:p w14:paraId="7786F217" w14:textId="32718786" w:rsidR="001077E2" w:rsidRPr="00F16887" w:rsidRDefault="001077E2" w:rsidP="00F16887">
      <w:pPr>
        <w:pStyle w:val="SectionHeading"/>
        <w:spacing w:after="0"/>
        <w:rPr>
          <w:lang w:val="fr-FR"/>
        </w:rPr>
      </w:pPr>
      <w:r w:rsidRPr="00F16887">
        <w:rPr>
          <w:lang w:val="fr-FR"/>
        </w:rPr>
        <w:lastRenderedPageBreak/>
        <w:t>2.2 </w:t>
      </w:r>
      <w:r w:rsidR="00C95B35">
        <w:rPr>
          <w:lang w:val="fr-FR"/>
        </w:rPr>
        <w:t>–</w:t>
      </w:r>
      <w:r w:rsidRPr="00F16887">
        <w:rPr>
          <w:lang w:val="fr-FR"/>
        </w:rPr>
        <w:t xml:space="preserve"> Documentation minimale </w:t>
      </w:r>
      <w:r w:rsidR="00C95B35">
        <w:rPr>
          <w:lang w:val="fr-FR"/>
        </w:rPr>
        <w:t>–</w:t>
      </w:r>
      <w:r w:rsidRPr="00F16887">
        <w:rPr>
          <w:lang w:val="fr-FR"/>
        </w:rPr>
        <w:t xml:space="preserve"> Mise à disposition pour consultation</w:t>
      </w:r>
    </w:p>
    <w:p w14:paraId="0F0254C5" w14:textId="4BE34E35" w:rsidR="001077E2" w:rsidRPr="00F16887" w:rsidRDefault="001077E2" w:rsidP="00F16887">
      <w:pPr>
        <w:pStyle w:val="RuleQuote"/>
      </w:pPr>
      <w:r w:rsidRPr="00F16887">
        <w:t>Règles 36.1.ii) et 63.1.ii)</w:t>
      </w:r>
      <w:r w:rsidR="00F16887">
        <w:t> :</w:t>
      </w:r>
      <w:r w:rsidRPr="00F16887">
        <w:t xml:space="preserve"> Cet office ou cette organisation doit mettre à disposition pour consultation, dans le cadre de la documentation minimale visée à la règle 34, conformément aux exigences spécifiées dans les instructions administratives, tout brevet délivré et toute demande de brevet publiée par lui ou par elle et, le cas échéant, par son ou ses prédécesseurs en droit.</w:t>
      </w:r>
    </w:p>
    <w:p w14:paraId="677AB925" w14:textId="3CFD30B2" w:rsidR="001077E2" w:rsidRPr="00F16887" w:rsidRDefault="001077E2" w:rsidP="00F16887">
      <w:pPr>
        <w:pStyle w:val="RuleQuote"/>
        <w:rPr>
          <w:szCs w:val="24"/>
        </w:rPr>
      </w:pPr>
      <w:r w:rsidRPr="00F16887">
        <w:t xml:space="preserve">Les exigences prévues dans les instructions administratives sont précisées dans la circulaire </w:t>
      </w:r>
      <w:hyperlink r:id="rId11" w:history="1">
        <w:r w:rsidRPr="00F16887">
          <w:rPr>
            <w:rStyle w:val="Hyperlink"/>
          </w:rPr>
          <w:t>C. PCT 1672</w:t>
        </w:r>
      </w:hyperlink>
      <w:r w:rsidRPr="00F16887">
        <w:t xml:space="preserve"> datée du 19 juin 2024.</w:t>
      </w:r>
    </w:p>
    <w:p w14:paraId="6A1DA764" w14:textId="2199714A" w:rsidR="001077E2" w:rsidRPr="00F16887" w:rsidRDefault="001077E2" w:rsidP="00F16887">
      <w:pPr>
        <w:pStyle w:val="Question"/>
        <w:spacing w:after="0"/>
        <w:jc w:val="both"/>
        <w:rPr>
          <w:b w:val="0"/>
        </w:rPr>
      </w:pPr>
      <w:r w:rsidRPr="00F16887">
        <w:rPr>
          <w:b w:val="0"/>
        </w:rPr>
        <w:t>La mise à disposition pour consultation, dans le cadre de la documentation minimale visée à la règle 34, des brevets délivrés et des demandes de brevet publiées par l</w:t>
      </w:r>
      <w:r w:rsidR="00F16887">
        <w:rPr>
          <w:b w:val="0"/>
        </w:rPr>
        <w:t>’</w:t>
      </w:r>
      <w:r w:rsidRPr="00F16887">
        <w:rPr>
          <w:b w:val="0"/>
        </w:rPr>
        <w:t>office ou, le cas échéant, par les offices qui forment l</w:t>
      </w:r>
      <w:r w:rsidR="00F16887">
        <w:rPr>
          <w:b w:val="0"/>
        </w:rPr>
        <w:t>’</w:t>
      </w:r>
      <w:r w:rsidRPr="00F16887">
        <w:rPr>
          <w:b w:val="0"/>
        </w:rPr>
        <w:t>organisation intergouvernementale, conformément à l</w:t>
      </w:r>
      <w:r w:rsidR="00F16887">
        <w:rPr>
          <w:b w:val="0"/>
        </w:rPr>
        <w:t>’</w:t>
      </w:r>
      <w:r w:rsidRPr="00F16887">
        <w:rPr>
          <w:b w:val="0"/>
        </w:rPr>
        <w:t>accord de principe adopté par l</w:t>
      </w:r>
      <w:r w:rsidR="00F16887">
        <w:rPr>
          <w:b w:val="0"/>
        </w:rPr>
        <w:t>’</w:t>
      </w:r>
      <w:r w:rsidRPr="00F16887">
        <w:rPr>
          <w:b w:val="0"/>
        </w:rPr>
        <w:t>Assemblée de l</w:t>
      </w:r>
      <w:r w:rsidR="00F16887">
        <w:rPr>
          <w:b w:val="0"/>
        </w:rPr>
        <w:t>’</w:t>
      </w:r>
      <w:r w:rsidRPr="00F16887">
        <w:rPr>
          <w:b w:val="0"/>
        </w:rPr>
        <w:t xml:space="preserve">Union du PCT figurant au paragraphe 8 du </w:t>
      </w:r>
      <w:r w:rsidR="00F16887" w:rsidRPr="00F16887">
        <w:rPr>
          <w:b w:val="0"/>
        </w:rPr>
        <w:t>document</w:t>
      </w:r>
      <w:r w:rsidR="00C95B35">
        <w:rPr>
          <w:b w:val="0"/>
        </w:rPr>
        <w:t> </w:t>
      </w:r>
      <w:r w:rsidR="00F16887" w:rsidRPr="00F16887">
        <w:rPr>
          <w:b w:val="0"/>
        </w:rPr>
        <w:t>PC</w:t>
      </w:r>
      <w:r w:rsidRPr="00F16887">
        <w:rPr>
          <w:b w:val="0"/>
        </w:rPr>
        <w:t>T/A/55/2, est notifiée comme suit</w:t>
      </w:r>
      <w:r w:rsidR="00F16887">
        <w:rPr>
          <w:b w:val="0"/>
        </w:rPr>
        <w:t> :</w:t>
      </w:r>
      <w:bookmarkStart w:id="6" w:name="_Hlk203740750"/>
    </w:p>
    <w:p w14:paraId="0EAB9733" w14:textId="77777777" w:rsidR="001077E2" w:rsidRPr="00F16887" w:rsidRDefault="001077E2" w:rsidP="00F16887">
      <w:pPr>
        <w:pStyle w:val="Answer"/>
        <w:ind w:left="0"/>
      </w:pPr>
    </w:p>
    <w:p w14:paraId="3F2532A5" w14:textId="17D74D77" w:rsidR="00F16887" w:rsidRDefault="00000000" w:rsidP="00F16887">
      <w:pPr>
        <w:pStyle w:val="Question"/>
        <w:keepNext w:val="0"/>
        <w:spacing w:after="0"/>
        <w:jc w:val="both"/>
        <w:rPr>
          <w:b w:val="0"/>
        </w:rPr>
      </w:pPr>
      <w:sdt>
        <w:sdtPr>
          <w:rPr>
            <w:b w:val="0"/>
            <w:bCs w:val="0"/>
          </w:rPr>
          <w:id w:val="-1361976290"/>
          <w14:checkbox>
            <w14:checked w14:val="0"/>
            <w14:checkedState w14:val="2612" w14:font="MS Gothic"/>
            <w14:uncheckedState w14:val="2610" w14:font="MS Gothic"/>
          </w14:checkbox>
        </w:sdtPr>
        <w:sdtContent>
          <w:r w:rsidR="001077E2" w:rsidRPr="00F16887">
            <w:rPr>
              <w:rFonts w:ascii="MS Gothic" w:eastAsia="MS Gothic" w:hAnsi="MS Gothic"/>
              <w:b w:val="0"/>
              <w:bCs w:val="0"/>
            </w:rPr>
            <w:t xml:space="preserve">☐ </w:t>
          </w:r>
        </w:sdtContent>
      </w:sdt>
      <w:r w:rsidR="001077E2" w:rsidRPr="00F16887">
        <w:rPr>
          <w:b w:val="0"/>
          <w:bCs w:val="0"/>
        </w:rPr>
        <w:t>L</w:t>
      </w:r>
      <w:r w:rsidR="00F16887">
        <w:rPr>
          <w:b w:val="0"/>
          <w:bCs w:val="0"/>
        </w:rPr>
        <w:t>’</w:t>
      </w:r>
      <w:r w:rsidR="001077E2" w:rsidRPr="00F16887">
        <w:rPr>
          <w:b w:val="0"/>
          <w:bCs w:val="0"/>
        </w:rPr>
        <w:t>office a notifié le Bureau international conformément à la règle 31.4.d.i) que ses documents de brevet et, le cas échéant, les documents relatifs aux modèles d</w:t>
      </w:r>
      <w:r w:rsidR="00F16887">
        <w:rPr>
          <w:b w:val="0"/>
          <w:bCs w:val="0"/>
        </w:rPr>
        <w:t>’</w:t>
      </w:r>
      <w:r w:rsidR="001077E2" w:rsidRPr="00F16887">
        <w:rPr>
          <w:b w:val="0"/>
          <w:bCs w:val="0"/>
        </w:rPr>
        <w:t>utilité sont disponibles pour les administrations chargées de la recherche internationale à compter du [DATE].</w:t>
      </w:r>
      <w:r w:rsidR="001077E2" w:rsidRPr="00F16887">
        <w:rPr>
          <w:b w:val="0"/>
        </w:rPr>
        <w:t xml:space="preserve"> </w:t>
      </w:r>
      <w:r w:rsidR="00B22F9C">
        <w:rPr>
          <w:b w:val="0"/>
          <w:bCs w:val="0"/>
        </w:rPr>
        <w:t xml:space="preserve"> </w:t>
      </w:r>
      <w:r w:rsidR="001077E2" w:rsidRPr="00F16887">
        <w:rPr>
          <w:b w:val="0"/>
        </w:rPr>
        <w:t>Le dossier de référence le plus récent, détaillant la portée des documents de brevet disponibles et, le cas échéant, des documents relatifs aux modèles d</w:t>
      </w:r>
      <w:r w:rsidR="00F16887">
        <w:rPr>
          <w:b w:val="0"/>
        </w:rPr>
        <w:t>’</w:t>
      </w:r>
      <w:r w:rsidR="001077E2" w:rsidRPr="00F16887">
        <w:rPr>
          <w:b w:val="0"/>
        </w:rPr>
        <w:t>utilité, a été soumis au Bureau international le [DATE] et peut être consulté à l</w:t>
      </w:r>
      <w:r w:rsidR="00F16887">
        <w:rPr>
          <w:b w:val="0"/>
        </w:rPr>
        <w:t>’</w:t>
      </w:r>
      <w:r w:rsidR="001077E2" w:rsidRPr="00F16887">
        <w:rPr>
          <w:b w:val="0"/>
        </w:rPr>
        <w:t>adresse suivante</w:t>
      </w:r>
      <w:r w:rsidR="00F16887">
        <w:rPr>
          <w:b w:val="0"/>
        </w:rPr>
        <w:t> :</w:t>
      </w:r>
      <w:r w:rsidR="001077E2" w:rsidRPr="00F16887">
        <w:rPr>
          <w:b w:val="0"/>
        </w:rPr>
        <w:t xml:space="preserve"> [LIEN].</w:t>
      </w:r>
    </w:p>
    <w:p w14:paraId="53CC527D" w14:textId="003CFF92" w:rsidR="001077E2" w:rsidRPr="00F16887" w:rsidRDefault="001077E2" w:rsidP="00F16887">
      <w:pPr>
        <w:pStyle w:val="Answer"/>
        <w:spacing w:after="0"/>
        <w:ind w:left="0"/>
        <w:jc w:val="both"/>
      </w:pPr>
    </w:p>
    <w:p w14:paraId="6085750D" w14:textId="1882118C" w:rsidR="001077E2" w:rsidRPr="00F16887" w:rsidRDefault="001077E2" w:rsidP="00F16887">
      <w:pPr>
        <w:pStyle w:val="Answer"/>
        <w:spacing w:after="0"/>
        <w:ind w:left="0"/>
        <w:jc w:val="both"/>
      </w:pPr>
      <w:r w:rsidRPr="00F16887">
        <w:t>Soit</w:t>
      </w:r>
      <w:r w:rsidR="00F16887">
        <w:t> :</w:t>
      </w:r>
    </w:p>
    <w:p w14:paraId="7AE86649" w14:textId="77777777" w:rsidR="001077E2" w:rsidRPr="00F16887" w:rsidRDefault="001077E2" w:rsidP="00F16887">
      <w:pPr>
        <w:pStyle w:val="Answer"/>
        <w:spacing w:after="0"/>
        <w:ind w:left="0"/>
        <w:jc w:val="both"/>
      </w:pPr>
    </w:p>
    <w:p w14:paraId="63A4C301" w14:textId="67E31E05" w:rsidR="00F16887" w:rsidRDefault="00000000" w:rsidP="00F16887">
      <w:pPr>
        <w:pStyle w:val="Answer"/>
        <w:spacing w:after="0"/>
        <w:ind w:left="0"/>
        <w:jc w:val="both"/>
      </w:pPr>
      <w:sdt>
        <w:sdtPr>
          <w:id w:val="-114837606"/>
          <w14:checkbox>
            <w14:checked w14:val="1"/>
            <w14:checkedState w14:val="2612" w14:font="MS Gothic"/>
            <w14:uncheckedState w14:val="2610" w14:font="MS Gothic"/>
          </w14:checkbox>
        </w:sdtPr>
        <w:sdtContent>
          <w:r w:rsidR="001077E2" w:rsidRPr="00F16887">
            <w:rPr>
              <w:rFonts w:ascii="MS Gothic" w:eastAsia="MS Gothic" w:hAnsi="MS Gothic"/>
            </w:rPr>
            <w:t xml:space="preserve">☒ </w:t>
          </w:r>
        </w:sdtContent>
      </w:sdt>
      <w:r w:rsidR="001077E2" w:rsidRPr="00F16887">
        <w:t>L</w:t>
      </w:r>
      <w:r w:rsidR="00F16887">
        <w:t>’</w:t>
      </w:r>
      <w:r w:rsidR="001077E2" w:rsidRPr="00F16887">
        <w:t>office fait part de la disponibilité de sa collection de brevets et, le cas échéant, des documents relatifs aux modèles d</w:t>
      </w:r>
      <w:r w:rsidR="00F16887">
        <w:t>’</w:t>
      </w:r>
      <w:r w:rsidR="001077E2" w:rsidRPr="00F16887">
        <w:t>utilité, comme indiqué ci</w:t>
      </w:r>
      <w:r w:rsidR="00C95B35">
        <w:noBreakHyphen/>
      </w:r>
      <w:r w:rsidR="001077E2" w:rsidRPr="00F16887">
        <w:t xml:space="preserve">après, et indique notamment un calendrier pour les tests et la date à laquelle la disponibilité peut être certifiée et notifiée au Bureau international, conformément à la règle 34.1.d.i). </w:t>
      </w:r>
      <w:r w:rsidR="00B22F9C">
        <w:t xml:space="preserve"> </w:t>
      </w:r>
      <w:r w:rsidR="001077E2" w:rsidRPr="00F16887">
        <w:t>Veuillez également fournir des informations détaillées sur la couverture de votre fichier de référence, comme l</w:t>
      </w:r>
      <w:r w:rsidR="00F16887">
        <w:t>’</w:t>
      </w:r>
      <w:r w:rsidR="001077E2" w:rsidRPr="00F16887">
        <w:t>exigent les paragraphes 7 à 13 de l</w:t>
      </w:r>
      <w:r w:rsidR="00F16887">
        <w:t>’</w:t>
      </w:r>
      <w:r w:rsidR="001077E2" w:rsidRPr="00F16887">
        <w:t xml:space="preserve">annexe H des instructions administratives, </w:t>
      </w:r>
      <w:r w:rsidR="00F16887">
        <w:t>y compris</w:t>
      </w:r>
      <w:r w:rsidR="001077E2" w:rsidRPr="00F16887">
        <w:t xml:space="preserve"> les liens pertinents.</w:t>
      </w:r>
    </w:p>
    <w:p w14:paraId="2CB142DB" w14:textId="1114BD09" w:rsidR="001077E2" w:rsidRPr="00F16887" w:rsidRDefault="001077E2" w:rsidP="00F16887">
      <w:pPr>
        <w:pStyle w:val="Answer"/>
        <w:spacing w:after="0"/>
        <w:ind w:left="0"/>
      </w:pPr>
    </w:p>
    <w:tbl>
      <w:tblPr>
        <w:tblStyle w:val="TableGrid"/>
        <w:tblW w:w="0" w:type="auto"/>
        <w:tblLook w:val="04A0" w:firstRow="1" w:lastRow="0" w:firstColumn="1" w:lastColumn="0" w:noHBand="0" w:noVBand="1"/>
        <w:tblCaption w:val="Documents relatifs aux brevets et aux modèles d’utilité mis à disposition par l’IMPI"/>
        <w:tblDescription w:val="Ce tableau présente les types de documents relatifs aux brevets et aux modèles d’utilité mis à disposition par l’IMPI, ainsi que leur date de publication, leur format et leur disponibilité."/>
      </w:tblPr>
      <w:tblGrid>
        <w:gridCol w:w="2328"/>
        <w:gridCol w:w="1318"/>
        <w:gridCol w:w="1318"/>
        <w:gridCol w:w="2386"/>
        <w:gridCol w:w="1921"/>
      </w:tblGrid>
      <w:tr w:rsidR="001077E2" w:rsidRPr="00F16887" w14:paraId="3922E2D8" w14:textId="77777777" w:rsidTr="00D113DB">
        <w:tc>
          <w:tcPr>
            <w:tcW w:w="2328" w:type="dxa"/>
            <w:vMerge w:val="restart"/>
          </w:tcPr>
          <w:p w14:paraId="275EA254" w14:textId="77777777" w:rsidR="001077E2" w:rsidRPr="00F16887" w:rsidRDefault="001077E2" w:rsidP="00F16887">
            <w:pPr>
              <w:rPr>
                <w:b/>
                <w:bCs/>
              </w:rPr>
            </w:pPr>
            <w:r w:rsidRPr="00F16887">
              <w:rPr>
                <w:b/>
              </w:rPr>
              <w:t xml:space="preserve">Type de document </w:t>
            </w:r>
          </w:p>
        </w:tc>
        <w:tc>
          <w:tcPr>
            <w:tcW w:w="2381" w:type="dxa"/>
            <w:gridSpan w:val="2"/>
          </w:tcPr>
          <w:p w14:paraId="74863107" w14:textId="77777777" w:rsidR="001077E2" w:rsidRPr="00F16887" w:rsidRDefault="001077E2" w:rsidP="00F16887">
            <w:pPr>
              <w:rPr>
                <w:b/>
                <w:bCs/>
              </w:rPr>
            </w:pPr>
            <w:r w:rsidRPr="00F16887">
              <w:rPr>
                <w:b/>
              </w:rPr>
              <w:t>Dates de publication</w:t>
            </w:r>
          </w:p>
        </w:tc>
        <w:tc>
          <w:tcPr>
            <w:tcW w:w="2386" w:type="dxa"/>
            <w:vMerge w:val="restart"/>
          </w:tcPr>
          <w:p w14:paraId="5B13C271" w14:textId="77777777" w:rsidR="001077E2" w:rsidRPr="00F16887" w:rsidRDefault="001077E2" w:rsidP="00F16887">
            <w:pPr>
              <w:rPr>
                <w:b/>
                <w:bCs/>
              </w:rPr>
            </w:pPr>
            <w:r w:rsidRPr="00F16887">
              <w:rPr>
                <w:b/>
              </w:rPr>
              <w:t>Format des documents</w:t>
            </w:r>
          </w:p>
        </w:tc>
        <w:tc>
          <w:tcPr>
            <w:tcW w:w="1921" w:type="dxa"/>
            <w:vMerge w:val="restart"/>
          </w:tcPr>
          <w:p w14:paraId="20174E48" w14:textId="77777777" w:rsidR="001077E2" w:rsidRPr="00F16887" w:rsidRDefault="001077E2" w:rsidP="00F16887">
            <w:pPr>
              <w:rPr>
                <w:b/>
                <w:bCs/>
              </w:rPr>
            </w:pPr>
            <w:r w:rsidRPr="00F16887">
              <w:rPr>
                <w:b/>
              </w:rPr>
              <w:t>Disponibilité et source des documents</w:t>
            </w:r>
          </w:p>
        </w:tc>
      </w:tr>
      <w:tr w:rsidR="001077E2" w:rsidRPr="00F16887" w14:paraId="30CBB27F" w14:textId="77777777" w:rsidTr="00D113DB">
        <w:tc>
          <w:tcPr>
            <w:tcW w:w="2328" w:type="dxa"/>
            <w:vMerge/>
          </w:tcPr>
          <w:p w14:paraId="0A654546" w14:textId="77777777" w:rsidR="001077E2" w:rsidRPr="00F16887" w:rsidRDefault="001077E2" w:rsidP="00F16887"/>
        </w:tc>
        <w:tc>
          <w:tcPr>
            <w:tcW w:w="1190" w:type="dxa"/>
          </w:tcPr>
          <w:p w14:paraId="6A1F48DF" w14:textId="77777777" w:rsidR="001077E2" w:rsidRPr="00F16887" w:rsidRDefault="001077E2" w:rsidP="00F16887">
            <w:r w:rsidRPr="00F16887">
              <w:t>De</w:t>
            </w:r>
          </w:p>
        </w:tc>
        <w:tc>
          <w:tcPr>
            <w:tcW w:w="1191" w:type="dxa"/>
          </w:tcPr>
          <w:p w14:paraId="4D3B86ED" w14:textId="77777777" w:rsidR="001077E2" w:rsidRPr="00F16887" w:rsidRDefault="001077E2" w:rsidP="00F16887">
            <w:r w:rsidRPr="00F16887">
              <w:t>À</w:t>
            </w:r>
          </w:p>
        </w:tc>
        <w:tc>
          <w:tcPr>
            <w:tcW w:w="2386" w:type="dxa"/>
            <w:vMerge/>
          </w:tcPr>
          <w:p w14:paraId="7FB40BDC" w14:textId="77777777" w:rsidR="001077E2" w:rsidRPr="00F16887" w:rsidRDefault="001077E2" w:rsidP="00F16887"/>
        </w:tc>
        <w:tc>
          <w:tcPr>
            <w:tcW w:w="1921" w:type="dxa"/>
            <w:vMerge/>
          </w:tcPr>
          <w:p w14:paraId="3937E7FD" w14:textId="77777777" w:rsidR="001077E2" w:rsidRPr="00F16887" w:rsidRDefault="001077E2" w:rsidP="00F16887"/>
        </w:tc>
      </w:tr>
      <w:tr w:rsidR="001077E2" w:rsidRPr="00F16887" w14:paraId="4180A0B8" w14:textId="77777777" w:rsidTr="00D113DB">
        <w:sdt>
          <w:sdtPr>
            <w:id w:val="1122731860"/>
            <w15:repeatingSection/>
          </w:sdtPr>
          <w:sdtContent>
            <w:sdt>
              <w:sdtPr>
                <w:id w:val="107940690"/>
                <w:placeholder>
                  <w:docPart w:val="D4F7463403AD464D9C3E940326AF7340"/>
                </w:placeholder>
                <w15:repeatingSectionItem/>
              </w:sdtPr>
              <w:sdtContent>
                <w:sdt>
                  <w:sdtPr>
                    <w:id w:val="-1714571499"/>
                    <w:placeholder>
                      <w:docPart w:val="769F8F327D2146BBB6753A20CFF53588"/>
                    </w:placeholder>
                  </w:sdtPr>
                  <w:sdtContent>
                    <w:sdt>
                      <w:sdtPr>
                        <w:alias w:val="Sélectionnez un type de document"/>
                        <w:tag w:val="Choose type of document"/>
                        <w:id w:val="-77055617"/>
                        <w:placeholder>
                          <w:docPart w:val="EEDFCEEFE931405C802ACBC34FFA91D4"/>
                        </w:placeholder>
                        <w:dropDownList>
                          <w:listItem w:value="Choose an item."/>
                          <w:listItem w:displayText="Brevet national ou régional publié" w:value="Published national or regional patent"/>
                          <w:listItem w:displayText="Demande de brevet national ou régional publiée" w:value="Published application for national or regional patent"/>
                          <w:listItem w:displayText="Modèle d’utilité délivré" w:value="Utiliy model issued"/>
                          <w:listItem w:displayText="Demande de modèle d’utilité" w:value="Utility model application"/>
                        </w:dropDownList>
                      </w:sdtPr>
                      <w:sdtContent>
                        <w:tc>
                          <w:tcPr>
                            <w:tcW w:w="2328" w:type="dxa"/>
                          </w:tcPr>
                          <w:p w14:paraId="118B86F5" w14:textId="77777777" w:rsidR="001077E2" w:rsidRPr="00F16887" w:rsidRDefault="00C95B35" w:rsidP="00F16887">
                            <w:r>
                              <w:t>Demande de brevet national ou régional publiée</w:t>
                            </w:r>
                          </w:p>
                        </w:tc>
                      </w:sdtContent>
                    </w:sdt>
                  </w:sdtContent>
                </w:sdt>
              </w:sdtContent>
            </w:sdt>
          </w:sdtContent>
        </w:sdt>
        <w:sdt>
          <w:sdtPr>
            <w:id w:val="454303598"/>
            <w:placeholder>
              <w:docPart w:val="27CCB44F02FA417588D5E29FAC56BBF7"/>
            </w:placeholder>
            <w:date w:fullDate="2001-01-01T00:00:00Z">
              <w:dateFormat w:val="dd/MM/yyyy"/>
              <w:lid w:val="fr-FR"/>
              <w:storeMappedDataAs w:val="dateTime"/>
              <w:calendar w:val="gregorian"/>
            </w:date>
          </w:sdtPr>
          <w:sdtContent>
            <w:tc>
              <w:tcPr>
                <w:tcW w:w="1190" w:type="dxa"/>
              </w:tcPr>
              <w:p w14:paraId="30C53029" w14:textId="77777777" w:rsidR="001077E2" w:rsidRPr="00F16887" w:rsidRDefault="00C95B35" w:rsidP="00F16887">
                <w:r>
                  <w:t>01/01/2001</w:t>
                </w:r>
              </w:p>
            </w:tc>
          </w:sdtContent>
        </w:sdt>
        <w:sdt>
          <w:sdtPr>
            <w:id w:val="190972536"/>
            <w:placeholder>
              <w:docPart w:val="27CCB44F02FA417588D5E29FAC56BBF7"/>
            </w:placeholder>
            <w:date w:fullDate="2025-01-09T00:00:00Z">
              <w:dateFormat w:val="dd/MM/yyyy"/>
              <w:lid w:val="fr-FR"/>
              <w:storeMappedDataAs w:val="dateTime"/>
              <w:calendar w:val="gregorian"/>
            </w:date>
          </w:sdtPr>
          <w:sdtContent>
            <w:tc>
              <w:tcPr>
                <w:tcW w:w="1191" w:type="dxa"/>
              </w:tcPr>
              <w:p w14:paraId="17D54F7E" w14:textId="77777777" w:rsidR="001077E2" w:rsidRPr="00F16887" w:rsidRDefault="00C95B35" w:rsidP="00F16887">
                <w:r>
                  <w:t>09/01/2025</w:t>
                </w:r>
              </w:p>
            </w:tc>
          </w:sdtContent>
        </w:sdt>
        <w:sdt>
          <w:sdtPr>
            <w:alias w:val="Format du document"/>
            <w:tag w:val="Format of document"/>
            <w:id w:val="1747388884"/>
            <w:placeholder>
              <w:docPart w:val="EEDFCEEFE931405C802ACBC34FFA91D4"/>
            </w:placeholder>
            <w:dropDownList>
              <w:listItem w:value="Choose an item."/>
              <w:listItem w:displayText="Texte intégral (ST.36)" w:value="Full text (ST.36)"/>
              <w:listItem w:displayText="Texte intégral (ST.96)" w:value="Full text (ST.96)"/>
              <w:listItem w:displayText="Texte intégral (texte brut)" w:value="Full text (plain text)"/>
              <w:listItem w:displayText="PDF (texte)" w:value="PDF (text-based)"/>
              <w:listItem w:displayText="PDF (image)" w:value="PDF (image-based)"/>
              <w:listItem w:displayText="Autres textes en ligne" w:value="Other online text-based"/>
              <w:listItem w:displayText="Autres images en ligne" w:value="Other online image-based"/>
              <w:listItem w:displayText="Papier" w:value="Paper"/>
            </w:dropDownList>
          </w:sdtPr>
          <w:sdtContent>
            <w:tc>
              <w:tcPr>
                <w:tcW w:w="2386" w:type="dxa"/>
              </w:tcPr>
              <w:p w14:paraId="6D5749E5" w14:textId="77777777" w:rsidR="001077E2" w:rsidRPr="00F16887" w:rsidRDefault="00C95B35" w:rsidP="00F16887">
                <w:r>
                  <w:t>PDF (texte)</w:t>
                </w:r>
              </w:p>
            </w:tc>
          </w:sdtContent>
        </w:sdt>
        <w:sdt>
          <w:sdtPr>
            <w:alias w:val="Source du document"/>
            <w:tag w:val="Source of Document"/>
            <w:id w:val="1369801819"/>
            <w:placeholder>
              <w:docPart w:val="EEDFCEEFE931405C802ACBC34FFA91D4"/>
            </w:placeholder>
            <w:dropDownList>
              <w:listItem w:value="Choose an item."/>
              <w:listItem w:displayText="Référentiel en ligne hébergé par cet office" w:value="Online repository hosted by this Office"/>
              <w:listItem w:displayText="Référentiel en ligne hébergé par un autre office" w:value="Online repository hosted by another Office"/>
              <w:listItem w:displayText="Collections disponibles sur demande" w:value="Collections available on request"/>
              <w:listItem w:displayText="Sans objet" w:value="Not available"/>
            </w:dropDownList>
          </w:sdtPr>
          <w:sdtContent>
            <w:tc>
              <w:tcPr>
                <w:tcW w:w="1921" w:type="dxa"/>
              </w:tcPr>
              <w:p w14:paraId="48BACE14" w14:textId="77777777" w:rsidR="001077E2" w:rsidRPr="00F16887" w:rsidRDefault="00C95B35" w:rsidP="00F16887">
                <w:r>
                  <w:t>Référentiel en ligne hébergé par cet office</w:t>
                </w:r>
              </w:p>
            </w:tc>
          </w:sdtContent>
        </w:sdt>
      </w:tr>
      <w:tr w:rsidR="001077E2" w:rsidRPr="00F16887" w14:paraId="506D446E" w14:textId="77777777" w:rsidTr="00D113DB">
        <w:sdt>
          <w:sdtPr>
            <w:id w:val="-102581519"/>
            <w15:repeatingSection/>
          </w:sdtPr>
          <w:sdtContent>
            <w:sdt>
              <w:sdtPr>
                <w:id w:val="-2003809980"/>
                <w:placeholder>
                  <w:docPart w:val="522095FD88A7423C9C3F9DFE649F99EA"/>
                </w:placeholder>
                <w15:repeatingSectionItem/>
              </w:sdtPr>
              <w:sdtContent>
                <w:sdt>
                  <w:sdtPr>
                    <w:id w:val="201682153"/>
                    <w:placeholder>
                      <w:docPart w:val="23DF07EFB03844F9BE8C2AA3E4E29462"/>
                    </w:placeholder>
                  </w:sdtPr>
                  <w:sdtContent>
                    <w:sdt>
                      <w:sdtPr>
                        <w:alias w:val="Sélectionnez un type de document"/>
                        <w:tag w:val="Choose type of document"/>
                        <w:id w:val="-2109643822"/>
                        <w:placeholder>
                          <w:docPart w:val="77B204A6BFB84123A67938D37F76D097"/>
                        </w:placeholder>
                        <w:dropDownList>
                          <w:listItem w:value="Choose an item."/>
                          <w:listItem w:displayText="Brevet national ou régional publié" w:value="Published national or regional patent"/>
                          <w:listItem w:displayText="Demande de brevet national ou régional publiée" w:value="Published application for national or regional patent"/>
                          <w:listItem w:displayText="Modèle d’utilité délivré" w:value="Utiliy model issued"/>
                          <w:listItem w:displayText="Demande de modèle d’utilité" w:value="Utility model application"/>
                        </w:dropDownList>
                      </w:sdtPr>
                      <w:sdtContent>
                        <w:tc>
                          <w:tcPr>
                            <w:tcW w:w="2328" w:type="dxa"/>
                          </w:tcPr>
                          <w:p w14:paraId="7EA2894F" w14:textId="77777777" w:rsidR="001077E2" w:rsidRPr="00F16887" w:rsidRDefault="00C95B35" w:rsidP="00F16887">
                            <w:r>
                              <w:t>Brevet national ou régional publié</w:t>
                            </w:r>
                          </w:p>
                        </w:tc>
                      </w:sdtContent>
                    </w:sdt>
                  </w:sdtContent>
                </w:sdt>
              </w:sdtContent>
            </w:sdt>
          </w:sdtContent>
        </w:sdt>
        <w:sdt>
          <w:sdtPr>
            <w:id w:val="84121010"/>
            <w:placeholder>
              <w:docPart w:val="8E0F36620DC24B2598BA5C0C41630566"/>
            </w:placeholder>
            <w:date w:fullDate="2001-01-01T00:00:00Z">
              <w:dateFormat w:val="dd/MM/yyyy"/>
              <w:lid w:val="fr-FR"/>
              <w:storeMappedDataAs w:val="dateTime"/>
              <w:calendar w:val="gregorian"/>
            </w:date>
          </w:sdtPr>
          <w:sdtContent>
            <w:tc>
              <w:tcPr>
                <w:tcW w:w="1190" w:type="dxa"/>
              </w:tcPr>
              <w:p w14:paraId="3C7A8D11" w14:textId="77777777" w:rsidR="001077E2" w:rsidRPr="00F16887" w:rsidRDefault="00C95B35" w:rsidP="00F16887">
                <w:r>
                  <w:t>01/01/2001</w:t>
                </w:r>
              </w:p>
            </w:tc>
          </w:sdtContent>
        </w:sdt>
        <w:sdt>
          <w:sdtPr>
            <w:id w:val="512342149"/>
            <w:placeholder>
              <w:docPart w:val="8E0F36620DC24B2598BA5C0C41630566"/>
            </w:placeholder>
            <w:date w:fullDate="2025-01-09T00:00:00Z">
              <w:dateFormat w:val="dd/MM/yyyy"/>
              <w:lid w:val="fr-FR"/>
              <w:storeMappedDataAs w:val="dateTime"/>
              <w:calendar w:val="gregorian"/>
            </w:date>
          </w:sdtPr>
          <w:sdtContent>
            <w:tc>
              <w:tcPr>
                <w:tcW w:w="1191" w:type="dxa"/>
              </w:tcPr>
              <w:p w14:paraId="44829845" w14:textId="77777777" w:rsidR="001077E2" w:rsidRPr="00F16887" w:rsidRDefault="00C95B35" w:rsidP="00F16887">
                <w:r>
                  <w:t>09/01/2025</w:t>
                </w:r>
              </w:p>
            </w:tc>
          </w:sdtContent>
        </w:sdt>
        <w:sdt>
          <w:sdtPr>
            <w:alias w:val="Format du document"/>
            <w:tag w:val="Format of document"/>
            <w:id w:val="410118839"/>
            <w:placeholder>
              <w:docPart w:val="77B204A6BFB84123A67938D37F76D097"/>
            </w:placeholder>
            <w:dropDownList>
              <w:listItem w:value="Choose an item."/>
              <w:listItem w:displayText="Texte intégral (ST.36)" w:value="Full text (ST.36)"/>
              <w:listItem w:displayText="Texte intégral (ST.96)" w:value="Full text (ST.96)"/>
              <w:listItem w:displayText="Texte intégral (texte brut)" w:value="Full text (plain text)"/>
              <w:listItem w:displayText="PDF (texte)" w:value="PDF (text-based)"/>
              <w:listItem w:displayText="PDF (image)" w:value="PDF (image-based)"/>
              <w:listItem w:displayText="Autres textes en ligne" w:value="Other online text-based"/>
              <w:listItem w:displayText="Autres images en ligne" w:value="Other online image-based"/>
              <w:listItem w:displayText="Papier" w:value="Paper"/>
            </w:dropDownList>
          </w:sdtPr>
          <w:sdtContent>
            <w:tc>
              <w:tcPr>
                <w:tcW w:w="2386" w:type="dxa"/>
              </w:tcPr>
              <w:p w14:paraId="611879C3" w14:textId="77777777" w:rsidR="001077E2" w:rsidRPr="00F16887" w:rsidRDefault="00C95B35" w:rsidP="00F16887">
                <w:r>
                  <w:t>PDF (texte)</w:t>
                </w:r>
              </w:p>
            </w:tc>
          </w:sdtContent>
        </w:sdt>
        <w:sdt>
          <w:sdtPr>
            <w:alias w:val="Source du document"/>
            <w:tag w:val="Source of Document"/>
            <w:id w:val="-520159080"/>
            <w:placeholder>
              <w:docPart w:val="77B204A6BFB84123A67938D37F76D097"/>
            </w:placeholder>
            <w:dropDownList>
              <w:listItem w:value="Choose an item."/>
              <w:listItem w:displayText="Référentiel en ligne hébergé par cet office" w:value="Online repository hosted by this Office"/>
              <w:listItem w:displayText="Référentiel en ligne hébergé par un autre office" w:value="Online repository hosted by another Office"/>
              <w:listItem w:displayText="Collections disponibles sur demande" w:value="Collections available on request"/>
              <w:listItem w:displayText="Sans objet" w:value="Not available"/>
            </w:dropDownList>
          </w:sdtPr>
          <w:sdtContent>
            <w:tc>
              <w:tcPr>
                <w:tcW w:w="1921" w:type="dxa"/>
              </w:tcPr>
              <w:p w14:paraId="030420DC" w14:textId="77777777" w:rsidR="001077E2" w:rsidRPr="00F16887" w:rsidRDefault="00C95B35" w:rsidP="00F16887">
                <w:r>
                  <w:t>Référentiel en ligne hébergé par cet office</w:t>
                </w:r>
              </w:p>
            </w:tc>
          </w:sdtContent>
        </w:sdt>
      </w:tr>
      <w:tr w:rsidR="001077E2" w:rsidRPr="00F16887" w14:paraId="0418BD21" w14:textId="77777777" w:rsidTr="00D113DB">
        <w:sdt>
          <w:sdtPr>
            <w:id w:val="211932932"/>
            <w15:repeatingSection/>
          </w:sdtPr>
          <w:sdtContent>
            <w:sdt>
              <w:sdtPr>
                <w:id w:val="548421500"/>
                <w:placeholder>
                  <w:docPart w:val="408350E5FE7C4FBA9CDD1414F1B249BA"/>
                </w:placeholder>
                <w15:repeatingSectionItem/>
              </w:sdtPr>
              <w:sdtContent>
                <w:sdt>
                  <w:sdtPr>
                    <w:id w:val="-1128851123"/>
                    <w:placeholder>
                      <w:docPart w:val="79F9E73F495647EEBFEE77A258B4DDDC"/>
                    </w:placeholder>
                  </w:sdtPr>
                  <w:sdtContent>
                    <w:sdt>
                      <w:sdtPr>
                        <w:alias w:val="Sélectionnez un type de document"/>
                        <w:tag w:val="Choose type of document"/>
                        <w:id w:val="-516073415"/>
                        <w:placeholder>
                          <w:docPart w:val="05296A22404448858415A8D8F7F7B2D8"/>
                        </w:placeholder>
                        <w:dropDownList>
                          <w:listItem w:value="Choose an item."/>
                          <w:listItem w:displayText="Brevet national ou régional publié" w:value="Published national or regional patent"/>
                          <w:listItem w:displayText="Demande de brevet national ou régional publiée" w:value="Published application for national or regional patent"/>
                          <w:listItem w:displayText="Modèle d’utilité délivré" w:value="Utiliy model issued"/>
                          <w:listItem w:displayText="Demande de modèle d’utilité" w:value="Utility model application"/>
                        </w:dropDownList>
                      </w:sdtPr>
                      <w:sdtContent>
                        <w:tc>
                          <w:tcPr>
                            <w:tcW w:w="2328" w:type="dxa"/>
                          </w:tcPr>
                          <w:p w14:paraId="0AE705C2" w14:textId="77777777" w:rsidR="001077E2" w:rsidRPr="00F16887" w:rsidRDefault="00C95B35" w:rsidP="00F16887">
                            <w:r>
                              <w:t>Demande de modèle d’utilité</w:t>
                            </w:r>
                          </w:p>
                        </w:tc>
                      </w:sdtContent>
                    </w:sdt>
                  </w:sdtContent>
                </w:sdt>
              </w:sdtContent>
            </w:sdt>
          </w:sdtContent>
        </w:sdt>
        <w:sdt>
          <w:sdtPr>
            <w:id w:val="-355500663"/>
            <w:placeholder>
              <w:docPart w:val="E52D2A9AB6CF4EF587ACCC3D4A71A767"/>
            </w:placeholder>
            <w:date w:fullDate="2001-01-01T00:00:00Z">
              <w:dateFormat w:val="dd/MM/yyyy"/>
              <w:lid w:val="fr-FR"/>
              <w:storeMappedDataAs w:val="dateTime"/>
              <w:calendar w:val="gregorian"/>
            </w:date>
          </w:sdtPr>
          <w:sdtContent>
            <w:tc>
              <w:tcPr>
                <w:tcW w:w="1190" w:type="dxa"/>
              </w:tcPr>
              <w:p w14:paraId="5BD4AD21" w14:textId="77777777" w:rsidR="001077E2" w:rsidRPr="00F16887" w:rsidRDefault="00C95B35" w:rsidP="00F16887">
                <w:r>
                  <w:t>01/01/2001</w:t>
                </w:r>
              </w:p>
            </w:tc>
          </w:sdtContent>
        </w:sdt>
        <w:sdt>
          <w:sdtPr>
            <w:id w:val="1035476808"/>
            <w:placeholder>
              <w:docPart w:val="E52D2A9AB6CF4EF587ACCC3D4A71A767"/>
            </w:placeholder>
            <w:date w:fullDate="2025-01-09T00:00:00Z">
              <w:dateFormat w:val="dd/MM/yyyy"/>
              <w:lid w:val="fr-FR"/>
              <w:storeMappedDataAs w:val="dateTime"/>
              <w:calendar w:val="gregorian"/>
            </w:date>
          </w:sdtPr>
          <w:sdtContent>
            <w:tc>
              <w:tcPr>
                <w:tcW w:w="1191" w:type="dxa"/>
              </w:tcPr>
              <w:p w14:paraId="0902BA09" w14:textId="77777777" w:rsidR="001077E2" w:rsidRPr="00F16887" w:rsidRDefault="00C95B35" w:rsidP="00F16887">
                <w:r>
                  <w:t>09/01/2025</w:t>
                </w:r>
              </w:p>
            </w:tc>
          </w:sdtContent>
        </w:sdt>
        <w:sdt>
          <w:sdtPr>
            <w:alias w:val="Format du document"/>
            <w:tag w:val="Format of document"/>
            <w:id w:val="1668594282"/>
            <w:placeholder>
              <w:docPart w:val="05296A22404448858415A8D8F7F7B2D8"/>
            </w:placeholder>
            <w:dropDownList>
              <w:listItem w:value="Choose an item."/>
              <w:listItem w:displayText="Texte intégral (ST.36)" w:value="Full text (ST.36)"/>
              <w:listItem w:displayText="Texte intégral (ST.96)" w:value="Full text (ST.96)"/>
              <w:listItem w:displayText="Texte intégral (texte brut)" w:value="Full text (plain text)"/>
              <w:listItem w:displayText="PDF (texte)" w:value="PDF (text-based)"/>
              <w:listItem w:displayText="PDF (image)" w:value="PDF (image-based)"/>
              <w:listItem w:displayText="Autres textes en ligne" w:value="Other online text-based"/>
              <w:listItem w:displayText="Autres images en ligne" w:value="Other online image-based"/>
              <w:listItem w:displayText="Papier" w:value="Paper"/>
            </w:dropDownList>
          </w:sdtPr>
          <w:sdtContent>
            <w:tc>
              <w:tcPr>
                <w:tcW w:w="2386" w:type="dxa"/>
              </w:tcPr>
              <w:p w14:paraId="48A7A617" w14:textId="77777777" w:rsidR="001077E2" w:rsidRPr="00F16887" w:rsidRDefault="00C95B35" w:rsidP="00F16887">
                <w:r>
                  <w:t>PDF (texte)</w:t>
                </w:r>
              </w:p>
            </w:tc>
          </w:sdtContent>
        </w:sdt>
        <w:sdt>
          <w:sdtPr>
            <w:alias w:val="Source du document"/>
            <w:tag w:val="Source of Document"/>
            <w:id w:val="-705481671"/>
            <w:placeholder>
              <w:docPart w:val="05296A22404448858415A8D8F7F7B2D8"/>
            </w:placeholder>
            <w:dropDownList>
              <w:listItem w:value="Choose an item."/>
              <w:listItem w:displayText="Référentiel en ligne hébergé par cet office" w:value="Online repository hosted by this Office"/>
              <w:listItem w:displayText="Référentiel en ligne hébergé par un autre office" w:value="Online repository hosted by another Office"/>
              <w:listItem w:displayText="Collections disponibles sur demande" w:value="Collections available on request"/>
              <w:listItem w:displayText="Sans objet" w:value="Not available"/>
            </w:dropDownList>
          </w:sdtPr>
          <w:sdtContent>
            <w:tc>
              <w:tcPr>
                <w:tcW w:w="1921" w:type="dxa"/>
              </w:tcPr>
              <w:p w14:paraId="629B8A62" w14:textId="77777777" w:rsidR="001077E2" w:rsidRPr="00F16887" w:rsidRDefault="00C95B35" w:rsidP="00F16887">
                <w:r>
                  <w:t>Référentiel en ligne hébergé par cet office</w:t>
                </w:r>
              </w:p>
            </w:tc>
          </w:sdtContent>
        </w:sdt>
      </w:tr>
      <w:tr w:rsidR="001077E2" w:rsidRPr="00F16887" w14:paraId="325DBABC" w14:textId="77777777" w:rsidTr="00D113DB">
        <w:sdt>
          <w:sdtPr>
            <w:id w:val="-873457450"/>
            <w15:repeatingSection/>
          </w:sdtPr>
          <w:sdtContent>
            <w:sdt>
              <w:sdtPr>
                <w:id w:val="593595997"/>
                <w:placeholder>
                  <w:docPart w:val="B7D9E4BC32DC421B8C259107E3900DCD"/>
                </w:placeholder>
                <w15:repeatingSectionItem/>
              </w:sdtPr>
              <w:sdtContent>
                <w:sdt>
                  <w:sdtPr>
                    <w:id w:val="-328439036"/>
                    <w:placeholder>
                      <w:docPart w:val="C2CF313A3846499BA138A0C4CC4F3E86"/>
                    </w:placeholder>
                  </w:sdtPr>
                  <w:sdtContent>
                    <w:sdt>
                      <w:sdtPr>
                        <w:alias w:val="Sélectionnez un type de document"/>
                        <w:tag w:val="Choose type of document"/>
                        <w:id w:val="-1096786498"/>
                        <w:placeholder>
                          <w:docPart w:val="A5EE1AE520E84539B14C3E462863DD83"/>
                        </w:placeholder>
                        <w:dropDownList>
                          <w:listItem w:value="Choose an item."/>
                          <w:listItem w:displayText="Brevet national ou régional publié" w:value="Published national or regional patent"/>
                          <w:listItem w:displayText="Demande de brevet national ou régional publiée" w:value="Published application for national or regional patent"/>
                          <w:listItem w:displayText="Modèle d’utilité délivré" w:value="Utiliy model issued"/>
                          <w:listItem w:displayText="Demande de modèle d’utilité" w:value="Utility model application"/>
                        </w:dropDownList>
                      </w:sdtPr>
                      <w:sdtContent>
                        <w:tc>
                          <w:tcPr>
                            <w:tcW w:w="2328" w:type="dxa"/>
                          </w:tcPr>
                          <w:p w14:paraId="441C4134" w14:textId="77777777" w:rsidR="001077E2" w:rsidRPr="00F16887" w:rsidRDefault="00C95B35" w:rsidP="00F16887">
                            <w:r>
                              <w:t>Modèle d’utilité délivré</w:t>
                            </w:r>
                          </w:p>
                        </w:tc>
                      </w:sdtContent>
                    </w:sdt>
                  </w:sdtContent>
                </w:sdt>
              </w:sdtContent>
            </w:sdt>
          </w:sdtContent>
        </w:sdt>
        <w:sdt>
          <w:sdtPr>
            <w:id w:val="-1827119162"/>
            <w:placeholder>
              <w:docPart w:val="1F9CAD4A589D41E18CC820115BA23BCC"/>
            </w:placeholder>
            <w:date w:fullDate="2001-01-01T00:00:00Z">
              <w:dateFormat w:val="dd/MM/yyyy"/>
              <w:lid w:val="fr-FR"/>
              <w:storeMappedDataAs w:val="dateTime"/>
              <w:calendar w:val="gregorian"/>
            </w:date>
          </w:sdtPr>
          <w:sdtContent>
            <w:tc>
              <w:tcPr>
                <w:tcW w:w="1190" w:type="dxa"/>
              </w:tcPr>
              <w:p w14:paraId="0AFE33CC" w14:textId="77777777" w:rsidR="001077E2" w:rsidRPr="00F16887" w:rsidRDefault="00C95B35" w:rsidP="00F16887">
                <w:r>
                  <w:t>01/01/2001</w:t>
                </w:r>
              </w:p>
            </w:tc>
          </w:sdtContent>
        </w:sdt>
        <w:sdt>
          <w:sdtPr>
            <w:id w:val="2059657202"/>
            <w:placeholder>
              <w:docPart w:val="1F9CAD4A589D41E18CC820115BA23BCC"/>
            </w:placeholder>
            <w:date w:fullDate="2025-01-09T00:00:00Z">
              <w:dateFormat w:val="dd/MM/yyyy"/>
              <w:lid w:val="fr-FR"/>
              <w:storeMappedDataAs w:val="dateTime"/>
              <w:calendar w:val="gregorian"/>
            </w:date>
          </w:sdtPr>
          <w:sdtContent>
            <w:tc>
              <w:tcPr>
                <w:tcW w:w="1191" w:type="dxa"/>
              </w:tcPr>
              <w:p w14:paraId="5515CCA9" w14:textId="77777777" w:rsidR="001077E2" w:rsidRPr="00F16887" w:rsidRDefault="00C95B35" w:rsidP="00F16887">
                <w:r>
                  <w:t>09/01/2025</w:t>
                </w:r>
              </w:p>
            </w:tc>
          </w:sdtContent>
        </w:sdt>
        <w:sdt>
          <w:sdtPr>
            <w:alias w:val="Format du document"/>
            <w:tag w:val="Format of document"/>
            <w:id w:val="-1477525966"/>
            <w:placeholder>
              <w:docPart w:val="A5EE1AE520E84539B14C3E462863DD83"/>
            </w:placeholder>
            <w:dropDownList>
              <w:listItem w:value="Choose an item."/>
              <w:listItem w:displayText="Texte intégral (ST.36)" w:value="Full text (ST.36)"/>
              <w:listItem w:displayText="Texte intégral (ST.96)" w:value="Full text (ST.96)"/>
              <w:listItem w:displayText="Texte intégral (texte brut)" w:value="Full text (plain text)"/>
              <w:listItem w:displayText="PDF (texte)" w:value="PDF (text-based)"/>
              <w:listItem w:displayText="PDF (image)" w:value="PDF (image-based)"/>
              <w:listItem w:displayText="Autres textes en ligne" w:value="Other online text-based"/>
              <w:listItem w:displayText="Autres images en ligne" w:value="Other online image-based"/>
              <w:listItem w:displayText="Papier" w:value="Paper"/>
            </w:dropDownList>
          </w:sdtPr>
          <w:sdtContent>
            <w:tc>
              <w:tcPr>
                <w:tcW w:w="2386" w:type="dxa"/>
              </w:tcPr>
              <w:p w14:paraId="40594809" w14:textId="77777777" w:rsidR="001077E2" w:rsidRPr="00F16887" w:rsidRDefault="00C95B35" w:rsidP="00F16887">
                <w:r>
                  <w:t>PDF (texte)</w:t>
                </w:r>
              </w:p>
            </w:tc>
          </w:sdtContent>
        </w:sdt>
        <w:sdt>
          <w:sdtPr>
            <w:alias w:val="Source du document"/>
            <w:tag w:val="Source of Document"/>
            <w:id w:val="-99335927"/>
            <w:placeholder>
              <w:docPart w:val="A5EE1AE520E84539B14C3E462863DD83"/>
            </w:placeholder>
            <w:dropDownList>
              <w:listItem w:value="Choose an item."/>
              <w:listItem w:displayText="Référentiel en ligne hébergé par cet office" w:value="Online repository hosted by this Office"/>
              <w:listItem w:displayText="Référentiel en ligne hébergé par un autre office" w:value="Online repository hosted by another Office"/>
              <w:listItem w:displayText="Collections disponibles sur demande" w:value="Collections available on request"/>
              <w:listItem w:displayText="Sans objet" w:value="Not available"/>
            </w:dropDownList>
          </w:sdtPr>
          <w:sdtContent>
            <w:tc>
              <w:tcPr>
                <w:tcW w:w="1921" w:type="dxa"/>
              </w:tcPr>
              <w:p w14:paraId="3C2D568A" w14:textId="77777777" w:rsidR="001077E2" w:rsidRPr="00F16887" w:rsidRDefault="00C95B35" w:rsidP="00F16887">
                <w:r>
                  <w:t>Référentiel en ligne hébergé par cet office</w:t>
                </w:r>
              </w:p>
            </w:tc>
          </w:sdtContent>
        </w:sdt>
      </w:tr>
    </w:tbl>
    <w:p w14:paraId="50D18687" w14:textId="77777777" w:rsidR="001077E2" w:rsidRPr="00F16887" w:rsidRDefault="001077E2" w:rsidP="00F16887">
      <w:pPr>
        <w:pStyle w:val="Answer"/>
        <w:spacing w:after="0"/>
        <w:ind w:left="0"/>
      </w:pPr>
    </w:p>
    <w:bookmarkEnd w:id="6"/>
    <w:p w14:paraId="1122C6C8" w14:textId="56364BFA" w:rsidR="001077E2" w:rsidRPr="00F16887" w:rsidRDefault="001077E2" w:rsidP="00F16887">
      <w:pPr>
        <w:jc w:val="both"/>
        <w:rPr>
          <w:lang w:val="fr-FR"/>
        </w:rPr>
      </w:pPr>
      <w:r w:rsidRPr="00F16887">
        <w:rPr>
          <w:lang w:val="fr-FR"/>
        </w:rPr>
        <w:t>L</w:t>
      </w:r>
      <w:r w:rsidR="00F16887">
        <w:rPr>
          <w:lang w:val="fr-FR"/>
        </w:rPr>
        <w:t>’</w:t>
      </w:r>
      <w:r w:rsidRPr="00F16887">
        <w:rPr>
          <w:lang w:val="fr-FR"/>
        </w:rPr>
        <w:t xml:space="preserve">IMPI ne dispose pas encore de tous les textes de demandes au format </w:t>
      </w:r>
      <w:r w:rsidR="00C95B35" w:rsidRPr="00F16887">
        <w:rPr>
          <w:lang w:val="fr-FR"/>
        </w:rPr>
        <w:t>XML</w:t>
      </w:r>
      <w:r w:rsidR="00C95B35">
        <w:rPr>
          <w:lang w:val="fr-FR"/>
        </w:rPr>
        <w:t xml:space="preserve">.  </w:t>
      </w:r>
      <w:r w:rsidR="00C95B35" w:rsidRPr="00F16887">
        <w:rPr>
          <w:lang w:val="fr-FR"/>
        </w:rPr>
        <w:t>Se</w:t>
      </w:r>
      <w:r w:rsidRPr="00F16887">
        <w:rPr>
          <w:lang w:val="fr-FR"/>
        </w:rPr>
        <w:t>uls les résumés en espagnol et en anglais sont actuellement disponibles dans ce form</w:t>
      </w:r>
      <w:r w:rsidR="00C95B35" w:rsidRPr="00F16887">
        <w:rPr>
          <w:lang w:val="fr-FR"/>
        </w:rPr>
        <w:t>at</w:t>
      </w:r>
      <w:r w:rsidR="00C95B35">
        <w:rPr>
          <w:lang w:val="fr-FR"/>
        </w:rPr>
        <w:t xml:space="preserve">.  </w:t>
      </w:r>
      <w:r w:rsidR="00C95B35" w:rsidRPr="00F16887">
        <w:rPr>
          <w:lang w:val="fr-FR"/>
        </w:rPr>
        <w:t>La</w:t>
      </w:r>
      <w:r w:rsidRPr="00F16887">
        <w:rPr>
          <w:lang w:val="fr-FR"/>
        </w:rPr>
        <w:t xml:space="preserve"> description et les revendications sont au format PDF.</w:t>
      </w:r>
    </w:p>
    <w:p w14:paraId="7E30A30C" w14:textId="77777777" w:rsidR="001077E2" w:rsidRPr="00F16887" w:rsidRDefault="001077E2" w:rsidP="00F16887">
      <w:pPr>
        <w:jc w:val="both"/>
        <w:rPr>
          <w:lang w:val="fr-FR"/>
        </w:rPr>
      </w:pPr>
    </w:p>
    <w:p w14:paraId="2AEBECA3" w14:textId="0193CFE0" w:rsidR="001077E2" w:rsidRPr="00F16887" w:rsidRDefault="001077E2" w:rsidP="00F16887">
      <w:pPr>
        <w:jc w:val="both"/>
        <w:rPr>
          <w:lang w:val="fr-FR"/>
        </w:rPr>
      </w:pPr>
      <w:r w:rsidRPr="00F16887">
        <w:rPr>
          <w:lang w:val="fr-FR"/>
        </w:rPr>
        <w:lastRenderedPageBreak/>
        <w:t>L</w:t>
      </w:r>
      <w:r w:rsidR="00F16887">
        <w:rPr>
          <w:lang w:val="fr-FR"/>
        </w:rPr>
        <w:t>’</w:t>
      </w:r>
      <w:r w:rsidRPr="00F16887">
        <w:rPr>
          <w:lang w:val="fr-FR"/>
        </w:rPr>
        <w:t>IMPI déclare que, dès sa nomination en qualité d</w:t>
      </w:r>
      <w:r w:rsidR="00F16887">
        <w:rPr>
          <w:lang w:val="fr-FR"/>
        </w:rPr>
        <w:t>’</w:t>
      </w:r>
      <w:r w:rsidRPr="00F16887">
        <w:rPr>
          <w:lang w:val="fr-FR"/>
        </w:rPr>
        <w:t>administration chargée de la recherche internationale et de l</w:t>
      </w:r>
      <w:r w:rsidR="00F16887">
        <w:rPr>
          <w:lang w:val="fr-FR"/>
        </w:rPr>
        <w:t>’</w:t>
      </w:r>
      <w:r w:rsidRPr="00F16887">
        <w:rPr>
          <w:lang w:val="fr-FR"/>
        </w:rPr>
        <w:t>examen préliminaire international, il se conformera aux exigences minimales en matière de documentation visées dans la règle 34, conformément aux exigences établies dans les instructions administratives applicabl</w:t>
      </w:r>
      <w:r w:rsidR="00C95B35" w:rsidRPr="00F16887">
        <w:rPr>
          <w:lang w:val="fr-FR"/>
        </w:rPr>
        <w:t>es</w:t>
      </w:r>
      <w:r w:rsidR="00C95B35">
        <w:rPr>
          <w:lang w:val="fr-FR"/>
        </w:rPr>
        <w:t xml:space="preserve">.  </w:t>
      </w:r>
      <w:r w:rsidR="00C95B35" w:rsidRPr="00F16887">
        <w:rPr>
          <w:lang w:val="fr-FR"/>
        </w:rPr>
        <w:t>Il</w:t>
      </w:r>
      <w:r w:rsidRPr="00F16887">
        <w:rPr>
          <w:lang w:val="fr-FR"/>
        </w:rPr>
        <w:t xml:space="preserve"> mettra également à disposition ses documents de brevet publiés à compter du</w:t>
      </w:r>
      <w:r w:rsidR="00F16887">
        <w:rPr>
          <w:lang w:val="fr-FR"/>
        </w:rPr>
        <w:t xml:space="preserve"> 1</w:t>
      </w:r>
      <w:r w:rsidR="00F16887" w:rsidRPr="00F16887">
        <w:rPr>
          <w:vertAlign w:val="superscript"/>
          <w:lang w:val="fr-FR"/>
        </w:rPr>
        <w:t>er</w:t>
      </w:r>
      <w:r w:rsidR="00F16887">
        <w:rPr>
          <w:lang w:val="fr-FR"/>
        </w:rPr>
        <w:t> </w:t>
      </w:r>
      <w:r w:rsidRPr="00F16887">
        <w:rPr>
          <w:lang w:val="fr-FR"/>
        </w:rPr>
        <w:t>janvier 2026 pour téléchargement en masse dans les formats appropriés (XML ou TXT).</w:t>
      </w:r>
    </w:p>
    <w:p w14:paraId="37E1E4A2" w14:textId="77777777" w:rsidR="001077E2" w:rsidRPr="00F16887" w:rsidRDefault="001077E2" w:rsidP="00F16887">
      <w:pPr>
        <w:jc w:val="both"/>
        <w:rPr>
          <w:lang w:val="fr-FR"/>
        </w:rPr>
      </w:pPr>
    </w:p>
    <w:p w14:paraId="700CF643" w14:textId="5DEB501D" w:rsidR="001077E2" w:rsidRPr="00F16887" w:rsidRDefault="001077E2" w:rsidP="00F16887">
      <w:pPr>
        <w:jc w:val="both"/>
        <w:rPr>
          <w:lang w:val="fr-FR"/>
        </w:rPr>
      </w:pPr>
      <w:r w:rsidRPr="00F16887">
        <w:rPr>
          <w:lang w:val="fr-FR"/>
        </w:rPr>
        <w:t>L</w:t>
      </w:r>
      <w:r w:rsidR="00F16887">
        <w:rPr>
          <w:lang w:val="fr-FR"/>
        </w:rPr>
        <w:t>’</w:t>
      </w:r>
      <w:r w:rsidRPr="00F16887">
        <w:rPr>
          <w:lang w:val="fr-FR"/>
        </w:rPr>
        <w:t>IMPI certifie également que la documentation minimale sera mise à disposition pour tous les brevets délivrés et toutes les demandes de brevet publiées par ses soins et, le cas échéant, par son prédécesseur en droit, conformément à la réglementation en vigueur et aux obligations incombant à une administration chargée de la recherche internationale ou une administration chargée de l</w:t>
      </w:r>
      <w:r w:rsidR="00F16887">
        <w:rPr>
          <w:lang w:val="fr-FR"/>
        </w:rPr>
        <w:t>’</w:t>
      </w:r>
      <w:r w:rsidRPr="00F16887">
        <w:rPr>
          <w:lang w:val="fr-FR"/>
        </w:rPr>
        <w:t>examen préliminaire international.</w:t>
      </w:r>
    </w:p>
    <w:p w14:paraId="3C505942" w14:textId="77777777" w:rsidR="001077E2" w:rsidRPr="00F16887" w:rsidRDefault="001077E2" w:rsidP="00F16887">
      <w:pPr>
        <w:jc w:val="both"/>
        <w:rPr>
          <w:lang w:val="fr-FR"/>
        </w:rPr>
      </w:pPr>
    </w:p>
    <w:p w14:paraId="717D089F" w14:textId="58E27FB0" w:rsidR="001077E2" w:rsidRPr="00F16887" w:rsidRDefault="001077E2" w:rsidP="00F16887">
      <w:pPr>
        <w:jc w:val="both"/>
        <w:rPr>
          <w:lang w:val="fr-FR"/>
        </w:rPr>
      </w:pPr>
      <w:r w:rsidRPr="00F16887">
        <w:rPr>
          <w:lang w:val="fr-FR"/>
        </w:rPr>
        <w:t>L</w:t>
      </w:r>
      <w:r w:rsidR="00F16887">
        <w:rPr>
          <w:lang w:val="fr-FR"/>
        </w:rPr>
        <w:t>’</w:t>
      </w:r>
      <w:r w:rsidRPr="00F16887">
        <w:rPr>
          <w:lang w:val="fr-FR"/>
        </w:rPr>
        <w:t>IMPI accordera l</w:t>
      </w:r>
      <w:r w:rsidR="00F16887">
        <w:rPr>
          <w:lang w:val="fr-FR"/>
        </w:rPr>
        <w:t>’</w:t>
      </w:r>
      <w:r w:rsidRPr="00F16887">
        <w:rPr>
          <w:lang w:val="fr-FR"/>
        </w:rPr>
        <w:t>accès à l</w:t>
      </w:r>
      <w:r w:rsidR="00F16887">
        <w:rPr>
          <w:lang w:val="fr-FR"/>
        </w:rPr>
        <w:t>’</w:t>
      </w:r>
      <w:r w:rsidRPr="00F16887">
        <w:rPr>
          <w:lang w:val="fr-FR"/>
        </w:rPr>
        <w:t>OMPI et à l</w:t>
      </w:r>
      <w:r w:rsidR="00F16887">
        <w:rPr>
          <w:lang w:val="fr-FR"/>
        </w:rPr>
        <w:t>’</w:t>
      </w:r>
      <w:r w:rsidRPr="00F16887">
        <w:rPr>
          <w:lang w:val="fr-FR"/>
        </w:rPr>
        <w:t>OEPM à des fins de test et de vérification de l</w:t>
      </w:r>
      <w:r w:rsidR="00F16887">
        <w:rPr>
          <w:lang w:val="fr-FR"/>
        </w:rPr>
        <w:t>’</w:t>
      </w:r>
      <w:r w:rsidRPr="00F16887">
        <w:rPr>
          <w:lang w:val="fr-FR"/>
        </w:rPr>
        <w:t>accessibilité et de l</w:t>
      </w:r>
      <w:r w:rsidR="00F16887">
        <w:rPr>
          <w:lang w:val="fr-FR"/>
        </w:rPr>
        <w:t>’</w:t>
      </w:r>
      <w:r w:rsidRPr="00F16887">
        <w:rPr>
          <w:lang w:val="fr-FR"/>
        </w:rPr>
        <w:t>état des archives de son administration chargée de la recherche internationale et de l</w:t>
      </w:r>
      <w:r w:rsidR="00F16887">
        <w:rPr>
          <w:lang w:val="fr-FR"/>
        </w:rPr>
        <w:t>’</w:t>
      </w:r>
      <w:r w:rsidRPr="00F16887">
        <w:rPr>
          <w:lang w:val="fr-FR"/>
        </w:rPr>
        <w:t>examen préliminaire international avant sa nomination.</w:t>
      </w:r>
    </w:p>
    <w:p w14:paraId="64C0BF2F" w14:textId="77777777" w:rsidR="001077E2" w:rsidRPr="00F16887" w:rsidRDefault="001077E2" w:rsidP="00F16887">
      <w:pPr>
        <w:rPr>
          <w:lang w:val="fr-FR"/>
        </w:rPr>
      </w:pPr>
    </w:p>
    <w:p w14:paraId="51735EFE" w14:textId="62866EF0" w:rsidR="001077E2" w:rsidRPr="00F16887" w:rsidRDefault="001077E2" w:rsidP="00F16887">
      <w:pPr>
        <w:pStyle w:val="SectionHeading"/>
        <w:rPr>
          <w:lang w:val="fr-FR"/>
        </w:rPr>
      </w:pPr>
      <w:r w:rsidRPr="00F16887">
        <w:rPr>
          <w:lang w:val="fr-FR"/>
        </w:rPr>
        <w:t xml:space="preserve">2.3 </w:t>
      </w:r>
      <w:r w:rsidR="00C95B35">
        <w:rPr>
          <w:lang w:val="fr-FR"/>
        </w:rPr>
        <w:t>–</w:t>
      </w:r>
      <w:r w:rsidRPr="00F16887">
        <w:rPr>
          <w:lang w:val="fr-FR"/>
        </w:rPr>
        <w:t xml:space="preserve"> Documentation minimale </w:t>
      </w:r>
      <w:r w:rsidR="00C95B35">
        <w:rPr>
          <w:lang w:val="fr-FR"/>
        </w:rPr>
        <w:t>–</w:t>
      </w:r>
      <w:r w:rsidRPr="00F16887">
        <w:rPr>
          <w:lang w:val="fr-FR"/>
        </w:rPr>
        <w:t xml:space="preserve"> Accès</w:t>
      </w:r>
    </w:p>
    <w:p w14:paraId="521005D9" w14:textId="120AFB55" w:rsidR="001077E2" w:rsidRPr="00F16887" w:rsidRDefault="001077E2" w:rsidP="00F16887">
      <w:pPr>
        <w:pStyle w:val="RuleQuote"/>
        <w:spacing w:after="0"/>
        <w:rPr>
          <w:szCs w:val="24"/>
        </w:rPr>
      </w:pPr>
      <w:r w:rsidRPr="00F16887">
        <w:t>Règles 36.1.iii) et 63.1.iii)</w:t>
      </w:r>
      <w:r w:rsidR="00F16887">
        <w:t> :</w:t>
      </w:r>
      <w:r w:rsidRPr="00F16887">
        <w:t xml:space="preserve"> Cet office ou cette organisation doit avoir en sa possession au moins la documentation minimale visée à la règle 34, ou maintenir l</w:t>
      </w:r>
      <w:r w:rsidR="00F16887">
        <w:t>’</w:t>
      </w:r>
      <w:r w:rsidRPr="00F16887">
        <w:t>accès à cette documentation minimale, aux fins de la recherche conformément aux instructions administratives.</w:t>
      </w:r>
    </w:p>
    <w:p w14:paraId="4BBD2BED" w14:textId="77777777" w:rsidR="001077E2" w:rsidRPr="00F16887" w:rsidRDefault="001077E2" w:rsidP="00F16887">
      <w:pPr>
        <w:pStyle w:val="Question"/>
        <w:spacing w:after="0"/>
      </w:pPr>
    </w:p>
    <w:p w14:paraId="334AF1A0" w14:textId="6E3C6B2B" w:rsidR="001077E2" w:rsidRPr="00F16887" w:rsidRDefault="001077E2" w:rsidP="00F16887">
      <w:pPr>
        <w:pStyle w:val="Question"/>
        <w:spacing w:after="0"/>
      </w:pPr>
      <w:r w:rsidRPr="00F16887">
        <w:t>a)</w:t>
      </w:r>
      <w:r w:rsidRPr="00F16887">
        <w:tab/>
        <w:t>Accès à la documentation minimale du PCT aux fins de la recherche</w:t>
      </w:r>
      <w:r w:rsidR="00F16887">
        <w:t> :</w:t>
      </w:r>
    </w:p>
    <w:p w14:paraId="5D244863" w14:textId="77777777" w:rsidR="001077E2" w:rsidRPr="00F16887" w:rsidRDefault="001077E2" w:rsidP="00F16887">
      <w:pPr>
        <w:pStyle w:val="Answer"/>
        <w:spacing w:after="0"/>
        <w:ind w:left="0"/>
        <w:jc w:val="both"/>
        <w:rPr>
          <w:i/>
          <w:iCs/>
        </w:rPr>
      </w:pPr>
    </w:p>
    <w:p w14:paraId="53F9DFD2" w14:textId="57C25E18" w:rsidR="001077E2" w:rsidRPr="00C95B35" w:rsidRDefault="001077E2" w:rsidP="00F16887">
      <w:pPr>
        <w:pStyle w:val="Answer"/>
        <w:spacing w:after="0"/>
        <w:ind w:left="0"/>
        <w:jc w:val="both"/>
      </w:pPr>
      <w:r w:rsidRPr="00F16887">
        <w:t>L</w:t>
      </w:r>
      <w:r w:rsidR="00F16887">
        <w:t>’</w:t>
      </w:r>
      <w:r w:rsidRPr="00F16887">
        <w:t>IMPI a accès aux plus grandes collections de documents de brevet et de littérature non</w:t>
      </w:r>
      <w:r w:rsidR="00C95B35">
        <w:noBreakHyphen/>
      </w:r>
      <w:r w:rsidRPr="00F16887">
        <w:t>brevet à des fins de recherc</w:t>
      </w:r>
      <w:r w:rsidR="00C95B35" w:rsidRPr="00F16887">
        <w:t>he</w:t>
      </w:r>
      <w:r w:rsidR="00C95B35">
        <w:t xml:space="preserve">.  </w:t>
      </w:r>
      <w:r w:rsidR="00C95B35" w:rsidRPr="00F16887">
        <w:t>Ce</w:t>
      </w:r>
      <w:r w:rsidRPr="00F16887">
        <w:t>rtaines de ces bases de données sont librement accessibles (PATENTSCOPE, Espacenet, Latipat et les collections disponibles sur les sites</w:t>
      </w:r>
      <w:r w:rsidR="00B22F9C">
        <w:t> </w:t>
      </w:r>
      <w:r w:rsidRPr="00F16887">
        <w:t>Web de divers offices de propriété intellectuelle, tels que ceux de l</w:t>
      </w:r>
      <w:r w:rsidR="00F16887">
        <w:t>’</w:t>
      </w:r>
      <w:r w:rsidRPr="00F16887">
        <w:t>OEPM et de l</w:t>
      </w:r>
      <w:r w:rsidR="00F16887">
        <w:t>’</w:t>
      </w:r>
      <w:r w:rsidRPr="00F16887">
        <w:t>USPTO).</w:t>
      </w:r>
    </w:p>
    <w:p w14:paraId="340C5DAC" w14:textId="77777777" w:rsidR="001077E2" w:rsidRPr="00F16887" w:rsidRDefault="001077E2" w:rsidP="00F16887">
      <w:pPr>
        <w:pStyle w:val="Answer"/>
        <w:spacing w:after="0"/>
        <w:ind w:left="0"/>
        <w:jc w:val="both"/>
      </w:pPr>
    </w:p>
    <w:p w14:paraId="597255EA" w14:textId="6DAFAD96" w:rsidR="001077E2" w:rsidRPr="00F16887" w:rsidRDefault="001077E2" w:rsidP="00F16887">
      <w:pPr>
        <w:pStyle w:val="Answer"/>
        <w:spacing w:after="0"/>
        <w:ind w:left="0"/>
        <w:jc w:val="both"/>
      </w:pPr>
      <w:r w:rsidRPr="00F16887">
        <w:t>L</w:t>
      </w:r>
      <w:r w:rsidR="00F16887">
        <w:t>’</w:t>
      </w:r>
      <w:r w:rsidRPr="00F16887">
        <w:t>IMPI a également accès à des bases de données sur abonnement, conçues spécialement pour la collecte et la fourniture de documents de brevet et de littérature non</w:t>
      </w:r>
      <w:r w:rsidR="00C95B35">
        <w:noBreakHyphen/>
      </w:r>
      <w:r w:rsidRPr="00F16887">
        <w:t>brevet, telles que CLARIVATE, ainsi qu</w:t>
      </w:r>
      <w:r w:rsidR="00F16887">
        <w:t>’</w:t>
      </w:r>
      <w:r w:rsidRPr="00F16887">
        <w:t>aux systèmes de recherche Derwent Innovation et Derwent/Geneseq, et à l</w:t>
      </w:r>
      <w:r w:rsidR="00F16887">
        <w:t>’</w:t>
      </w:r>
      <w:r w:rsidRPr="00F16887">
        <w:t>outil de recherche ANSERA dans le cadre de sa collaboration avec l</w:t>
      </w:r>
      <w:r w:rsidR="00F16887">
        <w:t>’</w:t>
      </w:r>
      <w:r w:rsidRPr="00F16887">
        <w:t>OEB.</w:t>
      </w:r>
    </w:p>
    <w:p w14:paraId="1256E853" w14:textId="77777777" w:rsidR="001077E2" w:rsidRPr="00F16887" w:rsidRDefault="001077E2" w:rsidP="00F16887">
      <w:pPr>
        <w:pStyle w:val="Answer"/>
        <w:spacing w:after="0"/>
        <w:ind w:left="0"/>
        <w:jc w:val="both"/>
      </w:pPr>
    </w:p>
    <w:p w14:paraId="2B1B645D" w14:textId="2C3B138D" w:rsidR="001077E2" w:rsidRPr="00F16887" w:rsidRDefault="001077E2" w:rsidP="00F16887">
      <w:pPr>
        <w:pStyle w:val="Question"/>
        <w:spacing w:after="0"/>
      </w:pPr>
      <w:r w:rsidRPr="00F16887">
        <w:t>b)</w:t>
      </w:r>
      <w:r w:rsidR="0025290E">
        <w:tab/>
      </w:r>
      <w:r w:rsidRPr="00F16887">
        <w:t>Systèmes de recherche</w:t>
      </w:r>
      <w:r w:rsidR="00F16887">
        <w:t> :</w:t>
      </w:r>
    </w:p>
    <w:p w14:paraId="54E5FDB4" w14:textId="77777777" w:rsidR="001077E2" w:rsidRPr="00F16887" w:rsidRDefault="001077E2" w:rsidP="00F16887">
      <w:pPr>
        <w:pStyle w:val="Answer"/>
        <w:spacing w:after="0"/>
        <w:ind w:left="0"/>
        <w:jc w:val="both"/>
      </w:pPr>
    </w:p>
    <w:p w14:paraId="1642CBE4" w14:textId="203EC072" w:rsidR="001077E2" w:rsidRPr="00F16887" w:rsidRDefault="001077E2" w:rsidP="00F16887">
      <w:pPr>
        <w:pStyle w:val="Answer"/>
        <w:spacing w:after="0"/>
        <w:ind w:left="0"/>
        <w:jc w:val="both"/>
      </w:pPr>
      <w:r w:rsidRPr="00F16887">
        <w:t>L</w:t>
      </w:r>
      <w:r w:rsidR="00F16887">
        <w:t>’</w:t>
      </w:r>
      <w:r w:rsidRPr="00F16887">
        <w:t>IMPI a également accès à des bases de données sur abonnement, conçues spécialement pour la collecte et la fourniture de documents de brevet et de littérature non</w:t>
      </w:r>
      <w:r w:rsidR="00C95B35">
        <w:noBreakHyphen/>
      </w:r>
      <w:r w:rsidRPr="00F16887">
        <w:t>brevet, telles que CLARIVATE, ainsi qu</w:t>
      </w:r>
      <w:r w:rsidR="00F16887">
        <w:t>’</w:t>
      </w:r>
      <w:r w:rsidRPr="00F16887">
        <w:t>aux systèmes de recherche Derwent Innovation et Derwent/Geneseq, et à l</w:t>
      </w:r>
      <w:r w:rsidR="00F16887">
        <w:t>’</w:t>
      </w:r>
      <w:r w:rsidRPr="00F16887">
        <w:t>outil de recherche ANSERA dans le cadre de sa collaboration avec l</w:t>
      </w:r>
      <w:r w:rsidR="00F16887">
        <w:t>’</w:t>
      </w:r>
      <w:r w:rsidRPr="00F16887">
        <w:t>OEB.</w:t>
      </w:r>
    </w:p>
    <w:p w14:paraId="1B94BA14" w14:textId="77777777" w:rsidR="001077E2" w:rsidRPr="00F16887" w:rsidRDefault="001077E2" w:rsidP="00F16887">
      <w:pPr>
        <w:pStyle w:val="Answer"/>
        <w:spacing w:after="0"/>
        <w:ind w:left="0"/>
        <w:jc w:val="both"/>
      </w:pPr>
    </w:p>
    <w:p w14:paraId="33B35959" w14:textId="46A3F9C4" w:rsidR="001077E2" w:rsidRPr="00F16887" w:rsidRDefault="001077E2" w:rsidP="00F16887">
      <w:pPr>
        <w:jc w:val="both"/>
        <w:rPr>
          <w:lang w:val="fr-FR"/>
        </w:rPr>
      </w:pPr>
      <w:r w:rsidRPr="00F16887">
        <w:rPr>
          <w:lang w:val="fr-FR"/>
        </w:rPr>
        <w:t>L</w:t>
      </w:r>
      <w:r w:rsidR="00F16887">
        <w:rPr>
          <w:lang w:val="fr-FR"/>
        </w:rPr>
        <w:t>’</w:t>
      </w:r>
      <w:r w:rsidRPr="00F16887">
        <w:rPr>
          <w:lang w:val="fr-FR"/>
        </w:rPr>
        <w:t>IMPI déclare qu</w:t>
      </w:r>
      <w:r w:rsidR="00F16887">
        <w:rPr>
          <w:lang w:val="fr-FR"/>
        </w:rPr>
        <w:t>’</w:t>
      </w:r>
      <w:r w:rsidRPr="00F16887">
        <w:rPr>
          <w:lang w:val="fr-FR"/>
        </w:rPr>
        <w:t>avant sa nomination en qualité d</w:t>
      </w:r>
      <w:r w:rsidR="00F16887">
        <w:rPr>
          <w:lang w:val="fr-FR"/>
        </w:rPr>
        <w:t>’</w:t>
      </w:r>
      <w:r w:rsidRPr="00F16887">
        <w:rPr>
          <w:lang w:val="fr-FR"/>
        </w:rPr>
        <w:t>administration chargée de la recherche internationale et de l</w:t>
      </w:r>
      <w:r w:rsidR="00F16887">
        <w:rPr>
          <w:lang w:val="fr-FR"/>
        </w:rPr>
        <w:t>’</w:t>
      </w:r>
      <w:r w:rsidRPr="00F16887">
        <w:rPr>
          <w:lang w:val="fr-FR"/>
        </w:rPr>
        <w:t>examen préliminaire international, il démontrera que les outils de recherche qu</w:t>
      </w:r>
      <w:r w:rsidR="00F16887">
        <w:rPr>
          <w:lang w:val="fr-FR"/>
        </w:rPr>
        <w:t>’</w:t>
      </w:r>
      <w:r w:rsidRPr="00F16887">
        <w:rPr>
          <w:lang w:val="fr-FR"/>
        </w:rPr>
        <w:t>il utilise permettent une recherche exhaustive des documents de brevet et de la littérature non</w:t>
      </w:r>
      <w:r w:rsidR="00C95B35">
        <w:rPr>
          <w:lang w:val="fr-FR"/>
        </w:rPr>
        <w:noBreakHyphen/>
      </w:r>
      <w:r w:rsidRPr="00F16887">
        <w:rPr>
          <w:lang w:val="fr-FR"/>
        </w:rPr>
        <w:t>brevet dans la documentation minimale du PCT.</w:t>
      </w:r>
    </w:p>
    <w:p w14:paraId="02777B22" w14:textId="77777777" w:rsidR="001077E2" w:rsidRPr="00F16887" w:rsidRDefault="001077E2" w:rsidP="00F16887">
      <w:pPr>
        <w:jc w:val="both"/>
        <w:rPr>
          <w:lang w:val="fr-FR"/>
        </w:rPr>
      </w:pPr>
    </w:p>
    <w:p w14:paraId="3CBB8BFD" w14:textId="5FDE56F6" w:rsidR="001077E2" w:rsidRPr="00F16887" w:rsidRDefault="001077E2" w:rsidP="00F16887">
      <w:pPr>
        <w:jc w:val="both"/>
        <w:rPr>
          <w:lang w:val="fr-FR"/>
        </w:rPr>
      </w:pPr>
      <w:r w:rsidRPr="00F16887">
        <w:rPr>
          <w:lang w:val="fr-FR"/>
        </w:rPr>
        <w:t>Avant sa nomination en qualité d</w:t>
      </w:r>
      <w:r w:rsidR="00F16887">
        <w:rPr>
          <w:lang w:val="fr-FR"/>
        </w:rPr>
        <w:t>’</w:t>
      </w:r>
      <w:r w:rsidRPr="00F16887">
        <w:rPr>
          <w:lang w:val="fr-FR"/>
        </w:rPr>
        <w:t>administration chargée de la recherche internationale et de l</w:t>
      </w:r>
      <w:r w:rsidR="00F16887">
        <w:rPr>
          <w:lang w:val="fr-FR"/>
        </w:rPr>
        <w:t>’</w:t>
      </w:r>
      <w:r w:rsidRPr="00F16887">
        <w:rPr>
          <w:lang w:val="fr-FR"/>
        </w:rPr>
        <w:t>examen préliminaire international, l</w:t>
      </w:r>
      <w:r w:rsidR="00F16887">
        <w:rPr>
          <w:lang w:val="fr-FR"/>
        </w:rPr>
        <w:t>’</w:t>
      </w:r>
      <w:r w:rsidRPr="00F16887">
        <w:rPr>
          <w:lang w:val="fr-FR"/>
        </w:rPr>
        <w:t>IMPI accordera l</w:t>
      </w:r>
      <w:r w:rsidR="00F16887">
        <w:rPr>
          <w:lang w:val="fr-FR"/>
        </w:rPr>
        <w:t>’</w:t>
      </w:r>
      <w:r w:rsidRPr="00F16887">
        <w:rPr>
          <w:lang w:val="fr-FR"/>
        </w:rPr>
        <w:t>accès à l</w:t>
      </w:r>
      <w:r w:rsidR="00F16887">
        <w:rPr>
          <w:lang w:val="fr-FR"/>
        </w:rPr>
        <w:t>’</w:t>
      </w:r>
      <w:r w:rsidRPr="00F16887">
        <w:rPr>
          <w:lang w:val="fr-FR"/>
        </w:rPr>
        <w:t>OMPI et à l</w:t>
      </w:r>
      <w:r w:rsidR="00F16887">
        <w:rPr>
          <w:lang w:val="fr-FR"/>
        </w:rPr>
        <w:t>’</w:t>
      </w:r>
      <w:r w:rsidRPr="00F16887">
        <w:rPr>
          <w:lang w:val="fr-FR"/>
        </w:rPr>
        <w:t>OEPM afin qu</w:t>
      </w:r>
      <w:r w:rsidR="00F16887">
        <w:rPr>
          <w:lang w:val="fr-FR"/>
        </w:rPr>
        <w:t>’</w:t>
      </w:r>
      <w:r w:rsidRPr="00F16887">
        <w:rPr>
          <w:lang w:val="fr-FR"/>
        </w:rPr>
        <w:t>ils puissent tester et vérifier que les outils de recherche utilisés par les examinateurs de l</w:t>
      </w:r>
      <w:r w:rsidR="00F16887">
        <w:rPr>
          <w:lang w:val="fr-FR"/>
        </w:rPr>
        <w:t>’</w:t>
      </w:r>
      <w:r w:rsidRPr="00F16887">
        <w:rPr>
          <w:lang w:val="fr-FR"/>
        </w:rPr>
        <w:t>IMPI permettent d</w:t>
      </w:r>
      <w:r w:rsidR="00F16887">
        <w:rPr>
          <w:lang w:val="fr-FR"/>
        </w:rPr>
        <w:t>’</w:t>
      </w:r>
      <w:r w:rsidRPr="00F16887">
        <w:rPr>
          <w:lang w:val="fr-FR"/>
        </w:rPr>
        <w:t>effectuer des recherches internationales conformément aux normes du PCT.</w:t>
      </w:r>
    </w:p>
    <w:p w14:paraId="01F62B14" w14:textId="77777777" w:rsidR="001077E2" w:rsidRPr="00F16887" w:rsidRDefault="001077E2" w:rsidP="00F16887">
      <w:pPr>
        <w:pStyle w:val="Answer"/>
        <w:spacing w:after="0"/>
        <w:ind w:left="0"/>
        <w:jc w:val="both"/>
      </w:pPr>
    </w:p>
    <w:p w14:paraId="5BDF514A" w14:textId="6ACB2419" w:rsidR="001077E2" w:rsidRPr="00F16887" w:rsidRDefault="001077E2" w:rsidP="00F16887">
      <w:pPr>
        <w:pStyle w:val="SectionHeading"/>
        <w:spacing w:after="0"/>
        <w:rPr>
          <w:lang w:val="fr-FR"/>
        </w:rPr>
      </w:pPr>
      <w:r w:rsidRPr="00F16887">
        <w:rPr>
          <w:lang w:val="fr-FR"/>
        </w:rPr>
        <w:t xml:space="preserve">2.4 </w:t>
      </w:r>
      <w:r w:rsidR="00C95B35">
        <w:rPr>
          <w:lang w:val="fr-FR"/>
        </w:rPr>
        <w:t>–</w:t>
      </w:r>
      <w:r w:rsidRPr="00F16887">
        <w:rPr>
          <w:lang w:val="fr-FR"/>
        </w:rPr>
        <w:t xml:space="preserve"> Gestion de la qualité</w:t>
      </w:r>
    </w:p>
    <w:p w14:paraId="213E787A" w14:textId="3ED837A7" w:rsidR="001077E2" w:rsidRPr="00F16887" w:rsidRDefault="001077E2" w:rsidP="00F16887">
      <w:pPr>
        <w:pStyle w:val="RuleQuote"/>
      </w:pPr>
      <w:r w:rsidRPr="00F16887">
        <w:t>Règles 36.1</w:t>
      </w:r>
      <w:r w:rsidR="00C95B35">
        <w:t>.</w:t>
      </w:r>
      <w:r w:rsidRPr="00F16887">
        <w:t>iv) et 63.1</w:t>
      </w:r>
      <w:r w:rsidR="00C95B35">
        <w:t>.</w:t>
      </w:r>
      <w:r w:rsidRPr="00F16887">
        <w:t>iv)</w:t>
      </w:r>
      <w:r w:rsidR="00F16887">
        <w:t> :</w:t>
      </w:r>
      <w:r w:rsidRPr="00F16887">
        <w:t xml:space="preserve"> cet office ou cette organisation doit disposer d</w:t>
      </w:r>
      <w:r w:rsidR="00F16887">
        <w:t>’</w:t>
      </w:r>
      <w:r w:rsidRPr="00F16887">
        <w:t>un système de gestion de la qualité et de dispositions internes en matière d</w:t>
      </w:r>
      <w:r w:rsidR="00F16887">
        <w:t>’</w:t>
      </w:r>
      <w:r w:rsidRPr="00F16887">
        <w:t>évaluation conformément aux règles communes de la recherche internationale.</w:t>
      </w:r>
    </w:p>
    <w:p w14:paraId="74A09CB6" w14:textId="3FF331FF" w:rsidR="001077E2" w:rsidRPr="00F16887" w:rsidRDefault="001077E2" w:rsidP="00F16887">
      <w:pPr>
        <w:pStyle w:val="Question"/>
        <w:spacing w:after="0"/>
      </w:pPr>
      <w:r w:rsidRPr="00F16887">
        <w:t>Système national de gestion de la qualité remplissant les conditions énoncées au chapitre 21 des Directives concernant la recherche internationale et l</w:t>
      </w:r>
      <w:r w:rsidR="00F16887">
        <w:t>’</w:t>
      </w:r>
      <w:r w:rsidRPr="00F16887">
        <w:t>examen préliminaire international selon</w:t>
      </w:r>
      <w:r w:rsidR="00F16887" w:rsidRPr="00F16887">
        <w:t xml:space="preserve"> le</w:t>
      </w:r>
      <w:r w:rsidR="00F16887">
        <w:t> </w:t>
      </w:r>
      <w:r w:rsidR="00F16887" w:rsidRPr="00F16887">
        <w:t>PCT</w:t>
      </w:r>
      <w:r w:rsidR="00F16887">
        <w:t> :</w:t>
      </w:r>
    </w:p>
    <w:p w14:paraId="50A8DB64" w14:textId="77777777" w:rsidR="001077E2" w:rsidRPr="00F16887" w:rsidRDefault="001077E2" w:rsidP="00F16887">
      <w:pPr>
        <w:pStyle w:val="Answer"/>
        <w:spacing w:after="0"/>
        <w:ind w:left="0"/>
        <w:jc w:val="both"/>
        <w:rPr>
          <w:i/>
          <w:iCs/>
        </w:rPr>
      </w:pPr>
    </w:p>
    <w:p w14:paraId="78F56D1B" w14:textId="3F96AAF9" w:rsidR="001077E2" w:rsidRPr="00F16887" w:rsidRDefault="001077E2" w:rsidP="00F16887">
      <w:pPr>
        <w:pStyle w:val="Answer"/>
        <w:spacing w:after="0"/>
        <w:ind w:left="0"/>
        <w:jc w:val="both"/>
      </w:pPr>
      <w:r w:rsidRPr="00F16887">
        <w:t>L</w:t>
      </w:r>
      <w:r w:rsidR="00F16887">
        <w:t>’</w:t>
      </w:r>
      <w:r w:rsidRPr="00F16887">
        <w:t>IMPI ne dispose pas d</w:t>
      </w:r>
      <w:r w:rsidR="00F16887">
        <w:t>’</w:t>
      </w:r>
      <w:r w:rsidRPr="00F16887">
        <w:t>un système dédié au contrôle de la qualité et n</w:t>
      </w:r>
      <w:r w:rsidR="00F16887">
        <w:t>’</w:t>
      </w:r>
      <w:r w:rsidRPr="00F16887">
        <w:t>a été certifié selon aucune norme établie.</w:t>
      </w:r>
    </w:p>
    <w:p w14:paraId="7A67A695" w14:textId="77777777" w:rsidR="001077E2" w:rsidRPr="00F16887" w:rsidRDefault="001077E2" w:rsidP="00F16887">
      <w:pPr>
        <w:pStyle w:val="Answer"/>
        <w:spacing w:after="0"/>
        <w:ind w:left="0"/>
        <w:jc w:val="both"/>
      </w:pPr>
    </w:p>
    <w:p w14:paraId="756E930B" w14:textId="35DA1511" w:rsidR="001077E2" w:rsidRPr="00F16887" w:rsidRDefault="001077E2" w:rsidP="00F16887">
      <w:pPr>
        <w:jc w:val="both"/>
        <w:rPr>
          <w:lang w:val="fr-FR"/>
        </w:rPr>
      </w:pPr>
      <w:r w:rsidRPr="00F16887">
        <w:rPr>
          <w:lang w:val="fr-FR"/>
        </w:rPr>
        <w:t>Pour la classification des demandes de brevet et de modèle d</w:t>
      </w:r>
      <w:r w:rsidR="00F16887">
        <w:rPr>
          <w:lang w:val="fr-FR"/>
        </w:rPr>
        <w:t>’</w:t>
      </w:r>
      <w:r w:rsidRPr="00F16887">
        <w:rPr>
          <w:lang w:val="fr-FR"/>
        </w:rPr>
        <w:t>utilité, l</w:t>
      </w:r>
      <w:r w:rsidR="00F16887">
        <w:rPr>
          <w:lang w:val="fr-FR"/>
        </w:rPr>
        <w:t>’</w:t>
      </w:r>
      <w:r w:rsidRPr="00F16887">
        <w:rPr>
          <w:lang w:val="fr-FR"/>
        </w:rPr>
        <w:t xml:space="preserve">IMPI utilise </w:t>
      </w:r>
      <w:r w:rsidRPr="00F16887">
        <w:rPr>
          <w:b/>
          <w:bCs/>
          <w:lang w:val="fr-FR"/>
        </w:rPr>
        <w:t>ProClass</w:t>
      </w:r>
      <w:r w:rsidRPr="00F16887">
        <w:rPr>
          <w:lang w:val="fr-FR"/>
        </w:rPr>
        <w:t>, son outil informatique inter</w:t>
      </w:r>
      <w:r w:rsidR="00C95B35" w:rsidRPr="00F16887">
        <w:rPr>
          <w:lang w:val="fr-FR"/>
        </w:rPr>
        <w:t>ne</w:t>
      </w:r>
      <w:r w:rsidR="00C95B35">
        <w:rPr>
          <w:lang w:val="fr-FR"/>
        </w:rPr>
        <w:t xml:space="preserve">.  </w:t>
      </w:r>
      <w:r w:rsidR="00C95B35" w:rsidRPr="00F16887">
        <w:rPr>
          <w:lang w:val="fr-FR"/>
        </w:rPr>
        <w:t>Gr</w:t>
      </w:r>
      <w:r w:rsidRPr="00F16887">
        <w:rPr>
          <w:lang w:val="fr-FR"/>
        </w:rPr>
        <w:t>âce à ProClass, les examinateurs attribuent les symboles de la Classification internationale des brevets et de la Classification coopérative des brevets, et toutes les classifications sont examinées et validées par le module de gestion de la qualité de la classification intégré à cet outil.</w:t>
      </w:r>
    </w:p>
    <w:p w14:paraId="2E0C0302" w14:textId="77777777" w:rsidR="001077E2" w:rsidRPr="00F16887" w:rsidRDefault="001077E2" w:rsidP="00F16887">
      <w:pPr>
        <w:jc w:val="both"/>
        <w:rPr>
          <w:lang w:val="fr-FR"/>
        </w:rPr>
      </w:pPr>
    </w:p>
    <w:p w14:paraId="1DDC40DD" w14:textId="7521B7E0" w:rsidR="001077E2" w:rsidRPr="00F16887" w:rsidRDefault="001077E2" w:rsidP="00F16887">
      <w:pPr>
        <w:jc w:val="both"/>
        <w:rPr>
          <w:lang w:val="fr-FR"/>
        </w:rPr>
      </w:pPr>
      <w:r w:rsidRPr="00F16887">
        <w:rPr>
          <w:lang w:val="fr-FR"/>
        </w:rPr>
        <w:t>Le module de gestion de la qualité de la classification est conçu pour activer des alertes afin de réviser les classifications et de s</w:t>
      </w:r>
      <w:r w:rsidR="00F16887">
        <w:rPr>
          <w:lang w:val="fr-FR"/>
        </w:rPr>
        <w:t>’</w:t>
      </w:r>
      <w:r w:rsidRPr="00F16887">
        <w:rPr>
          <w:lang w:val="fr-FR"/>
        </w:rPr>
        <w:t>assurer que les symboles attribués à chaque demande correspondent au domaine technique de l</w:t>
      </w:r>
      <w:r w:rsidR="00F16887">
        <w:rPr>
          <w:lang w:val="fr-FR"/>
        </w:rPr>
        <w:t>’</w:t>
      </w:r>
      <w:r w:rsidRPr="00F16887">
        <w:rPr>
          <w:lang w:val="fr-FR"/>
        </w:rPr>
        <w:t>invention, qu</w:t>
      </w:r>
      <w:r w:rsidR="00F16887">
        <w:rPr>
          <w:lang w:val="fr-FR"/>
        </w:rPr>
        <w:t>’</w:t>
      </w:r>
      <w:r w:rsidRPr="00F16887">
        <w:rPr>
          <w:lang w:val="fr-FR"/>
        </w:rPr>
        <w:t>ils sont conformes aux normes de la classification internationale des brevets et de la classification coopérative des brevets, que les symboles attribués à chaque norme sont cohérents entre eux et que l</w:t>
      </w:r>
      <w:r w:rsidR="00F16887">
        <w:rPr>
          <w:lang w:val="fr-FR"/>
        </w:rPr>
        <w:t>’</w:t>
      </w:r>
      <w:r w:rsidRPr="00F16887">
        <w:rPr>
          <w:lang w:val="fr-FR"/>
        </w:rPr>
        <w:t>invention correspond et est automatiquement attribuée au service d</w:t>
      </w:r>
      <w:r w:rsidR="00F16887">
        <w:rPr>
          <w:lang w:val="fr-FR"/>
        </w:rPr>
        <w:t>’</w:t>
      </w:r>
      <w:r w:rsidRPr="00F16887">
        <w:rPr>
          <w:lang w:val="fr-FR"/>
        </w:rPr>
        <w:t>examen quant au fond auquel appartient le domaine technique de l</w:t>
      </w:r>
      <w:r w:rsidR="00F16887">
        <w:rPr>
          <w:lang w:val="fr-FR"/>
        </w:rPr>
        <w:t>’</w:t>
      </w:r>
      <w:r w:rsidRPr="00F16887">
        <w:rPr>
          <w:lang w:val="fr-FR"/>
        </w:rPr>
        <w:t>invention.</w:t>
      </w:r>
    </w:p>
    <w:p w14:paraId="25B12FA9" w14:textId="77777777" w:rsidR="001077E2" w:rsidRPr="00F16887" w:rsidRDefault="001077E2" w:rsidP="00F16887">
      <w:pPr>
        <w:jc w:val="both"/>
        <w:rPr>
          <w:lang w:val="fr-FR"/>
        </w:rPr>
      </w:pPr>
    </w:p>
    <w:p w14:paraId="658ACD12" w14:textId="0F0BBF8A" w:rsidR="00F16887" w:rsidRDefault="001077E2" w:rsidP="00F16887">
      <w:pPr>
        <w:jc w:val="both"/>
        <w:rPr>
          <w:lang w:val="fr-FR"/>
        </w:rPr>
      </w:pPr>
      <w:r w:rsidRPr="00F16887">
        <w:rPr>
          <w:lang w:val="fr-FR"/>
        </w:rPr>
        <w:t>Lorsque le dossier est transmis à une unité de coordination qui n</w:t>
      </w:r>
      <w:r w:rsidR="00F16887">
        <w:rPr>
          <w:lang w:val="fr-FR"/>
        </w:rPr>
        <w:t>’</w:t>
      </w:r>
      <w:r w:rsidRPr="00F16887">
        <w:rPr>
          <w:lang w:val="fr-FR"/>
        </w:rPr>
        <w:t>est pas chargée d</w:t>
      </w:r>
      <w:r w:rsidR="00F16887">
        <w:rPr>
          <w:lang w:val="fr-FR"/>
        </w:rPr>
        <w:t>’</w:t>
      </w:r>
      <w:r w:rsidRPr="00F16887">
        <w:rPr>
          <w:lang w:val="fr-FR"/>
        </w:rPr>
        <w:t>étudier l</w:t>
      </w:r>
      <w:r w:rsidR="00F16887">
        <w:rPr>
          <w:lang w:val="fr-FR"/>
        </w:rPr>
        <w:t>’</w:t>
      </w:r>
      <w:r w:rsidRPr="00F16887">
        <w:rPr>
          <w:lang w:val="fr-FR"/>
        </w:rPr>
        <w:t>invention, il est alors transmis au service appropr</w:t>
      </w:r>
      <w:r w:rsidR="00C95B35" w:rsidRPr="00F16887">
        <w:rPr>
          <w:lang w:val="fr-FR"/>
        </w:rPr>
        <w:t>ié</w:t>
      </w:r>
      <w:r w:rsidR="00C95B35">
        <w:rPr>
          <w:lang w:val="fr-FR"/>
        </w:rPr>
        <w:t xml:space="preserve">.  </w:t>
      </w:r>
      <w:r w:rsidR="00C95B35" w:rsidRPr="00F16887">
        <w:rPr>
          <w:lang w:val="fr-FR"/>
        </w:rPr>
        <w:t>Lo</w:t>
      </w:r>
      <w:r w:rsidRPr="00F16887">
        <w:rPr>
          <w:lang w:val="fr-FR"/>
        </w:rPr>
        <w:t>rsqu</w:t>
      </w:r>
      <w:r w:rsidR="00F16887">
        <w:rPr>
          <w:lang w:val="fr-FR"/>
        </w:rPr>
        <w:t>’</w:t>
      </w:r>
      <w:r w:rsidRPr="00F16887">
        <w:rPr>
          <w:lang w:val="fr-FR"/>
        </w:rPr>
        <w:t>une incohérence est constatée dans la classification attribuée, l</w:t>
      </w:r>
      <w:r w:rsidR="00F16887">
        <w:rPr>
          <w:lang w:val="fr-FR"/>
        </w:rPr>
        <w:t>’</w:t>
      </w:r>
      <w:r w:rsidRPr="00F16887">
        <w:rPr>
          <w:lang w:val="fr-FR"/>
        </w:rPr>
        <w:t>examinateur en est informé afin que les corrections correspondantes puissent être apporté</w:t>
      </w:r>
      <w:r w:rsidR="00C95B35" w:rsidRPr="00F16887">
        <w:rPr>
          <w:lang w:val="fr-FR"/>
        </w:rPr>
        <w:t>es</w:t>
      </w:r>
      <w:r w:rsidR="00C95B35">
        <w:rPr>
          <w:lang w:val="fr-FR"/>
        </w:rPr>
        <w:t xml:space="preserve">.  </w:t>
      </w:r>
      <w:r w:rsidR="00C95B35" w:rsidRPr="00F16887">
        <w:rPr>
          <w:lang w:val="fr-FR"/>
        </w:rPr>
        <w:t>L</w:t>
      </w:r>
      <w:r w:rsidR="00C95B35">
        <w:rPr>
          <w:lang w:val="fr-FR"/>
        </w:rPr>
        <w:t>’</w:t>
      </w:r>
      <w:r w:rsidR="00C95B35" w:rsidRPr="00F16887">
        <w:rPr>
          <w:lang w:val="fr-FR"/>
        </w:rPr>
        <w:t>e</w:t>
      </w:r>
      <w:r w:rsidRPr="00F16887">
        <w:rPr>
          <w:lang w:val="fr-FR"/>
        </w:rPr>
        <w:t>xaminateur doit corriger la demande et faire rappo</w:t>
      </w:r>
      <w:r w:rsidR="00C95B35" w:rsidRPr="00F16887">
        <w:rPr>
          <w:lang w:val="fr-FR"/>
        </w:rPr>
        <w:t>rt</w:t>
      </w:r>
      <w:r w:rsidR="00C95B35">
        <w:rPr>
          <w:lang w:val="fr-FR"/>
        </w:rPr>
        <w:t xml:space="preserve">.  </w:t>
      </w:r>
      <w:r w:rsidR="00C95B35" w:rsidRPr="00F16887">
        <w:rPr>
          <w:lang w:val="fr-FR"/>
        </w:rPr>
        <w:t>Le</w:t>
      </w:r>
      <w:r w:rsidRPr="00F16887">
        <w:rPr>
          <w:lang w:val="fr-FR"/>
        </w:rPr>
        <w:t>s classifications sont réévaluées jusqu</w:t>
      </w:r>
      <w:r w:rsidR="00F16887">
        <w:rPr>
          <w:lang w:val="fr-FR"/>
        </w:rPr>
        <w:t>’</w:t>
      </w:r>
      <w:r w:rsidRPr="00F16887">
        <w:rPr>
          <w:lang w:val="fr-FR"/>
        </w:rPr>
        <w:t>à ce qu</w:t>
      </w:r>
      <w:r w:rsidR="00F16887">
        <w:rPr>
          <w:lang w:val="fr-FR"/>
        </w:rPr>
        <w:t>’</w:t>
      </w:r>
      <w:r w:rsidRPr="00F16887">
        <w:rPr>
          <w:lang w:val="fr-FR"/>
        </w:rPr>
        <w:t>elles soient adéquates, après quoi le dossier est considéré comme ayant passé le contrôle qualité.</w:t>
      </w:r>
    </w:p>
    <w:p w14:paraId="1734805B" w14:textId="18C2001B" w:rsidR="001077E2" w:rsidRPr="00F16887" w:rsidRDefault="001077E2" w:rsidP="00F16887">
      <w:pPr>
        <w:jc w:val="both"/>
        <w:rPr>
          <w:lang w:val="fr-FR"/>
        </w:rPr>
      </w:pPr>
    </w:p>
    <w:p w14:paraId="542CED50" w14:textId="4CF855C4" w:rsidR="001077E2" w:rsidRPr="00F16887" w:rsidRDefault="001077E2" w:rsidP="00F16887">
      <w:pPr>
        <w:jc w:val="both"/>
        <w:rPr>
          <w:lang w:val="fr-FR"/>
        </w:rPr>
      </w:pPr>
      <w:r w:rsidRPr="00F16887">
        <w:rPr>
          <w:lang w:val="fr-FR"/>
        </w:rPr>
        <w:t>Ce processus garantit que, dès le départ, les dossiers sont transmis au service d</w:t>
      </w:r>
      <w:r w:rsidR="00F16887">
        <w:rPr>
          <w:lang w:val="fr-FR"/>
        </w:rPr>
        <w:t>’</w:t>
      </w:r>
      <w:r w:rsidRPr="00F16887">
        <w:rPr>
          <w:lang w:val="fr-FR"/>
        </w:rPr>
        <w:t>examen quant au fond compétent pour le domaine technique de l</w:t>
      </w:r>
      <w:r w:rsidR="00F16887">
        <w:rPr>
          <w:lang w:val="fr-FR"/>
        </w:rPr>
        <w:t>’</w:t>
      </w:r>
      <w:r w:rsidRPr="00F16887">
        <w:rPr>
          <w:lang w:val="fr-FR"/>
        </w:rPr>
        <w:t>inventi</w:t>
      </w:r>
      <w:r w:rsidR="00C95B35" w:rsidRPr="00F16887">
        <w:rPr>
          <w:lang w:val="fr-FR"/>
        </w:rPr>
        <w:t>on</w:t>
      </w:r>
      <w:r w:rsidR="00C95B35">
        <w:rPr>
          <w:lang w:val="fr-FR"/>
        </w:rPr>
        <w:t xml:space="preserve">.  </w:t>
      </w:r>
      <w:r w:rsidR="00C95B35" w:rsidRPr="00F16887">
        <w:rPr>
          <w:lang w:val="fr-FR"/>
        </w:rPr>
        <w:t>Il</w:t>
      </w:r>
      <w:r w:rsidRPr="00F16887">
        <w:rPr>
          <w:lang w:val="fr-FR"/>
        </w:rPr>
        <w:t xml:space="preserve"> garantit également que les dossiers sont classés avec les symboles appropriés pour leur domaine technique, en utilisant les symboles actuels conformes aux normes de classificati</w:t>
      </w:r>
      <w:r w:rsidR="00C95B35" w:rsidRPr="00F16887">
        <w:rPr>
          <w:lang w:val="fr-FR"/>
        </w:rPr>
        <w:t>on</w:t>
      </w:r>
      <w:r w:rsidR="00C95B35">
        <w:rPr>
          <w:lang w:val="fr-FR"/>
        </w:rPr>
        <w:t xml:space="preserve">.  </w:t>
      </w:r>
      <w:r w:rsidR="00C95B35" w:rsidRPr="00F16887">
        <w:rPr>
          <w:lang w:val="fr-FR"/>
        </w:rPr>
        <w:t>Se</w:t>
      </w:r>
      <w:r w:rsidRPr="00F16887">
        <w:rPr>
          <w:lang w:val="fr-FR"/>
        </w:rPr>
        <w:t>lon les estimations, 95% des dossiers traités sont correctement classés et correspondent au service chargé de les traiter.</w:t>
      </w:r>
    </w:p>
    <w:p w14:paraId="5A98F020" w14:textId="77777777" w:rsidR="001077E2" w:rsidRPr="00F16887" w:rsidRDefault="001077E2" w:rsidP="00F16887">
      <w:pPr>
        <w:jc w:val="both"/>
        <w:rPr>
          <w:lang w:val="fr-FR"/>
        </w:rPr>
      </w:pPr>
    </w:p>
    <w:p w14:paraId="6610BE12" w14:textId="07DBE733" w:rsidR="00F16887" w:rsidRDefault="001077E2" w:rsidP="00F16887">
      <w:pPr>
        <w:pStyle w:val="Answer"/>
        <w:spacing w:after="0"/>
        <w:ind w:left="0"/>
        <w:jc w:val="both"/>
      </w:pPr>
      <w:r w:rsidRPr="00F16887">
        <w:t>L</w:t>
      </w:r>
      <w:r w:rsidR="00F16887">
        <w:t>’</w:t>
      </w:r>
      <w:r w:rsidRPr="00F16887">
        <w:t>examen quant au fond des brevets et des modèles d</w:t>
      </w:r>
      <w:r w:rsidR="00F16887">
        <w:t>’</w:t>
      </w:r>
      <w:r w:rsidRPr="00F16887">
        <w:t>utilité est effectué par les cinq</w:t>
      </w:r>
      <w:r w:rsidR="00B22F9C">
        <w:t> </w:t>
      </w:r>
      <w:r w:rsidRPr="00F16887">
        <w:t>unités de coordination de l</w:t>
      </w:r>
      <w:r w:rsidR="00F16887">
        <w:t>’</w:t>
      </w:r>
      <w:r w:rsidRPr="00F16887">
        <w:t>examen technique quant au fond, en collaboration avec l</w:t>
      </w:r>
      <w:r w:rsidR="00F16887">
        <w:t>’</w:t>
      </w:r>
      <w:r w:rsidRPr="00F16887">
        <w:t>équipe d</w:t>
      </w:r>
      <w:r w:rsidR="00F16887">
        <w:t>’</w:t>
      </w:r>
      <w:r w:rsidRPr="00F16887">
        <w:t>examinateurs, de superviseurs et de coordinateurs de chaque domaine.</w:t>
      </w:r>
    </w:p>
    <w:p w14:paraId="2C32B1EB" w14:textId="18EA0D66" w:rsidR="001077E2" w:rsidRPr="00F16887" w:rsidRDefault="001077E2" w:rsidP="00F16887">
      <w:pPr>
        <w:pStyle w:val="Answer"/>
        <w:spacing w:after="0"/>
        <w:ind w:left="0"/>
        <w:jc w:val="both"/>
      </w:pPr>
    </w:p>
    <w:p w14:paraId="2FE053B9" w14:textId="0AD908E3" w:rsidR="001077E2" w:rsidRPr="00F16887" w:rsidRDefault="001077E2" w:rsidP="00F16887">
      <w:pPr>
        <w:pStyle w:val="Answer"/>
        <w:spacing w:after="0"/>
        <w:ind w:left="0"/>
        <w:jc w:val="both"/>
      </w:pPr>
      <w:r w:rsidRPr="00F16887">
        <w:t>L</w:t>
      </w:r>
      <w:r w:rsidR="00F16887">
        <w:t>’</w:t>
      </w:r>
      <w:r w:rsidRPr="00F16887">
        <w:t>état d</w:t>
      </w:r>
      <w:r w:rsidR="00F16887">
        <w:t>’</w:t>
      </w:r>
      <w:r w:rsidRPr="00F16887">
        <w:t>avancement de l</w:t>
      </w:r>
      <w:r w:rsidR="00F16887">
        <w:t>’</w:t>
      </w:r>
      <w:r w:rsidRPr="00F16887">
        <w:t>examen est géré par le système de gestion automatisé (SIAI), qui suit et contrôle tous les dossiers liés au process</w:t>
      </w:r>
      <w:r w:rsidR="00C95B35" w:rsidRPr="00F16887">
        <w:t>us</w:t>
      </w:r>
      <w:r w:rsidR="00C95B35">
        <w:t xml:space="preserve">.  </w:t>
      </w:r>
      <w:r w:rsidR="00C95B35" w:rsidRPr="00F16887">
        <w:t>Gr</w:t>
      </w:r>
      <w:r w:rsidRPr="00F16887">
        <w:t>âce à ce système, tous les actes officiels sont publiés, supervisés et signés avant d</w:t>
      </w:r>
      <w:r w:rsidR="00F16887">
        <w:t>’</w:t>
      </w:r>
      <w:r w:rsidRPr="00F16887">
        <w:t>être notifiés à l</w:t>
      </w:r>
      <w:r w:rsidR="00F16887">
        <w:t>’</w:t>
      </w:r>
      <w:r w:rsidRPr="00F16887">
        <w:t>utilisateur, laissant une trace électronique de toutes les communications officielles, de leurs dates d</w:t>
      </w:r>
      <w:r w:rsidR="00F16887">
        <w:t>’</w:t>
      </w:r>
      <w:r w:rsidRPr="00F16887">
        <w:t>émission et des délais fixés pour celles</w:t>
      </w:r>
      <w:r w:rsidR="00C95B35">
        <w:noBreakHyphen/>
      </w:r>
      <w:r w:rsidR="00C95B35" w:rsidRPr="00F16887">
        <w:t>ci</w:t>
      </w:r>
      <w:r w:rsidR="00C95B35">
        <w:t xml:space="preserve">.  </w:t>
      </w:r>
      <w:r w:rsidR="00C95B35" w:rsidRPr="00F16887">
        <w:t>Le</w:t>
      </w:r>
      <w:r w:rsidRPr="00F16887">
        <w:t xml:space="preserve"> superviseur ou le coordinateur de domaine examine chacun des actes officiels émanant du groupe d</w:t>
      </w:r>
      <w:r w:rsidR="00F16887">
        <w:t>’</w:t>
      </w:r>
      <w:r w:rsidRPr="00F16887">
        <w:t>examinateurs et, le cas échéant, les renvoie à l</w:t>
      </w:r>
      <w:r w:rsidR="00F16887">
        <w:t>’</w:t>
      </w:r>
      <w:r w:rsidRPr="00F16887">
        <w:t>examinateur pour qu</w:t>
      </w:r>
      <w:r w:rsidR="00F16887">
        <w:t>’</w:t>
      </w:r>
      <w:r w:rsidRPr="00F16887">
        <w:t>il y apporte des corrections ou des modificatio</w:t>
      </w:r>
      <w:r w:rsidR="00C95B35" w:rsidRPr="00F16887">
        <w:t>ns</w:t>
      </w:r>
      <w:r w:rsidR="00C95B35">
        <w:t xml:space="preserve">.  </w:t>
      </w:r>
      <w:r w:rsidR="00C95B35" w:rsidRPr="00F16887">
        <w:t>Po</w:t>
      </w:r>
      <w:r w:rsidRPr="00F16887">
        <w:t>ur ce faire, le dossier est examiné conjointement (examinateur/superviseur/coordinate</w:t>
      </w:r>
      <w:r w:rsidR="00C95B35" w:rsidRPr="00F16887">
        <w:t>ur)</w:t>
      </w:r>
      <w:r w:rsidR="00C95B35">
        <w:t xml:space="preserve">.  </w:t>
      </w:r>
      <w:r w:rsidR="00C95B35" w:rsidRPr="00F16887">
        <w:t>Ce</w:t>
      </w:r>
      <w:r w:rsidRPr="00F16887">
        <w:t>la permet de maintenir la qualité de l</w:t>
      </w:r>
      <w:r w:rsidR="00F16887">
        <w:t>’</w:t>
      </w:r>
      <w:r w:rsidRPr="00F16887">
        <w:t xml:space="preserve">examen </w:t>
      </w:r>
      <w:r w:rsidRPr="00F16887">
        <w:lastRenderedPageBreak/>
        <w:t>conformément aux critères de brevetabilité établis dans le cadre réglementaire national et international.</w:t>
      </w:r>
    </w:p>
    <w:p w14:paraId="4BF8A165" w14:textId="77777777" w:rsidR="001077E2" w:rsidRPr="00F16887" w:rsidRDefault="001077E2" w:rsidP="00F16887">
      <w:pPr>
        <w:pStyle w:val="Answer"/>
        <w:spacing w:after="0"/>
        <w:ind w:left="0"/>
        <w:jc w:val="both"/>
      </w:pPr>
    </w:p>
    <w:p w14:paraId="1C547A95" w14:textId="26DEF910" w:rsidR="001077E2" w:rsidRPr="00F16887" w:rsidRDefault="001077E2" w:rsidP="00F16887">
      <w:pPr>
        <w:pStyle w:val="Answer"/>
        <w:spacing w:after="0"/>
        <w:ind w:left="0"/>
        <w:jc w:val="both"/>
      </w:pPr>
      <w:r w:rsidRPr="00F16887">
        <w:t>Toutefois, l</w:t>
      </w:r>
      <w:r w:rsidR="00F16887">
        <w:t>’</w:t>
      </w:r>
      <w:r w:rsidRPr="00F16887">
        <w:t>IMPI travaille à la mise en place d</w:t>
      </w:r>
      <w:r w:rsidR="00F16887">
        <w:t>’</w:t>
      </w:r>
      <w:r w:rsidRPr="00F16887">
        <w:t>un système de gestion de la qualité qui réponde aux exigences du chapitre 21 des directives du PCT concernant la recherche internationale et l</w:t>
      </w:r>
      <w:r w:rsidR="00F16887">
        <w:t>’</w:t>
      </w:r>
      <w:r w:rsidRPr="00F16887">
        <w:t>examen préliminaire internation</w:t>
      </w:r>
      <w:r w:rsidR="00C95B35" w:rsidRPr="00F16887">
        <w:t>al</w:t>
      </w:r>
      <w:r w:rsidR="00C95B35">
        <w:t xml:space="preserve">.  </w:t>
      </w:r>
      <w:r w:rsidR="00C95B35" w:rsidRPr="00F16887">
        <w:t>Il</w:t>
      </w:r>
      <w:r w:rsidRPr="00F16887">
        <w:t xml:space="preserve"> envisage également d</w:t>
      </w:r>
      <w:r w:rsidR="00F16887">
        <w:t>’</w:t>
      </w:r>
      <w:r w:rsidRPr="00F16887">
        <w:t>obtenir la certification ISO 9001 pour son système de gestion de la qualité.</w:t>
      </w:r>
    </w:p>
    <w:p w14:paraId="6FEF6644" w14:textId="77777777" w:rsidR="001077E2" w:rsidRPr="00F16887" w:rsidRDefault="001077E2" w:rsidP="00F16887">
      <w:pPr>
        <w:pStyle w:val="Answer"/>
        <w:spacing w:after="0"/>
        <w:ind w:left="0"/>
        <w:jc w:val="both"/>
      </w:pPr>
    </w:p>
    <w:p w14:paraId="4E332B20" w14:textId="5CD60374" w:rsidR="001077E2" w:rsidRPr="00F16887" w:rsidRDefault="001077E2" w:rsidP="00F16887">
      <w:pPr>
        <w:jc w:val="both"/>
        <w:rPr>
          <w:lang w:val="fr-FR"/>
        </w:rPr>
      </w:pPr>
      <w:r w:rsidRPr="00F16887">
        <w:rPr>
          <w:lang w:val="fr-FR"/>
        </w:rPr>
        <w:t>L</w:t>
      </w:r>
      <w:r w:rsidR="00F16887">
        <w:rPr>
          <w:lang w:val="fr-FR"/>
        </w:rPr>
        <w:t>’</w:t>
      </w:r>
      <w:r w:rsidRPr="00F16887">
        <w:rPr>
          <w:lang w:val="fr-FR"/>
        </w:rPr>
        <w:t>IMPI déclare qu</w:t>
      </w:r>
      <w:r w:rsidR="00F16887">
        <w:rPr>
          <w:lang w:val="fr-FR"/>
        </w:rPr>
        <w:t>’</w:t>
      </w:r>
      <w:r w:rsidRPr="00F16887">
        <w:rPr>
          <w:lang w:val="fr-FR"/>
        </w:rPr>
        <w:t>avant sa nomination en qualité d</w:t>
      </w:r>
      <w:r w:rsidR="00F16887">
        <w:rPr>
          <w:lang w:val="fr-FR"/>
        </w:rPr>
        <w:t>’</w:t>
      </w:r>
      <w:r w:rsidRPr="00F16887">
        <w:rPr>
          <w:lang w:val="fr-FR"/>
        </w:rPr>
        <w:t>administration chargée de la recherche internationale et de l</w:t>
      </w:r>
      <w:r w:rsidR="00F16887">
        <w:rPr>
          <w:lang w:val="fr-FR"/>
        </w:rPr>
        <w:t>’</w:t>
      </w:r>
      <w:r w:rsidRPr="00F16887">
        <w:rPr>
          <w:lang w:val="fr-FR"/>
        </w:rPr>
        <w:t>examen préliminaire international, il soumettra à l</w:t>
      </w:r>
      <w:r w:rsidR="00F16887">
        <w:rPr>
          <w:lang w:val="fr-FR"/>
        </w:rPr>
        <w:t>’</w:t>
      </w:r>
      <w:r w:rsidRPr="00F16887">
        <w:rPr>
          <w:lang w:val="fr-FR"/>
        </w:rPr>
        <w:t>OMPI l</w:t>
      </w:r>
      <w:r w:rsidR="00F16887">
        <w:rPr>
          <w:lang w:val="fr-FR"/>
        </w:rPr>
        <w:t>’</w:t>
      </w:r>
      <w:r w:rsidRPr="00F16887">
        <w:rPr>
          <w:lang w:val="fr-FR"/>
        </w:rPr>
        <w:t>état de la certification correspondante et le rapport sur le système de gestion de la qualité, conformément au modèle intitulé “Rapport initial sur les systèmes de gestion de la qualité”.</w:t>
      </w:r>
    </w:p>
    <w:p w14:paraId="1C0A3E2C" w14:textId="77777777" w:rsidR="001077E2" w:rsidRPr="00F16887" w:rsidRDefault="001077E2" w:rsidP="00F16887">
      <w:pPr>
        <w:pStyle w:val="Answer"/>
        <w:spacing w:after="0"/>
        <w:ind w:left="0"/>
        <w:jc w:val="both"/>
      </w:pPr>
    </w:p>
    <w:p w14:paraId="4FFFE5C4" w14:textId="14266DBD" w:rsidR="001077E2" w:rsidRPr="00F16887" w:rsidRDefault="001077E2" w:rsidP="00F16887">
      <w:pPr>
        <w:pStyle w:val="SectionHeading"/>
        <w:spacing w:after="0"/>
        <w:rPr>
          <w:lang w:val="fr-FR"/>
        </w:rPr>
      </w:pPr>
      <w:r w:rsidRPr="00F16887">
        <w:rPr>
          <w:lang w:val="fr-FR"/>
        </w:rPr>
        <w:t>3 – Champ d</w:t>
      </w:r>
      <w:r w:rsidR="00F16887">
        <w:rPr>
          <w:lang w:val="fr-FR"/>
        </w:rPr>
        <w:t>’</w:t>
      </w:r>
      <w:r w:rsidRPr="00F16887">
        <w:rPr>
          <w:lang w:val="fr-FR"/>
        </w:rPr>
        <w:t>application visé</w:t>
      </w:r>
    </w:p>
    <w:p w14:paraId="02CBA432" w14:textId="719714AE" w:rsidR="00F16887" w:rsidRDefault="001077E2" w:rsidP="00F16887">
      <w:pPr>
        <w:pStyle w:val="Question"/>
        <w:spacing w:after="0"/>
      </w:pPr>
      <w:r w:rsidRPr="00F16887">
        <w:t>a)</w:t>
      </w:r>
      <w:r w:rsidRPr="00F16887">
        <w:tab/>
        <w:t>Langues dans lesquelles les services seraient proposés</w:t>
      </w:r>
      <w:r w:rsidR="00F16887">
        <w:t> :</w:t>
      </w:r>
    </w:p>
    <w:p w14:paraId="54E838E4" w14:textId="2B58A556" w:rsidR="001077E2" w:rsidRPr="00F16887" w:rsidRDefault="001077E2" w:rsidP="00F16887">
      <w:pPr>
        <w:pStyle w:val="Question"/>
        <w:spacing w:after="0"/>
      </w:pPr>
    </w:p>
    <w:p w14:paraId="6BDB69DA" w14:textId="77777777" w:rsidR="001077E2" w:rsidRPr="00F16887" w:rsidRDefault="001077E2" w:rsidP="00F16887">
      <w:pPr>
        <w:pStyle w:val="Question"/>
        <w:spacing w:after="0"/>
      </w:pPr>
      <w:r w:rsidRPr="00F16887">
        <w:rPr>
          <w:b w:val="0"/>
        </w:rPr>
        <w:t>Espagnol</w:t>
      </w:r>
    </w:p>
    <w:p w14:paraId="5B78C708" w14:textId="77777777" w:rsidR="001077E2" w:rsidRPr="00F16887" w:rsidRDefault="001077E2" w:rsidP="00F16887">
      <w:pPr>
        <w:pStyle w:val="Question"/>
        <w:spacing w:after="0"/>
      </w:pPr>
    </w:p>
    <w:p w14:paraId="43785B0B" w14:textId="0520F35B" w:rsidR="001077E2" w:rsidRPr="00F16887" w:rsidRDefault="001077E2" w:rsidP="00F16887">
      <w:pPr>
        <w:pStyle w:val="Question"/>
      </w:pPr>
      <w:r w:rsidRPr="00F16887">
        <w:t>b)</w:t>
      </w:r>
      <w:r w:rsidR="0025290E">
        <w:tab/>
      </w:r>
      <w:r w:rsidRPr="00F16887">
        <w:t>États ou offices récepteurs pour lesquels l</w:t>
      </w:r>
      <w:r w:rsidR="00F16887">
        <w:t>’</w:t>
      </w:r>
      <w:r w:rsidRPr="00F16887">
        <w:t>administration serait compétente</w:t>
      </w:r>
      <w:r w:rsidR="00F16887">
        <w:t> :</w:t>
      </w:r>
    </w:p>
    <w:p w14:paraId="7B49865D" w14:textId="1F44DCF5" w:rsidR="001077E2" w:rsidRPr="00F16887" w:rsidRDefault="001077E2" w:rsidP="00F16887">
      <w:pPr>
        <w:pStyle w:val="Question"/>
        <w:spacing w:after="0"/>
        <w:jc w:val="both"/>
        <w:rPr>
          <w:b w:val="0"/>
          <w:bCs w:val="0"/>
        </w:rPr>
      </w:pPr>
      <w:r w:rsidRPr="00F16887">
        <w:rPr>
          <w:b w:val="0"/>
        </w:rPr>
        <w:t>L</w:t>
      </w:r>
      <w:r w:rsidR="00F16887">
        <w:rPr>
          <w:b w:val="0"/>
        </w:rPr>
        <w:t>’</w:t>
      </w:r>
      <w:r w:rsidRPr="00F16887">
        <w:rPr>
          <w:b w:val="0"/>
        </w:rPr>
        <w:t>IMPI offrira ses services en qualité d</w:t>
      </w:r>
      <w:r w:rsidR="00F16887">
        <w:rPr>
          <w:b w:val="0"/>
        </w:rPr>
        <w:t>’</w:t>
      </w:r>
      <w:r w:rsidRPr="00F16887">
        <w:rPr>
          <w:b w:val="0"/>
        </w:rPr>
        <w:t>administration chargée de la recherche internationale et d</w:t>
      </w:r>
      <w:r w:rsidR="00F16887">
        <w:rPr>
          <w:b w:val="0"/>
        </w:rPr>
        <w:t>’</w:t>
      </w:r>
      <w:r w:rsidRPr="00F16887">
        <w:rPr>
          <w:b w:val="0"/>
        </w:rPr>
        <w:t>administration chargée de l</w:t>
      </w:r>
      <w:r w:rsidR="00F16887">
        <w:rPr>
          <w:b w:val="0"/>
        </w:rPr>
        <w:t>’</w:t>
      </w:r>
      <w:r w:rsidRPr="00F16887">
        <w:rPr>
          <w:b w:val="0"/>
        </w:rPr>
        <w:t>examen préliminaire international aux pays hispanophones d</w:t>
      </w:r>
      <w:r w:rsidR="00F16887">
        <w:rPr>
          <w:b w:val="0"/>
        </w:rPr>
        <w:t>’</w:t>
      </w:r>
      <w:r w:rsidRPr="00F16887">
        <w:rPr>
          <w:b w:val="0"/>
        </w:rPr>
        <w:t>Amérique latine et de la région des Caraïbes ainsi qu</w:t>
      </w:r>
      <w:r w:rsidR="00F16887">
        <w:rPr>
          <w:b w:val="0"/>
        </w:rPr>
        <w:t>’</w:t>
      </w:r>
      <w:r w:rsidRPr="00F16887">
        <w:rPr>
          <w:b w:val="0"/>
        </w:rPr>
        <w:t>à tout autre pays qui accepte les demandes internationales en espagnol, sur simple demande.</w:t>
      </w:r>
    </w:p>
    <w:p w14:paraId="4EB4A807" w14:textId="77777777" w:rsidR="001077E2" w:rsidRPr="00F16887" w:rsidRDefault="001077E2" w:rsidP="00F16887">
      <w:pPr>
        <w:pStyle w:val="Question"/>
        <w:spacing w:after="0"/>
        <w:jc w:val="both"/>
      </w:pPr>
    </w:p>
    <w:p w14:paraId="55A222CC" w14:textId="5ABB6DCD" w:rsidR="00F16887" w:rsidRDefault="001077E2" w:rsidP="00F16887">
      <w:pPr>
        <w:pStyle w:val="Question"/>
        <w:spacing w:after="0"/>
        <w:jc w:val="both"/>
      </w:pPr>
      <w:r w:rsidRPr="00F16887">
        <w:t>c)</w:t>
      </w:r>
      <w:r w:rsidRPr="00F16887">
        <w:tab/>
        <w:t>Limitations du champ d</w:t>
      </w:r>
      <w:r w:rsidR="00F16887">
        <w:t>’</w:t>
      </w:r>
      <w:r w:rsidRPr="00F16887">
        <w:t>application</w:t>
      </w:r>
      <w:r w:rsidR="00F16887">
        <w:t> :</w:t>
      </w:r>
    </w:p>
    <w:p w14:paraId="03E9AEBE" w14:textId="5966BE5F" w:rsidR="001077E2" w:rsidRPr="00F16887" w:rsidRDefault="001077E2" w:rsidP="00F16887">
      <w:pPr>
        <w:pStyle w:val="Question"/>
        <w:spacing w:after="0"/>
        <w:jc w:val="both"/>
        <w:rPr>
          <w:b w:val="0"/>
          <w:bCs w:val="0"/>
          <w:szCs w:val="20"/>
        </w:rPr>
      </w:pPr>
    </w:p>
    <w:p w14:paraId="394B4C6F" w14:textId="4B403D7A" w:rsidR="00F16887" w:rsidRDefault="001077E2" w:rsidP="00F16887">
      <w:pPr>
        <w:pStyle w:val="Question"/>
        <w:spacing w:after="0"/>
        <w:jc w:val="both"/>
        <w:rPr>
          <w:b w:val="0"/>
        </w:rPr>
      </w:pPr>
      <w:r w:rsidRPr="00F16887">
        <w:rPr>
          <w:b w:val="0"/>
        </w:rPr>
        <w:t>L</w:t>
      </w:r>
      <w:r w:rsidR="00F16887">
        <w:rPr>
          <w:b w:val="0"/>
        </w:rPr>
        <w:t>’</w:t>
      </w:r>
      <w:r w:rsidRPr="00F16887">
        <w:rPr>
          <w:b w:val="0"/>
        </w:rPr>
        <w:t>IMPI n</w:t>
      </w:r>
      <w:r w:rsidR="00F16887">
        <w:rPr>
          <w:b w:val="0"/>
        </w:rPr>
        <w:t>’</w:t>
      </w:r>
      <w:r w:rsidRPr="00F16887">
        <w:rPr>
          <w:b w:val="0"/>
        </w:rPr>
        <w:t>effectuera pas de recherche internationale ni d</w:t>
      </w:r>
      <w:r w:rsidR="00F16887">
        <w:rPr>
          <w:b w:val="0"/>
        </w:rPr>
        <w:t>’</w:t>
      </w:r>
      <w:r w:rsidRPr="00F16887">
        <w:rPr>
          <w:b w:val="0"/>
        </w:rPr>
        <w:t>examen préliminaire international pour les demandes déposées dans des langues autres que l</w:t>
      </w:r>
      <w:r w:rsidR="00F16887">
        <w:rPr>
          <w:b w:val="0"/>
        </w:rPr>
        <w:t>’</w:t>
      </w:r>
      <w:r w:rsidRPr="00F16887">
        <w:rPr>
          <w:b w:val="0"/>
        </w:rPr>
        <w:t>espagnol.</w:t>
      </w:r>
    </w:p>
    <w:p w14:paraId="7EF720E5" w14:textId="481DC63F" w:rsidR="001077E2" w:rsidRPr="00F16887" w:rsidRDefault="001077E2" w:rsidP="00F16887">
      <w:pPr>
        <w:pStyle w:val="Question"/>
        <w:spacing w:after="0"/>
      </w:pPr>
    </w:p>
    <w:p w14:paraId="19E23229" w14:textId="6CD116B7" w:rsidR="00F16887" w:rsidRDefault="001077E2" w:rsidP="00F16887">
      <w:pPr>
        <w:pStyle w:val="Question"/>
        <w:spacing w:after="0"/>
      </w:pPr>
      <w:r w:rsidRPr="00F16887">
        <w:t>d)</w:t>
      </w:r>
      <w:r w:rsidRPr="00F16887">
        <w:tab/>
        <w:t>Autres administrations internationales qui resteront compétentes pour les demandes déposées auprès de l</w:t>
      </w:r>
      <w:r w:rsidR="00F16887">
        <w:t>’</w:t>
      </w:r>
      <w:r w:rsidRPr="00F16887">
        <w:t>office en sa qualité d</w:t>
      </w:r>
      <w:r w:rsidR="00F16887">
        <w:t>’</w:t>
      </w:r>
      <w:r w:rsidRPr="00F16887">
        <w:t>office récepteur</w:t>
      </w:r>
      <w:r w:rsidR="00F16887">
        <w:t> :</w:t>
      </w:r>
    </w:p>
    <w:p w14:paraId="0187DDA3" w14:textId="18C0073B" w:rsidR="001077E2" w:rsidRPr="00F16887" w:rsidRDefault="001077E2" w:rsidP="00F16887">
      <w:pPr>
        <w:pStyle w:val="Answer"/>
        <w:ind w:left="0"/>
      </w:pPr>
    </w:p>
    <w:p w14:paraId="544E59E1" w14:textId="2FEA9176" w:rsidR="001077E2" w:rsidRPr="00F16887" w:rsidRDefault="001077E2" w:rsidP="00F16887">
      <w:pPr>
        <w:pStyle w:val="Question"/>
        <w:keepNext w:val="0"/>
        <w:spacing w:after="0"/>
        <w:jc w:val="both"/>
        <w:rPr>
          <w:b w:val="0"/>
          <w:bCs w:val="0"/>
          <w:szCs w:val="20"/>
        </w:rPr>
      </w:pPr>
      <w:r w:rsidRPr="00F16887">
        <w:rPr>
          <w:b w:val="0"/>
        </w:rPr>
        <w:t>l</w:t>
      </w:r>
      <w:r w:rsidR="00F16887">
        <w:rPr>
          <w:b w:val="0"/>
        </w:rPr>
        <w:t>’</w:t>
      </w:r>
      <w:r w:rsidRPr="00F16887">
        <w:rPr>
          <w:b w:val="0"/>
        </w:rPr>
        <w:t>OEPM;</w:t>
      </w:r>
    </w:p>
    <w:p w14:paraId="5CDAF843" w14:textId="76666C6B" w:rsidR="001077E2" w:rsidRPr="00F16887" w:rsidRDefault="001077E2" w:rsidP="00F16887">
      <w:pPr>
        <w:pStyle w:val="Question"/>
        <w:keepNext w:val="0"/>
        <w:spacing w:after="0"/>
        <w:jc w:val="both"/>
        <w:rPr>
          <w:b w:val="0"/>
          <w:bCs w:val="0"/>
          <w:szCs w:val="20"/>
        </w:rPr>
      </w:pPr>
      <w:r w:rsidRPr="00F16887">
        <w:rPr>
          <w:b w:val="0"/>
        </w:rPr>
        <w:t>l</w:t>
      </w:r>
      <w:r w:rsidR="00F16887">
        <w:rPr>
          <w:b w:val="0"/>
        </w:rPr>
        <w:t>’</w:t>
      </w:r>
      <w:r w:rsidRPr="00F16887">
        <w:rPr>
          <w:b w:val="0"/>
        </w:rPr>
        <w:t>Office autrichien des brevets;</w:t>
      </w:r>
    </w:p>
    <w:p w14:paraId="5772FA61" w14:textId="05791161" w:rsidR="001077E2" w:rsidRPr="00F16887" w:rsidRDefault="001077E2" w:rsidP="00F16887">
      <w:pPr>
        <w:pStyle w:val="Question"/>
        <w:keepNext w:val="0"/>
        <w:spacing w:after="0"/>
        <w:jc w:val="both"/>
        <w:rPr>
          <w:b w:val="0"/>
          <w:bCs w:val="0"/>
          <w:szCs w:val="20"/>
        </w:rPr>
      </w:pPr>
      <w:r w:rsidRPr="00F16887">
        <w:rPr>
          <w:b w:val="0"/>
        </w:rPr>
        <w:t>l</w:t>
      </w:r>
      <w:r w:rsidR="00F16887">
        <w:rPr>
          <w:b w:val="0"/>
        </w:rPr>
        <w:t>’</w:t>
      </w:r>
      <w:r w:rsidRPr="00F16887">
        <w:rPr>
          <w:b w:val="0"/>
        </w:rPr>
        <w:t>Office suédois des brevets et de l</w:t>
      </w:r>
      <w:r w:rsidR="00F16887">
        <w:rPr>
          <w:b w:val="0"/>
        </w:rPr>
        <w:t>’</w:t>
      </w:r>
      <w:r w:rsidRPr="00F16887">
        <w:rPr>
          <w:b w:val="0"/>
        </w:rPr>
        <w:t>enregistrement;</w:t>
      </w:r>
    </w:p>
    <w:p w14:paraId="70FC457C" w14:textId="5DB28A94" w:rsidR="001077E2" w:rsidRPr="00F16887" w:rsidRDefault="001077E2" w:rsidP="00F16887">
      <w:pPr>
        <w:pStyle w:val="Question"/>
        <w:keepNext w:val="0"/>
        <w:spacing w:after="0"/>
        <w:jc w:val="both"/>
        <w:rPr>
          <w:b w:val="0"/>
          <w:bCs w:val="0"/>
          <w:szCs w:val="20"/>
        </w:rPr>
      </w:pPr>
      <w:r w:rsidRPr="00F16887">
        <w:rPr>
          <w:b w:val="0"/>
        </w:rPr>
        <w:t>l</w:t>
      </w:r>
      <w:r w:rsidR="00F16887">
        <w:rPr>
          <w:b w:val="0"/>
        </w:rPr>
        <w:t>’</w:t>
      </w:r>
      <w:r w:rsidRPr="00F16887">
        <w:rPr>
          <w:b w:val="0"/>
        </w:rPr>
        <w:t>Institut national de la propriété industrielle</w:t>
      </w:r>
      <w:r w:rsidR="00F16887">
        <w:rPr>
          <w:b w:val="0"/>
        </w:rPr>
        <w:t xml:space="preserve"> – </w:t>
      </w:r>
      <w:r w:rsidRPr="00F16887">
        <w:rPr>
          <w:b w:val="0"/>
        </w:rPr>
        <w:t>Chili;</w:t>
      </w:r>
    </w:p>
    <w:p w14:paraId="1902959E" w14:textId="044ACAB4" w:rsidR="001077E2" w:rsidRPr="00F16887" w:rsidRDefault="001077E2" w:rsidP="00F16887">
      <w:pPr>
        <w:pStyle w:val="Question"/>
        <w:keepNext w:val="0"/>
        <w:spacing w:after="0"/>
        <w:jc w:val="both"/>
        <w:rPr>
          <w:b w:val="0"/>
          <w:bCs w:val="0"/>
          <w:szCs w:val="20"/>
        </w:rPr>
      </w:pPr>
      <w:r w:rsidRPr="00F16887">
        <w:rPr>
          <w:b w:val="0"/>
        </w:rPr>
        <w:t>l</w:t>
      </w:r>
      <w:r w:rsidR="00F16887">
        <w:rPr>
          <w:b w:val="0"/>
        </w:rPr>
        <w:t>’</w:t>
      </w:r>
      <w:r w:rsidRPr="00F16887">
        <w:rPr>
          <w:b w:val="0"/>
        </w:rPr>
        <w:t>USPTO;</w:t>
      </w:r>
    </w:p>
    <w:p w14:paraId="133293B6" w14:textId="2913DFA6" w:rsidR="001077E2" w:rsidRPr="00F16887" w:rsidRDefault="001077E2" w:rsidP="00F16887">
      <w:pPr>
        <w:pStyle w:val="Question"/>
        <w:keepNext w:val="0"/>
        <w:spacing w:after="0"/>
        <w:jc w:val="both"/>
        <w:rPr>
          <w:b w:val="0"/>
          <w:bCs w:val="0"/>
          <w:szCs w:val="20"/>
        </w:rPr>
      </w:pPr>
      <w:r w:rsidRPr="00F16887">
        <w:rPr>
          <w:b w:val="0"/>
        </w:rPr>
        <w:t>l</w:t>
      </w:r>
      <w:r w:rsidR="00F16887">
        <w:rPr>
          <w:b w:val="0"/>
        </w:rPr>
        <w:t>’</w:t>
      </w:r>
      <w:r w:rsidRPr="00F16887">
        <w:rPr>
          <w:b w:val="0"/>
        </w:rPr>
        <w:t>Office de la propriété intellectuelle de Singapour,</w:t>
      </w:r>
    </w:p>
    <w:p w14:paraId="16596145" w14:textId="5B86A9CE" w:rsidR="001077E2" w:rsidRPr="00F16887" w:rsidRDefault="001077E2" w:rsidP="00F16887">
      <w:pPr>
        <w:pStyle w:val="Question"/>
        <w:keepNext w:val="0"/>
        <w:spacing w:after="0"/>
        <w:jc w:val="both"/>
        <w:rPr>
          <w:b w:val="0"/>
          <w:bCs w:val="0"/>
          <w:szCs w:val="20"/>
        </w:rPr>
      </w:pPr>
      <w:r w:rsidRPr="00F16887">
        <w:rPr>
          <w:b w:val="0"/>
        </w:rPr>
        <w:t>l</w:t>
      </w:r>
      <w:r w:rsidR="00F16887">
        <w:rPr>
          <w:b w:val="0"/>
        </w:rPr>
        <w:t>’</w:t>
      </w:r>
      <w:r w:rsidRPr="00F16887">
        <w:rPr>
          <w:b w:val="0"/>
        </w:rPr>
        <w:t>OEB;  et</w:t>
      </w:r>
    </w:p>
    <w:p w14:paraId="7DF557B9" w14:textId="317D1093" w:rsidR="001077E2" w:rsidRPr="00F16887" w:rsidRDefault="001077E2" w:rsidP="00F16887">
      <w:pPr>
        <w:pStyle w:val="Question"/>
        <w:keepNext w:val="0"/>
        <w:spacing w:after="0"/>
        <w:jc w:val="both"/>
        <w:rPr>
          <w:b w:val="0"/>
          <w:bCs w:val="0"/>
          <w:szCs w:val="20"/>
        </w:rPr>
      </w:pPr>
      <w:r w:rsidRPr="00F16887">
        <w:rPr>
          <w:b w:val="0"/>
        </w:rPr>
        <w:t>le Ministère de la propriété intellectuelle (MOIP)</w:t>
      </w:r>
      <w:r w:rsidR="00F16887">
        <w:rPr>
          <w:b w:val="0"/>
        </w:rPr>
        <w:t xml:space="preserve"> – </w:t>
      </w:r>
      <w:r w:rsidRPr="00F16887">
        <w:rPr>
          <w:b w:val="0"/>
        </w:rPr>
        <w:t>République de Corée.</w:t>
      </w:r>
    </w:p>
    <w:p w14:paraId="4833553C" w14:textId="77777777" w:rsidR="001077E2" w:rsidRPr="00F16887" w:rsidRDefault="001077E2" w:rsidP="00F16887">
      <w:pPr>
        <w:pStyle w:val="Question"/>
        <w:keepNext w:val="0"/>
        <w:spacing w:after="0"/>
        <w:jc w:val="both"/>
        <w:rPr>
          <w:b w:val="0"/>
          <w:bCs w:val="0"/>
          <w:szCs w:val="20"/>
        </w:rPr>
      </w:pPr>
    </w:p>
    <w:p w14:paraId="7459B08A" w14:textId="77777777" w:rsidR="001077E2" w:rsidRPr="00F16887" w:rsidRDefault="001077E2" w:rsidP="00F16887">
      <w:pPr>
        <w:pStyle w:val="SectionHeading"/>
        <w:keepLines w:val="0"/>
        <w:rPr>
          <w:lang w:val="fr-FR"/>
        </w:rPr>
      </w:pPr>
      <w:r w:rsidRPr="00F16887">
        <w:rPr>
          <w:lang w:val="fr-FR"/>
        </w:rPr>
        <w:t>4 – Énoncé des motivations</w:t>
      </w:r>
    </w:p>
    <w:p w14:paraId="2FD6A4DB" w14:textId="09486F37" w:rsidR="001077E2" w:rsidRPr="00F16887" w:rsidRDefault="001077E2" w:rsidP="00F16887">
      <w:pPr>
        <w:pStyle w:val="SectionHeading"/>
        <w:keepLines w:val="0"/>
        <w:spacing w:before="0" w:after="0" w:line="240" w:lineRule="auto"/>
        <w:jc w:val="both"/>
        <w:rPr>
          <w:rFonts w:eastAsia="SimSun"/>
          <w:b w:val="0"/>
          <w:bCs w:val="0"/>
          <w:caps w:val="0"/>
          <w:szCs w:val="20"/>
          <w:lang w:val="fr-FR"/>
        </w:rPr>
      </w:pPr>
      <w:r w:rsidRPr="00F16887">
        <w:rPr>
          <w:b w:val="0"/>
          <w:caps w:val="0"/>
          <w:lang w:val="fr-FR"/>
        </w:rPr>
        <w:t>Depuis sa création, l</w:t>
      </w:r>
      <w:r w:rsidR="00F16887">
        <w:rPr>
          <w:b w:val="0"/>
          <w:caps w:val="0"/>
          <w:lang w:val="fr-FR"/>
        </w:rPr>
        <w:t>’</w:t>
      </w:r>
      <w:r w:rsidRPr="00F16887">
        <w:rPr>
          <w:b w:val="0"/>
          <w:caps w:val="0"/>
          <w:lang w:val="fr-FR"/>
        </w:rPr>
        <w:t>IMPI est chargé d</w:t>
      </w:r>
      <w:r w:rsidR="00F16887">
        <w:rPr>
          <w:b w:val="0"/>
          <w:caps w:val="0"/>
          <w:lang w:val="fr-FR"/>
        </w:rPr>
        <w:t>’</w:t>
      </w:r>
      <w:r w:rsidRPr="00F16887">
        <w:rPr>
          <w:b w:val="0"/>
          <w:caps w:val="0"/>
          <w:lang w:val="fr-FR"/>
        </w:rPr>
        <w:t>administrer le système de la propriété industrielle du Mexique, en adoptant une approche moderne, technique et efficace, conforme aux normes internationales les plus élevé</w:t>
      </w:r>
      <w:r w:rsidR="00C95B35" w:rsidRPr="00F16887">
        <w:rPr>
          <w:b w:val="0"/>
          <w:caps w:val="0"/>
          <w:lang w:val="fr-FR"/>
        </w:rPr>
        <w:t>es</w:t>
      </w:r>
      <w:r w:rsidR="00C95B35">
        <w:rPr>
          <w:b w:val="0"/>
          <w:caps w:val="0"/>
          <w:lang w:val="fr-FR"/>
        </w:rPr>
        <w:t xml:space="preserve">.  </w:t>
      </w:r>
      <w:r w:rsidR="00C95B35" w:rsidRPr="00F16887">
        <w:rPr>
          <w:b w:val="0"/>
          <w:caps w:val="0"/>
          <w:lang w:val="fr-FR"/>
        </w:rPr>
        <w:t>Da</w:t>
      </w:r>
      <w:r w:rsidRPr="00F16887">
        <w:rPr>
          <w:b w:val="0"/>
          <w:caps w:val="0"/>
          <w:lang w:val="fr-FR"/>
        </w:rPr>
        <w:t xml:space="preserve">ns ce cadre, il a consolidé son rôle de chef de file de la </w:t>
      </w:r>
      <w:r w:rsidRPr="00F16887">
        <w:rPr>
          <w:b w:val="0"/>
          <w:caps w:val="0"/>
          <w:lang w:val="fr-FR"/>
        </w:rPr>
        <w:lastRenderedPageBreak/>
        <w:t>protection de la propriété industrielle et de la promotion de l</w:t>
      </w:r>
      <w:r w:rsidR="00F16887">
        <w:rPr>
          <w:b w:val="0"/>
          <w:caps w:val="0"/>
          <w:lang w:val="fr-FR"/>
        </w:rPr>
        <w:t>’</w:t>
      </w:r>
      <w:r w:rsidRPr="00F16887">
        <w:rPr>
          <w:b w:val="0"/>
          <w:caps w:val="0"/>
          <w:lang w:val="fr-FR"/>
        </w:rPr>
        <w:t>innovation technologique en Amérique latine.</w:t>
      </w:r>
    </w:p>
    <w:p w14:paraId="587F2FD0" w14:textId="77777777" w:rsidR="001077E2" w:rsidRPr="00F16887" w:rsidRDefault="001077E2" w:rsidP="00F16887">
      <w:pPr>
        <w:pStyle w:val="SectionHeading"/>
        <w:keepLines w:val="0"/>
        <w:spacing w:before="0" w:after="0" w:line="240" w:lineRule="auto"/>
        <w:jc w:val="both"/>
        <w:rPr>
          <w:rFonts w:eastAsia="SimSun"/>
          <w:b w:val="0"/>
          <w:bCs w:val="0"/>
          <w:caps w:val="0"/>
          <w:szCs w:val="20"/>
          <w:lang w:val="fr-FR"/>
        </w:rPr>
      </w:pPr>
    </w:p>
    <w:p w14:paraId="225A18A1" w14:textId="3B378126" w:rsidR="001077E2" w:rsidRPr="00F16887" w:rsidRDefault="001077E2" w:rsidP="00F16887">
      <w:pPr>
        <w:pStyle w:val="SectionHeading"/>
        <w:keepLines w:val="0"/>
        <w:spacing w:before="0" w:after="0" w:line="240" w:lineRule="auto"/>
        <w:jc w:val="both"/>
        <w:rPr>
          <w:rFonts w:eastAsia="SimSun"/>
          <w:b w:val="0"/>
          <w:bCs w:val="0"/>
          <w:caps w:val="0"/>
          <w:szCs w:val="20"/>
          <w:lang w:val="fr-FR"/>
        </w:rPr>
      </w:pPr>
      <w:r w:rsidRPr="00F16887">
        <w:rPr>
          <w:b w:val="0"/>
          <w:caps w:val="0"/>
          <w:lang w:val="fr-FR"/>
        </w:rPr>
        <w:t>L</w:t>
      </w:r>
      <w:r w:rsidR="00F16887">
        <w:rPr>
          <w:b w:val="0"/>
          <w:caps w:val="0"/>
          <w:lang w:val="fr-FR"/>
        </w:rPr>
        <w:t>’</w:t>
      </w:r>
      <w:r w:rsidRPr="00F16887">
        <w:rPr>
          <w:b w:val="0"/>
          <w:caps w:val="0"/>
          <w:lang w:val="fr-FR"/>
        </w:rPr>
        <w:t>IMPI reconnaît pleinement l</w:t>
      </w:r>
      <w:r w:rsidR="00F16887">
        <w:rPr>
          <w:b w:val="0"/>
          <w:caps w:val="0"/>
          <w:lang w:val="fr-FR"/>
        </w:rPr>
        <w:t>’</w:t>
      </w:r>
      <w:r w:rsidRPr="00F16887">
        <w:rPr>
          <w:b w:val="0"/>
          <w:caps w:val="0"/>
          <w:lang w:val="fr-FR"/>
        </w:rPr>
        <w:t>importance stratégique du PCT en tant qu</w:t>
      </w:r>
      <w:r w:rsidR="00F16887">
        <w:rPr>
          <w:b w:val="0"/>
          <w:caps w:val="0"/>
          <w:lang w:val="fr-FR"/>
        </w:rPr>
        <w:t>’</w:t>
      </w:r>
      <w:r w:rsidRPr="00F16887">
        <w:rPr>
          <w:b w:val="0"/>
          <w:caps w:val="0"/>
          <w:lang w:val="fr-FR"/>
        </w:rPr>
        <w:t>outil essentiel pour faciliter l</w:t>
      </w:r>
      <w:r w:rsidR="00F16887">
        <w:rPr>
          <w:b w:val="0"/>
          <w:caps w:val="0"/>
          <w:lang w:val="fr-FR"/>
        </w:rPr>
        <w:t>’</w:t>
      </w:r>
      <w:r w:rsidRPr="00F16887">
        <w:rPr>
          <w:b w:val="0"/>
          <w:caps w:val="0"/>
          <w:lang w:val="fr-FR"/>
        </w:rPr>
        <w:t>accès des inventeurs à la protection internationale de leurs inventio</w:t>
      </w:r>
      <w:r w:rsidR="00C95B35" w:rsidRPr="00F16887">
        <w:rPr>
          <w:b w:val="0"/>
          <w:caps w:val="0"/>
          <w:lang w:val="fr-FR"/>
        </w:rPr>
        <w:t>ns</w:t>
      </w:r>
      <w:r w:rsidR="00C95B35">
        <w:rPr>
          <w:b w:val="0"/>
          <w:caps w:val="0"/>
          <w:lang w:val="fr-FR"/>
        </w:rPr>
        <w:t xml:space="preserve">.  </w:t>
      </w:r>
      <w:r w:rsidR="00C95B35" w:rsidRPr="00F16887">
        <w:rPr>
          <w:b w:val="0"/>
          <w:caps w:val="0"/>
          <w:lang w:val="fr-FR"/>
        </w:rPr>
        <w:t>Le</w:t>
      </w:r>
      <w:r w:rsidRPr="00F16887">
        <w:rPr>
          <w:b w:val="0"/>
          <w:caps w:val="0"/>
          <w:lang w:val="fr-FR"/>
        </w:rPr>
        <w:t xml:space="preserve"> Mexique est un membre actif du système du PCT depuis 1995 et l</w:t>
      </w:r>
      <w:r w:rsidR="00F16887">
        <w:rPr>
          <w:b w:val="0"/>
          <w:caps w:val="0"/>
          <w:lang w:val="fr-FR"/>
        </w:rPr>
        <w:t>’</w:t>
      </w:r>
      <w:r w:rsidRPr="00F16887">
        <w:rPr>
          <w:b w:val="0"/>
          <w:caps w:val="0"/>
          <w:lang w:val="fr-FR"/>
        </w:rPr>
        <w:t>IMPI a joué un rôle clé en tant qu</w:t>
      </w:r>
      <w:r w:rsidR="00F16887">
        <w:rPr>
          <w:b w:val="0"/>
          <w:caps w:val="0"/>
          <w:lang w:val="fr-FR"/>
        </w:rPr>
        <w:t>’</w:t>
      </w:r>
      <w:r w:rsidRPr="00F16887">
        <w:rPr>
          <w:b w:val="0"/>
          <w:caps w:val="0"/>
          <w:lang w:val="fr-FR"/>
        </w:rPr>
        <w:t>office récepteur, gérant efficacement un nombre croissant de demandes internationales émanant de déposants nationaux et étrangers.</w:t>
      </w:r>
    </w:p>
    <w:p w14:paraId="756F98B3" w14:textId="77777777" w:rsidR="001077E2" w:rsidRPr="00F16887" w:rsidRDefault="001077E2" w:rsidP="00F16887">
      <w:pPr>
        <w:pStyle w:val="SectionHeading"/>
        <w:keepLines w:val="0"/>
        <w:spacing w:before="0" w:after="0" w:line="240" w:lineRule="auto"/>
        <w:jc w:val="both"/>
        <w:rPr>
          <w:rFonts w:eastAsia="SimSun"/>
          <w:b w:val="0"/>
          <w:bCs w:val="0"/>
          <w:caps w:val="0"/>
          <w:szCs w:val="20"/>
          <w:lang w:val="fr-FR"/>
        </w:rPr>
      </w:pPr>
    </w:p>
    <w:p w14:paraId="5541FE6A" w14:textId="48068E33" w:rsidR="001077E2" w:rsidRPr="00F16887" w:rsidRDefault="001077E2" w:rsidP="00F16887">
      <w:pPr>
        <w:pStyle w:val="SectionHeading"/>
        <w:keepLines w:val="0"/>
        <w:spacing w:before="0" w:after="0" w:line="240" w:lineRule="auto"/>
        <w:jc w:val="both"/>
        <w:rPr>
          <w:rFonts w:eastAsia="SimSun"/>
          <w:b w:val="0"/>
          <w:bCs w:val="0"/>
          <w:caps w:val="0"/>
          <w:szCs w:val="20"/>
          <w:lang w:val="fr-FR"/>
        </w:rPr>
      </w:pPr>
      <w:r w:rsidRPr="00F16887">
        <w:rPr>
          <w:b w:val="0"/>
          <w:caps w:val="0"/>
          <w:lang w:val="fr-FR"/>
        </w:rPr>
        <w:t>La candidature de l</w:t>
      </w:r>
      <w:r w:rsidR="00F16887">
        <w:rPr>
          <w:b w:val="0"/>
          <w:caps w:val="0"/>
          <w:lang w:val="fr-FR"/>
        </w:rPr>
        <w:t>’</w:t>
      </w:r>
      <w:r w:rsidRPr="00F16887">
        <w:rPr>
          <w:b w:val="0"/>
          <w:caps w:val="0"/>
          <w:lang w:val="fr-FR"/>
        </w:rPr>
        <w:t>IMPI pour obtenir sa nomination en qualité d</w:t>
      </w:r>
      <w:r w:rsidR="00F16887">
        <w:rPr>
          <w:b w:val="0"/>
          <w:caps w:val="0"/>
          <w:lang w:val="fr-FR"/>
        </w:rPr>
        <w:t>’</w:t>
      </w:r>
      <w:r w:rsidRPr="00F16887">
        <w:rPr>
          <w:b w:val="0"/>
          <w:caps w:val="0"/>
          <w:lang w:val="fr-FR"/>
        </w:rPr>
        <w:t>administration chargée de la recherche internationale et de l</w:t>
      </w:r>
      <w:r w:rsidR="00F16887">
        <w:rPr>
          <w:b w:val="0"/>
          <w:caps w:val="0"/>
          <w:lang w:val="fr-FR"/>
        </w:rPr>
        <w:t>’</w:t>
      </w:r>
      <w:r w:rsidRPr="00F16887">
        <w:rPr>
          <w:b w:val="0"/>
          <w:caps w:val="0"/>
          <w:lang w:val="fr-FR"/>
        </w:rPr>
        <w:t>examen préliminaire international découle de son engagement institutionnel à contribuer plus activement et directement au renforcement du système du PCT, en particulier pour les pays hispanophones, et à la mise en place d</w:t>
      </w:r>
      <w:r w:rsidR="00F16887">
        <w:rPr>
          <w:b w:val="0"/>
          <w:caps w:val="0"/>
          <w:lang w:val="fr-FR"/>
        </w:rPr>
        <w:t>’</w:t>
      </w:r>
      <w:r w:rsidRPr="00F16887">
        <w:rPr>
          <w:b w:val="0"/>
          <w:caps w:val="0"/>
          <w:lang w:val="fr-FR"/>
        </w:rPr>
        <w:t>un écosystème d</w:t>
      </w:r>
      <w:r w:rsidR="00F16887">
        <w:rPr>
          <w:b w:val="0"/>
          <w:caps w:val="0"/>
          <w:lang w:val="fr-FR"/>
        </w:rPr>
        <w:t>’</w:t>
      </w:r>
      <w:r w:rsidRPr="00F16887">
        <w:rPr>
          <w:b w:val="0"/>
          <w:caps w:val="0"/>
          <w:lang w:val="fr-FR"/>
        </w:rPr>
        <w:t>innovation en Amérique lati</w:t>
      </w:r>
      <w:r w:rsidR="00C95B35" w:rsidRPr="00F16887">
        <w:rPr>
          <w:b w:val="0"/>
          <w:caps w:val="0"/>
          <w:lang w:val="fr-FR"/>
        </w:rPr>
        <w:t>ne</w:t>
      </w:r>
      <w:r w:rsidR="00C95B35">
        <w:rPr>
          <w:b w:val="0"/>
          <w:caps w:val="0"/>
          <w:lang w:val="fr-FR"/>
        </w:rPr>
        <w:t xml:space="preserve">.  </w:t>
      </w:r>
      <w:r w:rsidR="00C95B35" w:rsidRPr="00F16887">
        <w:rPr>
          <w:b w:val="0"/>
          <w:caps w:val="0"/>
          <w:lang w:val="fr-FR"/>
        </w:rPr>
        <w:t>La</w:t>
      </w:r>
      <w:r w:rsidRPr="00F16887">
        <w:rPr>
          <w:b w:val="0"/>
          <w:caps w:val="0"/>
          <w:lang w:val="fr-FR"/>
        </w:rPr>
        <w:t xml:space="preserve"> présence d</w:t>
      </w:r>
      <w:r w:rsidR="00F16887">
        <w:rPr>
          <w:b w:val="0"/>
          <w:caps w:val="0"/>
          <w:lang w:val="fr-FR"/>
        </w:rPr>
        <w:t>’</w:t>
      </w:r>
      <w:r w:rsidRPr="00F16887">
        <w:rPr>
          <w:b w:val="0"/>
          <w:caps w:val="0"/>
          <w:lang w:val="fr-FR"/>
        </w:rPr>
        <w:t>une administration chargée de la recherche internationale et de l</w:t>
      </w:r>
      <w:r w:rsidR="00F16887">
        <w:rPr>
          <w:b w:val="0"/>
          <w:caps w:val="0"/>
          <w:lang w:val="fr-FR"/>
        </w:rPr>
        <w:t>’</w:t>
      </w:r>
      <w:r w:rsidRPr="00F16887">
        <w:rPr>
          <w:b w:val="0"/>
          <w:caps w:val="0"/>
          <w:lang w:val="fr-FR"/>
        </w:rPr>
        <w:t>examen préliminaire international supplémentaire dans la région, dotée de capacités techniques avancées et d</w:t>
      </w:r>
      <w:r w:rsidR="00F16887">
        <w:rPr>
          <w:b w:val="0"/>
          <w:caps w:val="0"/>
          <w:lang w:val="fr-FR"/>
        </w:rPr>
        <w:t>’</w:t>
      </w:r>
      <w:r w:rsidRPr="00F16887">
        <w:rPr>
          <w:b w:val="0"/>
          <w:caps w:val="0"/>
          <w:lang w:val="fr-FR"/>
        </w:rPr>
        <w:t>un personnel hautement qualifié, est l</w:t>
      </w:r>
      <w:r w:rsidR="00F16887">
        <w:rPr>
          <w:b w:val="0"/>
          <w:caps w:val="0"/>
          <w:lang w:val="fr-FR"/>
        </w:rPr>
        <w:t>’</w:t>
      </w:r>
      <w:r w:rsidRPr="00F16887">
        <w:rPr>
          <w:b w:val="0"/>
          <w:caps w:val="0"/>
          <w:lang w:val="fr-FR"/>
        </w:rPr>
        <w:t>occasion de décentraliser les ressources de recherche, de diversifier les possibilités pour les utilisateurs et de promouvoir une utilisation plus large et plus équitable du système dans notre région.</w:t>
      </w:r>
    </w:p>
    <w:p w14:paraId="5FCA1E38" w14:textId="77777777" w:rsidR="001077E2" w:rsidRPr="00F16887" w:rsidRDefault="001077E2" w:rsidP="00F16887">
      <w:pPr>
        <w:pStyle w:val="SectionHeading"/>
        <w:keepLines w:val="0"/>
        <w:spacing w:before="0" w:after="0" w:line="240" w:lineRule="auto"/>
        <w:jc w:val="both"/>
        <w:rPr>
          <w:rFonts w:eastAsia="SimSun"/>
          <w:b w:val="0"/>
          <w:bCs w:val="0"/>
          <w:caps w:val="0"/>
          <w:szCs w:val="20"/>
          <w:lang w:val="fr-FR"/>
        </w:rPr>
      </w:pPr>
    </w:p>
    <w:p w14:paraId="67F631E4" w14:textId="73BBB354" w:rsidR="001077E2" w:rsidRPr="00F16887" w:rsidRDefault="001077E2" w:rsidP="00F16887">
      <w:pPr>
        <w:pStyle w:val="SectionHeading"/>
        <w:keepLines w:val="0"/>
        <w:spacing w:before="0" w:after="0" w:line="240" w:lineRule="auto"/>
        <w:jc w:val="both"/>
        <w:rPr>
          <w:rFonts w:eastAsia="SimSun"/>
          <w:b w:val="0"/>
          <w:bCs w:val="0"/>
          <w:caps w:val="0"/>
          <w:szCs w:val="20"/>
          <w:lang w:val="fr-FR"/>
        </w:rPr>
      </w:pPr>
      <w:r w:rsidRPr="00F16887">
        <w:rPr>
          <w:b w:val="0"/>
          <w:caps w:val="0"/>
          <w:lang w:val="fr-FR"/>
        </w:rPr>
        <w:t>Le Mexique dispose d</w:t>
      </w:r>
      <w:r w:rsidR="00F16887">
        <w:rPr>
          <w:b w:val="0"/>
          <w:caps w:val="0"/>
          <w:lang w:val="fr-FR"/>
        </w:rPr>
        <w:t>’</w:t>
      </w:r>
      <w:r w:rsidRPr="00F16887">
        <w:rPr>
          <w:b w:val="0"/>
          <w:caps w:val="0"/>
          <w:lang w:val="fr-FR"/>
        </w:rPr>
        <w:t>un cadre juridique solide en matière de propriété industrielle et d</w:t>
      </w:r>
      <w:r w:rsidR="00F16887">
        <w:rPr>
          <w:b w:val="0"/>
          <w:caps w:val="0"/>
          <w:lang w:val="fr-FR"/>
        </w:rPr>
        <w:t>’</w:t>
      </w:r>
      <w:r w:rsidRPr="00F16887">
        <w:rPr>
          <w:b w:val="0"/>
          <w:caps w:val="0"/>
          <w:lang w:val="fr-FR"/>
        </w:rPr>
        <w:t>une infrastructure technologique qui lui permet d</w:t>
      </w:r>
      <w:r w:rsidR="00F16887">
        <w:rPr>
          <w:b w:val="0"/>
          <w:caps w:val="0"/>
          <w:lang w:val="fr-FR"/>
        </w:rPr>
        <w:t>’</w:t>
      </w:r>
      <w:r w:rsidRPr="00F16887">
        <w:rPr>
          <w:b w:val="0"/>
          <w:caps w:val="0"/>
          <w:lang w:val="fr-FR"/>
        </w:rPr>
        <w:t>offrir des services de recherche internationale et d</w:t>
      </w:r>
      <w:r w:rsidR="00F16887">
        <w:rPr>
          <w:b w:val="0"/>
          <w:caps w:val="0"/>
          <w:lang w:val="fr-FR"/>
        </w:rPr>
        <w:t>’</w:t>
      </w:r>
      <w:r w:rsidRPr="00F16887">
        <w:rPr>
          <w:b w:val="0"/>
          <w:caps w:val="0"/>
          <w:lang w:val="fr-FR"/>
        </w:rPr>
        <w:t>examen préliminaire international de quali</w:t>
      </w:r>
      <w:r w:rsidR="00C95B35" w:rsidRPr="00F16887">
        <w:rPr>
          <w:b w:val="0"/>
          <w:caps w:val="0"/>
          <w:lang w:val="fr-FR"/>
        </w:rPr>
        <w:t>té</w:t>
      </w:r>
      <w:r w:rsidR="00C95B35">
        <w:rPr>
          <w:b w:val="0"/>
          <w:caps w:val="0"/>
          <w:lang w:val="fr-FR"/>
        </w:rPr>
        <w:t xml:space="preserve">.  </w:t>
      </w:r>
      <w:r w:rsidR="00C95B35" w:rsidRPr="00F16887">
        <w:rPr>
          <w:b w:val="0"/>
          <w:caps w:val="0"/>
          <w:lang w:val="fr-FR"/>
        </w:rPr>
        <w:t>Le</w:t>
      </w:r>
      <w:r w:rsidRPr="00F16887">
        <w:rPr>
          <w:b w:val="0"/>
          <w:caps w:val="0"/>
          <w:lang w:val="fr-FR"/>
        </w:rPr>
        <w:t xml:space="preserve"> personnel de l</w:t>
      </w:r>
      <w:r w:rsidR="00F16887">
        <w:rPr>
          <w:b w:val="0"/>
          <w:caps w:val="0"/>
          <w:lang w:val="fr-FR"/>
        </w:rPr>
        <w:t>’</w:t>
      </w:r>
      <w:r w:rsidRPr="00F16887">
        <w:rPr>
          <w:b w:val="0"/>
          <w:caps w:val="0"/>
          <w:lang w:val="fr-FR"/>
        </w:rPr>
        <w:t>IMPI a bénéficié d</w:t>
      </w:r>
      <w:r w:rsidR="00F16887">
        <w:rPr>
          <w:b w:val="0"/>
          <w:caps w:val="0"/>
          <w:lang w:val="fr-FR"/>
        </w:rPr>
        <w:t>’</w:t>
      </w:r>
      <w:r w:rsidRPr="00F16887">
        <w:rPr>
          <w:b w:val="0"/>
          <w:caps w:val="0"/>
          <w:lang w:val="fr-FR"/>
        </w:rPr>
        <w:t>une formation spécialisée en matière de recherche et d</w:t>
      </w:r>
      <w:r w:rsidR="00F16887">
        <w:rPr>
          <w:b w:val="0"/>
          <w:caps w:val="0"/>
          <w:lang w:val="fr-FR"/>
        </w:rPr>
        <w:t>’</w:t>
      </w:r>
      <w:r w:rsidRPr="00F16887">
        <w:rPr>
          <w:b w:val="0"/>
          <w:caps w:val="0"/>
          <w:lang w:val="fr-FR"/>
        </w:rPr>
        <w:t>examen conformément aux directives du </w:t>
      </w:r>
      <w:r w:rsidR="00C95B35" w:rsidRPr="00F16887">
        <w:rPr>
          <w:b w:val="0"/>
          <w:caps w:val="0"/>
          <w:lang w:val="fr-FR"/>
        </w:rPr>
        <w:t>PCT</w:t>
      </w:r>
      <w:r w:rsidR="00C95B35">
        <w:rPr>
          <w:b w:val="0"/>
          <w:caps w:val="0"/>
          <w:lang w:val="fr-FR"/>
        </w:rPr>
        <w:t xml:space="preserve">.  </w:t>
      </w:r>
      <w:r w:rsidR="00C95B35" w:rsidRPr="00F16887">
        <w:rPr>
          <w:b w:val="0"/>
          <w:caps w:val="0"/>
          <w:lang w:val="fr-FR"/>
        </w:rPr>
        <w:t>Il</w:t>
      </w:r>
      <w:r w:rsidRPr="00F16887">
        <w:rPr>
          <w:b w:val="0"/>
          <w:caps w:val="0"/>
          <w:lang w:val="fr-FR"/>
        </w:rPr>
        <w:t xml:space="preserve"> a également accès à des bases de données et à des outils internationaux permettant d</w:t>
      </w:r>
      <w:r w:rsidR="00F16887">
        <w:rPr>
          <w:b w:val="0"/>
          <w:caps w:val="0"/>
          <w:lang w:val="fr-FR"/>
        </w:rPr>
        <w:t>’</w:t>
      </w:r>
      <w:r w:rsidRPr="00F16887">
        <w:rPr>
          <w:b w:val="0"/>
          <w:caps w:val="0"/>
          <w:lang w:val="fr-FR"/>
        </w:rPr>
        <w:t>effectuer des recherches et des examens rigoureux et efficaces.</w:t>
      </w:r>
    </w:p>
    <w:p w14:paraId="6AE4F914" w14:textId="77777777" w:rsidR="001077E2" w:rsidRPr="00F16887" w:rsidRDefault="001077E2" w:rsidP="00F16887">
      <w:pPr>
        <w:pStyle w:val="SectionHeading"/>
        <w:keepLines w:val="0"/>
        <w:spacing w:before="0" w:after="0" w:line="240" w:lineRule="auto"/>
        <w:jc w:val="both"/>
        <w:rPr>
          <w:rFonts w:eastAsia="SimSun"/>
          <w:b w:val="0"/>
          <w:bCs w:val="0"/>
          <w:caps w:val="0"/>
          <w:szCs w:val="20"/>
          <w:lang w:val="fr-FR"/>
        </w:rPr>
      </w:pPr>
    </w:p>
    <w:p w14:paraId="6D345AC4" w14:textId="1A4147BA" w:rsidR="001077E2" w:rsidRPr="00F16887" w:rsidRDefault="001077E2" w:rsidP="00F16887">
      <w:pPr>
        <w:pStyle w:val="SectionHeading"/>
        <w:keepLines w:val="0"/>
        <w:spacing w:before="0" w:after="0" w:line="240" w:lineRule="auto"/>
        <w:jc w:val="both"/>
        <w:rPr>
          <w:rFonts w:eastAsia="SimSun"/>
          <w:b w:val="0"/>
          <w:bCs w:val="0"/>
          <w:caps w:val="0"/>
          <w:szCs w:val="20"/>
          <w:lang w:val="fr-FR"/>
        </w:rPr>
      </w:pPr>
      <w:r w:rsidRPr="00F16887">
        <w:rPr>
          <w:b w:val="0"/>
          <w:caps w:val="0"/>
          <w:lang w:val="fr-FR"/>
        </w:rPr>
        <w:t>En outre, dans le cadre de sa politique nationale en matière d</w:t>
      </w:r>
      <w:r w:rsidR="00F16887">
        <w:rPr>
          <w:b w:val="0"/>
          <w:caps w:val="0"/>
          <w:lang w:val="fr-FR"/>
        </w:rPr>
        <w:t>’</w:t>
      </w:r>
      <w:r w:rsidRPr="00F16887">
        <w:rPr>
          <w:b w:val="0"/>
          <w:caps w:val="0"/>
          <w:lang w:val="fr-FR"/>
        </w:rPr>
        <w:t xml:space="preserve">innovation et de progrès technologiques, le </w:t>
      </w:r>
      <w:r w:rsidR="00B22F9C">
        <w:rPr>
          <w:b w:val="0"/>
          <w:caps w:val="0"/>
          <w:lang w:val="fr-FR"/>
        </w:rPr>
        <w:t>Gouvernement</w:t>
      </w:r>
      <w:r w:rsidRPr="00F16887">
        <w:rPr>
          <w:b w:val="0"/>
          <w:caps w:val="0"/>
          <w:lang w:val="fr-FR"/>
        </w:rPr>
        <w:t xml:space="preserve"> mexicain a fortement soutenu le renforcement institutionnel de l</w:t>
      </w:r>
      <w:r w:rsidR="00F16887">
        <w:rPr>
          <w:b w:val="0"/>
          <w:caps w:val="0"/>
          <w:lang w:val="fr-FR"/>
        </w:rPr>
        <w:t>’</w:t>
      </w:r>
      <w:r w:rsidRPr="00F16887">
        <w:rPr>
          <w:b w:val="0"/>
          <w:caps w:val="0"/>
          <w:lang w:val="fr-FR"/>
        </w:rPr>
        <w:t>IMPI, reconnaissant son rôle stratégique dans la promotion de l</w:t>
      </w:r>
      <w:r w:rsidR="00F16887">
        <w:rPr>
          <w:b w:val="0"/>
          <w:caps w:val="0"/>
          <w:lang w:val="fr-FR"/>
        </w:rPr>
        <w:t>’</w:t>
      </w:r>
      <w:r w:rsidRPr="00F16887">
        <w:rPr>
          <w:b w:val="0"/>
          <w:caps w:val="0"/>
          <w:lang w:val="fr-FR"/>
        </w:rPr>
        <w:t>esprit d</w:t>
      </w:r>
      <w:r w:rsidR="00F16887">
        <w:rPr>
          <w:b w:val="0"/>
          <w:caps w:val="0"/>
          <w:lang w:val="fr-FR"/>
        </w:rPr>
        <w:t>’</w:t>
      </w:r>
      <w:r w:rsidRPr="00F16887">
        <w:rPr>
          <w:b w:val="0"/>
          <w:caps w:val="0"/>
          <w:lang w:val="fr-FR"/>
        </w:rPr>
        <w:t>entreprise, de la compétitivité et du transfert de technolog</w:t>
      </w:r>
      <w:r w:rsidR="00C95B35" w:rsidRPr="00F16887">
        <w:rPr>
          <w:b w:val="0"/>
          <w:caps w:val="0"/>
          <w:lang w:val="fr-FR"/>
        </w:rPr>
        <w:t>ie</w:t>
      </w:r>
      <w:r w:rsidR="00C95B35">
        <w:rPr>
          <w:b w:val="0"/>
          <w:caps w:val="0"/>
          <w:lang w:val="fr-FR"/>
        </w:rPr>
        <w:t xml:space="preserve">.  </w:t>
      </w:r>
      <w:r w:rsidR="00C95B35" w:rsidRPr="00F16887">
        <w:rPr>
          <w:b w:val="0"/>
          <w:caps w:val="0"/>
          <w:lang w:val="fr-FR"/>
        </w:rPr>
        <w:t>La</w:t>
      </w:r>
      <w:r w:rsidRPr="00F16887">
        <w:rPr>
          <w:b w:val="0"/>
          <w:caps w:val="0"/>
          <w:lang w:val="fr-FR"/>
        </w:rPr>
        <w:t xml:space="preserve"> nomination éventuelle de l</w:t>
      </w:r>
      <w:r w:rsidR="00F16887">
        <w:rPr>
          <w:b w:val="0"/>
          <w:caps w:val="0"/>
          <w:lang w:val="fr-FR"/>
        </w:rPr>
        <w:t>’</w:t>
      </w:r>
      <w:r w:rsidRPr="00F16887">
        <w:rPr>
          <w:b w:val="0"/>
          <w:caps w:val="0"/>
          <w:lang w:val="fr-FR"/>
        </w:rPr>
        <w:t>IMPI en qualité d</w:t>
      </w:r>
      <w:r w:rsidR="00F16887">
        <w:rPr>
          <w:b w:val="0"/>
          <w:caps w:val="0"/>
          <w:lang w:val="fr-FR"/>
        </w:rPr>
        <w:t>’</w:t>
      </w:r>
      <w:r w:rsidRPr="00F16887">
        <w:rPr>
          <w:b w:val="0"/>
          <w:caps w:val="0"/>
          <w:lang w:val="fr-FR"/>
        </w:rPr>
        <w:t>administration chargée de la recherche internationale et de l</w:t>
      </w:r>
      <w:r w:rsidR="00F16887">
        <w:rPr>
          <w:b w:val="0"/>
          <w:caps w:val="0"/>
          <w:lang w:val="fr-FR"/>
        </w:rPr>
        <w:t>’</w:t>
      </w:r>
      <w:r w:rsidRPr="00F16887">
        <w:rPr>
          <w:b w:val="0"/>
          <w:caps w:val="0"/>
          <w:lang w:val="fr-FR"/>
        </w:rPr>
        <w:t>examen préliminaire international est conforme à ces objectifs nationaux et faciliterait directement l</w:t>
      </w:r>
      <w:r w:rsidR="00F16887">
        <w:rPr>
          <w:b w:val="0"/>
          <w:caps w:val="0"/>
          <w:lang w:val="fr-FR"/>
        </w:rPr>
        <w:t>’</w:t>
      </w:r>
      <w:r w:rsidRPr="00F16887">
        <w:rPr>
          <w:b w:val="0"/>
          <w:caps w:val="0"/>
          <w:lang w:val="fr-FR"/>
        </w:rPr>
        <w:t>accès au système international des brevets pour un plus grand nombre d</w:t>
      </w:r>
      <w:r w:rsidR="00F16887">
        <w:rPr>
          <w:b w:val="0"/>
          <w:caps w:val="0"/>
          <w:lang w:val="fr-FR"/>
        </w:rPr>
        <w:t>’</w:t>
      </w:r>
      <w:r w:rsidRPr="00F16887">
        <w:rPr>
          <w:b w:val="0"/>
          <w:caps w:val="0"/>
          <w:lang w:val="fr-FR"/>
        </w:rPr>
        <w:t>inventeurs, en particulier les petites et moyennes entreprises.</w:t>
      </w:r>
    </w:p>
    <w:p w14:paraId="0C8AFDA1" w14:textId="77777777" w:rsidR="001077E2" w:rsidRPr="00F16887" w:rsidRDefault="001077E2" w:rsidP="00F16887">
      <w:pPr>
        <w:pStyle w:val="SectionHeading"/>
        <w:keepLines w:val="0"/>
        <w:spacing w:before="0" w:after="0" w:line="240" w:lineRule="auto"/>
        <w:jc w:val="both"/>
        <w:rPr>
          <w:rFonts w:eastAsia="SimSun"/>
          <w:b w:val="0"/>
          <w:bCs w:val="0"/>
          <w:caps w:val="0"/>
          <w:szCs w:val="20"/>
          <w:lang w:val="fr-FR"/>
        </w:rPr>
      </w:pPr>
    </w:p>
    <w:p w14:paraId="4B30B6AB" w14:textId="6D0D986C" w:rsidR="001077E2" w:rsidRPr="00F16887" w:rsidRDefault="001077E2" w:rsidP="00F16887">
      <w:pPr>
        <w:pStyle w:val="SectionHeading"/>
        <w:keepLines w:val="0"/>
        <w:spacing w:before="0" w:after="0" w:line="240" w:lineRule="auto"/>
        <w:jc w:val="both"/>
        <w:rPr>
          <w:rFonts w:eastAsia="SimSun"/>
          <w:b w:val="0"/>
          <w:bCs w:val="0"/>
          <w:caps w:val="0"/>
          <w:szCs w:val="20"/>
          <w:lang w:val="fr-FR"/>
        </w:rPr>
      </w:pPr>
      <w:r w:rsidRPr="00F16887">
        <w:rPr>
          <w:b w:val="0"/>
          <w:caps w:val="0"/>
          <w:lang w:val="fr-FR"/>
        </w:rPr>
        <w:t>L</w:t>
      </w:r>
      <w:r w:rsidR="00F16887">
        <w:rPr>
          <w:b w:val="0"/>
          <w:caps w:val="0"/>
          <w:lang w:val="fr-FR"/>
        </w:rPr>
        <w:t>’</w:t>
      </w:r>
      <w:r w:rsidRPr="00F16887">
        <w:rPr>
          <w:b w:val="0"/>
          <w:caps w:val="0"/>
          <w:lang w:val="fr-FR"/>
        </w:rPr>
        <w:t>expérience de l</w:t>
      </w:r>
      <w:r w:rsidR="00F16887">
        <w:rPr>
          <w:b w:val="0"/>
          <w:caps w:val="0"/>
          <w:lang w:val="fr-FR"/>
        </w:rPr>
        <w:t>’</w:t>
      </w:r>
      <w:r w:rsidRPr="00F16887">
        <w:rPr>
          <w:b w:val="0"/>
          <w:caps w:val="0"/>
          <w:lang w:val="fr-FR"/>
        </w:rPr>
        <w:t>IMPI en tant qu</w:t>
      </w:r>
      <w:r w:rsidR="00F16887">
        <w:rPr>
          <w:b w:val="0"/>
          <w:caps w:val="0"/>
          <w:lang w:val="fr-FR"/>
        </w:rPr>
        <w:t>’</w:t>
      </w:r>
      <w:r w:rsidRPr="00F16887">
        <w:rPr>
          <w:b w:val="0"/>
          <w:caps w:val="0"/>
          <w:lang w:val="fr-FR"/>
        </w:rPr>
        <w:t>office récepteur a démontré la confiance croissante des utilisateurs dans ses services, comme en témoigne le nombre de demandes selon le PCT déposées par cette vo</w:t>
      </w:r>
      <w:r w:rsidR="00C95B35" w:rsidRPr="00F16887">
        <w:rPr>
          <w:b w:val="0"/>
          <w:caps w:val="0"/>
          <w:lang w:val="fr-FR"/>
        </w:rPr>
        <w:t>ie</w:t>
      </w:r>
      <w:r w:rsidR="00C95B35">
        <w:rPr>
          <w:b w:val="0"/>
          <w:caps w:val="0"/>
          <w:lang w:val="fr-FR"/>
        </w:rPr>
        <w:t xml:space="preserve">.  </w:t>
      </w:r>
      <w:r w:rsidR="00C95B35" w:rsidRPr="00F16887">
        <w:rPr>
          <w:b w:val="0"/>
          <w:caps w:val="0"/>
          <w:lang w:val="fr-FR"/>
        </w:rPr>
        <w:t>Ce</w:t>
      </w:r>
      <w:r w:rsidRPr="00F16887">
        <w:rPr>
          <w:b w:val="0"/>
          <w:caps w:val="0"/>
          <w:lang w:val="fr-FR"/>
        </w:rPr>
        <w:t>s dernières années, le Mexique a assisté à une augmentation soutenue des demandes internationales, ce qui reflète le dynamisme de l</w:t>
      </w:r>
      <w:r w:rsidR="00F16887">
        <w:rPr>
          <w:b w:val="0"/>
          <w:caps w:val="0"/>
          <w:lang w:val="fr-FR"/>
        </w:rPr>
        <w:t>’</w:t>
      </w:r>
      <w:r w:rsidRPr="00F16887">
        <w:rPr>
          <w:b w:val="0"/>
          <w:caps w:val="0"/>
          <w:lang w:val="fr-FR"/>
        </w:rPr>
        <w:t>écosystème national de l</w:t>
      </w:r>
      <w:r w:rsidR="00F16887">
        <w:rPr>
          <w:b w:val="0"/>
          <w:caps w:val="0"/>
          <w:lang w:val="fr-FR"/>
        </w:rPr>
        <w:t>’</w:t>
      </w:r>
      <w:r w:rsidRPr="00F16887">
        <w:rPr>
          <w:b w:val="0"/>
          <w:caps w:val="0"/>
          <w:lang w:val="fr-FR"/>
        </w:rPr>
        <w:t>innovation et l</w:t>
      </w:r>
      <w:r w:rsidR="00F16887">
        <w:rPr>
          <w:b w:val="0"/>
          <w:caps w:val="0"/>
          <w:lang w:val="fr-FR"/>
        </w:rPr>
        <w:t>’</w:t>
      </w:r>
      <w:r w:rsidRPr="00F16887">
        <w:rPr>
          <w:b w:val="0"/>
          <w:caps w:val="0"/>
          <w:lang w:val="fr-FR"/>
        </w:rPr>
        <w:t>intérêt des inventeurs mexicains pour l</w:t>
      </w:r>
      <w:r w:rsidR="00F16887">
        <w:rPr>
          <w:b w:val="0"/>
          <w:caps w:val="0"/>
          <w:lang w:val="fr-FR"/>
        </w:rPr>
        <w:t>’</w:t>
      </w:r>
      <w:r w:rsidRPr="00F16887">
        <w:rPr>
          <w:b w:val="0"/>
          <w:caps w:val="0"/>
          <w:lang w:val="fr-FR"/>
        </w:rPr>
        <w:t>accès aux marchés internationaux.</w:t>
      </w:r>
    </w:p>
    <w:p w14:paraId="26DCAC44" w14:textId="77777777" w:rsidR="001077E2" w:rsidRPr="00F16887" w:rsidRDefault="001077E2" w:rsidP="00F16887">
      <w:pPr>
        <w:pStyle w:val="SectionHeading"/>
        <w:keepLines w:val="0"/>
        <w:spacing w:before="0" w:after="0" w:line="240" w:lineRule="auto"/>
        <w:jc w:val="both"/>
        <w:rPr>
          <w:rFonts w:eastAsia="SimSun"/>
          <w:b w:val="0"/>
          <w:bCs w:val="0"/>
          <w:caps w:val="0"/>
          <w:szCs w:val="20"/>
          <w:lang w:val="fr-FR"/>
        </w:rPr>
      </w:pPr>
    </w:p>
    <w:p w14:paraId="7AC986FD" w14:textId="0F7EC231" w:rsidR="001077E2" w:rsidRPr="00F16887" w:rsidRDefault="001077E2" w:rsidP="00F16887">
      <w:pPr>
        <w:pStyle w:val="SectionHeading"/>
        <w:keepLines w:val="0"/>
        <w:spacing w:before="0" w:after="0" w:line="240" w:lineRule="auto"/>
        <w:jc w:val="both"/>
        <w:rPr>
          <w:rFonts w:eastAsia="SimSun"/>
          <w:b w:val="0"/>
          <w:bCs w:val="0"/>
          <w:caps w:val="0"/>
          <w:szCs w:val="20"/>
          <w:lang w:val="fr-FR"/>
        </w:rPr>
      </w:pPr>
      <w:r w:rsidRPr="00F16887">
        <w:rPr>
          <w:b w:val="0"/>
          <w:caps w:val="0"/>
          <w:lang w:val="fr-FR"/>
        </w:rPr>
        <w:t>En outre, la possibilité d</w:t>
      </w:r>
      <w:r w:rsidR="00F16887">
        <w:rPr>
          <w:b w:val="0"/>
          <w:caps w:val="0"/>
          <w:lang w:val="fr-FR"/>
        </w:rPr>
        <w:t>’</w:t>
      </w:r>
      <w:r w:rsidRPr="00F16887">
        <w:rPr>
          <w:b w:val="0"/>
          <w:caps w:val="0"/>
          <w:lang w:val="fr-FR"/>
        </w:rPr>
        <w:t>avoir une administration chargée de la recherche internationale et de l</w:t>
      </w:r>
      <w:r w:rsidR="00F16887">
        <w:rPr>
          <w:b w:val="0"/>
          <w:caps w:val="0"/>
          <w:lang w:val="fr-FR"/>
        </w:rPr>
        <w:t>’</w:t>
      </w:r>
      <w:r w:rsidRPr="00F16887">
        <w:rPr>
          <w:b w:val="0"/>
          <w:caps w:val="0"/>
          <w:lang w:val="fr-FR"/>
        </w:rPr>
        <w:t>examen préliminaire international hispanophone basée au Mexique profiterait non seulement aux utilisateurs mexicains, mais aussi aux déposants d</w:t>
      </w:r>
      <w:r w:rsidR="00F16887">
        <w:rPr>
          <w:b w:val="0"/>
          <w:caps w:val="0"/>
          <w:lang w:val="fr-FR"/>
        </w:rPr>
        <w:t>’</w:t>
      </w:r>
      <w:r w:rsidRPr="00F16887">
        <w:rPr>
          <w:b w:val="0"/>
          <w:caps w:val="0"/>
          <w:lang w:val="fr-FR"/>
        </w:rPr>
        <w:t>autres pays d</w:t>
      </w:r>
      <w:r w:rsidR="00F16887">
        <w:rPr>
          <w:b w:val="0"/>
          <w:caps w:val="0"/>
          <w:lang w:val="fr-FR"/>
        </w:rPr>
        <w:t>’</w:t>
      </w:r>
      <w:r w:rsidRPr="00F16887">
        <w:rPr>
          <w:b w:val="0"/>
          <w:caps w:val="0"/>
          <w:lang w:val="fr-FR"/>
        </w:rPr>
        <w:t>Amérique latine et des Caraïbes, en particulier ceux qui n</w:t>
      </w:r>
      <w:r w:rsidR="00F16887">
        <w:rPr>
          <w:b w:val="0"/>
          <w:caps w:val="0"/>
          <w:lang w:val="fr-FR"/>
        </w:rPr>
        <w:t>’</w:t>
      </w:r>
      <w:r w:rsidRPr="00F16887">
        <w:rPr>
          <w:b w:val="0"/>
          <w:caps w:val="0"/>
          <w:lang w:val="fr-FR"/>
        </w:rPr>
        <w:t>ont pas encore désigné leurs propres administrations internationales, favorisant ainsi l</w:t>
      </w:r>
      <w:r w:rsidR="00F16887">
        <w:rPr>
          <w:b w:val="0"/>
          <w:caps w:val="0"/>
          <w:lang w:val="fr-FR"/>
        </w:rPr>
        <w:t>’</w:t>
      </w:r>
      <w:r w:rsidRPr="00F16887">
        <w:rPr>
          <w:b w:val="0"/>
          <w:caps w:val="0"/>
          <w:lang w:val="fr-FR"/>
        </w:rPr>
        <w:t>inclusion et la coopération régionales.</w:t>
      </w:r>
    </w:p>
    <w:p w14:paraId="204C9365" w14:textId="77777777" w:rsidR="001077E2" w:rsidRPr="00F16887" w:rsidRDefault="001077E2" w:rsidP="00F16887">
      <w:pPr>
        <w:pStyle w:val="SectionHeading"/>
        <w:keepLines w:val="0"/>
        <w:spacing w:before="0" w:after="0" w:line="240" w:lineRule="auto"/>
        <w:jc w:val="both"/>
        <w:rPr>
          <w:rFonts w:eastAsia="SimSun"/>
          <w:b w:val="0"/>
          <w:bCs w:val="0"/>
          <w:caps w:val="0"/>
          <w:szCs w:val="20"/>
          <w:lang w:val="fr-FR"/>
        </w:rPr>
      </w:pPr>
    </w:p>
    <w:p w14:paraId="34BF4A5B" w14:textId="21B6D152" w:rsidR="001077E2" w:rsidRPr="00F16887" w:rsidRDefault="001077E2" w:rsidP="00F16887">
      <w:pPr>
        <w:pStyle w:val="SectionHeading"/>
        <w:keepLines w:val="0"/>
        <w:spacing w:before="0" w:after="0" w:line="240" w:lineRule="auto"/>
        <w:jc w:val="both"/>
        <w:rPr>
          <w:rFonts w:eastAsia="SimSun"/>
          <w:b w:val="0"/>
          <w:bCs w:val="0"/>
          <w:caps w:val="0"/>
          <w:szCs w:val="20"/>
          <w:lang w:val="fr-FR"/>
        </w:rPr>
      </w:pPr>
      <w:r w:rsidRPr="00F16887">
        <w:rPr>
          <w:b w:val="0"/>
          <w:caps w:val="0"/>
          <w:lang w:val="fr-FR"/>
        </w:rPr>
        <w:t>L</w:t>
      </w:r>
      <w:r w:rsidR="00F16887">
        <w:rPr>
          <w:b w:val="0"/>
          <w:caps w:val="0"/>
          <w:lang w:val="fr-FR"/>
        </w:rPr>
        <w:t>’</w:t>
      </w:r>
      <w:r w:rsidRPr="00F16887">
        <w:rPr>
          <w:b w:val="0"/>
          <w:caps w:val="0"/>
          <w:lang w:val="fr-FR"/>
        </w:rPr>
        <w:t>IMPI est fermement convaincu que sa nomination en qualité d</w:t>
      </w:r>
      <w:r w:rsidR="00F16887">
        <w:rPr>
          <w:b w:val="0"/>
          <w:caps w:val="0"/>
          <w:lang w:val="fr-FR"/>
        </w:rPr>
        <w:t>’</w:t>
      </w:r>
      <w:r w:rsidRPr="00F16887">
        <w:rPr>
          <w:b w:val="0"/>
          <w:caps w:val="0"/>
          <w:lang w:val="fr-FR"/>
        </w:rPr>
        <w:t>administration chargée de la recherche internationale et de l</w:t>
      </w:r>
      <w:r w:rsidR="00F16887">
        <w:rPr>
          <w:b w:val="0"/>
          <w:caps w:val="0"/>
          <w:lang w:val="fr-FR"/>
        </w:rPr>
        <w:t>’</w:t>
      </w:r>
      <w:r w:rsidRPr="00F16887">
        <w:rPr>
          <w:b w:val="0"/>
          <w:caps w:val="0"/>
          <w:lang w:val="fr-FR"/>
        </w:rPr>
        <w:t>examen préliminaire international renforcera le système du PCT en offrant de meilleures possibilités aux utilisateurs, en encourageant la participation régionale et en contribuant à l</w:t>
      </w:r>
      <w:r w:rsidR="00F16887">
        <w:rPr>
          <w:b w:val="0"/>
          <w:caps w:val="0"/>
          <w:lang w:val="fr-FR"/>
        </w:rPr>
        <w:t>’</w:t>
      </w:r>
      <w:r w:rsidRPr="00F16887">
        <w:rPr>
          <w:b w:val="0"/>
          <w:caps w:val="0"/>
          <w:lang w:val="fr-FR"/>
        </w:rPr>
        <w:t>efficacité globale du système.  L</w:t>
      </w:r>
      <w:r w:rsidR="00F16887">
        <w:rPr>
          <w:b w:val="0"/>
          <w:caps w:val="0"/>
          <w:lang w:val="fr-FR"/>
        </w:rPr>
        <w:t>’</w:t>
      </w:r>
      <w:r w:rsidRPr="00F16887">
        <w:rPr>
          <w:b w:val="0"/>
          <w:caps w:val="0"/>
          <w:lang w:val="fr-FR"/>
        </w:rPr>
        <w:t>IMPI réitère son engagement envers les principes de qualité, de transparence et de coopération internationale qui sous</w:t>
      </w:r>
      <w:r w:rsidR="00C95B35">
        <w:rPr>
          <w:b w:val="0"/>
          <w:caps w:val="0"/>
          <w:lang w:val="fr-FR"/>
        </w:rPr>
        <w:noBreakHyphen/>
      </w:r>
      <w:r w:rsidRPr="00F16887">
        <w:rPr>
          <w:b w:val="0"/>
          <w:caps w:val="0"/>
          <w:lang w:val="fr-FR"/>
        </w:rPr>
        <w:t>tendent le système du PCT, et est prêt, sur le plan technique et opérationnel, à assumer de manière responsable ce nouveau rôle au sein du système international des brevets.</w:t>
      </w:r>
    </w:p>
    <w:p w14:paraId="29945589" w14:textId="77777777" w:rsidR="001077E2" w:rsidRPr="00F16887" w:rsidRDefault="001077E2" w:rsidP="00F16887">
      <w:pPr>
        <w:rPr>
          <w:lang w:val="fr-FR"/>
        </w:rPr>
      </w:pPr>
    </w:p>
    <w:p w14:paraId="3AA21F65" w14:textId="77777777" w:rsidR="001077E2" w:rsidRPr="00F16887" w:rsidRDefault="001077E2" w:rsidP="00F16887">
      <w:pPr>
        <w:pStyle w:val="SectionHeading"/>
        <w:keepLines w:val="0"/>
        <w:pBdr>
          <w:top w:val="single" w:sz="4" w:space="0" w:color="auto"/>
        </w:pBdr>
        <w:spacing w:after="0"/>
        <w:rPr>
          <w:lang w:val="fr-FR"/>
        </w:rPr>
      </w:pPr>
      <w:r w:rsidRPr="00F16887">
        <w:rPr>
          <w:lang w:val="fr-FR"/>
        </w:rPr>
        <w:lastRenderedPageBreak/>
        <w:t>5 – État(s) candidat(s)</w:t>
      </w:r>
    </w:p>
    <w:p w14:paraId="789B2920" w14:textId="09E6A02B" w:rsidR="001077E2" w:rsidRPr="00F16887" w:rsidRDefault="001077E2" w:rsidP="00F16887">
      <w:pPr>
        <w:pStyle w:val="Question"/>
        <w:keepLines w:val="0"/>
      </w:pPr>
      <w:r w:rsidRPr="00F16887">
        <w:t>a)</w:t>
      </w:r>
      <w:r w:rsidR="0025290E">
        <w:tab/>
      </w:r>
      <w:r w:rsidRPr="00F16887">
        <w:t>Emplacement géographique</w:t>
      </w:r>
      <w:r w:rsidR="00F16887">
        <w:t> :</w:t>
      </w:r>
    </w:p>
    <w:p w14:paraId="73859CBE" w14:textId="617B7DAB" w:rsidR="001077E2" w:rsidRPr="00F16887" w:rsidRDefault="001077E2" w:rsidP="00F16887">
      <w:pPr>
        <w:pStyle w:val="Answer"/>
        <w:ind w:left="0"/>
      </w:pPr>
      <w:r w:rsidRPr="00F16887">
        <w:t>Le siège de l</w:t>
      </w:r>
      <w:r w:rsidR="00F16887">
        <w:t>’</w:t>
      </w:r>
      <w:r w:rsidRPr="00F16887">
        <w:t>IMPI se trouve à Mexico, la capitale du Mexique.</w:t>
      </w:r>
    </w:p>
    <w:p w14:paraId="67DB296B" w14:textId="77777777" w:rsidR="001077E2" w:rsidRPr="00F16887" w:rsidRDefault="001077E2" w:rsidP="00F16887">
      <w:pPr>
        <w:jc w:val="center"/>
        <w:rPr>
          <w:szCs w:val="22"/>
          <w:lang w:val="fr-FR"/>
        </w:rPr>
      </w:pPr>
      <w:r w:rsidRPr="00F16887">
        <w:rPr>
          <w:noProof/>
          <w:lang w:val="fr-FR"/>
        </w:rPr>
        <w:drawing>
          <wp:inline distT="0" distB="0" distL="0" distR="0" wp14:anchorId="52076410" wp14:editId="0096A377">
            <wp:extent cx="2895600" cy="2509941"/>
            <wp:effectExtent l="0" t="0" r="0" b="5080"/>
            <wp:docPr id="812994945" name="Imagen 2" descr="Carte du Mexique indiquant l’emplacement de Me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994945" name="Imagen 2" descr="Map of Mexico showing location of Mexico Cit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5831" cy="2518809"/>
                    </a:xfrm>
                    <a:prstGeom prst="rect">
                      <a:avLst/>
                    </a:prstGeom>
                    <a:noFill/>
                    <a:ln>
                      <a:noFill/>
                    </a:ln>
                  </pic:spPr>
                </pic:pic>
              </a:graphicData>
            </a:graphic>
          </wp:inline>
        </w:drawing>
      </w:r>
    </w:p>
    <w:p w14:paraId="5DD0EC93" w14:textId="77777777" w:rsidR="001077E2" w:rsidRPr="00F16887" w:rsidRDefault="001077E2" w:rsidP="00F16887">
      <w:pPr>
        <w:jc w:val="center"/>
        <w:rPr>
          <w:szCs w:val="22"/>
          <w:lang w:val="fr-FR"/>
        </w:rPr>
      </w:pPr>
    </w:p>
    <w:p w14:paraId="3310A329" w14:textId="51BE3AE7" w:rsidR="001077E2" w:rsidRPr="00F16887" w:rsidRDefault="001077E2" w:rsidP="00F16887">
      <w:pPr>
        <w:pStyle w:val="Question"/>
        <w:keepLines w:val="0"/>
      </w:pPr>
      <w:r w:rsidRPr="00F16887">
        <w:t>b)</w:t>
      </w:r>
      <w:r w:rsidR="0025290E">
        <w:tab/>
      </w:r>
      <w:r w:rsidRPr="00F16887">
        <w:t>Appartenance à des organisations régionales</w:t>
      </w:r>
      <w:r w:rsidR="00F16887">
        <w:t> :</w:t>
      </w:r>
    </w:p>
    <w:p w14:paraId="20503AFB" w14:textId="6E858B07" w:rsidR="001077E2" w:rsidRPr="00F16887" w:rsidRDefault="001077E2" w:rsidP="00F16887">
      <w:pPr>
        <w:pStyle w:val="Answer"/>
        <w:spacing w:after="0"/>
        <w:ind w:left="0"/>
      </w:pPr>
      <w:r w:rsidRPr="00F16887">
        <w:t>Le Mexique est membre de l</w:t>
      </w:r>
      <w:r w:rsidR="00F16887">
        <w:t>’</w:t>
      </w:r>
      <w:r w:rsidRPr="00F16887">
        <w:t>OMPI depuis le 14 juin 1975.  Le Mexique est partie à 20 traités administrés par l</w:t>
      </w:r>
      <w:r w:rsidR="00F16887">
        <w:t>’</w:t>
      </w:r>
      <w:r w:rsidRPr="00F16887">
        <w:t>OMPI.</w:t>
      </w:r>
    </w:p>
    <w:p w14:paraId="40F375EB" w14:textId="77777777" w:rsidR="001077E2" w:rsidRPr="00F16887" w:rsidRDefault="001077E2" w:rsidP="00F16887">
      <w:pPr>
        <w:pStyle w:val="Answer"/>
        <w:spacing w:after="0"/>
        <w:ind w:left="0"/>
      </w:pPr>
    </w:p>
    <w:p w14:paraId="56FF7DD4" w14:textId="306AB939" w:rsidR="001077E2" w:rsidRPr="00F16887" w:rsidRDefault="001077E2" w:rsidP="00F16887">
      <w:pPr>
        <w:pStyle w:val="Answer"/>
        <w:ind w:left="0"/>
      </w:pPr>
      <w:r w:rsidRPr="00F16887">
        <w:t>Il est également membre des organisations régionales suivantes</w:t>
      </w:r>
      <w:r w:rsidR="00F16887">
        <w:t> :</w:t>
      </w:r>
    </w:p>
    <w:p w14:paraId="228B1678" w14:textId="19202927" w:rsidR="001077E2" w:rsidRPr="00F16887" w:rsidRDefault="001077E2" w:rsidP="0025290E">
      <w:pPr>
        <w:pStyle w:val="Answer"/>
        <w:numPr>
          <w:ilvl w:val="0"/>
          <w:numId w:val="23"/>
        </w:numPr>
        <w:ind w:left="1134" w:hanging="567"/>
      </w:pPr>
      <w:r w:rsidRPr="00F16887">
        <w:t>la Communauté des États d</w:t>
      </w:r>
      <w:r w:rsidR="00F16887">
        <w:t>’</w:t>
      </w:r>
      <w:r w:rsidRPr="00F16887">
        <w:t>Amérique latine et des Caraïbes,</w:t>
      </w:r>
    </w:p>
    <w:p w14:paraId="4CE9B503" w14:textId="4328832C" w:rsidR="001077E2" w:rsidRPr="00F16887" w:rsidRDefault="001077E2" w:rsidP="0025290E">
      <w:pPr>
        <w:pStyle w:val="Answer"/>
        <w:numPr>
          <w:ilvl w:val="0"/>
          <w:numId w:val="23"/>
        </w:numPr>
        <w:ind w:left="1134" w:hanging="567"/>
      </w:pPr>
      <w:r w:rsidRPr="00F16887">
        <w:t>l</w:t>
      </w:r>
      <w:r w:rsidR="00F16887">
        <w:t>’</w:t>
      </w:r>
      <w:r w:rsidRPr="00F16887">
        <w:t>Organisation des États américains,</w:t>
      </w:r>
    </w:p>
    <w:p w14:paraId="3CD20F81" w14:textId="32B9A426" w:rsidR="001077E2" w:rsidRPr="00F16887" w:rsidRDefault="001077E2" w:rsidP="0025290E">
      <w:pPr>
        <w:pStyle w:val="Answer"/>
        <w:numPr>
          <w:ilvl w:val="0"/>
          <w:numId w:val="23"/>
        </w:numPr>
        <w:ind w:left="1134" w:hanging="567"/>
      </w:pPr>
      <w:r w:rsidRPr="00F16887">
        <w:t>l</w:t>
      </w:r>
      <w:r w:rsidR="00F16887">
        <w:t>’</w:t>
      </w:r>
      <w:r w:rsidRPr="00F16887">
        <w:t>Association des États des Caraïbes,</w:t>
      </w:r>
    </w:p>
    <w:p w14:paraId="61A9926A" w14:textId="09EBD4BB" w:rsidR="001077E2" w:rsidRPr="00F16887" w:rsidRDefault="001077E2" w:rsidP="0025290E">
      <w:pPr>
        <w:pStyle w:val="Answer"/>
        <w:numPr>
          <w:ilvl w:val="0"/>
          <w:numId w:val="23"/>
        </w:numPr>
        <w:ind w:left="1134" w:hanging="567"/>
      </w:pPr>
      <w:r w:rsidRPr="00F16887">
        <w:t>l</w:t>
      </w:r>
      <w:r w:rsidR="00F16887">
        <w:t>’</w:t>
      </w:r>
      <w:r w:rsidRPr="00F16887">
        <w:t>Association latino</w:t>
      </w:r>
      <w:r w:rsidR="00C95B35">
        <w:noBreakHyphen/>
      </w:r>
      <w:r w:rsidRPr="00F16887">
        <w:t>américaine d</w:t>
      </w:r>
      <w:r w:rsidR="00F16887">
        <w:t>’</w:t>
      </w:r>
      <w:r w:rsidRPr="00F16887">
        <w:t>intégration et</w:t>
      </w:r>
    </w:p>
    <w:p w14:paraId="4162E272" w14:textId="10781C68" w:rsidR="001077E2" w:rsidRPr="00F16887" w:rsidRDefault="001077E2" w:rsidP="0025290E">
      <w:pPr>
        <w:pStyle w:val="Answer"/>
        <w:numPr>
          <w:ilvl w:val="0"/>
          <w:numId w:val="23"/>
        </w:numPr>
        <w:spacing w:after="0"/>
        <w:ind w:left="1134" w:hanging="567"/>
      </w:pPr>
      <w:r w:rsidRPr="00F16887">
        <w:t>la Commission économique pour l</w:t>
      </w:r>
      <w:r w:rsidR="00F16887">
        <w:t>’</w:t>
      </w:r>
      <w:r w:rsidRPr="00F16887">
        <w:t>Amérique latine et les Caraïbes.</w:t>
      </w:r>
    </w:p>
    <w:p w14:paraId="09960583" w14:textId="77777777" w:rsidR="001077E2" w:rsidRPr="00F16887" w:rsidRDefault="001077E2" w:rsidP="00F16887">
      <w:pPr>
        <w:pStyle w:val="Answer"/>
        <w:spacing w:after="0"/>
        <w:ind w:left="0"/>
      </w:pPr>
    </w:p>
    <w:p w14:paraId="5B5E1AC0" w14:textId="6FFD911F" w:rsidR="001077E2" w:rsidRPr="00F16887" w:rsidRDefault="001077E2" w:rsidP="00F16887">
      <w:pPr>
        <w:pStyle w:val="Question"/>
        <w:spacing w:after="0"/>
      </w:pPr>
      <w:r w:rsidRPr="00F16887">
        <w:t>c)</w:t>
      </w:r>
      <w:r w:rsidRPr="00F16887">
        <w:tab/>
        <w:t>Population</w:t>
      </w:r>
      <w:r w:rsidR="00F16887">
        <w:t> :</w:t>
      </w:r>
    </w:p>
    <w:p w14:paraId="44351F60" w14:textId="77777777" w:rsidR="001077E2" w:rsidRPr="00F16887" w:rsidRDefault="001077E2" w:rsidP="00F16887">
      <w:pPr>
        <w:pStyle w:val="Answer"/>
        <w:spacing w:after="0"/>
        <w:ind w:left="0"/>
      </w:pPr>
    </w:p>
    <w:p w14:paraId="450187BB" w14:textId="2846BE77" w:rsidR="001077E2" w:rsidRPr="00F16887" w:rsidRDefault="001077E2" w:rsidP="00F16887">
      <w:pPr>
        <w:pStyle w:val="Answer"/>
        <w:spacing w:after="0"/>
        <w:ind w:left="0"/>
      </w:pPr>
      <w:r w:rsidRPr="00F16887">
        <w:t>Le Mexique compte 130,9 millions d</w:t>
      </w:r>
      <w:r w:rsidR="00F16887">
        <w:t>’</w:t>
      </w:r>
      <w:r w:rsidRPr="00F16887">
        <w:t>habitants (données de la Banque mondiale, 2024).</w:t>
      </w:r>
    </w:p>
    <w:p w14:paraId="66C0F350" w14:textId="77777777" w:rsidR="001077E2" w:rsidRPr="00F16887" w:rsidRDefault="001077E2" w:rsidP="00F16887">
      <w:pPr>
        <w:pStyle w:val="Answer"/>
        <w:spacing w:after="0"/>
        <w:ind w:left="0"/>
      </w:pPr>
    </w:p>
    <w:p w14:paraId="134330DD" w14:textId="5D6650CA" w:rsidR="001077E2" w:rsidRPr="00F16887" w:rsidRDefault="001077E2" w:rsidP="00F16887">
      <w:pPr>
        <w:pStyle w:val="Question"/>
        <w:spacing w:after="0"/>
      </w:pPr>
      <w:r w:rsidRPr="00F16887">
        <w:t>d)</w:t>
      </w:r>
      <w:r w:rsidRPr="00F16887">
        <w:tab/>
        <w:t>PIB par habitant</w:t>
      </w:r>
      <w:r w:rsidR="00F16887">
        <w:t> :</w:t>
      </w:r>
    </w:p>
    <w:p w14:paraId="13B637E0" w14:textId="77777777" w:rsidR="001077E2" w:rsidRPr="00F16887" w:rsidRDefault="001077E2" w:rsidP="00F16887">
      <w:pPr>
        <w:pStyle w:val="Answer"/>
        <w:spacing w:after="0"/>
        <w:ind w:left="0"/>
      </w:pPr>
    </w:p>
    <w:p w14:paraId="508A3895" w14:textId="15FFB756" w:rsidR="001077E2" w:rsidRPr="00F16887" w:rsidRDefault="001077E2" w:rsidP="00F16887">
      <w:pPr>
        <w:pStyle w:val="Answer"/>
        <w:spacing w:after="0"/>
        <w:ind w:left="0"/>
      </w:pPr>
      <w:r w:rsidRPr="00F16887">
        <w:t>14 157,9 dollars</w:t>
      </w:r>
      <w:r w:rsidR="00B22F9C">
        <w:t> </w:t>
      </w:r>
      <w:r w:rsidRPr="00F16887">
        <w:t>É.</w:t>
      </w:r>
      <w:r w:rsidR="00C95B35">
        <w:noBreakHyphen/>
      </w:r>
      <w:r w:rsidRPr="00F16887">
        <w:t>U.</w:t>
      </w:r>
      <w:r w:rsidR="00B22F9C">
        <w:t> </w:t>
      </w:r>
      <w:r w:rsidRPr="00F16887">
        <w:t>(données de la Banque mondiale, 2024)</w:t>
      </w:r>
    </w:p>
    <w:p w14:paraId="61A98C69" w14:textId="77777777" w:rsidR="001077E2" w:rsidRPr="00F16887" w:rsidRDefault="001077E2" w:rsidP="0025290E">
      <w:pPr>
        <w:pStyle w:val="Answer"/>
        <w:spacing w:after="0"/>
        <w:ind w:left="0"/>
      </w:pPr>
    </w:p>
    <w:p w14:paraId="407C81A5" w14:textId="5B00B5D7" w:rsidR="001077E2" w:rsidRPr="00F16887" w:rsidRDefault="001077E2" w:rsidP="00F16887">
      <w:pPr>
        <w:pStyle w:val="Question"/>
        <w:keepNext w:val="0"/>
        <w:keepLines w:val="0"/>
        <w:spacing w:after="0"/>
      </w:pPr>
      <w:r w:rsidRPr="00F16887">
        <w:t>e)</w:t>
      </w:r>
      <w:r w:rsidRPr="00F16887">
        <w:tab/>
        <w:t>Estimation des dépenses nationales en recherche</w:t>
      </w:r>
      <w:r w:rsidR="00C95B35">
        <w:noBreakHyphen/>
      </w:r>
      <w:r w:rsidRPr="00F16887">
        <w:t>développement (pourcentage</w:t>
      </w:r>
      <w:r w:rsidR="00F16887" w:rsidRPr="00F16887">
        <w:t xml:space="preserve"> du</w:t>
      </w:r>
      <w:r w:rsidR="00F16887">
        <w:t> </w:t>
      </w:r>
      <w:r w:rsidR="00F16887" w:rsidRPr="00F16887">
        <w:t>PIB</w:t>
      </w:r>
      <w:r w:rsidRPr="00F16887">
        <w:t>)</w:t>
      </w:r>
      <w:r w:rsidR="00F16887">
        <w:t> :</w:t>
      </w:r>
    </w:p>
    <w:p w14:paraId="03866732" w14:textId="77777777" w:rsidR="001077E2" w:rsidRPr="00F16887" w:rsidRDefault="001077E2" w:rsidP="00F16887">
      <w:pPr>
        <w:pStyle w:val="Answer"/>
        <w:spacing w:after="0"/>
        <w:ind w:left="0"/>
      </w:pPr>
    </w:p>
    <w:p w14:paraId="56318AE1" w14:textId="77777777" w:rsidR="001077E2" w:rsidRPr="00F16887" w:rsidRDefault="001077E2" w:rsidP="00F16887">
      <w:pPr>
        <w:pStyle w:val="Answer"/>
        <w:spacing w:after="0"/>
        <w:ind w:left="0"/>
      </w:pPr>
      <w:r w:rsidRPr="00F16887">
        <w:t>0,27% (données de la Banque mondiale, 2023)</w:t>
      </w:r>
    </w:p>
    <w:p w14:paraId="45A9CFE6" w14:textId="77777777" w:rsidR="001077E2" w:rsidRPr="00F16887" w:rsidRDefault="001077E2" w:rsidP="00F16887">
      <w:pPr>
        <w:pStyle w:val="Answer"/>
        <w:spacing w:after="0"/>
        <w:ind w:left="0"/>
      </w:pPr>
    </w:p>
    <w:p w14:paraId="1E99958E" w14:textId="1E708BAE" w:rsidR="001077E2" w:rsidRPr="00F16887" w:rsidRDefault="001077E2" w:rsidP="0025290E">
      <w:pPr>
        <w:pStyle w:val="Answer"/>
        <w:keepNext/>
        <w:spacing w:after="0"/>
        <w:ind w:left="0"/>
        <w:jc w:val="both"/>
        <w:rPr>
          <w:b/>
          <w:bCs/>
        </w:rPr>
      </w:pPr>
      <w:r w:rsidRPr="00F16887">
        <w:rPr>
          <w:b/>
        </w:rPr>
        <w:lastRenderedPageBreak/>
        <w:t>f)</w:t>
      </w:r>
      <w:r w:rsidRPr="00F16887">
        <w:rPr>
          <w:b/>
        </w:rPr>
        <w:tab/>
        <w:t>Nombre d</w:t>
      </w:r>
      <w:r w:rsidR="00F16887">
        <w:rPr>
          <w:b/>
        </w:rPr>
        <w:t>’</w:t>
      </w:r>
      <w:r w:rsidRPr="00F16887">
        <w:rPr>
          <w:b/>
        </w:rPr>
        <w:t>instituts universitaires de recherche</w:t>
      </w:r>
      <w:r w:rsidR="00F16887">
        <w:rPr>
          <w:b/>
        </w:rPr>
        <w:t> :</w:t>
      </w:r>
    </w:p>
    <w:p w14:paraId="050B2AC0" w14:textId="77777777" w:rsidR="001077E2" w:rsidRPr="00F16887" w:rsidRDefault="001077E2" w:rsidP="0025290E">
      <w:pPr>
        <w:pStyle w:val="Answer"/>
        <w:keepNext/>
        <w:spacing w:after="0"/>
        <w:ind w:left="0"/>
        <w:jc w:val="both"/>
      </w:pPr>
    </w:p>
    <w:p w14:paraId="5E0DB698" w14:textId="2D55ABE6" w:rsidR="00F16887" w:rsidRDefault="001077E2" w:rsidP="00F16887">
      <w:pPr>
        <w:pStyle w:val="Answer"/>
        <w:spacing w:after="0"/>
        <w:ind w:left="0"/>
        <w:jc w:val="both"/>
      </w:pPr>
      <w:r w:rsidRPr="00F16887">
        <w:t>Le Mexique compte plus de 900 universités publiques, autonomes, technologiques, polytechniques et interculturelles, ainsi que 3 401 universités privé</w:t>
      </w:r>
      <w:r w:rsidR="00C95B35" w:rsidRPr="00F16887">
        <w:t>es</w:t>
      </w:r>
      <w:r w:rsidR="00C95B35">
        <w:t xml:space="preserve">.  </w:t>
      </w:r>
      <w:r w:rsidR="00C95B35" w:rsidRPr="00F16887">
        <w:t>To</w:t>
      </w:r>
      <w:r w:rsidRPr="00F16887">
        <w:t>utes sont fortement engagées dans des projets de recherche.</w:t>
      </w:r>
    </w:p>
    <w:p w14:paraId="2D1E7802" w14:textId="15AB0C90" w:rsidR="001077E2" w:rsidRPr="00F16887" w:rsidRDefault="001077E2" w:rsidP="00F16887">
      <w:pPr>
        <w:pStyle w:val="Answer"/>
        <w:spacing w:after="0"/>
        <w:ind w:left="0"/>
        <w:jc w:val="both"/>
        <w:rPr>
          <w:i/>
          <w:iCs/>
        </w:rPr>
      </w:pPr>
    </w:p>
    <w:p w14:paraId="04EEAFA9" w14:textId="6DAE2AD0" w:rsidR="001077E2" w:rsidRPr="00F16887" w:rsidRDefault="001077E2" w:rsidP="00F16887">
      <w:pPr>
        <w:pStyle w:val="Question"/>
        <w:keepNext w:val="0"/>
        <w:keepLines w:val="0"/>
        <w:spacing w:after="0"/>
      </w:pPr>
      <w:r w:rsidRPr="00F16887">
        <w:t>g)</w:t>
      </w:r>
      <w:r w:rsidRPr="00F16887">
        <w:tab/>
        <w:t>Présentation du réseau national d</w:t>
      </w:r>
      <w:r w:rsidR="00F16887">
        <w:t>’</w:t>
      </w:r>
      <w:r w:rsidRPr="00F16887">
        <w:t>information en matière de brevets</w:t>
      </w:r>
      <w:r w:rsidR="00F16887">
        <w:t> :</w:t>
      </w:r>
    </w:p>
    <w:p w14:paraId="53D58C15" w14:textId="7B6A1F6A" w:rsidR="001077E2" w:rsidRPr="00F16887" w:rsidRDefault="001077E2" w:rsidP="00F16887">
      <w:pPr>
        <w:pStyle w:val="Answer"/>
        <w:spacing w:after="0"/>
        <w:ind w:left="0"/>
        <w:jc w:val="both"/>
      </w:pPr>
      <w:r w:rsidRPr="00F16887">
        <w:t>L</w:t>
      </w:r>
      <w:r w:rsidR="00F16887">
        <w:t>’</w:t>
      </w:r>
      <w:r w:rsidRPr="00F16887">
        <w:t>IMPI dispose d</w:t>
      </w:r>
      <w:r w:rsidR="00F16887">
        <w:t>’</w:t>
      </w:r>
      <w:r w:rsidRPr="00F16887">
        <w:t>un portail dénommé SIGA (Système d</w:t>
      </w:r>
      <w:r w:rsidR="00F16887">
        <w:t>’</w:t>
      </w:r>
      <w:r w:rsidRPr="00F16887">
        <w:t>information sur la gazette de la propriété industrielle) où sont publiés les bulletins des brevets, les registres et toute autre information d</w:t>
      </w:r>
      <w:r w:rsidR="00F16887">
        <w:t>’</w:t>
      </w:r>
      <w:r w:rsidRPr="00F16887">
        <w:t>intérêt sur la propriété industrielle et les questions connexes afin d</w:t>
      </w:r>
      <w:r w:rsidR="00F16887">
        <w:t>’</w:t>
      </w:r>
      <w:r w:rsidRPr="00F16887">
        <w:t>assurer la diffusion légale requise par la loi fédérale sur la protection de la propriété industriel</w:t>
      </w:r>
      <w:r w:rsidR="00C95B35" w:rsidRPr="00F16887">
        <w:t>le</w:t>
      </w:r>
      <w:r w:rsidR="00C95B35">
        <w:t xml:space="preserve">.  </w:t>
      </w:r>
      <w:r w:rsidR="00C95B35" w:rsidRPr="00F16887">
        <w:t>En</w:t>
      </w:r>
      <w:r w:rsidRPr="00F16887">
        <w:t xml:space="preserve"> outre, le SIGA permet de rechercher et de consulter des dossiers complets au format PDF remontant à 2001 et de télécharger des informations bibliographiques et des résumés des demandes et des octrois accessibles au public au format XML, qui peuvent être consultés via le lien suivant</w:t>
      </w:r>
      <w:r w:rsidR="00F16887">
        <w:t> :</w:t>
      </w:r>
      <w:hyperlink r:id="rId13" w:history="1">
        <w:r w:rsidRPr="00F16887">
          <w:rPr>
            <w:rStyle w:val="Hyperlink"/>
            <w:i/>
          </w:rPr>
          <w:t xml:space="preserve"> </w:t>
        </w:r>
      </w:hyperlink>
      <w:hyperlink r:id="rId14" w:history="1">
        <w:r w:rsidRPr="00F16887">
          <w:rPr>
            <w:rStyle w:val="Hyperlink"/>
            <w:i/>
          </w:rPr>
          <w:t>https://siga.impi.gob.mx/</w:t>
        </w:r>
      </w:hyperlink>
      <w:r w:rsidRPr="00F16887">
        <w:rPr>
          <w:i/>
        </w:rPr>
        <w:t>.</w:t>
      </w:r>
    </w:p>
    <w:p w14:paraId="426BE97B" w14:textId="77777777" w:rsidR="001077E2" w:rsidRPr="00F16887" w:rsidRDefault="001077E2" w:rsidP="00F16887">
      <w:pPr>
        <w:pStyle w:val="Question"/>
        <w:keepNext w:val="0"/>
        <w:keepLines w:val="0"/>
        <w:spacing w:after="0"/>
      </w:pPr>
    </w:p>
    <w:p w14:paraId="05361B09" w14:textId="0D05A80C" w:rsidR="00F16887" w:rsidRDefault="001077E2" w:rsidP="00F16887">
      <w:pPr>
        <w:pStyle w:val="Question"/>
        <w:keepNext w:val="0"/>
        <w:keepLines w:val="0"/>
        <w:spacing w:after="0"/>
      </w:pPr>
      <w:r w:rsidRPr="00F16887">
        <w:t>h)</w:t>
      </w:r>
      <w:r w:rsidRPr="00F16887">
        <w:tab/>
        <w:t>Principales industries locales</w:t>
      </w:r>
      <w:r w:rsidR="00F16887">
        <w:t> :</w:t>
      </w:r>
    </w:p>
    <w:p w14:paraId="4182CFA6" w14:textId="4F22CD98" w:rsidR="001077E2" w:rsidRPr="00F16887" w:rsidRDefault="001077E2" w:rsidP="0025290E">
      <w:pPr>
        <w:pStyle w:val="Answer"/>
        <w:spacing w:after="0"/>
        <w:ind w:left="0"/>
      </w:pPr>
    </w:p>
    <w:p w14:paraId="5264DADC" w14:textId="74157ECF" w:rsidR="001077E2" w:rsidRPr="00F16887" w:rsidRDefault="001077E2" w:rsidP="00F16887">
      <w:pPr>
        <w:pStyle w:val="Answer"/>
        <w:spacing w:after="0"/>
        <w:ind w:left="0"/>
      </w:pPr>
      <w:r w:rsidRPr="00F16887">
        <w:t>Les principales industries du Mexique comprennent la production (en particulier l</w:t>
      </w:r>
      <w:r w:rsidR="00F16887">
        <w:t>’</w:t>
      </w:r>
      <w:r w:rsidRPr="00F16887">
        <w:t>automobile, l</w:t>
      </w:r>
      <w:r w:rsidR="00F16887">
        <w:t>’</w:t>
      </w:r>
      <w:r w:rsidRPr="00F16887">
        <w:t>électronique et l</w:t>
      </w:r>
      <w:r w:rsidR="00F16887">
        <w:t>’</w:t>
      </w:r>
      <w:r w:rsidRPr="00F16887">
        <w:t>aérospatiale), l</w:t>
      </w:r>
      <w:r w:rsidR="00F16887">
        <w:t>’</w:t>
      </w:r>
      <w:r w:rsidRPr="00F16887">
        <w:t>alimentation, la construction, l</w:t>
      </w:r>
      <w:r w:rsidR="00F16887">
        <w:t>’</w:t>
      </w:r>
      <w:r w:rsidRPr="00F16887">
        <w:t>exploitation minière et l</w:t>
      </w:r>
      <w:r w:rsidR="00F16887">
        <w:t>’</w:t>
      </w:r>
      <w:r w:rsidRPr="00F16887">
        <w:t>énergie (selon l</w:t>
      </w:r>
      <w:r w:rsidR="00F16887">
        <w:t>’</w:t>
      </w:r>
      <w:r w:rsidRPr="00F16887">
        <w:t>indicateur mensuel de l</w:t>
      </w:r>
      <w:r w:rsidR="00F16887">
        <w:t>’</w:t>
      </w:r>
      <w:r w:rsidRPr="00F16887">
        <w:t>activité industrielle de l</w:t>
      </w:r>
      <w:r w:rsidR="00F16887">
        <w:t>’</w:t>
      </w:r>
      <w:r w:rsidRPr="00F16887">
        <w:t>Institut national de statistique et de géographie).</w:t>
      </w:r>
    </w:p>
    <w:p w14:paraId="022D15AC" w14:textId="77777777" w:rsidR="001077E2" w:rsidRPr="00F16887" w:rsidRDefault="001077E2" w:rsidP="00F16887">
      <w:pPr>
        <w:pStyle w:val="Question"/>
        <w:keepNext w:val="0"/>
        <w:keepLines w:val="0"/>
        <w:spacing w:after="0"/>
      </w:pPr>
    </w:p>
    <w:p w14:paraId="16A5229B" w14:textId="56C39765" w:rsidR="001077E2" w:rsidRPr="00F16887" w:rsidRDefault="001077E2" w:rsidP="00F16887">
      <w:pPr>
        <w:pStyle w:val="Answer"/>
        <w:spacing w:after="0"/>
        <w:ind w:left="0"/>
        <w:rPr>
          <w:b/>
          <w:bCs/>
        </w:rPr>
      </w:pPr>
      <w:r w:rsidRPr="00F16887">
        <w:rPr>
          <w:b/>
        </w:rPr>
        <w:t>i)</w:t>
      </w:r>
      <w:r w:rsidRPr="00F16887">
        <w:rPr>
          <w:b/>
        </w:rPr>
        <w:tab/>
        <w:t>Principaux partenaires commerciaux</w:t>
      </w:r>
      <w:r w:rsidR="00F16887">
        <w:rPr>
          <w:b/>
        </w:rPr>
        <w:t> :</w:t>
      </w:r>
    </w:p>
    <w:p w14:paraId="582D53D9" w14:textId="77777777" w:rsidR="001077E2" w:rsidRPr="00F16887" w:rsidRDefault="001077E2" w:rsidP="00F16887">
      <w:pPr>
        <w:pStyle w:val="Answer"/>
        <w:spacing w:after="0"/>
        <w:ind w:left="0"/>
        <w:rPr>
          <w:b/>
          <w:bCs/>
        </w:rPr>
      </w:pPr>
    </w:p>
    <w:p w14:paraId="5DF69DDF" w14:textId="2F455F96" w:rsidR="001077E2" w:rsidRPr="00F16887" w:rsidRDefault="001077E2" w:rsidP="00F16887">
      <w:pPr>
        <w:pStyle w:val="Answer"/>
        <w:spacing w:after="0"/>
        <w:ind w:left="0"/>
      </w:pPr>
      <w:r w:rsidRPr="00F16887">
        <w:t>L</w:t>
      </w:r>
      <w:r w:rsidR="00F16887">
        <w:t>’</w:t>
      </w:r>
      <w:r w:rsidRPr="00F16887">
        <w:t>Allemagne, la Chine, les États</w:t>
      </w:r>
      <w:r w:rsidR="00C95B35">
        <w:noBreakHyphen/>
      </w:r>
      <w:r w:rsidRPr="00F16887">
        <w:t>Unis d</w:t>
      </w:r>
      <w:r w:rsidR="00F16887">
        <w:t>’</w:t>
      </w:r>
      <w:r w:rsidRPr="00F16887">
        <w:t>Amérique, le Japon et la République de Corée, selon les informations de l</w:t>
      </w:r>
      <w:r w:rsidR="00F16887">
        <w:t>’</w:t>
      </w:r>
      <w:r w:rsidRPr="00F16887">
        <w:t>Institut national de statistique et de géographie.</w:t>
      </w:r>
    </w:p>
    <w:p w14:paraId="59135F62" w14:textId="77777777" w:rsidR="001077E2" w:rsidRPr="00F16887" w:rsidRDefault="001077E2" w:rsidP="0025290E">
      <w:pPr>
        <w:pStyle w:val="Answer"/>
        <w:spacing w:after="0"/>
        <w:ind w:left="0"/>
      </w:pPr>
    </w:p>
    <w:p w14:paraId="573F179B" w14:textId="49FCD6DF" w:rsidR="001077E2" w:rsidRPr="00F16887" w:rsidRDefault="001077E2" w:rsidP="00F16887">
      <w:pPr>
        <w:pStyle w:val="Question"/>
        <w:keepNext w:val="0"/>
        <w:keepLines w:val="0"/>
        <w:spacing w:after="0"/>
      </w:pPr>
      <w:r w:rsidRPr="00F16887">
        <w:t>j)</w:t>
      </w:r>
      <w:r w:rsidRPr="00F16887">
        <w:tab/>
        <w:t>Autres informations essentielles</w:t>
      </w:r>
      <w:r w:rsidR="00F16887">
        <w:t> :</w:t>
      </w:r>
    </w:p>
    <w:p w14:paraId="2A796974" w14:textId="77777777" w:rsidR="001077E2" w:rsidRPr="0025290E" w:rsidRDefault="001077E2" w:rsidP="00F16887">
      <w:pPr>
        <w:pStyle w:val="Answer"/>
        <w:spacing w:after="0"/>
        <w:ind w:left="0"/>
        <w:jc w:val="both"/>
      </w:pPr>
    </w:p>
    <w:p w14:paraId="0ECF604F" w14:textId="1DD3A3DE" w:rsidR="001077E2" w:rsidRPr="00F16887" w:rsidRDefault="001077E2" w:rsidP="00F16887">
      <w:pPr>
        <w:pStyle w:val="Answer"/>
        <w:spacing w:after="0"/>
        <w:ind w:left="0"/>
        <w:jc w:val="both"/>
      </w:pPr>
      <w:r w:rsidRPr="00F16887">
        <w:t>Depuis que le Mexique est devenu membre de l</w:t>
      </w:r>
      <w:r w:rsidR="00F16887">
        <w:t>’</w:t>
      </w:r>
      <w:r w:rsidRPr="00F16887">
        <w:t>OMPI dans les années 1970, il a fait preuve d</w:t>
      </w:r>
      <w:r w:rsidR="00F16887">
        <w:t>’</w:t>
      </w:r>
      <w:r w:rsidRPr="00F16887">
        <w:t>un intérêt manifeste pour le renforcement du système de protection de la propriété intellectuelle au Mexique et la promotion de l</w:t>
      </w:r>
      <w:r w:rsidR="00F16887">
        <w:t>’</w:t>
      </w:r>
      <w:r w:rsidRPr="00F16887">
        <w:t>innovation.</w:t>
      </w:r>
    </w:p>
    <w:p w14:paraId="44AE7005" w14:textId="77777777" w:rsidR="001077E2" w:rsidRPr="00F16887" w:rsidRDefault="001077E2" w:rsidP="00F16887">
      <w:pPr>
        <w:pStyle w:val="Answer"/>
        <w:spacing w:after="0"/>
        <w:ind w:left="0"/>
        <w:jc w:val="both"/>
      </w:pPr>
    </w:p>
    <w:p w14:paraId="730C47EE" w14:textId="7BEDDFAF" w:rsidR="001077E2" w:rsidRPr="00F16887" w:rsidRDefault="001077E2" w:rsidP="00F16887">
      <w:pPr>
        <w:pStyle w:val="Answer"/>
        <w:spacing w:after="0"/>
        <w:ind w:left="0"/>
        <w:jc w:val="both"/>
      </w:pPr>
      <w:r w:rsidRPr="00F16887">
        <w:t>Actuellement, la présidente du Mexique a publié le “Plan Mexique”, qui met l</w:t>
      </w:r>
      <w:r w:rsidR="00F16887">
        <w:t>’</w:t>
      </w:r>
      <w:r w:rsidRPr="00F16887">
        <w:t>accent sur l</w:t>
      </w:r>
      <w:r w:rsidR="00F16887">
        <w:t>’</w:t>
      </w:r>
      <w:r w:rsidRPr="00F16887">
        <w:t>innovation et la propriété intellectuelle en tant que piliers du développement économique et vise à passer d</w:t>
      </w:r>
      <w:r w:rsidR="00F16887">
        <w:t>’</w:t>
      </w:r>
      <w:r w:rsidRPr="00F16887">
        <w:t>un modèle de consommation à un modèle de production axé sur l</w:t>
      </w:r>
      <w:r w:rsidR="00F16887">
        <w:t>’</w:t>
      </w:r>
      <w:r w:rsidRPr="00F16887">
        <w:t>innovati</w:t>
      </w:r>
      <w:r w:rsidR="00C95B35" w:rsidRPr="00F16887">
        <w:t>on</w:t>
      </w:r>
      <w:r w:rsidR="00C95B35">
        <w:t xml:space="preserve">.  </w:t>
      </w:r>
      <w:r w:rsidR="00C95B35" w:rsidRPr="00F16887">
        <w:t>Ce</w:t>
      </w:r>
      <w:r w:rsidRPr="00F16887">
        <w:t>t objectif sera atteint en renforçant un système de propriété intellectuelle qui protège les créations tout en favorisant leur transfert des sphères universitaire et scientifique vers la sphère productive.</w:t>
      </w:r>
    </w:p>
    <w:p w14:paraId="393066AE" w14:textId="77777777" w:rsidR="001077E2" w:rsidRPr="00F16887" w:rsidRDefault="001077E2" w:rsidP="00F16887">
      <w:pPr>
        <w:pStyle w:val="Answer"/>
        <w:spacing w:after="0"/>
        <w:ind w:left="0"/>
        <w:jc w:val="both"/>
      </w:pPr>
    </w:p>
    <w:p w14:paraId="10DFE65F" w14:textId="6AF06A53" w:rsidR="001077E2" w:rsidRPr="00F16887" w:rsidRDefault="001077E2" w:rsidP="00F16887">
      <w:pPr>
        <w:pStyle w:val="Answer"/>
        <w:spacing w:after="0"/>
        <w:ind w:left="0"/>
        <w:jc w:val="both"/>
      </w:pPr>
      <w:r w:rsidRPr="00F16887">
        <w:t>De même, le Plan national de développement 2025</w:t>
      </w:r>
      <w:r w:rsidR="00C95B35">
        <w:noBreakHyphen/>
      </w:r>
      <w:r w:rsidRPr="00F16887">
        <w:t>2030 vise à transformer le Mexique en une puissance scientifique, technologique et innovan</w:t>
      </w:r>
      <w:r w:rsidR="00C95B35" w:rsidRPr="00F16887">
        <w:t>te</w:t>
      </w:r>
      <w:r w:rsidR="00C95B35">
        <w:t xml:space="preserve">.  </w:t>
      </w:r>
      <w:r w:rsidR="00C95B35" w:rsidRPr="00F16887">
        <w:t>Le</w:t>
      </w:r>
      <w:r w:rsidRPr="00F16887">
        <w:t xml:space="preserve"> thème transversal n° 2 du plan est intitulé “L</w:t>
      </w:r>
      <w:r w:rsidR="00F16887">
        <w:t>’</w:t>
      </w:r>
      <w:r w:rsidRPr="00F16887">
        <w:t>innovation publique au service du développement technologique national” et repose sur le principe que l</w:t>
      </w:r>
      <w:r w:rsidR="00F16887">
        <w:t>’</w:t>
      </w:r>
      <w:r w:rsidRPr="00F16887">
        <w:t>innovation conduira le Mexique à l</w:t>
      </w:r>
      <w:r w:rsidR="00F16887">
        <w:t>’</w:t>
      </w:r>
      <w:r w:rsidRPr="00F16887">
        <w:t>autosuffisance numérique et permettra de construire un gouvernement du futur s</w:t>
      </w:r>
      <w:r w:rsidR="00F16887">
        <w:t>’</w:t>
      </w:r>
      <w:r w:rsidRPr="00F16887">
        <w:t>appuyant sur la technologie, la souveraineté numérique et la participation civile pour parvenir à un développement national inclusif et durable.</w:t>
      </w:r>
    </w:p>
    <w:p w14:paraId="78959716" w14:textId="77777777" w:rsidR="001077E2" w:rsidRPr="00F16887" w:rsidRDefault="001077E2" w:rsidP="00F16887">
      <w:pPr>
        <w:pStyle w:val="Answer"/>
        <w:spacing w:after="0"/>
        <w:ind w:left="0"/>
        <w:jc w:val="both"/>
      </w:pPr>
    </w:p>
    <w:p w14:paraId="1DD21943" w14:textId="471A4311" w:rsidR="001077E2" w:rsidRPr="00F16887" w:rsidRDefault="001077E2" w:rsidP="00F16887">
      <w:pPr>
        <w:pStyle w:val="Answer"/>
        <w:spacing w:after="0"/>
        <w:ind w:left="0"/>
        <w:jc w:val="both"/>
      </w:pPr>
      <w:r w:rsidRPr="00F16887">
        <w:t>De même, l</w:t>
      </w:r>
      <w:r w:rsidR="00F16887">
        <w:t>’</w:t>
      </w:r>
      <w:r w:rsidRPr="00F16887">
        <w:t>axe transversal n° 2 établit l</w:t>
      </w:r>
      <w:r w:rsidR="00F16887">
        <w:t>’</w:t>
      </w:r>
      <w:r w:rsidRPr="00F16887">
        <w:t>objectif pertinent suivant</w:t>
      </w:r>
      <w:r w:rsidR="00F16887">
        <w:t> :</w:t>
      </w:r>
    </w:p>
    <w:p w14:paraId="201FD2F8" w14:textId="77777777" w:rsidR="001077E2" w:rsidRPr="00F16887" w:rsidRDefault="001077E2" w:rsidP="00F16887">
      <w:pPr>
        <w:pStyle w:val="Answer"/>
        <w:spacing w:after="0"/>
        <w:ind w:left="0"/>
        <w:jc w:val="both"/>
      </w:pPr>
    </w:p>
    <w:p w14:paraId="7FED2D56" w14:textId="42E0F71E" w:rsidR="001077E2" w:rsidRPr="00F16887" w:rsidRDefault="001077E2" w:rsidP="0025290E">
      <w:pPr>
        <w:pStyle w:val="Answer"/>
        <w:spacing w:after="240"/>
        <w:ind w:left="0"/>
        <w:jc w:val="both"/>
        <w:rPr>
          <w:i/>
          <w:iCs/>
        </w:rPr>
      </w:pPr>
      <w:r w:rsidRPr="00F16887">
        <w:rPr>
          <w:i/>
        </w:rPr>
        <w:t>“Objectif</w:t>
      </w:r>
      <w:r w:rsidR="00C95B35">
        <w:rPr>
          <w:i/>
        </w:rPr>
        <w:t> </w:t>
      </w:r>
      <w:r w:rsidRPr="00F16887">
        <w:rPr>
          <w:i/>
        </w:rPr>
        <w:t>T2.4</w:t>
      </w:r>
      <w:r w:rsidR="00F16887">
        <w:rPr>
          <w:i/>
        </w:rPr>
        <w:t> :</w:t>
      </w:r>
      <w:r w:rsidRPr="00F16887">
        <w:rPr>
          <w:i/>
        </w:rPr>
        <w:t xml:space="preserve"> Promouvoir la recherche collaborative, le développement technologique et l</w:t>
      </w:r>
      <w:r w:rsidR="00F16887">
        <w:rPr>
          <w:i/>
        </w:rPr>
        <w:t>’</w:t>
      </w:r>
      <w:r w:rsidRPr="00F16887">
        <w:rPr>
          <w:i/>
        </w:rPr>
        <w:t>innovation dans des secteurs stratégiques dans le but de faire du Mexique une puissance scientifique et technologique souveraine qui cherche à atteindre un développement allant de pair avec le bien</w:t>
      </w:r>
      <w:r w:rsidR="00C95B35">
        <w:rPr>
          <w:i/>
        </w:rPr>
        <w:noBreakHyphen/>
      </w:r>
      <w:r w:rsidRPr="00F16887">
        <w:rPr>
          <w:i/>
        </w:rPr>
        <w:t>être et la prospéri</w:t>
      </w:r>
      <w:r w:rsidR="00C95B35" w:rsidRPr="00F16887">
        <w:rPr>
          <w:i/>
        </w:rPr>
        <w:t>té</w:t>
      </w:r>
      <w:r w:rsidR="00C95B35">
        <w:rPr>
          <w:i/>
        </w:rPr>
        <w:t xml:space="preserve">.  </w:t>
      </w:r>
      <w:r w:rsidR="00C95B35" w:rsidRPr="00F16887">
        <w:rPr>
          <w:i/>
        </w:rPr>
        <w:t>Ce</w:t>
      </w:r>
      <w:r w:rsidRPr="00F16887">
        <w:rPr>
          <w:i/>
        </w:rPr>
        <w:t>tte approche favorisera la formation scientifique, la production de connaissances et le transfert de technologies dans une perspective humaniste, contribuant ainsi au progrès global du pays.”</w:t>
      </w:r>
    </w:p>
    <w:p w14:paraId="100610F0" w14:textId="77777777" w:rsidR="001077E2" w:rsidRPr="00F16887" w:rsidRDefault="001077E2" w:rsidP="00F16887">
      <w:pPr>
        <w:pStyle w:val="SectionHeading"/>
        <w:spacing w:after="0"/>
        <w:rPr>
          <w:lang w:val="fr-FR"/>
        </w:rPr>
      </w:pPr>
      <w:r w:rsidRPr="00F16887">
        <w:rPr>
          <w:lang w:val="fr-FR"/>
        </w:rPr>
        <w:lastRenderedPageBreak/>
        <w:t>6 – Profil des demandes de brevet</w:t>
      </w:r>
    </w:p>
    <w:p w14:paraId="53C48C32" w14:textId="696FA488" w:rsidR="001077E2" w:rsidRPr="00F16887" w:rsidRDefault="001077E2" w:rsidP="00F16887">
      <w:pPr>
        <w:pStyle w:val="Question"/>
        <w:spacing w:after="0"/>
      </w:pPr>
      <w:r w:rsidRPr="00F16887">
        <w:t>a)</w:t>
      </w:r>
      <w:r w:rsidRPr="00F16887">
        <w:tab/>
        <w:t>Nombre de demandes nationales reçues – par domaine technique</w:t>
      </w:r>
      <w:r w:rsidR="00F16887">
        <w:t> :</w:t>
      </w:r>
    </w:p>
    <w:p w14:paraId="36433F2B" w14:textId="77777777" w:rsidR="001077E2" w:rsidRPr="00F16887" w:rsidRDefault="001077E2" w:rsidP="00F16887">
      <w:pPr>
        <w:pStyle w:val="Answer"/>
        <w:keepNext/>
        <w:spacing w:after="0"/>
        <w:ind w:left="0"/>
        <w:jc w:val="both"/>
        <w:rPr>
          <w:i/>
          <w:iCs/>
        </w:rPr>
      </w:pPr>
    </w:p>
    <w:tbl>
      <w:tblPr>
        <w:tblW w:w="9405" w:type="dxa"/>
        <w:tblInd w:w="-3" w:type="dxa"/>
        <w:tblCellMar>
          <w:left w:w="0" w:type="dxa"/>
          <w:right w:w="0" w:type="dxa"/>
        </w:tblCellMar>
        <w:tblLook w:val="04A0" w:firstRow="1" w:lastRow="0" w:firstColumn="1" w:lastColumn="0" w:noHBand="0" w:noVBand="1"/>
        <w:tblCaption w:val="Nombre de demandes nationales déposées par domaine technique"/>
        <w:tblDescription w:val="Ce tableau indique le nombre de demandes nationales déposées par domaine technique de 2020 à 2024 inclus."/>
      </w:tblPr>
      <w:tblGrid>
        <w:gridCol w:w="4020"/>
        <w:gridCol w:w="1077"/>
        <w:gridCol w:w="1077"/>
        <w:gridCol w:w="1077"/>
        <w:gridCol w:w="1077"/>
        <w:gridCol w:w="1077"/>
      </w:tblGrid>
      <w:tr w:rsidR="001077E2" w:rsidRPr="00F16887" w14:paraId="642245E6" w14:textId="77777777" w:rsidTr="00D113DB">
        <w:trPr>
          <w:trHeight w:val="300"/>
        </w:trPr>
        <w:tc>
          <w:tcPr>
            <w:tcW w:w="4020" w:type="dxa"/>
            <w:tcBorders>
              <w:top w:val="single" w:sz="8" w:space="0" w:color="auto"/>
              <w:left w:val="single" w:sz="8" w:space="0" w:color="auto"/>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4CDB28C4" w14:textId="77777777" w:rsidR="001077E2" w:rsidRPr="00F16887" w:rsidRDefault="001077E2" w:rsidP="00F16887">
            <w:pPr>
              <w:keepNext/>
              <w:jc w:val="center"/>
              <w:rPr>
                <w:rFonts w:eastAsiaTheme="minorHAnsi"/>
                <w:b/>
                <w:bCs/>
                <w:color w:val="FFFFFF" w:themeColor="background1"/>
                <w:lang w:val="fr-FR"/>
              </w:rPr>
            </w:pPr>
            <w:r w:rsidRPr="00F16887">
              <w:rPr>
                <w:b/>
                <w:color w:val="FFFFFF" w:themeColor="background1"/>
                <w:lang w:val="fr-FR"/>
              </w:rPr>
              <w:t>Année</w:t>
            </w:r>
          </w:p>
        </w:tc>
        <w:tc>
          <w:tcPr>
            <w:tcW w:w="1077" w:type="dxa"/>
            <w:vMerge w:val="restart"/>
            <w:tcBorders>
              <w:top w:val="single" w:sz="8" w:space="0" w:color="auto"/>
              <w:left w:val="nil"/>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0EB7C05F" w14:textId="77777777" w:rsidR="001077E2" w:rsidRPr="00F16887" w:rsidRDefault="001077E2" w:rsidP="00F16887">
            <w:pPr>
              <w:keepNext/>
              <w:jc w:val="center"/>
              <w:rPr>
                <w:b/>
                <w:bCs/>
                <w:color w:val="FFFFFF" w:themeColor="background1"/>
                <w:lang w:val="fr-FR"/>
              </w:rPr>
            </w:pPr>
            <w:r w:rsidRPr="00F16887">
              <w:rPr>
                <w:b/>
                <w:color w:val="FFFFFF" w:themeColor="background1"/>
                <w:lang w:val="fr-FR"/>
              </w:rPr>
              <w:t>2020</w:t>
            </w:r>
          </w:p>
        </w:tc>
        <w:tc>
          <w:tcPr>
            <w:tcW w:w="1077" w:type="dxa"/>
            <w:vMerge w:val="restart"/>
            <w:tcBorders>
              <w:top w:val="single" w:sz="8" w:space="0" w:color="auto"/>
              <w:left w:val="nil"/>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3A5BB5D5" w14:textId="77777777" w:rsidR="001077E2" w:rsidRPr="00F16887" w:rsidRDefault="001077E2" w:rsidP="00F16887">
            <w:pPr>
              <w:keepNext/>
              <w:jc w:val="center"/>
              <w:rPr>
                <w:b/>
                <w:bCs/>
                <w:color w:val="FFFFFF" w:themeColor="background1"/>
                <w:lang w:val="fr-FR"/>
              </w:rPr>
            </w:pPr>
            <w:r w:rsidRPr="00F16887">
              <w:rPr>
                <w:b/>
                <w:color w:val="FFFFFF" w:themeColor="background1"/>
                <w:lang w:val="fr-FR"/>
              </w:rPr>
              <w:t>2021</w:t>
            </w:r>
          </w:p>
        </w:tc>
        <w:tc>
          <w:tcPr>
            <w:tcW w:w="1077" w:type="dxa"/>
            <w:vMerge w:val="restart"/>
            <w:tcBorders>
              <w:top w:val="single" w:sz="8" w:space="0" w:color="auto"/>
              <w:left w:val="nil"/>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6B5B847E" w14:textId="77777777" w:rsidR="001077E2" w:rsidRPr="00F16887" w:rsidRDefault="001077E2" w:rsidP="00F16887">
            <w:pPr>
              <w:keepNext/>
              <w:jc w:val="center"/>
              <w:rPr>
                <w:b/>
                <w:bCs/>
                <w:color w:val="FFFFFF" w:themeColor="background1"/>
                <w:lang w:val="fr-FR"/>
              </w:rPr>
            </w:pPr>
            <w:r w:rsidRPr="00F16887">
              <w:rPr>
                <w:b/>
                <w:color w:val="FFFFFF" w:themeColor="background1"/>
                <w:lang w:val="fr-FR"/>
              </w:rPr>
              <w:t>2022</w:t>
            </w:r>
          </w:p>
        </w:tc>
        <w:tc>
          <w:tcPr>
            <w:tcW w:w="1077" w:type="dxa"/>
            <w:vMerge w:val="restart"/>
            <w:tcBorders>
              <w:top w:val="single" w:sz="8" w:space="0" w:color="auto"/>
              <w:left w:val="nil"/>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30F6C6FE" w14:textId="77777777" w:rsidR="001077E2" w:rsidRPr="00F16887" w:rsidRDefault="001077E2" w:rsidP="00F16887">
            <w:pPr>
              <w:keepNext/>
              <w:jc w:val="center"/>
              <w:rPr>
                <w:b/>
                <w:bCs/>
                <w:color w:val="FFFFFF" w:themeColor="background1"/>
                <w:lang w:val="fr-FR"/>
              </w:rPr>
            </w:pPr>
            <w:r w:rsidRPr="00F16887">
              <w:rPr>
                <w:b/>
                <w:color w:val="FFFFFF" w:themeColor="background1"/>
                <w:lang w:val="fr-FR"/>
              </w:rPr>
              <w:t>2023</w:t>
            </w:r>
          </w:p>
        </w:tc>
        <w:tc>
          <w:tcPr>
            <w:tcW w:w="1077" w:type="dxa"/>
            <w:vMerge w:val="restart"/>
            <w:tcBorders>
              <w:top w:val="single" w:sz="8" w:space="0" w:color="auto"/>
              <w:left w:val="nil"/>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063CC370" w14:textId="77777777" w:rsidR="001077E2" w:rsidRPr="00F16887" w:rsidRDefault="001077E2" w:rsidP="00F16887">
            <w:pPr>
              <w:keepNext/>
              <w:jc w:val="center"/>
              <w:rPr>
                <w:b/>
                <w:bCs/>
                <w:color w:val="FFFFFF" w:themeColor="background1"/>
                <w:lang w:val="fr-FR"/>
              </w:rPr>
            </w:pPr>
            <w:r w:rsidRPr="00F16887">
              <w:rPr>
                <w:b/>
                <w:color w:val="FFFFFF" w:themeColor="background1"/>
                <w:lang w:val="fr-FR"/>
              </w:rPr>
              <w:t>2024</w:t>
            </w:r>
          </w:p>
        </w:tc>
      </w:tr>
      <w:tr w:rsidR="001077E2" w:rsidRPr="00F16887" w14:paraId="14E0B6AB" w14:textId="77777777" w:rsidTr="00D113DB">
        <w:trPr>
          <w:trHeight w:val="300"/>
        </w:trPr>
        <w:tc>
          <w:tcPr>
            <w:tcW w:w="4020" w:type="dxa"/>
            <w:tcBorders>
              <w:top w:val="nil"/>
              <w:left w:val="single" w:sz="8" w:space="0" w:color="auto"/>
              <w:bottom w:val="single" w:sz="8" w:space="0" w:color="auto"/>
              <w:right w:val="single" w:sz="8" w:space="0" w:color="auto"/>
            </w:tcBorders>
            <w:shd w:val="clear" w:color="auto" w:fill="1E5B4F"/>
            <w:noWrap/>
            <w:tcMar>
              <w:top w:w="0" w:type="dxa"/>
              <w:left w:w="70" w:type="dxa"/>
              <w:bottom w:w="0" w:type="dxa"/>
              <w:right w:w="70" w:type="dxa"/>
            </w:tcMar>
            <w:vAlign w:val="center"/>
            <w:hideMark/>
          </w:tcPr>
          <w:p w14:paraId="11E07AD3" w14:textId="77777777" w:rsidR="001077E2" w:rsidRPr="00F16887" w:rsidRDefault="001077E2" w:rsidP="00F16887">
            <w:pPr>
              <w:keepNext/>
              <w:jc w:val="center"/>
              <w:rPr>
                <w:b/>
                <w:bCs/>
                <w:color w:val="FFFFFF" w:themeColor="background1"/>
                <w:lang w:val="fr-FR"/>
              </w:rPr>
            </w:pPr>
            <w:r w:rsidRPr="00F16887">
              <w:rPr>
                <w:b/>
                <w:color w:val="FFFFFF" w:themeColor="background1"/>
                <w:lang w:val="fr-FR"/>
              </w:rPr>
              <w:t>Domaine technique (coordination des études)</w:t>
            </w:r>
          </w:p>
        </w:tc>
        <w:tc>
          <w:tcPr>
            <w:tcW w:w="1077" w:type="dxa"/>
            <w:vMerge/>
            <w:tcBorders>
              <w:top w:val="single" w:sz="8" w:space="0" w:color="auto"/>
              <w:left w:val="nil"/>
              <w:bottom w:val="single" w:sz="8" w:space="0" w:color="auto"/>
              <w:right w:val="single" w:sz="8" w:space="0" w:color="auto"/>
            </w:tcBorders>
            <w:vAlign w:val="center"/>
            <w:hideMark/>
          </w:tcPr>
          <w:p w14:paraId="6BD4A433" w14:textId="77777777" w:rsidR="001077E2" w:rsidRPr="00F16887" w:rsidRDefault="001077E2" w:rsidP="00F16887">
            <w:pPr>
              <w:keepNext/>
              <w:rPr>
                <w:rFonts w:eastAsiaTheme="minorHAnsi"/>
                <w:b/>
                <w:bCs/>
                <w:color w:val="0070C0"/>
                <w:szCs w:val="22"/>
                <w:lang w:val="fr-FR" w:eastAsia="es-MX"/>
              </w:rPr>
            </w:pPr>
          </w:p>
        </w:tc>
        <w:tc>
          <w:tcPr>
            <w:tcW w:w="1077" w:type="dxa"/>
            <w:vMerge/>
            <w:tcBorders>
              <w:top w:val="single" w:sz="8" w:space="0" w:color="auto"/>
              <w:left w:val="nil"/>
              <w:bottom w:val="single" w:sz="8" w:space="0" w:color="auto"/>
              <w:right w:val="single" w:sz="8" w:space="0" w:color="auto"/>
            </w:tcBorders>
            <w:vAlign w:val="center"/>
            <w:hideMark/>
          </w:tcPr>
          <w:p w14:paraId="57AC3788" w14:textId="77777777" w:rsidR="001077E2" w:rsidRPr="00F16887" w:rsidRDefault="001077E2" w:rsidP="00F16887">
            <w:pPr>
              <w:keepNext/>
              <w:rPr>
                <w:rFonts w:eastAsiaTheme="minorHAnsi"/>
                <w:b/>
                <w:bCs/>
                <w:color w:val="0070C0"/>
                <w:szCs w:val="22"/>
                <w:lang w:val="fr-FR" w:eastAsia="es-MX"/>
              </w:rPr>
            </w:pPr>
          </w:p>
        </w:tc>
        <w:tc>
          <w:tcPr>
            <w:tcW w:w="1077" w:type="dxa"/>
            <w:vMerge/>
            <w:tcBorders>
              <w:top w:val="single" w:sz="8" w:space="0" w:color="auto"/>
              <w:left w:val="nil"/>
              <w:bottom w:val="single" w:sz="8" w:space="0" w:color="auto"/>
              <w:right w:val="single" w:sz="8" w:space="0" w:color="auto"/>
            </w:tcBorders>
            <w:vAlign w:val="center"/>
            <w:hideMark/>
          </w:tcPr>
          <w:p w14:paraId="04DB31C1" w14:textId="77777777" w:rsidR="001077E2" w:rsidRPr="00F16887" w:rsidRDefault="001077E2" w:rsidP="00F16887">
            <w:pPr>
              <w:keepNext/>
              <w:rPr>
                <w:rFonts w:eastAsiaTheme="minorHAnsi"/>
                <w:b/>
                <w:bCs/>
                <w:color w:val="0070C0"/>
                <w:szCs w:val="22"/>
                <w:lang w:val="fr-FR" w:eastAsia="es-MX"/>
              </w:rPr>
            </w:pPr>
          </w:p>
        </w:tc>
        <w:tc>
          <w:tcPr>
            <w:tcW w:w="1077" w:type="dxa"/>
            <w:vMerge/>
            <w:tcBorders>
              <w:top w:val="single" w:sz="8" w:space="0" w:color="auto"/>
              <w:left w:val="nil"/>
              <w:bottom w:val="single" w:sz="8" w:space="0" w:color="auto"/>
              <w:right w:val="single" w:sz="8" w:space="0" w:color="auto"/>
            </w:tcBorders>
            <w:vAlign w:val="center"/>
            <w:hideMark/>
          </w:tcPr>
          <w:p w14:paraId="68106851" w14:textId="77777777" w:rsidR="001077E2" w:rsidRPr="00F16887" w:rsidRDefault="001077E2" w:rsidP="00F16887">
            <w:pPr>
              <w:keepNext/>
              <w:rPr>
                <w:rFonts w:eastAsiaTheme="minorHAnsi"/>
                <w:b/>
                <w:bCs/>
                <w:color w:val="0070C0"/>
                <w:szCs w:val="22"/>
                <w:lang w:val="fr-FR" w:eastAsia="es-MX"/>
              </w:rPr>
            </w:pPr>
          </w:p>
        </w:tc>
        <w:tc>
          <w:tcPr>
            <w:tcW w:w="1077" w:type="dxa"/>
            <w:vMerge/>
            <w:tcBorders>
              <w:top w:val="single" w:sz="8" w:space="0" w:color="auto"/>
              <w:left w:val="nil"/>
              <w:bottom w:val="single" w:sz="8" w:space="0" w:color="auto"/>
              <w:right w:val="single" w:sz="8" w:space="0" w:color="auto"/>
            </w:tcBorders>
            <w:vAlign w:val="center"/>
            <w:hideMark/>
          </w:tcPr>
          <w:p w14:paraId="587ED5E6" w14:textId="77777777" w:rsidR="001077E2" w:rsidRPr="00F16887" w:rsidRDefault="001077E2" w:rsidP="00F16887">
            <w:pPr>
              <w:keepNext/>
              <w:rPr>
                <w:rFonts w:eastAsiaTheme="minorHAnsi"/>
                <w:b/>
                <w:bCs/>
                <w:color w:val="0070C0"/>
                <w:szCs w:val="22"/>
                <w:lang w:val="fr-FR" w:eastAsia="es-MX"/>
              </w:rPr>
            </w:pPr>
          </w:p>
        </w:tc>
      </w:tr>
      <w:tr w:rsidR="001077E2" w:rsidRPr="00F16887" w14:paraId="7D697B4E" w14:textId="77777777" w:rsidTr="00D113DB">
        <w:trPr>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BCC76FF" w14:textId="77777777" w:rsidR="001077E2" w:rsidRPr="00F16887" w:rsidRDefault="001077E2" w:rsidP="00F16887">
            <w:pPr>
              <w:rPr>
                <w:lang w:val="fr-FR"/>
              </w:rPr>
            </w:pPr>
            <w:r w:rsidRPr="00F16887">
              <w:rPr>
                <w:lang w:val="fr-FR"/>
              </w:rPr>
              <w:t>Biotechnologie</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FDC2F1" w14:textId="77777777" w:rsidR="001077E2" w:rsidRPr="00F16887" w:rsidRDefault="001077E2" w:rsidP="00F16887">
            <w:pPr>
              <w:jc w:val="center"/>
              <w:rPr>
                <w:lang w:val="fr-FR"/>
              </w:rPr>
            </w:pPr>
            <w:r w:rsidRPr="00F16887">
              <w:rPr>
                <w:lang w:val="fr-FR"/>
              </w:rPr>
              <w:t>2 971</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B2C7B21" w14:textId="77777777" w:rsidR="001077E2" w:rsidRPr="00F16887" w:rsidRDefault="001077E2" w:rsidP="00F16887">
            <w:pPr>
              <w:jc w:val="center"/>
              <w:rPr>
                <w:lang w:val="fr-FR"/>
              </w:rPr>
            </w:pPr>
            <w:r w:rsidRPr="00F16887">
              <w:rPr>
                <w:lang w:val="fr-FR"/>
              </w:rPr>
              <w:t>3 529</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7C8A31" w14:textId="77777777" w:rsidR="001077E2" w:rsidRPr="00F16887" w:rsidRDefault="001077E2" w:rsidP="00F16887">
            <w:pPr>
              <w:jc w:val="center"/>
              <w:rPr>
                <w:lang w:val="fr-FR"/>
              </w:rPr>
            </w:pPr>
            <w:r w:rsidRPr="00F16887">
              <w:rPr>
                <w:lang w:val="fr-FR"/>
              </w:rPr>
              <w:t>3 809</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8CE2E2D" w14:textId="77777777" w:rsidR="001077E2" w:rsidRPr="00F16887" w:rsidRDefault="001077E2" w:rsidP="00F16887">
            <w:pPr>
              <w:jc w:val="center"/>
              <w:rPr>
                <w:lang w:val="fr-FR"/>
              </w:rPr>
            </w:pPr>
            <w:r w:rsidRPr="00F16887">
              <w:rPr>
                <w:lang w:val="fr-FR"/>
              </w:rPr>
              <w:t>3 319</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CE4CE9" w14:textId="77777777" w:rsidR="001077E2" w:rsidRPr="00F16887" w:rsidRDefault="001077E2" w:rsidP="00F16887">
            <w:pPr>
              <w:jc w:val="center"/>
              <w:rPr>
                <w:lang w:val="fr-FR"/>
              </w:rPr>
            </w:pPr>
            <w:r w:rsidRPr="00F16887">
              <w:rPr>
                <w:lang w:val="fr-FR"/>
              </w:rPr>
              <w:t>2 886</w:t>
            </w:r>
          </w:p>
        </w:tc>
      </w:tr>
      <w:tr w:rsidR="001077E2" w:rsidRPr="00F16887" w14:paraId="3A472E0D" w14:textId="77777777" w:rsidTr="00D113DB">
        <w:trPr>
          <w:cantSplit/>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2AC586B" w14:textId="77777777" w:rsidR="001077E2" w:rsidRPr="00F16887" w:rsidRDefault="001077E2" w:rsidP="00F16887">
            <w:pPr>
              <w:rPr>
                <w:lang w:val="fr-FR"/>
              </w:rPr>
            </w:pPr>
            <w:r w:rsidRPr="00F16887">
              <w:rPr>
                <w:lang w:val="fr-FR"/>
              </w:rPr>
              <w:t>Électricité/électronique</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8C8EF17" w14:textId="77777777" w:rsidR="001077E2" w:rsidRPr="00F16887" w:rsidRDefault="001077E2" w:rsidP="00F16887">
            <w:pPr>
              <w:jc w:val="center"/>
              <w:rPr>
                <w:lang w:val="fr-FR"/>
              </w:rPr>
            </w:pPr>
            <w:r w:rsidRPr="00F16887">
              <w:rPr>
                <w:lang w:val="fr-FR"/>
              </w:rPr>
              <w:t>3 128</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F89269E" w14:textId="77777777" w:rsidR="001077E2" w:rsidRPr="00F16887" w:rsidRDefault="001077E2" w:rsidP="00F16887">
            <w:pPr>
              <w:jc w:val="center"/>
              <w:rPr>
                <w:lang w:val="fr-FR"/>
              </w:rPr>
            </w:pPr>
            <w:r w:rsidRPr="00F16887">
              <w:rPr>
                <w:lang w:val="fr-FR"/>
              </w:rPr>
              <w:t>3 772</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B9B2609" w14:textId="77777777" w:rsidR="001077E2" w:rsidRPr="00F16887" w:rsidRDefault="001077E2" w:rsidP="00F16887">
            <w:pPr>
              <w:jc w:val="center"/>
              <w:rPr>
                <w:lang w:val="fr-FR"/>
              </w:rPr>
            </w:pPr>
            <w:r w:rsidRPr="00F16887">
              <w:rPr>
                <w:lang w:val="fr-FR"/>
              </w:rPr>
              <w:t>3 662</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A0EE84F" w14:textId="77777777" w:rsidR="001077E2" w:rsidRPr="00F16887" w:rsidRDefault="001077E2" w:rsidP="00F16887">
            <w:pPr>
              <w:jc w:val="center"/>
              <w:rPr>
                <w:lang w:val="fr-FR"/>
              </w:rPr>
            </w:pPr>
            <w:r w:rsidRPr="00F16887">
              <w:rPr>
                <w:lang w:val="fr-FR"/>
              </w:rPr>
              <w:t>2 811</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8F2EBA7" w14:textId="77777777" w:rsidR="001077E2" w:rsidRPr="00F16887" w:rsidRDefault="001077E2" w:rsidP="00F16887">
            <w:pPr>
              <w:jc w:val="center"/>
              <w:rPr>
                <w:lang w:val="fr-FR"/>
              </w:rPr>
            </w:pPr>
            <w:r w:rsidRPr="00F16887">
              <w:rPr>
                <w:lang w:val="fr-FR"/>
              </w:rPr>
              <w:t>3 181</w:t>
            </w:r>
          </w:p>
        </w:tc>
      </w:tr>
      <w:tr w:rsidR="001077E2" w:rsidRPr="00F16887" w14:paraId="601D1DFC" w14:textId="77777777" w:rsidTr="00D113DB">
        <w:trPr>
          <w:cantSplit/>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7BE6E08" w14:textId="77777777" w:rsidR="001077E2" w:rsidRPr="00F16887" w:rsidRDefault="001077E2" w:rsidP="00F16887">
            <w:pPr>
              <w:rPr>
                <w:lang w:val="fr-FR"/>
              </w:rPr>
            </w:pPr>
            <w:r w:rsidRPr="00F16887">
              <w:rPr>
                <w:lang w:val="fr-FR"/>
              </w:rPr>
              <w:t>Produits pharmaceutiques</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F90036C" w14:textId="77777777" w:rsidR="001077E2" w:rsidRPr="00F16887" w:rsidRDefault="001077E2" w:rsidP="00F16887">
            <w:pPr>
              <w:jc w:val="center"/>
              <w:rPr>
                <w:lang w:val="fr-FR"/>
              </w:rPr>
            </w:pPr>
            <w:r w:rsidRPr="00F16887">
              <w:rPr>
                <w:lang w:val="fr-FR"/>
              </w:rPr>
              <w:t>2 069</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2E009E6" w14:textId="77777777" w:rsidR="001077E2" w:rsidRPr="00F16887" w:rsidRDefault="001077E2" w:rsidP="00F16887">
            <w:pPr>
              <w:jc w:val="center"/>
              <w:rPr>
                <w:lang w:val="fr-FR"/>
              </w:rPr>
            </w:pPr>
            <w:r w:rsidRPr="00F16887">
              <w:rPr>
                <w:lang w:val="fr-FR"/>
              </w:rPr>
              <w:t>2 314</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7E870DB" w14:textId="77777777" w:rsidR="001077E2" w:rsidRPr="00F16887" w:rsidRDefault="001077E2" w:rsidP="00F16887">
            <w:pPr>
              <w:jc w:val="center"/>
              <w:rPr>
                <w:lang w:val="fr-FR"/>
              </w:rPr>
            </w:pPr>
            <w:r w:rsidRPr="00F16887">
              <w:rPr>
                <w:lang w:val="fr-FR"/>
              </w:rPr>
              <w:t>2 498</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B3E5327" w14:textId="77777777" w:rsidR="001077E2" w:rsidRPr="00F16887" w:rsidRDefault="001077E2" w:rsidP="00F16887">
            <w:pPr>
              <w:jc w:val="center"/>
              <w:rPr>
                <w:lang w:val="fr-FR"/>
              </w:rPr>
            </w:pPr>
            <w:r w:rsidRPr="00F16887">
              <w:rPr>
                <w:lang w:val="fr-FR"/>
              </w:rPr>
              <w:t>2 232</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108F7F4" w14:textId="77777777" w:rsidR="001077E2" w:rsidRPr="00F16887" w:rsidRDefault="001077E2" w:rsidP="00F16887">
            <w:pPr>
              <w:jc w:val="center"/>
              <w:rPr>
                <w:lang w:val="fr-FR"/>
              </w:rPr>
            </w:pPr>
            <w:r w:rsidRPr="00F16887">
              <w:rPr>
                <w:lang w:val="fr-FR"/>
              </w:rPr>
              <w:t>1 991</w:t>
            </w:r>
          </w:p>
        </w:tc>
      </w:tr>
      <w:tr w:rsidR="001077E2" w:rsidRPr="00F16887" w14:paraId="5945A92F" w14:textId="77777777" w:rsidTr="00D113DB">
        <w:trPr>
          <w:cantSplit/>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8143E49" w14:textId="77777777" w:rsidR="001077E2" w:rsidRPr="00F16887" w:rsidRDefault="001077E2" w:rsidP="00F16887">
            <w:pPr>
              <w:rPr>
                <w:lang w:val="fr-FR"/>
              </w:rPr>
            </w:pPr>
            <w:r w:rsidRPr="00F16887">
              <w:rPr>
                <w:lang w:val="fr-FR"/>
              </w:rPr>
              <w:t>Mécanique</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BA66C62" w14:textId="77777777" w:rsidR="001077E2" w:rsidRPr="00F16887" w:rsidRDefault="001077E2" w:rsidP="00F16887">
            <w:pPr>
              <w:jc w:val="center"/>
              <w:rPr>
                <w:lang w:val="fr-FR"/>
              </w:rPr>
            </w:pPr>
            <w:r w:rsidRPr="00F16887">
              <w:rPr>
                <w:lang w:val="fr-FR"/>
              </w:rPr>
              <w:t>3 048</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A98BAB9" w14:textId="77777777" w:rsidR="001077E2" w:rsidRPr="00F16887" w:rsidRDefault="001077E2" w:rsidP="00F16887">
            <w:pPr>
              <w:jc w:val="center"/>
              <w:rPr>
                <w:lang w:val="fr-FR"/>
              </w:rPr>
            </w:pPr>
            <w:r w:rsidRPr="00F16887">
              <w:rPr>
                <w:lang w:val="fr-FR"/>
              </w:rPr>
              <w:t>3 365</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0404438" w14:textId="77777777" w:rsidR="001077E2" w:rsidRPr="00F16887" w:rsidRDefault="001077E2" w:rsidP="00F16887">
            <w:pPr>
              <w:jc w:val="center"/>
              <w:rPr>
                <w:lang w:val="fr-FR"/>
              </w:rPr>
            </w:pPr>
            <w:r w:rsidRPr="00F16887">
              <w:rPr>
                <w:lang w:val="fr-FR"/>
              </w:rPr>
              <w:t>3 158</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C85D93C" w14:textId="77777777" w:rsidR="001077E2" w:rsidRPr="00F16887" w:rsidRDefault="001077E2" w:rsidP="00F16887">
            <w:pPr>
              <w:jc w:val="center"/>
              <w:rPr>
                <w:lang w:val="fr-FR"/>
              </w:rPr>
            </w:pPr>
            <w:r w:rsidRPr="00F16887">
              <w:rPr>
                <w:lang w:val="fr-FR"/>
              </w:rPr>
              <w:t>3 857</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5EB91D0" w14:textId="77777777" w:rsidR="001077E2" w:rsidRPr="00F16887" w:rsidRDefault="001077E2" w:rsidP="00F16887">
            <w:pPr>
              <w:jc w:val="center"/>
              <w:rPr>
                <w:lang w:val="fr-FR"/>
              </w:rPr>
            </w:pPr>
            <w:r w:rsidRPr="00F16887">
              <w:rPr>
                <w:lang w:val="fr-FR"/>
              </w:rPr>
              <w:t>4 069</w:t>
            </w:r>
          </w:p>
        </w:tc>
      </w:tr>
      <w:tr w:rsidR="001077E2" w:rsidRPr="00F16887" w14:paraId="50AD8350" w14:textId="77777777" w:rsidTr="00D113DB">
        <w:trPr>
          <w:cantSplit/>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60785AFF" w14:textId="77777777" w:rsidR="001077E2" w:rsidRPr="00F16887" w:rsidRDefault="001077E2" w:rsidP="00F16887">
            <w:pPr>
              <w:rPr>
                <w:lang w:val="fr-FR"/>
              </w:rPr>
            </w:pPr>
            <w:r w:rsidRPr="00F16887">
              <w:rPr>
                <w:lang w:val="fr-FR"/>
              </w:rPr>
              <w:t>Chimie</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47CA33" w14:textId="77777777" w:rsidR="001077E2" w:rsidRPr="00F16887" w:rsidRDefault="001077E2" w:rsidP="00F16887">
            <w:pPr>
              <w:jc w:val="center"/>
              <w:rPr>
                <w:lang w:val="fr-FR"/>
              </w:rPr>
            </w:pPr>
            <w:r w:rsidRPr="00F16887">
              <w:rPr>
                <w:lang w:val="fr-FR"/>
              </w:rPr>
              <w:t>2 713</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124A6AC" w14:textId="77777777" w:rsidR="001077E2" w:rsidRPr="00F16887" w:rsidRDefault="001077E2" w:rsidP="00F16887">
            <w:pPr>
              <w:jc w:val="center"/>
              <w:rPr>
                <w:lang w:val="fr-FR"/>
              </w:rPr>
            </w:pPr>
            <w:r w:rsidRPr="00F16887">
              <w:rPr>
                <w:lang w:val="fr-FR"/>
              </w:rPr>
              <w:t>2 810</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61AEB68" w14:textId="77777777" w:rsidR="001077E2" w:rsidRPr="00F16887" w:rsidRDefault="001077E2" w:rsidP="00F16887">
            <w:pPr>
              <w:jc w:val="center"/>
              <w:rPr>
                <w:lang w:val="fr-FR"/>
              </w:rPr>
            </w:pPr>
            <w:r w:rsidRPr="00F16887">
              <w:rPr>
                <w:lang w:val="fr-FR"/>
              </w:rPr>
              <w:t>3 234</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1C59CDE" w14:textId="77777777" w:rsidR="001077E2" w:rsidRPr="00F16887" w:rsidRDefault="001077E2" w:rsidP="00F16887">
            <w:pPr>
              <w:jc w:val="center"/>
              <w:rPr>
                <w:lang w:val="fr-FR"/>
              </w:rPr>
            </w:pPr>
            <w:r w:rsidRPr="00F16887">
              <w:rPr>
                <w:lang w:val="fr-FR"/>
              </w:rPr>
              <w:t>3 106</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51FD14F" w14:textId="77777777" w:rsidR="001077E2" w:rsidRPr="00F16887" w:rsidRDefault="001077E2" w:rsidP="00F16887">
            <w:pPr>
              <w:jc w:val="center"/>
              <w:rPr>
                <w:lang w:val="fr-FR"/>
              </w:rPr>
            </w:pPr>
            <w:r w:rsidRPr="00F16887">
              <w:rPr>
                <w:lang w:val="fr-FR"/>
              </w:rPr>
              <w:t>2 833</w:t>
            </w:r>
          </w:p>
        </w:tc>
      </w:tr>
      <w:tr w:rsidR="001077E2" w:rsidRPr="00F16887" w14:paraId="4B5D44A4" w14:textId="77777777" w:rsidTr="00D113DB">
        <w:trPr>
          <w:trHeight w:val="300"/>
        </w:trPr>
        <w:tc>
          <w:tcPr>
            <w:tcW w:w="4020"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2B937612" w14:textId="77777777" w:rsidR="001077E2" w:rsidRPr="00F16887" w:rsidRDefault="001077E2" w:rsidP="00F16887">
            <w:pPr>
              <w:rPr>
                <w:lang w:val="fr-FR"/>
              </w:rPr>
            </w:pPr>
            <w:r w:rsidRPr="00F16887">
              <w:rPr>
                <w:lang w:val="fr-FR"/>
              </w:rPr>
              <w:t>Non classé</w:t>
            </w:r>
          </w:p>
        </w:tc>
        <w:tc>
          <w:tcPr>
            <w:tcW w:w="1077"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53255A7E" w14:textId="77777777" w:rsidR="001077E2" w:rsidRPr="00F16887" w:rsidRDefault="001077E2" w:rsidP="00F16887">
            <w:pPr>
              <w:jc w:val="center"/>
              <w:rPr>
                <w:lang w:val="fr-FR"/>
              </w:rPr>
            </w:pPr>
            <w:r w:rsidRPr="00F16887">
              <w:rPr>
                <w:lang w:val="fr-FR"/>
              </w:rPr>
              <w:t>0</w:t>
            </w:r>
          </w:p>
        </w:tc>
        <w:tc>
          <w:tcPr>
            <w:tcW w:w="1077"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5B0D7853" w14:textId="77777777" w:rsidR="001077E2" w:rsidRPr="00F16887" w:rsidRDefault="001077E2" w:rsidP="00F16887">
            <w:pPr>
              <w:jc w:val="center"/>
              <w:rPr>
                <w:lang w:val="fr-FR"/>
              </w:rPr>
            </w:pPr>
            <w:r w:rsidRPr="00F16887">
              <w:rPr>
                <w:lang w:val="fr-FR"/>
              </w:rPr>
              <w:t>0</w:t>
            </w:r>
          </w:p>
        </w:tc>
        <w:tc>
          <w:tcPr>
            <w:tcW w:w="1077"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2ECDFF37" w14:textId="77777777" w:rsidR="001077E2" w:rsidRPr="00F16887" w:rsidRDefault="001077E2" w:rsidP="00F16887">
            <w:pPr>
              <w:jc w:val="center"/>
              <w:rPr>
                <w:lang w:val="fr-FR"/>
              </w:rPr>
            </w:pPr>
            <w:r w:rsidRPr="00F16887">
              <w:rPr>
                <w:lang w:val="fr-FR"/>
              </w:rPr>
              <w:t>2</w:t>
            </w:r>
          </w:p>
        </w:tc>
        <w:tc>
          <w:tcPr>
            <w:tcW w:w="1077"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2FC4AC82" w14:textId="77777777" w:rsidR="001077E2" w:rsidRPr="00F16887" w:rsidRDefault="001077E2" w:rsidP="00F16887">
            <w:pPr>
              <w:jc w:val="center"/>
              <w:rPr>
                <w:lang w:val="fr-FR"/>
              </w:rPr>
            </w:pPr>
            <w:r w:rsidRPr="00F16887">
              <w:rPr>
                <w:lang w:val="fr-FR"/>
              </w:rPr>
              <w:t>14</w:t>
            </w:r>
          </w:p>
        </w:tc>
        <w:tc>
          <w:tcPr>
            <w:tcW w:w="1077"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center"/>
            <w:hideMark/>
          </w:tcPr>
          <w:p w14:paraId="271AD4AA" w14:textId="77777777" w:rsidR="001077E2" w:rsidRPr="00F16887" w:rsidRDefault="001077E2" w:rsidP="00F16887">
            <w:pPr>
              <w:jc w:val="center"/>
              <w:rPr>
                <w:lang w:val="fr-FR"/>
              </w:rPr>
            </w:pPr>
            <w:r w:rsidRPr="00F16887">
              <w:rPr>
                <w:lang w:val="fr-FR"/>
              </w:rPr>
              <w:t>879</w:t>
            </w:r>
          </w:p>
        </w:tc>
      </w:tr>
      <w:tr w:rsidR="0025290E" w:rsidRPr="00F16887" w14:paraId="75A2AE69" w14:textId="77777777" w:rsidTr="00D113DB">
        <w:trPr>
          <w:cantSplit/>
          <w:trHeight w:val="300"/>
        </w:trPr>
        <w:tc>
          <w:tcPr>
            <w:tcW w:w="40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41F1AF9" w14:textId="77777777" w:rsidR="0025290E" w:rsidRPr="00F16887" w:rsidRDefault="0025290E" w:rsidP="0025290E">
            <w:pPr>
              <w:rPr>
                <w:b/>
                <w:bCs/>
                <w:lang w:val="fr-FR"/>
              </w:rPr>
            </w:pPr>
            <w:r w:rsidRPr="00F16887">
              <w:rPr>
                <w:b/>
                <w:lang w:val="fr-FR"/>
              </w:rPr>
              <w:t>Total</w:t>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85AA2AA" w14:textId="3A50C114" w:rsidR="0025290E" w:rsidRPr="00F16887" w:rsidRDefault="0025290E" w:rsidP="0025290E">
            <w:pPr>
              <w:jc w:val="center"/>
              <w:rPr>
                <w:b/>
                <w:bCs/>
                <w:lang w:val="fr-FR"/>
              </w:rPr>
            </w:pPr>
            <w:r w:rsidRPr="00946610">
              <w:rPr>
                <w:b/>
                <w:bCs/>
                <w:lang w:eastAsia="es-MX"/>
              </w:rPr>
              <w:fldChar w:fldCharType="begin"/>
            </w:r>
            <w:r w:rsidRPr="00946610">
              <w:rPr>
                <w:b/>
                <w:bCs/>
                <w:lang w:eastAsia="es-MX"/>
              </w:rPr>
              <w:instrText xml:space="preserve"> =SUM(ABOVE) </w:instrText>
            </w:r>
            <w:r w:rsidRPr="00946610">
              <w:rPr>
                <w:b/>
                <w:bCs/>
                <w:lang w:eastAsia="es-MX"/>
              </w:rPr>
              <w:fldChar w:fldCharType="separate"/>
            </w:r>
            <w:r w:rsidR="001A688D">
              <w:rPr>
                <w:b/>
                <w:bCs/>
                <w:noProof/>
                <w:lang w:eastAsia="es-MX"/>
              </w:rPr>
              <w:t>0</w:t>
            </w:r>
            <w:r w:rsidRPr="00946610">
              <w:rPr>
                <w:b/>
                <w:bCs/>
                <w:lang w:eastAsia="es-MX"/>
              </w:rPr>
              <w:fldChar w:fldCharType="end"/>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581F364A" w14:textId="2EBCB4B3" w:rsidR="0025290E" w:rsidRPr="00F16887" w:rsidRDefault="0025290E" w:rsidP="0025290E">
            <w:pPr>
              <w:jc w:val="center"/>
              <w:rPr>
                <w:b/>
                <w:bCs/>
                <w:lang w:val="fr-FR"/>
              </w:rPr>
            </w:pPr>
            <w:r w:rsidRPr="00946610">
              <w:rPr>
                <w:b/>
                <w:bCs/>
                <w:lang w:eastAsia="es-MX"/>
              </w:rPr>
              <w:fldChar w:fldCharType="begin"/>
            </w:r>
            <w:r w:rsidRPr="00946610">
              <w:rPr>
                <w:b/>
                <w:bCs/>
                <w:lang w:eastAsia="es-MX"/>
              </w:rPr>
              <w:instrText xml:space="preserve"> =SUM(ABOVE) </w:instrText>
            </w:r>
            <w:r w:rsidRPr="00946610">
              <w:rPr>
                <w:b/>
                <w:bCs/>
                <w:lang w:eastAsia="es-MX"/>
              </w:rPr>
              <w:fldChar w:fldCharType="separate"/>
            </w:r>
            <w:r w:rsidR="001A688D">
              <w:rPr>
                <w:b/>
                <w:bCs/>
                <w:noProof/>
                <w:lang w:eastAsia="es-MX"/>
              </w:rPr>
              <w:t>0</w:t>
            </w:r>
            <w:r w:rsidRPr="00946610">
              <w:rPr>
                <w:b/>
                <w:bCs/>
                <w:lang w:eastAsia="es-MX"/>
              </w:rPr>
              <w:fldChar w:fldCharType="end"/>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40728941" w14:textId="2ACE0A97" w:rsidR="0025290E" w:rsidRPr="00F16887" w:rsidRDefault="0025290E" w:rsidP="0025290E">
            <w:pPr>
              <w:jc w:val="center"/>
              <w:rPr>
                <w:b/>
                <w:bCs/>
                <w:lang w:val="fr-FR"/>
              </w:rPr>
            </w:pPr>
            <w:r w:rsidRPr="00946610">
              <w:rPr>
                <w:b/>
                <w:bCs/>
                <w:lang w:eastAsia="es-MX"/>
              </w:rPr>
              <w:fldChar w:fldCharType="begin"/>
            </w:r>
            <w:r w:rsidRPr="00946610">
              <w:rPr>
                <w:b/>
                <w:bCs/>
                <w:lang w:eastAsia="es-MX"/>
              </w:rPr>
              <w:instrText xml:space="preserve"> =SUM(ABOVE) </w:instrText>
            </w:r>
            <w:r w:rsidRPr="00946610">
              <w:rPr>
                <w:b/>
                <w:bCs/>
                <w:lang w:eastAsia="es-MX"/>
              </w:rPr>
              <w:fldChar w:fldCharType="separate"/>
            </w:r>
            <w:r w:rsidR="001A688D">
              <w:rPr>
                <w:b/>
                <w:bCs/>
                <w:noProof/>
                <w:lang w:eastAsia="es-MX"/>
              </w:rPr>
              <w:t>2</w:t>
            </w:r>
            <w:r w:rsidRPr="00946610">
              <w:rPr>
                <w:b/>
                <w:bCs/>
                <w:lang w:eastAsia="es-MX"/>
              </w:rPr>
              <w:fldChar w:fldCharType="end"/>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05084A53" w14:textId="679FA93E" w:rsidR="0025290E" w:rsidRPr="00F16887" w:rsidRDefault="0025290E" w:rsidP="0025290E">
            <w:pPr>
              <w:jc w:val="center"/>
              <w:rPr>
                <w:b/>
                <w:bCs/>
                <w:lang w:val="fr-FR"/>
              </w:rPr>
            </w:pPr>
            <w:r w:rsidRPr="00946610">
              <w:rPr>
                <w:b/>
                <w:bCs/>
                <w:lang w:eastAsia="es-MX"/>
              </w:rPr>
              <w:fldChar w:fldCharType="begin"/>
            </w:r>
            <w:r w:rsidRPr="00946610">
              <w:rPr>
                <w:b/>
                <w:bCs/>
                <w:lang w:eastAsia="es-MX"/>
              </w:rPr>
              <w:instrText xml:space="preserve"> =SUM(ABOVE) </w:instrText>
            </w:r>
            <w:r w:rsidRPr="00946610">
              <w:rPr>
                <w:b/>
                <w:bCs/>
                <w:lang w:eastAsia="es-MX"/>
              </w:rPr>
              <w:fldChar w:fldCharType="separate"/>
            </w:r>
            <w:r w:rsidR="001A688D">
              <w:rPr>
                <w:b/>
                <w:bCs/>
                <w:noProof/>
                <w:lang w:eastAsia="es-MX"/>
              </w:rPr>
              <w:t>14</w:t>
            </w:r>
            <w:r w:rsidRPr="00946610">
              <w:rPr>
                <w:b/>
                <w:bCs/>
                <w:lang w:eastAsia="es-MX"/>
              </w:rPr>
              <w:fldChar w:fldCharType="end"/>
            </w:r>
          </w:p>
        </w:tc>
        <w:tc>
          <w:tcPr>
            <w:tcW w:w="1077"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A17FF1C" w14:textId="126CFA9E" w:rsidR="0025290E" w:rsidRPr="00F16887" w:rsidRDefault="0025290E" w:rsidP="0025290E">
            <w:pPr>
              <w:jc w:val="center"/>
              <w:rPr>
                <w:b/>
                <w:bCs/>
                <w:lang w:val="fr-FR"/>
              </w:rPr>
            </w:pPr>
            <w:r w:rsidRPr="00946610">
              <w:rPr>
                <w:b/>
                <w:bCs/>
                <w:lang w:eastAsia="es-MX"/>
              </w:rPr>
              <w:fldChar w:fldCharType="begin"/>
            </w:r>
            <w:r w:rsidRPr="00946610">
              <w:rPr>
                <w:b/>
                <w:bCs/>
                <w:lang w:eastAsia="es-MX"/>
              </w:rPr>
              <w:instrText xml:space="preserve"> =SUM(ABOVE) </w:instrText>
            </w:r>
            <w:r w:rsidRPr="00946610">
              <w:rPr>
                <w:b/>
                <w:bCs/>
                <w:lang w:eastAsia="es-MX"/>
              </w:rPr>
              <w:fldChar w:fldCharType="separate"/>
            </w:r>
            <w:r w:rsidR="001A688D">
              <w:rPr>
                <w:b/>
                <w:bCs/>
                <w:noProof/>
                <w:lang w:eastAsia="es-MX"/>
              </w:rPr>
              <w:t>879</w:t>
            </w:r>
            <w:r w:rsidRPr="00946610">
              <w:rPr>
                <w:b/>
                <w:bCs/>
                <w:lang w:eastAsia="es-MX"/>
              </w:rPr>
              <w:fldChar w:fldCharType="end"/>
            </w:r>
          </w:p>
        </w:tc>
      </w:tr>
    </w:tbl>
    <w:p w14:paraId="7D09D8CB" w14:textId="77777777" w:rsidR="001077E2" w:rsidRPr="00F16887" w:rsidRDefault="001077E2" w:rsidP="00F16887">
      <w:pPr>
        <w:pStyle w:val="Answer"/>
        <w:spacing w:after="0"/>
        <w:ind w:left="0"/>
        <w:jc w:val="both"/>
      </w:pPr>
    </w:p>
    <w:p w14:paraId="7DCEDE40" w14:textId="7755A228" w:rsidR="001077E2" w:rsidRPr="00F16887" w:rsidRDefault="001077E2" w:rsidP="00F16887">
      <w:pPr>
        <w:pStyle w:val="Question"/>
        <w:spacing w:after="0"/>
      </w:pPr>
      <w:r w:rsidRPr="00F16887">
        <w:t>b)</w:t>
      </w:r>
      <w:r w:rsidRPr="00F16887">
        <w:tab/>
        <w:t>Nombre de demandes nationales reçues – par voie de dépôt</w:t>
      </w:r>
      <w:r w:rsidR="00F16887">
        <w:t> :</w:t>
      </w:r>
    </w:p>
    <w:p w14:paraId="04313CDB" w14:textId="77777777" w:rsidR="001077E2" w:rsidRPr="00F16887" w:rsidRDefault="001077E2" w:rsidP="00F16887">
      <w:pPr>
        <w:rPr>
          <w:rFonts w:eastAsia="Times New Roman"/>
          <w:szCs w:val="22"/>
          <w:lang w:val="fr-FR" w:eastAsia="es-MX"/>
        </w:rPr>
      </w:pPr>
    </w:p>
    <w:tbl>
      <w:tblPr>
        <w:tblW w:w="9540" w:type="dxa"/>
        <w:tblInd w:w="-78" w:type="dxa"/>
        <w:tblCellMar>
          <w:left w:w="70" w:type="dxa"/>
          <w:right w:w="70" w:type="dxa"/>
        </w:tblCellMar>
        <w:tblLook w:val="04A0" w:firstRow="1" w:lastRow="0" w:firstColumn="1" w:lastColumn="0" w:noHBand="0" w:noVBand="1"/>
        <w:tblCaption w:val="Nombre de demandes nationales reçues par mode"/>
        <w:tblDescription w:val="Ce tableau indique le nombre de demandes reçues au cours des cinq dernières années, réparties par mode de dépôt."/>
      </w:tblPr>
      <w:tblGrid>
        <w:gridCol w:w="4155"/>
        <w:gridCol w:w="1077"/>
        <w:gridCol w:w="1077"/>
        <w:gridCol w:w="1077"/>
        <w:gridCol w:w="1077"/>
        <w:gridCol w:w="1077"/>
      </w:tblGrid>
      <w:tr w:rsidR="001077E2" w:rsidRPr="00F16887" w14:paraId="61CCEB4C" w14:textId="77777777" w:rsidTr="00D113DB">
        <w:trPr>
          <w:trHeight w:val="231"/>
        </w:trPr>
        <w:tc>
          <w:tcPr>
            <w:tcW w:w="4155" w:type="dxa"/>
            <w:tcBorders>
              <w:top w:val="single" w:sz="4" w:space="0" w:color="auto"/>
              <w:left w:val="single" w:sz="4" w:space="0" w:color="auto"/>
              <w:bottom w:val="single" w:sz="4" w:space="0" w:color="auto"/>
              <w:right w:val="single" w:sz="4" w:space="0" w:color="auto"/>
            </w:tcBorders>
            <w:shd w:val="clear" w:color="000000" w:fill="1E5B4F"/>
            <w:noWrap/>
            <w:vAlign w:val="center"/>
          </w:tcPr>
          <w:p w14:paraId="6FF85DEB" w14:textId="77777777" w:rsidR="001077E2" w:rsidRPr="00F16887" w:rsidRDefault="001077E2" w:rsidP="00F16887">
            <w:pPr>
              <w:jc w:val="center"/>
              <w:rPr>
                <w:rFonts w:eastAsia="Times New Roman"/>
                <w:b/>
                <w:bCs/>
                <w:color w:val="FFFFFF"/>
                <w:szCs w:val="22"/>
                <w:lang w:val="fr-FR"/>
              </w:rPr>
            </w:pPr>
            <w:r w:rsidRPr="00F16887">
              <w:rPr>
                <w:b/>
                <w:color w:val="FFFFFF"/>
                <w:lang w:val="fr-FR"/>
              </w:rPr>
              <w:t>Année</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263801B3" w14:textId="77777777" w:rsidR="001077E2" w:rsidRPr="00F16887" w:rsidRDefault="001077E2" w:rsidP="00F16887">
            <w:pPr>
              <w:jc w:val="center"/>
              <w:rPr>
                <w:rFonts w:eastAsia="Times New Roman"/>
                <w:b/>
                <w:bCs/>
                <w:color w:val="FFFFFF"/>
                <w:szCs w:val="22"/>
                <w:lang w:val="fr-FR"/>
              </w:rPr>
            </w:pPr>
            <w:r w:rsidRPr="00F16887">
              <w:rPr>
                <w:b/>
                <w:color w:val="FFFFFF"/>
                <w:lang w:val="fr-FR"/>
              </w:rPr>
              <w:t>2020</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4DA5F749" w14:textId="77777777" w:rsidR="001077E2" w:rsidRPr="00F16887" w:rsidRDefault="001077E2" w:rsidP="00F16887">
            <w:pPr>
              <w:jc w:val="center"/>
              <w:rPr>
                <w:rFonts w:eastAsia="Times New Roman"/>
                <w:b/>
                <w:bCs/>
                <w:color w:val="FFFFFF"/>
                <w:szCs w:val="22"/>
                <w:lang w:val="fr-FR"/>
              </w:rPr>
            </w:pPr>
            <w:r w:rsidRPr="00F16887">
              <w:rPr>
                <w:b/>
                <w:color w:val="FFFFFF"/>
                <w:lang w:val="fr-FR"/>
              </w:rPr>
              <w:t>2021</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730C7B64" w14:textId="77777777" w:rsidR="001077E2" w:rsidRPr="00F16887" w:rsidRDefault="001077E2" w:rsidP="00F16887">
            <w:pPr>
              <w:jc w:val="center"/>
              <w:rPr>
                <w:rFonts w:eastAsia="Times New Roman"/>
                <w:b/>
                <w:bCs/>
                <w:color w:val="FFFFFF"/>
                <w:szCs w:val="22"/>
                <w:lang w:val="fr-FR"/>
              </w:rPr>
            </w:pPr>
            <w:r w:rsidRPr="00F16887">
              <w:rPr>
                <w:b/>
                <w:color w:val="FFFFFF"/>
                <w:lang w:val="fr-FR"/>
              </w:rPr>
              <w:t>2022</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40E69D4B" w14:textId="77777777" w:rsidR="001077E2" w:rsidRPr="00F16887" w:rsidRDefault="001077E2" w:rsidP="00F16887">
            <w:pPr>
              <w:jc w:val="center"/>
              <w:rPr>
                <w:rFonts w:eastAsia="Times New Roman"/>
                <w:b/>
                <w:bCs/>
                <w:color w:val="FFFFFF"/>
                <w:szCs w:val="22"/>
                <w:lang w:val="fr-FR"/>
              </w:rPr>
            </w:pPr>
            <w:r w:rsidRPr="00F16887">
              <w:rPr>
                <w:b/>
                <w:color w:val="FFFFFF"/>
                <w:lang w:val="fr-FR"/>
              </w:rPr>
              <w:t>2023</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6A2D2AB9" w14:textId="77777777" w:rsidR="001077E2" w:rsidRPr="00F16887" w:rsidRDefault="001077E2" w:rsidP="00F16887">
            <w:pPr>
              <w:jc w:val="center"/>
              <w:rPr>
                <w:rFonts w:eastAsia="Times New Roman"/>
                <w:b/>
                <w:bCs/>
                <w:color w:val="FFFFFF"/>
                <w:szCs w:val="22"/>
                <w:lang w:val="fr-FR"/>
              </w:rPr>
            </w:pPr>
            <w:r w:rsidRPr="00F16887">
              <w:rPr>
                <w:b/>
                <w:color w:val="FFFFFF"/>
                <w:lang w:val="fr-FR"/>
              </w:rPr>
              <w:t>2024</w:t>
            </w:r>
          </w:p>
        </w:tc>
      </w:tr>
      <w:tr w:rsidR="001077E2" w:rsidRPr="00F16887" w14:paraId="1FF849C2" w14:textId="77777777" w:rsidTr="00D113DB">
        <w:trPr>
          <w:trHeight w:val="231"/>
        </w:trPr>
        <w:tc>
          <w:tcPr>
            <w:tcW w:w="4155" w:type="dxa"/>
            <w:tcBorders>
              <w:top w:val="nil"/>
              <w:left w:val="single" w:sz="4" w:space="0" w:color="auto"/>
              <w:bottom w:val="single" w:sz="4" w:space="0" w:color="auto"/>
              <w:right w:val="single" w:sz="4" w:space="0" w:color="auto"/>
            </w:tcBorders>
            <w:shd w:val="clear" w:color="000000" w:fill="1E5B4F"/>
            <w:noWrap/>
            <w:vAlign w:val="center"/>
            <w:hideMark/>
          </w:tcPr>
          <w:p w14:paraId="0D6BB8A0" w14:textId="77777777" w:rsidR="001077E2" w:rsidRPr="00F16887" w:rsidRDefault="001077E2" w:rsidP="00F16887">
            <w:pPr>
              <w:jc w:val="center"/>
              <w:rPr>
                <w:rFonts w:eastAsia="Times New Roman"/>
                <w:b/>
                <w:bCs/>
                <w:color w:val="FFFFFF"/>
                <w:szCs w:val="22"/>
                <w:lang w:val="fr-FR"/>
              </w:rPr>
            </w:pPr>
            <w:r w:rsidRPr="00F16887">
              <w:rPr>
                <w:b/>
                <w:color w:val="FFFFFF"/>
                <w:lang w:val="fr-FR"/>
              </w:rPr>
              <w:t>Via</w:t>
            </w: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89688D2" w14:textId="77777777" w:rsidR="001077E2" w:rsidRPr="00F16887" w:rsidRDefault="001077E2" w:rsidP="00F16887">
            <w:pPr>
              <w:rPr>
                <w:rFonts w:eastAsia="Times New Roman"/>
                <w:b/>
                <w:bCs/>
                <w:color w:val="FFFFFF"/>
                <w:szCs w:val="22"/>
                <w:lang w:val="fr-FR"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420BD10E" w14:textId="77777777" w:rsidR="001077E2" w:rsidRPr="00F16887" w:rsidRDefault="001077E2" w:rsidP="00F16887">
            <w:pPr>
              <w:rPr>
                <w:rFonts w:eastAsia="Times New Roman"/>
                <w:b/>
                <w:bCs/>
                <w:color w:val="FFFFFF"/>
                <w:szCs w:val="22"/>
                <w:lang w:val="fr-FR"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A5FEE29" w14:textId="77777777" w:rsidR="001077E2" w:rsidRPr="00F16887" w:rsidRDefault="001077E2" w:rsidP="00F16887">
            <w:pPr>
              <w:rPr>
                <w:rFonts w:eastAsia="Times New Roman"/>
                <w:b/>
                <w:bCs/>
                <w:color w:val="FFFFFF"/>
                <w:szCs w:val="22"/>
                <w:lang w:val="fr-FR"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D408033" w14:textId="77777777" w:rsidR="001077E2" w:rsidRPr="00F16887" w:rsidRDefault="001077E2" w:rsidP="00F16887">
            <w:pPr>
              <w:rPr>
                <w:rFonts w:eastAsia="Times New Roman"/>
                <w:b/>
                <w:bCs/>
                <w:color w:val="FFFFFF"/>
                <w:szCs w:val="22"/>
                <w:lang w:val="fr-FR"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1E82EE2F" w14:textId="77777777" w:rsidR="001077E2" w:rsidRPr="00F16887" w:rsidRDefault="001077E2" w:rsidP="00F16887">
            <w:pPr>
              <w:rPr>
                <w:rFonts w:eastAsia="Times New Roman"/>
                <w:b/>
                <w:bCs/>
                <w:color w:val="FFFFFF"/>
                <w:szCs w:val="22"/>
                <w:lang w:val="fr-FR" w:eastAsia="es-MX"/>
              </w:rPr>
            </w:pPr>
          </w:p>
        </w:tc>
      </w:tr>
      <w:tr w:rsidR="001077E2" w:rsidRPr="00F16887" w14:paraId="43E7DCDD" w14:textId="77777777" w:rsidTr="00D113DB">
        <w:trPr>
          <w:trHeight w:val="416"/>
        </w:trPr>
        <w:tc>
          <w:tcPr>
            <w:tcW w:w="4155" w:type="dxa"/>
            <w:tcBorders>
              <w:top w:val="nil"/>
              <w:left w:val="single" w:sz="4" w:space="0" w:color="auto"/>
              <w:bottom w:val="single" w:sz="4" w:space="0" w:color="auto"/>
              <w:right w:val="single" w:sz="4" w:space="0" w:color="auto"/>
            </w:tcBorders>
            <w:vAlign w:val="center"/>
            <w:hideMark/>
          </w:tcPr>
          <w:p w14:paraId="1332524C" w14:textId="77777777" w:rsidR="001077E2" w:rsidRPr="00F16887" w:rsidRDefault="001077E2" w:rsidP="00F16887">
            <w:pPr>
              <w:jc w:val="center"/>
              <w:rPr>
                <w:rFonts w:eastAsia="Times New Roman"/>
                <w:szCs w:val="22"/>
                <w:lang w:val="fr-FR"/>
              </w:rPr>
            </w:pPr>
            <w:r w:rsidRPr="00F16887">
              <w:rPr>
                <w:lang w:val="fr-FR"/>
              </w:rPr>
              <w:t>Première soumission nationale/priorité interne</w:t>
            </w:r>
          </w:p>
        </w:tc>
        <w:tc>
          <w:tcPr>
            <w:tcW w:w="1077" w:type="dxa"/>
            <w:tcBorders>
              <w:top w:val="nil"/>
              <w:left w:val="nil"/>
              <w:bottom w:val="single" w:sz="4" w:space="0" w:color="auto"/>
              <w:right w:val="single" w:sz="4" w:space="0" w:color="auto"/>
            </w:tcBorders>
            <w:noWrap/>
            <w:vAlign w:val="center"/>
            <w:hideMark/>
          </w:tcPr>
          <w:p w14:paraId="0C8BF7A4" w14:textId="77777777" w:rsidR="001077E2" w:rsidRPr="00F16887" w:rsidRDefault="001077E2" w:rsidP="00F16887">
            <w:pPr>
              <w:jc w:val="center"/>
              <w:rPr>
                <w:rFonts w:eastAsia="Times New Roman"/>
                <w:szCs w:val="22"/>
                <w:lang w:val="fr-FR"/>
              </w:rPr>
            </w:pPr>
            <w:r w:rsidRPr="00F16887">
              <w:rPr>
                <w:lang w:val="fr-FR"/>
              </w:rPr>
              <w:t>1 085</w:t>
            </w:r>
          </w:p>
        </w:tc>
        <w:tc>
          <w:tcPr>
            <w:tcW w:w="1077" w:type="dxa"/>
            <w:tcBorders>
              <w:top w:val="nil"/>
              <w:left w:val="nil"/>
              <w:bottom w:val="single" w:sz="4" w:space="0" w:color="auto"/>
              <w:right w:val="single" w:sz="4" w:space="0" w:color="auto"/>
            </w:tcBorders>
            <w:noWrap/>
            <w:vAlign w:val="center"/>
            <w:hideMark/>
          </w:tcPr>
          <w:p w14:paraId="70A813BC" w14:textId="77777777" w:rsidR="001077E2" w:rsidRPr="00F16887" w:rsidRDefault="001077E2" w:rsidP="00F16887">
            <w:pPr>
              <w:jc w:val="center"/>
              <w:rPr>
                <w:rFonts w:eastAsia="Times New Roman"/>
                <w:szCs w:val="22"/>
                <w:lang w:val="fr-FR"/>
              </w:rPr>
            </w:pPr>
            <w:r w:rsidRPr="00F16887">
              <w:rPr>
                <w:lang w:val="fr-FR"/>
              </w:rPr>
              <w:t>1 070</w:t>
            </w:r>
          </w:p>
        </w:tc>
        <w:tc>
          <w:tcPr>
            <w:tcW w:w="1077" w:type="dxa"/>
            <w:tcBorders>
              <w:top w:val="nil"/>
              <w:left w:val="nil"/>
              <w:bottom w:val="single" w:sz="4" w:space="0" w:color="auto"/>
              <w:right w:val="single" w:sz="4" w:space="0" w:color="auto"/>
            </w:tcBorders>
            <w:noWrap/>
            <w:vAlign w:val="center"/>
            <w:hideMark/>
          </w:tcPr>
          <w:p w14:paraId="7B0A063C" w14:textId="77777777" w:rsidR="001077E2" w:rsidRPr="00F16887" w:rsidRDefault="001077E2" w:rsidP="00F16887">
            <w:pPr>
              <w:jc w:val="center"/>
              <w:rPr>
                <w:rFonts w:eastAsia="Times New Roman"/>
                <w:szCs w:val="22"/>
                <w:lang w:val="fr-FR"/>
              </w:rPr>
            </w:pPr>
            <w:r w:rsidRPr="00F16887">
              <w:rPr>
                <w:lang w:val="fr-FR"/>
              </w:rPr>
              <w:t>950</w:t>
            </w:r>
          </w:p>
        </w:tc>
        <w:tc>
          <w:tcPr>
            <w:tcW w:w="1077" w:type="dxa"/>
            <w:tcBorders>
              <w:top w:val="nil"/>
              <w:left w:val="nil"/>
              <w:bottom w:val="single" w:sz="4" w:space="0" w:color="auto"/>
              <w:right w:val="single" w:sz="4" w:space="0" w:color="auto"/>
            </w:tcBorders>
            <w:noWrap/>
            <w:vAlign w:val="center"/>
            <w:hideMark/>
          </w:tcPr>
          <w:p w14:paraId="4A9E1E36" w14:textId="77777777" w:rsidR="001077E2" w:rsidRPr="00F16887" w:rsidRDefault="001077E2" w:rsidP="00F16887">
            <w:pPr>
              <w:jc w:val="center"/>
              <w:rPr>
                <w:rFonts w:eastAsia="Times New Roman"/>
                <w:szCs w:val="22"/>
                <w:lang w:val="fr-FR"/>
              </w:rPr>
            </w:pPr>
            <w:r w:rsidRPr="00F16887">
              <w:rPr>
                <w:lang w:val="fr-FR"/>
              </w:rPr>
              <w:t>934</w:t>
            </w:r>
          </w:p>
        </w:tc>
        <w:tc>
          <w:tcPr>
            <w:tcW w:w="1077" w:type="dxa"/>
            <w:tcBorders>
              <w:top w:val="nil"/>
              <w:left w:val="nil"/>
              <w:bottom w:val="single" w:sz="4" w:space="0" w:color="auto"/>
              <w:right w:val="single" w:sz="4" w:space="0" w:color="auto"/>
            </w:tcBorders>
            <w:noWrap/>
            <w:vAlign w:val="center"/>
            <w:hideMark/>
          </w:tcPr>
          <w:p w14:paraId="2EF9E58B" w14:textId="77777777" w:rsidR="001077E2" w:rsidRPr="00F16887" w:rsidRDefault="001077E2" w:rsidP="00F16887">
            <w:pPr>
              <w:jc w:val="center"/>
              <w:rPr>
                <w:rFonts w:eastAsia="Times New Roman"/>
                <w:szCs w:val="22"/>
                <w:lang w:val="fr-FR"/>
              </w:rPr>
            </w:pPr>
            <w:r w:rsidRPr="00F16887">
              <w:rPr>
                <w:lang w:val="fr-FR"/>
              </w:rPr>
              <w:t>1 144</w:t>
            </w:r>
          </w:p>
        </w:tc>
      </w:tr>
      <w:tr w:rsidR="001077E2" w:rsidRPr="00F16887" w14:paraId="2F6E7918" w14:textId="77777777" w:rsidTr="00D113DB">
        <w:trPr>
          <w:trHeight w:val="416"/>
        </w:trPr>
        <w:tc>
          <w:tcPr>
            <w:tcW w:w="4155" w:type="dxa"/>
            <w:tcBorders>
              <w:top w:val="nil"/>
              <w:left w:val="single" w:sz="4" w:space="0" w:color="auto"/>
              <w:bottom w:val="single" w:sz="4" w:space="0" w:color="auto"/>
              <w:right w:val="single" w:sz="4" w:space="0" w:color="auto"/>
            </w:tcBorders>
            <w:vAlign w:val="center"/>
            <w:hideMark/>
          </w:tcPr>
          <w:p w14:paraId="3110DC2F" w14:textId="77777777" w:rsidR="001077E2" w:rsidRPr="00F16887" w:rsidRDefault="001077E2" w:rsidP="00F16887">
            <w:pPr>
              <w:jc w:val="center"/>
              <w:rPr>
                <w:rFonts w:eastAsia="Times New Roman"/>
                <w:szCs w:val="22"/>
                <w:lang w:val="fr-FR"/>
              </w:rPr>
            </w:pPr>
            <w:r w:rsidRPr="00F16887">
              <w:rPr>
                <w:lang w:val="fr-FR"/>
              </w:rPr>
              <w:t>Priorité en vertu de la Convention de Paris</w:t>
            </w:r>
          </w:p>
        </w:tc>
        <w:tc>
          <w:tcPr>
            <w:tcW w:w="1077" w:type="dxa"/>
            <w:tcBorders>
              <w:top w:val="nil"/>
              <w:left w:val="nil"/>
              <w:bottom w:val="single" w:sz="4" w:space="0" w:color="auto"/>
              <w:right w:val="single" w:sz="4" w:space="0" w:color="auto"/>
            </w:tcBorders>
            <w:noWrap/>
            <w:vAlign w:val="center"/>
            <w:hideMark/>
          </w:tcPr>
          <w:p w14:paraId="6EDBBF01" w14:textId="77777777" w:rsidR="001077E2" w:rsidRPr="00F16887" w:rsidRDefault="001077E2" w:rsidP="00F16887">
            <w:pPr>
              <w:jc w:val="center"/>
              <w:rPr>
                <w:rFonts w:eastAsia="Times New Roman"/>
                <w:szCs w:val="22"/>
                <w:lang w:val="fr-FR"/>
              </w:rPr>
            </w:pPr>
            <w:r w:rsidRPr="00F16887">
              <w:rPr>
                <w:lang w:val="fr-FR"/>
              </w:rPr>
              <w:t>1 187</w:t>
            </w:r>
          </w:p>
        </w:tc>
        <w:tc>
          <w:tcPr>
            <w:tcW w:w="1077" w:type="dxa"/>
            <w:tcBorders>
              <w:top w:val="nil"/>
              <w:left w:val="nil"/>
              <w:bottom w:val="single" w:sz="4" w:space="0" w:color="auto"/>
              <w:right w:val="single" w:sz="4" w:space="0" w:color="auto"/>
            </w:tcBorders>
            <w:noWrap/>
            <w:vAlign w:val="center"/>
            <w:hideMark/>
          </w:tcPr>
          <w:p w14:paraId="7F3B7196" w14:textId="77777777" w:rsidR="001077E2" w:rsidRPr="00F16887" w:rsidRDefault="001077E2" w:rsidP="00F16887">
            <w:pPr>
              <w:jc w:val="center"/>
              <w:rPr>
                <w:rFonts w:eastAsia="Times New Roman"/>
                <w:szCs w:val="22"/>
                <w:lang w:val="fr-FR"/>
              </w:rPr>
            </w:pPr>
            <w:r w:rsidRPr="00F16887">
              <w:rPr>
                <w:lang w:val="fr-FR"/>
              </w:rPr>
              <w:t>1 900</w:t>
            </w:r>
          </w:p>
        </w:tc>
        <w:tc>
          <w:tcPr>
            <w:tcW w:w="1077" w:type="dxa"/>
            <w:tcBorders>
              <w:top w:val="nil"/>
              <w:left w:val="nil"/>
              <w:bottom w:val="single" w:sz="4" w:space="0" w:color="auto"/>
              <w:right w:val="single" w:sz="4" w:space="0" w:color="auto"/>
            </w:tcBorders>
            <w:noWrap/>
            <w:vAlign w:val="center"/>
            <w:hideMark/>
          </w:tcPr>
          <w:p w14:paraId="26817ACF" w14:textId="77777777" w:rsidR="001077E2" w:rsidRPr="00F16887" w:rsidRDefault="001077E2" w:rsidP="00F16887">
            <w:pPr>
              <w:jc w:val="center"/>
              <w:rPr>
                <w:rFonts w:eastAsia="Times New Roman"/>
                <w:szCs w:val="22"/>
                <w:lang w:val="fr-FR"/>
              </w:rPr>
            </w:pPr>
            <w:r w:rsidRPr="00F16887">
              <w:rPr>
                <w:lang w:val="fr-FR"/>
              </w:rPr>
              <w:t>2 377</w:t>
            </w:r>
          </w:p>
        </w:tc>
        <w:tc>
          <w:tcPr>
            <w:tcW w:w="1077" w:type="dxa"/>
            <w:tcBorders>
              <w:top w:val="nil"/>
              <w:left w:val="nil"/>
              <w:bottom w:val="single" w:sz="4" w:space="0" w:color="auto"/>
              <w:right w:val="single" w:sz="4" w:space="0" w:color="auto"/>
            </w:tcBorders>
            <w:noWrap/>
            <w:vAlign w:val="center"/>
            <w:hideMark/>
          </w:tcPr>
          <w:p w14:paraId="50511FA7" w14:textId="77777777" w:rsidR="001077E2" w:rsidRPr="00F16887" w:rsidRDefault="001077E2" w:rsidP="00F16887">
            <w:pPr>
              <w:jc w:val="center"/>
              <w:rPr>
                <w:rFonts w:eastAsia="Times New Roman"/>
                <w:szCs w:val="22"/>
                <w:lang w:val="fr-FR"/>
              </w:rPr>
            </w:pPr>
            <w:r w:rsidRPr="00F16887">
              <w:rPr>
                <w:lang w:val="fr-FR"/>
              </w:rPr>
              <w:t>2 352</w:t>
            </w:r>
          </w:p>
        </w:tc>
        <w:tc>
          <w:tcPr>
            <w:tcW w:w="1077" w:type="dxa"/>
            <w:tcBorders>
              <w:top w:val="nil"/>
              <w:left w:val="nil"/>
              <w:bottom w:val="single" w:sz="4" w:space="0" w:color="auto"/>
              <w:right w:val="single" w:sz="4" w:space="0" w:color="auto"/>
            </w:tcBorders>
            <w:noWrap/>
            <w:vAlign w:val="center"/>
            <w:hideMark/>
          </w:tcPr>
          <w:p w14:paraId="53383C4F" w14:textId="77777777" w:rsidR="001077E2" w:rsidRPr="00F16887" w:rsidRDefault="001077E2" w:rsidP="00F16887">
            <w:pPr>
              <w:jc w:val="center"/>
              <w:rPr>
                <w:rFonts w:eastAsia="Times New Roman"/>
                <w:szCs w:val="22"/>
                <w:lang w:val="fr-FR"/>
              </w:rPr>
            </w:pPr>
            <w:r w:rsidRPr="00F16887">
              <w:rPr>
                <w:lang w:val="fr-FR"/>
              </w:rPr>
              <w:t>3 143</w:t>
            </w:r>
          </w:p>
        </w:tc>
      </w:tr>
      <w:tr w:rsidR="001077E2" w:rsidRPr="00F16887" w14:paraId="3F3688AB" w14:textId="77777777" w:rsidTr="00D113DB">
        <w:trPr>
          <w:trHeight w:val="416"/>
        </w:trPr>
        <w:tc>
          <w:tcPr>
            <w:tcW w:w="4155" w:type="dxa"/>
            <w:tcBorders>
              <w:top w:val="nil"/>
              <w:left w:val="single" w:sz="4" w:space="0" w:color="auto"/>
              <w:bottom w:val="single" w:sz="4" w:space="0" w:color="auto"/>
              <w:right w:val="single" w:sz="4" w:space="0" w:color="auto"/>
            </w:tcBorders>
            <w:vAlign w:val="center"/>
            <w:hideMark/>
          </w:tcPr>
          <w:p w14:paraId="3C2851C1" w14:textId="77777777" w:rsidR="001077E2" w:rsidRPr="00F16887" w:rsidRDefault="001077E2" w:rsidP="00F16887">
            <w:pPr>
              <w:jc w:val="center"/>
              <w:rPr>
                <w:rFonts w:eastAsia="Times New Roman"/>
                <w:szCs w:val="22"/>
                <w:lang w:val="fr-FR"/>
              </w:rPr>
            </w:pPr>
            <w:r w:rsidRPr="00F16887">
              <w:rPr>
                <w:lang w:val="fr-FR"/>
              </w:rPr>
              <w:t>Entrée dans la phase nationale selon le PCT</w:t>
            </w:r>
          </w:p>
        </w:tc>
        <w:tc>
          <w:tcPr>
            <w:tcW w:w="1077" w:type="dxa"/>
            <w:tcBorders>
              <w:top w:val="nil"/>
              <w:left w:val="nil"/>
              <w:bottom w:val="single" w:sz="4" w:space="0" w:color="auto"/>
              <w:right w:val="single" w:sz="4" w:space="0" w:color="auto"/>
            </w:tcBorders>
            <w:noWrap/>
            <w:vAlign w:val="center"/>
            <w:hideMark/>
          </w:tcPr>
          <w:p w14:paraId="71D53041" w14:textId="77777777" w:rsidR="001077E2" w:rsidRPr="00F16887" w:rsidRDefault="001077E2" w:rsidP="00F16887">
            <w:pPr>
              <w:jc w:val="center"/>
              <w:rPr>
                <w:rFonts w:eastAsia="Times New Roman"/>
                <w:szCs w:val="22"/>
                <w:lang w:val="fr-FR"/>
              </w:rPr>
            </w:pPr>
            <w:r w:rsidRPr="00F16887">
              <w:rPr>
                <w:lang w:val="fr-FR"/>
              </w:rPr>
              <w:t>12 038</w:t>
            </w:r>
          </w:p>
        </w:tc>
        <w:tc>
          <w:tcPr>
            <w:tcW w:w="1077" w:type="dxa"/>
            <w:tcBorders>
              <w:top w:val="nil"/>
              <w:left w:val="nil"/>
              <w:bottom w:val="single" w:sz="4" w:space="0" w:color="auto"/>
              <w:right w:val="single" w:sz="4" w:space="0" w:color="auto"/>
            </w:tcBorders>
            <w:noWrap/>
            <w:vAlign w:val="center"/>
            <w:hideMark/>
          </w:tcPr>
          <w:p w14:paraId="1AA910F9" w14:textId="77777777" w:rsidR="001077E2" w:rsidRPr="00F16887" w:rsidRDefault="001077E2" w:rsidP="00F16887">
            <w:pPr>
              <w:jc w:val="center"/>
              <w:rPr>
                <w:rFonts w:eastAsia="Times New Roman"/>
                <w:szCs w:val="22"/>
                <w:lang w:val="fr-FR"/>
              </w:rPr>
            </w:pPr>
            <w:r w:rsidRPr="00F16887">
              <w:rPr>
                <w:lang w:val="fr-FR"/>
              </w:rPr>
              <w:t>13 191</w:t>
            </w:r>
          </w:p>
        </w:tc>
        <w:tc>
          <w:tcPr>
            <w:tcW w:w="1077" w:type="dxa"/>
            <w:tcBorders>
              <w:top w:val="nil"/>
              <w:left w:val="nil"/>
              <w:bottom w:val="single" w:sz="4" w:space="0" w:color="auto"/>
              <w:right w:val="single" w:sz="4" w:space="0" w:color="auto"/>
            </w:tcBorders>
            <w:noWrap/>
            <w:vAlign w:val="center"/>
            <w:hideMark/>
          </w:tcPr>
          <w:p w14:paraId="62FCCE89" w14:textId="77777777" w:rsidR="001077E2" w:rsidRPr="00F16887" w:rsidRDefault="001077E2" w:rsidP="00F16887">
            <w:pPr>
              <w:jc w:val="center"/>
              <w:rPr>
                <w:rFonts w:eastAsia="Times New Roman"/>
                <w:szCs w:val="22"/>
                <w:lang w:val="fr-FR"/>
              </w:rPr>
            </w:pPr>
            <w:r w:rsidRPr="00F16887">
              <w:rPr>
                <w:lang w:val="fr-FR"/>
              </w:rPr>
              <w:t>13 278</w:t>
            </w:r>
          </w:p>
        </w:tc>
        <w:tc>
          <w:tcPr>
            <w:tcW w:w="1077" w:type="dxa"/>
            <w:tcBorders>
              <w:top w:val="nil"/>
              <w:left w:val="nil"/>
              <w:bottom w:val="single" w:sz="4" w:space="0" w:color="auto"/>
              <w:right w:val="single" w:sz="4" w:space="0" w:color="auto"/>
            </w:tcBorders>
            <w:noWrap/>
            <w:vAlign w:val="center"/>
            <w:hideMark/>
          </w:tcPr>
          <w:p w14:paraId="178C52CF" w14:textId="77777777" w:rsidR="001077E2" w:rsidRPr="00F16887" w:rsidRDefault="001077E2" w:rsidP="00F16887">
            <w:pPr>
              <w:jc w:val="center"/>
              <w:rPr>
                <w:rFonts w:eastAsia="Times New Roman"/>
                <w:szCs w:val="22"/>
                <w:lang w:val="fr-FR"/>
              </w:rPr>
            </w:pPr>
            <w:r w:rsidRPr="00F16887">
              <w:rPr>
                <w:lang w:val="fr-FR"/>
              </w:rPr>
              <w:t>12 344</w:t>
            </w:r>
          </w:p>
        </w:tc>
        <w:tc>
          <w:tcPr>
            <w:tcW w:w="1077" w:type="dxa"/>
            <w:tcBorders>
              <w:top w:val="nil"/>
              <w:left w:val="nil"/>
              <w:bottom w:val="single" w:sz="4" w:space="0" w:color="auto"/>
              <w:right w:val="single" w:sz="4" w:space="0" w:color="auto"/>
            </w:tcBorders>
            <w:noWrap/>
            <w:vAlign w:val="center"/>
            <w:hideMark/>
          </w:tcPr>
          <w:p w14:paraId="7D519E65" w14:textId="77777777" w:rsidR="001077E2" w:rsidRPr="00F16887" w:rsidRDefault="001077E2" w:rsidP="00F16887">
            <w:pPr>
              <w:jc w:val="center"/>
              <w:rPr>
                <w:rFonts w:eastAsia="Times New Roman"/>
                <w:szCs w:val="22"/>
                <w:lang w:val="fr-FR"/>
              </w:rPr>
            </w:pPr>
            <w:r w:rsidRPr="00F16887">
              <w:rPr>
                <w:lang w:val="fr-FR"/>
              </w:rPr>
              <w:t>11 902</w:t>
            </w:r>
          </w:p>
        </w:tc>
      </w:tr>
      <w:tr w:rsidR="001077E2" w:rsidRPr="00F16887" w14:paraId="1BF90C6D" w14:textId="77777777" w:rsidTr="00D113DB">
        <w:trPr>
          <w:trHeight w:val="416"/>
        </w:trPr>
        <w:tc>
          <w:tcPr>
            <w:tcW w:w="4155" w:type="dxa"/>
            <w:tcBorders>
              <w:top w:val="nil"/>
              <w:left w:val="single" w:sz="4" w:space="0" w:color="auto"/>
              <w:bottom w:val="single" w:sz="4" w:space="0" w:color="auto"/>
              <w:right w:val="single" w:sz="4" w:space="0" w:color="auto"/>
            </w:tcBorders>
            <w:noWrap/>
            <w:vAlign w:val="center"/>
            <w:hideMark/>
          </w:tcPr>
          <w:p w14:paraId="2A25EB41" w14:textId="77777777" w:rsidR="001077E2" w:rsidRPr="00F16887" w:rsidRDefault="001077E2" w:rsidP="00F16887">
            <w:pPr>
              <w:jc w:val="center"/>
              <w:rPr>
                <w:rFonts w:eastAsia="Times New Roman"/>
                <w:b/>
                <w:bCs/>
                <w:szCs w:val="22"/>
                <w:lang w:val="fr-FR"/>
              </w:rPr>
            </w:pPr>
            <w:r w:rsidRPr="00F16887">
              <w:rPr>
                <w:b/>
                <w:lang w:val="fr-FR"/>
              </w:rPr>
              <w:t>Nombre total (brevets reçus par an)</w:t>
            </w:r>
          </w:p>
        </w:tc>
        <w:tc>
          <w:tcPr>
            <w:tcW w:w="1077" w:type="dxa"/>
            <w:tcBorders>
              <w:top w:val="nil"/>
              <w:left w:val="nil"/>
              <w:bottom w:val="single" w:sz="4" w:space="0" w:color="auto"/>
              <w:right w:val="single" w:sz="4" w:space="0" w:color="auto"/>
            </w:tcBorders>
            <w:noWrap/>
            <w:vAlign w:val="center"/>
            <w:hideMark/>
          </w:tcPr>
          <w:p w14:paraId="0BBEDC02" w14:textId="77777777" w:rsidR="001077E2" w:rsidRPr="00F16887" w:rsidRDefault="001077E2" w:rsidP="00F16887">
            <w:pPr>
              <w:jc w:val="center"/>
              <w:rPr>
                <w:rFonts w:eastAsia="Times New Roman"/>
                <w:b/>
                <w:bCs/>
                <w:szCs w:val="22"/>
                <w:lang w:val="fr-FR"/>
              </w:rPr>
            </w:pPr>
            <w:r w:rsidRPr="00F16887">
              <w:rPr>
                <w:b/>
                <w:lang w:val="fr-FR"/>
              </w:rPr>
              <w:t>14 310</w:t>
            </w:r>
          </w:p>
        </w:tc>
        <w:tc>
          <w:tcPr>
            <w:tcW w:w="1077" w:type="dxa"/>
            <w:tcBorders>
              <w:top w:val="nil"/>
              <w:left w:val="nil"/>
              <w:bottom w:val="single" w:sz="4" w:space="0" w:color="auto"/>
              <w:right w:val="single" w:sz="4" w:space="0" w:color="auto"/>
            </w:tcBorders>
            <w:noWrap/>
            <w:vAlign w:val="center"/>
            <w:hideMark/>
          </w:tcPr>
          <w:p w14:paraId="340ADF77" w14:textId="77777777" w:rsidR="001077E2" w:rsidRPr="00F16887" w:rsidRDefault="001077E2" w:rsidP="00F16887">
            <w:pPr>
              <w:jc w:val="center"/>
              <w:rPr>
                <w:rFonts w:eastAsia="Times New Roman"/>
                <w:b/>
                <w:bCs/>
                <w:szCs w:val="22"/>
                <w:lang w:val="fr-FR"/>
              </w:rPr>
            </w:pPr>
            <w:r w:rsidRPr="00F16887">
              <w:rPr>
                <w:b/>
                <w:lang w:val="fr-FR"/>
              </w:rPr>
              <w:t>16 161</w:t>
            </w:r>
          </w:p>
        </w:tc>
        <w:tc>
          <w:tcPr>
            <w:tcW w:w="1077" w:type="dxa"/>
            <w:tcBorders>
              <w:top w:val="nil"/>
              <w:left w:val="nil"/>
              <w:bottom w:val="single" w:sz="4" w:space="0" w:color="auto"/>
              <w:right w:val="single" w:sz="4" w:space="0" w:color="auto"/>
            </w:tcBorders>
            <w:noWrap/>
            <w:vAlign w:val="center"/>
            <w:hideMark/>
          </w:tcPr>
          <w:p w14:paraId="202BAE8D" w14:textId="77777777" w:rsidR="001077E2" w:rsidRPr="00F16887" w:rsidRDefault="001077E2" w:rsidP="00F16887">
            <w:pPr>
              <w:jc w:val="center"/>
              <w:rPr>
                <w:rFonts w:eastAsia="Times New Roman"/>
                <w:b/>
                <w:bCs/>
                <w:szCs w:val="22"/>
                <w:lang w:val="fr-FR"/>
              </w:rPr>
            </w:pPr>
            <w:r w:rsidRPr="00F16887">
              <w:rPr>
                <w:b/>
                <w:lang w:val="fr-FR"/>
              </w:rPr>
              <w:t>16 605</w:t>
            </w:r>
          </w:p>
        </w:tc>
        <w:tc>
          <w:tcPr>
            <w:tcW w:w="1077" w:type="dxa"/>
            <w:tcBorders>
              <w:top w:val="nil"/>
              <w:left w:val="nil"/>
              <w:bottom w:val="single" w:sz="4" w:space="0" w:color="auto"/>
              <w:right w:val="single" w:sz="4" w:space="0" w:color="auto"/>
            </w:tcBorders>
            <w:noWrap/>
            <w:vAlign w:val="center"/>
            <w:hideMark/>
          </w:tcPr>
          <w:p w14:paraId="46D4144A" w14:textId="77777777" w:rsidR="001077E2" w:rsidRPr="00F16887" w:rsidRDefault="001077E2" w:rsidP="00F16887">
            <w:pPr>
              <w:jc w:val="center"/>
              <w:rPr>
                <w:rFonts w:eastAsia="Times New Roman"/>
                <w:b/>
                <w:bCs/>
                <w:szCs w:val="22"/>
                <w:lang w:val="fr-FR"/>
              </w:rPr>
            </w:pPr>
            <w:r w:rsidRPr="00F16887">
              <w:rPr>
                <w:b/>
                <w:lang w:val="fr-FR"/>
              </w:rPr>
              <w:t>15 630</w:t>
            </w:r>
          </w:p>
        </w:tc>
        <w:tc>
          <w:tcPr>
            <w:tcW w:w="1077" w:type="dxa"/>
            <w:tcBorders>
              <w:top w:val="nil"/>
              <w:left w:val="nil"/>
              <w:bottom w:val="single" w:sz="4" w:space="0" w:color="auto"/>
              <w:right w:val="single" w:sz="4" w:space="0" w:color="auto"/>
            </w:tcBorders>
            <w:noWrap/>
            <w:vAlign w:val="center"/>
            <w:hideMark/>
          </w:tcPr>
          <w:p w14:paraId="511B3625" w14:textId="77777777" w:rsidR="001077E2" w:rsidRPr="00F16887" w:rsidRDefault="001077E2" w:rsidP="00F16887">
            <w:pPr>
              <w:jc w:val="center"/>
              <w:rPr>
                <w:rFonts w:eastAsia="Times New Roman"/>
                <w:b/>
                <w:bCs/>
                <w:szCs w:val="22"/>
                <w:lang w:val="fr-FR"/>
              </w:rPr>
            </w:pPr>
            <w:r w:rsidRPr="00F16887">
              <w:rPr>
                <w:b/>
                <w:lang w:val="fr-FR"/>
              </w:rPr>
              <w:t>16 189</w:t>
            </w:r>
          </w:p>
        </w:tc>
      </w:tr>
    </w:tbl>
    <w:p w14:paraId="3C5E630D" w14:textId="77777777" w:rsidR="001077E2" w:rsidRPr="00F16887" w:rsidRDefault="001077E2" w:rsidP="0025290E">
      <w:pPr>
        <w:pStyle w:val="Answer"/>
        <w:spacing w:after="0"/>
        <w:ind w:left="0"/>
      </w:pPr>
    </w:p>
    <w:p w14:paraId="0C0ABF12" w14:textId="1D59E43D" w:rsidR="001077E2" w:rsidRPr="00F16887" w:rsidRDefault="001077E2" w:rsidP="0025290E">
      <w:pPr>
        <w:pStyle w:val="Question"/>
        <w:spacing w:before="240" w:after="0"/>
      </w:pPr>
      <w:r w:rsidRPr="00F16887">
        <w:t>c)</w:t>
      </w:r>
      <w:r w:rsidRPr="00F16887">
        <w:tab/>
        <w:t>Nombre de demandes internationales reçues des nationaux et résidents de l</w:t>
      </w:r>
      <w:r w:rsidR="00F16887">
        <w:t>’</w:t>
      </w:r>
      <w:r w:rsidRPr="00F16887">
        <w:t>État</w:t>
      </w:r>
      <w:r w:rsidR="00F16887">
        <w:t> :</w:t>
      </w:r>
    </w:p>
    <w:p w14:paraId="1350C4BF" w14:textId="77777777" w:rsidR="001077E2" w:rsidRPr="00F16887" w:rsidRDefault="001077E2" w:rsidP="0025290E">
      <w:pPr>
        <w:pStyle w:val="Answer"/>
        <w:spacing w:after="0"/>
        <w:ind w:left="0"/>
      </w:pPr>
    </w:p>
    <w:tbl>
      <w:tblPr>
        <w:tblW w:w="9960" w:type="dxa"/>
        <w:tblCellMar>
          <w:left w:w="70" w:type="dxa"/>
          <w:right w:w="70" w:type="dxa"/>
        </w:tblCellMar>
        <w:tblLook w:val="04A0" w:firstRow="1" w:lastRow="0" w:firstColumn="1" w:lastColumn="0" w:noHBand="0" w:noVBand="1"/>
        <w:tblCaption w:val="Nombre de demandes internationales reçues des nationaux et résidents du Mexique"/>
        <w:tblDescription w:val="Ce tableau indique le nombre de demandes internationales reçues par l’IMPI de nationaux et résidents du Mexique chaque année entre 2020 et 2024, réparties par domaine technique."/>
      </w:tblPr>
      <w:tblGrid>
        <w:gridCol w:w="3960"/>
        <w:gridCol w:w="1077"/>
        <w:gridCol w:w="1077"/>
        <w:gridCol w:w="1077"/>
        <w:gridCol w:w="1077"/>
        <w:gridCol w:w="1077"/>
        <w:gridCol w:w="615"/>
      </w:tblGrid>
      <w:tr w:rsidR="001077E2" w:rsidRPr="00F16887" w14:paraId="29AB19C5" w14:textId="77777777" w:rsidTr="00D113DB">
        <w:trPr>
          <w:gridAfter w:val="1"/>
          <w:wAfter w:w="615" w:type="dxa"/>
          <w:trHeight w:val="300"/>
        </w:trPr>
        <w:tc>
          <w:tcPr>
            <w:tcW w:w="3960" w:type="dxa"/>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1C989780" w14:textId="77777777" w:rsidR="001077E2" w:rsidRPr="00F16887" w:rsidRDefault="001077E2" w:rsidP="00F16887">
            <w:pPr>
              <w:jc w:val="center"/>
              <w:rPr>
                <w:rFonts w:eastAsia="Times New Roman"/>
                <w:b/>
                <w:bCs/>
                <w:color w:val="FFFFFF"/>
                <w:szCs w:val="22"/>
                <w:lang w:val="fr-FR"/>
              </w:rPr>
            </w:pPr>
            <w:r w:rsidRPr="00F16887">
              <w:rPr>
                <w:b/>
                <w:color w:val="FFFFFF"/>
                <w:lang w:val="fr-FR"/>
              </w:rPr>
              <w:t>Année</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24F8C140" w14:textId="77777777" w:rsidR="001077E2" w:rsidRPr="00F16887" w:rsidRDefault="001077E2" w:rsidP="00F16887">
            <w:pPr>
              <w:jc w:val="center"/>
              <w:rPr>
                <w:rFonts w:eastAsia="Times New Roman"/>
                <w:b/>
                <w:bCs/>
                <w:color w:val="FFFFFF"/>
                <w:szCs w:val="22"/>
                <w:lang w:val="fr-FR"/>
              </w:rPr>
            </w:pPr>
            <w:r w:rsidRPr="00F16887">
              <w:rPr>
                <w:b/>
                <w:color w:val="FFFFFF"/>
                <w:lang w:val="fr-FR"/>
              </w:rPr>
              <w:t>2020</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761A6D1E" w14:textId="77777777" w:rsidR="001077E2" w:rsidRPr="00F16887" w:rsidRDefault="001077E2" w:rsidP="00F16887">
            <w:pPr>
              <w:jc w:val="center"/>
              <w:rPr>
                <w:rFonts w:eastAsia="Times New Roman"/>
                <w:b/>
                <w:bCs/>
                <w:color w:val="FFFFFF"/>
                <w:szCs w:val="22"/>
                <w:lang w:val="fr-FR"/>
              </w:rPr>
            </w:pPr>
            <w:r w:rsidRPr="00F16887">
              <w:rPr>
                <w:b/>
                <w:color w:val="FFFFFF"/>
                <w:lang w:val="fr-FR"/>
              </w:rPr>
              <w:t>2021</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6ED912EE" w14:textId="77777777" w:rsidR="001077E2" w:rsidRPr="00F16887" w:rsidRDefault="001077E2" w:rsidP="00F16887">
            <w:pPr>
              <w:jc w:val="center"/>
              <w:rPr>
                <w:rFonts w:eastAsia="Times New Roman"/>
                <w:b/>
                <w:bCs/>
                <w:color w:val="FFFFFF"/>
                <w:szCs w:val="22"/>
                <w:lang w:val="fr-FR"/>
              </w:rPr>
            </w:pPr>
            <w:r w:rsidRPr="00F16887">
              <w:rPr>
                <w:b/>
                <w:color w:val="FFFFFF"/>
                <w:lang w:val="fr-FR"/>
              </w:rPr>
              <w:t>2022</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18B81831" w14:textId="77777777" w:rsidR="001077E2" w:rsidRPr="00F16887" w:rsidRDefault="001077E2" w:rsidP="00F16887">
            <w:pPr>
              <w:jc w:val="center"/>
              <w:rPr>
                <w:rFonts w:eastAsia="Times New Roman"/>
                <w:b/>
                <w:bCs/>
                <w:color w:val="FFFFFF"/>
                <w:szCs w:val="22"/>
                <w:lang w:val="fr-FR"/>
              </w:rPr>
            </w:pPr>
            <w:r w:rsidRPr="00F16887">
              <w:rPr>
                <w:b/>
                <w:color w:val="FFFFFF"/>
                <w:lang w:val="fr-FR"/>
              </w:rPr>
              <w:t>2023</w:t>
            </w:r>
          </w:p>
        </w:tc>
        <w:tc>
          <w:tcPr>
            <w:tcW w:w="1077" w:type="dxa"/>
            <w:vMerge w:val="restart"/>
            <w:tcBorders>
              <w:top w:val="single" w:sz="4" w:space="0" w:color="auto"/>
              <w:left w:val="single" w:sz="4" w:space="0" w:color="auto"/>
              <w:bottom w:val="single" w:sz="4" w:space="0" w:color="auto"/>
              <w:right w:val="single" w:sz="4" w:space="0" w:color="auto"/>
            </w:tcBorders>
            <w:shd w:val="clear" w:color="000000" w:fill="1E5B4F"/>
            <w:noWrap/>
            <w:vAlign w:val="center"/>
            <w:hideMark/>
          </w:tcPr>
          <w:p w14:paraId="6984E0A5" w14:textId="77777777" w:rsidR="001077E2" w:rsidRPr="00F16887" w:rsidRDefault="001077E2" w:rsidP="00F16887">
            <w:pPr>
              <w:jc w:val="center"/>
              <w:rPr>
                <w:rFonts w:eastAsia="Times New Roman"/>
                <w:b/>
                <w:bCs/>
                <w:color w:val="FFFFFF"/>
                <w:szCs w:val="22"/>
                <w:lang w:val="fr-FR"/>
              </w:rPr>
            </w:pPr>
            <w:r w:rsidRPr="00F16887">
              <w:rPr>
                <w:b/>
                <w:color w:val="FFFFFF"/>
                <w:lang w:val="fr-FR"/>
              </w:rPr>
              <w:t>2024</w:t>
            </w:r>
          </w:p>
        </w:tc>
      </w:tr>
      <w:tr w:rsidR="001077E2" w:rsidRPr="00F16887" w14:paraId="1D88AD08" w14:textId="77777777" w:rsidTr="00D113DB">
        <w:trPr>
          <w:gridAfter w:val="1"/>
          <w:wAfter w:w="615" w:type="dxa"/>
          <w:trHeight w:val="300"/>
        </w:trPr>
        <w:tc>
          <w:tcPr>
            <w:tcW w:w="3960" w:type="dxa"/>
            <w:tcBorders>
              <w:top w:val="nil"/>
              <w:left w:val="single" w:sz="4" w:space="0" w:color="auto"/>
              <w:bottom w:val="single" w:sz="4" w:space="0" w:color="auto"/>
              <w:right w:val="single" w:sz="4" w:space="0" w:color="auto"/>
            </w:tcBorders>
            <w:shd w:val="clear" w:color="000000" w:fill="1E5B4F"/>
            <w:noWrap/>
            <w:vAlign w:val="center"/>
            <w:hideMark/>
          </w:tcPr>
          <w:p w14:paraId="24086FC3" w14:textId="77777777" w:rsidR="001077E2" w:rsidRPr="00F16887" w:rsidRDefault="001077E2" w:rsidP="00F16887">
            <w:pPr>
              <w:jc w:val="center"/>
              <w:rPr>
                <w:rFonts w:eastAsia="Times New Roman"/>
                <w:b/>
                <w:bCs/>
                <w:color w:val="FFFFFF"/>
                <w:szCs w:val="22"/>
                <w:lang w:val="fr-FR"/>
              </w:rPr>
            </w:pPr>
            <w:r w:rsidRPr="00F16887">
              <w:rPr>
                <w:b/>
                <w:color w:val="FFFFFF"/>
                <w:lang w:val="fr-FR"/>
              </w:rPr>
              <w:t>Domaine technique (coordination des études)</w:t>
            </w: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72B45378" w14:textId="77777777" w:rsidR="001077E2" w:rsidRPr="00F16887" w:rsidRDefault="001077E2" w:rsidP="00F16887">
            <w:pPr>
              <w:rPr>
                <w:rFonts w:eastAsia="Times New Roman"/>
                <w:b/>
                <w:bCs/>
                <w:color w:val="FFFFFF"/>
                <w:szCs w:val="22"/>
                <w:lang w:val="fr-FR"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0AF31550" w14:textId="77777777" w:rsidR="001077E2" w:rsidRPr="00F16887" w:rsidRDefault="001077E2" w:rsidP="00F16887">
            <w:pPr>
              <w:rPr>
                <w:rFonts w:eastAsia="Times New Roman"/>
                <w:b/>
                <w:bCs/>
                <w:color w:val="FFFFFF"/>
                <w:szCs w:val="22"/>
                <w:lang w:val="fr-FR"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2A855523" w14:textId="77777777" w:rsidR="001077E2" w:rsidRPr="00F16887" w:rsidRDefault="001077E2" w:rsidP="00F16887">
            <w:pPr>
              <w:rPr>
                <w:rFonts w:eastAsia="Times New Roman"/>
                <w:b/>
                <w:bCs/>
                <w:color w:val="FFFFFF"/>
                <w:szCs w:val="22"/>
                <w:lang w:val="fr-FR"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81FE699" w14:textId="77777777" w:rsidR="001077E2" w:rsidRPr="00F16887" w:rsidRDefault="001077E2" w:rsidP="00F16887">
            <w:pPr>
              <w:rPr>
                <w:rFonts w:eastAsia="Times New Roman"/>
                <w:b/>
                <w:bCs/>
                <w:color w:val="FFFFFF"/>
                <w:szCs w:val="22"/>
                <w:lang w:val="fr-FR" w:eastAsia="es-MX"/>
              </w:rPr>
            </w:pPr>
          </w:p>
        </w:tc>
        <w:tc>
          <w:tcPr>
            <w:tcW w:w="1077" w:type="dxa"/>
            <w:vMerge/>
            <w:tcBorders>
              <w:top w:val="single" w:sz="4" w:space="0" w:color="auto"/>
              <w:left w:val="single" w:sz="4" w:space="0" w:color="auto"/>
              <w:bottom w:val="single" w:sz="4" w:space="0" w:color="auto"/>
              <w:right w:val="single" w:sz="4" w:space="0" w:color="auto"/>
            </w:tcBorders>
            <w:vAlign w:val="center"/>
            <w:hideMark/>
          </w:tcPr>
          <w:p w14:paraId="5ADE4EFA" w14:textId="77777777" w:rsidR="001077E2" w:rsidRPr="00F16887" w:rsidRDefault="001077E2" w:rsidP="00F16887">
            <w:pPr>
              <w:rPr>
                <w:rFonts w:eastAsia="Times New Roman"/>
                <w:b/>
                <w:bCs/>
                <w:color w:val="FFFFFF"/>
                <w:szCs w:val="22"/>
                <w:lang w:val="fr-FR" w:eastAsia="es-MX"/>
              </w:rPr>
            </w:pPr>
          </w:p>
        </w:tc>
      </w:tr>
      <w:tr w:rsidR="001077E2" w:rsidRPr="00F16887" w14:paraId="434B4A9B" w14:textId="77777777" w:rsidTr="00D113DB">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1F62C813" w14:textId="77777777" w:rsidR="001077E2" w:rsidRPr="00F16887" w:rsidRDefault="001077E2" w:rsidP="00F16887">
            <w:pPr>
              <w:rPr>
                <w:rFonts w:eastAsia="Times New Roman"/>
                <w:szCs w:val="22"/>
                <w:lang w:val="fr-FR"/>
              </w:rPr>
            </w:pPr>
            <w:r w:rsidRPr="00F16887">
              <w:rPr>
                <w:lang w:val="fr-FR"/>
              </w:rPr>
              <w:t>Biotechnologie</w:t>
            </w:r>
          </w:p>
        </w:tc>
        <w:tc>
          <w:tcPr>
            <w:tcW w:w="1077" w:type="dxa"/>
            <w:tcBorders>
              <w:top w:val="nil"/>
              <w:left w:val="nil"/>
              <w:bottom w:val="single" w:sz="4" w:space="0" w:color="auto"/>
              <w:right w:val="single" w:sz="4" w:space="0" w:color="auto"/>
            </w:tcBorders>
            <w:noWrap/>
            <w:vAlign w:val="center"/>
            <w:hideMark/>
          </w:tcPr>
          <w:p w14:paraId="2BA25546" w14:textId="77777777" w:rsidR="001077E2" w:rsidRPr="00F16887" w:rsidRDefault="001077E2" w:rsidP="00F16887">
            <w:pPr>
              <w:jc w:val="center"/>
              <w:rPr>
                <w:rFonts w:eastAsia="Times New Roman"/>
                <w:szCs w:val="22"/>
                <w:lang w:val="fr-FR"/>
              </w:rPr>
            </w:pPr>
            <w:r w:rsidRPr="00F16887">
              <w:rPr>
                <w:lang w:val="fr-FR"/>
              </w:rPr>
              <w:t>2</w:t>
            </w:r>
          </w:p>
        </w:tc>
        <w:tc>
          <w:tcPr>
            <w:tcW w:w="1077" w:type="dxa"/>
            <w:tcBorders>
              <w:top w:val="nil"/>
              <w:left w:val="nil"/>
              <w:bottom w:val="single" w:sz="4" w:space="0" w:color="auto"/>
              <w:right w:val="single" w:sz="4" w:space="0" w:color="auto"/>
            </w:tcBorders>
            <w:noWrap/>
            <w:vAlign w:val="center"/>
            <w:hideMark/>
          </w:tcPr>
          <w:p w14:paraId="0DAE2624" w14:textId="77777777" w:rsidR="001077E2" w:rsidRPr="00F16887" w:rsidRDefault="001077E2" w:rsidP="00F16887">
            <w:pPr>
              <w:jc w:val="center"/>
              <w:rPr>
                <w:rFonts w:eastAsia="Times New Roman"/>
                <w:szCs w:val="22"/>
                <w:lang w:val="fr-FR"/>
              </w:rPr>
            </w:pPr>
            <w:r w:rsidRPr="00F16887">
              <w:rPr>
                <w:lang w:val="fr-FR"/>
              </w:rPr>
              <w:t>6</w:t>
            </w:r>
          </w:p>
        </w:tc>
        <w:tc>
          <w:tcPr>
            <w:tcW w:w="1077" w:type="dxa"/>
            <w:tcBorders>
              <w:top w:val="nil"/>
              <w:left w:val="nil"/>
              <w:bottom w:val="single" w:sz="4" w:space="0" w:color="auto"/>
              <w:right w:val="single" w:sz="4" w:space="0" w:color="auto"/>
            </w:tcBorders>
            <w:noWrap/>
            <w:vAlign w:val="center"/>
            <w:hideMark/>
          </w:tcPr>
          <w:p w14:paraId="6CF9E008" w14:textId="77777777" w:rsidR="001077E2" w:rsidRPr="00F16887" w:rsidRDefault="001077E2" w:rsidP="00F16887">
            <w:pPr>
              <w:jc w:val="center"/>
              <w:rPr>
                <w:rFonts w:eastAsia="Times New Roman"/>
                <w:szCs w:val="22"/>
                <w:lang w:val="fr-FR"/>
              </w:rPr>
            </w:pPr>
            <w:r w:rsidRPr="00F16887">
              <w:rPr>
                <w:lang w:val="fr-FR"/>
              </w:rPr>
              <w:t>3</w:t>
            </w:r>
          </w:p>
        </w:tc>
        <w:tc>
          <w:tcPr>
            <w:tcW w:w="1077" w:type="dxa"/>
            <w:tcBorders>
              <w:top w:val="nil"/>
              <w:left w:val="nil"/>
              <w:bottom w:val="single" w:sz="4" w:space="0" w:color="auto"/>
              <w:right w:val="single" w:sz="4" w:space="0" w:color="auto"/>
            </w:tcBorders>
            <w:noWrap/>
            <w:vAlign w:val="center"/>
            <w:hideMark/>
          </w:tcPr>
          <w:p w14:paraId="49149282" w14:textId="77777777" w:rsidR="001077E2" w:rsidRPr="00F16887" w:rsidRDefault="001077E2" w:rsidP="00F16887">
            <w:pPr>
              <w:jc w:val="center"/>
              <w:rPr>
                <w:rFonts w:eastAsia="Times New Roman"/>
                <w:szCs w:val="22"/>
                <w:lang w:val="fr-FR"/>
              </w:rPr>
            </w:pPr>
            <w:r w:rsidRPr="00F16887">
              <w:rPr>
                <w:lang w:val="fr-FR"/>
              </w:rPr>
              <w:t>4</w:t>
            </w:r>
          </w:p>
        </w:tc>
        <w:tc>
          <w:tcPr>
            <w:tcW w:w="1077" w:type="dxa"/>
            <w:tcBorders>
              <w:top w:val="nil"/>
              <w:left w:val="nil"/>
              <w:bottom w:val="single" w:sz="4" w:space="0" w:color="auto"/>
              <w:right w:val="single" w:sz="4" w:space="0" w:color="auto"/>
            </w:tcBorders>
            <w:noWrap/>
            <w:vAlign w:val="center"/>
            <w:hideMark/>
          </w:tcPr>
          <w:p w14:paraId="35456BF4" w14:textId="77777777" w:rsidR="001077E2" w:rsidRPr="00F16887" w:rsidRDefault="001077E2" w:rsidP="00F16887">
            <w:pPr>
              <w:jc w:val="center"/>
              <w:rPr>
                <w:rFonts w:eastAsia="Times New Roman"/>
                <w:szCs w:val="22"/>
                <w:lang w:val="fr-FR"/>
              </w:rPr>
            </w:pPr>
            <w:r w:rsidRPr="00F16887">
              <w:rPr>
                <w:lang w:val="fr-FR"/>
              </w:rPr>
              <w:t>1</w:t>
            </w:r>
          </w:p>
        </w:tc>
      </w:tr>
      <w:tr w:rsidR="001077E2" w:rsidRPr="00F16887" w14:paraId="62C8056F" w14:textId="77777777" w:rsidTr="00D113DB">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3A79E36B" w14:textId="77777777" w:rsidR="001077E2" w:rsidRPr="00F16887" w:rsidRDefault="001077E2" w:rsidP="00F16887">
            <w:pPr>
              <w:rPr>
                <w:rFonts w:eastAsia="Times New Roman"/>
                <w:szCs w:val="22"/>
                <w:lang w:val="fr-FR"/>
              </w:rPr>
            </w:pPr>
            <w:r w:rsidRPr="00F16887">
              <w:rPr>
                <w:lang w:val="fr-FR"/>
              </w:rPr>
              <w:t>Électricité</w:t>
            </w:r>
          </w:p>
        </w:tc>
        <w:tc>
          <w:tcPr>
            <w:tcW w:w="1077" w:type="dxa"/>
            <w:tcBorders>
              <w:top w:val="nil"/>
              <w:left w:val="nil"/>
              <w:bottom w:val="single" w:sz="4" w:space="0" w:color="auto"/>
              <w:right w:val="single" w:sz="4" w:space="0" w:color="auto"/>
            </w:tcBorders>
            <w:noWrap/>
            <w:vAlign w:val="center"/>
            <w:hideMark/>
          </w:tcPr>
          <w:p w14:paraId="711641CE" w14:textId="77777777" w:rsidR="001077E2" w:rsidRPr="00F16887" w:rsidRDefault="001077E2" w:rsidP="00F16887">
            <w:pPr>
              <w:jc w:val="center"/>
              <w:rPr>
                <w:rFonts w:eastAsia="Times New Roman"/>
                <w:szCs w:val="22"/>
                <w:lang w:val="fr-FR"/>
              </w:rPr>
            </w:pPr>
            <w:r w:rsidRPr="00F16887">
              <w:rPr>
                <w:lang w:val="fr-FR"/>
              </w:rPr>
              <w:t>9</w:t>
            </w:r>
          </w:p>
        </w:tc>
        <w:tc>
          <w:tcPr>
            <w:tcW w:w="1077" w:type="dxa"/>
            <w:tcBorders>
              <w:top w:val="nil"/>
              <w:left w:val="nil"/>
              <w:bottom w:val="single" w:sz="4" w:space="0" w:color="auto"/>
              <w:right w:val="single" w:sz="4" w:space="0" w:color="auto"/>
            </w:tcBorders>
            <w:noWrap/>
            <w:vAlign w:val="center"/>
            <w:hideMark/>
          </w:tcPr>
          <w:p w14:paraId="7DE7760A" w14:textId="77777777" w:rsidR="001077E2" w:rsidRPr="00F16887" w:rsidRDefault="001077E2" w:rsidP="00F16887">
            <w:pPr>
              <w:jc w:val="center"/>
              <w:rPr>
                <w:rFonts w:eastAsia="Times New Roman"/>
                <w:szCs w:val="22"/>
                <w:lang w:val="fr-FR"/>
              </w:rPr>
            </w:pPr>
            <w:r w:rsidRPr="00F16887">
              <w:rPr>
                <w:lang w:val="fr-FR"/>
              </w:rPr>
              <w:t>2</w:t>
            </w:r>
          </w:p>
        </w:tc>
        <w:tc>
          <w:tcPr>
            <w:tcW w:w="1077" w:type="dxa"/>
            <w:tcBorders>
              <w:top w:val="nil"/>
              <w:left w:val="nil"/>
              <w:bottom w:val="single" w:sz="4" w:space="0" w:color="auto"/>
              <w:right w:val="single" w:sz="4" w:space="0" w:color="auto"/>
            </w:tcBorders>
            <w:noWrap/>
            <w:vAlign w:val="center"/>
            <w:hideMark/>
          </w:tcPr>
          <w:p w14:paraId="33A867BA" w14:textId="77777777" w:rsidR="001077E2" w:rsidRPr="00F16887" w:rsidRDefault="001077E2" w:rsidP="00F16887">
            <w:pPr>
              <w:jc w:val="center"/>
              <w:rPr>
                <w:rFonts w:eastAsia="Times New Roman"/>
                <w:szCs w:val="22"/>
                <w:lang w:val="fr-FR"/>
              </w:rPr>
            </w:pPr>
            <w:r w:rsidRPr="00F16887">
              <w:rPr>
                <w:lang w:val="fr-FR"/>
              </w:rPr>
              <w:t>3</w:t>
            </w:r>
          </w:p>
        </w:tc>
        <w:tc>
          <w:tcPr>
            <w:tcW w:w="1077" w:type="dxa"/>
            <w:tcBorders>
              <w:top w:val="nil"/>
              <w:left w:val="nil"/>
              <w:bottom w:val="single" w:sz="4" w:space="0" w:color="auto"/>
              <w:right w:val="single" w:sz="4" w:space="0" w:color="auto"/>
            </w:tcBorders>
            <w:noWrap/>
            <w:vAlign w:val="center"/>
            <w:hideMark/>
          </w:tcPr>
          <w:p w14:paraId="5EA01B6B" w14:textId="77777777" w:rsidR="001077E2" w:rsidRPr="00F16887" w:rsidRDefault="001077E2" w:rsidP="00F16887">
            <w:pPr>
              <w:jc w:val="center"/>
              <w:rPr>
                <w:rFonts w:eastAsia="Times New Roman"/>
                <w:szCs w:val="22"/>
                <w:lang w:val="fr-FR"/>
              </w:rPr>
            </w:pPr>
            <w:r w:rsidRPr="00F16887">
              <w:rPr>
                <w:lang w:val="fr-FR"/>
              </w:rPr>
              <w:t>6</w:t>
            </w:r>
          </w:p>
        </w:tc>
        <w:tc>
          <w:tcPr>
            <w:tcW w:w="1077" w:type="dxa"/>
            <w:tcBorders>
              <w:top w:val="nil"/>
              <w:left w:val="nil"/>
              <w:bottom w:val="single" w:sz="4" w:space="0" w:color="auto"/>
              <w:right w:val="single" w:sz="4" w:space="0" w:color="auto"/>
            </w:tcBorders>
            <w:noWrap/>
            <w:vAlign w:val="center"/>
            <w:hideMark/>
          </w:tcPr>
          <w:p w14:paraId="3F48B156" w14:textId="77777777" w:rsidR="001077E2" w:rsidRPr="00F16887" w:rsidRDefault="001077E2" w:rsidP="00F16887">
            <w:pPr>
              <w:jc w:val="center"/>
              <w:rPr>
                <w:rFonts w:eastAsia="Times New Roman"/>
                <w:szCs w:val="22"/>
                <w:lang w:val="fr-FR"/>
              </w:rPr>
            </w:pPr>
            <w:r w:rsidRPr="00F16887">
              <w:rPr>
                <w:lang w:val="fr-FR"/>
              </w:rPr>
              <w:t>5</w:t>
            </w:r>
          </w:p>
        </w:tc>
      </w:tr>
      <w:tr w:rsidR="001077E2" w:rsidRPr="00F16887" w14:paraId="69299AE5" w14:textId="77777777" w:rsidTr="00D113DB">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2E856152" w14:textId="77777777" w:rsidR="001077E2" w:rsidRPr="00F16887" w:rsidRDefault="001077E2" w:rsidP="00F16887">
            <w:pPr>
              <w:rPr>
                <w:rFonts w:eastAsia="Times New Roman"/>
                <w:szCs w:val="22"/>
                <w:lang w:val="fr-FR"/>
              </w:rPr>
            </w:pPr>
            <w:r w:rsidRPr="00F16887">
              <w:rPr>
                <w:lang w:val="fr-FR"/>
              </w:rPr>
              <w:t>Pharmacie</w:t>
            </w:r>
          </w:p>
        </w:tc>
        <w:tc>
          <w:tcPr>
            <w:tcW w:w="1077" w:type="dxa"/>
            <w:tcBorders>
              <w:top w:val="nil"/>
              <w:left w:val="nil"/>
              <w:bottom w:val="single" w:sz="4" w:space="0" w:color="auto"/>
              <w:right w:val="single" w:sz="4" w:space="0" w:color="auto"/>
            </w:tcBorders>
            <w:noWrap/>
            <w:vAlign w:val="center"/>
            <w:hideMark/>
          </w:tcPr>
          <w:p w14:paraId="4DF35324" w14:textId="77777777" w:rsidR="001077E2" w:rsidRPr="00F16887" w:rsidRDefault="001077E2" w:rsidP="00F16887">
            <w:pPr>
              <w:jc w:val="center"/>
              <w:rPr>
                <w:rFonts w:eastAsia="Times New Roman"/>
                <w:szCs w:val="22"/>
                <w:lang w:val="fr-FR"/>
              </w:rPr>
            </w:pPr>
            <w:r w:rsidRPr="00F16887">
              <w:rPr>
                <w:lang w:val="fr-FR"/>
              </w:rPr>
              <w:t>2</w:t>
            </w:r>
          </w:p>
        </w:tc>
        <w:tc>
          <w:tcPr>
            <w:tcW w:w="1077" w:type="dxa"/>
            <w:tcBorders>
              <w:top w:val="nil"/>
              <w:left w:val="nil"/>
              <w:bottom w:val="single" w:sz="4" w:space="0" w:color="auto"/>
              <w:right w:val="single" w:sz="4" w:space="0" w:color="auto"/>
            </w:tcBorders>
            <w:noWrap/>
            <w:vAlign w:val="center"/>
            <w:hideMark/>
          </w:tcPr>
          <w:p w14:paraId="0AC96971" w14:textId="77777777" w:rsidR="001077E2" w:rsidRPr="00F16887" w:rsidRDefault="001077E2" w:rsidP="00F16887">
            <w:pPr>
              <w:jc w:val="center"/>
              <w:rPr>
                <w:rFonts w:eastAsia="Times New Roman"/>
                <w:szCs w:val="22"/>
                <w:lang w:val="fr-FR"/>
              </w:rPr>
            </w:pPr>
            <w:r w:rsidRPr="00F16887">
              <w:rPr>
                <w:lang w:val="fr-FR"/>
              </w:rPr>
              <w:t>4</w:t>
            </w:r>
          </w:p>
        </w:tc>
        <w:tc>
          <w:tcPr>
            <w:tcW w:w="1077" w:type="dxa"/>
            <w:tcBorders>
              <w:top w:val="nil"/>
              <w:left w:val="nil"/>
              <w:bottom w:val="single" w:sz="4" w:space="0" w:color="auto"/>
              <w:right w:val="single" w:sz="4" w:space="0" w:color="auto"/>
            </w:tcBorders>
            <w:noWrap/>
            <w:vAlign w:val="center"/>
            <w:hideMark/>
          </w:tcPr>
          <w:p w14:paraId="6BDED3F6" w14:textId="77777777" w:rsidR="001077E2" w:rsidRPr="00F16887" w:rsidRDefault="001077E2" w:rsidP="00F16887">
            <w:pPr>
              <w:jc w:val="center"/>
              <w:rPr>
                <w:rFonts w:eastAsia="Times New Roman"/>
                <w:szCs w:val="22"/>
                <w:lang w:val="fr-FR"/>
              </w:rPr>
            </w:pPr>
            <w:r w:rsidRPr="00F16887">
              <w:rPr>
                <w:lang w:val="fr-FR"/>
              </w:rPr>
              <w:t>6</w:t>
            </w:r>
          </w:p>
        </w:tc>
        <w:tc>
          <w:tcPr>
            <w:tcW w:w="1077" w:type="dxa"/>
            <w:tcBorders>
              <w:top w:val="nil"/>
              <w:left w:val="nil"/>
              <w:bottom w:val="single" w:sz="4" w:space="0" w:color="auto"/>
              <w:right w:val="single" w:sz="4" w:space="0" w:color="auto"/>
            </w:tcBorders>
            <w:noWrap/>
            <w:vAlign w:val="center"/>
            <w:hideMark/>
          </w:tcPr>
          <w:p w14:paraId="5E76823F" w14:textId="77777777" w:rsidR="001077E2" w:rsidRPr="00F16887" w:rsidRDefault="001077E2" w:rsidP="00F16887">
            <w:pPr>
              <w:jc w:val="center"/>
              <w:rPr>
                <w:rFonts w:eastAsia="Times New Roman"/>
                <w:szCs w:val="22"/>
                <w:lang w:val="fr-FR"/>
              </w:rPr>
            </w:pPr>
            <w:r w:rsidRPr="00F16887">
              <w:rPr>
                <w:lang w:val="fr-FR"/>
              </w:rPr>
              <w:t>5</w:t>
            </w:r>
          </w:p>
        </w:tc>
        <w:tc>
          <w:tcPr>
            <w:tcW w:w="1077" w:type="dxa"/>
            <w:tcBorders>
              <w:top w:val="nil"/>
              <w:left w:val="nil"/>
              <w:bottom w:val="single" w:sz="4" w:space="0" w:color="auto"/>
              <w:right w:val="single" w:sz="4" w:space="0" w:color="auto"/>
            </w:tcBorders>
            <w:noWrap/>
            <w:vAlign w:val="center"/>
            <w:hideMark/>
          </w:tcPr>
          <w:p w14:paraId="036F8AB9" w14:textId="77777777" w:rsidR="001077E2" w:rsidRPr="00F16887" w:rsidRDefault="001077E2" w:rsidP="00F16887">
            <w:pPr>
              <w:jc w:val="center"/>
              <w:rPr>
                <w:rFonts w:eastAsia="Times New Roman"/>
                <w:szCs w:val="22"/>
                <w:lang w:val="fr-FR"/>
              </w:rPr>
            </w:pPr>
            <w:r w:rsidRPr="00F16887">
              <w:rPr>
                <w:lang w:val="fr-FR"/>
              </w:rPr>
              <w:t>2</w:t>
            </w:r>
          </w:p>
        </w:tc>
      </w:tr>
      <w:tr w:rsidR="001077E2" w:rsidRPr="00F16887" w14:paraId="76DC08B0" w14:textId="77777777" w:rsidTr="00D113DB">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7C282C2A" w14:textId="77777777" w:rsidR="001077E2" w:rsidRPr="00F16887" w:rsidRDefault="001077E2" w:rsidP="00F16887">
            <w:pPr>
              <w:rPr>
                <w:rFonts w:eastAsia="Times New Roman"/>
                <w:szCs w:val="22"/>
                <w:lang w:val="fr-FR"/>
              </w:rPr>
            </w:pPr>
            <w:r w:rsidRPr="00F16887">
              <w:rPr>
                <w:lang w:val="fr-FR"/>
              </w:rPr>
              <w:t>Mécanique</w:t>
            </w:r>
          </w:p>
        </w:tc>
        <w:tc>
          <w:tcPr>
            <w:tcW w:w="1077" w:type="dxa"/>
            <w:tcBorders>
              <w:top w:val="nil"/>
              <w:left w:val="nil"/>
              <w:bottom w:val="single" w:sz="4" w:space="0" w:color="auto"/>
              <w:right w:val="single" w:sz="4" w:space="0" w:color="auto"/>
            </w:tcBorders>
            <w:noWrap/>
            <w:vAlign w:val="center"/>
            <w:hideMark/>
          </w:tcPr>
          <w:p w14:paraId="2C333375" w14:textId="77777777" w:rsidR="001077E2" w:rsidRPr="00F16887" w:rsidRDefault="001077E2" w:rsidP="00F16887">
            <w:pPr>
              <w:jc w:val="center"/>
              <w:rPr>
                <w:rFonts w:eastAsia="Times New Roman"/>
                <w:szCs w:val="22"/>
                <w:lang w:val="fr-FR"/>
              </w:rPr>
            </w:pPr>
            <w:r w:rsidRPr="00F16887">
              <w:rPr>
                <w:lang w:val="fr-FR"/>
              </w:rPr>
              <w:t>15</w:t>
            </w:r>
          </w:p>
        </w:tc>
        <w:tc>
          <w:tcPr>
            <w:tcW w:w="1077" w:type="dxa"/>
            <w:tcBorders>
              <w:top w:val="nil"/>
              <w:left w:val="nil"/>
              <w:bottom w:val="single" w:sz="4" w:space="0" w:color="auto"/>
              <w:right w:val="single" w:sz="4" w:space="0" w:color="auto"/>
            </w:tcBorders>
            <w:noWrap/>
            <w:vAlign w:val="center"/>
            <w:hideMark/>
          </w:tcPr>
          <w:p w14:paraId="4349CE12" w14:textId="77777777" w:rsidR="001077E2" w:rsidRPr="00F16887" w:rsidRDefault="001077E2" w:rsidP="00F16887">
            <w:pPr>
              <w:jc w:val="center"/>
              <w:rPr>
                <w:rFonts w:eastAsia="Times New Roman"/>
                <w:szCs w:val="22"/>
                <w:lang w:val="fr-FR"/>
              </w:rPr>
            </w:pPr>
            <w:r w:rsidRPr="00F16887">
              <w:rPr>
                <w:lang w:val="fr-FR"/>
              </w:rPr>
              <w:t>6</w:t>
            </w:r>
          </w:p>
        </w:tc>
        <w:tc>
          <w:tcPr>
            <w:tcW w:w="1077" w:type="dxa"/>
            <w:tcBorders>
              <w:top w:val="nil"/>
              <w:left w:val="nil"/>
              <w:bottom w:val="single" w:sz="4" w:space="0" w:color="auto"/>
              <w:right w:val="single" w:sz="4" w:space="0" w:color="auto"/>
            </w:tcBorders>
            <w:noWrap/>
            <w:vAlign w:val="center"/>
            <w:hideMark/>
          </w:tcPr>
          <w:p w14:paraId="017355B8" w14:textId="77777777" w:rsidR="001077E2" w:rsidRPr="00F16887" w:rsidRDefault="001077E2" w:rsidP="00F16887">
            <w:pPr>
              <w:jc w:val="center"/>
              <w:rPr>
                <w:rFonts w:eastAsia="Times New Roman"/>
                <w:szCs w:val="22"/>
                <w:lang w:val="fr-FR"/>
              </w:rPr>
            </w:pPr>
            <w:r w:rsidRPr="00F16887">
              <w:rPr>
                <w:lang w:val="fr-FR"/>
              </w:rPr>
              <w:t>1</w:t>
            </w:r>
          </w:p>
        </w:tc>
        <w:tc>
          <w:tcPr>
            <w:tcW w:w="1077" w:type="dxa"/>
            <w:tcBorders>
              <w:top w:val="nil"/>
              <w:left w:val="nil"/>
              <w:bottom w:val="single" w:sz="4" w:space="0" w:color="auto"/>
              <w:right w:val="single" w:sz="4" w:space="0" w:color="auto"/>
            </w:tcBorders>
            <w:noWrap/>
            <w:vAlign w:val="center"/>
            <w:hideMark/>
          </w:tcPr>
          <w:p w14:paraId="40AC2AC4" w14:textId="77777777" w:rsidR="001077E2" w:rsidRPr="00F16887" w:rsidRDefault="001077E2" w:rsidP="00F16887">
            <w:pPr>
              <w:jc w:val="center"/>
              <w:rPr>
                <w:rFonts w:eastAsia="Times New Roman"/>
                <w:szCs w:val="22"/>
                <w:lang w:val="fr-FR"/>
              </w:rPr>
            </w:pPr>
            <w:r w:rsidRPr="00F16887">
              <w:rPr>
                <w:lang w:val="fr-FR"/>
              </w:rPr>
              <w:t>7</w:t>
            </w:r>
          </w:p>
        </w:tc>
        <w:tc>
          <w:tcPr>
            <w:tcW w:w="1077" w:type="dxa"/>
            <w:tcBorders>
              <w:top w:val="nil"/>
              <w:left w:val="nil"/>
              <w:bottom w:val="single" w:sz="4" w:space="0" w:color="auto"/>
              <w:right w:val="single" w:sz="4" w:space="0" w:color="auto"/>
            </w:tcBorders>
            <w:noWrap/>
            <w:vAlign w:val="center"/>
            <w:hideMark/>
          </w:tcPr>
          <w:p w14:paraId="27F18084" w14:textId="77777777" w:rsidR="001077E2" w:rsidRPr="00F16887" w:rsidRDefault="001077E2" w:rsidP="00F16887">
            <w:pPr>
              <w:jc w:val="center"/>
              <w:rPr>
                <w:rFonts w:eastAsia="Times New Roman"/>
                <w:szCs w:val="22"/>
                <w:lang w:val="fr-FR"/>
              </w:rPr>
            </w:pPr>
            <w:r w:rsidRPr="00F16887">
              <w:rPr>
                <w:lang w:val="fr-FR"/>
              </w:rPr>
              <w:t>6</w:t>
            </w:r>
          </w:p>
        </w:tc>
      </w:tr>
      <w:tr w:rsidR="001077E2" w:rsidRPr="00F16887" w14:paraId="06706919" w14:textId="77777777" w:rsidTr="00D113DB">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724645BD" w14:textId="77777777" w:rsidR="001077E2" w:rsidRPr="00F16887" w:rsidRDefault="001077E2" w:rsidP="00F16887">
            <w:pPr>
              <w:rPr>
                <w:rFonts w:eastAsia="Times New Roman"/>
                <w:szCs w:val="22"/>
                <w:lang w:val="fr-FR"/>
              </w:rPr>
            </w:pPr>
            <w:r w:rsidRPr="00F16887">
              <w:rPr>
                <w:lang w:val="fr-FR"/>
              </w:rPr>
              <w:t>Chimie</w:t>
            </w:r>
          </w:p>
        </w:tc>
        <w:tc>
          <w:tcPr>
            <w:tcW w:w="1077" w:type="dxa"/>
            <w:tcBorders>
              <w:top w:val="nil"/>
              <w:left w:val="nil"/>
              <w:bottom w:val="single" w:sz="4" w:space="0" w:color="auto"/>
              <w:right w:val="single" w:sz="4" w:space="0" w:color="auto"/>
            </w:tcBorders>
            <w:noWrap/>
            <w:vAlign w:val="center"/>
            <w:hideMark/>
          </w:tcPr>
          <w:p w14:paraId="0CEE62F7" w14:textId="77777777" w:rsidR="001077E2" w:rsidRPr="00F16887" w:rsidRDefault="001077E2" w:rsidP="00F16887">
            <w:pPr>
              <w:jc w:val="center"/>
              <w:rPr>
                <w:rFonts w:eastAsia="Times New Roman"/>
                <w:szCs w:val="22"/>
                <w:lang w:val="fr-FR"/>
              </w:rPr>
            </w:pPr>
            <w:r w:rsidRPr="00F16887">
              <w:rPr>
                <w:lang w:val="fr-FR"/>
              </w:rPr>
              <w:t>6</w:t>
            </w:r>
          </w:p>
        </w:tc>
        <w:tc>
          <w:tcPr>
            <w:tcW w:w="1077" w:type="dxa"/>
            <w:tcBorders>
              <w:top w:val="nil"/>
              <w:left w:val="nil"/>
              <w:bottom w:val="single" w:sz="4" w:space="0" w:color="auto"/>
              <w:right w:val="single" w:sz="4" w:space="0" w:color="auto"/>
            </w:tcBorders>
            <w:noWrap/>
            <w:vAlign w:val="center"/>
            <w:hideMark/>
          </w:tcPr>
          <w:p w14:paraId="30576896" w14:textId="77777777" w:rsidR="001077E2" w:rsidRPr="00F16887" w:rsidRDefault="001077E2" w:rsidP="00F16887">
            <w:pPr>
              <w:jc w:val="center"/>
              <w:rPr>
                <w:rFonts w:eastAsia="Times New Roman"/>
                <w:szCs w:val="22"/>
                <w:lang w:val="fr-FR"/>
              </w:rPr>
            </w:pPr>
            <w:r w:rsidRPr="00F16887">
              <w:rPr>
                <w:lang w:val="fr-FR"/>
              </w:rPr>
              <w:t>18</w:t>
            </w:r>
          </w:p>
        </w:tc>
        <w:tc>
          <w:tcPr>
            <w:tcW w:w="1077" w:type="dxa"/>
            <w:tcBorders>
              <w:top w:val="nil"/>
              <w:left w:val="nil"/>
              <w:bottom w:val="single" w:sz="4" w:space="0" w:color="auto"/>
              <w:right w:val="single" w:sz="4" w:space="0" w:color="auto"/>
            </w:tcBorders>
            <w:noWrap/>
            <w:vAlign w:val="center"/>
            <w:hideMark/>
          </w:tcPr>
          <w:p w14:paraId="24540794" w14:textId="77777777" w:rsidR="001077E2" w:rsidRPr="00F16887" w:rsidRDefault="001077E2" w:rsidP="00F16887">
            <w:pPr>
              <w:jc w:val="center"/>
              <w:rPr>
                <w:rFonts w:eastAsia="Times New Roman"/>
                <w:szCs w:val="22"/>
                <w:lang w:val="fr-FR"/>
              </w:rPr>
            </w:pPr>
            <w:r w:rsidRPr="00F16887">
              <w:rPr>
                <w:lang w:val="fr-FR"/>
              </w:rPr>
              <w:t>10</w:t>
            </w:r>
          </w:p>
        </w:tc>
        <w:tc>
          <w:tcPr>
            <w:tcW w:w="1077" w:type="dxa"/>
            <w:tcBorders>
              <w:top w:val="nil"/>
              <w:left w:val="nil"/>
              <w:bottom w:val="single" w:sz="4" w:space="0" w:color="auto"/>
              <w:right w:val="single" w:sz="4" w:space="0" w:color="auto"/>
            </w:tcBorders>
            <w:noWrap/>
            <w:vAlign w:val="center"/>
            <w:hideMark/>
          </w:tcPr>
          <w:p w14:paraId="46B37E60" w14:textId="77777777" w:rsidR="001077E2" w:rsidRPr="00F16887" w:rsidRDefault="001077E2" w:rsidP="00F16887">
            <w:pPr>
              <w:jc w:val="center"/>
              <w:rPr>
                <w:rFonts w:eastAsia="Times New Roman"/>
                <w:szCs w:val="22"/>
                <w:lang w:val="fr-FR"/>
              </w:rPr>
            </w:pPr>
            <w:r w:rsidRPr="00F16887">
              <w:rPr>
                <w:lang w:val="fr-FR"/>
              </w:rPr>
              <w:t>11</w:t>
            </w:r>
          </w:p>
        </w:tc>
        <w:tc>
          <w:tcPr>
            <w:tcW w:w="1077" w:type="dxa"/>
            <w:tcBorders>
              <w:top w:val="nil"/>
              <w:left w:val="nil"/>
              <w:bottom w:val="single" w:sz="4" w:space="0" w:color="auto"/>
              <w:right w:val="single" w:sz="4" w:space="0" w:color="auto"/>
            </w:tcBorders>
            <w:noWrap/>
            <w:vAlign w:val="center"/>
            <w:hideMark/>
          </w:tcPr>
          <w:p w14:paraId="6F03F8E5" w14:textId="77777777" w:rsidR="001077E2" w:rsidRPr="00F16887" w:rsidRDefault="001077E2" w:rsidP="00F16887">
            <w:pPr>
              <w:jc w:val="center"/>
              <w:rPr>
                <w:rFonts w:eastAsia="Times New Roman"/>
                <w:szCs w:val="22"/>
                <w:lang w:val="fr-FR"/>
              </w:rPr>
            </w:pPr>
            <w:r w:rsidRPr="00F16887">
              <w:rPr>
                <w:lang w:val="fr-FR"/>
              </w:rPr>
              <w:t>9</w:t>
            </w:r>
          </w:p>
        </w:tc>
      </w:tr>
      <w:tr w:rsidR="001077E2" w:rsidRPr="00F16887" w14:paraId="40050A27" w14:textId="77777777" w:rsidTr="00D113DB">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217C99F5" w14:textId="77777777" w:rsidR="001077E2" w:rsidRPr="00F16887" w:rsidRDefault="001077E2" w:rsidP="00F16887">
            <w:pPr>
              <w:rPr>
                <w:rFonts w:eastAsia="Times New Roman"/>
                <w:szCs w:val="22"/>
                <w:lang w:val="fr-FR"/>
              </w:rPr>
            </w:pPr>
            <w:r w:rsidRPr="00F16887">
              <w:rPr>
                <w:lang w:val="fr-FR"/>
              </w:rPr>
              <w:t>Non classées</w:t>
            </w:r>
          </w:p>
        </w:tc>
        <w:tc>
          <w:tcPr>
            <w:tcW w:w="1077" w:type="dxa"/>
            <w:tcBorders>
              <w:top w:val="nil"/>
              <w:left w:val="nil"/>
              <w:bottom w:val="single" w:sz="4" w:space="0" w:color="auto"/>
              <w:right w:val="single" w:sz="4" w:space="0" w:color="auto"/>
            </w:tcBorders>
            <w:noWrap/>
            <w:vAlign w:val="center"/>
            <w:hideMark/>
          </w:tcPr>
          <w:p w14:paraId="442B167C" w14:textId="77777777" w:rsidR="001077E2" w:rsidRPr="00F16887" w:rsidRDefault="001077E2" w:rsidP="00F16887">
            <w:pPr>
              <w:jc w:val="center"/>
              <w:rPr>
                <w:rFonts w:eastAsia="Times New Roman"/>
                <w:szCs w:val="22"/>
                <w:lang w:val="fr-FR"/>
              </w:rPr>
            </w:pPr>
            <w:r w:rsidRPr="00F16887">
              <w:rPr>
                <w:lang w:val="fr-FR"/>
              </w:rPr>
              <w:t>0</w:t>
            </w:r>
          </w:p>
        </w:tc>
        <w:tc>
          <w:tcPr>
            <w:tcW w:w="1077" w:type="dxa"/>
            <w:tcBorders>
              <w:top w:val="nil"/>
              <w:left w:val="nil"/>
              <w:bottom w:val="single" w:sz="4" w:space="0" w:color="auto"/>
              <w:right w:val="single" w:sz="4" w:space="0" w:color="auto"/>
            </w:tcBorders>
            <w:noWrap/>
            <w:vAlign w:val="center"/>
            <w:hideMark/>
          </w:tcPr>
          <w:p w14:paraId="440A5BA7" w14:textId="77777777" w:rsidR="001077E2" w:rsidRPr="00F16887" w:rsidRDefault="001077E2" w:rsidP="00F16887">
            <w:pPr>
              <w:jc w:val="center"/>
              <w:rPr>
                <w:rFonts w:eastAsia="Times New Roman"/>
                <w:szCs w:val="22"/>
                <w:lang w:val="fr-FR"/>
              </w:rPr>
            </w:pPr>
            <w:r w:rsidRPr="00F16887">
              <w:rPr>
                <w:lang w:val="fr-FR"/>
              </w:rPr>
              <w:t>0</w:t>
            </w:r>
          </w:p>
        </w:tc>
        <w:tc>
          <w:tcPr>
            <w:tcW w:w="1077" w:type="dxa"/>
            <w:tcBorders>
              <w:top w:val="nil"/>
              <w:left w:val="nil"/>
              <w:bottom w:val="single" w:sz="4" w:space="0" w:color="auto"/>
              <w:right w:val="single" w:sz="4" w:space="0" w:color="auto"/>
            </w:tcBorders>
            <w:noWrap/>
            <w:vAlign w:val="center"/>
            <w:hideMark/>
          </w:tcPr>
          <w:p w14:paraId="5C6AEFE1" w14:textId="77777777" w:rsidR="001077E2" w:rsidRPr="00F16887" w:rsidRDefault="001077E2" w:rsidP="00F16887">
            <w:pPr>
              <w:jc w:val="center"/>
              <w:rPr>
                <w:rFonts w:eastAsia="Times New Roman"/>
                <w:szCs w:val="22"/>
                <w:lang w:val="fr-FR"/>
              </w:rPr>
            </w:pPr>
            <w:r w:rsidRPr="00F16887">
              <w:rPr>
                <w:lang w:val="fr-FR"/>
              </w:rPr>
              <w:t>0</w:t>
            </w:r>
          </w:p>
        </w:tc>
        <w:tc>
          <w:tcPr>
            <w:tcW w:w="1077" w:type="dxa"/>
            <w:tcBorders>
              <w:top w:val="nil"/>
              <w:left w:val="nil"/>
              <w:bottom w:val="single" w:sz="4" w:space="0" w:color="auto"/>
              <w:right w:val="single" w:sz="4" w:space="0" w:color="auto"/>
            </w:tcBorders>
            <w:noWrap/>
            <w:vAlign w:val="center"/>
            <w:hideMark/>
          </w:tcPr>
          <w:p w14:paraId="0D817F41" w14:textId="77777777" w:rsidR="001077E2" w:rsidRPr="00F16887" w:rsidRDefault="001077E2" w:rsidP="00F16887">
            <w:pPr>
              <w:jc w:val="center"/>
              <w:rPr>
                <w:rFonts w:eastAsia="Times New Roman"/>
                <w:szCs w:val="22"/>
                <w:lang w:val="fr-FR"/>
              </w:rPr>
            </w:pPr>
            <w:r w:rsidRPr="00F16887">
              <w:rPr>
                <w:lang w:val="fr-FR"/>
              </w:rPr>
              <w:t>0</w:t>
            </w:r>
          </w:p>
        </w:tc>
        <w:tc>
          <w:tcPr>
            <w:tcW w:w="1077" w:type="dxa"/>
            <w:tcBorders>
              <w:top w:val="nil"/>
              <w:left w:val="nil"/>
              <w:bottom w:val="single" w:sz="4" w:space="0" w:color="auto"/>
              <w:right w:val="single" w:sz="4" w:space="0" w:color="auto"/>
            </w:tcBorders>
            <w:noWrap/>
            <w:vAlign w:val="center"/>
            <w:hideMark/>
          </w:tcPr>
          <w:p w14:paraId="3BFBA566" w14:textId="77777777" w:rsidR="001077E2" w:rsidRPr="00F16887" w:rsidRDefault="001077E2" w:rsidP="00F16887">
            <w:pPr>
              <w:jc w:val="center"/>
              <w:rPr>
                <w:rFonts w:eastAsia="Times New Roman"/>
                <w:szCs w:val="22"/>
                <w:lang w:val="fr-FR"/>
              </w:rPr>
            </w:pPr>
            <w:r w:rsidRPr="00F16887">
              <w:rPr>
                <w:lang w:val="fr-FR"/>
              </w:rPr>
              <w:t>2</w:t>
            </w:r>
          </w:p>
        </w:tc>
      </w:tr>
      <w:tr w:rsidR="001077E2" w:rsidRPr="00F16887" w14:paraId="307E025B" w14:textId="77777777" w:rsidTr="00D113DB">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1C635AAE" w14:textId="38C05187" w:rsidR="001077E2" w:rsidRPr="00F16887" w:rsidRDefault="001077E2" w:rsidP="00F16887">
            <w:pPr>
              <w:rPr>
                <w:rFonts w:eastAsia="Times New Roman"/>
                <w:szCs w:val="22"/>
                <w:lang w:val="fr-FR"/>
              </w:rPr>
            </w:pPr>
            <w:r w:rsidRPr="00F16887">
              <w:rPr>
                <w:lang w:val="fr-FR"/>
              </w:rPr>
              <w:t>Dont l</w:t>
            </w:r>
            <w:r w:rsidR="00F16887">
              <w:rPr>
                <w:lang w:val="fr-FR"/>
              </w:rPr>
              <w:t>’</w:t>
            </w:r>
            <w:r w:rsidRPr="00F16887">
              <w:rPr>
                <w:lang w:val="fr-FR"/>
              </w:rPr>
              <w:t>examen de forme est achevé</w:t>
            </w:r>
          </w:p>
        </w:tc>
        <w:tc>
          <w:tcPr>
            <w:tcW w:w="1077" w:type="dxa"/>
            <w:tcBorders>
              <w:top w:val="nil"/>
              <w:left w:val="nil"/>
              <w:bottom w:val="single" w:sz="4" w:space="0" w:color="auto"/>
              <w:right w:val="single" w:sz="4" w:space="0" w:color="auto"/>
            </w:tcBorders>
            <w:noWrap/>
            <w:vAlign w:val="center"/>
            <w:hideMark/>
          </w:tcPr>
          <w:p w14:paraId="2A9A76E4" w14:textId="77777777" w:rsidR="001077E2" w:rsidRPr="00F16887" w:rsidRDefault="001077E2" w:rsidP="00F16887">
            <w:pPr>
              <w:jc w:val="center"/>
              <w:rPr>
                <w:rFonts w:eastAsia="Times New Roman"/>
                <w:szCs w:val="22"/>
                <w:lang w:val="fr-FR"/>
              </w:rPr>
            </w:pPr>
            <w:r w:rsidRPr="00F16887">
              <w:rPr>
                <w:lang w:val="fr-FR"/>
              </w:rPr>
              <w:t>4</w:t>
            </w:r>
          </w:p>
        </w:tc>
        <w:tc>
          <w:tcPr>
            <w:tcW w:w="1077" w:type="dxa"/>
            <w:tcBorders>
              <w:top w:val="nil"/>
              <w:left w:val="nil"/>
              <w:bottom w:val="single" w:sz="4" w:space="0" w:color="auto"/>
              <w:right w:val="single" w:sz="4" w:space="0" w:color="auto"/>
            </w:tcBorders>
            <w:noWrap/>
            <w:vAlign w:val="center"/>
            <w:hideMark/>
          </w:tcPr>
          <w:p w14:paraId="02CFCCB8" w14:textId="77777777" w:rsidR="001077E2" w:rsidRPr="00F16887" w:rsidRDefault="001077E2" w:rsidP="00F16887">
            <w:pPr>
              <w:jc w:val="center"/>
              <w:rPr>
                <w:rFonts w:eastAsia="Times New Roman"/>
                <w:szCs w:val="22"/>
                <w:lang w:val="fr-FR"/>
              </w:rPr>
            </w:pPr>
            <w:r w:rsidRPr="00F16887">
              <w:rPr>
                <w:lang w:val="fr-FR"/>
              </w:rPr>
              <w:t>2</w:t>
            </w:r>
          </w:p>
        </w:tc>
        <w:tc>
          <w:tcPr>
            <w:tcW w:w="1077" w:type="dxa"/>
            <w:tcBorders>
              <w:top w:val="nil"/>
              <w:left w:val="nil"/>
              <w:bottom w:val="single" w:sz="4" w:space="0" w:color="auto"/>
              <w:right w:val="single" w:sz="4" w:space="0" w:color="auto"/>
            </w:tcBorders>
            <w:noWrap/>
            <w:vAlign w:val="center"/>
            <w:hideMark/>
          </w:tcPr>
          <w:p w14:paraId="78ED51AF" w14:textId="77777777" w:rsidR="001077E2" w:rsidRPr="00F16887" w:rsidRDefault="001077E2" w:rsidP="00F16887">
            <w:pPr>
              <w:jc w:val="center"/>
              <w:rPr>
                <w:rFonts w:eastAsia="Times New Roman"/>
                <w:szCs w:val="22"/>
                <w:lang w:val="fr-FR"/>
              </w:rPr>
            </w:pPr>
            <w:r w:rsidRPr="00F16887">
              <w:rPr>
                <w:lang w:val="fr-FR"/>
              </w:rPr>
              <w:t>2</w:t>
            </w:r>
          </w:p>
        </w:tc>
        <w:tc>
          <w:tcPr>
            <w:tcW w:w="1077" w:type="dxa"/>
            <w:tcBorders>
              <w:top w:val="nil"/>
              <w:left w:val="nil"/>
              <w:bottom w:val="single" w:sz="4" w:space="0" w:color="auto"/>
              <w:right w:val="single" w:sz="4" w:space="0" w:color="auto"/>
            </w:tcBorders>
            <w:noWrap/>
            <w:vAlign w:val="center"/>
            <w:hideMark/>
          </w:tcPr>
          <w:p w14:paraId="4363922C" w14:textId="77777777" w:rsidR="001077E2" w:rsidRPr="00F16887" w:rsidRDefault="001077E2" w:rsidP="00F16887">
            <w:pPr>
              <w:jc w:val="center"/>
              <w:rPr>
                <w:rFonts w:eastAsia="Times New Roman"/>
                <w:szCs w:val="22"/>
                <w:lang w:val="fr-FR"/>
              </w:rPr>
            </w:pPr>
            <w:r w:rsidRPr="00F16887">
              <w:rPr>
                <w:lang w:val="fr-FR"/>
              </w:rPr>
              <w:t>4</w:t>
            </w:r>
          </w:p>
        </w:tc>
        <w:tc>
          <w:tcPr>
            <w:tcW w:w="1077" w:type="dxa"/>
            <w:tcBorders>
              <w:top w:val="nil"/>
              <w:left w:val="nil"/>
              <w:bottom w:val="single" w:sz="4" w:space="0" w:color="auto"/>
              <w:right w:val="single" w:sz="4" w:space="0" w:color="auto"/>
            </w:tcBorders>
            <w:noWrap/>
            <w:vAlign w:val="center"/>
            <w:hideMark/>
          </w:tcPr>
          <w:p w14:paraId="5DEB8C9B" w14:textId="77777777" w:rsidR="001077E2" w:rsidRPr="00F16887" w:rsidRDefault="001077E2" w:rsidP="00F16887">
            <w:pPr>
              <w:jc w:val="center"/>
              <w:rPr>
                <w:rFonts w:eastAsia="Times New Roman"/>
                <w:szCs w:val="22"/>
                <w:lang w:val="fr-FR"/>
              </w:rPr>
            </w:pPr>
            <w:r w:rsidRPr="00F16887">
              <w:rPr>
                <w:lang w:val="fr-FR"/>
              </w:rPr>
              <w:t>2</w:t>
            </w:r>
          </w:p>
        </w:tc>
      </w:tr>
      <w:tr w:rsidR="001077E2" w:rsidRPr="00F16887" w14:paraId="1D8E0F0B" w14:textId="77777777" w:rsidTr="00D113DB">
        <w:trPr>
          <w:gridAfter w:val="1"/>
          <w:wAfter w:w="615" w:type="dxa"/>
          <w:trHeight w:val="300"/>
        </w:trPr>
        <w:tc>
          <w:tcPr>
            <w:tcW w:w="3960" w:type="dxa"/>
            <w:tcBorders>
              <w:top w:val="nil"/>
              <w:left w:val="single" w:sz="4" w:space="0" w:color="auto"/>
              <w:bottom w:val="single" w:sz="4" w:space="0" w:color="auto"/>
              <w:right w:val="single" w:sz="4" w:space="0" w:color="auto"/>
            </w:tcBorders>
            <w:noWrap/>
            <w:vAlign w:val="center"/>
            <w:hideMark/>
          </w:tcPr>
          <w:p w14:paraId="6D2D340C" w14:textId="77777777" w:rsidR="001077E2" w:rsidRPr="00F16887" w:rsidRDefault="001077E2" w:rsidP="00F16887">
            <w:pPr>
              <w:rPr>
                <w:rFonts w:eastAsia="Times New Roman"/>
                <w:b/>
                <w:bCs/>
                <w:szCs w:val="22"/>
                <w:lang w:val="fr-FR"/>
              </w:rPr>
            </w:pPr>
            <w:r w:rsidRPr="00F16887">
              <w:rPr>
                <w:b/>
                <w:lang w:val="fr-FR"/>
              </w:rPr>
              <w:t>Nombre total (brevets reçus par an)</w:t>
            </w:r>
          </w:p>
        </w:tc>
        <w:tc>
          <w:tcPr>
            <w:tcW w:w="1077" w:type="dxa"/>
            <w:tcBorders>
              <w:top w:val="nil"/>
              <w:left w:val="nil"/>
              <w:bottom w:val="single" w:sz="4" w:space="0" w:color="auto"/>
              <w:right w:val="single" w:sz="4" w:space="0" w:color="auto"/>
            </w:tcBorders>
            <w:noWrap/>
            <w:vAlign w:val="center"/>
            <w:hideMark/>
          </w:tcPr>
          <w:p w14:paraId="7A32AC23" w14:textId="77777777" w:rsidR="001077E2" w:rsidRPr="00F16887" w:rsidRDefault="001077E2" w:rsidP="00F16887">
            <w:pPr>
              <w:jc w:val="center"/>
              <w:rPr>
                <w:rFonts w:eastAsia="Times New Roman"/>
                <w:b/>
                <w:bCs/>
                <w:szCs w:val="22"/>
                <w:lang w:val="fr-FR"/>
              </w:rPr>
            </w:pPr>
            <w:r w:rsidRPr="00F16887">
              <w:rPr>
                <w:b/>
                <w:lang w:val="fr-FR"/>
              </w:rPr>
              <w:t>38</w:t>
            </w:r>
          </w:p>
        </w:tc>
        <w:tc>
          <w:tcPr>
            <w:tcW w:w="1077" w:type="dxa"/>
            <w:tcBorders>
              <w:top w:val="nil"/>
              <w:left w:val="nil"/>
              <w:bottom w:val="single" w:sz="4" w:space="0" w:color="auto"/>
              <w:right w:val="single" w:sz="4" w:space="0" w:color="auto"/>
            </w:tcBorders>
            <w:noWrap/>
            <w:vAlign w:val="center"/>
            <w:hideMark/>
          </w:tcPr>
          <w:p w14:paraId="0502BD9E" w14:textId="77777777" w:rsidR="001077E2" w:rsidRPr="00F16887" w:rsidRDefault="001077E2" w:rsidP="00F16887">
            <w:pPr>
              <w:jc w:val="center"/>
              <w:rPr>
                <w:rFonts w:eastAsia="Times New Roman"/>
                <w:b/>
                <w:bCs/>
                <w:szCs w:val="22"/>
                <w:lang w:val="fr-FR"/>
              </w:rPr>
            </w:pPr>
            <w:r w:rsidRPr="00F16887">
              <w:rPr>
                <w:b/>
                <w:lang w:val="fr-FR"/>
              </w:rPr>
              <w:t>38</w:t>
            </w:r>
          </w:p>
        </w:tc>
        <w:tc>
          <w:tcPr>
            <w:tcW w:w="1077" w:type="dxa"/>
            <w:tcBorders>
              <w:top w:val="nil"/>
              <w:left w:val="nil"/>
              <w:bottom w:val="single" w:sz="4" w:space="0" w:color="auto"/>
              <w:right w:val="single" w:sz="4" w:space="0" w:color="auto"/>
            </w:tcBorders>
            <w:noWrap/>
            <w:vAlign w:val="center"/>
            <w:hideMark/>
          </w:tcPr>
          <w:p w14:paraId="55311676" w14:textId="77777777" w:rsidR="001077E2" w:rsidRPr="00F16887" w:rsidRDefault="001077E2" w:rsidP="00F16887">
            <w:pPr>
              <w:jc w:val="center"/>
              <w:rPr>
                <w:rFonts w:eastAsia="Times New Roman"/>
                <w:b/>
                <w:bCs/>
                <w:szCs w:val="22"/>
                <w:lang w:val="fr-FR"/>
              </w:rPr>
            </w:pPr>
            <w:r w:rsidRPr="00F16887">
              <w:rPr>
                <w:b/>
                <w:lang w:val="fr-FR"/>
              </w:rPr>
              <w:t>25</w:t>
            </w:r>
          </w:p>
        </w:tc>
        <w:tc>
          <w:tcPr>
            <w:tcW w:w="1077" w:type="dxa"/>
            <w:tcBorders>
              <w:top w:val="nil"/>
              <w:left w:val="nil"/>
              <w:bottom w:val="single" w:sz="4" w:space="0" w:color="auto"/>
              <w:right w:val="single" w:sz="4" w:space="0" w:color="auto"/>
            </w:tcBorders>
            <w:noWrap/>
            <w:vAlign w:val="center"/>
            <w:hideMark/>
          </w:tcPr>
          <w:p w14:paraId="57379252" w14:textId="77777777" w:rsidR="001077E2" w:rsidRPr="00F16887" w:rsidRDefault="001077E2" w:rsidP="00F16887">
            <w:pPr>
              <w:jc w:val="center"/>
              <w:rPr>
                <w:rFonts w:eastAsia="Times New Roman"/>
                <w:b/>
                <w:bCs/>
                <w:szCs w:val="22"/>
                <w:lang w:val="fr-FR"/>
              </w:rPr>
            </w:pPr>
            <w:r w:rsidRPr="00F16887">
              <w:rPr>
                <w:b/>
                <w:lang w:val="fr-FR"/>
              </w:rPr>
              <w:t>37</w:t>
            </w:r>
          </w:p>
        </w:tc>
        <w:tc>
          <w:tcPr>
            <w:tcW w:w="1077" w:type="dxa"/>
            <w:tcBorders>
              <w:top w:val="nil"/>
              <w:left w:val="nil"/>
              <w:bottom w:val="single" w:sz="4" w:space="0" w:color="auto"/>
              <w:right w:val="single" w:sz="4" w:space="0" w:color="auto"/>
            </w:tcBorders>
            <w:noWrap/>
            <w:vAlign w:val="center"/>
            <w:hideMark/>
          </w:tcPr>
          <w:p w14:paraId="09F52B62" w14:textId="77777777" w:rsidR="001077E2" w:rsidRPr="00F16887" w:rsidRDefault="001077E2" w:rsidP="00F16887">
            <w:pPr>
              <w:jc w:val="center"/>
              <w:rPr>
                <w:rFonts w:eastAsia="Times New Roman"/>
                <w:b/>
                <w:bCs/>
                <w:szCs w:val="22"/>
                <w:lang w:val="fr-FR"/>
              </w:rPr>
            </w:pPr>
            <w:r w:rsidRPr="00F16887">
              <w:rPr>
                <w:b/>
                <w:lang w:val="fr-FR"/>
              </w:rPr>
              <w:t>27</w:t>
            </w:r>
          </w:p>
        </w:tc>
      </w:tr>
      <w:tr w:rsidR="001077E2" w:rsidRPr="00F16887" w14:paraId="585E81A9" w14:textId="77777777" w:rsidTr="00D113DB">
        <w:trPr>
          <w:trHeight w:val="300"/>
        </w:trPr>
        <w:tc>
          <w:tcPr>
            <w:tcW w:w="9960" w:type="dxa"/>
            <w:gridSpan w:val="7"/>
            <w:tcBorders>
              <w:top w:val="nil"/>
              <w:left w:val="nil"/>
              <w:bottom w:val="nil"/>
              <w:right w:val="nil"/>
            </w:tcBorders>
            <w:noWrap/>
            <w:vAlign w:val="bottom"/>
            <w:hideMark/>
          </w:tcPr>
          <w:p w14:paraId="6DE3D490" w14:textId="679C9325" w:rsidR="001077E2" w:rsidRPr="00F16887" w:rsidRDefault="001077E2" w:rsidP="00F16887">
            <w:pPr>
              <w:rPr>
                <w:rFonts w:ascii="Times New Roman" w:eastAsia="Times New Roman" w:hAnsi="Times New Roman" w:cs="Times New Roman"/>
                <w:sz w:val="18"/>
                <w:szCs w:val="18"/>
                <w:lang w:val="fr-FR"/>
              </w:rPr>
            </w:pPr>
            <w:r w:rsidRPr="00F16887">
              <w:rPr>
                <w:rFonts w:ascii="Calibri" w:hAnsi="Calibri"/>
                <w:color w:val="000000"/>
                <w:sz w:val="18"/>
                <w:lang w:val="fr-FR"/>
              </w:rPr>
              <w:t>*Demandes internationales</w:t>
            </w:r>
            <w:r w:rsidR="00F16887">
              <w:rPr>
                <w:rFonts w:ascii="Calibri" w:hAnsi="Calibri"/>
                <w:color w:val="000000"/>
                <w:sz w:val="18"/>
                <w:lang w:val="fr-FR"/>
              </w:rPr>
              <w:t> :</w:t>
            </w:r>
            <w:r w:rsidRPr="00F16887">
              <w:rPr>
                <w:rFonts w:ascii="Calibri" w:hAnsi="Calibri"/>
                <w:color w:val="000000"/>
                <w:sz w:val="18"/>
                <w:lang w:val="fr-FR"/>
              </w:rPr>
              <w:t xml:space="preserve"> prise en compte des sous</w:t>
            </w:r>
            <w:r w:rsidR="00C95B35">
              <w:rPr>
                <w:rFonts w:ascii="Calibri" w:hAnsi="Calibri"/>
                <w:color w:val="000000"/>
                <w:sz w:val="18"/>
                <w:lang w:val="fr-FR"/>
              </w:rPr>
              <w:noBreakHyphen/>
            </w:r>
            <w:r w:rsidRPr="00F16887">
              <w:rPr>
                <w:rFonts w:ascii="Calibri" w:hAnsi="Calibri"/>
                <w:color w:val="000000"/>
                <w:sz w:val="18"/>
                <w:lang w:val="fr-FR"/>
              </w:rPr>
              <w:t>types de brevets selon le PCT de nationalité mexicaine ou de résidence mexicaine.</w:t>
            </w:r>
          </w:p>
        </w:tc>
      </w:tr>
    </w:tbl>
    <w:p w14:paraId="0B51579B" w14:textId="59C96355" w:rsidR="001077E2" w:rsidRPr="00F16887" w:rsidRDefault="001077E2" w:rsidP="00F16887">
      <w:pPr>
        <w:pStyle w:val="Question"/>
        <w:spacing w:before="240"/>
      </w:pPr>
      <w:r w:rsidRPr="00F16887">
        <w:lastRenderedPageBreak/>
        <w:t>d)</w:t>
      </w:r>
      <w:r w:rsidRPr="00F16887">
        <w:tab/>
        <w:t>Délai moyen d</w:t>
      </w:r>
      <w:r w:rsidR="00F16887">
        <w:t>’</w:t>
      </w:r>
      <w:r w:rsidRPr="00F16887">
        <w:t>instruction des demandes de brevet nationales</w:t>
      </w:r>
      <w:r w:rsidR="00F16887">
        <w:t> :</w:t>
      </w:r>
    </w:p>
    <w:tbl>
      <w:tblPr>
        <w:tblW w:w="9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Caption w:val="Délai moyen d’instruction des demandes de brevet national à l’IMPI"/>
        <w:tblDescription w:val="Ce tableau indique le délai moyen entre la date de réception par l’IMPI et la notification des premiers actes officiels d’examen quant au fond, ainsi que la date de publication de la communication d’approbation de l’octroi."/>
      </w:tblPr>
      <w:tblGrid>
        <w:gridCol w:w="2560"/>
        <w:gridCol w:w="2154"/>
        <w:gridCol w:w="2154"/>
        <w:gridCol w:w="2154"/>
      </w:tblGrid>
      <w:tr w:rsidR="001077E2" w:rsidRPr="00F16887" w14:paraId="393FE6FF" w14:textId="77777777" w:rsidTr="0025290E">
        <w:trPr>
          <w:trHeight w:val="300"/>
        </w:trPr>
        <w:tc>
          <w:tcPr>
            <w:tcW w:w="2560" w:type="dxa"/>
            <w:shd w:val="clear" w:color="auto" w:fill="235B4E"/>
            <w:noWrap/>
            <w:vAlign w:val="center"/>
            <w:hideMark/>
          </w:tcPr>
          <w:p w14:paraId="4A9A9C1E" w14:textId="77777777" w:rsidR="001077E2" w:rsidRPr="00F16887" w:rsidRDefault="001077E2" w:rsidP="00F16887">
            <w:pPr>
              <w:keepNext/>
              <w:jc w:val="center"/>
              <w:rPr>
                <w:rFonts w:eastAsia="Times New Roman"/>
                <w:b/>
                <w:bCs/>
                <w:color w:val="FFFFFF" w:themeColor="background1"/>
                <w:szCs w:val="22"/>
                <w:lang w:val="fr-FR"/>
              </w:rPr>
            </w:pPr>
            <w:r w:rsidRPr="00F16887">
              <w:rPr>
                <w:b/>
                <w:color w:val="FFFFFF" w:themeColor="background1"/>
                <w:lang w:val="fr-FR"/>
              </w:rPr>
              <w:t>Indicateur</w:t>
            </w:r>
          </w:p>
        </w:tc>
        <w:tc>
          <w:tcPr>
            <w:tcW w:w="2154" w:type="dxa"/>
            <w:shd w:val="clear" w:color="auto" w:fill="235B4E"/>
            <w:noWrap/>
            <w:vAlign w:val="center"/>
            <w:hideMark/>
          </w:tcPr>
          <w:p w14:paraId="2863F754" w14:textId="77777777" w:rsidR="001077E2" w:rsidRPr="00F16887" w:rsidRDefault="001077E2" w:rsidP="00F16887">
            <w:pPr>
              <w:keepNext/>
              <w:jc w:val="center"/>
              <w:rPr>
                <w:rFonts w:eastAsia="Times New Roman"/>
                <w:b/>
                <w:bCs/>
                <w:color w:val="FFFFFF" w:themeColor="background1"/>
                <w:szCs w:val="22"/>
                <w:lang w:val="fr-FR"/>
              </w:rPr>
            </w:pPr>
            <w:r w:rsidRPr="00F16887">
              <w:rPr>
                <w:b/>
                <w:color w:val="FFFFFF" w:themeColor="background1"/>
                <w:lang w:val="fr-FR"/>
              </w:rPr>
              <w:t>Comptés à partir de</w:t>
            </w:r>
          </w:p>
        </w:tc>
        <w:tc>
          <w:tcPr>
            <w:tcW w:w="2154" w:type="dxa"/>
            <w:shd w:val="clear" w:color="auto" w:fill="235B4E"/>
            <w:noWrap/>
            <w:vAlign w:val="center"/>
            <w:hideMark/>
          </w:tcPr>
          <w:p w14:paraId="1E140F7C" w14:textId="77777777" w:rsidR="001077E2" w:rsidRPr="00F16887" w:rsidRDefault="001077E2" w:rsidP="00F16887">
            <w:pPr>
              <w:keepNext/>
              <w:jc w:val="center"/>
              <w:rPr>
                <w:rFonts w:eastAsia="Times New Roman"/>
                <w:b/>
                <w:bCs/>
                <w:color w:val="FFFFFF" w:themeColor="background1"/>
                <w:szCs w:val="22"/>
                <w:lang w:val="fr-FR"/>
              </w:rPr>
            </w:pPr>
            <w:r w:rsidRPr="00F16887">
              <w:rPr>
                <w:b/>
                <w:color w:val="FFFFFF" w:themeColor="background1"/>
                <w:lang w:val="fr-FR"/>
              </w:rPr>
              <w:t>Délai (mois)</w:t>
            </w:r>
          </w:p>
        </w:tc>
        <w:tc>
          <w:tcPr>
            <w:tcW w:w="2154" w:type="dxa"/>
            <w:shd w:val="clear" w:color="auto" w:fill="235B4E"/>
            <w:noWrap/>
            <w:vAlign w:val="center"/>
            <w:hideMark/>
          </w:tcPr>
          <w:p w14:paraId="02A2C3D8" w14:textId="77777777" w:rsidR="001077E2" w:rsidRPr="0025290E" w:rsidRDefault="001077E2" w:rsidP="0025290E">
            <w:pPr>
              <w:keepNext/>
              <w:jc w:val="center"/>
              <w:rPr>
                <w:b/>
                <w:color w:val="FFFFFF" w:themeColor="background1"/>
                <w:lang w:val="fr-FR"/>
              </w:rPr>
            </w:pPr>
            <w:r w:rsidRPr="00F16887">
              <w:rPr>
                <w:b/>
                <w:color w:val="FFFFFF" w:themeColor="background1"/>
                <w:lang w:val="fr-FR"/>
              </w:rPr>
              <w:t>Observations</w:t>
            </w:r>
          </w:p>
        </w:tc>
      </w:tr>
      <w:tr w:rsidR="001077E2" w:rsidRPr="00F16887" w14:paraId="2D35B7BA" w14:textId="77777777" w:rsidTr="00D113DB">
        <w:trPr>
          <w:trHeight w:val="300"/>
        </w:trPr>
        <w:tc>
          <w:tcPr>
            <w:tcW w:w="2560" w:type="dxa"/>
            <w:noWrap/>
            <w:vAlign w:val="center"/>
            <w:hideMark/>
          </w:tcPr>
          <w:p w14:paraId="638DA0F3" w14:textId="77777777" w:rsidR="001077E2" w:rsidRPr="00F16887" w:rsidRDefault="001077E2" w:rsidP="00F16887">
            <w:pPr>
              <w:keepNext/>
              <w:jc w:val="center"/>
              <w:rPr>
                <w:rFonts w:eastAsia="Times New Roman"/>
                <w:szCs w:val="22"/>
                <w:lang w:val="fr-FR"/>
              </w:rPr>
            </w:pPr>
            <w:r w:rsidRPr="00F16887">
              <w:rPr>
                <w:lang w:val="fr-FR"/>
              </w:rPr>
              <w:t>Recherche</w:t>
            </w:r>
          </w:p>
        </w:tc>
        <w:tc>
          <w:tcPr>
            <w:tcW w:w="2154" w:type="dxa"/>
            <w:noWrap/>
            <w:vAlign w:val="center"/>
            <w:hideMark/>
          </w:tcPr>
          <w:p w14:paraId="4B6472BA" w14:textId="77777777" w:rsidR="001077E2" w:rsidRPr="00F16887" w:rsidRDefault="001077E2" w:rsidP="00F16887">
            <w:pPr>
              <w:keepNext/>
              <w:jc w:val="center"/>
              <w:rPr>
                <w:rFonts w:eastAsia="Times New Roman"/>
                <w:szCs w:val="22"/>
                <w:lang w:val="fr-FR"/>
              </w:rPr>
            </w:pPr>
            <w:r w:rsidRPr="00F16887">
              <w:rPr>
                <w:lang w:val="fr-FR"/>
              </w:rPr>
              <w:t>s.o.</w:t>
            </w:r>
          </w:p>
        </w:tc>
        <w:tc>
          <w:tcPr>
            <w:tcW w:w="2154" w:type="dxa"/>
            <w:noWrap/>
            <w:vAlign w:val="center"/>
            <w:hideMark/>
          </w:tcPr>
          <w:p w14:paraId="67922B5A" w14:textId="77777777" w:rsidR="001077E2" w:rsidRPr="00F16887" w:rsidRDefault="001077E2" w:rsidP="00F16887">
            <w:pPr>
              <w:keepNext/>
              <w:jc w:val="center"/>
              <w:rPr>
                <w:rFonts w:eastAsia="Times New Roman"/>
                <w:szCs w:val="22"/>
                <w:lang w:val="fr-FR"/>
              </w:rPr>
            </w:pPr>
            <w:r w:rsidRPr="00F16887">
              <w:rPr>
                <w:lang w:val="fr-FR"/>
              </w:rPr>
              <w:t>s.o.</w:t>
            </w:r>
          </w:p>
        </w:tc>
        <w:tc>
          <w:tcPr>
            <w:tcW w:w="2154" w:type="dxa"/>
            <w:noWrap/>
            <w:vAlign w:val="bottom"/>
            <w:hideMark/>
          </w:tcPr>
          <w:p w14:paraId="6D95F71B" w14:textId="77777777" w:rsidR="001077E2" w:rsidRPr="00F16887" w:rsidRDefault="001077E2" w:rsidP="00F16887">
            <w:pPr>
              <w:keepNext/>
              <w:jc w:val="center"/>
              <w:rPr>
                <w:rFonts w:eastAsia="Times New Roman"/>
                <w:szCs w:val="22"/>
                <w:lang w:val="fr-FR"/>
              </w:rPr>
            </w:pPr>
            <w:r w:rsidRPr="00F16887">
              <w:rPr>
                <w:lang w:val="fr-FR"/>
              </w:rPr>
              <w:t>s.o.</w:t>
            </w:r>
          </w:p>
        </w:tc>
      </w:tr>
      <w:tr w:rsidR="001077E2" w:rsidRPr="00F16887" w14:paraId="14322963" w14:textId="77777777" w:rsidTr="00D113DB">
        <w:trPr>
          <w:trHeight w:val="2100"/>
        </w:trPr>
        <w:tc>
          <w:tcPr>
            <w:tcW w:w="2560" w:type="dxa"/>
            <w:noWrap/>
            <w:vAlign w:val="center"/>
            <w:hideMark/>
          </w:tcPr>
          <w:p w14:paraId="00D62A39" w14:textId="60AF3F66" w:rsidR="001077E2" w:rsidRPr="00F16887" w:rsidRDefault="001077E2" w:rsidP="00F16887">
            <w:pPr>
              <w:keepNext/>
              <w:jc w:val="center"/>
              <w:rPr>
                <w:rFonts w:eastAsia="Times New Roman"/>
                <w:szCs w:val="22"/>
                <w:lang w:val="fr-FR"/>
              </w:rPr>
            </w:pPr>
            <w:r w:rsidRPr="00F16887">
              <w:rPr>
                <w:lang w:val="fr-FR"/>
              </w:rPr>
              <w:t>Jusqu</w:t>
            </w:r>
            <w:r w:rsidR="00F16887">
              <w:rPr>
                <w:lang w:val="fr-FR"/>
              </w:rPr>
              <w:t>’</w:t>
            </w:r>
            <w:r w:rsidRPr="00F16887">
              <w:rPr>
                <w:lang w:val="fr-FR"/>
              </w:rPr>
              <w:t>à l</w:t>
            </w:r>
            <w:r w:rsidR="00F16887">
              <w:rPr>
                <w:lang w:val="fr-FR"/>
              </w:rPr>
              <w:t>’</w:t>
            </w:r>
            <w:r w:rsidRPr="00F16887">
              <w:rPr>
                <w:lang w:val="fr-FR"/>
              </w:rPr>
              <w:t>examen initial</w:t>
            </w:r>
          </w:p>
        </w:tc>
        <w:tc>
          <w:tcPr>
            <w:tcW w:w="2154" w:type="dxa"/>
            <w:vAlign w:val="center"/>
            <w:hideMark/>
          </w:tcPr>
          <w:p w14:paraId="331E8368" w14:textId="18533EBC" w:rsidR="001077E2" w:rsidRPr="00F16887" w:rsidRDefault="001077E2" w:rsidP="00F16887">
            <w:pPr>
              <w:keepNext/>
              <w:rPr>
                <w:rFonts w:eastAsia="Times New Roman"/>
                <w:szCs w:val="22"/>
                <w:lang w:val="fr-FR"/>
              </w:rPr>
            </w:pPr>
            <w:r w:rsidRPr="00F16887">
              <w:rPr>
                <w:lang w:val="fr-FR"/>
              </w:rPr>
              <w:t>Le calcul a été effectué sur la base de la période comprise entre la date de réception par l</w:t>
            </w:r>
            <w:r w:rsidR="00F16887">
              <w:rPr>
                <w:lang w:val="fr-FR"/>
              </w:rPr>
              <w:t>’</w:t>
            </w:r>
            <w:r w:rsidRPr="00F16887">
              <w:rPr>
                <w:lang w:val="fr-FR"/>
              </w:rPr>
              <w:t>IMPI et la date de notification du premier acte officiel d</w:t>
            </w:r>
            <w:r w:rsidR="00F16887">
              <w:rPr>
                <w:lang w:val="fr-FR"/>
              </w:rPr>
              <w:t>’</w:t>
            </w:r>
            <w:r w:rsidRPr="00F16887">
              <w:rPr>
                <w:lang w:val="fr-FR"/>
              </w:rPr>
              <w:t>examen quant au fond.</w:t>
            </w:r>
          </w:p>
        </w:tc>
        <w:tc>
          <w:tcPr>
            <w:tcW w:w="2154" w:type="dxa"/>
            <w:noWrap/>
            <w:vAlign w:val="center"/>
            <w:hideMark/>
          </w:tcPr>
          <w:p w14:paraId="34A3F730" w14:textId="77777777" w:rsidR="001077E2" w:rsidRPr="00F16887" w:rsidRDefault="001077E2" w:rsidP="00F16887">
            <w:pPr>
              <w:keepNext/>
              <w:jc w:val="center"/>
              <w:rPr>
                <w:rFonts w:eastAsia="Times New Roman"/>
                <w:szCs w:val="22"/>
                <w:lang w:val="fr-FR"/>
              </w:rPr>
            </w:pPr>
            <w:r w:rsidRPr="00F16887">
              <w:rPr>
                <w:lang w:val="fr-FR"/>
              </w:rPr>
              <w:t>45,99 mois</w:t>
            </w:r>
          </w:p>
        </w:tc>
        <w:tc>
          <w:tcPr>
            <w:tcW w:w="2154" w:type="dxa"/>
            <w:vAlign w:val="center"/>
            <w:hideMark/>
          </w:tcPr>
          <w:p w14:paraId="114EB994" w14:textId="77777777" w:rsidR="001077E2" w:rsidRPr="00F16887" w:rsidRDefault="001077E2" w:rsidP="00F16887">
            <w:pPr>
              <w:keepNext/>
              <w:rPr>
                <w:rFonts w:eastAsia="Times New Roman"/>
                <w:szCs w:val="22"/>
                <w:lang w:val="fr-FR"/>
              </w:rPr>
            </w:pPr>
            <w:r w:rsidRPr="00F16887">
              <w:rPr>
                <w:lang w:val="fr-FR"/>
              </w:rPr>
              <w:t xml:space="preserve">Le délai moyen de délivrance des brevets mexicains examinés en 2024 est de </w:t>
            </w:r>
            <w:r w:rsidRPr="00F16887">
              <w:rPr>
                <w:b/>
                <w:bCs/>
                <w:lang w:val="fr-FR"/>
              </w:rPr>
              <w:t>45,99 mois (3,83 ans).</w:t>
            </w:r>
          </w:p>
        </w:tc>
      </w:tr>
      <w:tr w:rsidR="001077E2" w:rsidRPr="00F16887" w14:paraId="2D670FF2" w14:textId="77777777" w:rsidTr="00D113DB">
        <w:trPr>
          <w:trHeight w:val="2700"/>
        </w:trPr>
        <w:tc>
          <w:tcPr>
            <w:tcW w:w="2560" w:type="dxa"/>
            <w:noWrap/>
            <w:vAlign w:val="center"/>
            <w:hideMark/>
          </w:tcPr>
          <w:p w14:paraId="636A8927" w14:textId="5CF9AF2D" w:rsidR="001077E2" w:rsidRPr="00F16887" w:rsidRDefault="001077E2" w:rsidP="00F16887">
            <w:pPr>
              <w:keepNext/>
              <w:jc w:val="center"/>
              <w:rPr>
                <w:rFonts w:eastAsia="Times New Roman"/>
                <w:szCs w:val="22"/>
                <w:lang w:val="fr-FR"/>
              </w:rPr>
            </w:pPr>
            <w:r w:rsidRPr="00F16887">
              <w:rPr>
                <w:lang w:val="fr-FR"/>
              </w:rPr>
              <w:t>Jusqu</w:t>
            </w:r>
            <w:r w:rsidR="00F16887">
              <w:rPr>
                <w:lang w:val="fr-FR"/>
              </w:rPr>
              <w:t>’</w:t>
            </w:r>
            <w:r w:rsidRPr="00F16887">
              <w:rPr>
                <w:lang w:val="fr-FR"/>
              </w:rPr>
              <w:t>à la délivrance</w:t>
            </w:r>
          </w:p>
        </w:tc>
        <w:tc>
          <w:tcPr>
            <w:tcW w:w="2154" w:type="dxa"/>
            <w:vAlign w:val="center"/>
            <w:hideMark/>
          </w:tcPr>
          <w:p w14:paraId="091C789F" w14:textId="7A0977FC" w:rsidR="001077E2" w:rsidRPr="00F16887" w:rsidRDefault="001077E2" w:rsidP="00F16887">
            <w:pPr>
              <w:keepNext/>
              <w:rPr>
                <w:rFonts w:eastAsia="Times New Roman"/>
                <w:szCs w:val="22"/>
                <w:lang w:val="fr-FR"/>
              </w:rPr>
            </w:pPr>
            <w:r w:rsidRPr="00F16887">
              <w:rPr>
                <w:lang w:val="fr-FR"/>
              </w:rPr>
              <w:t>Le calcul a été effectué sur la base de la période comprise entre la date de réception par l</w:t>
            </w:r>
            <w:r w:rsidR="00F16887">
              <w:rPr>
                <w:lang w:val="fr-FR"/>
              </w:rPr>
              <w:t>’</w:t>
            </w:r>
            <w:r w:rsidRPr="00F16887">
              <w:rPr>
                <w:lang w:val="fr-FR"/>
              </w:rPr>
              <w:t>IMPI et la date d</w:t>
            </w:r>
            <w:r w:rsidR="00F16887">
              <w:rPr>
                <w:lang w:val="fr-FR"/>
              </w:rPr>
              <w:t>’</w:t>
            </w:r>
            <w:r w:rsidRPr="00F16887">
              <w:rPr>
                <w:lang w:val="fr-FR"/>
              </w:rPr>
              <w:t>émission de la communication d</w:t>
            </w:r>
            <w:r w:rsidR="00F16887">
              <w:rPr>
                <w:lang w:val="fr-FR"/>
              </w:rPr>
              <w:t>’</w:t>
            </w:r>
            <w:r w:rsidRPr="00F16887">
              <w:rPr>
                <w:lang w:val="fr-FR"/>
              </w:rPr>
              <w:t>approbation de l</w:t>
            </w:r>
            <w:r w:rsidR="00F16887">
              <w:rPr>
                <w:lang w:val="fr-FR"/>
              </w:rPr>
              <w:t>’</w:t>
            </w:r>
            <w:r w:rsidRPr="00F16887">
              <w:rPr>
                <w:lang w:val="fr-FR"/>
              </w:rPr>
              <w:t>octroi dans le cadre de l</w:t>
            </w:r>
            <w:r w:rsidR="00F16887">
              <w:rPr>
                <w:lang w:val="fr-FR"/>
              </w:rPr>
              <w:t>’</w:t>
            </w:r>
            <w:r w:rsidRPr="00F16887">
              <w:rPr>
                <w:lang w:val="fr-FR"/>
              </w:rPr>
              <w:t>examen quant au fond.</w:t>
            </w:r>
          </w:p>
        </w:tc>
        <w:tc>
          <w:tcPr>
            <w:tcW w:w="2154" w:type="dxa"/>
            <w:noWrap/>
            <w:vAlign w:val="center"/>
            <w:hideMark/>
          </w:tcPr>
          <w:p w14:paraId="244C26A8" w14:textId="77777777" w:rsidR="001077E2" w:rsidRPr="00F16887" w:rsidRDefault="001077E2" w:rsidP="00F16887">
            <w:pPr>
              <w:keepNext/>
              <w:jc w:val="center"/>
              <w:rPr>
                <w:rFonts w:eastAsia="Times New Roman"/>
                <w:szCs w:val="22"/>
                <w:lang w:val="fr-FR"/>
              </w:rPr>
            </w:pPr>
            <w:r w:rsidRPr="00F16887">
              <w:rPr>
                <w:lang w:val="fr-FR"/>
              </w:rPr>
              <w:t>59,70 mois</w:t>
            </w:r>
          </w:p>
        </w:tc>
        <w:tc>
          <w:tcPr>
            <w:tcW w:w="2154" w:type="dxa"/>
            <w:vAlign w:val="center"/>
            <w:hideMark/>
          </w:tcPr>
          <w:p w14:paraId="1873CC08" w14:textId="16C380EF" w:rsidR="001077E2" w:rsidRPr="00F16887" w:rsidRDefault="001077E2" w:rsidP="00F16887">
            <w:pPr>
              <w:keepNext/>
              <w:rPr>
                <w:rFonts w:eastAsia="Times New Roman"/>
                <w:szCs w:val="22"/>
                <w:lang w:val="fr-FR"/>
              </w:rPr>
            </w:pPr>
            <w:r w:rsidRPr="00F16887">
              <w:rPr>
                <w:lang w:val="fr-FR"/>
              </w:rPr>
              <w:t>Le délai moyen d</w:t>
            </w:r>
            <w:r w:rsidR="00F16887">
              <w:rPr>
                <w:lang w:val="fr-FR"/>
              </w:rPr>
              <w:t>’</w:t>
            </w:r>
            <w:r w:rsidRPr="00F16887">
              <w:rPr>
                <w:lang w:val="fr-FR"/>
              </w:rPr>
              <w:t xml:space="preserve">octroi des 700 brevets mexicains délivrés en 2024 est de </w:t>
            </w:r>
            <w:r w:rsidRPr="00F16887">
              <w:rPr>
                <w:b/>
                <w:bCs/>
                <w:lang w:val="fr-FR"/>
              </w:rPr>
              <w:t>59,70 mois (4,98</w:t>
            </w:r>
            <w:r w:rsidR="00C95B35">
              <w:rPr>
                <w:b/>
                <w:bCs/>
                <w:lang w:val="fr-FR"/>
              </w:rPr>
              <w:t> </w:t>
            </w:r>
            <w:r w:rsidRPr="00F16887">
              <w:rPr>
                <w:b/>
                <w:bCs/>
                <w:lang w:val="fr-FR"/>
              </w:rPr>
              <w:t>ans).</w:t>
            </w:r>
          </w:p>
        </w:tc>
      </w:tr>
    </w:tbl>
    <w:p w14:paraId="65DB83DD" w14:textId="5B540198" w:rsidR="001077E2" w:rsidRPr="00F16887" w:rsidRDefault="001077E2" w:rsidP="00F16887">
      <w:pPr>
        <w:pStyle w:val="Answer"/>
        <w:spacing w:after="0"/>
        <w:ind w:left="0"/>
        <w:jc w:val="both"/>
      </w:pPr>
      <w:r w:rsidRPr="00F16887">
        <w:t>À l</w:t>
      </w:r>
      <w:r w:rsidR="00F16887">
        <w:t>’</w:t>
      </w:r>
      <w:r w:rsidRPr="00F16887">
        <w:t>IMPI, les examens quant au fond sont effectués par ordre de priorité, en tenant compte du nombre de demandes en attente et du nombre d</w:t>
      </w:r>
      <w:r w:rsidR="00F16887">
        <w:t>’</w:t>
      </w:r>
      <w:r w:rsidRPr="00F16887">
        <w:t>examinateurs</w:t>
      </w:r>
    </w:p>
    <w:p w14:paraId="315EA408" w14:textId="77777777" w:rsidR="001077E2" w:rsidRPr="00F16887" w:rsidRDefault="001077E2" w:rsidP="00F16887">
      <w:pPr>
        <w:pStyle w:val="Answer"/>
        <w:spacing w:after="0"/>
        <w:ind w:left="0"/>
        <w:jc w:val="both"/>
      </w:pPr>
    </w:p>
    <w:p w14:paraId="16C78C38" w14:textId="070CB58B" w:rsidR="001077E2" w:rsidRPr="00F16887" w:rsidRDefault="001077E2" w:rsidP="00F16887">
      <w:pPr>
        <w:pStyle w:val="Answer"/>
        <w:spacing w:after="0"/>
        <w:ind w:left="0"/>
        <w:jc w:val="both"/>
      </w:pPr>
      <w:r w:rsidRPr="00F16887">
        <w:t>L</w:t>
      </w:r>
      <w:r w:rsidR="00F16887">
        <w:t>’</w:t>
      </w:r>
      <w:r w:rsidRPr="00F16887">
        <w:t>IMPI a signé plusieurs accords de PPH avec les offices de propriété intellectuelle de divers pays, tels que l</w:t>
      </w:r>
      <w:r w:rsidR="00F16887">
        <w:t>’</w:t>
      </w:r>
      <w:r w:rsidRPr="00F16887">
        <w:t>USPTO, l</w:t>
      </w:r>
      <w:r w:rsidR="00F16887">
        <w:t>’</w:t>
      </w:r>
      <w:r w:rsidRPr="00F16887">
        <w:t>OEB, l</w:t>
      </w:r>
      <w:r w:rsidR="00F16887">
        <w:t>’</w:t>
      </w:r>
      <w:r w:rsidRPr="00F16887">
        <w:t>OEPM,</w:t>
      </w:r>
      <w:r w:rsidR="00F16887" w:rsidRPr="00F16887">
        <w:t xml:space="preserve"> le</w:t>
      </w:r>
      <w:r w:rsidR="00F16887">
        <w:t> </w:t>
      </w:r>
      <w:r w:rsidR="00F16887" w:rsidRPr="00F16887">
        <w:t>MOI</w:t>
      </w:r>
      <w:r w:rsidRPr="00F16887">
        <w:t>P de la République de Corée et l</w:t>
      </w:r>
      <w:r w:rsidR="00F16887">
        <w:t>’</w:t>
      </w:r>
      <w:r w:rsidRPr="00F16887">
        <w:t>Office de la propriété intellectuelle du Cana</w:t>
      </w:r>
      <w:r w:rsidR="00C95B35" w:rsidRPr="00F16887">
        <w:t>da</w:t>
      </w:r>
      <w:r w:rsidR="00C95B35">
        <w:t xml:space="preserve">.  </w:t>
      </w:r>
      <w:r w:rsidR="00C95B35" w:rsidRPr="00F16887">
        <w:t>Ce</w:t>
      </w:r>
      <w:r w:rsidRPr="00F16887">
        <w:t>la permet d</w:t>
      </w:r>
      <w:r w:rsidR="00F16887">
        <w:t>’</w:t>
      </w:r>
      <w:r w:rsidRPr="00F16887">
        <w:t>accélérer l</w:t>
      </w:r>
      <w:r w:rsidR="00F16887">
        <w:t>’</w:t>
      </w:r>
      <w:r w:rsidRPr="00F16887">
        <w:t>examen des demandes lorsque le déposant le demande, sur la base des résultats de brevetabilité obtenus dans d</w:t>
      </w:r>
      <w:r w:rsidR="00F16887">
        <w:t>’</w:t>
      </w:r>
      <w:r w:rsidRPr="00F16887">
        <w:t>autres pays ou d</w:t>
      </w:r>
      <w:r w:rsidR="00F16887">
        <w:t>’</w:t>
      </w:r>
      <w:r w:rsidRPr="00F16887">
        <w:t>un avis favorable en vertu du PCT.</w:t>
      </w:r>
    </w:p>
    <w:p w14:paraId="005AF480" w14:textId="77777777" w:rsidR="001077E2" w:rsidRPr="00F16887" w:rsidRDefault="001077E2" w:rsidP="00F16887">
      <w:pPr>
        <w:pStyle w:val="Answer"/>
        <w:spacing w:after="0"/>
        <w:ind w:left="0"/>
        <w:jc w:val="both"/>
      </w:pPr>
    </w:p>
    <w:p w14:paraId="3C626FCC" w14:textId="559C0D2A" w:rsidR="001077E2" w:rsidRPr="00F16887" w:rsidRDefault="001077E2" w:rsidP="00F16887">
      <w:pPr>
        <w:pStyle w:val="Answer"/>
        <w:spacing w:after="0"/>
        <w:ind w:left="0"/>
        <w:jc w:val="both"/>
      </w:pPr>
      <w:r w:rsidRPr="00F16887">
        <w:t>En outre, des protocoles d</w:t>
      </w:r>
      <w:r w:rsidR="00F16887">
        <w:t>’</w:t>
      </w:r>
      <w:r w:rsidRPr="00F16887">
        <w:t>accord ont été signés avec l</w:t>
      </w:r>
      <w:r w:rsidR="00F16887">
        <w:t>’</w:t>
      </w:r>
      <w:r w:rsidRPr="00F16887">
        <w:t>USPTO et l</w:t>
      </w:r>
      <w:r w:rsidR="00F16887">
        <w:t>’</w:t>
      </w:r>
      <w:r w:rsidRPr="00F16887">
        <w:t>OEB afin de reconnaître le travail de ces offices en matière de brevets délivrés, lorsqu</w:t>
      </w:r>
      <w:r w:rsidR="00F16887">
        <w:t>’</w:t>
      </w:r>
      <w:r w:rsidRPr="00F16887">
        <w:t>il existe des demandes correspondant aux demandes déposées auprès de l</w:t>
      </w:r>
      <w:r w:rsidR="00F16887">
        <w:t>’</w:t>
      </w:r>
      <w:r w:rsidRPr="00F16887">
        <w:t>IMPI.</w:t>
      </w:r>
    </w:p>
    <w:p w14:paraId="2767BFC7" w14:textId="77777777" w:rsidR="001077E2" w:rsidRPr="00F16887" w:rsidRDefault="001077E2" w:rsidP="00F16887">
      <w:pPr>
        <w:pStyle w:val="Answer"/>
        <w:spacing w:after="0"/>
        <w:ind w:left="0"/>
        <w:jc w:val="both"/>
      </w:pPr>
    </w:p>
    <w:p w14:paraId="5234EEE9" w14:textId="6B72796C" w:rsidR="001077E2" w:rsidRPr="00F16887" w:rsidRDefault="001077E2" w:rsidP="00F16887">
      <w:pPr>
        <w:pStyle w:val="Answer"/>
        <w:spacing w:after="0"/>
        <w:ind w:left="0"/>
        <w:jc w:val="both"/>
      </w:pPr>
      <w:r w:rsidRPr="00F16887">
        <w:t>Enfin, l</w:t>
      </w:r>
      <w:r w:rsidR="00F16887">
        <w:t>’</w:t>
      </w:r>
      <w:r w:rsidRPr="00F16887">
        <w:t>IMPI s</w:t>
      </w:r>
      <w:r w:rsidR="00F16887">
        <w:t>’</w:t>
      </w:r>
      <w:r w:rsidRPr="00F16887">
        <w:t>engage à améliorer son service à la clientèle dans son ensemble, mais reconnaît les délais stricts imposés par le PCT pour la recherche internationale et l</w:t>
      </w:r>
      <w:r w:rsidR="00F16887">
        <w:t>’</w:t>
      </w:r>
      <w:r w:rsidRPr="00F16887">
        <w:t>examen préliminaire international et veille à ce que les demandes internationales soient traitées en priorité.</w:t>
      </w:r>
    </w:p>
    <w:p w14:paraId="53BE54A2" w14:textId="77777777" w:rsidR="001077E2" w:rsidRPr="00F16887" w:rsidRDefault="001077E2" w:rsidP="00F16887">
      <w:pPr>
        <w:pStyle w:val="Answer"/>
        <w:spacing w:after="0"/>
        <w:ind w:left="0"/>
        <w:jc w:val="both"/>
        <w:rPr>
          <w:i/>
          <w:iCs/>
        </w:rPr>
      </w:pPr>
    </w:p>
    <w:p w14:paraId="47C1AB95" w14:textId="3FCF7DE7" w:rsidR="001077E2" w:rsidRPr="00F16887" w:rsidRDefault="001077E2" w:rsidP="0025290E">
      <w:pPr>
        <w:pStyle w:val="Question"/>
        <w:spacing w:after="0"/>
      </w:pPr>
      <w:r w:rsidRPr="00F16887">
        <w:lastRenderedPageBreak/>
        <w:t>e)</w:t>
      </w:r>
      <w:r w:rsidRPr="00F16887">
        <w:tab/>
        <w:t>Volume de travail au niveau national</w:t>
      </w:r>
      <w:r w:rsidR="00F16887">
        <w:t> :</w:t>
      </w:r>
    </w:p>
    <w:p w14:paraId="6BE06013" w14:textId="77777777" w:rsidR="001077E2" w:rsidRPr="00F16887" w:rsidRDefault="001077E2" w:rsidP="0025290E">
      <w:pPr>
        <w:pStyle w:val="Answer"/>
        <w:keepNext/>
        <w:spacing w:after="0"/>
        <w:ind w:left="0"/>
      </w:pPr>
    </w:p>
    <w:tbl>
      <w:tblPr>
        <w:tblW w:w="0" w:type="auto"/>
        <w:tblCellMar>
          <w:left w:w="0" w:type="dxa"/>
          <w:right w:w="0" w:type="dxa"/>
        </w:tblCellMar>
        <w:tblLook w:val="04A0" w:firstRow="1" w:lastRow="0" w:firstColumn="1" w:lastColumn="0" w:noHBand="0" w:noVBand="1"/>
        <w:tblCaption w:val="Volume de travail national"/>
        <w:tblDescription w:val="Ce tableau indique le nombre de demandes de brevet en instance au sein de l’office candidat, avec des valeurs globales, le nombre de demandes en attente de recherche et le nombre de demandes en attente de premier examen."/>
      </w:tblPr>
      <w:tblGrid>
        <w:gridCol w:w="3137"/>
        <w:gridCol w:w="2084"/>
        <w:gridCol w:w="1981"/>
        <w:gridCol w:w="2133"/>
      </w:tblGrid>
      <w:tr w:rsidR="001077E2" w:rsidRPr="00F16887" w14:paraId="5E424BF1" w14:textId="77777777" w:rsidTr="00D113DB">
        <w:trPr>
          <w:cantSplit/>
          <w:tblHeader/>
        </w:trPr>
        <w:tc>
          <w:tcPr>
            <w:tcW w:w="4643" w:type="dxa"/>
            <w:tcBorders>
              <w:top w:val="single" w:sz="8" w:space="0" w:color="auto"/>
              <w:left w:val="single" w:sz="8" w:space="0" w:color="auto"/>
              <w:bottom w:val="single" w:sz="8" w:space="0" w:color="auto"/>
              <w:right w:val="single" w:sz="8" w:space="0" w:color="auto"/>
            </w:tcBorders>
            <w:shd w:val="clear" w:color="auto" w:fill="235B4E"/>
            <w:tcMar>
              <w:top w:w="0" w:type="dxa"/>
              <w:left w:w="108" w:type="dxa"/>
              <w:bottom w:w="0" w:type="dxa"/>
              <w:right w:w="108" w:type="dxa"/>
            </w:tcMar>
            <w:vAlign w:val="center"/>
            <w:hideMark/>
          </w:tcPr>
          <w:p w14:paraId="19D296CA" w14:textId="77777777" w:rsidR="001077E2" w:rsidRPr="00F16887" w:rsidRDefault="001077E2" w:rsidP="00F16887">
            <w:pPr>
              <w:keepNext/>
              <w:jc w:val="center"/>
              <w:rPr>
                <w:rFonts w:ascii="Aptos" w:eastAsiaTheme="minorHAnsi" w:hAnsi="Aptos" w:cs="Aptos"/>
                <w:b/>
                <w:bCs/>
                <w:color w:val="FFFFFF" w:themeColor="background1"/>
                <w:lang w:val="fr-FR"/>
              </w:rPr>
            </w:pPr>
            <w:r w:rsidRPr="00F16887">
              <w:rPr>
                <w:b/>
                <w:color w:val="FFFFFF" w:themeColor="background1"/>
                <w:lang w:val="fr-FR"/>
              </w:rPr>
              <w:t>Tâche</w:t>
            </w:r>
          </w:p>
        </w:tc>
        <w:tc>
          <w:tcPr>
            <w:tcW w:w="2720" w:type="dxa"/>
            <w:tcBorders>
              <w:top w:val="single" w:sz="8" w:space="0" w:color="auto"/>
              <w:left w:val="nil"/>
              <w:bottom w:val="single" w:sz="8" w:space="0" w:color="auto"/>
              <w:right w:val="single" w:sz="8" w:space="0" w:color="auto"/>
            </w:tcBorders>
            <w:shd w:val="clear" w:color="auto" w:fill="235B4E"/>
            <w:tcMar>
              <w:top w:w="0" w:type="dxa"/>
              <w:left w:w="108" w:type="dxa"/>
              <w:bottom w:w="0" w:type="dxa"/>
              <w:right w:w="108" w:type="dxa"/>
            </w:tcMar>
            <w:vAlign w:val="center"/>
            <w:hideMark/>
          </w:tcPr>
          <w:p w14:paraId="3EEF8DC9" w14:textId="77777777" w:rsidR="001077E2" w:rsidRPr="00F16887" w:rsidRDefault="001077E2" w:rsidP="00F16887">
            <w:pPr>
              <w:keepNext/>
              <w:jc w:val="center"/>
              <w:rPr>
                <w:b/>
                <w:bCs/>
                <w:color w:val="FFFFFF" w:themeColor="background1"/>
                <w:lang w:val="fr-FR"/>
              </w:rPr>
            </w:pPr>
            <w:r w:rsidRPr="00F16887">
              <w:rPr>
                <w:b/>
                <w:color w:val="FFFFFF" w:themeColor="background1"/>
                <w:lang w:val="fr-FR"/>
              </w:rPr>
              <w:t>Nombre de demandes déposées par des résidents mexicains</w:t>
            </w:r>
          </w:p>
        </w:tc>
        <w:tc>
          <w:tcPr>
            <w:tcW w:w="2694" w:type="dxa"/>
            <w:tcBorders>
              <w:top w:val="single" w:sz="8" w:space="0" w:color="auto"/>
              <w:left w:val="nil"/>
              <w:bottom w:val="single" w:sz="8" w:space="0" w:color="auto"/>
              <w:right w:val="single" w:sz="8" w:space="0" w:color="auto"/>
            </w:tcBorders>
            <w:shd w:val="clear" w:color="auto" w:fill="235B4E"/>
            <w:vAlign w:val="center"/>
            <w:hideMark/>
          </w:tcPr>
          <w:p w14:paraId="071F4006" w14:textId="77777777" w:rsidR="001077E2" w:rsidRPr="00F16887" w:rsidRDefault="001077E2" w:rsidP="00F16887">
            <w:pPr>
              <w:keepNext/>
              <w:jc w:val="center"/>
              <w:rPr>
                <w:b/>
                <w:bCs/>
                <w:color w:val="FFFFFF" w:themeColor="background1"/>
                <w:lang w:val="fr-FR"/>
              </w:rPr>
            </w:pPr>
            <w:r w:rsidRPr="00F16887">
              <w:rPr>
                <w:b/>
                <w:color w:val="FFFFFF" w:themeColor="background1"/>
                <w:lang w:val="fr-FR"/>
              </w:rPr>
              <w:t>Nombre de demandes déposées par des étrangers</w:t>
            </w:r>
          </w:p>
        </w:tc>
        <w:tc>
          <w:tcPr>
            <w:tcW w:w="2970" w:type="dxa"/>
            <w:tcBorders>
              <w:top w:val="single" w:sz="8" w:space="0" w:color="auto"/>
              <w:left w:val="nil"/>
              <w:bottom w:val="single" w:sz="8" w:space="0" w:color="auto"/>
              <w:right w:val="single" w:sz="8" w:space="0" w:color="auto"/>
            </w:tcBorders>
            <w:shd w:val="clear" w:color="auto" w:fill="235B4E"/>
            <w:vAlign w:val="center"/>
            <w:hideMark/>
          </w:tcPr>
          <w:p w14:paraId="54E7DE26" w14:textId="77777777" w:rsidR="001077E2" w:rsidRPr="00F16887" w:rsidRDefault="001077E2" w:rsidP="00F16887">
            <w:pPr>
              <w:keepNext/>
              <w:jc w:val="center"/>
              <w:rPr>
                <w:b/>
                <w:bCs/>
                <w:color w:val="FFFFFF" w:themeColor="background1"/>
                <w:lang w:val="fr-FR"/>
              </w:rPr>
            </w:pPr>
            <w:r w:rsidRPr="00F16887">
              <w:rPr>
                <w:b/>
                <w:color w:val="FFFFFF" w:themeColor="background1"/>
                <w:lang w:val="fr-FR"/>
              </w:rPr>
              <w:t>Nombre total de demandes</w:t>
            </w:r>
          </w:p>
        </w:tc>
      </w:tr>
      <w:tr w:rsidR="001077E2" w:rsidRPr="00F16887" w14:paraId="2474D2EC" w14:textId="77777777" w:rsidTr="00D113DB">
        <w:trPr>
          <w:cantSplit/>
        </w:trPr>
        <w:tc>
          <w:tcPr>
            <w:tcW w:w="4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84B39" w14:textId="77777777" w:rsidR="001077E2" w:rsidRPr="00F16887" w:rsidRDefault="001077E2" w:rsidP="00F16887">
            <w:pPr>
              <w:keepNext/>
              <w:rPr>
                <w:lang w:val="fr-FR"/>
              </w:rPr>
            </w:pPr>
            <w:r w:rsidRPr="00F16887">
              <w:rPr>
                <w:lang w:val="fr-FR"/>
              </w:rPr>
              <w:t>Demandes en attente</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A880D" w14:textId="77777777" w:rsidR="001077E2" w:rsidRPr="00F16887" w:rsidRDefault="001077E2" w:rsidP="00F16887">
            <w:pPr>
              <w:jc w:val="center"/>
              <w:rPr>
                <w:lang w:val="fr-FR"/>
              </w:rPr>
            </w:pPr>
            <w:r w:rsidRPr="00F16887">
              <w:rPr>
                <w:lang w:val="fr-FR"/>
              </w:rPr>
              <w:t>3 520</w:t>
            </w:r>
          </w:p>
        </w:tc>
        <w:tc>
          <w:tcPr>
            <w:tcW w:w="2694" w:type="dxa"/>
            <w:tcBorders>
              <w:top w:val="nil"/>
              <w:left w:val="nil"/>
              <w:bottom w:val="single" w:sz="8" w:space="0" w:color="auto"/>
              <w:right w:val="single" w:sz="8" w:space="0" w:color="auto"/>
            </w:tcBorders>
            <w:vAlign w:val="center"/>
            <w:hideMark/>
          </w:tcPr>
          <w:p w14:paraId="10E212FF" w14:textId="77777777" w:rsidR="001077E2" w:rsidRPr="00F16887" w:rsidRDefault="001077E2" w:rsidP="00F16887">
            <w:pPr>
              <w:jc w:val="center"/>
              <w:rPr>
                <w:lang w:val="fr-FR"/>
                <w14:ligatures w14:val="standardContextual"/>
              </w:rPr>
            </w:pPr>
            <w:r w:rsidRPr="00F16887">
              <w:rPr>
                <w:lang w:val="fr-FR"/>
              </w:rPr>
              <w:t>56 599</w:t>
            </w:r>
          </w:p>
        </w:tc>
        <w:tc>
          <w:tcPr>
            <w:tcW w:w="2970" w:type="dxa"/>
            <w:tcBorders>
              <w:top w:val="nil"/>
              <w:left w:val="nil"/>
              <w:bottom w:val="single" w:sz="8" w:space="0" w:color="auto"/>
              <w:right w:val="single" w:sz="8" w:space="0" w:color="auto"/>
            </w:tcBorders>
            <w:vAlign w:val="center"/>
            <w:hideMark/>
          </w:tcPr>
          <w:p w14:paraId="4BFF83EC" w14:textId="77777777" w:rsidR="001077E2" w:rsidRPr="00F16887" w:rsidRDefault="001077E2" w:rsidP="00F16887">
            <w:pPr>
              <w:jc w:val="center"/>
              <w:rPr>
                <w:lang w:val="fr-FR"/>
              </w:rPr>
            </w:pPr>
            <w:r w:rsidRPr="00F16887">
              <w:rPr>
                <w:lang w:val="fr-FR"/>
              </w:rPr>
              <w:t>60 119</w:t>
            </w:r>
          </w:p>
        </w:tc>
      </w:tr>
      <w:tr w:rsidR="001077E2" w:rsidRPr="00F16887" w14:paraId="07484FAC" w14:textId="77777777" w:rsidTr="00D113DB">
        <w:trPr>
          <w:cantSplit/>
        </w:trPr>
        <w:tc>
          <w:tcPr>
            <w:tcW w:w="4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C6793" w14:textId="30B4A96E" w:rsidR="001077E2" w:rsidRPr="00F16887" w:rsidRDefault="001077E2" w:rsidP="00F16887">
            <w:pPr>
              <w:keepNext/>
              <w:rPr>
                <w:lang w:val="fr-FR"/>
              </w:rPr>
            </w:pPr>
            <w:r w:rsidRPr="00F16887">
              <w:rPr>
                <w:lang w:val="fr-FR"/>
              </w:rPr>
              <w:t>Demandes faisant l</w:t>
            </w:r>
            <w:r w:rsidR="00F16887">
              <w:rPr>
                <w:lang w:val="fr-FR"/>
              </w:rPr>
              <w:t>’</w:t>
            </w:r>
            <w:r w:rsidRPr="00F16887">
              <w:rPr>
                <w:lang w:val="fr-FR"/>
              </w:rPr>
              <w:t>objet d</w:t>
            </w:r>
            <w:r w:rsidR="00F16887">
              <w:rPr>
                <w:lang w:val="fr-FR"/>
              </w:rPr>
              <w:t>’</w:t>
            </w:r>
            <w:r w:rsidRPr="00F16887">
              <w:rPr>
                <w:lang w:val="fr-FR"/>
              </w:rPr>
              <w:t xml:space="preserve">un examen quant au fond </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AE42F4" w14:textId="77777777" w:rsidR="001077E2" w:rsidRPr="00F16887" w:rsidRDefault="001077E2" w:rsidP="00F16887">
            <w:pPr>
              <w:jc w:val="center"/>
              <w:rPr>
                <w:lang w:val="fr-FR"/>
              </w:rPr>
            </w:pPr>
            <w:r w:rsidRPr="00F16887">
              <w:rPr>
                <w:lang w:val="fr-FR"/>
              </w:rPr>
              <w:t>1 867</w:t>
            </w:r>
          </w:p>
        </w:tc>
        <w:tc>
          <w:tcPr>
            <w:tcW w:w="2694" w:type="dxa"/>
            <w:tcBorders>
              <w:top w:val="nil"/>
              <w:left w:val="nil"/>
              <w:bottom w:val="single" w:sz="8" w:space="0" w:color="auto"/>
              <w:right w:val="single" w:sz="8" w:space="0" w:color="auto"/>
            </w:tcBorders>
            <w:vAlign w:val="center"/>
            <w:hideMark/>
          </w:tcPr>
          <w:p w14:paraId="344B483C" w14:textId="77777777" w:rsidR="001077E2" w:rsidRPr="00F16887" w:rsidRDefault="001077E2" w:rsidP="00F16887">
            <w:pPr>
              <w:jc w:val="center"/>
              <w:rPr>
                <w:lang w:val="fr-FR"/>
              </w:rPr>
            </w:pPr>
            <w:r w:rsidRPr="00F16887">
              <w:rPr>
                <w:lang w:val="fr-FR"/>
              </w:rPr>
              <w:t>9 524</w:t>
            </w:r>
          </w:p>
        </w:tc>
        <w:tc>
          <w:tcPr>
            <w:tcW w:w="2970" w:type="dxa"/>
            <w:tcBorders>
              <w:top w:val="nil"/>
              <w:left w:val="nil"/>
              <w:bottom w:val="single" w:sz="8" w:space="0" w:color="auto"/>
              <w:right w:val="single" w:sz="8" w:space="0" w:color="auto"/>
            </w:tcBorders>
            <w:vAlign w:val="center"/>
            <w:hideMark/>
          </w:tcPr>
          <w:p w14:paraId="471EE51C" w14:textId="77777777" w:rsidR="001077E2" w:rsidRPr="00F16887" w:rsidRDefault="001077E2" w:rsidP="00F16887">
            <w:pPr>
              <w:jc w:val="center"/>
              <w:rPr>
                <w:lang w:val="fr-FR"/>
              </w:rPr>
            </w:pPr>
            <w:r w:rsidRPr="00F16887">
              <w:rPr>
                <w:lang w:val="fr-FR"/>
              </w:rPr>
              <w:t>11 391</w:t>
            </w:r>
          </w:p>
        </w:tc>
      </w:tr>
      <w:tr w:rsidR="001077E2" w:rsidRPr="00F16887" w14:paraId="2B188C45" w14:textId="77777777" w:rsidTr="00D113DB">
        <w:trPr>
          <w:cantSplit/>
        </w:trPr>
        <w:tc>
          <w:tcPr>
            <w:tcW w:w="4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252D8E" w14:textId="0EA0AFAC" w:rsidR="001077E2" w:rsidRPr="00F16887" w:rsidRDefault="001077E2" w:rsidP="00F16887">
            <w:pPr>
              <w:rPr>
                <w:lang w:val="fr-FR"/>
              </w:rPr>
            </w:pPr>
            <w:r w:rsidRPr="00F16887">
              <w:rPr>
                <w:lang w:val="fr-FR"/>
              </w:rPr>
              <w:t>Demandes faisant l</w:t>
            </w:r>
            <w:r w:rsidR="00F16887">
              <w:rPr>
                <w:lang w:val="fr-FR"/>
              </w:rPr>
              <w:t>’</w:t>
            </w:r>
            <w:r w:rsidRPr="00F16887">
              <w:rPr>
                <w:lang w:val="fr-FR"/>
              </w:rPr>
              <w:t>objet d</w:t>
            </w:r>
            <w:r w:rsidR="00F16887">
              <w:rPr>
                <w:lang w:val="fr-FR"/>
              </w:rPr>
              <w:t>’</w:t>
            </w:r>
            <w:r w:rsidRPr="00F16887">
              <w:rPr>
                <w:lang w:val="fr-FR"/>
              </w:rPr>
              <w:t>un examen quant au fond pas encore commencé</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51AA01" w14:textId="77777777" w:rsidR="001077E2" w:rsidRPr="00F16887" w:rsidRDefault="001077E2" w:rsidP="00F16887">
            <w:pPr>
              <w:jc w:val="center"/>
              <w:rPr>
                <w:lang w:val="fr-FR"/>
              </w:rPr>
            </w:pPr>
            <w:r w:rsidRPr="00F16887">
              <w:rPr>
                <w:lang w:val="fr-FR"/>
              </w:rPr>
              <w:t>363</w:t>
            </w:r>
          </w:p>
        </w:tc>
        <w:tc>
          <w:tcPr>
            <w:tcW w:w="2694" w:type="dxa"/>
            <w:tcBorders>
              <w:top w:val="nil"/>
              <w:left w:val="nil"/>
              <w:bottom w:val="single" w:sz="8" w:space="0" w:color="auto"/>
              <w:right w:val="single" w:sz="8" w:space="0" w:color="auto"/>
            </w:tcBorders>
            <w:vAlign w:val="center"/>
            <w:hideMark/>
          </w:tcPr>
          <w:p w14:paraId="0CF3C74D" w14:textId="77777777" w:rsidR="001077E2" w:rsidRPr="00F16887" w:rsidRDefault="001077E2" w:rsidP="00F16887">
            <w:pPr>
              <w:jc w:val="center"/>
              <w:rPr>
                <w:lang w:val="fr-FR"/>
              </w:rPr>
            </w:pPr>
            <w:r w:rsidRPr="00F16887">
              <w:rPr>
                <w:lang w:val="fr-FR"/>
              </w:rPr>
              <w:t>41 785</w:t>
            </w:r>
          </w:p>
        </w:tc>
        <w:tc>
          <w:tcPr>
            <w:tcW w:w="2970" w:type="dxa"/>
            <w:tcBorders>
              <w:top w:val="nil"/>
              <w:left w:val="nil"/>
              <w:bottom w:val="single" w:sz="8" w:space="0" w:color="auto"/>
              <w:right w:val="single" w:sz="8" w:space="0" w:color="auto"/>
            </w:tcBorders>
            <w:vAlign w:val="center"/>
            <w:hideMark/>
          </w:tcPr>
          <w:p w14:paraId="7F318DC4" w14:textId="77777777" w:rsidR="001077E2" w:rsidRPr="00F16887" w:rsidRDefault="001077E2" w:rsidP="00F16887">
            <w:pPr>
              <w:jc w:val="center"/>
              <w:rPr>
                <w:lang w:val="fr-FR"/>
              </w:rPr>
            </w:pPr>
            <w:r w:rsidRPr="00F16887">
              <w:rPr>
                <w:lang w:val="fr-FR"/>
              </w:rPr>
              <w:t>42 148</w:t>
            </w:r>
          </w:p>
        </w:tc>
      </w:tr>
      <w:tr w:rsidR="001077E2" w:rsidRPr="00F16887" w14:paraId="07A7EDD1" w14:textId="77777777" w:rsidTr="00D113DB">
        <w:trPr>
          <w:cantSplit/>
        </w:trPr>
        <w:tc>
          <w:tcPr>
            <w:tcW w:w="464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C9F47A" w14:textId="5D3EA25F" w:rsidR="001077E2" w:rsidRPr="00F16887" w:rsidRDefault="001077E2" w:rsidP="00F16887">
            <w:pPr>
              <w:rPr>
                <w:lang w:val="fr-FR"/>
              </w:rPr>
            </w:pPr>
            <w:r w:rsidRPr="00F16887">
              <w:rPr>
                <w:lang w:val="fr-FR"/>
              </w:rPr>
              <w:t>Demandes avant l</w:t>
            </w:r>
            <w:r w:rsidR="00F16887">
              <w:rPr>
                <w:lang w:val="fr-FR"/>
              </w:rPr>
              <w:t>’</w:t>
            </w:r>
            <w:r w:rsidRPr="00F16887">
              <w:rPr>
                <w:lang w:val="fr-FR"/>
              </w:rPr>
              <w:t>examen quant au fond</w:t>
            </w:r>
          </w:p>
        </w:tc>
        <w:tc>
          <w:tcPr>
            <w:tcW w:w="27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B4DC1D" w14:textId="77777777" w:rsidR="001077E2" w:rsidRPr="00F16887" w:rsidRDefault="001077E2" w:rsidP="00F16887">
            <w:pPr>
              <w:jc w:val="center"/>
              <w:rPr>
                <w:lang w:val="fr-FR"/>
              </w:rPr>
            </w:pPr>
            <w:r w:rsidRPr="00F16887">
              <w:rPr>
                <w:lang w:val="fr-FR"/>
              </w:rPr>
              <w:t>1 290</w:t>
            </w:r>
          </w:p>
        </w:tc>
        <w:tc>
          <w:tcPr>
            <w:tcW w:w="2694" w:type="dxa"/>
            <w:tcBorders>
              <w:top w:val="nil"/>
              <w:left w:val="nil"/>
              <w:bottom w:val="single" w:sz="8" w:space="0" w:color="auto"/>
              <w:right w:val="single" w:sz="8" w:space="0" w:color="auto"/>
            </w:tcBorders>
            <w:vAlign w:val="center"/>
            <w:hideMark/>
          </w:tcPr>
          <w:p w14:paraId="3A6D1EAD" w14:textId="77777777" w:rsidR="001077E2" w:rsidRPr="00F16887" w:rsidRDefault="001077E2" w:rsidP="00F16887">
            <w:pPr>
              <w:jc w:val="center"/>
              <w:rPr>
                <w:lang w:val="fr-FR"/>
              </w:rPr>
            </w:pPr>
            <w:r w:rsidRPr="00F16887">
              <w:rPr>
                <w:lang w:val="fr-FR"/>
              </w:rPr>
              <w:t>5 290</w:t>
            </w:r>
          </w:p>
        </w:tc>
        <w:tc>
          <w:tcPr>
            <w:tcW w:w="2970" w:type="dxa"/>
            <w:tcBorders>
              <w:top w:val="nil"/>
              <w:left w:val="nil"/>
              <w:bottom w:val="single" w:sz="8" w:space="0" w:color="auto"/>
              <w:right w:val="single" w:sz="8" w:space="0" w:color="auto"/>
            </w:tcBorders>
            <w:vAlign w:val="center"/>
            <w:hideMark/>
          </w:tcPr>
          <w:p w14:paraId="073E9A09" w14:textId="77777777" w:rsidR="001077E2" w:rsidRPr="00F16887" w:rsidRDefault="001077E2" w:rsidP="00F16887">
            <w:pPr>
              <w:jc w:val="center"/>
              <w:rPr>
                <w:lang w:val="fr-FR"/>
              </w:rPr>
            </w:pPr>
            <w:r w:rsidRPr="00F16887">
              <w:rPr>
                <w:lang w:val="fr-FR"/>
              </w:rPr>
              <w:t>6 580</w:t>
            </w:r>
          </w:p>
        </w:tc>
      </w:tr>
    </w:tbl>
    <w:p w14:paraId="505B1449" w14:textId="77777777" w:rsidR="001077E2" w:rsidRPr="00F16887" w:rsidRDefault="001077E2" w:rsidP="0025290E">
      <w:pPr>
        <w:pStyle w:val="Answer"/>
        <w:spacing w:after="0"/>
        <w:ind w:left="0"/>
      </w:pPr>
    </w:p>
    <w:p w14:paraId="5126188C" w14:textId="4F88A9FD" w:rsidR="001077E2" w:rsidRDefault="001077E2" w:rsidP="00F16887">
      <w:pPr>
        <w:pStyle w:val="Question"/>
        <w:spacing w:before="240" w:after="0"/>
      </w:pPr>
      <w:r w:rsidRPr="00F16887">
        <w:t>f)</w:t>
      </w:r>
      <w:r w:rsidRPr="00F16887">
        <w:tab/>
        <w:t>Environnement de travail et temps consacré par les examinateurs aux fins de la recherche et de l</w:t>
      </w:r>
      <w:r w:rsidR="00F16887">
        <w:t>’</w:t>
      </w:r>
      <w:r w:rsidRPr="00F16887">
        <w:t>examen</w:t>
      </w:r>
      <w:r w:rsidR="00F16887">
        <w:t> :</w:t>
      </w:r>
    </w:p>
    <w:p w14:paraId="00420E87" w14:textId="77777777" w:rsidR="0025290E" w:rsidRPr="0025290E" w:rsidRDefault="0025290E" w:rsidP="0025290E">
      <w:pPr>
        <w:pStyle w:val="Question"/>
        <w:spacing w:after="0"/>
        <w:jc w:val="both"/>
        <w:rPr>
          <w:b w:val="0"/>
          <w:bCs w:val="0"/>
        </w:rPr>
      </w:pPr>
    </w:p>
    <w:p w14:paraId="3D889F82" w14:textId="2452C6C3" w:rsidR="001077E2" w:rsidRPr="00F16887" w:rsidRDefault="001077E2" w:rsidP="00F16887">
      <w:pPr>
        <w:pStyle w:val="Answer"/>
        <w:spacing w:after="0"/>
        <w:ind w:left="0"/>
        <w:jc w:val="both"/>
      </w:pPr>
      <w:r w:rsidRPr="00F16887">
        <w:t>Les recherches sur l</w:t>
      </w:r>
      <w:r w:rsidR="00F16887">
        <w:t>’</w:t>
      </w:r>
      <w:r w:rsidRPr="00F16887">
        <w:t>état de la technique et les examens quant au fond prennent en moyenne entre 16 et 30 heures à un examinateur de l</w:t>
      </w:r>
      <w:r w:rsidR="00F16887">
        <w:t>’</w:t>
      </w:r>
      <w:r w:rsidRPr="00F16887">
        <w:t>IMPI, selon la complexité technique de l</w:t>
      </w:r>
      <w:r w:rsidR="00F16887">
        <w:t>’</w:t>
      </w:r>
      <w:r w:rsidRPr="00F16887">
        <w:t>invention et l</w:t>
      </w:r>
      <w:r w:rsidR="00F16887">
        <w:t>’</w:t>
      </w:r>
      <w:r w:rsidRPr="00F16887">
        <w:t>expérience de l</w:t>
      </w:r>
      <w:r w:rsidR="00F16887">
        <w:t>’</w:t>
      </w:r>
      <w:r w:rsidRPr="00F16887">
        <w:t>examinateur.</w:t>
      </w:r>
    </w:p>
    <w:p w14:paraId="3D5C003D" w14:textId="5067DC35" w:rsidR="001077E2" w:rsidRPr="00F16887" w:rsidRDefault="001077E2" w:rsidP="00F16887">
      <w:pPr>
        <w:pStyle w:val="Answer"/>
        <w:spacing w:after="0"/>
        <w:ind w:left="0"/>
        <w:jc w:val="both"/>
      </w:pPr>
      <w:r w:rsidRPr="00F16887">
        <w:t>Les examinateurs disposent des outils technologiques nécessaires pour effectuer des recherches dans les bases de données publiques et payantes aux fins de trouver les documents de brevet et la littérature non</w:t>
      </w:r>
      <w:r w:rsidR="00C95B35">
        <w:noBreakHyphen/>
      </w:r>
      <w:r w:rsidRPr="00F16887">
        <w:t>brevet, à l</w:t>
      </w:r>
      <w:r w:rsidR="00F16887">
        <w:t>’</w:t>
      </w:r>
      <w:r w:rsidRPr="00F16887">
        <w:t>aide d</w:t>
      </w:r>
      <w:r w:rsidR="00F16887">
        <w:t>’</w:t>
      </w:r>
      <w:r w:rsidRPr="00F16887">
        <w:t>ordinateurs équipés d</w:t>
      </w:r>
      <w:r w:rsidR="00F16887">
        <w:t>’</w:t>
      </w:r>
      <w:r w:rsidRPr="00F16887">
        <w:t>un accès Internet haut débit et de deux</w:t>
      </w:r>
      <w:r w:rsidR="00B22F9C">
        <w:t> </w:t>
      </w:r>
      <w:r w:rsidRPr="00F16887">
        <w:t>écrans pour faciliter leur travail.</w:t>
      </w:r>
    </w:p>
    <w:p w14:paraId="0D81FEFA" w14:textId="77777777" w:rsidR="001077E2" w:rsidRPr="00F16887" w:rsidRDefault="001077E2" w:rsidP="00F16887">
      <w:pPr>
        <w:pStyle w:val="Answer"/>
        <w:spacing w:after="0"/>
        <w:ind w:left="0"/>
        <w:jc w:val="both"/>
      </w:pPr>
    </w:p>
    <w:p w14:paraId="4F1F75FD" w14:textId="3F69AEE6" w:rsidR="001077E2" w:rsidRPr="00F16887" w:rsidRDefault="001077E2" w:rsidP="00F16887">
      <w:pPr>
        <w:pStyle w:val="Question"/>
        <w:spacing w:after="0"/>
        <w:jc w:val="both"/>
      </w:pPr>
      <w:r w:rsidRPr="00F16887">
        <w:t>g)</w:t>
      </w:r>
      <w:r w:rsidRPr="00F16887">
        <w:tab/>
        <w:t>Qualité des services de recherche et d</w:t>
      </w:r>
      <w:r w:rsidR="00F16887">
        <w:t>’</w:t>
      </w:r>
      <w:r w:rsidRPr="00F16887">
        <w:t>examen nationaux</w:t>
      </w:r>
      <w:r w:rsidR="00F16887">
        <w:t> :</w:t>
      </w:r>
    </w:p>
    <w:p w14:paraId="04FE5B75" w14:textId="77777777" w:rsidR="001077E2" w:rsidRPr="0025290E" w:rsidRDefault="001077E2" w:rsidP="00F16887">
      <w:pPr>
        <w:pStyle w:val="Question"/>
        <w:spacing w:after="0"/>
        <w:jc w:val="both"/>
        <w:rPr>
          <w:b w:val="0"/>
          <w:bCs w:val="0"/>
        </w:rPr>
      </w:pPr>
    </w:p>
    <w:p w14:paraId="3450763B" w14:textId="71D244D7" w:rsidR="00F16887" w:rsidRDefault="001077E2" w:rsidP="00F16887">
      <w:pPr>
        <w:pStyle w:val="Question"/>
        <w:spacing w:after="0"/>
        <w:jc w:val="both"/>
        <w:rPr>
          <w:b w:val="0"/>
          <w:color w:val="000000" w:themeColor="text1"/>
        </w:rPr>
      </w:pPr>
      <w:r w:rsidRPr="00F16887">
        <w:rPr>
          <w:b w:val="0"/>
          <w:color w:val="000000" w:themeColor="text1"/>
        </w:rPr>
        <w:t>Le faible taux de procédures judiciaires administratives pour atteinte portée à un brevet ou nullité de brevet par rapport au nombre de brevets délivrés chaque année permet d</w:t>
      </w:r>
      <w:r w:rsidR="00F16887">
        <w:rPr>
          <w:b w:val="0"/>
          <w:color w:val="000000" w:themeColor="text1"/>
        </w:rPr>
        <w:t>’</w:t>
      </w:r>
      <w:r w:rsidRPr="00F16887">
        <w:rPr>
          <w:b w:val="0"/>
          <w:color w:val="000000" w:themeColor="text1"/>
        </w:rPr>
        <w:t>estimer la qualité de la recherche et de l</w:t>
      </w:r>
      <w:r w:rsidR="00F16887">
        <w:rPr>
          <w:b w:val="0"/>
          <w:color w:val="000000" w:themeColor="text1"/>
        </w:rPr>
        <w:t>’</w:t>
      </w:r>
      <w:r w:rsidRPr="00F16887">
        <w:rPr>
          <w:b w:val="0"/>
          <w:color w:val="000000" w:themeColor="text1"/>
        </w:rPr>
        <w:t>examen de brevetabilité effectués à l</w:t>
      </w:r>
      <w:r w:rsidR="00F16887">
        <w:rPr>
          <w:b w:val="0"/>
          <w:color w:val="000000" w:themeColor="text1"/>
        </w:rPr>
        <w:t>’</w:t>
      </w:r>
      <w:r w:rsidRPr="00F16887">
        <w:rPr>
          <w:b w:val="0"/>
          <w:color w:val="000000" w:themeColor="text1"/>
        </w:rPr>
        <w:t>IMPI.</w:t>
      </w:r>
    </w:p>
    <w:p w14:paraId="0AD19C80" w14:textId="07B7E172" w:rsidR="001077E2" w:rsidRPr="00F16887" w:rsidRDefault="001077E2" w:rsidP="00F16887">
      <w:pPr>
        <w:pStyle w:val="Answer"/>
        <w:spacing w:after="0"/>
        <w:ind w:left="0"/>
        <w:jc w:val="both"/>
      </w:pPr>
    </w:p>
    <w:p w14:paraId="266D80CA" w14:textId="62851804" w:rsidR="001077E2" w:rsidRPr="00F16887" w:rsidRDefault="001077E2" w:rsidP="00F16887">
      <w:pPr>
        <w:pStyle w:val="Answer"/>
        <w:spacing w:after="0"/>
        <w:ind w:left="0"/>
        <w:jc w:val="both"/>
      </w:pPr>
      <w:r w:rsidRPr="00F16887">
        <w:t>Une autre façon de démontrer la qualité de la recherche et de l</w:t>
      </w:r>
      <w:r w:rsidR="00F16887">
        <w:t>’</w:t>
      </w:r>
      <w:r w:rsidRPr="00F16887">
        <w:t>examen effectués par l</w:t>
      </w:r>
      <w:r w:rsidR="00F16887">
        <w:t>’</w:t>
      </w:r>
      <w:r w:rsidRPr="00F16887">
        <w:t>IMPI consiste à examiner les programmes visant à accélérer la délivrance des breve</w:t>
      </w:r>
      <w:r w:rsidR="00C95B35" w:rsidRPr="00F16887">
        <w:t>ts</w:t>
      </w:r>
      <w:r w:rsidR="00C95B35">
        <w:t xml:space="preserve">.  </w:t>
      </w:r>
      <w:r w:rsidR="00C95B35" w:rsidRPr="00F16887">
        <w:t>S</w:t>
      </w:r>
      <w:r w:rsidR="00C95B35">
        <w:t>’</w:t>
      </w:r>
      <w:r w:rsidR="00C95B35" w:rsidRPr="00F16887">
        <w:t>a</w:t>
      </w:r>
      <w:r w:rsidRPr="00F16887">
        <w:t>gissant de l</w:t>
      </w:r>
      <w:r w:rsidR="00F16887">
        <w:t>’</w:t>
      </w:r>
      <w:r w:rsidRPr="00F16887">
        <w:t>USPTO, 31 demandes ont été déposées dans le cadre du programme de PPH conclu entre l</w:t>
      </w:r>
      <w:r w:rsidR="00F16887">
        <w:t>’</w:t>
      </w:r>
      <w:r w:rsidRPr="00F16887">
        <w:t>IMPI et l</w:t>
      </w:r>
      <w:r w:rsidR="00F16887">
        <w:t>’</w:t>
      </w:r>
      <w:r w:rsidRPr="00F16887">
        <w:t>USPTO et ont donné lieu à la délivrance de 25 brevets et à six refus.</w:t>
      </w:r>
    </w:p>
    <w:p w14:paraId="51F29841" w14:textId="77777777" w:rsidR="001077E2" w:rsidRPr="00F16887" w:rsidRDefault="001077E2" w:rsidP="00F16887">
      <w:pPr>
        <w:pStyle w:val="Answer"/>
        <w:spacing w:after="0"/>
        <w:ind w:left="0"/>
        <w:jc w:val="both"/>
        <w:rPr>
          <w:i/>
          <w:iCs/>
        </w:rPr>
      </w:pPr>
    </w:p>
    <w:p w14:paraId="62C7CB68" w14:textId="77777777" w:rsidR="001077E2" w:rsidRPr="00F16887" w:rsidRDefault="001077E2" w:rsidP="00F16887">
      <w:pPr>
        <w:pStyle w:val="SectionHeading"/>
        <w:spacing w:after="0"/>
        <w:rPr>
          <w:lang w:val="fr-FR"/>
        </w:rPr>
      </w:pPr>
      <w:r w:rsidRPr="00F16887">
        <w:rPr>
          <w:lang w:val="fr-FR"/>
        </w:rPr>
        <w:t>7 – Appui nécessaire</w:t>
      </w:r>
    </w:p>
    <w:p w14:paraId="25D32DCC" w14:textId="59EAFF35" w:rsidR="001077E2" w:rsidRPr="00F16887" w:rsidRDefault="001077E2" w:rsidP="00F16887">
      <w:pPr>
        <w:pStyle w:val="Answer"/>
        <w:spacing w:after="0"/>
        <w:ind w:left="0"/>
        <w:jc w:val="both"/>
        <w:rPr>
          <w:i/>
          <w:iCs/>
        </w:rPr>
      </w:pPr>
      <w:r w:rsidRPr="00F16887">
        <w:t>L</w:t>
      </w:r>
      <w:r w:rsidR="00F16887">
        <w:t>’</w:t>
      </w:r>
      <w:r w:rsidRPr="00F16887">
        <w:t>IMPI peut utiliser ses propres ressources pour exercer les fonctions d</w:t>
      </w:r>
      <w:r w:rsidR="00F16887">
        <w:t>’</w:t>
      </w:r>
      <w:r w:rsidRPr="00F16887">
        <w:t>une administration chargée de la recherche internationale et de l</w:t>
      </w:r>
      <w:r w:rsidR="00F16887">
        <w:t>’</w:t>
      </w:r>
      <w:r w:rsidRPr="00F16887">
        <w:t>examen préliminaire international selon le PCT.  L</w:t>
      </w:r>
      <w:r w:rsidR="00F16887">
        <w:t>’</w:t>
      </w:r>
      <w:r w:rsidRPr="00F16887">
        <w:t>IMPI a conscience de la nécessité de sans cesse améliorer les compétences de son personnel pour son travail en qualité d</w:t>
      </w:r>
      <w:r w:rsidR="00F16887">
        <w:t>’</w:t>
      </w:r>
      <w:r w:rsidRPr="00F16887">
        <w:t>administration chargée de la recherche internationale et de l</w:t>
      </w:r>
      <w:r w:rsidR="00F16887">
        <w:t>’</w:t>
      </w:r>
      <w:r w:rsidRPr="00F16887">
        <w:t>examen préliminaire international et sollicitera à cet effet les conseils d</w:t>
      </w:r>
      <w:r w:rsidR="00F16887">
        <w:t>’</w:t>
      </w:r>
      <w:r w:rsidRPr="00F16887">
        <w:t>autres administrations.</w:t>
      </w:r>
    </w:p>
    <w:p w14:paraId="3190BCDB" w14:textId="77777777" w:rsidR="001077E2" w:rsidRPr="00F16887" w:rsidRDefault="001077E2" w:rsidP="00F16887">
      <w:pPr>
        <w:pStyle w:val="Answer"/>
        <w:spacing w:after="0"/>
        <w:ind w:left="0"/>
        <w:jc w:val="both"/>
      </w:pPr>
    </w:p>
    <w:p w14:paraId="18A9FDEB" w14:textId="77777777" w:rsidR="001077E2" w:rsidRPr="00F16887" w:rsidRDefault="001077E2" w:rsidP="00F16887">
      <w:pPr>
        <w:pStyle w:val="SectionHeading"/>
        <w:spacing w:after="0"/>
        <w:rPr>
          <w:lang w:val="fr-FR"/>
        </w:rPr>
      </w:pPr>
      <w:r w:rsidRPr="00F16887">
        <w:rPr>
          <w:lang w:val="fr-FR"/>
        </w:rPr>
        <w:t>8 – Divers</w:t>
      </w:r>
    </w:p>
    <w:p w14:paraId="4C7EEA7A" w14:textId="77777777" w:rsidR="001077E2" w:rsidRPr="00F16887" w:rsidRDefault="001077E2" w:rsidP="00F16887">
      <w:pPr>
        <w:pStyle w:val="Answer"/>
        <w:spacing w:after="0"/>
        <w:ind w:left="0"/>
        <w:jc w:val="both"/>
      </w:pPr>
      <w:r w:rsidRPr="00F16887">
        <w:t>s.o.</w:t>
      </w:r>
    </w:p>
    <w:p w14:paraId="3BF61673" w14:textId="62D2A5E1" w:rsidR="001077E2" w:rsidRPr="00F16887" w:rsidRDefault="001077E2" w:rsidP="00F16887">
      <w:pPr>
        <w:pStyle w:val="SectionHeading"/>
        <w:spacing w:after="0"/>
        <w:rPr>
          <w:lang w:val="fr-FR"/>
        </w:rPr>
      </w:pPr>
      <w:r w:rsidRPr="00F16887">
        <w:rPr>
          <w:lang w:val="fr-FR"/>
        </w:rPr>
        <w:lastRenderedPageBreak/>
        <w:t>9 – Évaluation par d</w:t>
      </w:r>
      <w:r w:rsidR="00F16887">
        <w:rPr>
          <w:lang w:val="fr-FR"/>
        </w:rPr>
        <w:t>’</w:t>
      </w:r>
      <w:r w:rsidRPr="00F16887">
        <w:rPr>
          <w:lang w:val="fr-FR"/>
        </w:rPr>
        <w:t>autres administrations</w:t>
      </w:r>
    </w:p>
    <w:p w14:paraId="6AC8023B" w14:textId="2DC3DBFF" w:rsidR="001077E2" w:rsidRPr="00F16887" w:rsidRDefault="001077E2" w:rsidP="00F16887">
      <w:pPr>
        <w:jc w:val="both"/>
        <w:rPr>
          <w:lang w:val="fr-FR"/>
        </w:rPr>
      </w:pPr>
      <w:r w:rsidRPr="00F16887">
        <w:rPr>
          <w:lang w:val="fr-FR"/>
        </w:rPr>
        <w:t>L</w:t>
      </w:r>
      <w:r w:rsidR="00F16887">
        <w:rPr>
          <w:lang w:val="fr-FR"/>
        </w:rPr>
        <w:t>’</w:t>
      </w:r>
      <w:r w:rsidRPr="00F16887">
        <w:rPr>
          <w:lang w:val="fr-FR"/>
        </w:rPr>
        <w:t>OEPM a joué le rôle d</w:t>
      </w:r>
      <w:r w:rsidR="00F16887">
        <w:rPr>
          <w:lang w:val="fr-FR"/>
        </w:rPr>
        <w:t>’</w:t>
      </w:r>
      <w:r w:rsidRPr="00F16887">
        <w:rPr>
          <w:lang w:val="fr-FR"/>
        </w:rPr>
        <w:t>office associé chargé d</w:t>
      </w:r>
      <w:r w:rsidR="00F16887">
        <w:rPr>
          <w:lang w:val="fr-FR"/>
        </w:rPr>
        <w:t>’</w:t>
      </w:r>
      <w:r w:rsidRPr="00F16887">
        <w:rPr>
          <w:lang w:val="fr-FR"/>
        </w:rPr>
        <w:t>aider l</w:t>
      </w:r>
      <w:r w:rsidR="00F16887">
        <w:rPr>
          <w:lang w:val="fr-FR"/>
        </w:rPr>
        <w:t>’</w:t>
      </w:r>
      <w:r w:rsidRPr="00F16887">
        <w:rPr>
          <w:lang w:val="fr-FR"/>
        </w:rPr>
        <w:t>IMPI à déterminer s</w:t>
      </w:r>
      <w:r w:rsidR="00F16887">
        <w:rPr>
          <w:lang w:val="fr-FR"/>
        </w:rPr>
        <w:t>’</w:t>
      </w:r>
      <w:r w:rsidRPr="00F16887">
        <w:rPr>
          <w:lang w:val="fr-FR"/>
        </w:rPr>
        <w:t>il remplissait les conditions requises pour être nommé en qualité d</w:t>
      </w:r>
      <w:r w:rsidR="00F16887">
        <w:rPr>
          <w:lang w:val="fr-FR"/>
        </w:rPr>
        <w:t>’</w:t>
      </w:r>
      <w:r w:rsidRPr="00F16887">
        <w:rPr>
          <w:lang w:val="fr-FR"/>
        </w:rPr>
        <w:t>administration internationale dans le cadre du système du PCT.</w:t>
      </w:r>
    </w:p>
    <w:p w14:paraId="160A8414" w14:textId="77777777" w:rsidR="001077E2" w:rsidRPr="00F16887" w:rsidRDefault="001077E2" w:rsidP="00F16887">
      <w:pPr>
        <w:jc w:val="both"/>
        <w:rPr>
          <w:lang w:val="fr-FR"/>
        </w:rPr>
      </w:pPr>
    </w:p>
    <w:p w14:paraId="2C79A372" w14:textId="6AB23419" w:rsidR="001077E2" w:rsidRPr="00F16887" w:rsidRDefault="001077E2" w:rsidP="00F16887">
      <w:pPr>
        <w:jc w:val="both"/>
        <w:rPr>
          <w:lang w:val="fr-FR"/>
        </w:rPr>
      </w:pPr>
      <w:r w:rsidRPr="00F16887">
        <w:rPr>
          <w:lang w:val="fr-FR"/>
        </w:rPr>
        <w:t>L</w:t>
      </w:r>
      <w:r w:rsidR="00F16887">
        <w:rPr>
          <w:lang w:val="fr-FR"/>
        </w:rPr>
        <w:t>’</w:t>
      </w:r>
      <w:r w:rsidRPr="00F16887">
        <w:rPr>
          <w:lang w:val="fr-FR"/>
        </w:rPr>
        <w:t>annexe II contient le rapport de l</w:t>
      </w:r>
      <w:r w:rsidR="00F16887">
        <w:rPr>
          <w:lang w:val="fr-FR"/>
        </w:rPr>
        <w:t>’</w:t>
      </w:r>
      <w:r w:rsidRPr="00F16887">
        <w:rPr>
          <w:lang w:val="fr-FR"/>
        </w:rPr>
        <w:t>OEPM indiquant dans quelle mesure l</w:t>
      </w:r>
      <w:r w:rsidR="00F16887">
        <w:rPr>
          <w:lang w:val="fr-FR"/>
        </w:rPr>
        <w:t>’</w:t>
      </w:r>
      <w:r w:rsidRPr="00F16887">
        <w:rPr>
          <w:lang w:val="fr-FR"/>
        </w:rPr>
        <w:t>IMPI satisfait aux conditions de nomination en qualité d</w:t>
      </w:r>
      <w:r w:rsidR="00F16887">
        <w:rPr>
          <w:lang w:val="fr-FR"/>
        </w:rPr>
        <w:t>’</w:t>
      </w:r>
      <w:r w:rsidRPr="00F16887">
        <w:rPr>
          <w:lang w:val="fr-FR"/>
        </w:rPr>
        <w:t>administration internationale selon le système du PCT.</w:t>
      </w:r>
    </w:p>
    <w:p w14:paraId="51801E63" w14:textId="77777777" w:rsidR="001077E2" w:rsidRPr="00F16887" w:rsidRDefault="001077E2" w:rsidP="00F16887">
      <w:pPr>
        <w:jc w:val="both"/>
        <w:rPr>
          <w:i/>
          <w:iCs/>
          <w:lang w:val="fr-FR"/>
        </w:rPr>
      </w:pPr>
    </w:p>
    <w:p w14:paraId="3B1A8ADD" w14:textId="0AD6A73C" w:rsidR="001077E2" w:rsidRPr="00F16887" w:rsidRDefault="001077E2" w:rsidP="00F16887">
      <w:pPr>
        <w:pStyle w:val="Endofdocument-Annex"/>
        <w:sectPr w:rsidR="001077E2" w:rsidRPr="00F16887" w:rsidSect="00F16887">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r w:rsidRPr="00F16887">
        <w:t>[L</w:t>
      </w:r>
      <w:r w:rsidR="00F16887">
        <w:t>’</w:t>
      </w:r>
      <w:r w:rsidR="00F16887" w:rsidRPr="00F16887">
        <w:t>annexe</w:t>
      </w:r>
      <w:r w:rsidR="00F16887">
        <w:t> </w:t>
      </w:r>
      <w:r w:rsidR="00F16887" w:rsidRPr="00F16887">
        <w:t>I</w:t>
      </w:r>
      <w:r w:rsidRPr="00F16887">
        <w:t>I suit]</w:t>
      </w:r>
    </w:p>
    <w:p w14:paraId="44D6DD94" w14:textId="4A0C7EAE" w:rsidR="001077E2" w:rsidRPr="0025290E" w:rsidRDefault="001077E2" w:rsidP="0025290E">
      <w:pPr>
        <w:pStyle w:val="Endofdocument-Annex"/>
        <w:spacing w:before="0" w:after="360"/>
        <w:ind w:left="0"/>
        <w:jc w:val="center"/>
        <w:rPr>
          <w:caps/>
        </w:rPr>
      </w:pPr>
      <w:r w:rsidRPr="0025290E">
        <w:rPr>
          <w:caps/>
        </w:rPr>
        <w:lastRenderedPageBreak/>
        <w:t>Candidature de l</w:t>
      </w:r>
      <w:r w:rsidR="00F16887" w:rsidRPr="0025290E">
        <w:rPr>
          <w:caps/>
        </w:rPr>
        <w:t>’</w:t>
      </w:r>
      <w:r w:rsidRPr="0025290E">
        <w:rPr>
          <w:caps/>
        </w:rPr>
        <w:t>Institut mexicain de la propriété intellectuelle pour obtenir sa nomination en qualité d</w:t>
      </w:r>
      <w:r w:rsidR="00F16887" w:rsidRPr="0025290E">
        <w:rPr>
          <w:caps/>
        </w:rPr>
        <w:t>’</w:t>
      </w:r>
      <w:r w:rsidRPr="0025290E">
        <w:rPr>
          <w:caps/>
        </w:rPr>
        <w:t>administration chargée de la recherche internationale et de l</w:t>
      </w:r>
      <w:r w:rsidR="00F16887" w:rsidRPr="0025290E">
        <w:rPr>
          <w:caps/>
        </w:rPr>
        <w:t>’</w:t>
      </w:r>
      <w:r w:rsidRPr="0025290E">
        <w:rPr>
          <w:caps/>
        </w:rPr>
        <w:t>examen préliminaire international selon le Traité de coopération en matière de brevets (PCT)</w:t>
      </w:r>
    </w:p>
    <w:p w14:paraId="01FF5B06" w14:textId="338D0E13" w:rsidR="001077E2" w:rsidRPr="0025290E" w:rsidRDefault="001077E2" w:rsidP="0025290E">
      <w:pPr>
        <w:pStyle w:val="Endofdocument-Annex"/>
        <w:spacing w:before="0" w:after="360"/>
        <w:ind w:left="0"/>
        <w:jc w:val="center"/>
        <w:rPr>
          <w:caps/>
        </w:rPr>
      </w:pPr>
      <w:r w:rsidRPr="0025290E">
        <w:rPr>
          <w:caps/>
        </w:rPr>
        <w:t>Rapport de l</w:t>
      </w:r>
      <w:r w:rsidR="00F16887" w:rsidRPr="0025290E">
        <w:rPr>
          <w:caps/>
        </w:rPr>
        <w:t>’</w:t>
      </w:r>
      <w:r w:rsidRPr="0025290E">
        <w:rPr>
          <w:caps/>
        </w:rPr>
        <w:t>Office espagnol des brevets et des marques</w:t>
      </w:r>
    </w:p>
    <w:p w14:paraId="3C53AA01" w14:textId="6BF08648" w:rsidR="001077E2" w:rsidRPr="00F16887" w:rsidRDefault="001077E2" w:rsidP="0025290E">
      <w:pPr>
        <w:pStyle w:val="Heading1"/>
        <w:rPr>
          <w:lang w:val="fr-FR"/>
        </w:rPr>
      </w:pPr>
      <w:r w:rsidRPr="00F16887">
        <w:rPr>
          <w:lang w:val="fr-FR"/>
        </w:rPr>
        <w:t>I.</w:t>
      </w:r>
      <w:r w:rsidR="0025290E">
        <w:rPr>
          <w:lang w:val="fr-FR"/>
        </w:rPr>
        <w:tab/>
      </w:r>
      <w:r w:rsidRPr="00F16887">
        <w:rPr>
          <w:lang w:val="fr-FR"/>
        </w:rPr>
        <w:t>Cadre juridique</w:t>
      </w:r>
    </w:p>
    <w:p w14:paraId="70ADC460" w14:textId="1A97D0F0" w:rsidR="001077E2" w:rsidRPr="0025290E" w:rsidRDefault="001077E2" w:rsidP="0025290E">
      <w:pPr>
        <w:pStyle w:val="ONUMFS"/>
        <w:numPr>
          <w:ilvl w:val="0"/>
          <w:numId w:val="26"/>
        </w:numPr>
        <w:rPr>
          <w:lang w:val="fr-FR"/>
        </w:rPr>
      </w:pPr>
      <w:r w:rsidRPr="0025290E">
        <w:rPr>
          <w:lang w:val="fr-FR"/>
        </w:rPr>
        <w:t>Les modifications apportées aux règles 36 et 63 du règlement d</w:t>
      </w:r>
      <w:r w:rsidR="00F16887" w:rsidRPr="0025290E">
        <w:rPr>
          <w:lang w:val="fr-FR"/>
        </w:rPr>
        <w:t>’</w:t>
      </w:r>
      <w:r w:rsidRPr="0025290E">
        <w:rPr>
          <w:lang w:val="fr-FR"/>
        </w:rPr>
        <w:t>exécution du Traité de coopération en matière de brevets (PCT), qui entreront en vigueur en janvier 2026, définissent les conditions minimales qu</w:t>
      </w:r>
      <w:r w:rsidR="00F16887" w:rsidRPr="0025290E">
        <w:rPr>
          <w:lang w:val="fr-FR"/>
        </w:rPr>
        <w:t>’</w:t>
      </w:r>
      <w:r w:rsidRPr="0025290E">
        <w:rPr>
          <w:lang w:val="fr-FR"/>
        </w:rPr>
        <w:t>un office national doit remplir avant de pouvoir être nommé en qualité d</w:t>
      </w:r>
      <w:r w:rsidR="00F16887" w:rsidRPr="0025290E">
        <w:rPr>
          <w:lang w:val="fr-FR"/>
        </w:rPr>
        <w:t>’</w:t>
      </w:r>
      <w:r w:rsidRPr="0025290E">
        <w:rPr>
          <w:lang w:val="fr-FR"/>
        </w:rPr>
        <w:t>administration chargée de la recherche internationale et de l</w:t>
      </w:r>
      <w:r w:rsidR="00F16887" w:rsidRPr="0025290E">
        <w:rPr>
          <w:lang w:val="fr-FR"/>
        </w:rPr>
        <w:t>’</w:t>
      </w:r>
      <w:r w:rsidRPr="0025290E">
        <w:rPr>
          <w:lang w:val="fr-FR"/>
        </w:rPr>
        <w:t>examen préliminaire internation</w:t>
      </w:r>
      <w:r w:rsidR="00C95B35" w:rsidRPr="0025290E">
        <w:rPr>
          <w:lang w:val="fr-FR"/>
        </w:rPr>
        <w:t>al.  Le</w:t>
      </w:r>
      <w:r w:rsidRPr="0025290E">
        <w:rPr>
          <w:lang w:val="fr-FR"/>
        </w:rPr>
        <w:t>s conditions minimales à remplir sont les suivantes</w:t>
      </w:r>
      <w:r w:rsidR="00F16887" w:rsidRPr="0025290E">
        <w:rPr>
          <w:lang w:val="fr-FR"/>
        </w:rPr>
        <w:t> :</w:t>
      </w:r>
    </w:p>
    <w:p w14:paraId="00DAE2FB" w14:textId="59A167DE" w:rsidR="001077E2" w:rsidRPr="00F16887" w:rsidRDefault="001077E2" w:rsidP="0025290E">
      <w:pPr>
        <w:pStyle w:val="ONUMFS"/>
        <w:numPr>
          <w:ilvl w:val="1"/>
          <w:numId w:val="6"/>
        </w:numPr>
        <w:rPr>
          <w:lang w:val="fr-FR"/>
        </w:rPr>
      </w:pPr>
      <w:r w:rsidRPr="00F16887">
        <w:rPr>
          <w:lang w:val="fr-FR"/>
        </w:rPr>
        <w:t>l</w:t>
      </w:r>
      <w:r w:rsidR="00F16887">
        <w:rPr>
          <w:lang w:val="fr-FR"/>
        </w:rPr>
        <w:t>’</w:t>
      </w:r>
      <w:r w:rsidRPr="00F16887">
        <w:rPr>
          <w:lang w:val="fr-FR"/>
        </w:rPr>
        <w:t>office national doit avoir au moins cent employés à plein temps possédant des qualifications techniques suffisantes pour procéder aux recherches dans les domaines techniques sur lesquels la recherche doit porter;</w:t>
      </w:r>
    </w:p>
    <w:p w14:paraId="684278AB" w14:textId="77777777" w:rsidR="001077E2" w:rsidRPr="00F16887" w:rsidRDefault="001077E2" w:rsidP="0025290E">
      <w:pPr>
        <w:pStyle w:val="ONUMFS"/>
        <w:numPr>
          <w:ilvl w:val="1"/>
          <w:numId w:val="6"/>
        </w:numPr>
        <w:rPr>
          <w:lang w:val="fr-FR"/>
        </w:rPr>
      </w:pPr>
      <w:r w:rsidRPr="00F16887">
        <w:rPr>
          <w:lang w:val="fr-FR"/>
        </w:rPr>
        <w:t>cet office doit mettre à disposition pour consultation, dans le cadre de la documentation minimale visée à la règle 34, conformément aux exigences spécifiées dans les instructions administratives, tout brevet délivré et toute demande de brevet publiée par ses soins et, le cas échéant, par son ou ses prédécesseurs en droit;</w:t>
      </w:r>
    </w:p>
    <w:p w14:paraId="591C2EE2" w14:textId="356CAE55" w:rsidR="001077E2" w:rsidRPr="00F16887" w:rsidRDefault="001077E2" w:rsidP="0025290E">
      <w:pPr>
        <w:pStyle w:val="ONUMFS"/>
        <w:numPr>
          <w:ilvl w:val="1"/>
          <w:numId w:val="6"/>
        </w:numPr>
        <w:rPr>
          <w:lang w:val="fr-FR"/>
        </w:rPr>
      </w:pPr>
      <w:r w:rsidRPr="00F16887">
        <w:rPr>
          <w:lang w:val="fr-FR"/>
        </w:rPr>
        <w:t>cet office doit avoir en sa possession au moins la documentation minimale de la règle 34, ou maintenir l</w:t>
      </w:r>
      <w:r w:rsidR="00F16887">
        <w:rPr>
          <w:lang w:val="fr-FR"/>
        </w:rPr>
        <w:t>’</w:t>
      </w:r>
      <w:r w:rsidRPr="00F16887">
        <w:rPr>
          <w:lang w:val="fr-FR"/>
        </w:rPr>
        <w:t>accès à cette documentation minimale, aux fins de la recherche conformément aux instructions administratives;</w:t>
      </w:r>
    </w:p>
    <w:p w14:paraId="293F7596" w14:textId="76709E03" w:rsidR="001077E2" w:rsidRPr="00F16887" w:rsidRDefault="001077E2" w:rsidP="0025290E">
      <w:pPr>
        <w:pStyle w:val="ONUMFS"/>
        <w:numPr>
          <w:ilvl w:val="1"/>
          <w:numId w:val="6"/>
        </w:numPr>
        <w:rPr>
          <w:lang w:val="fr-FR"/>
        </w:rPr>
      </w:pPr>
      <w:r w:rsidRPr="00F16887">
        <w:rPr>
          <w:lang w:val="fr-FR"/>
        </w:rPr>
        <w:t>cet office doit disposer d</w:t>
      </w:r>
      <w:r w:rsidR="00F16887">
        <w:rPr>
          <w:lang w:val="fr-FR"/>
        </w:rPr>
        <w:t>’</w:t>
      </w:r>
      <w:r w:rsidRPr="00F16887">
        <w:rPr>
          <w:lang w:val="fr-FR"/>
        </w:rPr>
        <w:t>un système de gestion de la qualité et de dispositions internes en matière d</w:t>
      </w:r>
      <w:r w:rsidR="00F16887">
        <w:rPr>
          <w:lang w:val="fr-FR"/>
        </w:rPr>
        <w:t>’</w:t>
      </w:r>
      <w:r w:rsidRPr="00F16887">
        <w:rPr>
          <w:lang w:val="fr-FR"/>
        </w:rPr>
        <w:t>évaluation conformément aux règles communes de la recherche internationale;  et</w:t>
      </w:r>
    </w:p>
    <w:p w14:paraId="028EBB09" w14:textId="6447AC6D" w:rsidR="001077E2" w:rsidRPr="00F16887" w:rsidRDefault="001077E2" w:rsidP="0025290E">
      <w:pPr>
        <w:pStyle w:val="ONUMFS"/>
        <w:numPr>
          <w:ilvl w:val="1"/>
          <w:numId w:val="6"/>
        </w:numPr>
        <w:rPr>
          <w:lang w:val="fr-FR"/>
        </w:rPr>
      </w:pPr>
      <w:r w:rsidRPr="00F16887">
        <w:rPr>
          <w:lang w:val="fr-FR"/>
        </w:rPr>
        <w:t>cet office doit être nommé en qualité d</w:t>
      </w:r>
      <w:r w:rsidR="00F16887">
        <w:rPr>
          <w:lang w:val="fr-FR"/>
        </w:rPr>
        <w:t>’</w:t>
      </w:r>
      <w:r w:rsidRPr="00F16887">
        <w:rPr>
          <w:lang w:val="fr-FR"/>
        </w:rPr>
        <w:t>administration chargée de la recherche internationale et de l</w:t>
      </w:r>
      <w:r w:rsidR="00F16887">
        <w:rPr>
          <w:lang w:val="fr-FR"/>
        </w:rPr>
        <w:t>’</w:t>
      </w:r>
      <w:r w:rsidRPr="00F16887">
        <w:rPr>
          <w:lang w:val="fr-FR"/>
        </w:rPr>
        <w:t>examen préliminaire international.</w:t>
      </w:r>
    </w:p>
    <w:p w14:paraId="38A9FCF2" w14:textId="3061B329" w:rsidR="001077E2" w:rsidRPr="00F16887" w:rsidRDefault="001077E2" w:rsidP="0025290E">
      <w:pPr>
        <w:pStyle w:val="Heading1"/>
        <w:rPr>
          <w:lang w:val="fr-FR"/>
        </w:rPr>
      </w:pPr>
      <w:r w:rsidRPr="00F16887">
        <w:rPr>
          <w:lang w:val="fr-FR"/>
        </w:rPr>
        <w:t>II.</w:t>
      </w:r>
      <w:r w:rsidR="0025290E">
        <w:rPr>
          <w:lang w:val="fr-FR"/>
        </w:rPr>
        <w:tab/>
      </w:r>
      <w:r w:rsidRPr="00F16887">
        <w:rPr>
          <w:lang w:val="fr-FR"/>
        </w:rPr>
        <w:t>Institut mexicain de la propriété industrielle</w:t>
      </w:r>
    </w:p>
    <w:p w14:paraId="2D868DBE" w14:textId="39A884BE" w:rsidR="00F16887" w:rsidRDefault="001077E2" w:rsidP="0025290E">
      <w:pPr>
        <w:pStyle w:val="ONUMFS"/>
        <w:rPr>
          <w:lang w:val="fr-FR"/>
        </w:rPr>
      </w:pPr>
      <w:r w:rsidRPr="00F16887">
        <w:rPr>
          <w:lang w:val="fr-FR"/>
        </w:rPr>
        <w:t>L</w:t>
      </w:r>
      <w:r w:rsidR="00F16887">
        <w:rPr>
          <w:lang w:val="fr-FR"/>
        </w:rPr>
        <w:t>’</w:t>
      </w:r>
      <w:r w:rsidRPr="00F16887">
        <w:rPr>
          <w:lang w:val="fr-FR"/>
        </w:rPr>
        <w:t>Institut mexicain de la propriété industrielle (IMPI) a présenté sa candidature pour être nommé en qualité d</w:t>
      </w:r>
      <w:r w:rsidR="00F16887">
        <w:rPr>
          <w:lang w:val="fr-FR"/>
        </w:rPr>
        <w:t>’</w:t>
      </w:r>
      <w:r w:rsidRPr="00F16887">
        <w:rPr>
          <w:lang w:val="fr-FR"/>
        </w:rPr>
        <w:t>administration chargée de la recherche internationale et de l</w:t>
      </w:r>
      <w:r w:rsidR="00F16887">
        <w:rPr>
          <w:lang w:val="fr-FR"/>
        </w:rPr>
        <w:t>’</w:t>
      </w:r>
      <w:r w:rsidRPr="00F16887">
        <w:rPr>
          <w:lang w:val="fr-FR"/>
        </w:rPr>
        <w:t>examen préliminaire international.</w:t>
      </w:r>
    </w:p>
    <w:p w14:paraId="450EEE18" w14:textId="6CE9F0BB" w:rsidR="001077E2" w:rsidRPr="00F16887" w:rsidRDefault="001077E2" w:rsidP="0025290E">
      <w:pPr>
        <w:pStyle w:val="ONUMFS"/>
        <w:numPr>
          <w:ilvl w:val="1"/>
          <w:numId w:val="6"/>
        </w:numPr>
        <w:rPr>
          <w:lang w:val="fr-FR"/>
        </w:rPr>
      </w:pPr>
      <w:r w:rsidRPr="00F16887">
        <w:rPr>
          <w:lang w:val="fr-FR"/>
        </w:rPr>
        <w:t>L</w:t>
      </w:r>
      <w:r w:rsidR="00F16887">
        <w:rPr>
          <w:lang w:val="fr-FR"/>
        </w:rPr>
        <w:t>’</w:t>
      </w:r>
      <w:r w:rsidRPr="00F16887">
        <w:rPr>
          <w:lang w:val="fr-FR"/>
        </w:rPr>
        <w:t>IMPI compte plus de 100 employés à temps plein qui effectuent des examens quant au fo</w:t>
      </w:r>
      <w:r w:rsidR="00C95B35" w:rsidRPr="00F16887">
        <w:rPr>
          <w:lang w:val="fr-FR"/>
        </w:rPr>
        <w:t>nd</w:t>
      </w:r>
      <w:r w:rsidR="00C95B35">
        <w:rPr>
          <w:lang w:val="fr-FR"/>
        </w:rPr>
        <w:t xml:space="preserve">.  </w:t>
      </w:r>
      <w:r w:rsidR="00C95B35" w:rsidRPr="00F16887">
        <w:rPr>
          <w:lang w:val="fr-FR"/>
        </w:rPr>
        <w:t>Ce</w:t>
      </w:r>
      <w:r w:rsidRPr="00F16887">
        <w:rPr>
          <w:lang w:val="fr-FR"/>
        </w:rPr>
        <w:t>la comprend 196 examinateurs chargés de l</w:t>
      </w:r>
      <w:r w:rsidR="00F16887">
        <w:rPr>
          <w:lang w:val="fr-FR"/>
        </w:rPr>
        <w:t>’</w:t>
      </w:r>
      <w:r w:rsidRPr="00F16887">
        <w:rPr>
          <w:lang w:val="fr-FR"/>
        </w:rPr>
        <w:t>examen des demandes de brevet et de modèle d</w:t>
      </w:r>
      <w:r w:rsidR="00F16887">
        <w:rPr>
          <w:lang w:val="fr-FR"/>
        </w:rPr>
        <w:t>’</w:t>
      </w:r>
      <w:r w:rsidRPr="00F16887">
        <w:rPr>
          <w:lang w:val="fr-FR"/>
        </w:rPr>
        <w:t>utilité dans divers domaines techniques (mécanique, électrique/électronique, chimique, pharmaceutique et biotechnologique).</w:t>
      </w:r>
    </w:p>
    <w:p w14:paraId="68D0D9DF" w14:textId="5E5F681E" w:rsidR="001077E2" w:rsidRPr="00F16887" w:rsidRDefault="001077E2" w:rsidP="0025290E">
      <w:pPr>
        <w:pStyle w:val="ONUMFS"/>
        <w:numPr>
          <w:ilvl w:val="1"/>
          <w:numId w:val="6"/>
        </w:numPr>
        <w:rPr>
          <w:lang w:val="fr-FR"/>
        </w:rPr>
      </w:pPr>
      <w:r w:rsidRPr="00F16887">
        <w:rPr>
          <w:lang w:val="fr-FR"/>
        </w:rPr>
        <w:t>En ce qui concerne les exigences en matière de documentation minimale du PCT</w:t>
      </w:r>
      <w:r w:rsidR="00F16887">
        <w:rPr>
          <w:lang w:val="fr-FR"/>
        </w:rPr>
        <w:t> :</w:t>
      </w:r>
    </w:p>
    <w:p w14:paraId="2F4320F8" w14:textId="251CB9FD" w:rsidR="001077E2" w:rsidRPr="00F16887" w:rsidRDefault="001077E2" w:rsidP="0025290E">
      <w:pPr>
        <w:pStyle w:val="ONUMFS"/>
        <w:numPr>
          <w:ilvl w:val="2"/>
          <w:numId w:val="6"/>
        </w:numPr>
        <w:rPr>
          <w:lang w:val="fr-FR"/>
        </w:rPr>
      </w:pPr>
      <w:r w:rsidRPr="00F16887">
        <w:rPr>
          <w:lang w:val="fr-FR"/>
        </w:rPr>
        <w:t>Mise à disposition pour consultation</w:t>
      </w:r>
      <w:r w:rsidR="00F16887">
        <w:rPr>
          <w:lang w:val="fr-FR"/>
        </w:rPr>
        <w:t> :</w:t>
      </w:r>
      <w:r w:rsidRPr="00F16887">
        <w:rPr>
          <w:lang w:val="fr-FR"/>
        </w:rPr>
        <w:t xml:space="preserve"> les documents sont uniquement disponibles au format PDF (texte).</w:t>
      </w:r>
    </w:p>
    <w:p w14:paraId="3D54A595" w14:textId="15CBAFD2" w:rsidR="001077E2" w:rsidRPr="00F16887" w:rsidRDefault="001077E2" w:rsidP="0025290E">
      <w:pPr>
        <w:pStyle w:val="ONUMFS"/>
        <w:numPr>
          <w:ilvl w:val="2"/>
          <w:numId w:val="6"/>
        </w:numPr>
        <w:rPr>
          <w:lang w:val="fr-FR"/>
        </w:rPr>
      </w:pPr>
      <w:r w:rsidRPr="00F16887">
        <w:rPr>
          <w:lang w:val="fr-FR"/>
        </w:rPr>
        <w:t>Accès à la documentation minimale à des fins de recherche</w:t>
      </w:r>
      <w:r w:rsidR="00F16887">
        <w:rPr>
          <w:lang w:val="fr-FR"/>
        </w:rPr>
        <w:t> :</w:t>
      </w:r>
      <w:r w:rsidRPr="00F16887">
        <w:rPr>
          <w:lang w:val="fr-FR"/>
        </w:rPr>
        <w:t xml:space="preserve"> tous les textes des demandes ne sont pas disponibles au format XML;  seul le résumé en espagnol et en anglais est disponible au format </w:t>
      </w:r>
      <w:r w:rsidR="00C95B35" w:rsidRPr="00F16887">
        <w:rPr>
          <w:lang w:val="fr-FR"/>
        </w:rPr>
        <w:t>XML</w:t>
      </w:r>
      <w:r w:rsidR="00C95B35">
        <w:rPr>
          <w:lang w:val="fr-FR"/>
        </w:rPr>
        <w:t xml:space="preserve">.  </w:t>
      </w:r>
      <w:r w:rsidR="00C95B35" w:rsidRPr="00F16887">
        <w:rPr>
          <w:lang w:val="fr-FR"/>
        </w:rPr>
        <w:t>La</w:t>
      </w:r>
      <w:r w:rsidRPr="00F16887">
        <w:rPr>
          <w:lang w:val="fr-FR"/>
        </w:rPr>
        <w:t xml:space="preserve"> description et les revendications sont au format PDF.</w:t>
      </w:r>
    </w:p>
    <w:p w14:paraId="736116A6" w14:textId="4F4CE8A6" w:rsidR="001077E2" w:rsidRPr="00F16887" w:rsidRDefault="001077E2" w:rsidP="001A5B05">
      <w:pPr>
        <w:pStyle w:val="ONUMFS"/>
        <w:numPr>
          <w:ilvl w:val="1"/>
          <w:numId w:val="6"/>
        </w:numPr>
        <w:rPr>
          <w:lang w:val="fr-FR"/>
        </w:rPr>
      </w:pPr>
      <w:r w:rsidRPr="00F16887">
        <w:rPr>
          <w:lang w:val="fr-FR"/>
        </w:rPr>
        <w:lastRenderedPageBreak/>
        <w:t>L</w:t>
      </w:r>
      <w:r w:rsidR="00F16887">
        <w:rPr>
          <w:lang w:val="fr-FR"/>
        </w:rPr>
        <w:t>’</w:t>
      </w:r>
      <w:r w:rsidRPr="00F16887">
        <w:rPr>
          <w:lang w:val="fr-FR"/>
        </w:rPr>
        <w:t>IMPI ne dispose pas d</w:t>
      </w:r>
      <w:r w:rsidR="00F16887">
        <w:rPr>
          <w:lang w:val="fr-FR"/>
        </w:rPr>
        <w:t>’</w:t>
      </w:r>
      <w:r w:rsidRPr="00F16887">
        <w:rPr>
          <w:lang w:val="fr-FR"/>
        </w:rPr>
        <w:t>un système de gestion de la qualité spécifique et n</w:t>
      </w:r>
      <w:r w:rsidR="00F16887">
        <w:rPr>
          <w:lang w:val="fr-FR"/>
        </w:rPr>
        <w:t>’</w:t>
      </w:r>
      <w:r w:rsidRPr="00F16887">
        <w:rPr>
          <w:lang w:val="fr-FR"/>
        </w:rPr>
        <w:t>a été certifié selon aucune norme.</w:t>
      </w:r>
    </w:p>
    <w:p w14:paraId="612085B7" w14:textId="05DA112C" w:rsidR="00F16887" w:rsidRDefault="001077E2" w:rsidP="001A5B05">
      <w:pPr>
        <w:pStyle w:val="ONUMFS"/>
        <w:numPr>
          <w:ilvl w:val="1"/>
          <w:numId w:val="6"/>
        </w:numPr>
        <w:rPr>
          <w:lang w:val="fr-FR"/>
        </w:rPr>
      </w:pPr>
      <w:r w:rsidRPr="00F16887">
        <w:rPr>
          <w:lang w:val="fr-FR"/>
        </w:rPr>
        <w:t>Il a demandé à être nommé en qualité d</w:t>
      </w:r>
      <w:r w:rsidR="00F16887">
        <w:rPr>
          <w:lang w:val="fr-FR"/>
        </w:rPr>
        <w:t>’</w:t>
      </w:r>
      <w:r w:rsidRPr="00F16887">
        <w:rPr>
          <w:lang w:val="fr-FR"/>
        </w:rPr>
        <w:t>administration chargée de la recherche internationale et d</w:t>
      </w:r>
      <w:r w:rsidR="00F16887">
        <w:rPr>
          <w:lang w:val="fr-FR"/>
        </w:rPr>
        <w:t>’</w:t>
      </w:r>
      <w:r w:rsidRPr="00F16887">
        <w:rPr>
          <w:lang w:val="fr-FR"/>
        </w:rPr>
        <w:t>administration chargée de l</w:t>
      </w:r>
      <w:r w:rsidR="00F16887">
        <w:rPr>
          <w:lang w:val="fr-FR"/>
        </w:rPr>
        <w:t>’</w:t>
      </w:r>
      <w:r w:rsidRPr="00F16887">
        <w:rPr>
          <w:lang w:val="fr-FR"/>
        </w:rPr>
        <w:t>examen international selon le PCT.</w:t>
      </w:r>
    </w:p>
    <w:p w14:paraId="43730BCE" w14:textId="119FF438" w:rsidR="001077E2" w:rsidRPr="00F16887" w:rsidRDefault="001077E2" w:rsidP="0025290E">
      <w:pPr>
        <w:pStyle w:val="ONUMFS"/>
        <w:rPr>
          <w:lang w:val="fr-FR"/>
        </w:rPr>
      </w:pPr>
      <w:r w:rsidRPr="00F16887">
        <w:rPr>
          <w:lang w:val="fr-FR"/>
        </w:rPr>
        <w:t>Par conséquent, l</w:t>
      </w:r>
      <w:r w:rsidR="00F16887">
        <w:rPr>
          <w:lang w:val="fr-FR"/>
        </w:rPr>
        <w:t>’</w:t>
      </w:r>
      <w:r w:rsidRPr="00F16887">
        <w:rPr>
          <w:lang w:val="fr-FR"/>
        </w:rPr>
        <w:t>IMPI ne satisfait pas actuellement aux exigences suivantes</w:t>
      </w:r>
      <w:r w:rsidR="00F16887">
        <w:rPr>
          <w:lang w:val="fr-FR"/>
        </w:rPr>
        <w:t> :</w:t>
      </w:r>
    </w:p>
    <w:p w14:paraId="2F98AFE2" w14:textId="7D69C659" w:rsidR="001077E2" w:rsidRPr="00F16887" w:rsidRDefault="00C95B35" w:rsidP="001A5B05">
      <w:pPr>
        <w:pStyle w:val="ONUMFS"/>
        <w:numPr>
          <w:ilvl w:val="0"/>
          <w:numId w:val="0"/>
        </w:numPr>
        <w:ind w:left="567"/>
      </w:pPr>
      <w:r>
        <w:noBreakHyphen/>
      </w:r>
      <w:r w:rsidR="001077E2" w:rsidRPr="00F16887">
        <w:tab/>
        <w:t>Il ne dispose pas d</w:t>
      </w:r>
      <w:r w:rsidR="00F16887">
        <w:t>’</w:t>
      </w:r>
      <w:r w:rsidR="001077E2" w:rsidRPr="00F16887">
        <w:t>un système de gestion de la qualité tel que défini au chapitre 21 des Directives concernant la recherche internationale et l</w:t>
      </w:r>
      <w:r w:rsidR="00F16887">
        <w:t>’</w:t>
      </w:r>
      <w:r w:rsidR="001077E2" w:rsidRPr="00F16887">
        <w:t>examen préliminaire international selon le PCT.</w:t>
      </w:r>
    </w:p>
    <w:p w14:paraId="77FC7B3A" w14:textId="26E1BFCF" w:rsidR="00F16887" w:rsidRDefault="00C95B35" w:rsidP="001A5B05">
      <w:pPr>
        <w:pStyle w:val="ONUMFS"/>
        <w:numPr>
          <w:ilvl w:val="0"/>
          <w:numId w:val="0"/>
        </w:numPr>
        <w:ind w:left="567"/>
      </w:pPr>
      <w:r>
        <w:noBreakHyphen/>
      </w:r>
      <w:r w:rsidR="001077E2" w:rsidRPr="00F16887">
        <w:tab/>
        <w:t>Il ne satisfait pas aux exigences en matière de documentation minimale du PCT pour les formats de texte d</w:t>
      </w:r>
      <w:r w:rsidR="00F16887">
        <w:t>’</w:t>
      </w:r>
      <w:r w:rsidR="001077E2" w:rsidRPr="00F16887">
        <w:t>information sur les brevets acceptés par l</w:t>
      </w:r>
      <w:r w:rsidR="00F16887">
        <w:t>’</w:t>
      </w:r>
      <w:r w:rsidR="001077E2" w:rsidRPr="00F16887">
        <w:t>OMPI (XML ou TXT).</w:t>
      </w:r>
    </w:p>
    <w:p w14:paraId="53B306D1" w14:textId="61EB41C3" w:rsidR="00F16887" w:rsidRDefault="001077E2" w:rsidP="0025290E">
      <w:pPr>
        <w:pStyle w:val="ONUMFS"/>
        <w:rPr>
          <w:lang w:val="fr-FR"/>
        </w:rPr>
      </w:pPr>
      <w:r w:rsidRPr="00F16887">
        <w:rPr>
          <w:lang w:val="fr-FR"/>
        </w:rPr>
        <w:t>Toutefois, lors d</w:t>
      </w:r>
      <w:r w:rsidR="00F16887">
        <w:rPr>
          <w:lang w:val="fr-FR"/>
        </w:rPr>
        <w:t>’</w:t>
      </w:r>
      <w:r w:rsidRPr="00F16887">
        <w:rPr>
          <w:lang w:val="fr-FR"/>
        </w:rPr>
        <w:t>une réunion entre l</w:t>
      </w:r>
      <w:r w:rsidR="00F16887">
        <w:rPr>
          <w:lang w:val="fr-FR"/>
        </w:rPr>
        <w:t>’</w:t>
      </w:r>
      <w:r w:rsidRPr="00F16887">
        <w:rPr>
          <w:lang w:val="fr-FR"/>
        </w:rPr>
        <w:t>Office espagnol des brevets et des marques (OEPM) et l</w:t>
      </w:r>
      <w:r w:rsidR="00F16887">
        <w:rPr>
          <w:lang w:val="fr-FR"/>
        </w:rPr>
        <w:t>’</w:t>
      </w:r>
      <w:r w:rsidRPr="00F16887">
        <w:rPr>
          <w:lang w:val="fr-FR"/>
        </w:rPr>
        <w:t>IMPI tenue le</w:t>
      </w:r>
      <w:r w:rsidR="00F16887">
        <w:rPr>
          <w:lang w:val="fr-FR"/>
        </w:rPr>
        <w:t xml:space="preserve"> 1</w:t>
      </w:r>
      <w:r w:rsidR="00F16887" w:rsidRPr="00F16887">
        <w:rPr>
          <w:vertAlign w:val="superscript"/>
          <w:lang w:val="fr-FR"/>
        </w:rPr>
        <w:t>er</w:t>
      </w:r>
      <w:r w:rsidR="00F16887">
        <w:rPr>
          <w:lang w:val="fr-FR"/>
        </w:rPr>
        <w:t> </w:t>
      </w:r>
      <w:r w:rsidRPr="00F16887">
        <w:rPr>
          <w:lang w:val="fr-FR"/>
        </w:rPr>
        <w:t>décembre 2025, l</w:t>
      </w:r>
      <w:r w:rsidR="00F16887">
        <w:rPr>
          <w:lang w:val="fr-FR"/>
        </w:rPr>
        <w:t>’</w:t>
      </w:r>
      <w:r w:rsidRPr="00F16887">
        <w:rPr>
          <w:lang w:val="fr-FR"/>
        </w:rPr>
        <w:t>OEPM a communiqué des informations afin de guider l</w:t>
      </w:r>
      <w:r w:rsidR="00F16887">
        <w:rPr>
          <w:lang w:val="fr-FR"/>
        </w:rPr>
        <w:t>’</w:t>
      </w:r>
      <w:r w:rsidRPr="00F16887">
        <w:rPr>
          <w:lang w:val="fr-FR"/>
        </w:rPr>
        <w:t>IMPI dans les domaines où des travaux restent à accomplir.</w:t>
      </w:r>
    </w:p>
    <w:p w14:paraId="6FABDDE4" w14:textId="0A998707" w:rsidR="001077E2" w:rsidRPr="00F16887" w:rsidRDefault="001077E2" w:rsidP="0025290E">
      <w:pPr>
        <w:pStyle w:val="ONUMFS"/>
        <w:rPr>
          <w:lang w:val="fr-FR"/>
        </w:rPr>
      </w:pPr>
      <w:r w:rsidRPr="00F16887">
        <w:rPr>
          <w:lang w:val="fr-FR"/>
        </w:rPr>
        <w:t>L</w:t>
      </w:r>
      <w:r w:rsidR="00F16887">
        <w:rPr>
          <w:lang w:val="fr-FR"/>
        </w:rPr>
        <w:t>’</w:t>
      </w:r>
      <w:r w:rsidRPr="00F16887">
        <w:rPr>
          <w:lang w:val="fr-FR"/>
        </w:rPr>
        <w:t>OEPM s</w:t>
      </w:r>
      <w:r w:rsidR="00F16887">
        <w:rPr>
          <w:lang w:val="fr-FR"/>
        </w:rPr>
        <w:t>’</w:t>
      </w:r>
      <w:r w:rsidRPr="00F16887">
        <w:rPr>
          <w:lang w:val="fr-FR"/>
        </w:rPr>
        <w:t>engage à soutenir l</w:t>
      </w:r>
      <w:r w:rsidR="00F16887">
        <w:rPr>
          <w:lang w:val="fr-FR"/>
        </w:rPr>
        <w:t>’</w:t>
      </w:r>
      <w:r w:rsidRPr="00F16887">
        <w:rPr>
          <w:lang w:val="fr-FR"/>
        </w:rPr>
        <w:t>IMPI dans ses efforts et se rendra à l</w:t>
      </w:r>
      <w:r w:rsidR="00F16887">
        <w:rPr>
          <w:lang w:val="fr-FR"/>
        </w:rPr>
        <w:t>’</w:t>
      </w:r>
      <w:r w:rsidRPr="00F16887">
        <w:rPr>
          <w:lang w:val="fr-FR"/>
        </w:rPr>
        <w:t>Institut en 2026 afin de s</w:t>
      </w:r>
      <w:r w:rsidR="00F16887">
        <w:rPr>
          <w:lang w:val="fr-FR"/>
        </w:rPr>
        <w:t>’</w:t>
      </w:r>
      <w:r w:rsidRPr="00F16887">
        <w:rPr>
          <w:lang w:val="fr-FR"/>
        </w:rPr>
        <w:t>assurer qu</w:t>
      </w:r>
      <w:r w:rsidR="00F16887">
        <w:rPr>
          <w:lang w:val="fr-FR"/>
        </w:rPr>
        <w:t>’</w:t>
      </w:r>
      <w:r w:rsidRPr="00F16887">
        <w:rPr>
          <w:lang w:val="fr-FR"/>
        </w:rPr>
        <w:t>il respecte pleinement toutes les exigences techniques auxquelles un office doit satisfaire pour être nommé en qualité d</w:t>
      </w:r>
      <w:r w:rsidR="00F16887">
        <w:rPr>
          <w:lang w:val="fr-FR"/>
        </w:rPr>
        <w:t>’</w:t>
      </w:r>
      <w:r w:rsidRPr="00F16887">
        <w:rPr>
          <w:lang w:val="fr-FR"/>
        </w:rPr>
        <w:t>administration chargée de la recherche internationale et de l</w:t>
      </w:r>
      <w:r w:rsidR="00F16887">
        <w:rPr>
          <w:lang w:val="fr-FR"/>
        </w:rPr>
        <w:t>’</w:t>
      </w:r>
      <w:r w:rsidRPr="00F16887">
        <w:rPr>
          <w:lang w:val="fr-FR"/>
        </w:rPr>
        <w:t>examen préliminaire international selon le PCT.</w:t>
      </w:r>
    </w:p>
    <w:p w14:paraId="2F6C7814" w14:textId="2E980B55" w:rsidR="001077E2" w:rsidRPr="00F16887" w:rsidRDefault="00C95B35" w:rsidP="001A5B05">
      <w:pPr>
        <w:pStyle w:val="Heading1"/>
        <w:rPr>
          <w:lang w:val="fr-FR"/>
        </w:rPr>
      </w:pPr>
      <w:r w:rsidRPr="00F16887">
        <w:rPr>
          <w:lang w:val="fr-FR"/>
        </w:rPr>
        <w:t>III</w:t>
      </w:r>
      <w:r>
        <w:rPr>
          <w:lang w:val="fr-FR"/>
        </w:rPr>
        <w:t>.</w:t>
      </w:r>
      <w:r w:rsidR="001A5B05">
        <w:rPr>
          <w:lang w:val="fr-FR"/>
        </w:rPr>
        <w:tab/>
      </w:r>
      <w:r w:rsidRPr="00F16887">
        <w:rPr>
          <w:lang w:val="fr-FR"/>
        </w:rPr>
        <w:t>Co</w:t>
      </w:r>
      <w:r w:rsidR="001077E2" w:rsidRPr="00F16887">
        <w:rPr>
          <w:lang w:val="fr-FR"/>
        </w:rPr>
        <w:t>nclusion</w:t>
      </w:r>
    </w:p>
    <w:p w14:paraId="64D4EE8A" w14:textId="24FAA203" w:rsidR="00F16887" w:rsidRDefault="001077E2" w:rsidP="0025290E">
      <w:pPr>
        <w:pStyle w:val="ONUMFS"/>
        <w:rPr>
          <w:lang w:val="fr-FR"/>
        </w:rPr>
      </w:pPr>
      <w:r w:rsidRPr="00F16887">
        <w:rPr>
          <w:lang w:val="fr-FR"/>
        </w:rPr>
        <w:t>À la lumière des informations présentées, l</w:t>
      </w:r>
      <w:r w:rsidR="00F16887">
        <w:rPr>
          <w:lang w:val="fr-FR"/>
        </w:rPr>
        <w:t>’</w:t>
      </w:r>
      <w:r w:rsidRPr="00F16887">
        <w:rPr>
          <w:lang w:val="fr-FR"/>
        </w:rPr>
        <w:t>OEPM appuie la demande de l</w:t>
      </w:r>
      <w:r w:rsidR="00F16887">
        <w:rPr>
          <w:lang w:val="fr-FR"/>
        </w:rPr>
        <w:t>’</w:t>
      </w:r>
      <w:r w:rsidRPr="00F16887">
        <w:rPr>
          <w:lang w:val="fr-FR"/>
        </w:rPr>
        <w:t>IMPI, sous réserve que ce dernier</w:t>
      </w:r>
      <w:r w:rsidR="00F16887">
        <w:rPr>
          <w:lang w:val="fr-FR"/>
        </w:rPr>
        <w:t> :</w:t>
      </w:r>
    </w:p>
    <w:p w14:paraId="62601ED7" w14:textId="585FCDC1" w:rsidR="00F16887" w:rsidRDefault="001077E2" w:rsidP="001A5B05">
      <w:pPr>
        <w:pStyle w:val="ONUMFS"/>
        <w:numPr>
          <w:ilvl w:val="1"/>
          <w:numId w:val="6"/>
        </w:numPr>
        <w:rPr>
          <w:lang w:val="fr-FR"/>
        </w:rPr>
      </w:pPr>
      <w:r w:rsidRPr="00F16887">
        <w:rPr>
          <w:lang w:val="fr-FR"/>
        </w:rPr>
        <w:t>se conforme au système de gestion de la qualité tel que défini au chapitre 21 des Directives concernant la recherche internationale et l</w:t>
      </w:r>
      <w:r w:rsidR="00F16887">
        <w:rPr>
          <w:lang w:val="fr-FR"/>
        </w:rPr>
        <w:t>’</w:t>
      </w:r>
      <w:r w:rsidRPr="00F16887">
        <w:rPr>
          <w:lang w:val="fr-FR"/>
        </w:rPr>
        <w:t>examen préliminaire international selon PCT;  et</w:t>
      </w:r>
    </w:p>
    <w:p w14:paraId="20E91499" w14:textId="28496CE4" w:rsidR="001077E2" w:rsidRPr="00F16887" w:rsidRDefault="001077E2" w:rsidP="001A5B05">
      <w:pPr>
        <w:pStyle w:val="ONUMFS"/>
        <w:numPr>
          <w:ilvl w:val="1"/>
          <w:numId w:val="6"/>
        </w:numPr>
        <w:rPr>
          <w:lang w:val="fr-FR"/>
        </w:rPr>
      </w:pPr>
      <w:r w:rsidRPr="00F16887">
        <w:rPr>
          <w:lang w:val="fr-FR"/>
        </w:rPr>
        <w:t>qu</w:t>
      </w:r>
      <w:r w:rsidR="00F16887">
        <w:rPr>
          <w:lang w:val="fr-FR"/>
        </w:rPr>
        <w:t>’</w:t>
      </w:r>
      <w:r w:rsidRPr="00F16887">
        <w:rPr>
          <w:lang w:val="fr-FR"/>
        </w:rPr>
        <w:t>il puisse fournir des informations de brevets dans les formats de textes acceptés par l</w:t>
      </w:r>
      <w:r w:rsidR="00F16887">
        <w:rPr>
          <w:lang w:val="fr-FR"/>
        </w:rPr>
        <w:t>’</w:t>
      </w:r>
      <w:r w:rsidRPr="00F16887">
        <w:rPr>
          <w:lang w:val="fr-FR"/>
        </w:rPr>
        <w:t>OMPI (XML ou TXT).</w:t>
      </w:r>
    </w:p>
    <w:p w14:paraId="28C7FF5C" w14:textId="1E8C4994" w:rsidR="001077E2" w:rsidRPr="00F16887" w:rsidRDefault="001077E2" w:rsidP="0025290E">
      <w:pPr>
        <w:pStyle w:val="ONUMFS"/>
        <w:rPr>
          <w:lang w:val="fr-FR"/>
        </w:rPr>
      </w:pPr>
      <w:r w:rsidRPr="00F16887">
        <w:rPr>
          <w:lang w:val="fr-FR"/>
        </w:rPr>
        <w:t>L</w:t>
      </w:r>
      <w:r w:rsidR="00F16887">
        <w:rPr>
          <w:lang w:val="fr-FR"/>
        </w:rPr>
        <w:t>’</w:t>
      </w:r>
      <w:r w:rsidRPr="00F16887">
        <w:rPr>
          <w:lang w:val="fr-FR"/>
        </w:rPr>
        <w:t>OEPM procédera à la vérification des éléments précités lors de sa visite du siège de l</w:t>
      </w:r>
      <w:r w:rsidR="00F16887">
        <w:rPr>
          <w:lang w:val="fr-FR"/>
        </w:rPr>
        <w:t>’</w:t>
      </w:r>
      <w:r w:rsidRPr="00F16887">
        <w:rPr>
          <w:lang w:val="fr-FR"/>
        </w:rPr>
        <w:t>IMPI en 2026.</w:t>
      </w:r>
    </w:p>
    <w:p w14:paraId="1A30094E" w14:textId="2AB358DE" w:rsidR="000F5E56" w:rsidRPr="00F16887" w:rsidRDefault="001077E2" w:rsidP="00F16887">
      <w:pPr>
        <w:pStyle w:val="Endofdocument-Annex"/>
      </w:pPr>
      <w:r w:rsidRPr="00F16887">
        <w:t>[Fin de l</w:t>
      </w:r>
      <w:r w:rsidR="00F16887">
        <w:t>’</w:t>
      </w:r>
      <w:r w:rsidRPr="00F16887">
        <w:t>annexe II et du document]</w:t>
      </w:r>
    </w:p>
    <w:sectPr w:rsidR="000F5E56" w:rsidRPr="00F16887" w:rsidSect="00F16887">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43177" w14:textId="77777777" w:rsidR="001D529D" w:rsidRDefault="001D529D">
      <w:r>
        <w:separator/>
      </w:r>
    </w:p>
  </w:endnote>
  <w:endnote w:type="continuationSeparator" w:id="0">
    <w:p w14:paraId="3DF487FE" w14:textId="77777777" w:rsidR="001D529D" w:rsidRPr="009D30E6" w:rsidRDefault="001D529D" w:rsidP="00D45252">
      <w:pPr>
        <w:rPr>
          <w:sz w:val="17"/>
          <w:szCs w:val="17"/>
        </w:rPr>
      </w:pPr>
      <w:r w:rsidRPr="009D30E6">
        <w:rPr>
          <w:sz w:val="17"/>
          <w:szCs w:val="17"/>
        </w:rPr>
        <w:separator/>
      </w:r>
    </w:p>
    <w:p w14:paraId="6911E500" w14:textId="77777777" w:rsidR="001D529D" w:rsidRPr="009D30E6" w:rsidRDefault="001D529D" w:rsidP="00D45252">
      <w:pPr>
        <w:spacing w:after="60"/>
        <w:rPr>
          <w:sz w:val="17"/>
          <w:szCs w:val="17"/>
        </w:rPr>
      </w:pPr>
      <w:r w:rsidRPr="009D30E6">
        <w:rPr>
          <w:sz w:val="17"/>
          <w:szCs w:val="17"/>
        </w:rPr>
        <w:t>[Suite de la note de la page précédente]</w:t>
      </w:r>
    </w:p>
  </w:endnote>
  <w:endnote w:type="continuationNotice" w:id="1">
    <w:p w14:paraId="6B647B26" w14:textId="77777777" w:rsidR="001D529D" w:rsidRPr="009D30E6" w:rsidRDefault="001D529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3D47" w14:textId="70225326" w:rsidR="0068189D" w:rsidRDefault="006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8CFA" w14:textId="433F5811" w:rsidR="0068189D" w:rsidRDefault="0068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76FE" w14:textId="5C5EFDE6" w:rsidR="0068189D" w:rsidRDefault="0068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203B" w14:textId="77777777" w:rsidR="001D529D" w:rsidRDefault="001D529D">
      <w:r>
        <w:separator/>
      </w:r>
    </w:p>
  </w:footnote>
  <w:footnote w:type="continuationSeparator" w:id="0">
    <w:p w14:paraId="265A1C6F" w14:textId="77777777" w:rsidR="001D529D" w:rsidRDefault="001D529D" w:rsidP="007461F1">
      <w:r>
        <w:separator/>
      </w:r>
    </w:p>
    <w:p w14:paraId="6A01A22B" w14:textId="77777777" w:rsidR="001D529D" w:rsidRPr="009D30E6" w:rsidRDefault="001D529D" w:rsidP="007461F1">
      <w:pPr>
        <w:spacing w:after="60"/>
        <w:rPr>
          <w:sz w:val="17"/>
          <w:szCs w:val="17"/>
        </w:rPr>
      </w:pPr>
      <w:r w:rsidRPr="009D30E6">
        <w:rPr>
          <w:sz w:val="17"/>
          <w:szCs w:val="17"/>
        </w:rPr>
        <w:t>[Suite de la note de la page précédente]</w:t>
      </w:r>
    </w:p>
  </w:footnote>
  <w:footnote w:type="continuationNotice" w:id="1">
    <w:p w14:paraId="1D9D809A" w14:textId="77777777" w:rsidR="001D529D" w:rsidRPr="009D30E6" w:rsidRDefault="001D529D" w:rsidP="007461F1">
      <w:pPr>
        <w:spacing w:before="60"/>
        <w:jc w:val="right"/>
        <w:rPr>
          <w:sz w:val="17"/>
          <w:szCs w:val="17"/>
        </w:rPr>
      </w:pPr>
      <w:r w:rsidRPr="009D30E6">
        <w:rPr>
          <w:sz w:val="17"/>
          <w:szCs w:val="17"/>
        </w:rPr>
        <w:t>[Suite de la note page suivante]</w:t>
      </w:r>
    </w:p>
  </w:footnote>
  <w:footnote w:id="2">
    <w:p w14:paraId="2E09C40E" w14:textId="68C072AF" w:rsidR="001077E2" w:rsidRPr="00340C6B" w:rsidRDefault="001077E2" w:rsidP="00C95B35">
      <w:pPr>
        <w:pStyle w:val="FootnoteText"/>
        <w:tabs>
          <w:tab w:val="left" w:pos="567"/>
        </w:tabs>
      </w:pPr>
      <w:r>
        <w:rPr>
          <w:rStyle w:val="FootnoteReference"/>
        </w:rPr>
        <w:footnoteRef/>
      </w:r>
      <w:r w:rsidR="00C95B35">
        <w:t xml:space="preserve"> </w:t>
      </w:r>
      <w:r w:rsidR="00C95B35">
        <w:tab/>
      </w:r>
      <w:r>
        <w:t>Comprend les examinateurs de modèles d</w:t>
      </w:r>
      <w:r w:rsidR="00271DC2">
        <w:t>’</w:t>
      </w:r>
      <w:r>
        <w:t>utilité.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0CED" w14:textId="3FAF07E8" w:rsidR="001077E2" w:rsidRPr="002326AB" w:rsidRDefault="001077E2" w:rsidP="00477D6B">
    <w:pPr>
      <w:jc w:val="right"/>
      <w:rPr>
        <w:caps/>
      </w:rPr>
    </w:pPr>
    <w:r>
      <w:rPr>
        <w:caps/>
      </w:rPr>
      <w:t>PCT/CTC/33/2</w:t>
    </w:r>
    <w:r w:rsidR="00F16887">
      <w:rPr>
        <w:caps/>
      </w:rPr>
      <w:t>7</w:t>
    </w:r>
  </w:p>
  <w:p w14:paraId="0B365E06" w14:textId="4E91852E" w:rsidR="001077E2" w:rsidRDefault="001077E2" w:rsidP="00F16887">
    <w:pPr>
      <w:spacing w:after="480"/>
      <w:jc w:val="right"/>
    </w:pPr>
    <w:r>
      <w:t>page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0631" w14:textId="77777777" w:rsidR="001077E2" w:rsidRPr="002326AB" w:rsidRDefault="001077E2" w:rsidP="00477D6B">
    <w:pPr>
      <w:jc w:val="right"/>
      <w:rPr>
        <w:caps/>
      </w:rPr>
    </w:pPr>
    <w:r>
      <w:rPr>
        <w:caps/>
      </w:rPr>
      <w:t>PCT/CTC/33/27</w:t>
    </w:r>
  </w:p>
  <w:p w14:paraId="307C2EC6" w14:textId="67F5FDE6" w:rsidR="001077E2" w:rsidRDefault="001077E2" w:rsidP="00F16887">
    <w:pPr>
      <w:spacing w:after="480"/>
      <w:jc w:val="right"/>
    </w:pPr>
    <w:r>
      <w:t>Annexe I, page </w:t>
    </w: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BCAB" w14:textId="77777777" w:rsidR="00F16887" w:rsidRDefault="001077E2" w:rsidP="000645A0">
    <w:pPr>
      <w:pStyle w:val="Header"/>
      <w:jc w:val="right"/>
    </w:pPr>
    <w:r>
      <w:t>PCT/CTC/33/27</w:t>
    </w:r>
  </w:p>
  <w:p w14:paraId="43499394" w14:textId="598BEC52" w:rsidR="001077E2" w:rsidRDefault="001077E2" w:rsidP="00F16887">
    <w:pPr>
      <w:pStyle w:val="Header"/>
      <w:spacing w:after="480"/>
      <w:jc w:val="right"/>
    </w:pPr>
    <w:r>
      <w:t>ANNEXE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1B58" w14:textId="0DEE2791" w:rsidR="00F16975" w:rsidRPr="00B45C15" w:rsidRDefault="001077E2" w:rsidP="00477D6B">
    <w:pPr>
      <w:jc w:val="right"/>
      <w:rPr>
        <w:caps/>
      </w:rPr>
    </w:pPr>
    <w:bookmarkStart w:id="7" w:name="Code2"/>
    <w:bookmarkEnd w:id="7"/>
    <w:r>
      <w:rPr>
        <w:caps/>
      </w:rPr>
      <w:t>PCT/CTC/33/27</w:t>
    </w:r>
  </w:p>
  <w:p w14:paraId="2954E1CD" w14:textId="439C39EB" w:rsidR="00574036" w:rsidRDefault="00F16887" w:rsidP="0068189D">
    <w:pPr>
      <w:spacing w:after="480"/>
      <w:jc w:val="right"/>
    </w:pPr>
    <w:r>
      <w:t xml:space="preserve">Annexe II, </w:t>
    </w:r>
    <w:r w:rsidR="00F16975">
      <w:t>page</w:t>
    </w:r>
    <w:r w:rsidR="0068189D">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6297B" w14:textId="77777777" w:rsidR="00F16887" w:rsidRDefault="00F16887" w:rsidP="000645A0">
    <w:pPr>
      <w:pStyle w:val="Header"/>
      <w:jc w:val="right"/>
    </w:pPr>
    <w:r>
      <w:t>PCT/CTC/33/27</w:t>
    </w:r>
  </w:p>
  <w:p w14:paraId="6E9227D3" w14:textId="780EC92D" w:rsidR="00F16887" w:rsidRDefault="00F16887" w:rsidP="00F16887">
    <w:pPr>
      <w:pStyle w:val="Heade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0B6F1C"/>
    <w:multiLevelType w:val="hybridMultilevel"/>
    <w:tmpl w:val="89F042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124323"/>
    <w:multiLevelType w:val="hybridMultilevel"/>
    <w:tmpl w:val="A306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5D075E"/>
    <w:multiLevelType w:val="hybridMultilevel"/>
    <w:tmpl w:val="02F482FC"/>
    <w:lvl w:ilvl="0" w:tplc="D79400EA">
      <w:start w:val="1"/>
      <w:numFmt w:val="lowerLetter"/>
      <w:lvlText w:val="(%1)"/>
      <w:lvlJc w:val="left"/>
      <w:pPr>
        <w:ind w:left="570" w:hanging="57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A0D3671"/>
    <w:multiLevelType w:val="hybridMultilevel"/>
    <w:tmpl w:val="A8DA3D4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8B1263"/>
    <w:multiLevelType w:val="multilevel"/>
    <w:tmpl w:val="15C0AB36"/>
    <w:lvl w:ilvl="0">
      <w:start w:val="9"/>
      <w:numFmt w:val="decimal"/>
      <w:lvlText w:val="%1"/>
      <w:lvlJc w:val="left"/>
      <w:pPr>
        <w:ind w:left="360" w:hanging="360"/>
      </w:pPr>
      <w:rPr>
        <w:rFonts w:hint="default"/>
        <w:color w:val="13322B"/>
      </w:rPr>
    </w:lvl>
    <w:lvl w:ilvl="1">
      <w:start w:val="1"/>
      <w:numFmt w:val="decimal"/>
      <w:lvlText w:val="%1.%2"/>
      <w:lvlJc w:val="left"/>
      <w:pPr>
        <w:ind w:left="502" w:hanging="360"/>
      </w:pPr>
      <w:rPr>
        <w:rFonts w:hint="default"/>
        <w:color w:val="13322B"/>
      </w:rPr>
    </w:lvl>
    <w:lvl w:ilvl="2">
      <w:start w:val="1"/>
      <w:numFmt w:val="decimal"/>
      <w:lvlText w:val="%1.%2.%3"/>
      <w:lvlJc w:val="left"/>
      <w:pPr>
        <w:ind w:left="1440" w:hanging="720"/>
      </w:pPr>
      <w:rPr>
        <w:rFonts w:hint="default"/>
        <w:color w:val="13322B"/>
      </w:rPr>
    </w:lvl>
    <w:lvl w:ilvl="3">
      <w:start w:val="1"/>
      <w:numFmt w:val="decimal"/>
      <w:lvlText w:val="%1.%2.%3.%4"/>
      <w:lvlJc w:val="left"/>
      <w:pPr>
        <w:ind w:left="1800" w:hanging="720"/>
      </w:pPr>
      <w:rPr>
        <w:rFonts w:hint="default"/>
        <w:color w:val="13322B"/>
      </w:rPr>
    </w:lvl>
    <w:lvl w:ilvl="4">
      <w:start w:val="1"/>
      <w:numFmt w:val="decimal"/>
      <w:lvlText w:val="%1.%2.%3.%4.%5"/>
      <w:lvlJc w:val="left"/>
      <w:pPr>
        <w:ind w:left="2520" w:hanging="1080"/>
      </w:pPr>
      <w:rPr>
        <w:rFonts w:hint="default"/>
        <w:color w:val="13322B"/>
      </w:rPr>
    </w:lvl>
    <w:lvl w:ilvl="5">
      <w:start w:val="1"/>
      <w:numFmt w:val="decimal"/>
      <w:lvlText w:val="%1.%2.%3.%4.%5.%6"/>
      <w:lvlJc w:val="left"/>
      <w:pPr>
        <w:ind w:left="2880" w:hanging="1080"/>
      </w:pPr>
      <w:rPr>
        <w:rFonts w:hint="default"/>
        <w:color w:val="13322B"/>
      </w:rPr>
    </w:lvl>
    <w:lvl w:ilvl="6">
      <w:start w:val="1"/>
      <w:numFmt w:val="decimal"/>
      <w:lvlText w:val="%1.%2.%3.%4.%5.%6.%7"/>
      <w:lvlJc w:val="left"/>
      <w:pPr>
        <w:ind w:left="3600" w:hanging="1440"/>
      </w:pPr>
      <w:rPr>
        <w:rFonts w:hint="default"/>
        <w:color w:val="13322B"/>
      </w:rPr>
    </w:lvl>
    <w:lvl w:ilvl="7">
      <w:start w:val="1"/>
      <w:numFmt w:val="decimal"/>
      <w:lvlText w:val="%1.%2.%3.%4.%5.%6.%7.%8"/>
      <w:lvlJc w:val="left"/>
      <w:pPr>
        <w:ind w:left="3960" w:hanging="1440"/>
      </w:pPr>
      <w:rPr>
        <w:rFonts w:hint="default"/>
        <w:color w:val="13322B"/>
      </w:rPr>
    </w:lvl>
    <w:lvl w:ilvl="8">
      <w:start w:val="1"/>
      <w:numFmt w:val="decimal"/>
      <w:lvlText w:val="%1.%2.%3.%4.%5.%6.%7.%8.%9"/>
      <w:lvlJc w:val="left"/>
      <w:pPr>
        <w:ind w:left="4680" w:hanging="1800"/>
      </w:pPr>
      <w:rPr>
        <w:rFonts w:hint="default"/>
        <w:color w:val="13322B"/>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E1C5B7A"/>
    <w:multiLevelType w:val="multilevel"/>
    <w:tmpl w:val="54F49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BDF3EDD"/>
    <w:multiLevelType w:val="hybridMultilevel"/>
    <w:tmpl w:val="A80AFF90"/>
    <w:lvl w:ilvl="0" w:tplc="DF787C76">
      <w:start w:val="1"/>
      <w:numFmt w:val="bullet"/>
      <w:lvlText w:val=""/>
      <w:lvlJc w:val="left"/>
      <w:pPr>
        <w:ind w:left="1440" w:hanging="360"/>
      </w:pPr>
      <w:rPr>
        <w:rFonts w:ascii="Symbol" w:hAnsi="Symbol"/>
      </w:rPr>
    </w:lvl>
    <w:lvl w:ilvl="1" w:tplc="5FACC314">
      <w:start w:val="1"/>
      <w:numFmt w:val="bullet"/>
      <w:lvlText w:val=""/>
      <w:lvlJc w:val="left"/>
      <w:pPr>
        <w:ind w:left="1440" w:hanging="360"/>
      </w:pPr>
      <w:rPr>
        <w:rFonts w:ascii="Symbol" w:hAnsi="Symbol"/>
      </w:rPr>
    </w:lvl>
    <w:lvl w:ilvl="2" w:tplc="58622312">
      <w:start w:val="1"/>
      <w:numFmt w:val="bullet"/>
      <w:lvlText w:val=""/>
      <w:lvlJc w:val="left"/>
      <w:pPr>
        <w:ind w:left="1440" w:hanging="360"/>
      </w:pPr>
      <w:rPr>
        <w:rFonts w:ascii="Symbol" w:hAnsi="Symbol"/>
      </w:rPr>
    </w:lvl>
    <w:lvl w:ilvl="3" w:tplc="F566DBEC">
      <w:start w:val="1"/>
      <w:numFmt w:val="bullet"/>
      <w:lvlText w:val=""/>
      <w:lvlJc w:val="left"/>
      <w:pPr>
        <w:ind w:left="1440" w:hanging="360"/>
      </w:pPr>
      <w:rPr>
        <w:rFonts w:ascii="Symbol" w:hAnsi="Symbol"/>
      </w:rPr>
    </w:lvl>
    <w:lvl w:ilvl="4" w:tplc="733ADF24">
      <w:start w:val="1"/>
      <w:numFmt w:val="bullet"/>
      <w:lvlText w:val=""/>
      <w:lvlJc w:val="left"/>
      <w:pPr>
        <w:ind w:left="1440" w:hanging="360"/>
      </w:pPr>
      <w:rPr>
        <w:rFonts w:ascii="Symbol" w:hAnsi="Symbol"/>
      </w:rPr>
    </w:lvl>
    <w:lvl w:ilvl="5" w:tplc="12C441F2">
      <w:start w:val="1"/>
      <w:numFmt w:val="bullet"/>
      <w:lvlText w:val=""/>
      <w:lvlJc w:val="left"/>
      <w:pPr>
        <w:ind w:left="1440" w:hanging="360"/>
      </w:pPr>
      <w:rPr>
        <w:rFonts w:ascii="Symbol" w:hAnsi="Symbol"/>
      </w:rPr>
    </w:lvl>
    <w:lvl w:ilvl="6" w:tplc="3816F18A">
      <w:start w:val="1"/>
      <w:numFmt w:val="bullet"/>
      <w:lvlText w:val=""/>
      <w:lvlJc w:val="left"/>
      <w:pPr>
        <w:ind w:left="1440" w:hanging="360"/>
      </w:pPr>
      <w:rPr>
        <w:rFonts w:ascii="Symbol" w:hAnsi="Symbol"/>
      </w:rPr>
    </w:lvl>
    <w:lvl w:ilvl="7" w:tplc="C37C05EC">
      <w:start w:val="1"/>
      <w:numFmt w:val="bullet"/>
      <w:lvlText w:val=""/>
      <w:lvlJc w:val="left"/>
      <w:pPr>
        <w:ind w:left="1440" w:hanging="360"/>
      </w:pPr>
      <w:rPr>
        <w:rFonts w:ascii="Symbol" w:hAnsi="Symbol"/>
      </w:rPr>
    </w:lvl>
    <w:lvl w:ilvl="8" w:tplc="AED6DEA6">
      <w:start w:val="1"/>
      <w:numFmt w:val="bullet"/>
      <w:lvlText w:val=""/>
      <w:lvlJc w:val="left"/>
      <w:pPr>
        <w:ind w:left="1440" w:hanging="360"/>
      </w:pPr>
      <w:rPr>
        <w:rFonts w:ascii="Symbol" w:hAnsi="Symbol"/>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B86AA4"/>
    <w:multiLevelType w:val="hybridMultilevel"/>
    <w:tmpl w:val="E7380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587D98"/>
    <w:multiLevelType w:val="hybridMultilevel"/>
    <w:tmpl w:val="D6BC96A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512C4D96"/>
    <w:multiLevelType w:val="multilevel"/>
    <w:tmpl w:val="8CCE224A"/>
    <w:lvl w:ilvl="0">
      <w:start w:val="4"/>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4"/>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6" w15:restartNumberingAfterBreak="0">
    <w:nsid w:val="53BE5D3B"/>
    <w:multiLevelType w:val="multilevel"/>
    <w:tmpl w:val="3F6EB11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54F03708"/>
    <w:multiLevelType w:val="multilevel"/>
    <w:tmpl w:val="8CD416EC"/>
    <w:lvl w:ilvl="0">
      <w:start w:val="6"/>
      <w:numFmt w:val="decimal"/>
      <w:lvlText w:val="%1"/>
      <w:lvlJc w:val="left"/>
      <w:pPr>
        <w:ind w:left="360" w:hanging="360"/>
      </w:pPr>
      <w:rPr>
        <w:rFonts w:hint="default"/>
        <w:color w:val="13322B"/>
      </w:rPr>
    </w:lvl>
    <w:lvl w:ilvl="1">
      <w:start w:val="1"/>
      <w:numFmt w:val="decimal"/>
      <w:lvlText w:val="%1.%2"/>
      <w:lvlJc w:val="left"/>
      <w:pPr>
        <w:ind w:left="720" w:hanging="360"/>
      </w:pPr>
      <w:rPr>
        <w:rFonts w:hint="default"/>
        <w:color w:val="13322B"/>
      </w:rPr>
    </w:lvl>
    <w:lvl w:ilvl="2">
      <w:start w:val="1"/>
      <w:numFmt w:val="decimal"/>
      <w:lvlText w:val="%1.%2.%3"/>
      <w:lvlJc w:val="left"/>
      <w:pPr>
        <w:ind w:left="1440" w:hanging="720"/>
      </w:pPr>
      <w:rPr>
        <w:rFonts w:hint="default"/>
        <w:b w:val="0"/>
        <w:bCs w:val="0"/>
        <w:color w:val="13322B"/>
      </w:rPr>
    </w:lvl>
    <w:lvl w:ilvl="3">
      <w:start w:val="1"/>
      <w:numFmt w:val="decimal"/>
      <w:lvlText w:val="%1.%2.%3.%4"/>
      <w:lvlJc w:val="left"/>
      <w:pPr>
        <w:ind w:left="1800" w:hanging="720"/>
      </w:pPr>
      <w:rPr>
        <w:rFonts w:hint="default"/>
        <w:color w:val="13322B"/>
      </w:rPr>
    </w:lvl>
    <w:lvl w:ilvl="4">
      <w:start w:val="1"/>
      <w:numFmt w:val="decimal"/>
      <w:lvlText w:val="%1.%2.%3.%4.%5"/>
      <w:lvlJc w:val="left"/>
      <w:pPr>
        <w:ind w:left="2520" w:hanging="1080"/>
      </w:pPr>
      <w:rPr>
        <w:rFonts w:hint="default"/>
        <w:color w:val="13322B"/>
      </w:rPr>
    </w:lvl>
    <w:lvl w:ilvl="5">
      <w:start w:val="1"/>
      <w:numFmt w:val="decimal"/>
      <w:lvlText w:val="%1.%2.%3.%4.%5.%6"/>
      <w:lvlJc w:val="left"/>
      <w:pPr>
        <w:ind w:left="2880" w:hanging="1080"/>
      </w:pPr>
      <w:rPr>
        <w:rFonts w:hint="default"/>
        <w:color w:val="13322B"/>
      </w:rPr>
    </w:lvl>
    <w:lvl w:ilvl="6">
      <w:start w:val="1"/>
      <w:numFmt w:val="decimal"/>
      <w:lvlText w:val="%1.%2.%3.%4.%5.%6.%7"/>
      <w:lvlJc w:val="left"/>
      <w:pPr>
        <w:ind w:left="3600" w:hanging="1440"/>
      </w:pPr>
      <w:rPr>
        <w:rFonts w:hint="default"/>
        <w:color w:val="13322B"/>
      </w:rPr>
    </w:lvl>
    <w:lvl w:ilvl="7">
      <w:start w:val="1"/>
      <w:numFmt w:val="decimal"/>
      <w:lvlText w:val="%1.%2.%3.%4.%5.%6.%7.%8"/>
      <w:lvlJc w:val="left"/>
      <w:pPr>
        <w:ind w:left="3960" w:hanging="1440"/>
      </w:pPr>
      <w:rPr>
        <w:rFonts w:hint="default"/>
        <w:color w:val="13322B"/>
      </w:rPr>
    </w:lvl>
    <w:lvl w:ilvl="8">
      <w:start w:val="1"/>
      <w:numFmt w:val="decimal"/>
      <w:lvlText w:val="%1.%2.%3.%4.%5.%6.%7.%8.%9"/>
      <w:lvlJc w:val="left"/>
      <w:pPr>
        <w:ind w:left="4680" w:hanging="1800"/>
      </w:pPr>
      <w:rPr>
        <w:rFonts w:hint="default"/>
        <w:color w:val="13322B"/>
      </w:rPr>
    </w:lvl>
  </w:abstractNum>
  <w:abstractNum w:abstractNumId="18" w15:restartNumberingAfterBreak="0">
    <w:nsid w:val="5546284D"/>
    <w:multiLevelType w:val="multilevel"/>
    <w:tmpl w:val="BDF86608"/>
    <w:lvl w:ilvl="0">
      <w:start w:val="10"/>
      <w:numFmt w:val="decimal"/>
      <w:lvlText w:val="%1"/>
      <w:lvlJc w:val="left"/>
      <w:pPr>
        <w:ind w:left="372" w:hanging="372"/>
      </w:pPr>
      <w:rPr>
        <w:rFonts w:hint="default"/>
        <w:color w:val="13322B"/>
      </w:rPr>
    </w:lvl>
    <w:lvl w:ilvl="1">
      <w:start w:val="1"/>
      <w:numFmt w:val="decimal"/>
      <w:lvlText w:val="%1.%2"/>
      <w:lvlJc w:val="left"/>
      <w:pPr>
        <w:ind w:left="1092" w:hanging="372"/>
      </w:pPr>
      <w:rPr>
        <w:rFonts w:hint="default"/>
        <w:color w:val="13322B"/>
      </w:rPr>
    </w:lvl>
    <w:lvl w:ilvl="2">
      <w:start w:val="1"/>
      <w:numFmt w:val="decimal"/>
      <w:lvlText w:val="%1.%2.%3"/>
      <w:lvlJc w:val="left"/>
      <w:pPr>
        <w:ind w:left="2160" w:hanging="720"/>
      </w:pPr>
      <w:rPr>
        <w:rFonts w:hint="default"/>
        <w:color w:val="13322B"/>
      </w:rPr>
    </w:lvl>
    <w:lvl w:ilvl="3">
      <w:start w:val="1"/>
      <w:numFmt w:val="decimal"/>
      <w:lvlText w:val="%1.%2.%3.%4"/>
      <w:lvlJc w:val="left"/>
      <w:pPr>
        <w:ind w:left="2880" w:hanging="720"/>
      </w:pPr>
      <w:rPr>
        <w:rFonts w:hint="default"/>
        <w:color w:val="13322B"/>
      </w:rPr>
    </w:lvl>
    <w:lvl w:ilvl="4">
      <w:start w:val="1"/>
      <w:numFmt w:val="decimal"/>
      <w:lvlText w:val="%1.%2.%3.%4.%5"/>
      <w:lvlJc w:val="left"/>
      <w:pPr>
        <w:ind w:left="3960" w:hanging="1080"/>
      </w:pPr>
      <w:rPr>
        <w:rFonts w:hint="default"/>
        <w:color w:val="13322B"/>
      </w:rPr>
    </w:lvl>
    <w:lvl w:ilvl="5">
      <w:start w:val="1"/>
      <w:numFmt w:val="decimal"/>
      <w:lvlText w:val="%1.%2.%3.%4.%5.%6"/>
      <w:lvlJc w:val="left"/>
      <w:pPr>
        <w:ind w:left="4680" w:hanging="1080"/>
      </w:pPr>
      <w:rPr>
        <w:rFonts w:hint="default"/>
        <w:color w:val="13322B"/>
      </w:rPr>
    </w:lvl>
    <w:lvl w:ilvl="6">
      <w:start w:val="1"/>
      <w:numFmt w:val="decimal"/>
      <w:lvlText w:val="%1.%2.%3.%4.%5.%6.%7"/>
      <w:lvlJc w:val="left"/>
      <w:pPr>
        <w:ind w:left="5760" w:hanging="1440"/>
      </w:pPr>
      <w:rPr>
        <w:rFonts w:hint="default"/>
        <w:color w:val="13322B"/>
      </w:rPr>
    </w:lvl>
    <w:lvl w:ilvl="7">
      <w:start w:val="1"/>
      <w:numFmt w:val="decimal"/>
      <w:lvlText w:val="%1.%2.%3.%4.%5.%6.%7.%8"/>
      <w:lvlJc w:val="left"/>
      <w:pPr>
        <w:ind w:left="6480" w:hanging="1440"/>
      </w:pPr>
      <w:rPr>
        <w:rFonts w:hint="default"/>
        <w:color w:val="13322B"/>
      </w:rPr>
    </w:lvl>
    <w:lvl w:ilvl="8">
      <w:start w:val="1"/>
      <w:numFmt w:val="decimal"/>
      <w:lvlText w:val="%1.%2.%3.%4.%5.%6.%7.%8.%9"/>
      <w:lvlJc w:val="left"/>
      <w:pPr>
        <w:ind w:left="7560" w:hanging="1800"/>
      </w:pPr>
      <w:rPr>
        <w:rFonts w:hint="default"/>
        <w:color w:val="13322B"/>
      </w:rPr>
    </w:lvl>
  </w:abstractNum>
  <w:abstractNum w:abstractNumId="19" w15:restartNumberingAfterBreak="0">
    <w:nsid w:val="6A2F4868"/>
    <w:multiLevelType w:val="multilevel"/>
    <w:tmpl w:val="0C600416"/>
    <w:lvl w:ilvl="0">
      <w:start w:val="1"/>
      <w:numFmt w:val="decimal"/>
      <w:lvlText w:val="%1"/>
      <w:lvlJc w:val="left"/>
      <w:pPr>
        <w:ind w:left="360" w:hanging="360"/>
      </w:pPr>
      <w:rPr>
        <w:rFonts w:hint="default"/>
      </w:rPr>
    </w:lvl>
    <w:lvl w:ilvl="1">
      <w:start w:val="5"/>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112" w:hanging="1440"/>
      </w:pPr>
      <w:rPr>
        <w:rFonts w:hint="default"/>
      </w:rPr>
    </w:lvl>
  </w:abstractNum>
  <w:abstractNum w:abstractNumId="20" w15:restartNumberingAfterBreak="0">
    <w:nsid w:val="6FFE2621"/>
    <w:multiLevelType w:val="multilevel"/>
    <w:tmpl w:val="FC7E2B0E"/>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1" w15:restartNumberingAfterBreak="0">
    <w:nsid w:val="708E5232"/>
    <w:multiLevelType w:val="hybridMultilevel"/>
    <w:tmpl w:val="64048B48"/>
    <w:lvl w:ilvl="0" w:tplc="00261AFA">
      <w:start w:val="7"/>
      <w:numFmt w:val="decimal"/>
      <w:lvlText w:val="%1."/>
      <w:lvlJc w:val="left"/>
      <w:pPr>
        <w:ind w:left="1080" w:hanging="360"/>
      </w:pPr>
      <w:rPr>
        <w:rFonts w:hint="default"/>
        <w:color w:val="13322B"/>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37532F7"/>
    <w:multiLevelType w:val="multilevel"/>
    <w:tmpl w:val="15B08668"/>
    <w:lvl w:ilvl="0">
      <w:start w:val="6"/>
      <w:numFmt w:val="decimal"/>
      <w:lvlText w:val="%1"/>
      <w:lvlJc w:val="left"/>
      <w:pPr>
        <w:ind w:left="420" w:hanging="420"/>
      </w:pPr>
      <w:rPr>
        <w:rFonts w:hint="default"/>
      </w:rPr>
    </w:lvl>
    <w:lvl w:ilvl="1">
      <w:start w:val="1"/>
      <w:numFmt w:val="decimal"/>
      <w:lvlText w:val="%1.%2"/>
      <w:lvlJc w:val="left"/>
      <w:pPr>
        <w:ind w:left="722" w:hanging="4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626" w:hanging="72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590" w:hanging="108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554" w:hanging="1440"/>
      </w:pPr>
      <w:rPr>
        <w:rFonts w:hint="default"/>
      </w:rPr>
    </w:lvl>
    <w:lvl w:ilvl="8">
      <w:start w:val="1"/>
      <w:numFmt w:val="decimal"/>
      <w:lvlText w:val="%1.%2.%3.%4.%5.%6.%7.%8.%9"/>
      <w:lvlJc w:val="left"/>
      <w:pPr>
        <w:ind w:left="3856" w:hanging="1440"/>
      </w:pPr>
      <w:rPr>
        <w:rFonts w:hint="default"/>
      </w:rPr>
    </w:lvl>
  </w:abstractNum>
  <w:abstractNum w:abstractNumId="23" w15:restartNumberingAfterBreak="0">
    <w:nsid w:val="747755BD"/>
    <w:multiLevelType w:val="multilevel"/>
    <w:tmpl w:val="DD464CEC"/>
    <w:lvl w:ilvl="0">
      <w:start w:val="8"/>
      <w:numFmt w:val="decimal"/>
      <w:lvlText w:val="%1"/>
      <w:lvlJc w:val="left"/>
      <w:pPr>
        <w:ind w:left="360" w:hanging="360"/>
      </w:pPr>
      <w:rPr>
        <w:rFonts w:hint="default"/>
        <w:color w:val="13322B"/>
      </w:rPr>
    </w:lvl>
    <w:lvl w:ilvl="1">
      <w:start w:val="1"/>
      <w:numFmt w:val="decimal"/>
      <w:lvlText w:val="%1.%2"/>
      <w:lvlJc w:val="left"/>
      <w:pPr>
        <w:ind w:left="360" w:hanging="360"/>
      </w:pPr>
      <w:rPr>
        <w:rFonts w:hint="default"/>
        <w:color w:val="13322B"/>
      </w:rPr>
    </w:lvl>
    <w:lvl w:ilvl="2">
      <w:start w:val="1"/>
      <w:numFmt w:val="decimal"/>
      <w:lvlText w:val="%1.%2.%3"/>
      <w:lvlJc w:val="left"/>
      <w:pPr>
        <w:ind w:left="720" w:hanging="720"/>
      </w:pPr>
      <w:rPr>
        <w:rFonts w:hint="default"/>
        <w:color w:val="13322B"/>
      </w:rPr>
    </w:lvl>
    <w:lvl w:ilvl="3">
      <w:start w:val="1"/>
      <w:numFmt w:val="decimal"/>
      <w:lvlText w:val="%1.%2.%3.%4"/>
      <w:lvlJc w:val="left"/>
      <w:pPr>
        <w:ind w:left="720" w:hanging="720"/>
      </w:pPr>
      <w:rPr>
        <w:rFonts w:hint="default"/>
        <w:color w:val="13322B"/>
      </w:rPr>
    </w:lvl>
    <w:lvl w:ilvl="4">
      <w:start w:val="1"/>
      <w:numFmt w:val="decimal"/>
      <w:lvlText w:val="%1.%2.%3.%4.%5"/>
      <w:lvlJc w:val="left"/>
      <w:pPr>
        <w:ind w:left="1080" w:hanging="1080"/>
      </w:pPr>
      <w:rPr>
        <w:rFonts w:hint="default"/>
        <w:color w:val="13322B"/>
      </w:rPr>
    </w:lvl>
    <w:lvl w:ilvl="5">
      <w:start w:val="1"/>
      <w:numFmt w:val="decimal"/>
      <w:lvlText w:val="%1.%2.%3.%4.%5.%6"/>
      <w:lvlJc w:val="left"/>
      <w:pPr>
        <w:ind w:left="1080" w:hanging="1080"/>
      </w:pPr>
      <w:rPr>
        <w:rFonts w:hint="default"/>
        <w:color w:val="13322B"/>
      </w:rPr>
    </w:lvl>
    <w:lvl w:ilvl="6">
      <w:start w:val="1"/>
      <w:numFmt w:val="decimal"/>
      <w:lvlText w:val="%1.%2.%3.%4.%5.%6.%7"/>
      <w:lvlJc w:val="left"/>
      <w:pPr>
        <w:ind w:left="1440" w:hanging="1440"/>
      </w:pPr>
      <w:rPr>
        <w:rFonts w:hint="default"/>
        <w:color w:val="13322B"/>
      </w:rPr>
    </w:lvl>
    <w:lvl w:ilvl="7">
      <w:start w:val="1"/>
      <w:numFmt w:val="decimal"/>
      <w:lvlText w:val="%1.%2.%3.%4.%5.%6.%7.%8"/>
      <w:lvlJc w:val="left"/>
      <w:pPr>
        <w:ind w:left="1440" w:hanging="1440"/>
      </w:pPr>
      <w:rPr>
        <w:rFonts w:hint="default"/>
        <w:color w:val="13322B"/>
      </w:rPr>
    </w:lvl>
    <w:lvl w:ilvl="8">
      <w:start w:val="1"/>
      <w:numFmt w:val="decimal"/>
      <w:lvlText w:val="%1.%2.%3.%4.%5.%6.%7.%8.%9"/>
      <w:lvlJc w:val="left"/>
      <w:pPr>
        <w:ind w:left="1800" w:hanging="1800"/>
      </w:pPr>
      <w:rPr>
        <w:rFonts w:hint="default"/>
        <w:color w:val="13322B"/>
      </w:rPr>
    </w:lvl>
  </w:abstractNum>
  <w:num w:numId="1" w16cid:durableId="1096945298">
    <w:abstractNumId w:val="7"/>
  </w:num>
  <w:num w:numId="2" w16cid:durableId="2120054960">
    <w:abstractNumId w:val="11"/>
  </w:num>
  <w:num w:numId="3" w16cid:durableId="757362259">
    <w:abstractNumId w:val="0"/>
  </w:num>
  <w:num w:numId="4" w16cid:durableId="1538662951">
    <w:abstractNumId w:val="13"/>
  </w:num>
  <w:num w:numId="5" w16cid:durableId="1333725512">
    <w:abstractNumId w:val="1"/>
  </w:num>
  <w:num w:numId="6" w16cid:durableId="1392774678">
    <w:abstractNumId w:val="9"/>
  </w:num>
  <w:num w:numId="7" w16cid:durableId="379134335">
    <w:abstractNumId w:val="14"/>
  </w:num>
  <w:num w:numId="8" w16cid:durableId="1295061717">
    <w:abstractNumId w:val="4"/>
  </w:num>
  <w:num w:numId="9" w16cid:durableId="1812599932">
    <w:abstractNumId w:val="2"/>
  </w:num>
  <w:num w:numId="10" w16cid:durableId="107434423">
    <w:abstractNumId w:val="16"/>
  </w:num>
  <w:num w:numId="11" w16cid:durableId="313530158">
    <w:abstractNumId w:val="19"/>
  </w:num>
  <w:num w:numId="12" w16cid:durableId="1428963422">
    <w:abstractNumId w:val="5"/>
  </w:num>
  <w:num w:numId="13" w16cid:durableId="1574271982">
    <w:abstractNumId w:val="15"/>
  </w:num>
  <w:num w:numId="14" w16cid:durableId="28073597">
    <w:abstractNumId w:val="17"/>
  </w:num>
  <w:num w:numId="15" w16cid:durableId="900408997">
    <w:abstractNumId w:val="22"/>
  </w:num>
  <w:num w:numId="16" w16cid:durableId="910693767">
    <w:abstractNumId w:val="21"/>
  </w:num>
  <w:num w:numId="17" w16cid:durableId="285699704">
    <w:abstractNumId w:val="20"/>
  </w:num>
  <w:num w:numId="18" w16cid:durableId="880480926">
    <w:abstractNumId w:val="23"/>
  </w:num>
  <w:num w:numId="19" w16cid:durableId="1514497169">
    <w:abstractNumId w:val="6"/>
  </w:num>
  <w:num w:numId="20" w16cid:durableId="1509447701">
    <w:abstractNumId w:val="18"/>
  </w:num>
  <w:num w:numId="21" w16cid:durableId="589192927">
    <w:abstractNumId w:val="12"/>
  </w:num>
  <w:num w:numId="22" w16cid:durableId="1399745074">
    <w:abstractNumId w:val="8"/>
  </w:num>
  <w:num w:numId="23" w16cid:durableId="881136100">
    <w:abstractNumId w:val="3"/>
  </w:num>
  <w:num w:numId="24" w16cid:durableId="354884310">
    <w:abstractNumId w:val="10"/>
  </w:num>
  <w:num w:numId="25" w16cid:durableId="6967343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74544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E2"/>
    <w:rsid w:val="00011B7D"/>
    <w:rsid w:val="00075432"/>
    <w:rsid w:val="000756A4"/>
    <w:rsid w:val="0009458A"/>
    <w:rsid w:val="000F5E56"/>
    <w:rsid w:val="001077E2"/>
    <w:rsid w:val="001362EE"/>
    <w:rsid w:val="00180051"/>
    <w:rsid w:val="001832A6"/>
    <w:rsid w:val="00195C6E"/>
    <w:rsid w:val="001A5B05"/>
    <w:rsid w:val="001A688D"/>
    <w:rsid w:val="001B266A"/>
    <w:rsid w:val="001B488E"/>
    <w:rsid w:val="001C6508"/>
    <w:rsid w:val="001D3D56"/>
    <w:rsid w:val="001D529D"/>
    <w:rsid w:val="00240654"/>
    <w:rsid w:val="0025290E"/>
    <w:rsid w:val="00256A59"/>
    <w:rsid w:val="002634C4"/>
    <w:rsid w:val="00271DC2"/>
    <w:rsid w:val="002956DE"/>
    <w:rsid w:val="002E4D1A"/>
    <w:rsid w:val="002F16BC"/>
    <w:rsid w:val="002F4E68"/>
    <w:rsid w:val="00322C0B"/>
    <w:rsid w:val="00381798"/>
    <w:rsid w:val="003845C1"/>
    <w:rsid w:val="003A67A3"/>
    <w:rsid w:val="004008A2"/>
    <w:rsid w:val="004025DF"/>
    <w:rsid w:val="0040540C"/>
    <w:rsid w:val="00410113"/>
    <w:rsid w:val="00423E3E"/>
    <w:rsid w:val="00427AF4"/>
    <w:rsid w:val="004647DA"/>
    <w:rsid w:val="00477D6B"/>
    <w:rsid w:val="004D6471"/>
    <w:rsid w:val="0051455D"/>
    <w:rsid w:val="00525B63"/>
    <w:rsid w:val="00525E59"/>
    <w:rsid w:val="00541348"/>
    <w:rsid w:val="005421DD"/>
    <w:rsid w:val="00554FA5"/>
    <w:rsid w:val="00567A4C"/>
    <w:rsid w:val="00574036"/>
    <w:rsid w:val="00595F07"/>
    <w:rsid w:val="005E6516"/>
    <w:rsid w:val="00605827"/>
    <w:rsid w:val="00616671"/>
    <w:rsid w:val="006519E3"/>
    <w:rsid w:val="0068189D"/>
    <w:rsid w:val="006B0DB5"/>
    <w:rsid w:val="007461F1"/>
    <w:rsid w:val="007D6961"/>
    <w:rsid w:val="007F07CB"/>
    <w:rsid w:val="00810CEF"/>
    <w:rsid w:val="0081208D"/>
    <w:rsid w:val="008B2CC1"/>
    <w:rsid w:val="008E7930"/>
    <w:rsid w:val="0090731E"/>
    <w:rsid w:val="00966A22"/>
    <w:rsid w:val="00974CD6"/>
    <w:rsid w:val="00994696"/>
    <w:rsid w:val="009A620D"/>
    <w:rsid w:val="009D30E6"/>
    <w:rsid w:val="009E3F6F"/>
    <w:rsid w:val="009F499F"/>
    <w:rsid w:val="00A11D74"/>
    <w:rsid w:val="00AC0AE4"/>
    <w:rsid w:val="00AD61DB"/>
    <w:rsid w:val="00B1090C"/>
    <w:rsid w:val="00B22F9C"/>
    <w:rsid w:val="00B35AF5"/>
    <w:rsid w:val="00B45C15"/>
    <w:rsid w:val="00BE0BE0"/>
    <w:rsid w:val="00C603FB"/>
    <w:rsid w:val="00C664C8"/>
    <w:rsid w:val="00C95B35"/>
    <w:rsid w:val="00CD1088"/>
    <w:rsid w:val="00CF0460"/>
    <w:rsid w:val="00D21536"/>
    <w:rsid w:val="00D43E0F"/>
    <w:rsid w:val="00D45252"/>
    <w:rsid w:val="00D71B4D"/>
    <w:rsid w:val="00D75C1E"/>
    <w:rsid w:val="00D93D55"/>
    <w:rsid w:val="00D9407C"/>
    <w:rsid w:val="00DB1C48"/>
    <w:rsid w:val="00DD4917"/>
    <w:rsid w:val="00DD6A16"/>
    <w:rsid w:val="00E0091A"/>
    <w:rsid w:val="00E203AA"/>
    <w:rsid w:val="00E5217A"/>
    <w:rsid w:val="00E527A5"/>
    <w:rsid w:val="00E76456"/>
    <w:rsid w:val="00E878EE"/>
    <w:rsid w:val="00ED5C4D"/>
    <w:rsid w:val="00EE71CB"/>
    <w:rsid w:val="00EF529F"/>
    <w:rsid w:val="00F16887"/>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D8B479"/>
  <w15:docId w15:val="{0A50E8A5-98BD-40CE-801B-DC3002EAB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1077E2"/>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68189D"/>
    <w:pPr>
      <w:spacing w:before="0" w:after="480"/>
    </w:pPr>
    <w:rPr>
      <w:caps w:val="0"/>
      <w:sz w:val="28"/>
    </w:rPr>
  </w:style>
  <w:style w:type="character" w:customStyle="1" w:styleId="TitleChar">
    <w:name w:val="Title Char"/>
    <w:basedOn w:val="DefaultParagraphFont"/>
    <w:link w:val="Title"/>
    <w:rsid w:val="0068189D"/>
    <w:rPr>
      <w:rFonts w:ascii="Arial" w:eastAsia="SimSun" w:hAnsi="Arial" w:cs="Arial"/>
      <w:b/>
      <w:bCs/>
      <w:kern w:val="32"/>
      <w:sz w:val="28"/>
      <w:szCs w:val="32"/>
      <w:lang w:eastAsia="zh-CN"/>
    </w:rPr>
  </w:style>
  <w:style w:type="character" w:customStyle="1" w:styleId="SectionHeadingChar">
    <w:name w:val="Section Heading Char"/>
    <w:link w:val="SectionHeading"/>
    <w:locked/>
    <w:rsid w:val="001077E2"/>
    <w:rPr>
      <w:rFonts w:ascii="Arial" w:hAnsi="Arial" w:cs="Arial"/>
      <w:b/>
      <w:bCs/>
      <w:caps/>
      <w:sz w:val="22"/>
      <w:szCs w:val="26"/>
      <w:lang w:eastAsia="zh-CN"/>
    </w:rPr>
  </w:style>
  <w:style w:type="paragraph" w:customStyle="1" w:styleId="SectionHeading">
    <w:name w:val="Section Heading"/>
    <w:basedOn w:val="Heading3"/>
    <w:next w:val="Normal"/>
    <w:link w:val="SectionHeadingChar"/>
    <w:rsid w:val="001077E2"/>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1077E2"/>
    <w:pPr>
      <w:keepNext/>
      <w:keepLines/>
      <w:spacing w:after="240"/>
      <w:ind w:left="567" w:right="567"/>
    </w:pPr>
    <w:rPr>
      <w:bCs/>
      <w:i/>
      <w:iCs/>
      <w:lang w:val="fr-FR"/>
    </w:rPr>
  </w:style>
  <w:style w:type="paragraph" w:customStyle="1" w:styleId="Question">
    <w:name w:val="Question"/>
    <w:basedOn w:val="BodyText"/>
    <w:next w:val="Answer"/>
    <w:qFormat/>
    <w:rsid w:val="001077E2"/>
    <w:pPr>
      <w:keepNext/>
      <w:keepLines/>
    </w:pPr>
    <w:rPr>
      <w:b/>
      <w:bCs/>
      <w:szCs w:val="22"/>
      <w:lang w:val="fr-FR"/>
    </w:rPr>
  </w:style>
  <w:style w:type="paragraph" w:customStyle="1" w:styleId="Answer">
    <w:name w:val="Answer"/>
    <w:basedOn w:val="BodyText"/>
    <w:qFormat/>
    <w:rsid w:val="001077E2"/>
    <w:pPr>
      <w:ind w:left="567"/>
    </w:pPr>
    <w:rPr>
      <w:lang w:val="fr-FR"/>
    </w:rPr>
  </w:style>
  <w:style w:type="paragraph" w:customStyle="1" w:styleId="Notestext">
    <w:name w:val="Notes text"/>
    <w:basedOn w:val="BodyText"/>
    <w:qFormat/>
    <w:rsid w:val="001077E2"/>
    <w:pPr>
      <w:keepLines/>
    </w:pPr>
    <w:rPr>
      <w:szCs w:val="22"/>
      <w:lang w:val="fr-FR"/>
    </w:rPr>
  </w:style>
  <w:style w:type="paragraph" w:customStyle="1" w:styleId="NotesHeading">
    <w:name w:val="Notes Heading"/>
    <w:basedOn w:val="Normal"/>
    <w:qFormat/>
    <w:rsid w:val="001077E2"/>
    <w:pPr>
      <w:keepNext/>
      <w:keepLines/>
      <w:spacing w:after="220"/>
    </w:pPr>
    <w:rPr>
      <w:i/>
      <w:szCs w:val="22"/>
      <w:lang w:val="fr-FR"/>
    </w:rPr>
  </w:style>
  <w:style w:type="paragraph" w:styleId="BalloonText">
    <w:name w:val="Balloon Text"/>
    <w:basedOn w:val="Normal"/>
    <w:link w:val="BalloonTextChar"/>
    <w:semiHidden/>
    <w:unhideWhenUsed/>
    <w:rsid w:val="001077E2"/>
    <w:rPr>
      <w:rFonts w:ascii="Segoe UI" w:hAnsi="Segoe UI" w:cs="Segoe UI"/>
      <w:sz w:val="18"/>
      <w:szCs w:val="18"/>
      <w:lang w:val="fr-FR"/>
    </w:rPr>
  </w:style>
  <w:style w:type="character" w:customStyle="1" w:styleId="BalloonTextChar">
    <w:name w:val="Balloon Text Char"/>
    <w:basedOn w:val="DefaultParagraphFont"/>
    <w:link w:val="BalloonText"/>
    <w:semiHidden/>
    <w:rsid w:val="001077E2"/>
    <w:rPr>
      <w:rFonts w:ascii="Segoe UI" w:eastAsia="SimSun" w:hAnsi="Segoe UI" w:cs="Segoe UI"/>
      <w:sz w:val="18"/>
      <w:szCs w:val="18"/>
      <w:lang w:val="fr-FR" w:eastAsia="zh-CN"/>
    </w:rPr>
  </w:style>
  <w:style w:type="paragraph" w:styleId="Revision">
    <w:name w:val="Revision"/>
    <w:hidden/>
    <w:uiPriority w:val="99"/>
    <w:semiHidden/>
    <w:rsid w:val="001077E2"/>
    <w:rPr>
      <w:rFonts w:ascii="Arial" w:eastAsia="SimSun" w:hAnsi="Arial" w:cs="Arial"/>
      <w:sz w:val="22"/>
      <w:lang w:val="fr-FR" w:eastAsia="zh-CN"/>
    </w:rPr>
  </w:style>
  <w:style w:type="character" w:styleId="Hyperlink">
    <w:name w:val="Hyperlink"/>
    <w:basedOn w:val="DefaultParagraphFont"/>
    <w:unhideWhenUsed/>
    <w:rsid w:val="001077E2"/>
    <w:rPr>
      <w:color w:val="0000FF" w:themeColor="hyperlink"/>
      <w:u w:val="single"/>
    </w:rPr>
  </w:style>
  <w:style w:type="table" w:styleId="TableGrid">
    <w:name w:val="Table Grid"/>
    <w:basedOn w:val="TableNormal"/>
    <w:rsid w:val="001077E2"/>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77E2"/>
    <w:rPr>
      <w:color w:val="666666"/>
    </w:rPr>
  </w:style>
  <w:style w:type="character" w:customStyle="1" w:styleId="HeaderChar">
    <w:name w:val="Header Char"/>
    <w:basedOn w:val="DefaultParagraphFont"/>
    <w:link w:val="Header"/>
    <w:uiPriority w:val="99"/>
    <w:rsid w:val="001077E2"/>
    <w:rPr>
      <w:rFonts w:ascii="Arial" w:eastAsia="SimSun" w:hAnsi="Arial" w:cs="Arial"/>
      <w:sz w:val="22"/>
      <w:lang w:eastAsia="zh-CN"/>
    </w:rPr>
  </w:style>
  <w:style w:type="character" w:styleId="CommentReference">
    <w:name w:val="annotation reference"/>
    <w:basedOn w:val="DefaultParagraphFont"/>
    <w:semiHidden/>
    <w:unhideWhenUsed/>
    <w:rsid w:val="001077E2"/>
    <w:rPr>
      <w:sz w:val="16"/>
      <w:szCs w:val="16"/>
    </w:rPr>
  </w:style>
  <w:style w:type="paragraph" w:styleId="CommentSubject">
    <w:name w:val="annotation subject"/>
    <w:basedOn w:val="CommentText"/>
    <w:next w:val="CommentText"/>
    <w:link w:val="CommentSubjectChar"/>
    <w:semiHidden/>
    <w:unhideWhenUsed/>
    <w:rsid w:val="001077E2"/>
    <w:rPr>
      <w:b/>
      <w:bCs/>
      <w:sz w:val="20"/>
      <w:lang w:val="fr-FR"/>
    </w:rPr>
  </w:style>
  <w:style w:type="character" w:customStyle="1" w:styleId="CommentTextChar">
    <w:name w:val="Comment Text Char"/>
    <w:basedOn w:val="DefaultParagraphFont"/>
    <w:link w:val="CommentText"/>
    <w:semiHidden/>
    <w:rsid w:val="001077E2"/>
    <w:rPr>
      <w:rFonts w:ascii="Arial" w:eastAsia="SimSun" w:hAnsi="Arial" w:cs="Arial"/>
      <w:sz w:val="18"/>
      <w:lang w:eastAsia="zh-CN"/>
    </w:rPr>
  </w:style>
  <w:style w:type="character" w:customStyle="1" w:styleId="CommentSubjectChar">
    <w:name w:val="Comment Subject Char"/>
    <w:basedOn w:val="CommentTextChar"/>
    <w:link w:val="CommentSubject"/>
    <w:semiHidden/>
    <w:rsid w:val="001077E2"/>
    <w:rPr>
      <w:rFonts w:ascii="Arial" w:eastAsia="SimSun" w:hAnsi="Arial" w:cs="Arial"/>
      <w:b/>
      <w:bCs/>
      <w:sz w:val="18"/>
      <w:lang w:val="fr-FR" w:eastAsia="zh-CN"/>
    </w:rPr>
  </w:style>
  <w:style w:type="paragraph" w:styleId="ListParagraph">
    <w:name w:val="List Paragraph"/>
    <w:aliases w:val="Dot pt,No Spacing1,List Paragraph Char Char Char,Indicator Text,List Paragraph1,Numbered Para 1,Colorful List - Accent 11,Bullet 1,F5 List Paragraph,Bullet Points,lp1,viñetas,4 Párrafo de lista,Figuras,DH1,Lista bullets"/>
    <w:basedOn w:val="Normal"/>
    <w:link w:val="ListParagraphChar"/>
    <w:uiPriority w:val="34"/>
    <w:qFormat/>
    <w:rsid w:val="001077E2"/>
    <w:pPr>
      <w:ind w:left="720"/>
      <w:contextualSpacing/>
    </w:pPr>
    <w:rPr>
      <w:lang w:val="fr-FR"/>
    </w:r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lp1 Char,DH1 Char"/>
    <w:link w:val="ListParagraph"/>
    <w:uiPriority w:val="34"/>
    <w:locked/>
    <w:rsid w:val="001077E2"/>
    <w:rPr>
      <w:rFonts w:ascii="Arial" w:eastAsia="SimSun" w:hAnsi="Arial" w:cs="Arial"/>
      <w:sz w:val="22"/>
      <w:lang w:val="fr-FR" w:eastAsia="zh-CN"/>
    </w:rPr>
  </w:style>
  <w:style w:type="character" w:styleId="UnresolvedMention">
    <w:name w:val="Unresolved Mention"/>
    <w:basedOn w:val="DefaultParagraphFont"/>
    <w:uiPriority w:val="99"/>
    <w:semiHidden/>
    <w:unhideWhenUsed/>
    <w:rsid w:val="001077E2"/>
    <w:rPr>
      <w:color w:val="605E5C"/>
      <w:shd w:val="clear" w:color="auto" w:fill="E1DFDD"/>
    </w:rPr>
  </w:style>
  <w:style w:type="character" w:styleId="FollowedHyperlink">
    <w:name w:val="FollowedHyperlink"/>
    <w:basedOn w:val="DefaultParagraphFont"/>
    <w:semiHidden/>
    <w:unhideWhenUsed/>
    <w:rsid w:val="001077E2"/>
    <w:rPr>
      <w:color w:val="800080" w:themeColor="followedHyperlink"/>
      <w:u w:val="single"/>
    </w:rPr>
  </w:style>
  <w:style w:type="character" w:styleId="FootnoteReference">
    <w:name w:val="footnote reference"/>
    <w:basedOn w:val="DefaultParagraphFont"/>
    <w:semiHidden/>
    <w:unhideWhenUsed/>
    <w:rsid w:val="001077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20%20https://siga.impi.gob.m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documents/d/pct-system/docs-fr-circulars-2024-1672.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hyperlink" Target="https://cadopat.impi.gob.m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20%20https://siga.impi.gob.m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F).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F7463403AD464D9C3E940326AF7340"/>
        <w:category>
          <w:name w:val="General"/>
          <w:gallery w:val="placeholder"/>
        </w:category>
        <w:types>
          <w:type w:val="bbPlcHdr"/>
        </w:types>
        <w:behaviors>
          <w:behavior w:val="content"/>
        </w:behaviors>
        <w:guid w:val="{E51BD215-53F9-464A-B8EB-6FCBDC2072EB}"/>
      </w:docPartPr>
      <w:docPartBody>
        <w:p w:rsidR="00F866B5" w:rsidRDefault="00F866B5" w:rsidP="00F866B5">
          <w:pPr>
            <w:pStyle w:val="D4F7463403AD464D9C3E940326AF7340"/>
          </w:pPr>
          <w:r w:rsidRPr="00327ED2">
            <w:rPr>
              <w:rStyle w:val="PlaceholderText"/>
            </w:rPr>
            <w:t>Enter any content that you want to repeat, including other content controls. You can also insert this control around table rows in order to repeat parts of a table.</w:t>
          </w:r>
        </w:p>
      </w:docPartBody>
    </w:docPart>
    <w:docPart>
      <w:docPartPr>
        <w:name w:val="769F8F327D2146BBB6753A20CFF53588"/>
        <w:category>
          <w:name w:val="General"/>
          <w:gallery w:val="placeholder"/>
        </w:category>
        <w:types>
          <w:type w:val="bbPlcHdr"/>
        </w:types>
        <w:behaviors>
          <w:behavior w:val="content"/>
        </w:behaviors>
        <w:guid w:val="{2279CF2B-8518-4CF1-8217-422EF9942C3D}"/>
      </w:docPartPr>
      <w:docPartBody>
        <w:p w:rsidR="00F866B5" w:rsidRDefault="00F866B5" w:rsidP="00F866B5">
          <w:pPr>
            <w:pStyle w:val="769F8F327D2146BBB6753A20CFF53588"/>
          </w:pPr>
          <w:r w:rsidRPr="006A251B">
            <w:rPr>
              <w:rStyle w:val="PlaceholderText"/>
            </w:rPr>
            <w:t>Click or tap here to enter text.</w:t>
          </w:r>
        </w:p>
      </w:docPartBody>
    </w:docPart>
    <w:docPart>
      <w:docPartPr>
        <w:name w:val="EEDFCEEFE931405C802ACBC34FFA91D4"/>
        <w:category>
          <w:name w:val="General"/>
          <w:gallery w:val="placeholder"/>
        </w:category>
        <w:types>
          <w:type w:val="bbPlcHdr"/>
        </w:types>
        <w:behaviors>
          <w:behavior w:val="content"/>
        </w:behaviors>
        <w:guid w:val="{C7D198A8-06AE-43A7-9D86-AD51E612951A}"/>
      </w:docPartPr>
      <w:docPartBody>
        <w:p w:rsidR="00F866B5" w:rsidRDefault="00F866B5" w:rsidP="00F866B5">
          <w:pPr>
            <w:pStyle w:val="EEDFCEEFE931405C802ACBC34FFA91D4"/>
          </w:pPr>
          <w:r w:rsidRPr="00705E93">
            <w:rPr>
              <w:rStyle w:val="PlaceholderText"/>
            </w:rPr>
            <w:t>Choose an item.</w:t>
          </w:r>
        </w:p>
      </w:docPartBody>
    </w:docPart>
    <w:docPart>
      <w:docPartPr>
        <w:name w:val="27CCB44F02FA417588D5E29FAC56BBF7"/>
        <w:category>
          <w:name w:val="General"/>
          <w:gallery w:val="placeholder"/>
        </w:category>
        <w:types>
          <w:type w:val="bbPlcHdr"/>
        </w:types>
        <w:behaviors>
          <w:behavior w:val="content"/>
        </w:behaviors>
        <w:guid w:val="{074760BF-343A-4018-B20B-00BCA900ABE7}"/>
      </w:docPartPr>
      <w:docPartBody>
        <w:p w:rsidR="00F866B5" w:rsidRDefault="00F866B5" w:rsidP="00F866B5">
          <w:pPr>
            <w:pStyle w:val="27CCB44F02FA417588D5E29FAC56BBF7"/>
          </w:pPr>
          <w:r w:rsidRPr="00705E93">
            <w:rPr>
              <w:rStyle w:val="PlaceholderText"/>
            </w:rPr>
            <w:t>Click or tap to enter a date.</w:t>
          </w:r>
        </w:p>
      </w:docPartBody>
    </w:docPart>
    <w:docPart>
      <w:docPartPr>
        <w:name w:val="522095FD88A7423C9C3F9DFE649F99EA"/>
        <w:category>
          <w:name w:val="General"/>
          <w:gallery w:val="placeholder"/>
        </w:category>
        <w:types>
          <w:type w:val="bbPlcHdr"/>
        </w:types>
        <w:behaviors>
          <w:behavior w:val="content"/>
        </w:behaviors>
        <w:guid w:val="{B3F9EFAE-4C3F-478C-9E1C-C0A4798EDCB7}"/>
      </w:docPartPr>
      <w:docPartBody>
        <w:p w:rsidR="00F866B5" w:rsidRDefault="00F866B5" w:rsidP="00F866B5">
          <w:pPr>
            <w:pStyle w:val="522095FD88A7423C9C3F9DFE649F99EA"/>
          </w:pPr>
          <w:r w:rsidRPr="00327ED2">
            <w:rPr>
              <w:rStyle w:val="PlaceholderText"/>
            </w:rPr>
            <w:t>Enter any content that you want to repeat, including other content controls. You can also insert this control around table rows in order to repeat parts of a table.</w:t>
          </w:r>
        </w:p>
      </w:docPartBody>
    </w:docPart>
    <w:docPart>
      <w:docPartPr>
        <w:name w:val="23DF07EFB03844F9BE8C2AA3E4E29462"/>
        <w:category>
          <w:name w:val="General"/>
          <w:gallery w:val="placeholder"/>
        </w:category>
        <w:types>
          <w:type w:val="bbPlcHdr"/>
        </w:types>
        <w:behaviors>
          <w:behavior w:val="content"/>
        </w:behaviors>
        <w:guid w:val="{EF6304E9-B2B6-4837-8916-60EB9D96E9E3}"/>
      </w:docPartPr>
      <w:docPartBody>
        <w:p w:rsidR="00F866B5" w:rsidRDefault="00F866B5" w:rsidP="00F866B5">
          <w:pPr>
            <w:pStyle w:val="23DF07EFB03844F9BE8C2AA3E4E29462"/>
          </w:pPr>
          <w:r w:rsidRPr="006A251B">
            <w:rPr>
              <w:rStyle w:val="PlaceholderText"/>
            </w:rPr>
            <w:t>Click or tap here to enter text.</w:t>
          </w:r>
        </w:p>
      </w:docPartBody>
    </w:docPart>
    <w:docPart>
      <w:docPartPr>
        <w:name w:val="77B204A6BFB84123A67938D37F76D097"/>
        <w:category>
          <w:name w:val="General"/>
          <w:gallery w:val="placeholder"/>
        </w:category>
        <w:types>
          <w:type w:val="bbPlcHdr"/>
        </w:types>
        <w:behaviors>
          <w:behavior w:val="content"/>
        </w:behaviors>
        <w:guid w:val="{6668C6BD-E516-4B5D-A2E8-EFE967E0B63F}"/>
      </w:docPartPr>
      <w:docPartBody>
        <w:p w:rsidR="00F866B5" w:rsidRDefault="00F866B5" w:rsidP="00F866B5">
          <w:pPr>
            <w:pStyle w:val="77B204A6BFB84123A67938D37F76D097"/>
          </w:pPr>
          <w:r w:rsidRPr="00705E93">
            <w:rPr>
              <w:rStyle w:val="PlaceholderText"/>
            </w:rPr>
            <w:t>Choose an item.</w:t>
          </w:r>
        </w:p>
      </w:docPartBody>
    </w:docPart>
    <w:docPart>
      <w:docPartPr>
        <w:name w:val="8E0F36620DC24B2598BA5C0C41630566"/>
        <w:category>
          <w:name w:val="General"/>
          <w:gallery w:val="placeholder"/>
        </w:category>
        <w:types>
          <w:type w:val="bbPlcHdr"/>
        </w:types>
        <w:behaviors>
          <w:behavior w:val="content"/>
        </w:behaviors>
        <w:guid w:val="{E7C63BED-BCA3-449B-82F1-7720ED3E2F1F}"/>
      </w:docPartPr>
      <w:docPartBody>
        <w:p w:rsidR="00F866B5" w:rsidRDefault="00F866B5" w:rsidP="00F866B5">
          <w:pPr>
            <w:pStyle w:val="8E0F36620DC24B2598BA5C0C41630566"/>
          </w:pPr>
          <w:r w:rsidRPr="00705E93">
            <w:rPr>
              <w:rStyle w:val="PlaceholderText"/>
            </w:rPr>
            <w:t>Click or tap to enter a date.</w:t>
          </w:r>
        </w:p>
      </w:docPartBody>
    </w:docPart>
    <w:docPart>
      <w:docPartPr>
        <w:name w:val="408350E5FE7C4FBA9CDD1414F1B249BA"/>
        <w:category>
          <w:name w:val="General"/>
          <w:gallery w:val="placeholder"/>
        </w:category>
        <w:types>
          <w:type w:val="bbPlcHdr"/>
        </w:types>
        <w:behaviors>
          <w:behavior w:val="content"/>
        </w:behaviors>
        <w:guid w:val="{F0CE720D-A75A-46CE-9196-3D88F93EFCC6}"/>
      </w:docPartPr>
      <w:docPartBody>
        <w:p w:rsidR="00F866B5" w:rsidRDefault="00F866B5" w:rsidP="00F866B5">
          <w:pPr>
            <w:pStyle w:val="408350E5FE7C4FBA9CDD1414F1B249BA"/>
          </w:pPr>
          <w:r w:rsidRPr="00327ED2">
            <w:rPr>
              <w:rStyle w:val="PlaceholderText"/>
            </w:rPr>
            <w:t>Enter any content that you want to repeat, including other content controls. You can also insert this control around table rows in order to repeat parts of a table.</w:t>
          </w:r>
        </w:p>
      </w:docPartBody>
    </w:docPart>
    <w:docPart>
      <w:docPartPr>
        <w:name w:val="79F9E73F495647EEBFEE77A258B4DDDC"/>
        <w:category>
          <w:name w:val="General"/>
          <w:gallery w:val="placeholder"/>
        </w:category>
        <w:types>
          <w:type w:val="bbPlcHdr"/>
        </w:types>
        <w:behaviors>
          <w:behavior w:val="content"/>
        </w:behaviors>
        <w:guid w:val="{AEAFB81A-EE91-4158-8A57-8BA41D8DB789}"/>
      </w:docPartPr>
      <w:docPartBody>
        <w:p w:rsidR="00F866B5" w:rsidRDefault="00F866B5" w:rsidP="00F866B5">
          <w:pPr>
            <w:pStyle w:val="79F9E73F495647EEBFEE77A258B4DDDC"/>
          </w:pPr>
          <w:r w:rsidRPr="006A251B">
            <w:rPr>
              <w:rStyle w:val="PlaceholderText"/>
            </w:rPr>
            <w:t>Click or tap here to enter text.</w:t>
          </w:r>
        </w:p>
      </w:docPartBody>
    </w:docPart>
    <w:docPart>
      <w:docPartPr>
        <w:name w:val="05296A22404448858415A8D8F7F7B2D8"/>
        <w:category>
          <w:name w:val="General"/>
          <w:gallery w:val="placeholder"/>
        </w:category>
        <w:types>
          <w:type w:val="bbPlcHdr"/>
        </w:types>
        <w:behaviors>
          <w:behavior w:val="content"/>
        </w:behaviors>
        <w:guid w:val="{6B19ACBA-14F7-4596-8471-AEBE1DA95DBF}"/>
      </w:docPartPr>
      <w:docPartBody>
        <w:p w:rsidR="00F866B5" w:rsidRDefault="00F866B5" w:rsidP="00F866B5">
          <w:pPr>
            <w:pStyle w:val="05296A22404448858415A8D8F7F7B2D8"/>
          </w:pPr>
          <w:r w:rsidRPr="00705E93">
            <w:rPr>
              <w:rStyle w:val="PlaceholderText"/>
            </w:rPr>
            <w:t>Choose an item.</w:t>
          </w:r>
        </w:p>
      </w:docPartBody>
    </w:docPart>
    <w:docPart>
      <w:docPartPr>
        <w:name w:val="E52D2A9AB6CF4EF587ACCC3D4A71A767"/>
        <w:category>
          <w:name w:val="General"/>
          <w:gallery w:val="placeholder"/>
        </w:category>
        <w:types>
          <w:type w:val="bbPlcHdr"/>
        </w:types>
        <w:behaviors>
          <w:behavior w:val="content"/>
        </w:behaviors>
        <w:guid w:val="{B8282E25-7FA0-46AB-979B-4EA88EA006CE}"/>
      </w:docPartPr>
      <w:docPartBody>
        <w:p w:rsidR="00F866B5" w:rsidRDefault="00F866B5" w:rsidP="00F866B5">
          <w:pPr>
            <w:pStyle w:val="E52D2A9AB6CF4EF587ACCC3D4A71A767"/>
          </w:pPr>
          <w:r w:rsidRPr="00705E93">
            <w:rPr>
              <w:rStyle w:val="PlaceholderText"/>
            </w:rPr>
            <w:t>Click or tap to enter a date.</w:t>
          </w:r>
        </w:p>
      </w:docPartBody>
    </w:docPart>
    <w:docPart>
      <w:docPartPr>
        <w:name w:val="B7D9E4BC32DC421B8C259107E3900DCD"/>
        <w:category>
          <w:name w:val="General"/>
          <w:gallery w:val="placeholder"/>
        </w:category>
        <w:types>
          <w:type w:val="bbPlcHdr"/>
        </w:types>
        <w:behaviors>
          <w:behavior w:val="content"/>
        </w:behaviors>
        <w:guid w:val="{41D2E2C2-3D9E-419A-A95F-7C1B63420BBC}"/>
      </w:docPartPr>
      <w:docPartBody>
        <w:p w:rsidR="00F866B5" w:rsidRDefault="00F866B5" w:rsidP="00F866B5">
          <w:pPr>
            <w:pStyle w:val="B7D9E4BC32DC421B8C259107E3900DCD"/>
          </w:pPr>
          <w:r w:rsidRPr="00327ED2">
            <w:rPr>
              <w:rStyle w:val="PlaceholderText"/>
            </w:rPr>
            <w:t>Enter any content that you want to repeat, including other content controls. You can also insert this control around table rows in order to repeat parts of a table.</w:t>
          </w:r>
        </w:p>
      </w:docPartBody>
    </w:docPart>
    <w:docPart>
      <w:docPartPr>
        <w:name w:val="C2CF313A3846499BA138A0C4CC4F3E86"/>
        <w:category>
          <w:name w:val="General"/>
          <w:gallery w:val="placeholder"/>
        </w:category>
        <w:types>
          <w:type w:val="bbPlcHdr"/>
        </w:types>
        <w:behaviors>
          <w:behavior w:val="content"/>
        </w:behaviors>
        <w:guid w:val="{2090E607-F80B-42B6-9D2F-BC0E75D07ACD}"/>
      </w:docPartPr>
      <w:docPartBody>
        <w:p w:rsidR="00F866B5" w:rsidRDefault="00F866B5" w:rsidP="00F866B5">
          <w:pPr>
            <w:pStyle w:val="C2CF313A3846499BA138A0C4CC4F3E86"/>
          </w:pPr>
          <w:r w:rsidRPr="006A251B">
            <w:rPr>
              <w:rStyle w:val="PlaceholderText"/>
            </w:rPr>
            <w:t>Click or tap here to enter text.</w:t>
          </w:r>
        </w:p>
      </w:docPartBody>
    </w:docPart>
    <w:docPart>
      <w:docPartPr>
        <w:name w:val="A5EE1AE520E84539B14C3E462863DD83"/>
        <w:category>
          <w:name w:val="General"/>
          <w:gallery w:val="placeholder"/>
        </w:category>
        <w:types>
          <w:type w:val="bbPlcHdr"/>
        </w:types>
        <w:behaviors>
          <w:behavior w:val="content"/>
        </w:behaviors>
        <w:guid w:val="{39A4FA78-2DA5-49E1-B52C-33B0B3B072F3}"/>
      </w:docPartPr>
      <w:docPartBody>
        <w:p w:rsidR="00F866B5" w:rsidRDefault="00F866B5" w:rsidP="00F866B5">
          <w:pPr>
            <w:pStyle w:val="A5EE1AE520E84539B14C3E462863DD83"/>
          </w:pPr>
          <w:r w:rsidRPr="00705E93">
            <w:rPr>
              <w:rStyle w:val="PlaceholderText"/>
            </w:rPr>
            <w:t>Choose an item.</w:t>
          </w:r>
        </w:p>
      </w:docPartBody>
    </w:docPart>
    <w:docPart>
      <w:docPartPr>
        <w:name w:val="1F9CAD4A589D41E18CC820115BA23BCC"/>
        <w:category>
          <w:name w:val="General"/>
          <w:gallery w:val="placeholder"/>
        </w:category>
        <w:types>
          <w:type w:val="bbPlcHdr"/>
        </w:types>
        <w:behaviors>
          <w:behavior w:val="content"/>
        </w:behaviors>
        <w:guid w:val="{89753F56-375E-433E-A9B8-075CBB29C919}"/>
      </w:docPartPr>
      <w:docPartBody>
        <w:p w:rsidR="00F866B5" w:rsidRDefault="00F866B5" w:rsidP="00F866B5">
          <w:pPr>
            <w:pStyle w:val="1F9CAD4A589D41E18CC820115BA23BCC"/>
          </w:pPr>
          <w:r w:rsidRPr="00705E9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B5"/>
    <w:rsid w:val="000756A4"/>
    <w:rsid w:val="00994696"/>
    <w:rsid w:val="00D21536"/>
    <w:rsid w:val="00F37FF3"/>
    <w:rsid w:val="00F6612F"/>
    <w:rsid w:val="00F86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66B5"/>
    <w:rPr>
      <w:color w:val="666666"/>
    </w:rPr>
  </w:style>
  <w:style w:type="paragraph" w:customStyle="1" w:styleId="D4F7463403AD464D9C3E940326AF7340">
    <w:name w:val="D4F7463403AD464D9C3E940326AF7340"/>
    <w:rsid w:val="00F866B5"/>
  </w:style>
  <w:style w:type="paragraph" w:customStyle="1" w:styleId="769F8F327D2146BBB6753A20CFF53588">
    <w:name w:val="769F8F327D2146BBB6753A20CFF53588"/>
    <w:rsid w:val="00F866B5"/>
  </w:style>
  <w:style w:type="paragraph" w:customStyle="1" w:styleId="EEDFCEEFE931405C802ACBC34FFA91D4">
    <w:name w:val="EEDFCEEFE931405C802ACBC34FFA91D4"/>
    <w:rsid w:val="00F866B5"/>
  </w:style>
  <w:style w:type="paragraph" w:customStyle="1" w:styleId="27CCB44F02FA417588D5E29FAC56BBF7">
    <w:name w:val="27CCB44F02FA417588D5E29FAC56BBF7"/>
    <w:rsid w:val="00F866B5"/>
  </w:style>
  <w:style w:type="paragraph" w:customStyle="1" w:styleId="522095FD88A7423C9C3F9DFE649F99EA">
    <w:name w:val="522095FD88A7423C9C3F9DFE649F99EA"/>
    <w:rsid w:val="00F866B5"/>
  </w:style>
  <w:style w:type="paragraph" w:customStyle="1" w:styleId="23DF07EFB03844F9BE8C2AA3E4E29462">
    <w:name w:val="23DF07EFB03844F9BE8C2AA3E4E29462"/>
    <w:rsid w:val="00F866B5"/>
  </w:style>
  <w:style w:type="paragraph" w:customStyle="1" w:styleId="77B204A6BFB84123A67938D37F76D097">
    <w:name w:val="77B204A6BFB84123A67938D37F76D097"/>
    <w:rsid w:val="00F866B5"/>
  </w:style>
  <w:style w:type="paragraph" w:customStyle="1" w:styleId="8E0F36620DC24B2598BA5C0C41630566">
    <w:name w:val="8E0F36620DC24B2598BA5C0C41630566"/>
    <w:rsid w:val="00F866B5"/>
  </w:style>
  <w:style w:type="paragraph" w:customStyle="1" w:styleId="408350E5FE7C4FBA9CDD1414F1B249BA">
    <w:name w:val="408350E5FE7C4FBA9CDD1414F1B249BA"/>
    <w:rsid w:val="00F866B5"/>
  </w:style>
  <w:style w:type="paragraph" w:customStyle="1" w:styleId="79F9E73F495647EEBFEE77A258B4DDDC">
    <w:name w:val="79F9E73F495647EEBFEE77A258B4DDDC"/>
    <w:rsid w:val="00F866B5"/>
  </w:style>
  <w:style w:type="paragraph" w:customStyle="1" w:styleId="05296A22404448858415A8D8F7F7B2D8">
    <w:name w:val="05296A22404448858415A8D8F7F7B2D8"/>
    <w:rsid w:val="00F866B5"/>
  </w:style>
  <w:style w:type="paragraph" w:customStyle="1" w:styleId="E52D2A9AB6CF4EF587ACCC3D4A71A767">
    <w:name w:val="E52D2A9AB6CF4EF587ACCC3D4A71A767"/>
    <w:rsid w:val="00F866B5"/>
  </w:style>
  <w:style w:type="paragraph" w:customStyle="1" w:styleId="B7D9E4BC32DC421B8C259107E3900DCD">
    <w:name w:val="B7D9E4BC32DC421B8C259107E3900DCD"/>
    <w:rsid w:val="00F866B5"/>
  </w:style>
  <w:style w:type="paragraph" w:customStyle="1" w:styleId="C2CF313A3846499BA138A0C4CC4F3E86">
    <w:name w:val="C2CF313A3846499BA138A0C4CC4F3E86"/>
    <w:rsid w:val="00F866B5"/>
  </w:style>
  <w:style w:type="paragraph" w:customStyle="1" w:styleId="A5EE1AE520E84539B14C3E462863DD83">
    <w:name w:val="A5EE1AE520E84539B14C3E462863DD83"/>
    <w:rsid w:val="00F866B5"/>
  </w:style>
  <w:style w:type="paragraph" w:customStyle="1" w:styleId="1F9CAD4A589D41E18CC820115BA23BCC">
    <w:name w:val="1F9CAD4A589D41E18CC820115BA23BCC"/>
    <w:rsid w:val="00F866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810D-6431-4570-B6DC-E6AE4341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(F)</Template>
  <TotalTime>1</TotalTime>
  <Pages>25</Pages>
  <Words>8095</Words>
  <Characters>46147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PCT/CTC/33/27</vt:lpstr>
    </vt:vector>
  </TitlesOfParts>
  <Company>WIPO</Company>
  <LinksUpToDate>false</LinksUpToDate>
  <CharactersWithSpaces>54134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PCT/CTC/33/27</dc:title>
  <dc:subject>NOMINATION DE L’INSTITUT MEXICAIN DE LA PROPRIETE INDUSTRIELLE EN QUALITE D’ADMINISTRATION CHARGEE DE LA RECHERCHE INTERNATIONALE ET DE L’EXAMEN PRELIMINAIRE INTERNATIONAL SELON LE PCT</dc:subject>
  <dc:creator>OLIVIÉ Karen</dc:creator>
  <cp:keywords/>
  <dc:description>French</dc:description>
  <cp:lastModifiedBy>MARLOW Thomas</cp:lastModifiedBy>
  <cp:revision>4</cp:revision>
  <cp:lastPrinted>2026-01-16T09:57:00Z</cp:lastPrinted>
  <dcterms:created xsi:type="dcterms:W3CDTF">2026-01-16T09:56:00Z</dcterms:created>
  <dcterms:modified xsi:type="dcterms:W3CDTF">2026-01-16T09:57:00Z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2db6b1f6-0461-41c8-b70f-f145ce5950d3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2026-01-07T15:05:02Z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1e3a9eff-54ab-4bf7-839f-3e4fd06b8d1a</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