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F01E" w14:textId="77777777" w:rsidR="008B2CC1" w:rsidRPr="00CD5DD8" w:rsidRDefault="0040540C" w:rsidP="00BA2E42">
      <w:pPr>
        <w:pBdr>
          <w:bottom w:val="single" w:sz="4" w:space="10" w:color="auto"/>
        </w:pBdr>
        <w:spacing w:after="120"/>
        <w:jc w:val="right"/>
        <w:rPr>
          <w:lang w:val="fr-FR"/>
        </w:rPr>
      </w:pPr>
      <w:r w:rsidRPr="00CD5DD8">
        <w:rPr>
          <w:noProof/>
          <w:lang w:val="fr-FR" w:eastAsia="en-US"/>
        </w:rPr>
        <w:drawing>
          <wp:inline distT="0" distB="0" distL="0" distR="0" wp14:anchorId="5D3D48F3" wp14:editId="13246DC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7976B96" w14:textId="1821A5BB" w:rsidR="00B1090C" w:rsidRPr="00CD5DD8" w:rsidRDefault="00EF529F" w:rsidP="00BA2E42">
      <w:pPr>
        <w:jc w:val="right"/>
        <w:rPr>
          <w:rFonts w:ascii="Arial Black" w:hAnsi="Arial Black"/>
          <w:caps/>
          <w:sz w:val="15"/>
          <w:lang w:val="fr-FR"/>
        </w:rPr>
      </w:pPr>
      <w:r w:rsidRPr="00CD5DD8">
        <w:rPr>
          <w:rFonts w:ascii="Arial Black" w:hAnsi="Arial Black"/>
          <w:caps/>
          <w:sz w:val="15"/>
          <w:lang w:val="fr-FR"/>
        </w:rPr>
        <w:t>PCT/CTC/3</w:t>
      </w:r>
      <w:r w:rsidR="0068189D" w:rsidRPr="00CD5DD8">
        <w:rPr>
          <w:rFonts w:ascii="Arial Black" w:hAnsi="Arial Black"/>
          <w:caps/>
          <w:sz w:val="15"/>
          <w:lang w:val="fr-FR"/>
        </w:rPr>
        <w:t>3</w:t>
      </w:r>
      <w:r w:rsidRPr="00CD5DD8">
        <w:rPr>
          <w:rFonts w:ascii="Arial Black" w:hAnsi="Arial Black"/>
          <w:caps/>
          <w:sz w:val="15"/>
          <w:lang w:val="fr-FR"/>
        </w:rPr>
        <w:t>/</w:t>
      </w:r>
      <w:bookmarkStart w:id="0" w:name="Code"/>
      <w:bookmarkEnd w:id="0"/>
      <w:r w:rsidR="009759B8" w:rsidRPr="00CD5DD8">
        <w:rPr>
          <w:rFonts w:ascii="Arial Black" w:hAnsi="Arial Black"/>
          <w:caps/>
          <w:sz w:val="15"/>
          <w:lang w:val="fr-FR"/>
        </w:rPr>
        <w:t>19</w:t>
      </w:r>
    </w:p>
    <w:p w14:paraId="07075EA5" w14:textId="6E86B19A" w:rsidR="008B2CC1" w:rsidRPr="00CD5DD8" w:rsidRDefault="00B1090C" w:rsidP="00BA2E42">
      <w:pPr>
        <w:jc w:val="right"/>
        <w:rPr>
          <w:rFonts w:ascii="Arial Black" w:hAnsi="Arial Black"/>
          <w:sz w:val="15"/>
          <w:szCs w:val="15"/>
          <w:lang w:val="fr-FR"/>
        </w:rPr>
      </w:pPr>
      <w:r w:rsidRPr="00CD5DD8">
        <w:rPr>
          <w:rFonts w:ascii="Arial Black" w:hAnsi="Arial Black"/>
          <w:caps/>
          <w:sz w:val="15"/>
          <w:szCs w:val="15"/>
          <w:lang w:val="fr-FR"/>
        </w:rPr>
        <w:t>ORIGINAL</w:t>
      </w:r>
      <w:r w:rsidR="00BA2E42" w:rsidRPr="00CD5DD8">
        <w:rPr>
          <w:rFonts w:ascii="Arial Black" w:hAnsi="Arial Black"/>
          <w:caps/>
          <w:sz w:val="15"/>
          <w:szCs w:val="15"/>
          <w:lang w:val="fr-FR"/>
        </w:rPr>
        <w:t> :</w:t>
      </w:r>
      <w:r w:rsidR="002956DE" w:rsidRPr="00CD5DD8">
        <w:rPr>
          <w:rFonts w:ascii="Arial Black" w:hAnsi="Arial Black"/>
          <w:caps/>
          <w:sz w:val="15"/>
          <w:szCs w:val="15"/>
          <w:lang w:val="fr-FR"/>
        </w:rPr>
        <w:t xml:space="preserve"> </w:t>
      </w:r>
      <w:bookmarkStart w:id="1" w:name="Original"/>
      <w:r w:rsidR="009759B8" w:rsidRPr="00CD5DD8">
        <w:rPr>
          <w:rFonts w:ascii="Arial Black" w:hAnsi="Arial Black"/>
          <w:caps/>
          <w:sz w:val="15"/>
          <w:szCs w:val="15"/>
          <w:lang w:val="fr-FR"/>
        </w:rPr>
        <w:t>anglais/arabe</w:t>
      </w:r>
    </w:p>
    <w:bookmarkEnd w:id="1"/>
    <w:p w14:paraId="40C68AE0" w14:textId="178E635F" w:rsidR="008B2CC1" w:rsidRPr="00CD5DD8" w:rsidRDefault="00B1090C" w:rsidP="00BA2E42">
      <w:pPr>
        <w:spacing w:after="1200"/>
        <w:jc w:val="right"/>
        <w:rPr>
          <w:rFonts w:ascii="Arial Black" w:hAnsi="Arial Black"/>
          <w:sz w:val="15"/>
          <w:szCs w:val="15"/>
          <w:lang w:val="fr-FR"/>
        </w:rPr>
      </w:pPr>
      <w:r w:rsidRPr="00CD5DD8">
        <w:rPr>
          <w:rFonts w:ascii="Arial Black" w:hAnsi="Arial Black"/>
          <w:caps/>
          <w:sz w:val="15"/>
          <w:szCs w:val="15"/>
          <w:lang w:val="fr-FR"/>
        </w:rPr>
        <w:t>DATE</w:t>
      </w:r>
      <w:r w:rsidR="00BA2E42" w:rsidRPr="00CD5DD8">
        <w:rPr>
          <w:rFonts w:ascii="Arial Black" w:hAnsi="Arial Black"/>
          <w:caps/>
          <w:sz w:val="15"/>
          <w:szCs w:val="15"/>
          <w:lang w:val="fr-FR"/>
        </w:rPr>
        <w:t> :</w:t>
      </w:r>
      <w:r w:rsidR="002956DE" w:rsidRPr="00CD5DD8">
        <w:rPr>
          <w:rFonts w:ascii="Arial Black" w:hAnsi="Arial Black"/>
          <w:caps/>
          <w:sz w:val="15"/>
          <w:szCs w:val="15"/>
          <w:lang w:val="fr-FR"/>
        </w:rPr>
        <w:t xml:space="preserve"> </w:t>
      </w:r>
      <w:bookmarkStart w:id="2" w:name="Date"/>
      <w:r w:rsidR="009759B8" w:rsidRPr="00CD5DD8">
        <w:rPr>
          <w:rFonts w:ascii="Arial Black" w:hAnsi="Arial Black"/>
          <w:caps/>
          <w:sz w:val="15"/>
          <w:szCs w:val="15"/>
          <w:lang w:val="fr-FR"/>
        </w:rPr>
        <w:t>19 décembre 2025</w:t>
      </w:r>
    </w:p>
    <w:bookmarkEnd w:id="2"/>
    <w:p w14:paraId="1BCA904A" w14:textId="1D57F7A4" w:rsidR="003845C1" w:rsidRPr="00CD5DD8" w:rsidRDefault="00EF529F" w:rsidP="00BA2E42">
      <w:pPr>
        <w:pStyle w:val="Title"/>
        <w:rPr>
          <w:lang w:val="fr-FR"/>
        </w:rPr>
      </w:pPr>
      <w:r w:rsidRPr="00CD5DD8">
        <w:rPr>
          <w:lang w:val="fr-FR"/>
        </w:rPr>
        <w:t>Traité de coopération en matière de brevets (PCT)</w:t>
      </w:r>
      <w:r w:rsidRPr="00CD5DD8">
        <w:rPr>
          <w:lang w:val="fr-FR"/>
        </w:rPr>
        <w:br/>
        <w:t>Comité de coopération technique</w:t>
      </w:r>
    </w:p>
    <w:p w14:paraId="450E235A" w14:textId="1B159512" w:rsidR="00FE19E9" w:rsidRPr="00CD5DD8" w:rsidRDefault="00EF529F" w:rsidP="00BA2E42">
      <w:pPr>
        <w:outlineLvl w:val="1"/>
        <w:rPr>
          <w:b/>
          <w:sz w:val="24"/>
          <w:szCs w:val="24"/>
          <w:lang w:val="fr-FR"/>
        </w:rPr>
      </w:pPr>
      <w:r w:rsidRPr="00CD5DD8">
        <w:rPr>
          <w:b/>
          <w:sz w:val="24"/>
          <w:szCs w:val="24"/>
          <w:lang w:val="fr-FR"/>
        </w:rPr>
        <w:t>Trente</w:t>
      </w:r>
      <w:r w:rsidR="00CD5DD8">
        <w:rPr>
          <w:b/>
          <w:sz w:val="24"/>
          <w:szCs w:val="24"/>
          <w:lang w:val="fr-FR"/>
        </w:rPr>
        <w:noBreakHyphen/>
      </w:r>
      <w:r w:rsidR="0068189D" w:rsidRPr="00CD5DD8">
        <w:rPr>
          <w:b/>
          <w:sz w:val="24"/>
          <w:szCs w:val="24"/>
          <w:lang w:val="fr-FR"/>
        </w:rPr>
        <w:t>trois</w:t>
      </w:r>
      <w:r w:rsidR="00BA2E42" w:rsidRPr="00CD5DD8">
        <w:rPr>
          <w:b/>
          <w:sz w:val="24"/>
          <w:szCs w:val="24"/>
          <w:lang w:val="fr-FR"/>
        </w:rPr>
        <w:t>ième session</w:t>
      </w:r>
    </w:p>
    <w:p w14:paraId="4A6EFD93" w14:textId="04717A86" w:rsidR="008B2CC1" w:rsidRPr="00CD5DD8" w:rsidRDefault="00EF529F" w:rsidP="00BA2E42">
      <w:pPr>
        <w:spacing w:after="720"/>
        <w:outlineLvl w:val="1"/>
        <w:rPr>
          <w:b/>
          <w:sz w:val="24"/>
          <w:szCs w:val="24"/>
          <w:lang w:val="fr-FR"/>
        </w:rPr>
      </w:pPr>
      <w:r w:rsidRPr="00CD5DD8">
        <w:rPr>
          <w:b/>
          <w:sz w:val="24"/>
          <w:szCs w:val="24"/>
          <w:lang w:val="fr-FR"/>
        </w:rPr>
        <w:t xml:space="preserve">Genève, </w:t>
      </w:r>
      <w:r w:rsidR="0068189D" w:rsidRPr="00CD5DD8">
        <w:rPr>
          <w:b/>
          <w:sz w:val="24"/>
          <w:szCs w:val="24"/>
          <w:lang w:val="fr-FR"/>
        </w:rPr>
        <w:t>2</w:t>
      </w:r>
      <w:r w:rsidRPr="00CD5DD8">
        <w:rPr>
          <w:b/>
          <w:sz w:val="24"/>
          <w:szCs w:val="24"/>
          <w:lang w:val="fr-FR"/>
        </w:rPr>
        <w:t xml:space="preserve"> – </w:t>
      </w:r>
      <w:r w:rsidR="00BA2E42" w:rsidRPr="00CD5DD8">
        <w:rPr>
          <w:b/>
          <w:sz w:val="24"/>
          <w:szCs w:val="24"/>
          <w:lang w:val="fr-FR"/>
        </w:rPr>
        <w:t>6 février</w:t>
      </w:r>
      <w:r w:rsidR="0068189D" w:rsidRPr="00CD5DD8">
        <w:rPr>
          <w:b/>
          <w:sz w:val="24"/>
          <w:szCs w:val="24"/>
          <w:lang w:val="fr-FR"/>
        </w:rPr>
        <w:t> </w:t>
      </w:r>
      <w:r w:rsidRPr="00CD5DD8">
        <w:rPr>
          <w:b/>
          <w:sz w:val="24"/>
          <w:szCs w:val="24"/>
          <w:lang w:val="fr-FR"/>
        </w:rPr>
        <w:t>202</w:t>
      </w:r>
      <w:r w:rsidR="0068189D" w:rsidRPr="00CD5DD8">
        <w:rPr>
          <w:b/>
          <w:sz w:val="24"/>
          <w:szCs w:val="24"/>
          <w:lang w:val="fr-FR"/>
        </w:rPr>
        <w:t>6</w:t>
      </w:r>
    </w:p>
    <w:p w14:paraId="03B200EF" w14:textId="00583A9E" w:rsidR="009759B8" w:rsidRPr="00CD5DD8" w:rsidRDefault="009759B8" w:rsidP="00BA2E42">
      <w:pPr>
        <w:spacing w:after="360"/>
        <w:rPr>
          <w:caps/>
          <w:sz w:val="24"/>
          <w:lang w:val="fr-FR"/>
        </w:rPr>
      </w:pPr>
      <w:r w:rsidRPr="00CD5DD8">
        <w:rPr>
          <w:caps/>
          <w:sz w:val="24"/>
          <w:lang w:val="fr-FR"/>
        </w:rPr>
        <w:t>Prolongation de la nomination de l</w:t>
      </w:r>
      <w:r w:rsidR="00BA2E42" w:rsidRPr="00CD5DD8">
        <w:rPr>
          <w:caps/>
          <w:sz w:val="24"/>
          <w:lang w:val="fr-FR"/>
        </w:rPr>
        <w:t>’</w:t>
      </w:r>
      <w:r w:rsidRPr="00CD5DD8">
        <w:rPr>
          <w:caps/>
          <w:sz w:val="24"/>
          <w:lang w:val="fr-FR"/>
        </w:rPr>
        <w:t>Autorité saoudienne de la propriété intellectuelle en qualité d</w:t>
      </w:r>
      <w:r w:rsidR="00BA2E42" w:rsidRPr="00CD5DD8">
        <w:rPr>
          <w:caps/>
          <w:sz w:val="24"/>
          <w:lang w:val="fr-FR"/>
        </w:rPr>
        <w:t>’</w:t>
      </w:r>
      <w:r w:rsidRPr="00CD5DD8">
        <w:rPr>
          <w:caps/>
          <w:sz w:val="24"/>
          <w:lang w:val="fr-FR"/>
        </w:rPr>
        <w:t>administration chargée de la recherche internationale et de l</w:t>
      </w:r>
      <w:r w:rsidR="00BA2E42" w:rsidRPr="00CD5DD8">
        <w:rPr>
          <w:caps/>
          <w:sz w:val="24"/>
          <w:lang w:val="fr-FR"/>
        </w:rPr>
        <w:t>’</w:t>
      </w:r>
      <w:r w:rsidRPr="00CD5DD8">
        <w:rPr>
          <w:caps/>
          <w:sz w:val="24"/>
          <w:lang w:val="fr-FR"/>
        </w:rPr>
        <w:t>examen préliminaire international selon le PCT</w:t>
      </w:r>
    </w:p>
    <w:p w14:paraId="5EDA868C" w14:textId="77777777" w:rsidR="009759B8" w:rsidRPr="00CD5DD8" w:rsidRDefault="009759B8" w:rsidP="00BA2E42">
      <w:pPr>
        <w:spacing w:after="1040"/>
        <w:rPr>
          <w:i/>
          <w:iCs/>
          <w:lang w:val="fr-FR"/>
        </w:rPr>
      </w:pPr>
      <w:bookmarkStart w:id="3" w:name="Prepared"/>
      <w:bookmarkEnd w:id="3"/>
      <w:r w:rsidRPr="00CD5DD8">
        <w:rPr>
          <w:i/>
          <w:lang w:val="fr-FR"/>
        </w:rPr>
        <w:t>Document établi par le Bureau international</w:t>
      </w:r>
    </w:p>
    <w:p w14:paraId="00688BC5" w14:textId="4675D62B" w:rsidR="009759B8" w:rsidRPr="00CD5DD8" w:rsidRDefault="009759B8" w:rsidP="00BA2E42">
      <w:pPr>
        <w:pStyle w:val="ONUMFS"/>
        <w:rPr>
          <w:lang w:val="fr-FR"/>
        </w:rPr>
      </w:pPr>
      <w:r w:rsidRPr="00CD5DD8">
        <w:rPr>
          <w:lang w:val="fr-FR"/>
        </w:rPr>
        <w:t>Toutes les administrations internationales existantes ont été nommées par l</w:t>
      </w:r>
      <w:r w:rsidR="00BA2E42" w:rsidRPr="00CD5DD8">
        <w:rPr>
          <w:lang w:val="fr-FR"/>
        </w:rPr>
        <w:t>’</w:t>
      </w:r>
      <w:r w:rsidRPr="00CD5DD8">
        <w:rPr>
          <w:lang w:val="fr-FR"/>
        </w:rPr>
        <w:t>Assemblée de l</w:t>
      </w:r>
      <w:r w:rsidR="00BA2E42" w:rsidRPr="00CD5DD8">
        <w:rPr>
          <w:lang w:val="fr-FR"/>
        </w:rPr>
        <w:t>’</w:t>
      </w:r>
      <w:r w:rsidRPr="00CD5DD8">
        <w:rPr>
          <w:lang w:val="fr-FR"/>
        </w:rPr>
        <w:t>Union</w:t>
      </w:r>
      <w:r w:rsidR="00BA2E42" w:rsidRPr="00CD5DD8">
        <w:rPr>
          <w:lang w:val="fr-FR"/>
        </w:rPr>
        <w:t xml:space="preserve"> du PCT</w:t>
      </w:r>
      <w:r w:rsidRPr="00CD5DD8">
        <w:rPr>
          <w:lang w:val="fr-FR"/>
        </w:rPr>
        <w:t xml:space="preserve"> pour une période s</w:t>
      </w:r>
      <w:r w:rsidR="00BA2E42" w:rsidRPr="00CD5DD8">
        <w:rPr>
          <w:lang w:val="fr-FR"/>
        </w:rPr>
        <w:t>’</w:t>
      </w:r>
      <w:r w:rsidRPr="00CD5DD8">
        <w:rPr>
          <w:lang w:val="fr-FR"/>
        </w:rPr>
        <w:t>achevant le 31 </w:t>
      </w:r>
      <w:r w:rsidR="00BA2E42" w:rsidRPr="00CD5DD8">
        <w:rPr>
          <w:lang w:val="fr-FR"/>
        </w:rPr>
        <w:t>décembre 20</w:t>
      </w:r>
      <w:r w:rsidRPr="00CD5DD8">
        <w:rPr>
          <w:lang w:val="fr-FR"/>
        </w:rPr>
        <w:t>27.  Avant l</w:t>
      </w:r>
      <w:r w:rsidR="00BA2E42" w:rsidRPr="00CD5DD8">
        <w:rPr>
          <w:lang w:val="fr-FR"/>
        </w:rPr>
        <w:t>’</w:t>
      </w:r>
      <w:r w:rsidRPr="00CD5DD8">
        <w:rPr>
          <w:lang w:val="fr-FR"/>
        </w:rPr>
        <w:t>expiration de ce délai, l</w:t>
      </w:r>
      <w:r w:rsidR="00BA2E42" w:rsidRPr="00CD5DD8">
        <w:rPr>
          <w:lang w:val="fr-FR"/>
        </w:rPr>
        <w:t>’</w:t>
      </w:r>
      <w:r w:rsidRPr="00CD5DD8">
        <w:rPr>
          <w:lang w:val="fr-FR"/>
        </w:rPr>
        <w:t>assemblée devra se prononcer sur la prolongation de la nomination de chaque administration internationale existante qui souhaite demander une telle prolongation, après avoir sollicité l</w:t>
      </w:r>
      <w:r w:rsidR="00BA2E42" w:rsidRPr="00CD5DD8">
        <w:rPr>
          <w:lang w:val="fr-FR"/>
        </w:rPr>
        <w:t>’</w:t>
      </w:r>
      <w:r w:rsidRPr="00CD5DD8">
        <w:rPr>
          <w:lang w:val="fr-FR"/>
        </w:rPr>
        <w:t>avis du comité (voir les articles 16.3.e) et 32.3)</w:t>
      </w:r>
      <w:r w:rsidR="00BA2E42" w:rsidRPr="00CD5DD8">
        <w:rPr>
          <w:lang w:val="fr-FR"/>
        </w:rPr>
        <w:t xml:space="preserve"> du PCT</w:t>
      </w:r>
      <w:r w:rsidRPr="00CD5DD8">
        <w:rPr>
          <w:lang w:val="fr-FR"/>
        </w:rPr>
        <w:t>).  Les informations relatives à cette procédure ainsi qu</w:t>
      </w:r>
      <w:r w:rsidR="00BA2E42" w:rsidRPr="00CD5DD8">
        <w:rPr>
          <w:lang w:val="fr-FR"/>
        </w:rPr>
        <w:t>’</w:t>
      </w:r>
      <w:r w:rsidRPr="00CD5DD8">
        <w:rPr>
          <w:lang w:val="fr-FR"/>
        </w:rPr>
        <w:t xml:space="preserve">au rôle du comité figurent dans le </w:t>
      </w:r>
      <w:r w:rsidR="00BA2E42" w:rsidRPr="00CD5DD8">
        <w:rPr>
          <w:lang w:val="fr-FR"/>
        </w:rPr>
        <w:t>document</w:t>
      </w:r>
      <w:r w:rsidR="00CD5DD8">
        <w:rPr>
          <w:lang w:val="fr-FR"/>
        </w:rPr>
        <w:t> </w:t>
      </w:r>
      <w:r w:rsidR="00BA2E42" w:rsidRPr="00CD5DD8">
        <w:rPr>
          <w:lang w:val="fr-FR"/>
        </w:rPr>
        <w:t>PC</w:t>
      </w:r>
      <w:r w:rsidRPr="00CD5DD8">
        <w:rPr>
          <w:lang w:val="fr-FR"/>
        </w:rPr>
        <w:t>T/CTC/33/INF/1.</w:t>
      </w:r>
    </w:p>
    <w:p w14:paraId="45C6AF0D" w14:textId="074CDDAE" w:rsidR="009759B8" w:rsidRPr="00CD5DD8" w:rsidRDefault="009759B8" w:rsidP="00BA2E42">
      <w:pPr>
        <w:pStyle w:val="ONUMFS"/>
        <w:rPr>
          <w:lang w:val="fr-FR"/>
        </w:rPr>
      </w:pPr>
      <w:r w:rsidRPr="00CD5DD8">
        <w:rPr>
          <w:lang w:val="fr-FR"/>
        </w:rPr>
        <w:t>Le 30 novembre 2025, l</w:t>
      </w:r>
      <w:r w:rsidR="00BA2E42" w:rsidRPr="00CD5DD8">
        <w:rPr>
          <w:lang w:val="fr-FR"/>
        </w:rPr>
        <w:t>’</w:t>
      </w:r>
      <w:r w:rsidRPr="00CD5DD8">
        <w:rPr>
          <w:lang w:val="fr-FR"/>
        </w:rPr>
        <w:t>Autorité saoudienne de la propriété intellectuelle (SAIP) a présenté une demande de prolongation de sa nomination, qui est reproduite à l</w:t>
      </w:r>
      <w:r w:rsidR="00BA2E42" w:rsidRPr="00CD5DD8">
        <w:rPr>
          <w:lang w:val="fr-FR"/>
        </w:rPr>
        <w:t>’</w:t>
      </w:r>
      <w:r w:rsidRPr="00CD5DD8">
        <w:rPr>
          <w:lang w:val="fr-FR"/>
        </w:rPr>
        <w:t>annexe du présent document.</w:t>
      </w:r>
    </w:p>
    <w:p w14:paraId="72365F30" w14:textId="77777777" w:rsidR="009759B8" w:rsidRPr="00CD5DD8" w:rsidRDefault="009759B8" w:rsidP="00BA2E42">
      <w:pPr>
        <w:pStyle w:val="ONUMFS"/>
        <w:ind w:left="5533"/>
        <w:rPr>
          <w:i/>
          <w:lang w:val="fr-FR"/>
        </w:rPr>
      </w:pPr>
      <w:r w:rsidRPr="00CD5DD8">
        <w:rPr>
          <w:i/>
          <w:lang w:val="fr-FR"/>
        </w:rPr>
        <w:t>Le comité est invité à faire part de son avis sur cette question.</w:t>
      </w:r>
    </w:p>
    <w:p w14:paraId="2AEE9805" w14:textId="16DBC7D8" w:rsidR="009759B8" w:rsidRPr="00CD5DD8" w:rsidRDefault="009759B8" w:rsidP="00BA2E42">
      <w:pPr>
        <w:pStyle w:val="Endofdocument-Annex"/>
      </w:pPr>
      <w:r w:rsidRPr="00CD5DD8">
        <w:t>[L</w:t>
      </w:r>
      <w:r w:rsidR="00BA2E42" w:rsidRPr="00CD5DD8">
        <w:t>’</w:t>
      </w:r>
      <w:r w:rsidRPr="00CD5DD8">
        <w:t>annexe suit]</w:t>
      </w:r>
    </w:p>
    <w:p w14:paraId="1E4ABABB" w14:textId="77777777" w:rsidR="009759B8" w:rsidRPr="00CD5DD8" w:rsidRDefault="009759B8" w:rsidP="00BA2E42">
      <w:pPr>
        <w:spacing w:before="480"/>
        <w:ind w:left="5534"/>
        <w:rPr>
          <w:lang w:val="fr-FR" w:bidi="ar-EG"/>
        </w:rPr>
      </w:pPr>
    </w:p>
    <w:p w14:paraId="33EA5347" w14:textId="77777777" w:rsidR="009759B8" w:rsidRPr="00CD5DD8" w:rsidRDefault="009759B8" w:rsidP="00BA2E42">
      <w:pPr>
        <w:spacing w:before="480"/>
        <w:ind w:left="5534"/>
        <w:rPr>
          <w:rtl/>
          <w:lang w:val="fr-FR" w:bidi="ar-EG"/>
        </w:rPr>
        <w:sectPr w:rsidR="009759B8" w:rsidRPr="00CD5DD8" w:rsidSect="00BA2E42">
          <w:headerReference w:type="default" r:id="rId9"/>
          <w:endnotePr>
            <w:numFmt w:val="decimal"/>
          </w:endnotePr>
          <w:pgSz w:w="11907" w:h="16840" w:code="9"/>
          <w:pgMar w:top="567" w:right="1134" w:bottom="1418" w:left="1418" w:header="510" w:footer="1021" w:gutter="0"/>
          <w:cols w:space="720"/>
          <w:titlePg/>
          <w:docGrid w:linePitch="299"/>
        </w:sectPr>
      </w:pPr>
    </w:p>
    <w:p w14:paraId="3F899F3D" w14:textId="1EE03249" w:rsidR="009759B8" w:rsidRPr="00CD5DD8" w:rsidRDefault="009759B8" w:rsidP="00BA2E42">
      <w:pPr>
        <w:keepNext/>
        <w:spacing w:before="240" w:after="60"/>
        <w:jc w:val="center"/>
        <w:outlineLvl w:val="1"/>
        <w:rPr>
          <w:bCs/>
          <w:i/>
          <w:caps/>
          <w:lang w:val="fr-FR"/>
        </w:rPr>
      </w:pPr>
      <w:r w:rsidRPr="00CD5DD8">
        <w:rPr>
          <w:i/>
          <w:caps/>
          <w:lang w:val="fr-FR"/>
        </w:rPr>
        <w:lastRenderedPageBreak/>
        <w:t>Demande de prolongation de la nomination en qualité d</w:t>
      </w:r>
      <w:r w:rsidR="00BA2E42" w:rsidRPr="00CD5DD8">
        <w:rPr>
          <w:i/>
          <w:caps/>
          <w:lang w:val="fr-FR"/>
        </w:rPr>
        <w:t>’</w:t>
      </w:r>
      <w:r w:rsidRPr="00CD5DD8">
        <w:rPr>
          <w:i/>
          <w:caps/>
          <w:lang w:val="fr-FR"/>
        </w:rPr>
        <w:t>administration chargée de la recherche internationale et de l</w:t>
      </w:r>
      <w:r w:rsidR="00BA2E42" w:rsidRPr="00CD5DD8">
        <w:rPr>
          <w:i/>
          <w:caps/>
          <w:lang w:val="fr-FR"/>
        </w:rPr>
        <w:t>’</w:t>
      </w:r>
      <w:r w:rsidRPr="00CD5DD8">
        <w:rPr>
          <w:i/>
          <w:caps/>
          <w:lang w:val="fr-FR"/>
        </w:rPr>
        <w:t>examen préliminaire international selon le PCT</w:t>
      </w:r>
    </w:p>
    <w:p w14:paraId="1DAEB5D6" w14:textId="77777777" w:rsidR="009759B8" w:rsidRPr="00CD5DD8" w:rsidRDefault="009759B8" w:rsidP="00CD5DD8">
      <w:pPr>
        <w:rPr>
          <w:rtl/>
          <w:lang w:val="fr-FR"/>
        </w:rPr>
      </w:pPr>
    </w:p>
    <w:p w14:paraId="5282A1F1" w14:textId="77777777"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t>1 – Généralités</w:t>
      </w:r>
    </w:p>
    <w:p w14:paraId="788B7429" w14:textId="77777777" w:rsidR="009759B8" w:rsidRPr="00CD5DD8" w:rsidRDefault="009759B8" w:rsidP="00BA2E42">
      <w:pPr>
        <w:rPr>
          <w:rtl/>
          <w:lang w:val="fr-FR"/>
        </w:rPr>
      </w:pPr>
    </w:p>
    <w:p w14:paraId="18F45264" w14:textId="5F6C85BA" w:rsidR="009759B8" w:rsidRPr="00CD5DD8" w:rsidRDefault="009759B8" w:rsidP="00BA2E42">
      <w:pPr>
        <w:keepNext/>
        <w:keepLines/>
        <w:spacing w:after="480"/>
        <w:rPr>
          <w:b/>
          <w:bCs/>
          <w:lang w:val="fr-FR"/>
        </w:rPr>
      </w:pPr>
      <w:r w:rsidRPr="00CD5DD8">
        <w:rPr>
          <w:b/>
          <w:lang w:val="fr-FR"/>
        </w:rPr>
        <w:t>a)</w:t>
      </w:r>
      <w:r w:rsidRPr="00CD5DD8">
        <w:rPr>
          <w:b/>
          <w:lang w:val="fr-FR"/>
        </w:rPr>
        <w:tab/>
        <w:t>Nom de l</w:t>
      </w:r>
      <w:r w:rsidR="00BA2E42" w:rsidRPr="00CD5DD8">
        <w:rPr>
          <w:b/>
          <w:lang w:val="fr-FR"/>
        </w:rPr>
        <w:t>’</w:t>
      </w:r>
      <w:r w:rsidRPr="00CD5DD8">
        <w:rPr>
          <w:b/>
          <w:lang w:val="fr-FR"/>
        </w:rPr>
        <w:t>office ou de l</w:t>
      </w:r>
      <w:r w:rsidR="00BA2E42" w:rsidRPr="00CD5DD8">
        <w:rPr>
          <w:b/>
          <w:lang w:val="fr-FR"/>
        </w:rPr>
        <w:t>’</w:t>
      </w:r>
      <w:r w:rsidRPr="00CD5DD8">
        <w:rPr>
          <w:b/>
          <w:lang w:val="fr-FR"/>
        </w:rPr>
        <w:t>organisation intergouvernementale</w:t>
      </w:r>
      <w:r w:rsidR="00BA2E42" w:rsidRPr="00CD5DD8">
        <w:rPr>
          <w:b/>
          <w:lang w:val="fr-FR"/>
        </w:rPr>
        <w:t> :</w:t>
      </w:r>
    </w:p>
    <w:p w14:paraId="700985CA" w14:textId="77777777" w:rsidR="009759B8" w:rsidRPr="00CD5DD8" w:rsidRDefault="009759B8" w:rsidP="00BA2E42">
      <w:pPr>
        <w:pStyle w:val="ListParagraph"/>
        <w:keepNext/>
        <w:keepLines/>
        <w:spacing w:after="480"/>
        <w:ind w:left="930" w:hanging="931"/>
        <w:rPr>
          <w:rFonts w:eastAsia="SimSun"/>
          <w:bCs/>
        </w:rPr>
      </w:pPr>
      <w:r w:rsidRPr="00CD5DD8">
        <w:t>Autorité saoudienne de la propriété intellectuelle (SAIP)</w:t>
      </w:r>
    </w:p>
    <w:p w14:paraId="385E90D1" w14:textId="1FD5285F" w:rsidR="009759B8" w:rsidRPr="00CD5DD8" w:rsidRDefault="009759B8" w:rsidP="00BA2E42">
      <w:pPr>
        <w:keepNext/>
        <w:keepLines/>
        <w:spacing w:after="480"/>
        <w:rPr>
          <w:b/>
          <w:bCs/>
          <w:lang w:val="fr-FR"/>
        </w:rPr>
      </w:pPr>
      <w:r w:rsidRPr="00CD5DD8">
        <w:rPr>
          <w:b/>
          <w:lang w:val="fr-FR"/>
        </w:rPr>
        <w:t>b)</w:t>
      </w:r>
      <w:r w:rsidRPr="00CD5DD8">
        <w:rPr>
          <w:b/>
          <w:lang w:val="fr-FR"/>
        </w:rPr>
        <w:tab/>
        <w:t>Nom et coordonnées du fonctionnaire pour toute question relative à la présente demande</w:t>
      </w:r>
      <w:r w:rsidR="00BA2E42" w:rsidRPr="00CD5DD8">
        <w:rPr>
          <w:b/>
          <w:lang w:val="fr-FR"/>
        </w:rPr>
        <w:t> :</w:t>
      </w:r>
    </w:p>
    <w:p w14:paraId="1EE67446" w14:textId="43C66F2D" w:rsidR="009759B8" w:rsidRPr="00CD5DD8" w:rsidRDefault="009759B8" w:rsidP="00BA2E42">
      <w:pPr>
        <w:spacing w:after="120" w:line="260" w:lineRule="atLeast"/>
        <w:jc w:val="both"/>
        <w:rPr>
          <w:lang w:val="fr-FR"/>
        </w:rPr>
      </w:pPr>
      <w:r w:rsidRPr="00CD5DD8">
        <w:rPr>
          <w:lang w:val="fr-FR"/>
        </w:rPr>
        <w:t>Nom</w:t>
      </w:r>
      <w:r w:rsidR="00BA2E42" w:rsidRPr="00CD5DD8">
        <w:rPr>
          <w:lang w:val="fr-FR"/>
        </w:rPr>
        <w:t> :</w:t>
      </w:r>
      <w:r w:rsidRPr="00CD5DD8">
        <w:rPr>
          <w:lang w:val="fr-FR"/>
        </w:rPr>
        <w:t xml:space="preserve"> M. Mohammed</w:t>
      </w:r>
      <w:r w:rsidR="00CD5DD8">
        <w:rPr>
          <w:lang w:val="fr-FR"/>
        </w:rPr>
        <w:t> </w:t>
      </w:r>
      <w:r w:rsidRPr="00CD5DD8">
        <w:rPr>
          <w:lang w:val="fr-FR"/>
        </w:rPr>
        <w:t>Althrowi</w:t>
      </w:r>
    </w:p>
    <w:p w14:paraId="0A076CD0" w14:textId="290B600F" w:rsidR="009759B8" w:rsidRPr="00CD5DD8" w:rsidRDefault="009759B8" w:rsidP="00BA2E42">
      <w:pPr>
        <w:spacing w:after="120" w:line="260" w:lineRule="atLeast"/>
        <w:jc w:val="both"/>
        <w:rPr>
          <w:lang w:val="fr-FR"/>
        </w:rPr>
      </w:pPr>
      <w:r w:rsidRPr="00CD5DD8">
        <w:rPr>
          <w:lang w:val="fr-FR"/>
        </w:rPr>
        <w:t>Titre</w:t>
      </w:r>
      <w:r w:rsidR="00BA2E42" w:rsidRPr="00CD5DD8">
        <w:rPr>
          <w:lang w:val="fr-FR"/>
        </w:rPr>
        <w:t> :</w:t>
      </w:r>
      <w:r w:rsidRPr="00CD5DD8">
        <w:rPr>
          <w:lang w:val="fr-FR"/>
        </w:rPr>
        <w:t xml:space="preserve"> Directeur du Département du PCT à la SAIP</w:t>
      </w:r>
    </w:p>
    <w:p w14:paraId="59E610B2" w14:textId="27939C4D" w:rsidR="009759B8" w:rsidRPr="00CD5DD8" w:rsidRDefault="00CD5DD8" w:rsidP="00BA2E42">
      <w:pPr>
        <w:spacing w:after="120" w:line="260" w:lineRule="atLeast"/>
        <w:jc w:val="both"/>
        <w:rPr>
          <w:lang w:val="fr-FR"/>
        </w:rPr>
      </w:pPr>
      <w:r>
        <w:rPr>
          <w:lang w:val="fr-FR"/>
        </w:rPr>
        <w:t>Adresse électronique</w:t>
      </w:r>
      <w:r w:rsidR="00BA2E42" w:rsidRPr="00CD5DD8">
        <w:rPr>
          <w:lang w:val="fr-FR"/>
        </w:rPr>
        <w:t> :</w:t>
      </w:r>
      <w:r w:rsidR="009759B8" w:rsidRPr="00CD5DD8">
        <w:rPr>
          <w:lang w:val="fr-FR"/>
        </w:rPr>
        <w:t xml:space="preserve"> pct@saip.gov.sa</w:t>
      </w:r>
    </w:p>
    <w:p w14:paraId="6A1B7226" w14:textId="1E5F0B3F" w:rsidR="009759B8" w:rsidRPr="00CD5DD8" w:rsidRDefault="009759B8" w:rsidP="00BA2E42">
      <w:pPr>
        <w:spacing w:after="120" w:line="260" w:lineRule="atLeast"/>
        <w:jc w:val="both"/>
        <w:rPr>
          <w:lang w:val="fr-FR"/>
        </w:rPr>
      </w:pPr>
      <w:r w:rsidRPr="00CD5DD8">
        <w:rPr>
          <w:lang w:val="fr-FR"/>
        </w:rPr>
        <w:t>Tél.</w:t>
      </w:r>
      <w:r w:rsidR="00BA2E42" w:rsidRPr="00CD5DD8">
        <w:rPr>
          <w:lang w:val="fr-FR"/>
        </w:rPr>
        <w:t> :</w:t>
      </w:r>
      <w:r w:rsidRPr="00CD5DD8">
        <w:rPr>
          <w:lang w:val="fr-FR"/>
        </w:rPr>
        <w:t xml:space="preserve"> </w:t>
      </w:r>
      <w:bookmarkStart w:id="4" w:name="_Hlk214352861"/>
      <w:r w:rsidRPr="00CD5DD8">
        <w:rPr>
          <w:lang w:val="fr-FR"/>
        </w:rPr>
        <w:t>0096656688838</w:t>
      </w:r>
      <w:bookmarkEnd w:id="4"/>
    </w:p>
    <w:p w14:paraId="39F714D1" w14:textId="77777777" w:rsidR="009759B8" w:rsidRPr="00CD5DD8" w:rsidRDefault="009759B8" w:rsidP="00BA2E42">
      <w:pPr>
        <w:spacing w:after="120" w:line="260" w:lineRule="atLeast"/>
        <w:jc w:val="both"/>
        <w:rPr>
          <w:rtl/>
          <w:lang w:val="fr-FR"/>
        </w:rPr>
      </w:pPr>
    </w:p>
    <w:p w14:paraId="56E656D0" w14:textId="76280257" w:rsidR="009759B8" w:rsidRPr="00CD5DD8" w:rsidRDefault="009759B8" w:rsidP="00BA2E42">
      <w:pPr>
        <w:keepNext/>
        <w:keepLines/>
        <w:spacing w:after="220"/>
        <w:rPr>
          <w:b/>
          <w:bCs/>
          <w:lang w:val="fr-FR"/>
        </w:rPr>
      </w:pPr>
      <w:r w:rsidRPr="00CD5DD8">
        <w:rPr>
          <w:b/>
          <w:lang w:val="fr-FR"/>
        </w:rPr>
        <w:t>c)</w:t>
      </w:r>
      <w:r w:rsidRPr="00CD5DD8">
        <w:rPr>
          <w:b/>
          <w:lang w:val="fr-FR"/>
        </w:rPr>
        <w:tab/>
        <w:t>Date à laquelle le Directeur général a reçu la demande de prolongation de la nomination</w:t>
      </w:r>
      <w:r w:rsidR="00BA2E42" w:rsidRPr="00CD5DD8">
        <w:rPr>
          <w:b/>
          <w:lang w:val="fr-FR"/>
        </w:rPr>
        <w:t> :</w:t>
      </w:r>
    </w:p>
    <w:p w14:paraId="5D9D4EF0" w14:textId="20C8FD54" w:rsidR="009759B8" w:rsidRPr="00CD5DD8" w:rsidRDefault="009759B8" w:rsidP="00BA2E42">
      <w:pPr>
        <w:pStyle w:val="BodyText"/>
        <w:ind w:firstLine="567"/>
        <w:rPr>
          <w:lang w:val="fr-FR"/>
        </w:rPr>
      </w:pPr>
      <w:r w:rsidRPr="00CD5DD8">
        <w:rPr>
          <w:lang w:val="fr-FR"/>
        </w:rPr>
        <w:t>30 </w:t>
      </w:r>
      <w:r w:rsidR="00BA2E42" w:rsidRPr="00CD5DD8">
        <w:rPr>
          <w:lang w:val="fr-FR"/>
        </w:rPr>
        <w:t>novembre 20</w:t>
      </w:r>
      <w:r w:rsidRPr="00CD5DD8">
        <w:rPr>
          <w:lang w:val="fr-FR"/>
        </w:rPr>
        <w:t>25</w:t>
      </w:r>
    </w:p>
    <w:p w14:paraId="76EA442C" w14:textId="141505BF"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t>2</w:t>
      </w:r>
      <w:r w:rsidR="00CD5DD8">
        <w:rPr>
          <w:b/>
          <w:caps/>
          <w:lang w:val="fr-FR"/>
        </w:rPr>
        <w:t xml:space="preserve"> –</w:t>
      </w:r>
      <w:r w:rsidRPr="00CD5DD8">
        <w:rPr>
          <w:b/>
          <w:caps/>
          <w:lang w:val="fr-FR"/>
        </w:rPr>
        <w:t xml:space="preserve"> Exigences minimales applicables à la nomination</w:t>
      </w:r>
    </w:p>
    <w:p w14:paraId="64B543E9" w14:textId="78561187" w:rsidR="009759B8" w:rsidRPr="00CD5DD8" w:rsidRDefault="009759B8" w:rsidP="00BA2E42">
      <w:pPr>
        <w:pStyle w:val="BodyText"/>
        <w:rPr>
          <w:lang w:val="fr-FR"/>
        </w:rPr>
      </w:pPr>
      <w:r w:rsidRPr="00CD5DD8">
        <w:rPr>
          <w:lang w:val="fr-FR"/>
        </w:rPr>
        <w:t>Outre le rapport annuel sur le système de gestion de la qualité de l</w:t>
      </w:r>
      <w:r w:rsidR="00BA2E42" w:rsidRPr="00CD5DD8">
        <w:rPr>
          <w:lang w:val="fr-FR"/>
        </w:rPr>
        <w:t>’</w:t>
      </w:r>
      <w:r w:rsidRPr="00CD5DD8">
        <w:rPr>
          <w:lang w:val="fr-FR"/>
        </w:rPr>
        <w:t>office ou de l</w:t>
      </w:r>
      <w:r w:rsidR="00BA2E42" w:rsidRPr="00CD5DD8">
        <w:rPr>
          <w:lang w:val="fr-FR"/>
        </w:rPr>
        <w:t>’</w:t>
      </w:r>
      <w:r w:rsidRPr="00CD5DD8">
        <w:rPr>
          <w:lang w:val="fr-FR"/>
        </w:rPr>
        <w:t xml:space="preserve">organisation </w:t>
      </w:r>
      <w:r w:rsidR="00BA2E42" w:rsidRPr="00CD5DD8">
        <w:rPr>
          <w:lang w:val="fr-FR"/>
        </w:rPr>
        <w:t>pour 2025</w:t>
      </w:r>
      <w:r w:rsidRPr="00CD5DD8">
        <w:rPr>
          <w:lang w:val="fr-FR"/>
        </w:rPr>
        <w:t xml:space="preserve"> (</w:t>
      </w:r>
      <w:hyperlink r:id="rId10" w:anchor="#SA" w:history="1">
        <w:r w:rsidRPr="00CD5DD8">
          <w:rPr>
            <w:rStyle w:val="Hyperlink"/>
            <w:lang w:val="fr-FR"/>
          </w:rPr>
          <w:t>https://www.wipo.int/en/web/pct</w:t>
        </w:r>
        <w:r w:rsidR="00CD5DD8">
          <w:rPr>
            <w:rStyle w:val="Hyperlink"/>
            <w:lang w:val="fr-FR"/>
          </w:rPr>
          <w:noBreakHyphen/>
        </w:r>
        <w:r w:rsidRPr="00CD5DD8">
          <w:rPr>
            <w:rStyle w:val="Hyperlink"/>
            <w:lang w:val="fr-FR"/>
          </w:rPr>
          <w:t>system/quality/authorities#SA</w:t>
        </w:r>
      </w:hyperlink>
      <w:r w:rsidRPr="00CD5DD8">
        <w:rPr>
          <w:lang w:val="fr-FR"/>
        </w:rPr>
        <w:t>) établi conformément aux paragraphes 21.31 et 21.32 des directives relatives à la recherche internationale et à l</w:t>
      </w:r>
      <w:r w:rsidR="00BA2E42" w:rsidRPr="00CD5DD8">
        <w:rPr>
          <w:lang w:val="fr-FR"/>
        </w:rPr>
        <w:t>’</w:t>
      </w:r>
      <w:r w:rsidRPr="00CD5DD8">
        <w:rPr>
          <w:lang w:val="fr-FR"/>
        </w:rPr>
        <w:t>examen préliminaire international (ci</w:t>
      </w:r>
      <w:r w:rsidR="00CD5DD8">
        <w:rPr>
          <w:lang w:val="fr-FR"/>
        </w:rPr>
        <w:noBreakHyphen/>
      </w:r>
      <w:r w:rsidRPr="00CD5DD8">
        <w:rPr>
          <w:lang w:val="fr-FR"/>
        </w:rPr>
        <w:t>après dénommées “directives”), l</w:t>
      </w:r>
      <w:r w:rsidR="00BA2E42" w:rsidRPr="00CD5DD8">
        <w:rPr>
          <w:lang w:val="fr-FR"/>
        </w:rPr>
        <w:t>’</w:t>
      </w:r>
      <w:r w:rsidRPr="00CD5DD8">
        <w:rPr>
          <w:lang w:val="fr-FR"/>
        </w:rPr>
        <w:t>Autorité fournit les informations ci</w:t>
      </w:r>
      <w:r w:rsidR="00CD5DD8">
        <w:rPr>
          <w:lang w:val="fr-FR"/>
        </w:rPr>
        <w:noBreakHyphen/>
      </w:r>
      <w:r w:rsidRPr="00CD5DD8">
        <w:rPr>
          <w:lang w:val="fr-FR"/>
        </w:rPr>
        <w:t>après.</w:t>
      </w:r>
    </w:p>
    <w:p w14:paraId="18FB357D" w14:textId="1FB32FFC"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t>2.1 – Capacité en matière de recherche et d</w:t>
      </w:r>
      <w:r w:rsidR="00BA2E42" w:rsidRPr="00CD5DD8">
        <w:rPr>
          <w:b/>
          <w:caps/>
          <w:lang w:val="fr-FR"/>
        </w:rPr>
        <w:t>’</w:t>
      </w:r>
      <w:r w:rsidRPr="00CD5DD8">
        <w:rPr>
          <w:b/>
          <w:caps/>
          <w:lang w:val="fr-FR"/>
        </w:rPr>
        <w:t>examen</w:t>
      </w:r>
    </w:p>
    <w:p w14:paraId="3D3D354B" w14:textId="49815197" w:rsidR="009759B8" w:rsidRPr="00CD5DD8" w:rsidRDefault="009759B8" w:rsidP="00BA2E42">
      <w:pPr>
        <w:keepNext/>
        <w:keepLines/>
        <w:spacing w:after="240"/>
        <w:ind w:left="567" w:right="567"/>
        <w:rPr>
          <w:bCs/>
          <w:i/>
          <w:iCs/>
          <w:lang w:val="fr-FR"/>
        </w:rPr>
      </w:pPr>
      <w:r w:rsidRPr="00CD5DD8">
        <w:rPr>
          <w:i/>
          <w:lang w:val="fr-FR"/>
        </w:rPr>
        <w:t>Règles 36.1.i) et 63.1.i)</w:t>
      </w:r>
      <w:r w:rsidR="00BA2E42" w:rsidRPr="00CD5DD8">
        <w:rPr>
          <w:i/>
          <w:lang w:val="fr-FR"/>
        </w:rPr>
        <w:t> :</w:t>
      </w:r>
      <w:r w:rsidRPr="00CD5DD8">
        <w:rPr>
          <w:i/>
          <w:lang w:val="fr-FR"/>
        </w:rPr>
        <w:t xml:space="preserve"> L</w:t>
      </w:r>
      <w:r w:rsidR="00BA2E42" w:rsidRPr="00CD5DD8">
        <w:rPr>
          <w:i/>
          <w:lang w:val="fr-FR"/>
        </w:rPr>
        <w:t>’</w:t>
      </w:r>
      <w:r w:rsidRPr="00CD5DD8">
        <w:rPr>
          <w:i/>
          <w:lang w:val="fr-FR"/>
        </w:rPr>
        <w:t>office national ou l</w:t>
      </w:r>
      <w:r w:rsidR="00BA2E42" w:rsidRPr="00CD5DD8">
        <w:rPr>
          <w:i/>
          <w:lang w:val="fr-FR"/>
        </w:rPr>
        <w:t>’</w:t>
      </w:r>
      <w:r w:rsidRPr="00CD5DD8">
        <w:rPr>
          <w:i/>
          <w:lang w:val="fr-FR"/>
        </w:rPr>
        <w:t>organisation intergouvernementale doit avoir au moins cent employés à plein temps possédant des qualifications techniques suffisantes pour procéder aux recherches et aux examens.</w:t>
      </w:r>
    </w:p>
    <w:p w14:paraId="1AE84D20" w14:textId="4AFF12E4" w:rsidR="00BA2E42" w:rsidRPr="00CD5DD8" w:rsidRDefault="009759B8" w:rsidP="00BA2E42">
      <w:pPr>
        <w:pStyle w:val="BodyText"/>
        <w:rPr>
          <w:lang w:val="fr-FR"/>
        </w:rPr>
      </w:pPr>
      <w:r w:rsidRPr="00CD5DD8">
        <w:rPr>
          <w:lang w:val="fr-FR"/>
        </w:rPr>
        <w:t>Le rapport sur le système de gestion de la qualité fournit des informations de l</w:t>
      </w:r>
      <w:r w:rsidR="00BA2E42" w:rsidRPr="00CD5DD8">
        <w:rPr>
          <w:lang w:val="fr-FR"/>
        </w:rPr>
        <w:t>’</w:t>
      </w:r>
      <w:r w:rsidRPr="00CD5DD8">
        <w:rPr>
          <w:lang w:val="fr-FR"/>
        </w:rPr>
        <w:t>Autorité saoudienne de la propriété intellectuelle sur l</w:t>
      </w:r>
      <w:r w:rsidR="00BA2E42" w:rsidRPr="00CD5DD8">
        <w:rPr>
          <w:lang w:val="fr-FR"/>
        </w:rPr>
        <w:t>’</w:t>
      </w:r>
      <w:r w:rsidRPr="00CD5DD8">
        <w:rPr>
          <w:lang w:val="fr-FR"/>
        </w:rPr>
        <w:t>infrastructure mise en place pour garantir un personnel techniquement qualifié suffisamment nombreux, conformément au paragraphe 21.</w:t>
      </w:r>
      <w:proofErr w:type="gramStart"/>
      <w:r w:rsidRPr="00CD5DD8">
        <w:rPr>
          <w:lang w:val="fr-FR"/>
        </w:rPr>
        <w:t>15.i</w:t>
      </w:r>
      <w:proofErr w:type="gramEnd"/>
      <w:r w:rsidRPr="00CD5DD8">
        <w:rPr>
          <w:lang w:val="fr-FR"/>
        </w:rPr>
        <w:t>) des directives, et sur les programmes de formation et de perfectionnement destinés au personnel participant au processus de recherche et d</w:t>
      </w:r>
      <w:r w:rsidR="00BA2E42" w:rsidRPr="00CD5DD8">
        <w:rPr>
          <w:lang w:val="fr-FR"/>
        </w:rPr>
        <w:t>’</w:t>
      </w:r>
      <w:r w:rsidRPr="00CD5DD8">
        <w:rPr>
          <w:lang w:val="fr-FR"/>
        </w:rPr>
        <w:t xml:space="preserve">examen, conformément au </w:t>
      </w:r>
      <w:r w:rsidRPr="00CD5DD8">
        <w:rPr>
          <w:lang w:val="fr-FR"/>
        </w:rPr>
        <w:lastRenderedPageBreak/>
        <w:t>paragraphe 21.15.iv).  L</w:t>
      </w:r>
      <w:r w:rsidR="00BA2E42" w:rsidRPr="00CD5DD8">
        <w:rPr>
          <w:lang w:val="fr-FR"/>
        </w:rPr>
        <w:t>’</w:t>
      </w:r>
      <w:r w:rsidRPr="00CD5DD8">
        <w:rPr>
          <w:lang w:val="fr-FR"/>
        </w:rPr>
        <w:t>Autorité inclut également les informations ci</w:t>
      </w:r>
      <w:r w:rsidR="00CD5DD8">
        <w:rPr>
          <w:lang w:val="fr-FR"/>
        </w:rPr>
        <w:noBreakHyphen/>
      </w:r>
      <w:r w:rsidRPr="00CD5DD8">
        <w:rPr>
          <w:lang w:val="fr-FR"/>
        </w:rPr>
        <w:t>après sur le nombre d</w:t>
      </w:r>
      <w:r w:rsidR="00BA2E42" w:rsidRPr="00CD5DD8">
        <w:rPr>
          <w:lang w:val="fr-FR"/>
        </w:rPr>
        <w:t>’</w:t>
      </w:r>
      <w:r w:rsidRPr="00CD5DD8">
        <w:rPr>
          <w:lang w:val="fr-FR"/>
        </w:rPr>
        <w:t>employés qualifiés pour procéder à la recherche et à l</w:t>
      </w:r>
      <w:r w:rsidR="00BA2E42" w:rsidRPr="00CD5DD8">
        <w:rPr>
          <w:lang w:val="fr-FR"/>
        </w:rPr>
        <w:t>’</w:t>
      </w:r>
      <w:r w:rsidRPr="00CD5DD8">
        <w:rPr>
          <w:lang w:val="fr-FR"/>
        </w:rPr>
        <w:t>examen.</w:t>
      </w:r>
    </w:p>
    <w:p w14:paraId="56E88FF9" w14:textId="333888E3" w:rsidR="009759B8" w:rsidRPr="00CD5DD8" w:rsidRDefault="009759B8" w:rsidP="00BA2E42">
      <w:pPr>
        <w:spacing w:line="360" w:lineRule="auto"/>
        <w:rPr>
          <w:lang w:val="fr-FR"/>
        </w:rPr>
      </w:pPr>
    </w:p>
    <w:p w14:paraId="32E8277D" w14:textId="4815A37F" w:rsidR="009759B8" w:rsidRPr="00CD5DD8" w:rsidRDefault="009759B8" w:rsidP="00BA2E42">
      <w:pPr>
        <w:rPr>
          <w:lang w:val="fr-FR"/>
        </w:rPr>
      </w:pPr>
      <w:r w:rsidRPr="00CD5DD8">
        <w:rPr>
          <w:lang w:val="fr-FR"/>
        </w:rPr>
        <w:t>Le recrutement d</w:t>
      </w:r>
      <w:r w:rsidR="00BA2E42" w:rsidRPr="00CD5DD8">
        <w:rPr>
          <w:lang w:val="fr-FR"/>
        </w:rPr>
        <w:t>’</w:t>
      </w:r>
      <w:r w:rsidRPr="00CD5DD8">
        <w:rPr>
          <w:lang w:val="fr-FR"/>
        </w:rPr>
        <w:t>un personnel hautement qualifié et compétent sur le plan technique est essentiel pour garantir la qualité des processus de recherche et d</w:t>
      </w:r>
      <w:r w:rsidR="00BA2E42" w:rsidRPr="00CD5DD8">
        <w:rPr>
          <w:lang w:val="fr-FR"/>
        </w:rPr>
        <w:t>’</w:t>
      </w:r>
      <w:r w:rsidRPr="00CD5DD8">
        <w:rPr>
          <w:lang w:val="fr-FR"/>
        </w:rPr>
        <w:t>exam</w:t>
      </w:r>
      <w:r w:rsidR="00CD5DD8" w:rsidRPr="00CD5DD8">
        <w:rPr>
          <w:lang w:val="fr-FR"/>
        </w:rPr>
        <w:t>en.  Ce</w:t>
      </w:r>
      <w:r w:rsidRPr="00CD5DD8">
        <w:rPr>
          <w:lang w:val="fr-FR"/>
        </w:rPr>
        <w:t>tte section contient des informations sur le nombre d</w:t>
      </w:r>
      <w:r w:rsidR="00BA2E42" w:rsidRPr="00CD5DD8">
        <w:rPr>
          <w:lang w:val="fr-FR"/>
        </w:rPr>
        <w:t>’</w:t>
      </w:r>
      <w:r w:rsidRPr="00CD5DD8">
        <w:rPr>
          <w:lang w:val="fr-FR"/>
        </w:rPr>
        <w:t>examinateurs et leurs domaines techniques, ainsi que sur les programmes mis en place pour les former et développer leurs compétences.</w:t>
      </w:r>
    </w:p>
    <w:p w14:paraId="0F3FACB2" w14:textId="77777777" w:rsidR="009759B8" w:rsidRPr="00CD5DD8" w:rsidRDefault="009759B8" w:rsidP="00BA2E42">
      <w:pPr>
        <w:spacing w:line="360" w:lineRule="auto"/>
        <w:jc w:val="both"/>
        <w:rPr>
          <w:lang w:val="fr-FR" w:bidi="ar-EG"/>
        </w:rPr>
      </w:pPr>
    </w:p>
    <w:p w14:paraId="18D0EAAE" w14:textId="66A4CAEE" w:rsidR="009759B8" w:rsidRPr="00CD5DD8" w:rsidRDefault="009759B8" w:rsidP="00697402">
      <w:pPr>
        <w:pStyle w:val="ListParagraph"/>
        <w:numPr>
          <w:ilvl w:val="0"/>
          <w:numId w:val="13"/>
        </w:numPr>
        <w:spacing w:after="160" w:line="256" w:lineRule="auto"/>
        <w:ind w:left="1134" w:hanging="567"/>
        <w:jc w:val="both"/>
        <w:rPr>
          <w:b/>
          <w:bCs/>
        </w:rPr>
      </w:pPr>
      <w:r w:rsidRPr="00CD5DD8">
        <w:rPr>
          <w:b/>
        </w:rPr>
        <w:t>Employés qualifiés pour procéder à la recherche et à l</w:t>
      </w:r>
      <w:r w:rsidR="00BA2E42" w:rsidRPr="00CD5DD8">
        <w:rPr>
          <w:b/>
        </w:rPr>
        <w:t>’</w:t>
      </w:r>
      <w:r w:rsidRPr="00CD5DD8">
        <w:rPr>
          <w:b/>
        </w:rPr>
        <w:t>examen</w:t>
      </w:r>
      <w:r w:rsidR="00BA2E42" w:rsidRPr="00CD5DD8">
        <w:rPr>
          <w:b/>
        </w:rPr>
        <w:t> :</w:t>
      </w:r>
    </w:p>
    <w:p w14:paraId="21C7C9AA" w14:textId="01CA4FB7" w:rsidR="009759B8" w:rsidRPr="00CD5DD8" w:rsidRDefault="009759B8" w:rsidP="00BA2E42">
      <w:pPr>
        <w:rPr>
          <w:lang w:val="fr-FR"/>
        </w:rPr>
      </w:pPr>
      <w:r w:rsidRPr="00CD5DD8">
        <w:rPr>
          <w:lang w:val="fr-FR"/>
        </w:rPr>
        <w:t>À la suite de la nomination de l</w:t>
      </w:r>
      <w:r w:rsidR="00BA2E42" w:rsidRPr="00CD5DD8">
        <w:rPr>
          <w:lang w:val="fr-FR"/>
        </w:rPr>
        <w:t>’</w:t>
      </w:r>
      <w:r w:rsidRPr="00CD5DD8">
        <w:rPr>
          <w:lang w:val="fr-FR"/>
        </w:rPr>
        <w:t>Autorité saoudienne de la propriété intellectuelle (SAIP) en qualité d</w:t>
      </w:r>
      <w:r w:rsidR="00BA2E42" w:rsidRPr="00CD5DD8">
        <w:rPr>
          <w:lang w:val="fr-FR"/>
        </w:rPr>
        <w:t>’</w:t>
      </w:r>
      <w:r w:rsidRPr="00CD5DD8">
        <w:rPr>
          <w:lang w:val="fr-FR"/>
        </w:rPr>
        <w:t>administration chargée de la recherche internationale et de l</w:t>
      </w:r>
      <w:r w:rsidR="00BA2E42" w:rsidRPr="00CD5DD8">
        <w:rPr>
          <w:lang w:val="fr-FR"/>
        </w:rPr>
        <w:t>’</w:t>
      </w:r>
      <w:r w:rsidRPr="00CD5DD8">
        <w:rPr>
          <w:lang w:val="fr-FR"/>
        </w:rPr>
        <w:t xml:space="preserve">examen préliminaire international, et conformément </w:t>
      </w:r>
      <w:proofErr w:type="gramStart"/>
      <w:r w:rsidRPr="00CD5DD8">
        <w:rPr>
          <w:lang w:val="fr-FR"/>
        </w:rPr>
        <w:t>au</w:t>
      </w:r>
      <w:proofErr w:type="gramEnd"/>
      <w:r w:rsidRPr="00CD5DD8">
        <w:rPr>
          <w:lang w:val="fr-FR"/>
        </w:rPr>
        <w:t xml:space="preserve"> plan établi, le recrutement et la formation des examinateurs ont été menés à bi</w:t>
      </w:r>
      <w:r w:rsidR="00CD5DD8" w:rsidRPr="00CD5DD8">
        <w:rPr>
          <w:lang w:val="fr-FR"/>
        </w:rPr>
        <w:t>en.  La</w:t>
      </w:r>
      <w:r w:rsidRPr="00CD5DD8">
        <w:rPr>
          <w:lang w:val="fr-FR"/>
        </w:rPr>
        <w:t> SAIP compte actuellement 110 membres du personnel capables de mener des activités de recherche et d</w:t>
      </w:r>
      <w:r w:rsidR="00BA2E42" w:rsidRPr="00CD5DD8">
        <w:rPr>
          <w:lang w:val="fr-FR"/>
        </w:rPr>
        <w:t>’</w:t>
      </w:r>
      <w:r w:rsidRPr="00CD5DD8">
        <w:rPr>
          <w:lang w:val="fr-FR"/>
        </w:rPr>
        <w:t>examen travaillant à temps plein à plusieurs niveaux de l</w:t>
      </w:r>
      <w:r w:rsidR="00BA2E42" w:rsidRPr="00CD5DD8">
        <w:rPr>
          <w:lang w:val="fr-FR"/>
        </w:rPr>
        <w:t>’</w:t>
      </w:r>
      <w:r w:rsidRPr="00CD5DD8">
        <w:rPr>
          <w:lang w:val="fr-FR"/>
        </w:rPr>
        <w:t>organisati</w:t>
      </w:r>
      <w:r w:rsidR="00CD5DD8" w:rsidRPr="00CD5DD8">
        <w:rPr>
          <w:lang w:val="fr-FR"/>
        </w:rPr>
        <w:t>on.  Ce</w:t>
      </w:r>
      <w:r w:rsidRPr="00CD5DD8">
        <w:rPr>
          <w:lang w:val="fr-FR"/>
        </w:rPr>
        <w:t>s examinateurs possèdent les qualifications scientifiques et techniques nécessaires pour accomplir des travaux d</w:t>
      </w:r>
      <w:r w:rsidR="00BA2E42" w:rsidRPr="00CD5DD8">
        <w:rPr>
          <w:lang w:val="fr-FR"/>
        </w:rPr>
        <w:t>’</w:t>
      </w:r>
      <w:r w:rsidRPr="00CD5DD8">
        <w:rPr>
          <w:lang w:val="fr-FR"/>
        </w:rPr>
        <w:t>examen dans leurs domaines respectifs et tous les examinateurs de la SAIP sont titulaires d</w:t>
      </w:r>
      <w:r w:rsidR="00BA2E42" w:rsidRPr="00CD5DD8">
        <w:rPr>
          <w:lang w:val="fr-FR"/>
        </w:rPr>
        <w:t>’</w:t>
      </w:r>
      <w:r w:rsidRPr="00CD5DD8">
        <w:rPr>
          <w:lang w:val="fr-FR"/>
        </w:rPr>
        <w:t xml:space="preserve">au moins une </w:t>
      </w:r>
      <w:proofErr w:type="gramStart"/>
      <w:r w:rsidRPr="00CD5DD8">
        <w:rPr>
          <w:lang w:val="fr-FR"/>
        </w:rPr>
        <w:t>licence;  57</w:t>
      </w:r>
      <w:proofErr w:type="gramEnd"/>
      <w:r w:rsidRPr="00CD5DD8">
        <w:rPr>
          <w:lang w:val="fr-FR"/>
        </w:rPr>
        <w:t>% d</w:t>
      </w:r>
      <w:r w:rsidR="00BA2E42" w:rsidRPr="00CD5DD8">
        <w:rPr>
          <w:lang w:val="fr-FR"/>
        </w:rPr>
        <w:t>’</w:t>
      </w:r>
      <w:r w:rsidRPr="00CD5DD8">
        <w:rPr>
          <w:lang w:val="fr-FR"/>
        </w:rPr>
        <w:t>entre eux possèdent des diplômes supérieurs (master ou doctor</w:t>
      </w:r>
      <w:r w:rsidR="00CD5DD8" w:rsidRPr="00CD5DD8">
        <w:rPr>
          <w:lang w:val="fr-FR"/>
        </w:rPr>
        <w:t>at).  En</w:t>
      </w:r>
      <w:r w:rsidRPr="00CD5DD8">
        <w:rPr>
          <w:lang w:val="fr-FR"/>
        </w:rPr>
        <w:t xml:space="preserve"> moyenne, les examinateurs de la SAIP ont neuf ans d</w:t>
      </w:r>
      <w:r w:rsidR="00BA2E42" w:rsidRPr="00CD5DD8">
        <w:rPr>
          <w:lang w:val="fr-FR"/>
        </w:rPr>
        <w:t>’</w:t>
      </w:r>
      <w:r w:rsidRPr="00CD5DD8">
        <w:rPr>
          <w:lang w:val="fr-FR"/>
        </w:rPr>
        <w:t>expérien</w:t>
      </w:r>
      <w:r w:rsidR="00CD5DD8" w:rsidRPr="00CD5DD8">
        <w:rPr>
          <w:lang w:val="fr-FR"/>
        </w:rPr>
        <w:t>ce.  Il</w:t>
      </w:r>
      <w:r w:rsidRPr="00CD5DD8">
        <w:rPr>
          <w:lang w:val="fr-FR"/>
        </w:rPr>
        <w:t>s sont affectés à des centres techniques spécialisés en fonction de leur spécialisation professionnelle, dans le but d</w:t>
      </w:r>
      <w:r w:rsidR="00BA2E42" w:rsidRPr="00CD5DD8">
        <w:rPr>
          <w:lang w:val="fr-FR"/>
        </w:rPr>
        <w:t>’</w:t>
      </w:r>
      <w:r w:rsidRPr="00CD5DD8">
        <w:rPr>
          <w:lang w:val="fr-FR"/>
        </w:rPr>
        <w:t>approfondir leurs compétences spécifiques et d</w:t>
      </w:r>
      <w:r w:rsidR="00BA2E42" w:rsidRPr="00CD5DD8">
        <w:rPr>
          <w:lang w:val="fr-FR"/>
        </w:rPr>
        <w:t>’</w:t>
      </w:r>
      <w:r w:rsidRPr="00CD5DD8">
        <w:rPr>
          <w:lang w:val="fr-FR"/>
        </w:rPr>
        <w:t>améliorer leur efficaci</w:t>
      </w:r>
      <w:r w:rsidR="00CD5DD8" w:rsidRPr="00CD5DD8">
        <w:rPr>
          <w:lang w:val="fr-FR"/>
        </w:rPr>
        <w:t xml:space="preserve">té.  </w:t>
      </w:r>
      <w:bookmarkStart w:id="5" w:name="_Hlk213757645"/>
      <w:r w:rsidR="00CD5DD8" w:rsidRPr="00CD5DD8">
        <w:rPr>
          <w:lang w:val="fr-FR"/>
        </w:rPr>
        <w:t>Le</w:t>
      </w:r>
      <w:r w:rsidRPr="00CD5DD8">
        <w:rPr>
          <w:lang w:val="fr-FR"/>
        </w:rPr>
        <w:t xml:space="preserve"> choix du centre technique auquel ils sont affectés parmi les cinq centres existants dépend du domaine technique spécifique de chaque cent</w:t>
      </w:r>
      <w:r w:rsidR="00CD5DD8" w:rsidRPr="00CD5DD8">
        <w:rPr>
          <w:lang w:val="fr-FR"/>
        </w:rPr>
        <w:t>re.  Le</w:t>
      </w:r>
      <w:r w:rsidRPr="00CD5DD8">
        <w:rPr>
          <w:lang w:val="fr-FR"/>
        </w:rPr>
        <w:t xml:space="preserve"> grade fonctionnel des examinateurs reflète leur nombre d</w:t>
      </w:r>
      <w:r w:rsidR="00BA2E42" w:rsidRPr="00CD5DD8">
        <w:rPr>
          <w:lang w:val="fr-FR"/>
        </w:rPr>
        <w:t>’</w:t>
      </w:r>
      <w:r w:rsidRPr="00CD5DD8">
        <w:rPr>
          <w:lang w:val="fr-FR"/>
        </w:rPr>
        <w:t>années d</w:t>
      </w:r>
      <w:r w:rsidR="00BA2E42" w:rsidRPr="00CD5DD8">
        <w:rPr>
          <w:lang w:val="fr-FR"/>
        </w:rPr>
        <w:t>’</w:t>
      </w:r>
      <w:r w:rsidRPr="00CD5DD8">
        <w:rPr>
          <w:lang w:val="fr-FR"/>
        </w:rPr>
        <w:t>expérience.</w:t>
      </w:r>
    </w:p>
    <w:bookmarkEnd w:id="5"/>
    <w:p w14:paraId="5CE3843D" w14:textId="77777777" w:rsidR="00BA2E42" w:rsidRPr="00CD5DD8" w:rsidRDefault="00BA2E42" w:rsidP="00BA2E42">
      <w:pPr>
        <w:spacing w:line="276" w:lineRule="auto"/>
        <w:rPr>
          <w:lang w:val="fr-FR"/>
        </w:rPr>
      </w:pPr>
    </w:p>
    <w:p w14:paraId="1FBE6FA4" w14:textId="7172A504" w:rsidR="009759B8" w:rsidRPr="00CD5DD8" w:rsidRDefault="009759B8" w:rsidP="00BA2E42">
      <w:pPr>
        <w:rPr>
          <w:b/>
          <w:bCs/>
          <w:lang w:val="fr-FR"/>
        </w:rPr>
      </w:pPr>
      <w:r w:rsidRPr="00CD5DD8">
        <w:rPr>
          <w:b/>
          <w:lang w:val="fr-FR"/>
        </w:rPr>
        <w:t>Tableau</w:t>
      </w:r>
      <w:r w:rsidR="000B2763" w:rsidRPr="00CD5DD8">
        <w:rPr>
          <w:b/>
          <w:lang w:val="fr-FR"/>
        </w:rPr>
        <w:t> </w:t>
      </w:r>
      <w:r w:rsidRPr="00CD5DD8">
        <w:rPr>
          <w:b/>
          <w:lang w:val="fr-FR"/>
        </w:rPr>
        <w:t>1.</w:t>
      </w:r>
      <w:r w:rsidR="000B2763" w:rsidRPr="00CD5DD8">
        <w:rPr>
          <w:b/>
          <w:lang w:val="fr-FR"/>
        </w:rPr>
        <w:t xml:space="preserve"> </w:t>
      </w:r>
      <w:r w:rsidRPr="00CD5DD8">
        <w:rPr>
          <w:b/>
          <w:lang w:val="fr-FR"/>
        </w:rPr>
        <w:t xml:space="preserve"> Examinateurs de brevets par domaine technique</w:t>
      </w:r>
    </w:p>
    <w:p w14:paraId="67CDB9AC" w14:textId="77777777" w:rsidR="009759B8" w:rsidRPr="00CD5DD8" w:rsidRDefault="009759B8" w:rsidP="00BA2E42">
      <w:pPr>
        <w:rPr>
          <w:b/>
          <w:bCs/>
          <w:lang w:val="fr-FR"/>
        </w:rPr>
      </w:pPr>
    </w:p>
    <w:tbl>
      <w:tblPr>
        <w:tblW w:w="9345" w:type="dxa"/>
        <w:tblCellMar>
          <w:left w:w="0" w:type="dxa"/>
          <w:right w:w="0" w:type="dxa"/>
        </w:tblCellMar>
        <w:tblLook w:val="04A0" w:firstRow="1" w:lastRow="0" w:firstColumn="1" w:lastColumn="0" w:noHBand="0" w:noVBand="1"/>
      </w:tblPr>
      <w:tblGrid>
        <w:gridCol w:w="1269"/>
        <w:gridCol w:w="2499"/>
        <w:gridCol w:w="1426"/>
        <w:gridCol w:w="1965"/>
        <w:gridCol w:w="2186"/>
      </w:tblGrid>
      <w:tr w:rsidR="009759B8" w:rsidRPr="00CD5DD8" w14:paraId="718D34CA" w14:textId="77777777" w:rsidTr="005E2C61">
        <w:trPr>
          <w:cantSplit/>
          <w:trHeight w:val="868"/>
          <w:tblHeader/>
        </w:trPr>
        <w:tc>
          <w:tcPr>
            <w:tcW w:w="1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58E62E" w14:textId="77777777" w:rsidR="009759B8" w:rsidRPr="00CD5DD8" w:rsidRDefault="009759B8" w:rsidP="00BA2E42">
            <w:pPr>
              <w:rPr>
                <w:b/>
                <w:bCs/>
                <w:lang w:val="fr-FR"/>
              </w:rPr>
            </w:pPr>
            <w:r w:rsidRPr="00CD5DD8">
              <w:rPr>
                <w:b/>
                <w:lang w:val="fr-FR"/>
              </w:rPr>
              <w:t>Centre technique</w:t>
            </w:r>
          </w:p>
        </w:tc>
        <w:tc>
          <w:tcPr>
            <w:tcW w:w="2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365BA" w14:textId="77777777" w:rsidR="009759B8" w:rsidRPr="00CD5DD8" w:rsidRDefault="009759B8" w:rsidP="00BA2E42">
            <w:pPr>
              <w:rPr>
                <w:b/>
                <w:bCs/>
                <w:lang w:val="fr-FR"/>
              </w:rPr>
            </w:pPr>
            <w:r w:rsidRPr="00CD5DD8">
              <w:rPr>
                <w:b/>
                <w:lang w:val="fr-FR"/>
              </w:rPr>
              <w:t>Domaine technique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26372" w14:textId="77777777" w:rsidR="009759B8" w:rsidRPr="00CD5DD8" w:rsidRDefault="009759B8" w:rsidP="00BA2E42">
            <w:pPr>
              <w:rPr>
                <w:b/>
                <w:bCs/>
                <w:lang w:val="fr-FR"/>
              </w:rPr>
            </w:pPr>
            <w:r w:rsidRPr="00CD5DD8">
              <w:rPr>
                <w:b/>
                <w:lang w:val="fr-FR"/>
              </w:rPr>
              <w:t>Nombre (équivalent plein temps)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DBBD9" w14:textId="47997886" w:rsidR="009759B8" w:rsidRPr="00CD5DD8" w:rsidRDefault="009759B8" w:rsidP="00BA2E42">
            <w:pPr>
              <w:rPr>
                <w:b/>
                <w:bCs/>
                <w:lang w:val="fr-FR"/>
              </w:rPr>
            </w:pPr>
            <w:r w:rsidRPr="00CD5DD8">
              <w:rPr>
                <w:b/>
                <w:lang w:val="fr-FR"/>
              </w:rPr>
              <w:t>Expérience moyenne en tant qu</w:t>
            </w:r>
            <w:r w:rsidR="00BA2E42" w:rsidRPr="00CD5DD8">
              <w:rPr>
                <w:b/>
                <w:lang w:val="fr-FR"/>
              </w:rPr>
              <w:t>’</w:t>
            </w:r>
            <w:r w:rsidRPr="00CD5DD8">
              <w:rPr>
                <w:b/>
                <w:lang w:val="fr-FR"/>
              </w:rPr>
              <w:t>examinateurs (années)</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C267D" w14:textId="77777777" w:rsidR="009759B8" w:rsidRPr="00CD5DD8" w:rsidRDefault="009759B8" w:rsidP="00BA2E42">
            <w:pPr>
              <w:rPr>
                <w:b/>
                <w:bCs/>
                <w:lang w:val="fr-FR"/>
              </w:rPr>
            </w:pPr>
            <w:r w:rsidRPr="00CD5DD8">
              <w:rPr>
                <w:b/>
                <w:lang w:val="fr-FR"/>
              </w:rPr>
              <w:t xml:space="preserve">Détail des qualifications </w:t>
            </w:r>
          </w:p>
        </w:tc>
      </w:tr>
      <w:tr w:rsidR="009759B8" w:rsidRPr="00CD5DD8" w14:paraId="72FFCB24" w14:textId="77777777" w:rsidTr="005E2C61">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F301A" w14:textId="77777777" w:rsidR="009759B8" w:rsidRPr="00CD5DD8" w:rsidRDefault="009759B8" w:rsidP="00BA2E42">
            <w:pPr>
              <w:rPr>
                <w:lang w:val="fr-FR"/>
              </w:rPr>
            </w:pPr>
            <w:r w:rsidRPr="00CD5DD8">
              <w:rPr>
                <w:lang w:val="fr-FR"/>
              </w:rPr>
              <w:t>100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1A554611" w14:textId="77777777" w:rsidR="009759B8" w:rsidRPr="00CD5DD8" w:rsidRDefault="009759B8" w:rsidP="00BA2E42">
            <w:pPr>
              <w:rPr>
                <w:lang w:val="fr-FR"/>
              </w:rPr>
            </w:pPr>
            <w:r w:rsidRPr="00CD5DD8">
              <w:rPr>
                <w:lang w:val="fr-FR"/>
              </w:rPr>
              <w:t>Chimie et génie chimique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6DADE0" w14:textId="77777777" w:rsidR="009759B8" w:rsidRPr="00CD5DD8" w:rsidRDefault="009759B8" w:rsidP="00BA2E42">
            <w:pPr>
              <w:rPr>
                <w:lang w:val="fr-FR"/>
              </w:rPr>
            </w:pPr>
            <w:r w:rsidRPr="00CD5DD8">
              <w:rPr>
                <w:lang w:val="fr-FR"/>
              </w:rPr>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B450F5" w14:textId="77777777" w:rsidR="009759B8" w:rsidRPr="00CD5DD8" w:rsidRDefault="009759B8" w:rsidP="00BA2E42">
            <w:pPr>
              <w:rPr>
                <w:lang w:val="fr-FR"/>
              </w:rPr>
            </w:pPr>
            <w:r w:rsidRPr="00CD5DD8">
              <w:rPr>
                <w:lang w:val="fr-FR"/>
              </w:rPr>
              <w:t>7,5</w:t>
            </w:r>
          </w:p>
        </w:tc>
        <w:tc>
          <w:tcPr>
            <w:tcW w:w="23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926DAB" w14:textId="793D77D6" w:rsidR="009759B8" w:rsidRPr="00CD5DD8" w:rsidRDefault="009759B8" w:rsidP="00BA2E42">
            <w:pPr>
              <w:rPr>
                <w:lang w:val="fr-FR"/>
              </w:rPr>
            </w:pPr>
            <w:r w:rsidRPr="00CD5DD8">
              <w:rPr>
                <w:lang w:val="fr-FR"/>
              </w:rPr>
              <w:t xml:space="preserve">1. </w:t>
            </w:r>
            <w:r w:rsidR="000B2763" w:rsidRPr="00CD5DD8">
              <w:rPr>
                <w:lang w:val="fr-FR"/>
              </w:rPr>
              <w:t xml:space="preserve"> </w:t>
            </w:r>
            <w:r w:rsidRPr="00CD5DD8">
              <w:rPr>
                <w:lang w:val="fr-FR"/>
              </w:rPr>
              <w:t>Examinateurs</w:t>
            </w:r>
            <w:r w:rsidR="00BA2E42" w:rsidRPr="00CD5DD8">
              <w:rPr>
                <w:lang w:val="fr-FR"/>
              </w:rPr>
              <w:t> :</w:t>
            </w:r>
            <w:r w:rsidRPr="00CD5DD8">
              <w:rPr>
                <w:lang w:val="fr-FR"/>
              </w:rPr>
              <w:t xml:space="preserve"> 110</w:t>
            </w:r>
          </w:p>
          <w:p w14:paraId="2A860879" w14:textId="462B4347" w:rsidR="009759B8" w:rsidRPr="00CD5DD8" w:rsidRDefault="009759B8" w:rsidP="00BA2E42">
            <w:pPr>
              <w:rPr>
                <w:lang w:val="fr-FR"/>
              </w:rPr>
            </w:pPr>
            <w:r w:rsidRPr="00CD5DD8">
              <w:rPr>
                <w:lang w:val="fr-FR"/>
              </w:rPr>
              <w:t xml:space="preserve">2. </w:t>
            </w:r>
            <w:r w:rsidR="000B2763" w:rsidRPr="00CD5DD8">
              <w:rPr>
                <w:lang w:val="fr-FR"/>
              </w:rPr>
              <w:t xml:space="preserve"> </w:t>
            </w:r>
            <w:r w:rsidRPr="00CD5DD8">
              <w:rPr>
                <w:lang w:val="fr-FR"/>
              </w:rPr>
              <w:t>Responsables de centre technique</w:t>
            </w:r>
            <w:r w:rsidR="00BA2E42" w:rsidRPr="00CD5DD8">
              <w:rPr>
                <w:lang w:val="fr-FR"/>
              </w:rPr>
              <w:t> :</w:t>
            </w:r>
            <w:r w:rsidRPr="00CD5DD8">
              <w:rPr>
                <w:lang w:val="fr-FR"/>
              </w:rPr>
              <w:t xml:space="preserve"> 5</w:t>
            </w:r>
          </w:p>
        </w:tc>
      </w:tr>
      <w:tr w:rsidR="009759B8" w:rsidRPr="00CD5DD8" w14:paraId="11D7EBB9" w14:textId="77777777" w:rsidTr="005E2C61">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12554" w14:textId="77777777" w:rsidR="009759B8" w:rsidRPr="00CD5DD8" w:rsidRDefault="009759B8" w:rsidP="00BA2E42">
            <w:pPr>
              <w:rPr>
                <w:lang w:val="fr-FR"/>
              </w:rPr>
            </w:pPr>
            <w:r w:rsidRPr="00CD5DD8">
              <w:rPr>
                <w:lang w:val="fr-FR"/>
              </w:rPr>
              <w:t>200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44A1EE18" w14:textId="77777777" w:rsidR="009759B8" w:rsidRPr="00CD5DD8" w:rsidRDefault="009759B8" w:rsidP="00BA2E42">
            <w:pPr>
              <w:rPr>
                <w:lang w:val="fr-FR"/>
              </w:rPr>
            </w:pPr>
            <w:r w:rsidRPr="00CD5DD8">
              <w:rPr>
                <w:lang w:val="fr-FR"/>
              </w:rPr>
              <w:t xml:space="preserve">Biotechnologie et produits pharmaceutiques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337DBC0" w14:textId="77777777" w:rsidR="009759B8" w:rsidRPr="00CD5DD8" w:rsidRDefault="009759B8" w:rsidP="00BA2E42">
            <w:pPr>
              <w:rPr>
                <w:lang w:val="fr-FR"/>
              </w:rPr>
            </w:pPr>
            <w:r w:rsidRPr="00CD5DD8">
              <w:rPr>
                <w:lang w:val="fr-FR"/>
              </w:rPr>
              <w:t>27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0F5FDBC" w14:textId="77777777" w:rsidR="009759B8" w:rsidRPr="00CD5DD8" w:rsidRDefault="009759B8" w:rsidP="00BA2E42">
            <w:pPr>
              <w:rPr>
                <w:lang w:val="fr-FR"/>
              </w:rPr>
            </w:pPr>
            <w:r w:rsidRPr="00CD5DD8">
              <w:rPr>
                <w:lang w:val="fr-FR"/>
              </w:rPr>
              <w:t>7,5</w:t>
            </w:r>
          </w:p>
        </w:tc>
        <w:tc>
          <w:tcPr>
            <w:tcW w:w="2335" w:type="dxa"/>
            <w:vMerge/>
            <w:tcBorders>
              <w:top w:val="nil"/>
              <w:left w:val="nil"/>
              <w:bottom w:val="single" w:sz="8" w:space="0" w:color="auto"/>
              <w:right w:val="single" w:sz="8" w:space="0" w:color="auto"/>
            </w:tcBorders>
            <w:vAlign w:val="center"/>
            <w:hideMark/>
          </w:tcPr>
          <w:p w14:paraId="5813FCD9" w14:textId="77777777" w:rsidR="009759B8" w:rsidRPr="00CD5DD8" w:rsidRDefault="009759B8" w:rsidP="00BA2E42">
            <w:pPr>
              <w:rPr>
                <w:lang w:val="fr-FR" w:eastAsia="ko-KR" w:bidi="ar-EG"/>
              </w:rPr>
            </w:pPr>
          </w:p>
        </w:tc>
      </w:tr>
      <w:tr w:rsidR="009759B8" w:rsidRPr="00CD5DD8" w14:paraId="0F133535" w14:textId="77777777" w:rsidTr="005E2C61">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AD859" w14:textId="77777777" w:rsidR="009759B8" w:rsidRPr="00CD5DD8" w:rsidRDefault="009759B8" w:rsidP="00BA2E42">
            <w:pPr>
              <w:rPr>
                <w:lang w:val="fr-FR"/>
              </w:rPr>
            </w:pPr>
            <w:r w:rsidRPr="00CD5DD8">
              <w:rPr>
                <w:lang w:val="fr-FR"/>
              </w:rPr>
              <w:t>300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3ACA9464" w14:textId="692BAF56" w:rsidR="009759B8" w:rsidRPr="00CD5DD8" w:rsidRDefault="009759B8" w:rsidP="00BA2E42">
            <w:pPr>
              <w:rPr>
                <w:lang w:val="fr-FR"/>
              </w:rPr>
            </w:pPr>
            <w:r w:rsidRPr="00CD5DD8">
              <w:rPr>
                <w:lang w:val="fr-FR"/>
              </w:rPr>
              <w:t>Technologies de l</w:t>
            </w:r>
            <w:r w:rsidR="00BA2E42" w:rsidRPr="00CD5DD8">
              <w:rPr>
                <w:lang w:val="fr-FR"/>
              </w:rPr>
              <w:t>’</w:t>
            </w:r>
            <w:r w:rsidRPr="00CD5DD8">
              <w:rPr>
                <w:lang w:val="fr-FR"/>
              </w:rPr>
              <w:t>information et de la communication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8AB93CD" w14:textId="77777777" w:rsidR="009759B8" w:rsidRPr="00CD5DD8" w:rsidRDefault="009759B8" w:rsidP="00BA2E42">
            <w:pPr>
              <w:rPr>
                <w:lang w:val="fr-FR"/>
              </w:rPr>
            </w:pPr>
            <w:r w:rsidRPr="00CD5DD8">
              <w:rPr>
                <w:lang w:val="fr-FR"/>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951E049" w14:textId="77777777" w:rsidR="009759B8" w:rsidRPr="00CD5DD8" w:rsidRDefault="009759B8" w:rsidP="00BA2E42">
            <w:pPr>
              <w:rPr>
                <w:lang w:val="fr-FR"/>
              </w:rPr>
            </w:pPr>
            <w:r w:rsidRPr="00CD5DD8">
              <w:rPr>
                <w:lang w:val="fr-FR"/>
              </w:rPr>
              <w:t>5</w:t>
            </w:r>
          </w:p>
        </w:tc>
        <w:tc>
          <w:tcPr>
            <w:tcW w:w="2335" w:type="dxa"/>
            <w:vMerge/>
            <w:tcBorders>
              <w:top w:val="nil"/>
              <w:left w:val="nil"/>
              <w:bottom w:val="single" w:sz="8" w:space="0" w:color="auto"/>
              <w:right w:val="single" w:sz="8" w:space="0" w:color="auto"/>
            </w:tcBorders>
            <w:vAlign w:val="center"/>
            <w:hideMark/>
          </w:tcPr>
          <w:p w14:paraId="15162EEF" w14:textId="77777777" w:rsidR="009759B8" w:rsidRPr="00CD5DD8" w:rsidRDefault="009759B8" w:rsidP="00BA2E42">
            <w:pPr>
              <w:rPr>
                <w:lang w:val="fr-FR" w:eastAsia="ko-KR" w:bidi="ar-EG"/>
              </w:rPr>
            </w:pPr>
          </w:p>
        </w:tc>
      </w:tr>
      <w:tr w:rsidR="009759B8" w:rsidRPr="00CD5DD8" w14:paraId="3BDC8F77" w14:textId="77777777" w:rsidTr="005E2C61">
        <w:trPr>
          <w:cantSplit/>
          <w:trHeight w:val="262"/>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CF670" w14:textId="77777777" w:rsidR="009759B8" w:rsidRPr="00CD5DD8" w:rsidRDefault="009759B8" w:rsidP="00BA2E42">
            <w:pPr>
              <w:rPr>
                <w:lang w:val="fr-FR"/>
              </w:rPr>
            </w:pPr>
            <w:r w:rsidRPr="00CD5DD8">
              <w:rPr>
                <w:lang w:val="fr-FR"/>
              </w:rPr>
              <w:t>400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13B70BC5" w14:textId="77777777" w:rsidR="009759B8" w:rsidRPr="00CD5DD8" w:rsidRDefault="009759B8" w:rsidP="00BA2E42">
            <w:pPr>
              <w:rPr>
                <w:lang w:val="fr-FR"/>
              </w:rPr>
            </w:pPr>
            <w:r w:rsidRPr="00CD5DD8">
              <w:rPr>
                <w:lang w:val="fr-FR"/>
              </w:rPr>
              <w:t>Mécanique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04B3963" w14:textId="77777777" w:rsidR="009759B8" w:rsidRPr="00CD5DD8" w:rsidRDefault="009759B8" w:rsidP="00BA2E42">
            <w:pPr>
              <w:rPr>
                <w:lang w:val="fr-FR"/>
              </w:rPr>
            </w:pPr>
            <w:r w:rsidRPr="00CD5DD8">
              <w:rPr>
                <w:lang w:val="fr-FR"/>
              </w:rP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0E58D58" w14:textId="77777777" w:rsidR="009759B8" w:rsidRPr="00CD5DD8" w:rsidRDefault="009759B8" w:rsidP="00BA2E42">
            <w:pPr>
              <w:rPr>
                <w:lang w:val="fr-FR"/>
              </w:rPr>
            </w:pPr>
            <w:r w:rsidRPr="00CD5DD8">
              <w:rPr>
                <w:lang w:val="fr-FR"/>
              </w:rPr>
              <w:t>12</w:t>
            </w:r>
          </w:p>
        </w:tc>
        <w:tc>
          <w:tcPr>
            <w:tcW w:w="2335" w:type="dxa"/>
            <w:vMerge/>
            <w:tcBorders>
              <w:top w:val="nil"/>
              <w:left w:val="nil"/>
              <w:bottom w:val="single" w:sz="8" w:space="0" w:color="auto"/>
              <w:right w:val="single" w:sz="8" w:space="0" w:color="auto"/>
            </w:tcBorders>
            <w:vAlign w:val="center"/>
            <w:hideMark/>
          </w:tcPr>
          <w:p w14:paraId="516C1E8B" w14:textId="77777777" w:rsidR="009759B8" w:rsidRPr="00CD5DD8" w:rsidRDefault="009759B8" w:rsidP="00BA2E42">
            <w:pPr>
              <w:rPr>
                <w:lang w:val="fr-FR" w:eastAsia="ko-KR" w:bidi="ar-EG"/>
              </w:rPr>
            </w:pPr>
          </w:p>
        </w:tc>
      </w:tr>
      <w:tr w:rsidR="009759B8" w:rsidRPr="00CD5DD8" w14:paraId="154C9A9B" w14:textId="77777777" w:rsidTr="005E2C61">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8A153" w14:textId="77777777" w:rsidR="009759B8" w:rsidRPr="00CD5DD8" w:rsidRDefault="009759B8" w:rsidP="00BA2E42">
            <w:pPr>
              <w:rPr>
                <w:lang w:val="fr-FR"/>
              </w:rPr>
            </w:pPr>
            <w:r w:rsidRPr="00CD5DD8">
              <w:rPr>
                <w:lang w:val="fr-FR"/>
              </w:rPr>
              <w:t>500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9D19F82" w14:textId="77777777" w:rsidR="009759B8" w:rsidRPr="00CD5DD8" w:rsidRDefault="009759B8" w:rsidP="00BA2E42">
            <w:pPr>
              <w:rPr>
                <w:lang w:val="fr-FR"/>
              </w:rPr>
            </w:pPr>
            <w:r w:rsidRPr="00CD5DD8">
              <w:rPr>
                <w:lang w:val="fr-FR"/>
              </w:rPr>
              <w:t>Génie pétrolier et construction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9E0F41A" w14:textId="77777777" w:rsidR="009759B8" w:rsidRPr="00CD5DD8" w:rsidRDefault="009759B8" w:rsidP="00BA2E42">
            <w:pPr>
              <w:rPr>
                <w:lang w:val="fr-FR"/>
              </w:rPr>
            </w:pPr>
            <w:r w:rsidRPr="00CD5DD8">
              <w:rPr>
                <w:lang w:val="fr-FR"/>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60153EC" w14:textId="77777777" w:rsidR="009759B8" w:rsidRPr="00CD5DD8" w:rsidRDefault="009759B8" w:rsidP="00BA2E42">
            <w:pPr>
              <w:rPr>
                <w:lang w:val="fr-FR"/>
              </w:rPr>
            </w:pPr>
            <w:r w:rsidRPr="00CD5DD8">
              <w:rPr>
                <w:lang w:val="fr-FR"/>
              </w:rPr>
              <w:t>5</w:t>
            </w:r>
          </w:p>
        </w:tc>
        <w:tc>
          <w:tcPr>
            <w:tcW w:w="2335" w:type="dxa"/>
            <w:vMerge/>
            <w:tcBorders>
              <w:top w:val="nil"/>
              <w:left w:val="nil"/>
              <w:bottom w:val="single" w:sz="8" w:space="0" w:color="auto"/>
              <w:right w:val="single" w:sz="8" w:space="0" w:color="auto"/>
            </w:tcBorders>
            <w:vAlign w:val="center"/>
            <w:hideMark/>
          </w:tcPr>
          <w:p w14:paraId="0BFD73B5" w14:textId="77777777" w:rsidR="009759B8" w:rsidRPr="00CD5DD8" w:rsidRDefault="009759B8" w:rsidP="00BA2E42">
            <w:pPr>
              <w:rPr>
                <w:lang w:val="fr-FR" w:eastAsia="ko-KR" w:bidi="ar-EG"/>
              </w:rPr>
            </w:pPr>
          </w:p>
        </w:tc>
      </w:tr>
      <w:tr w:rsidR="009759B8" w:rsidRPr="00CD5DD8" w14:paraId="77F332AB" w14:textId="77777777" w:rsidTr="005E2C61">
        <w:trPr>
          <w:cantSplit/>
          <w:trHeight w:val="503"/>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3FA76" w14:textId="77777777" w:rsidR="009759B8" w:rsidRPr="00CD5DD8" w:rsidRDefault="009759B8" w:rsidP="00BA2E42">
            <w:pPr>
              <w:rPr>
                <w:lang w:val="fr-FR"/>
              </w:rPr>
            </w:pPr>
            <w:r w:rsidRPr="00CD5DD8">
              <w:rPr>
                <w:lang w:val="fr-FR"/>
              </w:rPr>
              <w:t>Appui en matière de brevets</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7D3C45A6" w14:textId="77777777" w:rsidR="009759B8" w:rsidRPr="00CD5DD8" w:rsidRDefault="009759B8" w:rsidP="00BA2E42">
            <w:pPr>
              <w:rPr>
                <w:lang w:val="fr-FR"/>
              </w:rPr>
            </w:pPr>
            <w:r w:rsidRPr="00CD5DD8">
              <w:rPr>
                <w:lang w:val="fr-FR"/>
              </w:rPr>
              <w:t>Autre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C48E7C5" w14:textId="77777777" w:rsidR="009759B8" w:rsidRPr="00CD5DD8" w:rsidRDefault="009759B8" w:rsidP="00BA2E42">
            <w:pPr>
              <w:rPr>
                <w:lang w:val="fr-FR"/>
              </w:rPr>
            </w:pPr>
            <w:r w:rsidRPr="00CD5DD8">
              <w:rPr>
                <w:lang w:val="fr-FR"/>
              </w:rP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3F02AC9" w14:textId="77777777" w:rsidR="009759B8" w:rsidRPr="00CD5DD8" w:rsidRDefault="009759B8" w:rsidP="00BA2E42">
            <w:pPr>
              <w:rPr>
                <w:lang w:val="fr-FR"/>
              </w:rPr>
            </w:pPr>
            <w:r w:rsidRPr="00CD5DD8">
              <w:rPr>
                <w:lang w:val="fr-FR"/>
              </w:rPr>
              <w:t>15</w:t>
            </w:r>
          </w:p>
        </w:tc>
        <w:tc>
          <w:tcPr>
            <w:tcW w:w="2335" w:type="dxa"/>
            <w:vMerge/>
            <w:tcBorders>
              <w:top w:val="nil"/>
              <w:left w:val="nil"/>
              <w:bottom w:val="single" w:sz="8" w:space="0" w:color="auto"/>
              <w:right w:val="single" w:sz="8" w:space="0" w:color="auto"/>
            </w:tcBorders>
            <w:vAlign w:val="center"/>
            <w:hideMark/>
          </w:tcPr>
          <w:p w14:paraId="0FA64008" w14:textId="77777777" w:rsidR="009759B8" w:rsidRPr="00CD5DD8" w:rsidRDefault="009759B8" w:rsidP="00BA2E42">
            <w:pPr>
              <w:rPr>
                <w:lang w:val="fr-FR" w:eastAsia="ko-KR" w:bidi="ar-EG"/>
              </w:rPr>
            </w:pPr>
          </w:p>
        </w:tc>
      </w:tr>
      <w:tr w:rsidR="009759B8" w:rsidRPr="00CD5DD8" w14:paraId="613B0FC1" w14:textId="77777777" w:rsidTr="005E2C61">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BBA10" w14:textId="77777777" w:rsidR="009759B8" w:rsidRPr="00CD5DD8" w:rsidRDefault="009759B8" w:rsidP="00BA2E42">
            <w:pPr>
              <w:rPr>
                <w:lang w:val="fr-FR"/>
              </w:rPr>
            </w:pPr>
            <w:r w:rsidRPr="00CD5DD8">
              <w:rPr>
                <w:lang w:val="fr-FR"/>
              </w:rPr>
              <w:t>Total</w:t>
            </w:r>
          </w:p>
        </w:tc>
        <w:tc>
          <w:tcPr>
            <w:tcW w:w="2676" w:type="dxa"/>
            <w:tcBorders>
              <w:top w:val="nil"/>
              <w:left w:val="nil"/>
              <w:bottom w:val="single" w:sz="8" w:space="0" w:color="auto"/>
              <w:right w:val="single" w:sz="8" w:space="0" w:color="auto"/>
            </w:tcBorders>
            <w:tcMar>
              <w:top w:w="0" w:type="dxa"/>
              <w:left w:w="108" w:type="dxa"/>
              <w:bottom w:w="0" w:type="dxa"/>
              <w:right w:w="108" w:type="dxa"/>
            </w:tcMar>
          </w:tcPr>
          <w:p w14:paraId="394DE00A" w14:textId="77777777" w:rsidR="009759B8" w:rsidRPr="00CD5DD8" w:rsidRDefault="009759B8" w:rsidP="00BA2E42">
            <w:pPr>
              <w:rPr>
                <w:rtl/>
                <w:lang w:val="fr-FR"/>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7B98AC82" w14:textId="77777777" w:rsidR="009759B8" w:rsidRPr="00CD5DD8" w:rsidRDefault="009759B8" w:rsidP="00BA2E42">
            <w:pPr>
              <w:rPr>
                <w:lang w:val="fr-FR"/>
              </w:rPr>
            </w:pPr>
            <w:r w:rsidRPr="00CD5DD8">
              <w:rPr>
                <w:lang w:val="fr-FR"/>
              </w:rPr>
              <w:t>110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B1EDF01" w14:textId="77777777" w:rsidR="009759B8" w:rsidRPr="00CD5DD8" w:rsidRDefault="009759B8" w:rsidP="00BA2E42">
            <w:pPr>
              <w:rPr>
                <w:lang w:val="fr-FR"/>
              </w:rPr>
            </w:pP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14:paraId="5A5DF2DE" w14:textId="77777777" w:rsidR="009759B8" w:rsidRPr="00CD5DD8" w:rsidRDefault="009759B8" w:rsidP="00BA2E42">
            <w:pPr>
              <w:rPr>
                <w:lang w:val="fr-FR"/>
              </w:rPr>
            </w:pPr>
          </w:p>
        </w:tc>
      </w:tr>
    </w:tbl>
    <w:p w14:paraId="31D8488A" w14:textId="77777777" w:rsidR="009759B8" w:rsidRPr="00CD5DD8" w:rsidRDefault="009759B8" w:rsidP="00BA2E42">
      <w:pPr>
        <w:rPr>
          <w:lang w:val="fr-FR" w:eastAsia="ko-KR"/>
        </w:rPr>
      </w:pPr>
    </w:p>
    <w:p w14:paraId="51639F69" w14:textId="0677AC1F"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lastRenderedPageBreak/>
        <w:t>2.2 </w:t>
      </w:r>
      <w:r w:rsidR="00CD5DD8" w:rsidRPr="00CD5DD8">
        <w:rPr>
          <w:b/>
          <w:caps/>
          <w:lang w:val="fr-FR"/>
        </w:rPr>
        <w:t>–</w:t>
      </w:r>
      <w:r w:rsidRPr="00CD5DD8">
        <w:rPr>
          <w:b/>
          <w:caps/>
          <w:lang w:val="fr-FR"/>
        </w:rPr>
        <w:t xml:space="preserve"> D</w:t>
      </w:r>
      <w:r w:rsidR="00CD5DD8">
        <w:rPr>
          <w:b/>
          <w:caps/>
          <w:lang w:val="fr-FR"/>
        </w:rPr>
        <w:t>ocumentation minimale</w:t>
      </w:r>
      <w:r w:rsidRPr="00CD5DD8">
        <w:rPr>
          <w:b/>
          <w:caps/>
          <w:lang w:val="fr-FR"/>
        </w:rPr>
        <w:t xml:space="preserve"> </w:t>
      </w:r>
      <w:r w:rsidR="00CD5DD8" w:rsidRPr="00CD5DD8">
        <w:rPr>
          <w:b/>
          <w:caps/>
          <w:lang w:val="fr-FR"/>
        </w:rPr>
        <w:t>–</w:t>
      </w:r>
      <w:r w:rsidRPr="00CD5DD8">
        <w:rPr>
          <w:b/>
          <w:caps/>
          <w:lang w:val="fr-FR"/>
        </w:rPr>
        <w:t xml:space="preserve"> </w:t>
      </w:r>
      <w:r w:rsidR="00CD5DD8">
        <w:rPr>
          <w:b/>
          <w:caps/>
          <w:lang w:val="fr-FR"/>
        </w:rPr>
        <w:t>mise à disposition pour consultation</w:t>
      </w:r>
    </w:p>
    <w:p w14:paraId="4B02228A" w14:textId="58BEC4F8" w:rsidR="009759B8" w:rsidRPr="00CD5DD8" w:rsidRDefault="009759B8" w:rsidP="00BA2E42">
      <w:pPr>
        <w:keepLines/>
        <w:spacing w:after="240"/>
        <w:ind w:left="567" w:right="567"/>
        <w:rPr>
          <w:bCs/>
          <w:i/>
          <w:iCs/>
          <w:lang w:val="fr-FR"/>
        </w:rPr>
      </w:pPr>
      <w:r w:rsidRPr="00CD5DD8">
        <w:rPr>
          <w:i/>
          <w:lang w:val="fr-FR"/>
        </w:rPr>
        <w:t>Règles 36.</w:t>
      </w:r>
      <w:proofErr w:type="gramStart"/>
      <w:r w:rsidRPr="00CD5DD8">
        <w:rPr>
          <w:i/>
          <w:lang w:val="fr-FR"/>
        </w:rPr>
        <w:t>1.ii</w:t>
      </w:r>
      <w:proofErr w:type="gramEnd"/>
      <w:r w:rsidRPr="00CD5DD8">
        <w:rPr>
          <w:i/>
          <w:lang w:val="fr-FR"/>
        </w:rPr>
        <w:t>) et 63.1.ii)</w:t>
      </w:r>
      <w:r w:rsidR="00BA2E42" w:rsidRPr="00CD5DD8">
        <w:rPr>
          <w:i/>
          <w:lang w:val="fr-FR"/>
        </w:rPr>
        <w:t> :</w:t>
      </w:r>
      <w:r w:rsidRPr="00CD5DD8">
        <w:rPr>
          <w:i/>
          <w:lang w:val="fr-FR"/>
        </w:rPr>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2BF3F6A7" w14:textId="16A131F4" w:rsidR="009759B8" w:rsidRPr="00697402" w:rsidRDefault="009759B8" w:rsidP="00BA2E42">
      <w:pPr>
        <w:keepLines/>
        <w:spacing w:after="240"/>
        <w:ind w:left="567" w:right="567"/>
        <w:rPr>
          <w:b/>
          <w:i/>
          <w:iCs/>
          <w:lang w:val="fr-FR"/>
        </w:rPr>
      </w:pPr>
      <w:r w:rsidRPr="00697402">
        <w:rPr>
          <w:i/>
          <w:iCs/>
          <w:lang w:val="fr-FR"/>
        </w:rPr>
        <w:t>Les exigences prévues dans les instructions administratives sont précisées dans la circulaire </w:t>
      </w:r>
      <w:hyperlink r:id="rId11" w:history="1">
        <w:r w:rsidR="00CD5DD8" w:rsidRPr="00697402">
          <w:rPr>
            <w:rStyle w:val="Hyperlink"/>
            <w:i/>
            <w:iCs/>
            <w:color w:val="0000FF"/>
            <w:lang w:val="fr-FR"/>
          </w:rPr>
          <w:t>C. PCT 1672</w:t>
        </w:r>
      </w:hyperlink>
      <w:r w:rsidRPr="00697402">
        <w:rPr>
          <w:i/>
          <w:iCs/>
          <w:lang w:val="fr-FR"/>
        </w:rPr>
        <w:t xml:space="preserve"> datée du 19 </w:t>
      </w:r>
      <w:r w:rsidR="00BA2E42" w:rsidRPr="00697402">
        <w:rPr>
          <w:i/>
          <w:iCs/>
          <w:lang w:val="fr-FR"/>
        </w:rPr>
        <w:t>juin 20</w:t>
      </w:r>
      <w:r w:rsidRPr="00697402">
        <w:rPr>
          <w:i/>
          <w:iCs/>
          <w:lang w:val="fr-FR"/>
        </w:rPr>
        <w:t>24.</w:t>
      </w:r>
    </w:p>
    <w:p w14:paraId="494A3B6F" w14:textId="57A57D6E" w:rsidR="009759B8" w:rsidRPr="00CD5DD8" w:rsidRDefault="009759B8" w:rsidP="00BA2E42">
      <w:pPr>
        <w:pStyle w:val="BodyText"/>
        <w:rPr>
          <w:lang w:val="fr-FR"/>
        </w:rPr>
      </w:pPr>
      <w:r w:rsidRPr="00CD5DD8">
        <w:rPr>
          <w:lang w:val="fr-FR"/>
        </w:rPr>
        <w:t>Des tests sont actuellement effectués sur un échantillon de documents de brevet, en coordination avec l</w:t>
      </w:r>
      <w:r w:rsidR="00BA2E42" w:rsidRPr="00CD5DD8">
        <w:rPr>
          <w:lang w:val="fr-FR"/>
        </w:rPr>
        <w:t>’</w:t>
      </w:r>
      <w:r w:rsidRPr="00CD5DD8">
        <w:rPr>
          <w:lang w:val="fr-FR"/>
        </w:rPr>
        <w:t>Office européen des brevets (OEB).  Les tests et les travaux de validation nécessaires menés en collaboration avec l</w:t>
      </w:r>
      <w:r w:rsidR="00BA2E42" w:rsidRPr="00CD5DD8">
        <w:rPr>
          <w:lang w:val="fr-FR"/>
        </w:rPr>
        <w:t>’</w:t>
      </w:r>
      <w:r w:rsidRPr="00CD5DD8">
        <w:rPr>
          <w:lang w:val="fr-FR"/>
        </w:rPr>
        <w:t>OEB et d</w:t>
      </w:r>
      <w:r w:rsidR="00BA2E42" w:rsidRPr="00CD5DD8">
        <w:rPr>
          <w:lang w:val="fr-FR"/>
        </w:rPr>
        <w:t>’</w:t>
      </w:r>
      <w:r w:rsidRPr="00CD5DD8">
        <w:rPr>
          <w:lang w:val="fr-FR"/>
        </w:rPr>
        <w:t>autres administrations chargées de la recherche internationale devraient être achevés en décembre 2025.  En d</w:t>
      </w:r>
      <w:r w:rsidR="00BA2E42" w:rsidRPr="00CD5DD8">
        <w:rPr>
          <w:lang w:val="fr-FR"/>
        </w:rPr>
        <w:t>’</w:t>
      </w:r>
      <w:r w:rsidRPr="00CD5DD8">
        <w:rPr>
          <w:lang w:val="fr-FR"/>
        </w:rPr>
        <w:t>autres termes, l</w:t>
      </w:r>
      <w:r w:rsidR="00BA2E42" w:rsidRPr="00CD5DD8">
        <w:rPr>
          <w:lang w:val="fr-FR"/>
        </w:rPr>
        <w:t>’</w:t>
      </w:r>
      <w:r w:rsidRPr="00CD5DD8">
        <w:rPr>
          <w:lang w:val="fr-FR"/>
        </w:rPr>
        <w:t>objectif fixé est d</w:t>
      </w:r>
      <w:r w:rsidR="00BA2E42" w:rsidRPr="00CD5DD8">
        <w:rPr>
          <w:lang w:val="fr-FR"/>
        </w:rPr>
        <w:t>’</w:t>
      </w:r>
      <w:r w:rsidRPr="00CD5DD8">
        <w:rPr>
          <w:lang w:val="fr-FR"/>
        </w:rPr>
        <w:t>être prêt pour le</w:t>
      </w:r>
      <w:r w:rsidR="00BA2E42" w:rsidRPr="00CD5DD8">
        <w:rPr>
          <w:lang w:val="fr-FR"/>
        </w:rPr>
        <w:t xml:space="preserve"> 1</w:t>
      </w:r>
      <w:r w:rsidR="00BA2E42" w:rsidRPr="00CD5DD8">
        <w:rPr>
          <w:vertAlign w:val="superscript"/>
          <w:lang w:val="fr-FR"/>
        </w:rPr>
        <w:t>er</w:t>
      </w:r>
      <w:r w:rsidR="00BA2E42" w:rsidRPr="00CD5DD8">
        <w:rPr>
          <w:lang w:val="fr-FR"/>
        </w:rPr>
        <w:t> </w:t>
      </w:r>
      <w:r w:rsidRPr="00CD5DD8">
        <w:rPr>
          <w:lang w:val="fr-FR"/>
        </w:rPr>
        <w:t>janvier 2026.</w:t>
      </w:r>
    </w:p>
    <w:p w14:paraId="3FD6F833" w14:textId="77777777" w:rsidR="009759B8" w:rsidRPr="00CD5DD8" w:rsidRDefault="009759B8" w:rsidP="00BA2E42">
      <w:pPr>
        <w:pStyle w:val="BodyText"/>
        <w:rPr>
          <w:lang w:val="fr-FR"/>
        </w:rPr>
      </w:pPr>
      <w:r w:rsidRPr="00CD5DD8">
        <w:rPr>
          <w:lang w:val="fr-FR"/>
        </w:rPr>
        <w:t>Les travaux sur le dépôt électronique sont terminés, ce qui signifie que les offices qui effectuent des recherches peuvent accéder aux documents, les rechercher et les télécharger.</w:t>
      </w:r>
    </w:p>
    <w:p w14:paraId="1A0E0D94" w14:textId="563182C9" w:rsidR="00BA2E42" w:rsidRPr="00CD5DD8" w:rsidRDefault="009759B8" w:rsidP="00BA2E42">
      <w:pPr>
        <w:pStyle w:val="BodyText"/>
        <w:rPr>
          <w:lang w:val="fr-FR"/>
        </w:rPr>
      </w:pPr>
      <w:r w:rsidRPr="00CD5DD8">
        <w:rPr>
          <w:lang w:val="fr-FR"/>
        </w:rPr>
        <w:t>La SAIP s</w:t>
      </w:r>
      <w:r w:rsidR="00BA2E42" w:rsidRPr="00CD5DD8">
        <w:rPr>
          <w:lang w:val="fr-FR"/>
        </w:rPr>
        <w:t>’</w:t>
      </w:r>
      <w:r w:rsidRPr="00CD5DD8">
        <w:rPr>
          <w:lang w:val="fr-FR"/>
        </w:rPr>
        <w:t>est également engagée à mettre son fichier d</w:t>
      </w:r>
      <w:r w:rsidR="00BA2E42" w:rsidRPr="00CD5DD8">
        <w:rPr>
          <w:lang w:val="fr-FR"/>
        </w:rPr>
        <w:t>’</w:t>
      </w:r>
      <w:r w:rsidRPr="00CD5DD8">
        <w:rPr>
          <w:lang w:val="fr-FR"/>
        </w:rPr>
        <w:t>autorité en conformité avec la norme ST.37 de l</w:t>
      </w:r>
      <w:r w:rsidR="00BA2E42" w:rsidRPr="00CD5DD8">
        <w:rPr>
          <w:lang w:val="fr-FR"/>
        </w:rPr>
        <w:t>’</w:t>
      </w:r>
      <w:r w:rsidRPr="00CD5DD8">
        <w:rPr>
          <w:lang w:val="fr-FR"/>
        </w:rPr>
        <w:t>OMPI, telle que mise à jour sur le site</w:t>
      </w:r>
      <w:r w:rsidR="000B2763" w:rsidRPr="00CD5DD8">
        <w:rPr>
          <w:lang w:val="fr-FR"/>
        </w:rPr>
        <w:t> </w:t>
      </w:r>
      <w:r w:rsidRPr="00CD5DD8">
        <w:rPr>
          <w:lang w:val="fr-FR"/>
        </w:rPr>
        <w:t>Web de l</w:t>
      </w:r>
      <w:r w:rsidR="00BA2E42" w:rsidRPr="00CD5DD8">
        <w:rPr>
          <w:lang w:val="fr-FR"/>
        </w:rPr>
        <w:t>’</w:t>
      </w:r>
      <w:r w:rsidRPr="00CD5DD8">
        <w:rPr>
          <w:lang w:val="fr-FR"/>
        </w:rPr>
        <w:t>OMPI le 28 août 2025.</w:t>
      </w:r>
    </w:p>
    <w:p w14:paraId="5B632BD3" w14:textId="19366735" w:rsidR="009759B8" w:rsidRPr="00CD5DD8" w:rsidRDefault="009759B8" w:rsidP="00BA2E42">
      <w:pPr>
        <w:pStyle w:val="BodyText"/>
        <w:rPr>
          <w:lang w:val="fr-FR"/>
        </w:rPr>
      </w:pPr>
      <w:r w:rsidRPr="00CD5DD8">
        <w:rPr>
          <w:lang w:val="fr-FR"/>
        </w:rPr>
        <w:t>Voir également le tableau ci</w:t>
      </w:r>
      <w:r w:rsidR="00CD5DD8">
        <w:rPr>
          <w:lang w:val="fr-FR"/>
        </w:rPr>
        <w:noBreakHyphen/>
      </w:r>
      <w:r w:rsidRPr="00CD5DD8">
        <w:rPr>
          <w:lang w:val="fr-FR"/>
        </w:rPr>
        <w:t>dessous pour les documents de brevet publiés par la SAIP qui sont mis à la disposition d</w:t>
      </w:r>
      <w:r w:rsidR="00BA2E42" w:rsidRPr="00CD5DD8">
        <w:rPr>
          <w:lang w:val="fr-FR"/>
        </w:rPr>
        <w:t>’</w:t>
      </w:r>
      <w:r w:rsidRPr="00CD5DD8">
        <w:rPr>
          <w:lang w:val="fr-FR"/>
        </w:rPr>
        <w:t>autres administrations chargées de la recherche internationale conformément aux exigences énoncées à l</w:t>
      </w:r>
      <w:r w:rsidR="00BA2E42" w:rsidRPr="00CD5DD8">
        <w:rPr>
          <w:lang w:val="fr-FR"/>
        </w:rPr>
        <w:t>’</w:t>
      </w:r>
      <w:r w:rsidRPr="00CD5DD8">
        <w:rPr>
          <w:lang w:val="fr-FR"/>
        </w:rPr>
        <w:t>annexe H.  Ils sont disponibles sur le site</w:t>
      </w:r>
      <w:r w:rsidR="000B2763" w:rsidRPr="00CD5DD8">
        <w:rPr>
          <w:lang w:val="fr-FR"/>
        </w:rPr>
        <w:t> </w:t>
      </w:r>
      <w:r w:rsidRPr="00CD5DD8">
        <w:rPr>
          <w:lang w:val="fr-FR"/>
        </w:rPr>
        <w:t>Web de l</w:t>
      </w:r>
      <w:r w:rsidR="00BA2E42" w:rsidRPr="00CD5DD8">
        <w:rPr>
          <w:lang w:val="fr-FR"/>
        </w:rPr>
        <w:t>’</w:t>
      </w:r>
      <w:r w:rsidRPr="00CD5DD8">
        <w:rPr>
          <w:lang w:val="fr-FR"/>
        </w:rPr>
        <w:t>OMPI.</w:t>
      </w:r>
    </w:p>
    <w:tbl>
      <w:tblPr>
        <w:tblStyle w:val="TableGrid"/>
        <w:tblW w:w="9345" w:type="dxa"/>
        <w:tblLook w:val="04A0" w:firstRow="1" w:lastRow="0" w:firstColumn="1" w:lastColumn="0" w:noHBand="0" w:noVBand="1"/>
      </w:tblPr>
      <w:tblGrid>
        <w:gridCol w:w="1971"/>
        <w:gridCol w:w="1537"/>
        <w:gridCol w:w="1384"/>
        <w:gridCol w:w="1318"/>
        <w:gridCol w:w="1537"/>
        <w:gridCol w:w="1598"/>
      </w:tblGrid>
      <w:tr w:rsidR="009759B8" w:rsidRPr="00CD5DD8" w14:paraId="515E61AA" w14:textId="77777777" w:rsidTr="005E2C61">
        <w:trPr>
          <w:trHeight w:val="953"/>
        </w:trPr>
        <w:tc>
          <w:tcPr>
            <w:tcW w:w="2335" w:type="dxa"/>
            <w:vMerge w:val="restart"/>
          </w:tcPr>
          <w:p w14:paraId="069526B5" w14:textId="77777777" w:rsidR="009759B8" w:rsidRPr="00CD5DD8" w:rsidRDefault="009759B8" w:rsidP="00BA2E42">
            <w:pPr>
              <w:pStyle w:val="Paragraph"/>
              <w:ind w:firstLine="0"/>
              <w:jc w:val="center"/>
              <w:rPr>
                <w:b/>
                <w:bCs/>
                <w:sz w:val="22"/>
                <w:szCs w:val="22"/>
              </w:rPr>
            </w:pPr>
            <w:r w:rsidRPr="00CD5DD8">
              <w:rPr>
                <w:b/>
                <w:sz w:val="22"/>
                <w:szCs w:val="22"/>
              </w:rPr>
              <w:t>Type de document</w:t>
            </w:r>
          </w:p>
        </w:tc>
        <w:tc>
          <w:tcPr>
            <w:tcW w:w="971" w:type="dxa"/>
            <w:vMerge w:val="restart"/>
          </w:tcPr>
          <w:p w14:paraId="22FA9432" w14:textId="1694C401" w:rsidR="009759B8" w:rsidRPr="00CD5DD8" w:rsidRDefault="009759B8" w:rsidP="00BA2E42">
            <w:pPr>
              <w:pStyle w:val="Paragraph"/>
              <w:ind w:firstLine="0"/>
              <w:jc w:val="center"/>
              <w:rPr>
                <w:b/>
                <w:bCs/>
                <w:sz w:val="22"/>
                <w:szCs w:val="22"/>
              </w:rPr>
            </w:pPr>
            <w:r w:rsidRPr="00CD5DD8">
              <w:rPr>
                <w:b/>
                <w:sz w:val="22"/>
                <w:szCs w:val="22"/>
              </w:rPr>
              <w:t>Code selon la norme</w:t>
            </w:r>
            <w:r w:rsidR="000B2763" w:rsidRPr="00CD5DD8">
              <w:rPr>
                <w:b/>
                <w:sz w:val="22"/>
                <w:szCs w:val="22"/>
              </w:rPr>
              <w:t> </w:t>
            </w:r>
            <w:r w:rsidRPr="00CD5DD8">
              <w:rPr>
                <w:b/>
                <w:sz w:val="22"/>
                <w:szCs w:val="22"/>
              </w:rPr>
              <w:t>ST.16</w:t>
            </w:r>
          </w:p>
        </w:tc>
        <w:tc>
          <w:tcPr>
            <w:tcW w:w="2719" w:type="dxa"/>
            <w:gridSpan w:val="2"/>
          </w:tcPr>
          <w:p w14:paraId="0213FC9D" w14:textId="77777777" w:rsidR="009759B8" w:rsidRPr="00CD5DD8" w:rsidRDefault="009759B8" w:rsidP="00BA2E42">
            <w:pPr>
              <w:pStyle w:val="Paragraph"/>
              <w:ind w:firstLine="0"/>
              <w:jc w:val="center"/>
              <w:rPr>
                <w:rFonts w:cs="Calibri"/>
                <w:b/>
                <w:bCs/>
                <w:sz w:val="22"/>
                <w:szCs w:val="22"/>
              </w:rPr>
            </w:pPr>
            <w:r w:rsidRPr="00CD5DD8">
              <w:rPr>
                <w:b/>
                <w:sz w:val="22"/>
                <w:szCs w:val="22"/>
              </w:rPr>
              <w:t>Dates</w:t>
            </w:r>
          </w:p>
        </w:tc>
        <w:tc>
          <w:tcPr>
            <w:tcW w:w="1614" w:type="dxa"/>
            <w:vMerge w:val="restart"/>
          </w:tcPr>
          <w:p w14:paraId="53CEBA39" w14:textId="77777777" w:rsidR="009759B8" w:rsidRPr="00CD5DD8" w:rsidRDefault="009759B8" w:rsidP="00BA2E42">
            <w:pPr>
              <w:pStyle w:val="Paragraph"/>
              <w:ind w:firstLine="0"/>
              <w:jc w:val="center"/>
              <w:rPr>
                <w:b/>
                <w:bCs/>
                <w:sz w:val="22"/>
                <w:szCs w:val="22"/>
              </w:rPr>
            </w:pPr>
            <w:r w:rsidRPr="00CD5DD8">
              <w:rPr>
                <w:b/>
                <w:sz w:val="22"/>
                <w:szCs w:val="22"/>
              </w:rPr>
              <w:t>Format des documents</w:t>
            </w:r>
          </w:p>
        </w:tc>
        <w:tc>
          <w:tcPr>
            <w:tcW w:w="1706" w:type="dxa"/>
            <w:vMerge w:val="restart"/>
          </w:tcPr>
          <w:p w14:paraId="3CCAF679" w14:textId="77777777" w:rsidR="009759B8" w:rsidRPr="00CD5DD8" w:rsidRDefault="009759B8" w:rsidP="00BA2E42">
            <w:pPr>
              <w:pStyle w:val="Paragraph"/>
              <w:ind w:firstLine="0"/>
              <w:jc w:val="center"/>
              <w:rPr>
                <w:b/>
                <w:bCs/>
                <w:sz w:val="22"/>
                <w:szCs w:val="22"/>
              </w:rPr>
            </w:pPr>
            <w:r w:rsidRPr="00CD5DD8">
              <w:rPr>
                <w:b/>
                <w:sz w:val="22"/>
                <w:szCs w:val="22"/>
              </w:rPr>
              <w:t>Source des documents</w:t>
            </w:r>
          </w:p>
        </w:tc>
      </w:tr>
      <w:tr w:rsidR="009759B8" w:rsidRPr="00CD5DD8" w14:paraId="7FD44BEF" w14:textId="77777777" w:rsidTr="005E2C61">
        <w:tc>
          <w:tcPr>
            <w:tcW w:w="2335" w:type="dxa"/>
            <w:vMerge/>
          </w:tcPr>
          <w:p w14:paraId="2CD58B34" w14:textId="77777777" w:rsidR="009759B8" w:rsidRPr="00CD5DD8" w:rsidRDefault="009759B8" w:rsidP="00BA2E42">
            <w:pPr>
              <w:pStyle w:val="Paragraph"/>
              <w:ind w:firstLine="0"/>
              <w:jc w:val="right"/>
              <w:rPr>
                <w:rFonts w:cs="Calibri"/>
                <w:sz w:val="22"/>
                <w:szCs w:val="22"/>
              </w:rPr>
            </w:pPr>
          </w:p>
        </w:tc>
        <w:tc>
          <w:tcPr>
            <w:tcW w:w="971" w:type="dxa"/>
            <w:vMerge/>
          </w:tcPr>
          <w:p w14:paraId="174A1891" w14:textId="77777777" w:rsidR="009759B8" w:rsidRPr="00CD5DD8" w:rsidRDefault="009759B8" w:rsidP="00BA2E42">
            <w:pPr>
              <w:pStyle w:val="Paragraph"/>
              <w:ind w:firstLine="0"/>
              <w:jc w:val="center"/>
              <w:rPr>
                <w:sz w:val="22"/>
                <w:szCs w:val="22"/>
              </w:rPr>
            </w:pPr>
          </w:p>
        </w:tc>
        <w:tc>
          <w:tcPr>
            <w:tcW w:w="1418" w:type="dxa"/>
          </w:tcPr>
          <w:p w14:paraId="109D41E1" w14:textId="77777777" w:rsidR="009759B8" w:rsidRPr="00CD5DD8" w:rsidRDefault="009759B8" w:rsidP="00BA2E42">
            <w:pPr>
              <w:pStyle w:val="Paragraph"/>
              <w:ind w:firstLine="0"/>
              <w:jc w:val="center"/>
              <w:rPr>
                <w:rFonts w:cs="Calibri"/>
                <w:sz w:val="22"/>
                <w:szCs w:val="22"/>
              </w:rPr>
            </w:pPr>
            <w:r w:rsidRPr="00CD5DD8">
              <w:rPr>
                <w:sz w:val="22"/>
                <w:szCs w:val="22"/>
              </w:rPr>
              <w:t>De</w:t>
            </w:r>
          </w:p>
        </w:tc>
        <w:tc>
          <w:tcPr>
            <w:tcW w:w="1301" w:type="dxa"/>
          </w:tcPr>
          <w:p w14:paraId="7BF507FC" w14:textId="77777777" w:rsidR="009759B8" w:rsidRPr="00CD5DD8" w:rsidRDefault="009759B8" w:rsidP="00BA2E42">
            <w:pPr>
              <w:pStyle w:val="Paragraph"/>
              <w:ind w:firstLine="0"/>
              <w:jc w:val="center"/>
              <w:rPr>
                <w:rFonts w:cs="Calibri"/>
                <w:sz w:val="22"/>
                <w:szCs w:val="22"/>
              </w:rPr>
            </w:pPr>
            <w:r w:rsidRPr="00CD5DD8">
              <w:rPr>
                <w:sz w:val="22"/>
                <w:szCs w:val="22"/>
              </w:rPr>
              <w:t>À</w:t>
            </w:r>
          </w:p>
        </w:tc>
        <w:tc>
          <w:tcPr>
            <w:tcW w:w="1614" w:type="dxa"/>
            <w:vMerge/>
          </w:tcPr>
          <w:p w14:paraId="0240580B" w14:textId="77777777" w:rsidR="009759B8" w:rsidRPr="00CD5DD8" w:rsidRDefault="009759B8" w:rsidP="00BA2E42">
            <w:pPr>
              <w:pStyle w:val="Paragraph"/>
              <w:ind w:firstLine="0"/>
              <w:jc w:val="right"/>
              <w:rPr>
                <w:rFonts w:cs="Calibri"/>
                <w:sz w:val="22"/>
                <w:szCs w:val="22"/>
              </w:rPr>
            </w:pPr>
          </w:p>
        </w:tc>
        <w:tc>
          <w:tcPr>
            <w:tcW w:w="1706" w:type="dxa"/>
            <w:vMerge/>
          </w:tcPr>
          <w:p w14:paraId="797E5D75" w14:textId="77777777" w:rsidR="009759B8" w:rsidRPr="00CD5DD8" w:rsidRDefault="009759B8" w:rsidP="00BA2E42">
            <w:pPr>
              <w:pStyle w:val="Paragraph"/>
              <w:ind w:firstLine="0"/>
              <w:jc w:val="right"/>
              <w:rPr>
                <w:rFonts w:cs="Calibri"/>
                <w:sz w:val="22"/>
                <w:szCs w:val="22"/>
              </w:rPr>
            </w:pPr>
          </w:p>
        </w:tc>
      </w:tr>
      <w:tr w:rsidR="009759B8" w:rsidRPr="00CD5DD8" w14:paraId="7CB82BA6" w14:textId="77777777" w:rsidTr="005E2C61">
        <w:tc>
          <w:tcPr>
            <w:tcW w:w="2335" w:type="dxa"/>
          </w:tcPr>
          <w:p w14:paraId="0E721F77" w14:textId="77777777" w:rsidR="009759B8" w:rsidRPr="00CD5DD8" w:rsidRDefault="009759B8" w:rsidP="00BA2E42">
            <w:pPr>
              <w:pStyle w:val="Paragraph"/>
              <w:ind w:firstLine="0"/>
              <w:jc w:val="center"/>
              <w:rPr>
                <w:rFonts w:eastAsia="SimSun" w:cs="Calibri"/>
                <w:sz w:val="22"/>
                <w:szCs w:val="22"/>
              </w:rPr>
            </w:pPr>
            <w:r w:rsidRPr="00CD5DD8">
              <w:rPr>
                <w:sz w:val="22"/>
                <w:szCs w:val="22"/>
              </w:rPr>
              <w:t>Brevet national ou régional publié</w:t>
            </w:r>
          </w:p>
        </w:tc>
        <w:tc>
          <w:tcPr>
            <w:tcW w:w="971" w:type="dxa"/>
          </w:tcPr>
          <w:p w14:paraId="4B2DD3A6" w14:textId="77777777" w:rsidR="009759B8" w:rsidRPr="00CD5DD8" w:rsidRDefault="009759B8" w:rsidP="00BA2E42">
            <w:pPr>
              <w:pStyle w:val="Paragraph"/>
              <w:ind w:firstLine="0"/>
              <w:jc w:val="center"/>
              <w:rPr>
                <w:sz w:val="22"/>
                <w:szCs w:val="22"/>
              </w:rPr>
            </w:pPr>
            <w:r w:rsidRPr="00CD5DD8">
              <w:rPr>
                <w:sz w:val="22"/>
                <w:szCs w:val="22"/>
              </w:rPr>
              <w:t>B1</w:t>
            </w:r>
          </w:p>
        </w:tc>
        <w:tc>
          <w:tcPr>
            <w:tcW w:w="1418" w:type="dxa"/>
          </w:tcPr>
          <w:p w14:paraId="381D62B8" w14:textId="77777777" w:rsidR="009759B8" w:rsidRPr="00CD5DD8" w:rsidRDefault="009759B8" w:rsidP="00BA2E42">
            <w:pPr>
              <w:pStyle w:val="Paragraph"/>
              <w:ind w:firstLine="0"/>
              <w:jc w:val="center"/>
              <w:rPr>
                <w:rFonts w:cs="Calibri"/>
                <w:sz w:val="22"/>
                <w:szCs w:val="22"/>
              </w:rPr>
            </w:pPr>
            <w:r w:rsidRPr="00CD5DD8">
              <w:rPr>
                <w:sz w:val="22"/>
                <w:szCs w:val="22"/>
              </w:rPr>
              <w:t>23/12/1995</w:t>
            </w:r>
          </w:p>
        </w:tc>
        <w:tc>
          <w:tcPr>
            <w:tcW w:w="1301" w:type="dxa"/>
          </w:tcPr>
          <w:p w14:paraId="5A60F765" w14:textId="77777777" w:rsidR="009759B8" w:rsidRPr="00CD5DD8" w:rsidRDefault="009759B8" w:rsidP="00BA2E42">
            <w:pPr>
              <w:pStyle w:val="Paragraph"/>
              <w:ind w:firstLine="0"/>
              <w:jc w:val="center"/>
              <w:rPr>
                <w:rFonts w:cs="Calibri"/>
                <w:sz w:val="22"/>
                <w:szCs w:val="22"/>
              </w:rPr>
            </w:pPr>
            <w:r w:rsidRPr="00CD5DD8">
              <w:rPr>
                <w:sz w:val="22"/>
                <w:szCs w:val="22"/>
              </w:rPr>
              <w:t>01/12/2015</w:t>
            </w:r>
          </w:p>
        </w:tc>
        <w:tc>
          <w:tcPr>
            <w:tcW w:w="1614" w:type="dxa"/>
          </w:tcPr>
          <w:p w14:paraId="54FFD3A1" w14:textId="77777777" w:rsidR="009759B8" w:rsidRPr="00CD5DD8" w:rsidRDefault="009759B8" w:rsidP="00BA2E42">
            <w:pPr>
              <w:pStyle w:val="Paragraph"/>
              <w:ind w:firstLine="0"/>
              <w:jc w:val="center"/>
              <w:rPr>
                <w:sz w:val="22"/>
                <w:szCs w:val="22"/>
              </w:rPr>
            </w:pPr>
            <w:r w:rsidRPr="00CD5DD8">
              <w:rPr>
                <w:sz w:val="22"/>
                <w:szCs w:val="22"/>
              </w:rPr>
              <w:t>Texte intégral (ST.36)</w:t>
            </w:r>
          </w:p>
        </w:tc>
        <w:sdt>
          <w:sdtPr>
            <w:rPr>
              <w:rFonts w:eastAsia="SimSun" w:cs="Calibri"/>
              <w:sz w:val="22"/>
              <w:szCs w:val="22"/>
            </w:rPr>
            <w:alias w:val="Source du document"/>
            <w:tag w:val="Source of Document"/>
            <w:id w:val="-1866208688"/>
            <w:placeholder>
              <w:docPart w:val="BC5E7B35B49440D9AC52C4C92817B0D2"/>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706" w:type="dxa"/>
              </w:tcPr>
              <w:p w14:paraId="75669D94" w14:textId="77777777" w:rsidR="009759B8" w:rsidRPr="00CD5DD8" w:rsidRDefault="00CD5DD8" w:rsidP="00BA2E42">
                <w:pPr>
                  <w:pStyle w:val="Paragraph"/>
                  <w:ind w:firstLine="0"/>
                  <w:jc w:val="center"/>
                  <w:rPr>
                    <w:sz w:val="22"/>
                    <w:szCs w:val="22"/>
                  </w:rPr>
                </w:pPr>
                <w:r w:rsidRPr="00CD5DD8">
                  <w:rPr>
                    <w:rFonts w:eastAsia="SimSun" w:cs="Calibri"/>
                    <w:sz w:val="22"/>
                    <w:szCs w:val="22"/>
                  </w:rPr>
                  <w:t>Référentiel en ligne hébergé par cet office</w:t>
                </w:r>
              </w:p>
            </w:tc>
          </w:sdtContent>
        </w:sdt>
      </w:tr>
      <w:tr w:rsidR="009759B8" w:rsidRPr="00CD5DD8" w14:paraId="242A7B45" w14:textId="77777777" w:rsidTr="005E2C61">
        <w:tc>
          <w:tcPr>
            <w:tcW w:w="2335" w:type="dxa"/>
          </w:tcPr>
          <w:p w14:paraId="406F8D4B" w14:textId="77777777" w:rsidR="009759B8" w:rsidRPr="00CD5DD8" w:rsidRDefault="009759B8" w:rsidP="00BA2E42">
            <w:pPr>
              <w:pStyle w:val="Paragraph"/>
              <w:ind w:firstLine="0"/>
              <w:jc w:val="center"/>
              <w:rPr>
                <w:rFonts w:eastAsia="SimSun" w:cs="Calibri"/>
                <w:sz w:val="22"/>
                <w:szCs w:val="22"/>
              </w:rPr>
            </w:pPr>
            <w:r w:rsidRPr="00CD5DD8">
              <w:rPr>
                <w:sz w:val="22"/>
                <w:szCs w:val="22"/>
              </w:rPr>
              <w:t>Demande de brevet national ou régional publiée</w:t>
            </w:r>
          </w:p>
        </w:tc>
        <w:tc>
          <w:tcPr>
            <w:tcW w:w="971" w:type="dxa"/>
          </w:tcPr>
          <w:p w14:paraId="128C582E" w14:textId="77777777" w:rsidR="009759B8" w:rsidRPr="00CD5DD8" w:rsidRDefault="009759B8" w:rsidP="00BA2E42">
            <w:pPr>
              <w:pStyle w:val="Paragraph"/>
              <w:ind w:firstLine="0"/>
              <w:jc w:val="center"/>
              <w:rPr>
                <w:rFonts w:cs="Calibri"/>
                <w:sz w:val="22"/>
                <w:szCs w:val="22"/>
              </w:rPr>
            </w:pPr>
            <w:r w:rsidRPr="00CD5DD8">
              <w:rPr>
                <w:sz w:val="22"/>
                <w:szCs w:val="22"/>
              </w:rPr>
              <w:t>A1</w:t>
            </w:r>
          </w:p>
        </w:tc>
        <w:tc>
          <w:tcPr>
            <w:tcW w:w="1418" w:type="dxa"/>
          </w:tcPr>
          <w:p w14:paraId="2D1F9FB3" w14:textId="77777777" w:rsidR="009759B8" w:rsidRPr="00CD5DD8" w:rsidRDefault="009759B8" w:rsidP="00BA2E42">
            <w:pPr>
              <w:pStyle w:val="Paragraph"/>
              <w:ind w:firstLine="0"/>
              <w:jc w:val="center"/>
              <w:rPr>
                <w:rFonts w:cs="Calibri"/>
                <w:sz w:val="22"/>
                <w:szCs w:val="22"/>
              </w:rPr>
            </w:pPr>
            <w:r w:rsidRPr="00CD5DD8">
              <w:rPr>
                <w:sz w:val="22"/>
                <w:szCs w:val="22"/>
              </w:rPr>
              <w:t>01/12/2015</w:t>
            </w:r>
          </w:p>
        </w:tc>
        <w:tc>
          <w:tcPr>
            <w:tcW w:w="1301" w:type="dxa"/>
          </w:tcPr>
          <w:p w14:paraId="313E5857" w14:textId="77777777" w:rsidR="009759B8" w:rsidRPr="00CD5DD8" w:rsidRDefault="009759B8" w:rsidP="00BA2E42">
            <w:pPr>
              <w:pStyle w:val="Paragraph"/>
              <w:ind w:firstLine="0"/>
              <w:jc w:val="center"/>
              <w:rPr>
                <w:rFonts w:cs="Calibri"/>
                <w:sz w:val="22"/>
                <w:szCs w:val="22"/>
              </w:rPr>
            </w:pPr>
          </w:p>
        </w:tc>
        <w:tc>
          <w:tcPr>
            <w:tcW w:w="1614" w:type="dxa"/>
          </w:tcPr>
          <w:p w14:paraId="3FCFD1EE" w14:textId="77777777" w:rsidR="009759B8" w:rsidRPr="00CD5DD8" w:rsidRDefault="009759B8" w:rsidP="00BA2E42">
            <w:pPr>
              <w:pStyle w:val="Paragraph"/>
              <w:ind w:firstLine="0"/>
              <w:jc w:val="center"/>
              <w:rPr>
                <w:sz w:val="22"/>
                <w:szCs w:val="22"/>
              </w:rPr>
            </w:pPr>
            <w:r w:rsidRPr="00CD5DD8">
              <w:rPr>
                <w:sz w:val="22"/>
                <w:szCs w:val="22"/>
              </w:rPr>
              <w:t>Texte intégral (ST.36)</w:t>
            </w:r>
          </w:p>
        </w:tc>
        <w:sdt>
          <w:sdtPr>
            <w:rPr>
              <w:rFonts w:eastAsia="SimSun" w:cs="Calibri"/>
              <w:sz w:val="22"/>
              <w:szCs w:val="22"/>
            </w:rPr>
            <w:alias w:val="Source du document"/>
            <w:tag w:val="Source of Document"/>
            <w:id w:val="1900399903"/>
            <w:placeholder>
              <w:docPart w:val="36E9AF17D0CB4F5B981345773C7F2916"/>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706" w:type="dxa"/>
              </w:tcPr>
              <w:p w14:paraId="22B56683" w14:textId="77777777" w:rsidR="009759B8" w:rsidRPr="00CD5DD8" w:rsidRDefault="00CD5DD8" w:rsidP="00BA2E42">
                <w:pPr>
                  <w:pStyle w:val="Paragraph"/>
                  <w:ind w:firstLine="0"/>
                  <w:jc w:val="center"/>
                  <w:rPr>
                    <w:sz w:val="22"/>
                    <w:szCs w:val="22"/>
                  </w:rPr>
                </w:pPr>
                <w:r w:rsidRPr="00CD5DD8">
                  <w:rPr>
                    <w:rFonts w:eastAsia="SimSun" w:cs="Calibri"/>
                    <w:sz w:val="22"/>
                    <w:szCs w:val="22"/>
                  </w:rPr>
                  <w:t>Référentiel en ligne hébergé par cet office</w:t>
                </w:r>
              </w:p>
            </w:tc>
          </w:sdtContent>
        </w:sdt>
      </w:tr>
      <w:tr w:rsidR="009759B8" w:rsidRPr="00CD5DD8" w14:paraId="5C43BAF6" w14:textId="77777777" w:rsidTr="005E2C61">
        <w:tc>
          <w:tcPr>
            <w:tcW w:w="2335" w:type="dxa"/>
          </w:tcPr>
          <w:p w14:paraId="0CC7CB14" w14:textId="77777777" w:rsidR="009759B8" w:rsidRPr="00CD5DD8" w:rsidRDefault="009759B8" w:rsidP="00BA2E42">
            <w:pPr>
              <w:pStyle w:val="Paragraph"/>
              <w:ind w:firstLine="0"/>
              <w:jc w:val="center"/>
              <w:rPr>
                <w:rFonts w:eastAsia="SimSun" w:cs="Calibri"/>
                <w:sz w:val="22"/>
                <w:szCs w:val="22"/>
              </w:rPr>
            </w:pPr>
            <w:r w:rsidRPr="00CD5DD8">
              <w:rPr>
                <w:sz w:val="22"/>
                <w:szCs w:val="22"/>
              </w:rPr>
              <w:t>Brevet national ou régional publié</w:t>
            </w:r>
          </w:p>
        </w:tc>
        <w:tc>
          <w:tcPr>
            <w:tcW w:w="971" w:type="dxa"/>
          </w:tcPr>
          <w:p w14:paraId="67C67CE7" w14:textId="77777777" w:rsidR="009759B8" w:rsidRPr="00CD5DD8" w:rsidRDefault="009759B8" w:rsidP="00BA2E42">
            <w:pPr>
              <w:pStyle w:val="Paragraph"/>
              <w:ind w:firstLine="0"/>
              <w:jc w:val="center"/>
              <w:rPr>
                <w:rFonts w:cs="Calibri"/>
                <w:sz w:val="22"/>
                <w:szCs w:val="22"/>
              </w:rPr>
            </w:pPr>
            <w:r w:rsidRPr="00CD5DD8">
              <w:rPr>
                <w:sz w:val="22"/>
                <w:szCs w:val="22"/>
              </w:rPr>
              <w:t>B1</w:t>
            </w:r>
          </w:p>
        </w:tc>
        <w:tc>
          <w:tcPr>
            <w:tcW w:w="1418" w:type="dxa"/>
          </w:tcPr>
          <w:p w14:paraId="44B2A46D" w14:textId="77777777" w:rsidR="009759B8" w:rsidRPr="00CD5DD8" w:rsidRDefault="009759B8" w:rsidP="00BA2E42">
            <w:pPr>
              <w:pStyle w:val="Paragraph"/>
              <w:ind w:firstLine="0"/>
              <w:jc w:val="center"/>
              <w:rPr>
                <w:rFonts w:cs="Calibri"/>
                <w:sz w:val="22"/>
                <w:szCs w:val="22"/>
              </w:rPr>
            </w:pPr>
            <w:r w:rsidRPr="00CD5DD8">
              <w:rPr>
                <w:sz w:val="22"/>
                <w:szCs w:val="22"/>
              </w:rPr>
              <w:t>01/12/2015</w:t>
            </w:r>
          </w:p>
        </w:tc>
        <w:tc>
          <w:tcPr>
            <w:tcW w:w="1301" w:type="dxa"/>
          </w:tcPr>
          <w:p w14:paraId="145AC2C4" w14:textId="77777777" w:rsidR="009759B8" w:rsidRPr="00CD5DD8" w:rsidRDefault="009759B8" w:rsidP="00BA2E42">
            <w:pPr>
              <w:pStyle w:val="Paragraph"/>
              <w:ind w:firstLine="0"/>
              <w:jc w:val="center"/>
              <w:rPr>
                <w:rFonts w:cs="Calibri"/>
                <w:sz w:val="22"/>
                <w:szCs w:val="22"/>
              </w:rPr>
            </w:pPr>
          </w:p>
        </w:tc>
        <w:tc>
          <w:tcPr>
            <w:tcW w:w="1614" w:type="dxa"/>
          </w:tcPr>
          <w:p w14:paraId="78EE9285" w14:textId="77777777" w:rsidR="009759B8" w:rsidRPr="00CD5DD8" w:rsidRDefault="009759B8" w:rsidP="00BA2E42">
            <w:pPr>
              <w:pStyle w:val="Paragraph"/>
              <w:ind w:firstLine="0"/>
              <w:jc w:val="center"/>
              <w:rPr>
                <w:sz w:val="22"/>
                <w:szCs w:val="22"/>
              </w:rPr>
            </w:pPr>
            <w:r w:rsidRPr="00CD5DD8">
              <w:rPr>
                <w:sz w:val="22"/>
                <w:szCs w:val="22"/>
              </w:rPr>
              <w:t>Texte intégral (ST.36)</w:t>
            </w:r>
          </w:p>
        </w:tc>
        <w:sdt>
          <w:sdtPr>
            <w:rPr>
              <w:rFonts w:eastAsia="SimSun" w:cs="Calibri"/>
              <w:sz w:val="22"/>
              <w:szCs w:val="22"/>
            </w:rPr>
            <w:alias w:val="Source du document"/>
            <w:tag w:val="Source of Document"/>
            <w:id w:val="-477383303"/>
            <w:placeholder>
              <w:docPart w:val="E13832398B25430680982D42C3E3F1D9"/>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dropDownList>
          </w:sdtPr>
          <w:sdtEndPr/>
          <w:sdtContent>
            <w:tc>
              <w:tcPr>
                <w:tcW w:w="1706" w:type="dxa"/>
              </w:tcPr>
              <w:p w14:paraId="7377F6CB" w14:textId="77777777" w:rsidR="009759B8" w:rsidRPr="00CD5DD8" w:rsidRDefault="00CD5DD8" w:rsidP="00BA2E42">
                <w:pPr>
                  <w:pStyle w:val="Paragraph"/>
                  <w:ind w:firstLine="0"/>
                  <w:jc w:val="center"/>
                  <w:rPr>
                    <w:sz w:val="22"/>
                    <w:szCs w:val="22"/>
                  </w:rPr>
                </w:pPr>
                <w:r w:rsidRPr="00CD5DD8">
                  <w:rPr>
                    <w:rFonts w:eastAsia="SimSun" w:cs="Calibri"/>
                    <w:sz w:val="22"/>
                    <w:szCs w:val="22"/>
                  </w:rPr>
                  <w:t>Référentiel en ligne hébergé par cet office</w:t>
                </w:r>
              </w:p>
            </w:tc>
          </w:sdtContent>
        </w:sdt>
      </w:tr>
    </w:tbl>
    <w:p w14:paraId="2D685AE4" w14:textId="77777777" w:rsidR="009759B8" w:rsidRPr="00CD5DD8" w:rsidRDefault="009759B8" w:rsidP="00BA2E42">
      <w:pPr>
        <w:rPr>
          <w:lang w:val="fr-FR"/>
        </w:rPr>
      </w:pPr>
    </w:p>
    <w:p w14:paraId="1773A968" w14:textId="77777777"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t>2.3 – Documentation minimale – Accès</w:t>
      </w:r>
    </w:p>
    <w:p w14:paraId="0F71017E" w14:textId="5DC25B12" w:rsidR="009759B8" w:rsidRPr="00CD5DD8" w:rsidRDefault="009759B8" w:rsidP="00BA2E42">
      <w:pPr>
        <w:keepLines/>
        <w:spacing w:after="240"/>
        <w:ind w:left="567" w:right="567"/>
        <w:rPr>
          <w:bCs/>
          <w:lang w:val="fr-FR"/>
        </w:rPr>
      </w:pPr>
      <w:r w:rsidRPr="00CD5DD8">
        <w:rPr>
          <w:i/>
          <w:lang w:val="fr-FR"/>
        </w:rPr>
        <w:t>Règles 36.1.iii) et 63.1.iii)</w:t>
      </w:r>
      <w:r w:rsidR="00BA2E42" w:rsidRPr="00CD5DD8">
        <w:rPr>
          <w:i/>
          <w:lang w:val="fr-FR"/>
        </w:rPr>
        <w:t> :</w:t>
      </w:r>
      <w:r w:rsidRPr="00CD5DD8">
        <w:rPr>
          <w:i/>
          <w:lang w:val="fr-FR"/>
        </w:rPr>
        <w:t xml:space="preserve"> Cet office ou cette organisation doit avoir en sa possession au moins la documentation minimale de la règle 34, ou maintenir l</w:t>
      </w:r>
      <w:r w:rsidR="00BA2E42" w:rsidRPr="00CD5DD8">
        <w:rPr>
          <w:i/>
          <w:lang w:val="fr-FR"/>
        </w:rPr>
        <w:t>’</w:t>
      </w:r>
      <w:r w:rsidRPr="00CD5DD8">
        <w:rPr>
          <w:i/>
          <w:lang w:val="fr-FR"/>
        </w:rPr>
        <w:t>accès à cette documentation minimale, aux fins de la recherche conformément aux instructions administratives.</w:t>
      </w:r>
    </w:p>
    <w:p w14:paraId="7D52F10C" w14:textId="3F0C8181" w:rsidR="009759B8" w:rsidRPr="00CD5DD8" w:rsidRDefault="009759B8" w:rsidP="00BA2E42">
      <w:pPr>
        <w:keepLines/>
        <w:spacing w:after="240" w:line="276" w:lineRule="auto"/>
        <w:ind w:right="-5"/>
        <w:jc w:val="both"/>
        <w:rPr>
          <w:bCs/>
          <w:lang w:val="fr-FR"/>
        </w:rPr>
      </w:pPr>
      <w:r w:rsidRPr="00CD5DD8">
        <w:rPr>
          <w:lang w:val="fr-FR"/>
        </w:rPr>
        <w:t>La SAIP dispose d</w:t>
      </w:r>
      <w:r w:rsidR="00BA2E42" w:rsidRPr="00CD5DD8">
        <w:rPr>
          <w:lang w:val="fr-FR"/>
        </w:rPr>
        <w:t>’</w:t>
      </w:r>
      <w:r w:rsidRPr="00CD5DD8">
        <w:rPr>
          <w:lang w:val="fr-FR"/>
        </w:rPr>
        <w:t>un abonnement complet aux bases de données suivantes</w:t>
      </w:r>
      <w:r w:rsidR="00BA2E42" w:rsidRPr="00CD5DD8">
        <w:rPr>
          <w:lang w:val="fr-FR"/>
        </w:rPr>
        <w:t> :</w:t>
      </w:r>
    </w:p>
    <w:p w14:paraId="71F654FD" w14:textId="77777777" w:rsidR="009759B8" w:rsidRPr="007B6EC7" w:rsidRDefault="009759B8" w:rsidP="00CD5DD8">
      <w:pPr>
        <w:pStyle w:val="ListParagraph"/>
        <w:keepLines/>
        <w:numPr>
          <w:ilvl w:val="0"/>
          <w:numId w:val="11"/>
        </w:numPr>
        <w:spacing w:after="240" w:line="276" w:lineRule="auto"/>
        <w:ind w:left="1134" w:right="-5" w:hanging="567"/>
        <w:jc w:val="both"/>
        <w:rPr>
          <w:lang w:val="en-US"/>
        </w:rPr>
      </w:pPr>
      <w:r w:rsidRPr="007B6EC7">
        <w:rPr>
          <w:lang w:val="en-US"/>
        </w:rPr>
        <w:t>Derwent (SequenceBase, Search with Simplicity, Innovation, CAS SciFinder)</w:t>
      </w:r>
    </w:p>
    <w:p w14:paraId="43479E33" w14:textId="77777777" w:rsidR="00BA2E42" w:rsidRPr="00CD5DD8" w:rsidRDefault="009759B8" w:rsidP="00CD5DD8">
      <w:pPr>
        <w:pStyle w:val="ListParagraph"/>
        <w:numPr>
          <w:ilvl w:val="0"/>
          <w:numId w:val="11"/>
        </w:numPr>
        <w:spacing w:line="276" w:lineRule="auto"/>
        <w:ind w:left="1134" w:right="-5" w:hanging="567"/>
        <w:jc w:val="both"/>
      </w:pPr>
      <w:r w:rsidRPr="00CD5DD8">
        <w:t xml:space="preserve">CAS </w:t>
      </w:r>
      <w:proofErr w:type="spellStart"/>
      <w:r w:rsidRPr="00CD5DD8">
        <w:t>BioFinder</w:t>
      </w:r>
      <w:proofErr w:type="spellEnd"/>
      <w:r w:rsidRPr="00CD5DD8">
        <w:t>™</w:t>
      </w:r>
    </w:p>
    <w:p w14:paraId="0C0EB36D" w14:textId="2D341CF5" w:rsidR="009759B8" w:rsidRPr="00CD5DD8" w:rsidRDefault="009759B8" w:rsidP="00CD5DD8">
      <w:pPr>
        <w:pStyle w:val="ListParagraph"/>
        <w:keepLines/>
        <w:numPr>
          <w:ilvl w:val="0"/>
          <w:numId w:val="11"/>
        </w:numPr>
        <w:spacing w:after="240" w:line="276" w:lineRule="auto"/>
        <w:ind w:left="1134" w:right="-5" w:hanging="567"/>
        <w:jc w:val="both"/>
      </w:pPr>
      <w:r w:rsidRPr="00CD5DD8">
        <w:t>Derwent Innovation</w:t>
      </w:r>
    </w:p>
    <w:p w14:paraId="2B0612B3" w14:textId="67F8C868" w:rsidR="009759B8" w:rsidRPr="00CD5DD8" w:rsidRDefault="009759B8" w:rsidP="00BA2E42">
      <w:pPr>
        <w:keepLines/>
        <w:spacing w:after="240" w:line="276" w:lineRule="auto"/>
        <w:ind w:right="-5"/>
        <w:jc w:val="both"/>
        <w:rPr>
          <w:lang w:val="fr-FR"/>
        </w:rPr>
      </w:pPr>
      <w:r w:rsidRPr="00CD5DD8">
        <w:rPr>
          <w:lang w:val="fr-FR"/>
        </w:rPr>
        <w:t>En outre, les utilisateurs utilisent</w:t>
      </w:r>
      <w:r w:rsidR="00BA2E42" w:rsidRPr="00CD5DD8">
        <w:rPr>
          <w:lang w:val="fr-FR"/>
        </w:rPr>
        <w:t> :</w:t>
      </w:r>
    </w:p>
    <w:p w14:paraId="2308160D" w14:textId="77777777" w:rsidR="009759B8" w:rsidRPr="00CD5DD8" w:rsidRDefault="009759B8" w:rsidP="00CD5DD8">
      <w:pPr>
        <w:pStyle w:val="ListParagraph"/>
        <w:keepLines/>
        <w:numPr>
          <w:ilvl w:val="0"/>
          <w:numId w:val="12"/>
        </w:numPr>
        <w:spacing w:after="240" w:line="276" w:lineRule="auto"/>
        <w:ind w:left="1134" w:right="-5" w:hanging="567"/>
        <w:jc w:val="both"/>
      </w:pPr>
      <w:r w:rsidRPr="00CD5DD8">
        <w:t>PATENTSCOPE</w:t>
      </w:r>
    </w:p>
    <w:p w14:paraId="182ADEB3" w14:textId="77777777" w:rsidR="00BA2E42" w:rsidRPr="00CD5DD8" w:rsidRDefault="009759B8" w:rsidP="00CD5DD8">
      <w:pPr>
        <w:pStyle w:val="ListParagraph"/>
        <w:keepLines/>
        <w:numPr>
          <w:ilvl w:val="0"/>
          <w:numId w:val="12"/>
        </w:numPr>
        <w:spacing w:after="240" w:line="276" w:lineRule="auto"/>
        <w:ind w:left="1134" w:right="-5" w:hanging="567"/>
        <w:jc w:val="both"/>
      </w:pPr>
      <w:r w:rsidRPr="00CD5DD8">
        <w:t>Google Patents</w:t>
      </w:r>
    </w:p>
    <w:p w14:paraId="00F25B12" w14:textId="0283CDFB" w:rsidR="009759B8" w:rsidRPr="00CD5DD8" w:rsidRDefault="009759B8" w:rsidP="00BA2E42">
      <w:pPr>
        <w:keepLines/>
        <w:spacing w:after="240" w:line="276" w:lineRule="auto"/>
        <w:ind w:right="-5"/>
        <w:jc w:val="both"/>
        <w:rPr>
          <w:lang w:val="fr-FR"/>
        </w:rPr>
      </w:pPr>
      <w:proofErr w:type="gramStart"/>
      <w:r w:rsidRPr="00CD5DD8">
        <w:rPr>
          <w:lang w:val="fr-FR"/>
        </w:rPr>
        <w:t>et</w:t>
      </w:r>
      <w:proofErr w:type="gramEnd"/>
      <w:r w:rsidRPr="00CD5DD8">
        <w:rPr>
          <w:lang w:val="fr-FR"/>
        </w:rPr>
        <w:t xml:space="preserve"> les bases de données gratuites de l</w:t>
      </w:r>
      <w:r w:rsidR="00BA2E42" w:rsidRPr="00CD5DD8">
        <w:rPr>
          <w:lang w:val="fr-FR"/>
        </w:rPr>
        <w:t>’</w:t>
      </w:r>
      <w:r w:rsidRPr="00CD5DD8">
        <w:rPr>
          <w:lang w:val="fr-FR"/>
        </w:rPr>
        <w:t>Office des brevets et des marques des États</w:t>
      </w:r>
      <w:r w:rsidR="00CD5DD8">
        <w:rPr>
          <w:lang w:val="fr-FR"/>
        </w:rPr>
        <w:noBreakHyphen/>
      </w:r>
      <w:r w:rsidRPr="00CD5DD8">
        <w:rPr>
          <w:lang w:val="fr-FR"/>
        </w:rPr>
        <w:t>Unis d</w:t>
      </w:r>
      <w:r w:rsidR="00BA2E42" w:rsidRPr="00CD5DD8">
        <w:rPr>
          <w:lang w:val="fr-FR"/>
        </w:rPr>
        <w:t>’</w:t>
      </w:r>
      <w:r w:rsidRPr="00CD5DD8">
        <w:rPr>
          <w:lang w:val="fr-FR"/>
        </w:rPr>
        <w:t>Amérique (USPTO) pour effectuer des recherches de documents de brevet.</w:t>
      </w:r>
    </w:p>
    <w:p w14:paraId="6C9C851F" w14:textId="36B4EB5A" w:rsidR="009759B8" w:rsidRPr="00CD5DD8" w:rsidRDefault="009759B8" w:rsidP="00BA2E42">
      <w:pPr>
        <w:keepLines/>
        <w:spacing w:after="240" w:line="276" w:lineRule="auto"/>
        <w:ind w:right="-5"/>
        <w:jc w:val="both"/>
        <w:rPr>
          <w:lang w:val="fr-FR"/>
        </w:rPr>
      </w:pPr>
      <w:r w:rsidRPr="00CD5DD8">
        <w:rPr>
          <w:lang w:val="fr-FR"/>
        </w:rPr>
        <w:t>Pour la recherche de littérature non</w:t>
      </w:r>
      <w:r w:rsidR="00CD5DD8">
        <w:rPr>
          <w:lang w:val="fr-FR"/>
        </w:rPr>
        <w:noBreakHyphen/>
      </w:r>
      <w:r w:rsidRPr="00CD5DD8">
        <w:rPr>
          <w:lang w:val="fr-FR"/>
        </w:rPr>
        <w:t>brevet et pour accéder à celle</w:t>
      </w:r>
      <w:r w:rsidR="00CD5DD8">
        <w:rPr>
          <w:lang w:val="fr-FR"/>
        </w:rPr>
        <w:noBreakHyphen/>
      </w:r>
      <w:r w:rsidRPr="00CD5DD8">
        <w:rPr>
          <w:lang w:val="fr-FR"/>
        </w:rPr>
        <w:t>ci, la SAIP utilise</w:t>
      </w:r>
      <w:r w:rsidR="00BA2E42" w:rsidRPr="00CD5DD8">
        <w:rPr>
          <w:lang w:val="fr-FR"/>
        </w:rPr>
        <w:t> :</w:t>
      </w:r>
    </w:p>
    <w:p w14:paraId="4BABF052" w14:textId="77777777" w:rsidR="009759B8" w:rsidRPr="00CD5DD8" w:rsidRDefault="009759B8" w:rsidP="00CD5DD8">
      <w:pPr>
        <w:pStyle w:val="ListParagraph"/>
        <w:keepLines/>
        <w:numPr>
          <w:ilvl w:val="0"/>
          <w:numId w:val="11"/>
        </w:numPr>
        <w:spacing w:after="240" w:line="276" w:lineRule="auto"/>
        <w:ind w:left="1134" w:right="-5" w:hanging="567"/>
        <w:jc w:val="both"/>
      </w:pPr>
      <w:r w:rsidRPr="00CD5DD8">
        <w:t>SDL (</w:t>
      </w:r>
      <w:proofErr w:type="spellStart"/>
      <w:r w:rsidRPr="00CD5DD8">
        <w:t>Saudi</w:t>
      </w:r>
      <w:proofErr w:type="spellEnd"/>
      <w:r w:rsidRPr="00CD5DD8">
        <w:t xml:space="preserve"> Digital Library, la bibliothèque numérique saoudienne)</w:t>
      </w:r>
    </w:p>
    <w:p w14:paraId="1E2F5B20" w14:textId="77777777" w:rsidR="009759B8" w:rsidRPr="00CD5DD8" w:rsidRDefault="009759B8" w:rsidP="00CD5DD8">
      <w:pPr>
        <w:pStyle w:val="ListParagraph"/>
        <w:keepLines/>
        <w:numPr>
          <w:ilvl w:val="0"/>
          <w:numId w:val="11"/>
        </w:numPr>
        <w:spacing w:after="240" w:line="276" w:lineRule="auto"/>
        <w:ind w:left="1134" w:right="-5" w:hanging="567"/>
        <w:jc w:val="both"/>
      </w:pPr>
      <w:r w:rsidRPr="00CD5DD8">
        <w:t>Derwent</w:t>
      </w:r>
    </w:p>
    <w:p w14:paraId="19C78C3B" w14:textId="77777777" w:rsidR="009759B8" w:rsidRPr="00CD5DD8" w:rsidRDefault="009759B8" w:rsidP="00BA2E42">
      <w:pPr>
        <w:keepLines/>
        <w:spacing w:after="240" w:line="276" w:lineRule="auto"/>
        <w:ind w:right="-5"/>
        <w:jc w:val="both"/>
        <w:rPr>
          <w:lang w:val="fr-FR"/>
        </w:rPr>
      </w:pPr>
      <w:r w:rsidRPr="00CD5DD8">
        <w:rPr>
          <w:lang w:val="fr-FR"/>
        </w:rPr>
        <w:t>Elle utilise également des sources libres.</w:t>
      </w:r>
    </w:p>
    <w:p w14:paraId="175B705A" w14:textId="07C6CDAD"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t xml:space="preserve">2.4 </w:t>
      </w:r>
      <w:r w:rsidR="00CD5DD8" w:rsidRPr="00CD5DD8">
        <w:rPr>
          <w:b/>
          <w:caps/>
          <w:lang w:val="fr-FR"/>
        </w:rPr>
        <w:t>–</w:t>
      </w:r>
      <w:r w:rsidRPr="00CD5DD8">
        <w:rPr>
          <w:b/>
          <w:caps/>
          <w:lang w:val="fr-FR"/>
        </w:rPr>
        <w:t xml:space="preserve"> Gestion de la qualité</w:t>
      </w:r>
    </w:p>
    <w:p w14:paraId="43117D0A" w14:textId="6BC1199D" w:rsidR="009759B8" w:rsidRPr="00CD5DD8" w:rsidRDefault="009759B8" w:rsidP="00BA2E42">
      <w:pPr>
        <w:keepLines/>
        <w:spacing w:after="240"/>
        <w:ind w:left="567" w:right="567"/>
        <w:rPr>
          <w:bCs/>
          <w:i/>
          <w:iCs/>
          <w:lang w:val="fr-FR"/>
        </w:rPr>
      </w:pPr>
      <w:r w:rsidRPr="00CD5DD8">
        <w:rPr>
          <w:i/>
          <w:lang w:val="fr-FR"/>
        </w:rPr>
        <w:t>Règles 36.</w:t>
      </w:r>
      <w:proofErr w:type="gramStart"/>
      <w:r w:rsidRPr="00CD5DD8">
        <w:rPr>
          <w:i/>
          <w:lang w:val="fr-FR"/>
        </w:rPr>
        <w:t>1.iv</w:t>
      </w:r>
      <w:proofErr w:type="gramEnd"/>
      <w:r w:rsidRPr="00CD5DD8">
        <w:rPr>
          <w:i/>
          <w:lang w:val="fr-FR"/>
        </w:rPr>
        <w:t>) et 63.1.iv)</w:t>
      </w:r>
      <w:r w:rsidR="00BA2E42" w:rsidRPr="00CD5DD8">
        <w:rPr>
          <w:i/>
          <w:lang w:val="fr-FR"/>
        </w:rPr>
        <w:t> :</w:t>
      </w:r>
      <w:r w:rsidRPr="00CD5DD8">
        <w:rPr>
          <w:i/>
          <w:lang w:val="fr-FR"/>
        </w:rPr>
        <w:t xml:space="preserve"> </w:t>
      </w:r>
      <w:r w:rsidR="00CD5DD8">
        <w:rPr>
          <w:i/>
          <w:lang w:val="fr-FR"/>
        </w:rPr>
        <w:t>C</w:t>
      </w:r>
      <w:r w:rsidRPr="00CD5DD8">
        <w:rPr>
          <w:i/>
          <w:lang w:val="fr-FR"/>
        </w:rPr>
        <w:t>et office ou cette organisation doit disposer d</w:t>
      </w:r>
      <w:r w:rsidR="00BA2E42" w:rsidRPr="00CD5DD8">
        <w:rPr>
          <w:i/>
          <w:lang w:val="fr-FR"/>
        </w:rPr>
        <w:t>’</w:t>
      </w:r>
      <w:r w:rsidRPr="00CD5DD8">
        <w:rPr>
          <w:i/>
          <w:lang w:val="fr-FR"/>
        </w:rPr>
        <w:t>un système de gestion de la qualité et de dispositions internes en matière d</w:t>
      </w:r>
      <w:r w:rsidR="00BA2E42" w:rsidRPr="00CD5DD8">
        <w:rPr>
          <w:i/>
          <w:lang w:val="fr-FR"/>
        </w:rPr>
        <w:t>’</w:t>
      </w:r>
      <w:r w:rsidRPr="00CD5DD8">
        <w:rPr>
          <w:i/>
          <w:lang w:val="fr-FR"/>
        </w:rPr>
        <w:t>évaluation conformément aux règles communes de la recherche internationale.</w:t>
      </w:r>
    </w:p>
    <w:p w14:paraId="10F6BFB4" w14:textId="73983430" w:rsidR="009759B8" w:rsidRPr="00CD5DD8" w:rsidRDefault="009759B8" w:rsidP="00BA2E42">
      <w:pPr>
        <w:keepLines/>
        <w:spacing w:after="240"/>
        <w:ind w:right="567"/>
        <w:rPr>
          <w:bCs/>
          <w:lang w:val="fr-FR"/>
        </w:rPr>
      </w:pPr>
      <w:r w:rsidRPr="00CD5DD8">
        <w:rPr>
          <w:lang w:val="fr-FR"/>
        </w:rPr>
        <w:t>Le rapport sur le système de gestion de la qualité contient des informations sur le système de gestion de la qualité mis en place par l</w:t>
      </w:r>
      <w:r w:rsidR="00BA2E42" w:rsidRPr="00CD5DD8">
        <w:rPr>
          <w:lang w:val="fr-FR"/>
        </w:rPr>
        <w:t>’</w:t>
      </w:r>
      <w:r w:rsidRPr="00CD5DD8">
        <w:rPr>
          <w:lang w:val="fr-FR"/>
        </w:rPr>
        <w:t>Autorité conformément au chapitre 21 des directives et inclut un bilan, conformément au paragraphe 21.09, sur les dispositions en matière d</w:t>
      </w:r>
      <w:r w:rsidR="00BA2E42" w:rsidRPr="00CD5DD8">
        <w:rPr>
          <w:lang w:val="fr-FR"/>
        </w:rPr>
        <w:t>’</w:t>
      </w:r>
      <w:r w:rsidRPr="00CD5DD8">
        <w:rPr>
          <w:lang w:val="fr-FR"/>
        </w:rPr>
        <w:t>évaluation interne qui sont décrites aux paragraphes 21.27 à 21.30 des directives.</w:t>
      </w:r>
    </w:p>
    <w:p w14:paraId="65251269" w14:textId="77777777" w:rsidR="009759B8" w:rsidRPr="00CD5DD8" w:rsidRDefault="009759B8" w:rsidP="00CD5DD8">
      <w:pPr>
        <w:keepLines/>
        <w:spacing w:after="240"/>
        <w:ind w:right="567"/>
        <w:rPr>
          <w:bCs/>
          <w:lang w:val="fr-FR"/>
        </w:rPr>
      </w:pPr>
    </w:p>
    <w:p w14:paraId="5A4044EC" w14:textId="2558125E" w:rsidR="009759B8" w:rsidRPr="00CD5DD8" w:rsidRDefault="009759B8" w:rsidP="00CD5DD8">
      <w:pPr>
        <w:keepNext/>
        <w:keepLines/>
        <w:pBdr>
          <w:top w:val="single" w:sz="4" w:space="1" w:color="auto"/>
        </w:pBdr>
        <w:spacing w:before="360" w:after="200" w:line="480" w:lineRule="auto"/>
        <w:outlineLvl w:val="2"/>
        <w:rPr>
          <w:b/>
          <w:caps/>
          <w:lang w:val="fr-FR"/>
        </w:rPr>
      </w:pPr>
      <w:r w:rsidRPr="00CD5DD8">
        <w:rPr>
          <w:b/>
          <w:caps/>
          <w:lang w:val="fr-FR"/>
        </w:rPr>
        <w:t xml:space="preserve">3 </w:t>
      </w:r>
      <w:r w:rsidR="00CD5DD8" w:rsidRPr="00CD5DD8">
        <w:rPr>
          <w:b/>
          <w:caps/>
          <w:lang w:val="fr-FR"/>
        </w:rPr>
        <w:t>–</w:t>
      </w:r>
      <w:r w:rsidRPr="00CD5DD8">
        <w:rPr>
          <w:b/>
          <w:caps/>
          <w:lang w:val="fr-FR"/>
        </w:rPr>
        <w:t xml:space="preserve"> Champ d</w:t>
      </w:r>
      <w:r w:rsidR="00BA2E42" w:rsidRPr="00CD5DD8">
        <w:rPr>
          <w:b/>
          <w:caps/>
          <w:lang w:val="fr-FR"/>
        </w:rPr>
        <w:t>’</w:t>
      </w:r>
      <w:r w:rsidRPr="00CD5DD8">
        <w:rPr>
          <w:b/>
          <w:caps/>
          <w:lang w:val="fr-FR"/>
        </w:rPr>
        <w:t>activité</w:t>
      </w:r>
    </w:p>
    <w:p w14:paraId="6EA0F875" w14:textId="6CCF7A69" w:rsidR="009759B8" w:rsidRPr="00CD5DD8" w:rsidRDefault="009759B8" w:rsidP="00CD5DD8">
      <w:pPr>
        <w:keepNext/>
        <w:keepLines/>
        <w:spacing w:before="240" w:after="480"/>
        <w:rPr>
          <w:b/>
          <w:bCs/>
          <w:lang w:val="fr-FR"/>
        </w:rPr>
      </w:pPr>
      <w:r w:rsidRPr="00CD5DD8">
        <w:rPr>
          <w:b/>
          <w:lang w:val="fr-FR"/>
        </w:rPr>
        <w:t>a)</w:t>
      </w:r>
      <w:r w:rsidRPr="00CD5DD8">
        <w:rPr>
          <w:b/>
          <w:lang w:val="fr-FR"/>
        </w:rPr>
        <w:tab/>
        <w:t>Champ d</w:t>
      </w:r>
      <w:r w:rsidR="00BA2E42" w:rsidRPr="00CD5DD8">
        <w:rPr>
          <w:b/>
          <w:lang w:val="fr-FR"/>
        </w:rPr>
        <w:t>’</w:t>
      </w:r>
      <w:r w:rsidRPr="00CD5DD8">
        <w:rPr>
          <w:b/>
          <w:lang w:val="fr-FR"/>
        </w:rPr>
        <w:t>activité actuel</w:t>
      </w:r>
    </w:p>
    <w:p w14:paraId="3068A1D5" w14:textId="3489D256" w:rsidR="009759B8" w:rsidRPr="00CD5DD8" w:rsidRDefault="009759B8" w:rsidP="00BA2E42">
      <w:pPr>
        <w:rPr>
          <w:lang w:val="fr-FR"/>
        </w:rPr>
      </w:pPr>
      <w:r w:rsidRPr="00CD5DD8">
        <w:rPr>
          <w:lang w:val="fr-FR"/>
        </w:rPr>
        <w:t>Des accords ont été conclus avec les offices récepteurs suivants, en vertu desquels la SAIP est compétente pour examiner les demandes qui lui sont soumises en tant qu</w:t>
      </w:r>
      <w:r w:rsidR="00BA2E42" w:rsidRPr="00CD5DD8">
        <w:rPr>
          <w:lang w:val="fr-FR"/>
        </w:rPr>
        <w:t>’</w:t>
      </w:r>
      <w:r w:rsidRPr="00CD5DD8">
        <w:rPr>
          <w:lang w:val="fr-FR"/>
        </w:rPr>
        <w:t>administration chargée de la recherche internationale et de l</w:t>
      </w:r>
      <w:r w:rsidR="00BA2E42" w:rsidRPr="00CD5DD8">
        <w:rPr>
          <w:lang w:val="fr-FR"/>
        </w:rPr>
        <w:t>’</w:t>
      </w:r>
      <w:r w:rsidRPr="00CD5DD8">
        <w:rPr>
          <w:lang w:val="fr-FR"/>
        </w:rPr>
        <w:t>examen préliminaire international</w:t>
      </w:r>
      <w:r w:rsidR="00BA2E42" w:rsidRPr="00CD5DD8">
        <w:rPr>
          <w:lang w:val="fr-FR"/>
        </w:rPr>
        <w:t> :</w:t>
      </w:r>
    </w:p>
    <w:p w14:paraId="39152FA3" w14:textId="77777777" w:rsidR="009759B8" w:rsidRPr="00CD5DD8" w:rsidRDefault="009759B8" w:rsidP="00BA2E42">
      <w:pPr>
        <w:rPr>
          <w:rtl/>
          <w:lang w:val="fr-FR" w:bidi="ar-EG"/>
        </w:rPr>
      </w:pPr>
    </w:p>
    <w:p w14:paraId="7CD15016" w14:textId="7497B836" w:rsidR="009759B8" w:rsidRPr="00CD5DD8" w:rsidRDefault="009759B8" w:rsidP="00697402">
      <w:pPr>
        <w:pStyle w:val="ListParagraph"/>
        <w:numPr>
          <w:ilvl w:val="0"/>
          <w:numId w:val="10"/>
        </w:numPr>
        <w:spacing w:line="360" w:lineRule="auto"/>
        <w:ind w:left="567" w:hanging="567"/>
      </w:pPr>
      <w:r w:rsidRPr="00CD5DD8">
        <w:t>Ministère de l</w:t>
      </w:r>
      <w:r w:rsidR="00BA2E42" w:rsidRPr="00CD5DD8">
        <w:t>’</w:t>
      </w:r>
      <w:r w:rsidRPr="00CD5DD8">
        <w:t>industrie et du commerce du Royaume de Bahreïn</w:t>
      </w:r>
    </w:p>
    <w:p w14:paraId="04FA4DF6" w14:textId="66F836E6" w:rsidR="009759B8" w:rsidRPr="00CD5DD8" w:rsidRDefault="009759B8" w:rsidP="00697402">
      <w:pPr>
        <w:pStyle w:val="ListParagraph"/>
        <w:numPr>
          <w:ilvl w:val="0"/>
          <w:numId w:val="10"/>
        </w:numPr>
        <w:spacing w:line="360" w:lineRule="auto"/>
        <w:ind w:left="567" w:hanging="567"/>
      </w:pPr>
      <w:r w:rsidRPr="00CD5DD8">
        <w:t>Office national de la propriété intellectuelle d</w:t>
      </w:r>
      <w:r w:rsidR="00BA2E42" w:rsidRPr="00CD5DD8">
        <w:t>’</w:t>
      </w:r>
      <w:r w:rsidRPr="00CD5DD8">
        <w:t>Oman</w:t>
      </w:r>
    </w:p>
    <w:p w14:paraId="118D947C" w14:textId="77777777" w:rsidR="009759B8" w:rsidRPr="00CD5DD8" w:rsidRDefault="009759B8" w:rsidP="00697402">
      <w:pPr>
        <w:pStyle w:val="ListParagraph"/>
        <w:numPr>
          <w:ilvl w:val="0"/>
          <w:numId w:val="10"/>
        </w:numPr>
        <w:spacing w:line="360" w:lineRule="auto"/>
        <w:ind w:left="567" w:hanging="567"/>
      </w:pPr>
      <w:r w:rsidRPr="00CD5DD8">
        <w:t>Département de la propriété intellectuelle du Qatar</w:t>
      </w:r>
    </w:p>
    <w:p w14:paraId="7F8622C6" w14:textId="77777777" w:rsidR="009759B8" w:rsidRPr="00CD5DD8" w:rsidRDefault="009759B8" w:rsidP="00BA2E42">
      <w:pPr>
        <w:rPr>
          <w:rFonts w:eastAsiaTheme="minorEastAsia"/>
          <w:rtl/>
          <w:lang w:val="fr-FR" w:eastAsia="ko-KR"/>
        </w:rPr>
      </w:pPr>
    </w:p>
    <w:p w14:paraId="57F0FBF1" w14:textId="2A7714B4" w:rsidR="009759B8" w:rsidRPr="00CD5DD8" w:rsidRDefault="009759B8" w:rsidP="00BA2E42">
      <w:pPr>
        <w:rPr>
          <w:lang w:val="fr-FR"/>
        </w:rPr>
      </w:pPr>
      <w:r w:rsidRPr="00CD5DD8">
        <w:rPr>
          <w:lang w:val="fr-FR"/>
        </w:rPr>
        <w:t>Les langues acceptées sont l</w:t>
      </w:r>
      <w:r w:rsidR="00BA2E42" w:rsidRPr="00CD5DD8">
        <w:rPr>
          <w:lang w:val="fr-FR"/>
        </w:rPr>
        <w:t>’</w:t>
      </w:r>
      <w:r w:rsidRPr="00CD5DD8">
        <w:rPr>
          <w:lang w:val="fr-FR"/>
        </w:rPr>
        <w:t>arabe et l</w:t>
      </w:r>
      <w:r w:rsidR="00BA2E42" w:rsidRPr="00CD5DD8">
        <w:rPr>
          <w:lang w:val="fr-FR"/>
        </w:rPr>
        <w:t>’</w:t>
      </w:r>
      <w:r w:rsidRPr="00CD5DD8">
        <w:rPr>
          <w:lang w:val="fr-FR"/>
        </w:rPr>
        <w:t>anglais.</w:t>
      </w:r>
    </w:p>
    <w:p w14:paraId="52FE29B0" w14:textId="77777777" w:rsidR="009759B8" w:rsidRPr="00CD5DD8" w:rsidRDefault="009759B8" w:rsidP="00CD5DD8">
      <w:pPr>
        <w:rPr>
          <w:rtl/>
          <w:lang w:val="fr-FR"/>
        </w:rPr>
      </w:pPr>
    </w:p>
    <w:p w14:paraId="7B92164E" w14:textId="36DD1F24" w:rsidR="009759B8" w:rsidRPr="00CD5DD8" w:rsidRDefault="009759B8" w:rsidP="00BA2E42">
      <w:pPr>
        <w:keepLines/>
        <w:spacing w:after="480"/>
        <w:rPr>
          <w:lang w:val="fr-FR"/>
        </w:rPr>
      </w:pPr>
      <w:r w:rsidRPr="00CD5DD8">
        <w:rPr>
          <w:lang w:val="fr-FR"/>
        </w:rPr>
        <w:t>Les offices récepteurs pour lesquels l</w:t>
      </w:r>
      <w:r w:rsidR="00BA2E42" w:rsidRPr="00CD5DD8">
        <w:rPr>
          <w:lang w:val="fr-FR"/>
        </w:rPr>
        <w:t>’</w:t>
      </w:r>
      <w:r w:rsidRPr="00CD5DD8">
        <w:rPr>
          <w:lang w:val="fr-FR"/>
        </w:rPr>
        <w:t>office ou l</w:t>
      </w:r>
      <w:r w:rsidR="00BA2E42" w:rsidRPr="00CD5DD8">
        <w:rPr>
          <w:lang w:val="fr-FR"/>
        </w:rPr>
        <w:t>’</w:t>
      </w:r>
      <w:r w:rsidRPr="00CD5DD8">
        <w:rPr>
          <w:lang w:val="fr-FR"/>
        </w:rPr>
        <w:t>organisation intergouvernementale est compétent en tant qu</w:t>
      </w:r>
      <w:r w:rsidR="00BA2E42" w:rsidRPr="00CD5DD8">
        <w:rPr>
          <w:lang w:val="fr-FR"/>
        </w:rPr>
        <w:t>’</w:t>
      </w:r>
      <w:r w:rsidRPr="00CD5DD8">
        <w:rPr>
          <w:lang w:val="fr-FR"/>
        </w:rPr>
        <w:t>administration chargée de la recherche internationale et administration chargée de l</w:t>
      </w:r>
      <w:r w:rsidR="00BA2E42" w:rsidRPr="00CD5DD8">
        <w:rPr>
          <w:lang w:val="fr-FR"/>
        </w:rPr>
        <w:t>’</w:t>
      </w:r>
      <w:r w:rsidRPr="00CD5DD8">
        <w:rPr>
          <w:lang w:val="fr-FR"/>
        </w:rPr>
        <w:t>examen préliminaire international, la ou les langues dans lesquelles les services sont proposés et d</w:t>
      </w:r>
      <w:r w:rsidR="00BA2E42" w:rsidRPr="00CD5DD8">
        <w:rPr>
          <w:lang w:val="fr-FR"/>
        </w:rPr>
        <w:t>’</w:t>
      </w:r>
      <w:r w:rsidRPr="00CD5DD8">
        <w:rPr>
          <w:lang w:val="fr-FR"/>
        </w:rPr>
        <w:t>autres détails concernant le champ d</w:t>
      </w:r>
      <w:r w:rsidR="00BA2E42" w:rsidRPr="00CD5DD8">
        <w:rPr>
          <w:lang w:val="fr-FR"/>
        </w:rPr>
        <w:t>’</w:t>
      </w:r>
      <w:r w:rsidRPr="00CD5DD8">
        <w:rPr>
          <w:lang w:val="fr-FR"/>
        </w:rPr>
        <w:t xml:space="preserve">activité peuvent être consultés dans le </w:t>
      </w:r>
      <w:r w:rsidRPr="00CD5DD8">
        <w:rPr>
          <w:i/>
          <w:lang w:val="fr-FR"/>
        </w:rPr>
        <w:t>Guide du déposant</w:t>
      </w:r>
      <w:r w:rsidR="00BA2E42" w:rsidRPr="00CD5DD8">
        <w:rPr>
          <w:i/>
          <w:lang w:val="fr-FR"/>
        </w:rPr>
        <w:t xml:space="preserve"> du PCT</w:t>
      </w:r>
      <w:r w:rsidRPr="00CD5DD8">
        <w:rPr>
          <w:lang w:val="fr-FR"/>
        </w:rPr>
        <w:t>, à l</w:t>
      </w:r>
      <w:r w:rsidR="00BA2E42" w:rsidRPr="00CD5DD8">
        <w:rPr>
          <w:lang w:val="fr-FR"/>
        </w:rPr>
        <w:t>’</w:t>
      </w:r>
      <w:r w:rsidRPr="00CD5DD8">
        <w:rPr>
          <w:lang w:val="fr-FR"/>
        </w:rPr>
        <w:t>adresse suivante</w:t>
      </w:r>
      <w:r w:rsidR="00BA2E42" w:rsidRPr="00CD5DD8">
        <w:rPr>
          <w:lang w:val="fr-FR"/>
        </w:rPr>
        <w:t> :</w:t>
      </w:r>
      <w:r w:rsidRPr="00CD5DD8">
        <w:rPr>
          <w:lang w:val="fr-FR"/>
        </w:rPr>
        <w:t xml:space="preserve"> </w:t>
      </w:r>
      <w:hyperlink r:id="rId12" w:anchor="ISA" w:history="1">
        <w:r w:rsidR="00697402">
          <w:rPr>
            <w:rStyle w:val="Hyperlink"/>
            <w:lang w:val="fr-FR"/>
          </w:rPr>
          <w:t>https://pctlegal.wipo.int/eGuide/view-doc.xhtml?doc-code=SA&amp;doc-lang=fr#ISA</w:t>
        </w:r>
      </w:hyperlink>
      <w:r w:rsidRPr="00CD5DD8">
        <w:rPr>
          <w:lang w:val="fr-FR"/>
        </w:rPr>
        <w:t xml:space="preserve"> et </w:t>
      </w:r>
      <w:hyperlink r:id="rId13" w:anchor="IPEA" w:history="1">
        <w:r w:rsidR="00697402">
          <w:rPr>
            <w:rStyle w:val="Hyperlink"/>
          </w:rPr>
          <w:t>https://pctlegal.wipo.int/eGuide/view-doc.xhtml?doc-code=SA&amp;doc-lang=fr#IPEA</w:t>
        </w:r>
      </w:hyperlink>
      <w:r w:rsidRPr="00CD5DD8">
        <w:rPr>
          <w:lang w:val="fr-FR"/>
        </w:rPr>
        <w:t>.</w:t>
      </w:r>
    </w:p>
    <w:p w14:paraId="2E6EB894" w14:textId="721CF5FA" w:rsidR="009759B8" w:rsidRPr="00CD5DD8" w:rsidRDefault="009759B8" w:rsidP="00BA2E42">
      <w:pPr>
        <w:keepLines/>
        <w:spacing w:after="480"/>
        <w:rPr>
          <w:b/>
          <w:bCs/>
          <w:lang w:val="fr-FR"/>
        </w:rPr>
      </w:pPr>
      <w:r w:rsidRPr="00CD5DD8">
        <w:rPr>
          <w:b/>
          <w:lang w:val="fr-FR"/>
        </w:rPr>
        <w:t>b)</w:t>
      </w:r>
      <w:r w:rsidRPr="00CD5DD8">
        <w:rPr>
          <w:b/>
          <w:lang w:val="fr-FR"/>
        </w:rPr>
        <w:tab/>
        <w:t>Les modifications prévues concernant le champ d</w:t>
      </w:r>
      <w:r w:rsidR="00BA2E42" w:rsidRPr="00CD5DD8">
        <w:rPr>
          <w:b/>
          <w:lang w:val="fr-FR"/>
        </w:rPr>
        <w:t>’</w:t>
      </w:r>
      <w:r w:rsidRPr="00CD5DD8">
        <w:rPr>
          <w:b/>
          <w:lang w:val="fr-FR"/>
        </w:rPr>
        <w:t>activité de l</w:t>
      </w:r>
      <w:r w:rsidR="00BA2E42" w:rsidRPr="00CD5DD8">
        <w:rPr>
          <w:b/>
          <w:lang w:val="fr-FR"/>
        </w:rPr>
        <w:t>’</w:t>
      </w:r>
      <w:r w:rsidRPr="00CD5DD8">
        <w:rPr>
          <w:b/>
          <w:lang w:val="fr-FR"/>
        </w:rPr>
        <w:t>administration, telles que les offices récepteurs pour lesquels l</w:t>
      </w:r>
      <w:r w:rsidR="00BA2E42" w:rsidRPr="00CD5DD8">
        <w:rPr>
          <w:b/>
          <w:lang w:val="fr-FR"/>
        </w:rPr>
        <w:t>’</w:t>
      </w:r>
      <w:r w:rsidRPr="00CD5DD8">
        <w:rPr>
          <w:b/>
          <w:lang w:val="fr-FR"/>
        </w:rPr>
        <w:t>administration est compétente et les langues disponibles (le cas échéant)</w:t>
      </w:r>
      <w:r w:rsidR="00BA2E42" w:rsidRPr="00CD5DD8">
        <w:rPr>
          <w:b/>
          <w:lang w:val="fr-FR"/>
        </w:rPr>
        <w:t> :</w:t>
      </w:r>
    </w:p>
    <w:p w14:paraId="68ABE48C" w14:textId="1B56D17A" w:rsidR="009759B8" w:rsidRPr="00CD5DD8" w:rsidRDefault="009759B8" w:rsidP="00BA2E42">
      <w:pPr>
        <w:ind w:right="-360"/>
        <w:contextualSpacing/>
        <w:rPr>
          <w:lang w:val="fr-FR"/>
        </w:rPr>
      </w:pPr>
      <w:r w:rsidRPr="00CD5DD8">
        <w:rPr>
          <w:lang w:val="fr-FR"/>
        </w:rPr>
        <w:t>Le plan de négociation pour la nomination de la SAIP en qualité d</w:t>
      </w:r>
      <w:r w:rsidR="00BA2E42" w:rsidRPr="00CD5DD8">
        <w:rPr>
          <w:lang w:val="fr-FR"/>
        </w:rPr>
        <w:t>’</w:t>
      </w:r>
      <w:r w:rsidRPr="00CD5DD8">
        <w:rPr>
          <w:lang w:val="fr-FR"/>
        </w:rPr>
        <w:t>administration chargée de la recherche internationale et de l</w:t>
      </w:r>
      <w:r w:rsidR="00BA2E42" w:rsidRPr="00CD5DD8">
        <w:rPr>
          <w:lang w:val="fr-FR"/>
        </w:rPr>
        <w:t>’</w:t>
      </w:r>
      <w:r w:rsidRPr="00CD5DD8">
        <w:rPr>
          <w:lang w:val="fr-FR"/>
        </w:rPr>
        <w:t>examen préliminaire international a été élaboré avec les offices partenaires dans le cadre d</w:t>
      </w:r>
      <w:r w:rsidR="00BA2E42" w:rsidRPr="00CD5DD8">
        <w:rPr>
          <w:lang w:val="fr-FR"/>
        </w:rPr>
        <w:t>’</w:t>
      </w:r>
      <w:r w:rsidRPr="00CD5DD8">
        <w:rPr>
          <w:lang w:val="fr-FR"/>
        </w:rPr>
        <w:t>un plan comprenant les éléments suivants</w:t>
      </w:r>
      <w:r w:rsidR="00BA2E42" w:rsidRPr="00CD5DD8">
        <w:rPr>
          <w:lang w:val="fr-FR"/>
        </w:rPr>
        <w:t> :</w:t>
      </w:r>
    </w:p>
    <w:p w14:paraId="256BC672" w14:textId="77777777" w:rsidR="009759B8" w:rsidRPr="00CD5DD8" w:rsidRDefault="009759B8" w:rsidP="00BA2E42">
      <w:pPr>
        <w:ind w:left="-1" w:right="-360"/>
        <w:contextualSpacing/>
        <w:rPr>
          <w:lang w:val="fr-FR"/>
        </w:rPr>
      </w:pPr>
    </w:p>
    <w:p w14:paraId="32A8D95C" w14:textId="0FF2DB85" w:rsidR="009759B8" w:rsidRPr="00CD5DD8" w:rsidRDefault="009759B8" w:rsidP="00CD5DD8">
      <w:pPr>
        <w:keepNext/>
        <w:numPr>
          <w:ilvl w:val="0"/>
          <w:numId w:val="8"/>
        </w:numPr>
        <w:ind w:left="1134" w:right="-360" w:hanging="567"/>
        <w:contextualSpacing/>
        <w:rPr>
          <w:lang w:val="fr-FR"/>
        </w:rPr>
      </w:pPr>
      <w:r w:rsidRPr="00CD5DD8">
        <w:rPr>
          <w:lang w:val="fr-FR"/>
        </w:rPr>
        <w:t>Critères de sélection des pays pour lesquels la SAIP pourrait agir en qualité d</w:t>
      </w:r>
      <w:r w:rsidR="00BA2E42" w:rsidRPr="00CD5DD8">
        <w:rPr>
          <w:lang w:val="fr-FR"/>
        </w:rPr>
        <w:t>’</w:t>
      </w:r>
      <w:r w:rsidRPr="00CD5DD8">
        <w:rPr>
          <w:lang w:val="fr-FR"/>
        </w:rPr>
        <w:t>administration chargée de la recherche internationale</w:t>
      </w:r>
      <w:r w:rsidR="00BA2E42" w:rsidRPr="00CD5DD8">
        <w:rPr>
          <w:lang w:val="fr-FR"/>
        </w:rPr>
        <w:t> :</w:t>
      </w:r>
    </w:p>
    <w:p w14:paraId="12A75F03" w14:textId="027CC21D" w:rsidR="009759B8" w:rsidRPr="00CD5DD8" w:rsidRDefault="009759B8" w:rsidP="00CD5DD8">
      <w:pPr>
        <w:keepNext/>
        <w:ind w:left="1134" w:right="-360"/>
        <w:contextualSpacing/>
        <w:rPr>
          <w:lang w:val="fr-FR"/>
        </w:rPr>
      </w:pPr>
      <w:proofErr w:type="gramStart"/>
      <w:r w:rsidRPr="00CD5DD8">
        <w:rPr>
          <w:lang w:val="fr-FR"/>
        </w:rPr>
        <w:t>les</w:t>
      </w:r>
      <w:proofErr w:type="gramEnd"/>
      <w:r w:rsidRPr="00CD5DD8">
        <w:rPr>
          <w:lang w:val="fr-FR"/>
        </w:rPr>
        <w:t xml:space="preserve"> principaux offices récepteurs arabes qui ont commencé à instruire des demandes internationales et l</w:t>
      </w:r>
      <w:r w:rsidR="00BA2E42" w:rsidRPr="00CD5DD8">
        <w:rPr>
          <w:lang w:val="fr-FR"/>
        </w:rPr>
        <w:t>’</w:t>
      </w:r>
      <w:r w:rsidRPr="00CD5DD8">
        <w:rPr>
          <w:lang w:val="fr-FR"/>
        </w:rPr>
        <w:t>importance de maintenir un partenariat continu avec eux.</w:t>
      </w:r>
    </w:p>
    <w:p w14:paraId="39F4BF98" w14:textId="77777777" w:rsidR="009759B8" w:rsidRPr="00CD5DD8" w:rsidRDefault="009759B8" w:rsidP="00CD5DD8">
      <w:pPr>
        <w:keepNext/>
        <w:ind w:left="1134" w:right="-360" w:hanging="567"/>
        <w:contextualSpacing/>
        <w:rPr>
          <w:lang w:val="fr-FR"/>
        </w:rPr>
      </w:pPr>
    </w:p>
    <w:p w14:paraId="7D670B53" w14:textId="3F02BC4C" w:rsidR="009759B8" w:rsidRPr="00CD5DD8" w:rsidRDefault="009759B8" w:rsidP="00CD5DD8">
      <w:pPr>
        <w:numPr>
          <w:ilvl w:val="0"/>
          <w:numId w:val="8"/>
        </w:numPr>
        <w:ind w:left="1134" w:right="-360" w:hanging="567"/>
        <w:contextualSpacing/>
        <w:rPr>
          <w:lang w:val="fr-FR"/>
        </w:rPr>
      </w:pPr>
      <w:r w:rsidRPr="00CD5DD8">
        <w:rPr>
          <w:lang w:val="fr-FR"/>
        </w:rPr>
        <w:t>Sélection des pays et de la zone géographique ciblés de la manière suivante</w:t>
      </w:r>
      <w:r w:rsidR="00BA2E42" w:rsidRPr="00CD5DD8">
        <w:rPr>
          <w:lang w:val="fr-FR"/>
        </w:rPr>
        <w:t> :</w:t>
      </w:r>
    </w:p>
    <w:p w14:paraId="752A5893" w14:textId="463D66DE" w:rsidR="009759B8" w:rsidRPr="00CD5DD8" w:rsidRDefault="009759B8" w:rsidP="00CD5DD8">
      <w:pPr>
        <w:ind w:left="1134" w:right="-360"/>
        <w:contextualSpacing/>
        <w:rPr>
          <w:lang w:val="fr-FR"/>
        </w:rPr>
      </w:pPr>
      <w:proofErr w:type="gramStart"/>
      <w:r w:rsidRPr="00CD5DD8">
        <w:rPr>
          <w:lang w:val="fr-FR"/>
        </w:rPr>
        <w:t>commencer</w:t>
      </w:r>
      <w:proofErr w:type="gramEnd"/>
      <w:r w:rsidRPr="00CD5DD8">
        <w:rPr>
          <w:lang w:val="fr-FR"/>
        </w:rPr>
        <w:t xml:space="preserve"> par les États du Conseil de coopération du Golfe et les États arabes, et inclure, à l</w:t>
      </w:r>
      <w:r w:rsidR="00BA2E42" w:rsidRPr="00CD5DD8">
        <w:rPr>
          <w:lang w:val="fr-FR"/>
        </w:rPr>
        <w:t>’</w:t>
      </w:r>
      <w:r w:rsidRPr="00CD5DD8">
        <w:rPr>
          <w:lang w:val="fr-FR"/>
        </w:rPr>
        <w:t>avenir, les principaux offices traitant des dépôts de demandes internationales.</w:t>
      </w:r>
    </w:p>
    <w:p w14:paraId="7494EF1E" w14:textId="77777777" w:rsidR="009759B8" w:rsidRPr="00CD5DD8" w:rsidRDefault="009759B8" w:rsidP="00CD5DD8">
      <w:pPr>
        <w:ind w:left="1134" w:right="-360" w:hanging="567"/>
        <w:contextualSpacing/>
        <w:rPr>
          <w:lang w:val="fr-FR"/>
        </w:rPr>
      </w:pPr>
    </w:p>
    <w:p w14:paraId="10A64B83" w14:textId="66252099" w:rsidR="009759B8" w:rsidRPr="00CD5DD8" w:rsidRDefault="009759B8" w:rsidP="00CD5DD8">
      <w:pPr>
        <w:numPr>
          <w:ilvl w:val="0"/>
          <w:numId w:val="8"/>
        </w:numPr>
        <w:ind w:left="1134" w:right="-360" w:hanging="567"/>
        <w:contextualSpacing/>
        <w:rPr>
          <w:lang w:val="fr-FR"/>
        </w:rPr>
      </w:pPr>
      <w:r w:rsidRPr="00CD5DD8">
        <w:rPr>
          <w:lang w:val="fr-FR"/>
        </w:rPr>
        <w:t>Protocoles d</w:t>
      </w:r>
      <w:r w:rsidR="00BA2E42" w:rsidRPr="00CD5DD8">
        <w:rPr>
          <w:lang w:val="fr-FR"/>
        </w:rPr>
        <w:t>’</w:t>
      </w:r>
      <w:r w:rsidRPr="00CD5DD8">
        <w:rPr>
          <w:lang w:val="fr-FR"/>
        </w:rPr>
        <w:t>accord pour guider le travail avec les offices ciblés.</w:t>
      </w:r>
    </w:p>
    <w:p w14:paraId="56AB8C92" w14:textId="77777777" w:rsidR="009759B8" w:rsidRPr="00CD5DD8" w:rsidRDefault="009759B8" w:rsidP="00BA2E42">
      <w:pPr>
        <w:keepLines/>
        <w:spacing w:after="480"/>
        <w:rPr>
          <w:rtl/>
          <w:lang w:val="fr-FR" w:bidi="ar-EG"/>
        </w:rPr>
      </w:pPr>
    </w:p>
    <w:p w14:paraId="0E3CAEC9" w14:textId="4BE22A49" w:rsidR="009759B8" w:rsidRPr="00CD5DD8" w:rsidRDefault="009759B8" w:rsidP="00BA2E42">
      <w:pPr>
        <w:keepNext/>
        <w:keepLines/>
        <w:pBdr>
          <w:top w:val="single" w:sz="4" w:space="1" w:color="auto"/>
        </w:pBdr>
        <w:spacing w:before="360" w:after="200" w:line="480" w:lineRule="auto"/>
        <w:outlineLvl w:val="2"/>
        <w:rPr>
          <w:b/>
          <w:bCs/>
          <w:caps/>
          <w:lang w:val="fr-FR"/>
        </w:rPr>
      </w:pPr>
      <w:r w:rsidRPr="00CD5DD8">
        <w:rPr>
          <w:b/>
          <w:caps/>
          <w:lang w:val="fr-FR"/>
        </w:rPr>
        <w:t xml:space="preserve">4 </w:t>
      </w:r>
      <w:r w:rsidR="00CD5DD8">
        <w:rPr>
          <w:b/>
          <w:caps/>
          <w:lang w:val="fr-FR"/>
        </w:rPr>
        <w:t>–</w:t>
      </w:r>
      <w:r w:rsidRPr="00CD5DD8">
        <w:rPr>
          <w:b/>
          <w:caps/>
          <w:lang w:val="fr-FR"/>
        </w:rPr>
        <w:t xml:space="preserve"> Divers</w:t>
      </w:r>
    </w:p>
    <w:p w14:paraId="0E3C1D31" w14:textId="186C60BB" w:rsidR="00BA2E42" w:rsidRPr="00CD5DD8" w:rsidRDefault="009759B8" w:rsidP="00697402">
      <w:pPr>
        <w:keepNext/>
        <w:rPr>
          <w:lang w:val="fr-FR"/>
        </w:rPr>
      </w:pPr>
      <w:r w:rsidRPr="00CD5DD8">
        <w:rPr>
          <w:lang w:val="fr-FR"/>
        </w:rPr>
        <w:t>Toute autre information concernant la prolongation de la nomination en qualité d</w:t>
      </w:r>
      <w:r w:rsidR="00BA2E42" w:rsidRPr="00CD5DD8">
        <w:rPr>
          <w:lang w:val="fr-FR"/>
        </w:rPr>
        <w:t>’</w:t>
      </w:r>
      <w:r w:rsidRPr="00CD5DD8">
        <w:rPr>
          <w:lang w:val="fr-FR"/>
        </w:rPr>
        <w:t>administration chargée de la recherche internationale et de l</w:t>
      </w:r>
      <w:r w:rsidR="00BA2E42" w:rsidRPr="00CD5DD8">
        <w:rPr>
          <w:lang w:val="fr-FR"/>
        </w:rPr>
        <w:t>’</w:t>
      </w:r>
      <w:r w:rsidRPr="00CD5DD8">
        <w:rPr>
          <w:lang w:val="fr-FR"/>
        </w:rPr>
        <w:t>examen préliminaire international</w:t>
      </w:r>
      <w:r w:rsidR="00BA2E42" w:rsidRPr="00CD5DD8">
        <w:rPr>
          <w:lang w:val="fr-FR"/>
        </w:rPr>
        <w:t> :</w:t>
      </w:r>
    </w:p>
    <w:p w14:paraId="1F6813A8" w14:textId="2D8CD109" w:rsidR="009759B8" w:rsidRPr="00CD5DD8" w:rsidRDefault="009759B8" w:rsidP="00697402">
      <w:pPr>
        <w:keepNext/>
        <w:rPr>
          <w:rtl/>
          <w:lang w:val="fr-FR"/>
        </w:rPr>
      </w:pPr>
    </w:p>
    <w:p w14:paraId="76C6E6AD" w14:textId="5685A999" w:rsidR="009759B8" w:rsidRPr="00CD5DD8" w:rsidRDefault="009759B8" w:rsidP="00BA2E42">
      <w:pPr>
        <w:spacing w:after="160" w:line="256" w:lineRule="auto"/>
        <w:rPr>
          <w:b/>
          <w:bCs/>
          <w:lang w:val="fr-FR"/>
        </w:rPr>
      </w:pPr>
      <w:r w:rsidRPr="00CD5DD8">
        <w:rPr>
          <w:b/>
          <w:lang w:val="fr-FR"/>
        </w:rPr>
        <w:t>Guides de présentation et d</w:t>
      </w:r>
      <w:r w:rsidR="00BA2E42" w:rsidRPr="00CD5DD8">
        <w:rPr>
          <w:b/>
          <w:lang w:val="fr-FR"/>
        </w:rPr>
        <w:t>’</w:t>
      </w:r>
      <w:r w:rsidRPr="00CD5DD8">
        <w:rPr>
          <w:b/>
          <w:lang w:val="fr-FR"/>
        </w:rPr>
        <w:t>instructions</w:t>
      </w:r>
      <w:r w:rsidR="00BA2E42" w:rsidRPr="00CD5DD8">
        <w:rPr>
          <w:b/>
          <w:lang w:val="fr-FR"/>
        </w:rPr>
        <w:t> :</w:t>
      </w:r>
    </w:p>
    <w:p w14:paraId="1C54EFD8" w14:textId="5F25EB55" w:rsidR="00BA2E42" w:rsidRPr="00CD5DD8" w:rsidRDefault="009759B8" w:rsidP="00BA2E42">
      <w:pPr>
        <w:jc w:val="both"/>
        <w:rPr>
          <w:lang w:val="fr-FR"/>
        </w:rPr>
      </w:pPr>
      <w:r w:rsidRPr="00CD5DD8">
        <w:rPr>
          <w:lang w:val="fr-FR"/>
        </w:rPr>
        <w:t>L</w:t>
      </w:r>
      <w:r w:rsidR="00BA2E42" w:rsidRPr="00CD5DD8">
        <w:rPr>
          <w:lang w:val="fr-FR"/>
        </w:rPr>
        <w:t>’</w:t>
      </w:r>
      <w:r w:rsidRPr="00CD5DD8">
        <w:rPr>
          <w:lang w:val="fr-FR"/>
        </w:rPr>
        <w:t>une des principales initiatives de la SAIP a été la rédaction d</w:t>
      </w:r>
      <w:r w:rsidR="00BA2E42" w:rsidRPr="00CD5DD8">
        <w:rPr>
          <w:lang w:val="fr-FR"/>
        </w:rPr>
        <w:t>’</w:t>
      </w:r>
      <w:r w:rsidRPr="00CD5DD8">
        <w:rPr>
          <w:lang w:val="fr-FR"/>
        </w:rPr>
        <w:t>un guide destiné aux déposants arabophones sur ses fonctions en tant qu</w:t>
      </w:r>
      <w:r w:rsidR="00BA2E42" w:rsidRPr="00CD5DD8">
        <w:rPr>
          <w:lang w:val="fr-FR"/>
        </w:rPr>
        <w:t>’</w:t>
      </w:r>
      <w:r w:rsidRPr="00CD5DD8">
        <w:rPr>
          <w:lang w:val="fr-FR"/>
        </w:rPr>
        <w:t>administration chargée de la recherche internationale et d</w:t>
      </w:r>
      <w:r w:rsidR="00BA2E42" w:rsidRPr="00CD5DD8">
        <w:rPr>
          <w:lang w:val="fr-FR"/>
        </w:rPr>
        <w:t>’</w:t>
      </w:r>
      <w:r w:rsidRPr="00CD5DD8">
        <w:rPr>
          <w:lang w:val="fr-FR"/>
        </w:rPr>
        <w:t>administration chargée de l</w:t>
      </w:r>
      <w:r w:rsidR="00BA2E42" w:rsidRPr="00CD5DD8">
        <w:rPr>
          <w:lang w:val="fr-FR"/>
        </w:rPr>
        <w:t>’</w:t>
      </w:r>
      <w:r w:rsidRPr="00CD5DD8">
        <w:rPr>
          <w:lang w:val="fr-FR"/>
        </w:rPr>
        <w:t>examen préliminaire international, qui couvre tous les process</w:t>
      </w:r>
      <w:r w:rsidR="00CD5DD8" w:rsidRPr="00CD5DD8">
        <w:rPr>
          <w:lang w:val="fr-FR"/>
        </w:rPr>
        <w:t>us.  Le</w:t>
      </w:r>
      <w:r w:rsidRPr="00CD5DD8">
        <w:rPr>
          <w:lang w:val="fr-FR"/>
        </w:rPr>
        <w:t xml:space="preserve"> </w:t>
      </w:r>
      <w:r w:rsidRPr="00CD5DD8">
        <w:rPr>
          <w:i/>
          <w:iCs/>
          <w:lang w:val="fr-FR"/>
        </w:rPr>
        <w:t>Manuel de la recherche internationale et de l</w:t>
      </w:r>
      <w:r w:rsidR="00BA2E42" w:rsidRPr="00CD5DD8">
        <w:rPr>
          <w:i/>
          <w:iCs/>
          <w:lang w:val="fr-FR"/>
        </w:rPr>
        <w:t>’</w:t>
      </w:r>
      <w:r w:rsidRPr="00CD5DD8">
        <w:rPr>
          <w:i/>
          <w:iCs/>
          <w:lang w:val="fr-FR"/>
        </w:rPr>
        <w:t xml:space="preserve">examen préliminaire international selon le PCT </w:t>
      </w:r>
      <w:r w:rsidRPr="00CD5DD8">
        <w:rPr>
          <w:lang w:val="fr-FR"/>
        </w:rPr>
        <w:t>a été publié en arabe et en anglais.</w:t>
      </w:r>
    </w:p>
    <w:p w14:paraId="6F9C3E9B" w14:textId="3FAE49E0" w:rsidR="009759B8" w:rsidRPr="00CD5DD8" w:rsidRDefault="009759B8" w:rsidP="00CD5DD8">
      <w:pPr>
        <w:pStyle w:val="ListParagraph"/>
        <w:ind w:left="0"/>
        <w:jc w:val="both"/>
        <w:rPr>
          <w:rtl/>
          <w:lang w:bidi="ar-EG"/>
        </w:rPr>
      </w:pPr>
    </w:p>
    <w:p w14:paraId="581AC53B" w14:textId="17A30B0A" w:rsidR="009759B8" w:rsidRPr="00CD5DD8" w:rsidRDefault="009759B8" w:rsidP="00BA2E42">
      <w:pPr>
        <w:pStyle w:val="ListParagraph"/>
        <w:ind w:left="0"/>
        <w:jc w:val="both"/>
      </w:pPr>
      <w:r w:rsidRPr="00CD5DD8">
        <w:t>Les guides et modèles de l</w:t>
      </w:r>
      <w:r w:rsidR="00BA2E42" w:rsidRPr="00CD5DD8">
        <w:t>’</w:t>
      </w:r>
      <w:r w:rsidRPr="00CD5DD8">
        <w:t>OMPI ont été traduits en arabe et envoyés à l</w:t>
      </w:r>
      <w:r w:rsidR="00BA2E42" w:rsidRPr="00CD5DD8">
        <w:t>’</w:t>
      </w:r>
      <w:r w:rsidRPr="00CD5DD8">
        <w:t>OMPI afin qu</w:t>
      </w:r>
      <w:r w:rsidR="00BA2E42" w:rsidRPr="00CD5DD8">
        <w:t>’</w:t>
      </w:r>
      <w:r w:rsidRPr="00CD5DD8">
        <w:t>elle les publie sur son site</w:t>
      </w:r>
      <w:r w:rsidR="000B2763" w:rsidRPr="00CD5DD8">
        <w:t> </w:t>
      </w:r>
      <w:r w:rsidRPr="00CD5DD8">
        <w:t>Web</w:t>
      </w:r>
      <w:r w:rsidR="00BA2E42" w:rsidRPr="00CD5DD8">
        <w:t> :</w:t>
      </w:r>
    </w:p>
    <w:p w14:paraId="160D4B44" w14:textId="77777777" w:rsidR="009759B8" w:rsidRPr="00CD5DD8" w:rsidRDefault="009759B8" w:rsidP="00CD5DD8">
      <w:pPr>
        <w:pStyle w:val="ListParagraph"/>
        <w:ind w:left="0"/>
        <w:jc w:val="both"/>
        <w:rPr>
          <w:rtl/>
          <w:lang w:bidi="ar-EG"/>
        </w:rPr>
      </w:pPr>
    </w:p>
    <w:p w14:paraId="170D3996" w14:textId="4A5DB1C7" w:rsidR="009759B8" w:rsidRPr="00CD5DD8" w:rsidRDefault="009759B8" w:rsidP="00BA2E42">
      <w:pPr>
        <w:pStyle w:val="ListParagraph"/>
        <w:numPr>
          <w:ilvl w:val="0"/>
          <w:numId w:val="9"/>
        </w:numPr>
        <w:spacing w:line="360" w:lineRule="auto"/>
        <w:ind w:left="1134" w:hanging="567"/>
        <w:jc w:val="both"/>
      </w:pPr>
      <w:r w:rsidRPr="00CD5DD8">
        <w:t>Directives à l</w:t>
      </w:r>
      <w:r w:rsidR="00BA2E42" w:rsidRPr="00CD5DD8">
        <w:t>’</w:t>
      </w:r>
      <w:r w:rsidRPr="00CD5DD8">
        <w:t>usage des offices récepteurs</w:t>
      </w:r>
      <w:r w:rsidR="00BA2E42" w:rsidRPr="00CD5DD8">
        <w:t xml:space="preserve"> du PCT</w:t>
      </w:r>
    </w:p>
    <w:p w14:paraId="7166E6B6" w14:textId="3F63DAE7" w:rsidR="009759B8" w:rsidRPr="00CD5DD8" w:rsidRDefault="009759B8" w:rsidP="00BA2E42">
      <w:pPr>
        <w:pStyle w:val="ListParagraph"/>
        <w:numPr>
          <w:ilvl w:val="0"/>
          <w:numId w:val="9"/>
        </w:numPr>
        <w:spacing w:line="360" w:lineRule="auto"/>
        <w:ind w:left="1134" w:hanging="567"/>
        <w:jc w:val="both"/>
      </w:pPr>
      <w:r w:rsidRPr="00CD5DD8">
        <w:t>Directives concernant la recherche internationale et l</w:t>
      </w:r>
      <w:r w:rsidR="00BA2E42" w:rsidRPr="00CD5DD8">
        <w:t>’</w:t>
      </w:r>
      <w:r w:rsidRPr="00CD5DD8">
        <w:t>examen préliminaire international</w:t>
      </w:r>
    </w:p>
    <w:p w14:paraId="13ADCF4D" w14:textId="2C5E72A6" w:rsidR="009759B8" w:rsidRPr="00CD5DD8" w:rsidRDefault="009759B8" w:rsidP="00BA2E42">
      <w:pPr>
        <w:pStyle w:val="ListParagraph"/>
        <w:numPr>
          <w:ilvl w:val="0"/>
          <w:numId w:val="9"/>
        </w:numPr>
        <w:spacing w:line="360" w:lineRule="auto"/>
        <w:ind w:left="1134" w:hanging="567"/>
        <w:jc w:val="both"/>
      </w:pPr>
      <w:r w:rsidRPr="00CD5DD8">
        <w:t>Instructions administratives du PCT pour la recherche internationale et l</w:t>
      </w:r>
      <w:r w:rsidR="00BA2E42" w:rsidRPr="00CD5DD8">
        <w:t>’</w:t>
      </w:r>
      <w:r w:rsidRPr="00CD5DD8">
        <w:t>examen préliminaire international</w:t>
      </w:r>
    </w:p>
    <w:p w14:paraId="0DF68821" w14:textId="4B914285" w:rsidR="009759B8" w:rsidRPr="00CD5DD8" w:rsidRDefault="009759B8" w:rsidP="00BA2E42">
      <w:pPr>
        <w:pStyle w:val="ListParagraph"/>
        <w:numPr>
          <w:ilvl w:val="0"/>
          <w:numId w:val="9"/>
        </w:numPr>
        <w:spacing w:line="360" w:lineRule="auto"/>
        <w:ind w:left="1134" w:hanging="567"/>
        <w:jc w:val="both"/>
      </w:pPr>
      <w:r w:rsidRPr="00CD5DD8">
        <w:rPr>
          <w:i/>
        </w:rPr>
        <w:t>Guide du déposant</w:t>
      </w:r>
      <w:r w:rsidR="00BA2E42" w:rsidRPr="00CD5DD8">
        <w:rPr>
          <w:i/>
        </w:rPr>
        <w:t xml:space="preserve"> du PCT</w:t>
      </w:r>
      <w:r w:rsidRPr="00CD5DD8">
        <w:rPr>
          <w:i/>
        </w:rPr>
        <w:t> </w:t>
      </w:r>
      <w:r w:rsidRPr="00CD5DD8">
        <w:t>– Phase internationale</w:t>
      </w:r>
    </w:p>
    <w:p w14:paraId="45D11495" w14:textId="49F3E3DB" w:rsidR="009759B8" w:rsidRPr="00CD5DD8" w:rsidRDefault="009759B8" w:rsidP="00BA2E42">
      <w:pPr>
        <w:pStyle w:val="ListParagraph"/>
        <w:numPr>
          <w:ilvl w:val="0"/>
          <w:numId w:val="9"/>
        </w:numPr>
        <w:spacing w:line="360" w:lineRule="auto"/>
        <w:ind w:left="1134" w:hanging="567"/>
        <w:jc w:val="both"/>
      </w:pPr>
      <w:r w:rsidRPr="00CD5DD8">
        <w:rPr>
          <w:i/>
        </w:rPr>
        <w:t>Guide du déposant</w:t>
      </w:r>
      <w:r w:rsidR="00BA2E42" w:rsidRPr="00CD5DD8">
        <w:rPr>
          <w:i/>
        </w:rPr>
        <w:t xml:space="preserve"> du PCT</w:t>
      </w:r>
      <w:r w:rsidRPr="00CD5DD8">
        <w:rPr>
          <w:i/>
        </w:rPr>
        <w:t xml:space="preserve"> </w:t>
      </w:r>
      <w:r w:rsidRPr="00CD5DD8">
        <w:t>–</w:t>
      </w:r>
      <w:r w:rsidR="00CD5DD8">
        <w:t xml:space="preserve"> </w:t>
      </w:r>
      <w:r w:rsidRPr="00CD5DD8">
        <w:t>Phase nationale</w:t>
      </w:r>
    </w:p>
    <w:p w14:paraId="010F739F" w14:textId="2BA99FAC" w:rsidR="009759B8" w:rsidRPr="00CD5DD8" w:rsidRDefault="009759B8" w:rsidP="00BA2E42">
      <w:pPr>
        <w:pStyle w:val="ListParagraph"/>
        <w:numPr>
          <w:ilvl w:val="0"/>
          <w:numId w:val="9"/>
        </w:numPr>
        <w:spacing w:line="360" w:lineRule="auto"/>
        <w:ind w:left="1134" w:hanging="567"/>
        <w:jc w:val="both"/>
      </w:pPr>
      <w:r w:rsidRPr="00CD5DD8">
        <w:t>Formulaires concernant la recherche internationale et l</w:t>
      </w:r>
      <w:r w:rsidR="00BA2E42" w:rsidRPr="00CD5DD8">
        <w:t>’</w:t>
      </w:r>
      <w:r w:rsidRPr="00CD5DD8">
        <w:t>examen préliminaire international</w:t>
      </w:r>
    </w:p>
    <w:p w14:paraId="48D345EC" w14:textId="77777777" w:rsidR="009759B8" w:rsidRPr="00CD5DD8" w:rsidRDefault="009759B8" w:rsidP="00BA2E42">
      <w:pPr>
        <w:pStyle w:val="BodyText"/>
        <w:pBdr>
          <w:top w:val="single" w:sz="4" w:space="1" w:color="auto"/>
        </w:pBdr>
        <w:rPr>
          <w:lang w:val="fr-FR"/>
        </w:rPr>
      </w:pPr>
    </w:p>
    <w:p w14:paraId="6257CC16" w14:textId="557E0F53" w:rsidR="000F5E56" w:rsidRPr="00CD5DD8" w:rsidRDefault="009759B8" w:rsidP="00CD5DD8">
      <w:pPr>
        <w:pStyle w:val="Endofdocument-Annex"/>
      </w:pPr>
      <w:r w:rsidRPr="00CD5DD8">
        <w:t>[Fin de l</w:t>
      </w:r>
      <w:r w:rsidR="00BA2E42" w:rsidRPr="00CD5DD8">
        <w:t>’</w:t>
      </w:r>
      <w:r w:rsidRPr="00CD5DD8">
        <w:t>annexe et du document]</w:t>
      </w:r>
    </w:p>
    <w:sectPr w:rsidR="000F5E56" w:rsidRPr="00CD5DD8" w:rsidSect="00BA2E42">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5C36" w14:textId="77777777" w:rsidR="009759B8" w:rsidRDefault="009759B8">
      <w:r>
        <w:separator/>
      </w:r>
    </w:p>
  </w:endnote>
  <w:endnote w:type="continuationSeparator" w:id="0">
    <w:p w14:paraId="2B6A9DB1" w14:textId="77777777" w:rsidR="009759B8" w:rsidRPr="009D30E6" w:rsidRDefault="009759B8" w:rsidP="00D45252">
      <w:pPr>
        <w:rPr>
          <w:sz w:val="17"/>
          <w:szCs w:val="17"/>
        </w:rPr>
      </w:pPr>
      <w:r w:rsidRPr="009D30E6">
        <w:rPr>
          <w:sz w:val="17"/>
          <w:szCs w:val="17"/>
        </w:rPr>
        <w:separator/>
      </w:r>
    </w:p>
    <w:p w14:paraId="34306CAA" w14:textId="77777777" w:rsidR="009759B8" w:rsidRPr="009D30E6" w:rsidRDefault="009759B8" w:rsidP="00D45252">
      <w:pPr>
        <w:spacing w:after="60"/>
        <w:rPr>
          <w:sz w:val="17"/>
          <w:szCs w:val="17"/>
        </w:rPr>
      </w:pPr>
      <w:r w:rsidRPr="009D30E6">
        <w:rPr>
          <w:sz w:val="17"/>
          <w:szCs w:val="17"/>
        </w:rPr>
        <w:t>[Suite de la note de la page précédente]</w:t>
      </w:r>
    </w:p>
  </w:endnote>
  <w:endnote w:type="continuationNotice" w:id="1">
    <w:p w14:paraId="72401EFF" w14:textId="77777777" w:rsidR="009759B8" w:rsidRPr="009D30E6" w:rsidRDefault="009759B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F8F3" w14:textId="711D26B3"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D882" w14:textId="25315882"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E364" w14:textId="208B9073"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B005" w14:textId="77777777" w:rsidR="009759B8" w:rsidRDefault="009759B8">
      <w:r>
        <w:separator/>
      </w:r>
    </w:p>
  </w:footnote>
  <w:footnote w:type="continuationSeparator" w:id="0">
    <w:p w14:paraId="5D260741" w14:textId="77777777" w:rsidR="009759B8" w:rsidRDefault="009759B8" w:rsidP="007461F1">
      <w:r>
        <w:separator/>
      </w:r>
    </w:p>
    <w:p w14:paraId="16F11E8F" w14:textId="77777777" w:rsidR="009759B8" w:rsidRPr="009D30E6" w:rsidRDefault="009759B8" w:rsidP="007461F1">
      <w:pPr>
        <w:spacing w:after="60"/>
        <w:rPr>
          <w:sz w:val="17"/>
          <w:szCs w:val="17"/>
        </w:rPr>
      </w:pPr>
      <w:r w:rsidRPr="009D30E6">
        <w:rPr>
          <w:sz w:val="17"/>
          <w:szCs w:val="17"/>
        </w:rPr>
        <w:t>[Suite de la note de la page précédente]</w:t>
      </w:r>
    </w:p>
  </w:footnote>
  <w:footnote w:type="continuationNotice" w:id="1">
    <w:p w14:paraId="71D6BBA2" w14:textId="77777777" w:rsidR="009759B8" w:rsidRPr="009D30E6" w:rsidRDefault="009759B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255E" w14:textId="77777777" w:rsidR="009759B8" w:rsidRPr="002326AB" w:rsidRDefault="009759B8" w:rsidP="00B96EB2">
    <w:pPr>
      <w:rPr>
        <w:caps/>
      </w:rPr>
    </w:pPr>
    <w:r>
      <w:rPr>
        <w:caps/>
      </w:rPr>
      <w:t>PCT/CTC/33/xx</w:t>
    </w:r>
  </w:p>
  <w:p w14:paraId="43557093" w14:textId="77777777" w:rsidR="009759B8" w:rsidRDefault="009759B8" w:rsidP="00210D5F">
    <w:r>
      <w:fldChar w:fldCharType="begin"/>
    </w:r>
    <w:r>
      <w:instrText xml:space="preserve"> PAGE  \* MERGEFORMAT </w:instrText>
    </w:r>
    <w:r>
      <w:fldChar w:fldCharType="separate"/>
    </w:r>
    <w:r>
      <w:t>2</w:t>
    </w:r>
    <w:r>
      <w:fldChar w:fldCharType="end"/>
    </w:r>
  </w:p>
  <w:p w14:paraId="3FCC80AF" w14:textId="77777777" w:rsidR="009759B8" w:rsidRDefault="009759B8" w:rsidP="00210D5F"/>
  <w:p w14:paraId="237185C7" w14:textId="77777777" w:rsidR="009759B8" w:rsidRDefault="009759B8" w:rsidP="00210D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2B83" w14:textId="19C0D96C" w:rsidR="00F16975" w:rsidRPr="00B45C15" w:rsidRDefault="009759B8" w:rsidP="00477D6B">
    <w:pPr>
      <w:jc w:val="right"/>
      <w:rPr>
        <w:caps/>
      </w:rPr>
    </w:pPr>
    <w:bookmarkStart w:id="6" w:name="Code2"/>
    <w:bookmarkEnd w:id="6"/>
    <w:r>
      <w:rPr>
        <w:caps/>
      </w:rPr>
      <w:t>PCT/CTC/33/19</w:t>
    </w:r>
  </w:p>
  <w:p w14:paraId="20A4E3CF" w14:textId="79B7EC6A" w:rsidR="00574036" w:rsidRDefault="00BA2E42"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56EA" w14:textId="77777777" w:rsidR="00BA2E42" w:rsidRPr="00B45C15" w:rsidRDefault="00BA2E42" w:rsidP="00BA2E42">
    <w:pPr>
      <w:jc w:val="right"/>
      <w:rPr>
        <w:caps/>
      </w:rPr>
    </w:pPr>
    <w:r>
      <w:rPr>
        <w:caps/>
      </w:rPr>
      <w:t>PCT/CTC/33/19</w:t>
    </w:r>
  </w:p>
  <w:p w14:paraId="2D275D1E" w14:textId="433E3F46" w:rsidR="00BA2E42" w:rsidRDefault="00BA2E42" w:rsidP="00BA2E42">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956BF8"/>
    <w:multiLevelType w:val="hybridMultilevel"/>
    <w:tmpl w:val="BB8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CD25D0"/>
    <w:multiLevelType w:val="hybridMultilevel"/>
    <w:tmpl w:val="B0B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775FCD"/>
    <w:multiLevelType w:val="hybridMultilevel"/>
    <w:tmpl w:val="333028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60D75329"/>
    <w:multiLevelType w:val="hybridMultilevel"/>
    <w:tmpl w:val="05444C00"/>
    <w:lvl w:ilvl="0" w:tplc="0C38FAF6">
      <w:start w:val="1"/>
      <w:numFmt w:val="decimal"/>
      <w:lvlText w:val="%1)"/>
      <w:lvlJc w:val="left"/>
      <w:pPr>
        <w:ind w:left="525" w:hanging="360"/>
      </w:pPr>
      <w:rPr>
        <w:rFonts w:hint="default"/>
      </w:r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abstractNum w:abstractNumId="11" w15:restartNumberingAfterBreak="0">
    <w:nsid w:val="68235B64"/>
    <w:multiLevelType w:val="hybridMultilevel"/>
    <w:tmpl w:val="C04CBA0C"/>
    <w:lvl w:ilvl="0" w:tplc="0409000F">
      <w:start w:val="1"/>
      <w:numFmt w:val="decimal"/>
      <w:lvlText w:val="%1."/>
      <w:lvlJc w:val="left"/>
      <w:pPr>
        <w:ind w:left="1650" w:hanging="5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4C548F"/>
    <w:multiLevelType w:val="hybridMultilevel"/>
    <w:tmpl w:val="A68A651A"/>
    <w:lvl w:ilvl="0" w:tplc="CC5A20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5298">
    <w:abstractNumId w:val="2"/>
  </w:num>
  <w:num w:numId="2" w16cid:durableId="2120054960">
    <w:abstractNumId w:val="5"/>
  </w:num>
  <w:num w:numId="3" w16cid:durableId="757362259">
    <w:abstractNumId w:val="0"/>
  </w:num>
  <w:num w:numId="4" w16cid:durableId="1538662951">
    <w:abstractNumId w:val="7"/>
  </w:num>
  <w:num w:numId="5" w16cid:durableId="1333725512">
    <w:abstractNumId w:val="1"/>
  </w:num>
  <w:num w:numId="6" w16cid:durableId="1392774678">
    <w:abstractNumId w:val="3"/>
  </w:num>
  <w:num w:numId="7" w16cid:durableId="623774633">
    <w:abstractNumId w:val="9"/>
  </w:num>
  <w:num w:numId="8" w16cid:durableId="1548373712">
    <w:abstractNumId w:val="10"/>
  </w:num>
  <w:num w:numId="9" w16cid:durableId="1572542753">
    <w:abstractNumId w:val="11"/>
  </w:num>
  <w:num w:numId="10" w16cid:durableId="1269317275">
    <w:abstractNumId w:val="8"/>
  </w:num>
  <w:num w:numId="11" w16cid:durableId="1907841322">
    <w:abstractNumId w:val="4"/>
  </w:num>
  <w:num w:numId="12" w16cid:durableId="1741366248">
    <w:abstractNumId w:val="6"/>
  </w:num>
  <w:num w:numId="13" w16cid:durableId="1883248833">
    <w:abstractNumId w:val="12"/>
  </w:num>
  <w:num w:numId="14" w16cid:durableId="296305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B8"/>
    <w:rsid w:val="00011B7D"/>
    <w:rsid w:val="00075432"/>
    <w:rsid w:val="0009458A"/>
    <w:rsid w:val="000B2763"/>
    <w:rsid w:val="000F5E56"/>
    <w:rsid w:val="001362EE"/>
    <w:rsid w:val="001832A6"/>
    <w:rsid w:val="00195C6E"/>
    <w:rsid w:val="001B266A"/>
    <w:rsid w:val="001B488E"/>
    <w:rsid w:val="001C6508"/>
    <w:rsid w:val="001D3D56"/>
    <w:rsid w:val="00240654"/>
    <w:rsid w:val="002634C4"/>
    <w:rsid w:val="002956DE"/>
    <w:rsid w:val="002C4A5F"/>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5F1F4A"/>
    <w:rsid w:val="00605827"/>
    <w:rsid w:val="00616671"/>
    <w:rsid w:val="006519E3"/>
    <w:rsid w:val="0068189D"/>
    <w:rsid w:val="00697402"/>
    <w:rsid w:val="006B0DB5"/>
    <w:rsid w:val="007461F1"/>
    <w:rsid w:val="007B6EC7"/>
    <w:rsid w:val="007D6961"/>
    <w:rsid w:val="007F07CB"/>
    <w:rsid w:val="00810CEF"/>
    <w:rsid w:val="0081208D"/>
    <w:rsid w:val="008B2CC1"/>
    <w:rsid w:val="008D5821"/>
    <w:rsid w:val="008E7930"/>
    <w:rsid w:val="0090731E"/>
    <w:rsid w:val="00966A22"/>
    <w:rsid w:val="00974CD6"/>
    <w:rsid w:val="009759B8"/>
    <w:rsid w:val="00994696"/>
    <w:rsid w:val="009D30E6"/>
    <w:rsid w:val="009E3F6F"/>
    <w:rsid w:val="009F499F"/>
    <w:rsid w:val="00A11D74"/>
    <w:rsid w:val="00A57562"/>
    <w:rsid w:val="00AC0AE4"/>
    <w:rsid w:val="00AD61DB"/>
    <w:rsid w:val="00B1090C"/>
    <w:rsid w:val="00B35AF5"/>
    <w:rsid w:val="00B45C15"/>
    <w:rsid w:val="00BA2E42"/>
    <w:rsid w:val="00BE0BE0"/>
    <w:rsid w:val="00C664C8"/>
    <w:rsid w:val="00CD5DD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32BA"/>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67A77"/>
  <w15:docId w15:val="{9047B84C-BEBD-440C-801B-F3E92054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A2E42"/>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paragraph" w:customStyle="1" w:styleId="ONUMA">
    <w:name w:val="ONUM A"/>
    <w:basedOn w:val="BodyText"/>
    <w:rsid w:val="009759B8"/>
    <w:pPr>
      <w:numPr>
        <w:numId w:val="7"/>
      </w:numPr>
    </w:pPr>
    <w:rPr>
      <w:rFonts w:eastAsia="Times New Roman" w:cs="Calibri"/>
      <w:szCs w:val="22"/>
      <w:lang w:val="fr-FR" w:eastAsia="en-US"/>
    </w:rPr>
  </w:style>
  <w:style w:type="paragraph" w:styleId="ListParagraph">
    <w:name w:val="List Paragraph"/>
    <w:basedOn w:val="Normal"/>
    <w:link w:val="ListParagraphChar"/>
    <w:uiPriority w:val="34"/>
    <w:qFormat/>
    <w:rsid w:val="009759B8"/>
    <w:pPr>
      <w:ind w:left="720"/>
      <w:contextualSpacing/>
    </w:pPr>
    <w:rPr>
      <w:rFonts w:eastAsia="Times New Roman" w:cs="Calibri"/>
      <w:szCs w:val="22"/>
      <w:lang w:val="fr-FR" w:eastAsia="en-US"/>
    </w:rPr>
  </w:style>
  <w:style w:type="table" w:styleId="TableGrid">
    <w:name w:val="Table Grid"/>
    <w:basedOn w:val="TableNormal"/>
    <w:uiPriority w:val="39"/>
    <w:rsid w:val="009759B8"/>
    <w:rPr>
      <w:rFonts w:cs="Arial"/>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759B8"/>
    <w:rPr>
      <w:rFonts w:ascii="Arial" w:hAnsi="Arial" w:cs="Calibri"/>
      <w:sz w:val="22"/>
      <w:szCs w:val="22"/>
      <w:lang w:val="fr-FR" w:eastAsia="en-US"/>
    </w:rPr>
  </w:style>
  <w:style w:type="paragraph" w:customStyle="1" w:styleId="Paragraph">
    <w:name w:val="Paragraph"/>
    <w:basedOn w:val="Normal"/>
    <w:qFormat/>
    <w:rsid w:val="009759B8"/>
    <w:pPr>
      <w:keepLines/>
      <w:spacing w:before="240"/>
      <w:ind w:firstLine="567"/>
      <w:jc w:val="both"/>
    </w:pPr>
    <w:rPr>
      <w:rFonts w:eastAsiaTheme="minorHAnsi" w:cstheme="minorBidi"/>
      <w:sz w:val="24"/>
      <w:szCs w:val="24"/>
      <w:lang w:val="fr-FR" w:eastAsia="en-US"/>
    </w:rPr>
  </w:style>
  <w:style w:type="character" w:styleId="Hyperlink">
    <w:name w:val="Hyperlink"/>
    <w:basedOn w:val="DefaultParagraphFont"/>
    <w:unhideWhenUsed/>
    <w:rsid w:val="009759B8"/>
    <w:rPr>
      <w:color w:val="0000FF" w:themeColor="hyperlink"/>
      <w:u w:val="single"/>
    </w:rPr>
  </w:style>
  <w:style w:type="character" w:styleId="UnresolvedMention">
    <w:name w:val="Unresolved Mention"/>
    <w:basedOn w:val="DefaultParagraphFont"/>
    <w:uiPriority w:val="99"/>
    <w:semiHidden/>
    <w:unhideWhenUsed/>
    <w:rsid w:val="00CD5DD8"/>
    <w:rPr>
      <w:color w:val="605E5C"/>
      <w:shd w:val="clear" w:color="auto" w:fill="E1DFDD"/>
    </w:rPr>
  </w:style>
  <w:style w:type="character" w:styleId="FollowedHyperlink">
    <w:name w:val="FollowedHyperlink"/>
    <w:basedOn w:val="DefaultParagraphFont"/>
    <w:semiHidden/>
    <w:unhideWhenUsed/>
    <w:rsid w:val="00697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SA&amp;doc-lang=f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ctlegal.wipo.int/eGuide/view-doc.xhtml?doc-code=SA&amp;doc-lang=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fr/docs/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en/web/pct-system/quality/author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E7B35B49440D9AC52C4C92817B0D2"/>
        <w:category>
          <w:name w:val="General"/>
          <w:gallery w:val="placeholder"/>
        </w:category>
        <w:types>
          <w:type w:val="bbPlcHdr"/>
        </w:types>
        <w:behaviors>
          <w:behavior w:val="content"/>
        </w:behaviors>
        <w:guid w:val="{D2F67016-8D19-4933-8E1D-E223E493BDB7}"/>
      </w:docPartPr>
      <w:docPartBody>
        <w:p w:rsidR="00FA58D8" w:rsidRDefault="00FA58D8" w:rsidP="00FA58D8">
          <w:pPr>
            <w:pStyle w:val="BC5E7B35B49440D9AC52C4C92817B0D2"/>
          </w:pPr>
          <w:r>
            <w:rPr>
              <w:rStyle w:val="PlaceholderText"/>
              <w:rFonts w:hint="cs"/>
              <w:rtl/>
            </w:rPr>
            <w:t>يُرجى اختيار عنصر</w:t>
          </w:r>
        </w:p>
      </w:docPartBody>
    </w:docPart>
    <w:docPart>
      <w:docPartPr>
        <w:name w:val="36E9AF17D0CB4F5B981345773C7F2916"/>
        <w:category>
          <w:name w:val="General"/>
          <w:gallery w:val="placeholder"/>
        </w:category>
        <w:types>
          <w:type w:val="bbPlcHdr"/>
        </w:types>
        <w:behaviors>
          <w:behavior w:val="content"/>
        </w:behaviors>
        <w:guid w:val="{A5159D77-7D24-4857-A967-838ADFD4F695}"/>
      </w:docPartPr>
      <w:docPartBody>
        <w:p w:rsidR="00FA58D8" w:rsidRDefault="00FA58D8" w:rsidP="00FA58D8">
          <w:pPr>
            <w:pStyle w:val="36E9AF17D0CB4F5B981345773C7F2916"/>
          </w:pPr>
          <w:r>
            <w:rPr>
              <w:rStyle w:val="PlaceholderText"/>
              <w:rFonts w:hint="cs"/>
              <w:rtl/>
            </w:rPr>
            <w:t>يُرجى اختيار عنصر</w:t>
          </w:r>
        </w:p>
      </w:docPartBody>
    </w:docPart>
    <w:docPart>
      <w:docPartPr>
        <w:name w:val="E13832398B25430680982D42C3E3F1D9"/>
        <w:category>
          <w:name w:val="General"/>
          <w:gallery w:val="placeholder"/>
        </w:category>
        <w:types>
          <w:type w:val="bbPlcHdr"/>
        </w:types>
        <w:behaviors>
          <w:behavior w:val="content"/>
        </w:behaviors>
        <w:guid w:val="{20093EC6-EB18-44BD-AC5E-AEEAE28ABB46}"/>
      </w:docPartPr>
      <w:docPartBody>
        <w:p w:rsidR="00FA58D8" w:rsidRDefault="00FA58D8" w:rsidP="00FA58D8">
          <w:pPr>
            <w:pStyle w:val="E13832398B25430680982D42C3E3F1D9"/>
          </w:pPr>
          <w:r>
            <w:rPr>
              <w:rStyle w:val="PlaceholderText"/>
              <w:rFonts w:hint="cs"/>
              <w:rtl/>
            </w:rPr>
            <w:t>يُرجى اختيار عنصر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D8"/>
    <w:rsid w:val="002C4A5F"/>
    <w:rsid w:val="00994696"/>
    <w:rsid w:val="00FA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8D8"/>
    <w:rPr>
      <w:color w:val="666666"/>
    </w:rPr>
  </w:style>
  <w:style w:type="paragraph" w:customStyle="1" w:styleId="BC5E7B35B49440D9AC52C4C92817B0D2">
    <w:name w:val="BC5E7B35B49440D9AC52C4C92817B0D2"/>
    <w:rsid w:val="00FA58D8"/>
  </w:style>
  <w:style w:type="paragraph" w:customStyle="1" w:styleId="36E9AF17D0CB4F5B981345773C7F2916">
    <w:name w:val="36E9AF17D0CB4F5B981345773C7F2916"/>
    <w:rsid w:val="00FA58D8"/>
  </w:style>
  <w:style w:type="paragraph" w:customStyle="1" w:styleId="E13832398B25430680982D42C3E3F1D9">
    <w:name w:val="E13832398B25430680982D42C3E3F1D9"/>
    <w:rsid w:val="00FA5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10</TotalTime>
  <Pages>7</Pages>
  <Words>1816</Words>
  <Characters>11142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PCT/CTC/33/19</vt:lpstr>
    </vt:vector>
  </TitlesOfParts>
  <Company>WIPO</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PCT/CTC/33/19</dc:title>
  <dc:subject>PROLONGATION DE LA NOMINATION DE L’AUTORITE SAOUDIENNE DE LA PROPRIETE INTELLECTUELLE EN QUALITE D’ADMINISTRATION CHARGEE DE LA RECHERCHE INTERNATIONALE ET DE L’EXAMEN PRELIMINAIRE INTERNATIONAL SELON LE PCT</dc:subject>
  <dc:creator>OLIVIÉ Karen</dc:creator>
  <cp:keywords>FOR OFFICIAL USE ONLY</cp:keywords>
  <dc:description>French</dc:description>
  <cp:lastModifiedBy>MARLOW Thomas</cp:lastModifiedBy>
  <cp:revision>3</cp:revision>
  <cp:lastPrinted>2026-01-13T15:22:00Z</cp:lastPrinted>
  <dcterms:created xsi:type="dcterms:W3CDTF">2026-01-13T15:22:00Z</dcterms:created>
  <dcterms:modified xsi:type="dcterms:W3CDTF">2026-01-13T15:22:00Z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2026-01-13T13:33:25Z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d9276ecb-c378-438a-aa43-a25f0e85d7b6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