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82FE" w14:textId="77777777" w:rsidR="008B2CC1" w:rsidRPr="005A0FF1" w:rsidRDefault="0040540C" w:rsidP="00170579">
      <w:pPr>
        <w:pBdr>
          <w:bottom w:val="single" w:sz="4" w:space="10" w:color="auto"/>
        </w:pBdr>
        <w:spacing w:after="120"/>
        <w:jc w:val="right"/>
        <w:rPr>
          <w:lang w:val="fr-FR"/>
        </w:rPr>
      </w:pPr>
      <w:r w:rsidRPr="005A0FF1">
        <w:rPr>
          <w:noProof/>
          <w:lang w:val="fr-FR" w:eastAsia="en-US"/>
        </w:rPr>
        <w:drawing>
          <wp:inline distT="0" distB="0" distL="0" distR="0" wp14:anchorId="3034A87C" wp14:editId="6F307A5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7D80F49" w14:textId="6FDA8F47" w:rsidR="00B1090C" w:rsidRPr="005A0FF1" w:rsidRDefault="00EF529F" w:rsidP="00170579">
      <w:pPr>
        <w:jc w:val="right"/>
        <w:rPr>
          <w:rFonts w:ascii="Arial Black" w:hAnsi="Arial Black"/>
          <w:caps/>
          <w:sz w:val="15"/>
          <w:lang w:val="fr-FR"/>
        </w:rPr>
      </w:pPr>
      <w:r w:rsidRPr="005A0FF1">
        <w:rPr>
          <w:rFonts w:ascii="Arial Black" w:hAnsi="Arial Black"/>
          <w:caps/>
          <w:sz w:val="15"/>
          <w:lang w:val="fr-FR"/>
        </w:rPr>
        <w:t>PCT/CTC/3</w:t>
      </w:r>
      <w:r w:rsidR="0068189D" w:rsidRPr="005A0FF1">
        <w:rPr>
          <w:rFonts w:ascii="Arial Black" w:hAnsi="Arial Black"/>
          <w:caps/>
          <w:sz w:val="15"/>
          <w:lang w:val="fr-FR"/>
        </w:rPr>
        <w:t>3</w:t>
      </w:r>
      <w:r w:rsidRPr="005A0FF1">
        <w:rPr>
          <w:rFonts w:ascii="Arial Black" w:hAnsi="Arial Black"/>
          <w:caps/>
          <w:sz w:val="15"/>
          <w:lang w:val="fr-FR"/>
        </w:rPr>
        <w:t>/</w:t>
      </w:r>
      <w:bookmarkStart w:id="0" w:name="Code"/>
      <w:bookmarkEnd w:id="0"/>
      <w:r w:rsidR="0059339D" w:rsidRPr="005A0FF1">
        <w:rPr>
          <w:rFonts w:ascii="Arial Black" w:hAnsi="Arial Black"/>
          <w:caps/>
          <w:sz w:val="15"/>
          <w:lang w:val="fr-FR"/>
        </w:rPr>
        <w:t>17</w:t>
      </w:r>
    </w:p>
    <w:p w14:paraId="26CF2229" w14:textId="72D71398" w:rsidR="008B2CC1" w:rsidRPr="005A0FF1" w:rsidRDefault="00B1090C" w:rsidP="00170579">
      <w:pPr>
        <w:jc w:val="right"/>
        <w:rPr>
          <w:rFonts w:ascii="Arial Black" w:hAnsi="Arial Black"/>
          <w:sz w:val="15"/>
          <w:szCs w:val="15"/>
          <w:lang w:val="fr-FR"/>
        </w:rPr>
      </w:pPr>
      <w:r w:rsidRPr="005A0FF1">
        <w:rPr>
          <w:rFonts w:ascii="Arial Black" w:hAnsi="Arial Black"/>
          <w:caps/>
          <w:sz w:val="15"/>
          <w:szCs w:val="15"/>
          <w:lang w:val="fr-FR"/>
        </w:rPr>
        <w:t>ORIGINAL</w:t>
      </w:r>
      <w:r w:rsidR="00170579" w:rsidRPr="005A0FF1">
        <w:rPr>
          <w:rFonts w:ascii="Arial Black" w:hAnsi="Arial Black"/>
          <w:caps/>
          <w:sz w:val="15"/>
          <w:szCs w:val="15"/>
          <w:lang w:val="fr-FR"/>
        </w:rPr>
        <w:t> :</w:t>
      </w:r>
      <w:r w:rsidR="002956DE" w:rsidRPr="005A0FF1">
        <w:rPr>
          <w:rFonts w:ascii="Arial Black" w:hAnsi="Arial Black"/>
          <w:caps/>
          <w:sz w:val="15"/>
          <w:szCs w:val="15"/>
          <w:lang w:val="fr-FR"/>
        </w:rPr>
        <w:t xml:space="preserve"> </w:t>
      </w:r>
      <w:bookmarkStart w:id="1" w:name="Original"/>
      <w:r w:rsidR="0059339D" w:rsidRPr="005A0FF1">
        <w:rPr>
          <w:rFonts w:ascii="Arial Black" w:hAnsi="Arial Black"/>
          <w:caps/>
          <w:sz w:val="15"/>
          <w:szCs w:val="15"/>
          <w:lang w:val="fr-FR"/>
        </w:rPr>
        <w:t>anglais</w:t>
      </w:r>
    </w:p>
    <w:bookmarkEnd w:id="1"/>
    <w:p w14:paraId="735E5309" w14:textId="64ED7530" w:rsidR="008B2CC1" w:rsidRPr="005A0FF1" w:rsidRDefault="00B1090C" w:rsidP="00170579">
      <w:pPr>
        <w:spacing w:after="1200"/>
        <w:jc w:val="right"/>
        <w:rPr>
          <w:rFonts w:ascii="Arial Black" w:hAnsi="Arial Black"/>
          <w:sz w:val="15"/>
          <w:szCs w:val="15"/>
          <w:lang w:val="fr-FR"/>
        </w:rPr>
      </w:pPr>
      <w:r w:rsidRPr="005A0FF1">
        <w:rPr>
          <w:rFonts w:ascii="Arial Black" w:hAnsi="Arial Black"/>
          <w:caps/>
          <w:sz w:val="15"/>
          <w:szCs w:val="15"/>
          <w:lang w:val="fr-FR"/>
        </w:rPr>
        <w:t>DATE</w:t>
      </w:r>
      <w:r w:rsidR="00170579" w:rsidRPr="005A0FF1">
        <w:rPr>
          <w:rFonts w:ascii="Arial Black" w:hAnsi="Arial Black"/>
          <w:caps/>
          <w:sz w:val="15"/>
          <w:szCs w:val="15"/>
          <w:lang w:val="fr-FR"/>
        </w:rPr>
        <w:t> :</w:t>
      </w:r>
      <w:r w:rsidR="002956DE" w:rsidRPr="005A0FF1">
        <w:rPr>
          <w:rFonts w:ascii="Arial Black" w:hAnsi="Arial Black"/>
          <w:caps/>
          <w:sz w:val="15"/>
          <w:szCs w:val="15"/>
          <w:lang w:val="fr-FR"/>
        </w:rPr>
        <w:t xml:space="preserve"> </w:t>
      </w:r>
      <w:bookmarkStart w:id="2" w:name="Date"/>
      <w:r w:rsidR="0059339D" w:rsidRPr="005A0FF1">
        <w:rPr>
          <w:rFonts w:ascii="Arial Black" w:hAnsi="Arial Black"/>
          <w:caps/>
          <w:sz w:val="15"/>
          <w:szCs w:val="15"/>
          <w:lang w:val="fr-FR"/>
        </w:rPr>
        <w:t>19 décembre 2025</w:t>
      </w:r>
    </w:p>
    <w:bookmarkEnd w:id="2"/>
    <w:p w14:paraId="04A47FCD" w14:textId="29541244" w:rsidR="003845C1" w:rsidRPr="005A0FF1" w:rsidRDefault="00EF529F" w:rsidP="00170579">
      <w:pPr>
        <w:pStyle w:val="Title"/>
        <w:rPr>
          <w:lang w:val="fr-FR"/>
        </w:rPr>
      </w:pPr>
      <w:r w:rsidRPr="005A0FF1">
        <w:rPr>
          <w:lang w:val="fr-FR"/>
        </w:rPr>
        <w:t>Traité de coopération en matière de brevets (PCT)</w:t>
      </w:r>
      <w:r w:rsidRPr="005A0FF1">
        <w:rPr>
          <w:lang w:val="fr-FR"/>
        </w:rPr>
        <w:br/>
        <w:t>Comité de coopération technique</w:t>
      </w:r>
    </w:p>
    <w:p w14:paraId="35C794F2" w14:textId="36B7798E" w:rsidR="00FE19E9" w:rsidRPr="005A0FF1" w:rsidRDefault="00EF529F" w:rsidP="00170579">
      <w:pPr>
        <w:outlineLvl w:val="1"/>
        <w:rPr>
          <w:b/>
          <w:sz w:val="24"/>
          <w:szCs w:val="24"/>
          <w:lang w:val="fr-FR"/>
        </w:rPr>
      </w:pPr>
      <w:r w:rsidRPr="005A0FF1">
        <w:rPr>
          <w:b/>
          <w:sz w:val="24"/>
          <w:szCs w:val="24"/>
          <w:lang w:val="fr-FR"/>
        </w:rPr>
        <w:t>Trente</w:t>
      </w:r>
      <w:r w:rsidR="005A0FF1">
        <w:rPr>
          <w:b/>
          <w:sz w:val="24"/>
          <w:szCs w:val="24"/>
          <w:lang w:val="fr-FR"/>
        </w:rPr>
        <w:noBreakHyphen/>
      </w:r>
      <w:r w:rsidR="0068189D" w:rsidRPr="005A0FF1">
        <w:rPr>
          <w:b/>
          <w:sz w:val="24"/>
          <w:szCs w:val="24"/>
          <w:lang w:val="fr-FR"/>
        </w:rPr>
        <w:t>trois</w:t>
      </w:r>
      <w:r w:rsidR="00170579" w:rsidRPr="005A0FF1">
        <w:rPr>
          <w:b/>
          <w:sz w:val="24"/>
          <w:szCs w:val="24"/>
          <w:lang w:val="fr-FR"/>
        </w:rPr>
        <w:t>ième session</w:t>
      </w:r>
    </w:p>
    <w:p w14:paraId="44A9C79A" w14:textId="218D5A16" w:rsidR="008B2CC1" w:rsidRPr="005A0FF1" w:rsidRDefault="00EF529F" w:rsidP="00170579">
      <w:pPr>
        <w:spacing w:after="720"/>
        <w:outlineLvl w:val="1"/>
        <w:rPr>
          <w:b/>
          <w:sz w:val="24"/>
          <w:szCs w:val="24"/>
          <w:lang w:val="fr-FR"/>
        </w:rPr>
      </w:pPr>
      <w:r w:rsidRPr="005A0FF1">
        <w:rPr>
          <w:b/>
          <w:sz w:val="24"/>
          <w:szCs w:val="24"/>
          <w:lang w:val="fr-FR"/>
        </w:rPr>
        <w:t xml:space="preserve">Genève, </w:t>
      </w:r>
      <w:r w:rsidR="0068189D" w:rsidRPr="005A0FF1">
        <w:rPr>
          <w:b/>
          <w:sz w:val="24"/>
          <w:szCs w:val="24"/>
          <w:lang w:val="fr-FR"/>
        </w:rPr>
        <w:t>2</w:t>
      </w:r>
      <w:r w:rsidRPr="005A0FF1">
        <w:rPr>
          <w:b/>
          <w:sz w:val="24"/>
          <w:szCs w:val="24"/>
          <w:lang w:val="fr-FR"/>
        </w:rPr>
        <w:t xml:space="preserve"> – </w:t>
      </w:r>
      <w:r w:rsidR="00170579" w:rsidRPr="005A0FF1">
        <w:rPr>
          <w:b/>
          <w:sz w:val="24"/>
          <w:szCs w:val="24"/>
          <w:lang w:val="fr-FR"/>
        </w:rPr>
        <w:t>6 février</w:t>
      </w:r>
      <w:r w:rsidR="0068189D" w:rsidRPr="005A0FF1">
        <w:rPr>
          <w:b/>
          <w:sz w:val="24"/>
          <w:szCs w:val="24"/>
          <w:lang w:val="fr-FR"/>
        </w:rPr>
        <w:t> </w:t>
      </w:r>
      <w:r w:rsidRPr="005A0FF1">
        <w:rPr>
          <w:b/>
          <w:sz w:val="24"/>
          <w:szCs w:val="24"/>
          <w:lang w:val="fr-FR"/>
        </w:rPr>
        <w:t>202</w:t>
      </w:r>
      <w:r w:rsidR="0068189D" w:rsidRPr="005A0FF1">
        <w:rPr>
          <w:b/>
          <w:sz w:val="24"/>
          <w:szCs w:val="24"/>
          <w:lang w:val="fr-FR"/>
        </w:rPr>
        <w:t>6</w:t>
      </w:r>
    </w:p>
    <w:p w14:paraId="20FA3692" w14:textId="7CF90602" w:rsidR="00170579" w:rsidRPr="005A0FF1" w:rsidRDefault="0059339D" w:rsidP="00170579">
      <w:pPr>
        <w:spacing w:after="360"/>
        <w:outlineLvl w:val="0"/>
        <w:rPr>
          <w:caps/>
          <w:sz w:val="24"/>
          <w:lang w:val="fr-FR"/>
        </w:rPr>
      </w:pPr>
      <w:bookmarkStart w:id="3" w:name="TitleOfDoc"/>
      <w:r w:rsidRPr="005A0FF1">
        <w:rPr>
          <w:caps/>
          <w:sz w:val="24"/>
          <w:lang w:val="fr-FR"/>
        </w:rPr>
        <w:t>PROLONGATION DE LA NOMINATION DE L</w:t>
      </w:r>
      <w:r w:rsidR="00170579" w:rsidRPr="005A0FF1">
        <w:rPr>
          <w:caps/>
          <w:sz w:val="24"/>
          <w:lang w:val="fr-FR"/>
        </w:rPr>
        <w:t>’</w:t>
      </w:r>
      <w:r w:rsidRPr="005A0FF1">
        <w:rPr>
          <w:caps/>
          <w:sz w:val="24"/>
          <w:lang w:val="fr-FR"/>
        </w:rPr>
        <w:t>OFFICE DE LA PROPRIÉTÉ INTELLECTUELLE DES PHILIPPINES EN QUALITÉ D</w:t>
      </w:r>
      <w:r w:rsidR="00170579" w:rsidRPr="005A0FF1">
        <w:rPr>
          <w:caps/>
          <w:sz w:val="24"/>
          <w:lang w:val="fr-FR"/>
        </w:rPr>
        <w:t>’</w:t>
      </w:r>
      <w:r w:rsidRPr="005A0FF1">
        <w:rPr>
          <w:caps/>
          <w:sz w:val="24"/>
          <w:lang w:val="fr-FR"/>
        </w:rPr>
        <w:t>ADMINISTRATION CHARGÉE DE LA RECHERCHE INTERNATIONALE ET DE L</w:t>
      </w:r>
      <w:r w:rsidR="00170579" w:rsidRPr="005A0FF1">
        <w:rPr>
          <w:caps/>
          <w:sz w:val="24"/>
          <w:lang w:val="fr-FR"/>
        </w:rPr>
        <w:t>’</w:t>
      </w:r>
      <w:r w:rsidRPr="005A0FF1">
        <w:rPr>
          <w:caps/>
          <w:sz w:val="24"/>
          <w:lang w:val="fr-FR"/>
        </w:rPr>
        <w:t>EXAMEN PRÉLIMINAIRE INTERNATIONAL SELON LE PCT</w:t>
      </w:r>
    </w:p>
    <w:p w14:paraId="32D8511D" w14:textId="2A192055" w:rsidR="0059339D" w:rsidRPr="005A0FF1" w:rsidRDefault="0059339D" w:rsidP="00170579">
      <w:pPr>
        <w:spacing w:after="1040"/>
        <w:rPr>
          <w:i/>
          <w:lang w:val="fr-FR"/>
        </w:rPr>
      </w:pPr>
      <w:bookmarkStart w:id="4" w:name="Prepared"/>
      <w:bookmarkEnd w:id="3"/>
      <w:bookmarkEnd w:id="4"/>
      <w:r w:rsidRPr="005A0FF1">
        <w:rPr>
          <w:i/>
          <w:lang w:val="fr-FR"/>
        </w:rPr>
        <w:t>Document établi par le Bureau international</w:t>
      </w:r>
    </w:p>
    <w:p w14:paraId="2FACA465" w14:textId="4FCC7BD8" w:rsidR="0059339D" w:rsidRPr="005A0FF1" w:rsidRDefault="0059339D" w:rsidP="00170579">
      <w:pPr>
        <w:spacing w:after="220"/>
        <w:rPr>
          <w:lang w:val="fr-FR"/>
        </w:rPr>
      </w:pPr>
      <w:r w:rsidRPr="005A0FF1">
        <w:rPr>
          <w:lang w:val="fr-FR"/>
        </w:rPr>
        <w:t>1.</w:t>
      </w:r>
      <w:r w:rsidRPr="005A0FF1">
        <w:rPr>
          <w:lang w:val="fr-FR"/>
        </w:rPr>
        <w:tab/>
        <w:t>Toutes les administrations internationales existantes ont été nommées par l</w:t>
      </w:r>
      <w:r w:rsidR="00170579" w:rsidRPr="005A0FF1">
        <w:rPr>
          <w:lang w:val="fr-FR"/>
        </w:rPr>
        <w:t>’</w:t>
      </w:r>
      <w:r w:rsidRPr="005A0FF1">
        <w:rPr>
          <w:lang w:val="fr-FR"/>
        </w:rPr>
        <w:t>Assemblée de l</w:t>
      </w:r>
      <w:r w:rsidR="00170579" w:rsidRPr="005A0FF1">
        <w:rPr>
          <w:lang w:val="fr-FR"/>
        </w:rPr>
        <w:t>’</w:t>
      </w:r>
      <w:r w:rsidRPr="005A0FF1">
        <w:rPr>
          <w:lang w:val="fr-FR"/>
        </w:rPr>
        <w:t>Union</w:t>
      </w:r>
      <w:r w:rsidR="00170579" w:rsidRPr="005A0FF1">
        <w:rPr>
          <w:lang w:val="fr-FR"/>
        </w:rPr>
        <w:t xml:space="preserve"> du PCT</w:t>
      </w:r>
      <w:r w:rsidRPr="005A0FF1">
        <w:rPr>
          <w:lang w:val="fr-FR"/>
        </w:rPr>
        <w:t xml:space="preserve"> pour une période s</w:t>
      </w:r>
      <w:r w:rsidR="00170579" w:rsidRPr="005A0FF1">
        <w:rPr>
          <w:lang w:val="fr-FR"/>
        </w:rPr>
        <w:t>’</w:t>
      </w:r>
      <w:r w:rsidRPr="005A0FF1">
        <w:rPr>
          <w:lang w:val="fr-FR"/>
        </w:rPr>
        <w:t>achevant le 31 </w:t>
      </w:r>
      <w:r w:rsidR="00170579" w:rsidRPr="005A0FF1">
        <w:rPr>
          <w:lang w:val="fr-FR"/>
        </w:rPr>
        <w:t>décembre 20</w:t>
      </w:r>
      <w:r w:rsidRPr="005A0FF1">
        <w:rPr>
          <w:lang w:val="fr-FR"/>
        </w:rPr>
        <w:t>27.  Avant l</w:t>
      </w:r>
      <w:r w:rsidR="00170579" w:rsidRPr="005A0FF1">
        <w:rPr>
          <w:lang w:val="fr-FR"/>
        </w:rPr>
        <w:t>’</w:t>
      </w:r>
      <w:r w:rsidRPr="005A0FF1">
        <w:rPr>
          <w:lang w:val="fr-FR"/>
        </w:rPr>
        <w:t>expiration de ce délai, l</w:t>
      </w:r>
      <w:r w:rsidR="00170579" w:rsidRPr="005A0FF1">
        <w:rPr>
          <w:lang w:val="fr-FR"/>
        </w:rPr>
        <w:t>’</w:t>
      </w:r>
      <w:r w:rsidRPr="005A0FF1">
        <w:rPr>
          <w:lang w:val="fr-FR"/>
        </w:rPr>
        <w:t>assemblée devra se prononcer sur la prolongation de la nomination de chaque administration internationale existante qui souhaite demander une telle prolongation, après avoir sollicité l</w:t>
      </w:r>
      <w:r w:rsidR="00170579" w:rsidRPr="005A0FF1">
        <w:rPr>
          <w:lang w:val="fr-FR"/>
        </w:rPr>
        <w:t>’</w:t>
      </w:r>
      <w:r w:rsidRPr="005A0FF1">
        <w:rPr>
          <w:lang w:val="fr-FR"/>
        </w:rPr>
        <w:t>avis du comité (voir les articles 16.3.e) et 32.3)</w:t>
      </w:r>
      <w:r w:rsidR="00170579" w:rsidRPr="005A0FF1">
        <w:rPr>
          <w:lang w:val="fr-FR"/>
        </w:rPr>
        <w:t xml:space="preserve"> du PCT</w:t>
      </w:r>
      <w:r w:rsidRPr="005A0FF1">
        <w:rPr>
          <w:lang w:val="fr-FR"/>
        </w:rPr>
        <w:t>).  Les informations relatives à cette procédure ainsi qu</w:t>
      </w:r>
      <w:r w:rsidR="00170579" w:rsidRPr="005A0FF1">
        <w:rPr>
          <w:lang w:val="fr-FR"/>
        </w:rPr>
        <w:t>’</w:t>
      </w:r>
      <w:r w:rsidRPr="005A0FF1">
        <w:rPr>
          <w:lang w:val="fr-FR"/>
        </w:rPr>
        <w:t xml:space="preserve">au rôle du comité figurent dans le </w:t>
      </w:r>
      <w:r w:rsidR="00170579" w:rsidRPr="005A0FF1">
        <w:rPr>
          <w:lang w:val="fr-FR"/>
        </w:rPr>
        <w:t>document</w:t>
      </w:r>
      <w:r w:rsidR="005A0FF1">
        <w:rPr>
          <w:lang w:val="fr-FR"/>
        </w:rPr>
        <w:t> </w:t>
      </w:r>
      <w:r w:rsidR="00170579" w:rsidRPr="005A0FF1">
        <w:rPr>
          <w:lang w:val="fr-FR"/>
        </w:rPr>
        <w:t>PC</w:t>
      </w:r>
      <w:r w:rsidRPr="005A0FF1">
        <w:rPr>
          <w:lang w:val="fr-FR"/>
        </w:rPr>
        <w:t>T/CTC/33/INF/1.</w:t>
      </w:r>
    </w:p>
    <w:p w14:paraId="0D2B8EE3" w14:textId="36D4F0B0" w:rsidR="0059339D" w:rsidRPr="005A0FF1" w:rsidRDefault="0059339D" w:rsidP="00170579">
      <w:pPr>
        <w:spacing w:after="220"/>
        <w:rPr>
          <w:lang w:val="fr-FR"/>
        </w:rPr>
      </w:pPr>
      <w:r w:rsidRPr="005A0FF1">
        <w:rPr>
          <w:lang w:val="fr-FR"/>
        </w:rPr>
        <w:t>2.</w:t>
      </w:r>
      <w:r w:rsidRPr="005A0FF1">
        <w:rPr>
          <w:lang w:val="fr-FR"/>
        </w:rPr>
        <w:tab/>
        <w:t>Le 22 octobre 2025, l</w:t>
      </w:r>
      <w:r w:rsidR="00170579" w:rsidRPr="005A0FF1">
        <w:rPr>
          <w:lang w:val="fr-FR"/>
        </w:rPr>
        <w:t>’</w:t>
      </w:r>
      <w:r w:rsidRPr="005A0FF1">
        <w:rPr>
          <w:lang w:val="fr-FR"/>
        </w:rPr>
        <w:t>Office de la propriété intellectuelle des Philippines a présenté une demande de prolongation de sa nomination, qui est reproduite à l</w:t>
      </w:r>
      <w:r w:rsidR="00170579" w:rsidRPr="005A0FF1">
        <w:rPr>
          <w:lang w:val="fr-FR"/>
        </w:rPr>
        <w:t>’</w:t>
      </w:r>
      <w:r w:rsidRPr="005A0FF1">
        <w:rPr>
          <w:lang w:val="fr-FR"/>
        </w:rPr>
        <w:t>annexe du présent document.</w:t>
      </w:r>
    </w:p>
    <w:p w14:paraId="5B1545EC" w14:textId="77777777" w:rsidR="0059339D" w:rsidRPr="005A0FF1" w:rsidRDefault="0059339D" w:rsidP="00170579">
      <w:pPr>
        <w:spacing w:after="220"/>
        <w:ind w:left="5533"/>
        <w:rPr>
          <w:i/>
          <w:lang w:val="fr-FR"/>
        </w:rPr>
      </w:pPr>
      <w:r w:rsidRPr="005A0FF1">
        <w:rPr>
          <w:i/>
          <w:lang w:val="fr-FR"/>
        </w:rPr>
        <w:t>3.</w:t>
      </w:r>
      <w:r w:rsidRPr="005A0FF1">
        <w:rPr>
          <w:i/>
          <w:lang w:val="fr-FR"/>
        </w:rPr>
        <w:tab/>
        <w:t>Le comité est invité à faire part de son avis sur cette question.</w:t>
      </w:r>
    </w:p>
    <w:p w14:paraId="587A69CB" w14:textId="1CD0AE03" w:rsidR="0059339D" w:rsidRPr="005A0FF1" w:rsidRDefault="0059339D" w:rsidP="005A0FF1">
      <w:pPr>
        <w:pStyle w:val="Endofdocument-Annex"/>
        <w:sectPr w:rsidR="0059339D" w:rsidRPr="005A0FF1" w:rsidSect="00170579">
          <w:headerReference w:type="default" r:id="rId9"/>
          <w:endnotePr>
            <w:numFmt w:val="decimal"/>
          </w:endnotePr>
          <w:pgSz w:w="11907" w:h="16840" w:code="9"/>
          <w:pgMar w:top="567" w:right="1134" w:bottom="1418" w:left="1418" w:header="510" w:footer="1021" w:gutter="0"/>
          <w:cols w:space="720"/>
          <w:titlePg/>
          <w:docGrid w:linePitch="299"/>
        </w:sectPr>
      </w:pPr>
      <w:r w:rsidRPr="005A0FF1">
        <w:t>[L</w:t>
      </w:r>
      <w:r w:rsidR="00170579" w:rsidRPr="005A0FF1">
        <w:t>’</w:t>
      </w:r>
      <w:r w:rsidRPr="005A0FF1">
        <w:t>annexe suit]</w:t>
      </w:r>
    </w:p>
    <w:p w14:paraId="187AE2F9" w14:textId="7D1F2B73" w:rsidR="0059339D" w:rsidRPr="005A0FF1" w:rsidRDefault="0059339D" w:rsidP="00170579">
      <w:pPr>
        <w:pStyle w:val="Heading2"/>
        <w:jc w:val="center"/>
        <w:rPr>
          <w:lang w:val="fr-FR"/>
        </w:rPr>
      </w:pPr>
      <w:r w:rsidRPr="005A0FF1">
        <w:rPr>
          <w:lang w:val="fr-FR"/>
        </w:rPr>
        <w:lastRenderedPageBreak/>
        <w:t>Demande de prolongation de la nomination en qualité d</w:t>
      </w:r>
      <w:r w:rsidR="00170579" w:rsidRPr="005A0FF1">
        <w:rPr>
          <w:lang w:val="fr-FR"/>
        </w:rPr>
        <w:t>’</w:t>
      </w:r>
      <w:r w:rsidRPr="005A0FF1">
        <w:rPr>
          <w:lang w:val="fr-FR"/>
        </w:rPr>
        <w:t>administration chargée de la recherche internationale et de l</w:t>
      </w:r>
      <w:r w:rsidR="00170579" w:rsidRPr="005A0FF1">
        <w:rPr>
          <w:lang w:val="fr-FR"/>
        </w:rPr>
        <w:t>’</w:t>
      </w:r>
      <w:r w:rsidRPr="005A0FF1">
        <w:rPr>
          <w:lang w:val="fr-FR"/>
        </w:rPr>
        <w:t>examen préliminaire international selon</w:t>
      </w:r>
      <w:r w:rsidR="00170579" w:rsidRPr="005A0FF1">
        <w:rPr>
          <w:lang w:val="fr-FR"/>
        </w:rPr>
        <w:t xml:space="preserve"> le PCT</w:t>
      </w:r>
    </w:p>
    <w:p w14:paraId="3D622221" w14:textId="77777777" w:rsidR="0059339D" w:rsidRPr="005A0FF1" w:rsidRDefault="0059339D" w:rsidP="00170579">
      <w:pPr>
        <w:pStyle w:val="SectionHeading"/>
        <w:rPr>
          <w:lang w:val="fr-FR"/>
        </w:rPr>
      </w:pPr>
      <w:r w:rsidRPr="005A0FF1">
        <w:rPr>
          <w:lang w:val="fr-FR"/>
        </w:rPr>
        <w:t>1 – Généralités</w:t>
      </w:r>
    </w:p>
    <w:p w14:paraId="78C42440" w14:textId="064E4EBE" w:rsidR="0059339D" w:rsidRPr="005A0FF1" w:rsidRDefault="0059339D" w:rsidP="00170579">
      <w:pPr>
        <w:pStyle w:val="Question"/>
        <w:spacing w:after="240"/>
      </w:pPr>
      <w:r w:rsidRPr="005A0FF1">
        <w:t>a)</w:t>
      </w:r>
      <w:r w:rsidRPr="005A0FF1">
        <w:tab/>
        <w:t>Nom de l</w:t>
      </w:r>
      <w:r w:rsidR="00170579" w:rsidRPr="005A0FF1">
        <w:t>’</w:t>
      </w:r>
      <w:r w:rsidRPr="005A0FF1">
        <w:t>office ou de l</w:t>
      </w:r>
      <w:r w:rsidR="00170579" w:rsidRPr="005A0FF1">
        <w:t>’</w:t>
      </w:r>
      <w:r w:rsidRPr="005A0FF1">
        <w:t>organisation intergouvernementale</w:t>
      </w:r>
      <w:r w:rsidR="00170579" w:rsidRPr="005A0FF1">
        <w:t> :</w:t>
      </w:r>
    </w:p>
    <w:p w14:paraId="17AFAA68" w14:textId="77777777" w:rsidR="0059339D" w:rsidRPr="005A0FF1" w:rsidRDefault="0059339D" w:rsidP="00170579">
      <w:pPr>
        <w:pStyle w:val="Answer"/>
        <w:ind w:left="0"/>
        <w:rPr>
          <w:color w:val="000000" w:themeColor="text1"/>
        </w:rPr>
      </w:pPr>
      <w:r w:rsidRPr="005A0FF1">
        <w:rPr>
          <w:color w:val="000000" w:themeColor="text1"/>
        </w:rPr>
        <w:t>Office de la propriété intellectuelle des Philippines (IPOPHL)</w:t>
      </w:r>
    </w:p>
    <w:p w14:paraId="492914B3" w14:textId="1199ED7F" w:rsidR="0059339D" w:rsidRPr="005A0FF1" w:rsidRDefault="0059339D" w:rsidP="00170579">
      <w:pPr>
        <w:pStyle w:val="Question"/>
        <w:spacing w:after="240"/>
      </w:pPr>
      <w:r w:rsidRPr="005A0FF1">
        <w:t>b)</w:t>
      </w:r>
      <w:r w:rsidRPr="005A0FF1">
        <w:tab/>
        <w:t>Nom et coordonnées du fonctionnaire pour toute question relative à la présente demande</w:t>
      </w:r>
      <w:r w:rsidR="00170579" w:rsidRPr="005A0FF1">
        <w:t> :</w:t>
      </w:r>
    </w:p>
    <w:p w14:paraId="480BE45A" w14:textId="77777777" w:rsidR="0059339D" w:rsidRPr="005A0FF1" w:rsidRDefault="0059339D" w:rsidP="00170579">
      <w:pPr>
        <w:pStyle w:val="Answer"/>
        <w:spacing w:after="0"/>
        <w:ind w:left="0"/>
        <w:rPr>
          <w:color w:val="000000" w:themeColor="text1"/>
        </w:rPr>
      </w:pPr>
      <w:r w:rsidRPr="005A0FF1">
        <w:rPr>
          <w:color w:val="000000" w:themeColor="text1"/>
        </w:rPr>
        <w:t>Maria Cristina P. DE GUZMAN, responsable du Bureau des brevets, Office de la propriété intellectuelle des Philippines</w:t>
      </w:r>
    </w:p>
    <w:p w14:paraId="41E0A3BB" w14:textId="3973712B" w:rsidR="00170579" w:rsidRPr="005A0FF1" w:rsidRDefault="0059339D" w:rsidP="00170579">
      <w:pPr>
        <w:pStyle w:val="Answer"/>
        <w:ind w:left="0"/>
        <w:rPr>
          <w:color w:val="1F497D" w:themeColor="text2"/>
          <w:u w:val="single"/>
        </w:rPr>
      </w:pPr>
      <w:hyperlink r:id="rId10" w:history="1">
        <w:r w:rsidRPr="005A0FF1">
          <w:rPr>
            <w:rStyle w:val="Hyperlink"/>
          </w:rPr>
          <w:t>cristina.deguzman@ipophl.gov.ph</w:t>
        </w:r>
      </w:hyperlink>
    </w:p>
    <w:p w14:paraId="53BB7D70" w14:textId="728F503C" w:rsidR="0059339D" w:rsidRPr="005A0FF1" w:rsidRDefault="0059339D" w:rsidP="00170579">
      <w:pPr>
        <w:pStyle w:val="Question"/>
      </w:pPr>
      <w:r w:rsidRPr="005A0FF1">
        <w:t>c)</w:t>
      </w:r>
      <w:r w:rsidRPr="005A0FF1">
        <w:tab/>
        <w:t>Date à laquelle le Directeur général a reçu la demande de prolongation de la nomination</w:t>
      </w:r>
      <w:r w:rsidR="00170579" w:rsidRPr="005A0FF1">
        <w:t> :</w:t>
      </w:r>
    </w:p>
    <w:p w14:paraId="5AC80E13" w14:textId="0BCADC8B" w:rsidR="0059339D" w:rsidRPr="005A0FF1" w:rsidRDefault="0059339D" w:rsidP="00170579">
      <w:pPr>
        <w:pStyle w:val="Answer"/>
      </w:pPr>
      <w:r w:rsidRPr="005A0FF1">
        <w:t>22 </w:t>
      </w:r>
      <w:r w:rsidR="00170579" w:rsidRPr="005A0FF1">
        <w:t>octobre 20</w:t>
      </w:r>
      <w:r w:rsidRPr="005A0FF1">
        <w:t>25</w:t>
      </w:r>
    </w:p>
    <w:p w14:paraId="47D0C751" w14:textId="77777777" w:rsidR="0059339D" w:rsidRPr="005A0FF1" w:rsidRDefault="0059339D" w:rsidP="00170579">
      <w:pPr>
        <w:pStyle w:val="SectionHeading"/>
        <w:rPr>
          <w:lang w:val="fr-FR"/>
        </w:rPr>
      </w:pPr>
      <w:r w:rsidRPr="005A0FF1">
        <w:rPr>
          <w:lang w:val="fr-FR"/>
        </w:rPr>
        <w:t>2 – Exigences minimales applicables à la nomination</w:t>
      </w:r>
    </w:p>
    <w:p w14:paraId="2F7B5527" w14:textId="736D575F" w:rsidR="0059339D" w:rsidRPr="005A0FF1" w:rsidRDefault="0059339D" w:rsidP="00170579">
      <w:pPr>
        <w:rPr>
          <w:lang w:val="fr-FR"/>
        </w:rPr>
      </w:pPr>
      <w:r w:rsidRPr="005A0FF1">
        <w:rPr>
          <w:lang w:val="fr-FR"/>
        </w:rPr>
        <w:t>Outre le rapport annuel sur le système de gestion de la qualité de l</w:t>
      </w:r>
      <w:r w:rsidR="00170579" w:rsidRPr="005A0FF1">
        <w:rPr>
          <w:lang w:val="fr-FR"/>
        </w:rPr>
        <w:t>’</w:t>
      </w:r>
      <w:r w:rsidRPr="005A0FF1">
        <w:rPr>
          <w:lang w:val="fr-FR"/>
        </w:rPr>
        <w:t>office ou de l</w:t>
      </w:r>
      <w:r w:rsidR="00170579" w:rsidRPr="005A0FF1">
        <w:rPr>
          <w:lang w:val="fr-FR"/>
        </w:rPr>
        <w:t>’</w:t>
      </w:r>
      <w:r w:rsidRPr="005A0FF1">
        <w:rPr>
          <w:lang w:val="fr-FR"/>
        </w:rPr>
        <w:t xml:space="preserve">organisation </w:t>
      </w:r>
      <w:r w:rsidR="00170579" w:rsidRPr="005A0FF1">
        <w:rPr>
          <w:lang w:val="fr-FR"/>
        </w:rPr>
        <w:t>pour 2025</w:t>
      </w:r>
      <w:r w:rsidRPr="005A0FF1">
        <w:rPr>
          <w:lang w:val="fr-FR"/>
        </w:rPr>
        <w:t xml:space="preserve"> (</w:t>
      </w:r>
      <w:hyperlink r:id="rId11" w:anchor="PH" w:history="1">
        <w:r w:rsidRPr="005A0FF1">
          <w:rPr>
            <w:rStyle w:val="Hyperlink"/>
            <w:lang w:val="fr-FR"/>
          </w:rPr>
          <w:t>https://www.wipo.int/en/web/pct</w:t>
        </w:r>
        <w:r w:rsidR="005A0FF1">
          <w:rPr>
            <w:rStyle w:val="Hyperlink"/>
            <w:lang w:val="fr-FR"/>
          </w:rPr>
          <w:noBreakHyphen/>
        </w:r>
        <w:r w:rsidRPr="005A0FF1">
          <w:rPr>
            <w:rStyle w:val="Hyperlink"/>
            <w:lang w:val="fr-FR"/>
          </w:rPr>
          <w:t>system/quality/authorities#PH</w:t>
        </w:r>
      </w:hyperlink>
      <w:r w:rsidRPr="005A0FF1">
        <w:rPr>
          <w:lang w:val="fr-FR"/>
        </w:rPr>
        <w:t>) établi conformément aux paragraphes 21.31 et 21.32 des Directives relatives à la recherche internationale et à l</w:t>
      </w:r>
      <w:r w:rsidR="00170579" w:rsidRPr="005A0FF1">
        <w:rPr>
          <w:lang w:val="fr-FR"/>
        </w:rPr>
        <w:t>’</w:t>
      </w:r>
      <w:r w:rsidRPr="005A0FF1">
        <w:rPr>
          <w:lang w:val="fr-FR"/>
        </w:rPr>
        <w:t>examen préliminaire international (ci</w:t>
      </w:r>
      <w:r w:rsidR="005A0FF1">
        <w:rPr>
          <w:lang w:val="fr-FR"/>
        </w:rPr>
        <w:noBreakHyphen/>
      </w:r>
      <w:r w:rsidRPr="005A0FF1">
        <w:rPr>
          <w:lang w:val="fr-FR"/>
        </w:rPr>
        <w:t>après dénommées “directives”), l</w:t>
      </w:r>
      <w:r w:rsidR="00170579" w:rsidRPr="005A0FF1">
        <w:rPr>
          <w:lang w:val="fr-FR"/>
        </w:rPr>
        <w:t>’</w:t>
      </w:r>
      <w:r w:rsidRPr="005A0FF1">
        <w:rPr>
          <w:lang w:val="fr-FR"/>
        </w:rPr>
        <w:t>administration fournit les informations ci</w:t>
      </w:r>
      <w:r w:rsidR="005A0FF1">
        <w:rPr>
          <w:lang w:val="fr-FR"/>
        </w:rPr>
        <w:noBreakHyphen/>
      </w:r>
      <w:r w:rsidRPr="005A0FF1">
        <w:rPr>
          <w:lang w:val="fr-FR"/>
        </w:rPr>
        <w:t>après.</w:t>
      </w:r>
    </w:p>
    <w:p w14:paraId="297E9422" w14:textId="12E37840" w:rsidR="0059339D" w:rsidRPr="005A0FF1" w:rsidRDefault="0059339D" w:rsidP="00170579">
      <w:pPr>
        <w:pStyle w:val="SectionHeading"/>
        <w:rPr>
          <w:lang w:val="fr-FR"/>
        </w:rPr>
      </w:pPr>
      <w:r w:rsidRPr="005A0FF1">
        <w:rPr>
          <w:lang w:val="fr-FR"/>
        </w:rPr>
        <w:t>2.1 – Capacité en matière de recherche et d</w:t>
      </w:r>
      <w:r w:rsidR="00170579" w:rsidRPr="005A0FF1">
        <w:rPr>
          <w:lang w:val="fr-FR"/>
        </w:rPr>
        <w:t>’</w:t>
      </w:r>
      <w:r w:rsidRPr="005A0FF1">
        <w:rPr>
          <w:lang w:val="fr-FR"/>
        </w:rPr>
        <w:t>examen</w:t>
      </w:r>
    </w:p>
    <w:p w14:paraId="7805A375" w14:textId="597C5E7C" w:rsidR="0059339D" w:rsidRPr="005A0FF1" w:rsidRDefault="0059339D" w:rsidP="00170579">
      <w:pPr>
        <w:pStyle w:val="RuleQuote"/>
      </w:pPr>
      <w:r w:rsidRPr="005A0FF1">
        <w:t>Règles 36.1.i) et 63.1.i)</w:t>
      </w:r>
      <w:r w:rsidR="00170579" w:rsidRPr="005A0FF1">
        <w:t> :</w:t>
      </w:r>
      <w:r w:rsidRPr="005A0FF1">
        <w:t xml:space="preserve"> L</w:t>
      </w:r>
      <w:r w:rsidR="00170579" w:rsidRPr="005A0FF1">
        <w:t>’</w:t>
      </w:r>
      <w:r w:rsidRPr="005A0FF1">
        <w:t>office national ou l</w:t>
      </w:r>
      <w:r w:rsidR="00170579" w:rsidRPr="005A0FF1">
        <w:t>’</w:t>
      </w:r>
      <w:r w:rsidRPr="005A0FF1">
        <w:t>organisation intergouvernementale doit avoir au moins cent employés à plein temps possédant des qualifications techniques suffisantes pour procéder aux recherches et aux examens.</w:t>
      </w:r>
    </w:p>
    <w:p w14:paraId="0B5CA7CF" w14:textId="0B1521FD" w:rsidR="0059339D" w:rsidRPr="005A0FF1" w:rsidRDefault="0059339D" w:rsidP="00170579">
      <w:pPr>
        <w:pStyle w:val="RuleQuote"/>
        <w:ind w:left="0" w:right="53"/>
        <w:rPr>
          <w:i w:val="0"/>
          <w:iCs w:val="0"/>
        </w:rPr>
      </w:pPr>
      <w:r w:rsidRPr="005A0FF1">
        <w:rPr>
          <w:i w:val="0"/>
        </w:rPr>
        <w:t>Le rapport sur le système de gestion de la qualité fournit des informations de l</w:t>
      </w:r>
      <w:r w:rsidR="00170579" w:rsidRPr="005A0FF1">
        <w:rPr>
          <w:i w:val="0"/>
        </w:rPr>
        <w:t>’</w:t>
      </w:r>
      <w:r w:rsidRPr="005A0FF1">
        <w:rPr>
          <w:i w:val="0"/>
        </w:rPr>
        <w:t>administration sur l</w:t>
      </w:r>
      <w:r w:rsidR="00170579" w:rsidRPr="005A0FF1">
        <w:rPr>
          <w:i w:val="0"/>
        </w:rPr>
        <w:t>’</w:t>
      </w:r>
      <w:r w:rsidRPr="005A0FF1">
        <w:rPr>
          <w:i w:val="0"/>
        </w:rPr>
        <w:t>infrastructure mise en place pour garantir un personnel techniquement qualifié suffisamment nombreux, conformément au paragraphe 21.</w:t>
      </w:r>
      <w:proofErr w:type="gramStart"/>
      <w:r w:rsidRPr="005A0FF1">
        <w:rPr>
          <w:i w:val="0"/>
        </w:rPr>
        <w:t>15.i</w:t>
      </w:r>
      <w:proofErr w:type="gramEnd"/>
      <w:r w:rsidRPr="005A0FF1">
        <w:rPr>
          <w:i w:val="0"/>
        </w:rPr>
        <w:t>) des directives, et sur les programmes de formation et de perfectionnement destinés au personnel participant au processus de recherche et d</w:t>
      </w:r>
      <w:r w:rsidR="00170579" w:rsidRPr="005A0FF1">
        <w:rPr>
          <w:i w:val="0"/>
        </w:rPr>
        <w:t>’</w:t>
      </w:r>
      <w:r w:rsidRPr="005A0FF1">
        <w:rPr>
          <w:i w:val="0"/>
        </w:rPr>
        <w:t>examen, conformément au paragraphe 21.15.vi).  L</w:t>
      </w:r>
      <w:r w:rsidR="00170579" w:rsidRPr="005A0FF1">
        <w:rPr>
          <w:i w:val="0"/>
        </w:rPr>
        <w:t>’</w:t>
      </w:r>
      <w:r w:rsidRPr="005A0FF1">
        <w:rPr>
          <w:i w:val="0"/>
        </w:rPr>
        <w:t>administration inclut également les informations ci</w:t>
      </w:r>
      <w:r w:rsidR="005A0FF1">
        <w:rPr>
          <w:i w:val="0"/>
        </w:rPr>
        <w:noBreakHyphen/>
      </w:r>
      <w:r w:rsidRPr="005A0FF1">
        <w:rPr>
          <w:i w:val="0"/>
        </w:rPr>
        <w:t>après sur le nombre d</w:t>
      </w:r>
      <w:r w:rsidR="00170579" w:rsidRPr="005A0FF1">
        <w:rPr>
          <w:i w:val="0"/>
        </w:rPr>
        <w:t>’</w:t>
      </w:r>
      <w:r w:rsidRPr="005A0FF1">
        <w:rPr>
          <w:i w:val="0"/>
        </w:rPr>
        <w:t>employés qualifiés pour procéder à la recherche et à l</w:t>
      </w:r>
      <w:r w:rsidR="00170579" w:rsidRPr="005A0FF1">
        <w:rPr>
          <w:i w:val="0"/>
        </w:rPr>
        <w:t>’</w:t>
      </w:r>
      <w:r w:rsidRPr="005A0FF1">
        <w:rPr>
          <w:i w:val="0"/>
        </w:rPr>
        <w:t>examen.</w:t>
      </w:r>
    </w:p>
    <w:p w14:paraId="7C9E5DAD" w14:textId="0D6ACC4D"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L</w:t>
      </w:r>
      <w:r w:rsidR="00170579" w:rsidRPr="005A0FF1">
        <w:rPr>
          <w:rFonts w:ascii="Helvetica" w:hAnsi="Helvetica"/>
          <w:i/>
          <w:color w:val="000000" w:themeColor="text1"/>
          <w:lang w:val="fr-FR"/>
        </w:rPr>
        <w:t>’</w:t>
      </w:r>
      <w:r w:rsidRPr="005A0FF1">
        <w:rPr>
          <w:rFonts w:ascii="Helvetica" w:hAnsi="Helvetica"/>
          <w:i/>
          <w:color w:val="000000" w:themeColor="text1"/>
          <w:lang w:val="fr-FR"/>
        </w:rPr>
        <w:t>IPOPHL remplit les critères définis pour la nomination en qualité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administration chargée de la recherche internationale et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administration chargée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 préliminaire international, en termes de nombre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examinateurs à plein temps possédant des qualifications techniques suffisantes pour procéder à la recherche et à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w:t>
      </w:r>
      <w:r w:rsidR="005A0FF1" w:rsidRPr="005A0FF1">
        <w:rPr>
          <w:rFonts w:ascii="Helvetica" w:hAnsi="Helvetica"/>
          <w:i/>
          <w:color w:val="000000" w:themeColor="text1"/>
          <w:lang w:val="fr-FR"/>
        </w:rPr>
        <w:t>en.  L’o</w:t>
      </w:r>
      <w:r w:rsidRPr="005A0FF1">
        <w:rPr>
          <w:rFonts w:ascii="Helvetica" w:hAnsi="Helvetica"/>
          <w:i/>
          <w:color w:val="000000" w:themeColor="text1"/>
          <w:lang w:val="fr-FR"/>
        </w:rPr>
        <w:t xml:space="preserve">ffice emploie actuellement 122 examinateurs de brevets titulaires de diplômes dans divers </w:t>
      </w:r>
      <w:r w:rsidRPr="005A0FF1">
        <w:rPr>
          <w:rFonts w:ascii="Helvetica" w:hAnsi="Helvetica"/>
          <w:i/>
          <w:color w:val="000000" w:themeColor="text1"/>
          <w:lang w:val="fr-FR"/>
        </w:rPr>
        <w:lastRenderedPageBreak/>
        <w:t>domaines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ingénierie et des sciences et ayant acquis une expérience considérable dans la recherche et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 en matière de brevets.</w:t>
      </w:r>
    </w:p>
    <w:p w14:paraId="627CBFDD" w14:textId="77777777" w:rsidR="0059339D" w:rsidRPr="005A0FF1" w:rsidRDefault="0059339D" w:rsidP="005A0FF1">
      <w:pPr>
        <w:ind w:left="567"/>
        <w:jc w:val="both"/>
        <w:rPr>
          <w:rFonts w:ascii="Helvetica" w:hAnsi="Helvetica" w:cs="Helvetica"/>
          <w:i/>
          <w:iCs/>
          <w:color w:val="000000" w:themeColor="text1"/>
          <w:szCs w:val="22"/>
          <w:lang w:val="fr-FR"/>
        </w:rPr>
      </w:pPr>
    </w:p>
    <w:p w14:paraId="66D9719A" w14:textId="62D28A28"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Afin de garantir un réservoir durable de spécialistes,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de la propriété intellectuelle des Philippines recrute en permanence de nouveaux examinateurs dans le cadre de sa stratégie de renforcement des capacit</w:t>
      </w:r>
      <w:r w:rsidR="005A0FF1" w:rsidRPr="005A0FF1">
        <w:rPr>
          <w:rFonts w:ascii="Helvetica" w:hAnsi="Helvetica"/>
          <w:i/>
          <w:color w:val="000000" w:themeColor="text1"/>
          <w:lang w:val="fr-FR"/>
        </w:rPr>
        <w:t xml:space="preserve">és.  </w:t>
      </w:r>
      <w:r w:rsidR="005A0FF1" w:rsidRPr="005A0FF1">
        <w:rPr>
          <w:rFonts w:ascii="Helvetica" w:hAnsi="Helvetica"/>
          <w:i/>
          <w:iCs/>
          <w:color w:val="000000" w:themeColor="text1"/>
          <w:lang w:val="fr-FR"/>
        </w:rPr>
        <w:t>To</w:t>
      </w:r>
      <w:r w:rsidRPr="005A0FF1">
        <w:rPr>
          <w:rFonts w:ascii="Helvetica" w:hAnsi="Helvetica"/>
          <w:i/>
          <w:iCs/>
          <w:color w:val="000000" w:themeColor="text1"/>
          <w:lang w:val="fr-FR"/>
        </w:rPr>
        <w:t>us les nouveaux employés suivent le programme de formation professionnelle pour l</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examen des brevets, un enseignement structuré, complet et axé sur les compétences, conçu pour leur permettre d</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acquérir les compétences et les connaissances nécessaires à la recherche et à l</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examen en matière de breve</w:t>
      </w:r>
      <w:r w:rsidR="005A0FF1" w:rsidRPr="005A0FF1">
        <w:rPr>
          <w:rFonts w:ascii="Helvetica" w:hAnsi="Helvetica"/>
          <w:i/>
          <w:iCs/>
          <w:color w:val="000000" w:themeColor="text1"/>
          <w:lang w:val="fr-FR"/>
        </w:rPr>
        <w:t xml:space="preserve">ts.  </w:t>
      </w:r>
      <w:r w:rsidR="005A0FF1" w:rsidRPr="005A0FF1">
        <w:rPr>
          <w:rFonts w:ascii="Helvetica" w:hAnsi="Helvetica"/>
          <w:i/>
          <w:color w:val="000000" w:themeColor="text1"/>
          <w:lang w:val="fr-FR"/>
        </w:rPr>
        <w:t>De</w:t>
      </w:r>
      <w:r w:rsidRPr="005A0FF1">
        <w:rPr>
          <w:rFonts w:ascii="Helvetica" w:hAnsi="Helvetica"/>
          <w:i/>
          <w:color w:val="000000" w:themeColor="text1"/>
          <w:lang w:val="fr-FR"/>
        </w:rPr>
        <w:t xml:space="preserve"> plus,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reste très engagé en faveur de la formation contin</w:t>
      </w:r>
      <w:r w:rsidR="005A0FF1" w:rsidRPr="005A0FF1">
        <w:rPr>
          <w:rFonts w:ascii="Helvetica" w:hAnsi="Helvetica"/>
          <w:i/>
          <w:color w:val="000000" w:themeColor="text1"/>
          <w:lang w:val="fr-FR"/>
        </w:rPr>
        <w:t>ue.  To</w:t>
      </w:r>
      <w:r w:rsidRPr="005A0FF1">
        <w:rPr>
          <w:rFonts w:ascii="Helvetica" w:hAnsi="Helvetica"/>
          <w:i/>
          <w:color w:val="000000" w:themeColor="text1"/>
          <w:lang w:val="fr-FR"/>
        </w:rPr>
        <w:t>us les examinateurs participent régulièrement à des programmes de formation internes et externes visant à améliorer encore leurs compétences techniques et leurs capacités en matière de recherche et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w:t>
      </w:r>
    </w:p>
    <w:p w14:paraId="3EE80580" w14:textId="77777777" w:rsidR="0059339D" w:rsidRPr="005A0FF1" w:rsidRDefault="0059339D" w:rsidP="005A0FF1">
      <w:pPr>
        <w:ind w:left="567"/>
        <w:jc w:val="both"/>
        <w:rPr>
          <w:rFonts w:ascii="Helvetica" w:hAnsi="Helvetica" w:cs="Helvetica"/>
          <w:i/>
          <w:iCs/>
          <w:color w:val="000000" w:themeColor="text1"/>
          <w:szCs w:val="22"/>
          <w:lang w:val="fr-FR"/>
        </w:rPr>
      </w:pPr>
    </w:p>
    <w:p w14:paraId="6627D032" w14:textId="385BF36E"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Comme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exige la Commission de la fonction publique (CSC) des Philippines, les examinateurs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IPOPHL sont titulaires de diplômes en ingénierie, en sciences naturelles, en médecine et autres sciences connex</w:t>
      </w:r>
      <w:r w:rsidR="005A0FF1" w:rsidRPr="005A0FF1">
        <w:rPr>
          <w:rFonts w:ascii="Helvetica" w:hAnsi="Helvetica"/>
          <w:i/>
          <w:color w:val="000000" w:themeColor="text1"/>
          <w:lang w:val="fr-FR"/>
        </w:rPr>
        <w:t>es.  En</w:t>
      </w:r>
      <w:r w:rsidRPr="005A0FF1">
        <w:rPr>
          <w:rFonts w:ascii="Helvetica" w:hAnsi="Helvetica"/>
          <w:i/>
          <w:color w:val="000000" w:themeColor="text1"/>
          <w:lang w:val="fr-FR"/>
        </w:rPr>
        <w:t xml:space="preserve"> outre, les examinateurs doivent réussir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aptitude professionnelle approprié organisé par la Commission de réglementation professionnelle (PRC) ou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 équivalent du service d</w:t>
      </w:r>
      <w:r w:rsidR="00170579" w:rsidRPr="005A0FF1">
        <w:rPr>
          <w:rFonts w:ascii="Helvetica" w:hAnsi="Helvetica"/>
          <w:i/>
          <w:color w:val="000000" w:themeColor="text1"/>
          <w:lang w:val="fr-FR"/>
        </w:rPr>
        <w:t>’</w:t>
      </w:r>
      <w:r w:rsidRPr="005A0FF1">
        <w:rPr>
          <w:rFonts w:ascii="Helvetica" w:hAnsi="Helvetica"/>
          <w:i/>
          <w:color w:val="000000" w:themeColor="text1"/>
          <w:lang w:val="fr-FR"/>
        </w:rPr>
        <w:t>orientation professionnelle prescrit par</w:t>
      </w:r>
      <w:r w:rsidR="00170579" w:rsidRPr="005A0FF1">
        <w:rPr>
          <w:rFonts w:ascii="Helvetica" w:hAnsi="Helvetica"/>
          <w:i/>
          <w:color w:val="000000" w:themeColor="text1"/>
          <w:lang w:val="fr-FR"/>
        </w:rPr>
        <w:t xml:space="preserve"> la CSC</w:t>
      </w:r>
      <w:r w:rsidRPr="005A0FF1">
        <w:rPr>
          <w:rFonts w:ascii="Helvetica" w:hAnsi="Helvetica"/>
          <w:i/>
          <w:color w:val="000000" w:themeColor="text1"/>
          <w:lang w:val="fr-FR"/>
        </w:rPr>
        <w:t>.</w:t>
      </w:r>
    </w:p>
    <w:p w14:paraId="206B000F" w14:textId="77777777" w:rsidR="0059339D" w:rsidRPr="005A0FF1" w:rsidRDefault="0059339D" w:rsidP="005A0FF1">
      <w:pPr>
        <w:ind w:left="567"/>
        <w:jc w:val="both"/>
        <w:rPr>
          <w:rFonts w:ascii="Helvetica" w:hAnsi="Helvetica" w:cs="Helvetica"/>
          <w:i/>
          <w:iCs/>
          <w:color w:val="000000" w:themeColor="text1"/>
          <w:szCs w:val="22"/>
          <w:highlight w:val="green"/>
          <w:lang w:val="fr-FR"/>
        </w:rPr>
      </w:pPr>
    </w:p>
    <w:p w14:paraId="43EDF686" w14:textId="4F20577D"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Un nombre important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examinateurs sont titulaires de diplômes d</w:t>
      </w:r>
      <w:r w:rsidR="00170579" w:rsidRPr="005A0FF1">
        <w:rPr>
          <w:rFonts w:ascii="Helvetica" w:hAnsi="Helvetica"/>
          <w:i/>
          <w:color w:val="000000" w:themeColor="text1"/>
          <w:lang w:val="fr-FR"/>
        </w:rPr>
        <w:t>’</w:t>
      </w:r>
      <w:r w:rsidRPr="005A0FF1">
        <w:rPr>
          <w:rFonts w:ascii="Helvetica" w:hAnsi="Helvetica"/>
          <w:i/>
          <w:color w:val="000000" w:themeColor="text1"/>
          <w:lang w:val="fr-FR"/>
        </w:rPr>
        <w:t>études supérieures ou suivent des études postuniversitaires, avec le soutien total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w:t>
      </w:r>
      <w:r w:rsidR="005A0FF1" w:rsidRPr="005A0FF1">
        <w:rPr>
          <w:rFonts w:ascii="Helvetica" w:hAnsi="Helvetica"/>
          <w:i/>
          <w:color w:val="000000" w:themeColor="text1"/>
          <w:lang w:val="fr-FR"/>
        </w:rPr>
        <w:t xml:space="preserve">ce.  </w:t>
      </w:r>
      <w:r w:rsidR="005A0FF1" w:rsidRPr="005A0FF1">
        <w:rPr>
          <w:rFonts w:ascii="Helvetica" w:hAnsi="Helvetica"/>
          <w:i/>
          <w:iCs/>
          <w:color w:val="000000" w:themeColor="text1"/>
          <w:lang w:val="fr-FR"/>
        </w:rPr>
        <w:t>Af</w:t>
      </w:r>
      <w:r w:rsidRPr="005A0FF1">
        <w:rPr>
          <w:rFonts w:ascii="Helvetica" w:hAnsi="Helvetica"/>
          <w:i/>
          <w:iCs/>
          <w:color w:val="000000" w:themeColor="text1"/>
          <w:lang w:val="fr-FR"/>
        </w:rPr>
        <w:t>in de renforcer davantage son expertise technique, l</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office a établi des partenariats avec deux des principales universités scientifiques et techniques du pays, l</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Université MAPUA (MU) et l</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Université de La Salle, pour la mise en œuvre de programmes d</w:t>
      </w:r>
      <w:r w:rsidR="00170579" w:rsidRPr="005A0FF1">
        <w:rPr>
          <w:rFonts w:ascii="Helvetica" w:hAnsi="Helvetica"/>
          <w:i/>
          <w:iCs/>
          <w:color w:val="000000" w:themeColor="text1"/>
          <w:lang w:val="fr-FR"/>
        </w:rPr>
        <w:t>’</w:t>
      </w:r>
      <w:r w:rsidRPr="005A0FF1">
        <w:rPr>
          <w:rFonts w:ascii="Helvetica" w:hAnsi="Helvetica"/>
          <w:i/>
          <w:iCs/>
          <w:color w:val="000000" w:themeColor="text1"/>
          <w:lang w:val="fr-FR"/>
        </w:rPr>
        <w:t>études supérieures spécialis</w:t>
      </w:r>
      <w:r w:rsidR="005A0FF1" w:rsidRPr="005A0FF1">
        <w:rPr>
          <w:rFonts w:ascii="Helvetica" w:hAnsi="Helvetica"/>
          <w:i/>
          <w:iCs/>
          <w:color w:val="000000" w:themeColor="text1"/>
          <w:lang w:val="fr-FR"/>
        </w:rPr>
        <w:t xml:space="preserve">és.  </w:t>
      </w:r>
      <w:r w:rsidR="005A0FF1" w:rsidRPr="005A0FF1">
        <w:rPr>
          <w:rFonts w:ascii="Helvetica" w:hAnsi="Helvetica"/>
          <w:i/>
          <w:color w:val="000000" w:themeColor="text1"/>
          <w:lang w:val="fr-FR"/>
        </w:rPr>
        <w:t>Ce</w:t>
      </w:r>
      <w:r w:rsidRPr="005A0FF1">
        <w:rPr>
          <w:rFonts w:ascii="Helvetica" w:hAnsi="Helvetica"/>
          <w:i/>
          <w:color w:val="000000" w:themeColor="text1"/>
          <w:lang w:val="fr-FR"/>
        </w:rPr>
        <w:t>s programmes sont conçus pour doter les examinateurs des compétences techniques nécessaires pour traiter les demandes de brevet dans des domaines technologiques très spécialisés et émergents.</w:t>
      </w:r>
    </w:p>
    <w:p w14:paraId="1B173990" w14:textId="77777777" w:rsidR="0059339D" w:rsidRPr="005A0FF1" w:rsidRDefault="0059339D" w:rsidP="005A0FF1">
      <w:pPr>
        <w:ind w:left="567"/>
        <w:jc w:val="both"/>
        <w:rPr>
          <w:rFonts w:ascii="Helvetica" w:hAnsi="Helvetica" w:cs="Helvetica"/>
          <w:i/>
          <w:iCs/>
          <w:color w:val="000000" w:themeColor="text1"/>
          <w:szCs w:val="22"/>
          <w:lang w:val="fr-FR"/>
        </w:rPr>
      </w:pPr>
    </w:p>
    <w:p w14:paraId="65081CB5" w14:textId="6DAC2385"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Grâce à ces partenariats, plusieurs examinateurs ont obtenu leur maîtrise en bio</w:t>
      </w:r>
      <w:r w:rsidR="005A0FF1">
        <w:rPr>
          <w:rFonts w:ascii="Helvetica" w:hAnsi="Helvetica"/>
          <w:i/>
          <w:color w:val="000000" w:themeColor="text1"/>
          <w:lang w:val="fr-FR"/>
        </w:rPr>
        <w:noBreakHyphen/>
      </w:r>
      <w:r w:rsidRPr="005A0FF1">
        <w:rPr>
          <w:rFonts w:ascii="Helvetica" w:hAnsi="Helvetica"/>
          <w:i/>
          <w:color w:val="000000" w:themeColor="text1"/>
          <w:lang w:val="fr-FR"/>
        </w:rPr>
        <w:t>ingénier</w:t>
      </w:r>
      <w:r w:rsidR="005A0FF1" w:rsidRPr="005A0FF1">
        <w:rPr>
          <w:rFonts w:ascii="Helvetica" w:hAnsi="Helvetica"/>
          <w:i/>
          <w:color w:val="000000" w:themeColor="text1"/>
          <w:lang w:val="fr-FR"/>
        </w:rPr>
        <w:t>ie.  D’a</w:t>
      </w:r>
      <w:r w:rsidRPr="005A0FF1">
        <w:rPr>
          <w:rFonts w:ascii="Helvetica" w:hAnsi="Helvetica"/>
          <w:i/>
          <w:color w:val="000000" w:themeColor="text1"/>
          <w:lang w:val="fr-FR"/>
        </w:rPr>
        <w:t>utres groupes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examinateurs suivent actuellement des études supérieures, notamment des maîtrises en microélectronique, en biologie et en ingénierie médica</w:t>
      </w:r>
      <w:r w:rsidR="005A0FF1" w:rsidRPr="005A0FF1">
        <w:rPr>
          <w:rFonts w:ascii="Helvetica" w:hAnsi="Helvetica"/>
          <w:i/>
          <w:color w:val="000000" w:themeColor="text1"/>
          <w:lang w:val="fr-FR"/>
        </w:rPr>
        <w:t>le.  Pa</w:t>
      </w:r>
      <w:r w:rsidRPr="005A0FF1">
        <w:rPr>
          <w:rFonts w:ascii="Helvetica" w:hAnsi="Helvetica"/>
          <w:i/>
          <w:color w:val="000000" w:themeColor="text1"/>
          <w:lang w:val="fr-FR"/>
        </w:rPr>
        <w:t>r ailleurs, certains examinateurs suivent des programmes de maîtrise dans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autres universités prestigieuses des Philippines, tandis que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autres suivent des études de droit afin d</w:t>
      </w:r>
      <w:r w:rsidR="00170579" w:rsidRPr="005A0FF1">
        <w:rPr>
          <w:rFonts w:ascii="Helvetica" w:hAnsi="Helvetica"/>
          <w:i/>
          <w:color w:val="000000" w:themeColor="text1"/>
          <w:lang w:val="fr-FR"/>
        </w:rPr>
        <w:t>’</w:t>
      </w:r>
      <w:r w:rsidRPr="005A0FF1">
        <w:rPr>
          <w:rFonts w:ascii="Helvetica" w:hAnsi="Helvetica"/>
          <w:i/>
          <w:color w:val="000000" w:themeColor="text1"/>
          <w:lang w:val="fr-FR"/>
        </w:rPr>
        <w:t>élargir encore leurs compétences en matière de propriété intellectuelle et dans les disciplines connexes.</w:t>
      </w:r>
    </w:p>
    <w:p w14:paraId="03422BF7" w14:textId="77777777" w:rsidR="0059339D" w:rsidRPr="005A0FF1" w:rsidRDefault="0059339D" w:rsidP="005A0FF1">
      <w:pPr>
        <w:ind w:left="567"/>
        <w:jc w:val="both"/>
        <w:rPr>
          <w:rFonts w:ascii="Helvetica" w:hAnsi="Helvetica" w:cs="Helvetica"/>
          <w:i/>
          <w:iCs/>
          <w:color w:val="000000" w:themeColor="text1"/>
          <w:szCs w:val="22"/>
          <w:lang w:val="fr-FR"/>
        </w:rPr>
      </w:pPr>
    </w:p>
    <w:p w14:paraId="1C9D5EE6" w14:textId="6399A253"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Tous les examinateurs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agissent sous la direction de superviseurs chevronnés et sont soumis à un contrôle qualité en deux</w:t>
      </w:r>
      <w:r w:rsidR="00DA676D" w:rsidRPr="005A0FF1">
        <w:rPr>
          <w:rFonts w:ascii="Helvetica" w:hAnsi="Helvetica"/>
          <w:i/>
          <w:color w:val="000000" w:themeColor="text1"/>
          <w:lang w:val="fr-FR"/>
        </w:rPr>
        <w:t> </w:t>
      </w:r>
      <w:r w:rsidRPr="005A0FF1">
        <w:rPr>
          <w:rFonts w:ascii="Helvetica" w:hAnsi="Helvetica"/>
          <w:i/>
          <w:color w:val="000000" w:themeColor="text1"/>
          <w:lang w:val="fr-FR"/>
        </w:rPr>
        <w:t>étapes en cours de processus pour tous les rapports de recherche et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w:t>
      </w:r>
      <w:r w:rsidR="005A0FF1" w:rsidRPr="005A0FF1">
        <w:rPr>
          <w:rFonts w:ascii="Helvetica" w:hAnsi="Helvetica"/>
          <w:i/>
          <w:color w:val="000000" w:themeColor="text1"/>
          <w:lang w:val="fr-FR"/>
        </w:rPr>
        <w:t xml:space="preserve">en.  </w:t>
      </w:r>
      <w:r w:rsidR="005A0FF1" w:rsidRPr="005A0FF1">
        <w:rPr>
          <w:i/>
          <w:iCs/>
          <w:color w:val="000000" w:themeColor="text1"/>
          <w:lang w:val="fr-FR"/>
        </w:rPr>
        <w:t>Le</w:t>
      </w:r>
      <w:r w:rsidRPr="005A0FF1">
        <w:rPr>
          <w:i/>
          <w:iCs/>
          <w:color w:val="000000" w:themeColor="text1"/>
          <w:lang w:val="fr-FR"/>
        </w:rPr>
        <w:t>s superviseurs de division sont titulaires de diplômes d</w:t>
      </w:r>
      <w:r w:rsidR="00170579" w:rsidRPr="005A0FF1">
        <w:rPr>
          <w:i/>
          <w:iCs/>
          <w:color w:val="000000" w:themeColor="text1"/>
          <w:lang w:val="fr-FR"/>
        </w:rPr>
        <w:t>’</w:t>
      </w:r>
      <w:r w:rsidRPr="005A0FF1">
        <w:rPr>
          <w:i/>
          <w:iCs/>
          <w:color w:val="000000" w:themeColor="text1"/>
          <w:lang w:val="fr-FR"/>
        </w:rPr>
        <w:t>études supérieures dans des domaines techniques ou de gestion, ou terminent actuellement ces programmes, et ils possèdent une vaste expérience en matière de recherche et d</w:t>
      </w:r>
      <w:r w:rsidR="00170579" w:rsidRPr="005A0FF1">
        <w:rPr>
          <w:i/>
          <w:iCs/>
          <w:color w:val="000000" w:themeColor="text1"/>
          <w:lang w:val="fr-FR"/>
        </w:rPr>
        <w:t>’</w:t>
      </w:r>
      <w:r w:rsidRPr="005A0FF1">
        <w:rPr>
          <w:i/>
          <w:iCs/>
          <w:color w:val="000000" w:themeColor="text1"/>
          <w:lang w:val="fr-FR"/>
        </w:rPr>
        <w:t>examen, avec en moyenne plus de 23 ans de servi</w:t>
      </w:r>
      <w:r w:rsidR="005A0FF1" w:rsidRPr="005A0FF1">
        <w:rPr>
          <w:i/>
          <w:iCs/>
          <w:color w:val="000000" w:themeColor="text1"/>
          <w:lang w:val="fr-FR"/>
        </w:rPr>
        <w:t xml:space="preserve">ce.  </w:t>
      </w:r>
      <w:r w:rsidR="005A0FF1" w:rsidRPr="005A0FF1">
        <w:rPr>
          <w:rFonts w:ascii="Helvetica" w:hAnsi="Helvetica"/>
          <w:i/>
          <w:color w:val="000000" w:themeColor="text1"/>
          <w:lang w:val="fr-FR"/>
        </w:rPr>
        <w:t>Af</w:t>
      </w:r>
      <w:r w:rsidRPr="005A0FF1">
        <w:rPr>
          <w:rFonts w:ascii="Helvetica" w:hAnsi="Helvetica"/>
          <w:i/>
          <w:color w:val="000000" w:themeColor="text1"/>
          <w:lang w:val="fr-FR"/>
        </w:rPr>
        <w:t>in de garantir une excellence technique constante, les superviseurs participent régulièrement à des programmes de formation nationaux et internationaux axés sur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examen de la qualité des brevets,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encadrement et le mentorat, dans le but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améliorer encore la qualité et l</w:t>
      </w:r>
      <w:r w:rsidR="00170579" w:rsidRPr="005A0FF1">
        <w:rPr>
          <w:rFonts w:ascii="Helvetica" w:hAnsi="Helvetica"/>
          <w:i/>
          <w:color w:val="000000" w:themeColor="text1"/>
          <w:lang w:val="fr-FR"/>
        </w:rPr>
        <w:t>’</w:t>
      </w:r>
      <w:r w:rsidRPr="005A0FF1">
        <w:rPr>
          <w:rFonts w:ascii="Helvetica" w:hAnsi="Helvetica"/>
          <w:i/>
          <w:color w:val="000000" w:themeColor="text1"/>
          <w:lang w:val="fr-FR"/>
        </w:rPr>
        <w:t>efficacité globales des examens effectués par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w:t>
      </w:r>
    </w:p>
    <w:p w14:paraId="5C4E71ED" w14:textId="77777777" w:rsidR="0059339D" w:rsidRPr="005A0FF1" w:rsidRDefault="0059339D" w:rsidP="005A0FF1">
      <w:pPr>
        <w:ind w:left="567"/>
        <w:jc w:val="both"/>
        <w:rPr>
          <w:rFonts w:ascii="Helvetica" w:hAnsi="Helvetica" w:cs="Helvetica"/>
          <w:i/>
          <w:iCs/>
          <w:color w:val="000000" w:themeColor="text1"/>
          <w:szCs w:val="22"/>
          <w:lang w:val="fr-FR"/>
        </w:rPr>
      </w:pPr>
    </w:p>
    <w:p w14:paraId="48756FCF" w14:textId="77777777" w:rsidR="0059339D" w:rsidRPr="005A0FF1" w:rsidRDefault="0059339D" w:rsidP="005A0FF1">
      <w:pPr>
        <w:ind w:left="567"/>
        <w:jc w:val="both"/>
        <w:rPr>
          <w:rFonts w:ascii="Helvetica" w:hAnsi="Helvetica" w:cs="Helvetica"/>
          <w:color w:val="000000" w:themeColor="text1"/>
          <w:szCs w:val="22"/>
          <w:lang w:val="fr-FR"/>
        </w:rPr>
      </w:pPr>
    </w:p>
    <w:p w14:paraId="5C4F2274" w14:textId="6A781DA6" w:rsidR="0059339D" w:rsidRPr="005A0FF1" w:rsidRDefault="0059339D" w:rsidP="005A0FF1">
      <w:pPr>
        <w:pStyle w:val="Question"/>
        <w:spacing w:after="240"/>
      </w:pPr>
      <w:r w:rsidRPr="005A0FF1">
        <w:lastRenderedPageBreak/>
        <w:t>Employés qualifiés pour procéder à la recherche et à l</w:t>
      </w:r>
      <w:r w:rsidR="00170579" w:rsidRPr="005A0FF1">
        <w:t>’</w:t>
      </w:r>
      <w:r w:rsidRPr="005A0FF1">
        <w:t>examen</w:t>
      </w:r>
      <w:r w:rsidR="00170579" w:rsidRPr="005A0FF1">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768"/>
        <w:gridCol w:w="1631"/>
        <w:gridCol w:w="1965"/>
        <w:gridCol w:w="2215"/>
      </w:tblGrid>
      <w:tr w:rsidR="0059339D" w:rsidRPr="005A0FF1" w14:paraId="352243B9" w14:textId="77777777" w:rsidTr="005A0FF1">
        <w:trPr>
          <w:cantSplit/>
          <w:tblHeader/>
        </w:trPr>
        <w:tc>
          <w:tcPr>
            <w:tcW w:w="2843" w:type="dxa"/>
            <w:tcBorders>
              <w:top w:val="single" w:sz="4" w:space="0" w:color="auto"/>
              <w:left w:val="single" w:sz="4" w:space="0" w:color="auto"/>
              <w:bottom w:val="single" w:sz="4" w:space="0" w:color="auto"/>
              <w:right w:val="single" w:sz="4" w:space="0" w:color="auto"/>
            </w:tcBorders>
          </w:tcPr>
          <w:p w14:paraId="62E99634" w14:textId="77777777" w:rsidR="0059339D" w:rsidRPr="005A0FF1" w:rsidRDefault="0059339D" w:rsidP="005A0FF1">
            <w:pPr>
              <w:suppressAutoHyphens/>
              <w:rPr>
                <w:rFonts w:eastAsia="Times New Roman"/>
                <w:b/>
                <w:bCs/>
                <w:szCs w:val="22"/>
                <w:lang w:val="fr-FR"/>
              </w:rPr>
            </w:pPr>
            <w:r w:rsidRPr="005A0FF1">
              <w:rPr>
                <w:b/>
                <w:lang w:val="fr-FR"/>
              </w:rPr>
              <w:t>Domaine technique</w:t>
            </w:r>
          </w:p>
        </w:tc>
        <w:tc>
          <w:tcPr>
            <w:tcW w:w="1688" w:type="dxa"/>
            <w:tcBorders>
              <w:top w:val="single" w:sz="4" w:space="0" w:color="auto"/>
              <w:left w:val="single" w:sz="4" w:space="0" w:color="auto"/>
              <w:bottom w:val="single" w:sz="4" w:space="0" w:color="auto"/>
              <w:right w:val="single" w:sz="4" w:space="0" w:color="auto"/>
            </w:tcBorders>
          </w:tcPr>
          <w:p w14:paraId="36342F78" w14:textId="77777777" w:rsidR="0059339D" w:rsidRPr="005A0FF1" w:rsidRDefault="0059339D" w:rsidP="005A0FF1">
            <w:pPr>
              <w:suppressAutoHyphens/>
              <w:rPr>
                <w:rFonts w:eastAsia="Times New Roman"/>
                <w:b/>
                <w:bCs/>
                <w:szCs w:val="22"/>
                <w:lang w:val="fr-FR"/>
              </w:rPr>
            </w:pPr>
            <w:r w:rsidRPr="005A0FF1">
              <w:rPr>
                <w:b/>
                <w:lang w:val="fr-FR"/>
              </w:rPr>
              <w:t>Nombre (équivalent plein temps)</w:t>
            </w:r>
          </w:p>
        </w:tc>
        <w:tc>
          <w:tcPr>
            <w:tcW w:w="1703" w:type="dxa"/>
            <w:tcBorders>
              <w:top w:val="single" w:sz="4" w:space="0" w:color="auto"/>
              <w:left w:val="single" w:sz="4" w:space="0" w:color="auto"/>
              <w:bottom w:val="single" w:sz="4" w:space="0" w:color="auto"/>
              <w:right w:val="single" w:sz="4" w:space="0" w:color="auto"/>
            </w:tcBorders>
          </w:tcPr>
          <w:p w14:paraId="0B0DDBA0" w14:textId="7F8155E7" w:rsidR="0059339D" w:rsidRPr="005A0FF1" w:rsidRDefault="0059339D" w:rsidP="005A0FF1">
            <w:pPr>
              <w:suppressAutoHyphens/>
              <w:rPr>
                <w:rFonts w:eastAsia="Times New Roman"/>
                <w:b/>
                <w:bCs/>
                <w:szCs w:val="24"/>
                <w:lang w:val="fr-FR"/>
              </w:rPr>
            </w:pPr>
            <w:r w:rsidRPr="005A0FF1">
              <w:rPr>
                <w:b/>
                <w:lang w:val="fr-FR"/>
              </w:rPr>
              <w:t>Expérience moyenne en tant qu</w:t>
            </w:r>
            <w:r w:rsidR="00170579" w:rsidRPr="005A0FF1">
              <w:rPr>
                <w:b/>
                <w:lang w:val="fr-FR"/>
              </w:rPr>
              <w:t>’</w:t>
            </w:r>
            <w:r w:rsidRPr="005A0FF1">
              <w:rPr>
                <w:b/>
                <w:lang w:val="fr-FR"/>
              </w:rPr>
              <w:t>examinateurs (années)</w:t>
            </w:r>
          </w:p>
        </w:tc>
        <w:tc>
          <w:tcPr>
            <w:tcW w:w="2345" w:type="dxa"/>
            <w:tcBorders>
              <w:top w:val="single" w:sz="4" w:space="0" w:color="auto"/>
              <w:left w:val="single" w:sz="4" w:space="0" w:color="auto"/>
              <w:bottom w:val="single" w:sz="4" w:space="0" w:color="auto"/>
              <w:right w:val="single" w:sz="4" w:space="0" w:color="auto"/>
            </w:tcBorders>
          </w:tcPr>
          <w:p w14:paraId="2DAF321D" w14:textId="77777777" w:rsidR="0059339D" w:rsidRPr="005A0FF1" w:rsidRDefault="0059339D" w:rsidP="005A0FF1">
            <w:pPr>
              <w:suppressAutoHyphens/>
              <w:rPr>
                <w:rFonts w:eastAsia="Times New Roman"/>
                <w:b/>
                <w:bCs/>
                <w:szCs w:val="24"/>
                <w:lang w:val="fr-FR"/>
              </w:rPr>
            </w:pPr>
            <w:r w:rsidRPr="005A0FF1">
              <w:rPr>
                <w:b/>
                <w:lang w:val="fr-FR"/>
              </w:rPr>
              <w:t>Détail des qualifications</w:t>
            </w:r>
          </w:p>
        </w:tc>
      </w:tr>
      <w:tr w:rsidR="0059339D" w:rsidRPr="005A0FF1" w14:paraId="59CAEA1F" w14:textId="77777777" w:rsidTr="005A0FF1">
        <w:trPr>
          <w:cantSplit/>
        </w:trPr>
        <w:tc>
          <w:tcPr>
            <w:tcW w:w="2843" w:type="dxa"/>
            <w:tcBorders>
              <w:top w:val="single" w:sz="4" w:space="0" w:color="auto"/>
              <w:left w:val="single" w:sz="4" w:space="0" w:color="auto"/>
              <w:bottom w:val="single" w:sz="4" w:space="0" w:color="auto"/>
              <w:right w:val="single" w:sz="4" w:space="0" w:color="auto"/>
            </w:tcBorders>
          </w:tcPr>
          <w:p w14:paraId="7E8CEB17" w14:textId="77777777" w:rsidR="0059339D" w:rsidRPr="005A0FF1" w:rsidRDefault="0059339D" w:rsidP="005A0FF1">
            <w:pPr>
              <w:suppressAutoHyphens/>
              <w:rPr>
                <w:rFonts w:eastAsia="Times New Roman"/>
                <w:color w:val="000000" w:themeColor="text1"/>
                <w:szCs w:val="22"/>
                <w:lang w:val="fr-FR"/>
              </w:rPr>
            </w:pPr>
            <w:r w:rsidRPr="005A0FF1">
              <w:rPr>
                <w:color w:val="000000" w:themeColor="text1"/>
                <w:lang w:val="fr-FR"/>
              </w:rPr>
              <w:t>Génie mécanique, génie civil et ingénierie</w:t>
            </w:r>
          </w:p>
        </w:tc>
        <w:tc>
          <w:tcPr>
            <w:tcW w:w="1688" w:type="dxa"/>
            <w:tcBorders>
              <w:top w:val="single" w:sz="4" w:space="0" w:color="auto"/>
              <w:left w:val="single" w:sz="4" w:space="0" w:color="auto"/>
              <w:bottom w:val="single" w:sz="4" w:space="0" w:color="auto"/>
              <w:right w:val="single" w:sz="4" w:space="0" w:color="auto"/>
            </w:tcBorders>
          </w:tcPr>
          <w:p w14:paraId="7F23DE38" w14:textId="77777777" w:rsidR="0059339D" w:rsidRPr="005A0FF1" w:rsidRDefault="0059339D" w:rsidP="005A0FF1">
            <w:pPr>
              <w:suppressAutoHyphens/>
              <w:jc w:val="center"/>
              <w:rPr>
                <w:rFonts w:eastAsia="Times New Roman"/>
                <w:color w:val="000000" w:themeColor="text1"/>
                <w:szCs w:val="22"/>
                <w:lang w:val="fr-FR"/>
              </w:rPr>
            </w:pPr>
            <w:r w:rsidRPr="005A0FF1">
              <w:rPr>
                <w:color w:val="000000" w:themeColor="text1"/>
                <w:lang w:val="fr-FR"/>
              </w:rPr>
              <w:t>29</w:t>
            </w:r>
          </w:p>
        </w:tc>
        <w:tc>
          <w:tcPr>
            <w:tcW w:w="1703" w:type="dxa"/>
            <w:tcBorders>
              <w:top w:val="single" w:sz="4" w:space="0" w:color="auto"/>
              <w:left w:val="single" w:sz="4" w:space="0" w:color="auto"/>
              <w:bottom w:val="single" w:sz="4" w:space="0" w:color="auto"/>
              <w:right w:val="single" w:sz="4" w:space="0" w:color="auto"/>
            </w:tcBorders>
          </w:tcPr>
          <w:p w14:paraId="1E10F6C4" w14:textId="77777777" w:rsidR="0059339D" w:rsidRPr="005A0FF1" w:rsidRDefault="0059339D" w:rsidP="005A0FF1">
            <w:pPr>
              <w:suppressAutoHyphens/>
              <w:jc w:val="center"/>
              <w:rPr>
                <w:rFonts w:eastAsia="Times New Roman"/>
                <w:color w:val="000000" w:themeColor="text1"/>
                <w:szCs w:val="22"/>
                <w:lang w:val="fr-FR"/>
              </w:rPr>
            </w:pPr>
            <w:r w:rsidRPr="005A0FF1">
              <w:rPr>
                <w:color w:val="000000" w:themeColor="text1"/>
                <w:lang w:val="fr-FR"/>
              </w:rPr>
              <w:t>12</w:t>
            </w:r>
          </w:p>
        </w:tc>
        <w:tc>
          <w:tcPr>
            <w:tcW w:w="2345" w:type="dxa"/>
            <w:tcBorders>
              <w:top w:val="single" w:sz="4" w:space="0" w:color="auto"/>
              <w:left w:val="single" w:sz="4" w:space="0" w:color="auto"/>
              <w:bottom w:val="single" w:sz="4" w:space="0" w:color="auto"/>
              <w:right w:val="single" w:sz="4" w:space="0" w:color="auto"/>
            </w:tcBorders>
          </w:tcPr>
          <w:p w14:paraId="0BD790C0" w14:textId="11F32502"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Titulaire d</w:t>
            </w:r>
            <w:r w:rsidR="00170579" w:rsidRPr="005A0FF1">
              <w:rPr>
                <w:color w:val="000000" w:themeColor="text1"/>
                <w:sz w:val="20"/>
              </w:rPr>
              <w:t>’</w:t>
            </w:r>
            <w:r w:rsidRPr="005A0FF1">
              <w:rPr>
                <w:color w:val="000000" w:themeColor="text1"/>
                <w:sz w:val="20"/>
              </w:rPr>
              <w:t>une licence en sciences (spécialisation dans le domaine technique).</w:t>
            </w:r>
          </w:p>
          <w:p w14:paraId="67D8DD87" w14:textId="77777777"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Maîtrise.</w:t>
            </w:r>
          </w:p>
          <w:p w14:paraId="05B784B3" w14:textId="77777777"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Profession réglementée.</w:t>
            </w:r>
          </w:p>
          <w:p w14:paraId="6C6A75C8" w14:textId="111DD40B"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Certificat d</w:t>
            </w:r>
            <w:r w:rsidR="00170579" w:rsidRPr="005A0FF1">
              <w:rPr>
                <w:color w:val="000000" w:themeColor="text1"/>
                <w:sz w:val="20"/>
              </w:rPr>
              <w:t>’</w:t>
            </w:r>
            <w:r w:rsidRPr="005A0FF1">
              <w:rPr>
                <w:color w:val="000000" w:themeColor="text1"/>
                <w:sz w:val="20"/>
              </w:rPr>
              <w:t>admissibilité.</w:t>
            </w:r>
          </w:p>
          <w:p w14:paraId="4B3560AF" w14:textId="30B1B131"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Nombre défini d</w:t>
            </w:r>
            <w:r w:rsidR="00170579" w:rsidRPr="005A0FF1">
              <w:rPr>
                <w:color w:val="000000" w:themeColor="text1"/>
                <w:sz w:val="20"/>
              </w:rPr>
              <w:t>’</w:t>
            </w:r>
            <w:r w:rsidRPr="005A0FF1">
              <w:rPr>
                <w:color w:val="000000" w:themeColor="text1"/>
                <w:sz w:val="20"/>
              </w:rPr>
              <w:t>heures de formation dans le domaine concerné</w:t>
            </w:r>
          </w:p>
        </w:tc>
      </w:tr>
      <w:tr w:rsidR="0059339D" w:rsidRPr="005A0FF1" w14:paraId="4DEDB4E3" w14:textId="77777777" w:rsidTr="005A0FF1">
        <w:trPr>
          <w:cantSplit/>
        </w:trPr>
        <w:tc>
          <w:tcPr>
            <w:tcW w:w="2843" w:type="dxa"/>
            <w:tcBorders>
              <w:top w:val="single" w:sz="4" w:space="0" w:color="auto"/>
              <w:left w:val="single" w:sz="4" w:space="0" w:color="auto"/>
              <w:bottom w:val="single" w:sz="4" w:space="0" w:color="auto"/>
              <w:right w:val="single" w:sz="4" w:space="0" w:color="auto"/>
            </w:tcBorders>
          </w:tcPr>
          <w:p w14:paraId="58848B37" w14:textId="77777777" w:rsidR="0059339D" w:rsidRPr="005A0FF1" w:rsidRDefault="0059339D" w:rsidP="005A0FF1">
            <w:pPr>
              <w:suppressAutoHyphens/>
              <w:rPr>
                <w:rFonts w:eastAsia="Times New Roman"/>
                <w:color w:val="000000" w:themeColor="text1"/>
                <w:szCs w:val="22"/>
                <w:lang w:val="fr-FR"/>
              </w:rPr>
            </w:pPr>
            <w:r w:rsidRPr="005A0FF1">
              <w:rPr>
                <w:color w:val="000000" w:themeColor="text1"/>
                <w:lang w:val="fr-FR"/>
              </w:rPr>
              <w:t>Électricité/électronique et circuits intégrés</w:t>
            </w:r>
          </w:p>
        </w:tc>
        <w:tc>
          <w:tcPr>
            <w:tcW w:w="1688" w:type="dxa"/>
            <w:tcBorders>
              <w:top w:val="single" w:sz="4" w:space="0" w:color="auto"/>
              <w:left w:val="single" w:sz="4" w:space="0" w:color="auto"/>
              <w:bottom w:val="single" w:sz="4" w:space="0" w:color="auto"/>
              <w:right w:val="single" w:sz="4" w:space="0" w:color="auto"/>
            </w:tcBorders>
          </w:tcPr>
          <w:p w14:paraId="6FDDA2A8" w14:textId="77777777" w:rsidR="0059339D" w:rsidRPr="005A0FF1" w:rsidRDefault="0059339D" w:rsidP="005A0FF1">
            <w:pPr>
              <w:suppressAutoHyphens/>
              <w:jc w:val="center"/>
              <w:rPr>
                <w:rFonts w:eastAsia="Times New Roman"/>
                <w:color w:val="000000" w:themeColor="text1"/>
                <w:szCs w:val="22"/>
                <w:lang w:val="fr-FR"/>
              </w:rPr>
            </w:pPr>
            <w:r w:rsidRPr="005A0FF1">
              <w:rPr>
                <w:color w:val="000000" w:themeColor="text1"/>
                <w:lang w:val="fr-FR"/>
              </w:rPr>
              <w:t>35</w:t>
            </w:r>
          </w:p>
        </w:tc>
        <w:tc>
          <w:tcPr>
            <w:tcW w:w="1703" w:type="dxa"/>
            <w:tcBorders>
              <w:top w:val="single" w:sz="4" w:space="0" w:color="auto"/>
              <w:left w:val="single" w:sz="4" w:space="0" w:color="auto"/>
              <w:bottom w:val="single" w:sz="4" w:space="0" w:color="auto"/>
              <w:right w:val="single" w:sz="4" w:space="0" w:color="auto"/>
            </w:tcBorders>
          </w:tcPr>
          <w:p w14:paraId="24B5F388" w14:textId="77777777" w:rsidR="0059339D" w:rsidRPr="005A0FF1" w:rsidRDefault="0059339D" w:rsidP="005A0FF1">
            <w:pPr>
              <w:suppressAutoHyphens/>
              <w:jc w:val="center"/>
              <w:rPr>
                <w:rFonts w:eastAsia="Times New Roman"/>
                <w:color w:val="000000" w:themeColor="text1"/>
                <w:szCs w:val="22"/>
                <w:lang w:val="fr-FR"/>
              </w:rPr>
            </w:pPr>
            <w:r w:rsidRPr="005A0FF1">
              <w:rPr>
                <w:color w:val="000000" w:themeColor="text1"/>
                <w:lang w:val="fr-FR"/>
              </w:rPr>
              <w:t>11</w:t>
            </w:r>
          </w:p>
        </w:tc>
        <w:tc>
          <w:tcPr>
            <w:tcW w:w="2345" w:type="dxa"/>
            <w:tcBorders>
              <w:top w:val="single" w:sz="4" w:space="0" w:color="auto"/>
              <w:left w:val="single" w:sz="4" w:space="0" w:color="auto"/>
              <w:bottom w:val="single" w:sz="4" w:space="0" w:color="auto"/>
              <w:right w:val="single" w:sz="4" w:space="0" w:color="auto"/>
            </w:tcBorders>
          </w:tcPr>
          <w:p w14:paraId="734C5C7B" w14:textId="6B56C6B9"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Titulaire d</w:t>
            </w:r>
            <w:r w:rsidR="00170579" w:rsidRPr="005A0FF1">
              <w:rPr>
                <w:color w:val="000000" w:themeColor="text1"/>
                <w:sz w:val="20"/>
              </w:rPr>
              <w:t>’</w:t>
            </w:r>
            <w:r w:rsidRPr="005A0FF1">
              <w:rPr>
                <w:color w:val="000000" w:themeColor="text1"/>
                <w:sz w:val="20"/>
              </w:rPr>
              <w:t>une licence en sciences (spécialisation dans le domaine technique).</w:t>
            </w:r>
          </w:p>
          <w:p w14:paraId="5384BDBD" w14:textId="77777777"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Maîtrise.</w:t>
            </w:r>
          </w:p>
          <w:p w14:paraId="266FDA99" w14:textId="77777777"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Profession réglementée.</w:t>
            </w:r>
          </w:p>
          <w:p w14:paraId="2C21D861" w14:textId="113DCBE7" w:rsidR="0059339D" w:rsidRPr="005A0FF1" w:rsidRDefault="0059339D" w:rsidP="005A0FF1">
            <w:pPr>
              <w:pStyle w:val="ListParagraph"/>
              <w:numPr>
                <w:ilvl w:val="0"/>
                <w:numId w:val="7"/>
              </w:numPr>
              <w:suppressAutoHyphens/>
              <w:ind w:left="107" w:hanging="107"/>
              <w:rPr>
                <w:rFonts w:eastAsia="Times New Roman"/>
                <w:color w:val="000000" w:themeColor="text1"/>
                <w:sz w:val="20"/>
              </w:rPr>
            </w:pPr>
            <w:r w:rsidRPr="005A0FF1">
              <w:rPr>
                <w:color w:val="000000" w:themeColor="text1"/>
                <w:sz w:val="20"/>
              </w:rPr>
              <w:t>Certificat d</w:t>
            </w:r>
            <w:r w:rsidR="00170579" w:rsidRPr="005A0FF1">
              <w:rPr>
                <w:color w:val="000000" w:themeColor="text1"/>
                <w:sz w:val="20"/>
              </w:rPr>
              <w:t>’</w:t>
            </w:r>
            <w:r w:rsidRPr="005A0FF1">
              <w:rPr>
                <w:color w:val="000000" w:themeColor="text1"/>
                <w:sz w:val="20"/>
              </w:rPr>
              <w:t>admissibilité.</w:t>
            </w:r>
          </w:p>
          <w:p w14:paraId="2976CEF1" w14:textId="2122A86E" w:rsidR="0059339D" w:rsidRPr="005A0FF1" w:rsidRDefault="0059339D" w:rsidP="005A0FF1">
            <w:pPr>
              <w:pStyle w:val="ListParagraph"/>
              <w:numPr>
                <w:ilvl w:val="0"/>
                <w:numId w:val="7"/>
              </w:numPr>
              <w:suppressAutoHyphens/>
              <w:ind w:left="107" w:hanging="107"/>
              <w:rPr>
                <w:rFonts w:eastAsia="Times New Roman"/>
                <w:color w:val="000000" w:themeColor="text1"/>
                <w:szCs w:val="22"/>
              </w:rPr>
            </w:pPr>
            <w:r w:rsidRPr="005A0FF1">
              <w:rPr>
                <w:color w:val="000000" w:themeColor="text1"/>
                <w:sz w:val="20"/>
              </w:rPr>
              <w:t>Nombre défini d</w:t>
            </w:r>
            <w:r w:rsidR="00170579" w:rsidRPr="005A0FF1">
              <w:rPr>
                <w:color w:val="000000" w:themeColor="text1"/>
                <w:sz w:val="20"/>
              </w:rPr>
              <w:t>’</w:t>
            </w:r>
            <w:r w:rsidRPr="005A0FF1">
              <w:rPr>
                <w:color w:val="000000" w:themeColor="text1"/>
                <w:sz w:val="20"/>
              </w:rPr>
              <w:t>heures de formation dans le domaine concerné</w:t>
            </w:r>
          </w:p>
        </w:tc>
      </w:tr>
      <w:tr w:rsidR="0059339D" w:rsidRPr="005A0FF1" w14:paraId="650363DE" w14:textId="77777777" w:rsidTr="005A0FF1">
        <w:trPr>
          <w:cantSplit/>
        </w:trPr>
        <w:tc>
          <w:tcPr>
            <w:tcW w:w="2843" w:type="dxa"/>
            <w:tcBorders>
              <w:top w:val="single" w:sz="4" w:space="0" w:color="auto"/>
              <w:left w:val="single" w:sz="4" w:space="0" w:color="auto"/>
              <w:bottom w:val="single" w:sz="4" w:space="0" w:color="auto"/>
              <w:right w:val="single" w:sz="4" w:space="0" w:color="auto"/>
            </w:tcBorders>
          </w:tcPr>
          <w:p w14:paraId="3341514A" w14:textId="77777777" w:rsidR="0059339D" w:rsidRPr="005A0FF1" w:rsidRDefault="0059339D" w:rsidP="005A0FF1">
            <w:pPr>
              <w:keepLines/>
              <w:suppressAutoHyphens/>
              <w:rPr>
                <w:rFonts w:eastAsia="Times New Roman"/>
                <w:color w:val="000000" w:themeColor="text1"/>
                <w:szCs w:val="22"/>
                <w:lang w:val="fr-FR"/>
              </w:rPr>
            </w:pPr>
            <w:r w:rsidRPr="005A0FF1">
              <w:rPr>
                <w:color w:val="000000" w:themeColor="text1"/>
                <w:lang w:val="fr-FR"/>
              </w:rPr>
              <w:t>Chimie et technologie chimique</w:t>
            </w:r>
          </w:p>
        </w:tc>
        <w:tc>
          <w:tcPr>
            <w:tcW w:w="1688" w:type="dxa"/>
            <w:tcBorders>
              <w:top w:val="single" w:sz="4" w:space="0" w:color="auto"/>
              <w:left w:val="single" w:sz="4" w:space="0" w:color="auto"/>
              <w:bottom w:val="single" w:sz="4" w:space="0" w:color="auto"/>
              <w:right w:val="single" w:sz="4" w:space="0" w:color="auto"/>
            </w:tcBorders>
          </w:tcPr>
          <w:p w14:paraId="6BD86224" w14:textId="77777777" w:rsidR="0059339D" w:rsidRPr="005A0FF1" w:rsidRDefault="0059339D" w:rsidP="005A0FF1">
            <w:pPr>
              <w:keepLines/>
              <w:suppressAutoHyphens/>
              <w:jc w:val="center"/>
              <w:rPr>
                <w:rFonts w:eastAsia="Times New Roman"/>
                <w:color w:val="000000" w:themeColor="text1"/>
                <w:szCs w:val="22"/>
                <w:lang w:val="fr-FR"/>
              </w:rPr>
            </w:pPr>
            <w:r w:rsidRPr="005A0FF1">
              <w:rPr>
                <w:color w:val="000000" w:themeColor="text1"/>
                <w:lang w:val="fr-FR"/>
              </w:rPr>
              <w:t>30</w:t>
            </w:r>
          </w:p>
        </w:tc>
        <w:tc>
          <w:tcPr>
            <w:tcW w:w="1703" w:type="dxa"/>
            <w:tcBorders>
              <w:top w:val="single" w:sz="4" w:space="0" w:color="auto"/>
              <w:left w:val="single" w:sz="4" w:space="0" w:color="auto"/>
              <w:bottom w:val="single" w:sz="4" w:space="0" w:color="auto"/>
              <w:right w:val="single" w:sz="4" w:space="0" w:color="auto"/>
            </w:tcBorders>
          </w:tcPr>
          <w:p w14:paraId="34291FC1" w14:textId="628A82B0" w:rsidR="0059339D" w:rsidRPr="005A0FF1" w:rsidRDefault="0059339D" w:rsidP="005A0FF1">
            <w:pPr>
              <w:keepLines/>
              <w:suppressAutoHyphens/>
              <w:jc w:val="center"/>
              <w:rPr>
                <w:rFonts w:eastAsia="Times New Roman"/>
                <w:color w:val="000000" w:themeColor="text1"/>
                <w:szCs w:val="22"/>
                <w:lang w:val="fr-FR" w:eastAsia="en-US" w:bidi="he-IL"/>
              </w:rPr>
            </w:pPr>
            <w:r w:rsidRPr="005A0FF1">
              <w:rPr>
                <w:color w:val="000000" w:themeColor="text1"/>
                <w:lang w:val="fr-FR"/>
              </w:rPr>
              <w:t>14</w:t>
            </w:r>
          </w:p>
        </w:tc>
        <w:tc>
          <w:tcPr>
            <w:tcW w:w="2345" w:type="dxa"/>
            <w:tcBorders>
              <w:top w:val="single" w:sz="4" w:space="0" w:color="auto"/>
              <w:left w:val="single" w:sz="4" w:space="0" w:color="auto"/>
              <w:bottom w:val="single" w:sz="4" w:space="0" w:color="auto"/>
              <w:right w:val="single" w:sz="4" w:space="0" w:color="auto"/>
            </w:tcBorders>
          </w:tcPr>
          <w:p w14:paraId="28B3F40D" w14:textId="4073215F"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Titulaire d</w:t>
            </w:r>
            <w:r w:rsidR="00170579" w:rsidRPr="005A0FF1">
              <w:rPr>
                <w:color w:val="000000" w:themeColor="text1"/>
                <w:sz w:val="20"/>
              </w:rPr>
              <w:t>’</w:t>
            </w:r>
            <w:r w:rsidRPr="005A0FF1">
              <w:rPr>
                <w:color w:val="000000" w:themeColor="text1"/>
                <w:sz w:val="20"/>
              </w:rPr>
              <w:t>une licence en sciences (spécialisation dans le domaine technique).</w:t>
            </w:r>
          </w:p>
          <w:p w14:paraId="1AA64E66" w14:textId="77777777"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Maîtrise.</w:t>
            </w:r>
          </w:p>
          <w:p w14:paraId="791A50F4" w14:textId="77777777"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Profession réglementée.</w:t>
            </w:r>
          </w:p>
          <w:p w14:paraId="01A09FCC" w14:textId="30D7C24D"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Certificat d</w:t>
            </w:r>
            <w:r w:rsidR="00170579" w:rsidRPr="005A0FF1">
              <w:rPr>
                <w:color w:val="000000" w:themeColor="text1"/>
                <w:sz w:val="20"/>
              </w:rPr>
              <w:t>’</w:t>
            </w:r>
            <w:r w:rsidRPr="005A0FF1">
              <w:rPr>
                <w:color w:val="000000" w:themeColor="text1"/>
                <w:sz w:val="20"/>
              </w:rPr>
              <w:t>admissibilité.</w:t>
            </w:r>
          </w:p>
          <w:p w14:paraId="0A1F1208" w14:textId="71CE9814" w:rsidR="0059339D" w:rsidRPr="005A0FF1" w:rsidRDefault="0059339D" w:rsidP="005A0FF1">
            <w:pPr>
              <w:pStyle w:val="ListParagraph"/>
              <w:keepLines/>
              <w:numPr>
                <w:ilvl w:val="0"/>
                <w:numId w:val="7"/>
              </w:numPr>
              <w:suppressAutoHyphens/>
              <w:ind w:left="107" w:hanging="107"/>
              <w:rPr>
                <w:rFonts w:eastAsia="Times New Roman"/>
                <w:color w:val="000000" w:themeColor="text1"/>
                <w:szCs w:val="22"/>
              </w:rPr>
            </w:pPr>
            <w:r w:rsidRPr="005A0FF1">
              <w:rPr>
                <w:color w:val="000000" w:themeColor="text1"/>
                <w:sz w:val="20"/>
              </w:rPr>
              <w:t>Nombre défini d</w:t>
            </w:r>
            <w:r w:rsidR="00170579" w:rsidRPr="005A0FF1">
              <w:rPr>
                <w:color w:val="000000" w:themeColor="text1"/>
                <w:sz w:val="20"/>
              </w:rPr>
              <w:t>’</w:t>
            </w:r>
            <w:r w:rsidRPr="005A0FF1">
              <w:rPr>
                <w:color w:val="000000" w:themeColor="text1"/>
                <w:sz w:val="20"/>
              </w:rPr>
              <w:t>heures de formation dans le domaine concerné</w:t>
            </w:r>
          </w:p>
        </w:tc>
      </w:tr>
      <w:tr w:rsidR="0059339D" w:rsidRPr="005A0FF1" w14:paraId="1569806B" w14:textId="77777777" w:rsidTr="005A0FF1">
        <w:trPr>
          <w:cantSplit/>
        </w:trPr>
        <w:tc>
          <w:tcPr>
            <w:tcW w:w="2843" w:type="dxa"/>
            <w:tcBorders>
              <w:top w:val="single" w:sz="4" w:space="0" w:color="auto"/>
              <w:left w:val="single" w:sz="4" w:space="0" w:color="auto"/>
              <w:bottom w:val="single" w:sz="4" w:space="0" w:color="auto"/>
              <w:right w:val="single" w:sz="4" w:space="0" w:color="auto"/>
            </w:tcBorders>
          </w:tcPr>
          <w:p w14:paraId="4E1B325F" w14:textId="77777777" w:rsidR="0059339D" w:rsidRPr="005A0FF1" w:rsidRDefault="0059339D" w:rsidP="005A0FF1">
            <w:pPr>
              <w:keepLines/>
              <w:suppressAutoHyphens/>
              <w:rPr>
                <w:rFonts w:eastAsia="Times New Roman"/>
                <w:color w:val="000000" w:themeColor="text1"/>
                <w:szCs w:val="22"/>
                <w:lang w:val="fr-FR"/>
              </w:rPr>
            </w:pPr>
            <w:r w:rsidRPr="005A0FF1">
              <w:rPr>
                <w:color w:val="000000" w:themeColor="text1"/>
                <w:lang w:val="fr-FR"/>
              </w:rPr>
              <w:lastRenderedPageBreak/>
              <w:t>Biotechnologie – pharmaceutique, agricole</w:t>
            </w:r>
          </w:p>
        </w:tc>
        <w:tc>
          <w:tcPr>
            <w:tcW w:w="1688" w:type="dxa"/>
            <w:tcBorders>
              <w:top w:val="single" w:sz="4" w:space="0" w:color="auto"/>
              <w:left w:val="single" w:sz="4" w:space="0" w:color="auto"/>
              <w:bottom w:val="single" w:sz="4" w:space="0" w:color="auto"/>
              <w:right w:val="single" w:sz="4" w:space="0" w:color="auto"/>
            </w:tcBorders>
          </w:tcPr>
          <w:p w14:paraId="304299CE" w14:textId="76C473C6" w:rsidR="0059339D" w:rsidRPr="005A0FF1" w:rsidRDefault="0059339D" w:rsidP="005A0FF1">
            <w:pPr>
              <w:keepLines/>
              <w:suppressAutoHyphens/>
              <w:jc w:val="center"/>
              <w:rPr>
                <w:rFonts w:eastAsia="Times New Roman"/>
                <w:color w:val="000000" w:themeColor="text1"/>
                <w:szCs w:val="22"/>
                <w:lang w:val="fr-FR" w:eastAsia="en-US" w:bidi="he-IL"/>
              </w:rPr>
            </w:pPr>
            <w:r w:rsidRPr="005A0FF1">
              <w:rPr>
                <w:color w:val="000000" w:themeColor="text1"/>
                <w:lang w:val="fr-FR"/>
              </w:rPr>
              <w:t>28</w:t>
            </w:r>
          </w:p>
        </w:tc>
        <w:tc>
          <w:tcPr>
            <w:tcW w:w="1703" w:type="dxa"/>
            <w:tcBorders>
              <w:top w:val="single" w:sz="4" w:space="0" w:color="auto"/>
              <w:left w:val="single" w:sz="4" w:space="0" w:color="auto"/>
              <w:bottom w:val="single" w:sz="4" w:space="0" w:color="auto"/>
              <w:right w:val="single" w:sz="4" w:space="0" w:color="auto"/>
            </w:tcBorders>
          </w:tcPr>
          <w:p w14:paraId="2D109D99" w14:textId="699A6AF6" w:rsidR="0059339D" w:rsidRPr="005A0FF1" w:rsidRDefault="0059339D" w:rsidP="005A0FF1">
            <w:pPr>
              <w:keepLines/>
              <w:suppressAutoHyphens/>
              <w:jc w:val="center"/>
              <w:rPr>
                <w:rFonts w:eastAsia="Times New Roman"/>
                <w:color w:val="000000" w:themeColor="text1"/>
                <w:szCs w:val="22"/>
                <w:lang w:val="fr-FR" w:eastAsia="en-US" w:bidi="he-IL"/>
              </w:rPr>
            </w:pPr>
            <w:r w:rsidRPr="005A0FF1">
              <w:rPr>
                <w:color w:val="000000" w:themeColor="text1"/>
                <w:lang w:val="fr-FR"/>
              </w:rPr>
              <w:t>12</w:t>
            </w:r>
          </w:p>
        </w:tc>
        <w:tc>
          <w:tcPr>
            <w:tcW w:w="2345" w:type="dxa"/>
            <w:tcBorders>
              <w:top w:val="single" w:sz="4" w:space="0" w:color="auto"/>
              <w:left w:val="single" w:sz="4" w:space="0" w:color="auto"/>
              <w:bottom w:val="single" w:sz="4" w:space="0" w:color="auto"/>
              <w:right w:val="single" w:sz="4" w:space="0" w:color="auto"/>
            </w:tcBorders>
          </w:tcPr>
          <w:p w14:paraId="717AD1D8" w14:textId="1821D4C2"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Titulaire d</w:t>
            </w:r>
            <w:r w:rsidR="00170579" w:rsidRPr="005A0FF1">
              <w:rPr>
                <w:color w:val="000000" w:themeColor="text1"/>
                <w:sz w:val="20"/>
              </w:rPr>
              <w:t>’</w:t>
            </w:r>
            <w:r w:rsidRPr="005A0FF1">
              <w:rPr>
                <w:color w:val="000000" w:themeColor="text1"/>
                <w:sz w:val="20"/>
              </w:rPr>
              <w:t>une licence en sciences (spécialisation dans le domaine technique).</w:t>
            </w:r>
          </w:p>
          <w:p w14:paraId="0FD12E74" w14:textId="77777777"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Maîtrise.</w:t>
            </w:r>
          </w:p>
          <w:p w14:paraId="66EFC9AB" w14:textId="77777777"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Profession réglementée.</w:t>
            </w:r>
          </w:p>
          <w:p w14:paraId="1818816F" w14:textId="4775675E" w:rsidR="0059339D" w:rsidRPr="005A0FF1" w:rsidRDefault="0059339D" w:rsidP="005A0FF1">
            <w:pPr>
              <w:pStyle w:val="ListParagraph"/>
              <w:keepLines/>
              <w:numPr>
                <w:ilvl w:val="0"/>
                <w:numId w:val="7"/>
              </w:numPr>
              <w:suppressAutoHyphens/>
              <w:ind w:left="107" w:hanging="107"/>
              <w:rPr>
                <w:rFonts w:eastAsia="Times New Roman"/>
                <w:color w:val="000000" w:themeColor="text1"/>
                <w:sz w:val="20"/>
              </w:rPr>
            </w:pPr>
            <w:r w:rsidRPr="005A0FF1">
              <w:rPr>
                <w:color w:val="000000" w:themeColor="text1"/>
                <w:sz w:val="20"/>
              </w:rPr>
              <w:t>Certificat d</w:t>
            </w:r>
            <w:r w:rsidR="00170579" w:rsidRPr="005A0FF1">
              <w:rPr>
                <w:color w:val="000000" w:themeColor="text1"/>
                <w:sz w:val="20"/>
              </w:rPr>
              <w:t>’</w:t>
            </w:r>
            <w:r w:rsidRPr="005A0FF1">
              <w:rPr>
                <w:color w:val="000000" w:themeColor="text1"/>
                <w:sz w:val="20"/>
              </w:rPr>
              <w:t>admissibilité.</w:t>
            </w:r>
          </w:p>
          <w:p w14:paraId="7F2A50C5" w14:textId="174C2F74" w:rsidR="0059339D" w:rsidRPr="005A0FF1" w:rsidRDefault="0059339D" w:rsidP="005A0FF1">
            <w:pPr>
              <w:pStyle w:val="ListParagraph"/>
              <w:keepLines/>
              <w:numPr>
                <w:ilvl w:val="0"/>
                <w:numId w:val="7"/>
              </w:numPr>
              <w:suppressAutoHyphens/>
              <w:ind w:left="107" w:hanging="107"/>
              <w:rPr>
                <w:rFonts w:eastAsia="Times New Roman"/>
                <w:color w:val="000000" w:themeColor="text1"/>
                <w:szCs w:val="22"/>
              </w:rPr>
            </w:pPr>
            <w:r w:rsidRPr="005A0FF1">
              <w:rPr>
                <w:color w:val="000000" w:themeColor="text1"/>
                <w:sz w:val="20"/>
              </w:rPr>
              <w:t>Nombre défini d</w:t>
            </w:r>
            <w:r w:rsidR="00170579" w:rsidRPr="005A0FF1">
              <w:rPr>
                <w:color w:val="000000" w:themeColor="text1"/>
                <w:sz w:val="20"/>
              </w:rPr>
              <w:t>’</w:t>
            </w:r>
            <w:r w:rsidRPr="005A0FF1">
              <w:rPr>
                <w:color w:val="000000" w:themeColor="text1"/>
                <w:sz w:val="20"/>
              </w:rPr>
              <w:t>heures de formation dans le domaine concerné</w:t>
            </w:r>
          </w:p>
        </w:tc>
      </w:tr>
      <w:tr w:rsidR="0059339D" w:rsidRPr="005A0FF1" w14:paraId="7E6A5AA7" w14:textId="77777777" w:rsidTr="005A0FF1">
        <w:trPr>
          <w:cantSplit/>
        </w:trPr>
        <w:tc>
          <w:tcPr>
            <w:tcW w:w="2843" w:type="dxa"/>
            <w:tcBorders>
              <w:top w:val="single" w:sz="4" w:space="0" w:color="auto"/>
              <w:left w:val="single" w:sz="4" w:space="0" w:color="auto"/>
              <w:bottom w:val="single" w:sz="4" w:space="0" w:color="auto"/>
              <w:right w:val="single" w:sz="4" w:space="0" w:color="auto"/>
            </w:tcBorders>
          </w:tcPr>
          <w:p w14:paraId="0B703D40" w14:textId="77777777" w:rsidR="0059339D" w:rsidRPr="005A0FF1" w:rsidRDefault="0059339D" w:rsidP="00170579">
            <w:pPr>
              <w:suppressAutoHyphens/>
              <w:rPr>
                <w:rFonts w:eastAsia="Times New Roman"/>
                <w:i/>
                <w:iCs/>
                <w:szCs w:val="22"/>
                <w:lang w:val="fr-FR"/>
              </w:rPr>
            </w:pPr>
            <w:r w:rsidRPr="005A0FF1">
              <w:rPr>
                <w:i/>
                <w:lang w:val="fr-FR"/>
              </w:rPr>
              <w:t>Total</w:t>
            </w:r>
          </w:p>
        </w:tc>
        <w:tc>
          <w:tcPr>
            <w:tcW w:w="1688" w:type="dxa"/>
            <w:tcBorders>
              <w:top w:val="single" w:sz="4" w:space="0" w:color="auto"/>
              <w:left w:val="single" w:sz="4" w:space="0" w:color="auto"/>
              <w:bottom w:val="single" w:sz="4" w:space="0" w:color="auto"/>
              <w:right w:val="single" w:sz="4" w:space="0" w:color="auto"/>
            </w:tcBorders>
          </w:tcPr>
          <w:p w14:paraId="6BEA7273" w14:textId="77777777" w:rsidR="0059339D" w:rsidRPr="005A0FF1" w:rsidRDefault="0059339D" w:rsidP="00170579">
            <w:pPr>
              <w:suppressAutoHyphens/>
              <w:jc w:val="center"/>
              <w:rPr>
                <w:rFonts w:eastAsia="Times New Roman"/>
                <w:color w:val="EE0000"/>
                <w:szCs w:val="22"/>
                <w:lang w:val="fr-FR"/>
              </w:rPr>
            </w:pPr>
            <w:r w:rsidRPr="005A0FF1">
              <w:rPr>
                <w:lang w:val="fr-FR"/>
              </w:rPr>
              <w:t>122</w:t>
            </w:r>
          </w:p>
        </w:tc>
        <w:tc>
          <w:tcPr>
            <w:tcW w:w="1703" w:type="dxa"/>
            <w:tcBorders>
              <w:top w:val="single" w:sz="4" w:space="0" w:color="auto"/>
              <w:left w:val="single" w:sz="4" w:space="0" w:color="auto"/>
              <w:bottom w:val="single" w:sz="4" w:space="0" w:color="auto"/>
              <w:right w:val="single" w:sz="4" w:space="0" w:color="auto"/>
            </w:tcBorders>
          </w:tcPr>
          <w:p w14:paraId="1C359A71" w14:textId="77777777" w:rsidR="0059339D" w:rsidRPr="005A0FF1" w:rsidRDefault="0059339D" w:rsidP="00170579">
            <w:pPr>
              <w:suppressAutoHyphens/>
              <w:jc w:val="center"/>
              <w:rPr>
                <w:rFonts w:eastAsia="Times New Roman"/>
                <w:color w:val="EE0000"/>
                <w:szCs w:val="22"/>
                <w:lang w:val="fr-FR" w:eastAsia="en-US" w:bidi="he-IL"/>
              </w:rPr>
            </w:pPr>
          </w:p>
        </w:tc>
        <w:tc>
          <w:tcPr>
            <w:tcW w:w="2345" w:type="dxa"/>
            <w:tcBorders>
              <w:top w:val="single" w:sz="4" w:space="0" w:color="auto"/>
              <w:left w:val="single" w:sz="4" w:space="0" w:color="auto"/>
              <w:bottom w:val="single" w:sz="4" w:space="0" w:color="auto"/>
              <w:right w:val="single" w:sz="4" w:space="0" w:color="auto"/>
            </w:tcBorders>
          </w:tcPr>
          <w:p w14:paraId="4F72B3D9" w14:textId="77777777" w:rsidR="0059339D" w:rsidRPr="005A0FF1" w:rsidRDefault="0059339D" w:rsidP="00170579">
            <w:pPr>
              <w:suppressAutoHyphens/>
              <w:jc w:val="center"/>
              <w:rPr>
                <w:rFonts w:eastAsia="Times New Roman"/>
                <w:color w:val="EE0000"/>
                <w:szCs w:val="22"/>
                <w:lang w:val="fr-FR" w:eastAsia="en-US" w:bidi="he-IL"/>
              </w:rPr>
            </w:pPr>
          </w:p>
        </w:tc>
      </w:tr>
    </w:tbl>
    <w:p w14:paraId="5124BC2B" w14:textId="77777777" w:rsidR="0059339D" w:rsidRPr="005A0FF1" w:rsidRDefault="0059339D" w:rsidP="005A0FF1">
      <w:pPr>
        <w:rPr>
          <w:lang w:val="fr-FR"/>
        </w:rPr>
      </w:pPr>
    </w:p>
    <w:p w14:paraId="09538F12" w14:textId="77777777" w:rsidR="0059339D" w:rsidRPr="005A0FF1" w:rsidRDefault="0059339D" w:rsidP="00170579">
      <w:pPr>
        <w:rPr>
          <w:lang w:val="fr-FR"/>
        </w:rPr>
      </w:pPr>
    </w:p>
    <w:p w14:paraId="383662B7" w14:textId="26392A35" w:rsidR="00170579" w:rsidRPr="005A0FF1" w:rsidRDefault="0059339D" w:rsidP="00170579">
      <w:pPr>
        <w:pStyle w:val="RuleQuote"/>
        <w:ind w:left="0"/>
        <w:rPr>
          <w:i w:val="0"/>
        </w:rPr>
      </w:pPr>
      <w:r w:rsidRPr="005A0FF1">
        <w:rPr>
          <w:i w:val="0"/>
        </w:rPr>
        <w:t>Autres informations que celles figurant dans le rapport sur le système de gestion de la qualité et dans le tableau ci</w:t>
      </w:r>
      <w:r w:rsidR="005A0FF1">
        <w:rPr>
          <w:i w:val="0"/>
        </w:rPr>
        <w:noBreakHyphen/>
      </w:r>
      <w:r w:rsidRPr="005A0FF1">
        <w:rPr>
          <w:i w:val="0"/>
        </w:rPr>
        <w:t>dessus (facultatif)</w:t>
      </w:r>
      <w:r w:rsidR="00170579" w:rsidRPr="005A0FF1">
        <w:rPr>
          <w:i w:val="0"/>
        </w:rPr>
        <w:t> :</w:t>
      </w:r>
    </w:p>
    <w:p w14:paraId="6F8442C4" w14:textId="09AC2AB9" w:rsidR="0059339D" w:rsidRPr="005A0FF1" w:rsidRDefault="0059339D" w:rsidP="005A0FF1">
      <w:pPr>
        <w:ind w:left="567"/>
        <w:jc w:val="both"/>
        <w:rPr>
          <w:rFonts w:ascii="Helvetica" w:hAnsi="Helvetica" w:cs="Helvetica"/>
          <w:i/>
          <w:iCs/>
          <w:color w:val="000000" w:themeColor="text1"/>
          <w:szCs w:val="22"/>
          <w:lang w:val="fr-FR"/>
        </w:rPr>
      </w:pPr>
      <w:r w:rsidRPr="005A0FF1">
        <w:rPr>
          <w:rFonts w:ascii="Helvetica" w:hAnsi="Helvetica"/>
          <w:i/>
          <w:color w:val="000000" w:themeColor="text1"/>
          <w:lang w:val="fr-FR"/>
        </w:rPr>
        <w:t>Conformément aux règles 36.1</w:t>
      </w:r>
      <w:r w:rsidR="00863C7D">
        <w:rPr>
          <w:rFonts w:ascii="Helvetica" w:hAnsi="Helvetica"/>
          <w:i/>
          <w:color w:val="000000" w:themeColor="text1"/>
          <w:lang w:val="fr-FR"/>
        </w:rPr>
        <w:t>.</w:t>
      </w:r>
      <w:r w:rsidRPr="005A0FF1">
        <w:rPr>
          <w:rFonts w:ascii="Helvetica" w:hAnsi="Helvetica"/>
          <w:i/>
          <w:color w:val="000000" w:themeColor="text1"/>
          <w:lang w:val="fr-FR"/>
        </w:rPr>
        <w:t>iii) et 63.1</w:t>
      </w:r>
      <w:r w:rsidR="00863C7D">
        <w:rPr>
          <w:rFonts w:ascii="Helvetica" w:hAnsi="Helvetica"/>
          <w:i/>
          <w:color w:val="000000" w:themeColor="text1"/>
          <w:lang w:val="fr-FR"/>
        </w:rPr>
        <w:t>.</w:t>
      </w:r>
      <w:r w:rsidRPr="005A0FF1">
        <w:rPr>
          <w:rFonts w:ascii="Helvetica" w:hAnsi="Helvetica"/>
          <w:i/>
          <w:color w:val="000000" w:themeColor="text1"/>
          <w:lang w:val="fr-FR"/>
        </w:rPr>
        <w:t>iii) du règlement d</w:t>
      </w:r>
      <w:r w:rsidR="00170579" w:rsidRPr="005A0FF1">
        <w:rPr>
          <w:rFonts w:ascii="Helvetica" w:hAnsi="Helvetica"/>
          <w:i/>
          <w:color w:val="000000" w:themeColor="text1"/>
          <w:lang w:val="fr-FR"/>
        </w:rPr>
        <w:t>’</w:t>
      </w:r>
      <w:r w:rsidRPr="005A0FF1">
        <w:rPr>
          <w:rFonts w:ascii="Helvetica" w:hAnsi="Helvetica"/>
          <w:i/>
          <w:color w:val="000000" w:themeColor="text1"/>
          <w:lang w:val="fr-FR"/>
        </w:rPr>
        <w:t>exécution</w:t>
      </w:r>
      <w:r w:rsidR="00170579" w:rsidRPr="005A0FF1">
        <w:rPr>
          <w:rFonts w:ascii="Helvetica" w:hAnsi="Helvetica"/>
          <w:i/>
          <w:color w:val="000000" w:themeColor="text1"/>
          <w:lang w:val="fr-FR"/>
        </w:rPr>
        <w:t xml:space="preserve"> du PCT</w:t>
      </w:r>
      <w:r w:rsidRPr="005A0FF1">
        <w:rPr>
          <w:rFonts w:ascii="Helvetica" w:hAnsi="Helvetica"/>
          <w:i/>
          <w:color w:val="000000" w:themeColor="text1"/>
          <w:lang w:val="fr-FR"/>
        </w:rPr>
        <w:t xml:space="preserve"> qui exigent des examinateurs qu</w:t>
      </w:r>
      <w:r w:rsidR="00170579" w:rsidRPr="005A0FF1">
        <w:rPr>
          <w:rFonts w:ascii="Helvetica" w:hAnsi="Helvetica"/>
          <w:i/>
          <w:color w:val="000000" w:themeColor="text1"/>
          <w:lang w:val="fr-FR"/>
        </w:rPr>
        <w:t>’</w:t>
      </w:r>
      <w:r w:rsidRPr="005A0FF1">
        <w:rPr>
          <w:rFonts w:ascii="Helvetica" w:hAnsi="Helvetica"/>
          <w:i/>
          <w:color w:val="000000" w:themeColor="text1"/>
          <w:lang w:val="fr-FR"/>
        </w:rPr>
        <w:t>ils aient les connaissances linguistiques nécessaires à la compréhension au moins des langues dans lesquelles la documentation minimale de la règle 34 est rédigée ou traduite, les examinateurs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de la propriété intellectuelle des Philippines ont une très bonne compréhension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anglais courant, et de très bonnes aptitudes en la matière.</w:t>
      </w:r>
    </w:p>
    <w:p w14:paraId="40024A32" w14:textId="77777777" w:rsidR="0059339D" w:rsidRPr="005A0FF1" w:rsidRDefault="0059339D" w:rsidP="005A0FF1">
      <w:pPr>
        <w:ind w:left="567"/>
        <w:jc w:val="both"/>
        <w:rPr>
          <w:rFonts w:ascii="Helvetica" w:hAnsi="Helvetica" w:cs="Helvetica"/>
          <w:i/>
          <w:iCs/>
          <w:color w:val="000000" w:themeColor="text1"/>
          <w:szCs w:val="22"/>
          <w:lang w:val="fr-FR"/>
        </w:rPr>
      </w:pPr>
    </w:p>
    <w:p w14:paraId="32E536B5" w14:textId="7DB5ED4F" w:rsidR="0059339D" w:rsidRPr="005A0FF1" w:rsidRDefault="0059339D" w:rsidP="005A0FF1">
      <w:pPr>
        <w:ind w:left="567"/>
        <w:jc w:val="both"/>
        <w:rPr>
          <w:rFonts w:ascii="Helvetica" w:hAnsi="Helvetica"/>
          <w:szCs w:val="22"/>
          <w:lang w:val="fr-FR"/>
        </w:rPr>
      </w:pPr>
      <w:r w:rsidRPr="005A0FF1">
        <w:rPr>
          <w:rFonts w:ascii="Helvetica" w:hAnsi="Helvetica"/>
          <w:i/>
          <w:color w:val="000000" w:themeColor="text1"/>
          <w:lang w:val="fr-FR"/>
        </w:rPr>
        <w:t>Tous les examinateurs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maîtrisent le philippin et l</w:t>
      </w:r>
      <w:r w:rsidR="00170579" w:rsidRPr="005A0FF1">
        <w:rPr>
          <w:rFonts w:ascii="Helvetica" w:hAnsi="Helvetica"/>
          <w:i/>
          <w:color w:val="000000" w:themeColor="text1"/>
          <w:lang w:val="fr-FR"/>
        </w:rPr>
        <w:t>’</w:t>
      </w:r>
      <w:r w:rsidRPr="005A0FF1">
        <w:rPr>
          <w:rFonts w:ascii="Helvetica" w:hAnsi="Helvetica"/>
          <w:i/>
          <w:color w:val="000000" w:themeColor="text1"/>
          <w:lang w:val="fr-FR"/>
        </w:rPr>
        <w:t>anglais à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oral et à l</w:t>
      </w:r>
      <w:r w:rsidR="00170579" w:rsidRPr="005A0FF1">
        <w:rPr>
          <w:rFonts w:ascii="Helvetica" w:hAnsi="Helvetica"/>
          <w:i/>
          <w:color w:val="000000" w:themeColor="text1"/>
          <w:lang w:val="fr-FR"/>
        </w:rPr>
        <w:t>’</w:t>
      </w:r>
      <w:r w:rsidRPr="005A0FF1">
        <w:rPr>
          <w:rFonts w:ascii="Helvetica" w:hAnsi="Helvetica"/>
          <w:i/>
          <w:color w:val="000000" w:themeColor="text1"/>
          <w:lang w:val="fr-FR"/>
        </w:rPr>
        <w:t>écr</w:t>
      </w:r>
      <w:r w:rsidR="005A0FF1" w:rsidRPr="005A0FF1">
        <w:rPr>
          <w:rFonts w:ascii="Helvetica" w:hAnsi="Helvetica"/>
          <w:i/>
          <w:color w:val="000000" w:themeColor="text1"/>
          <w:lang w:val="fr-FR"/>
        </w:rPr>
        <w:t xml:space="preserve">it.  </w:t>
      </w:r>
      <w:r w:rsidR="005A0FF1" w:rsidRPr="005A0FF1">
        <w:rPr>
          <w:i/>
          <w:iCs/>
          <w:lang w:val="fr-FR"/>
        </w:rPr>
        <w:t>To</w:t>
      </w:r>
      <w:r w:rsidRPr="005A0FF1">
        <w:rPr>
          <w:i/>
          <w:iCs/>
          <w:lang w:val="fr-FR"/>
        </w:rPr>
        <w:t>us les examinateurs possèdent un haut niveau de compétence et de compréhension technique de la langue anglaise, qui est l</w:t>
      </w:r>
      <w:r w:rsidR="00170579" w:rsidRPr="005A0FF1">
        <w:rPr>
          <w:i/>
          <w:iCs/>
          <w:lang w:val="fr-FR"/>
        </w:rPr>
        <w:t>’</w:t>
      </w:r>
      <w:r w:rsidRPr="005A0FF1">
        <w:rPr>
          <w:i/>
          <w:iCs/>
          <w:lang w:val="fr-FR"/>
        </w:rPr>
        <w:t>une des principales langues utilisées dans les demandes selon</w:t>
      </w:r>
      <w:r w:rsidR="00170579" w:rsidRPr="005A0FF1">
        <w:rPr>
          <w:i/>
          <w:iCs/>
          <w:lang w:val="fr-FR"/>
        </w:rPr>
        <w:t xml:space="preserve"> le </w:t>
      </w:r>
      <w:r w:rsidR="005A0FF1" w:rsidRPr="005A0FF1">
        <w:rPr>
          <w:i/>
          <w:iCs/>
          <w:lang w:val="fr-FR"/>
        </w:rPr>
        <w:t>PCT.  Au</w:t>
      </w:r>
      <w:r w:rsidRPr="005A0FF1">
        <w:rPr>
          <w:i/>
          <w:iCs/>
          <w:lang w:val="fr-FR"/>
        </w:rPr>
        <w:t>x Philippines, l</w:t>
      </w:r>
      <w:r w:rsidR="00170579" w:rsidRPr="005A0FF1">
        <w:rPr>
          <w:i/>
          <w:iCs/>
          <w:lang w:val="fr-FR"/>
        </w:rPr>
        <w:t>’</w:t>
      </w:r>
      <w:r w:rsidRPr="005A0FF1">
        <w:rPr>
          <w:i/>
          <w:iCs/>
          <w:lang w:val="fr-FR"/>
        </w:rPr>
        <w:t>anglais est la langue officielle et il est couramment utilisé dans les procédures administratives, les communications commerciales et l</w:t>
      </w:r>
      <w:r w:rsidR="00170579" w:rsidRPr="005A0FF1">
        <w:rPr>
          <w:i/>
          <w:iCs/>
          <w:lang w:val="fr-FR"/>
        </w:rPr>
        <w:t>’</w:t>
      </w:r>
      <w:r w:rsidRPr="005A0FF1">
        <w:rPr>
          <w:i/>
          <w:iCs/>
          <w:lang w:val="fr-FR"/>
        </w:rPr>
        <w:t>enseignement universitaire, ce qui garantit que les examinateurs sont pleinement capables d</w:t>
      </w:r>
      <w:r w:rsidR="00170579" w:rsidRPr="005A0FF1">
        <w:rPr>
          <w:i/>
          <w:iCs/>
          <w:lang w:val="fr-FR"/>
        </w:rPr>
        <w:t>’</w:t>
      </w:r>
      <w:r w:rsidRPr="005A0FF1">
        <w:rPr>
          <w:i/>
          <w:iCs/>
          <w:lang w:val="fr-FR"/>
        </w:rPr>
        <w:t>effectuer des recherches et des examens et de rédiger des rapports en anglais avec précision et clarté.</w:t>
      </w:r>
    </w:p>
    <w:p w14:paraId="1E708FBA" w14:textId="77777777" w:rsidR="0059339D" w:rsidRPr="005A0FF1" w:rsidRDefault="0059339D" w:rsidP="00170579">
      <w:pPr>
        <w:pStyle w:val="SectionHeading"/>
        <w:rPr>
          <w:lang w:val="fr-FR"/>
        </w:rPr>
      </w:pPr>
      <w:r w:rsidRPr="005A0FF1">
        <w:rPr>
          <w:lang w:val="fr-FR"/>
        </w:rPr>
        <w:lastRenderedPageBreak/>
        <w:t>2.2 – Documentation minimale – Mise à disposition pour consultation</w:t>
      </w:r>
    </w:p>
    <w:p w14:paraId="5F46A178" w14:textId="228484D7" w:rsidR="0059339D" w:rsidRPr="005A0FF1" w:rsidRDefault="0059339D" w:rsidP="00170579">
      <w:pPr>
        <w:pStyle w:val="RuleQuote"/>
      </w:pPr>
      <w:r w:rsidRPr="005A0FF1">
        <w:t>Règles 36.</w:t>
      </w:r>
      <w:proofErr w:type="gramStart"/>
      <w:r w:rsidRPr="005A0FF1">
        <w:t>1.ii</w:t>
      </w:r>
      <w:proofErr w:type="gramEnd"/>
      <w:r w:rsidRPr="005A0FF1">
        <w:t>) et 63.1.ii)</w:t>
      </w:r>
      <w:r w:rsidR="00170579" w:rsidRPr="005A0FF1">
        <w:t> :</w:t>
      </w:r>
      <w:r w:rsidRPr="005A0FF1">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33AD5CB3" w14:textId="4228F7E1" w:rsidR="0059339D" w:rsidRPr="005A0FF1" w:rsidRDefault="0059339D" w:rsidP="00170579">
      <w:pPr>
        <w:pStyle w:val="RuleQuote"/>
        <w:rPr>
          <w:szCs w:val="24"/>
        </w:rPr>
      </w:pPr>
      <w:r w:rsidRPr="005A0FF1">
        <w:t xml:space="preserve">Les exigences prévues dans les instructions administratives sont précisées dans la circulaire </w:t>
      </w:r>
      <w:hyperlink r:id="rId12" w:history="1">
        <w:r w:rsidRPr="005A0FF1">
          <w:rPr>
            <w:rStyle w:val="Hyperlink"/>
          </w:rPr>
          <w:t>C. PCT 1672</w:t>
        </w:r>
      </w:hyperlink>
      <w:r w:rsidRPr="005A0FF1">
        <w:t xml:space="preserve"> datée du 19 juin 2024.</w:t>
      </w:r>
    </w:p>
    <w:p w14:paraId="1CCA0C48" w14:textId="2A8F9C22" w:rsidR="0059339D" w:rsidRPr="005A0FF1" w:rsidRDefault="0059339D" w:rsidP="00170579">
      <w:pPr>
        <w:pStyle w:val="Question"/>
        <w:spacing w:after="0"/>
        <w:rPr>
          <w:b w:val="0"/>
          <w:bCs w:val="0"/>
        </w:rPr>
      </w:pPr>
      <w:r w:rsidRPr="005A0FF1">
        <w:rPr>
          <w:b w:val="0"/>
        </w:rPr>
        <w:t xml:space="preserve">La mise à disposition pour consultation, dans le cadre de la documentation minimale visée à la </w:t>
      </w:r>
      <w:r w:rsidR="00170579" w:rsidRPr="005A0FF1">
        <w:rPr>
          <w:b w:val="0"/>
        </w:rPr>
        <w:t>règle 3</w:t>
      </w:r>
      <w:r w:rsidRPr="005A0FF1">
        <w:rPr>
          <w:b w:val="0"/>
        </w:rPr>
        <w:t>4, des brevets délivrés et des demandes de brevet publiées par l</w:t>
      </w:r>
      <w:r w:rsidR="00170579" w:rsidRPr="005A0FF1">
        <w:rPr>
          <w:b w:val="0"/>
        </w:rPr>
        <w:t>’</w:t>
      </w:r>
      <w:r w:rsidRPr="005A0FF1">
        <w:rPr>
          <w:b w:val="0"/>
        </w:rPr>
        <w:t>office ou, le cas échéant, par les offices qui sont membres de l</w:t>
      </w:r>
      <w:r w:rsidR="00170579" w:rsidRPr="005A0FF1">
        <w:rPr>
          <w:b w:val="0"/>
        </w:rPr>
        <w:t>’</w:t>
      </w:r>
      <w:r w:rsidRPr="005A0FF1">
        <w:rPr>
          <w:b w:val="0"/>
        </w:rPr>
        <w:t>organisation intergouvernementale, conformément à l</w:t>
      </w:r>
      <w:r w:rsidR="00170579" w:rsidRPr="005A0FF1">
        <w:rPr>
          <w:b w:val="0"/>
        </w:rPr>
        <w:t>’</w:t>
      </w:r>
      <w:r w:rsidRPr="005A0FF1">
        <w:rPr>
          <w:b w:val="0"/>
        </w:rPr>
        <w:t>accord de principe adopté par l</w:t>
      </w:r>
      <w:r w:rsidR="00170579" w:rsidRPr="005A0FF1">
        <w:rPr>
          <w:b w:val="0"/>
        </w:rPr>
        <w:t>’</w:t>
      </w:r>
      <w:r w:rsidRPr="005A0FF1">
        <w:rPr>
          <w:b w:val="0"/>
        </w:rPr>
        <w:t>Assemblée de l</w:t>
      </w:r>
      <w:r w:rsidR="00170579" w:rsidRPr="005A0FF1">
        <w:rPr>
          <w:b w:val="0"/>
        </w:rPr>
        <w:t>’</w:t>
      </w:r>
      <w:r w:rsidRPr="005A0FF1">
        <w:rPr>
          <w:b w:val="0"/>
        </w:rPr>
        <w:t>Union</w:t>
      </w:r>
      <w:r w:rsidR="00170579" w:rsidRPr="005A0FF1">
        <w:rPr>
          <w:b w:val="0"/>
        </w:rPr>
        <w:t xml:space="preserve"> du PCT</w:t>
      </w:r>
      <w:r w:rsidRPr="005A0FF1">
        <w:rPr>
          <w:b w:val="0"/>
        </w:rPr>
        <w:t xml:space="preserve"> figurant au paragraphe 8 du </w:t>
      </w:r>
      <w:r w:rsidR="00170579" w:rsidRPr="005A0FF1">
        <w:rPr>
          <w:b w:val="0"/>
        </w:rPr>
        <w:t>document</w:t>
      </w:r>
      <w:r w:rsidR="005A0FF1">
        <w:rPr>
          <w:b w:val="0"/>
        </w:rPr>
        <w:t> </w:t>
      </w:r>
      <w:r w:rsidR="00170579" w:rsidRPr="005A0FF1">
        <w:rPr>
          <w:b w:val="0"/>
        </w:rPr>
        <w:t>PC</w:t>
      </w:r>
      <w:r w:rsidRPr="005A0FF1">
        <w:rPr>
          <w:b w:val="0"/>
        </w:rPr>
        <w:t>T/A/55/2, est notifiée comme suit</w:t>
      </w:r>
      <w:r w:rsidR="00170579" w:rsidRPr="005A0FF1">
        <w:rPr>
          <w:b w:val="0"/>
        </w:rPr>
        <w:t> :</w:t>
      </w:r>
      <w:r w:rsidRPr="005A0FF1">
        <w:rPr>
          <w:b w:val="0"/>
        </w:rPr>
        <w:br/>
      </w:r>
      <w:r w:rsidRPr="005A0FF1">
        <w:rPr>
          <w:b w:val="0"/>
        </w:rPr>
        <w:br/>
        <w:t>Soit</w:t>
      </w:r>
      <w:r w:rsidR="00170579" w:rsidRPr="005A0FF1">
        <w:rPr>
          <w:b w:val="0"/>
        </w:rPr>
        <w:t> :</w:t>
      </w:r>
      <w:r w:rsidRPr="005A0FF1">
        <w:rPr>
          <w:b w:val="0"/>
        </w:rPr>
        <w:br/>
      </w:r>
      <w:r w:rsidRPr="005A0FF1">
        <w:rPr>
          <w:b w:val="0"/>
        </w:rPr>
        <w:br/>
      </w:r>
      <w:sdt>
        <w:sdtPr>
          <w:rPr>
            <w:b w:val="0"/>
            <w:bCs w:val="0"/>
          </w:rPr>
          <w:id w:val="-178122316"/>
          <w14:checkbox>
            <w14:checked w14:val="1"/>
            <w14:checkedState w14:val="2612" w14:font="MS Gothic"/>
            <w14:uncheckedState w14:val="2610" w14:font="MS Gothic"/>
          </w14:checkbox>
        </w:sdtPr>
        <w:sdtEndPr/>
        <w:sdtContent>
          <w:r w:rsidRPr="005A0FF1">
            <w:rPr>
              <w:rFonts w:ascii="MS Gothic" w:eastAsia="MS Gothic" w:hAnsi="MS Gothic"/>
              <w:b w:val="0"/>
              <w:bCs w:val="0"/>
            </w:rPr>
            <w:t>☒</w:t>
          </w:r>
        </w:sdtContent>
      </w:sdt>
      <w:r w:rsidRPr="005A0FF1">
        <w:rPr>
          <w:b w:val="0"/>
        </w:rPr>
        <w:t xml:space="preserve"> L</w:t>
      </w:r>
      <w:r w:rsidR="00170579" w:rsidRPr="005A0FF1">
        <w:rPr>
          <w:b w:val="0"/>
        </w:rPr>
        <w:t>’</w:t>
      </w:r>
      <w:r w:rsidRPr="005A0FF1">
        <w:rPr>
          <w:b w:val="0"/>
        </w:rPr>
        <w:t>Équipe d</w:t>
      </w:r>
      <w:r w:rsidR="00170579" w:rsidRPr="005A0FF1">
        <w:rPr>
          <w:b w:val="0"/>
        </w:rPr>
        <w:t>’</w:t>
      </w:r>
      <w:r w:rsidRPr="005A0FF1">
        <w:rPr>
          <w:b w:val="0"/>
        </w:rPr>
        <w:t>experts chargée de la documentation minimale</w:t>
      </w:r>
      <w:r w:rsidR="00170579" w:rsidRPr="005A0FF1">
        <w:rPr>
          <w:b w:val="0"/>
        </w:rPr>
        <w:t xml:space="preserve"> du PCT</w:t>
      </w:r>
      <w:r w:rsidRPr="005A0FF1">
        <w:rPr>
          <w:b w:val="0"/>
        </w:rPr>
        <w:t xml:space="preserve"> a vérifié la disponibilité des collections de documents de brevet avant le</w:t>
      </w:r>
      <w:r w:rsidR="00170579" w:rsidRPr="005A0FF1">
        <w:rPr>
          <w:b w:val="0"/>
        </w:rPr>
        <w:t xml:space="preserve"> 1</w:t>
      </w:r>
      <w:r w:rsidR="00170579" w:rsidRPr="005A0FF1">
        <w:rPr>
          <w:b w:val="0"/>
          <w:vertAlign w:val="superscript"/>
        </w:rPr>
        <w:t>er</w:t>
      </w:r>
      <w:r w:rsidR="00170579" w:rsidRPr="005A0FF1">
        <w:rPr>
          <w:b w:val="0"/>
        </w:rPr>
        <w:t> </w:t>
      </w:r>
      <w:r w:rsidRPr="005A0FF1">
        <w:rPr>
          <w:b w:val="0"/>
        </w:rPr>
        <w:t>novembre 2025 et certifie que les exigences ont été respecté</w:t>
      </w:r>
      <w:r w:rsidR="005A0FF1" w:rsidRPr="005A0FF1">
        <w:rPr>
          <w:b w:val="0"/>
        </w:rPr>
        <w:t>es.  La</w:t>
      </w:r>
      <w:r w:rsidRPr="005A0FF1">
        <w:rPr>
          <w:b w:val="0"/>
        </w:rPr>
        <w:t xml:space="preserve"> portée et le format des documents que l</w:t>
      </w:r>
      <w:r w:rsidR="00170579" w:rsidRPr="005A0FF1">
        <w:rPr>
          <w:b w:val="0"/>
        </w:rPr>
        <w:t>’</w:t>
      </w:r>
      <w:r w:rsidRPr="005A0FF1">
        <w:rPr>
          <w:b w:val="0"/>
        </w:rPr>
        <w:t>administration a mis à disposition pour consultation ont été publiés dans la Gazette</w:t>
      </w:r>
      <w:r w:rsidR="00170579" w:rsidRPr="005A0FF1">
        <w:rPr>
          <w:b w:val="0"/>
        </w:rPr>
        <w:t xml:space="preserve"> du PCT</w:t>
      </w:r>
      <w:r w:rsidRPr="005A0FF1">
        <w:rPr>
          <w:b w:val="0"/>
        </w:rPr>
        <w:t xml:space="preserve"> le 23 octobre 2025 et dans un </w:t>
      </w:r>
      <w:proofErr w:type="spellStart"/>
      <w:r w:rsidRPr="005A0FF1">
        <w:rPr>
          <w:b w:val="0"/>
        </w:rPr>
        <w:t>corrigendum</w:t>
      </w:r>
      <w:proofErr w:type="spellEnd"/>
      <w:r w:rsidRPr="005A0FF1">
        <w:rPr>
          <w:b w:val="0"/>
        </w:rPr>
        <w:t xml:space="preserve"> publié dans la Gazette</w:t>
      </w:r>
      <w:r w:rsidR="00170579" w:rsidRPr="005A0FF1">
        <w:rPr>
          <w:b w:val="0"/>
        </w:rPr>
        <w:t xml:space="preserve"> du PCT</w:t>
      </w:r>
      <w:r w:rsidRPr="005A0FF1">
        <w:rPr>
          <w:b w:val="0"/>
        </w:rPr>
        <w:t xml:space="preserve"> le 27 novembre 2025 aux adresses suivantes</w:t>
      </w:r>
      <w:r w:rsidR="00170579" w:rsidRPr="005A0FF1">
        <w:rPr>
          <w:b w:val="0"/>
        </w:rPr>
        <w:t> :</w:t>
      </w:r>
      <w:r w:rsidRPr="005A0FF1">
        <w:rPr>
          <w:b w:val="0"/>
        </w:rPr>
        <w:t xml:space="preserve"> </w:t>
      </w:r>
      <w:hyperlink r:id="rId13" w:anchor="page=201" w:history="1">
        <w:r w:rsidR="005A0FF1" w:rsidRPr="00AB264C">
          <w:rPr>
            <w:rStyle w:val="Hyperlink"/>
            <w:b w:val="0"/>
          </w:rPr>
          <w:t>https://www.wipo.int/documents/d/pct</w:t>
        </w:r>
        <w:r w:rsidR="005A0FF1" w:rsidRPr="00AB264C">
          <w:rPr>
            <w:rStyle w:val="Hyperlink"/>
            <w:b w:val="0"/>
          </w:rPr>
          <w:noBreakHyphen/>
          <w:t>system/docs-en-official-notices-officialnotices.pdf#page=201</w:t>
        </w:r>
      </w:hyperlink>
      <w:r w:rsidRPr="005A0FF1">
        <w:rPr>
          <w:b w:val="0"/>
        </w:rPr>
        <w:t xml:space="preserve"> et </w:t>
      </w:r>
      <w:hyperlink r:id="rId14" w:anchor="page=247" w:history="1">
        <w:r w:rsidR="005A0FF1" w:rsidRPr="00AB264C">
          <w:rPr>
            <w:rStyle w:val="Hyperlink"/>
            <w:b w:val="0"/>
          </w:rPr>
          <w:t>https://www.wipo.int/documents/d/pct</w:t>
        </w:r>
        <w:r w:rsidR="005A0FF1" w:rsidRPr="00AB264C">
          <w:rPr>
            <w:rStyle w:val="Hyperlink"/>
            <w:b w:val="0"/>
          </w:rPr>
          <w:noBreakHyphen/>
          <w:t>system/docs-en-official-notices-officialnotices.pdf#page=247</w:t>
        </w:r>
      </w:hyperlink>
      <w:r w:rsidRPr="005A0FF1">
        <w:rPr>
          <w:b w:val="0"/>
        </w:rPr>
        <w:t>.</w:t>
      </w:r>
    </w:p>
    <w:p w14:paraId="0E45E40D" w14:textId="77777777" w:rsidR="0059339D" w:rsidRPr="005A0FF1" w:rsidRDefault="0059339D" w:rsidP="005A0FF1">
      <w:pPr>
        <w:pStyle w:val="Answer"/>
        <w:ind w:left="0"/>
      </w:pPr>
    </w:p>
    <w:p w14:paraId="2A4A7B8C" w14:textId="5B376B3B" w:rsidR="0059339D" w:rsidRPr="005A0FF1" w:rsidRDefault="0059339D" w:rsidP="00170579">
      <w:pPr>
        <w:pStyle w:val="Answer"/>
        <w:ind w:left="0"/>
      </w:pPr>
      <w:r w:rsidRPr="005A0FF1">
        <w:t>Soit</w:t>
      </w:r>
      <w:r w:rsidR="00170579" w:rsidRPr="005A0FF1">
        <w:t> :</w:t>
      </w:r>
    </w:p>
    <w:p w14:paraId="067285E0" w14:textId="3C5BD055" w:rsidR="0059339D" w:rsidRPr="005A0FF1" w:rsidRDefault="00DA1D39" w:rsidP="00170579">
      <w:pPr>
        <w:pStyle w:val="Answer"/>
        <w:ind w:left="0"/>
      </w:pPr>
      <w:sdt>
        <w:sdtPr>
          <w:id w:val="229279132"/>
          <w14:checkbox>
            <w14:checked w14:val="0"/>
            <w14:checkedState w14:val="2612" w14:font="MS Gothic"/>
            <w14:uncheckedState w14:val="2610" w14:font="MS Gothic"/>
          </w14:checkbox>
        </w:sdtPr>
        <w:sdtEndPr/>
        <w:sdtContent>
          <w:r w:rsidR="0059339D" w:rsidRPr="005A0FF1">
            <w:rPr>
              <w:rFonts w:ascii="MS Gothic" w:eastAsia="MS Gothic" w:hAnsi="MS Gothic"/>
            </w:rPr>
            <w:t>☐</w:t>
          </w:r>
        </w:sdtContent>
      </w:sdt>
      <w:r w:rsidR="0059339D" w:rsidRPr="005A0FF1">
        <w:t xml:space="preserve"> L</w:t>
      </w:r>
      <w:r w:rsidR="00170579" w:rsidRPr="005A0FF1">
        <w:t>’</w:t>
      </w:r>
      <w:r w:rsidR="0059339D" w:rsidRPr="005A0FF1">
        <w:t>administration rend compte de la disponibilité de sa collection de documents de brevet comme suit, avec un calendrier indiquant à quel moment les vérifications et la disponibilité totale pourront être certifiées par l</w:t>
      </w:r>
      <w:r w:rsidR="00170579" w:rsidRPr="005A0FF1">
        <w:t>’</w:t>
      </w:r>
      <w:r w:rsidR="0059339D" w:rsidRPr="005A0FF1">
        <w:t>Équipe d</w:t>
      </w:r>
      <w:r w:rsidR="00170579" w:rsidRPr="005A0FF1">
        <w:t>’</w:t>
      </w:r>
      <w:r w:rsidR="0059339D" w:rsidRPr="005A0FF1">
        <w:t>experts chargée de la documentation minimale</w:t>
      </w:r>
      <w:r w:rsidR="00170579" w:rsidRPr="005A0FF1">
        <w:t xml:space="preserve"> du </w:t>
      </w:r>
      <w:r w:rsidR="005A0FF1" w:rsidRPr="005A0FF1">
        <w:t>PCT.  Ve</w:t>
      </w:r>
      <w:r w:rsidR="0059339D" w:rsidRPr="005A0FF1">
        <w:t>uillez également fournir des indications sur votre fichier d</w:t>
      </w:r>
      <w:r w:rsidR="00170579" w:rsidRPr="005A0FF1">
        <w:t>’</w:t>
      </w:r>
      <w:r w:rsidR="0059339D" w:rsidRPr="005A0FF1">
        <w:t>autorité ainsi que des liens, le cas échéant.</w:t>
      </w:r>
    </w:p>
    <w:p w14:paraId="728697F2" w14:textId="77777777" w:rsidR="0059339D" w:rsidRPr="005A0FF1" w:rsidRDefault="0059339D" w:rsidP="00170579">
      <w:pPr>
        <w:pStyle w:val="Answer"/>
        <w:ind w:left="0"/>
      </w:pPr>
    </w:p>
    <w:p w14:paraId="30801A3F" w14:textId="77777777" w:rsidR="0059339D" w:rsidRPr="005A0FF1" w:rsidRDefault="0059339D" w:rsidP="00170579">
      <w:pPr>
        <w:pStyle w:val="SectionHeading"/>
        <w:rPr>
          <w:lang w:val="fr-FR"/>
        </w:rPr>
      </w:pPr>
      <w:r w:rsidRPr="005A0FF1">
        <w:rPr>
          <w:lang w:val="fr-FR"/>
        </w:rPr>
        <w:lastRenderedPageBreak/>
        <w:t>2.3 – Documentation minimale – Accès</w:t>
      </w:r>
    </w:p>
    <w:p w14:paraId="3D7BBC20" w14:textId="48692056" w:rsidR="0059339D" w:rsidRPr="005A0FF1" w:rsidRDefault="0059339D" w:rsidP="00170579">
      <w:pPr>
        <w:pStyle w:val="RuleQuote"/>
        <w:rPr>
          <w:i w:val="0"/>
          <w:iCs w:val="0"/>
        </w:rPr>
      </w:pPr>
      <w:r w:rsidRPr="005A0FF1">
        <w:t>Règles 36.1.iii) et 63.1.iii)</w:t>
      </w:r>
      <w:r w:rsidR="00170579" w:rsidRPr="005A0FF1">
        <w:t> :</w:t>
      </w:r>
      <w:r w:rsidRPr="005A0FF1">
        <w:t xml:space="preserve"> Cet office ou cette organisation doit avoir en sa possession au moins la documentation minimale de la règle 34, ou maintenir l</w:t>
      </w:r>
      <w:r w:rsidR="00170579" w:rsidRPr="005A0FF1">
        <w:t>’</w:t>
      </w:r>
      <w:r w:rsidRPr="005A0FF1">
        <w:t>accès à cette documentation minimale, aux fins de la recherche conformément aux instructions administratives.</w:t>
      </w:r>
    </w:p>
    <w:p w14:paraId="2A88F3B6" w14:textId="0F07994F" w:rsidR="00170579" w:rsidRPr="005A0FF1" w:rsidRDefault="0059339D" w:rsidP="00170579">
      <w:pPr>
        <w:pStyle w:val="RuleQuote"/>
        <w:ind w:left="0"/>
        <w:rPr>
          <w:i w:val="0"/>
        </w:rPr>
      </w:pPr>
      <w:r w:rsidRPr="005A0FF1">
        <w:rPr>
          <w:i w:val="0"/>
        </w:rPr>
        <w:t>Le rapport sur le système de gestion de la qualité contient des informations sur l</w:t>
      </w:r>
      <w:r w:rsidR="00170579" w:rsidRPr="005A0FF1">
        <w:rPr>
          <w:i w:val="0"/>
        </w:rPr>
        <w:t>’</w:t>
      </w:r>
      <w:r w:rsidRPr="005A0FF1">
        <w:rPr>
          <w:i w:val="0"/>
        </w:rPr>
        <w:t>infrastructure mise en place pour veiller à ce qu</w:t>
      </w:r>
      <w:r w:rsidR="00170579" w:rsidRPr="005A0FF1">
        <w:rPr>
          <w:i w:val="0"/>
        </w:rPr>
        <w:t>’</w:t>
      </w:r>
      <w:r w:rsidRPr="005A0FF1">
        <w:rPr>
          <w:i w:val="0"/>
        </w:rPr>
        <w:t>au moins la documentation minimale dont il est question à la règle 34 soit disponible, accessible, correctement organisée et tenue à jour aux fins de la recherche et de l</w:t>
      </w:r>
      <w:r w:rsidR="00170579" w:rsidRPr="005A0FF1">
        <w:rPr>
          <w:i w:val="0"/>
        </w:rPr>
        <w:t>’</w:t>
      </w:r>
      <w:r w:rsidRPr="005A0FF1">
        <w:rPr>
          <w:i w:val="0"/>
        </w:rPr>
        <w:t>examen au titre du paragraphe 21.15.v) des directives.</w:t>
      </w:r>
    </w:p>
    <w:p w14:paraId="4CCBDED3" w14:textId="2AC19591" w:rsidR="00170579" w:rsidRPr="005A0FF1" w:rsidRDefault="0059339D" w:rsidP="00170579">
      <w:pPr>
        <w:pStyle w:val="RuleQuote"/>
        <w:ind w:left="0"/>
        <w:rPr>
          <w:i w:val="0"/>
        </w:rPr>
      </w:pPr>
      <w:r w:rsidRPr="005A0FF1">
        <w:rPr>
          <w:i w:val="0"/>
        </w:rPr>
        <w:t>Autres informations que celles figurant dans le rapport sur le système de gestion de la qualité (facultatif)</w:t>
      </w:r>
      <w:r w:rsidR="00170579" w:rsidRPr="005A0FF1">
        <w:rPr>
          <w:i w:val="0"/>
        </w:rPr>
        <w:t> :</w:t>
      </w:r>
    </w:p>
    <w:p w14:paraId="5FF4B99C" w14:textId="2F45E672" w:rsidR="0059339D" w:rsidRPr="005A0FF1" w:rsidRDefault="0059339D" w:rsidP="00170579">
      <w:pPr>
        <w:pStyle w:val="RuleQuote"/>
        <w:ind w:right="-57"/>
        <w:jc w:val="both"/>
        <w:rPr>
          <w:rFonts w:ascii="Helvetica" w:hAnsi="Helvetica" w:cs="Helvetica"/>
          <w:color w:val="000000" w:themeColor="text1"/>
          <w:szCs w:val="22"/>
        </w:rPr>
      </w:pPr>
      <w:r w:rsidRPr="005A0FF1">
        <w:rPr>
          <w:rFonts w:ascii="Helvetica" w:hAnsi="Helvetica"/>
          <w:color w:val="000000" w:themeColor="text1"/>
        </w:rPr>
        <w:t>L</w:t>
      </w:r>
      <w:r w:rsidR="00170579" w:rsidRPr="005A0FF1">
        <w:rPr>
          <w:rFonts w:ascii="Helvetica" w:hAnsi="Helvetica"/>
          <w:color w:val="000000" w:themeColor="text1"/>
        </w:rPr>
        <w:t>’</w:t>
      </w:r>
      <w:r w:rsidRPr="005A0FF1">
        <w:rPr>
          <w:rFonts w:ascii="Helvetica" w:hAnsi="Helvetica"/>
          <w:color w:val="000000" w:themeColor="text1"/>
        </w:rPr>
        <w:t>IPOPHL s</w:t>
      </w:r>
      <w:r w:rsidR="00170579" w:rsidRPr="005A0FF1">
        <w:rPr>
          <w:rFonts w:ascii="Helvetica" w:hAnsi="Helvetica"/>
          <w:color w:val="000000" w:themeColor="text1"/>
        </w:rPr>
        <w:t>’</w:t>
      </w:r>
      <w:r w:rsidRPr="005A0FF1">
        <w:rPr>
          <w:rFonts w:ascii="Helvetica" w:hAnsi="Helvetica"/>
          <w:color w:val="000000" w:themeColor="text1"/>
        </w:rPr>
        <w:t>efforce de suivre l</w:t>
      </w:r>
      <w:r w:rsidR="00170579" w:rsidRPr="005A0FF1">
        <w:rPr>
          <w:rFonts w:ascii="Helvetica" w:hAnsi="Helvetica"/>
          <w:color w:val="000000" w:themeColor="text1"/>
        </w:rPr>
        <w:t>’</w:t>
      </w:r>
      <w:r w:rsidRPr="005A0FF1">
        <w:rPr>
          <w:rFonts w:ascii="Helvetica" w:hAnsi="Helvetica"/>
          <w:color w:val="000000" w:themeColor="text1"/>
        </w:rPr>
        <w:t>évolution des technologies de l</w:t>
      </w:r>
      <w:r w:rsidR="00170579" w:rsidRPr="005A0FF1">
        <w:rPr>
          <w:rFonts w:ascii="Helvetica" w:hAnsi="Helvetica"/>
          <w:color w:val="000000" w:themeColor="text1"/>
        </w:rPr>
        <w:t>’</w:t>
      </w:r>
      <w:r w:rsidRPr="005A0FF1">
        <w:rPr>
          <w:rFonts w:ascii="Helvetica" w:hAnsi="Helvetica"/>
          <w:color w:val="000000" w:themeColor="text1"/>
        </w:rPr>
        <w:t>information afin d</w:t>
      </w:r>
      <w:r w:rsidR="00170579" w:rsidRPr="005A0FF1">
        <w:rPr>
          <w:rFonts w:ascii="Helvetica" w:hAnsi="Helvetica"/>
          <w:color w:val="000000" w:themeColor="text1"/>
        </w:rPr>
        <w:t>’</w:t>
      </w:r>
      <w:r w:rsidRPr="005A0FF1">
        <w:rPr>
          <w:rFonts w:ascii="Helvetica" w:hAnsi="Helvetica"/>
          <w:color w:val="000000" w:themeColor="text1"/>
        </w:rPr>
        <w:t>appuyer ses examinateurs dans la conduite de leurs travaux de recherche et d</w:t>
      </w:r>
      <w:r w:rsidR="00170579" w:rsidRPr="005A0FF1">
        <w:rPr>
          <w:rFonts w:ascii="Helvetica" w:hAnsi="Helvetica"/>
          <w:color w:val="000000" w:themeColor="text1"/>
        </w:rPr>
        <w:t>’</w:t>
      </w:r>
      <w:r w:rsidRPr="005A0FF1">
        <w:rPr>
          <w:rFonts w:ascii="Helvetica" w:hAnsi="Helvetica"/>
          <w:color w:val="000000" w:themeColor="text1"/>
        </w:rPr>
        <w:t>examen (par exemple serveurs avancés et infrastructures de rése</w:t>
      </w:r>
      <w:r w:rsidR="005A0FF1" w:rsidRPr="005A0FF1">
        <w:rPr>
          <w:rFonts w:ascii="Helvetica" w:hAnsi="Helvetica"/>
          <w:color w:val="000000" w:themeColor="text1"/>
        </w:rPr>
        <w:t>au).  En</w:t>
      </w:r>
      <w:r w:rsidRPr="005A0FF1">
        <w:rPr>
          <w:rFonts w:ascii="Helvetica" w:hAnsi="Helvetica"/>
          <w:color w:val="000000" w:themeColor="text1"/>
        </w:rPr>
        <w:t xml:space="preserve"> outre, un logiciel spécifique est utilisé pour mener à bien les travaux de recherche et d</w:t>
      </w:r>
      <w:r w:rsidR="00170579" w:rsidRPr="005A0FF1">
        <w:rPr>
          <w:rFonts w:ascii="Helvetica" w:hAnsi="Helvetica"/>
          <w:color w:val="000000" w:themeColor="text1"/>
        </w:rPr>
        <w:t>’</w:t>
      </w:r>
      <w:r w:rsidRPr="005A0FF1">
        <w:rPr>
          <w:rFonts w:ascii="Helvetica" w:hAnsi="Helvetica"/>
          <w:color w:val="000000" w:themeColor="text1"/>
        </w:rPr>
        <w:t>examen.</w:t>
      </w:r>
    </w:p>
    <w:p w14:paraId="4A817D99" w14:textId="12107ED8" w:rsidR="0059339D" w:rsidRPr="005A0FF1" w:rsidRDefault="0059339D" w:rsidP="00170579">
      <w:pPr>
        <w:pStyle w:val="RuleQuote"/>
        <w:ind w:right="-57"/>
        <w:jc w:val="both"/>
        <w:rPr>
          <w:i w:val="0"/>
          <w:iCs w:val="0"/>
        </w:rPr>
      </w:pPr>
      <w:r w:rsidRPr="005A0FF1">
        <w:rPr>
          <w:rFonts w:ascii="Helvetica" w:hAnsi="Helvetica"/>
          <w:color w:val="000000" w:themeColor="text1"/>
        </w:rPr>
        <w:t>S</w:t>
      </w:r>
      <w:r w:rsidR="00170579" w:rsidRPr="005A0FF1">
        <w:rPr>
          <w:rFonts w:ascii="Helvetica" w:hAnsi="Helvetica"/>
          <w:color w:val="000000" w:themeColor="text1"/>
        </w:rPr>
        <w:t>’</w:t>
      </w:r>
      <w:r w:rsidRPr="005A0FF1">
        <w:rPr>
          <w:rFonts w:ascii="Helvetica" w:hAnsi="Helvetica"/>
          <w:color w:val="000000" w:themeColor="text1"/>
        </w:rPr>
        <w:t>agissant de l</w:t>
      </w:r>
      <w:r w:rsidR="00170579" w:rsidRPr="005A0FF1">
        <w:rPr>
          <w:rFonts w:ascii="Helvetica" w:hAnsi="Helvetica"/>
          <w:color w:val="000000" w:themeColor="text1"/>
        </w:rPr>
        <w:t>’</w:t>
      </w:r>
      <w:r w:rsidRPr="005A0FF1">
        <w:rPr>
          <w:rFonts w:ascii="Helvetica" w:hAnsi="Helvetica"/>
          <w:color w:val="000000" w:themeColor="text1"/>
        </w:rPr>
        <w:t>infrastructure de réseau, l</w:t>
      </w:r>
      <w:r w:rsidR="00170579" w:rsidRPr="005A0FF1">
        <w:rPr>
          <w:rFonts w:ascii="Helvetica" w:hAnsi="Helvetica"/>
          <w:color w:val="000000" w:themeColor="text1"/>
        </w:rPr>
        <w:t>’</w:t>
      </w:r>
      <w:r w:rsidRPr="005A0FF1">
        <w:rPr>
          <w:rFonts w:ascii="Helvetica" w:hAnsi="Helvetica"/>
          <w:color w:val="000000" w:themeColor="text1"/>
        </w:rPr>
        <w:t>IPOPHL dispose d</w:t>
      </w:r>
      <w:r w:rsidR="00170579" w:rsidRPr="005A0FF1">
        <w:rPr>
          <w:rFonts w:ascii="Helvetica" w:hAnsi="Helvetica"/>
          <w:color w:val="000000" w:themeColor="text1"/>
        </w:rPr>
        <w:t>’</w:t>
      </w:r>
      <w:r w:rsidRPr="005A0FF1">
        <w:rPr>
          <w:rFonts w:ascii="Helvetica" w:hAnsi="Helvetica"/>
          <w:color w:val="000000" w:themeColor="text1"/>
        </w:rPr>
        <w:t>une solution de sécurité complète et intégrée, équipée d</w:t>
      </w:r>
      <w:r w:rsidR="00170579" w:rsidRPr="005A0FF1">
        <w:rPr>
          <w:rFonts w:ascii="Helvetica" w:hAnsi="Helvetica"/>
          <w:color w:val="000000" w:themeColor="text1"/>
        </w:rPr>
        <w:t>’</w:t>
      </w:r>
      <w:r w:rsidRPr="005A0FF1">
        <w:rPr>
          <w:rFonts w:ascii="Helvetica" w:hAnsi="Helvetica"/>
          <w:color w:val="000000" w:themeColor="text1"/>
        </w:rPr>
        <w:t>un dispositif de pare</w:t>
      </w:r>
      <w:r w:rsidR="005A0FF1">
        <w:rPr>
          <w:rFonts w:ascii="Helvetica" w:hAnsi="Helvetica"/>
          <w:color w:val="000000" w:themeColor="text1"/>
        </w:rPr>
        <w:noBreakHyphen/>
      </w:r>
      <w:r w:rsidRPr="005A0FF1">
        <w:rPr>
          <w:rFonts w:ascii="Helvetica" w:hAnsi="Helvetica"/>
          <w:color w:val="000000" w:themeColor="text1"/>
        </w:rPr>
        <w:t>feu et d</w:t>
      </w:r>
      <w:r w:rsidR="00170579" w:rsidRPr="005A0FF1">
        <w:rPr>
          <w:rFonts w:ascii="Helvetica" w:hAnsi="Helvetica"/>
          <w:color w:val="000000" w:themeColor="text1"/>
        </w:rPr>
        <w:t>’</w:t>
      </w:r>
      <w:r w:rsidRPr="005A0FF1">
        <w:rPr>
          <w:rFonts w:ascii="Helvetica" w:hAnsi="Helvetica"/>
          <w:color w:val="000000" w:themeColor="text1"/>
        </w:rPr>
        <w:t>un système anti</w:t>
      </w:r>
      <w:r w:rsidR="005A0FF1">
        <w:rPr>
          <w:rFonts w:ascii="Helvetica" w:hAnsi="Helvetica"/>
          <w:color w:val="000000" w:themeColor="text1"/>
        </w:rPr>
        <w:noBreakHyphen/>
      </w:r>
      <w:r w:rsidRPr="005A0FF1">
        <w:rPr>
          <w:rFonts w:ascii="Helvetica" w:hAnsi="Helvetica"/>
          <w:color w:val="000000" w:themeColor="text1"/>
        </w:rPr>
        <w:t>intrusion, doté de fonctions antivirus, anti</w:t>
      </w:r>
      <w:r w:rsidR="005A0FF1">
        <w:rPr>
          <w:rFonts w:ascii="Helvetica" w:hAnsi="Helvetica"/>
          <w:color w:val="000000" w:themeColor="text1"/>
        </w:rPr>
        <w:noBreakHyphen/>
      </w:r>
      <w:r w:rsidRPr="005A0FF1">
        <w:rPr>
          <w:rFonts w:ascii="Helvetica" w:hAnsi="Helvetica"/>
          <w:color w:val="000000" w:themeColor="text1"/>
        </w:rPr>
        <w:t>bot et antispam, et d</w:t>
      </w:r>
      <w:r w:rsidR="00170579" w:rsidRPr="005A0FF1">
        <w:rPr>
          <w:rFonts w:ascii="Helvetica" w:hAnsi="Helvetica"/>
          <w:color w:val="000000" w:themeColor="text1"/>
        </w:rPr>
        <w:t>’</w:t>
      </w:r>
      <w:r w:rsidRPr="005A0FF1">
        <w:rPr>
          <w:rFonts w:ascii="Helvetica" w:hAnsi="Helvetica"/>
          <w:color w:val="000000" w:themeColor="text1"/>
        </w:rPr>
        <w:t xml:space="preserve">une fonction réseau privé virtuel </w:t>
      </w:r>
      <w:proofErr w:type="spellStart"/>
      <w:r w:rsidRPr="005A0FF1">
        <w:rPr>
          <w:rFonts w:ascii="Helvetica" w:hAnsi="Helvetica"/>
          <w:color w:val="000000" w:themeColor="text1"/>
        </w:rPr>
        <w:t>IPSec</w:t>
      </w:r>
      <w:proofErr w:type="spellEnd"/>
      <w:r w:rsidRPr="005A0FF1">
        <w:rPr>
          <w:rFonts w:ascii="Helvetica" w:hAnsi="Helvetica"/>
          <w:color w:val="000000" w:themeColor="text1"/>
        </w:rPr>
        <w:t xml:space="preserve"> pour des connexions de site à site sécurisé</w:t>
      </w:r>
      <w:r w:rsidR="005A0FF1" w:rsidRPr="005A0FF1">
        <w:rPr>
          <w:rFonts w:ascii="Helvetica" w:hAnsi="Helvetica"/>
          <w:color w:val="000000" w:themeColor="text1"/>
        </w:rPr>
        <w:t>es.  Le</w:t>
      </w:r>
      <w:r w:rsidRPr="005A0FF1">
        <w:rPr>
          <w:rFonts w:ascii="Helvetica" w:hAnsi="Helvetica"/>
          <w:color w:val="000000" w:themeColor="text1"/>
        </w:rPr>
        <w:t xml:space="preserve"> commutateur principal du réseau est alimenté par deux</w:t>
      </w:r>
      <w:r w:rsidR="00DA676D" w:rsidRPr="005A0FF1">
        <w:rPr>
          <w:rFonts w:ascii="Helvetica" w:hAnsi="Helvetica"/>
          <w:color w:val="000000" w:themeColor="text1"/>
        </w:rPr>
        <w:t> </w:t>
      </w:r>
      <w:r w:rsidRPr="005A0FF1">
        <w:rPr>
          <w:rFonts w:ascii="Helvetica" w:hAnsi="Helvetica"/>
          <w:color w:val="000000" w:themeColor="text1"/>
        </w:rPr>
        <w:t>nœuds Internet actifs avec une bande passante suffisante pour desservir l</w:t>
      </w:r>
      <w:r w:rsidR="00170579" w:rsidRPr="005A0FF1">
        <w:rPr>
          <w:rFonts w:ascii="Helvetica" w:hAnsi="Helvetica"/>
          <w:color w:val="000000" w:themeColor="text1"/>
        </w:rPr>
        <w:t>’</w:t>
      </w:r>
      <w:r w:rsidRPr="005A0FF1">
        <w:rPr>
          <w:rFonts w:ascii="Helvetica" w:hAnsi="Helvetica"/>
          <w:color w:val="000000" w:themeColor="text1"/>
        </w:rPr>
        <w:t>ensemble du réseau et une fonction de basculement en cas de défaillance de l</w:t>
      </w:r>
      <w:r w:rsidR="00170579" w:rsidRPr="005A0FF1">
        <w:rPr>
          <w:rFonts w:ascii="Helvetica" w:hAnsi="Helvetica"/>
          <w:color w:val="000000" w:themeColor="text1"/>
        </w:rPr>
        <w:t>’</w:t>
      </w:r>
      <w:r w:rsidRPr="005A0FF1">
        <w:rPr>
          <w:rFonts w:ascii="Helvetica" w:hAnsi="Helvetica"/>
          <w:color w:val="000000" w:themeColor="text1"/>
        </w:rPr>
        <w:t>un des nœu</w:t>
      </w:r>
      <w:r w:rsidR="005A0FF1" w:rsidRPr="005A0FF1">
        <w:rPr>
          <w:rFonts w:ascii="Helvetica" w:hAnsi="Helvetica"/>
          <w:color w:val="000000" w:themeColor="text1"/>
        </w:rPr>
        <w:t>ds.  La</w:t>
      </w:r>
      <w:r w:rsidRPr="005A0FF1">
        <w:rPr>
          <w:rFonts w:ascii="Helvetica" w:hAnsi="Helvetica"/>
          <w:color w:val="000000" w:themeColor="text1"/>
        </w:rPr>
        <w:t xml:space="preserve"> virtualisation du serveur est assurée, ce qui permet d</w:t>
      </w:r>
      <w:r w:rsidR="00170579" w:rsidRPr="005A0FF1">
        <w:rPr>
          <w:rFonts w:ascii="Helvetica" w:hAnsi="Helvetica"/>
          <w:color w:val="000000" w:themeColor="text1"/>
        </w:rPr>
        <w:t>’</w:t>
      </w:r>
      <w:r w:rsidRPr="005A0FF1">
        <w:rPr>
          <w:rFonts w:ascii="Helvetica" w:hAnsi="Helvetica"/>
          <w:color w:val="000000" w:themeColor="text1"/>
        </w:rPr>
        <w:t>approvisionner et de déployer plus rapidement les systèmes d</w:t>
      </w:r>
      <w:r w:rsidR="00170579" w:rsidRPr="005A0FF1">
        <w:rPr>
          <w:rFonts w:ascii="Helvetica" w:hAnsi="Helvetica"/>
          <w:color w:val="000000" w:themeColor="text1"/>
        </w:rPr>
        <w:t>’</w:t>
      </w:r>
      <w:r w:rsidRPr="005A0FF1">
        <w:rPr>
          <w:rFonts w:ascii="Helvetica" w:hAnsi="Helvetica"/>
          <w:color w:val="000000" w:themeColor="text1"/>
        </w:rPr>
        <w:t>application tout en assurant une plus grande disponibilité et une meilleure durée de fonctionneme</w:t>
      </w:r>
      <w:r w:rsidR="005A0FF1" w:rsidRPr="005A0FF1">
        <w:rPr>
          <w:rFonts w:ascii="Helvetica" w:hAnsi="Helvetica"/>
          <w:color w:val="000000" w:themeColor="text1"/>
        </w:rPr>
        <w:t>nt.  L’o</w:t>
      </w:r>
      <w:r w:rsidRPr="005A0FF1">
        <w:rPr>
          <w:rFonts w:ascii="Helvetica" w:hAnsi="Helvetica"/>
          <w:color w:val="000000" w:themeColor="text1"/>
        </w:rPr>
        <w:t>ffice a recours à des services de sauvegarde de données dans un espace dématérialisé (Cloud), et des procédures de sauvegarde et de test de données sont également effectuées régulièrement.</w:t>
      </w:r>
    </w:p>
    <w:p w14:paraId="0328CF4E" w14:textId="0A81FFE8" w:rsidR="00170579" w:rsidRPr="005A0FF1" w:rsidRDefault="0059339D" w:rsidP="00170579">
      <w:pPr>
        <w:jc w:val="both"/>
        <w:rPr>
          <w:rFonts w:ascii="Helvetica" w:hAnsi="Helvetica"/>
          <w:i/>
          <w:color w:val="000000" w:themeColor="text1"/>
          <w:lang w:val="fr-FR"/>
        </w:rPr>
      </w:pPr>
      <w:r w:rsidRPr="005A0FF1">
        <w:rPr>
          <w:rFonts w:ascii="Helvetica" w:hAnsi="Helvetica"/>
          <w:i/>
          <w:color w:val="000000" w:themeColor="text1"/>
          <w:lang w:val="fr-FR"/>
        </w:rPr>
        <w:t>Les examinateurs de l</w:t>
      </w:r>
      <w:r w:rsidR="00170579" w:rsidRPr="005A0FF1">
        <w:rPr>
          <w:rFonts w:ascii="Helvetica" w:hAnsi="Helvetica"/>
          <w:i/>
          <w:color w:val="000000" w:themeColor="text1"/>
          <w:lang w:val="fr-FR"/>
        </w:rPr>
        <w:t>’</w:t>
      </w:r>
      <w:r w:rsidRPr="005A0FF1">
        <w:rPr>
          <w:rFonts w:ascii="Helvetica" w:hAnsi="Helvetica"/>
          <w:i/>
          <w:color w:val="000000" w:themeColor="text1"/>
          <w:lang w:val="fr-FR"/>
        </w:rPr>
        <w:t>office ont actuellement accès aux bases de données suivantes sur les brevets et sur la littérature non</w:t>
      </w:r>
      <w:r w:rsidR="005A0FF1">
        <w:rPr>
          <w:rFonts w:ascii="Helvetica" w:hAnsi="Helvetica"/>
          <w:i/>
          <w:color w:val="000000" w:themeColor="text1"/>
          <w:lang w:val="fr-FR"/>
        </w:rPr>
        <w:noBreakHyphen/>
      </w:r>
      <w:r w:rsidRPr="005A0FF1">
        <w:rPr>
          <w:rFonts w:ascii="Helvetica" w:hAnsi="Helvetica"/>
          <w:i/>
          <w:color w:val="000000" w:themeColor="text1"/>
          <w:lang w:val="fr-FR"/>
        </w:rPr>
        <w:t>brevet</w:t>
      </w:r>
      <w:r w:rsidR="00170579" w:rsidRPr="005A0FF1">
        <w:rPr>
          <w:rFonts w:ascii="Helvetica" w:hAnsi="Helvetica"/>
          <w:i/>
          <w:color w:val="000000" w:themeColor="text1"/>
          <w:lang w:val="fr-FR"/>
        </w:rPr>
        <w:t> :</w:t>
      </w:r>
    </w:p>
    <w:p w14:paraId="223B952D" w14:textId="443011D4" w:rsidR="0059339D" w:rsidRPr="005A0FF1" w:rsidRDefault="0059339D" w:rsidP="00170579">
      <w:pPr>
        <w:jc w:val="both"/>
        <w:rPr>
          <w:rFonts w:ascii="Helvetica" w:hAnsi="Helvetica" w:cs="Helvetica"/>
          <w:i/>
          <w:iCs/>
          <w:color w:val="000000" w:themeColor="text1"/>
          <w:szCs w:val="22"/>
          <w:lang w:val="fr-FR"/>
        </w:rPr>
      </w:pPr>
    </w:p>
    <w:p w14:paraId="62D6A747" w14:textId="5F434EFA" w:rsidR="0059339D" w:rsidRPr="005A0FF1" w:rsidRDefault="0059339D" w:rsidP="005A0FF1">
      <w:pPr>
        <w:pStyle w:val="ListParagraph"/>
        <w:numPr>
          <w:ilvl w:val="0"/>
          <w:numId w:val="9"/>
        </w:numPr>
        <w:ind w:left="1134" w:hanging="567"/>
        <w:jc w:val="both"/>
        <w:rPr>
          <w:rFonts w:ascii="Helvetica" w:hAnsi="Helvetica" w:cs="Helvetica"/>
          <w:i/>
          <w:iCs/>
          <w:color w:val="000000" w:themeColor="text1"/>
          <w:szCs w:val="22"/>
        </w:rPr>
      </w:pPr>
      <w:r w:rsidRPr="005A0FF1">
        <w:rPr>
          <w:rFonts w:ascii="Helvetica" w:hAnsi="Helvetica"/>
          <w:i/>
          <w:color w:val="000000" w:themeColor="text1"/>
        </w:rPr>
        <w:t>des bases de données publiques telles que</w:t>
      </w:r>
      <w:r w:rsidR="00170579" w:rsidRPr="005A0FF1">
        <w:rPr>
          <w:rFonts w:ascii="Helvetica" w:hAnsi="Helvetica"/>
          <w:i/>
          <w:color w:val="000000" w:themeColor="text1"/>
        </w:rPr>
        <w:t> :</w:t>
      </w:r>
      <w:r w:rsidRPr="005A0FF1">
        <w:rPr>
          <w:rFonts w:ascii="Helvetica" w:hAnsi="Helvetica"/>
          <w:i/>
          <w:color w:val="000000" w:themeColor="text1"/>
        </w:rPr>
        <w:t xml:space="preserve"> i)</w:t>
      </w:r>
      <w:r w:rsidR="00DA676D" w:rsidRPr="005A0FF1">
        <w:rPr>
          <w:rFonts w:ascii="Helvetica" w:hAnsi="Helvetica"/>
          <w:i/>
          <w:color w:val="000000" w:themeColor="text1"/>
        </w:rPr>
        <w:t> </w:t>
      </w:r>
      <w:r w:rsidRPr="005A0FF1">
        <w:rPr>
          <w:rFonts w:ascii="Helvetica" w:hAnsi="Helvetica"/>
          <w:i/>
          <w:color w:val="000000" w:themeColor="text1"/>
        </w:rPr>
        <w:t>OPSIN (analyseur syntaxique libre pour la nomenclature systématique de l</w:t>
      </w:r>
      <w:r w:rsidR="00170579" w:rsidRPr="005A0FF1">
        <w:rPr>
          <w:rFonts w:ascii="Helvetica" w:hAnsi="Helvetica"/>
          <w:i/>
          <w:color w:val="000000" w:themeColor="text1"/>
        </w:rPr>
        <w:t>’</w:t>
      </w:r>
      <w:r w:rsidRPr="005A0FF1">
        <w:rPr>
          <w:rFonts w:ascii="Helvetica" w:hAnsi="Helvetica"/>
          <w:i/>
          <w:color w:val="000000" w:themeColor="text1"/>
        </w:rPr>
        <w:t>IUPAC);  ii)</w:t>
      </w:r>
      <w:r w:rsidR="00DA676D" w:rsidRPr="005A0FF1">
        <w:rPr>
          <w:rFonts w:ascii="Helvetica" w:hAnsi="Helvetica"/>
          <w:i/>
          <w:color w:val="000000" w:themeColor="text1"/>
        </w:rPr>
        <w:t> </w:t>
      </w:r>
      <w:r w:rsidRPr="005A0FF1">
        <w:rPr>
          <w:rFonts w:ascii="Helvetica" w:hAnsi="Helvetica"/>
          <w:i/>
          <w:color w:val="000000" w:themeColor="text1"/>
        </w:rPr>
        <w:t>NCBI (Centre national d</w:t>
      </w:r>
      <w:r w:rsidR="00170579" w:rsidRPr="005A0FF1">
        <w:rPr>
          <w:rFonts w:ascii="Helvetica" w:hAnsi="Helvetica"/>
          <w:i/>
          <w:color w:val="000000" w:themeColor="text1"/>
        </w:rPr>
        <w:t>’</w:t>
      </w:r>
      <w:r w:rsidRPr="005A0FF1">
        <w:rPr>
          <w:rFonts w:ascii="Helvetica" w:hAnsi="Helvetica"/>
          <w:i/>
          <w:color w:val="000000" w:themeColor="text1"/>
        </w:rPr>
        <w:t>information sur la biotechnologie);  iii)</w:t>
      </w:r>
      <w:r w:rsidR="00DA676D" w:rsidRPr="005A0FF1">
        <w:rPr>
          <w:rFonts w:ascii="Helvetica" w:hAnsi="Helvetica"/>
          <w:i/>
          <w:color w:val="000000" w:themeColor="text1"/>
        </w:rPr>
        <w:t> </w:t>
      </w:r>
      <w:r w:rsidRPr="005A0FF1">
        <w:rPr>
          <w:rFonts w:ascii="Helvetica" w:hAnsi="Helvetica"/>
          <w:i/>
          <w:color w:val="000000" w:themeColor="text1"/>
        </w:rPr>
        <w:t>EMBL</w:t>
      </w:r>
      <w:r w:rsidR="005A0FF1">
        <w:rPr>
          <w:rFonts w:ascii="Helvetica" w:hAnsi="Helvetica"/>
          <w:i/>
          <w:color w:val="000000" w:themeColor="text1"/>
        </w:rPr>
        <w:noBreakHyphen/>
      </w:r>
      <w:r w:rsidRPr="005A0FF1">
        <w:rPr>
          <w:rFonts w:ascii="Helvetica" w:hAnsi="Helvetica"/>
          <w:i/>
          <w:color w:val="000000" w:themeColor="text1"/>
        </w:rPr>
        <w:t>EBI (Laboratoire européen de biologie moléculaire – Institut européen de bio</w:t>
      </w:r>
      <w:r w:rsidR="005A0FF1">
        <w:rPr>
          <w:rFonts w:ascii="Helvetica" w:hAnsi="Helvetica"/>
          <w:i/>
          <w:color w:val="000000" w:themeColor="text1"/>
        </w:rPr>
        <w:noBreakHyphen/>
      </w:r>
      <w:r w:rsidRPr="005A0FF1">
        <w:rPr>
          <w:rFonts w:ascii="Helvetica" w:hAnsi="Helvetica"/>
          <w:i/>
          <w:color w:val="000000" w:themeColor="text1"/>
        </w:rPr>
        <w:t>informatique) pour une recherche dans le domaine du listage des séquences;  iv)</w:t>
      </w:r>
      <w:r w:rsidR="00DA676D" w:rsidRPr="005A0FF1">
        <w:rPr>
          <w:rFonts w:ascii="Helvetica" w:hAnsi="Helvetica"/>
          <w:i/>
          <w:color w:val="000000" w:themeColor="text1"/>
        </w:rPr>
        <w:t> </w:t>
      </w:r>
      <w:r w:rsidRPr="005A0FF1">
        <w:rPr>
          <w:rFonts w:ascii="Helvetica" w:hAnsi="Helvetica"/>
          <w:i/>
          <w:color w:val="000000" w:themeColor="text1"/>
        </w:rPr>
        <w:t>3GPP (techniques de télécommunication);  v)</w:t>
      </w:r>
      <w:r w:rsidR="00DA676D" w:rsidRPr="005A0FF1">
        <w:rPr>
          <w:rFonts w:ascii="Helvetica" w:hAnsi="Helvetica"/>
          <w:i/>
          <w:color w:val="000000" w:themeColor="text1"/>
        </w:rPr>
        <w:t> </w:t>
      </w:r>
      <w:r w:rsidR="00170579" w:rsidRPr="005A0FF1">
        <w:rPr>
          <w:rFonts w:ascii="Helvetica" w:hAnsi="Helvetica"/>
          <w:i/>
          <w:color w:val="000000" w:themeColor="text1"/>
        </w:rPr>
        <w:t>WIPO CASE</w:t>
      </w:r>
      <w:r w:rsidRPr="005A0FF1">
        <w:rPr>
          <w:rFonts w:ascii="Helvetica" w:hAnsi="Helvetica"/>
          <w:i/>
          <w:color w:val="000000" w:themeColor="text1"/>
        </w:rPr>
        <w:t xml:space="preserve"> (système d</w:t>
      </w:r>
      <w:r w:rsidR="00170579" w:rsidRPr="005A0FF1">
        <w:rPr>
          <w:rFonts w:ascii="Helvetica" w:hAnsi="Helvetica"/>
          <w:i/>
          <w:color w:val="000000" w:themeColor="text1"/>
        </w:rPr>
        <w:t>’</w:t>
      </w:r>
      <w:r w:rsidRPr="005A0FF1">
        <w:rPr>
          <w:rFonts w:ascii="Helvetica" w:hAnsi="Helvetica"/>
          <w:i/>
          <w:color w:val="000000" w:themeColor="text1"/>
        </w:rPr>
        <w:t>accès centralisé aux informations relatives à la recherche et à l</w:t>
      </w:r>
      <w:r w:rsidR="00170579" w:rsidRPr="005A0FF1">
        <w:rPr>
          <w:rFonts w:ascii="Helvetica" w:hAnsi="Helvetica"/>
          <w:i/>
          <w:color w:val="000000" w:themeColor="text1"/>
        </w:rPr>
        <w:t>’</w:t>
      </w:r>
      <w:r w:rsidRPr="005A0FF1">
        <w:rPr>
          <w:rFonts w:ascii="Helvetica" w:hAnsi="Helvetica"/>
          <w:i/>
          <w:color w:val="000000" w:themeColor="text1"/>
        </w:rPr>
        <w:t>examen);  et vi)</w:t>
      </w:r>
      <w:r w:rsidR="00DA676D" w:rsidRPr="005A0FF1">
        <w:rPr>
          <w:rFonts w:ascii="Helvetica" w:hAnsi="Helvetica"/>
          <w:i/>
          <w:color w:val="000000" w:themeColor="text1"/>
        </w:rPr>
        <w:t> </w:t>
      </w:r>
      <w:r w:rsidRPr="005A0FF1">
        <w:rPr>
          <w:rFonts w:ascii="Helvetica" w:hAnsi="Helvetica"/>
          <w:i/>
          <w:color w:val="000000" w:themeColor="text1"/>
        </w:rPr>
        <w:t>PATENTSCOPE;</w:t>
      </w:r>
    </w:p>
    <w:p w14:paraId="5FDC3704" w14:textId="31B83F54" w:rsidR="0059339D" w:rsidRPr="005A0FF1" w:rsidRDefault="0059339D" w:rsidP="005A0FF1">
      <w:pPr>
        <w:pStyle w:val="ListParagraph"/>
        <w:numPr>
          <w:ilvl w:val="0"/>
          <w:numId w:val="9"/>
        </w:numPr>
        <w:ind w:left="1134" w:hanging="567"/>
        <w:jc w:val="both"/>
        <w:rPr>
          <w:rFonts w:ascii="Helvetica" w:hAnsi="Helvetica" w:cs="Helvetica"/>
          <w:i/>
          <w:iCs/>
          <w:color w:val="000000" w:themeColor="text1"/>
          <w:szCs w:val="22"/>
        </w:rPr>
      </w:pPr>
      <w:proofErr w:type="gramStart"/>
      <w:r w:rsidRPr="005A0FF1">
        <w:rPr>
          <w:rFonts w:ascii="Helvetica" w:hAnsi="Helvetica"/>
          <w:i/>
          <w:color w:val="000000" w:themeColor="text1"/>
        </w:rPr>
        <w:t>des</w:t>
      </w:r>
      <w:proofErr w:type="gramEnd"/>
      <w:r w:rsidRPr="005A0FF1">
        <w:rPr>
          <w:rFonts w:ascii="Helvetica" w:hAnsi="Helvetica"/>
          <w:i/>
          <w:color w:val="000000" w:themeColor="text1"/>
        </w:rPr>
        <w:t xml:space="preserve"> bases de données comme PubMed, qui regroupe des articles ne portant pas sur les brevets dans les domaines de la chimie, de la biologie moléculaire et d</w:t>
      </w:r>
      <w:r w:rsidR="00170579" w:rsidRPr="005A0FF1">
        <w:rPr>
          <w:rFonts w:ascii="Helvetica" w:hAnsi="Helvetica"/>
          <w:i/>
          <w:color w:val="000000" w:themeColor="text1"/>
        </w:rPr>
        <w:t>’</w:t>
      </w:r>
      <w:r w:rsidRPr="005A0FF1">
        <w:rPr>
          <w:rFonts w:ascii="Helvetica" w:hAnsi="Helvetica"/>
          <w:i/>
          <w:color w:val="000000" w:themeColor="text1"/>
        </w:rPr>
        <w:t>autres sciences précliniques, et The Lens pour des recherches complètes sur l</w:t>
      </w:r>
      <w:r w:rsidR="00170579" w:rsidRPr="005A0FF1">
        <w:rPr>
          <w:rFonts w:ascii="Helvetica" w:hAnsi="Helvetica"/>
          <w:i/>
          <w:color w:val="000000" w:themeColor="text1"/>
        </w:rPr>
        <w:t>’</w:t>
      </w:r>
      <w:r w:rsidRPr="005A0FF1">
        <w:rPr>
          <w:rFonts w:ascii="Helvetica" w:hAnsi="Helvetica"/>
          <w:i/>
          <w:color w:val="000000" w:themeColor="text1"/>
        </w:rPr>
        <w:t xml:space="preserve">ADN et les séquences de </w:t>
      </w:r>
      <w:proofErr w:type="gramStart"/>
      <w:r w:rsidRPr="005A0FF1">
        <w:rPr>
          <w:rFonts w:ascii="Helvetica" w:hAnsi="Helvetica"/>
          <w:i/>
          <w:color w:val="000000" w:themeColor="text1"/>
        </w:rPr>
        <w:t>protéines;</w:t>
      </w:r>
      <w:proofErr w:type="gramEnd"/>
    </w:p>
    <w:p w14:paraId="1F6951CC" w14:textId="789AE0E9" w:rsidR="00170579" w:rsidRPr="005A0FF1" w:rsidRDefault="0059339D" w:rsidP="005A0FF1">
      <w:pPr>
        <w:pStyle w:val="ListParagraph"/>
        <w:numPr>
          <w:ilvl w:val="0"/>
          <w:numId w:val="9"/>
        </w:numPr>
        <w:ind w:left="1134" w:hanging="567"/>
        <w:jc w:val="both"/>
        <w:rPr>
          <w:rFonts w:ascii="Helvetica" w:hAnsi="Helvetica"/>
          <w:i/>
          <w:color w:val="000000" w:themeColor="text1"/>
        </w:rPr>
      </w:pPr>
      <w:proofErr w:type="gramStart"/>
      <w:r w:rsidRPr="005A0FF1">
        <w:rPr>
          <w:rFonts w:ascii="Helvetica" w:hAnsi="Helvetica"/>
          <w:i/>
          <w:color w:val="000000" w:themeColor="text1"/>
        </w:rPr>
        <w:t>la</w:t>
      </w:r>
      <w:proofErr w:type="gramEnd"/>
      <w:r w:rsidRPr="005A0FF1">
        <w:rPr>
          <w:rFonts w:ascii="Helvetica" w:hAnsi="Helvetica"/>
          <w:i/>
          <w:color w:val="000000" w:themeColor="text1"/>
        </w:rPr>
        <w:t xml:space="preserve"> bibliothèque numérique de propriété industrielle de l</w:t>
      </w:r>
      <w:r w:rsidR="00170579" w:rsidRPr="005A0FF1">
        <w:rPr>
          <w:rFonts w:ascii="Helvetica" w:hAnsi="Helvetica"/>
          <w:i/>
          <w:color w:val="000000" w:themeColor="text1"/>
        </w:rPr>
        <w:t>’</w:t>
      </w:r>
      <w:r w:rsidRPr="005A0FF1">
        <w:rPr>
          <w:rFonts w:ascii="Helvetica" w:hAnsi="Helvetica"/>
          <w:i/>
          <w:color w:val="000000" w:themeColor="text1"/>
        </w:rPr>
        <w:t>IPOPHL et la base de données interne IPAS (système d</w:t>
      </w:r>
      <w:r w:rsidR="00170579" w:rsidRPr="005A0FF1">
        <w:rPr>
          <w:rFonts w:ascii="Helvetica" w:hAnsi="Helvetica"/>
          <w:i/>
          <w:color w:val="000000" w:themeColor="text1"/>
        </w:rPr>
        <w:t>’</w:t>
      </w:r>
      <w:r w:rsidRPr="005A0FF1">
        <w:rPr>
          <w:rFonts w:ascii="Helvetica" w:hAnsi="Helvetica"/>
          <w:i/>
          <w:color w:val="000000" w:themeColor="text1"/>
        </w:rPr>
        <w:t>automatisation des offices de propriété industrielle</w:t>
      </w:r>
      <w:proofErr w:type="gramStart"/>
      <w:r w:rsidRPr="005A0FF1">
        <w:rPr>
          <w:rFonts w:ascii="Helvetica" w:hAnsi="Helvetica"/>
          <w:i/>
          <w:color w:val="000000" w:themeColor="text1"/>
        </w:rPr>
        <w:t>);  et</w:t>
      </w:r>
      <w:proofErr w:type="gramEnd"/>
    </w:p>
    <w:p w14:paraId="43E104C3" w14:textId="3E1ADD4F" w:rsidR="00170579" w:rsidRPr="005A0FF1" w:rsidRDefault="0059339D" w:rsidP="005A0FF1">
      <w:pPr>
        <w:pStyle w:val="ListParagraph"/>
        <w:numPr>
          <w:ilvl w:val="0"/>
          <w:numId w:val="9"/>
        </w:numPr>
        <w:ind w:left="1134" w:hanging="567"/>
        <w:jc w:val="both"/>
        <w:rPr>
          <w:rFonts w:ascii="Helvetica" w:hAnsi="Helvetica"/>
          <w:i/>
          <w:color w:val="000000" w:themeColor="text1"/>
        </w:rPr>
      </w:pPr>
      <w:proofErr w:type="gramStart"/>
      <w:r w:rsidRPr="005A0FF1">
        <w:rPr>
          <w:rFonts w:ascii="Helvetica" w:hAnsi="Helvetica"/>
          <w:i/>
          <w:color w:val="000000" w:themeColor="text1"/>
        </w:rPr>
        <w:t>la</w:t>
      </w:r>
      <w:proofErr w:type="gramEnd"/>
      <w:r w:rsidRPr="005A0FF1">
        <w:rPr>
          <w:rFonts w:ascii="Helvetica" w:hAnsi="Helvetica"/>
          <w:i/>
          <w:color w:val="000000" w:themeColor="text1"/>
        </w:rPr>
        <w:t xml:space="preserve"> bibliothèque numérique des savoirs traditionnels grâce à un accord d</w:t>
      </w:r>
      <w:r w:rsidR="00170579" w:rsidRPr="005A0FF1">
        <w:rPr>
          <w:rFonts w:ascii="Helvetica" w:hAnsi="Helvetica"/>
          <w:i/>
          <w:color w:val="000000" w:themeColor="text1"/>
        </w:rPr>
        <w:t>’</w:t>
      </w:r>
      <w:r w:rsidRPr="005A0FF1">
        <w:rPr>
          <w:rFonts w:ascii="Helvetica" w:hAnsi="Helvetica"/>
          <w:i/>
          <w:color w:val="000000" w:themeColor="text1"/>
        </w:rPr>
        <w:t xml:space="preserve">accès conclu avec le Conseil de la recherche scientifique et </w:t>
      </w:r>
      <w:proofErr w:type="gramStart"/>
      <w:r w:rsidRPr="005A0FF1">
        <w:rPr>
          <w:rFonts w:ascii="Helvetica" w:hAnsi="Helvetica"/>
          <w:i/>
          <w:color w:val="000000" w:themeColor="text1"/>
        </w:rPr>
        <w:t>industrielle;</w:t>
      </w:r>
      <w:proofErr w:type="gramEnd"/>
    </w:p>
    <w:p w14:paraId="1F7695FD" w14:textId="23342DA3" w:rsidR="00170579" w:rsidRPr="005A0FF1" w:rsidRDefault="0059339D" w:rsidP="005A0FF1">
      <w:pPr>
        <w:pStyle w:val="ListParagraph"/>
        <w:numPr>
          <w:ilvl w:val="0"/>
          <w:numId w:val="9"/>
        </w:numPr>
        <w:ind w:left="1134" w:hanging="567"/>
        <w:jc w:val="both"/>
        <w:rPr>
          <w:rFonts w:ascii="Helvetica" w:hAnsi="Helvetica"/>
          <w:i/>
          <w:color w:val="000000" w:themeColor="text1"/>
        </w:rPr>
      </w:pPr>
      <w:proofErr w:type="gramStart"/>
      <w:r w:rsidRPr="005A0FF1">
        <w:rPr>
          <w:rFonts w:ascii="Helvetica" w:hAnsi="Helvetica"/>
          <w:i/>
          <w:color w:val="000000" w:themeColor="text1"/>
        </w:rPr>
        <w:t>des</w:t>
      </w:r>
      <w:proofErr w:type="gramEnd"/>
      <w:r w:rsidRPr="005A0FF1">
        <w:rPr>
          <w:rFonts w:ascii="Helvetica" w:hAnsi="Helvetica"/>
          <w:i/>
          <w:color w:val="000000" w:themeColor="text1"/>
        </w:rPr>
        <w:t xml:space="preserve"> bases de données nationales sur les brevets d</w:t>
      </w:r>
      <w:r w:rsidR="00170579" w:rsidRPr="005A0FF1">
        <w:rPr>
          <w:rFonts w:ascii="Helvetica" w:hAnsi="Helvetica"/>
          <w:i/>
          <w:color w:val="000000" w:themeColor="text1"/>
        </w:rPr>
        <w:t>’</w:t>
      </w:r>
      <w:r w:rsidRPr="005A0FF1">
        <w:rPr>
          <w:rFonts w:ascii="Helvetica" w:hAnsi="Helvetica"/>
          <w:i/>
          <w:color w:val="000000" w:themeColor="text1"/>
        </w:rPr>
        <w:t>autres offices de la propriété intellectuelle telles que l</w:t>
      </w:r>
      <w:r w:rsidR="00170579" w:rsidRPr="005A0FF1">
        <w:rPr>
          <w:rFonts w:ascii="Helvetica" w:hAnsi="Helvetica"/>
          <w:i/>
          <w:color w:val="000000" w:themeColor="text1"/>
        </w:rPr>
        <w:t>’</w:t>
      </w:r>
      <w:r w:rsidRPr="005A0FF1">
        <w:rPr>
          <w:rFonts w:ascii="Helvetica" w:hAnsi="Helvetica"/>
          <w:i/>
          <w:color w:val="000000" w:themeColor="text1"/>
        </w:rPr>
        <w:t>USPTO, J</w:t>
      </w:r>
      <w:r w:rsidR="005A0FF1">
        <w:rPr>
          <w:rFonts w:ascii="Helvetica" w:hAnsi="Helvetica"/>
          <w:i/>
          <w:color w:val="000000" w:themeColor="text1"/>
        </w:rPr>
        <w:noBreakHyphen/>
      </w:r>
      <w:r w:rsidRPr="005A0FF1">
        <w:rPr>
          <w:rFonts w:ascii="Helvetica" w:hAnsi="Helvetica"/>
          <w:i/>
          <w:color w:val="000000" w:themeColor="text1"/>
        </w:rPr>
        <w:t xml:space="preserve">PATPLAT, AUSPAT, </w:t>
      </w:r>
      <w:proofErr w:type="spellStart"/>
      <w:r w:rsidRPr="005A0FF1">
        <w:rPr>
          <w:rFonts w:ascii="Helvetica" w:hAnsi="Helvetica"/>
          <w:i/>
          <w:color w:val="000000" w:themeColor="text1"/>
        </w:rPr>
        <w:t>Espacenet</w:t>
      </w:r>
      <w:proofErr w:type="spellEnd"/>
      <w:r w:rsidRPr="005A0FF1">
        <w:rPr>
          <w:rFonts w:ascii="Helvetica" w:hAnsi="Helvetica"/>
          <w:i/>
          <w:color w:val="000000" w:themeColor="text1"/>
        </w:rPr>
        <w:t xml:space="preserve"> et AIPN (Réseau de propriété intellectuelle avancé</w:t>
      </w:r>
      <w:proofErr w:type="gramStart"/>
      <w:r w:rsidRPr="005A0FF1">
        <w:rPr>
          <w:rFonts w:ascii="Helvetica" w:hAnsi="Helvetica"/>
          <w:i/>
          <w:color w:val="000000" w:themeColor="text1"/>
        </w:rPr>
        <w:t>);</w:t>
      </w:r>
      <w:proofErr w:type="gramEnd"/>
    </w:p>
    <w:p w14:paraId="054C2FCF" w14:textId="2A8084E2" w:rsidR="0059339D" w:rsidRPr="005A0FF1" w:rsidRDefault="0059339D" w:rsidP="005A0FF1">
      <w:pPr>
        <w:pStyle w:val="ListParagraph"/>
        <w:numPr>
          <w:ilvl w:val="0"/>
          <w:numId w:val="9"/>
        </w:numPr>
        <w:ind w:left="1134" w:hanging="567"/>
        <w:jc w:val="both"/>
        <w:rPr>
          <w:rFonts w:ascii="Helvetica" w:hAnsi="Helvetica" w:cs="Helvetica"/>
          <w:i/>
          <w:iCs/>
          <w:color w:val="000000" w:themeColor="text1"/>
          <w:szCs w:val="22"/>
        </w:rPr>
      </w:pPr>
      <w:proofErr w:type="spellStart"/>
      <w:r w:rsidRPr="005A0FF1">
        <w:rPr>
          <w:rFonts w:ascii="Helvetica" w:hAnsi="Helvetica"/>
          <w:i/>
          <w:color w:val="000000" w:themeColor="text1"/>
        </w:rPr>
        <w:lastRenderedPageBreak/>
        <w:t>EPOQUENet</w:t>
      </w:r>
      <w:proofErr w:type="spellEnd"/>
      <w:r w:rsidRPr="005A0FF1">
        <w:rPr>
          <w:rFonts w:ascii="Helvetica" w:hAnsi="Helvetica"/>
          <w:i/>
          <w:color w:val="000000" w:themeColor="text1"/>
        </w:rPr>
        <w:t xml:space="preserve">, </w:t>
      </w:r>
      <w:proofErr w:type="spellStart"/>
      <w:r w:rsidRPr="005A0FF1">
        <w:rPr>
          <w:rFonts w:ascii="Helvetica" w:hAnsi="Helvetica"/>
          <w:i/>
          <w:color w:val="000000" w:themeColor="text1"/>
        </w:rPr>
        <w:t>STNext</w:t>
      </w:r>
      <w:proofErr w:type="spellEnd"/>
      <w:r w:rsidRPr="005A0FF1">
        <w:rPr>
          <w:rFonts w:ascii="Helvetica" w:hAnsi="Helvetica"/>
          <w:i/>
          <w:color w:val="000000" w:themeColor="text1"/>
        </w:rPr>
        <w:t xml:space="preserve">, IEEE Digital Xplore, </w:t>
      </w:r>
      <w:proofErr w:type="spellStart"/>
      <w:r w:rsidRPr="005A0FF1">
        <w:rPr>
          <w:rFonts w:ascii="Helvetica" w:hAnsi="Helvetica"/>
          <w:i/>
          <w:color w:val="000000" w:themeColor="text1"/>
        </w:rPr>
        <w:t>Scopus</w:t>
      </w:r>
      <w:proofErr w:type="spellEnd"/>
      <w:r w:rsidRPr="005A0FF1">
        <w:rPr>
          <w:rFonts w:ascii="Helvetica" w:hAnsi="Helvetica"/>
          <w:i/>
          <w:color w:val="000000" w:themeColor="text1"/>
        </w:rPr>
        <w:t xml:space="preserve"> et Science </w:t>
      </w:r>
      <w:proofErr w:type="gramStart"/>
      <w:r w:rsidRPr="005A0FF1">
        <w:rPr>
          <w:rFonts w:ascii="Helvetica" w:hAnsi="Helvetica"/>
          <w:i/>
          <w:color w:val="000000" w:themeColor="text1"/>
        </w:rPr>
        <w:t>Direct;  et</w:t>
      </w:r>
      <w:proofErr w:type="gramEnd"/>
    </w:p>
    <w:p w14:paraId="56D2B904" w14:textId="3DB3C76A" w:rsidR="0059339D" w:rsidRPr="005A0FF1" w:rsidRDefault="0059339D" w:rsidP="005A0FF1">
      <w:pPr>
        <w:pStyle w:val="ListParagraph"/>
        <w:numPr>
          <w:ilvl w:val="0"/>
          <w:numId w:val="9"/>
        </w:numPr>
        <w:ind w:left="1134" w:hanging="567"/>
        <w:jc w:val="both"/>
        <w:rPr>
          <w:rFonts w:ascii="Helvetica" w:hAnsi="Helvetica" w:cs="Helvetica"/>
          <w:i/>
          <w:iCs/>
          <w:color w:val="000000" w:themeColor="text1"/>
          <w:szCs w:val="22"/>
        </w:rPr>
      </w:pPr>
      <w:proofErr w:type="gramStart"/>
      <w:r w:rsidRPr="005A0FF1">
        <w:rPr>
          <w:rFonts w:ascii="Helvetica" w:hAnsi="Helvetica"/>
          <w:i/>
          <w:color w:val="000000" w:themeColor="text1"/>
        </w:rPr>
        <w:t>la</w:t>
      </w:r>
      <w:proofErr w:type="gramEnd"/>
      <w:r w:rsidRPr="005A0FF1">
        <w:rPr>
          <w:rFonts w:ascii="Helvetica" w:hAnsi="Helvetica"/>
          <w:i/>
          <w:color w:val="000000" w:themeColor="text1"/>
        </w:rPr>
        <w:t xml:space="preserve"> plateforme de recherche commerciale Thomson Innovation qui permet d</w:t>
      </w:r>
      <w:r w:rsidR="00170579" w:rsidRPr="005A0FF1">
        <w:rPr>
          <w:rFonts w:ascii="Helvetica" w:hAnsi="Helvetica"/>
          <w:i/>
          <w:color w:val="000000" w:themeColor="text1"/>
        </w:rPr>
        <w:t>’</w:t>
      </w:r>
      <w:r w:rsidRPr="005A0FF1">
        <w:rPr>
          <w:rFonts w:ascii="Helvetica" w:hAnsi="Helvetica"/>
          <w:i/>
          <w:color w:val="000000" w:themeColor="text1"/>
        </w:rPr>
        <w:t>accéder à l</w:t>
      </w:r>
      <w:r w:rsidR="00170579" w:rsidRPr="005A0FF1">
        <w:rPr>
          <w:rFonts w:ascii="Helvetica" w:hAnsi="Helvetica"/>
          <w:i/>
          <w:color w:val="000000" w:themeColor="text1"/>
        </w:rPr>
        <w:t>’</w:t>
      </w:r>
      <w:r w:rsidRPr="005A0FF1">
        <w:rPr>
          <w:rFonts w:ascii="Helvetica" w:hAnsi="Helvetica"/>
          <w:i/>
          <w:color w:val="000000" w:themeColor="text1"/>
        </w:rPr>
        <w:t>Index mondial des brevets Derwent (DWPI).</w:t>
      </w:r>
    </w:p>
    <w:p w14:paraId="6D10BDB8" w14:textId="77777777" w:rsidR="0059339D" w:rsidRPr="005A0FF1" w:rsidRDefault="0059339D" w:rsidP="00170579">
      <w:pPr>
        <w:pStyle w:val="SectionHeading"/>
        <w:rPr>
          <w:lang w:val="fr-FR"/>
        </w:rPr>
      </w:pPr>
      <w:r w:rsidRPr="005A0FF1">
        <w:rPr>
          <w:lang w:val="fr-FR"/>
        </w:rPr>
        <w:t>2.4 – Gestion de la qualité</w:t>
      </w:r>
    </w:p>
    <w:p w14:paraId="364B31EF" w14:textId="3683ED47" w:rsidR="0059339D" w:rsidRPr="005A0FF1" w:rsidRDefault="0059339D" w:rsidP="00170579">
      <w:pPr>
        <w:pStyle w:val="RuleQuote"/>
      </w:pPr>
      <w:r w:rsidRPr="005A0FF1">
        <w:t>Règles 36.</w:t>
      </w:r>
      <w:proofErr w:type="gramStart"/>
      <w:r w:rsidRPr="005A0FF1">
        <w:t>1</w:t>
      </w:r>
      <w:r w:rsidR="00863C7D">
        <w:t>.</w:t>
      </w:r>
      <w:r w:rsidRPr="005A0FF1">
        <w:t>iv</w:t>
      </w:r>
      <w:proofErr w:type="gramEnd"/>
      <w:r w:rsidRPr="005A0FF1">
        <w:t>) et 63.1</w:t>
      </w:r>
      <w:r w:rsidR="00863C7D">
        <w:t>.</w:t>
      </w:r>
      <w:r w:rsidRPr="005A0FF1">
        <w:t>iv)</w:t>
      </w:r>
      <w:r w:rsidR="00170579" w:rsidRPr="005A0FF1">
        <w:t> :</w:t>
      </w:r>
      <w:r w:rsidRPr="005A0FF1">
        <w:t xml:space="preserve"> Cet office ou cette organisation doit disposer d</w:t>
      </w:r>
      <w:r w:rsidR="00170579" w:rsidRPr="005A0FF1">
        <w:t>’</w:t>
      </w:r>
      <w:r w:rsidRPr="005A0FF1">
        <w:t>un système de gestion de la qualité et de dispositions internes en matière d</w:t>
      </w:r>
      <w:r w:rsidR="00170579" w:rsidRPr="005A0FF1">
        <w:t>’</w:t>
      </w:r>
      <w:r w:rsidRPr="005A0FF1">
        <w:t>évaluation conformément aux règles communes de la recherche internationale.</w:t>
      </w:r>
    </w:p>
    <w:p w14:paraId="7DC75B7D" w14:textId="6D12457A" w:rsidR="0059339D" w:rsidRPr="005A0FF1" w:rsidRDefault="0059339D" w:rsidP="00170579">
      <w:pPr>
        <w:pStyle w:val="RuleQuote"/>
        <w:ind w:left="0"/>
        <w:rPr>
          <w:i w:val="0"/>
          <w:iCs w:val="0"/>
        </w:rPr>
      </w:pPr>
      <w:r w:rsidRPr="005A0FF1">
        <w:rPr>
          <w:i w:val="0"/>
        </w:rPr>
        <w:t>Le rapport sur le système de gestion de la qualité contient des informations sur le système de gestion de la qualité mis en place par l</w:t>
      </w:r>
      <w:r w:rsidR="00170579" w:rsidRPr="005A0FF1">
        <w:rPr>
          <w:i w:val="0"/>
        </w:rPr>
        <w:t>’</w:t>
      </w:r>
      <w:r w:rsidRPr="005A0FF1">
        <w:rPr>
          <w:i w:val="0"/>
        </w:rPr>
        <w:t>administration conformément au chapitre 21 des directives et inclut un bilan, conformément au paragraphe 21.09, sur les dispositions en matière d</w:t>
      </w:r>
      <w:r w:rsidR="00170579" w:rsidRPr="005A0FF1">
        <w:rPr>
          <w:i w:val="0"/>
        </w:rPr>
        <w:t>’</w:t>
      </w:r>
      <w:r w:rsidRPr="005A0FF1">
        <w:rPr>
          <w:i w:val="0"/>
        </w:rPr>
        <w:t>évaluation interne qui sont décrites aux paragraphes 21.27 à 21.30 des directives.</w:t>
      </w:r>
    </w:p>
    <w:p w14:paraId="3596962A" w14:textId="61C8B714" w:rsidR="00170579" w:rsidRPr="005A0FF1" w:rsidRDefault="0059339D" w:rsidP="00170579">
      <w:pPr>
        <w:pStyle w:val="RuleQuote"/>
        <w:ind w:left="0"/>
        <w:rPr>
          <w:i w:val="0"/>
        </w:rPr>
      </w:pPr>
      <w:r w:rsidRPr="005A0FF1">
        <w:rPr>
          <w:i w:val="0"/>
        </w:rPr>
        <w:t>Autres informations que celles figurant dans le rapport sur le système de gestion de la qualité (facultatif)</w:t>
      </w:r>
      <w:r w:rsidR="00170579" w:rsidRPr="005A0FF1">
        <w:rPr>
          <w:i w:val="0"/>
        </w:rPr>
        <w:t> :</w:t>
      </w:r>
    </w:p>
    <w:p w14:paraId="7D347C9C" w14:textId="6D368F63" w:rsidR="0059339D" w:rsidRPr="005A0FF1" w:rsidRDefault="0059339D" w:rsidP="00170579">
      <w:pPr>
        <w:pStyle w:val="RuleQuote"/>
        <w:ind w:right="53"/>
        <w:jc w:val="both"/>
        <w:rPr>
          <w:i w:val="0"/>
          <w:iCs w:val="0"/>
          <w:color w:val="000000" w:themeColor="text1"/>
        </w:rPr>
      </w:pPr>
      <w:r w:rsidRPr="005A0FF1">
        <w:rPr>
          <w:rFonts w:ascii="Helvetica" w:hAnsi="Helvetica"/>
          <w:color w:val="000000" w:themeColor="text1"/>
        </w:rPr>
        <w:t>L</w:t>
      </w:r>
      <w:r w:rsidR="00170579" w:rsidRPr="005A0FF1">
        <w:rPr>
          <w:rFonts w:ascii="Helvetica" w:hAnsi="Helvetica"/>
          <w:color w:val="000000" w:themeColor="text1"/>
        </w:rPr>
        <w:t>’</w:t>
      </w:r>
      <w:r w:rsidRPr="005A0FF1">
        <w:rPr>
          <w:rFonts w:ascii="Helvetica" w:hAnsi="Helvetica"/>
          <w:color w:val="000000" w:themeColor="text1"/>
        </w:rPr>
        <w:t>IPOPHL a maintenu la conformité de son système de gestion de la qualité avec la certification ISO </w:t>
      </w:r>
      <w:proofErr w:type="gramStart"/>
      <w:r w:rsidRPr="005A0FF1">
        <w:rPr>
          <w:rFonts w:ascii="Helvetica" w:hAnsi="Helvetica"/>
          <w:color w:val="000000" w:themeColor="text1"/>
        </w:rPr>
        <w:t>9001:</w:t>
      </w:r>
      <w:proofErr w:type="gramEnd"/>
      <w:r w:rsidRPr="005A0FF1">
        <w:rPr>
          <w:rFonts w:ascii="Helvetica" w:hAnsi="Helvetica"/>
          <w:color w:val="000000" w:themeColor="text1"/>
        </w:rPr>
        <w:t>2015 de l</w:t>
      </w:r>
      <w:r w:rsidR="00170579" w:rsidRPr="005A0FF1">
        <w:rPr>
          <w:rFonts w:ascii="Helvetica" w:hAnsi="Helvetica"/>
          <w:color w:val="000000" w:themeColor="text1"/>
        </w:rPr>
        <w:t>’</w:t>
      </w:r>
      <w:r w:rsidRPr="005A0FF1">
        <w:rPr>
          <w:rFonts w:ascii="Helvetica" w:hAnsi="Helvetica"/>
          <w:color w:val="000000" w:themeColor="text1"/>
        </w:rPr>
        <w:t>Organisation internationale de normalisation (ISO), qui couvre essentiellement la procédure de délivrance des brevets et les services d</w:t>
      </w:r>
      <w:r w:rsidR="00170579" w:rsidRPr="005A0FF1">
        <w:rPr>
          <w:rFonts w:ascii="Helvetica" w:hAnsi="Helvetica"/>
          <w:color w:val="000000" w:themeColor="text1"/>
        </w:rPr>
        <w:t>’</w:t>
      </w:r>
      <w:r w:rsidRPr="005A0FF1">
        <w:rPr>
          <w:rFonts w:ascii="Helvetica" w:hAnsi="Helvetica"/>
          <w:color w:val="000000" w:themeColor="text1"/>
        </w:rPr>
        <w:t>enregistrement d</w:t>
      </w:r>
      <w:r w:rsidR="00170579" w:rsidRPr="005A0FF1">
        <w:rPr>
          <w:rFonts w:ascii="Helvetica" w:hAnsi="Helvetica"/>
          <w:color w:val="000000" w:themeColor="text1"/>
        </w:rPr>
        <w:t>’</w:t>
      </w:r>
      <w:r w:rsidRPr="005A0FF1">
        <w:rPr>
          <w:rFonts w:ascii="Helvetica" w:hAnsi="Helvetica"/>
          <w:color w:val="000000" w:themeColor="text1"/>
        </w:rPr>
        <w:t>autres titres de propriété intellectuel</w:t>
      </w:r>
      <w:r w:rsidR="005A0FF1" w:rsidRPr="005A0FF1">
        <w:rPr>
          <w:rFonts w:ascii="Helvetica" w:hAnsi="Helvetica"/>
          <w:color w:val="000000" w:themeColor="text1"/>
        </w:rPr>
        <w:t>le.  L’o</w:t>
      </w:r>
      <w:r w:rsidRPr="005A0FF1">
        <w:rPr>
          <w:rFonts w:ascii="Helvetica" w:hAnsi="Helvetica"/>
          <w:color w:val="000000" w:themeColor="text1"/>
        </w:rPr>
        <w:t>rganisation IQA réalise deux</w:t>
      </w:r>
      <w:r w:rsidR="00DA676D" w:rsidRPr="005A0FF1">
        <w:rPr>
          <w:rFonts w:ascii="Helvetica" w:hAnsi="Helvetica"/>
          <w:color w:val="000000" w:themeColor="text1"/>
        </w:rPr>
        <w:t> </w:t>
      </w:r>
      <w:r w:rsidRPr="005A0FF1">
        <w:rPr>
          <w:rFonts w:ascii="Helvetica" w:hAnsi="Helvetica"/>
          <w:color w:val="000000" w:themeColor="text1"/>
        </w:rPr>
        <w:t>audits internes par an (réel et de vérification) et un audit tiers (externe) par an, conformément aux exigences de la norme</w:t>
      </w:r>
      <w:r w:rsidR="00DA676D" w:rsidRPr="005A0FF1">
        <w:rPr>
          <w:rFonts w:ascii="Helvetica" w:hAnsi="Helvetica"/>
          <w:color w:val="000000" w:themeColor="text1"/>
        </w:rPr>
        <w:t> </w:t>
      </w:r>
      <w:r w:rsidRPr="005A0FF1">
        <w:rPr>
          <w:rFonts w:ascii="Helvetica" w:hAnsi="Helvetica"/>
          <w:color w:val="000000" w:themeColor="text1"/>
        </w:rPr>
        <w:t>ISO </w:t>
      </w:r>
      <w:proofErr w:type="gramStart"/>
      <w:r w:rsidRPr="005A0FF1">
        <w:rPr>
          <w:rFonts w:ascii="Helvetica" w:hAnsi="Helvetica"/>
          <w:color w:val="000000" w:themeColor="text1"/>
        </w:rPr>
        <w:t>9001:</w:t>
      </w:r>
      <w:proofErr w:type="gramEnd"/>
      <w:r w:rsidRPr="005A0FF1">
        <w:rPr>
          <w:rFonts w:ascii="Helvetica" w:hAnsi="Helvetica"/>
          <w:color w:val="000000" w:themeColor="text1"/>
        </w:rPr>
        <w:t>2015 pour toutes les procédures de trava</w:t>
      </w:r>
      <w:r w:rsidR="005A0FF1" w:rsidRPr="005A0FF1">
        <w:rPr>
          <w:rFonts w:ascii="Helvetica" w:hAnsi="Helvetica"/>
          <w:color w:val="000000" w:themeColor="text1"/>
        </w:rPr>
        <w:t>il.  Le</w:t>
      </w:r>
      <w:r w:rsidRPr="005A0FF1">
        <w:rPr>
          <w:rFonts w:ascii="Helvetica" w:hAnsi="Helvetica"/>
          <w:color w:val="000000" w:themeColor="text1"/>
        </w:rPr>
        <w:t>s résultats de l</w:t>
      </w:r>
      <w:r w:rsidR="00170579" w:rsidRPr="005A0FF1">
        <w:rPr>
          <w:rFonts w:ascii="Helvetica" w:hAnsi="Helvetica"/>
          <w:color w:val="000000" w:themeColor="text1"/>
        </w:rPr>
        <w:t>’</w:t>
      </w:r>
      <w:r w:rsidRPr="005A0FF1">
        <w:rPr>
          <w:rFonts w:ascii="Helvetica" w:hAnsi="Helvetica"/>
          <w:color w:val="000000" w:themeColor="text1"/>
        </w:rPr>
        <w:t>audit sont communiqués à la haute direction de l</w:t>
      </w:r>
      <w:r w:rsidR="00170579" w:rsidRPr="005A0FF1">
        <w:rPr>
          <w:rFonts w:ascii="Helvetica" w:hAnsi="Helvetica"/>
          <w:color w:val="000000" w:themeColor="text1"/>
        </w:rPr>
        <w:t>’</w:t>
      </w:r>
      <w:r w:rsidRPr="005A0FF1">
        <w:rPr>
          <w:rFonts w:ascii="Helvetica" w:hAnsi="Helvetica"/>
          <w:color w:val="000000" w:themeColor="text1"/>
        </w:rPr>
        <w:t>IPOPHL lors de l</w:t>
      </w:r>
      <w:r w:rsidR="00170579" w:rsidRPr="005A0FF1">
        <w:rPr>
          <w:rFonts w:ascii="Helvetica" w:hAnsi="Helvetica"/>
          <w:color w:val="000000" w:themeColor="text1"/>
        </w:rPr>
        <w:t>’</w:t>
      </w:r>
      <w:r w:rsidRPr="005A0FF1">
        <w:rPr>
          <w:rFonts w:ascii="Helvetica" w:hAnsi="Helvetica"/>
          <w:color w:val="000000" w:themeColor="text1"/>
        </w:rPr>
        <w:t>évaluation de gestion pour examen.</w:t>
      </w:r>
    </w:p>
    <w:p w14:paraId="619D556B" w14:textId="6127AF64" w:rsidR="0059339D" w:rsidRPr="005A0FF1" w:rsidRDefault="0059339D" w:rsidP="005A0FF1">
      <w:pPr>
        <w:pStyle w:val="RuleQuote"/>
        <w:keepNext w:val="0"/>
        <w:ind w:right="53"/>
        <w:jc w:val="both"/>
        <w:rPr>
          <w:rFonts w:ascii="Helvetica" w:hAnsi="Helvetica" w:cs="Helvetica"/>
          <w:color w:val="000000" w:themeColor="text1"/>
          <w:szCs w:val="22"/>
        </w:rPr>
      </w:pPr>
      <w:r w:rsidRPr="005A0FF1">
        <w:rPr>
          <w:rFonts w:ascii="Helvetica" w:hAnsi="Helvetica"/>
          <w:color w:val="000000" w:themeColor="text1"/>
        </w:rPr>
        <w:t>En outre, l</w:t>
      </w:r>
      <w:r w:rsidR="00170579" w:rsidRPr="005A0FF1">
        <w:rPr>
          <w:rFonts w:ascii="Helvetica" w:hAnsi="Helvetica"/>
          <w:color w:val="000000" w:themeColor="text1"/>
        </w:rPr>
        <w:t>’</w:t>
      </w:r>
      <w:r w:rsidRPr="005A0FF1">
        <w:rPr>
          <w:rFonts w:ascii="Helvetica" w:hAnsi="Helvetica"/>
          <w:color w:val="000000" w:themeColor="text1"/>
        </w:rPr>
        <w:t>Unité des services de gestion de la qualité met en œuvre le système de contrôle de la qualité des brevets au sein du Bureau des brevets et en évalue l</w:t>
      </w:r>
      <w:r w:rsidR="00170579" w:rsidRPr="005A0FF1">
        <w:rPr>
          <w:rFonts w:ascii="Helvetica" w:hAnsi="Helvetica"/>
          <w:color w:val="000000" w:themeColor="text1"/>
        </w:rPr>
        <w:t>’</w:t>
      </w:r>
      <w:r w:rsidRPr="005A0FF1">
        <w:rPr>
          <w:rFonts w:ascii="Helvetica" w:hAnsi="Helvetica"/>
          <w:color w:val="000000" w:themeColor="text1"/>
        </w:rPr>
        <w:t>efficaci</w:t>
      </w:r>
      <w:r w:rsidR="005A0FF1" w:rsidRPr="005A0FF1">
        <w:rPr>
          <w:rFonts w:ascii="Helvetica" w:hAnsi="Helvetica"/>
          <w:color w:val="000000" w:themeColor="text1"/>
        </w:rPr>
        <w:t>té.  Le</w:t>
      </w:r>
      <w:r w:rsidRPr="005A0FF1">
        <w:rPr>
          <w:rFonts w:ascii="Helvetica" w:hAnsi="Helvetica"/>
          <w:color w:val="000000" w:themeColor="text1"/>
        </w:rPr>
        <w:t>s objectifs de qualité permettent de bien comprendre ce que l</w:t>
      </w:r>
      <w:r w:rsidR="00170579" w:rsidRPr="005A0FF1">
        <w:rPr>
          <w:rFonts w:ascii="Helvetica" w:hAnsi="Helvetica"/>
          <w:color w:val="000000" w:themeColor="text1"/>
        </w:rPr>
        <w:t>’</w:t>
      </w:r>
      <w:r w:rsidRPr="005A0FF1">
        <w:rPr>
          <w:rFonts w:ascii="Helvetica" w:hAnsi="Helvetica"/>
          <w:color w:val="000000" w:themeColor="text1"/>
        </w:rPr>
        <w:t>on entend par qualité et fournissent un cadre dans lequel le Bureau applique les normes de qualité et donne des orientations pour le développement futur des pratiques d</w:t>
      </w:r>
      <w:r w:rsidR="00170579" w:rsidRPr="005A0FF1">
        <w:rPr>
          <w:rFonts w:ascii="Helvetica" w:hAnsi="Helvetica"/>
          <w:color w:val="000000" w:themeColor="text1"/>
        </w:rPr>
        <w:t>’</w:t>
      </w:r>
      <w:r w:rsidRPr="005A0FF1">
        <w:rPr>
          <w:rFonts w:ascii="Helvetica" w:hAnsi="Helvetica"/>
          <w:color w:val="000000" w:themeColor="text1"/>
        </w:rPr>
        <w:t>exam</w:t>
      </w:r>
      <w:r w:rsidR="005A0FF1" w:rsidRPr="005A0FF1">
        <w:rPr>
          <w:rFonts w:ascii="Helvetica" w:hAnsi="Helvetica"/>
          <w:color w:val="000000" w:themeColor="text1"/>
        </w:rPr>
        <w:t>en.  L’u</w:t>
      </w:r>
      <w:r w:rsidRPr="005A0FF1">
        <w:rPr>
          <w:rFonts w:ascii="Helvetica" w:hAnsi="Helvetica"/>
          <w:color w:val="000000" w:themeColor="text1"/>
        </w:rPr>
        <w:t>nité effectue tous les six</w:t>
      </w:r>
      <w:r w:rsidR="00DA676D" w:rsidRPr="005A0FF1">
        <w:rPr>
          <w:rFonts w:ascii="Helvetica" w:hAnsi="Helvetica"/>
          <w:color w:val="000000" w:themeColor="text1"/>
        </w:rPr>
        <w:t> </w:t>
      </w:r>
      <w:r w:rsidRPr="005A0FF1">
        <w:rPr>
          <w:rFonts w:ascii="Helvetica" w:hAnsi="Helvetica"/>
          <w:color w:val="000000" w:themeColor="text1"/>
        </w:rPr>
        <w:t>(6) mois une évaluation du système couvrant les résultats du contrôle de la qualité des travaux de recherche et d</w:t>
      </w:r>
      <w:r w:rsidR="00170579" w:rsidRPr="005A0FF1">
        <w:rPr>
          <w:rFonts w:ascii="Helvetica" w:hAnsi="Helvetica"/>
          <w:color w:val="000000" w:themeColor="text1"/>
        </w:rPr>
        <w:t>’</w:t>
      </w:r>
      <w:r w:rsidRPr="005A0FF1">
        <w:rPr>
          <w:rFonts w:ascii="Helvetica" w:hAnsi="Helvetica"/>
          <w:color w:val="000000" w:themeColor="text1"/>
        </w:rPr>
        <w:t>examen, les questions concernant l</w:t>
      </w:r>
      <w:r w:rsidR="00170579" w:rsidRPr="005A0FF1">
        <w:rPr>
          <w:rFonts w:ascii="Helvetica" w:hAnsi="Helvetica"/>
          <w:color w:val="000000" w:themeColor="text1"/>
        </w:rPr>
        <w:t>’</w:t>
      </w:r>
      <w:r w:rsidRPr="005A0FF1">
        <w:rPr>
          <w:rFonts w:ascii="Helvetica" w:hAnsi="Helvetica"/>
          <w:color w:val="000000" w:themeColor="text1"/>
        </w:rPr>
        <w:t>examen et la procédure de contrôle de la qualité, ainsi que des commentaires ou des propositions formulés par les déposants ou les examinateu</w:t>
      </w:r>
      <w:r w:rsidR="005A0FF1" w:rsidRPr="005A0FF1">
        <w:rPr>
          <w:rFonts w:ascii="Helvetica" w:hAnsi="Helvetica"/>
          <w:color w:val="000000" w:themeColor="text1"/>
        </w:rPr>
        <w:t>rs.  Ap</w:t>
      </w:r>
      <w:r w:rsidRPr="005A0FF1">
        <w:rPr>
          <w:rFonts w:ascii="Helvetica" w:hAnsi="Helvetica"/>
          <w:color w:val="000000" w:themeColor="text1"/>
        </w:rPr>
        <w:t>rès l</w:t>
      </w:r>
      <w:r w:rsidR="00170579" w:rsidRPr="005A0FF1">
        <w:rPr>
          <w:rFonts w:ascii="Helvetica" w:hAnsi="Helvetica"/>
          <w:color w:val="000000" w:themeColor="text1"/>
        </w:rPr>
        <w:t>’</w:t>
      </w:r>
      <w:r w:rsidRPr="005A0FF1">
        <w:rPr>
          <w:rFonts w:ascii="Helvetica" w:hAnsi="Helvetica"/>
          <w:color w:val="000000" w:themeColor="text1"/>
        </w:rPr>
        <w:t>évaluation, des recommandations sont adressées au comité de gestion de la qualité, pour examen et approbation, concernant des mesures correctrices et préventives et des modifications à apporter aux normes ou aux politiques relatives au système de contrôle de la qualité des brevets, le cas échéa</w:t>
      </w:r>
      <w:r w:rsidR="005A0FF1" w:rsidRPr="005A0FF1">
        <w:rPr>
          <w:rFonts w:ascii="Helvetica" w:hAnsi="Helvetica"/>
          <w:color w:val="000000" w:themeColor="text1"/>
        </w:rPr>
        <w:t>nt.  Le</w:t>
      </w:r>
      <w:r w:rsidRPr="005A0FF1">
        <w:rPr>
          <w:rFonts w:ascii="Helvetica" w:hAnsi="Helvetica"/>
          <w:color w:val="000000" w:themeColor="text1"/>
        </w:rPr>
        <w:t xml:space="preserve"> chef de l</w:t>
      </w:r>
      <w:r w:rsidR="00170579" w:rsidRPr="005A0FF1">
        <w:rPr>
          <w:rFonts w:ascii="Helvetica" w:hAnsi="Helvetica"/>
          <w:color w:val="000000" w:themeColor="text1"/>
        </w:rPr>
        <w:t>’</w:t>
      </w:r>
      <w:r w:rsidRPr="005A0FF1">
        <w:rPr>
          <w:rFonts w:ascii="Helvetica" w:hAnsi="Helvetica"/>
          <w:color w:val="000000" w:themeColor="text1"/>
        </w:rPr>
        <w:t>Unité des services de gestion de la qualité rend compte au directeur ou au directeur adjoint du Bureau.</w:t>
      </w:r>
    </w:p>
    <w:p w14:paraId="6BE2E7AC" w14:textId="3951AD6B" w:rsidR="0059339D" w:rsidRPr="005A0FF1" w:rsidRDefault="0059339D" w:rsidP="005A0FF1">
      <w:pPr>
        <w:pStyle w:val="RuleQuote"/>
        <w:keepNext w:val="0"/>
        <w:ind w:right="53"/>
        <w:jc w:val="both"/>
        <w:rPr>
          <w:rFonts w:ascii="Helvetica" w:hAnsi="Helvetica" w:cs="Helvetica"/>
          <w:color w:val="000000" w:themeColor="text1"/>
          <w:szCs w:val="22"/>
        </w:rPr>
      </w:pPr>
      <w:r w:rsidRPr="005A0FF1">
        <w:rPr>
          <w:rFonts w:ascii="Helvetica" w:hAnsi="Helvetica"/>
          <w:color w:val="000000" w:themeColor="text1"/>
        </w:rPr>
        <w:t>Au niveau du Bureau, l</w:t>
      </w:r>
      <w:r w:rsidR="00170579" w:rsidRPr="005A0FF1">
        <w:rPr>
          <w:rFonts w:ascii="Helvetica" w:hAnsi="Helvetica"/>
          <w:color w:val="000000" w:themeColor="text1"/>
        </w:rPr>
        <w:t>’</w:t>
      </w:r>
      <w:r w:rsidRPr="005A0FF1">
        <w:rPr>
          <w:rFonts w:ascii="Helvetica" w:hAnsi="Helvetica"/>
          <w:color w:val="000000" w:themeColor="text1"/>
        </w:rPr>
        <w:t>Unité des services de gestion de la qualité établit un rapport mensuel qui est présenté lors de la réunion mensuelle du comité de gestion et qui fait partie intégrante des documents analysés lors des audits internes et extern</w:t>
      </w:r>
      <w:r w:rsidR="005A0FF1" w:rsidRPr="005A0FF1">
        <w:rPr>
          <w:rFonts w:ascii="Helvetica" w:hAnsi="Helvetica"/>
          <w:color w:val="000000" w:themeColor="text1"/>
        </w:rPr>
        <w:t>es.  Le</w:t>
      </w:r>
      <w:r w:rsidRPr="005A0FF1">
        <w:rPr>
          <w:rFonts w:ascii="Helvetica" w:hAnsi="Helvetica"/>
          <w:color w:val="000000" w:themeColor="text1"/>
        </w:rPr>
        <w:t xml:space="preserve"> rapport présente les conclusions de l</w:t>
      </w:r>
      <w:r w:rsidR="00170579" w:rsidRPr="005A0FF1">
        <w:rPr>
          <w:rFonts w:ascii="Helvetica" w:hAnsi="Helvetica"/>
          <w:color w:val="000000" w:themeColor="text1"/>
        </w:rPr>
        <w:t>’</w:t>
      </w:r>
      <w:r w:rsidRPr="005A0FF1">
        <w:rPr>
          <w:rFonts w:ascii="Helvetica" w:hAnsi="Helvetica"/>
          <w:color w:val="000000" w:themeColor="text1"/>
        </w:rPr>
        <w:t>évaluation de la qualité de tous les travaux, notamment les rapports de recherche et d</w:t>
      </w:r>
      <w:r w:rsidR="00170579" w:rsidRPr="005A0FF1">
        <w:rPr>
          <w:rFonts w:ascii="Helvetica" w:hAnsi="Helvetica"/>
          <w:color w:val="000000" w:themeColor="text1"/>
        </w:rPr>
        <w:t>’</w:t>
      </w:r>
      <w:r w:rsidRPr="005A0FF1">
        <w:rPr>
          <w:rFonts w:ascii="Helvetica" w:hAnsi="Helvetica"/>
          <w:color w:val="000000" w:themeColor="text1"/>
        </w:rPr>
        <w:t>examen, réalisée suivant l</w:t>
      </w:r>
      <w:r w:rsidR="00170579" w:rsidRPr="005A0FF1">
        <w:rPr>
          <w:rFonts w:ascii="Helvetica" w:hAnsi="Helvetica"/>
          <w:color w:val="000000" w:themeColor="text1"/>
        </w:rPr>
        <w:t>’</w:t>
      </w:r>
      <w:r w:rsidRPr="005A0FF1">
        <w:rPr>
          <w:rFonts w:ascii="Helvetica" w:hAnsi="Helvetica"/>
          <w:color w:val="000000" w:themeColor="text1"/>
        </w:rPr>
        <w:t>échantillonnage aléatoire du système de contrôle de la qualité des breve</w:t>
      </w:r>
      <w:r w:rsidR="005A0FF1" w:rsidRPr="005A0FF1">
        <w:rPr>
          <w:rFonts w:ascii="Helvetica" w:hAnsi="Helvetica"/>
          <w:color w:val="000000" w:themeColor="text1"/>
        </w:rPr>
        <w:t>ts.  Il</w:t>
      </w:r>
      <w:r w:rsidRPr="005A0FF1">
        <w:rPr>
          <w:rFonts w:ascii="Helvetica" w:hAnsi="Helvetica"/>
          <w:color w:val="000000" w:themeColor="text1"/>
        </w:rPr>
        <w:t xml:space="preserve"> recense également les insuffisances et d</w:t>
      </w:r>
      <w:r w:rsidR="00170579" w:rsidRPr="005A0FF1">
        <w:rPr>
          <w:rFonts w:ascii="Helvetica" w:hAnsi="Helvetica"/>
          <w:color w:val="000000" w:themeColor="text1"/>
        </w:rPr>
        <w:t>’</w:t>
      </w:r>
      <w:r w:rsidRPr="005A0FF1">
        <w:rPr>
          <w:rFonts w:ascii="Helvetica" w:hAnsi="Helvetica"/>
          <w:color w:val="000000" w:themeColor="text1"/>
        </w:rPr>
        <w:t>autres questions ou problèmes concernant le processus de recherche et d</w:t>
      </w:r>
      <w:r w:rsidR="00170579" w:rsidRPr="005A0FF1">
        <w:rPr>
          <w:rFonts w:ascii="Helvetica" w:hAnsi="Helvetica"/>
          <w:color w:val="000000" w:themeColor="text1"/>
        </w:rPr>
        <w:t>’</w:t>
      </w:r>
      <w:r w:rsidRPr="005A0FF1">
        <w:rPr>
          <w:rFonts w:ascii="Helvetica" w:hAnsi="Helvetica"/>
          <w:color w:val="000000" w:themeColor="text1"/>
        </w:rPr>
        <w:t>examen, ainsi que des recommandations à des fins de correcti</w:t>
      </w:r>
      <w:r w:rsidR="005A0FF1" w:rsidRPr="005A0FF1">
        <w:rPr>
          <w:rFonts w:ascii="Helvetica" w:hAnsi="Helvetica"/>
          <w:color w:val="000000" w:themeColor="text1"/>
        </w:rPr>
        <w:t>on.  Un</w:t>
      </w:r>
      <w:r w:rsidRPr="005A0FF1">
        <w:rPr>
          <w:rFonts w:ascii="Helvetica" w:hAnsi="Helvetica"/>
          <w:color w:val="000000" w:themeColor="text1"/>
        </w:rPr>
        <w:t>e réunion du comité de gestion de la qualité est organisée tous les trimestres, ou aussi souvent que nécessaire, afin d</w:t>
      </w:r>
      <w:r w:rsidR="00170579" w:rsidRPr="005A0FF1">
        <w:rPr>
          <w:rFonts w:ascii="Helvetica" w:hAnsi="Helvetica"/>
          <w:color w:val="000000" w:themeColor="text1"/>
        </w:rPr>
        <w:t>’</w:t>
      </w:r>
      <w:r w:rsidRPr="005A0FF1">
        <w:rPr>
          <w:rFonts w:ascii="Helvetica" w:hAnsi="Helvetica"/>
          <w:color w:val="000000" w:themeColor="text1"/>
        </w:rPr>
        <w:t>aborder en détail les questions de conformité et de non</w:t>
      </w:r>
      <w:r w:rsidR="005A0FF1">
        <w:rPr>
          <w:rFonts w:ascii="Helvetica" w:hAnsi="Helvetica"/>
          <w:color w:val="000000" w:themeColor="text1"/>
        </w:rPr>
        <w:noBreakHyphen/>
      </w:r>
      <w:r w:rsidRPr="005A0FF1">
        <w:rPr>
          <w:rFonts w:ascii="Helvetica" w:hAnsi="Helvetica"/>
          <w:color w:val="000000" w:themeColor="text1"/>
        </w:rPr>
        <w:t>conformité aux normes.</w:t>
      </w:r>
    </w:p>
    <w:p w14:paraId="7ADEB0B6" w14:textId="6043B892" w:rsidR="0059339D" w:rsidRPr="005A0FF1" w:rsidRDefault="0059339D" w:rsidP="00170579">
      <w:pPr>
        <w:pStyle w:val="SectionHeading"/>
        <w:rPr>
          <w:lang w:val="fr-FR"/>
        </w:rPr>
      </w:pPr>
      <w:r w:rsidRPr="005A0FF1">
        <w:rPr>
          <w:lang w:val="fr-FR"/>
        </w:rPr>
        <w:lastRenderedPageBreak/>
        <w:t>3 – Champ d</w:t>
      </w:r>
      <w:r w:rsidR="00170579" w:rsidRPr="005A0FF1">
        <w:rPr>
          <w:lang w:val="fr-FR"/>
        </w:rPr>
        <w:t>’</w:t>
      </w:r>
      <w:r w:rsidRPr="005A0FF1">
        <w:rPr>
          <w:lang w:val="fr-FR"/>
        </w:rPr>
        <w:t>activité</w:t>
      </w:r>
    </w:p>
    <w:p w14:paraId="4C2E2071" w14:textId="7A68B389" w:rsidR="0059339D" w:rsidRPr="005A0FF1" w:rsidRDefault="0059339D" w:rsidP="00170579">
      <w:pPr>
        <w:pStyle w:val="Question"/>
        <w:numPr>
          <w:ilvl w:val="0"/>
          <w:numId w:val="8"/>
        </w:numPr>
        <w:spacing w:after="240"/>
        <w:rPr>
          <w:i/>
          <w:iCs/>
        </w:rPr>
      </w:pPr>
      <w:r w:rsidRPr="005A0FF1">
        <w:tab/>
        <w:t>Champ d</w:t>
      </w:r>
      <w:r w:rsidR="00170579" w:rsidRPr="005A0FF1">
        <w:t>’</w:t>
      </w:r>
      <w:r w:rsidRPr="005A0FF1">
        <w:t>activité actuel</w:t>
      </w:r>
    </w:p>
    <w:p w14:paraId="07EE266A" w14:textId="2291D382" w:rsidR="00170579" w:rsidRPr="005A0FF1" w:rsidRDefault="0059339D" w:rsidP="00170579">
      <w:pPr>
        <w:pStyle w:val="Question"/>
        <w:keepNext w:val="0"/>
        <w:spacing w:after="480"/>
      </w:pPr>
      <w:r w:rsidRPr="005A0FF1">
        <w:t>Les offices récepteurs pour lesquels l</w:t>
      </w:r>
      <w:r w:rsidR="00170579" w:rsidRPr="005A0FF1">
        <w:t>’</w:t>
      </w:r>
      <w:r w:rsidRPr="005A0FF1">
        <w:t>office ou l</w:t>
      </w:r>
      <w:r w:rsidR="00170579" w:rsidRPr="005A0FF1">
        <w:t>’</w:t>
      </w:r>
      <w:r w:rsidRPr="005A0FF1">
        <w:t>organisation intergouvernementale est compétent en tant qu</w:t>
      </w:r>
      <w:r w:rsidR="00170579" w:rsidRPr="005A0FF1">
        <w:t>’</w:t>
      </w:r>
      <w:r w:rsidRPr="005A0FF1">
        <w:t>administration chargée de la recherche internationale et administration chargée de l</w:t>
      </w:r>
      <w:r w:rsidR="00170579" w:rsidRPr="005A0FF1">
        <w:t>’</w:t>
      </w:r>
      <w:r w:rsidRPr="005A0FF1">
        <w:t>examen préliminaire international, la ou les langues dans lesquelles les services sont proposés et d</w:t>
      </w:r>
      <w:r w:rsidR="00170579" w:rsidRPr="005A0FF1">
        <w:t>’</w:t>
      </w:r>
      <w:r w:rsidRPr="005A0FF1">
        <w:t>autres détails concernant le champ d</w:t>
      </w:r>
      <w:r w:rsidR="00170579" w:rsidRPr="005A0FF1">
        <w:t>’</w:t>
      </w:r>
      <w:r w:rsidRPr="005A0FF1">
        <w:t xml:space="preserve">activité peuvent être consultés dans le </w:t>
      </w:r>
      <w:r w:rsidRPr="005A0FF1">
        <w:rPr>
          <w:i/>
          <w:iCs/>
        </w:rPr>
        <w:t>Guide du déposant</w:t>
      </w:r>
      <w:r w:rsidR="00170579" w:rsidRPr="005A0FF1">
        <w:rPr>
          <w:i/>
          <w:iCs/>
        </w:rPr>
        <w:t xml:space="preserve"> du PCT</w:t>
      </w:r>
      <w:r w:rsidRPr="005A0FF1">
        <w:t>, aux adresses suivantes</w:t>
      </w:r>
      <w:r w:rsidR="00170579" w:rsidRPr="005A0FF1">
        <w:t> :</w:t>
      </w:r>
      <w:bookmarkStart w:id="5" w:name="_Hlk214637647"/>
      <w:r w:rsidRPr="005A0FF1">
        <w:rPr>
          <w:b w:val="0"/>
        </w:rPr>
        <w:t xml:space="preserve"> </w:t>
      </w:r>
      <w:hyperlink r:id="rId15" w:history="1">
        <w:r w:rsidRPr="005A0FF1">
          <w:rPr>
            <w:rStyle w:val="Hyperlink"/>
            <w:b w:val="0"/>
          </w:rPr>
          <w:t>https://pctlegal.wipo.int/eGuide/view</w:t>
        </w:r>
        <w:r w:rsidR="005A0FF1">
          <w:rPr>
            <w:rStyle w:val="Hyperlink"/>
            <w:b w:val="0"/>
          </w:rPr>
          <w:noBreakHyphen/>
        </w:r>
        <w:r w:rsidRPr="005A0FF1">
          <w:rPr>
            <w:rStyle w:val="Hyperlink"/>
            <w:b w:val="0"/>
          </w:rPr>
          <w:t>doc.xhtml?doc</w:t>
        </w:r>
        <w:r w:rsidR="005A0FF1">
          <w:rPr>
            <w:rStyle w:val="Hyperlink"/>
            <w:b w:val="0"/>
          </w:rPr>
          <w:noBreakHyphen/>
        </w:r>
        <w:r w:rsidRPr="005A0FF1">
          <w:rPr>
            <w:rStyle w:val="Hyperlink"/>
            <w:b w:val="0"/>
          </w:rPr>
          <w:t>code=PH&amp;doc</w:t>
        </w:r>
        <w:r w:rsidR="005A0FF1">
          <w:rPr>
            <w:rStyle w:val="Hyperlink"/>
            <w:b w:val="0"/>
          </w:rPr>
          <w:noBreakHyphen/>
        </w:r>
        <w:r w:rsidRPr="005A0FF1">
          <w:rPr>
            <w:rStyle w:val="Hyperlink"/>
            <w:b w:val="0"/>
          </w:rPr>
          <w:t>lang=en#ISA</w:t>
        </w:r>
      </w:hyperlink>
      <w:r w:rsidRPr="005A0FF1">
        <w:rPr>
          <w:b w:val="0"/>
        </w:rPr>
        <w:t xml:space="preserve"> et </w:t>
      </w:r>
      <w:bookmarkEnd w:id="5"/>
      <w:r w:rsidRPr="005A0FF1">
        <w:fldChar w:fldCharType="begin"/>
      </w:r>
      <w:r w:rsidRPr="005A0FF1">
        <w:instrText>HYPERLINK "file:///\\\\adi.wipo.int\\wipodata\\DAT1\\OrgPctLdev\\Shared\\WIPO%20meetings%20-%20PCT\\PCT-CTC-33\\Applications%20for%20extension%20of%20appointment\\PH\\pct_ctc_33_16.final.docx"</w:instrText>
      </w:r>
      <w:r w:rsidRPr="005A0FF1">
        <w:fldChar w:fldCharType="separate"/>
      </w:r>
      <w:r w:rsidRPr="005A0FF1">
        <w:rPr>
          <w:rStyle w:val="Hyperlink"/>
          <w:b w:val="0"/>
        </w:rPr>
        <w:t>https://pctlegal.wipo.int/eGuide/view</w:t>
      </w:r>
      <w:r w:rsidR="005A0FF1">
        <w:rPr>
          <w:rStyle w:val="Hyperlink"/>
          <w:b w:val="0"/>
        </w:rPr>
        <w:noBreakHyphen/>
      </w:r>
      <w:r w:rsidRPr="005A0FF1">
        <w:rPr>
          <w:rStyle w:val="Hyperlink"/>
          <w:b w:val="0"/>
        </w:rPr>
        <w:t>doc.xhtml?doc</w:t>
      </w:r>
      <w:r w:rsidR="005A0FF1">
        <w:rPr>
          <w:rStyle w:val="Hyperlink"/>
          <w:b w:val="0"/>
        </w:rPr>
        <w:noBreakHyphen/>
      </w:r>
      <w:r w:rsidRPr="005A0FF1">
        <w:rPr>
          <w:rStyle w:val="Hyperlink"/>
          <w:b w:val="0"/>
        </w:rPr>
        <w:t>code=PH&amp;doc</w:t>
      </w:r>
      <w:r w:rsidR="005A0FF1">
        <w:rPr>
          <w:rStyle w:val="Hyperlink"/>
          <w:b w:val="0"/>
        </w:rPr>
        <w:noBreakHyphen/>
      </w:r>
      <w:r w:rsidRPr="005A0FF1">
        <w:rPr>
          <w:rStyle w:val="Hyperlink"/>
          <w:b w:val="0"/>
        </w:rPr>
        <w:t>lang=en#IPEA</w:t>
      </w:r>
      <w:r w:rsidRPr="005A0FF1">
        <w:fldChar w:fldCharType="end"/>
      </w:r>
      <w:r w:rsidRPr="005A0FF1">
        <w:rPr>
          <w:b w:val="0"/>
          <w:i/>
        </w:rPr>
        <w:t>.</w:t>
      </w:r>
    </w:p>
    <w:p w14:paraId="1D17D50E" w14:textId="3784BEFC" w:rsidR="0059339D" w:rsidRPr="005A0FF1" w:rsidRDefault="005A0FF1" w:rsidP="005A0FF1">
      <w:pPr>
        <w:pStyle w:val="Question"/>
        <w:numPr>
          <w:ilvl w:val="0"/>
          <w:numId w:val="8"/>
        </w:numPr>
        <w:tabs>
          <w:tab w:val="left" w:pos="567"/>
        </w:tabs>
        <w:spacing w:after="240"/>
      </w:pPr>
      <w:r>
        <w:tab/>
      </w:r>
      <w:r w:rsidR="0059339D" w:rsidRPr="005A0FF1">
        <w:t>Les modifications prévues concernant le champ d</w:t>
      </w:r>
      <w:r w:rsidR="00170579" w:rsidRPr="005A0FF1">
        <w:t>’</w:t>
      </w:r>
      <w:r w:rsidR="0059339D" w:rsidRPr="005A0FF1">
        <w:t>activité de l</w:t>
      </w:r>
      <w:r w:rsidR="00170579" w:rsidRPr="005A0FF1">
        <w:t>’</w:t>
      </w:r>
      <w:r w:rsidR="0059339D" w:rsidRPr="005A0FF1">
        <w:t>administration, telles que les offices récepteurs pour lesquels l</w:t>
      </w:r>
      <w:r w:rsidR="00170579" w:rsidRPr="005A0FF1">
        <w:t>’</w:t>
      </w:r>
      <w:r w:rsidR="0059339D" w:rsidRPr="005A0FF1">
        <w:t>administration est compétente et les langues disponibles (le cas échéant)</w:t>
      </w:r>
      <w:r w:rsidR="00170579" w:rsidRPr="005A0FF1">
        <w:t> :</w:t>
      </w:r>
    </w:p>
    <w:p w14:paraId="725A494E" w14:textId="3CAE5B30" w:rsidR="00170579" w:rsidRPr="005A0FF1" w:rsidRDefault="0059339D" w:rsidP="00170579">
      <w:pPr>
        <w:pStyle w:val="Answer"/>
        <w:jc w:val="both"/>
        <w:rPr>
          <w:rFonts w:ascii="Helvetica" w:hAnsi="Helvetica"/>
          <w:i/>
        </w:rPr>
      </w:pPr>
      <w:r w:rsidRPr="005A0FF1">
        <w:rPr>
          <w:rFonts w:ascii="Helvetica" w:hAnsi="Helvetica"/>
          <w:i/>
        </w:rPr>
        <w:t>Conformément à ses efforts constants pour contribuer au système mondial des brevets, l</w:t>
      </w:r>
      <w:r w:rsidR="00170579" w:rsidRPr="005A0FF1">
        <w:rPr>
          <w:rFonts w:ascii="Helvetica" w:hAnsi="Helvetica"/>
          <w:i/>
        </w:rPr>
        <w:t>’</w:t>
      </w:r>
      <w:r w:rsidRPr="005A0FF1">
        <w:rPr>
          <w:rFonts w:ascii="Helvetica" w:hAnsi="Helvetica"/>
          <w:i/>
        </w:rPr>
        <w:t>office examine également les possibilités de nouvelles désignations et d</w:t>
      </w:r>
      <w:r w:rsidR="00170579" w:rsidRPr="005A0FF1">
        <w:rPr>
          <w:rFonts w:ascii="Helvetica" w:hAnsi="Helvetica"/>
          <w:i/>
        </w:rPr>
        <w:t>’</w:t>
      </w:r>
      <w:r w:rsidRPr="005A0FF1">
        <w:rPr>
          <w:rFonts w:ascii="Helvetica" w:hAnsi="Helvetica"/>
          <w:i/>
        </w:rPr>
        <w:t>une coopération renforcée avec d</w:t>
      </w:r>
      <w:r w:rsidR="00170579" w:rsidRPr="005A0FF1">
        <w:rPr>
          <w:rFonts w:ascii="Helvetica" w:hAnsi="Helvetica"/>
          <w:i/>
        </w:rPr>
        <w:t>’</w:t>
      </w:r>
      <w:r w:rsidRPr="005A0FF1">
        <w:rPr>
          <w:rFonts w:ascii="Helvetica" w:hAnsi="Helvetica"/>
          <w:i/>
        </w:rPr>
        <w:t>autres offices nationaux et régionaux des brevets, en vue d</w:t>
      </w:r>
      <w:r w:rsidR="00170579" w:rsidRPr="005A0FF1">
        <w:rPr>
          <w:rFonts w:ascii="Helvetica" w:hAnsi="Helvetica"/>
          <w:i/>
        </w:rPr>
        <w:t>’</w:t>
      </w:r>
      <w:r w:rsidRPr="005A0FF1">
        <w:rPr>
          <w:rFonts w:ascii="Helvetica" w:hAnsi="Helvetica"/>
          <w:i/>
        </w:rPr>
        <w:t>étendre la couverture de ses services et d</w:t>
      </w:r>
      <w:r w:rsidR="00170579" w:rsidRPr="005A0FF1">
        <w:rPr>
          <w:rFonts w:ascii="Helvetica" w:hAnsi="Helvetica"/>
          <w:i/>
        </w:rPr>
        <w:t>’</w:t>
      </w:r>
      <w:r w:rsidRPr="005A0FF1">
        <w:rPr>
          <w:rFonts w:ascii="Helvetica" w:hAnsi="Helvetica"/>
          <w:i/>
        </w:rPr>
        <w:t>améliorer la collaboration internationale.</w:t>
      </w:r>
    </w:p>
    <w:p w14:paraId="01004E1A" w14:textId="6D0BA232" w:rsidR="0059339D" w:rsidRPr="005A0FF1" w:rsidRDefault="0059339D" w:rsidP="00170579">
      <w:pPr>
        <w:pStyle w:val="SectionHeading"/>
        <w:rPr>
          <w:lang w:val="fr-FR"/>
        </w:rPr>
      </w:pPr>
      <w:r w:rsidRPr="005A0FF1">
        <w:rPr>
          <w:lang w:val="fr-FR"/>
        </w:rPr>
        <w:t>4 – Divers</w:t>
      </w:r>
    </w:p>
    <w:p w14:paraId="00DFF07A" w14:textId="3D9F100E" w:rsidR="00170579" w:rsidRPr="005A0FF1" w:rsidRDefault="0059339D" w:rsidP="00170579">
      <w:pPr>
        <w:rPr>
          <w:lang w:val="fr-FR"/>
        </w:rPr>
      </w:pPr>
      <w:r w:rsidRPr="005A0FF1">
        <w:rPr>
          <w:lang w:val="fr-FR"/>
        </w:rPr>
        <w:t>Toute autre information concernant la prolongation de la nomination en qualité d</w:t>
      </w:r>
      <w:r w:rsidR="00170579" w:rsidRPr="005A0FF1">
        <w:rPr>
          <w:lang w:val="fr-FR"/>
        </w:rPr>
        <w:t>’</w:t>
      </w:r>
      <w:r w:rsidRPr="005A0FF1">
        <w:rPr>
          <w:lang w:val="fr-FR"/>
        </w:rPr>
        <w:t>administration chargée de la recherche internationale et de l</w:t>
      </w:r>
      <w:r w:rsidR="00170579" w:rsidRPr="005A0FF1">
        <w:rPr>
          <w:lang w:val="fr-FR"/>
        </w:rPr>
        <w:t>’</w:t>
      </w:r>
      <w:r w:rsidRPr="005A0FF1">
        <w:rPr>
          <w:lang w:val="fr-FR"/>
        </w:rPr>
        <w:t>examen préliminaire international</w:t>
      </w:r>
      <w:r w:rsidR="00170579" w:rsidRPr="005A0FF1">
        <w:rPr>
          <w:lang w:val="fr-FR"/>
        </w:rPr>
        <w:t> :</w:t>
      </w:r>
    </w:p>
    <w:p w14:paraId="1DCE0C10" w14:textId="0CBB19F8" w:rsidR="0059339D" w:rsidRPr="005A0FF1" w:rsidRDefault="0059339D" w:rsidP="00170579">
      <w:pPr>
        <w:rPr>
          <w:lang w:val="fr-FR"/>
        </w:rPr>
      </w:pPr>
    </w:p>
    <w:p w14:paraId="04B17E3E" w14:textId="77777777" w:rsidR="0059339D" w:rsidRPr="005A0FF1" w:rsidRDefault="0059339D" w:rsidP="00170579">
      <w:pPr>
        <w:pStyle w:val="SectionHeading"/>
        <w:rPr>
          <w:lang w:val="fr-FR"/>
        </w:rPr>
      </w:pPr>
    </w:p>
    <w:p w14:paraId="04E7159C" w14:textId="69B93EB2" w:rsidR="000F5E56" w:rsidRPr="005A0FF1" w:rsidRDefault="0059339D" w:rsidP="005A0FF1">
      <w:pPr>
        <w:pStyle w:val="Endofdocument-Annex"/>
        <w:rPr>
          <w:b/>
          <w:bCs/>
          <w:iCs/>
          <w:caps/>
          <w:szCs w:val="28"/>
        </w:rPr>
      </w:pPr>
      <w:r w:rsidRPr="005A0FF1">
        <w:t>[Fin de l</w:t>
      </w:r>
      <w:r w:rsidR="00170579" w:rsidRPr="005A0FF1">
        <w:t>’</w:t>
      </w:r>
      <w:r w:rsidRPr="005A0FF1">
        <w:t>annexe et du document]</w:t>
      </w:r>
    </w:p>
    <w:sectPr w:rsidR="000F5E56" w:rsidRPr="005A0FF1" w:rsidSect="00170579">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E763" w14:textId="77777777" w:rsidR="0059339D" w:rsidRDefault="0059339D">
      <w:r>
        <w:separator/>
      </w:r>
    </w:p>
  </w:endnote>
  <w:endnote w:type="continuationSeparator" w:id="0">
    <w:p w14:paraId="6E86C7C1" w14:textId="77777777" w:rsidR="0059339D" w:rsidRPr="009D30E6" w:rsidRDefault="0059339D" w:rsidP="00D45252">
      <w:pPr>
        <w:rPr>
          <w:sz w:val="17"/>
          <w:szCs w:val="17"/>
        </w:rPr>
      </w:pPr>
      <w:r w:rsidRPr="009D30E6">
        <w:rPr>
          <w:sz w:val="17"/>
          <w:szCs w:val="17"/>
        </w:rPr>
        <w:separator/>
      </w:r>
    </w:p>
    <w:p w14:paraId="43AA251C" w14:textId="77777777" w:rsidR="0059339D" w:rsidRPr="009D30E6" w:rsidRDefault="0059339D" w:rsidP="00D45252">
      <w:pPr>
        <w:spacing w:after="60"/>
        <w:rPr>
          <w:sz w:val="17"/>
          <w:szCs w:val="17"/>
        </w:rPr>
      </w:pPr>
      <w:r w:rsidRPr="009D30E6">
        <w:rPr>
          <w:sz w:val="17"/>
          <w:szCs w:val="17"/>
        </w:rPr>
        <w:t>[Suite de la note de la page précédente]</w:t>
      </w:r>
    </w:p>
  </w:endnote>
  <w:endnote w:type="continuationNotice" w:id="1">
    <w:p w14:paraId="4EE9450A" w14:textId="77777777" w:rsidR="0059339D" w:rsidRPr="009D30E6" w:rsidRDefault="0059339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4079" w14:textId="5C3BA71D"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D803" w14:textId="652875CA"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A090" w14:textId="378E3232"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8313" w14:textId="77777777" w:rsidR="0059339D" w:rsidRDefault="0059339D">
      <w:r>
        <w:separator/>
      </w:r>
    </w:p>
  </w:footnote>
  <w:footnote w:type="continuationSeparator" w:id="0">
    <w:p w14:paraId="2D8165FF" w14:textId="77777777" w:rsidR="0059339D" w:rsidRDefault="0059339D" w:rsidP="007461F1">
      <w:r>
        <w:separator/>
      </w:r>
    </w:p>
    <w:p w14:paraId="5832BEDA" w14:textId="77777777" w:rsidR="0059339D" w:rsidRPr="009D30E6" w:rsidRDefault="0059339D" w:rsidP="007461F1">
      <w:pPr>
        <w:spacing w:after="60"/>
        <w:rPr>
          <w:sz w:val="17"/>
          <w:szCs w:val="17"/>
        </w:rPr>
      </w:pPr>
      <w:r w:rsidRPr="009D30E6">
        <w:rPr>
          <w:sz w:val="17"/>
          <w:szCs w:val="17"/>
        </w:rPr>
        <w:t>[Suite de la note de la page précédente]</w:t>
      </w:r>
    </w:p>
  </w:footnote>
  <w:footnote w:type="continuationNotice" w:id="1">
    <w:p w14:paraId="36EB0D7E" w14:textId="77777777" w:rsidR="0059339D" w:rsidRPr="009D30E6" w:rsidRDefault="0059339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0281CD6A" w14:textId="77777777" w:rsidR="0059339D" w:rsidRDefault="0059339D">
        <w:pPr>
          <w:pStyle w:val="Header"/>
          <w:jc w:val="right"/>
        </w:pPr>
        <w:r>
          <w:fldChar w:fldCharType="begin"/>
        </w:r>
        <w:r>
          <w:instrText xml:space="preserve"> PAGE   \* MERGEFORMAT </w:instrText>
        </w:r>
        <w:r>
          <w:fldChar w:fldCharType="separate"/>
        </w:r>
        <w:r>
          <w:t>2</w:t>
        </w:r>
        <w:r>
          <w:fldChar w:fldCharType="end"/>
        </w:r>
      </w:p>
    </w:sdtContent>
  </w:sdt>
  <w:p w14:paraId="48B2023F" w14:textId="77777777" w:rsidR="0059339D" w:rsidRDefault="0059339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5FE7" w14:textId="4702A445" w:rsidR="00F16975" w:rsidRPr="00B45C15" w:rsidRDefault="0059339D" w:rsidP="00477D6B">
    <w:pPr>
      <w:jc w:val="right"/>
      <w:rPr>
        <w:caps/>
      </w:rPr>
    </w:pPr>
    <w:bookmarkStart w:id="6" w:name="Code2"/>
    <w:bookmarkEnd w:id="6"/>
    <w:r>
      <w:rPr>
        <w:caps/>
      </w:rPr>
      <w:t>PCT/CTC/33/17</w:t>
    </w:r>
  </w:p>
  <w:p w14:paraId="5019F882" w14:textId="2F324BAF" w:rsidR="00574036" w:rsidRDefault="00170579"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C6D" w14:textId="77777777" w:rsidR="00170579" w:rsidRPr="00B45C15" w:rsidRDefault="00170579" w:rsidP="00170579">
    <w:pPr>
      <w:jc w:val="right"/>
      <w:rPr>
        <w:caps/>
      </w:rPr>
    </w:pPr>
    <w:r>
      <w:rPr>
        <w:caps/>
      </w:rPr>
      <w:t>PCT/CTC/33/17</w:t>
    </w:r>
  </w:p>
  <w:p w14:paraId="68656429" w14:textId="4631FAC5" w:rsidR="00170579" w:rsidRDefault="00170579" w:rsidP="00170579">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6A2EDB4E"/>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9D"/>
    <w:rsid w:val="00011B7D"/>
    <w:rsid w:val="00075432"/>
    <w:rsid w:val="0009458A"/>
    <w:rsid w:val="000F5E56"/>
    <w:rsid w:val="001362EE"/>
    <w:rsid w:val="00170579"/>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41B6"/>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339D"/>
    <w:rsid w:val="00595F07"/>
    <w:rsid w:val="005A0FF1"/>
    <w:rsid w:val="005E6516"/>
    <w:rsid w:val="00605827"/>
    <w:rsid w:val="00616671"/>
    <w:rsid w:val="006519E3"/>
    <w:rsid w:val="0068189D"/>
    <w:rsid w:val="006B0DB5"/>
    <w:rsid w:val="007461F1"/>
    <w:rsid w:val="007D6961"/>
    <w:rsid w:val="007F07CB"/>
    <w:rsid w:val="00810CEF"/>
    <w:rsid w:val="0081208D"/>
    <w:rsid w:val="00863C7D"/>
    <w:rsid w:val="008734EF"/>
    <w:rsid w:val="008B2CC1"/>
    <w:rsid w:val="008E7930"/>
    <w:rsid w:val="0090731E"/>
    <w:rsid w:val="00966A22"/>
    <w:rsid w:val="00974CD6"/>
    <w:rsid w:val="009C35FC"/>
    <w:rsid w:val="009D30E6"/>
    <w:rsid w:val="009E3F6F"/>
    <w:rsid w:val="009F499F"/>
    <w:rsid w:val="00A11D74"/>
    <w:rsid w:val="00AC0AE4"/>
    <w:rsid w:val="00AD61DB"/>
    <w:rsid w:val="00B1090C"/>
    <w:rsid w:val="00B35AF5"/>
    <w:rsid w:val="00B45C15"/>
    <w:rsid w:val="00BE0BE0"/>
    <w:rsid w:val="00C664C8"/>
    <w:rsid w:val="00CF0460"/>
    <w:rsid w:val="00CF540A"/>
    <w:rsid w:val="00D43E0F"/>
    <w:rsid w:val="00D45252"/>
    <w:rsid w:val="00D71B4D"/>
    <w:rsid w:val="00D75C1E"/>
    <w:rsid w:val="00D93D55"/>
    <w:rsid w:val="00D9407C"/>
    <w:rsid w:val="00DA676D"/>
    <w:rsid w:val="00DB1C48"/>
    <w:rsid w:val="00DD4917"/>
    <w:rsid w:val="00DD6A16"/>
    <w:rsid w:val="00E0091A"/>
    <w:rsid w:val="00E203AA"/>
    <w:rsid w:val="00E5217A"/>
    <w:rsid w:val="00E527A5"/>
    <w:rsid w:val="00E76456"/>
    <w:rsid w:val="00E878EE"/>
    <w:rsid w:val="00EE71CB"/>
    <w:rsid w:val="00EF529F"/>
    <w:rsid w:val="00F16975"/>
    <w:rsid w:val="00F66152"/>
    <w:rsid w:val="00FD7F26"/>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97A9B"/>
  <w15:docId w15:val="{C716B743-DC55-4C9F-90E2-BF590116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A0FF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styleId="ListParagraph">
    <w:name w:val="List Paragraph"/>
    <w:basedOn w:val="Normal"/>
    <w:uiPriority w:val="34"/>
    <w:qFormat/>
    <w:rsid w:val="0059339D"/>
    <w:pPr>
      <w:ind w:left="720"/>
      <w:contextualSpacing/>
    </w:pPr>
    <w:rPr>
      <w:lang w:val="fr-FR"/>
    </w:rPr>
  </w:style>
  <w:style w:type="character" w:customStyle="1" w:styleId="HeaderChar">
    <w:name w:val="Header Char"/>
    <w:basedOn w:val="DefaultParagraphFont"/>
    <w:link w:val="Header"/>
    <w:uiPriority w:val="99"/>
    <w:rsid w:val="0059339D"/>
    <w:rPr>
      <w:rFonts w:ascii="Arial" w:eastAsia="SimSun" w:hAnsi="Arial" w:cs="Arial"/>
      <w:sz w:val="22"/>
      <w:lang w:eastAsia="zh-CN"/>
    </w:rPr>
  </w:style>
  <w:style w:type="character" w:customStyle="1" w:styleId="SectionHeadingChar">
    <w:name w:val="Section Heading Char"/>
    <w:link w:val="SectionHeading"/>
    <w:qFormat/>
    <w:locked/>
    <w:rsid w:val="0059339D"/>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59339D"/>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59339D"/>
    <w:pPr>
      <w:keepNext/>
      <w:keepLines/>
      <w:spacing w:after="240"/>
      <w:ind w:left="567" w:right="567"/>
    </w:pPr>
    <w:rPr>
      <w:bCs/>
      <w:i/>
      <w:iCs/>
      <w:lang w:val="fr-FR"/>
    </w:rPr>
  </w:style>
  <w:style w:type="paragraph" w:customStyle="1" w:styleId="Question">
    <w:name w:val="Question"/>
    <w:basedOn w:val="BodyText"/>
    <w:next w:val="Answer"/>
    <w:qFormat/>
    <w:rsid w:val="0059339D"/>
    <w:pPr>
      <w:keepNext/>
      <w:keepLines/>
    </w:pPr>
    <w:rPr>
      <w:b/>
      <w:bCs/>
      <w:szCs w:val="22"/>
      <w:lang w:val="fr-FR"/>
    </w:rPr>
  </w:style>
  <w:style w:type="paragraph" w:customStyle="1" w:styleId="Answer">
    <w:name w:val="Answer"/>
    <w:basedOn w:val="BodyText"/>
    <w:qFormat/>
    <w:rsid w:val="0059339D"/>
    <w:pPr>
      <w:ind w:left="567"/>
    </w:pPr>
    <w:rPr>
      <w:lang w:val="fr-FR"/>
    </w:rPr>
  </w:style>
  <w:style w:type="character" w:styleId="Hyperlink">
    <w:name w:val="Hyperlink"/>
    <w:basedOn w:val="DefaultParagraphFont"/>
    <w:uiPriority w:val="99"/>
    <w:unhideWhenUsed/>
    <w:rsid w:val="0059339D"/>
    <w:rPr>
      <w:color w:val="0000FF" w:themeColor="hyperlink"/>
      <w:u w:val="single"/>
    </w:rPr>
  </w:style>
  <w:style w:type="character" w:styleId="UnresolvedMention">
    <w:name w:val="Unresolved Mention"/>
    <w:basedOn w:val="DefaultParagraphFont"/>
    <w:uiPriority w:val="99"/>
    <w:semiHidden/>
    <w:unhideWhenUsed/>
    <w:rsid w:val="005A0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PH\pct_ctc_33_16.final.docx" TargetMode="External"/><Relationship Id="rId10" Type="http://schemas.openxmlformats.org/officeDocument/2006/relationships/hyperlink" Target="mailto:cristina.deguzman@ipophl.gov.p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9</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PCT/CTC/33/17</dc:title>
  <dc:creator>OLIVIÉ Karen</dc:creator>
  <cp:keywords>FOR OFFICIAL USE ONLY</cp:keywords>
  <dc:description>French</dc:description>
  <cp:lastModifiedBy>SAKR Sally</cp:lastModifiedBy>
  <cp:revision>2</cp:revision>
  <cp:lastPrinted>2011-05-19T12:37:00Z</cp:lastPrinted>
  <dcterms:created xsi:type="dcterms:W3CDTF">2026-01-08T14:53:00Z</dcterms:created>
  <dcterms:modified xsi:type="dcterms:W3CDTF">2026-01-08T14:53:00Z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2026-01-07T15:49:35Z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a536eaf2-cf0b-4cca-bab8-0c24ffc87f2b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