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D1" w14:textId="77777777" w:rsidR="008B2CC1" w:rsidRPr="00982D3E" w:rsidRDefault="0040540C" w:rsidP="00D15D07">
      <w:pPr>
        <w:pBdr>
          <w:bottom w:val="single" w:sz="4" w:space="10" w:color="auto"/>
        </w:pBdr>
        <w:spacing w:after="120"/>
        <w:jc w:val="right"/>
        <w:rPr>
          <w:lang w:val="fr-FR"/>
        </w:rPr>
      </w:pPr>
      <w:r w:rsidRPr="00982D3E">
        <w:rPr>
          <w:noProof/>
          <w:lang w:val="fr-FR" w:eastAsia="en-US"/>
        </w:rPr>
        <w:drawing>
          <wp:inline distT="0" distB="0" distL="0" distR="0" wp14:anchorId="1419BA2E" wp14:editId="3A083BD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E4A7AA9" w14:textId="2612BFB9" w:rsidR="00B1090C" w:rsidRPr="00982D3E" w:rsidRDefault="00EF529F" w:rsidP="00D15D07">
      <w:pPr>
        <w:jc w:val="right"/>
        <w:rPr>
          <w:rFonts w:ascii="Arial Black" w:hAnsi="Arial Black"/>
          <w:caps/>
          <w:sz w:val="15"/>
          <w:lang w:val="fr-FR"/>
        </w:rPr>
      </w:pPr>
      <w:r w:rsidRPr="00982D3E">
        <w:rPr>
          <w:rFonts w:ascii="Arial Black" w:hAnsi="Arial Black"/>
          <w:caps/>
          <w:sz w:val="15"/>
          <w:lang w:val="fr-FR"/>
        </w:rPr>
        <w:t>PCT/CTC/3</w:t>
      </w:r>
      <w:r w:rsidR="0068189D" w:rsidRPr="00982D3E">
        <w:rPr>
          <w:rFonts w:ascii="Arial Black" w:hAnsi="Arial Black"/>
          <w:caps/>
          <w:sz w:val="15"/>
          <w:lang w:val="fr-FR"/>
        </w:rPr>
        <w:t>3</w:t>
      </w:r>
      <w:r w:rsidRPr="00982D3E">
        <w:rPr>
          <w:rFonts w:ascii="Arial Black" w:hAnsi="Arial Black"/>
          <w:caps/>
          <w:sz w:val="15"/>
          <w:lang w:val="fr-FR"/>
        </w:rPr>
        <w:t>/</w:t>
      </w:r>
      <w:bookmarkStart w:id="0" w:name="Code"/>
      <w:bookmarkEnd w:id="0"/>
      <w:r w:rsidR="005D71D4" w:rsidRPr="00982D3E">
        <w:rPr>
          <w:rFonts w:ascii="Arial Black" w:hAnsi="Arial Black"/>
          <w:caps/>
          <w:sz w:val="15"/>
          <w:lang w:val="fr-FR"/>
        </w:rPr>
        <w:t>11</w:t>
      </w:r>
    </w:p>
    <w:p w14:paraId="7A506BF9" w14:textId="3A2124B0" w:rsidR="008B2CC1" w:rsidRPr="00982D3E" w:rsidRDefault="00B1090C" w:rsidP="00D15D07">
      <w:pPr>
        <w:jc w:val="right"/>
        <w:rPr>
          <w:rFonts w:ascii="Arial Black" w:hAnsi="Arial Black"/>
          <w:sz w:val="15"/>
          <w:szCs w:val="15"/>
          <w:lang w:val="fr-FR"/>
        </w:rPr>
      </w:pPr>
      <w:r w:rsidRPr="00982D3E">
        <w:rPr>
          <w:rFonts w:ascii="Arial Black" w:hAnsi="Arial Black"/>
          <w:caps/>
          <w:sz w:val="15"/>
          <w:szCs w:val="15"/>
          <w:lang w:val="fr-FR"/>
        </w:rPr>
        <w:t>ORIGINAL</w:t>
      </w:r>
      <w:r w:rsidR="00C15821" w:rsidRPr="00982D3E">
        <w:rPr>
          <w:rFonts w:ascii="Arial Black" w:hAnsi="Arial Black"/>
          <w:caps/>
          <w:sz w:val="15"/>
          <w:szCs w:val="15"/>
          <w:lang w:val="fr-FR"/>
        </w:rPr>
        <w:t> :</w:t>
      </w:r>
      <w:r w:rsidR="002956DE" w:rsidRPr="00982D3E">
        <w:rPr>
          <w:rFonts w:ascii="Arial Black" w:hAnsi="Arial Black"/>
          <w:caps/>
          <w:sz w:val="15"/>
          <w:szCs w:val="15"/>
          <w:lang w:val="fr-FR"/>
        </w:rPr>
        <w:t xml:space="preserve"> </w:t>
      </w:r>
      <w:bookmarkStart w:id="1" w:name="Original"/>
      <w:r w:rsidR="005D71D4" w:rsidRPr="00982D3E">
        <w:rPr>
          <w:rFonts w:ascii="Arial Black" w:hAnsi="Arial Black"/>
          <w:caps/>
          <w:sz w:val="15"/>
          <w:szCs w:val="15"/>
          <w:lang w:val="fr-FR"/>
        </w:rPr>
        <w:t>anglais/espagnol</w:t>
      </w:r>
    </w:p>
    <w:bookmarkEnd w:id="1"/>
    <w:p w14:paraId="7A4B33B4" w14:textId="40FB4E2A" w:rsidR="008B2CC1" w:rsidRPr="00982D3E" w:rsidRDefault="00B1090C" w:rsidP="00D15D07">
      <w:pPr>
        <w:spacing w:after="1200"/>
        <w:jc w:val="right"/>
        <w:rPr>
          <w:rFonts w:ascii="Arial Black" w:hAnsi="Arial Black"/>
          <w:sz w:val="15"/>
          <w:szCs w:val="15"/>
          <w:lang w:val="fr-FR"/>
        </w:rPr>
      </w:pPr>
      <w:r w:rsidRPr="00982D3E">
        <w:rPr>
          <w:rFonts w:ascii="Arial Black" w:hAnsi="Arial Black"/>
          <w:caps/>
          <w:sz w:val="15"/>
          <w:szCs w:val="15"/>
          <w:lang w:val="fr-FR"/>
        </w:rPr>
        <w:t>DATE</w:t>
      </w:r>
      <w:r w:rsidR="00C15821" w:rsidRPr="00982D3E">
        <w:rPr>
          <w:rFonts w:ascii="Arial Black" w:hAnsi="Arial Black"/>
          <w:caps/>
          <w:sz w:val="15"/>
          <w:szCs w:val="15"/>
          <w:lang w:val="fr-FR"/>
        </w:rPr>
        <w:t> :</w:t>
      </w:r>
      <w:r w:rsidR="002956DE" w:rsidRPr="00982D3E">
        <w:rPr>
          <w:rFonts w:ascii="Arial Black" w:hAnsi="Arial Black"/>
          <w:caps/>
          <w:sz w:val="15"/>
          <w:szCs w:val="15"/>
          <w:lang w:val="fr-FR"/>
        </w:rPr>
        <w:t xml:space="preserve"> </w:t>
      </w:r>
      <w:bookmarkStart w:id="2" w:name="Date"/>
      <w:r w:rsidR="005D71D4" w:rsidRPr="00982D3E">
        <w:rPr>
          <w:rFonts w:ascii="Arial Black" w:hAnsi="Arial Black"/>
          <w:caps/>
          <w:sz w:val="15"/>
          <w:szCs w:val="15"/>
          <w:lang w:val="fr-FR"/>
        </w:rPr>
        <w:t>19 décembre 2025</w:t>
      </w:r>
    </w:p>
    <w:bookmarkEnd w:id="2"/>
    <w:p w14:paraId="320B7129" w14:textId="33BA8DB4" w:rsidR="003845C1" w:rsidRPr="00982D3E" w:rsidRDefault="00EF529F" w:rsidP="00D15D07">
      <w:pPr>
        <w:pStyle w:val="Title"/>
        <w:rPr>
          <w:lang w:val="fr-FR"/>
        </w:rPr>
      </w:pPr>
      <w:r w:rsidRPr="00982D3E">
        <w:rPr>
          <w:lang w:val="fr-FR"/>
        </w:rPr>
        <w:t>Traité de coopération en matière de brevets (PCT)</w:t>
      </w:r>
      <w:r w:rsidRPr="00982D3E">
        <w:rPr>
          <w:lang w:val="fr-FR"/>
        </w:rPr>
        <w:br/>
        <w:t>Comité de coopération technique</w:t>
      </w:r>
    </w:p>
    <w:p w14:paraId="7C00F39A" w14:textId="30586E22" w:rsidR="00FE19E9" w:rsidRPr="00982D3E" w:rsidRDefault="00EF529F" w:rsidP="00D15D07">
      <w:pPr>
        <w:outlineLvl w:val="1"/>
        <w:rPr>
          <w:b/>
          <w:sz w:val="24"/>
          <w:szCs w:val="24"/>
          <w:lang w:val="fr-FR"/>
        </w:rPr>
      </w:pPr>
      <w:r w:rsidRPr="00982D3E">
        <w:rPr>
          <w:b/>
          <w:sz w:val="24"/>
          <w:szCs w:val="24"/>
          <w:lang w:val="fr-FR"/>
        </w:rPr>
        <w:t>Trente</w:t>
      </w:r>
      <w:r w:rsidR="000F0CBE">
        <w:rPr>
          <w:b/>
          <w:sz w:val="24"/>
          <w:szCs w:val="24"/>
          <w:lang w:val="fr-FR"/>
        </w:rPr>
        <w:noBreakHyphen/>
      </w:r>
      <w:r w:rsidR="0068189D" w:rsidRPr="00982D3E">
        <w:rPr>
          <w:b/>
          <w:sz w:val="24"/>
          <w:szCs w:val="24"/>
          <w:lang w:val="fr-FR"/>
        </w:rPr>
        <w:t>trois</w:t>
      </w:r>
      <w:r w:rsidR="00C15821" w:rsidRPr="00982D3E">
        <w:rPr>
          <w:b/>
          <w:sz w:val="24"/>
          <w:szCs w:val="24"/>
          <w:lang w:val="fr-FR"/>
        </w:rPr>
        <w:t>ième session</w:t>
      </w:r>
    </w:p>
    <w:p w14:paraId="4B8E669C" w14:textId="1512584C" w:rsidR="008B2CC1" w:rsidRPr="00982D3E" w:rsidRDefault="00EF529F" w:rsidP="00D15D07">
      <w:pPr>
        <w:spacing w:after="720"/>
        <w:outlineLvl w:val="1"/>
        <w:rPr>
          <w:b/>
          <w:sz w:val="24"/>
          <w:szCs w:val="24"/>
          <w:lang w:val="fr-FR"/>
        </w:rPr>
      </w:pPr>
      <w:r w:rsidRPr="00982D3E">
        <w:rPr>
          <w:b/>
          <w:sz w:val="24"/>
          <w:szCs w:val="24"/>
          <w:lang w:val="fr-FR"/>
        </w:rPr>
        <w:t xml:space="preserve">Genève, </w:t>
      </w:r>
      <w:r w:rsidR="0068189D" w:rsidRPr="00982D3E">
        <w:rPr>
          <w:b/>
          <w:sz w:val="24"/>
          <w:szCs w:val="24"/>
          <w:lang w:val="fr-FR"/>
        </w:rPr>
        <w:t>2</w:t>
      </w:r>
      <w:r w:rsidRPr="00982D3E">
        <w:rPr>
          <w:b/>
          <w:sz w:val="24"/>
          <w:szCs w:val="24"/>
          <w:lang w:val="fr-FR"/>
        </w:rPr>
        <w:t xml:space="preserve"> – </w:t>
      </w:r>
      <w:r w:rsidR="00C15821" w:rsidRPr="00982D3E">
        <w:rPr>
          <w:b/>
          <w:sz w:val="24"/>
          <w:szCs w:val="24"/>
          <w:lang w:val="fr-FR"/>
        </w:rPr>
        <w:t>6 février</w:t>
      </w:r>
      <w:r w:rsidR="0068189D" w:rsidRPr="00982D3E">
        <w:rPr>
          <w:b/>
          <w:sz w:val="24"/>
          <w:szCs w:val="24"/>
          <w:lang w:val="fr-FR"/>
        </w:rPr>
        <w:t> </w:t>
      </w:r>
      <w:r w:rsidRPr="00982D3E">
        <w:rPr>
          <w:b/>
          <w:sz w:val="24"/>
          <w:szCs w:val="24"/>
          <w:lang w:val="fr-FR"/>
        </w:rPr>
        <w:t>202</w:t>
      </w:r>
      <w:r w:rsidR="0068189D" w:rsidRPr="00982D3E">
        <w:rPr>
          <w:b/>
          <w:sz w:val="24"/>
          <w:szCs w:val="24"/>
          <w:lang w:val="fr-FR"/>
        </w:rPr>
        <w:t>6</w:t>
      </w:r>
    </w:p>
    <w:p w14:paraId="522DCCEF" w14:textId="2F723496" w:rsidR="005D71D4" w:rsidRPr="00982D3E" w:rsidRDefault="00026BC4" w:rsidP="00D15D07">
      <w:pPr>
        <w:spacing w:after="360"/>
        <w:rPr>
          <w:caps/>
          <w:sz w:val="24"/>
          <w:lang w:val="fr-FR"/>
        </w:rPr>
      </w:pPr>
      <w:bookmarkStart w:id="3" w:name="TitleOfDoc"/>
      <w:r w:rsidRPr="00982D3E">
        <w:rPr>
          <w:caps/>
          <w:sz w:val="24"/>
          <w:lang w:val="fr-FR"/>
        </w:rPr>
        <w:t>Prolongation de la nomination de l</w:t>
      </w:r>
      <w:r w:rsidR="00C15821" w:rsidRPr="00982D3E">
        <w:rPr>
          <w:caps/>
          <w:sz w:val="24"/>
          <w:lang w:val="fr-FR"/>
        </w:rPr>
        <w:t>’</w:t>
      </w:r>
      <w:r w:rsidRPr="00982D3E">
        <w:rPr>
          <w:caps/>
          <w:sz w:val="24"/>
          <w:lang w:val="fr-FR"/>
        </w:rPr>
        <w:t>Office espagnol des brevets et des marques en qualité d</w:t>
      </w:r>
      <w:r w:rsidR="00C15821" w:rsidRPr="00982D3E">
        <w:rPr>
          <w:caps/>
          <w:sz w:val="24"/>
          <w:lang w:val="fr-FR"/>
        </w:rPr>
        <w:t>’</w:t>
      </w:r>
      <w:r w:rsidRPr="00982D3E">
        <w:rPr>
          <w:caps/>
          <w:sz w:val="24"/>
          <w:lang w:val="fr-FR"/>
        </w:rPr>
        <w:t>administration chargée de la recherche internationale et de l</w:t>
      </w:r>
      <w:r w:rsidR="00C15821" w:rsidRPr="00982D3E">
        <w:rPr>
          <w:caps/>
          <w:sz w:val="24"/>
          <w:lang w:val="fr-FR"/>
        </w:rPr>
        <w:t>’</w:t>
      </w:r>
      <w:r w:rsidRPr="00982D3E">
        <w:rPr>
          <w:caps/>
          <w:sz w:val="24"/>
          <w:lang w:val="fr-FR"/>
        </w:rPr>
        <w:t>examen préliminaire international selon le PCT</w:t>
      </w:r>
    </w:p>
    <w:p w14:paraId="41F6F305" w14:textId="4C699B60" w:rsidR="005D71D4" w:rsidRPr="00982D3E" w:rsidRDefault="005D71D4" w:rsidP="00D15D07">
      <w:pPr>
        <w:spacing w:after="1040"/>
        <w:rPr>
          <w:i/>
          <w:color w:val="000000" w:themeColor="text1"/>
          <w:lang w:val="fr-FR"/>
        </w:rPr>
      </w:pPr>
      <w:bookmarkStart w:id="4" w:name="Prepared"/>
      <w:bookmarkEnd w:id="3"/>
      <w:bookmarkEnd w:id="4"/>
      <w:r w:rsidRPr="00982D3E">
        <w:rPr>
          <w:i/>
          <w:color w:val="000000" w:themeColor="text1"/>
          <w:lang w:val="fr-FR"/>
        </w:rPr>
        <w:t>Document établi par le Bureau international</w:t>
      </w:r>
    </w:p>
    <w:p w14:paraId="39D5E3E1" w14:textId="721B2D41" w:rsidR="005D71D4" w:rsidRPr="00982D3E" w:rsidRDefault="005D71D4" w:rsidP="00D15D07">
      <w:pPr>
        <w:pStyle w:val="ONUMFS"/>
        <w:rPr>
          <w:lang w:val="fr-FR"/>
        </w:rPr>
      </w:pPr>
      <w:r w:rsidRPr="00982D3E">
        <w:rPr>
          <w:lang w:val="fr-FR"/>
        </w:rPr>
        <w:t>Toutes les administrations internationales existantes ont été nommées par l</w:t>
      </w:r>
      <w:r w:rsidR="00C15821" w:rsidRPr="00982D3E">
        <w:rPr>
          <w:lang w:val="fr-FR"/>
        </w:rPr>
        <w:t>’</w:t>
      </w:r>
      <w:r w:rsidRPr="00982D3E">
        <w:rPr>
          <w:lang w:val="fr-FR"/>
        </w:rPr>
        <w:t>Assemblée de l</w:t>
      </w:r>
      <w:r w:rsidR="00C15821" w:rsidRPr="00982D3E">
        <w:rPr>
          <w:lang w:val="fr-FR"/>
        </w:rPr>
        <w:t>’</w:t>
      </w:r>
      <w:r w:rsidRPr="00982D3E">
        <w:rPr>
          <w:lang w:val="fr-FR"/>
        </w:rPr>
        <w:t>Union</w:t>
      </w:r>
      <w:r w:rsidR="00C15821" w:rsidRPr="00982D3E">
        <w:rPr>
          <w:lang w:val="fr-FR"/>
        </w:rPr>
        <w:t xml:space="preserve"> du PCT</w:t>
      </w:r>
      <w:r w:rsidRPr="00982D3E">
        <w:rPr>
          <w:lang w:val="fr-FR"/>
        </w:rPr>
        <w:t xml:space="preserve"> pour une période s</w:t>
      </w:r>
      <w:r w:rsidR="00C15821" w:rsidRPr="00982D3E">
        <w:rPr>
          <w:lang w:val="fr-FR"/>
        </w:rPr>
        <w:t>’</w:t>
      </w:r>
      <w:r w:rsidRPr="00982D3E">
        <w:rPr>
          <w:lang w:val="fr-FR"/>
        </w:rPr>
        <w:t>achevant le 31 </w:t>
      </w:r>
      <w:r w:rsidR="00C15821" w:rsidRPr="00982D3E">
        <w:rPr>
          <w:lang w:val="fr-FR"/>
        </w:rPr>
        <w:t>décembre 20</w:t>
      </w:r>
      <w:r w:rsidRPr="00982D3E">
        <w:rPr>
          <w:lang w:val="fr-FR"/>
        </w:rPr>
        <w:t xml:space="preserve">27. </w:t>
      </w:r>
      <w:r w:rsidR="004319B8" w:rsidRPr="00982D3E">
        <w:rPr>
          <w:lang w:val="fr-FR"/>
        </w:rPr>
        <w:t xml:space="preserve"> </w:t>
      </w:r>
      <w:r w:rsidRPr="00982D3E">
        <w:rPr>
          <w:lang w:val="fr-FR"/>
        </w:rPr>
        <w:t>Avant l</w:t>
      </w:r>
      <w:r w:rsidR="00C15821" w:rsidRPr="00982D3E">
        <w:rPr>
          <w:lang w:val="fr-FR"/>
        </w:rPr>
        <w:t>’</w:t>
      </w:r>
      <w:r w:rsidRPr="00982D3E">
        <w:rPr>
          <w:lang w:val="fr-FR"/>
        </w:rPr>
        <w:t>expiration de ce délai, l</w:t>
      </w:r>
      <w:r w:rsidR="00C15821" w:rsidRPr="00982D3E">
        <w:rPr>
          <w:lang w:val="fr-FR"/>
        </w:rPr>
        <w:t>’</w:t>
      </w:r>
      <w:r w:rsidRPr="00982D3E">
        <w:rPr>
          <w:lang w:val="fr-FR"/>
        </w:rPr>
        <w:t>assemblée devra se prononcer sur la prolongation de la nomination de chaque administration internationale existante qui souhaite demander une telle prolongation, après avoir sollicité l</w:t>
      </w:r>
      <w:r w:rsidR="00C15821" w:rsidRPr="00982D3E">
        <w:rPr>
          <w:lang w:val="fr-FR"/>
        </w:rPr>
        <w:t>’</w:t>
      </w:r>
      <w:r w:rsidRPr="00982D3E">
        <w:rPr>
          <w:lang w:val="fr-FR"/>
        </w:rPr>
        <w:t>avis du comité (voir les articles 16.3.e) et 32.3)</w:t>
      </w:r>
      <w:r w:rsidR="00C15821" w:rsidRPr="00982D3E">
        <w:rPr>
          <w:lang w:val="fr-FR"/>
        </w:rPr>
        <w:t xml:space="preserve"> du PCT</w:t>
      </w:r>
      <w:r w:rsidRPr="00982D3E">
        <w:rPr>
          <w:lang w:val="fr-FR"/>
        </w:rPr>
        <w:t xml:space="preserve">). </w:t>
      </w:r>
      <w:r w:rsidR="004319B8" w:rsidRPr="00982D3E">
        <w:rPr>
          <w:lang w:val="fr-FR"/>
        </w:rPr>
        <w:t xml:space="preserve"> </w:t>
      </w:r>
      <w:r w:rsidRPr="00982D3E">
        <w:rPr>
          <w:lang w:val="fr-FR"/>
        </w:rPr>
        <w:t>Les informations relatives à cette procédure ainsi qu</w:t>
      </w:r>
      <w:r w:rsidR="00C15821" w:rsidRPr="00982D3E">
        <w:rPr>
          <w:lang w:val="fr-FR"/>
        </w:rPr>
        <w:t>’</w:t>
      </w:r>
      <w:r w:rsidRPr="00982D3E">
        <w:rPr>
          <w:lang w:val="fr-FR"/>
        </w:rPr>
        <w:t>au rôle du comité figurent dans le document</w:t>
      </w:r>
      <w:r w:rsidR="00982D3E">
        <w:rPr>
          <w:lang w:val="fr-FR"/>
        </w:rPr>
        <w:t> </w:t>
      </w:r>
      <w:r w:rsidRPr="00982D3E">
        <w:rPr>
          <w:lang w:val="fr-FR"/>
        </w:rPr>
        <w:t>PCT/CTC/33/INF/1.</w:t>
      </w:r>
    </w:p>
    <w:p w14:paraId="5D93F924" w14:textId="427F666C" w:rsidR="005D71D4" w:rsidRPr="00982D3E" w:rsidRDefault="005D71D4" w:rsidP="00D15D07">
      <w:pPr>
        <w:pStyle w:val="ONUMFS"/>
        <w:rPr>
          <w:lang w:val="fr-FR"/>
        </w:rPr>
      </w:pPr>
      <w:r w:rsidRPr="00982D3E">
        <w:rPr>
          <w:lang w:val="fr-FR"/>
        </w:rPr>
        <w:t>Le 18 novembre 2025, l</w:t>
      </w:r>
      <w:r w:rsidR="00C15821" w:rsidRPr="00982D3E">
        <w:rPr>
          <w:lang w:val="fr-FR"/>
        </w:rPr>
        <w:t>’</w:t>
      </w:r>
      <w:r w:rsidRPr="00982D3E">
        <w:rPr>
          <w:lang w:val="fr-FR"/>
        </w:rPr>
        <w:t>Office espagnol des brevets et des marques a présenté une demande de prolongation de sa nomination, qui est reproduite à l</w:t>
      </w:r>
      <w:r w:rsidR="00C15821" w:rsidRPr="00982D3E">
        <w:rPr>
          <w:lang w:val="fr-FR"/>
        </w:rPr>
        <w:t>’</w:t>
      </w:r>
      <w:r w:rsidRPr="00982D3E">
        <w:rPr>
          <w:lang w:val="fr-FR"/>
        </w:rPr>
        <w:t>annexe du présent document.</w:t>
      </w:r>
    </w:p>
    <w:p w14:paraId="10C9C215" w14:textId="77777777" w:rsidR="005D71D4" w:rsidRPr="00982D3E" w:rsidRDefault="005D71D4" w:rsidP="00D15D07">
      <w:pPr>
        <w:pStyle w:val="ONUMFS"/>
        <w:ind w:left="5533"/>
        <w:rPr>
          <w:i/>
          <w:lang w:val="fr-FR"/>
        </w:rPr>
      </w:pPr>
      <w:r w:rsidRPr="00982D3E">
        <w:rPr>
          <w:i/>
          <w:lang w:val="fr-FR"/>
        </w:rPr>
        <w:t>Le comité est invité à faire part de son avis sur cette question.</w:t>
      </w:r>
    </w:p>
    <w:p w14:paraId="2727579A" w14:textId="1FC3228C" w:rsidR="005D71D4" w:rsidRPr="00982D3E" w:rsidRDefault="005D71D4" w:rsidP="00D15D07">
      <w:pPr>
        <w:pStyle w:val="Endofdocument-Annex"/>
        <w:sectPr w:rsidR="005D71D4" w:rsidRPr="00982D3E" w:rsidSect="00D15D07">
          <w:headerReference w:type="default" r:id="rId9"/>
          <w:endnotePr>
            <w:numFmt w:val="decimal"/>
          </w:endnotePr>
          <w:pgSz w:w="11907" w:h="16840" w:code="9"/>
          <w:pgMar w:top="567" w:right="1134" w:bottom="1418" w:left="1418" w:header="510" w:footer="1021" w:gutter="0"/>
          <w:cols w:space="720"/>
          <w:titlePg/>
          <w:docGrid w:linePitch="299"/>
        </w:sectPr>
      </w:pPr>
      <w:r w:rsidRPr="00982D3E">
        <w:t>[L</w:t>
      </w:r>
      <w:r w:rsidR="00C15821" w:rsidRPr="00982D3E">
        <w:t>’</w:t>
      </w:r>
      <w:r w:rsidRPr="00982D3E">
        <w:t>annexe suit]</w:t>
      </w:r>
    </w:p>
    <w:p w14:paraId="2B587CB9" w14:textId="21E2F408" w:rsidR="005D71D4" w:rsidRPr="00982D3E" w:rsidRDefault="005D71D4" w:rsidP="00D15D07">
      <w:pPr>
        <w:pStyle w:val="Heading2"/>
        <w:jc w:val="center"/>
        <w:rPr>
          <w:color w:val="000000" w:themeColor="text1"/>
          <w:lang w:val="fr-FR"/>
        </w:rPr>
      </w:pPr>
      <w:r w:rsidRPr="00982D3E">
        <w:rPr>
          <w:color w:val="000000" w:themeColor="text1"/>
          <w:lang w:val="fr-FR"/>
        </w:rPr>
        <w:lastRenderedPageBreak/>
        <w:t>Demande de prolongation de la nomination en qualité d</w:t>
      </w:r>
      <w:r w:rsidR="00C15821" w:rsidRPr="00982D3E">
        <w:rPr>
          <w:color w:val="000000" w:themeColor="text1"/>
          <w:lang w:val="fr-FR"/>
        </w:rPr>
        <w:t>’</w:t>
      </w:r>
      <w:r w:rsidRPr="00982D3E">
        <w:rPr>
          <w:color w:val="000000" w:themeColor="text1"/>
          <w:lang w:val="fr-FR"/>
        </w:rPr>
        <w:t>administration chargée de la recherche internationale et de l</w:t>
      </w:r>
      <w:r w:rsidR="00C15821" w:rsidRPr="00982D3E">
        <w:rPr>
          <w:color w:val="000000" w:themeColor="text1"/>
          <w:lang w:val="fr-FR"/>
        </w:rPr>
        <w:t>’</w:t>
      </w:r>
      <w:r w:rsidRPr="00982D3E">
        <w:rPr>
          <w:color w:val="000000" w:themeColor="text1"/>
          <w:lang w:val="fr-FR"/>
        </w:rPr>
        <w:t>examen préliminaire international selon</w:t>
      </w:r>
      <w:r w:rsidR="00C15821" w:rsidRPr="00982D3E">
        <w:rPr>
          <w:color w:val="000000" w:themeColor="text1"/>
          <w:lang w:val="fr-FR"/>
        </w:rPr>
        <w:t xml:space="preserve"> le PCT</w:t>
      </w:r>
    </w:p>
    <w:p w14:paraId="7CB58D82" w14:textId="3B6871F5" w:rsidR="005D71D4" w:rsidRPr="00982D3E" w:rsidRDefault="005D71D4" w:rsidP="00D15D07">
      <w:pPr>
        <w:pStyle w:val="SectionHeading"/>
        <w:rPr>
          <w:color w:val="000000" w:themeColor="text1"/>
          <w:lang w:val="fr-FR"/>
        </w:rPr>
      </w:pPr>
      <w:r w:rsidRPr="00982D3E">
        <w:rPr>
          <w:color w:val="000000" w:themeColor="text1"/>
          <w:lang w:val="fr-FR"/>
        </w:rPr>
        <w:t>1</w:t>
      </w:r>
      <w:r w:rsidR="00704A3D" w:rsidRPr="00982D3E">
        <w:rPr>
          <w:color w:val="000000" w:themeColor="text1"/>
          <w:lang w:val="fr-FR"/>
        </w:rPr>
        <w:t xml:space="preserve"> –</w:t>
      </w:r>
      <w:r w:rsidRPr="00982D3E">
        <w:rPr>
          <w:color w:val="000000" w:themeColor="text1"/>
          <w:lang w:val="fr-FR"/>
        </w:rPr>
        <w:t xml:space="preserve"> Généralités</w:t>
      </w:r>
    </w:p>
    <w:p w14:paraId="5C02BF4B" w14:textId="67C6605A" w:rsidR="005D71D4" w:rsidRPr="00982D3E" w:rsidRDefault="005D71D4" w:rsidP="00D15D07">
      <w:pPr>
        <w:pStyle w:val="Question"/>
        <w:spacing w:after="480"/>
        <w:rPr>
          <w:color w:val="000000" w:themeColor="text1"/>
        </w:rPr>
      </w:pPr>
      <w:r w:rsidRPr="00982D3E">
        <w:rPr>
          <w:color w:val="000000" w:themeColor="text1"/>
        </w:rPr>
        <w:t>a)</w:t>
      </w:r>
      <w:r w:rsidRPr="00982D3E">
        <w:rPr>
          <w:color w:val="000000" w:themeColor="text1"/>
        </w:rPr>
        <w:tab/>
        <w:t>Nom de l</w:t>
      </w:r>
      <w:r w:rsidR="00C15821" w:rsidRPr="00982D3E">
        <w:rPr>
          <w:color w:val="000000" w:themeColor="text1"/>
        </w:rPr>
        <w:t>’</w:t>
      </w:r>
      <w:r w:rsidRPr="00982D3E">
        <w:rPr>
          <w:color w:val="000000" w:themeColor="text1"/>
        </w:rPr>
        <w:t>office ou de l</w:t>
      </w:r>
      <w:r w:rsidR="00C15821" w:rsidRPr="00982D3E">
        <w:rPr>
          <w:color w:val="000000" w:themeColor="text1"/>
        </w:rPr>
        <w:t>’</w:t>
      </w:r>
      <w:r w:rsidRPr="00982D3E">
        <w:rPr>
          <w:color w:val="000000" w:themeColor="text1"/>
        </w:rPr>
        <w:t>organisation intergouvernementale</w:t>
      </w:r>
      <w:r w:rsidR="00C15821" w:rsidRPr="00982D3E">
        <w:rPr>
          <w:color w:val="000000" w:themeColor="text1"/>
        </w:rPr>
        <w:t> :</w:t>
      </w:r>
    </w:p>
    <w:p w14:paraId="70717EE1" w14:textId="77777777" w:rsidR="005D71D4" w:rsidRPr="00982D3E" w:rsidRDefault="005D71D4" w:rsidP="00D15D07">
      <w:pPr>
        <w:jc w:val="both"/>
        <w:rPr>
          <w:color w:val="000000" w:themeColor="text1"/>
          <w:szCs w:val="22"/>
          <w:lang w:val="fr-FR"/>
        </w:rPr>
      </w:pPr>
      <w:r w:rsidRPr="00982D3E">
        <w:rPr>
          <w:color w:val="000000" w:themeColor="text1"/>
          <w:lang w:val="fr-FR"/>
        </w:rPr>
        <w:t>Office espagnol des brevets et des marques (OEPM)</w:t>
      </w:r>
    </w:p>
    <w:p w14:paraId="4D1D6763" w14:textId="77777777" w:rsidR="005D71D4" w:rsidRPr="00982D3E" w:rsidRDefault="005D71D4" w:rsidP="00D15D07">
      <w:pPr>
        <w:jc w:val="both"/>
        <w:rPr>
          <w:color w:val="000000" w:themeColor="text1"/>
          <w:szCs w:val="22"/>
          <w:lang w:val="fr-FR"/>
        </w:rPr>
      </w:pPr>
    </w:p>
    <w:p w14:paraId="7C141F4C" w14:textId="4CB857AE" w:rsidR="005D71D4" w:rsidRPr="00982D3E" w:rsidRDefault="005D71D4" w:rsidP="00D15D07">
      <w:pPr>
        <w:pStyle w:val="Question"/>
        <w:spacing w:after="480"/>
        <w:rPr>
          <w:color w:val="000000" w:themeColor="text1"/>
        </w:rPr>
      </w:pPr>
      <w:r w:rsidRPr="00982D3E">
        <w:rPr>
          <w:color w:val="000000" w:themeColor="text1"/>
        </w:rPr>
        <w:t>b)</w:t>
      </w:r>
      <w:r w:rsidRPr="00982D3E">
        <w:rPr>
          <w:color w:val="000000" w:themeColor="text1"/>
        </w:rPr>
        <w:tab/>
        <w:t>Nom et coordonnées du fonctionnaire pour toute question relative à la présente demande</w:t>
      </w:r>
      <w:r w:rsidR="00C15821" w:rsidRPr="00982D3E">
        <w:rPr>
          <w:color w:val="000000" w:themeColor="text1"/>
        </w:rPr>
        <w:t> :</w:t>
      </w:r>
    </w:p>
    <w:p w14:paraId="15A986DA" w14:textId="0569E8C1" w:rsidR="00C15821" w:rsidRPr="00982D3E" w:rsidRDefault="005D71D4" w:rsidP="00D15D07">
      <w:pPr>
        <w:jc w:val="both"/>
        <w:rPr>
          <w:color w:val="000000" w:themeColor="text1"/>
          <w:lang w:val="fr-FR"/>
        </w:rPr>
      </w:pPr>
      <w:r w:rsidRPr="00982D3E">
        <w:rPr>
          <w:color w:val="000000" w:themeColor="text1"/>
          <w:lang w:val="fr-FR"/>
        </w:rPr>
        <w:t>Raquel Sampedro, directrice adjointe du Département des brevets et de l</w:t>
      </w:r>
      <w:r w:rsidR="00C15821" w:rsidRPr="00982D3E">
        <w:rPr>
          <w:color w:val="000000" w:themeColor="text1"/>
          <w:lang w:val="fr-FR"/>
        </w:rPr>
        <w:t>’</w:t>
      </w:r>
      <w:r w:rsidRPr="00982D3E">
        <w:rPr>
          <w:color w:val="000000" w:themeColor="text1"/>
          <w:lang w:val="fr-FR"/>
        </w:rPr>
        <w:t xml:space="preserve">information technologique, </w:t>
      </w:r>
      <w:hyperlink r:id="rId10" w:history="1">
        <w:r w:rsidRPr="00982D3E">
          <w:rPr>
            <w:rStyle w:val="Hyperlink"/>
            <w:lang w:val="fr-FR"/>
          </w:rPr>
          <w:t>raquel.sampedro@oepm.es</w:t>
        </w:r>
      </w:hyperlink>
    </w:p>
    <w:p w14:paraId="779A8034" w14:textId="7235D140" w:rsidR="005D71D4" w:rsidRPr="00982D3E" w:rsidRDefault="005D71D4" w:rsidP="00D15D07">
      <w:pPr>
        <w:jc w:val="both"/>
        <w:rPr>
          <w:color w:val="000000" w:themeColor="text1"/>
          <w:szCs w:val="22"/>
          <w:lang w:val="fr-FR"/>
        </w:rPr>
      </w:pPr>
    </w:p>
    <w:p w14:paraId="7D353D87" w14:textId="7B8F20F4" w:rsidR="005D71D4" w:rsidRPr="00982D3E" w:rsidRDefault="005D71D4" w:rsidP="00D15D07">
      <w:pPr>
        <w:pStyle w:val="Question"/>
        <w:rPr>
          <w:color w:val="000000" w:themeColor="text1"/>
        </w:rPr>
      </w:pPr>
      <w:r w:rsidRPr="00982D3E">
        <w:rPr>
          <w:color w:val="000000" w:themeColor="text1"/>
        </w:rPr>
        <w:t>c)</w:t>
      </w:r>
      <w:r w:rsidRPr="00982D3E">
        <w:rPr>
          <w:color w:val="000000" w:themeColor="text1"/>
        </w:rPr>
        <w:tab/>
        <w:t>Date à laquelle le Directeur général a reçu la demande de prolongation de la nomination</w:t>
      </w:r>
      <w:r w:rsidR="00C15821" w:rsidRPr="00982D3E">
        <w:rPr>
          <w:color w:val="000000" w:themeColor="text1"/>
        </w:rPr>
        <w:t> :</w:t>
      </w:r>
    </w:p>
    <w:p w14:paraId="7E8660F2" w14:textId="2BA42411" w:rsidR="005D71D4" w:rsidRPr="00982D3E" w:rsidRDefault="005D71D4" w:rsidP="00D15D07">
      <w:pPr>
        <w:pStyle w:val="Answer"/>
        <w:rPr>
          <w:i/>
          <w:color w:val="000000" w:themeColor="text1"/>
        </w:rPr>
      </w:pPr>
      <w:bookmarkStart w:id="5" w:name="_Hlk215086565"/>
      <w:r w:rsidRPr="00982D3E">
        <w:rPr>
          <w:color w:val="000000" w:themeColor="text1"/>
        </w:rPr>
        <w:t>18 novembre 2025</w:t>
      </w:r>
      <w:bookmarkEnd w:id="5"/>
    </w:p>
    <w:p w14:paraId="04421C54" w14:textId="4D8AA7CD" w:rsidR="005D71D4" w:rsidRPr="00982D3E" w:rsidRDefault="005D71D4" w:rsidP="00D15D07">
      <w:pPr>
        <w:pStyle w:val="SectionHeading"/>
        <w:rPr>
          <w:color w:val="000000" w:themeColor="text1"/>
          <w:lang w:val="fr-FR"/>
        </w:rPr>
      </w:pPr>
      <w:r w:rsidRPr="00982D3E">
        <w:rPr>
          <w:color w:val="000000" w:themeColor="text1"/>
          <w:lang w:val="fr-FR"/>
        </w:rPr>
        <w:t>2</w:t>
      </w:r>
      <w:r w:rsidR="00704A3D" w:rsidRPr="00982D3E">
        <w:rPr>
          <w:color w:val="000000" w:themeColor="text1"/>
          <w:lang w:val="fr-FR"/>
        </w:rPr>
        <w:t xml:space="preserve"> –</w:t>
      </w:r>
      <w:r w:rsidRPr="00982D3E">
        <w:rPr>
          <w:color w:val="000000" w:themeColor="text1"/>
          <w:lang w:val="fr-FR"/>
        </w:rPr>
        <w:t xml:space="preserve"> Exigences minimales applicables à la nomination</w:t>
      </w:r>
    </w:p>
    <w:p w14:paraId="77457218" w14:textId="31C3B8B3" w:rsidR="005D71D4" w:rsidRPr="00982D3E" w:rsidRDefault="005D71D4" w:rsidP="00D15D07">
      <w:pPr>
        <w:rPr>
          <w:color w:val="000000" w:themeColor="text1"/>
          <w:lang w:val="fr-FR"/>
        </w:rPr>
      </w:pPr>
      <w:r w:rsidRPr="00982D3E">
        <w:rPr>
          <w:lang w:val="fr-FR"/>
        </w:rPr>
        <w:t>Outre le rapport annuel sur le système de gestion de la qualité de l</w:t>
      </w:r>
      <w:r w:rsidR="00C15821" w:rsidRPr="00982D3E">
        <w:rPr>
          <w:lang w:val="fr-FR"/>
        </w:rPr>
        <w:t>’</w:t>
      </w:r>
      <w:r w:rsidRPr="00982D3E">
        <w:rPr>
          <w:lang w:val="fr-FR"/>
        </w:rPr>
        <w:t>office ou de l</w:t>
      </w:r>
      <w:r w:rsidR="00C15821" w:rsidRPr="00982D3E">
        <w:rPr>
          <w:lang w:val="fr-FR"/>
        </w:rPr>
        <w:t>’</w:t>
      </w:r>
      <w:r w:rsidRPr="00982D3E">
        <w:rPr>
          <w:lang w:val="fr-FR"/>
        </w:rPr>
        <w:t xml:space="preserve">organisation </w:t>
      </w:r>
      <w:r w:rsidR="00C15821" w:rsidRPr="00982D3E">
        <w:rPr>
          <w:lang w:val="fr-FR"/>
        </w:rPr>
        <w:t>pour 2025</w:t>
      </w:r>
      <w:r w:rsidRPr="00982D3E">
        <w:rPr>
          <w:lang w:val="fr-FR"/>
        </w:rPr>
        <w:t xml:space="preserve"> (</w:t>
      </w:r>
      <w:r w:rsidRPr="00982D3E">
        <w:rPr>
          <w:rStyle w:val="Hyperlink"/>
          <w:lang w:val="fr-FR"/>
        </w:rPr>
        <w:t>https://www.wipo.int/en/web/pct</w:t>
      </w:r>
      <w:r w:rsidR="000F0CBE">
        <w:rPr>
          <w:rStyle w:val="Hyperlink"/>
          <w:lang w:val="fr-FR"/>
        </w:rPr>
        <w:noBreakHyphen/>
      </w:r>
      <w:r w:rsidRPr="00982D3E">
        <w:rPr>
          <w:rStyle w:val="Hyperlink"/>
          <w:lang w:val="fr-FR"/>
        </w:rPr>
        <w:t>system/</w:t>
      </w:r>
      <w:proofErr w:type="spellStart"/>
      <w:r w:rsidRPr="00982D3E">
        <w:rPr>
          <w:rStyle w:val="Hyperlink"/>
          <w:lang w:val="fr-FR"/>
        </w:rPr>
        <w:t>quality</w:t>
      </w:r>
      <w:proofErr w:type="spellEnd"/>
      <w:r w:rsidRPr="00982D3E">
        <w:rPr>
          <w:rStyle w:val="Hyperlink"/>
          <w:lang w:val="fr-FR"/>
        </w:rPr>
        <w:t>/</w:t>
      </w:r>
      <w:proofErr w:type="spellStart"/>
      <w:r w:rsidRPr="00982D3E">
        <w:rPr>
          <w:rStyle w:val="Hyperlink"/>
          <w:lang w:val="fr-FR"/>
        </w:rPr>
        <w:t>authorities#ES</w:t>
      </w:r>
      <w:proofErr w:type="spellEnd"/>
      <w:r w:rsidRPr="00982D3E">
        <w:rPr>
          <w:lang w:val="fr-FR"/>
        </w:rPr>
        <w:t>) établi conformément aux paragraphes 21.31 et 21.32 des directives relatives à la recherche internationale et à l</w:t>
      </w:r>
      <w:r w:rsidR="00C15821" w:rsidRPr="00982D3E">
        <w:rPr>
          <w:lang w:val="fr-FR"/>
        </w:rPr>
        <w:t>’</w:t>
      </w:r>
      <w:r w:rsidRPr="00982D3E">
        <w:rPr>
          <w:lang w:val="fr-FR"/>
        </w:rPr>
        <w:t>examen préliminaire international (ci</w:t>
      </w:r>
      <w:r w:rsidR="000F0CBE">
        <w:rPr>
          <w:lang w:val="fr-FR"/>
        </w:rPr>
        <w:noBreakHyphen/>
      </w:r>
      <w:r w:rsidRPr="00982D3E">
        <w:rPr>
          <w:lang w:val="fr-FR"/>
        </w:rPr>
        <w:t>après dénommées “directives”), l</w:t>
      </w:r>
      <w:r w:rsidR="00C15821" w:rsidRPr="00982D3E">
        <w:rPr>
          <w:lang w:val="fr-FR"/>
        </w:rPr>
        <w:t>’</w:t>
      </w:r>
      <w:r w:rsidRPr="00982D3E">
        <w:rPr>
          <w:lang w:val="fr-FR"/>
        </w:rPr>
        <w:t>administration fournit les informations ci</w:t>
      </w:r>
      <w:r w:rsidR="000F0CBE">
        <w:rPr>
          <w:lang w:val="fr-FR"/>
        </w:rPr>
        <w:noBreakHyphen/>
      </w:r>
      <w:r w:rsidRPr="00982D3E">
        <w:rPr>
          <w:lang w:val="fr-FR"/>
        </w:rPr>
        <w:t>après.</w:t>
      </w:r>
    </w:p>
    <w:p w14:paraId="3E36E9AC" w14:textId="77777777" w:rsidR="005D71D4" w:rsidRPr="00982D3E" w:rsidRDefault="005D71D4" w:rsidP="00D15D07">
      <w:pPr>
        <w:rPr>
          <w:color w:val="000000" w:themeColor="text1"/>
          <w:lang w:val="fr-FR"/>
        </w:rPr>
      </w:pPr>
    </w:p>
    <w:p w14:paraId="5E134C53" w14:textId="4EB762F8" w:rsidR="00C15821" w:rsidRPr="00982D3E" w:rsidRDefault="005D71D4" w:rsidP="00D15D07">
      <w:pPr>
        <w:ind w:right="73"/>
        <w:jc w:val="both"/>
        <w:rPr>
          <w:color w:val="000000" w:themeColor="text1"/>
          <w:lang w:val="fr-FR"/>
        </w:rPr>
      </w:pPr>
      <w:r w:rsidRPr="00982D3E">
        <w:rPr>
          <w:color w:val="000000" w:themeColor="text1"/>
          <w:lang w:val="fr-FR"/>
        </w:rPr>
        <w:t>Depuis que l</w:t>
      </w:r>
      <w:r w:rsidR="00C15821" w:rsidRPr="00982D3E">
        <w:rPr>
          <w:color w:val="000000" w:themeColor="text1"/>
          <w:lang w:val="fr-FR"/>
        </w:rPr>
        <w:t>’</w:t>
      </w:r>
      <w:r w:rsidRPr="00982D3E">
        <w:rPr>
          <w:color w:val="000000" w:themeColor="text1"/>
          <w:lang w:val="fr-FR"/>
        </w:rPr>
        <w:t>OEPM a été nommé en qualité d</w:t>
      </w:r>
      <w:r w:rsidR="00C15821" w:rsidRPr="00982D3E">
        <w:rPr>
          <w:color w:val="000000" w:themeColor="text1"/>
          <w:lang w:val="fr-FR"/>
        </w:rPr>
        <w:t>’</w:t>
      </w:r>
      <w:r w:rsidRPr="00982D3E">
        <w:rPr>
          <w:color w:val="000000" w:themeColor="text1"/>
          <w:lang w:val="fr-FR"/>
        </w:rPr>
        <w:t>administration chargée de la recherche internationale et d</w:t>
      </w:r>
      <w:r w:rsidR="00C15821" w:rsidRPr="00982D3E">
        <w:rPr>
          <w:color w:val="000000" w:themeColor="text1"/>
          <w:lang w:val="fr-FR"/>
        </w:rPr>
        <w:t>’</w:t>
      </w:r>
      <w:r w:rsidRPr="00982D3E">
        <w:rPr>
          <w:color w:val="000000" w:themeColor="text1"/>
          <w:lang w:val="fr-FR"/>
        </w:rPr>
        <w:t>administration chargée de l</w:t>
      </w:r>
      <w:r w:rsidR="00C15821" w:rsidRPr="00982D3E">
        <w:rPr>
          <w:color w:val="000000" w:themeColor="text1"/>
          <w:lang w:val="fr-FR"/>
        </w:rPr>
        <w:t>’</w:t>
      </w:r>
      <w:r w:rsidRPr="00982D3E">
        <w:rPr>
          <w:color w:val="000000" w:themeColor="text1"/>
          <w:lang w:val="fr-FR"/>
        </w:rPr>
        <w:t>examen préliminaire international, il a répondu (et continue de répondre) à toutes les exigences de fond requises pour être une administration internationale</w:t>
      </w:r>
      <w:r w:rsidR="00C15821" w:rsidRPr="00982D3E">
        <w:rPr>
          <w:color w:val="000000" w:themeColor="text1"/>
          <w:lang w:val="fr-FR"/>
        </w:rPr>
        <w:t xml:space="preserve"> du </w:t>
      </w:r>
      <w:r w:rsidR="00A720A1" w:rsidRPr="00982D3E">
        <w:rPr>
          <w:color w:val="000000" w:themeColor="text1"/>
          <w:lang w:val="fr-FR"/>
        </w:rPr>
        <w:t>PCT.  Ce</w:t>
      </w:r>
      <w:r w:rsidRPr="00982D3E">
        <w:rPr>
          <w:color w:val="000000" w:themeColor="text1"/>
          <w:lang w:val="fr-FR"/>
        </w:rPr>
        <w:t>la comprend, par exemple, la mise en œuvre d</w:t>
      </w:r>
      <w:r w:rsidR="00C15821" w:rsidRPr="00982D3E">
        <w:rPr>
          <w:color w:val="000000" w:themeColor="text1"/>
          <w:lang w:val="fr-FR"/>
        </w:rPr>
        <w:t>’</w:t>
      </w:r>
      <w:r w:rsidRPr="00982D3E">
        <w:rPr>
          <w:color w:val="000000" w:themeColor="text1"/>
          <w:lang w:val="fr-FR"/>
        </w:rPr>
        <w:t>un système de gestion de la qualité et la mise à disposition pour consultation et l</w:t>
      </w:r>
      <w:r w:rsidR="00C15821" w:rsidRPr="00982D3E">
        <w:rPr>
          <w:color w:val="000000" w:themeColor="text1"/>
          <w:lang w:val="fr-FR"/>
        </w:rPr>
        <w:t>’</w:t>
      </w:r>
      <w:r w:rsidRPr="00982D3E">
        <w:rPr>
          <w:color w:val="000000" w:themeColor="text1"/>
          <w:lang w:val="fr-FR"/>
        </w:rPr>
        <w:t>accessibilité de la documentation minimale</w:t>
      </w:r>
      <w:r w:rsidR="00C15821" w:rsidRPr="00982D3E">
        <w:rPr>
          <w:color w:val="000000" w:themeColor="text1"/>
          <w:lang w:val="fr-FR"/>
        </w:rPr>
        <w:t xml:space="preserve"> du PCT</w:t>
      </w:r>
      <w:r w:rsidRPr="00982D3E">
        <w:rPr>
          <w:color w:val="000000" w:themeColor="text1"/>
          <w:lang w:val="fr-FR"/>
        </w:rPr>
        <w:t>, conformément aux règles 34 et 63, telles que modifiées.</w:t>
      </w:r>
    </w:p>
    <w:p w14:paraId="6B966EC2" w14:textId="23A723C0" w:rsidR="005D71D4" w:rsidRPr="00982D3E" w:rsidRDefault="005D71D4" w:rsidP="00D15D07">
      <w:pPr>
        <w:ind w:right="73"/>
        <w:jc w:val="both"/>
        <w:rPr>
          <w:color w:val="000000" w:themeColor="text1"/>
          <w:szCs w:val="22"/>
          <w:lang w:val="fr-FR"/>
        </w:rPr>
      </w:pPr>
    </w:p>
    <w:p w14:paraId="0523E9AA" w14:textId="743336CB" w:rsidR="005D71D4" w:rsidRPr="00982D3E" w:rsidRDefault="005D71D4" w:rsidP="00D15D07">
      <w:pPr>
        <w:ind w:right="73"/>
        <w:jc w:val="both"/>
        <w:rPr>
          <w:color w:val="000000" w:themeColor="text1"/>
          <w:szCs w:val="22"/>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agit en qualité d</w:t>
      </w:r>
      <w:r w:rsidR="00C15821" w:rsidRPr="00982D3E">
        <w:rPr>
          <w:color w:val="000000" w:themeColor="text1"/>
          <w:lang w:val="fr-FR"/>
        </w:rPr>
        <w:t>’</w:t>
      </w:r>
      <w:r w:rsidRPr="00982D3E">
        <w:rPr>
          <w:color w:val="000000" w:themeColor="text1"/>
          <w:lang w:val="fr-FR"/>
        </w:rPr>
        <w:t>administration chargée de la recherche internationale selon</w:t>
      </w:r>
      <w:r w:rsidR="00C15821" w:rsidRPr="00982D3E">
        <w:rPr>
          <w:color w:val="000000" w:themeColor="text1"/>
          <w:lang w:val="fr-FR"/>
        </w:rPr>
        <w:t xml:space="preserve"> le PCT</w:t>
      </w:r>
      <w:r w:rsidRPr="00982D3E">
        <w:rPr>
          <w:color w:val="000000" w:themeColor="text1"/>
          <w:lang w:val="fr-FR"/>
        </w:rPr>
        <w:t xml:space="preserve"> depuis 1995. </w:t>
      </w:r>
      <w:r w:rsidR="004319B8" w:rsidRPr="00982D3E">
        <w:rPr>
          <w:color w:val="000000" w:themeColor="text1"/>
          <w:lang w:val="fr-FR"/>
        </w:rPr>
        <w:t xml:space="preserve"> </w:t>
      </w:r>
      <w:r w:rsidRPr="00982D3E">
        <w:rPr>
          <w:color w:val="000000" w:themeColor="text1"/>
          <w:lang w:val="fr-FR"/>
        </w:rPr>
        <w:t xml:space="preserve">En </w:t>
      </w:r>
      <w:r w:rsidR="00C15821" w:rsidRPr="00982D3E">
        <w:rPr>
          <w:color w:val="000000" w:themeColor="text1"/>
          <w:lang w:val="fr-FR"/>
        </w:rPr>
        <w:t>septembre 20</w:t>
      </w:r>
      <w:r w:rsidRPr="00982D3E">
        <w:rPr>
          <w:color w:val="000000" w:themeColor="text1"/>
          <w:lang w:val="fr-FR"/>
        </w:rPr>
        <w:t>01, l</w:t>
      </w:r>
      <w:r w:rsidR="00C15821" w:rsidRPr="00982D3E">
        <w:rPr>
          <w:color w:val="000000" w:themeColor="text1"/>
          <w:lang w:val="fr-FR"/>
        </w:rPr>
        <w:t>’</w:t>
      </w:r>
      <w:r w:rsidRPr="00982D3E">
        <w:rPr>
          <w:color w:val="000000" w:themeColor="text1"/>
          <w:lang w:val="fr-FR"/>
        </w:rPr>
        <w:t>office a étendu ses services en qualité d</w:t>
      </w:r>
      <w:r w:rsidR="00C15821" w:rsidRPr="00982D3E">
        <w:rPr>
          <w:color w:val="000000" w:themeColor="text1"/>
          <w:lang w:val="fr-FR"/>
        </w:rPr>
        <w:t>’</w:t>
      </w:r>
      <w:r w:rsidRPr="00982D3E">
        <w:rPr>
          <w:color w:val="000000" w:themeColor="text1"/>
          <w:lang w:val="fr-FR"/>
        </w:rPr>
        <w:t>administration chargée de l</w:t>
      </w:r>
      <w:r w:rsidR="00C15821" w:rsidRPr="00982D3E">
        <w:rPr>
          <w:color w:val="000000" w:themeColor="text1"/>
          <w:lang w:val="fr-FR"/>
        </w:rPr>
        <w:t>’</w:t>
      </w:r>
      <w:r w:rsidRPr="00982D3E">
        <w:rPr>
          <w:color w:val="000000" w:themeColor="text1"/>
          <w:lang w:val="fr-FR"/>
        </w:rPr>
        <w:t>examen préliminaire international, devenant ainsi la première administration compétente pour mener des recherches internationales et des examens préliminaires internationaux en espagn</w:t>
      </w:r>
      <w:r w:rsidR="00A720A1" w:rsidRPr="00982D3E">
        <w:rPr>
          <w:color w:val="000000" w:themeColor="text1"/>
          <w:lang w:val="fr-FR"/>
        </w:rPr>
        <w:t>ol.  Ce</w:t>
      </w:r>
      <w:r w:rsidRPr="00982D3E">
        <w:rPr>
          <w:color w:val="000000" w:themeColor="text1"/>
          <w:lang w:val="fr-FR"/>
        </w:rPr>
        <w:t>la a permis aux déposants hispanophones d</w:t>
      </w:r>
      <w:r w:rsidR="00C15821" w:rsidRPr="00982D3E">
        <w:rPr>
          <w:color w:val="000000" w:themeColor="text1"/>
          <w:lang w:val="fr-FR"/>
        </w:rPr>
        <w:t>’</w:t>
      </w:r>
      <w:r w:rsidRPr="00982D3E">
        <w:rPr>
          <w:color w:val="000000" w:themeColor="text1"/>
          <w:lang w:val="fr-FR"/>
        </w:rPr>
        <w:t>effectuer toutes les procédures de demande de brevet dans leur propre langue, réduisant ainsi le coût et la durée des procédures.</w:t>
      </w:r>
    </w:p>
    <w:p w14:paraId="4DC7C280" w14:textId="77777777" w:rsidR="005D71D4" w:rsidRPr="00982D3E" w:rsidRDefault="005D71D4" w:rsidP="00D15D07">
      <w:pPr>
        <w:jc w:val="both"/>
        <w:rPr>
          <w:color w:val="000000" w:themeColor="text1"/>
          <w:szCs w:val="22"/>
          <w:lang w:val="fr-FR"/>
        </w:rPr>
      </w:pPr>
    </w:p>
    <w:p w14:paraId="7EF00CF1" w14:textId="2EE5C721" w:rsidR="005D71D4" w:rsidRPr="00982D3E" w:rsidRDefault="005D71D4" w:rsidP="00D15D07">
      <w:pPr>
        <w:pStyle w:val="SectionHeading"/>
        <w:rPr>
          <w:color w:val="000000" w:themeColor="text1"/>
          <w:lang w:val="fr-FR"/>
        </w:rPr>
      </w:pPr>
      <w:r w:rsidRPr="00982D3E">
        <w:rPr>
          <w:color w:val="000000" w:themeColor="text1"/>
          <w:lang w:val="fr-FR"/>
        </w:rPr>
        <w:lastRenderedPageBreak/>
        <w:t>2.1</w:t>
      </w:r>
      <w:r w:rsidR="00704A3D" w:rsidRPr="00982D3E">
        <w:rPr>
          <w:color w:val="000000" w:themeColor="text1"/>
          <w:lang w:val="fr-FR"/>
        </w:rPr>
        <w:t xml:space="preserve"> –</w:t>
      </w:r>
      <w:r w:rsidRPr="00982D3E">
        <w:rPr>
          <w:color w:val="000000" w:themeColor="text1"/>
          <w:lang w:val="fr-FR"/>
        </w:rPr>
        <w:t xml:space="preserve"> Capacité en matière de recherche et d</w:t>
      </w:r>
      <w:r w:rsidR="00C15821" w:rsidRPr="00982D3E">
        <w:rPr>
          <w:color w:val="000000" w:themeColor="text1"/>
          <w:lang w:val="fr-FR"/>
        </w:rPr>
        <w:t>’</w:t>
      </w:r>
      <w:r w:rsidRPr="00982D3E">
        <w:rPr>
          <w:color w:val="000000" w:themeColor="text1"/>
          <w:lang w:val="fr-FR"/>
        </w:rPr>
        <w:t>examen</w:t>
      </w:r>
    </w:p>
    <w:p w14:paraId="5A2D6C31" w14:textId="7CA89848" w:rsidR="005D71D4" w:rsidRPr="00982D3E" w:rsidRDefault="005D71D4" w:rsidP="00D15D07">
      <w:pPr>
        <w:pStyle w:val="RuleQuote"/>
        <w:rPr>
          <w:color w:val="000000" w:themeColor="text1"/>
        </w:rPr>
      </w:pPr>
      <w:r w:rsidRPr="00982D3E">
        <w:rPr>
          <w:color w:val="000000" w:themeColor="text1"/>
        </w:rPr>
        <w:t>Règles 36.1.i) et 63.1.i)</w:t>
      </w:r>
      <w:r w:rsidR="00C15821" w:rsidRPr="00982D3E">
        <w:rPr>
          <w:color w:val="000000" w:themeColor="text1"/>
        </w:rPr>
        <w:t> :</w:t>
      </w:r>
      <w:r w:rsidRPr="00982D3E">
        <w:rPr>
          <w:color w:val="000000" w:themeColor="text1"/>
        </w:rPr>
        <w:t xml:space="preserve"> L</w:t>
      </w:r>
      <w:r w:rsidR="00C15821" w:rsidRPr="00982D3E">
        <w:rPr>
          <w:color w:val="000000" w:themeColor="text1"/>
        </w:rPr>
        <w:t>’</w:t>
      </w:r>
      <w:r w:rsidRPr="00982D3E">
        <w:rPr>
          <w:color w:val="000000" w:themeColor="text1"/>
        </w:rPr>
        <w:t>office national ou l</w:t>
      </w:r>
      <w:r w:rsidR="00C15821" w:rsidRPr="00982D3E">
        <w:rPr>
          <w:color w:val="000000" w:themeColor="text1"/>
        </w:rPr>
        <w:t>’</w:t>
      </w:r>
      <w:r w:rsidRPr="00982D3E">
        <w:rPr>
          <w:color w:val="000000" w:themeColor="text1"/>
        </w:rPr>
        <w:t>organisation intergouvernementale doit avoir au moins cent employés à plein temps possédant des qualifications techniques suffisantes pour procéder aux recherches et aux examens.</w:t>
      </w:r>
    </w:p>
    <w:p w14:paraId="03EB596A" w14:textId="332AA6C6" w:rsidR="00C15821" w:rsidRPr="00982D3E" w:rsidRDefault="005D71D4" w:rsidP="00D15D07">
      <w:pPr>
        <w:pStyle w:val="RuleQuote"/>
        <w:ind w:left="0"/>
        <w:rPr>
          <w:i w:val="0"/>
          <w:color w:val="000000" w:themeColor="text1"/>
        </w:rPr>
      </w:pPr>
      <w:r w:rsidRPr="00982D3E">
        <w:rPr>
          <w:i w:val="0"/>
          <w:color w:val="000000" w:themeColor="text1"/>
        </w:rPr>
        <w:t>Le rapport sur le système de gestion de la qualité fournit des informations de l</w:t>
      </w:r>
      <w:r w:rsidR="00C15821" w:rsidRPr="00982D3E">
        <w:rPr>
          <w:i w:val="0"/>
          <w:color w:val="000000" w:themeColor="text1"/>
        </w:rPr>
        <w:t>’</w:t>
      </w:r>
      <w:r w:rsidRPr="00982D3E">
        <w:rPr>
          <w:i w:val="0"/>
          <w:color w:val="000000" w:themeColor="text1"/>
        </w:rPr>
        <w:t>administration sur l</w:t>
      </w:r>
      <w:r w:rsidR="00C15821" w:rsidRPr="00982D3E">
        <w:rPr>
          <w:i w:val="0"/>
          <w:color w:val="000000" w:themeColor="text1"/>
        </w:rPr>
        <w:t>’</w:t>
      </w:r>
      <w:r w:rsidRPr="00982D3E">
        <w:rPr>
          <w:i w:val="0"/>
          <w:color w:val="000000" w:themeColor="text1"/>
        </w:rPr>
        <w:t>infrastructure mise en place pour garantir un personnel techniquement qualifié suffisamment nombreux, conformément au paragraphe 21.</w:t>
      </w:r>
      <w:proofErr w:type="gramStart"/>
      <w:r w:rsidRPr="00982D3E">
        <w:rPr>
          <w:i w:val="0"/>
          <w:color w:val="000000" w:themeColor="text1"/>
        </w:rPr>
        <w:t>15.i</w:t>
      </w:r>
      <w:proofErr w:type="gramEnd"/>
      <w:r w:rsidRPr="00982D3E">
        <w:rPr>
          <w:i w:val="0"/>
          <w:color w:val="000000" w:themeColor="text1"/>
        </w:rPr>
        <w:t>) des directives, et sur les programmes de formation et de perfectionnement destinés au personnel participant au processus de recherche et d</w:t>
      </w:r>
      <w:r w:rsidR="00C15821" w:rsidRPr="00982D3E">
        <w:rPr>
          <w:i w:val="0"/>
          <w:color w:val="000000" w:themeColor="text1"/>
        </w:rPr>
        <w:t>’</w:t>
      </w:r>
      <w:r w:rsidRPr="00982D3E">
        <w:rPr>
          <w:i w:val="0"/>
          <w:color w:val="000000" w:themeColor="text1"/>
        </w:rPr>
        <w:t xml:space="preserve">examen, conformément au paragraphe 21.15.vi). </w:t>
      </w:r>
      <w:r w:rsidR="004319B8" w:rsidRPr="00982D3E">
        <w:rPr>
          <w:i w:val="0"/>
          <w:color w:val="000000" w:themeColor="text1"/>
        </w:rPr>
        <w:t xml:space="preserve"> </w:t>
      </w:r>
      <w:r w:rsidRPr="00982D3E">
        <w:rPr>
          <w:i w:val="0"/>
          <w:color w:val="000000" w:themeColor="text1"/>
        </w:rPr>
        <w:t>L</w:t>
      </w:r>
      <w:r w:rsidR="00C15821" w:rsidRPr="00982D3E">
        <w:rPr>
          <w:i w:val="0"/>
          <w:color w:val="000000" w:themeColor="text1"/>
        </w:rPr>
        <w:t>’</w:t>
      </w:r>
      <w:r w:rsidRPr="00982D3E">
        <w:rPr>
          <w:i w:val="0"/>
          <w:color w:val="000000" w:themeColor="text1"/>
        </w:rPr>
        <w:t>administration inclut également les informations ci</w:t>
      </w:r>
      <w:r w:rsidR="000F0CBE">
        <w:rPr>
          <w:i w:val="0"/>
          <w:color w:val="000000" w:themeColor="text1"/>
        </w:rPr>
        <w:noBreakHyphen/>
      </w:r>
      <w:r w:rsidRPr="00982D3E">
        <w:rPr>
          <w:i w:val="0"/>
          <w:color w:val="000000" w:themeColor="text1"/>
        </w:rPr>
        <w:t>après sur le nombre d</w:t>
      </w:r>
      <w:r w:rsidR="00C15821" w:rsidRPr="00982D3E">
        <w:rPr>
          <w:i w:val="0"/>
          <w:color w:val="000000" w:themeColor="text1"/>
        </w:rPr>
        <w:t>’</w:t>
      </w:r>
      <w:r w:rsidRPr="00982D3E">
        <w:rPr>
          <w:i w:val="0"/>
          <w:color w:val="000000" w:themeColor="text1"/>
        </w:rPr>
        <w:t>employés qualifiés pour procéder à la recherche et à l</w:t>
      </w:r>
      <w:r w:rsidR="00C15821" w:rsidRPr="00982D3E">
        <w:rPr>
          <w:i w:val="0"/>
          <w:color w:val="000000" w:themeColor="text1"/>
        </w:rPr>
        <w:t>’</w:t>
      </w:r>
      <w:r w:rsidRPr="00982D3E">
        <w:rPr>
          <w:i w:val="0"/>
          <w:color w:val="000000" w:themeColor="text1"/>
        </w:rPr>
        <w:t>examen.</w:t>
      </w:r>
    </w:p>
    <w:p w14:paraId="70417F6C" w14:textId="722875DC" w:rsidR="00C15821" w:rsidRPr="00982D3E" w:rsidRDefault="005D71D4" w:rsidP="00D15D07">
      <w:pPr>
        <w:ind w:right="73"/>
        <w:jc w:val="both"/>
        <w:rPr>
          <w:color w:val="000000" w:themeColor="text1"/>
          <w:lang w:val="fr-FR"/>
        </w:rPr>
      </w:pPr>
      <w:r w:rsidRPr="00982D3E">
        <w:rPr>
          <w:color w:val="000000" w:themeColor="text1"/>
          <w:lang w:val="fr-FR"/>
        </w:rPr>
        <w:t>Les effectifs techniques employés par l</w:t>
      </w:r>
      <w:r w:rsidR="00C15821" w:rsidRPr="00982D3E">
        <w:rPr>
          <w:color w:val="000000" w:themeColor="text1"/>
          <w:lang w:val="fr-FR"/>
        </w:rPr>
        <w:t>’</w:t>
      </w:r>
      <w:r w:rsidRPr="00982D3E">
        <w:rPr>
          <w:color w:val="000000" w:themeColor="text1"/>
          <w:lang w:val="fr-FR"/>
        </w:rPr>
        <w:t>OEPM sont composés de 131 examinateurs de brevets à plein temps, dont 5 chefs de la division des brevets et des modèles d</w:t>
      </w:r>
      <w:r w:rsidR="00C15821" w:rsidRPr="00982D3E">
        <w:rPr>
          <w:color w:val="000000" w:themeColor="text1"/>
          <w:lang w:val="fr-FR"/>
        </w:rPr>
        <w:t>’</w:t>
      </w:r>
      <w:r w:rsidRPr="00982D3E">
        <w:rPr>
          <w:color w:val="000000" w:themeColor="text1"/>
          <w:lang w:val="fr-FR"/>
        </w:rPr>
        <w:t>utilité, 7 chefs des services techniques ainsi que d</w:t>
      </w:r>
      <w:r w:rsidR="00C15821" w:rsidRPr="00982D3E">
        <w:rPr>
          <w:color w:val="000000" w:themeColor="text1"/>
          <w:lang w:val="fr-FR"/>
        </w:rPr>
        <w:t>’</w:t>
      </w:r>
      <w:r w:rsidRPr="00982D3E">
        <w:rPr>
          <w:color w:val="000000" w:themeColor="text1"/>
          <w:lang w:val="fr-FR"/>
        </w:rPr>
        <w:t>un département des brevets et de l</w:t>
      </w:r>
      <w:r w:rsidR="00C15821" w:rsidRPr="00982D3E">
        <w:rPr>
          <w:color w:val="000000" w:themeColor="text1"/>
          <w:lang w:val="fr-FR"/>
        </w:rPr>
        <w:t>’</w:t>
      </w:r>
      <w:r w:rsidRPr="00982D3E">
        <w:rPr>
          <w:color w:val="000000" w:themeColor="text1"/>
          <w:lang w:val="fr-FR"/>
        </w:rPr>
        <w:t>information technologique, qui comprend un service de documentation et de recherche sur les breve</w:t>
      </w:r>
      <w:r w:rsidR="00A720A1" w:rsidRPr="00982D3E">
        <w:rPr>
          <w:color w:val="000000" w:themeColor="text1"/>
          <w:lang w:val="fr-FR"/>
        </w:rPr>
        <w:t>ts.  Il</w:t>
      </w:r>
      <w:r w:rsidRPr="00982D3E">
        <w:rPr>
          <w:color w:val="000000" w:themeColor="text1"/>
          <w:lang w:val="fr-FR"/>
        </w:rPr>
        <w:t>s sont entièrement constitués de fonctionnaires possédant les qualifications techniques requises (telles que des licences ou des doctorats dans des domaines comme l</w:t>
      </w:r>
      <w:r w:rsidR="00C15821" w:rsidRPr="00982D3E">
        <w:rPr>
          <w:color w:val="000000" w:themeColor="text1"/>
          <w:lang w:val="fr-FR"/>
        </w:rPr>
        <w:t>’</w:t>
      </w:r>
      <w:r w:rsidRPr="00982D3E">
        <w:rPr>
          <w:color w:val="000000" w:themeColor="text1"/>
          <w:lang w:val="fr-FR"/>
        </w:rPr>
        <w:t>ingénierie, l</w:t>
      </w:r>
      <w:r w:rsidR="00C15821" w:rsidRPr="00982D3E">
        <w:rPr>
          <w:color w:val="000000" w:themeColor="text1"/>
          <w:lang w:val="fr-FR"/>
        </w:rPr>
        <w:t>’</w:t>
      </w:r>
      <w:r w:rsidRPr="00982D3E">
        <w:rPr>
          <w:color w:val="000000" w:themeColor="text1"/>
          <w:lang w:val="fr-FR"/>
        </w:rPr>
        <w:t>architecture, les sciences, la physique et la chimie) pour procéder aux recherches et examens dans les différents domaines techniques et fournir des services d</w:t>
      </w:r>
      <w:r w:rsidR="00C15821" w:rsidRPr="00982D3E">
        <w:rPr>
          <w:color w:val="000000" w:themeColor="text1"/>
          <w:lang w:val="fr-FR"/>
        </w:rPr>
        <w:t>’</w:t>
      </w:r>
      <w:r w:rsidRPr="00982D3E">
        <w:rPr>
          <w:color w:val="000000" w:themeColor="text1"/>
          <w:lang w:val="fr-FR"/>
        </w:rPr>
        <w:t>information en matière de technologie (voir le point 4 – Autres services fournis par l</w:t>
      </w:r>
      <w:r w:rsidR="00C15821" w:rsidRPr="00982D3E">
        <w:rPr>
          <w:color w:val="000000" w:themeColor="text1"/>
          <w:lang w:val="fr-FR"/>
        </w:rPr>
        <w:t>’</w:t>
      </w:r>
      <w:r w:rsidRPr="00982D3E">
        <w:rPr>
          <w:color w:val="000000" w:themeColor="text1"/>
          <w:lang w:val="fr-FR"/>
        </w:rPr>
        <w:t xml:space="preserve">OEPM). </w:t>
      </w:r>
      <w:r w:rsidR="004319B8" w:rsidRPr="00982D3E">
        <w:rPr>
          <w:color w:val="000000" w:themeColor="text1"/>
          <w:lang w:val="fr-FR"/>
        </w:rPr>
        <w:t xml:space="preserve"> </w:t>
      </w:r>
      <w:r w:rsidRPr="00982D3E">
        <w:rPr>
          <w:color w:val="000000" w:themeColor="text1"/>
          <w:lang w:val="fr-FR"/>
        </w:rPr>
        <w:t>Le personnel doit aussi avoir une maîtrise suffisante des langues étrangères pour être capable de lire et de comprendre des textes techniques, en particulier les documents de brevet.</w:t>
      </w:r>
    </w:p>
    <w:p w14:paraId="0DDA8374" w14:textId="76D1F8C4" w:rsidR="005D71D4" w:rsidRPr="00982D3E" w:rsidRDefault="005D71D4" w:rsidP="00D15D07">
      <w:pPr>
        <w:ind w:right="73"/>
        <w:jc w:val="both"/>
        <w:rPr>
          <w:color w:val="000000" w:themeColor="text1"/>
          <w:szCs w:val="22"/>
          <w:lang w:val="fr-FR"/>
        </w:rPr>
      </w:pPr>
    </w:p>
    <w:p w14:paraId="12F1B6E2" w14:textId="5BFD2817" w:rsidR="005D71D4" w:rsidRPr="00982D3E" w:rsidRDefault="005D71D4" w:rsidP="00D15D07">
      <w:pPr>
        <w:ind w:right="73"/>
        <w:jc w:val="both"/>
        <w:rPr>
          <w:color w:val="000000" w:themeColor="text1"/>
          <w:szCs w:val="22"/>
          <w:lang w:val="fr-FR"/>
        </w:rPr>
      </w:pPr>
      <w:r w:rsidRPr="00982D3E">
        <w:rPr>
          <w:color w:val="000000" w:themeColor="text1"/>
          <w:lang w:val="fr-FR"/>
        </w:rPr>
        <w:t>Voir le point 3 du rapport sur le système de gestion de la qualité qui expose en détail les différentes compétences requises pour la fonction d</w:t>
      </w:r>
      <w:r w:rsidR="00C15821" w:rsidRPr="00982D3E">
        <w:rPr>
          <w:color w:val="000000" w:themeColor="text1"/>
          <w:lang w:val="fr-FR"/>
        </w:rPr>
        <w:t>’</w:t>
      </w:r>
      <w:r w:rsidRPr="00982D3E">
        <w:rPr>
          <w:color w:val="000000" w:themeColor="text1"/>
          <w:lang w:val="fr-FR"/>
        </w:rPr>
        <w:t>examinateur.</w:t>
      </w:r>
    </w:p>
    <w:p w14:paraId="5E01C95A" w14:textId="77777777" w:rsidR="005D71D4" w:rsidRPr="00982D3E" w:rsidRDefault="005D71D4" w:rsidP="00D15D07">
      <w:pPr>
        <w:ind w:right="73"/>
        <w:jc w:val="both"/>
        <w:rPr>
          <w:color w:val="000000" w:themeColor="text1"/>
          <w:szCs w:val="22"/>
          <w:lang w:val="fr-FR"/>
        </w:rPr>
      </w:pPr>
    </w:p>
    <w:p w14:paraId="059665F4" w14:textId="57D00314" w:rsidR="005D71D4" w:rsidRPr="00982D3E" w:rsidRDefault="005D71D4" w:rsidP="00D15D07">
      <w:pPr>
        <w:ind w:right="73"/>
        <w:jc w:val="both"/>
        <w:rPr>
          <w:b/>
          <w:color w:val="000000" w:themeColor="text1"/>
          <w:lang w:val="fr-FR"/>
        </w:rPr>
      </w:pPr>
      <w:r w:rsidRPr="00982D3E">
        <w:rPr>
          <w:b/>
          <w:color w:val="000000" w:themeColor="text1"/>
          <w:lang w:val="fr-FR"/>
        </w:rPr>
        <w:t>Employés qualifiés pour procéder à la recherche et à l</w:t>
      </w:r>
      <w:r w:rsidR="00C15821" w:rsidRPr="00982D3E">
        <w:rPr>
          <w:b/>
          <w:color w:val="000000" w:themeColor="text1"/>
          <w:lang w:val="fr-FR"/>
        </w:rPr>
        <w:t>’</w:t>
      </w:r>
      <w:r w:rsidRPr="00982D3E">
        <w:rPr>
          <w:b/>
          <w:color w:val="000000" w:themeColor="text1"/>
          <w:lang w:val="fr-FR"/>
        </w:rPr>
        <w:t>examen</w:t>
      </w:r>
      <w:r w:rsidR="00C15821" w:rsidRPr="00982D3E">
        <w:rPr>
          <w:b/>
          <w:color w:val="000000" w:themeColor="text1"/>
          <w:lang w:val="fr-FR"/>
        </w:rPr>
        <w:t> :</w:t>
      </w:r>
    </w:p>
    <w:p w14:paraId="75D1F676" w14:textId="77777777" w:rsidR="005D71D4" w:rsidRPr="00982D3E" w:rsidRDefault="005D71D4" w:rsidP="00D15D07">
      <w:pPr>
        <w:ind w:right="73"/>
        <w:jc w:val="both"/>
        <w:rPr>
          <w:b/>
          <w:color w:val="000000" w:themeColor="text1"/>
          <w:lang w:val="fr-FR"/>
        </w:rPr>
      </w:pPr>
    </w:p>
    <w:p w14:paraId="12E90F3F" w14:textId="7234A705" w:rsidR="005D71D4" w:rsidRPr="00982D3E" w:rsidRDefault="005D71D4" w:rsidP="00D15D07">
      <w:pPr>
        <w:ind w:right="73"/>
        <w:jc w:val="both"/>
        <w:rPr>
          <w:color w:val="000000" w:themeColor="text1"/>
          <w:szCs w:val="22"/>
          <w:lang w:val="fr-FR"/>
        </w:rPr>
      </w:pPr>
      <w:r w:rsidRPr="00982D3E">
        <w:rPr>
          <w:color w:val="000000" w:themeColor="text1"/>
          <w:lang w:val="fr-FR"/>
        </w:rPr>
        <w:t>Voir le point 3 du rapport sur le système de gestion de la qualité pour des informations sur les programmes de recrutement et de formation de l</w:t>
      </w:r>
      <w:r w:rsidR="00C15821" w:rsidRPr="00982D3E">
        <w:rPr>
          <w:color w:val="000000" w:themeColor="text1"/>
          <w:lang w:val="fr-FR"/>
        </w:rPr>
        <w:t>’</w:t>
      </w:r>
      <w:r w:rsidRPr="00982D3E">
        <w:rPr>
          <w:color w:val="000000" w:themeColor="text1"/>
          <w:lang w:val="fr-FR"/>
        </w:rPr>
        <w:t>OEPM à l</w:t>
      </w:r>
      <w:r w:rsidR="00C15821" w:rsidRPr="00982D3E">
        <w:rPr>
          <w:color w:val="000000" w:themeColor="text1"/>
          <w:lang w:val="fr-FR"/>
        </w:rPr>
        <w:t>’</w:t>
      </w:r>
      <w:r w:rsidRPr="00982D3E">
        <w:rPr>
          <w:color w:val="000000" w:themeColor="text1"/>
          <w:lang w:val="fr-FR"/>
        </w:rPr>
        <w:t>intention des examinateurs de brevets et du personnel administratif.</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55"/>
        <w:gridCol w:w="1537"/>
        <w:gridCol w:w="1965"/>
        <w:gridCol w:w="2622"/>
      </w:tblGrid>
      <w:tr w:rsidR="005D71D4" w:rsidRPr="00982D3E" w14:paraId="2C87DAF5" w14:textId="77777777" w:rsidTr="004775D6">
        <w:trPr>
          <w:cantSplit/>
          <w:tblHeader/>
        </w:trPr>
        <w:tc>
          <w:tcPr>
            <w:tcW w:w="2185" w:type="dxa"/>
            <w:tcBorders>
              <w:top w:val="single" w:sz="4" w:space="0" w:color="auto"/>
              <w:left w:val="single" w:sz="4" w:space="0" w:color="auto"/>
              <w:bottom w:val="single" w:sz="4" w:space="0" w:color="auto"/>
              <w:right w:val="single" w:sz="4" w:space="0" w:color="auto"/>
            </w:tcBorders>
            <w:hideMark/>
          </w:tcPr>
          <w:p w14:paraId="11FA9977" w14:textId="77777777" w:rsidR="005D71D4" w:rsidRPr="00982D3E" w:rsidRDefault="005D71D4" w:rsidP="00D15D07">
            <w:pPr>
              <w:keepNext/>
              <w:keepLines/>
              <w:suppressAutoHyphens/>
              <w:rPr>
                <w:rFonts w:eastAsia="Times New Roman"/>
                <w:b/>
                <w:bCs/>
                <w:color w:val="000000" w:themeColor="text1"/>
                <w:szCs w:val="22"/>
                <w:lang w:val="fr-FR"/>
              </w:rPr>
            </w:pPr>
            <w:r w:rsidRPr="00982D3E">
              <w:rPr>
                <w:b/>
                <w:color w:val="000000" w:themeColor="text1"/>
                <w:lang w:val="fr-FR"/>
              </w:rPr>
              <w:lastRenderedPageBreak/>
              <w:t>Domaine technique</w:t>
            </w:r>
          </w:p>
        </w:tc>
        <w:tc>
          <w:tcPr>
            <w:tcW w:w="1638" w:type="dxa"/>
            <w:tcBorders>
              <w:top w:val="single" w:sz="4" w:space="0" w:color="auto"/>
              <w:left w:val="single" w:sz="4" w:space="0" w:color="auto"/>
              <w:bottom w:val="single" w:sz="4" w:space="0" w:color="auto"/>
              <w:right w:val="single" w:sz="4" w:space="0" w:color="auto"/>
            </w:tcBorders>
            <w:hideMark/>
          </w:tcPr>
          <w:p w14:paraId="55DE18D6" w14:textId="77777777" w:rsidR="005D71D4" w:rsidRPr="00982D3E" w:rsidRDefault="005D71D4" w:rsidP="00D15D07">
            <w:pPr>
              <w:keepNext/>
              <w:keepLines/>
              <w:suppressAutoHyphens/>
              <w:rPr>
                <w:rFonts w:eastAsia="Times New Roman"/>
                <w:b/>
                <w:bCs/>
                <w:color w:val="000000" w:themeColor="text1"/>
                <w:szCs w:val="22"/>
                <w:lang w:val="fr-FR"/>
              </w:rPr>
            </w:pPr>
            <w:r w:rsidRPr="00982D3E">
              <w:rPr>
                <w:b/>
                <w:color w:val="000000" w:themeColor="text1"/>
                <w:lang w:val="fr-FR"/>
              </w:rPr>
              <w:t>Nombre (équivalent plein temps)</w:t>
            </w:r>
          </w:p>
        </w:tc>
        <w:tc>
          <w:tcPr>
            <w:tcW w:w="1842" w:type="dxa"/>
            <w:tcBorders>
              <w:top w:val="single" w:sz="4" w:space="0" w:color="auto"/>
              <w:left w:val="single" w:sz="4" w:space="0" w:color="auto"/>
              <w:bottom w:val="single" w:sz="4" w:space="0" w:color="auto"/>
              <w:right w:val="single" w:sz="4" w:space="0" w:color="auto"/>
            </w:tcBorders>
            <w:hideMark/>
          </w:tcPr>
          <w:p w14:paraId="446BA2D5" w14:textId="1AD5ABAB" w:rsidR="005D71D4" w:rsidRPr="00982D3E" w:rsidRDefault="005D71D4" w:rsidP="00D15D07">
            <w:pPr>
              <w:suppressAutoHyphens/>
              <w:rPr>
                <w:rFonts w:eastAsia="Times New Roman"/>
                <w:b/>
                <w:bCs/>
                <w:color w:val="000000" w:themeColor="text1"/>
                <w:szCs w:val="24"/>
                <w:lang w:val="fr-FR"/>
              </w:rPr>
            </w:pPr>
            <w:r w:rsidRPr="00982D3E">
              <w:rPr>
                <w:b/>
                <w:color w:val="000000" w:themeColor="text1"/>
                <w:lang w:val="fr-FR"/>
              </w:rPr>
              <w:t>Expérience moyenne en tant qu</w:t>
            </w:r>
            <w:r w:rsidR="00C15821" w:rsidRPr="00982D3E">
              <w:rPr>
                <w:b/>
                <w:color w:val="000000" w:themeColor="text1"/>
                <w:lang w:val="fr-FR"/>
              </w:rPr>
              <w:t>’</w:t>
            </w:r>
            <w:r w:rsidRPr="00982D3E">
              <w:rPr>
                <w:b/>
                <w:color w:val="000000" w:themeColor="text1"/>
                <w:lang w:val="fr-FR"/>
              </w:rPr>
              <w:t>examinateurs (années)</w:t>
            </w:r>
          </w:p>
        </w:tc>
        <w:tc>
          <w:tcPr>
            <w:tcW w:w="2914" w:type="dxa"/>
            <w:tcBorders>
              <w:top w:val="single" w:sz="4" w:space="0" w:color="auto"/>
              <w:left w:val="single" w:sz="4" w:space="0" w:color="auto"/>
              <w:bottom w:val="single" w:sz="4" w:space="0" w:color="auto"/>
              <w:right w:val="single" w:sz="4" w:space="0" w:color="auto"/>
            </w:tcBorders>
            <w:hideMark/>
          </w:tcPr>
          <w:p w14:paraId="70529E17" w14:textId="77777777" w:rsidR="005D71D4" w:rsidRPr="00982D3E" w:rsidRDefault="005D71D4" w:rsidP="00D15D07">
            <w:pPr>
              <w:suppressAutoHyphens/>
              <w:rPr>
                <w:rFonts w:eastAsia="Times New Roman"/>
                <w:b/>
                <w:bCs/>
                <w:color w:val="000000" w:themeColor="text1"/>
                <w:szCs w:val="24"/>
                <w:lang w:val="fr-FR"/>
              </w:rPr>
            </w:pPr>
            <w:r w:rsidRPr="00982D3E">
              <w:rPr>
                <w:b/>
                <w:color w:val="000000" w:themeColor="text1"/>
                <w:lang w:val="fr-FR"/>
              </w:rPr>
              <w:t>Détail des qualifications</w:t>
            </w:r>
          </w:p>
        </w:tc>
      </w:tr>
      <w:tr w:rsidR="005D71D4" w:rsidRPr="00982D3E" w14:paraId="3E9EC16C" w14:textId="77777777" w:rsidTr="004775D6">
        <w:trPr>
          <w:cantSplit/>
        </w:trPr>
        <w:tc>
          <w:tcPr>
            <w:tcW w:w="2185" w:type="dxa"/>
            <w:tcBorders>
              <w:top w:val="single" w:sz="4" w:space="0" w:color="auto"/>
              <w:left w:val="single" w:sz="4" w:space="0" w:color="auto"/>
              <w:bottom w:val="single" w:sz="4" w:space="0" w:color="auto"/>
              <w:right w:val="single" w:sz="4" w:space="0" w:color="auto"/>
            </w:tcBorders>
            <w:hideMark/>
          </w:tcPr>
          <w:p w14:paraId="72E7B38E" w14:textId="77777777" w:rsidR="005D71D4" w:rsidRPr="00982D3E" w:rsidRDefault="005D71D4" w:rsidP="00D15D07">
            <w:pPr>
              <w:keepNext/>
              <w:keepLines/>
              <w:suppressAutoHyphens/>
              <w:rPr>
                <w:rFonts w:eastAsia="Times New Roman"/>
                <w:color w:val="000000" w:themeColor="text1"/>
                <w:szCs w:val="22"/>
                <w:lang w:val="fr-FR"/>
              </w:rPr>
            </w:pPr>
            <w:r w:rsidRPr="00982D3E">
              <w:rPr>
                <w:color w:val="000000" w:themeColor="text1"/>
                <w:lang w:val="fr-FR"/>
              </w:rPr>
              <w:t>Mécanique</w:t>
            </w:r>
          </w:p>
        </w:tc>
        <w:tc>
          <w:tcPr>
            <w:tcW w:w="1638" w:type="dxa"/>
            <w:tcBorders>
              <w:top w:val="single" w:sz="4" w:space="0" w:color="auto"/>
              <w:left w:val="single" w:sz="4" w:space="0" w:color="auto"/>
              <w:bottom w:val="single" w:sz="4" w:space="0" w:color="auto"/>
              <w:right w:val="single" w:sz="4" w:space="0" w:color="auto"/>
            </w:tcBorders>
          </w:tcPr>
          <w:p w14:paraId="3DE04486" w14:textId="77777777" w:rsidR="005D71D4" w:rsidRPr="00982D3E" w:rsidRDefault="005D71D4" w:rsidP="00D15D07">
            <w:pPr>
              <w:jc w:val="both"/>
              <w:rPr>
                <w:rFonts w:eastAsia="Times New Roman"/>
                <w:color w:val="000000" w:themeColor="text1"/>
                <w:szCs w:val="22"/>
                <w:lang w:val="fr-FR"/>
              </w:rPr>
            </w:pPr>
            <w:r w:rsidRPr="00982D3E">
              <w:rPr>
                <w:color w:val="000000" w:themeColor="text1"/>
                <w:lang w:val="fr-FR"/>
              </w:rPr>
              <w:t>58</w:t>
            </w:r>
          </w:p>
        </w:tc>
        <w:tc>
          <w:tcPr>
            <w:tcW w:w="1842" w:type="dxa"/>
            <w:tcBorders>
              <w:top w:val="single" w:sz="4" w:space="0" w:color="auto"/>
              <w:left w:val="single" w:sz="4" w:space="0" w:color="auto"/>
              <w:bottom w:val="single" w:sz="4" w:space="0" w:color="auto"/>
              <w:right w:val="single" w:sz="4" w:space="0" w:color="auto"/>
            </w:tcBorders>
          </w:tcPr>
          <w:p w14:paraId="5FB19EEC" w14:textId="77777777" w:rsidR="005D71D4" w:rsidRPr="00982D3E" w:rsidRDefault="005D71D4" w:rsidP="00D15D07">
            <w:pPr>
              <w:jc w:val="both"/>
              <w:rPr>
                <w:rFonts w:eastAsia="Times New Roman"/>
                <w:color w:val="000000" w:themeColor="text1"/>
                <w:szCs w:val="22"/>
                <w:lang w:val="fr-FR"/>
              </w:rPr>
            </w:pPr>
            <w:r w:rsidRPr="00982D3E">
              <w:rPr>
                <w:color w:val="000000" w:themeColor="text1"/>
                <w:lang w:val="fr-FR"/>
              </w:rPr>
              <w:t>15</w:t>
            </w:r>
          </w:p>
        </w:tc>
        <w:tc>
          <w:tcPr>
            <w:tcW w:w="2914" w:type="dxa"/>
            <w:tcBorders>
              <w:top w:val="single" w:sz="4" w:space="0" w:color="auto"/>
              <w:left w:val="single" w:sz="4" w:space="0" w:color="auto"/>
              <w:bottom w:val="single" w:sz="4" w:space="0" w:color="auto"/>
              <w:right w:val="single" w:sz="4" w:space="0" w:color="auto"/>
            </w:tcBorders>
          </w:tcPr>
          <w:p w14:paraId="3C2AA032" w14:textId="77777777" w:rsidR="005D71D4" w:rsidRPr="00982D3E" w:rsidRDefault="005D71D4" w:rsidP="00D15D07">
            <w:pPr>
              <w:rPr>
                <w:color w:val="000000" w:themeColor="text1"/>
                <w:szCs w:val="22"/>
                <w:lang w:val="fr-FR"/>
              </w:rPr>
            </w:pPr>
            <w:r w:rsidRPr="00982D3E">
              <w:rPr>
                <w:color w:val="000000" w:themeColor="text1"/>
                <w:lang w:val="fr-FR"/>
              </w:rPr>
              <w:t>31 ingénieurs en organisation industrielle</w:t>
            </w:r>
          </w:p>
          <w:p w14:paraId="4A507D8C" w14:textId="77777777" w:rsidR="005D71D4" w:rsidRPr="00982D3E" w:rsidRDefault="005D71D4" w:rsidP="00D15D07">
            <w:pPr>
              <w:rPr>
                <w:color w:val="000000" w:themeColor="text1"/>
                <w:szCs w:val="22"/>
                <w:lang w:val="fr-FR"/>
              </w:rPr>
            </w:pPr>
            <w:r w:rsidRPr="00982D3E">
              <w:rPr>
                <w:color w:val="000000" w:themeColor="text1"/>
                <w:lang w:val="fr-FR"/>
              </w:rPr>
              <w:t>2 docteurs en génie civil</w:t>
            </w:r>
          </w:p>
          <w:p w14:paraId="0CED4678" w14:textId="77777777" w:rsidR="005D71D4" w:rsidRPr="00982D3E" w:rsidRDefault="005D71D4" w:rsidP="00D15D07">
            <w:pPr>
              <w:rPr>
                <w:color w:val="000000" w:themeColor="text1"/>
                <w:szCs w:val="22"/>
                <w:lang w:val="fr-FR"/>
              </w:rPr>
            </w:pPr>
            <w:r w:rsidRPr="00982D3E">
              <w:rPr>
                <w:color w:val="000000" w:themeColor="text1"/>
                <w:lang w:val="fr-FR"/>
              </w:rPr>
              <w:t>5 ingénieurs du génie civil</w:t>
            </w:r>
          </w:p>
          <w:p w14:paraId="05B51E92" w14:textId="77777777" w:rsidR="005D71D4" w:rsidRPr="00982D3E" w:rsidRDefault="005D71D4" w:rsidP="00D15D07">
            <w:pPr>
              <w:rPr>
                <w:color w:val="000000" w:themeColor="text1"/>
                <w:szCs w:val="22"/>
                <w:lang w:val="fr-FR"/>
              </w:rPr>
            </w:pPr>
            <w:r w:rsidRPr="00982D3E">
              <w:rPr>
                <w:color w:val="000000" w:themeColor="text1"/>
                <w:lang w:val="fr-FR"/>
              </w:rPr>
              <w:t>4 architectes</w:t>
            </w:r>
          </w:p>
          <w:p w14:paraId="10628AA1" w14:textId="77777777" w:rsidR="005D71D4" w:rsidRPr="00982D3E" w:rsidRDefault="005D71D4" w:rsidP="00D15D07">
            <w:pPr>
              <w:rPr>
                <w:color w:val="000000" w:themeColor="text1"/>
                <w:szCs w:val="22"/>
                <w:lang w:val="fr-FR"/>
              </w:rPr>
            </w:pPr>
            <w:r w:rsidRPr="00982D3E">
              <w:rPr>
                <w:color w:val="000000" w:themeColor="text1"/>
                <w:lang w:val="fr-FR"/>
              </w:rPr>
              <w:t>3 chimistes</w:t>
            </w:r>
          </w:p>
          <w:p w14:paraId="2F6CEFD2" w14:textId="77777777" w:rsidR="005D71D4" w:rsidRPr="00982D3E" w:rsidRDefault="005D71D4" w:rsidP="00D15D07">
            <w:pPr>
              <w:rPr>
                <w:color w:val="000000" w:themeColor="text1"/>
                <w:szCs w:val="22"/>
                <w:lang w:val="fr-FR"/>
              </w:rPr>
            </w:pPr>
            <w:r w:rsidRPr="00982D3E">
              <w:rPr>
                <w:color w:val="000000" w:themeColor="text1"/>
                <w:lang w:val="fr-FR"/>
              </w:rPr>
              <w:t>2 agronomes</w:t>
            </w:r>
          </w:p>
          <w:p w14:paraId="01392103" w14:textId="1301941B" w:rsidR="005D71D4" w:rsidRPr="00982D3E" w:rsidRDefault="005D71D4" w:rsidP="00D15D07">
            <w:pPr>
              <w:rPr>
                <w:color w:val="000000" w:themeColor="text1"/>
                <w:lang w:val="fr-FR"/>
              </w:rPr>
            </w:pPr>
            <w:r w:rsidRPr="00982D3E">
              <w:rPr>
                <w:color w:val="000000" w:themeColor="text1"/>
                <w:lang w:val="fr-FR"/>
              </w:rPr>
              <w:t>2 ingénieurs de l</w:t>
            </w:r>
            <w:r w:rsidR="00C15821" w:rsidRPr="00982D3E">
              <w:rPr>
                <w:color w:val="000000" w:themeColor="text1"/>
                <w:lang w:val="fr-FR"/>
              </w:rPr>
              <w:t>’</w:t>
            </w:r>
            <w:r w:rsidRPr="00982D3E">
              <w:rPr>
                <w:color w:val="000000" w:themeColor="text1"/>
                <w:lang w:val="fr-FR"/>
              </w:rPr>
              <w:t>aéronautique</w:t>
            </w:r>
          </w:p>
          <w:p w14:paraId="07B41BC7" w14:textId="77777777" w:rsidR="005D71D4" w:rsidRPr="00982D3E" w:rsidRDefault="005D71D4" w:rsidP="00D15D07">
            <w:pPr>
              <w:rPr>
                <w:color w:val="000000" w:themeColor="text1"/>
                <w:szCs w:val="22"/>
                <w:lang w:val="fr-FR"/>
              </w:rPr>
            </w:pPr>
            <w:r w:rsidRPr="00982D3E">
              <w:rPr>
                <w:color w:val="000000" w:themeColor="text1"/>
                <w:lang w:val="fr-FR"/>
              </w:rPr>
              <w:t>1 ingénieur des mines</w:t>
            </w:r>
          </w:p>
          <w:p w14:paraId="239A50CD" w14:textId="77777777" w:rsidR="005D71D4" w:rsidRPr="00982D3E" w:rsidRDefault="005D71D4" w:rsidP="00D15D07">
            <w:pPr>
              <w:rPr>
                <w:color w:val="000000" w:themeColor="text1"/>
                <w:szCs w:val="22"/>
                <w:lang w:val="fr-FR"/>
              </w:rPr>
            </w:pPr>
            <w:r w:rsidRPr="00982D3E">
              <w:rPr>
                <w:color w:val="000000" w:themeColor="text1"/>
                <w:lang w:val="fr-FR"/>
              </w:rPr>
              <w:t>1 ingénieur forestier</w:t>
            </w:r>
          </w:p>
          <w:p w14:paraId="721A8D97" w14:textId="77777777" w:rsidR="005D71D4" w:rsidRPr="00982D3E" w:rsidRDefault="005D71D4" w:rsidP="00D15D07">
            <w:pPr>
              <w:rPr>
                <w:color w:val="000000" w:themeColor="text1"/>
                <w:szCs w:val="22"/>
                <w:lang w:val="fr-FR"/>
              </w:rPr>
            </w:pPr>
            <w:r w:rsidRPr="00982D3E">
              <w:rPr>
                <w:color w:val="000000" w:themeColor="text1"/>
                <w:lang w:val="fr-FR"/>
              </w:rPr>
              <w:t>1 ingénieur mécanicien</w:t>
            </w:r>
          </w:p>
          <w:p w14:paraId="7FB6DC7D" w14:textId="77777777" w:rsidR="005D71D4" w:rsidRPr="00982D3E" w:rsidRDefault="005D71D4" w:rsidP="00D15D07">
            <w:pPr>
              <w:rPr>
                <w:color w:val="000000" w:themeColor="text1"/>
                <w:szCs w:val="22"/>
                <w:lang w:val="fr-FR"/>
              </w:rPr>
            </w:pPr>
            <w:r w:rsidRPr="00982D3E">
              <w:rPr>
                <w:color w:val="000000" w:themeColor="text1"/>
                <w:lang w:val="fr-FR"/>
              </w:rPr>
              <w:t>1 docteur en génie mécanique</w:t>
            </w:r>
          </w:p>
          <w:p w14:paraId="2535AEF5" w14:textId="77777777" w:rsidR="005D71D4" w:rsidRPr="00982D3E" w:rsidRDefault="005D71D4" w:rsidP="00D15D07">
            <w:pPr>
              <w:rPr>
                <w:color w:val="000000" w:themeColor="text1"/>
                <w:szCs w:val="22"/>
                <w:lang w:val="fr-FR"/>
              </w:rPr>
            </w:pPr>
            <w:r w:rsidRPr="00982D3E">
              <w:rPr>
                <w:color w:val="000000" w:themeColor="text1"/>
                <w:lang w:val="fr-FR"/>
              </w:rPr>
              <w:t>1 ingénieur en mécanique navale</w:t>
            </w:r>
          </w:p>
          <w:p w14:paraId="1785B71C" w14:textId="77777777" w:rsidR="005D71D4" w:rsidRPr="00982D3E" w:rsidRDefault="005D71D4" w:rsidP="00D15D07">
            <w:pPr>
              <w:rPr>
                <w:color w:val="000000" w:themeColor="text1"/>
                <w:szCs w:val="22"/>
                <w:lang w:val="fr-FR"/>
              </w:rPr>
            </w:pPr>
            <w:r w:rsidRPr="00982D3E">
              <w:rPr>
                <w:color w:val="000000" w:themeColor="text1"/>
                <w:lang w:val="fr-FR"/>
              </w:rPr>
              <w:t>1 diplômé en chimie</w:t>
            </w:r>
          </w:p>
          <w:p w14:paraId="7FCE794C" w14:textId="77777777" w:rsidR="005D71D4" w:rsidRPr="00982D3E" w:rsidRDefault="005D71D4" w:rsidP="00D15D07">
            <w:pPr>
              <w:rPr>
                <w:color w:val="000000" w:themeColor="text1"/>
                <w:szCs w:val="22"/>
                <w:lang w:val="fr-FR"/>
              </w:rPr>
            </w:pPr>
            <w:r w:rsidRPr="00982D3E">
              <w:rPr>
                <w:color w:val="000000" w:themeColor="text1"/>
                <w:lang w:val="fr-FR"/>
              </w:rPr>
              <w:t>1 docteur en chimie</w:t>
            </w:r>
          </w:p>
          <w:p w14:paraId="2F10476E" w14:textId="77777777" w:rsidR="005D71D4" w:rsidRPr="00982D3E" w:rsidRDefault="005D71D4" w:rsidP="00D15D07">
            <w:pPr>
              <w:rPr>
                <w:color w:val="000000" w:themeColor="text1"/>
                <w:szCs w:val="22"/>
                <w:lang w:val="fr-FR"/>
              </w:rPr>
            </w:pPr>
            <w:r w:rsidRPr="00982D3E">
              <w:rPr>
                <w:color w:val="000000" w:themeColor="text1"/>
                <w:lang w:val="fr-FR"/>
              </w:rPr>
              <w:t>1 biochimiste</w:t>
            </w:r>
          </w:p>
          <w:p w14:paraId="1E911351" w14:textId="77777777" w:rsidR="005D71D4" w:rsidRPr="00982D3E" w:rsidRDefault="005D71D4" w:rsidP="00D15D07">
            <w:pPr>
              <w:rPr>
                <w:color w:val="000000" w:themeColor="text1"/>
                <w:szCs w:val="22"/>
                <w:lang w:val="fr-FR"/>
              </w:rPr>
            </w:pPr>
            <w:r w:rsidRPr="00982D3E">
              <w:rPr>
                <w:color w:val="000000" w:themeColor="text1"/>
                <w:lang w:val="fr-FR"/>
              </w:rPr>
              <w:t>1 ingénieur en technologie industrielle</w:t>
            </w:r>
          </w:p>
        </w:tc>
      </w:tr>
      <w:tr w:rsidR="005D71D4" w:rsidRPr="00982D3E" w14:paraId="145DCA95" w14:textId="77777777" w:rsidTr="004775D6">
        <w:trPr>
          <w:cantSplit/>
        </w:trPr>
        <w:tc>
          <w:tcPr>
            <w:tcW w:w="2185" w:type="dxa"/>
            <w:tcBorders>
              <w:top w:val="single" w:sz="4" w:space="0" w:color="auto"/>
              <w:left w:val="single" w:sz="4" w:space="0" w:color="auto"/>
              <w:bottom w:val="single" w:sz="4" w:space="0" w:color="auto"/>
              <w:right w:val="single" w:sz="4" w:space="0" w:color="auto"/>
            </w:tcBorders>
            <w:hideMark/>
          </w:tcPr>
          <w:p w14:paraId="6B6F3282" w14:textId="77777777" w:rsidR="005D71D4" w:rsidRPr="00982D3E" w:rsidRDefault="005D71D4" w:rsidP="00D15D07">
            <w:pPr>
              <w:keepNext/>
              <w:keepLines/>
              <w:suppressAutoHyphens/>
              <w:rPr>
                <w:rFonts w:eastAsia="Times New Roman"/>
                <w:color w:val="000000" w:themeColor="text1"/>
                <w:szCs w:val="22"/>
                <w:lang w:val="fr-FR"/>
              </w:rPr>
            </w:pPr>
            <w:r w:rsidRPr="00982D3E">
              <w:rPr>
                <w:color w:val="000000" w:themeColor="text1"/>
                <w:lang w:val="fr-FR"/>
              </w:rPr>
              <w:t>Électrique/électronique</w:t>
            </w:r>
          </w:p>
        </w:tc>
        <w:tc>
          <w:tcPr>
            <w:tcW w:w="1638" w:type="dxa"/>
            <w:tcBorders>
              <w:top w:val="single" w:sz="4" w:space="0" w:color="auto"/>
              <w:left w:val="single" w:sz="4" w:space="0" w:color="auto"/>
              <w:bottom w:val="single" w:sz="4" w:space="0" w:color="auto"/>
              <w:right w:val="single" w:sz="4" w:space="0" w:color="auto"/>
            </w:tcBorders>
          </w:tcPr>
          <w:p w14:paraId="23F1A31C" w14:textId="77777777" w:rsidR="005D71D4" w:rsidRPr="00982D3E" w:rsidRDefault="005D71D4" w:rsidP="00D15D07">
            <w:pPr>
              <w:jc w:val="both"/>
              <w:rPr>
                <w:color w:val="000000" w:themeColor="text1"/>
                <w:szCs w:val="22"/>
                <w:lang w:val="fr-FR"/>
              </w:rPr>
            </w:pPr>
            <w:r w:rsidRPr="00982D3E">
              <w:rPr>
                <w:color w:val="000000" w:themeColor="text1"/>
                <w:lang w:val="fr-FR"/>
              </w:rPr>
              <w:t>33</w:t>
            </w:r>
          </w:p>
        </w:tc>
        <w:tc>
          <w:tcPr>
            <w:tcW w:w="1842" w:type="dxa"/>
            <w:tcBorders>
              <w:top w:val="single" w:sz="4" w:space="0" w:color="auto"/>
              <w:left w:val="single" w:sz="4" w:space="0" w:color="auto"/>
              <w:bottom w:val="single" w:sz="4" w:space="0" w:color="auto"/>
              <w:right w:val="single" w:sz="4" w:space="0" w:color="auto"/>
            </w:tcBorders>
          </w:tcPr>
          <w:p w14:paraId="080B22A5" w14:textId="77777777" w:rsidR="005D71D4" w:rsidRPr="00982D3E" w:rsidRDefault="005D71D4" w:rsidP="00D15D07">
            <w:pPr>
              <w:jc w:val="both"/>
              <w:rPr>
                <w:color w:val="000000" w:themeColor="text1"/>
                <w:szCs w:val="22"/>
                <w:lang w:val="fr-FR"/>
              </w:rPr>
            </w:pPr>
            <w:r w:rsidRPr="00982D3E">
              <w:rPr>
                <w:color w:val="000000" w:themeColor="text1"/>
                <w:lang w:val="fr-FR"/>
              </w:rPr>
              <w:t>16</w:t>
            </w:r>
          </w:p>
        </w:tc>
        <w:tc>
          <w:tcPr>
            <w:tcW w:w="2914" w:type="dxa"/>
            <w:tcBorders>
              <w:top w:val="single" w:sz="4" w:space="0" w:color="auto"/>
              <w:left w:val="single" w:sz="4" w:space="0" w:color="auto"/>
              <w:bottom w:val="single" w:sz="4" w:space="0" w:color="auto"/>
              <w:right w:val="single" w:sz="4" w:space="0" w:color="auto"/>
            </w:tcBorders>
          </w:tcPr>
          <w:p w14:paraId="2E3CD3A2" w14:textId="77777777" w:rsidR="005D71D4" w:rsidRPr="00982D3E" w:rsidRDefault="005D71D4" w:rsidP="00D15D07">
            <w:pPr>
              <w:rPr>
                <w:color w:val="000000" w:themeColor="text1"/>
                <w:szCs w:val="22"/>
                <w:lang w:val="fr-FR"/>
              </w:rPr>
            </w:pPr>
            <w:r w:rsidRPr="00982D3E">
              <w:rPr>
                <w:color w:val="000000" w:themeColor="text1"/>
                <w:lang w:val="fr-FR"/>
              </w:rPr>
              <w:t>12 ingénieurs en organisation industrielle</w:t>
            </w:r>
          </w:p>
          <w:p w14:paraId="6E8FB076" w14:textId="77777777" w:rsidR="005D71D4" w:rsidRPr="00982D3E" w:rsidRDefault="005D71D4" w:rsidP="00D15D07">
            <w:pPr>
              <w:rPr>
                <w:color w:val="000000" w:themeColor="text1"/>
                <w:szCs w:val="22"/>
                <w:lang w:val="fr-FR"/>
              </w:rPr>
            </w:pPr>
            <w:r w:rsidRPr="00982D3E">
              <w:rPr>
                <w:color w:val="000000" w:themeColor="text1"/>
                <w:lang w:val="fr-FR"/>
              </w:rPr>
              <w:t>8 ingénieurs en télécommunications</w:t>
            </w:r>
          </w:p>
          <w:p w14:paraId="19718B11" w14:textId="77777777" w:rsidR="005D71D4" w:rsidRPr="00982D3E" w:rsidRDefault="005D71D4" w:rsidP="00D15D07">
            <w:pPr>
              <w:rPr>
                <w:color w:val="000000" w:themeColor="text1"/>
                <w:szCs w:val="22"/>
                <w:lang w:val="fr-FR"/>
              </w:rPr>
            </w:pPr>
            <w:r w:rsidRPr="00982D3E">
              <w:rPr>
                <w:color w:val="000000" w:themeColor="text1"/>
                <w:lang w:val="fr-FR"/>
              </w:rPr>
              <w:t>3 diplômés en physique</w:t>
            </w:r>
          </w:p>
          <w:p w14:paraId="33F0C9BE" w14:textId="77777777" w:rsidR="005D71D4" w:rsidRPr="00982D3E" w:rsidRDefault="005D71D4" w:rsidP="00D15D07">
            <w:pPr>
              <w:rPr>
                <w:color w:val="000000" w:themeColor="text1"/>
                <w:szCs w:val="22"/>
                <w:lang w:val="fr-FR"/>
              </w:rPr>
            </w:pPr>
            <w:r w:rsidRPr="00982D3E">
              <w:rPr>
                <w:color w:val="000000" w:themeColor="text1"/>
                <w:lang w:val="fr-FR"/>
              </w:rPr>
              <w:t>2 docteurs en physique</w:t>
            </w:r>
          </w:p>
          <w:p w14:paraId="37784B33" w14:textId="77777777" w:rsidR="005D71D4" w:rsidRPr="00982D3E" w:rsidRDefault="005D71D4" w:rsidP="00D15D07">
            <w:pPr>
              <w:rPr>
                <w:color w:val="000000" w:themeColor="text1"/>
                <w:szCs w:val="22"/>
                <w:lang w:val="fr-FR"/>
              </w:rPr>
            </w:pPr>
            <w:r w:rsidRPr="00982D3E">
              <w:rPr>
                <w:color w:val="000000" w:themeColor="text1"/>
                <w:lang w:val="fr-FR"/>
              </w:rPr>
              <w:t>1 ingénieur en énergie</w:t>
            </w:r>
          </w:p>
          <w:p w14:paraId="1CE9C0D1" w14:textId="77777777" w:rsidR="005D71D4" w:rsidRPr="00982D3E" w:rsidRDefault="005D71D4" w:rsidP="00D15D07">
            <w:pPr>
              <w:rPr>
                <w:color w:val="000000" w:themeColor="text1"/>
                <w:szCs w:val="22"/>
                <w:lang w:val="fr-FR"/>
              </w:rPr>
            </w:pPr>
            <w:r w:rsidRPr="00982D3E">
              <w:rPr>
                <w:color w:val="000000" w:themeColor="text1"/>
                <w:lang w:val="fr-FR"/>
              </w:rPr>
              <w:t>1 ingénieur en électronique</w:t>
            </w:r>
          </w:p>
          <w:p w14:paraId="4E96CADF" w14:textId="6E19C3EC" w:rsidR="005D71D4" w:rsidRPr="00982D3E" w:rsidRDefault="005D71D4" w:rsidP="00D15D07">
            <w:pPr>
              <w:rPr>
                <w:color w:val="000000" w:themeColor="text1"/>
                <w:szCs w:val="22"/>
                <w:lang w:val="fr-FR"/>
              </w:rPr>
            </w:pPr>
            <w:r w:rsidRPr="00982D3E">
              <w:rPr>
                <w:color w:val="000000" w:themeColor="text1"/>
                <w:lang w:val="fr-FR"/>
              </w:rPr>
              <w:t>1 ingénieur de l</w:t>
            </w:r>
            <w:r w:rsidR="00C15821" w:rsidRPr="00982D3E">
              <w:rPr>
                <w:color w:val="000000" w:themeColor="text1"/>
                <w:lang w:val="fr-FR"/>
              </w:rPr>
              <w:t>’</w:t>
            </w:r>
            <w:r w:rsidRPr="00982D3E">
              <w:rPr>
                <w:color w:val="000000" w:themeColor="text1"/>
                <w:lang w:val="fr-FR"/>
              </w:rPr>
              <w:t>aéronautique</w:t>
            </w:r>
          </w:p>
          <w:p w14:paraId="09F1A8A7" w14:textId="77777777" w:rsidR="005D71D4" w:rsidRPr="00982D3E" w:rsidRDefault="005D71D4" w:rsidP="00D15D07">
            <w:pPr>
              <w:rPr>
                <w:color w:val="000000" w:themeColor="text1"/>
                <w:szCs w:val="22"/>
                <w:lang w:val="fr-FR"/>
              </w:rPr>
            </w:pPr>
            <w:r w:rsidRPr="00982D3E">
              <w:rPr>
                <w:color w:val="000000" w:themeColor="text1"/>
                <w:lang w:val="fr-FR"/>
              </w:rPr>
              <w:t>1 ingénieur des mines</w:t>
            </w:r>
          </w:p>
          <w:p w14:paraId="16DFC7C4" w14:textId="77777777" w:rsidR="005D71D4" w:rsidRPr="00982D3E" w:rsidRDefault="005D71D4" w:rsidP="00D15D07">
            <w:pPr>
              <w:rPr>
                <w:color w:val="000000" w:themeColor="text1"/>
                <w:szCs w:val="22"/>
                <w:lang w:val="fr-FR"/>
              </w:rPr>
            </w:pPr>
            <w:r w:rsidRPr="00982D3E">
              <w:rPr>
                <w:color w:val="000000" w:themeColor="text1"/>
                <w:lang w:val="fr-FR"/>
              </w:rPr>
              <w:t>1 opticien et optométriste</w:t>
            </w:r>
          </w:p>
          <w:p w14:paraId="21FF6D6A" w14:textId="77777777" w:rsidR="005D71D4" w:rsidRPr="00982D3E" w:rsidRDefault="005D71D4" w:rsidP="00D15D07">
            <w:pPr>
              <w:rPr>
                <w:color w:val="000000" w:themeColor="text1"/>
                <w:szCs w:val="22"/>
                <w:lang w:val="fr-FR"/>
              </w:rPr>
            </w:pPr>
            <w:r w:rsidRPr="00982D3E">
              <w:rPr>
                <w:color w:val="000000" w:themeColor="text1"/>
                <w:lang w:val="fr-FR"/>
              </w:rPr>
              <w:t>1 vétérinaire et ingénieur en télécommunications</w:t>
            </w:r>
          </w:p>
          <w:p w14:paraId="5F1552B9" w14:textId="77777777" w:rsidR="005D71D4" w:rsidRPr="00982D3E" w:rsidRDefault="005D71D4" w:rsidP="00D15D07">
            <w:pPr>
              <w:rPr>
                <w:color w:val="000000" w:themeColor="text1"/>
                <w:szCs w:val="22"/>
                <w:lang w:val="fr-FR"/>
              </w:rPr>
            </w:pPr>
            <w:r w:rsidRPr="00982D3E">
              <w:rPr>
                <w:color w:val="000000" w:themeColor="text1"/>
                <w:lang w:val="fr-FR"/>
              </w:rPr>
              <w:t>1 diplômé en physique et ingénieur en organisation industrielle</w:t>
            </w:r>
          </w:p>
          <w:p w14:paraId="50136D88" w14:textId="77777777" w:rsidR="005D71D4" w:rsidRPr="00982D3E" w:rsidRDefault="005D71D4" w:rsidP="00D15D07">
            <w:pPr>
              <w:rPr>
                <w:color w:val="000000" w:themeColor="text1"/>
                <w:szCs w:val="22"/>
                <w:lang w:val="fr-FR"/>
              </w:rPr>
            </w:pPr>
            <w:r w:rsidRPr="00982D3E">
              <w:rPr>
                <w:color w:val="000000" w:themeColor="text1"/>
                <w:lang w:val="fr-FR"/>
              </w:rPr>
              <w:t>1 docteur en chimie</w:t>
            </w:r>
          </w:p>
        </w:tc>
      </w:tr>
      <w:tr w:rsidR="005D71D4" w:rsidRPr="00982D3E" w14:paraId="2888DAE1" w14:textId="77777777" w:rsidTr="004775D6">
        <w:trPr>
          <w:cantSplit/>
        </w:trPr>
        <w:tc>
          <w:tcPr>
            <w:tcW w:w="2185" w:type="dxa"/>
            <w:tcBorders>
              <w:top w:val="single" w:sz="4" w:space="0" w:color="auto"/>
              <w:left w:val="single" w:sz="4" w:space="0" w:color="auto"/>
              <w:bottom w:val="single" w:sz="4" w:space="0" w:color="auto"/>
              <w:right w:val="single" w:sz="4" w:space="0" w:color="auto"/>
            </w:tcBorders>
            <w:hideMark/>
          </w:tcPr>
          <w:p w14:paraId="6D31773D" w14:textId="77777777" w:rsidR="005D71D4" w:rsidRPr="00982D3E" w:rsidRDefault="005D71D4" w:rsidP="00D15D07">
            <w:pPr>
              <w:keepNext/>
              <w:keepLines/>
              <w:suppressAutoHyphens/>
              <w:rPr>
                <w:rFonts w:eastAsia="Times New Roman"/>
                <w:color w:val="000000" w:themeColor="text1"/>
                <w:szCs w:val="22"/>
                <w:lang w:val="fr-FR"/>
              </w:rPr>
            </w:pPr>
            <w:r w:rsidRPr="00982D3E">
              <w:rPr>
                <w:color w:val="000000" w:themeColor="text1"/>
                <w:lang w:val="fr-FR"/>
              </w:rPr>
              <w:lastRenderedPageBreak/>
              <w:t>Chimie</w:t>
            </w:r>
          </w:p>
        </w:tc>
        <w:tc>
          <w:tcPr>
            <w:tcW w:w="1638" w:type="dxa"/>
            <w:tcBorders>
              <w:top w:val="single" w:sz="4" w:space="0" w:color="auto"/>
              <w:left w:val="single" w:sz="4" w:space="0" w:color="auto"/>
              <w:bottom w:val="single" w:sz="4" w:space="0" w:color="auto"/>
              <w:right w:val="single" w:sz="4" w:space="0" w:color="auto"/>
            </w:tcBorders>
          </w:tcPr>
          <w:p w14:paraId="1DB85972" w14:textId="77777777" w:rsidR="005D71D4" w:rsidRPr="00982D3E" w:rsidRDefault="005D71D4" w:rsidP="00D15D07">
            <w:pPr>
              <w:jc w:val="both"/>
              <w:rPr>
                <w:color w:val="000000" w:themeColor="text1"/>
                <w:szCs w:val="22"/>
                <w:lang w:val="fr-FR"/>
              </w:rPr>
            </w:pPr>
            <w:r w:rsidRPr="00982D3E">
              <w:rPr>
                <w:color w:val="000000" w:themeColor="text1"/>
                <w:lang w:val="fr-FR"/>
              </w:rPr>
              <w:t>19</w:t>
            </w:r>
          </w:p>
        </w:tc>
        <w:tc>
          <w:tcPr>
            <w:tcW w:w="1842" w:type="dxa"/>
            <w:tcBorders>
              <w:top w:val="single" w:sz="4" w:space="0" w:color="auto"/>
              <w:left w:val="single" w:sz="4" w:space="0" w:color="auto"/>
              <w:bottom w:val="single" w:sz="4" w:space="0" w:color="auto"/>
              <w:right w:val="single" w:sz="4" w:space="0" w:color="auto"/>
            </w:tcBorders>
          </w:tcPr>
          <w:p w14:paraId="444C2EAC" w14:textId="77777777" w:rsidR="005D71D4" w:rsidRPr="00982D3E" w:rsidRDefault="005D71D4" w:rsidP="00D15D07">
            <w:pPr>
              <w:jc w:val="both"/>
              <w:rPr>
                <w:color w:val="000000" w:themeColor="text1"/>
                <w:szCs w:val="22"/>
                <w:lang w:val="fr-FR"/>
              </w:rPr>
            </w:pPr>
            <w:r w:rsidRPr="00982D3E">
              <w:rPr>
                <w:color w:val="000000" w:themeColor="text1"/>
                <w:lang w:val="fr-FR"/>
              </w:rPr>
              <w:t>14</w:t>
            </w:r>
          </w:p>
        </w:tc>
        <w:tc>
          <w:tcPr>
            <w:tcW w:w="2914" w:type="dxa"/>
            <w:tcBorders>
              <w:top w:val="single" w:sz="4" w:space="0" w:color="auto"/>
              <w:left w:val="single" w:sz="4" w:space="0" w:color="auto"/>
              <w:bottom w:val="single" w:sz="4" w:space="0" w:color="auto"/>
              <w:right w:val="single" w:sz="4" w:space="0" w:color="auto"/>
            </w:tcBorders>
          </w:tcPr>
          <w:p w14:paraId="39A76888" w14:textId="77777777" w:rsidR="005D71D4" w:rsidRPr="00982D3E" w:rsidRDefault="005D71D4" w:rsidP="00D15D07">
            <w:pPr>
              <w:jc w:val="both"/>
              <w:rPr>
                <w:color w:val="000000" w:themeColor="text1"/>
                <w:szCs w:val="22"/>
                <w:lang w:val="fr-FR"/>
              </w:rPr>
            </w:pPr>
            <w:r w:rsidRPr="00982D3E">
              <w:rPr>
                <w:color w:val="000000" w:themeColor="text1"/>
                <w:lang w:val="fr-FR"/>
              </w:rPr>
              <w:t>10 ingénieurs chimistes</w:t>
            </w:r>
          </w:p>
          <w:p w14:paraId="66620065" w14:textId="77777777" w:rsidR="005D71D4" w:rsidRPr="00982D3E" w:rsidRDefault="005D71D4" w:rsidP="00D15D07">
            <w:pPr>
              <w:jc w:val="both"/>
              <w:rPr>
                <w:color w:val="000000" w:themeColor="text1"/>
                <w:szCs w:val="22"/>
                <w:lang w:val="fr-FR"/>
              </w:rPr>
            </w:pPr>
            <w:r w:rsidRPr="00982D3E">
              <w:rPr>
                <w:color w:val="000000" w:themeColor="text1"/>
                <w:lang w:val="fr-FR"/>
              </w:rPr>
              <w:t>2 docteurs en chimie</w:t>
            </w:r>
          </w:p>
          <w:p w14:paraId="58B61E79" w14:textId="77777777" w:rsidR="005D71D4" w:rsidRPr="00982D3E" w:rsidRDefault="005D71D4" w:rsidP="00D15D07">
            <w:pPr>
              <w:jc w:val="both"/>
              <w:rPr>
                <w:color w:val="000000" w:themeColor="text1"/>
                <w:szCs w:val="22"/>
                <w:lang w:val="fr-FR"/>
              </w:rPr>
            </w:pPr>
            <w:r w:rsidRPr="00982D3E">
              <w:rPr>
                <w:color w:val="000000" w:themeColor="text1"/>
                <w:lang w:val="fr-FR"/>
              </w:rPr>
              <w:t>1 docteur en génie chimique</w:t>
            </w:r>
          </w:p>
          <w:p w14:paraId="5DBBE47E" w14:textId="77777777" w:rsidR="005D71D4" w:rsidRPr="00982D3E" w:rsidRDefault="005D71D4" w:rsidP="00D15D07">
            <w:pPr>
              <w:jc w:val="both"/>
              <w:rPr>
                <w:color w:val="000000" w:themeColor="text1"/>
                <w:szCs w:val="22"/>
                <w:lang w:val="fr-FR"/>
              </w:rPr>
            </w:pPr>
            <w:r w:rsidRPr="00982D3E">
              <w:rPr>
                <w:color w:val="000000" w:themeColor="text1"/>
                <w:lang w:val="fr-FR"/>
              </w:rPr>
              <w:t>1 pharmacien</w:t>
            </w:r>
          </w:p>
          <w:p w14:paraId="0C399C21" w14:textId="77777777" w:rsidR="005D71D4" w:rsidRPr="00982D3E" w:rsidRDefault="005D71D4" w:rsidP="00D15D07">
            <w:pPr>
              <w:jc w:val="both"/>
              <w:rPr>
                <w:color w:val="000000" w:themeColor="text1"/>
                <w:szCs w:val="22"/>
                <w:lang w:val="fr-FR"/>
              </w:rPr>
            </w:pPr>
            <w:r w:rsidRPr="00982D3E">
              <w:rPr>
                <w:color w:val="000000" w:themeColor="text1"/>
                <w:lang w:val="fr-FR"/>
              </w:rPr>
              <w:t>1 docteur en pharmacie</w:t>
            </w:r>
          </w:p>
          <w:p w14:paraId="1927561D" w14:textId="77777777" w:rsidR="005D71D4" w:rsidRPr="00982D3E" w:rsidRDefault="005D71D4" w:rsidP="00D15D07">
            <w:pPr>
              <w:jc w:val="both"/>
              <w:rPr>
                <w:color w:val="000000" w:themeColor="text1"/>
                <w:szCs w:val="22"/>
                <w:lang w:val="fr-FR"/>
              </w:rPr>
            </w:pPr>
            <w:r w:rsidRPr="00982D3E">
              <w:rPr>
                <w:color w:val="000000" w:themeColor="text1"/>
                <w:lang w:val="fr-FR"/>
              </w:rPr>
              <w:t>1 chimiste</w:t>
            </w:r>
          </w:p>
          <w:p w14:paraId="151F4BE3" w14:textId="77777777" w:rsidR="005D71D4" w:rsidRPr="00982D3E" w:rsidRDefault="005D71D4" w:rsidP="00D15D07">
            <w:pPr>
              <w:jc w:val="both"/>
              <w:rPr>
                <w:color w:val="000000" w:themeColor="text1"/>
                <w:szCs w:val="22"/>
                <w:lang w:val="fr-FR"/>
              </w:rPr>
            </w:pPr>
            <w:r w:rsidRPr="00982D3E">
              <w:rPr>
                <w:color w:val="000000" w:themeColor="text1"/>
                <w:lang w:val="fr-FR"/>
              </w:rPr>
              <w:t>1 diplômé en chimie</w:t>
            </w:r>
          </w:p>
          <w:p w14:paraId="6CAF0387" w14:textId="77777777" w:rsidR="005D71D4" w:rsidRPr="00982D3E" w:rsidRDefault="005D71D4" w:rsidP="00D15D07">
            <w:pPr>
              <w:jc w:val="both"/>
              <w:rPr>
                <w:color w:val="000000" w:themeColor="text1"/>
                <w:szCs w:val="22"/>
                <w:lang w:val="fr-FR"/>
              </w:rPr>
            </w:pPr>
            <w:r w:rsidRPr="00982D3E">
              <w:rPr>
                <w:color w:val="000000" w:themeColor="text1"/>
                <w:lang w:val="fr-FR"/>
              </w:rPr>
              <w:t>1 diplômé en chimie et docteur en physique</w:t>
            </w:r>
          </w:p>
          <w:p w14:paraId="11273780" w14:textId="1D34D359" w:rsidR="005D71D4" w:rsidRPr="00982D3E" w:rsidRDefault="005D71D4" w:rsidP="00D15D07">
            <w:pPr>
              <w:jc w:val="both"/>
              <w:rPr>
                <w:color w:val="000000" w:themeColor="text1"/>
                <w:szCs w:val="22"/>
                <w:lang w:val="fr-FR"/>
              </w:rPr>
            </w:pPr>
            <w:r w:rsidRPr="00982D3E">
              <w:rPr>
                <w:color w:val="000000" w:themeColor="text1"/>
                <w:lang w:val="fr-FR"/>
              </w:rPr>
              <w:t>1 diplômé en sciences de l</w:t>
            </w:r>
            <w:r w:rsidR="00C15821" w:rsidRPr="00982D3E">
              <w:rPr>
                <w:color w:val="000000" w:themeColor="text1"/>
                <w:lang w:val="fr-FR"/>
              </w:rPr>
              <w:t>’</w:t>
            </w:r>
            <w:r w:rsidRPr="00982D3E">
              <w:rPr>
                <w:color w:val="000000" w:themeColor="text1"/>
                <w:lang w:val="fr-FR"/>
              </w:rPr>
              <w:t>environnement et docteur en chimie</w:t>
            </w:r>
          </w:p>
        </w:tc>
      </w:tr>
      <w:tr w:rsidR="005D71D4" w:rsidRPr="00982D3E" w14:paraId="56702E0B" w14:textId="77777777" w:rsidTr="004775D6">
        <w:trPr>
          <w:cantSplit/>
        </w:trPr>
        <w:tc>
          <w:tcPr>
            <w:tcW w:w="2185" w:type="dxa"/>
            <w:tcBorders>
              <w:top w:val="single" w:sz="4" w:space="0" w:color="auto"/>
              <w:left w:val="single" w:sz="4" w:space="0" w:color="auto"/>
              <w:bottom w:val="single" w:sz="4" w:space="0" w:color="auto"/>
              <w:right w:val="single" w:sz="4" w:space="0" w:color="auto"/>
            </w:tcBorders>
            <w:hideMark/>
          </w:tcPr>
          <w:p w14:paraId="2541B81D" w14:textId="77777777" w:rsidR="005D71D4" w:rsidRPr="00982D3E" w:rsidRDefault="005D71D4" w:rsidP="00D15D07">
            <w:pPr>
              <w:keepNext/>
              <w:keepLines/>
              <w:suppressAutoHyphens/>
              <w:rPr>
                <w:rFonts w:eastAsia="Times New Roman"/>
                <w:color w:val="000000" w:themeColor="text1"/>
                <w:szCs w:val="22"/>
                <w:lang w:val="fr-FR"/>
              </w:rPr>
            </w:pPr>
            <w:r w:rsidRPr="00982D3E">
              <w:rPr>
                <w:color w:val="000000" w:themeColor="text1"/>
                <w:lang w:val="fr-FR"/>
              </w:rPr>
              <w:t>Biotechnologie</w:t>
            </w:r>
          </w:p>
        </w:tc>
        <w:tc>
          <w:tcPr>
            <w:tcW w:w="1638" w:type="dxa"/>
            <w:tcBorders>
              <w:top w:val="single" w:sz="4" w:space="0" w:color="auto"/>
              <w:left w:val="single" w:sz="4" w:space="0" w:color="auto"/>
              <w:bottom w:val="single" w:sz="4" w:space="0" w:color="auto"/>
              <w:right w:val="single" w:sz="4" w:space="0" w:color="auto"/>
            </w:tcBorders>
          </w:tcPr>
          <w:p w14:paraId="65410A39" w14:textId="77777777" w:rsidR="005D71D4" w:rsidRPr="00982D3E" w:rsidRDefault="005D71D4" w:rsidP="00D15D07">
            <w:pPr>
              <w:jc w:val="both"/>
              <w:rPr>
                <w:color w:val="000000" w:themeColor="text1"/>
                <w:szCs w:val="22"/>
                <w:lang w:val="fr-FR"/>
              </w:rPr>
            </w:pPr>
            <w:r w:rsidRPr="00982D3E">
              <w:rPr>
                <w:color w:val="000000" w:themeColor="text1"/>
                <w:lang w:val="fr-FR"/>
              </w:rPr>
              <w:t>21</w:t>
            </w:r>
          </w:p>
        </w:tc>
        <w:tc>
          <w:tcPr>
            <w:tcW w:w="1842" w:type="dxa"/>
            <w:tcBorders>
              <w:top w:val="single" w:sz="4" w:space="0" w:color="auto"/>
              <w:left w:val="single" w:sz="4" w:space="0" w:color="auto"/>
              <w:bottom w:val="single" w:sz="4" w:space="0" w:color="auto"/>
              <w:right w:val="single" w:sz="4" w:space="0" w:color="auto"/>
            </w:tcBorders>
          </w:tcPr>
          <w:p w14:paraId="0B3216CF" w14:textId="77777777" w:rsidR="005D71D4" w:rsidRPr="00982D3E" w:rsidRDefault="005D71D4" w:rsidP="00D15D07">
            <w:pPr>
              <w:jc w:val="both"/>
              <w:rPr>
                <w:color w:val="000000" w:themeColor="text1"/>
                <w:szCs w:val="22"/>
                <w:lang w:val="fr-FR"/>
              </w:rPr>
            </w:pPr>
            <w:r w:rsidRPr="00982D3E">
              <w:rPr>
                <w:color w:val="000000" w:themeColor="text1"/>
                <w:lang w:val="fr-FR"/>
              </w:rPr>
              <w:t>20,5</w:t>
            </w:r>
          </w:p>
        </w:tc>
        <w:tc>
          <w:tcPr>
            <w:tcW w:w="2914" w:type="dxa"/>
            <w:tcBorders>
              <w:top w:val="single" w:sz="4" w:space="0" w:color="auto"/>
              <w:left w:val="single" w:sz="4" w:space="0" w:color="auto"/>
              <w:bottom w:val="single" w:sz="4" w:space="0" w:color="auto"/>
              <w:right w:val="single" w:sz="4" w:space="0" w:color="auto"/>
            </w:tcBorders>
          </w:tcPr>
          <w:p w14:paraId="1BA1BE78" w14:textId="77777777" w:rsidR="005D71D4" w:rsidRPr="00982D3E" w:rsidRDefault="005D71D4" w:rsidP="00D15D07">
            <w:pPr>
              <w:rPr>
                <w:color w:val="000000" w:themeColor="text1"/>
                <w:szCs w:val="22"/>
                <w:lang w:val="fr-FR"/>
              </w:rPr>
            </w:pPr>
            <w:r w:rsidRPr="00982D3E">
              <w:rPr>
                <w:color w:val="000000" w:themeColor="text1"/>
                <w:lang w:val="fr-FR"/>
              </w:rPr>
              <w:t>5 diplômés en biologie</w:t>
            </w:r>
          </w:p>
          <w:p w14:paraId="2714CF12" w14:textId="77777777" w:rsidR="005D71D4" w:rsidRPr="00982D3E" w:rsidRDefault="005D71D4" w:rsidP="00D15D07">
            <w:pPr>
              <w:rPr>
                <w:color w:val="000000" w:themeColor="text1"/>
                <w:szCs w:val="22"/>
                <w:lang w:val="fr-FR"/>
              </w:rPr>
            </w:pPr>
            <w:r w:rsidRPr="00982D3E">
              <w:rPr>
                <w:color w:val="000000" w:themeColor="text1"/>
                <w:lang w:val="fr-FR"/>
              </w:rPr>
              <w:t>4 docteurs en biologie</w:t>
            </w:r>
          </w:p>
          <w:p w14:paraId="6458B855" w14:textId="77777777" w:rsidR="005D71D4" w:rsidRPr="00982D3E" w:rsidRDefault="005D71D4" w:rsidP="00D15D07">
            <w:pPr>
              <w:rPr>
                <w:color w:val="000000" w:themeColor="text1"/>
                <w:szCs w:val="22"/>
                <w:lang w:val="fr-FR"/>
              </w:rPr>
            </w:pPr>
            <w:r w:rsidRPr="00982D3E">
              <w:rPr>
                <w:color w:val="000000" w:themeColor="text1"/>
                <w:lang w:val="fr-FR"/>
              </w:rPr>
              <w:t>3 diplômés en chimie</w:t>
            </w:r>
          </w:p>
          <w:p w14:paraId="3AA48A11" w14:textId="77777777" w:rsidR="005D71D4" w:rsidRPr="00982D3E" w:rsidRDefault="005D71D4" w:rsidP="00D15D07">
            <w:pPr>
              <w:rPr>
                <w:color w:val="000000" w:themeColor="text1"/>
                <w:szCs w:val="22"/>
                <w:lang w:val="fr-FR"/>
              </w:rPr>
            </w:pPr>
            <w:r w:rsidRPr="00982D3E">
              <w:rPr>
                <w:color w:val="000000" w:themeColor="text1"/>
                <w:lang w:val="fr-FR"/>
              </w:rPr>
              <w:t>1 ingénieur chimiste</w:t>
            </w:r>
          </w:p>
          <w:p w14:paraId="55518B50" w14:textId="77777777" w:rsidR="005D71D4" w:rsidRPr="00982D3E" w:rsidRDefault="005D71D4" w:rsidP="00D15D07">
            <w:pPr>
              <w:rPr>
                <w:color w:val="000000" w:themeColor="text1"/>
                <w:szCs w:val="22"/>
                <w:lang w:val="fr-FR"/>
              </w:rPr>
            </w:pPr>
            <w:r w:rsidRPr="00982D3E">
              <w:rPr>
                <w:color w:val="000000" w:themeColor="text1"/>
                <w:lang w:val="fr-FR"/>
              </w:rPr>
              <w:t>1 biologiste</w:t>
            </w:r>
          </w:p>
          <w:p w14:paraId="345A4D70" w14:textId="77777777" w:rsidR="005D71D4" w:rsidRPr="00982D3E" w:rsidRDefault="005D71D4" w:rsidP="00D15D07">
            <w:pPr>
              <w:rPr>
                <w:color w:val="000000" w:themeColor="text1"/>
                <w:szCs w:val="22"/>
                <w:lang w:val="fr-FR"/>
              </w:rPr>
            </w:pPr>
            <w:r w:rsidRPr="00982D3E">
              <w:rPr>
                <w:color w:val="000000" w:themeColor="text1"/>
                <w:lang w:val="fr-FR"/>
              </w:rPr>
              <w:t>1 docteur en biotechnologie</w:t>
            </w:r>
          </w:p>
          <w:p w14:paraId="07597F35" w14:textId="77777777" w:rsidR="005D71D4" w:rsidRPr="00982D3E" w:rsidRDefault="005D71D4" w:rsidP="00D15D07">
            <w:pPr>
              <w:rPr>
                <w:color w:val="000000" w:themeColor="text1"/>
                <w:szCs w:val="22"/>
                <w:lang w:val="fr-FR"/>
              </w:rPr>
            </w:pPr>
            <w:r w:rsidRPr="00982D3E">
              <w:rPr>
                <w:color w:val="000000" w:themeColor="text1"/>
                <w:lang w:val="fr-FR"/>
              </w:rPr>
              <w:t>1 pharmacien</w:t>
            </w:r>
          </w:p>
          <w:p w14:paraId="0F71CC9A" w14:textId="77777777" w:rsidR="005D71D4" w:rsidRPr="00982D3E" w:rsidRDefault="005D71D4" w:rsidP="00D15D07">
            <w:pPr>
              <w:rPr>
                <w:color w:val="000000" w:themeColor="text1"/>
                <w:szCs w:val="22"/>
                <w:lang w:val="fr-FR"/>
              </w:rPr>
            </w:pPr>
            <w:r w:rsidRPr="00982D3E">
              <w:rPr>
                <w:color w:val="000000" w:themeColor="text1"/>
                <w:lang w:val="fr-FR"/>
              </w:rPr>
              <w:t>1 docteur en pharmacologie</w:t>
            </w:r>
          </w:p>
          <w:p w14:paraId="1BC2FA34" w14:textId="77777777" w:rsidR="005D71D4" w:rsidRPr="00982D3E" w:rsidRDefault="005D71D4" w:rsidP="00D15D07">
            <w:pPr>
              <w:rPr>
                <w:color w:val="000000" w:themeColor="text1"/>
                <w:szCs w:val="22"/>
                <w:lang w:val="fr-FR"/>
              </w:rPr>
            </w:pPr>
            <w:r w:rsidRPr="00982D3E">
              <w:rPr>
                <w:color w:val="000000" w:themeColor="text1"/>
                <w:lang w:val="fr-FR"/>
              </w:rPr>
              <w:t>1 ingénieur forestier</w:t>
            </w:r>
          </w:p>
          <w:p w14:paraId="22055098" w14:textId="77777777" w:rsidR="005D71D4" w:rsidRPr="00982D3E" w:rsidRDefault="005D71D4" w:rsidP="00D15D07">
            <w:pPr>
              <w:rPr>
                <w:color w:val="000000" w:themeColor="text1"/>
                <w:szCs w:val="22"/>
                <w:lang w:val="fr-FR"/>
              </w:rPr>
            </w:pPr>
            <w:r w:rsidRPr="00982D3E">
              <w:rPr>
                <w:color w:val="000000" w:themeColor="text1"/>
                <w:lang w:val="fr-FR"/>
              </w:rPr>
              <w:t>1 diplômé en biochimie et biologie moléculaire</w:t>
            </w:r>
          </w:p>
          <w:p w14:paraId="40F1976F" w14:textId="77777777" w:rsidR="005D71D4" w:rsidRPr="00982D3E" w:rsidRDefault="005D71D4" w:rsidP="00D15D07">
            <w:pPr>
              <w:rPr>
                <w:color w:val="000000" w:themeColor="text1"/>
                <w:szCs w:val="22"/>
                <w:lang w:val="fr-FR"/>
              </w:rPr>
            </w:pPr>
            <w:r w:rsidRPr="00982D3E">
              <w:rPr>
                <w:color w:val="000000" w:themeColor="text1"/>
                <w:lang w:val="fr-FR"/>
              </w:rPr>
              <w:t>1 docteur en biologie moléculaire</w:t>
            </w:r>
          </w:p>
          <w:p w14:paraId="0F4B4A5B" w14:textId="2FC41E01" w:rsidR="005D71D4" w:rsidRPr="00982D3E" w:rsidRDefault="005D71D4" w:rsidP="00D15D07">
            <w:pPr>
              <w:rPr>
                <w:color w:val="000000" w:themeColor="text1"/>
                <w:szCs w:val="22"/>
                <w:lang w:val="fr-FR"/>
              </w:rPr>
            </w:pPr>
            <w:r w:rsidRPr="00982D3E">
              <w:rPr>
                <w:color w:val="000000" w:themeColor="text1"/>
                <w:lang w:val="fr-FR"/>
              </w:rPr>
              <w:t>1 diplômé en biochimie et titulaire d</w:t>
            </w:r>
            <w:r w:rsidR="00C15821" w:rsidRPr="00982D3E">
              <w:rPr>
                <w:color w:val="000000" w:themeColor="text1"/>
                <w:lang w:val="fr-FR"/>
              </w:rPr>
              <w:t>’</w:t>
            </w:r>
            <w:r w:rsidRPr="00982D3E">
              <w:rPr>
                <w:color w:val="000000" w:themeColor="text1"/>
                <w:lang w:val="fr-FR"/>
              </w:rPr>
              <w:t>un master de neurosciences</w:t>
            </w:r>
          </w:p>
        </w:tc>
      </w:tr>
      <w:tr w:rsidR="005D71D4" w:rsidRPr="00982D3E" w14:paraId="6AF650EF" w14:textId="77777777" w:rsidTr="004775D6">
        <w:trPr>
          <w:cantSplit/>
        </w:trPr>
        <w:tc>
          <w:tcPr>
            <w:tcW w:w="2185" w:type="dxa"/>
            <w:tcBorders>
              <w:top w:val="single" w:sz="4" w:space="0" w:color="auto"/>
              <w:left w:val="single" w:sz="4" w:space="0" w:color="auto"/>
              <w:bottom w:val="single" w:sz="4" w:space="0" w:color="auto"/>
              <w:right w:val="single" w:sz="4" w:space="0" w:color="auto"/>
            </w:tcBorders>
            <w:hideMark/>
          </w:tcPr>
          <w:p w14:paraId="28A3438C" w14:textId="77777777" w:rsidR="005D71D4" w:rsidRPr="00982D3E" w:rsidRDefault="005D71D4" w:rsidP="00D15D07">
            <w:pPr>
              <w:suppressAutoHyphens/>
              <w:rPr>
                <w:rFonts w:eastAsia="Times New Roman"/>
                <w:i/>
                <w:iCs/>
                <w:color w:val="000000" w:themeColor="text1"/>
                <w:szCs w:val="22"/>
                <w:lang w:val="fr-FR"/>
              </w:rPr>
            </w:pPr>
            <w:r w:rsidRPr="00982D3E">
              <w:rPr>
                <w:i/>
                <w:color w:val="000000" w:themeColor="text1"/>
                <w:lang w:val="fr-FR"/>
              </w:rPr>
              <w:t>Total</w:t>
            </w:r>
          </w:p>
        </w:tc>
        <w:tc>
          <w:tcPr>
            <w:tcW w:w="1638" w:type="dxa"/>
            <w:tcBorders>
              <w:top w:val="single" w:sz="4" w:space="0" w:color="auto"/>
              <w:left w:val="single" w:sz="4" w:space="0" w:color="auto"/>
              <w:bottom w:val="single" w:sz="4" w:space="0" w:color="auto"/>
              <w:right w:val="single" w:sz="4" w:space="0" w:color="auto"/>
            </w:tcBorders>
          </w:tcPr>
          <w:p w14:paraId="1A632CC0" w14:textId="77777777" w:rsidR="005D71D4" w:rsidRPr="00982D3E" w:rsidRDefault="005D71D4" w:rsidP="00D15D07">
            <w:pPr>
              <w:jc w:val="both"/>
              <w:rPr>
                <w:color w:val="000000" w:themeColor="text1"/>
                <w:szCs w:val="22"/>
                <w:lang w:val="fr-FR"/>
              </w:rPr>
            </w:pPr>
            <w:r w:rsidRPr="00982D3E">
              <w:rPr>
                <w:color w:val="000000" w:themeColor="text1"/>
                <w:lang w:val="fr-FR"/>
              </w:rPr>
              <w:t>131</w:t>
            </w:r>
          </w:p>
        </w:tc>
        <w:tc>
          <w:tcPr>
            <w:tcW w:w="1842" w:type="dxa"/>
            <w:tcBorders>
              <w:top w:val="single" w:sz="4" w:space="0" w:color="auto"/>
              <w:left w:val="single" w:sz="4" w:space="0" w:color="auto"/>
              <w:bottom w:val="single" w:sz="4" w:space="0" w:color="auto"/>
              <w:right w:val="single" w:sz="4" w:space="0" w:color="auto"/>
            </w:tcBorders>
          </w:tcPr>
          <w:p w14:paraId="69B881E3" w14:textId="77777777" w:rsidR="005D71D4" w:rsidRPr="00982D3E" w:rsidRDefault="005D71D4" w:rsidP="00D15D07">
            <w:pPr>
              <w:jc w:val="both"/>
              <w:rPr>
                <w:color w:val="000000" w:themeColor="text1"/>
                <w:szCs w:val="22"/>
                <w:lang w:val="fr-FR"/>
              </w:rPr>
            </w:pPr>
            <w:r w:rsidRPr="00982D3E">
              <w:rPr>
                <w:color w:val="000000" w:themeColor="text1"/>
                <w:lang w:val="fr-FR"/>
              </w:rPr>
              <w:t>16,4</w:t>
            </w:r>
          </w:p>
        </w:tc>
        <w:tc>
          <w:tcPr>
            <w:tcW w:w="2914" w:type="dxa"/>
            <w:tcBorders>
              <w:top w:val="single" w:sz="4" w:space="0" w:color="auto"/>
              <w:left w:val="single" w:sz="4" w:space="0" w:color="auto"/>
              <w:bottom w:val="single" w:sz="4" w:space="0" w:color="auto"/>
              <w:right w:val="single" w:sz="4" w:space="0" w:color="auto"/>
            </w:tcBorders>
          </w:tcPr>
          <w:p w14:paraId="665BCDE2" w14:textId="77777777" w:rsidR="005D71D4" w:rsidRPr="00982D3E" w:rsidRDefault="005D71D4" w:rsidP="00D15D07">
            <w:pPr>
              <w:jc w:val="both"/>
              <w:rPr>
                <w:color w:val="000000" w:themeColor="text1"/>
                <w:szCs w:val="22"/>
                <w:lang w:val="fr-FR"/>
              </w:rPr>
            </w:pPr>
          </w:p>
        </w:tc>
      </w:tr>
    </w:tbl>
    <w:p w14:paraId="068BC801" w14:textId="77777777" w:rsidR="005D71D4" w:rsidRPr="00982D3E" w:rsidRDefault="005D71D4" w:rsidP="00D15D07">
      <w:pPr>
        <w:pStyle w:val="RuleQuote"/>
        <w:ind w:left="0"/>
        <w:rPr>
          <w:i w:val="0"/>
          <w:color w:val="000000" w:themeColor="text1"/>
        </w:rPr>
      </w:pPr>
    </w:p>
    <w:p w14:paraId="50F1766C" w14:textId="4A375754" w:rsidR="00C15821" w:rsidRPr="00982D3E" w:rsidRDefault="005D71D4" w:rsidP="00D15D07">
      <w:pPr>
        <w:pStyle w:val="RuleQuote"/>
        <w:ind w:left="0"/>
        <w:rPr>
          <w:i w:val="0"/>
          <w:color w:val="000000" w:themeColor="text1"/>
        </w:rPr>
      </w:pPr>
      <w:r w:rsidRPr="00982D3E">
        <w:rPr>
          <w:i w:val="0"/>
          <w:color w:val="000000" w:themeColor="text1"/>
        </w:rPr>
        <w:t>Autres informations que celles figurant dans le rapport sur le système de gestion de la qualité et dans le tableau ci</w:t>
      </w:r>
      <w:r w:rsidR="000F0CBE">
        <w:rPr>
          <w:i w:val="0"/>
          <w:color w:val="000000" w:themeColor="text1"/>
        </w:rPr>
        <w:noBreakHyphen/>
      </w:r>
      <w:r w:rsidRPr="00982D3E">
        <w:rPr>
          <w:i w:val="0"/>
          <w:color w:val="000000" w:themeColor="text1"/>
        </w:rPr>
        <w:t>dessus (facultatif)</w:t>
      </w:r>
      <w:r w:rsidR="00C15821" w:rsidRPr="00982D3E">
        <w:rPr>
          <w:i w:val="0"/>
          <w:color w:val="000000" w:themeColor="text1"/>
        </w:rPr>
        <w:t> :</w:t>
      </w:r>
    </w:p>
    <w:p w14:paraId="66281EC2" w14:textId="13B858AF" w:rsidR="005D71D4" w:rsidRPr="00982D3E" w:rsidRDefault="005D71D4" w:rsidP="00D15D07">
      <w:pPr>
        <w:pStyle w:val="RuleQuote"/>
        <w:keepNext w:val="0"/>
        <w:ind w:left="0" w:right="-287"/>
        <w:jc w:val="both"/>
        <w:rPr>
          <w:i w:val="0"/>
          <w:iCs w:val="0"/>
          <w:color w:val="000000" w:themeColor="text1"/>
        </w:rPr>
      </w:pPr>
      <w:r w:rsidRPr="00982D3E">
        <w:rPr>
          <w:i w:val="0"/>
          <w:color w:val="000000" w:themeColor="text1"/>
        </w:rPr>
        <w:t>Les inventions faisant l</w:t>
      </w:r>
      <w:r w:rsidR="00C15821" w:rsidRPr="00982D3E">
        <w:rPr>
          <w:i w:val="0"/>
          <w:color w:val="000000" w:themeColor="text1"/>
        </w:rPr>
        <w:t>’</w:t>
      </w:r>
      <w:r w:rsidRPr="00982D3E">
        <w:rPr>
          <w:i w:val="0"/>
          <w:color w:val="000000" w:themeColor="text1"/>
        </w:rPr>
        <w:t>objet des demandes reçues couvrent un large éventail de technologi</w:t>
      </w:r>
      <w:r w:rsidR="00A720A1" w:rsidRPr="00982D3E">
        <w:rPr>
          <w:i w:val="0"/>
          <w:color w:val="000000" w:themeColor="text1"/>
        </w:rPr>
        <w:t>es.  Si</w:t>
      </w:r>
      <w:r w:rsidRPr="00982D3E">
        <w:rPr>
          <w:i w:val="0"/>
          <w:color w:val="000000" w:themeColor="text1"/>
        </w:rPr>
        <w:t xml:space="preserve"> l</w:t>
      </w:r>
      <w:r w:rsidR="00C15821" w:rsidRPr="00982D3E">
        <w:rPr>
          <w:i w:val="0"/>
          <w:color w:val="000000" w:themeColor="text1"/>
        </w:rPr>
        <w:t>’</w:t>
      </w:r>
      <w:r w:rsidRPr="00982D3E">
        <w:rPr>
          <w:i w:val="0"/>
          <w:color w:val="000000" w:themeColor="text1"/>
        </w:rPr>
        <w:t>on prend en considération les secteurs techniques pour lesquels la plupart des demandes sont déposées auprès</w:t>
      </w:r>
      <w:r w:rsidR="00C15821" w:rsidRPr="00982D3E">
        <w:rPr>
          <w:i w:val="0"/>
          <w:color w:val="000000" w:themeColor="text1"/>
        </w:rPr>
        <w:t xml:space="preserve"> du SPT</w:t>
      </w:r>
      <w:r w:rsidRPr="00982D3E">
        <w:rPr>
          <w:i w:val="0"/>
          <w:color w:val="000000" w:themeColor="text1"/>
        </w:rPr>
        <w:t>O, le nombre d</w:t>
      </w:r>
      <w:r w:rsidR="00C15821" w:rsidRPr="00982D3E">
        <w:rPr>
          <w:i w:val="0"/>
          <w:color w:val="000000" w:themeColor="text1"/>
        </w:rPr>
        <w:t>’</w:t>
      </w:r>
      <w:r w:rsidRPr="00982D3E">
        <w:rPr>
          <w:i w:val="0"/>
          <w:color w:val="000000" w:themeColor="text1"/>
        </w:rPr>
        <w:t>examinateurs et les domaines techniques qui leur sont attribués sont jugés suffisants pour répondre aux exigences de la procédure.</w:t>
      </w:r>
    </w:p>
    <w:p w14:paraId="2C30DEE8" w14:textId="2F681C3C" w:rsidR="005D71D4" w:rsidRPr="00982D3E" w:rsidRDefault="005D71D4" w:rsidP="00D15D07">
      <w:pPr>
        <w:pStyle w:val="RuleQuote"/>
        <w:keepNext w:val="0"/>
        <w:ind w:left="0" w:right="-287"/>
        <w:jc w:val="both"/>
        <w:rPr>
          <w:i w:val="0"/>
          <w:iCs w:val="0"/>
          <w:color w:val="000000" w:themeColor="text1"/>
        </w:rPr>
      </w:pPr>
      <w:r w:rsidRPr="00982D3E">
        <w:rPr>
          <w:i w:val="0"/>
          <w:color w:val="000000" w:themeColor="text1"/>
        </w:rPr>
        <w:t>Le tableau ci</w:t>
      </w:r>
      <w:r w:rsidR="000F0CBE">
        <w:rPr>
          <w:i w:val="0"/>
          <w:color w:val="000000" w:themeColor="text1"/>
        </w:rPr>
        <w:noBreakHyphen/>
      </w:r>
      <w:r w:rsidRPr="00982D3E">
        <w:rPr>
          <w:i w:val="0"/>
          <w:color w:val="000000" w:themeColor="text1"/>
        </w:rPr>
        <w:t xml:space="preserve">dessous répertorie les </w:t>
      </w:r>
      <w:r w:rsidR="004319B8" w:rsidRPr="00982D3E">
        <w:rPr>
          <w:i w:val="0"/>
          <w:color w:val="000000" w:themeColor="text1"/>
        </w:rPr>
        <w:t>10</w:t>
      </w:r>
      <w:r w:rsidRPr="00982D3E">
        <w:rPr>
          <w:i w:val="0"/>
          <w:color w:val="000000" w:themeColor="text1"/>
        </w:rPr>
        <w:t> sous</w:t>
      </w:r>
      <w:r w:rsidR="000F0CBE">
        <w:rPr>
          <w:i w:val="0"/>
          <w:color w:val="000000" w:themeColor="text1"/>
        </w:rPr>
        <w:noBreakHyphen/>
      </w:r>
      <w:r w:rsidRPr="00982D3E">
        <w:rPr>
          <w:i w:val="0"/>
          <w:color w:val="000000" w:themeColor="text1"/>
        </w:rPr>
        <w:t>secteurs techniques comptant le plus grand nombre de demandes en 2023 et 2024.</w:t>
      </w:r>
      <w:r w:rsidR="004319B8" w:rsidRPr="00982D3E">
        <w:rPr>
          <w:i w:val="0"/>
          <w:color w:val="000000" w:themeColor="text1"/>
        </w:rPr>
        <w:t xml:space="preserve"> </w:t>
      </w:r>
      <w:r w:rsidRPr="00982D3E">
        <w:rPr>
          <w:i w:val="0"/>
          <w:color w:val="000000" w:themeColor="text1"/>
        </w:rPr>
        <w:t xml:space="preserve"> </w:t>
      </w:r>
      <w:r w:rsidRPr="00982D3E">
        <w:rPr>
          <w:i w:val="0"/>
        </w:rPr>
        <w:t>Il figure dans la brochure</w:t>
      </w:r>
      <w:r w:rsidR="00982D3E">
        <w:rPr>
          <w:i w:val="0"/>
        </w:rPr>
        <w:t> </w:t>
      </w:r>
      <w:r w:rsidRPr="00982D3E">
        <w:rPr>
          <w:i w:val="0"/>
        </w:rPr>
        <w:t>2024 des statistiques de l</w:t>
      </w:r>
      <w:r w:rsidR="00C15821" w:rsidRPr="00982D3E">
        <w:rPr>
          <w:i w:val="0"/>
        </w:rPr>
        <w:t>’</w:t>
      </w:r>
      <w:r w:rsidRPr="00982D3E">
        <w:rPr>
          <w:i w:val="0"/>
        </w:rPr>
        <w:t>OEPM, publiée en espagnol et disponible à l</w:t>
      </w:r>
      <w:r w:rsidR="00C15821" w:rsidRPr="00982D3E">
        <w:rPr>
          <w:i w:val="0"/>
        </w:rPr>
        <w:t>’</w:t>
      </w:r>
      <w:r w:rsidRPr="00982D3E">
        <w:rPr>
          <w:i w:val="0"/>
        </w:rPr>
        <w:t>adresse suivante</w:t>
      </w:r>
      <w:r w:rsidR="00C15821" w:rsidRPr="00982D3E">
        <w:rPr>
          <w:i w:val="0"/>
        </w:rPr>
        <w:t> :</w:t>
      </w:r>
      <w:r w:rsidRPr="00982D3E">
        <w:rPr>
          <w:i w:val="0"/>
          <w:color w:val="000000" w:themeColor="text1"/>
        </w:rPr>
        <w:t xml:space="preserve"> </w:t>
      </w:r>
      <w:hyperlink r:id="rId11" w:history="1">
        <w:r w:rsidRPr="00982D3E">
          <w:rPr>
            <w:rStyle w:val="Hyperlink"/>
            <w:i w:val="0"/>
            <w:color w:val="000000" w:themeColor="text1"/>
          </w:rPr>
          <w:t>La OEPM</w:t>
        </w:r>
        <w:r w:rsidR="000F0CBE">
          <w:rPr>
            <w:rStyle w:val="Hyperlink"/>
            <w:i w:val="0"/>
            <w:color w:val="000000" w:themeColor="text1"/>
          </w:rPr>
          <w:noBreakHyphen/>
        </w:r>
        <w:r w:rsidRPr="00982D3E">
          <w:rPr>
            <w:rStyle w:val="Hyperlink"/>
            <w:i w:val="0"/>
            <w:color w:val="000000" w:themeColor="text1"/>
          </w:rPr>
          <w:t>en</w:t>
        </w:r>
        <w:r w:rsidR="000F0CBE">
          <w:rPr>
            <w:rStyle w:val="Hyperlink"/>
            <w:i w:val="0"/>
            <w:color w:val="000000" w:themeColor="text1"/>
          </w:rPr>
          <w:noBreakHyphen/>
        </w:r>
        <w:r w:rsidRPr="00982D3E">
          <w:rPr>
            <w:rStyle w:val="Hyperlink"/>
            <w:i w:val="0"/>
            <w:color w:val="000000" w:themeColor="text1"/>
          </w:rPr>
          <w:t>cifras</w:t>
        </w:r>
        <w:r w:rsidR="000F0CBE">
          <w:rPr>
            <w:rStyle w:val="Hyperlink"/>
            <w:i w:val="0"/>
            <w:color w:val="000000" w:themeColor="text1"/>
          </w:rPr>
          <w:noBreakHyphen/>
        </w:r>
        <w:r w:rsidRPr="00982D3E">
          <w:rPr>
            <w:rStyle w:val="Hyperlink"/>
            <w:i w:val="0"/>
            <w:color w:val="000000" w:themeColor="text1"/>
          </w:rPr>
          <w:t>2024</w:t>
        </w:r>
      </w:hyperlink>
      <w:r w:rsidRPr="00982D3E">
        <w:rPr>
          <w:i w:val="0"/>
          <w:color w:val="000000" w:themeColor="text1"/>
        </w:rPr>
        <w:t>.</w:t>
      </w:r>
    </w:p>
    <w:p w14:paraId="69E4295E" w14:textId="0023844B" w:rsidR="005D71D4" w:rsidRPr="00982D3E" w:rsidRDefault="005D71D4" w:rsidP="00D15D07">
      <w:pPr>
        <w:pStyle w:val="RuleQuote"/>
        <w:ind w:left="0"/>
        <w:jc w:val="both"/>
        <w:rPr>
          <w:b/>
          <w:bCs w:val="0"/>
          <w:i w:val="0"/>
          <w:iCs w:val="0"/>
          <w:color w:val="000000" w:themeColor="text1"/>
        </w:rPr>
      </w:pPr>
      <w:r w:rsidRPr="00982D3E">
        <w:rPr>
          <w:b/>
          <w:i w:val="0"/>
          <w:color w:val="000000" w:themeColor="text1"/>
        </w:rPr>
        <w:lastRenderedPageBreak/>
        <w:t>Sous</w:t>
      </w:r>
      <w:r w:rsidR="000F0CBE">
        <w:rPr>
          <w:b/>
          <w:i w:val="0"/>
          <w:color w:val="000000" w:themeColor="text1"/>
        </w:rPr>
        <w:noBreakHyphen/>
      </w:r>
      <w:r w:rsidRPr="00982D3E">
        <w:rPr>
          <w:b/>
          <w:i w:val="0"/>
          <w:color w:val="000000" w:themeColor="text1"/>
        </w:rPr>
        <w:t>secteurs couverts par les demandes de brevet</w:t>
      </w:r>
    </w:p>
    <w:p w14:paraId="58481BC8" w14:textId="5B033CEF" w:rsidR="000F0CBE" w:rsidRPr="00982D3E" w:rsidRDefault="000F0CBE" w:rsidP="000F0CBE">
      <w:pPr>
        <w:pStyle w:val="Answer"/>
        <w:ind w:left="0"/>
        <w:jc w:val="center"/>
        <w:rPr>
          <w:color w:val="000000" w:themeColor="text1"/>
        </w:rPr>
      </w:pPr>
      <w:r w:rsidRPr="000F0CBE">
        <w:rPr>
          <w:noProof/>
        </w:rPr>
        <w:drawing>
          <wp:inline distT="0" distB="0" distL="0" distR="0" wp14:anchorId="0C9DAA8E" wp14:editId="49174C7C">
            <wp:extent cx="5760000" cy="3449605"/>
            <wp:effectExtent l="0" t="0" r="0" b="0"/>
            <wp:docPr id="1419941360" name="Picture 1" descr="Répartition des demandes de brevet publiées dans les différents sous-secteurs techniques en 2023 et 2024. Les dix sous-secteurs techniques les mieux classés en 2024 apparais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41360" name="Picture 1" descr="Répartition des demandes de brevet publiées dans les différents sous-secteurs techniques en 2023 et 2024. Les dix sous-secteurs techniques les mieux classés en 2024 apparaissent."/>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5" t="2612" r="14169" b="5247"/>
                    <a:stretch>
                      <a:fillRect/>
                    </a:stretch>
                  </pic:blipFill>
                  <pic:spPr bwMode="auto">
                    <a:xfrm>
                      <a:off x="0" y="0"/>
                      <a:ext cx="5760000" cy="3449605"/>
                    </a:xfrm>
                    <a:prstGeom prst="rect">
                      <a:avLst/>
                    </a:prstGeom>
                    <a:noFill/>
                    <a:ln>
                      <a:noFill/>
                    </a:ln>
                    <a:extLst>
                      <a:ext uri="{53640926-AAD7-44D8-BBD7-CCE9431645EC}">
                        <a14:shadowObscured xmlns:a14="http://schemas.microsoft.com/office/drawing/2010/main"/>
                      </a:ext>
                    </a:extLst>
                  </pic:spPr>
                </pic:pic>
              </a:graphicData>
            </a:graphic>
          </wp:inline>
        </w:drawing>
      </w:r>
    </w:p>
    <w:p w14:paraId="26484140" w14:textId="4DB522B4" w:rsidR="005D71D4" w:rsidRPr="00982D3E" w:rsidRDefault="005D71D4" w:rsidP="00D15D07">
      <w:pPr>
        <w:pStyle w:val="RuleQuote"/>
        <w:ind w:left="0"/>
        <w:jc w:val="both"/>
        <w:rPr>
          <w:b/>
          <w:i w:val="0"/>
          <w:color w:val="000000" w:themeColor="text1"/>
        </w:rPr>
      </w:pPr>
      <w:r w:rsidRPr="00982D3E">
        <w:rPr>
          <w:b/>
          <w:i w:val="0"/>
          <w:color w:val="000000" w:themeColor="text1"/>
        </w:rPr>
        <w:t>Sous</w:t>
      </w:r>
      <w:r w:rsidR="000F0CBE">
        <w:rPr>
          <w:b/>
          <w:i w:val="0"/>
          <w:color w:val="000000" w:themeColor="text1"/>
        </w:rPr>
        <w:noBreakHyphen/>
      </w:r>
      <w:r w:rsidRPr="00982D3E">
        <w:rPr>
          <w:b/>
          <w:i w:val="0"/>
          <w:color w:val="000000" w:themeColor="text1"/>
        </w:rPr>
        <w:t>secteurs couverts par les demandes de modèle d</w:t>
      </w:r>
      <w:r w:rsidR="00C15821" w:rsidRPr="00982D3E">
        <w:rPr>
          <w:b/>
          <w:i w:val="0"/>
          <w:color w:val="000000" w:themeColor="text1"/>
        </w:rPr>
        <w:t>’</w:t>
      </w:r>
      <w:r w:rsidRPr="00982D3E">
        <w:rPr>
          <w:b/>
          <w:i w:val="0"/>
          <w:color w:val="000000" w:themeColor="text1"/>
        </w:rPr>
        <w:t>utilité</w:t>
      </w:r>
    </w:p>
    <w:p w14:paraId="101ACA18" w14:textId="2E8B5DE7" w:rsidR="000F0CBE" w:rsidRPr="00982D3E" w:rsidRDefault="000F0CBE" w:rsidP="00D15D07">
      <w:pPr>
        <w:pStyle w:val="RuleQuote"/>
        <w:keepNext w:val="0"/>
        <w:ind w:left="0"/>
        <w:rPr>
          <w:b/>
          <w:bCs w:val="0"/>
          <w:i w:val="0"/>
          <w:iCs w:val="0"/>
          <w:color w:val="000000" w:themeColor="text1"/>
        </w:rPr>
      </w:pPr>
      <w:r w:rsidRPr="000F0CBE">
        <w:rPr>
          <w:noProof/>
        </w:rPr>
        <w:drawing>
          <wp:inline distT="0" distB="0" distL="0" distR="0" wp14:anchorId="2E3BAE0F" wp14:editId="2CDFB91C">
            <wp:extent cx="5760000" cy="3468412"/>
            <wp:effectExtent l="0" t="0" r="0" b="0"/>
            <wp:docPr id="1518529524" name="Picture 2" descr="Répartition des demandes de modèle d’utilité publiées dans les différents sous-secteurs techniques en 2023 et 2024. Graphique présentant les sous-secteurs techniques les mieux classés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29524" name="Picture 2" descr="Répartition des demandes de modèle d’utilité publiées dans les différents sous-secteurs techniques en 2023 et 2024. Graphique présentant les sous-secteurs techniques les mieux classés en 2024."/>
                    <pic:cNvPicPr>
                      <a:picLocks noChangeAspect="1" noChangeArrowheads="1"/>
                    </pic:cNvPicPr>
                  </pic:nvPicPr>
                  <pic:blipFill rotWithShape="1">
                    <a:blip r:embed="rId13">
                      <a:extLst>
                        <a:ext uri="{28A0092B-C50C-407E-A947-70E740481C1C}">
                          <a14:useLocalDpi xmlns:a14="http://schemas.microsoft.com/office/drawing/2010/main" val="0"/>
                        </a:ext>
                      </a:extLst>
                    </a:blip>
                    <a:srcRect l="3940" t="1349" r="2595" b="10606"/>
                    <a:stretch>
                      <a:fillRect/>
                    </a:stretch>
                  </pic:blipFill>
                  <pic:spPr bwMode="auto">
                    <a:xfrm>
                      <a:off x="0" y="0"/>
                      <a:ext cx="5760000" cy="3468412"/>
                    </a:xfrm>
                    <a:prstGeom prst="rect">
                      <a:avLst/>
                    </a:prstGeom>
                    <a:noFill/>
                    <a:ln>
                      <a:noFill/>
                    </a:ln>
                    <a:extLst>
                      <a:ext uri="{53640926-AAD7-44D8-BBD7-CCE9431645EC}">
                        <a14:shadowObscured xmlns:a14="http://schemas.microsoft.com/office/drawing/2010/main"/>
                      </a:ext>
                    </a:extLst>
                  </pic:spPr>
                </pic:pic>
              </a:graphicData>
            </a:graphic>
          </wp:inline>
        </w:drawing>
      </w:r>
    </w:p>
    <w:p w14:paraId="282C0E47" w14:textId="62FE3DBC" w:rsidR="005D71D4" w:rsidRPr="00982D3E" w:rsidRDefault="005D71D4" w:rsidP="00D15D07">
      <w:pPr>
        <w:pStyle w:val="SectionHeading"/>
        <w:rPr>
          <w:color w:val="000000" w:themeColor="text1"/>
          <w:lang w:val="fr-FR"/>
        </w:rPr>
      </w:pPr>
      <w:r w:rsidRPr="00982D3E">
        <w:rPr>
          <w:color w:val="000000" w:themeColor="text1"/>
          <w:lang w:val="fr-FR"/>
        </w:rPr>
        <w:lastRenderedPageBreak/>
        <w:t>2.2</w:t>
      </w:r>
      <w:r w:rsidR="00704A3D" w:rsidRPr="00982D3E">
        <w:rPr>
          <w:color w:val="000000" w:themeColor="text1"/>
          <w:lang w:val="fr-FR"/>
        </w:rPr>
        <w:t xml:space="preserve"> –</w:t>
      </w:r>
      <w:r w:rsidRPr="00982D3E">
        <w:rPr>
          <w:color w:val="000000" w:themeColor="text1"/>
          <w:lang w:val="fr-FR"/>
        </w:rPr>
        <w:t xml:space="preserve"> Documentation minimale – Mise à disposition pour consultation</w:t>
      </w:r>
    </w:p>
    <w:p w14:paraId="3D2C7C1B" w14:textId="77752E60" w:rsidR="005D71D4" w:rsidRPr="00982D3E" w:rsidRDefault="005D71D4" w:rsidP="00D15D07">
      <w:pPr>
        <w:pStyle w:val="RuleQuote"/>
        <w:rPr>
          <w:color w:val="000000" w:themeColor="text1"/>
        </w:rPr>
      </w:pPr>
      <w:r w:rsidRPr="00982D3E">
        <w:rPr>
          <w:color w:val="000000" w:themeColor="text1"/>
        </w:rPr>
        <w:t>Règles 36.</w:t>
      </w:r>
      <w:proofErr w:type="gramStart"/>
      <w:r w:rsidRPr="00982D3E">
        <w:rPr>
          <w:color w:val="000000" w:themeColor="text1"/>
        </w:rPr>
        <w:t>1.ii</w:t>
      </w:r>
      <w:proofErr w:type="gramEnd"/>
      <w:r w:rsidRPr="00982D3E">
        <w:rPr>
          <w:color w:val="000000" w:themeColor="text1"/>
        </w:rPr>
        <w:t>) et 63.1.ii)</w:t>
      </w:r>
      <w:r w:rsidR="00C15821" w:rsidRPr="00982D3E">
        <w:rPr>
          <w:color w:val="000000" w:themeColor="text1"/>
        </w:rPr>
        <w:t> :</w:t>
      </w:r>
      <w:r w:rsidRPr="00982D3E">
        <w:rPr>
          <w:color w:val="000000" w:themeColor="text1"/>
        </w:rP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6EA1E821" w14:textId="28E9DB94" w:rsidR="005D71D4" w:rsidRPr="00982D3E" w:rsidRDefault="005D71D4" w:rsidP="00D15D07">
      <w:pPr>
        <w:pStyle w:val="RuleQuote"/>
        <w:rPr>
          <w:color w:val="000000" w:themeColor="text1"/>
          <w:szCs w:val="24"/>
        </w:rPr>
      </w:pPr>
      <w:r w:rsidRPr="00982D3E">
        <w:t xml:space="preserve">Les exigences prévues dans les instructions administratives sont précisées dans la circulaire </w:t>
      </w:r>
      <w:hyperlink r:id="rId14" w:history="1">
        <w:r w:rsidRPr="00982D3E">
          <w:rPr>
            <w:rStyle w:val="Hyperlink"/>
          </w:rPr>
          <w:t>C. PCT 1672</w:t>
        </w:r>
      </w:hyperlink>
      <w:r w:rsidRPr="00982D3E">
        <w:t>, datée du 19 juin 2024.</w:t>
      </w:r>
    </w:p>
    <w:p w14:paraId="54532F66" w14:textId="538FDCDC" w:rsidR="005D71D4" w:rsidRPr="00982D3E" w:rsidRDefault="005D71D4" w:rsidP="00D15D07">
      <w:pPr>
        <w:pStyle w:val="Question"/>
        <w:spacing w:after="0"/>
        <w:rPr>
          <w:b w:val="0"/>
          <w:bCs w:val="0"/>
          <w:color w:val="000000" w:themeColor="text1"/>
        </w:rPr>
      </w:pPr>
      <w:r w:rsidRPr="00982D3E">
        <w:rPr>
          <w:b w:val="0"/>
          <w:bCs w:val="0"/>
        </w:rPr>
        <w:t>La mise à disposition pour consultation, dans le cadre de la documentation minimale visée à la règle 34, des brevets délivrés et des demandes de brevet publiées par l</w:t>
      </w:r>
      <w:r w:rsidR="00C15821" w:rsidRPr="00982D3E">
        <w:rPr>
          <w:b w:val="0"/>
          <w:bCs w:val="0"/>
        </w:rPr>
        <w:t>’</w:t>
      </w:r>
      <w:r w:rsidRPr="00982D3E">
        <w:rPr>
          <w:b w:val="0"/>
          <w:bCs w:val="0"/>
        </w:rPr>
        <w:t>office ou, le cas échéant, par les offices qui sont membres de l</w:t>
      </w:r>
      <w:r w:rsidR="00C15821" w:rsidRPr="00982D3E">
        <w:rPr>
          <w:b w:val="0"/>
          <w:bCs w:val="0"/>
        </w:rPr>
        <w:t>’</w:t>
      </w:r>
      <w:r w:rsidRPr="00982D3E">
        <w:rPr>
          <w:b w:val="0"/>
          <w:bCs w:val="0"/>
        </w:rPr>
        <w:t>organisation intergouvernementale, conformément à l</w:t>
      </w:r>
      <w:r w:rsidR="00C15821" w:rsidRPr="00982D3E">
        <w:rPr>
          <w:b w:val="0"/>
          <w:bCs w:val="0"/>
        </w:rPr>
        <w:t>’</w:t>
      </w:r>
      <w:r w:rsidRPr="00982D3E">
        <w:rPr>
          <w:b w:val="0"/>
          <w:bCs w:val="0"/>
        </w:rPr>
        <w:t>accord de principe adopté par l</w:t>
      </w:r>
      <w:r w:rsidR="00C15821" w:rsidRPr="00982D3E">
        <w:rPr>
          <w:b w:val="0"/>
          <w:bCs w:val="0"/>
        </w:rPr>
        <w:t>’</w:t>
      </w:r>
      <w:r w:rsidRPr="00982D3E">
        <w:rPr>
          <w:b w:val="0"/>
          <w:bCs w:val="0"/>
        </w:rPr>
        <w:t>Assemblée de l</w:t>
      </w:r>
      <w:r w:rsidR="00C15821" w:rsidRPr="00982D3E">
        <w:rPr>
          <w:b w:val="0"/>
          <w:bCs w:val="0"/>
        </w:rPr>
        <w:t>’</w:t>
      </w:r>
      <w:r w:rsidRPr="00982D3E">
        <w:rPr>
          <w:b w:val="0"/>
          <w:bCs w:val="0"/>
        </w:rPr>
        <w:t>Union</w:t>
      </w:r>
      <w:r w:rsidR="00C15821" w:rsidRPr="00982D3E">
        <w:rPr>
          <w:b w:val="0"/>
          <w:bCs w:val="0"/>
        </w:rPr>
        <w:t xml:space="preserve"> du PCT</w:t>
      </w:r>
      <w:r w:rsidRPr="00982D3E">
        <w:rPr>
          <w:b w:val="0"/>
          <w:bCs w:val="0"/>
        </w:rPr>
        <w:t xml:space="preserve"> figurant au paragraphe 8 du </w:t>
      </w:r>
      <w:r w:rsidR="00C15821" w:rsidRPr="00982D3E">
        <w:rPr>
          <w:b w:val="0"/>
          <w:bCs w:val="0"/>
        </w:rPr>
        <w:t>document</w:t>
      </w:r>
      <w:r w:rsidR="00982D3E">
        <w:rPr>
          <w:b w:val="0"/>
          <w:bCs w:val="0"/>
        </w:rPr>
        <w:t> </w:t>
      </w:r>
      <w:r w:rsidR="00C15821" w:rsidRPr="00982D3E">
        <w:rPr>
          <w:b w:val="0"/>
          <w:bCs w:val="0"/>
        </w:rPr>
        <w:t>PC</w:t>
      </w:r>
      <w:r w:rsidRPr="00982D3E">
        <w:rPr>
          <w:b w:val="0"/>
          <w:bCs w:val="0"/>
        </w:rPr>
        <w:t>T/A/55/2, est notifiée comme suit</w:t>
      </w:r>
      <w:r w:rsidR="00C15821" w:rsidRPr="00982D3E">
        <w:rPr>
          <w:b w:val="0"/>
          <w:bCs w:val="0"/>
        </w:rPr>
        <w:t> :</w:t>
      </w:r>
      <w:r w:rsidRPr="00982D3E">
        <w:rPr>
          <w:b w:val="0"/>
          <w:color w:val="000000" w:themeColor="text1"/>
        </w:rPr>
        <w:br/>
      </w:r>
      <w:r w:rsidRPr="00982D3E">
        <w:rPr>
          <w:b w:val="0"/>
          <w:color w:val="000000" w:themeColor="text1"/>
        </w:rPr>
        <w:br/>
      </w:r>
      <w:sdt>
        <w:sdtPr>
          <w:rPr>
            <w:b w:val="0"/>
            <w:bCs w:val="0"/>
            <w:color w:val="000000" w:themeColor="text1"/>
          </w:rPr>
          <w:id w:val="-178122316"/>
          <w14:checkbox>
            <w14:checked w14:val="1"/>
            <w14:checkedState w14:val="2612" w14:font="MS Gothic"/>
            <w14:uncheckedState w14:val="2610" w14:font="MS Gothic"/>
          </w14:checkbox>
        </w:sdtPr>
        <w:sdtContent>
          <w:r w:rsidRPr="00982D3E">
            <w:rPr>
              <w:rFonts w:ascii="MS Gothic" w:eastAsia="MS Gothic" w:hAnsi="MS Gothic"/>
              <w:b w:val="0"/>
              <w:bCs w:val="0"/>
              <w:color w:val="000000" w:themeColor="text1"/>
            </w:rPr>
            <w:t>☒</w:t>
          </w:r>
        </w:sdtContent>
      </w:sdt>
      <w:r w:rsidRPr="00982D3E">
        <w:rPr>
          <w:b w:val="0"/>
          <w:color w:val="000000" w:themeColor="text1"/>
        </w:rPr>
        <w:t xml:space="preserve"> L</w:t>
      </w:r>
      <w:r w:rsidR="00C15821" w:rsidRPr="00982D3E">
        <w:rPr>
          <w:b w:val="0"/>
          <w:color w:val="000000" w:themeColor="text1"/>
        </w:rPr>
        <w:t>’</w:t>
      </w:r>
      <w:r w:rsidRPr="00982D3E">
        <w:rPr>
          <w:b w:val="0"/>
          <w:color w:val="000000" w:themeColor="text1"/>
        </w:rPr>
        <w:t>Équipe d</w:t>
      </w:r>
      <w:r w:rsidR="00C15821" w:rsidRPr="00982D3E">
        <w:rPr>
          <w:b w:val="0"/>
          <w:color w:val="000000" w:themeColor="text1"/>
        </w:rPr>
        <w:t>’</w:t>
      </w:r>
      <w:r w:rsidRPr="00982D3E">
        <w:rPr>
          <w:b w:val="0"/>
          <w:color w:val="000000" w:themeColor="text1"/>
        </w:rPr>
        <w:t>experts chargée de la documentation minimale</w:t>
      </w:r>
      <w:r w:rsidR="00C15821" w:rsidRPr="00982D3E">
        <w:rPr>
          <w:b w:val="0"/>
          <w:color w:val="000000" w:themeColor="text1"/>
        </w:rPr>
        <w:t xml:space="preserve"> du PCT</w:t>
      </w:r>
      <w:r w:rsidRPr="00982D3E">
        <w:rPr>
          <w:b w:val="0"/>
          <w:color w:val="000000" w:themeColor="text1"/>
        </w:rPr>
        <w:t xml:space="preserve"> a vérifié la disponibilité des collections de documents de brevet avant le</w:t>
      </w:r>
      <w:r w:rsidR="00C15821" w:rsidRPr="00982D3E">
        <w:rPr>
          <w:b w:val="0"/>
          <w:color w:val="000000" w:themeColor="text1"/>
        </w:rPr>
        <w:t xml:space="preserve"> 1</w:t>
      </w:r>
      <w:r w:rsidR="00C15821" w:rsidRPr="00982D3E">
        <w:rPr>
          <w:b w:val="0"/>
          <w:color w:val="000000" w:themeColor="text1"/>
          <w:vertAlign w:val="superscript"/>
        </w:rPr>
        <w:t>er</w:t>
      </w:r>
      <w:r w:rsidR="00C15821" w:rsidRPr="00982D3E">
        <w:rPr>
          <w:b w:val="0"/>
          <w:color w:val="000000" w:themeColor="text1"/>
        </w:rPr>
        <w:t> </w:t>
      </w:r>
      <w:r w:rsidRPr="00982D3E">
        <w:rPr>
          <w:b w:val="0"/>
          <w:color w:val="000000" w:themeColor="text1"/>
        </w:rPr>
        <w:t>novembre 2025 et certifie que les exigences ont été respecté</w:t>
      </w:r>
      <w:r w:rsidR="00A720A1" w:rsidRPr="00982D3E">
        <w:rPr>
          <w:b w:val="0"/>
          <w:color w:val="000000" w:themeColor="text1"/>
        </w:rPr>
        <w:t>es.  La</w:t>
      </w:r>
      <w:r w:rsidRPr="00982D3E">
        <w:rPr>
          <w:b w:val="0"/>
          <w:color w:val="000000" w:themeColor="text1"/>
        </w:rPr>
        <w:t xml:space="preserve"> portée et le format des documents que l</w:t>
      </w:r>
      <w:r w:rsidR="00C15821" w:rsidRPr="00982D3E">
        <w:rPr>
          <w:b w:val="0"/>
          <w:color w:val="000000" w:themeColor="text1"/>
        </w:rPr>
        <w:t>’</w:t>
      </w:r>
      <w:r w:rsidRPr="00982D3E">
        <w:rPr>
          <w:b w:val="0"/>
          <w:color w:val="000000" w:themeColor="text1"/>
        </w:rPr>
        <w:t>administration a mis à disposition pour consultation ont été publiés dans la Gazette</w:t>
      </w:r>
      <w:r w:rsidR="00C15821" w:rsidRPr="00982D3E">
        <w:rPr>
          <w:b w:val="0"/>
          <w:color w:val="000000" w:themeColor="text1"/>
        </w:rPr>
        <w:t xml:space="preserve"> du PCT</w:t>
      </w:r>
      <w:r w:rsidRPr="00982D3E">
        <w:rPr>
          <w:b w:val="0"/>
          <w:color w:val="000000" w:themeColor="text1"/>
        </w:rPr>
        <w:t xml:space="preserve"> le 23 octobre 2025, à l</w:t>
      </w:r>
      <w:r w:rsidR="00C15821" w:rsidRPr="00982D3E">
        <w:rPr>
          <w:b w:val="0"/>
          <w:color w:val="000000" w:themeColor="text1"/>
        </w:rPr>
        <w:t>’</w:t>
      </w:r>
      <w:r w:rsidRPr="00982D3E">
        <w:rPr>
          <w:b w:val="0"/>
          <w:color w:val="000000" w:themeColor="text1"/>
        </w:rPr>
        <w:t>adresse suivante</w:t>
      </w:r>
      <w:r w:rsidR="00C15821" w:rsidRPr="00982D3E">
        <w:rPr>
          <w:b w:val="0"/>
          <w:color w:val="000000" w:themeColor="text1"/>
        </w:rPr>
        <w:t> :</w:t>
      </w:r>
      <w:r w:rsidRPr="00982D3E">
        <w:t xml:space="preserve"> </w:t>
      </w:r>
      <w:hyperlink r:id="rId15" w:anchor="page=192" w:history="1">
        <w:r w:rsidR="000F0CBE" w:rsidRPr="001F1C0E">
          <w:rPr>
            <w:rStyle w:val="Hyperlink"/>
            <w:b w:val="0"/>
          </w:rPr>
          <w:t>https://www.wipo.int/documents/d/pct-system/docs-fr-official-notices-officialnotices.pdf#page=192</w:t>
        </w:r>
      </w:hyperlink>
      <w:r w:rsidRPr="00982D3E">
        <w:rPr>
          <w:b w:val="0"/>
          <w:color w:val="000000" w:themeColor="text1"/>
        </w:rPr>
        <w:t>.</w:t>
      </w:r>
    </w:p>
    <w:p w14:paraId="164E4E2C" w14:textId="5F432BE0" w:rsidR="005D71D4" w:rsidRPr="00982D3E" w:rsidRDefault="005D71D4" w:rsidP="00D15D07">
      <w:pPr>
        <w:rPr>
          <w:color w:val="000000" w:themeColor="text1"/>
          <w:lang w:val="fr-FR"/>
        </w:rPr>
      </w:pPr>
    </w:p>
    <w:p w14:paraId="5519B9F6" w14:textId="0094CEF8" w:rsidR="005D71D4" w:rsidRPr="00982D3E" w:rsidRDefault="005D71D4" w:rsidP="00D15D07">
      <w:pPr>
        <w:pStyle w:val="SectionHeading"/>
        <w:keepNext w:val="0"/>
        <w:rPr>
          <w:color w:val="000000" w:themeColor="text1"/>
          <w:lang w:val="fr-FR"/>
        </w:rPr>
      </w:pPr>
      <w:r w:rsidRPr="00982D3E">
        <w:rPr>
          <w:color w:val="000000" w:themeColor="text1"/>
          <w:lang w:val="fr-FR"/>
        </w:rPr>
        <w:t>2.3</w:t>
      </w:r>
      <w:r w:rsidR="00704A3D" w:rsidRPr="00982D3E">
        <w:rPr>
          <w:color w:val="000000" w:themeColor="text1"/>
          <w:lang w:val="fr-FR"/>
        </w:rPr>
        <w:t xml:space="preserve"> –</w:t>
      </w:r>
      <w:r w:rsidRPr="00982D3E">
        <w:rPr>
          <w:color w:val="000000" w:themeColor="text1"/>
          <w:lang w:val="fr-FR"/>
        </w:rPr>
        <w:t xml:space="preserve"> Documentation minimale – Accès</w:t>
      </w:r>
    </w:p>
    <w:p w14:paraId="56FFF340" w14:textId="19486CF7" w:rsidR="005D71D4" w:rsidRPr="00982D3E" w:rsidRDefault="005D71D4" w:rsidP="00D15D07">
      <w:pPr>
        <w:pStyle w:val="RuleQuote"/>
        <w:keepNext w:val="0"/>
        <w:rPr>
          <w:i w:val="0"/>
          <w:iCs w:val="0"/>
          <w:color w:val="000000" w:themeColor="text1"/>
        </w:rPr>
      </w:pPr>
      <w:r w:rsidRPr="00982D3E">
        <w:rPr>
          <w:color w:val="000000" w:themeColor="text1"/>
        </w:rPr>
        <w:t>Règles 36.1.iii) et 63.1.iii)</w:t>
      </w:r>
      <w:r w:rsidR="00C15821" w:rsidRPr="00982D3E">
        <w:rPr>
          <w:color w:val="000000" w:themeColor="text1"/>
        </w:rPr>
        <w:t> :</w:t>
      </w:r>
      <w:r w:rsidRPr="00982D3E">
        <w:rPr>
          <w:color w:val="000000" w:themeColor="text1"/>
        </w:rPr>
        <w:t xml:space="preserve"> Cet office ou cette organisation doit avoir en sa possession au moins la documentation minimale de la règle 34, ou maintenir l</w:t>
      </w:r>
      <w:r w:rsidR="00C15821" w:rsidRPr="00982D3E">
        <w:rPr>
          <w:color w:val="000000" w:themeColor="text1"/>
        </w:rPr>
        <w:t>’</w:t>
      </w:r>
      <w:r w:rsidRPr="00982D3E">
        <w:rPr>
          <w:color w:val="000000" w:themeColor="text1"/>
        </w:rPr>
        <w:t>accès à cette documentation minimale, aux fins de la recherche conformément aux instructions administratives.</w:t>
      </w:r>
    </w:p>
    <w:p w14:paraId="3423B2C5" w14:textId="7FA625A0" w:rsidR="005D71D4" w:rsidRPr="00982D3E" w:rsidRDefault="005D71D4" w:rsidP="00D15D07">
      <w:pPr>
        <w:pStyle w:val="RuleQuote"/>
        <w:keepNext w:val="0"/>
        <w:ind w:left="0"/>
        <w:rPr>
          <w:i w:val="0"/>
          <w:iCs w:val="0"/>
          <w:color w:val="000000" w:themeColor="text1"/>
        </w:rPr>
      </w:pPr>
      <w:r w:rsidRPr="00982D3E">
        <w:rPr>
          <w:i w:val="0"/>
          <w:color w:val="000000" w:themeColor="text1"/>
        </w:rPr>
        <w:t>Le rapport sur le système de gestion de la qualité contient des informations sur l</w:t>
      </w:r>
      <w:r w:rsidR="00C15821" w:rsidRPr="00982D3E">
        <w:rPr>
          <w:i w:val="0"/>
          <w:color w:val="000000" w:themeColor="text1"/>
        </w:rPr>
        <w:t>’</w:t>
      </w:r>
      <w:r w:rsidRPr="00982D3E">
        <w:rPr>
          <w:i w:val="0"/>
          <w:color w:val="000000" w:themeColor="text1"/>
        </w:rPr>
        <w:t>infrastructure mise en place pour veiller à ce qu</w:t>
      </w:r>
      <w:r w:rsidR="00C15821" w:rsidRPr="00982D3E">
        <w:rPr>
          <w:i w:val="0"/>
          <w:color w:val="000000" w:themeColor="text1"/>
        </w:rPr>
        <w:t>’</w:t>
      </w:r>
      <w:r w:rsidRPr="00982D3E">
        <w:rPr>
          <w:i w:val="0"/>
          <w:color w:val="000000" w:themeColor="text1"/>
        </w:rPr>
        <w:t>au moins la documentation minimale dont il est question à la règle 34 soit disponible, accessible, correctement organisée et tenue à jour aux fins de la recherche et de l</w:t>
      </w:r>
      <w:r w:rsidR="00C15821" w:rsidRPr="00982D3E">
        <w:rPr>
          <w:i w:val="0"/>
          <w:color w:val="000000" w:themeColor="text1"/>
        </w:rPr>
        <w:t>’</w:t>
      </w:r>
      <w:r w:rsidRPr="00982D3E">
        <w:rPr>
          <w:i w:val="0"/>
          <w:color w:val="000000" w:themeColor="text1"/>
        </w:rPr>
        <w:t>examen au titre du paragraphe 21.15.iv) des directives.</w:t>
      </w:r>
    </w:p>
    <w:p w14:paraId="021C5081" w14:textId="27D2A314" w:rsidR="00C15821" w:rsidRPr="00982D3E" w:rsidRDefault="005D71D4" w:rsidP="00D15D07">
      <w:pPr>
        <w:pStyle w:val="RuleQuote"/>
        <w:keepNext w:val="0"/>
        <w:ind w:left="0"/>
        <w:rPr>
          <w:i w:val="0"/>
          <w:color w:val="000000" w:themeColor="text1"/>
        </w:rPr>
      </w:pPr>
      <w:r w:rsidRPr="00982D3E">
        <w:rPr>
          <w:i w:val="0"/>
          <w:color w:val="000000" w:themeColor="text1"/>
        </w:rPr>
        <w:t>Autres informations que celles figurant dans le rapport sur le système de gestion de la qualité (facultatif)</w:t>
      </w:r>
      <w:r w:rsidR="00C15821" w:rsidRPr="00982D3E">
        <w:rPr>
          <w:i w:val="0"/>
          <w:color w:val="000000" w:themeColor="text1"/>
        </w:rPr>
        <w:t> :</w:t>
      </w:r>
    </w:p>
    <w:p w14:paraId="37EAB162" w14:textId="2D311F0C" w:rsidR="00C15821" w:rsidRPr="00982D3E" w:rsidRDefault="005D71D4" w:rsidP="00D15D07">
      <w:pPr>
        <w:pStyle w:val="RuleQuote"/>
        <w:keepNext w:val="0"/>
        <w:ind w:left="0" w:right="-17"/>
        <w:jc w:val="both"/>
        <w:rPr>
          <w:i w:val="0"/>
          <w:color w:val="000000" w:themeColor="text1"/>
        </w:rPr>
      </w:pPr>
      <w:r w:rsidRPr="00982D3E">
        <w:rPr>
          <w:i w:val="0"/>
          <w:color w:val="000000" w:themeColor="text1"/>
        </w:rPr>
        <w:t>Comme déjà indiqué dans le rapport sur le système de gestion de la qualité, tous les examinateurs maîtrisent l</w:t>
      </w:r>
      <w:r w:rsidR="00C15821" w:rsidRPr="00982D3E">
        <w:rPr>
          <w:i w:val="0"/>
          <w:color w:val="000000" w:themeColor="text1"/>
        </w:rPr>
        <w:t>’</w:t>
      </w:r>
      <w:r w:rsidRPr="00982D3E">
        <w:rPr>
          <w:i w:val="0"/>
          <w:color w:val="000000" w:themeColor="text1"/>
        </w:rPr>
        <w:t>anglais et beaucoup parlent également le français et/ou l</w:t>
      </w:r>
      <w:r w:rsidR="00C15821" w:rsidRPr="00982D3E">
        <w:rPr>
          <w:i w:val="0"/>
          <w:color w:val="000000" w:themeColor="text1"/>
        </w:rPr>
        <w:t>’</w:t>
      </w:r>
      <w:r w:rsidRPr="00982D3E">
        <w:rPr>
          <w:i w:val="0"/>
          <w:color w:val="000000" w:themeColor="text1"/>
        </w:rPr>
        <w:t>allema</w:t>
      </w:r>
      <w:r w:rsidR="00A720A1" w:rsidRPr="00982D3E">
        <w:rPr>
          <w:i w:val="0"/>
          <w:color w:val="000000" w:themeColor="text1"/>
        </w:rPr>
        <w:t>nd.  De</w:t>
      </w:r>
      <w:r w:rsidRPr="00982D3E">
        <w:rPr>
          <w:i w:val="0"/>
          <w:color w:val="000000" w:themeColor="text1"/>
        </w:rPr>
        <w:t xml:space="preserve"> plus, pour faciliter la recherche et la compréhension de l</w:t>
      </w:r>
      <w:r w:rsidR="00C15821" w:rsidRPr="00982D3E">
        <w:rPr>
          <w:i w:val="0"/>
          <w:color w:val="000000" w:themeColor="text1"/>
        </w:rPr>
        <w:t>’</w:t>
      </w:r>
      <w:r w:rsidRPr="00982D3E">
        <w:rPr>
          <w:i w:val="0"/>
          <w:color w:val="000000" w:themeColor="text1"/>
        </w:rPr>
        <w:t>état de la technique dans les différentes langues, un plan de coopération bilatérale a été mis en place entre l</w:t>
      </w:r>
      <w:r w:rsidR="00C15821" w:rsidRPr="00982D3E">
        <w:rPr>
          <w:i w:val="0"/>
          <w:color w:val="000000" w:themeColor="text1"/>
        </w:rPr>
        <w:t>’</w:t>
      </w:r>
      <w:r w:rsidRPr="00982D3E">
        <w:rPr>
          <w:i w:val="0"/>
          <w:color w:val="000000" w:themeColor="text1"/>
        </w:rPr>
        <w:t>Office européen des brevets (OEB) et les États membres de l</w:t>
      </w:r>
      <w:r w:rsidR="00C15821" w:rsidRPr="00982D3E">
        <w:rPr>
          <w:i w:val="0"/>
          <w:color w:val="000000" w:themeColor="text1"/>
        </w:rPr>
        <w:t>’</w:t>
      </w:r>
      <w:r w:rsidRPr="00982D3E">
        <w:rPr>
          <w:i w:val="0"/>
          <w:color w:val="000000" w:themeColor="text1"/>
        </w:rPr>
        <w:t>Organisation européenne des brevets (</w:t>
      </w:r>
      <w:r w:rsidR="00C15821" w:rsidRPr="00982D3E">
        <w:rPr>
          <w:i w:val="0"/>
          <w:color w:val="000000" w:themeColor="text1"/>
        </w:rPr>
        <w:t>y compris</w:t>
      </w:r>
      <w:r w:rsidRPr="00982D3E">
        <w:rPr>
          <w:i w:val="0"/>
          <w:color w:val="000000" w:themeColor="text1"/>
        </w:rPr>
        <w:t xml:space="preserve"> l</w:t>
      </w:r>
      <w:r w:rsidR="00C15821" w:rsidRPr="00982D3E">
        <w:rPr>
          <w:i w:val="0"/>
          <w:color w:val="000000" w:themeColor="text1"/>
        </w:rPr>
        <w:t>’</w:t>
      </w:r>
      <w:r w:rsidRPr="00982D3E">
        <w:rPr>
          <w:i w:val="0"/>
          <w:color w:val="000000" w:themeColor="text1"/>
        </w:rPr>
        <w:t>Espagne).</w:t>
      </w:r>
    </w:p>
    <w:p w14:paraId="277C8DA8" w14:textId="5E967741"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lastRenderedPageBreak/>
        <w:t>Ce plan comprend le projet de formation générale en langues, qui offre un soutien financier afin d</w:t>
      </w:r>
      <w:r w:rsidR="00C15821" w:rsidRPr="00982D3E">
        <w:rPr>
          <w:i w:val="0"/>
          <w:color w:val="000000" w:themeColor="text1"/>
        </w:rPr>
        <w:t>’</w:t>
      </w:r>
      <w:r w:rsidRPr="00982D3E">
        <w:rPr>
          <w:i w:val="0"/>
          <w:color w:val="000000" w:themeColor="text1"/>
        </w:rPr>
        <w:t>améliorer les compétences linguistiques du personnel des offices nationaux de brevets en Europe dont la langue maternelle n</w:t>
      </w:r>
      <w:r w:rsidR="00C15821" w:rsidRPr="00982D3E">
        <w:rPr>
          <w:i w:val="0"/>
          <w:color w:val="000000" w:themeColor="text1"/>
        </w:rPr>
        <w:t>’</w:t>
      </w:r>
      <w:r w:rsidRPr="00982D3E">
        <w:rPr>
          <w:i w:val="0"/>
          <w:color w:val="000000" w:themeColor="text1"/>
        </w:rPr>
        <w:t>est pas l</w:t>
      </w:r>
      <w:r w:rsidR="00C15821" w:rsidRPr="00982D3E">
        <w:rPr>
          <w:i w:val="0"/>
          <w:color w:val="000000" w:themeColor="text1"/>
        </w:rPr>
        <w:t>’</w:t>
      </w:r>
      <w:r w:rsidRPr="00982D3E">
        <w:rPr>
          <w:i w:val="0"/>
          <w:color w:val="000000" w:themeColor="text1"/>
        </w:rPr>
        <w:t>anglais, le français ou l</w:t>
      </w:r>
      <w:r w:rsidR="00C15821" w:rsidRPr="00982D3E">
        <w:rPr>
          <w:i w:val="0"/>
          <w:color w:val="000000" w:themeColor="text1"/>
        </w:rPr>
        <w:t>’</w:t>
      </w:r>
      <w:r w:rsidRPr="00982D3E">
        <w:rPr>
          <w:i w:val="0"/>
          <w:color w:val="000000" w:themeColor="text1"/>
        </w:rPr>
        <w:t>allema</w:t>
      </w:r>
      <w:r w:rsidR="00A720A1" w:rsidRPr="00982D3E">
        <w:rPr>
          <w:i w:val="0"/>
          <w:color w:val="000000" w:themeColor="text1"/>
        </w:rPr>
        <w:t xml:space="preserve">nd.  </w:t>
      </w:r>
      <w:r w:rsidR="00A720A1" w:rsidRPr="00982D3E">
        <w:rPr>
          <w:i w:val="0"/>
          <w:iCs w:val="0"/>
          <w:color w:val="000000" w:themeColor="text1"/>
        </w:rPr>
        <w:t>Le</w:t>
      </w:r>
      <w:r w:rsidRPr="00982D3E">
        <w:rPr>
          <w:i w:val="0"/>
          <w:iCs w:val="0"/>
          <w:color w:val="000000" w:themeColor="text1"/>
        </w:rPr>
        <w:t>s cours sont dispensés par les prestigieuses écoles de langues suivantes</w:t>
      </w:r>
      <w:r w:rsidR="00C15821" w:rsidRPr="00982D3E">
        <w:rPr>
          <w:i w:val="0"/>
          <w:iCs w:val="0"/>
          <w:color w:val="000000" w:themeColor="text1"/>
        </w:rPr>
        <w:t> :</w:t>
      </w:r>
      <w:r w:rsidRPr="00982D3E">
        <w:rPr>
          <w:i w:val="0"/>
          <w:iCs w:val="0"/>
          <w:color w:val="000000" w:themeColor="text1"/>
        </w:rPr>
        <w:t xml:space="preserve"> British Council, Institut Goethe et Institut frança</w:t>
      </w:r>
      <w:r w:rsidR="00A720A1" w:rsidRPr="00982D3E">
        <w:rPr>
          <w:i w:val="0"/>
          <w:iCs w:val="0"/>
          <w:color w:val="000000" w:themeColor="text1"/>
        </w:rPr>
        <w:t xml:space="preserve">is.  </w:t>
      </w:r>
      <w:r w:rsidR="00A720A1" w:rsidRPr="00982D3E">
        <w:rPr>
          <w:i w:val="0"/>
          <w:color w:val="000000" w:themeColor="text1"/>
        </w:rPr>
        <w:t>Le</w:t>
      </w:r>
      <w:r w:rsidRPr="00982D3E">
        <w:rPr>
          <w:i w:val="0"/>
          <w:color w:val="000000" w:themeColor="text1"/>
        </w:rPr>
        <w:t>s cours de langues sont proposés au personnel des offices nationaux de brevets sous forme de cours de formation individuels destinés à la haute direction et sous forme de cours collectifs destinés au personnel impliqué dans les activités concernant les brevets, tel que les examinateurs de brevets.</w:t>
      </w:r>
    </w:p>
    <w:p w14:paraId="70531F46" w14:textId="6DF71A71"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t>Il convient de noter que, comme indiqué dans le rapport sur le système de gestion de la qualité,</w:t>
      </w:r>
      <w:r w:rsidR="00C15821" w:rsidRPr="00982D3E">
        <w:rPr>
          <w:i w:val="0"/>
          <w:color w:val="000000" w:themeColor="text1"/>
        </w:rPr>
        <w:t xml:space="preserve"> le SPT</w:t>
      </w:r>
      <w:r w:rsidRPr="00982D3E">
        <w:rPr>
          <w:i w:val="0"/>
          <w:color w:val="000000" w:themeColor="text1"/>
        </w:rPr>
        <w:t>O a accès à un large éventail de documents de brevet et de littérature relative aux brevets qui va au</w:t>
      </w:r>
      <w:r w:rsidR="000F0CBE">
        <w:rPr>
          <w:i w:val="0"/>
          <w:color w:val="000000" w:themeColor="text1"/>
        </w:rPr>
        <w:noBreakHyphen/>
      </w:r>
      <w:r w:rsidRPr="00982D3E">
        <w:rPr>
          <w:i w:val="0"/>
          <w:color w:val="000000" w:themeColor="text1"/>
        </w:rPr>
        <w:t>delà de la documentation minimale exigée par la règle 34.</w:t>
      </w:r>
    </w:p>
    <w:p w14:paraId="3FE3B7F1" w14:textId="0AC52DE7" w:rsidR="005D71D4" w:rsidRPr="00982D3E" w:rsidRDefault="005D71D4" w:rsidP="00D15D07">
      <w:pPr>
        <w:pStyle w:val="SectionHeading"/>
        <w:keepNext w:val="0"/>
        <w:rPr>
          <w:color w:val="000000" w:themeColor="text1"/>
          <w:lang w:val="fr-FR"/>
        </w:rPr>
      </w:pPr>
      <w:r w:rsidRPr="00982D3E">
        <w:rPr>
          <w:color w:val="000000" w:themeColor="text1"/>
          <w:lang w:val="fr-FR"/>
        </w:rPr>
        <w:t>2.4</w:t>
      </w:r>
      <w:r w:rsidR="00704A3D" w:rsidRPr="00982D3E">
        <w:rPr>
          <w:color w:val="000000" w:themeColor="text1"/>
          <w:lang w:val="fr-FR"/>
        </w:rPr>
        <w:t xml:space="preserve"> –</w:t>
      </w:r>
      <w:r w:rsidRPr="00982D3E">
        <w:rPr>
          <w:color w:val="000000" w:themeColor="text1"/>
          <w:lang w:val="fr-FR"/>
        </w:rPr>
        <w:t xml:space="preserve"> Gestion de la qualité</w:t>
      </w:r>
    </w:p>
    <w:p w14:paraId="1E14679A" w14:textId="11999F94" w:rsidR="005D71D4" w:rsidRPr="00982D3E" w:rsidRDefault="005D71D4" w:rsidP="00D15D07">
      <w:pPr>
        <w:pStyle w:val="RuleQuote"/>
        <w:keepNext w:val="0"/>
        <w:rPr>
          <w:color w:val="000000" w:themeColor="text1"/>
        </w:rPr>
      </w:pPr>
      <w:r w:rsidRPr="00982D3E">
        <w:rPr>
          <w:color w:val="000000" w:themeColor="text1"/>
        </w:rPr>
        <w:t>Règles 36.</w:t>
      </w:r>
      <w:proofErr w:type="gramStart"/>
      <w:r w:rsidRPr="00982D3E">
        <w:rPr>
          <w:color w:val="000000" w:themeColor="text1"/>
        </w:rPr>
        <w:t>1.iv</w:t>
      </w:r>
      <w:proofErr w:type="gramEnd"/>
      <w:r w:rsidRPr="00982D3E">
        <w:rPr>
          <w:color w:val="000000" w:themeColor="text1"/>
        </w:rPr>
        <w:t>) et 63.1.iv)</w:t>
      </w:r>
      <w:r w:rsidR="00C15821" w:rsidRPr="00982D3E">
        <w:rPr>
          <w:color w:val="000000" w:themeColor="text1"/>
        </w:rPr>
        <w:t> :</w:t>
      </w:r>
      <w:r w:rsidRPr="00982D3E">
        <w:rPr>
          <w:color w:val="000000" w:themeColor="text1"/>
        </w:rPr>
        <w:t xml:space="preserve"> Cet office ou cette organisation doit disposer d</w:t>
      </w:r>
      <w:r w:rsidR="00C15821" w:rsidRPr="00982D3E">
        <w:rPr>
          <w:color w:val="000000" w:themeColor="text1"/>
        </w:rPr>
        <w:t>’</w:t>
      </w:r>
      <w:r w:rsidRPr="00982D3E">
        <w:rPr>
          <w:color w:val="000000" w:themeColor="text1"/>
        </w:rPr>
        <w:t>un système de gestion de la qualité et de dispositions internes en matière d</w:t>
      </w:r>
      <w:r w:rsidR="00C15821" w:rsidRPr="00982D3E">
        <w:rPr>
          <w:color w:val="000000" w:themeColor="text1"/>
        </w:rPr>
        <w:t>’</w:t>
      </w:r>
      <w:r w:rsidRPr="00982D3E">
        <w:rPr>
          <w:color w:val="000000" w:themeColor="text1"/>
        </w:rPr>
        <w:t>évaluation conformément aux règles communes de la recherche internationale.</w:t>
      </w:r>
    </w:p>
    <w:p w14:paraId="0FD74AA0" w14:textId="57026FC8" w:rsidR="005D71D4" w:rsidRPr="00982D3E" w:rsidRDefault="005D71D4" w:rsidP="00D15D07">
      <w:pPr>
        <w:pStyle w:val="RuleQuote"/>
        <w:keepNext w:val="0"/>
        <w:ind w:left="0"/>
        <w:rPr>
          <w:i w:val="0"/>
          <w:iCs w:val="0"/>
          <w:color w:val="000000" w:themeColor="text1"/>
        </w:rPr>
      </w:pPr>
      <w:r w:rsidRPr="00982D3E">
        <w:rPr>
          <w:i w:val="0"/>
          <w:color w:val="000000" w:themeColor="text1"/>
        </w:rPr>
        <w:t>Le rapport sur le système de gestion de la qualité contient des informations sur le système de gestion de la qualité mis en place par l</w:t>
      </w:r>
      <w:r w:rsidR="00C15821" w:rsidRPr="00982D3E">
        <w:rPr>
          <w:i w:val="0"/>
          <w:color w:val="000000" w:themeColor="text1"/>
        </w:rPr>
        <w:t>’</w:t>
      </w:r>
      <w:r w:rsidRPr="00982D3E">
        <w:rPr>
          <w:i w:val="0"/>
          <w:color w:val="000000" w:themeColor="text1"/>
        </w:rPr>
        <w:t>administration conformément au chapitre 21 des directives et inclut un bilan, conformément au paragraphe 21.09, sur les</w:t>
      </w:r>
      <w:r w:rsidR="000F0CBE">
        <w:rPr>
          <w:i w:val="0"/>
          <w:color w:val="000000" w:themeColor="text1"/>
        </w:rPr>
        <w:t> </w:t>
      </w:r>
      <w:r w:rsidRPr="00982D3E">
        <w:rPr>
          <w:i w:val="0"/>
          <w:color w:val="000000" w:themeColor="text1"/>
        </w:rPr>
        <w:t>dispositions en matière d</w:t>
      </w:r>
      <w:r w:rsidR="00C15821" w:rsidRPr="00982D3E">
        <w:rPr>
          <w:i w:val="0"/>
          <w:color w:val="000000" w:themeColor="text1"/>
        </w:rPr>
        <w:t>’</w:t>
      </w:r>
      <w:r w:rsidRPr="00982D3E">
        <w:rPr>
          <w:i w:val="0"/>
          <w:color w:val="000000" w:themeColor="text1"/>
        </w:rPr>
        <w:t>évaluation interne qui sont décrites aux paragraphes 21.27 à</w:t>
      </w:r>
      <w:r w:rsidR="000F0CBE">
        <w:rPr>
          <w:i w:val="0"/>
          <w:color w:val="000000" w:themeColor="text1"/>
        </w:rPr>
        <w:t> </w:t>
      </w:r>
      <w:r w:rsidRPr="00982D3E">
        <w:rPr>
          <w:i w:val="0"/>
          <w:color w:val="000000" w:themeColor="text1"/>
        </w:rPr>
        <w:t>21.30 des directives.</w:t>
      </w:r>
    </w:p>
    <w:p w14:paraId="780EFE11" w14:textId="1143BF7F" w:rsidR="00C15821" w:rsidRPr="00982D3E" w:rsidRDefault="005D71D4" w:rsidP="00D15D07">
      <w:pPr>
        <w:pStyle w:val="RuleQuote"/>
        <w:keepNext w:val="0"/>
        <w:ind w:left="0"/>
        <w:rPr>
          <w:i w:val="0"/>
          <w:color w:val="000000" w:themeColor="text1"/>
        </w:rPr>
      </w:pPr>
      <w:r w:rsidRPr="00982D3E">
        <w:rPr>
          <w:i w:val="0"/>
          <w:color w:val="000000" w:themeColor="text1"/>
        </w:rPr>
        <w:t>Autres informations que celles figurant dans le rapport sur le système de gestion de la qualité (facultatif)</w:t>
      </w:r>
      <w:r w:rsidR="00C15821" w:rsidRPr="00982D3E">
        <w:rPr>
          <w:i w:val="0"/>
          <w:color w:val="000000" w:themeColor="text1"/>
        </w:rPr>
        <w:t> :</w:t>
      </w:r>
    </w:p>
    <w:p w14:paraId="455DDF1C" w14:textId="48EF62AC" w:rsidR="00C15821" w:rsidRPr="00982D3E" w:rsidRDefault="005D71D4" w:rsidP="00D15D07">
      <w:pPr>
        <w:pStyle w:val="RuleQuote"/>
        <w:keepNext w:val="0"/>
        <w:ind w:left="0" w:right="-17"/>
        <w:jc w:val="both"/>
        <w:rPr>
          <w:i w:val="0"/>
          <w:color w:val="000000" w:themeColor="text1"/>
        </w:rPr>
      </w:pPr>
      <w:r w:rsidRPr="00982D3E">
        <w:rPr>
          <w:i w:val="0"/>
          <w:color w:val="000000" w:themeColor="text1"/>
        </w:rPr>
        <w:t>Le système de gestion de la qualité de l</w:t>
      </w:r>
      <w:r w:rsidR="00C15821" w:rsidRPr="00982D3E">
        <w:rPr>
          <w:i w:val="0"/>
          <w:color w:val="000000" w:themeColor="text1"/>
        </w:rPr>
        <w:t>’</w:t>
      </w:r>
      <w:r w:rsidRPr="00982D3E">
        <w:rPr>
          <w:i w:val="0"/>
          <w:color w:val="000000" w:themeColor="text1"/>
        </w:rPr>
        <w:t>OEPM est certifié ISO</w:t>
      </w:r>
      <w:r w:rsidR="00982D3E">
        <w:rPr>
          <w:i w:val="0"/>
          <w:color w:val="000000" w:themeColor="text1"/>
        </w:rPr>
        <w:t> </w:t>
      </w:r>
      <w:proofErr w:type="gramStart"/>
      <w:r w:rsidRPr="00982D3E">
        <w:rPr>
          <w:i w:val="0"/>
          <w:color w:val="000000" w:themeColor="text1"/>
        </w:rPr>
        <w:t>9001:</w:t>
      </w:r>
      <w:proofErr w:type="gramEnd"/>
      <w:r w:rsidRPr="00982D3E">
        <w:rPr>
          <w:i w:val="0"/>
          <w:color w:val="000000" w:themeColor="text1"/>
        </w:rPr>
        <w:t>2015.</w:t>
      </w:r>
    </w:p>
    <w:p w14:paraId="0D12C935" w14:textId="069B9786"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t>Le champ d</w:t>
      </w:r>
      <w:r w:rsidR="00C15821" w:rsidRPr="00982D3E">
        <w:rPr>
          <w:i w:val="0"/>
          <w:color w:val="000000" w:themeColor="text1"/>
        </w:rPr>
        <w:t>’</w:t>
      </w:r>
      <w:r w:rsidRPr="00982D3E">
        <w:rPr>
          <w:i w:val="0"/>
          <w:color w:val="000000" w:themeColor="text1"/>
        </w:rPr>
        <w:t>application de ce système couvre la procédure</w:t>
      </w:r>
      <w:r w:rsidR="00C15821" w:rsidRPr="00982D3E">
        <w:rPr>
          <w:i w:val="0"/>
          <w:color w:val="000000" w:themeColor="text1"/>
        </w:rPr>
        <w:t xml:space="preserve"> du PCT</w:t>
      </w:r>
      <w:r w:rsidRPr="00982D3E">
        <w:rPr>
          <w:i w:val="0"/>
          <w:color w:val="000000" w:themeColor="text1"/>
        </w:rPr>
        <w:t>, les procédures de veille technologique, les dessins et modèles industriels, les marques nationales et les noms commerciaux, les brevets nationaux, les modèles d</w:t>
      </w:r>
      <w:r w:rsidR="00C15821" w:rsidRPr="00982D3E">
        <w:rPr>
          <w:i w:val="0"/>
          <w:color w:val="000000" w:themeColor="text1"/>
        </w:rPr>
        <w:t>’</w:t>
      </w:r>
      <w:r w:rsidRPr="00982D3E">
        <w:rPr>
          <w:i w:val="0"/>
          <w:color w:val="000000" w:themeColor="text1"/>
        </w:rPr>
        <w:t>utilité, les certificats complémentaires de protection, l</w:t>
      </w:r>
      <w:r w:rsidR="00C15821" w:rsidRPr="00982D3E">
        <w:rPr>
          <w:i w:val="0"/>
          <w:color w:val="000000" w:themeColor="text1"/>
        </w:rPr>
        <w:t>’</w:t>
      </w:r>
      <w:r w:rsidRPr="00982D3E">
        <w:rPr>
          <w:i w:val="0"/>
          <w:color w:val="000000" w:themeColor="text1"/>
        </w:rPr>
        <w:t>enregistrement des accords de licence et le transfert des droits de propriété industrielle, les décisions concernant le rétablissement des droits, les appels et la validation des brevets européens.</w:t>
      </w:r>
    </w:p>
    <w:p w14:paraId="24BDA90F" w14:textId="77777777"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t>Le dernier audit externe a été effectué en juin 2025 et son suivi a été mené à bien.</w:t>
      </w:r>
    </w:p>
    <w:p w14:paraId="1B0B5DC6" w14:textId="63A66ADE" w:rsidR="005D71D4" w:rsidRPr="00982D3E" w:rsidRDefault="005D71D4" w:rsidP="00D15D07">
      <w:pPr>
        <w:pStyle w:val="SectionHeading"/>
        <w:rPr>
          <w:color w:val="000000" w:themeColor="text1"/>
          <w:lang w:val="fr-FR"/>
        </w:rPr>
      </w:pPr>
      <w:r w:rsidRPr="00982D3E">
        <w:rPr>
          <w:color w:val="000000" w:themeColor="text1"/>
          <w:lang w:val="fr-FR"/>
        </w:rPr>
        <w:lastRenderedPageBreak/>
        <w:t>3</w:t>
      </w:r>
      <w:r w:rsidR="00704A3D" w:rsidRPr="00982D3E">
        <w:rPr>
          <w:color w:val="000000" w:themeColor="text1"/>
          <w:lang w:val="fr-FR"/>
        </w:rPr>
        <w:t xml:space="preserve"> –</w:t>
      </w:r>
      <w:r w:rsidRPr="00982D3E">
        <w:rPr>
          <w:color w:val="000000" w:themeColor="text1"/>
          <w:lang w:val="fr-FR"/>
        </w:rPr>
        <w:t xml:space="preserve"> Champ d</w:t>
      </w:r>
      <w:r w:rsidR="00C15821" w:rsidRPr="00982D3E">
        <w:rPr>
          <w:color w:val="000000" w:themeColor="text1"/>
          <w:lang w:val="fr-FR"/>
        </w:rPr>
        <w:t>’</w:t>
      </w:r>
      <w:r w:rsidRPr="00982D3E">
        <w:rPr>
          <w:color w:val="000000" w:themeColor="text1"/>
          <w:lang w:val="fr-FR"/>
        </w:rPr>
        <w:t>activité</w:t>
      </w:r>
    </w:p>
    <w:p w14:paraId="1E1926AF" w14:textId="07F9D6A4" w:rsidR="005D71D4" w:rsidRPr="00982D3E" w:rsidRDefault="005D71D4" w:rsidP="00D15D07">
      <w:pPr>
        <w:pStyle w:val="Question"/>
        <w:spacing w:after="480"/>
        <w:rPr>
          <w:color w:val="000000" w:themeColor="text1"/>
        </w:rPr>
      </w:pPr>
      <w:r w:rsidRPr="00982D3E">
        <w:rPr>
          <w:color w:val="000000" w:themeColor="text1"/>
        </w:rPr>
        <w:t>a)</w:t>
      </w:r>
      <w:r w:rsidRPr="00982D3E">
        <w:rPr>
          <w:color w:val="000000" w:themeColor="text1"/>
        </w:rPr>
        <w:tab/>
        <w:t>Champ d</w:t>
      </w:r>
      <w:r w:rsidR="00C15821" w:rsidRPr="00982D3E">
        <w:rPr>
          <w:color w:val="000000" w:themeColor="text1"/>
        </w:rPr>
        <w:t>’</w:t>
      </w:r>
      <w:r w:rsidRPr="00982D3E">
        <w:rPr>
          <w:color w:val="000000" w:themeColor="text1"/>
        </w:rPr>
        <w:t>activité actuel</w:t>
      </w:r>
    </w:p>
    <w:p w14:paraId="45EDD26D" w14:textId="3A2E0E29" w:rsidR="005D71D4" w:rsidRPr="00982D3E" w:rsidRDefault="005D71D4" w:rsidP="00D15D07">
      <w:pPr>
        <w:pStyle w:val="Question"/>
        <w:spacing w:after="480"/>
        <w:rPr>
          <w:b w:val="0"/>
          <w:bCs w:val="0"/>
          <w:color w:val="000000" w:themeColor="text1"/>
        </w:rPr>
      </w:pPr>
      <w:r w:rsidRPr="00982D3E">
        <w:rPr>
          <w:b w:val="0"/>
          <w:color w:val="000000" w:themeColor="text1"/>
        </w:rPr>
        <w:t>Les offices récepteurs pour lesquels l</w:t>
      </w:r>
      <w:r w:rsidR="00C15821" w:rsidRPr="00982D3E">
        <w:rPr>
          <w:b w:val="0"/>
          <w:color w:val="000000" w:themeColor="text1"/>
        </w:rPr>
        <w:t>’</w:t>
      </w:r>
      <w:r w:rsidRPr="00982D3E">
        <w:rPr>
          <w:b w:val="0"/>
          <w:color w:val="000000" w:themeColor="text1"/>
        </w:rPr>
        <w:t>office ou l</w:t>
      </w:r>
      <w:r w:rsidR="00C15821" w:rsidRPr="00982D3E">
        <w:rPr>
          <w:b w:val="0"/>
          <w:color w:val="000000" w:themeColor="text1"/>
        </w:rPr>
        <w:t>’</w:t>
      </w:r>
      <w:r w:rsidRPr="00982D3E">
        <w:rPr>
          <w:b w:val="0"/>
          <w:color w:val="000000" w:themeColor="text1"/>
        </w:rPr>
        <w:t>organisation intergouvernementale est compétent en tant qu</w:t>
      </w:r>
      <w:r w:rsidR="00C15821" w:rsidRPr="00982D3E">
        <w:rPr>
          <w:b w:val="0"/>
          <w:color w:val="000000" w:themeColor="text1"/>
        </w:rPr>
        <w:t>’</w:t>
      </w:r>
      <w:r w:rsidRPr="00982D3E">
        <w:rPr>
          <w:b w:val="0"/>
          <w:color w:val="000000" w:themeColor="text1"/>
        </w:rPr>
        <w:t>administration chargée de la recherche internationale et administration chargée de l</w:t>
      </w:r>
      <w:r w:rsidR="00C15821" w:rsidRPr="00982D3E">
        <w:rPr>
          <w:b w:val="0"/>
          <w:color w:val="000000" w:themeColor="text1"/>
        </w:rPr>
        <w:t>’</w:t>
      </w:r>
      <w:r w:rsidRPr="00982D3E">
        <w:rPr>
          <w:b w:val="0"/>
          <w:color w:val="000000" w:themeColor="text1"/>
        </w:rPr>
        <w:t>examen préliminaire international, la ou les langues dans lesquelles les services sont proposés et d</w:t>
      </w:r>
      <w:r w:rsidR="00C15821" w:rsidRPr="00982D3E">
        <w:rPr>
          <w:b w:val="0"/>
          <w:color w:val="000000" w:themeColor="text1"/>
        </w:rPr>
        <w:t>’</w:t>
      </w:r>
      <w:r w:rsidRPr="00982D3E">
        <w:rPr>
          <w:b w:val="0"/>
          <w:color w:val="000000" w:themeColor="text1"/>
        </w:rPr>
        <w:t>autres détails concernant le champ d</w:t>
      </w:r>
      <w:r w:rsidR="00C15821" w:rsidRPr="00982D3E">
        <w:rPr>
          <w:b w:val="0"/>
          <w:color w:val="000000" w:themeColor="text1"/>
        </w:rPr>
        <w:t>’</w:t>
      </w:r>
      <w:r w:rsidRPr="00982D3E">
        <w:rPr>
          <w:b w:val="0"/>
          <w:color w:val="000000" w:themeColor="text1"/>
        </w:rPr>
        <w:t>activité peuvent être consultés dans le Guide du déposant</w:t>
      </w:r>
      <w:r w:rsidR="00C15821" w:rsidRPr="00982D3E">
        <w:rPr>
          <w:b w:val="0"/>
          <w:color w:val="000000" w:themeColor="text1"/>
        </w:rPr>
        <w:t xml:space="preserve"> du PCT</w:t>
      </w:r>
      <w:r w:rsidRPr="00982D3E">
        <w:rPr>
          <w:b w:val="0"/>
          <w:color w:val="000000" w:themeColor="text1"/>
        </w:rPr>
        <w:t xml:space="preserve">, </w:t>
      </w:r>
      <w:r w:rsidR="00D15D07" w:rsidRPr="00982D3E">
        <w:rPr>
          <w:b w:val="0"/>
          <w:color w:val="000000" w:themeColor="text1"/>
        </w:rPr>
        <w:t xml:space="preserve">aux </w:t>
      </w:r>
      <w:r w:rsidRPr="00982D3E">
        <w:rPr>
          <w:b w:val="0"/>
          <w:color w:val="000000" w:themeColor="text1"/>
        </w:rPr>
        <w:t>adresse</w:t>
      </w:r>
      <w:r w:rsidR="00D15D07" w:rsidRPr="00982D3E">
        <w:rPr>
          <w:b w:val="0"/>
          <w:color w:val="000000" w:themeColor="text1"/>
        </w:rPr>
        <w:t>s</w:t>
      </w:r>
      <w:r w:rsidRPr="00982D3E">
        <w:rPr>
          <w:b w:val="0"/>
          <w:color w:val="000000" w:themeColor="text1"/>
        </w:rPr>
        <w:t xml:space="preserve"> suivante</w:t>
      </w:r>
      <w:r w:rsidR="00D15D07" w:rsidRPr="00982D3E">
        <w:rPr>
          <w:b w:val="0"/>
          <w:color w:val="000000" w:themeColor="text1"/>
        </w:rPr>
        <w:t>s</w:t>
      </w:r>
      <w:r w:rsidR="00C15821" w:rsidRPr="00982D3E">
        <w:rPr>
          <w:b w:val="0"/>
          <w:color w:val="000000" w:themeColor="text1"/>
        </w:rPr>
        <w:t> :</w:t>
      </w:r>
      <w:r w:rsidRPr="00982D3E">
        <w:rPr>
          <w:b w:val="0"/>
          <w:color w:val="000000" w:themeColor="text1"/>
        </w:rPr>
        <w:t xml:space="preserve"> </w:t>
      </w:r>
      <w:bookmarkStart w:id="6" w:name="_Hlk215086992"/>
      <w:r w:rsidRPr="00982D3E">
        <w:rPr>
          <w:rStyle w:val="Hyperlink"/>
          <w:b w:val="0"/>
        </w:rPr>
        <w:fldChar w:fldCharType="begin"/>
      </w:r>
      <w:r w:rsidRPr="00982D3E">
        <w:rPr>
          <w:rStyle w:val="Hyperlink"/>
          <w:b w:val="0"/>
        </w:rPr>
        <w:instrText>HYPERLINK "https://pctlegal.wipo.int/eGuide/view-doc.xhtml?doc-code=ES&amp;amp;doc-lang=fr" \l "#ISA"</w:instrText>
      </w:r>
      <w:r w:rsidR="004B3D01" w:rsidRPr="00982D3E">
        <w:rPr>
          <w:rStyle w:val="Hyperlink"/>
          <w:b w:val="0"/>
        </w:rPr>
      </w:r>
      <w:r w:rsidRPr="00982D3E">
        <w:rPr>
          <w:rStyle w:val="Hyperlink"/>
          <w:b w:val="0"/>
        </w:rPr>
        <w:fldChar w:fldCharType="separate"/>
      </w:r>
      <w:r w:rsidRPr="00982D3E">
        <w:rPr>
          <w:rStyle w:val="Hyperlink"/>
          <w:b w:val="0"/>
        </w:rPr>
        <w:t>https://pctlegal.wipo.int/eGuide/view</w:t>
      </w:r>
      <w:r w:rsidR="000F0CBE">
        <w:rPr>
          <w:rStyle w:val="Hyperlink"/>
          <w:b w:val="0"/>
        </w:rPr>
        <w:noBreakHyphen/>
      </w:r>
      <w:r w:rsidRPr="00982D3E">
        <w:rPr>
          <w:rStyle w:val="Hyperlink"/>
          <w:b w:val="0"/>
        </w:rPr>
        <w:t>doc.xhtml?doc</w:t>
      </w:r>
      <w:r w:rsidR="000F0CBE">
        <w:rPr>
          <w:rStyle w:val="Hyperlink"/>
          <w:b w:val="0"/>
        </w:rPr>
        <w:noBreakHyphen/>
      </w:r>
      <w:r w:rsidRPr="00982D3E">
        <w:rPr>
          <w:rStyle w:val="Hyperlink"/>
          <w:b w:val="0"/>
        </w:rPr>
        <w:t>code=ES&amp;amp;doc</w:t>
      </w:r>
      <w:r w:rsidR="000F0CBE">
        <w:rPr>
          <w:rStyle w:val="Hyperlink"/>
          <w:b w:val="0"/>
        </w:rPr>
        <w:noBreakHyphen/>
      </w:r>
      <w:r w:rsidRPr="00982D3E">
        <w:rPr>
          <w:rStyle w:val="Hyperlink"/>
          <w:b w:val="0"/>
        </w:rPr>
        <w:t>lang=fr#ISA</w:t>
      </w:r>
      <w:r w:rsidRPr="00982D3E">
        <w:rPr>
          <w:rStyle w:val="Hyperlink"/>
          <w:b w:val="0"/>
        </w:rPr>
        <w:fldChar w:fldCharType="end"/>
      </w:r>
      <w:r w:rsidRPr="00982D3E">
        <w:rPr>
          <w:rStyle w:val="Hyperlink"/>
          <w:b w:val="0"/>
          <w:bCs w:val="0"/>
          <w:color w:val="auto"/>
          <w:u w:val="none"/>
        </w:rPr>
        <w:t xml:space="preserve"> </w:t>
      </w:r>
      <w:r w:rsidR="00D15D07" w:rsidRPr="00982D3E">
        <w:rPr>
          <w:rStyle w:val="Hyperlink"/>
          <w:b w:val="0"/>
          <w:bCs w:val="0"/>
          <w:color w:val="auto"/>
          <w:u w:val="none"/>
        </w:rPr>
        <w:t xml:space="preserve">et </w:t>
      </w:r>
      <w:hyperlink r:id="rId16" w:anchor="IPEA" w:history="1">
        <w:r w:rsidR="00D15D07" w:rsidRPr="00982D3E">
          <w:rPr>
            <w:rStyle w:val="Hyperlink"/>
            <w:b w:val="0"/>
          </w:rPr>
          <w:t>https://pctlegal.wipo.int/eGuide/view</w:t>
        </w:r>
        <w:r w:rsidR="000F0CBE">
          <w:rPr>
            <w:rStyle w:val="Hyperlink"/>
            <w:b w:val="0"/>
          </w:rPr>
          <w:noBreakHyphen/>
        </w:r>
        <w:r w:rsidR="00D15D07" w:rsidRPr="00982D3E">
          <w:rPr>
            <w:rStyle w:val="Hyperlink"/>
            <w:b w:val="0"/>
          </w:rPr>
          <w:t>doc.xhtml?doc</w:t>
        </w:r>
        <w:r w:rsidR="000F0CBE">
          <w:rPr>
            <w:rStyle w:val="Hyperlink"/>
            <w:b w:val="0"/>
          </w:rPr>
          <w:noBreakHyphen/>
        </w:r>
        <w:r w:rsidR="00D15D07" w:rsidRPr="00982D3E">
          <w:rPr>
            <w:rStyle w:val="Hyperlink"/>
            <w:b w:val="0"/>
          </w:rPr>
          <w:t>code=ES&amp;amp;doc</w:t>
        </w:r>
        <w:r w:rsidR="000F0CBE">
          <w:rPr>
            <w:rStyle w:val="Hyperlink"/>
            <w:b w:val="0"/>
          </w:rPr>
          <w:noBreakHyphen/>
        </w:r>
        <w:r w:rsidR="00D15D07" w:rsidRPr="00982D3E">
          <w:rPr>
            <w:rStyle w:val="Hyperlink"/>
            <w:b w:val="0"/>
          </w:rPr>
          <w:t>lang=fr#IPEA</w:t>
        </w:r>
      </w:hyperlink>
      <w:r w:rsidRPr="00982D3E">
        <w:rPr>
          <w:b w:val="0"/>
        </w:rPr>
        <w:t>.</w:t>
      </w:r>
    </w:p>
    <w:bookmarkEnd w:id="6"/>
    <w:p w14:paraId="4FAE8B0B" w14:textId="7C7C96A1" w:rsidR="005D71D4" w:rsidRPr="00982D3E" w:rsidRDefault="005D71D4" w:rsidP="00D15D07">
      <w:pPr>
        <w:pStyle w:val="Question"/>
        <w:keepNext w:val="0"/>
        <w:spacing w:after="480"/>
        <w:rPr>
          <w:color w:val="000000" w:themeColor="text1"/>
        </w:rPr>
      </w:pPr>
      <w:r w:rsidRPr="00982D3E">
        <w:rPr>
          <w:color w:val="000000" w:themeColor="text1"/>
        </w:rPr>
        <w:t>b)</w:t>
      </w:r>
      <w:r w:rsidRPr="00982D3E">
        <w:rPr>
          <w:color w:val="000000" w:themeColor="text1"/>
        </w:rPr>
        <w:tab/>
        <w:t>Les modifications prévues concernant le champ d</w:t>
      </w:r>
      <w:r w:rsidR="00C15821" w:rsidRPr="00982D3E">
        <w:rPr>
          <w:color w:val="000000" w:themeColor="text1"/>
        </w:rPr>
        <w:t>’</w:t>
      </w:r>
      <w:r w:rsidRPr="00982D3E">
        <w:rPr>
          <w:color w:val="000000" w:themeColor="text1"/>
        </w:rPr>
        <w:t>activité de l</w:t>
      </w:r>
      <w:r w:rsidR="00C15821" w:rsidRPr="00982D3E">
        <w:rPr>
          <w:color w:val="000000" w:themeColor="text1"/>
        </w:rPr>
        <w:t>’</w:t>
      </w:r>
      <w:r w:rsidRPr="00982D3E">
        <w:rPr>
          <w:color w:val="000000" w:themeColor="text1"/>
        </w:rPr>
        <w:t>administration, telles que les offices récepteurs pour lesquels l</w:t>
      </w:r>
      <w:r w:rsidR="00C15821" w:rsidRPr="00982D3E">
        <w:rPr>
          <w:color w:val="000000" w:themeColor="text1"/>
        </w:rPr>
        <w:t>’</w:t>
      </w:r>
      <w:r w:rsidRPr="00982D3E">
        <w:rPr>
          <w:color w:val="000000" w:themeColor="text1"/>
        </w:rPr>
        <w:t>administration est compétente et les langues disponibles (le cas échéant)</w:t>
      </w:r>
      <w:r w:rsidR="00C15821" w:rsidRPr="00982D3E">
        <w:rPr>
          <w:color w:val="000000" w:themeColor="text1"/>
        </w:rPr>
        <w:t> :</w:t>
      </w:r>
    </w:p>
    <w:p w14:paraId="761910F7" w14:textId="3EBC9F4E"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t>L</w:t>
      </w:r>
      <w:r w:rsidR="00C15821" w:rsidRPr="00982D3E">
        <w:rPr>
          <w:i w:val="0"/>
          <w:color w:val="000000" w:themeColor="text1"/>
        </w:rPr>
        <w:t>’</w:t>
      </w:r>
      <w:r w:rsidRPr="00982D3E">
        <w:rPr>
          <w:i w:val="0"/>
          <w:color w:val="000000" w:themeColor="text1"/>
        </w:rPr>
        <w:t>office ne prévoit pas de modifier son champ d</w:t>
      </w:r>
      <w:r w:rsidR="00C15821" w:rsidRPr="00982D3E">
        <w:rPr>
          <w:i w:val="0"/>
          <w:color w:val="000000" w:themeColor="text1"/>
        </w:rPr>
        <w:t>’</w:t>
      </w:r>
      <w:r w:rsidRPr="00982D3E">
        <w:rPr>
          <w:i w:val="0"/>
          <w:color w:val="000000" w:themeColor="text1"/>
        </w:rPr>
        <w:t>activité en tant qu</w:t>
      </w:r>
      <w:r w:rsidR="00C15821" w:rsidRPr="00982D3E">
        <w:rPr>
          <w:i w:val="0"/>
          <w:color w:val="000000" w:themeColor="text1"/>
        </w:rPr>
        <w:t>’</w:t>
      </w:r>
      <w:r w:rsidRPr="00982D3E">
        <w:rPr>
          <w:i w:val="0"/>
          <w:color w:val="000000" w:themeColor="text1"/>
        </w:rPr>
        <w:t>administration internationa</w:t>
      </w:r>
      <w:r w:rsidR="00A720A1" w:rsidRPr="00982D3E">
        <w:rPr>
          <w:i w:val="0"/>
          <w:color w:val="000000" w:themeColor="text1"/>
        </w:rPr>
        <w:t>le.  Il</w:t>
      </w:r>
      <w:r w:rsidRPr="00982D3E">
        <w:rPr>
          <w:i w:val="0"/>
          <w:color w:val="000000" w:themeColor="text1"/>
        </w:rPr>
        <w:t xml:space="preserve"> continuera en particulier de mener des recherches internationales et de rédiger des rapports d</w:t>
      </w:r>
      <w:r w:rsidR="00C15821" w:rsidRPr="00982D3E">
        <w:rPr>
          <w:i w:val="0"/>
          <w:color w:val="000000" w:themeColor="text1"/>
        </w:rPr>
        <w:t>’</w:t>
      </w:r>
      <w:r w:rsidRPr="00982D3E">
        <w:rPr>
          <w:i w:val="0"/>
          <w:color w:val="000000" w:themeColor="text1"/>
        </w:rPr>
        <w:t>examen préliminaire en espagnol et en anglais.</w:t>
      </w:r>
    </w:p>
    <w:p w14:paraId="3AACCA1E" w14:textId="59A52408" w:rsidR="005D71D4" w:rsidRPr="00982D3E" w:rsidRDefault="005D71D4" w:rsidP="00D15D07">
      <w:pPr>
        <w:pStyle w:val="RuleQuote"/>
        <w:keepNext w:val="0"/>
        <w:ind w:left="0" w:right="-17"/>
        <w:jc w:val="both"/>
        <w:rPr>
          <w:i w:val="0"/>
          <w:iCs w:val="0"/>
          <w:color w:val="000000" w:themeColor="text1"/>
        </w:rPr>
      </w:pPr>
      <w:r w:rsidRPr="00982D3E">
        <w:rPr>
          <w:i w:val="0"/>
          <w:color w:val="000000" w:themeColor="text1"/>
        </w:rPr>
        <w:t>En outre, nous continuerons de mener des recherches internationales et des examens préliminaires pour les demandes internationales selon</w:t>
      </w:r>
      <w:r w:rsidR="00C15821" w:rsidRPr="00982D3E">
        <w:rPr>
          <w:i w:val="0"/>
          <w:color w:val="000000" w:themeColor="text1"/>
        </w:rPr>
        <w:t xml:space="preserve"> le PCT</w:t>
      </w:r>
      <w:r w:rsidRPr="00982D3E">
        <w:rPr>
          <w:i w:val="0"/>
          <w:color w:val="000000" w:themeColor="text1"/>
        </w:rPr>
        <w:t xml:space="preserve"> déposées auprès des offices récepteurs suivants</w:t>
      </w:r>
      <w:r w:rsidR="00C15821" w:rsidRPr="00982D3E">
        <w:rPr>
          <w:i w:val="0"/>
          <w:color w:val="000000" w:themeColor="text1"/>
        </w:rPr>
        <w:t> :</w:t>
      </w:r>
    </w:p>
    <w:p w14:paraId="11D2BA71"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ES</w:t>
      </w:r>
      <w:r w:rsidRPr="00982D3E">
        <w:rPr>
          <w:i w:val="0"/>
          <w:color w:val="000000" w:themeColor="text1"/>
        </w:rPr>
        <w:tab/>
        <w:t>Espagne</w:t>
      </w:r>
    </w:p>
    <w:p w14:paraId="5C4736D9"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CL</w:t>
      </w:r>
      <w:r w:rsidRPr="00982D3E">
        <w:rPr>
          <w:i w:val="0"/>
          <w:color w:val="000000" w:themeColor="text1"/>
        </w:rPr>
        <w:tab/>
        <w:t>Chili</w:t>
      </w:r>
    </w:p>
    <w:p w14:paraId="33100CB5"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CO</w:t>
      </w:r>
      <w:r w:rsidRPr="00982D3E">
        <w:rPr>
          <w:i w:val="0"/>
          <w:color w:val="000000" w:themeColor="text1"/>
        </w:rPr>
        <w:tab/>
        <w:t>Colombie</w:t>
      </w:r>
    </w:p>
    <w:p w14:paraId="09C4487C"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CU</w:t>
      </w:r>
      <w:r w:rsidRPr="00982D3E">
        <w:rPr>
          <w:i w:val="0"/>
          <w:color w:val="000000" w:themeColor="text1"/>
        </w:rPr>
        <w:tab/>
        <w:t>Cuba</w:t>
      </w:r>
    </w:p>
    <w:p w14:paraId="4A1D7086" w14:textId="0EDB75B0"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CR</w:t>
      </w:r>
      <w:r w:rsidRPr="00982D3E">
        <w:rPr>
          <w:i w:val="0"/>
          <w:color w:val="000000" w:themeColor="text1"/>
        </w:rPr>
        <w:tab/>
        <w:t>Costa</w:t>
      </w:r>
      <w:r w:rsidR="004319B8" w:rsidRPr="00982D3E">
        <w:rPr>
          <w:i w:val="0"/>
          <w:color w:val="000000" w:themeColor="text1"/>
        </w:rPr>
        <w:t> </w:t>
      </w:r>
      <w:r w:rsidRPr="00982D3E">
        <w:rPr>
          <w:i w:val="0"/>
          <w:color w:val="000000" w:themeColor="text1"/>
        </w:rPr>
        <w:t>Rica</w:t>
      </w:r>
    </w:p>
    <w:p w14:paraId="66729659"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DO</w:t>
      </w:r>
      <w:r w:rsidRPr="00982D3E">
        <w:rPr>
          <w:i w:val="0"/>
          <w:color w:val="000000" w:themeColor="text1"/>
        </w:rPr>
        <w:tab/>
        <w:t>République dominicaine</w:t>
      </w:r>
    </w:p>
    <w:p w14:paraId="54FED415"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EC</w:t>
      </w:r>
      <w:r w:rsidRPr="00982D3E">
        <w:rPr>
          <w:i w:val="0"/>
          <w:color w:val="000000" w:themeColor="text1"/>
        </w:rPr>
        <w:tab/>
        <w:t>Équateur</w:t>
      </w:r>
    </w:p>
    <w:p w14:paraId="4F1B1E37"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GT</w:t>
      </w:r>
      <w:r w:rsidRPr="00982D3E">
        <w:rPr>
          <w:i w:val="0"/>
          <w:color w:val="000000" w:themeColor="text1"/>
        </w:rPr>
        <w:tab/>
        <w:t>Guatemala</w:t>
      </w:r>
    </w:p>
    <w:p w14:paraId="5E631618"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HN</w:t>
      </w:r>
      <w:r w:rsidRPr="00982D3E">
        <w:rPr>
          <w:i w:val="0"/>
          <w:color w:val="000000" w:themeColor="text1"/>
        </w:rPr>
        <w:tab/>
        <w:t>Honduras</w:t>
      </w:r>
    </w:p>
    <w:p w14:paraId="1A538910"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MX</w:t>
      </w:r>
      <w:r w:rsidRPr="00982D3E">
        <w:rPr>
          <w:i w:val="0"/>
          <w:color w:val="000000" w:themeColor="text1"/>
        </w:rPr>
        <w:tab/>
        <w:t>Mexique</w:t>
      </w:r>
    </w:p>
    <w:p w14:paraId="11BDE556"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NI</w:t>
      </w:r>
      <w:r w:rsidRPr="00982D3E">
        <w:rPr>
          <w:i w:val="0"/>
          <w:color w:val="000000" w:themeColor="text1"/>
        </w:rPr>
        <w:tab/>
        <w:t>Nicaragua</w:t>
      </w:r>
    </w:p>
    <w:p w14:paraId="3D13C266"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PA</w:t>
      </w:r>
      <w:r w:rsidRPr="00982D3E">
        <w:rPr>
          <w:i w:val="0"/>
          <w:color w:val="000000" w:themeColor="text1"/>
        </w:rPr>
        <w:tab/>
        <w:t>Panama</w:t>
      </w:r>
    </w:p>
    <w:p w14:paraId="3A1598B3"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PE</w:t>
      </w:r>
      <w:r w:rsidRPr="00982D3E">
        <w:rPr>
          <w:i w:val="0"/>
          <w:color w:val="000000" w:themeColor="text1"/>
        </w:rPr>
        <w:tab/>
        <w:t>Pérou</w:t>
      </w:r>
    </w:p>
    <w:p w14:paraId="698FD61A" w14:textId="143E8D4C"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SV</w:t>
      </w:r>
      <w:r w:rsidRPr="00982D3E">
        <w:rPr>
          <w:i w:val="0"/>
          <w:color w:val="000000" w:themeColor="text1"/>
        </w:rPr>
        <w:tab/>
        <w:t>El</w:t>
      </w:r>
      <w:r w:rsidR="004319B8" w:rsidRPr="00982D3E">
        <w:rPr>
          <w:i w:val="0"/>
          <w:color w:val="000000" w:themeColor="text1"/>
        </w:rPr>
        <w:t> </w:t>
      </w:r>
      <w:r w:rsidRPr="00982D3E">
        <w:rPr>
          <w:i w:val="0"/>
          <w:color w:val="000000" w:themeColor="text1"/>
        </w:rPr>
        <w:t>Salvador</w:t>
      </w:r>
    </w:p>
    <w:p w14:paraId="4E15A3CC" w14:textId="77777777" w:rsidR="005D71D4" w:rsidRPr="00982D3E" w:rsidRDefault="005D71D4" w:rsidP="00D15D07">
      <w:pPr>
        <w:pStyle w:val="RuleQuote"/>
        <w:keepNext w:val="0"/>
        <w:numPr>
          <w:ilvl w:val="0"/>
          <w:numId w:val="16"/>
        </w:numPr>
        <w:spacing w:after="0"/>
        <w:ind w:left="1134" w:hanging="567"/>
        <w:jc w:val="both"/>
        <w:rPr>
          <w:i w:val="0"/>
          <w:iCs w:val="0"/>
          <w:color w:val="000000" w:themeColor="text1"/>
        </w:rPr>
      </w:pPr>
      <w:r w:rsidRPr="00982D3E">
        <w:rPr>
          <w:i w:val="0"/>
          <w:color w:val="000000" w:themeColor="text1"/>
        </w:rPr>
        <w:t>UY</w:t>
      </w:r>
      <w:r w:rsidRPr="00982D3E">
        <w:rPr>
          <w:i w:val="0"/>
          <w:color w:val="000000" w:themeColor="text1"/>
        </w:rPr>
        <w:tab/>
        <w:t>Uruguay (recherches internationales)</w:t>
      </w:r>
    </w:p>
    <w:p w14:paraId="2F39A8B8" w14:textId="77777777" w:rsidR="005D71D4" w:rsidRPr="00982D3E" w:rsidRDefault="005D71D4" w:rsidP="00D15D07">
      <w:pPr>
        <w:pStyle w:val="RuleQuote"/>
        <w:keepNext w:val="0"/>
        <w:ind w:left="0"/>
        <w:jc w:val="both"/>
        <w:rPr>
          <w:i w:val="0"/>
          <w:iCs w:val="0"/>
          <w:color w:val="000000" w:themeColor="text1"/>
        </w:rPr>
      </w:pPr>
    </w:p>
    <w:p w14:paraId="5C9F77B4" w14:textId="5AD3AF28" w:rsidR="005D71D4" w:rsidRPr="00982D3E" w:rsidRDefault="005D71D4" w:rsidP="00D15D07">
      <w:pPr>
        <w:pStyle w:val="SectionHeading"/>
        <w:rPr>
          <w:color w:val="000000" w:themeColor="text1"/>
          <w:lang w:val="fr-FR"/>
        </w:rPr>
      </w:pPr>
      <w:r w:rsidRPr="00982D3E">
        <w:rPr>
          <w:color w:val="000000" w:themeColor="text1"/>
          <w:lang w:val="fr-FR"/>
        </w:rPr>
        <w:lastRenderedPageBreak/>
        <w:t>4</w:t>
      </w:r>
      <w:r w:rsidR="00704A3D" w:rsidRPr="00982D3E">
        <w:rPr>
          <w:color w:val="000000" w:themeColor="text1"/>
          <w:lang w:val="fr-FR"/>
        </w:rPr>
        <w:t xml:space="preserve"> –</w:t>
      </w:r>
      <w:r w:rsidRPr="00982D3E">
        <w:rPr>
          <w:color w:val="000000" w:themeColor="text1"/>
          <w:lang w:val="fr-FR"/>
        </w:rPr>
        <w:t xml:space="preserve"> Divers</w:t>
      </w:r>
    </w:p>
    <w:p w14:paraId="1F26C334" w14:textId="71637468" w:rsidR="00C15821" w:rsidRPr="00982D3E" w:rsidRDefault="005D71D4" w:rsidP="00D15D07">
      <w:pPr>
        <w:keepNext/>
        <w:rPr>
          <w:color w:val="000000" w:themeColor="text1"/>
          <w:lang w:val="fr-FR"/>
        </w:rPr>
      </w:pPr>
      <w:r w:rsidRPr="00982D3E">
        <w:rPr>
          <w:color w:val="000000" w:themeColor="text1"/>
          <w:lang w:val="fr-FR"/>
        </w:rPr>
        <w:t>Toute autre information concernant la prolongation de la nomination en qualité d</w:t>
      </w:r>
      <w:r w:rsidR="00C15821" w:rsidRPr="00982D3E">
        <w:rPr>
          <w:color w:val="000000" w:themeColor="text1"/>
          <w:lang w:val="fr-FR"/>
        </w:rPr>
        <w:t>’</w:t>
      </w:r>
      <w:r w:rsidRPr="00982D3E">
        <w:rPr>
          <w:color w:val="000000" w:themeColor="text1"/>
          <w:lang w:val="fr-FR"/>
        </w:rPr>
        <w:t>administration chargée de la recherche internationale et de l</w:t>
      </w:r>
      <w:r w:rsidR="00C15821" w:rsidRPr="00982D3E">
        <w:rPr>
          <w:color w:val="000000" w:themeColor="text1"/>
          <w:lang w:val="fr-FR"/>
        </w:rPr>
        <w:t>’</w:t>
      </w:r>
      <w:r w:rsidRPr="00982D3E">
        <w:rPr>
          <w:color w:val="000000" w:themeColor="text1"/>
          <w:lang w:val="fr-FR"/>
        </w:rPr>
        <w:t>examen préliminaire international</w:t>
      </w:r>
      <w:r w:rsidR="00C15821" w:rsidRPr="00982D3E">
        <w:rPr>
          <w:color w:val="000000" w:themeColor="text1"/>
          <w:lang w:val="fr-FR"/>
        </w:rPr>
        <w:t> :</w:t>
      </w:r>
    </w:p>
    <w:p w14:paraId="2266F725" w14:textId="3D451AED" w:rsidR="005D71D4" w:rsidRPr="00982D3E" w:rsidRDefault="005D71D4" w:rsidP="00D15D07">
      <w:pPr>
        <w:keepNext/>
        <w:rPr>
          <w:color w:val="000000" w:themeColor="text1"/>
          <w:lang w:val="fr-FR"/>
        </w:rPr>
      </w:pPr>
    </w:p>
    <w:p w14:paraId="6324187C" w14:textId="77777777" w:rsidR="005D71D4" w:rsidRPr="00982D3E" w:rsidRDefault="005D71D4" w:rsidP="00D15D07">
      <w:pPr>
        <w:pStyle w:val="Answer"/>
        <w:keepNext/>
        <w:ind w:left="0"/>
        <w:rPr>
          <w:b/>
          <w:bCs/>
          <w:color w:val="000000" w:themeColor="text1"/>
          <w:szCs w:val="22"/>
        </w:rPr>
      </w:pPr>
      <w:r w:rsidRPr="00982D3E">
        <w:rPr>
          <w:b/>
          <w:color w:val="000000" w:themeColor="text1"/>
        </w:rPr>
        <w:t>CAPACITÉ DE TRAITEMENT</w:t>
      </w:r>
    </w:p>
    <w:p w14:paraId="7ACC4946" w14:textId="77777777" w:rsidR="005D71D4" w:rsidRPr="00982D3E" w:rsidRDefault="005D71D4" w:rsidP="00D15D07">
      <w:pPr>
        <w:pStyle w:val="Answer"/>
        <w:keepNext/>
        <w:ind w:left="0"/>
        <w:rPr>
          <w:b/>
          <w:bCs/>
          <w:color w:val="000000" w:themeColor="text1"/>
          <w:szCs w:val="22"/>
        </w:rPr>
      </w:pPr>
      <w:r w:rsidRPr="00982D3E">
        <w:rPr>
          <w:b/>
          <w:color w:val="000000" w:themeColor="text1"/>
        </w:rPr>
        <w:t>Nombre de demandes nationales de brevet reçues par domaine technique</w:t>
      </w: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5D71D4" w:rsidRPr="00982D3E" w14:paraId="715B5A53" w14:textId="77777777" w:rsidTr="004775D6">
        <w:trPr>
          <w:cantSplit/>
          <w:trHeight w:val="879"/>
        </w:trPr>
        <w:tc>
          <w:tcPr>
            <w:tcW w:w="2972" w:type="dxa"/>
            <w:tcBorders>
              <w:tl2br w:val="single" w:sz="4" w:space="0" w:color="auto"/>
            </w:tcBorders>
          </w:tcPr>
          <w:p w14:paraId="0A2408C8" w14:textId="77777777" w:rsidR="005D71D4" w:rsidRPr="00982D3E" w:rsidRDefault="005D71D4" w:rsidP="00D15D07">
            <w:pPr>
              <w:jc w:val="right"/>
              <w:rPr>
                <w:b/>
                <w:bCs/>
                <w:color w:val="000000" w:themeColor="text1"/>
                <w:szCs w:val="22"/>
                <w:lang w:val="fr-FR"/>
              </w:rPr>
            </w:pPr>
          </w:p>
          <w:p w14:paraId="237187FF" w14:textId="77777777" w:rsidR="005D71D4" w:rsidRPr="00982D3E" w:rsidRDefault="005D71D4" w:rsidP="00D15D07">
            <w:pPr>
              <w:jc w:val="right"/>
              <w:rPr>
                <w:b/>
                <w:bCs/>
                <w:color w:val="000000" w:themeColor="text1"/>
                <w:szCs w:val="22"/>
                <w:lang w:val="fr-FR"/>
              </w:rPr>
            </w:pPr>
            <w:r w:rsidRPr="00982D3E">
              <w:rPr>
                <w:b/>
                <w:color w:val="000000" w:themeColor="text1"/>
                <w:lang w:val="fr-FR"/>
              </w:rPr>
              <w:t>Année</w:t>
            </w:r>
          </w:p>
          <w:p w14:paraId="557B02F9" w14:textId="77777777" w:rsidR="005D71D4" w:rsidRPr="00982D3E" w:rsidRDefault="005D71D4" w:rsidP="00D15D07">
            <w:pPr>
              <w:rPr>
                <w:b/>
                <w:bCs/>
                <w:color w:val="000000" w:themeColor="text1"/>
                <w:szCs w:val="22"/>
                <w:lang w:val="fr-FR"/>
              </w:rPr>
            </w:pPr>
            <w:r w:rsidRPr="00982D3E">
              <w:rPr>
                <w:b/>
                <w:color w:val="000000" w:themeColor="text1"/>
                <w:lang w:val="fr-FR"/>
              </w:rPr>
              <w:t>Demandes</w:t>
            </w:r>
          </w:p>
        </w:tc>
        <w:tc>
          <w:tcPr>
            <w:tcW w:w="1247" w:type="dxa"/>
            <w:vAlign w:val="center"/>
          </w:tcPr>
          <w:p w14:paraId="6B2DF348" w14:textId="77777777" w:rsidR="005D71D4" w:rsidRPr="00982D3E" w:rsidRDefault="005D71D4" w:rsidP="00D15D07">
            <w:pPr>
              <w:jc w:val="center"/>
              <w:rPr>
                <w:color w:val="000000" w:themeColor="text1"/>
                <w:szCs w:val="22"/>
                <w:lang w:val="fr-FR"/>
              </w:rPr>
            </w:pPr>
            <w:r w:rsidRPr="00982D3E">
              <w:rPr>
                <w:color w:val="000000" w:themeColor="text1"/>
                <w:lang w:val="fr-FR"/>
              </w:rPr>
              <w:t>2022</w:t>
            </w:r>
          </w:p>
        </w:tc>
        <w:tc>
          <w:tcPr>
            <w:tcW w:w="1248" w:type="dxa"/>
            <w:vAlign w:val="center"/>
          </w:tcPr>
          <w:p w14:paraId="5CDAEF6A" w14:textId="77777777" w:rsidR="005D71D4" w:rsidRPr="00982D3E" w:rsidRDefault="005D71D4" w:rsidP="00D15D07">
            <w:pPr>
              <w:jc w:val="center"/>
              <w:rPr>
                <w:color w:val="000000" w:themeColor="text1"/>
                <w:szCs w:val="22"/>
                <w:lang w:val="fr-FR"/>
              </w:rPr>
            </w:pPr>
            <w:r w:rsidRPr="00982D3E">
              <w:rPr>
                <w:color w:val="000000" w:themeColor="text1"/>
                <w:lang w:val="fr-FR"/>
              </w:rPr>
              <w:t>2023</w:t>
            </w:r>
          </w:p>
        </w:tc>
        <w:tc>
          <w:tcPr>
            <w:tcW w:w="1247" w:type="dxa"/>
            <w:vAlign w:val="center"/>
          </w:tcPr>
          <w:p w14:paraId="561FA2D4" w14:textId="77777777" w:rsidR="005D71D4" w:rsidRPr="00982D3E" w:rsidRDefault="005D71D4" w:rsidP="00D15D07">
            <w:pPr>
              <w:jc w:val="center"/>
              <w:rPr>
                <w:color w:val="000000" w:themeColor="text1"/>
                <w:szCs w:val="22"/>
                <w:lang w:val="fr-FR"/>
              </w:rPr>
            </w:pPr>
            <w:r w:rsidRPr="00982D3E">
              <w:rPr>
                <w:color w:val="000000" w:themeColor="text1"/>
                <w:lang w:val="fr-FR"/>
              </w:rPr>
              <w:t>2024</w:t>
            </w:r>
          </w:p>
        </w:tc>
        <w:tc>
          <w:tcPr>
            <w:tcW w:w="1248" w:type="dxa"/>
            <w:vAlign w:val="center"/>
          </w:tcPr>
          <w:p w14:paraId="16B67962" w14:textId="77777777" w:rsidR="005D71D4" w:rsidRPr="00982D3E" w:rsidRDefault="005D71D4" w:rsidP="00D15D07">
            <w:pPr>
              <w:jc w:val="center"/>
              <w:rPr>
                <w:color w:val="000000" w:themeColor="text1"/>
                <w:szCs w:val="22"/>
                <w:lang w:val="fr-FR"/>
              </w:rPr>
            </w:pPr>
            <w:r w:rsidRPr="00982D3E">
              <w:rPr>
                <w:color w:val="000000" w:themeColor="text1"/>
                <w:lang w:val="fr-FR"/>
              </w:rPr>
              <w:t>2025</w:t>
            </w:r>
            <w:r w:rsidRPr="00982D3E">
              <w:rPr>
                <w:rStyle w:val="FootnoteReference"/>
                <w:color w:val="000000" w:themeColor="text1"/>
                <w:szCs w:val="22"/>
                <w:lang w:val="fr-FR"/>
              </w:rPr>
              <w:footnoteReference w:id="2"/>
            </w:r>
          </w:p>
        </w:tc>
      </w:tr>
      <w:tr w:rsidR="005D71D4" w:rsidRPr="00982D3E" w14:paraId="6072D6BD" w14:textId="77777777" w:rsidTr="004775D6">
        <w:trPr>
          <w:cantSplit/>
          <w:trHeight w:val="879"/>
        </w:trPr>
        <w:tc>
          <w:tcPr>
            <w:tcW w:w="2972" w:type="dxa"/>
          </w:tcPr>
          <w:p w14:paraId="58A5050E" w14:textId="77777777" w:rsidR="005D71D4" w:rsidRPr="00982D3E" w:rsidRDefault="005D71D4" w:rsidP="00D15D07">
            <w:pPr>
              <w:jc w:val="center"/>
              <w:rPr>
                <w:color w:val="000000" w:themeColor="text1"/>
                <w:szCs w:val="22"/>
                <w:lang w:val="fr-FR"/>
              </w:rPr>
            </w:pPr>
          </w:p>
          <w:p w14:paraId="4DBFE14C" w14:textId="06201F46" w:rsidR="005D71D4" w:rsidRPr="00982D3E" w:rsidRDefault="005D71D4" w:rsidP="00D15D07">
            <w:pPr>
              <w:jc w:val="center"/>
              <w:rPr>
                <w:color w:val="000000" w:themeColor="text1"/>
                <w:szCs w:val="22"/>
                <w:lang w:val="fr-FR"/>
              </w:rPr>
            </w:pPr>
            <w:r w:rsidRPr="00982D3E">
              <w:rPr>
                <w:color w:val="000000" w:themeColor="text1"/>
                <w:lang w:val="fr-FR"/>
              </w:rPr>
              <w:t>Brevets nationaux</w:t>
            </w:r>
          </w:p>
        </w:tc>
        <w:tc>
          <w:tcPr>
            <w:tcW w:w="1247" w:type="dxa"/>
            <w:vAlign w:val="center"/>
          </w:tcPr>
          <w:p w14:paraId="5532FA13" w14:textId="77777777" w:rsidR="005D71D4" w:rsidRPr="00982D3E" w:rsidRDefault="005D71D4" w:rsidP="00D15D07">
            <w:pPr>
              <w:jc w:val="center"/>
              <w:rPr>
                <w:color w:val="000000" w:themeColor="text1"/>
                <w:szCs w:val="22"/>
                <w:lang w:val="fr-FR"/>
              </w:rPr>
            </w:pPr>
            <w:r w:rsidRPr="00982D3E">
              <w:rPr>
                <w:color w:val="000000" w:themeColor="text1"/>
                <w:lang w:val="fr-FR"/>
              </w:rPr>
              <w:t>1 318</w:t>
            </w:r>
          </w:p>
        </w:tc>
        <w:tc>
          <w:tcPr>
            <w:tcW w:w="1248" w:type="dxa"/>
            <w:vAlign w:val="center"/>
          </w:tcPr>
          <w:p w14:paraId="1FB08019" w14:textId="77777777" w:rsidR="005D71D4" w:rsidRPr="00982D3E" w:rsidRDefault="005D71D4" w:rsidP="00D15D07">
            <w:pPr>
              <w:jc w:val="center"/>
              <w:rPr>
                <w:color w:val="000000" w:themeColor="text1"/>
                <w:szCs w:val="22"/>
                <w:lang w:val="fr-FR"/>
              </w:rPr>
            </w:pPr>
            <w:r w:rsidRPr="00982D3E">
              <w:rPr>
                <w:color w:val="000000" w:themeColor="text1"/>
                <w:lang w:val="fr-FR"/>
              </w:rPr>
              <w:t>1 455</w:t>
            </w:r>
          </w:p>
        </w:tc>
        <w:tc>
          <w:tcPr>
            <w:tcW w:w="1247" w:type="dxa"/>
            <w:vAlign w:val="center"/>
          </w:tcPr>
          <w:p w14:paraId="512F06B6" w14:textId="77777777" w:rsidR="005D71D4" w:rsidRPr="00982D3E" w:rsidRDefault="005D71D4" w:rsidP="00D15D07">
            <w:pPr>
              <w:jc w:val="center"/>
              <w:rPr>
                <w:color w:val="000000" w:themeColor="text1"/>
                <w:szCs w:val="22"/>
                <w:lang w:val="fr-FR"/>
              </w:rPr>
            </w:pPr>
            <w:r w:rsidRPr="00982D3E">
              <w:rPr>
                <w:color w:val="000000" w:themeColor="text1"/>
                <w:lang w:val="fr-FR"/>
              </w:rPr>
              <w:t>1 296</w:t>
            </w:r>
          </w:p>
        </w:tc>
        <w:tc>
          <w:tcPr>
            <w:tcW w:w="1248" w:type="dxa"/>
            <w:vAlign w:val="center"/>
          </w:tcPr>
          <w:p w14:paraId="142166D6" w14:textId="77777777" w:rsidR="005D71D4" w:rsidRPr="00982D3E" w:rsidRDefault="005D71D4" w:rsidP="00D15D07">
            <w:pPr>
              <w:jc w:val="center"/>
              <w:rPr>
                <w:color w:val="000000" w:themeColor="text1"/>
                <w:szCs w:val="22"/>
                <w:lang w:val="fr-FR"/>
              </w:rPr>
            </w:pPr>
            <w:r w:rsidRPr="00982D3E">
              <w:rPr>
                <w:color w:val="000000" w:themeColor="text1"/>
                <w:lang w:val="fr-FR"/>
              </w:rPr>
              <w:t>1 156</w:t>
            </w:r>
          </w:p>
        </w:tc>
      </w:tr>
      <w:tr w:rsidR="005D71D4" w:rsidRPr="00982D3E" w14:paraId="0E6A8864" w14:textId="77777777" w:rsidTr="004775D6">
        <w:trPr>
          <w:cantSplit/>
          <w:trHeight w:val="879"/>
        </w:trPr>
        <w:tc>
          <w:tcPr>
            <w:tcW w:w="2972" w:type="dxa"/>
          </w:tcPr>
          <w:p w14:paraId="30A4F6F0" w14:textId="77777777" w:rsidR="005D71D4" w:rsidRPr="00982D3E" w:rsidRDefault="005D71D4" w:rsidP="00D15D07">
            <w:pPr>
              <w:jc w:val="center"/>
              <w:rPr>
                <w:color w:val="000000" w:themeColor="text1"/>
                <w:szCs w:val="22"/>
                <w:lang w:val="fr-FR"/>
              </w:rPr>
            </w:pPr>
          </w:p>
          <w:p w14:paraId="43A22CB4" w14:textId="2E08DCC9" w:rsidR="005D71D4" w:rsidRPr="00982D3E" w:rsidRDefault="005D71D4" w:rsidP="00D15D07">
            <w:pPr>
              <w:jc w:val="center"/>
              <w:rPr>
                <w:color w:val="000000" w:themeColor="text1"/>
                <w:szCs w:val="22"/>
                <w:lang w:val="fr-FR"/>
              </w:rPr>
            </w:pPr>
            <w:r w:rsidRPr="00982D3E">
              <w:rPr>
                <w:color w:val="000000" w:themeColor="text1"/>
                <w:lang w:val="fr-FR"/>
              </w:rPr>
              <w:t>Modèles d</w:t>
            </w:r>
            <w:r w:rsidR="00C15821" w:rsidRPr="00982D3E">
              <w:rPr>
                <w:color w:val="000000" w:themeColor="text1"/>
                <w:lang w:val="fr-FR"/>
              </w:rPr>
              <w:t>’</w:t>
            </w:r>
            <w:r w:rsidRPr="00982D3E">
              <w:rPr>
                <w:color w:val="000000" w:themeColor="text1"/>
                <w:lang w:val="fr-FR"/>
              </w:rPr>
              <w:t>utilité nationaux</w:t>
            </w:r>
          </w:p>
        </w:tc>
        <w:tc>
          <w:tcPr>
            <w:tcW w:w="1247" w:type="dxa"/>
            <w:vAlign w:val="center"/>
          </w:tcPr>
          <w:p w14:paraId="3F99D539" w14:textId="77777777" w:rsidR="005D71D4" w:rsidRPr="00982D3E" w:rsidRDefault="005D71D4" w:rsidP="00D15D07">
            <w:pPr>
              <w:jc w:val="center"/>
              <w:rPr>
                <w:color w:val="000000" w:themeColor="text1"/>
                <w:szCs w:val="22"/>
                <w:lang w:val="fr-FR"/>
              </w:rPr>
            </w:pPr>
            <w:r w:rsidRPr="00982D3E">
              <w:rPr>
                <w:color w:val="000000" w:themeColor="text1"/>
                <w:lang w:val="fr-FR"/>
              </w:rPr>
              <w:t>2 635</w:t>
            </w:r>
          </w:p>
        </w:tc>
        <w:tc>
          <w:tcPr>
            <w:tcW w:w="1248" w:type="dxa"/>
            <w:vAlign w:val="center"/>
          </w:tcPr>
          <w:p w14:paraId="0B95D1C3" w14:textId="77777777" w:rsidR="005D71D4" w:rsidRPr="00982D3E" w:rsidRDefault="005D71D4" w:rsidP="00D15D07">
            <w:pPr>
              <w:jc w:val="center"/>
              <w:rPr>
                <w:color w:val="000000" w:themeColor="text1"/>
                <w:szCs w:val="22"/>
                <w:lang w:val="fr-FR"/>
              </w:rPr>
            </w:pPr>
            <w:r w:rsidRPr="00982D3E">
              <w:rPr>
                <w:color w:val="000000" w:themeColor="text1"/>
                <w:lang w:val="fr-FR"/>
              </w:rPr>
              <w:t>2 807</w:t>
            </w:r>
          </w:p>
        </w:tc>
        <w:tc>
          <w:tcPr>
            <w:tcW w:w="1247" w:type="dxa"/>
            <w:vAlign w:val="center"/>
          </w:tcPr>
          <w:p w14:paraId="0D9CE874" w14:textId="77777777" w:rsidR="005D71D4" w:rsidRPr="00982D3E" w:rsidRDefault="005D71D4" w:rsidP="00D15D07">
            <w:pPr>
              <w:jc w:val="center"/>
              <w:rPr>
                <w:color w:val="000000" w:themeColor="text1"/>
                <w:szCs w:val="22"/>
                <w:lang w:val="fr-FR"/>
              </w:rPr>
            </w:pPr>
            <w:r w:rsidRPr="00982D3E">
              <w:rPr>
                <w:color w:val="000000" w:themeColor="text1"/>
                <w:lang w:val="fr-FR"/>
              </w:rPr>
              <w:t>2 704</w:t>
            </w:r>
          </w:p>
        </w:tc>
        <w:tc>
          <w:tcPr>
            <w:tcW w:w="1248" w:type="dxa"/>
            <w:vAlign w:val="center"/>
          </w:tcPr>
          <w:p w14:paraId="578E6FF9" w14:textId="77777777" w:rsidR="005D71D4" w:rsidRPr="00982D3E" w:rsidRDefault="005D71D4" w:rsidP="00D15D07">
            <w:pPr>
              <w:jc w:val="center"/>
              <w:rPr>
                <w:color w:val="000000" w:themeColor="text1"/>
                <w:szCs w:val="22"/>
                <w:lang w:val="fr-FR"/>
              </w:rPr>
            </w:pPr>
            <w:r w:rsidRPr="00982D3E">
              <w:rPr>
                <w:color w:val="000000" w:themeColor="text1"/>
                <w:lang w:val="fr-FR"/>
              </w:rPr>
              <w:t>2 400</w:t>
            </w:r>
          </w:p>
        </w:tc>
      </w:tr>
    </w:tbl>
    <w:p w14:paraId="27FF0B25" w14:textId="77777777" w:rsidR="005D71D4" w:rsidRPr="00982D3E" w:rsidRDefault="005D71D4" w:rsidP="00D15D07">
      <w:pPr>
        <w:pStyle w:val="Answer"/>
        <w:ind w:left="0"/>
        <w:rPr>
          <w:b/>
          <w:color w:val="000000" w:themeColor="text1"/>
        </w:rPr>
      </w:pPr>
    </w:p>
    <w:p w14:paraId="7E5B415C" w14:textId="730602E1" w:rsidR="005D71D4" w:rsidRPr="00982D3E" w:rsidRDefault="005D71D4" w:rsidP="00D15D07">
      <w:pPr>
        <w:pStyle w:val="Answer"/>
        <w:ind w:left="0"/>
        <w:rPr>
          <w:b/>
          <w:bCs/>
          <w:color w:val="000000" w:themeColor="text1"/>
          <w:szCs w:val="22"/>
        </w:rPr>
      </w:pPr>
      <w:r w:rsidRPr="00982D3E">
        <w:rPr>
          <w:b/>
          <w:color w:val="000000" w:themeColor="text1"/>
        </w:rPr>
        <w:t>Délai moyen d</w:t>
      </w:r>
      <w:r w:rsidR="00C15821" w:rsidRPr="00982D3E">
        <w:rPr>
          <w:b/>
          <w:color w:val="000000" w:themeColor="text1"/>
        </w:rPr>
        <w:t>’</w:t>
      </w:r>
      <w:r w:rsidRPr="00982D3E">
        <w:rPr>
          <w:b/>
          <w:color w:val="000000" w:themeColor="text1"/>
        </w:rPr>
        <w:t>instruction des demandes nationales de brevet et de modèle d</w:t>
      </w:r>
      <w:r w:rsidR="00C15821" w:rsidRPr="00982D3E">
        <w:rPr>
          <w:b/>
          <w:color w:val="000000" w:themeColor="text1"/>
        </w:rPr>
        <w:t>’</w:t>
      </w:r>
      <w:r w:rsidRPr="00982D3E">
        <w:rPr>
          <w:b/>
          <w:color w:val="000000" w:themeColor="text1"/>
        </w:rPr>
        <w:t>utilité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322"/>
        <w:gridCol w:w="4298"/>
      </w:tblGrid>
      <w:tr w:rsidR="005D71D4" w:rsidRPr="00982D3E" w14:paraId="6A821B87" w14:textId="77777777" w:rsidTr="004775D6">
        <w:trPr>
          <w:cantSplit/>
        </w:trPr>
        <w:tc>
          <w:tcPr>
            <w:tcW w:w="2443" w:type="dxa"/>
          </w:tcPr>
          <w:p w14:paraId="0DE76C19" w14:textId="77777777" w:rsidR="005D71D4" w:rsidRPr="00982D3E" w:rsidRDefault="005D71D4" w:rsidP="00D15D07">
            <w:pPr>
              <w:rPr>
                <w:b/>
                <w:bCs/>
                <w:color w:val="000000" w:themeColor="text1"/>
                <w:szCs w:val="22"/>
                <w:lang w:val="fr-FR"/>
              </w:rPr>
            </w:pPr>
            <w:r w:rsidRPr="00982D3E">
              <w:rPr>
                <w:b/>
                <w:color w:val="000000" w:themeColor="text1"/>
                <w:lang w:val="fr-FR"/>
              </w:rPr>
              <w:t>Indicateur</w:t>
            </w:r>
          </w:p>
        </w:tc>
        <w:tc>
          <w:tcPr>
            <w:tcW w:w="2322" w:type="dxa"/>
          </w:tcPr>
          <w:p w14:paraId="022AB05C" w14:textId="77777777" w:rsidR="005D71D4" w:rsidRPr="00982D3E" w:rsidRDefault="005D71D4" w:rsidP="00D15D07">
            <w:pPr>
              <w:rPr>
                <w:b/>
                <w:bCs/>
                <w:color w:val="000000" w:themeColor="text1"/>
                <w:szCs w:val="22"/>
                <w:lang w:val="fr-FR"/>
              </w:rPr>
            </w:pPr>
            <w:r w:rsidRPr="00982D3E">
              <w:rPr>
                <w:b/>
                <w:color w:val="000000" w:themeColor="text1"/>
                <w:lang w:val="fr-FR"/>
              </w:rPr>
              <w:t>À compter de</w:t>
            </w:r>
          </w:p>
        </w:tc>
        <w:tc>
          <w:tcPr>
            <w:tcW w:w="4298" w:type="dxa"/>
          </w:tcPr>
          <w:p w14:paraId="3ABC7285" w14:textId="77777777" w:rsidR="005D71D4" w:rsidRPr="00982D3E" w:rsidRDefault="005D71D4" w:rsidP="00D15D07">
            <w:pPr>
              <w:rPr>
                <w:b/>
                <w:bCs/>
                <w:color w:val="000000" w:themeColor="text1"/>
                <w:szCs w:val="22"/>
                <w:lang w:val="fr-FR"/>
              </w:rPr>
            </w:pPr>
            <w:r w:rsidRPr="00982D3E">
              <w:rPr>
                <w:b/>
                <w:color w:val="000000" w:themeColor="text1"/>
                <w:lang w:val="fr-FR"/>
              </w:rPr>
              <w:t>Délai (mois)</w:t>
            </w:r>
          </w:p>
        </w:tc>
      </w:tr>
      <w:tr w:rsidR="005D71D4" w:rsidRPr="00982D3E" w14:paraId="5E291C92" w14:textId="77777777" w:rsidTr="004775D6">
        <w:trPr>
          <w:cantSplit/>
          <w:trHeight w:val="383"/>
        </w:trPr>
        <w:tc>
          <w:tcPr>
            <w:tcW w:w="2443" w:type="dxa"/>
            <w:vMerge w:val="restart"/>
          </w:tcPr>
          <w:p w14:paraId="1C66F844" w14:textId="280C164C" w:rsidR="005D71D4" w:rsidRPr="00982D3E" w:rsidRDefault="005D71D4" w:rsidP="00D15D07">
            <w:pPr>
              <w:spacing w:before="120"/>
              <w:rPr>
                <w:color w:val="000000" w:themeColor="text1"/>
                <w:szCs w:val="22"/>
                <w:lang w:val="fr-FR"/>
              </w:rPr>
            </w:pPr>
            <w:bookmarkStart w:id="7" w:name="_Ref473719333"/>
            <w:r w:rsidRPr="00982D3E">
              <w:rPr>
                <w:color w:val="000000" w:themeColor="text1"/>
                <w:lang w:val="fr-FR"/>
              </w:rPr>
              <w:t>Jusqu</w:t>
            </w:r>
            <w:r w:rsidR="00C15821" w:rsidRPr="00982D3E">
              <w:rPr>
                <w:color w:val="000000" w:themeColor="text1"/>
                <w:lang w:val="fr-FR"/>
              </w:rPr>
              <w:t>’</w:t>
            </w:r>
            <w:r w:rsidRPr="00982D3E">
              <w:rPr>
                <w:color w:val="000000" w:themeColor="text1"/>
                <w:lang w:val="fr-FR"/>
              </w:rPr>
              <w:t>à la recherche et au premier examen</w:t>
            </w:r>
            <w:r w:rsidRPr="00982D3E">
              <w:rPr>
                <w:rStyle w:val="FootnoteReference"/>
                <w:color w:val="000000" w:themeColor="text1"/>
                <w:szCs w:val="22"/>
                <w:lang w:val="fr-FR"/>
              </w:rPr>
              <w:footnoteReference w:id="3"/>
            </w:r>
            <w:bookmarkEnd w:id="7"/>
          </w:p>
          <w:p w14:paraId="354F0399" w14:textId="77777777" w:rsidR="005D71D4" w:rsidRPr="00982D3E" w:rsidRDefault="005D71D4" w:rsidP="00D15D07">
            <w:pPr>
              <w:spacing w:before="120"/>
              <w:rPr>
                <w:color w:val="000000" w:themeColor="text1"/>
                <w:szCs w:val="22"/>
                <w:highlight w:val="yellow"/>
                <w:lang w:val="fr-FR"/>
              </w:rPr>
            </w:pPr>
          </w:p>
        </w:tc>
        <w:tc>
          <w:tcPr>
            <w:tcW w:w="2322" w:type="dxa"/>
            <w:vMerge w:val="restart"/>
          </w:tcPr>
          <w:p w14:paraId="3349D595" w14:textId="77777777" w:rsidR="005D71D4" w:rsidRPr="00982D3E" w:rsidRDefault="005D71D4" w:rsidP="00D15D07">
            <w:pPr>
              <w:spacing w:before="120"/>
              <w:rPr>
                <w:color w:val="000000" w:themeColor="text1"/>
                <w:szCs w:val="22"/>
                <w:lang w:val="fr-FR"/>
              </w:rPr>
            </w:pPr>
            <w:r w:rsidRPr="00982D3E">
              <w:rPr>
                <w:color w:val="000000" w:themeColor="text1"/>
                <w:lang w:val="fr-FR"/>
              </w:rPr>
              <w:t>Dépôt de la demande</w:t>
            </w:r>
          </w:p>
        </w:tc>
        <w:tc>
          <w:tcPr>
            <w:tcW w:w="4298" w:type="dxa"/>
          </w:tcPr>
          <w:p w14:paraId="3293762B" w14:textId="77777777" w:rsidR="005D71D4" w:rsidRPr="00982D3E" w:rsidRDefault="005D71D4" w:rsidP="00D15D07">
            <w:pPr>
              <w:spacing w:before="120" w:after="120"/>
              <w:rPr>
                <w:color w:val="000000" w:themeColor="text1"/>
                <w:szCs w:val="22"/>
                <w:lang w:val="fr-FR"/>
              </w:rPr>
            </w:pPr>
            <w:r w:rsidRPr="00982D3E">
              <w:rPr>
                <w:color w:val="000000" w:themeColor="text1"/>
                <w:lang w:val="fr-FR"/>
              </w:rPr>
              <w:t>7,18 mois pour les brevets nationaux</w:t>
            </w:r>
          </w:p>
        </w:tc>
      </w:tr>
      <w:tr w:rsidR="005D71D4" w:rsidRPr="00982D3E" w14:paraId="154CEE92" w14:textId="77777777" w:rsidTr="004775D6">
        <w:trPr>
          <w:cantSplit/>
          <w:trHeight w:val="382"/>
        </w:trPr>
        <w:tc>
          <w:tcPr>
            <w:tcW w:w="2443" w:type="dxa"/>
            <w:vMerge/>
          </w:tcPr>
          <w:p w14:paraId="6A39FBC8" w14:textId="77777777" w:rsidR="005D71D4" w:rsidRPr="00982D3E" w:rsidRDefault="005D71D4" w:rsidP="00D15D07">
            <w:pPr>
              <w:spacing w:before="120"/>
              <w:rPr>
                <w:color w:val="000000" w:themeColor="text1"/>
                <w:szCs w:val="22"/>
                <w:lang w:val="fr-FR"/>
              </w:rPr>
            </w:pPr>
          </w:p>
        </w:tc>
        <w:tc>
          <w:tcPr>
            <w:tcW w:w="2322" w:type="dxa"/>
            <w:vMerge/>
          </w:tcPr>
          <w:p w14:paraId="4D7D1354" w14:textId="77777777" w:rsidR="005D71D4" w:rsidRPr="00982D3E" w:rsidRDefault="005D71D4" w:rsidP="00D15D07">
            <w:pPr>
              <w:spacing w:before="120"/>
              <w:rPr>
                <w:color w:val="000000" w:themeColor="text1"/>
                <w:szCs w:val="22"/>
                <w:lang w:val="fr-FR"/>
              </w:rPr>
            </w:pPr>
          </w:p>
        </w:tc>
        <w:tc>
          <w:tcPr>
            <w:tcW w:w="4298" w:type="dxa"/>
          </w:tcPr>
          <w:p w14:paraId="525B5807" w14:textId="175BDE53" w:rsidR="005D71D4" w:rsidRPr="00982D3E" w:rsidRDefault="005D71D4" w:rsidP="00D15D07">
            <w:pPr>
              <w:spacing w:before="120" w:after="120"/>
              <w:rPr>
                <w:color w:val="000000" w:themeColor="text1"/>
                <w:szCs w:val="22"/>
                <w:lang w:val="fr-FR"/>
              </w:rPr>
            </w:pPr>
            <w:r w:rsidRPr="00982D3E">
              <w:rPr>
                <w:color w:val="000000" w:themeColor="text1"/>
                <w:lang w:val="fr-FR"/>
              </w:rPr>
              <w:t>Aucune recherche n</w:t>
            </w:r>
            <w:r w:rsidR="00C15821" w:rsidRPr="00982D3E">
              <w:rPr>
                <w:color w:val="000000" w:themeColor="text1"/>
                <w:lang w:val="fr-FR"/>
              </w:rPr>
              <w:t>’</w:t>
            </w:r>
            <w:r w:rsidRPr="00982D3E">
              <w:rPr>
                <w:color w:val="000000" w:themeColor="text1"/>
                <w:lang w:val="fr-FR"/>
              </w:rPr>
              <w:t>est effectuée pour les modèles d</w:t>
            </w:r>
            <w:r w:rsidR="00C15821" w:rsidRPr="00982D3E">
              <w:rPr>
                <w:color w:val="000000" w:themeColor="text1"/>
                <w:lang w:val="fr-FR"/>
              </w:rPr>
              <w:t>’</w:t>
            </w:r>
            <w:r w:rsidRPr="00982D3E">
              <w:rPr>
                <w:color w:val="000000" w:themeColor="text1"/>
                <w:lang w:val="fr-FR"/>
              </w:rPr>
              <w:t>utilité</w:t>
            </w:r>
          </w:p>
        </w:tc>
      </w:tr>
      <w:tr w:rsidR="005D71D4" w:rsidRPr="00982D3E" w14:paraId="27BA4199" w14:textId="77777777" w:rsidTr="004775D6">
        <w:trPr>
          <w:cantSplit/>
          <w:trHeight w:val="421"/>
        </w:trPr>
        <w:tc>
          <w:tcPr>
            <w:tcW w:w="2443" w:type="dxa"/>
            <w:vMerge w:val="restart"/>
          </w:tcPr>
          <w:p w14:paraId="43690B57" w14:textId="7B0FB0B1" w:rsidR="005D71D4" w:rsidRPr="00982D3E" w:rsidRDefault="005D71D4" w:rsidP="00D15D07">
            <w:pPr>
              <w:spacing w:before="120"/>
              <w:rPr>
                <w:color w:val="000000" w:themeColor="text1"/>
                <w:szCs w:val="22"/>
                <w:lang w:val="fr-FR"/>
              </w:rPr>
            </w:pPr>
            <w:bookmarkStart w:id="8" w:name="_Hlk213927243"/>
            <w:r w:rsidRPr="00982D3E">
              <w:rPr>
                <w:color w:val="000000" w:themeColor="text1"/>
                <w:lang w:val="fr-FR"/>
              </w:rPr>
              <w:t>Jusqu</w:t>
            </w:r>
            <w:r w:rsidR="00C15821" w:rsidRPr="00982D3E">
              <w:rPr>
                <w:color w:val="000000" w:themeColor="text1"/>
                <w:lang w:val="fr-FR"/>
              </w:rPr>
              <w:t>’</w:t>
            </w:r>
            <w:r w:rsidRPr="00982D3E">
              <w:rPr>
                <w:color w:val="000000" w:themeColor="text1"/>
                <w:lang w:val="fr-FR"/>
              </w:rPr>
              <w:t>à la délivrance</w:t>
            </w:r>
          </w:p>
        </w:tc>
        <w:tc>
          <w:tcPr>
            <w:tcW w:w="2322" w:type="dxa"/>
            <w:vMerge w:val="restart"/>
          </w:tcPr>
          <w:p w14:paraId="2FE4DA34" w14:textId="77777777" w:rsidR="005D71D4" w:rsidRPr="00982D3E" w:rsidRDefault="005D71D4" w:rsidP="00D15D07">
            <w:pPr>
              <w:spacing w:before="120"/>
              <w:rPr>
                <w:color w:val="000000" w:themeColor="text1"/>
                <w:szCs w:val="22"/>
                <w:lang w:val="fr-FR"/>
              </w:rPr>
            </w:pPr>
            <w:r w:rsidRPr="00982D3E">
              <w:rPr>
                <w:color w:val="000000" w:themeColor="text1"/>
                <w:lang w:val="fr-FR"/>
              </w:rPr>
              <w:t>Dépôt de la demande</w:t>
            </w:r>
          </w:p>
        </w:tc>
        <w:tc>
          <w:tcPr>
            <w:tcW w:w="4298" w:type="dxa"/>
          </w:tcPr>
          <w:p w14:paraId="7993CF4F" w14:textId="77777777" w:rsidR="005D71D4" w:rsidRPr="00982D3E" w:rsidRDefault="005D71D4" w:rsidP="00D15D07">
            <w:pPr>
              <w:spacing w:before="120" w:after="120"/>
              <w:rPr>
                <w:color w:val="000000" w:themeColor="text1"/>
                <w:szCs w:val="22"/>
                <w:lang w:val="fr-FR"/>
              </w:rPr>
            </w:pPr>
            <w:r w:rsidRPr="00982D3E">
              <w:rPr>
                <w:color w:val="000000" w:themeColor="text1"/>
                <w:lang w:val="fr-FR"/>
              </w:rPr>
              <w:t>14,60 mois lorsque le déposant choisit la procédure accélérée (12,5% des demandes)</w:t>
            </w:r>
          </w:p>
          <w:p w14:paraId="36850269" w14:textId="77777777" w:rsidR="005D71D4" w:rsidRPr="00982D3E" w:rsidRDefault="005D71D4" w:rsidP="00D15D07">
            <w:pPr>
              <w:spacing w:before="120" w:after="120"/>
              <w:rPr>
                <w:color w:val="000000" w:themeColor="text1"/>
                <w:szCs w:val="22"/>
                <w:lang w:val="fr-FR"/>
              </w:rPr>
            </w:pPr>
            <w:r w:rsidRPr="00982D3E">
              <w:rPr>
                <w:color w:val="000000" w:themeColor="text1"/>
                <w:lang w:val="fr-FR"/>
              </w:rPr>
              <w:t xml:space="preserve">21,90 mois en suivant la procédure ordinaire </w:t>
            </w:r>
          </w:p>
        </w:tc>
      </w:tr>
      <w:tr w:rsidR="005D71D4" w:rsidRPr="00982D3E" w14:paraId="2A7C7896" w14:textId="77777777" w:rsidTr="004775D6">
        <w:trPr>
          <w:cantSplit/>
          <w:trHeight w:val="840"/>
        </w:trPr>
        <w:tc>
          <w:tcPr>
            <w:tcW w:w="2443" w:type="dxa"/>
            <w:vMerge/>
          </w:tcPr>
          <w:p w14:paraId="2F73610D" w14:textId="77777777" w:rsidR="005D71D4" w:rsidRPr="00982D3E" w:rsidRDefault="005D71D4" w:rsidP="00D15D07">
            <w:pPr>
              <w:rPr>
                <w:color w:val="000000" w:themeColor="text1"/>
                <w:szCs w:val="22"/>
                <w:lang w:val="fr-FR"/>
              </w:rPr>
            </w:pPr>
          </w:p>
        </w:tc>
        <w:tc>
          <w:tcPr>
            <w:tcW w:w="2322" w:type="dxa"/>
            <w:vMerge/>
          </w:tcPr>
          <w:p w14:paraId="785EFAB9" w14:textId="77777777" w:rsidR="005D71D4" w:rsidRPr="00982D3E" w:rsidRDefault="005D71D4" w:rsidP="00D15D07">
            <w:pPr>
              <w:rPr>
                <w:color w:val="000000" w:themeColor="text1"/>
                <w:szCs w:val="22"/>
                <w:lang w:val="fr-FR"/>
              </w:rPr>
            </w:pPr>
          </w:p>
        </w:tc>
        <w:tc>
          <w:tcPr>
            <w:tcW w:w="4298" w:type="dxa"/>
          </w:tcPr>
          <w:p w14:paraId="6EC58497" w14:textId="6C48B40D" w:rsidR="005D71D4" w:rsidRPr="00982D3E" w:rsidRDefault="005D71D4" w:rsidP="00D15D07">
            <w:pPr>
              <w:spacing w:before="120" w:after="120"/>
              <w:rPr>
                <w:color w:val="000000" w:themeColor="text1"/>
                <w:szCs w:val="22"/>
                <w:lang w:val="fr-FR"/>
              </w:rPr>
            </w:pPr>
            <w:r w:rsidRPr="00982D3E">
              <w:rPr>
                <w:color w:val="000000" w:themeColor="text1"/>
                <w:lang w:val="fr-FR"/>
              </w:rPr>
              <w:t>7,62 mois pour les modèles d</w:t>
            </w:r>
            <w:r w:rsidR="00C15821" w:rsidRPr="00982D3E">
              <w:rPr>
                <w:color w:val="000000" w:themeColor="text1"/>
                <w:lang w:val="fr-FR"/>
              </w:rPr>
              <w:t>’</w:t>
            </w:r>
            <w:r w:rsidRPr="00982D3E">
              <w:rPr>
                <w:color w:val="000000" w:themeColor="text1"/>
                <w:lang w:val="fr-FR"/>
              </w:rPr>
              <w:t>utilité (13,25 mois en cas d</w:t>
            </w:r>
            <w:r w:rsidR="00C15821" w:rsidRPr="00982D3E">
              <w:rPr>
                <w:color w:val="000000" w:themeColor="text1"/>
                <w:lang w:val="fr-FR"/>
              </w:rPr>
              <w:t>’</w:t>
            </w:r>
            <w:r w:rsidRPr="00982D3E">
              <w:rPr>
                <w:color w:val="000000" w:themeColor="text1"/>
                <w:lang w:val="fr-FR"/>
              </w:rPr>
              <w:t xml:space="preserve">opposition préalable à la </w:t>
            </w:r>
            <w:proofErr w:type="gramStart"/>
            <w:r w:rsidRPr="00982D3E">
              <w:rPr>
                <w:color w:val="000000" w:themeColor="text1"/>
                <w:lang w:val="fr-FR"/>
              </w:rPr>
              <w:t xml:space="preserve">délivrance; </w:t>
            </w:r>
            <w:r w:rsidR="004319B8" w:rsidRPr="00982D3E">
              <w:rPr>
                <w:color w:val="000000" w:themeColor="text1"/>
                <w:lang w:val="fr-FR"/>
              </w:rPr>
              <w:t xml:space="preserve"> </w:t>
            </w:r>
            <w:r w:rsidRPr="00982D3E">
              <w:rPr>
                <w:color w:val="000000" w:themeColor="text1"/>
                <w:lang w:val="fr-FR"/>
              </w:rPr>
              <w:t>1</w:t>
            </w:r>
            <w:proofErr w:type="gramEnd"/>
            <w:r w:rsidRPr="00982D3E">
              <w:rPr>
                <w:color w:val="000000" w:themeColor="text1"/>
                <w:lang w:val="fr-FR"/>
              </w:rPr>
              <w:t>,25% du nombre total de demandes)</w:t>
            </w:r>
          </w:p>
        </w:tc>
      </w:tr>
      <w:bookmarkEnd w:id="8"/>
    </w:tbl>
    <w:p w14:paraId="042AE358" w14:textId="77777777" w:rsidR="005D71D4" w:rsidRPr="00982D3E" w:rsidRDefault="005D71D4" w:rsidP="00D15D07">
      <w:pPr>
        <w:pStyle w:val="Answer"/>
        <w:ind w:left="0"/>
        <w:rPr>
          <w:color w:val="000000" w:themeColor="text1"/>
        </w:rPr>
      </w:pPr>
    </w:p>
    <w:p w14:paraId="0900C67D" w14:textId="77777777" w:rsidR="00D15D07" w:rsidRPr="00982D3E" w:rsidRDefault="00D15D07">
      <w:pPr>
        <w:rPr>
          <w:color w:val="000000" w:themeColor="text1"/>
          <w:lang w:val="fr-FR"/>
        </w:rPr>
      </w:pPr>
      <w:r w:rsidRPr="00982D3E">
        <w:rPr>
          <w:color w:val="000000" w:themeColor="text1"/>
          <w:lang w:val="fr-FR"/>
        </w:rPr>
        <w:br w:type="page"/>
      </w:r>
    </w:p>
    <w:p w14:paraId="7C605A11" w14:textId="0AAC953A" w:rsidR="005D71D4" w:rsidRPr="00982D3E" w:rsidRDefault="005D71D4" w:rsidP="00D15D07">
      <w:pPr>
        <w:pStyle w:val="Answer"/>
        <w:ind w:left="0"/>
        <w:rPr>
          <w:bCs/>
          <w:color w:val="000000" w:themeColor="text1"/>
          <w:szCs w:val="22"/>
        </w:rPr>
      </w:pPr>
      <w:r w:rsidRPr="00982D3E">
        <w:rPr>
          <w:color w:val="000000" w:themeColor="text1"/>
        </w:rPr>
        <w:lastRenderedPageBreak/>
        <w:t>Ces chiffres comprennent à la fois les premières demandes nationales et les demandes déposées selon la Convention de Paris entrées dans la phase nationale des demandes internationales selon</w:t>
      </w:r>
      <w:r w:rsidR="00C15821" w:rsidRPr="00982D3E">
        <w:rPr>
          <w:color w:val="000000" w:themeColor="text1"/>
        </w:rPr>
        <w:t xml:space="preserve"> le PCT</w:t>
      </w:r>
      <w:r w:rsidRPr="00982D3E">
        <w:rPr>
          <w:color w:val="000000" w:themeColor="text1"/>
        </w:rPr>
        <w:t>.</w:t>
      </w: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5D71D4" w:rsidRPr="00982D3E" w14:paraId="1066ED12" w14:textId="77777777" w:rsidTr="004775D6">
        <w:trPr>
          <w:cantSplit/>
          <w:trHeight w:val="879"/>
        </w:trPr>
        <w:tc>
          <w:tcPr>
            <w:tcW w:w="2972" w:type="dxa"/>
            <w:tcBorders>
              <w:tl2br w:val="single" w:sz="4" w:space="0" w:color="auto"/>
            </w:tcBorders>
          </w:tcPr>
          <w:p w14:paraId="176C39BC" w14:textId="77777777" w:rsidR="005D71D4" w:rsidRPr="00982D3E" w:rsidRDefault="005D71D4" w:rsidP="00D15D07">
            <w:pPr>
              <w:jc w:val="right"/>
              <w:rPr>
                <w:b/>
                <w:bCs/>
                <w:color w:val="000000" w:themeColor="text1"/>
                <w:szCs w:val="22"/>
                <w:lang w:val="fr-FR"/>
              </w:rPr>
            </w:pPr>
            <w:bookmarkStart w:id="9" w:name="_Hlk213927300"/>
          </w:p>
          <w:p w14:paraId="2DEFA901" w14:textId="77777777" w:rsidR="005D71D4" w:rsidRPr="00982D3E" w:rsidRDefault="005D71D4" w:rsidP="00D15D07">
            <w:pPr>
              <w:jc w:val="right"/>
              <w:rPr>
                <w:b/>
                <w:bCs/>
                <w:color w:val="000000" w:themeColor="text1"/>
                <w:szCs w:val="22"/>
                <w:lang w:val="fr-FR"/>
              </w:rPr>
            </w:pPr>
            <w:r w:rsidRPr="00982D3E">
              <w:rPr>
                <w:b/>
                <w:color w:val="000000" w:themeColor="text1"/>
                <w:lang w:val="fr-FR"/>
              </w:rPr>
              <w:t>Année</w:t>
            </w:r>
          </w:p>
          <w:p w14:paraId="5E335EAF" w14:textId="7DCB64C0" w:rsidR="005D71D4" w:rsidRPr="00982D3E" w:rsidRDefault="005D71D4" w:rsidP="00D15D07">
            <w:pPr>
              <w:rPr>
                <w:b/>
                <w:bCs/>
                <w:color w:val="000000" w:themeColor="text1"/>
                <w:szCs w:val="22"/>
                <w:lang w:val="fr-FR"/>
              </w:rPr>
            </w:pPr>
            <w:r w:rsidRPr="00982D3E">
              <w:rPr>
                <w:b/>
                <w:color w:val="000000" w:themeColor="text1"/>
                <w:lang w:val="fr-FR"/>
              </w:rPr>
              <w:t xml:space="preserve">Demandes </w:t>
            </w:r>
            <w:r w:rsidR="00D15D07" w:rsidRPr="00982D3E">
              <w:rPr>
                <w:b/>
                <w:color w:val="000000" w:themeColor="text1"/>
                <w:lang w:val="fr-FR"/>
              </w:rPr>
              <w:br/>
            </w:r>
            <w:r w:rsidRPr="00982D3E">
              <w:rPr>
                <w:b/>
                <w:color w:val="000000" w:themeColor="text1"/>
                <w:lang w:val="fr-FR"/>
              </w:rPr>
              <w:t xml:space="preserve">selon le PCT </w:t>
            </w:r>
          </w:p>
        </w:tc>
        <w:tc>
          <w:tcPr>
            <w:tcW w:w="1247" w:type="dxa"/>
            <w:vAlign w:val="center"/>
          </w:tcPr>
          <w:p w14:paraId="73C438D0" w14:textId="77777777" w:rsidR="005D71D4" w:rsidRPr="00982D3E" w:rsidRDefault="005D71D4" w:rsidP="00D15D07">
            <w:pPr>
              <w:jc w:val="center"/>
              <w:rPr>
                <w:color w:val="000000" w:themeColor="text1"/>
                <w:szCs w:val="22"/>
                <w:lang w:val="fr-FR"/>
              </w:rPr>
            </w:pPr>
            <w:r w:rsidRPr="00982D3E">
              <w:rPr>
                <w:color w:val="000000" w:themeColor="text1"/>
                <w:lang w:val="fr-FR"/>
              </w:rPr>
              <w:t>2022</w:t>
            </w:r>
          </w:p>
        </w:tc>
        <w:tc>
          <w:tcPr>
            <w:tcW w:w="1248" w:type="dxa"/>
            <w:vAlign w:val="center"/>
          </w:tcPr>
          <w:p w14:paraId="49C46A37" w14:textId="77777777" w:rsidR="005D71D4" w:rsidRPr="00982D3E" w:rsidRDefault="005D71D4" w:rsidP="00D15D07">
            <w:pPr>
              <w:jc w:val="center"/>
              <w:rPr>
                <w:color w:val="000000" w:themeColor="text1"/>
                <w:szCs w:val="22"/>
                <w:lang w:val="fr-FR"/>
              </w:rPr>
            </w:pPr>
            <w:r w:rsidRPr="00982D3E">
              <w:rPr>
                <w:color w:val="000000" w:themeColor="text1"/>
                <w:lang w:val="fr-FR"/>
              </w:rPr>
              <w:t>2023</w:t>
            </w:r>
          </w:p>
        </w:tc>
        <w:tc>
          <w:tcPr>
            <w:tcW w:w="1247" w:type="dxa"/>
            <w:vAlign w:val="center"/>
          </w:tcPr>
          <w:p w14:paraId="0F2B9421" w14:textId="77777777" w:rsidR="005D71D4" w:rsidRPr="00982D3E" w:rsidRDefault="005D71D4" w:rsidP="00D15D07">
            <w:pPr>
              <w:jc w:val="center"/>
              <w:rPr>
                <w:color w:val="000000" w:themeColor="text1"/>
                <w:szCs w:val="22"/>
                <w:lang w:val="fr-FR"/>
              </w:rPr>
            </w:pPr>
            <w:r w:rsidRPr="00982D3E">
              <w:rPr>
                <w:color w:val="000000" w:themeColor="text1"/>
                <w:lang w:val="fr-FR"/>
              </w:rPr>
              <w:t>2024</w:t>
            </w:r>
          </w:p>
        </w:tc>
        <w:tc>
          <w:tcPr>
            <w:tcW w:w="1248" w:type="dxa"/>
            <w:vAlign w:val="center"/>
          </w:tcPr>
          <w:p w14:paraId="15DE68CB" w14:textId="77777777" w:rsidR="005D71D4" w:rsidRPr="00982D3E" w:rsidRDefault="005D71D4" w:rsidP="00D15D07">
            <w:pPr>
              <w:jc w:val="center"/>
              <w:rPr>
                <w:color w:val="000000" w:themeColor="text1"/>
                <w:szCs w:val="22"/>
                <w:lang w:val="fr-FR"/>
              </w:rPr>
            </w:pPr>
            <w:r w:rsidRPr="00982D3E">
              <w:rPr>
                <w:color w:val="000000" w:themeColor="text1"/>
                <w:lang w:val="fr-FR"/>
              </w:rPr>
              <w:t>2025</w:t>
            </w:r>
            <w:r w:rsidRPr="00982D3E">
              <w:rPr>
                <w:rStyle w:val="FootnoteReference"/>
                <w:color w:val="000000" w:themeColor="text1"/>
                <w:szCs w:val="22"/>
                <w:lang w:val="fr-FR"/>
              </w:rPr>
              <w:footnoteReference w:id="4"/>
            </w:r>
          </w:p>
        </w:tc>
      </w:tr>
      <w:tr w:rsidR="005D71D4" w:rsidRPr="00982D3E" w14:paraId="10026C16" w14:textId="77777777" w:rsidTr="004775D6">
        <w:trPr>
          <w:cantSplit/>
          <w:trHeight w:val="879"/>
        </w:trPr>
        <w:tc>
          <w:tcPr>
            <w:tcW w:w="2972" w:type="dxa"/>
          </w:tcPr>
          <w:p w14:paraId="57A17D4A" w14:textId="77777777" w:rsidR="005D71D4" w:rsidRPr="00982D3E" w:rsidRDefault="005D71D4" w:rsidP="00D15D07">
            <w:pPr>
              <w:jc w:val="center"/>
              <w:rPr>
                <w:color w:val="000000" w:themeColor="text1"/>
                <w:szCs w:val="22"/>
                <w:lang w:val="fr-FR"/>
              </w:rPr>
            </w:pPr>
          </w:p>
          <w:p w14:paraId="69507119" w14:textId="4158AA77" w:rsidR="005D71D4" w:rsidRPr="00982D3E" w:rsidRDefault="005D71D4" w:rsidP="00D15D07">
            <w:pPr>
              <w:jc w:val="center"/>
              <w:rPr>
                <w:color w:val="000000" w:themeColor="text1"/>
                <w:szCs w:val="22"/>
                <w:lang w:val="fr-FR"/>
              </w:rPr>
            </w:pPr>
            <w:r w:rsidRPr="00982D3E">
              <w:rPr>
                <w:color w:val="000000" w:themeColor="text1"/>
                <w:lang w:val="fr-FR"/>
              </w:rPr>
              <w:t>Reçues en qualité d</w:t>
            </w:r>
            <w:r w:rsidR="00C15821" w:rsidRPr="00982D3E">
              <w:rPr>
                <w:color w:val="000000" w:themeColor="text1"/>
                <w:lang w:val="fr-FR"/>
              </w:rPr>
              <w:t>’</w:t>
            </w:r>
            <w:r w:rsidRPr="00982D3E">
              <w:rPr>
                <w:color w:val="000000" w:themeColor="text1"/>
                <w:lang w:val="fr-FR"/>
              </w:rPr>
              <w:t>office récepteur</w:t>
            </w:r>
          </w:p>
        </w:tc>
        <w:tc>
          <w:tcPr>
            <w:tcW w:w="1247" w:type="dxa"/>
            <w:vAlign w:val="center"/>
          </w:tcPr>
          <w:p w14:paraId="4E0FB787" w14:textId="77777777" w:rsidR="005D71D4" w:rsidRPr="00982D3E" w:rsidRDefault="005D71D4" w:rsidP="00D15D07">
            <w:pPr>
              <w:jc w:val="center"/>
              <w:rPr>
                <w:color w:val="000000" w:themeColor="text1"/>
                <w:szCs w:val="22"/>
                <w:lang w:val="fr-FR"/>
              </w:rPr>
            </w:pPr>
            <w:r w:rsidRPr="00982D3E">
              <w:rPr>
                <w:color w:val="000000" w:themeColor="text1"/>
                <w:lang w:val="fr-FR"/>
              </w:rPr>
              <w:t>893</w:t>
            </w:r>
          </w:p>
        </w:tc>
        <w:tc>
          <w:tcPr>
            <w:tcW w:w="1248" w:type="dxa"/>
            <w:vAlign w:val="center"/>
          </w:tcPr>
          <w:p w14:paraId="4C00A204" w14:textId="77777777" w:rsidR="005D71D4" w:rsidRPr="00982D3E" w:rsidRDefault="005D71D4" w:rsidP="00D15D07">
            <w:pPr>
              <w:jc w:val="center"/>
              <w:rPr>
                <w:color w:val="000000" w:themeColor="text1"/>
                <w:szCs w:val="22"/>
                <w:lang w:val="fr-FR"/>
              </w:rPr>
            </w:pPr>
            <w:r w:rsidRPr="00982D3E">
              <w:rPr>
                <w:color w:val="000000" w:themeColor="text1"/>
                <w:lang w:val="fr-FR"/>
              </w:rPr>
              <w:t>827</w:t>
            </w:r>
          </w:p>
        </w:tc>
        <w:tc>
          <w:tcPr>
            <w:tcW w:w="1247" w:type="dxa"/>
            <w:vAlign w:val="center"/>
          </w:tcPr>
          <w:p w14:paraId="4F54437A" w14:textId="77777777" w:rsidR="005D71D4" w:rsidRPr="00982D3E" w:rsidRDefault="005D71D4" w:rsidP="00D15D07">
            <w:pPr>
              <w:jc w:val="center"/>
              <w:rPr>
                <w:color w:val="000000" w:themeColor="text1"/>
                <w:szCs w:val="22"/>
                <w:lang w:val="fr-FR"/>
              </w:rPr>
            </w:pPr>
            <w:r w:rsidRPr="00982D3E">
              <w:rPr>
                <w:color w:val="000000" w:themeColor="text1"/>
                <w:lang w:val="fr-FR"/>
              </w:rPr>
              <w:t>832</w:t>
            </w:r>
          </w:p>
        </w:tc>
        <w:tc>
          <w:tcPr>
            <w:tcW w:w="1248" w:type="dxa"/>
            <w:vAlign w:val="center"/>
          </w:tcPr>
          <w:p w14:paraId="6EAD78DB" w14:textId="77777777" w:rsidR="005D71D4" w:rsidRPr="00982D3E" w:rsidRDefault="005D71D4" w:rsidP="00D15D07">
            <w:pPr>
              <w:jc w:val="center"/>
              <w:rPr>
                <w:color w:val="000000" w:themeColor="text1"/>
                <w:szCs w:val="22"/>
                <w:lang w:val="fr-FR"/>
              </w:rPr>
            </w:pPr>
            <w:r w:rsidRPr="00982D3E">
              <w:rPr>
                <w:color w:val="000000" w:themeColor="text1"/>
                <w:lang w:val="fr-FR"/>
              </w:rPr>
              <w:t>671</w:t>
            </w:r>
          </w:p>
        </w:tc>
      </w:tr>
      <w:bookmarkEnd w:id="9"/>
      <w:tr w:rsidR="005D71D4" w:rsidRPr="00982D3E" w14:paraId="12557855" w14:textId="77777777" w:rsidTr="004775D6">
        <w:trPr>
          <w:cantSplit/>
          <w:trHeight w:val="879"/>
        </w:trPr>
        <w:tc>
          <w:tcPr>
            <w:tcW w:w="2972" w:type="dxa"/>
          </w:tcPr>
          <w:p w14:paraId="47F94BA7" w14:textId="77777777" w:rsidR="005D71D4" w:rsidRPr="00982D3E" w:rsidRDefault="005D71D4" w:rsidP="00D15D07">
            <w:pPr>
              <w:jc w:val="center"/>
              <w:rPr>
                <w:color w:val="000000" w:themeColor="text1"/>
                <w:szCs w:val="22"/>
                <w:lang w:val="fr-FR"/>
              </w:rPr>
            </w:pPr>
          </w:p>
          <w:p w14:paraId="41D82055" w14:textId="2F3D4AB9" w:rsidR="005D71D4" w:rsidRPr="00982D3E" w:rsidRDefault="005D71D4" w:rsidP="00D15D07">
            <w:pPr>
              <w:jc w:val="center"/>
              <w:rPr>
                <w:color w:val="000000" w:themeColor="text1"/>
                <w:szCs w:val="22"/>
                <w:lang w:val="fr-FR"/>
              </w:rPr>
            </w:pPr>
            <w:r w:rsidRPr="00982D3E">
              <w:rPr>
                <w:color w:val="000000" w:themeColor="text1"/>
                <w:lang w:val="fr-FR"/>
              </w:rPr>
              <w:t>Rapports de recherche internationale établis en qualité d</w:t>
            </w:r>
            <w:r w:rsidR="00C15821" w:rsidRPr="00982D3E">
              <w:rPr>
                <w:color w:val="000000" w:themeColor="text1"/>
                <w:lang w:val="fr-FR"/>
              </w:rPr>
              <w:t>’</w:t>
            </w:r>
            <w:r w:rsidRPr="00982D3E">
              <w:rPr>
                <w:color w:val="000000" w:themeColor="text1"/>
                <w:lang w:val="fr-FR"/>
              </w:rPr>
              <w:t>administration chargée de la recherche internationale</w:t>
            </w:r>
          </w:p>
        </w:tc>
        <w:tc>
          <w:tcPr>
            <w:tcW w:w="1247" w:type="dxa"/>
            <w:vAlign w:val="center"/>
          </w:tcPr>
          <w:p w14:paraId="1B5D2E7A" w14:textId="77777777" w:rsidR="005D71D4" w:rsidRPr="00982D3E" w:rsidRDefault="005D71D4" w:rsidP="00D15D07">
            <w:pPr>
              <w:jc w:val="center"/>
              <w:rPr>
                <w:color w:val="000000" w:themeColor="text1"/>
                <w:szCs w:val="22"/>
                <w:lang w:val="fr-FR"/>
              </w:rPr>
            </w:pPr>
            <w:r w:rsidRPr="00982D3E">
              <w:rPr>
                <w:color w:val="000000" w:themeColor="text1"/>
                <w:lang w:val="fr-FR"/>
              </w:rPr>
              <w:t>846</w:t>
            </w:r>
          </w:p>
        </w:tc>
        <w:tc>
          <w:tcPr>
            <w:tcW w:w="1248" w:type="dxa"/>
            <w:vAlign w:val="center"/>
          </w:tcPr>
          <w:p w14:paraId="60CCD0BD" w14:textId="77777777" w:rsidR="005D71D4" w:rsidRPr="00982D3E" w:rsidRDefault="005D71D4" w:rsidP="00D15D07">
            <w:pPr>
              <w:jc w:val="center"/>
              <w:rPr>
                <w:color w:val="000000" w:themeColor="text1"/>
                <w:szCs w:val="22"/>
                <w:lang w:val="fr-FR"/>
              </w:rPr>
            </w:pPr>
            <w:r w:rsidRPr="00982D3E">
              <w:rPr>
                <w:color w:val="000000" w:themeColor="text1"/>
                <w:lang w:val="fr-FR"/>
              </w:rPr>
              <w:t>695</w:t>
            </w:r>
          </w:p>
        </w:tc>
        <w:tc>
          <w:tcPr>
            <w:tcW w:w="1247" w:type="dxa"/>
            <w:vAlign w:val="center"/>
          </w:tcPr>
          <w:p w14:paraId="2C70DB5F" w14:textId="77777777" w:rsidR="005D71D4" w:rsidRPr="00982D3E" w:rsidRDefault="005D71D4" w:rsidP="00D15D07">
            <w:pPr>
              <w:jc w:val="center"/>
              <w:rPr>
                <w:color w:val="000000" w:themeColor="text1"/>
                <w:szCs w:val="22"/>
                <w:lang w:val="fr-FR"/>
              </w:rPr>
            </w:pPr>
            <w:r w:rsidRPr="00982D3E">
              <w:rPr>
                <w:color w:val="000000" w:themeColor="text1"/>
                <w:lang w:val="fr-FR"/>
              </w:rPr>
              <w:t>660</w:t>
            </w:r>
          </w:p>
        </w:tc>
        <w:tc>
          <w:tcPr>
            <w:tcW w:w="1248" w:type="dxa"/>
            <w:vAlign w:val="center"/>
          </w:tcPr>
          <w:p w14:paraId="009C96E5" w14:textId="77777777" w:rsidR="005D71D4" w:rsidRPr="00982D3E" w:rsidRDefault="005D71D4" w:rsidP="00D15D07">
            <w:pPr>
              <w:jc w:val="center"/>
              <w:rPr>
                <w:color w:val="000000" w:themeColor="text1"/>
                <w:szCs w:val="22"/>
                <w:lang w:val="fr-FR"/>
              </w:rPr>
            </w:pPr>
            <w:r w:rsidRPr="00982D3E">
              <w:rPr>
                <w:color w:val="000000" w:themeColor="text1"/>
                <w:lang w:val="fr-FR"/>
              </w:rPr>
              <w:t>658</w:t>
            </w:r>
          </w:p>
        </w:tc>
      </w:tr>
      <w:tr w:rsidR="005D71D4" w:rsidRPr="00982D3E" w14:paraId="5022A805" w14:textId="77777777" w:rsidTr="004775D6">
        <w:trPr>
          <w:cantSplit/>
          <w:trHeight w:val="879"/>
        </w:trPr>
        <w:tc>
          <w:tcPr>
            <w:tcW w:w="2972" w:type="dxa"/>
          </w:tcPr>
          <w:p w14:paraId="73F5FDA3" w14:textId="77777777" w:rsidR="005D71D4" w:rsidRPr="00982D3E" w:rsidRDefault="005D71D4" w:rsidP="00D15D07">
            <w:pPr>
              <w:jc w:val="center"/>
              <w:rPr>
                <w:color w:val="000000" w:themeColor="text1"/>
                <w:szCs w:val="22"/>
                <w:lang w:val="fr-FR"/>
              </w:rPr>
            </w:pPr>
          </w:p>
          <w:p w14:paraId="3F105ABA" w14:textId="7BB947AC" w:rsidR="005D71D4" w:rsidRPr="00982D3E" w:rsidRDefault="005D71D4" w:rsidP="00D15D07">
            <w:pPr>
              <w:jc w:val="center"/>
              <w:rPr>
                <w:color w:val="000000" w:themeColor="text1"/>
                <w:szCs w:val="22"/>
                <w:lang w:val="fr-FR"/>
              </w:rPr>
            </w:pPr>
            <w:r w:rsidRPr="00982D3E">
              <w:rPr>
                <w:color w:val="000000" w:themeColor="text1"/>
                <w:lang w:val="fr-FR"/>
              </w:rPr>
              <w:t>Examens préliminaires internationaux effectués en qualité d</w:t>
            </w:r>
            <w:r w:rsidR="00C15821" w:rsidRPr="00982D3E">
              <w:rPr>
                <w:color w:val="000000" w:themeColor="text1"/>
                <w:lang w:val="fr-FR"/>
              </w:rPr>
              <w:t>’</w:t>
            </w:r>
            <w:r w:rsidRPr="00982D3E">
              <w:rPr>
                <w:color w:val="000000" w:themeColor="text1"/>
                <w:lang w:val="fr-FR"/>
              </w:rPr>
              <w:t>administration chargée de l</w:t>
            </w:r>
            <w:r w:rsidR="00C15821" w:rsidRPr="00982D3E">
              <w:rPr>
                <w:color w:val="000000" w:themeColor="text1"/>
                <w:lang w:val="fr-FR"/>
              </w:rPr>
              <w:t>’</w:t>
            </w:r>
            <w:r w:rsidRPr="00982D3E">
              <w:rPr>
                <w:color w:val="000000" w:themeColor="text1"/>
                <w:lang w:val="fr-FR"/>
              </w:rPr>
              <w:t>examen préliminaire international</w:t>
            </w:r>
          </w:p>
        </w:tc>
        <w:tc>
          <w:tcPr>
            <w:tcW w:w="1247" w:type="dxa"/>
            <w:vAlign w:val="center"/>
          </w:tcPr>
          <w:p w14:paraId="71756137" w14:textId="77777777" w:rsidR="005D71D4" w:rsidRPr="00982D3E" w:rsidRDefault="005D71D4" w:rsidP="00D15D07">
            <w:pPr>
              <w:jc w:val="center"/>
              <w:rPr>
                <w:color w:val="000000" w:themeColor="text1"/>
                <w:szCs w:val="22"/>
                <w:lang w:val="fr-FR"/>
              </w:rPr>
            </w:pPr>
            <w:r w:rsidRPr="00982D3E">
              <w:rPr>
                <w:color w:val="000000" w:themeColor="text1"/>
                <w:lang w:val="fr-FR"/>
              </w:rPr>
              <w:t>53</w:t>
            </w:r>
          </w:p>
        </w:tc>
        <w:tc>
          <w:tcPr>
            <w:tcW w:w="1248" w:type="dxa"/>
            <w:vAlign w:val="center"/>
          </w:tcPr>
          <w:p w14:paraId="3F1F7E68" w14:textId="77777777" w:rsidR="005D71D4" w:rsidRPr="00982D3E" w:rsidRDefault="005D71D4" w:rsidP="00D15D07">
            <w:pPr>
              <w:jc w:val="center"/>
              <w:rPr>
                <w:color w:val="000000" w:themeColor="text1"/>
                <w:szCs w:val="22"/>
                <w:lang w:val="fr-FR"/>
              </w:rPr>
            </w:pPr>
            <w:r w:rsidRPr="00982D3E">
              <w:rPr>
                <w:color w:val="000000" w:themeColor="text1"/>
                <w:lang w:val="fr-FR"/>
              </w:rPr>
              <w:t>33</w:t>
            </w:r>
          </w:p>
        </w:tc>
        <w:tc>
          <w:tcPr>
            <w:tcW w:w="1247" w:type="dxa"/>
            <w:vAlign w:val="center"/>
          </w:tcPr>
          <w:p w14:paraId="36412656" w14:textId="77777777" w:rsidR="005D71D4" w:rsidRPr="00982D3E" w:rsidRDefault="005D71D4" w:rsidP="00D15D07">
            <w:pPr>
              <w:jc w:val="center"/>
              <w:rPr>
                <w:color w:val="000000" w:themeColor="text1"/>
                <w:szCs w:val="22"/>
                <w:lang w:val="fr-FR"/>
              </w:rPr>
            </w:pPr>
            <w:r w:rsidRPr="00982D3E">
              <w:rPr>
                <w:color w:val="000000" w:themeColor="text1"/>
                <w:lang w:val="fr-FR"/>
              </w:rPr>
              <w:t>33</w:t>
            </w:r>
          </w:p>
        </w:tc>
        <w:tc>
          <w:tcPr>
            <w:tcW w:w="1248" w:type="dxa"/>
            <w:vAlign w:val="center"/>
          </w:tcPr>
          <w:p w14:paraId="7C6880D0" w14:textId="77777777" w:rsidR="005D71D4" w:rsidRPr="00982D3E" w:rsidRDefault="005D71D4" w:rsidP="00D15D07">
            <w:pPr>
              <w:jc w:val="center"/>
              <w:rPr>
                <w:color w:val="000000" w:themeColor="text1"/>
                <w:szCs w:val="22"/>
                <w:lang w:val="fr-FR"/>
              </w:rPr>
            </w:pPr>
            <w:r w:rsidRPr="00982D3E">
              <w:rPr>
                <w:color w:val="000000" w:themeColor="text1"/>
                <w:lang w:val="fr-FR"/>
              </w:rPr>
              <w:t>37</w:t>
            </w:r>
          </w:p>
        </w:tc>
      </w:tr>
    </w:tbl>
    <w:p w14:paraId="5C94966A" w14:textId="77777777" w:rsidR="005D71D4" w:rsidRPr="00982D3E" w:rsidRDefault="005D71D4" w:rsidP="00D15D07">
      <w:pPr>
        <w:pStyle w:val="Answer"/>
        <w:ind w:left="0"/>
        <w:rPr>
          <w:b/>
          <w:bCs/>
          <w:color w:val="000000" w:themeColor="text1"/>
          <w:szCs w:val="22"/>
        </w:rPr>
      </w:pPr>
    </w:p>
    <w:p w14:paraId="4B5B4F1A" w14:textId="1CC4C9E2" w:rsidR="005D71D4" w:rsidRPr="00982D3E" w:rsidRDefault="005D71D4" w:rsidP="00D15D07">
      <w:pPr>
        <w:jc w:val="both"/>
        <w:rPr>
          <w:b/>
          <w:bCs/>
          <w:color w:val="000000" w:themeColor="text1"/>
          <w:szCs w:val="22"/>
          <w:lang w:val="fr-FR"/>
        </w:rPr>
      </w:pPr>
      <w:r w:rsidRPr="00982D3E">
        <w:rPr>
          <w:b/>
          <w:color w:val="000000" w:themeColor="text1"/>
          <w:lang w:val="fr-FR"/>
        </w:rPr>
        <w:t>MESURES VISANT À AMÉLIORER LES RAPPORTS DE RECHERCHE INTERNATIONALE DE L</w:t>
      </w:r>
      <w:r w:rsidR="00C15821" w:rsidRPr="00982D3E">
        <w:rPr>
          <w:b/>
          <w:color w:val="000000" w:themeColor="text1"/>
          <w:lang w:val="fr-FR"/>
        </w:rPr>
        <w:t>’</w:t>
      </w:r>
      <w:r w:rsidRPr="00982D3E">
        <w:rPr>
          <w:b/>
          <w:color w:val="000000" w:themeColor="text1"/>
          <w:lang w:val="fr-FR"/>
        </w:rPr>
        <w:t>OEPM</w:t>
      </w:r>
    </w:p>
    <w:p w14:paraId="08F6762F" w14:textId="77777777" w:rsidR="005D71D4" w:rsidRPr="00982D3E" w:rsidRDefault="005D71D4" w:rsidP="00D15D07">
      <w:pPr>
        <w:rPr>
          <w:b/>
          <w:bCs/>
          <w:color w:val="000000" w:themeColor="text1"/>
          <w:szCs w:val="22"/>
          <w:lang w:val="fr-FR"/>
        </w:rPr>
      </w:pPr>
    </w:p>
    <w:p w14:paraId="7220A577" w14:textId="7D8946CD" w:rsidR="005D71D4" w:rsidRPr="00982D3E" w:rsidRDefault="005D71D4" w:rsidP="00D15D07">
      <w:pPr>
        <w:jc w:val="both"/>
        <w:rPr>
          <w:bCs/>
          <w:color w:val="000000" w:themeColor="text1"/>
          <w:szCs w:val="22"/>
          <w:lang w:val="fr-FR"/>
        </w:rPr>
      </w:pPr>
      <w:r w:rsidRPr="00982D3E">
        <w:rPr>
          <w:color w:val="000000" w:themeColor="text1"/>
          <w:lang w:val="fr-FR"/>
        </w:rPr>
        <w:t>Depuis le milieu des années 2020, l</w:t>
      </w:r>
      <w:r w:rsidR="00C15821" w:rsidRPr="00982D3E">
        <w:rPr>
          <w:color w:val="000000" w:themeColor="text1"/>
          <w:lang w:val="fr-FR"/>
        </w:rPr>
        <w:t>’</w:t>
      </w:r>
      <w:r w:rsidRPr="00982D3E">
        <w:rPr>
          <w:color w:val="000000" w:themeColor="text1"/>
          <w:lang w:val="fr-FR"/>
        </w:rPr>
        <w:t xml:space="preserve">OEPM propose le service “PCT Direct”. </w:t>
      </w:r>
      <w:r w:rsidR="004319B8" w:rsidRPr="00982D3E">
        <w:rPr>
          <w:color w:val="000000" w:themeColor="text1"/>
          <w:lang w:val="fr-FR"/>
        </w:rPr>
        <w:t xml:space="preserve"> </w:t>
      </w:r>
      <w:r w:rsidRPr="00982D3E">
        <w:rPr>
          <w:color w:val="000000" w:themeColor="text1"/>
          <w:lang w:val="fr-FR"/>
        </w:rPr>
        <w:t>Ce service facultatif permet aux déposants de présenter, dans une lettre, des observations informelles visant à répondre aux objections soulevées dans l</w:t>
      </w:r>
      <w:r w:rsidR="00C15821" w:rsidRPr="00982D3E">
        <w:rPr>
          <w:color w:val="000000" w:themeColor="text1"/>
          <w:lang w:val="fr-FR"/>
        </w:rPr>
        <w:t>’</w:t>
      </w:r>
      <w:r w:rsidRPr="00982D3E">
        <w:rPr>
          <w:color w:val="000000" w:themeColor="text1"/>
          <w:lang w:val="fr-FR"/>
        </w:rPr>
        <w:t>opinion écrite établie pour la demande antérieure dont la priorité est revendiqu</w:t>
      </w:r>
      <w:r w:rsidR="00A720A1" w:rsidRPr="00982D3E">
        <w:rPr>
          <w:color w:val="000000" w:themeColor="text1"/>
          <w:lang w:val="fr-FR"/>
        </w:rPr>
        <w:t>ée.  Ce</w:t>
      </w:r>
      <w:r w:rsidRPr="00982D3E">
        <w:rPr>
          <w:color w:val="000000" w:themeColor="text1"/>
          <w:lang w:val="fr-FR"/>
        </w:rPr>
        <w:t>s observations favorisent une meilleure évaluation des demandes internationales, conférant une valeur ajoutée au rapport de recherche internationale et à l</w:t>
      </w:r>
      <w:r w:rsidR="00C15821" w:rsidRPr="00982D3E">
        <w:rPr>
          <w:color w:val="000000" w:themeColor="text1"/>
          <w:lang w:val="fr-FR"/>
        </w:rPr>
        <w:t>’</w:t>
      </w:r>
      <w:r w:rsidRPr="00982D3E">
        <w:rPr>
          <w:color w:val="000000" w:themeColor="text1"/>
          <w:lang w:val="fr-FR"/>
        </w:rPr>
        <w:t>opinion écrite établis par l</w:t>
      </w:r>
      <w:r w:rsidR="00C15821" w:rsidRPr="00982D3E">
        <w:rPr>
          <w:color w:val="000000" w:themeColor="text1"/>
          <w:lang w:val="fr-FR"/>
        </w:rPr>
        <w:t>’</w:t>
      </w:r>
      <w:r w:rsidRPr="00982D3E">
        <w:rPr>
          <w:color w:val="000000" w:themeColor="text1"/>
          <w:lang w:val="fr-FR"/>
        </w:rPr>
        <w:t>OEPM en sa qualité d</w:t>
      </w:r>
      <w:r w:rsidR="00C15821" w:rsidRPr="00982D3E">
        <w:rPr>
          <w:color w:val="000000" w:themeColor="text1"/>
          <w:lang w:val="fr-FR"/>
        </w:rPr>
        <w:t>’</w:t>
      </w:r>
      <w:r w:rsidRPr="00982D3E">
        <w:rPr>
          <w:color w:val="000000" w:themeColor="text1"/>
          <w:lang w:val="fr-FR"/>
        </w:rPr>
        <w:t>administration chargée de la recherc</w:t>
      </w:r>
      <w:r w:rsidR="00A720A1" w:rsidRPr="00982D3E">
        <w:rPr>
          <w:color w:val="000000" w:themeColor="text1"/>
          <w:lang w:val="fr-FR"/>
        </w:rPr>
        <w:t>he.  Le</w:t>
      </w:r>
      <w:r w:rsidRPr="00982D3E">
        <w:rPr>
          <w:color w:val="000000" w:themeColor="text1"/>
          <w:lang w:val="fr-FR"/>
        </w:rPr>
        <w:t>s produits fournis par l</w:t>
      </w:r>
      <w:r w:rsidR="00C15821" w:rsidRPr="00982D3E">
        <w:rPr>
          <w:color w:val="000000" w:themeColor="text1"/>
          <w:lang w:val="fr-FR"/>
        </w:rPr>
        <w:t>’</w:t>
      </w:r>
      <w:r w:rsidRPr="00982D3E">
        <w:rPr>
          <w:color w:val="000000" w:themeColor="text1"/>
          <w:lang w:val="fr-FR"/>
        </w:rPr>
        <w:t>office sont ainsi globalement de meilleure qualité.</w:t>
      </w:r>
    </w:p>
    <w:p w14:paraId="6978AF81" w14:textId="77777777" w:rsidR="005D71D4" w:rsidRPr="00982D3E" w:rsidRDefault="005D71D4" w:rsidP="00D15D07">
      <w:pPr>
        <w:jc w:val="both"/>
        <w:rPr>
          <w:b/>
          <w:bCs/>
          <w:color w:val="000000" w:themeColor="text1"/>
          <w:szCs w:val="22"/>
          <w:lang w:val="fr-FR"/>
        </w:rPr>
      </w:pPr>
    </w:p>
    <w:p w14:paraId="55F1C9A5" w14:textId="77777777" w:rsidR="005D71D4" w:rsidRPr="00982D3E" w:rsidRDefault="005D71D4" w:rsidP="00D15D07">
      <w:pPr>
        <w:jc w:val="both"/>
        <w:rPr>
          <w:b/>
          <w:bCs/>
          <w:color w:val="000000" w:themeColor="text1"/>
          <w:szCs w:val="22"/>
          <w:lang w:val="fr-FR"/>
        </w:rPr>
      </w:pPr>
      <w:r w:rsidRPr="00982D3E">
        <w:rPr>
          <w:b/>
          <w:color w:val="000000" w:themeColor="text1"/>
          <w:lang w:val="fr-FR"/>
        </w:rPr>
        <w:t>COOPÉRATION INTERNATIONALE</w:t>
      </w:r>
    </w:p>
    <w:p w14:paraId="37D19A5B" w14:textId="77777777" w:rsidR="005D71D4" w:rsidRPr="00982D3E" w:rsidRDefault="005D71D4" w:rsidP="00D15D07">
      <w:pPr>
        <w:jc w:val="both"/>
        <w:rPr>
          <w:bCs/>
          <w:color w:val="000000" w:themeColor="text1"/>
          <w:szCs w:val="22"/>
          <w:lang w:val="fr-FR"/>
        </w:rPr>
      </w:pPr>
    </w:p>
    <w:p w14:paraId="0C1FAEE7" w14:textId="7ABE4ED0" w:rsidR="00C15821" w:rsidRPr="00982D3E" w:rsidRDefault="005D71D4" w:rsidP="00D15D07">
      <w:pPr>
        <w:jc w:val="both"/>
        <w:rPr>
          <w:color w:val="000000" w:themeColor="text1"/>
          <w:lang w:val="fr-FR"/>
        </w:rPr>
      </w:pPr>
      <w:r w:rsidRPr="00982D3E">
        <w:rPr>
          <w:color w:val="000000" w:themeColor="text1"/>
          <w:lang w:val="fr-FR"/>
        </w:rPr>
        <w:t>En règle générale, l</w:t>
      </w:r>
      <w:r w:rsidR="00C15821" w:rsidRPr="00982D3E">
        <w:rPr>
          <w:color w:val="000000" w:themeColor="text1"/>
          <w:lang w:val="fr-FR"/>
        </w:rPr>
        <w:t>’</w:t>
      </w:r>
      <w:r w:rsidRPr="00982D3E">
        <w:rPr>
          <w:color w:val="000000" w:themeColor="text1"/>
          <w:lang w:val="fr-FR"/>
        </w:rPr>
        <w:t>OEPM considère le travail effectué par les autres offices de propriété intellectuelle, ainsi que par les administrations internationales et le Bureau international, comme très utile et en tire avantage grâce aux ressources mises à la disposition des États contractants</w:t>
      </w:r>
      <w:r w:rsidR="00C15821" w:rsidRPr="00982D3E">
        <w:rPr>
          <w:color w:val="000000" w:themeColor="text1"/>
          <w:lang w:val="fr-FR"/>
        </w:rPr>
        <w:t xml:space="preserve"> du PCT</w:t>
      </w:r>
      <w:r w:rsidRPr="00982D3E">
        <w:rPr>
          <w:color w:val="000000" w:themeColor="text1"/>
          <w:lang w:val="fr-FR"/>
        </w:rPr>
        <w:t xml:space="preserve"> et aux échanges et réunions organisés pour partager et diffuser les pratiques recommandées.</w:t>
      </w:r>
    </w:p>
    <w:p w14:paraId="582FD99C" w14:textId="2D1B51D9" w:rsidR="005D71D4" w:rsidRPr="00982D3E" w:rsidRDefault="005D71D4" w:rsidP="00D15D07">
      <w:pPr>
        <w:jc w:val="both"/>
        <w:rPr>
          <w:bCs/>
          <w:color w:val="000000" w:themeColor="text1"/>
          <w:szCs w:val="22"/>
          <w:lang w:val="fr-FR"/>
        </w:rPr>
      </w:pPr>
    </w:p>
    <w:p w14:paraId="3EBC0BEA" w14:textId="7FF89B8B" w:rsidR="005D71D4" w:rsidRPr="00982D3E" w:rsidRDefault="005D71D4" w:rsidP="00D15D07">
      <w:pPr>
        <w:jc w:val="both"/>
        <w:rPr>
          <w:bCs/>
          <w:color w:val="000000" w:themeColor="text1"/>
          <w:szCs w:val="22"/>
          <w:lang w:val="fr-FR"/>
        </w:rPr>
      </w:pPr>
      <w:r w:rsidRPr="00982D3E">
        <w:rPr>
          <w:color w:val="000000" w:themeColor="text1"/>
          <w:lang w:val="fr-FR"/>
        </w:rPr>
        <w:t>La coopération entre l</w:t>
      </w:r>
      <w:r w:rsidR="00C15821" w:rsidRPr="00982D3E">
        <w:rPr>
          <w:color w:val="000000" w:themeColor="text1"/>
          <w:lang w:val="fr-FR"/>
        </w:rPr>
        <w:t>’</w:t>
      </w:r>
      <w:r w:rsidRPr="00982D3E">
        <w:rPr>
          <w:color w:val="000000" w:themeColor="text1"/>
          <w:lang w:val="fr-FR"/>
        </w:rPr>
        <w:t>OEPM, les autres offices de propriété intellectuelle et les organisations internationales s</w:t>
      </w:r>
      <w:r w:rsidR="00C15821" w:rsidRPr="00982D3E">
        <w:rPr>
          <w:color w:val="000000" w:themeColor="text1"/>
          <w:lang w:val="fr-FR"/>
        </w:rPr>
        <w:t>’</w:t>
      </w:r>
      <w:r w:rsidRPr="00982D3E">
        <w:rPr>
          <w:color w:val="000000" w:themeColor="text1"/>
          <w:lang w:val="fr-FR"/>
        </w:rPr>
        <w:t>est ainsi révélée essentielle pour échanger des informations et harmoniser les pratiques en matière de propriété intellectuelle.</w:t>
      </w:r>
    </w:p>
    <w:p w14:paraId="4F21EC78" w14:textId="77777777" w:rsidR="005D71D4" w:rsidRPr="00982D3E" w:rsidRDefault="005D71D4" w:rsidP="00D15D07">
      <w:pPr>
        <w:jc w:val="both"/>
        <w:rPr>
          <w:bCs/>
          <w:color w:val="000000" w:themeColor="text1"/>
          <w:szCs w:val="22"/>
          <w:lang w:val="fr-FR"/>
        </w:rPr>
      </w:pPr>
    </w:p>
    <w:p w14:paraId="3BDE9CE8" w14:textId="442E5124" w:rsidR="00C15821" w:rsidRPr="00982D3E" w:rsidRDefault="005D71D4" w:rsidP="00D15D07">
      <w:pPr>
        <w:jc w:val="both"/>
        <w:rPr>
          <w:color w:val="000000" w:themeColor="text1"/>
          <w:lang w:val="fr-FR"/>
        </w:rPr>
      </w:pPr>
      <w:r w:rsidRPr="00982D3E">
        <w:rPr>
          <w:color w:val="000000" w:themeColor="text1"/>
          <w:lang w:val="fr-FR"/>
        </w:rPr>
        <w:t>En plus de consolider les relations, ces initiatives contribuent à protéger les droits de propriété intellectuelle et à en faire la promotion via des partenariats basés sur l</w:t>
      </w:r>
      <w:r w:rsidR="00C15821" w:rsidRPr="00982D3E">
        <w:rPr>
          <w:color w:val="000000" w:themeColor="text1"/>
          <w:lang w:val="fr-FR"/>
        </w:rPr>
        <w:t>’</w:t>
      </w:r>
      <w:r w:rsidRPr="00982D3E">
        <w:rPr>
          <w:color w:val="000000" w:themeColor="text1"/>
          <w:lang w:val="fr-FR"/>
        </w:rPr>
        <w:t>échange d</w:t>
      </w:r>
      <w:r w:rsidR="00C15821" w:rsidRPr="00982D3E">
        <w:rPr>
          <w:color w:val="000000" w:themeColor="text1"/>
          <w:lang w:val="fr-FR"/>
        </w:rPr>
        <w:t>’</w:t>
      </w:r>
      <w:r w:rsidRPr="00982D3E">
        <w:rPr>
          <w:color w:val="000000" w:themeColor="text1"/>
          <w:lang w:val="fr-FR"/>
        </w:rPr>
        <w:t>informations, les pratiques recommandées et les activités de formation, ce qui permet un partage d</w:t>
      </w:r>
      <w:r w:rsidR="00C15821" w:rsidRPr="00982D3E">
        <w:rPr>
          <w:color w:val="000000" w:themeColor="text1"/>
          <w:lang w:val="fr-FR"/>
        </w:rPr>
        <w:t>’</w:t>
      </w:r>
      <w:r w:rsidRPr="00982D3E">
        <w:rPr>
          <w:color w:val="000000" w:themeColor="text1"/>
          <w:lang w:val="fr-FR"/>
        </w:rPr>
        <w:t>expériences au profit de tous.</w:t>
      </w:r>
    </w:p>
    <w:p w14:paraId="4AA1D76D" w14:textId="368588D1" w:rsidR="005D71D4" w:rsidRPr="00982D3E" w:rsidRDefault="005D71D4" w:rsidP="00D15D07">
      <w:pPr>
        <w:jc w:val="both"/>
        <w:rPr>
          <w:bCs/>
          <w:color w:val="000000" w:themeColor="text1"/>
          <w:szCs w:val="22"/>
          <w:lang w:val="fr-FR"/>
        </w:rPr>
      </w:pPr>
    </w:p>
    <w:p w14:paraId="3DD24BF0" w14:textId="2671E46A" w:rsidR="005D71D4" w:rsidRPr="00982D3E" w:rsidRDefault="005D71D4" w:rsidP="00D15D07">
      <w:pPr>
        <w:jc w:val="both"/>
        <w:rPr>
          <w:bCs/>
          <w:color w:val="000000" w:themeColor="text1"/>
          <w:szCs w:val="22"/>
          <w:lang w:val="fr-FR"/>
        </w:rPr>
      </w:pPr>
      <w:r w:rsidRPr="00982D3E">
        <w:rPr>
          <w:color w:val="000000" w:themeColor="text1"/>
          <w:lang w:val="fr-FR"/>
        </w:rPr>
        <w:t>Dans ce contexte, l</w:t>
      </w:r>
      <w:r w:rsidR="00C15821" w:rsidRPr="00982D3E">
        <w:rPr>
          <w:color w:val="000000" w:themeColor="text1"/>
          <w:lang w:val="fr-FR"/>
        </w:rPr>
        <w:t>’</w:t>
      </w:r>
      <w:r w:rsidRPr="00982D3E">
        <w:rPr>
          <w:color w:val="000000" w:themeColor="text1"/>
          <w:lang w:val="fr-FR"/>
        </w:rPr>
        <w:t xml:space="preserve">OEPM a récemment adopté son Plan stratégique </w:t>
      </w:r>
      <w:r w:rsidR="00C15821" w:rsidRPr="00982D3E">
        <w:rPr>
          <w:color w:val="000000" w:themeColor="text1"/>
          <w:lang w:val="fr-FR"/>
        </w:rPr>
        <w:t>pour 2025</w:t>
      </w:r>
      <w:r w:rsidR="000F0CBE">
        <w:rPr>
          <w:color w:val="000000" w:themeColor="text1"/>
          <w:lang w:val="fr-FR"/>
        </w:rPr>
        <w:noBreakHyphen/>
      </w:r>
      <w:r w:rsidRPr="00982D3E">
        <w:rPr>
          <w:color w:val="000000" w:themeColor="text1"/>
          <w:lang w:val="fr-FR"/>
        </w:rPr>
        <w:t xml:space="preserve">2027. </w:t>
      </w:r>
      <w:r w:rsidR="004319B8" w:rsidRPr="00982D3E">
        <w:rPr>
          <w:color w:val="000000" w:themeColor="text1"/>
          <w:lang w:val="fr-FR"/>
        </w:rPr>
        <w:t xml:space="preserve"> </w:t>
      </w:r>
      <w:r w:rsidRPr="00982D3E">
        <w:rPr>
          <w:color w:val="000000" w:themeColor="text1"/>
          <w:lang w:val="fr-FR"/>
        </w:rPr>
        <w:t>Ses objectifs généraux visent notamment à renforcer l</w:t>
      </w:r>
      <w:r w:rsidR="00C15821" w:rsidRPr="00982D3E">
        <w:rPr>
          <w:color w:val="000000" w:themeColor="text1"/>
          <w:lang w:val="fr-FR"/>
        </w:rPr>
        <w:t>’</w:t>
      </w:r>
      <w:r w:rsidRPr="00982D3E">
        <w:rPr>
          <w:color w:val="000000" w:themeColor="text1"/>
          <w:lang w:val="fr-FR"/>
        </w:rPr>
        <w:t>encadrement et à améliorer la coopération avec l</w:t>
      </w:r>
      <w:r w:rsidR="00C15821" w:rsidRPr="00982D3E">
        <w:rPr>
          <w:color w:val="000000" w:themeColor="text1"/>
          <w:lang w:val="fr-FR"/>
        </w:rPr>
        <w:t>’</w:t>
      </w:r>
      <w:r w:rsidRPr="00982D3E">
        <w:rPr>
          <w:color w:val="000000" w:themeColor="text1"/>
          <w:lang w:val="fr-FR"/>
        </w:rPr>
        <w:t xml:space="preserve">OEPM, tant </w:t>
      </w:r>
      <w:proofErr w:type="gramStart"/>
      <w:r w:rsidRPr="00982D3E">
        <w:rPr>
          <w:color w:val="000000" w:themeColor="text1"/>
          <w:lang w:val="fr-FR"/>
        </w:rPr>
        <w:t>aux échelons national</w:t>
      </w:r>
      <w:proofErr w:type="gramEnd"/>
      <w:r w:rsidRPr="00982D3E">
        <w:rPr>
          <w:color w:val="000000" w:themeColor="text1"/>
          <w:lang w:val="fr-FR"/>
        </w:rPr>
        <w:t xml:space="preserve"> qu</w:t>
      </w:r>
      <w:r w:rsidR="00C15821" w:rsidRPr="00982D3E">
        <w:rPr>
          <w:color w:val="000000" w:themeColor="text1"/>
          <w:lang w:val="fr-FR"/>
        </w:rPr>
        <w:t>’</w:t>
      </w:r>
      <w:r w:rsidRPr="00982D3E">
        <w:rPr>
          <w:color w:val="000000" w:themeColor="text1"/>
          <w:lang w:val="fr-FR"/>
        </w:rPr>
        <w:t>international.</w:t>
      </w:r>
    </w:p>
    <w:p w14:paraId="47B7F9C6" w14:textId="77777777" w:rsidR="005D71D4" w:rsidRPr="00982D3E" w:rsidRDefault="005D71D4" w:rsidP="00D15D07">
      <w:pPr>
        <w:jc w:val="both"/>
        <w:rPr>
          <w:bCs/>
          <w:color w:val="000000" w:themeColor="text1"/>
          <w:szCs w:val="22"/>
          <w:lang w:val="fr-FR"/>
        </w:rPr>
      </w:pPr>
    </w:p>
    <w:p w14:paraId="4B78BC6D" w14:textId="28097F32" w:rsidR="00C15821" w:rsidRPr="00982D3E" w:rsidRDefault="005D71D4" w:rsidP="00D15D07">
      <w:pPr>
        <w:jc w:val="both"/>
        <w:rPr>
          <w:color w:val="000000" w:themeColor="text1"/>
          <w:lang w:val="fr-FR"/>
        </w:rPr>
      </w:pPr>
      <w:r w:rsidRPr="00982D3E">
        <w:rPr>
          <w:color w:val="000000" w:themeColor="text1"/>
          <w:lang w:val="fr-FR"/>
        </w:rPr>
        <w:t>Cette coopération au niveau international n</w:t>
      </w:r>
      <w:r w:rsidR="00C15821" w:rsidRPr="00982D3E">
        <w:rPr>
          <w:color w:val="000000" w:themeColor="text1"/>
          <w:lang w:val="fr-FR"/>
        </w:rPr>
        <w:t>’</w:t>
      </w:r>
      <w:r w:rsidRPr="00982D3E">
        <w:rPr>
          <w:color w:val="000000" w:themeColor="text1"/>
          <w:lang w:val="fr-FR"/>
        </w:rPr>
        <w:t>est cependant pas nouvelle et l</w:t>
      </w:r>
      <w:r w:rsidR="00C15821" w:rsidRPr="00982D3E">
        <w:rPr>
          <w:color w:val="000000" w:themeColor="text1"/>
          <w:lang w:val="fr-FR"/>
        </w:rPr>
        <w:t>’</w:t>
      </w:r>
      <w:r w:rsidRPr="00982D3E">
        <w:rPr>
          <w:color w:val="000000" w:themeColor="text1"/>
          <w:lang w:val="fr-FR"/>
        </w:rPr>
        <w:t>OEPM s</w:t>
      </w:r>
      <w:r w:rsidR="00C15821" w:rsidRPr="00982D3E">
        <w:rPr>
          <w:color w:val="000000" w:themeColor="text1"/>
          <w:lang w:val="fr-FR"/>
        </w:rPr>
        <w:t>’</w:t>
      </w:r>
      <w:r w:rsidRPr="00982D3E">
        <w:rPr>
          <w:color w:val="000000" w:themeColor="text1"/>
          <w:lang w:val="fr-FR"/>
        </w:rPr>
        <w:t>est attaché au fil des ans à coopérer davantage et à conclure de nouveaux partenariats.</w:t>
      </w:r>
    </w:p>
    <w:p w14:paraId="31B673D8" w14:textId="66364818" w:rsidR="005D71D4" w:rsidRPr="00982D3E" w:rsidRDefault="005D71D4" w:rsidP="00D15D07">
      <w:pPr>
        <w:jc w:val="both"/>
        <w:rPr>
          <w:bCs/>
          <w:color w:val="000000" w:themeColor="text1"/>
          <w:szCs w:val="22"/>
          <w:lang w:val="fr-FR"/>
        </w:rPr>
      </w:pPr>
    </w:p>
    <w:p w14:paraId="3F86F784" w14:textId="265A4DD6" w:rsidR="005D71D4" w:rsidRPr="00982D3E" w:rsidRDefault="005D71D4" w:rsidP="00D15D07">
      <w:pPr>
        <w:jc w:val="both"/>
        <w:rPr>
          <w:b/>
          <w:bCs/>
          <w:color w:val="000000" w:themeColor="text1"/>
          <w:szCs w:val="22"/>
          <w:lang w:val="fr-FR"/>
        </w:rPr>
      </w:pPr>
      <w:r w:rsidRPr="00982D3E">
        <w:rPr>
          <w:b/>
          <w:color w:val="000000" w:themeColor="text1"/>
          <w:lang w:val="fr-FR"/>
        </w:rPr>
        <w:t>Coopération au niveau européen avec l</w:t>
      </w:r>
      <w:r w:rsidR="00C15821" w:rsidRPr="00982D3E">
        <w:rPr>
          <w:b/>
          <w:color w:val="000000" w:themeColor="text1"/>
          <w:lang w:val="fr-FR"/>
        </w:rPr>
        <w:t>’</w:t>
      </w:r>
      <w:r w:rsidRPr="00982D3E">
        <w:rPr>
          <w:b/>
          <w:color w:val="000000" w:themeColor="text1"/>
          <w:lang w:val="fr-FR"/>
        </w:rPr>
        <w:t>OEB</w:t>
      </w:r>
    </w:p>
    <w:p w14:paraId="37D258D2" w14:textId="77777777" w:rsidR="005D71D4" w:rsidRPr="00982D3E" w:rsidRDefault="005D71D4" w:rsidP="00D15D07">
      <w:pPr>
        <w:jc w:val="both"/>
        <w:rPr>
          <w:bCs/>
          <w:color w:val="000000" w:themeColor="text1"/>
          <w:szCs w:val="22"/>
          <w:lang w:val="fr-FR"/>
        </w:rPr>
      </w:pPr>
    </w:p>
    <w:p w14:paraId="1BA65046" w14:textId="277274E6" w:rsidR="005D71D4" w:rsidRPr="00982D3E" w:rsidRDefault="005D71D4" w:rsidP="00D15D07">
      <w:pPr>
        <w:jc w:val="both"/>
        <w:rPr>
          <w:bCs/>
          <w:color w:val="000000" w:themeColor="text1"/>
          <w:szCs w:val="22"/>
          <w:lang w:val="fr-FR"/>
        </w:rPr>
      </w:pPr>
      <w:r w:rsidRPr="00982D3E">
        <w:rPr>
          <w:color w:val="000000" w:themeColor="text1"/>
          <w:lang w:val="fr-FR"/>
        </w:rPr>
        <w:t>Au niveau européen, l</w:t>
      </w:r>
      <w:r w:rsidR="00C15821" w:rsidRPr="00982D3E">
        <w:rPr>
          <w:color w:val="000000" w:themeColor="text1"/>
          <w:lang w:val="fr-FR"/>
        </w:rPr>
        <w:t>’</w:t>
      </w:r>
      <w:r w:rsidRPr="00982D3E">
        <w:rPr>
          <w:color w:val="000000" w:themeColor="text1"/>
          <w:lang w:val="fr-FR"/>
        </w:rPr>
        <w:t>OEPM participe à des activités visant à harmoniser les recherches selon</w:t>
      </w:r>
      <w:r w:rsidR="00C15821" w:rsidRPr="00982D3E">
        <w:rPr>
          <w:color w:val="000000" w:themeColor="text1"/>
          <w:lang w:val="fr-FR"/>
        </w:rPr>
        <w:t xml:space="preserve"> le PCT</w:t>
      </w:r>
      <w:r w:rsidRPr="00982D3E">
        <w:rPr>
          <w:color w:val="000000" w:themeColor="text1"/>
          <w:lang w:val="fr-FR"/>
        </w:rPr>
        <w:t xml:space="preserve"> en Europe, conformément au Protocole sur la centralisation du système européen des brevets de la Convention sur le brevet européen, qui régit la coopération entre l</w:t>
      </w:r>
      <w:r w:rsidR="00C15821" w:rsidRPr="00982D3E">
        <w:rPr>
          <w:color w:val="000000" w:themeColor="text1"/>
          <w:lang w:val="fr-FR"/>
        </w:rPr>
        <w:t>’</w:t>
      </w:r>
      <w:r w:rsidRPr="00982D3E">
        <w:rPr>
          <w:color w:val="000000" w:themeColor="text1"/>
          <w:lang w:val="fr-FR"/>
        </w:rPr>
        <w:t>OEB et les autres administrations européennes chargées de la recherche internationale et de l</w:t>
      </w:r>
      <w:r w:rsidR="00C15821" w:rsidRPr="00982D3E">
        <w:rPr>
          <w:color w:val="000000" w:themeColor="text1"/>
          <w:lang w:val="fr-FR"/>
        </w:rPr>
        <w:t>’</w:t>
      </w:r>
      <w:r w:rsidRPr="00982D3E">
        <w:rPr>
          <w:color w:val="000000" w:themeColor="text1"/>
          <w:lang w:val="fr-FR"/>
        </w:rPr>
        <w:t>examen préliminaire internation</w:t>
      </w:r>
      <w:r w:rsidR="00A720A1" w:rsidRPr="00982D3E">
        <w:rPr>
          <w:color w:val="000000" w:themeColor="text1"/>
          <w:lang w:val="fr-FR"/>
        </w:rPr>
        <w:t>al.  Un</w:t>
      </w:r>
      <w:r w:rsidRPr="00982D3E">
        <w:rPr>
          <w:color w:val="000000" w:themeColor="text1"/>
          <w:lang w:val="fr-FR"/>
        </w:rPr>
        <w:t xml:space="preserve"> Comité permanent chargé de l</w:t>
      </w:r>
      <w:r w:rsidR="00C15821" w:rsidRPr="00982D3E">
        <w:rPr>
          <w:color w:val="000000" w:themeColor="text1"/>
          <w:lang w:val="fr-FR"/>
        </w:rPr>
        <w:t>’</w:t>
      </w:r>
      <w:r w:rsidRPr="00982D3E">
        <w:rPr>
          <w:color w:val="000000" w:themeColor="text1"/>
          <w:lang w:val="fr-FR"/>
        </w:rPr>
        <w:t>harmonisation des activités de recherche a été créé, en même temps que trois</w:t>
      </w:r>
      <w:r w:rsidR="004319B8" w:rsidRPr="00982D3E">
        <w:rPr>
          <w:color w:val="000000" w:themeColor="text1"/>
          <w:lang w:val="fr-FR"/>
        </w:rPr>
        <w:t> </w:t>
      </w:r>
      <w:r w:rsidRPr="00982D3E">
        <w:rPr>
          <w:color w:val="000000" w:themeColor="text1"/>
          <w:lang w:val="fr-FR"/>
        </w:rPr>
        <w:t>groupes de travail spécialisés dans la qualité, les outils et la formati</w:t>
      </w:r>
      <w:r w:rsidR="00A720A1" w:rsidRPr="00982D3E">
        <w:rPr>
          <w:color w:val="000000" w:themeColor="text1"/>
          <w:lang w:val="fr-FR"/>
        </w:rPr>
        <w:t>on.  De</w:t>
      </w:r>
      <w:r w:rsidRPr="00982D3E">
        <w:rPr>
          <w:color w:val="000000" w:themeColor="text1"/>
          <w:lang w:val="fr-FR"/>
        </w:rPr>
        <w:t>s représentants de chaque office siègent dans les groupes et se réunissent régulièrement pour promouvoir la collaboration et la normalisation des activités de recherc</w:t>
      </w:r>
      <w:r w:rsidR="00A720A1" w:rsidRPr="00982D3E">
        <w:rPr>
          <w:color w:val="000000" w:themeColor="text1"/>
          <w:lang w:val="fr-FR"/>
        </w:rPr>
        <w:t>he.  La</w:t>
      </w:r>
      <w:r w:rsidRPr="00982D3E">
        <w:rPr>
          <w:color w:val="000000" w:themeColor="text1"/>
          <w:lang w:val="fr-FR"/>
        </w:rPr>
        <w:t xml:space="preserve"> coopération s</w:t>
      </w:r>
      <w:r w:rsidR="00C15821" w:rsidRPr="00982D3E">
        <w:rPr>
          <w:color w:val="000000" w:themeColor="text1"/>
          <w:lang w:val="fr-FR"/>
        </w:rPr>
        <w:t>’</w:t>
      </w:r>
      <w:r w:rsidRPr="00982D3E">
        <w:rPr>
          <w:color w:val="000000" w:themeColor="text1"/>
          <w:lang w:val="fr-FR"/>
        </w:rPr>
        <w:t>applique en particulier aux procédures et méthodes de recherche, aux qualifications requises des candidats pour le recrutement et la formation des examinateurs, aux directives relatives à l</w:t>
      </w:r>
      <w:r w:rsidR="00C15821" w:rsidRPr="00982D3E">
        <w:rPr>
          <w:color w:val="000000" w:themeColor="text1"/>
          <w:lang w:val="fr-FR"/>
        </w:rPr>
        <w:t>’</w:t>
      </w:r>
      <w:r w:rsidRPr="00982D3E">
        <w:rPr>
          <w:color w:val="000000" w:themeColor="text1"/>
          <w:lang w:val="fr-FR"/>
        </w:rPr>
        <w:t>échange de résultats de recherche, à l</w:t>
      </w:r>
      <w:r w:rsidR="00C15821" w:rsidRPr="00982D3E">
        <w:rPr>
          <w:color w:val="000000" w:themeColor="text1"/>
          <w:lang w:val="fr-FR"/>
        </w:rPr>
        <w:t>’</w:t>
      </w:r>
      <w:r w:rsidRPr="00982D3E">
        <w:rPr>
          <w:color w:val="000000" w:themeColor="text1"/>
          <w:lang w:val="fr-FR"/>
        </w:rPr>
        <w:t>échange de dossiers d</w:t>
      </w:r>
      <w:r w:rsidR="00C15821" w:rsidRPr="00982D3E">
        <w:rPr>
          <w:color w:val="000000" w:themeColor="text1"/>
          <w:lang w:val="fr-FR"/>
        </w:rPr>
        <w:t>’</w:t>
      </w:r>
      <w:r w:rsidRPr="00982D3E">
        <w:rPr>
          <w:color w:val="000000" w:themeColor="text1"/>
          <w:lang w:val="fr-FR"/>
        </w:rPr>
        <w:t>harmonisation (en vue d</w:t>
      </w:r>
      <w:r w:rsidR="00C15821" w:rsidRPr="00982D3E">
        <w:rPr>
          <w:color w:val="000000" w:themeColor="text1"/>
          <w:lang w:val="fr-FR"/>
        </w:rPr>
        <w:t>’</w:t>
      </w:r>
      <w:r w:rsidRPr="00982D3E">
        <w:rPr>
          <w:color w:val="000000" w:themeColor="text1"/>
          <w:lang w:val="fr-FR"/>
        </w:rPr>
        <w:t>homogénéiser les pratiques en matière de recherche entre les administrations européennes chargées de la recherche internationale) et d</w:t>
      </w:r>
      <w:r w:rsidR="00C15821" w:rsidRPr="00982D3E">
        <w:rPr>
          <w:color w:val="000000" w:themeColor="text1"/>
          <w:lang w:val="fr-FR"/>
        </w:rPr>
        <w:t>’</w:t>
      </w:r>
      <w:r w:rsidRPr="00982D3E">
        <w:rPr>
          <w:color w:val="000000" w:themeColor="text1"/>
          <w:lang w:val="fr-FR"/>
        </w:rPr>
        <w:t>autres services entre les offices, ainsi qu</w:t>
      </w:r>
      <w:r w:rsidR="00C15821" w:rsidRPr="00982D3E">
        <w:rPr>
          <w:color w:val="000000" w:themeColor="text1"/>
          <w:lang w:val="fr-FR"/>
        </w:rPr>
        <w:t>’</w:t>
      </w:r>
      <w:r w:rsidRPr="00982D3E">
        <w:rPr>
          <w:color w:val="000000" w:themeColor="text1"/>
          <w:lang w:val="fr-FR"/>
        </w:rPr>
        <w:t>à d</w:t>
      </w:r>
      <w:r w:rsidR="00C15821" w:rsidRPr="00982D3E">
        <w:rPr>
          <w:color w:val="000000" w:themeColor="text1"/>
          <w:lang w:val="fr-FR"/>
        </w:rPr>
        <w:t>’</w:t>
      </w:r>
      <w:r w:rsidRPr="00982D3E">
        <w:rPr>
          <w:color w:val="000000" w:themeColor="text1"/>
          <w:lang w:val="fr-FR"/>
        </w:rPr>
        <w:t>autres mesures nécessaires à la mise en place du niveau de contrôle et de surveillance requis.</w:t>
      </w:r>
    </w:p>
    <w:p w14:paraId="56625B0E" w14:textId="77777777" w:rsidR="005D71D4" w:rsidRPr="00982D3E" w:rsidRDefault="005D71D4" w:rsidP="00D15D07">
      <w:pPr>
        <w:jc w:val="both"/>
        <w:rPr>
          <w:bCs/>
          <w:color w:val="000000" w:themeColor="text1"/>
          <w:szCs w:val="22"/>
          <w:lang w:val="fr-FR"/>
        </w:rPr>
      </w:pPr>
    </w:p>
    <w:p w14:paraId="164C08D2" w14:textId="5A2B2E1D" w:rsidR="005D71D4" w:rsidRPr="00982D3E" w:rsidRDefault="005D71D4" w:rsidP="00D15D07">
      <w:pPr>
        <w:jc w:val="both"/>
        <w:rPr>
          <w:bCs/>
          <w:color w:val="000000" w:themeColor="text1"/>
          <w:szCs w:val="22"/>
          <w:lang w:val="fr-FR"/>
        </w:rPr>
      </w:pPr>
      <w:r w:rsidRPr="00982D3E">
        <w:rPr>
          <w:color w:val="000000" w:themeColor="text1"/>
          <w:lang w:val="fr-FR"/>
        </w:rPr>
        <w:t>Concernant les dossiers d</w:t>
      </w:r>
      <w:r w:rsidR="00C15821" w:rsidRPr="00982D3E">
        <w:rPr>
          <w:color w:val="000000" w:themeColor="text1"/>
          <w:lang w:val="fr-FR"/>
        </w:rPr>
        <w:t>’</w:t>
      </w:r>
      <w:r w:rsidRPr="00982D3E">
        <w:rPr>
          <w:color w:val="000000" w:themeColor="text1"/>
          <w:lang w:val="fr-FR"/>
        </w:rPr>
        <w:t>harmonisation, les examinateurs d</w:t>
      </w:r>
      <w:r w:rsidR="00C15821" w:rsidRPr="00982D3E">
        <w:rPr>
          <w:color w:val="000000" w:themeColor="text1"/>
          <w:lang w:val="fr-FR"/>
        </w:rPr>
        <w:t>’</w:t>
      </w:r>
      <w:r w:rsidRPr="00982D3E">
        <w:rPr>
          <w:color w:val="000000" w:themeColor="text1"/>
          <w:lang w:val="fr-FR"/>
        </w:rPr>
        <w:t>une des administrations européennes chargées de la recherche internationale participant au projet et les examinateurs de l</w:t>
      </w:r>
      <w:r w:rsidR="00C15821" w:rsidRPr="00982D3E">
        <w:rPr>
          <w:color w:val="000000" w:themeColor="text1"/>
          <w:lang w:val="fr-FR"/>
        </w:rPr>
        <w:t>’</w:t>
      </w:r>
      <w:r w:rsidRPr="00982D3E">
        <w:rPr>
          <w:color w:val="000000" w:themeColor="text1"/>
          <w:lang w:val="fr-FR"/>
        </w:rPr>
        <w:t>OEB procèdent à une analyse comparative entre les recherches effectuées par chacune d</w:t>
      </w:r>
      <w:r w:rsidR="00C15821" w:rsidRPr="00982D3E">
        <w:rPr>
          <w:color w:val="000000" w:themeColor="text1"/>
          <w:lang w:val="fr-FR"/>
        </w:rPr>
        <w:t>’</w:t>
      </w:r>
      <w:r w:rsidRPr="00982D3E">
        <w:rPr>
          <w:color w:val="000000" w:themeColor="text1"/>
          <w:lang w:val="fr-FR"/>
        </w:rPr>
        <w:t>elles sur le même dossier de demande.</w:t>
      </w:r>
    </w:p>
    <w:p w14:paraId="7DFB26DE" w14:textId="77777777" w:rsidR="005D71D4" w:rsidRPr="00982D3E" w:rsidRDefault="005D71D4" w:rsidP="00D15D07">
      <w:pPr>
        <w:jc w:val="both"/>
        <w:rPr>
          <w:bCs/>
          <w:color w:val="000000" w:themeColor="text1"/>
          <w:szCs w:val="22"/>
          <w:lang w:val="fr-FR"/>
        </w:rPr>
      </w:pPr>
    </w:p>
    <w:p w14:paraId="270F16E6" w14:textId="12FEC6F3" w:rsidR="005D71D4" w:rsidRPr="00982D3E" w:rsidRDefault="005D71D4" w:rsidP="00D15D07">
      <w:pPr>
        <w:jc w:val="both"/>
        <w:rPr>
          <w:bCs/>
          <w:color w:val="000000" w:themeColor="text1"/>
          <w:szCs w:val="22"/>
          <w:lang w:val="fr-FR"/>
        </w:rPr>
      </w:pPr>
      <w:r w:rsidRPr="00982D3E">
        <w:rPr>
          <w:color w:val="000000" w:themeColor="text1"/>
          <w:lang w:val="fr-FR"/>
        </w:rPr>
        <w:t>Une étude exhaustive est ensuite présentée à la réunion du comité permanent, qui examine les similarités et différences apparaissant entre les recherches effectuées par les examinateurs de l</w:t>
      </w:r>
      <w:r w:rsidR="00C15821" w:rsidRPr="00982D3E">
        <w:rPr>
          <w:color w:val="000000" w:themeColor="text1"/>
          <w:lang w:val="fr-FR"/>
        </w:rPr>
        <w:t>’</w:t>
      </w:r>
      <w:r w:rsidRPr="00982D3E">
        <w:rPr>
          <w:color w:val="000000" w:themeColor="text1"/>
          <w:lang w:val="fr-FR"/>
        </w:rPr>
        <w:t>administration européenne chargée de la recherche internationale et ceux de l</w:t>
      </w:r>
      <w:r w:rsidR="00C15821" w:rsidRPr="00982D3E">
        <w:rPr>
          <w:color w:val="000000" w:themeColor="text1"/>
          <w:lang w:val="fr-FR"/>
        </w:rPr>
        <w:t>’</w:t>
      </w:r>
      <w:r w:rsidR="00A720A1" w:rsidRPr="00982D3E">
        <w:rPr>
          <w:color w:val="000000" w:themeColor="text1"/>
          <w:lang w:val="fr-FR"/>
        </w:rPr>
        <w:t>OEB.  Le</w:t>
      </w:r>
      <w:r w:rsidRPr="00982D3E">
        <w:rPr>
          <w:color w:val="000000" w:themeColor="text1"/>
          <w:lang w:val="fr-FR"/>
        </w:rPr>
        <w:t>s divergences sur des questions clés telles que l</w:t>
      </w:r>
      <w:r w:rsidR="00C15821" w:rsidRPr="00982D3E">
        <w:rPr>
          <w:color w:val="000000" w:themeColor="text1"/>
          <w:lang w:val="fr-FR"/>
        </w:rPr>
        <w:t>’</w:t>
      </w:r>
      <w:r w:rsidRPr="00982D3E">
        <w:rPr>
          <w:color w:val="000000" w:themeColor="text1"/>
          <w:lang w:val="fr-FR"/>
        </w:rPr>
        <w:t>évaluation de la nouveauté, l</w:t>
      </w:r>
      <w:r w:rsidR="00C15821" w:rsidRPr="00982D3E">
        <w:rPr>
          <w:color w:val="000000" w:themeColor="text1"/>
          <w:lang w:val="fr-FR"/>
        </w:rPr>
        <w:t>’</w:t>
      </w:r>
      <w:r w:rsidRPr="00982D3E">
        <w:rPr>
          <w:color w:val="000000" w:themeColor="text1"/>
          <w:lang w:val="fr-FR"/>
        </w:rPr>
        <w:t>activité inventive, la clarté et l</w:t>
      </w:r>
      <w:r w:rsidR="00C15821" w:rsidRPr="00982D3E">
        <w:rPr>
          <w:color w:val="000000" w:themeColor="text1"/>
          <w:lang w:val="fr-FR"/>
        </w:rPr>
        <w:t>’</w:t>
      </w:r>
      <w:r w:rsidRPr="00982D3E">
        <w:rPr>
          <w:color w:val="000000" w:themeColor="text1"/>
          <w:lang w:val="fr-FR"/>
        </w:rPr>
        <w:t>unité de l</w:t>
      </w:r>
      <w:r w:rsidR="00C15821" w:rsidRPr="00982D3E">
        <w:rPr>
          <w:color w:val="000000" w:themeColor="text1"/>
          <w:lang w:val="fr-FR"/>
        </w:rPr>
        <w:t>’</w:t>
      </w:r>
      <w:r w:rsidRPr="00982D3E">
        <w:rPr>
          <w:color w:val="000000" w:themeColor="text1"/>
          <w:lang w:val="fr-FR"/>
        </w:rPr>
        <w:t>invention font l</w:t>
      </w:r>
      <w:r w:rsidR="00C15821" w:rsidRPr="00982D3E">
        <w:rPr>
          <w:color w:val="000000" w:themeColor="text1"/>
          <w:lang w:val="fr-FR"/>
        </w:rPr>
        <w:t>’</w:t>
      </w:r>
      <w:r w:rsidRPr="00982D3E">
        <w:rPr>
          <w:color w:val="000000" w:themeColor="text1"/>
          <w:lang w:val="fr-FR"/>
        </w:rPr>
        <w:t>objet d</w:t>
      </w:r>
      <w:r w:rsidR="00C15821" w:rsidRPr="00982D3E">
        <w:rPr>
          <w:color w:val="000000" w:themeColor="text1"/>
          <w:lang w:val="fr-FR"/>
        </w:rPr>
        <w:t>’</w:t>
      </w:r>
      <w:r w:rsidRPr="00982D3E">
        <w:rPr>
          <w:color w:val="000000" w:themeColor="text1"/>
          <w:lang w:val="fr-FR"/>
        </w:rPr>
        <w:t>une attention particulière.</w:t>
      </w:r>
    </w:p>
    <w:p w14:paraId="08EE3FF6" w14:textId="77777777" w:rsidR="005D71D4" w:rsidRPr="00982D3E" w:rsidRDefault="005D71D4" w:rsidP="00D15D07">
      <w:pPr>
        <w:jc w:val="both"/>
        <w:rPr>
          <w:bCs/>
          <w:color w:val="000000" w:themeColor="text1"/>
          <w:szCs w:val="22"/>
          <w:lang w:val="fr-FR"/>
        </w:rPr>
      </w:pPr>
    </w:p>
    <w:p w14:paraId="37188201" w14:textId="59138B85" w:rsidR="005D71D4" w:rsidRPr="00982D3E" w:rsidRDefault="005D71D4" w:rsidP="00D15D07">
      <w:pPr>
        <w:jc w:val="both"/>
        <w:rPr>
          <w:bCs/>
          <w:color w:val="000000" w:themeColor="text1"/>
          <w:szCs w:val="22"/>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analyse comparative présentée à la réunion du comité permanent porte notamment sur des indicateurs quantitatifs relatifs aux stratégies de classement et de recherche, et examine en détail l</w:t>
      </w:r>
      <w:r w:rsidR="00C15821" w:rsidRPr="00982D3E">
        <w:rPr>
          <w:color w:val="000000" w:themeColor="text1"/>
          <w:lang w:val="fr-FR"/>
        </w:rPr>
        <w:t>’</w:t>
      </w:r>
      <w:r w:rsidRPr="00982D3E">
        <w:rPr>
          <w:color w:val="000000" w:themeColor="text1"/>
          <w:lang w:val="fr-FR"/>
        </w:rPr>
        <w:t>interprétation des revendications et des citations utilisées dans la recherche.</w:t>
      </w:r>
    </w:p>
    <w:p w14:paraId="42403EB3" w14:textId="77777777" w:rsidR="005D71D4" w:rsidRPr="00982D3E" w:rsidRDefault="005D71D4" w:rsidP="00D15D07">
      <w:pPr>
        <w:jc w:val="both"/>
        <w:rPr>
          <w:bCs/>
          <w:color w:val="000000" w:themeColor="text1"/>
          <w:szCs w:val="22"/>
          <w:lang w:val="fr-FR"/>
        </w:rPr>
      </w:pPr>
    </w:p>
    <w:p w14:paraId="35B226CE" w14:textId="77777777" w:rsidR="005D71D4" w:rsidRPr="00982D3E" w:rsidRDefault="005D71D4" w:rsidP="00D15D07">
      <w:pPr>
        <w:jc w:val="both"/>
        <w:rPr>
          <w:b/>
          <w:bCs/>
          <w:color w:val="000000" w:themeColor="text1"/>
          <w:szCs w:val="22"/>
          <w:lang w:val="fr-FR"/>
        </w:rPr>
      </w:pPr>
      <w:r w:rsidRPr="00982D3E">
        <w:rPr>
          <w:b/>
          <w:color w:val="000000" w:themeColor="text1"/>
          <w:lang w:val="fr-FR"/>
        </w:rPr>
        <w:t>Coopération internationale</w:t>
      </w:r>
    </w:p>
    <w:p w14:paraId="0E877525" w14:textId="77777777" w:rsidR="005D71D4" w:rsidRPr="00982D3E" w:rsidRDefault="005D71D4" w:rsidP="00D15D07">
      <w:pPr>
        <w:jc w:val="both"/>
        <w:rPr>
          <w:bCs/>
          <w:color w:val="000000" w:themeColor="text1"/>
          <w:szCs w:val="22"/>
          <w:lang w:val="fr-FR"/>
        </w:rPr>
      </w:pPr>
    </w:p>
    <w:p w14:paraId="7DA5CAC7" w14:textId="04A66ABC" w:rsidR="005D71D4" w:rsidRPr="00982D3E" w:rsidRDefault="005D71D4" w:rsidP="00D15D07">
      <w:pPr>
        <w:jc w:val="both"/>
        <w:rPr>
          <w:bCs/>
          <w:color w:val="000000" w:themeColor="text1"/>
          <w:szCs w:val="22"/>
          <w:lang w:val="fr-FR"/>
        </w:rPr>
      </w:pPr>
      <w:r w:rsidRPr="00982D3E">
        <w:rPr>
          <w:color w:val="000000" w:themeColor="text1"/>
          <w:lang w:val="fr-FR"/>
        </w:rPr>
        <w:t>La coopération internationale se traduit par la conclusion d</w:t>
      </w:r>
      <w:r w:rsidR="00C15821" w:rsidRPr="00982D3E">
        <w:rPr>
          <w:color w:val="000000" w:themeColor="text1"/>
          <w:lang w:val="fr-FR"/>
        </w:rPr>
        <w:t>’</w:t>
      </w:r>
      <w:r w:rsidRPr="00982D3E">
        <w:rPr>
          <w:color w:val="000000" w:themeColor="text1"/>
          <w:lang w:val="fr-FR"/>
        </w:rPr>
        <w:t>un certain nombre d</w:t>
      </w:r>
      <w:r w:rsidR="00C15821" w:rsidRPr="00982D3E">
        <w:rPr>
          <w:color w:val="000000" w:themeColor="text1"/>
          <w:lang w:val="fr-FR"/>
        </w:rPr>
        <w:t>’</w:t>
      </w:r>
      <w:r w:rsidRPr="00982D3E">
        <w:rPr>
          <w:color w:val="000000" w:themeColor="text1"/>
          <w:lang w:val="fr-FR"/>
        </w:rPr>
        <w:t>accords relatifs à la procédure accélérée d</w:t>
      </w:r>
      <w:r w:rsidR="00C15821" w:rsidRPr="00982D3E">
        <w:rPr>
          <w:color w:val="000000" w:themeColor="text1"/>
          <w:lang w:val="fr-FR"/>
        </w:rPr>
        <w:t>’</w:t>
      </w:r>
      <w:r w:rsidRPr="00982D3E">
        <w:rPr>
          <w:color w:val="000000" w:themeColor="text1"/>
          <w:lang w:val="fr-FR"/>
        </w:rPr>
        <w:t>examen des demandes de brevet (PPH) entre l</w:t>
      </w:r>
      <w:r w:rsidR="00C15821" w:rsidRPr="00982D3E">
        <w:rPr>
          <w:color w:val="000000" w:themeColor="text1"/>
          <w:lang w:val="fr-FR"/>
        </w:rPr>
        <w:t>’</w:t>
      </w:r>
      <w:r w:rsidRPr="00982D3E">
        <w:rPr>
          <w:color w:val="000000" w:themeColor="text1"/>
          <w:lang w:val="fr-FR"/>
        </w:rPr>
        <w:t>OEPM et d</w:t>
      </w:r>
      <w:r w:rsidR="00C15821" w:rsidRPr="00982D3E">
        <w:rPr>
          <w:color w:val="000000" w:themeColor="text1"/>
          <w:lang w:val="fr-FR"/>
        </w:rPr>
        <w:t>’</w:t>
      </w:r>
      <w:r w:rsidRPr="00982D3E">
        <w:rPr>
          <w:color w:val="000000" w:themeColor="text1"/>
          <w:lang w:val="fr-FR"/>
        </w:rPr>
        <w:t>autres offices de propriété intellectuelle (Brésil, Chine, Colombie, Finlande, Japon, Maroc, Mexique, Pérou et Türkiye notamme</w:t>
      </w:r>
      <w:r w:rsidR="00A720A1" w:rsidRPr="00982D3E">
        <w:rPr>
          <w:color w:val="000000" w:themeColor="text1"/>
          <w:lang w:val="fr-FR"/>
        </w:rPr>
        <w:t>nt).  Le</w:t>
      </w:r>
      <w:r w:rsidRPr="00982D3E">
        <w:rPr>
          <w:color w:val="000000" w:themeColor="text1"/>
          <w:lang w:val="fr-FR"/>
        </w:rPr>
        <w:t xml:space="preserve"> but de ces accords PPH est de promouvoir le partage du travail et de permettre aux déposants d</w:t>
      </w:r>
      <w:r w:rsidR="00C15821" w:rsidRPr="00982D3E">
        <w:rPr>
          <w:color w:val="000000" w:themeColor="text1"/>
          <w:lang w:val="fr-FR"/>
        </w:rPr>
        <w:t>’</w:t>
      </w:r>
      <w:r w:rsidRPr="00982D3E">
        <w:rPr>
          <w:color w:val="000000" w:themeColor="text1"/>
          <w:lang w:val="fr-FR"/>
        </w:rPr>
        <w:t>exiger le traitement accéléré de leur deman</w:t>
      </w:r>
      <w:r w:rsidR="00A720A1" w:rsidRPr="00982D3E">
        <w:rPr>
          <w:color w:val="000000" w:themeColor="text1"/>
          <w:lang w:val="fr-FR"/>
        </w:rPr>
        <w:t>de.  L’o</w:t>
      </w:r>
      <w:r w:rsidRPr="00982D3E">
        <w:rPr>
          <w:color w:val="000000" w:themeColor="text1"/>
          <w:lang w:val="fr-FR"/>
        </w:rPr>
        <w:t>ffice a également conclu plusieurs accords en vertu</w:t>
      </w:r>
      <w:r w:rsidR="00C15821" w:rsidRPr="00982D3E">
        <w:rPr>
          <w:color w:val="000000" w:themeColor="text1"/>
          <w:lang w:val="fr-FR"/>
        </w:rPr>
        <w:t xml:space="preserve"> du PCT</w:t>
      </w:r>
      <w:r w:rsidRPr="00982D3E">
        <w:rPr>
          <w:color w:val="000000" w:themeColor="text1"/>
          <w:lang w:val="fr-FR"/>
        </w:rPr>
        <w:t xml:space="preserve"> et relatifs</w:t>
      </w:r>
      <w:r w:rsidR="00C15821" w:rsidRPr="00982D3E">
        <w:rPr>
          <w:color w:val="000000" w:themeColor="text1"/>
          <w:lang w:val="fr-FR"/>
        </w:rPr>
        <w:t xml:space="preserve"> au PPH</w:t>
      </w:r>
      <w:r w:rsidRPr="00982D3E">
        <w:rPr>
          <w:color w:val="000000" w:themeColor="text1"/>
          <w:lang w:val="fr-FR"/>
        </w:rPr>
        <w:t xml:space="preserve"> comprenant des produits</w:t>
      </w:r>
      <w:r w:rsidR="00C15821" w:rsidRPr="00982D3E">
        <w:rPr>
          <w:color w:val="000000" w:themeColor="text1"/>
          <w:lang w:val="fr-FR"/>
        </w:rPr>
        <w:t xml:space="preserve"> du </w:t>
      </w:r>
      <w:r w:rsidR="00A720A1" w:rsidRPr="00982D3E">
        <w:rPr>
          <w:color w:val="000000" w:themeColor="text1"/>
          <w:lang w:val="fr-FR"/>
        </w:rPr>
        <w:t>PCT.  En</w:t>
      </w:r>
      <w:r w:rsidRPr="00982D3E">
        <w:rPr>
          <w:color w:val="000000" w:themeColor="text1"/>
          <w:lang w:val="fr-FR"/>
        </w:rPr>
        <w:t xml:space="preserve"> outre, en 2014, l</w:t>
      </w:r>
      <w:r w:rsidR="00C15821" w:rsidRPr="00982D3E">
        <w:rPr>
          <w:color w:val="000000" w:themeColor="text1"/>
          <w:lang w:val="fr-FR"/>
        </w:rPr>
        <w:t>’</w:t>
      </w:r>
      <w:r w:rsidRPr="00982D3E">
        <w:rPr>
          <w:color w:val="000000" w:themeColor="text1"/>
          <w:lang w:val="fr-FR"/>
        </w:rPr>
        <w:t>OEPM a intégré le projet mondial PPH qui permet aux déposants d</w:t>
      </w:r>
      <w:r w:rsidR="00C15821" w:rsidRPr="00982D3E">
        <w:rPr>
          <w:color w:val="000000" w:themeColor="text1"/>
          <w:lang w:val="fr-FR"/>
        </w:rPr>
        <w:t>’</w:t>
      </w:r>
      <w:r w:rsidRPr="00982D3E">
        <w:rPr>
          <w:color w:val="000000" w:themeColor="text1"/>
          <w:lang w:val="fr-FR"/>
        </w:rPr>
        <w:t>exiger le traitement accéléré de leur demande auprès de n</w:t>
      </w:r>
      <w:r w:rsidR="00C15821" w:rsidRPr="00982D3E">
        <w:rPr>
          <w:color w:val="000000" w:themeColor="text1"/>
          <w:lang w:val="fr-FR"/>
        </w:rPr>
        <w:t>’</w:t>
      </w:r>
      <w:r w:rsidRPr="00982D3E">
        <w:rPr>
          <w:color w:val="000000" w:themeColor="text1"/>
          <w:lang w:val="fr-FR"/>
        </w:rPr>
        <w:t>importe lequel des 28 offices concernés.</w:t>
      </w:r>
    </w:p>
    <w:p w14:paraId="5C61394A" w14:textId="77777777" w:rsidR="005D71D4" w:rsidRPr="00982D3E" w:rsidRDefault="005D71D4" w:rsidP="00D15D07">
      <w:pPr>
        <w:jc w:val="both"/>
        <w:rPr>
          <w:bCs/>
          <w:color w:val="000000" w:themeColor="text1"/>
          <w:szCs w:val="22"/>
          <w:lang w:val="fr-FR"/>
        </w:rPr>
      </w:pPr>
    </w:p>
    <w:p w14:paraId="18DFB59C" w14:textId="6CFB6AE7" w:rsidR="005D71D4" w:rsidRPr="00982D3E" w:rsidRDefault="005D71D4" w:rsidP="00D15D07">
      <w:pPr>
        <w:jc w:val="both"/>
        <w:rPr>
          <w:bCs/>
          <w:color w:val="000000" w:themeColor="text1"/>
          <w:szCs w:val="22"/>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a par ailleurs établi des programmes de coopération bilatérale avec plusieurs pays (Argentine, Brésil, Chili, Chine, Colombie, Costa</w:t>
      </w:r>
      <w:r w:rsidR="004319B8" w:rsidRPr="00982D3E">
        <w:rPr>
          <w:color w:val="000000" w:themeColor="text1"/>
          <w:lang w:val="fr-FR"/>
        </w:rPr>
        <w:t> </w:t>
      </w:r>
      <w:r w:rsidRPr="00982D3E">
        <w:rPr>
          <w:color w:val="000000" w:themeColor="text1"/>
          <w:lang w:val="fr-FR"/>
        </w:rPr>
        <w:t>Rica, Cuba, El Salvador, Équateur, Fédération de Russie, Grèce, Italie, Mexique, Pérou, Portugal, République de Corée, Singapour et Türki</w:t>
      </w:r>
      <w:r w:rsidR="00A720A1" w:rsidRPr="00982D3E">
        <w:rPr>
          <w:color w:val="000000" w:themeColor="text1"/>
          <w:lang w:val="fr-FR"/>
        </w:rPr>
        <w:t xml:space="preserve">ye).  </w:t>
      </w:r>
      <w:r w:rsidR="00A720A1" w:rsidRPr="00982D3E">
        <w:rPr>
          <w:color w:val="000000" w:themeColor="text1"/>
          <w:lang w:val="fr-FR"/>
        </w:rPr>
        <w:lastRenderedPageBreak/>
        <w:t>Ce</w:t>
      </w:r>
      <w:r w:rsidRPr="00982D3E">
        <w:rPr>
          <w:color w:val="000000" w:themeColor="text1"/>
          <w:lang w:val="fr-FR"/>
        </w:rPr>
        <w:t>s mémorandums d</w:t>
      </w:r>
      <w:r w:rsidR="00C15821" w:rsidRPr="00982D3E">
        <w:rPr>
          <w:color w:val="000000" w:themeColor="text1"/>
          <w:lang w:val="fr-FR"/>
        </w:rPr>
        <w:t>’</w:t>
      </w:r>
      <w:r w:rsidRPr="00982D3E">
        <w:rPr>
          <w:color w:val="000000" w:themeColor="text1"/>
          <w:lang w:val="fr-FR"/>
        </w:rPr>
        <w:t>accord offrent un cadre de travail au sein duquel les offices de propriété intellectuelle partagent leurs données d</w:t>
      </w:r>
      <w:r w:rsidR="00C15821" w:rsidRPr="00982D3E">
        <w:rPr>
          <w:color w:val="000000" w:themeColor="text1"/>
          <w:lang w:val="fr-FR"/>
        </w:rPr>
        <w:t>’</w:t>
      </w:r>
      <w:r w:rsidRPr="00982D3E">
        <w:rPr>
          <w:color w:val="000000" w:themeColor="text1"/>
          <w:lang w:val="fr-FR"/>
        </w:rPr>
        <w:t>expérience et programmes de formation, collaborent dans le cadre de la recherche et de l</w:t>
      </w:r>
      <w:r w:rsidR="00C15821" w:rsidRPr="00982D3E">
        <w:rPr>
          <w:color w:val="000000" w:themeColor="text1"/>
          <w:lang w:val="fr-FR"/>
        </w:rPr>
        <w:t>’</w:t>
      </w:r>
      <w:r w:rsidRPr="00982D3E">
        <w:rPr>
          <w:color w:val="000000" w:themeColor="text1"/>
          <w:lang w:val="fr-FR"/>
        </w:rPr>
        <w:t>examen ou échangent des données afin d</w:t>
      </w:r>
      <w:r w:rsidR="00C15821" w:rsidRPr="00982D3E">
        <w:rPr>
          <w:color w:val="000000" w:themeColor="text1"/>
          <w:lang w:val="fr-FR"/>
        </w:rPr>
        <w:t>’</w:t>
      </w:r>
      <w:r w:rsidRPr="00982D3E">
        <w:rPr>
          <w:color w:val="000000" w:themeColor="text1"/>
          <w:lang w:val="fr-FR"/>
        </w:rPr>
        <w:t>améliorer le système international de brevets.</w:t>
      </w:r>
    </w:p>
    <w:p w14:paraId="5946E076" w14:textId="77777777" w:rsidR="005D71D4" w:rsidRPr="00982D3E" w:rsidRDefault="005D71D4" w:rsidP="00D15D07">
      <w:pPr>
        <w:jc w:val="both"/>
        <w:rPr>
          <w:bCs/>
          <w:color w:val="000000" w:themeColor="text1"/>
          <w:szCs w:val="22"/>
          <w:lang w:val="fr-FR"/>
        </w:rPr>
      </w:pPr>
    </w:p>
    <w:p w14:paraId="71A570BA" w14:textId="17412E61" w:rsidR="00C15821" w:rsidRPr="00982D3E" w:rsidRDefault="005D71D4" w:rsidP="00D15D07">
      <w:pPr>
        <w:jc w:val="both"/>
        <w:rPr>
          <w:color w:val="000000" w:themeColor="text1"/>
          <w:lang w:val="fr-FR"/>
        </w:rPr>
      </w:pPr>
      <w:r w:rsidRPr="00982D3E">
        <w:rPr>
          <w:color w:val="000000" w:themeColor="text1"/>
          <w:lang w:val="fr-FR"/>
        </w:rPr>
        <w:t>Dans le cadre de ces programmes bilatéraux, l</w:t>
      </w:r>
      <w:r w:rsidR="00C15821" w:rsidRPr="00982D3E">
        <w:rPr>
          <w:color w:val="000000" w:themeColor="text1"/>
          <w:lang w:val="fr-FR"/>
        </w:rPr>
        <w:t>’</w:t>
      </w:r>
      <w:r w:rsidRPr="00982D3E">
        <w:rPr>
          <w:color w:val="000000" w:themeColor="text1"/>
          <w:lang w:val="fr-FR"/>
        </w:rPr>
        <w:t>OEPM mène un programme de formation en matière de recherche et examen des brevets (CIBIT) depuis 2002, dont l</w:t>
      </w:r>
      <w:r w:rsidR="00C15821" w:rsidRPr="00982D3E">
        <w:rPr>
          <w:color w:val="000000" w:themeColor="text1"/>
          <w:lang w:val="fr-FR"/>
        </w:rPr>
        <w:t>’</w:t>
      </w:r>
      <w:r w:rsidRPr="00982D3E">
        <w:rPr>
          <w:color w:val="000000" w:themeColor="text1"/>
          <w:lang w:val="fr-FR"/>
        </w:rPr>
        <w:t>objectif principal est de former les examinateurs de brevets latino</w:t>
      </w:r>
      <w:r w:rsidR="000F0CBE">
        <w:rPr>
          <w:color w:val="000000" w:themeColor="text1"/>
          <w:lang w:val="fr-FR"/>
        </w:rPr>
        <w:noBreakHyphen/>
      </w:r>
      <w:r w:rsidRPr="00982D3E">
        <w:rPr>
          <w:color w:val="000000" w:themeColor="text1"/>
          <w:lang w:val="fr-FR"/>
        </w:rPr>
        <w:t>américains à l</w:t>
      </w:r>
      <w:r w:rsidR="00C15821" w:rsidRPr="00982D3E">
        <w:rPr>
          <w:color w:val="000000" w:themeColor="text1"/>
          <w:lang w:val="fr-FR"/>
        </w:rPr>
        <w:t>’</w:t>
      </w:r>
      <w:r w:rsidRPr="00982D3E">
        <w:rPr>
          <w:color w:val="000000" w:themeColor="text1"/>
          <w:lang w:val="fr-FR"/>
        </w:rPr>
        <w:t>utilisation de différentes bases de données et de différents services d</w:t>
      </w:r>
      <w:r w:rsidR="00C15821" w:rsidRPr="00982D3E">
        <w:rPr>
          <w:color w:val="000000" w:themeColor="text1"/>
          <w:lang w:val="fr-FR"/>
        </w:rPr>
        <w:t>’</w:t>
      </w:r>
      <w:r w:rsidRPr="00982D3E">
        <w:rPr>
          <w:color w:val="000000" w:themeColor="text1"/>
          <w:lang w:val="fr-FR"/>
        </w:rPr>
        <w:t>information en matière de technologie.</w:t>
      </w:r>
    </w:p>
    <w:p w14:paraId="0AB16B34" w14:textId="71E1772A" w:rsidR="005D71D4" w:rsidRPr="00982D3E" w:rsidRDefault="005D71D4" w:rsidP="00D15D07">
      <w:pPr>
        <w:jc w:val="both"/>
        <w:rPr>
          <w:bCs/>
          <w:color w:val="000000" w:themeColor="text1"/>
          <w:szCs w:val="22"/>
          <w:lang w:val="fr-FR"/>
        </w:rPr>
      </w:pPr>
    </w:p>
    <w:p w14:paraId="7959292C" w14:textId="3BA51FB1" w:rsidR="00C15821" w:rsidRPr="00982D3E" w:rsidRDefault="005D71D4" w:rsidP="00D15D07">
      <w:pPr>
        <w:jc w:val="both"/>
        <w:rPr>
          <w:color w:val="000000" w:themeColor="text1"/>
          <w:lang w:val="fr-FR"/>
        </w:rPr>
      </w:pPr>
      <w:r w:rsidRPr="00982D3E">
        <w:rPr>
          <w:color w:val="000000" w:themeColor="text1"/>
          <w:lang w:val="fr-FR"/>
        </w:rPr>
        <w:t>Les relations avec l</w:t>
      </w:r>
      <w:r w:rsidR="00C15821" w:rsidRPr="00982D3E">
        <w:rPr>
          <w:color w:val="000000" w:themeColor="text1"/>
          <w:lang w:val="fr-FR"/>
        </w:rPr>
        <w:t>’</w:t>
      </w:r>
      <w:r w:rsidRPr="00982D3E">
        <w:rPr>
          <w:color w:val="000000" w:themeColor="text1"/>
          <w:lang w:val="fr-FR"/>
        </w:rPr>
        <w:t>Amérique latine dans le domaine de la propriété intellectuelle ont toujours été l</w:t>
      </w:r>
      <w:r w:rsidR="00C15821" w:rsidRPr="00982D3E">
        <w:rPr>
          <w:color w:val="000000" w:themeColor="text1"/>
          <w:lang w:val="fr-FR"/>
        </w:rPr>
        <w:t>’</w:t>
      </w:r>
      <w:r w:rsidRPr="00982D3E">
        <w:rPr>
          <w:color w:val="000000" w:themeColor="text1"/>
          <w:lang w:val="fr-FR"/>
        </w:rPr>
        <w:t>une des priorités de l</w:t>
      </w:r>
      <w:r w:rsidR="00C15821" w:rsidRPr="00982D3E">
        <w:rPr>
          <w:color w:val="000000" w:themeColor="text1"/>
          <w:lang w:val="fr-FR"/>
        </w:rPr>
        <w:t>’</w:t>
      </w:r>
      <w:r w:rsidRPr="00982D3E">
        <w:rPr>
          <w:color w:val="000000" w:themeColor="text1"/>
          <w:lang w:val="fr-FR"/>
        </w:rPr>
        <w:t xml:space="preserve">OEPM. </w:t>
      </w:r>
      <w:r w:rsidR="004319B8" w:rsidRPr="00982D3E">
        <w:rPr>
          <w:color w:val="000000" w:themeColor="text1"/>
          <w:lang w:val="fr-FR"/>
        </w:rPr>
        <w:t xml:space="preserve"> </w:t>
      </w:r>
      <w:r w:rsidRPr="00982D3E">
        <w:rPr>
          <w:color w:val="000000" w:themeColor="text1"/>
          <w:lang w:val="fr-FR"/>
        </w:rPr>
        <w:t>C</w:t>
      </w:r>
      <w:r w:rsidR="00C15821" w:rsidRPr="00982D3E">
        <w:rPr>
          <w:color w:val="000000" w:themeColor="text1"/>
          <w:lang w:val="fr-FR"/>
        </w:rPr>
        <w:t>’</w:t>
      </w:r>
      <w:r w:rsidRPr="00982D3E">
        <w:rPr>
          <w:color w:val="000000" w:themeColor="text1"/>
          <w:lang w:val="fr-FR"/>
        </w:rPr>
        <w:t>est dans cet esprit que le Fonds fiduciaire de l</w:t>
      </w:r>
      <w:r w:rsidR="00C15821" w:rsidRPr="00982D3E">
        <w:rPr>
          <w:color w:val="000000" w:themeColor="text1"/>
          <w:lang w:val="fr-FR"/>
        </w:rPr>
        <w:t>’</w:t>
      </w:r>
      <w:r w:rsidRPr="00982D3E">
        <w:rPr>
          <w:color w:val="000000" w:themeColor="text1"/>
          <w:lang w:val="fr-FR"/>
        </w:rPr>
        <w:t>Espagne (FIT/ES) auprès de l</w:t>
      </w:r>
      <w:r w:rsidR="00C15821" w:rsidRPr="00982D3E">
        <w:rPr>
          <w:color w:val="000000" w:themeColor="text1"/>
          <w:lang w:val="fr-FR"/>
        </w:rPr>
        <w:t>’</w:t>
      </w:r>
      <w:r w:rsidRPr="00982D3E">
        <w:rPr>
          <w:color w:val="000000" w:themeColor="text1"/>
          <w:lang w:val="fr-FR"/>
        </w:rPr>
        <w:t xml:space="preserve">Organisation Mondiale de la Propriété Intellectuelle (OMPI) a été créé en 2004. </w:t>
      </w:r>
      <w:r w:rsidR="004319B8" w:rsidRPr="00982D3E">
        <w:rPr>
          <w:color w:val="000000" w:themeColor="text1"/>
          <w:lang w:val="fr-FR"/>
        </w:rPr>
        <w:t xml:space="preserve"> </w:t>
      </w:r>
      <w:r w:rsidRPr="00982D3E">
        <w:rPr>
          <w:color w:val="000000" w:themeColor="text1"/>
          <w:lang w:val="fr-FR"/>
        </w:rPr>
        <w:t>Depuis lors, ce fonds a soutenu de nombreux projets.</w:t>
      </w:r>
    </w:p>
    <w:p w14:paraId="3389A571" w14:textId="72E2941E" w:rsidR="005D71D4" w:rsidRPr="00982D3E" w:rsidRDefault="005D71D4" w:rsidP="00D15D07">
      <w:pPr>
        <w:jc w:val="both"/>
        <w:rPr>
          <w:bCs/>
          <w:color w:val="000000" w:themeColor="text1"/>
          <w:szCs w:val="22"/>
          <w:lang w:val="fr-FR"/>
        </w:rPr>
      </w:pPr>
    </w:p>
    <w:p w14:paraId="0AB23011" w14:textId="1D2FAEBF" w:rsidR="00C15821" w:rsidRPr="00982D3E" w:rsidRDefault="005D71D4" w:rsidP="002A048C">
      <w:pPr>
        <w:pStyle w:val="ListParagraph"/>
        <w:numPr>
          <w:ilvl w:val="0"/>
          <w:numId w:val="16"/>
        </w:numPr>
        <w:ind w:left="1134" w:hanging="567"/>
        <w:jc w:val="both"/>
        <w:rPr>
          <w:color w:val="000000" w:themeColor="text1"/>
        </w:rPr>
      </w:pPr>
      <w:r w:rsidRPr="00982D3E">
        <w:rPr>
          <w:color w:val="000000" w:themeColor="text1"/>
        </w:rPr>
        <w:t>Par exemple, le projet LATIPAT visait à créer une base de données libre en espagnol et en portugais contenant des informations en matière de brevets provenant de tous les pays d</w:t>
      </w:r>
      <w:r w:rsidR="00C15821" w:rsidRPr="00982D3E">
        <w:rPr>
          <w:color w:val="000000" w:themeColor="text1"/>
        </w:rPr>
        <w:t>’</w:t>
      </w:r>
      <w:r w:rsidRPr="00982D3E">
        <w:rPr>
          <w:color w:val="000000" w:themeColor="text1"/>
        </w:rPr>
        <w:t>Amérique latine et conçue pour servir d</w:t>
      </w:r>
      <w:r w:rsidR="00C15821" w:rsidRPr="00982D3E">
        <w:rPr>
          <w:color w:val="000000" w:themeColor="text1"/>
        </w:rPr>
        <w:t>’</w:t>
      </w:r>
      <w:r w:rsidRPr="00982D3E">
        <w:rPr>
          <w:color w:val="000000" w:themeColor="text1"/>
        </w:rPr>
        <w:t>outil de référence mondial.</w:t>
      </w:r>
    </w:p>
    <w:p w14:paraId="0EE81048" w14:textId="6C8D7AF0" w:rsidR="005D71D4" w:rsidRPr="00982D3E" w:rsidRDefault="005D71D4" w:rsidP="00D15D07">
      <w:pPr>
        <w:jc w:val="both"/>
        <w:rPr>
          <w:bCs/>
          <w:color w:val="000000" w:themeColor="text1"/>
          <w:szCs w:val="22"/>
          <w:lang w:val="fr-FR"/>
        </w:rPr>
      </w:pPr>
    </w:p>
    <w:p w14:paraId="77C562E9" w14:textId="301400E5" w:rsidR="005D71D4" w:rsidRPr="00982D3E" w:rsidRDefault="005D71D4" w:rsidP="002A048C">
      <w:pPr>
        <w:pStyle w:val="ListParagraph"/>
        <w:numPr>
          <w:ilvl w:val="0"/>
          <w:numId w:val="16"/>
        </w:numPr>
        <w:ind w:left="1134" w:hanging="567"/>
        <w:jc w:val="both"/>
        <w:rPr>
          <w:bCs/>
          <w:color w:val="000000" w:themeColor="text1"/>
          <w:szCs w:val="22"/>
        </w:rPr>
      </w:pPr>
      <w:r w:rsidRPr="00982D3E">
        <w:rPr>
          <w:color w:val="000000" w:themeColor="text1"/>
        </w:rPr>
        <w:t>Ce fonds fiduciaire a aussi financé la création d</w:t>
      </w:r>
      <w:r w:rsidR="00C15821" w:rsidRPr="00982D3E">
        <w:rPr>
          <w:color w:val="000000" w:themeColor="text1"/>
        </w:rPr>
        <w:t>’</w:t>
      </w:r>
      <w:r w:rsidRPr="00982D3E">
        <w:rPr>
          <w:color w:val="000000" w:themeColor="text1"/>
        </w:rPr>
        <w:t>un manuel en matière de brevets pour les pays d</w:t>
      </w:r>
      <w:r w:rsidR="00C15821" w:rsidRPr="00982D3E">
        <w:rPr>
          <w:color w:val="000000" w:themeColor="text1"/>
        </w:rPr>
        <w:t>’</w:t>
      </w:r>
      <w:r w:rsidRPr="00982D3E">
        <w:rPr>
          <w:color w:val="000000" w:themeColor="text1"/>
        </w:rPr>
        <w:t>Amérique centrale et la République dominicaine, qui définit des lignes directrices communes relatives à l</w:t>
      </w:r>
      <w:r w:rsidR="00C15821" w:rsidRPr="00982D3E">
        <w:rPr>
          <w:color w:val="000000" w:themeColor="text1"/>
        </w:rPr>
        <w:t>’</w:t>
      </w:r>
      <w:r w:rsidRPr="00982D3E">
        <w:rPr>
          <w:color w:val="000000" w:themeColor="text1"/>
        </w:rPr>
        <w:t>examen des demandes de brevet dans les pays participants</w:t>
      </w:r>
      <w:r w:rsidRPr="00982D3E">
        <w:rPr>
          <w:rStyle w:val="FootnoteReference"/>
          <w:bCs/>
          <w:color w:val="000000" w:themeColor="text1"/>
          <w:szCs w:val="22"/>
        </w:rPr>
        <w:footnoteReference w:id="5"/>
      </w:r>
      <w:r w:rsidRPr="00982D3E">
        <w:rPr>
          <w:color w:val="000000" w:themeColor="text1"/>
        </w:rPr>
        <w:t>.</w:t>
      </w:r>
    </w:p>
    <w:p w14:paraId="6A706CCB" w14:textId="77777777" w:rsidR="005D71D4" w:rsidRPr="00982D3E" w:rsidRDefault="005D71D4" w:rsidP="00D15D07">
      <w:pPr>
        <w:jc w:val="both"/>
        <w:rPr>
          <w:bCs/>
          <w:color w:val="000000" w:themeColor="text1"/>
          <w:szCs w:val="22"/>
          <w:lang w:val="fr-FR"/>
        </w:rPr>
      </w:pPr>
    </w:p>
    <w:p w14:paraId="78A61136" w14:textId="35654222" w:rsidR="00C15821" w:rsidRPr="00982D3E" w:rsidRDefault="005D71D4" w:rsidP="00D15D07">
      <w:pPr>
        <w:jc w:val="both"/>
        <w:rPr>
          <w:color w:val="000000" w:themeColor="text1"/>
          <w:lang w:val="fr-FR"/>
        </w:rPr>
      </w:pPr>
      <w:r w:rsidRPr="00982D3E">
        <w:rPr>
          <w:color w:val="000000" w:themeColor="text1"/>
          <w:lang w:val="fr-FR"/>
        </w:rPr>
        <w:t>Par ailleurs, des séminaires interrégionaux pour les magistrats latino</w:t>
      </w:r>
      <w:r w:rsidR="000F0CBE">
        <w:rPr>
          <w:color w:val="000000" w:themeColor="text1"/>
          <w:lang w:val="fr-FR"/>
        </w:rPr>
        <w:noBreakHyphen/>
      </w:r>
      <w:r w:rsidRPr="00982D3E">
        <w:rPr>
          <w:color w:val="000000" w:themeColor="text1"/>
          <w:lang w:val="fr-FR"/>
        </w:rPr>
        <w:t>américains ont été organisés annuelleme</w:t>
      </w:r>
      <w:r w:rsidR="00A720A1" w:rsidRPr="00982D3E">
        <w:rPr>
          <w:color w:val="000000" w:themeColor="text1"/>
          <w:lang w:val="fr-FR"/>
        </w:rPr>
        <w:t>nt.  Le</w:t>
      </w:r>
      <w:r w:rsidRPr="00982D3E">
        <w:rPr>
          <w:color w:val="000000" w:themeColor="text1"/>
          <w:lang w:val="fr-FR"/>
        </w:rPr>
        <w:t>ur objectif est d</w:t>
      </w:r>
      <w:r w:rsidR="00C15821" w:rsidRPr="00982D3E">
        <w:rPr>
          <w:color w:val="000000" w:themeColor="text1"/>
          <w:lang w:val="fr-FR"/>
        </w:rPr>
        <w:t>’</w:t>
      </w:r>
      <w:r w:rsidRPr="00982D3E">
        <w:rPr>
          <w:color w:val="000000" w:themeColor="text1"/>
          <w:lang w:val="fr-FR"/>
        </w:rPr>
        <w:t>améliorer la protection de la propriété industrielle et de promouvoir une interprétation uniforme de la législation en vigueur en matière de propriété industrielle.</w:t>
      </w:r>
    </w:p>
    <w:p w14:paraId="0EE30918" w14:textId="70EABEC9" w:rsidR="005D71D4" w:rsidRPr="00982D3E" w:rsidRDefault="005D71D4" w:rsidP="00D15D07">
      <w:pPr>
        <w:jc w:val="both"/>
        <w:rPr>
          <w:bCs/>
          <w:color w:val="000000" w:themeColor="text1"/>
          <w:szCs w:val="22"/>
          <w:lang w:val="fr-FR"/>
        </w:rPr>
      </w:pPr>
    </w:p>
    <w:p w14:paraId="36E09EAF" w14:textId="5D671E61" w:rsidR="005D71D4" w:rsidRPr="00982D3E" w:rsidRDefault="005D71D4" w:rsidP="00D15D07">
      <w:pPr>
        <w:jc w:val="both"/>
        <w:rPr>
          <w:bCs/>
          <w:color w:val="000000" w:themeColor="text1"/>
          <w:szCs w:val="22"/>
          <w:lang w:val="fr-FR"/>
        </w:rPr>
      </w:pPr>
      <w:r w:rsidRPr="00982D3E">
        <w:rPr>
          <w:color w:val="000000" w:themeColor="text1"/>
          <w:lang w:val="fr-FR"/>
        </w:rPr>
        <w:t xml:space="preserve">Depuis quelques années, dans le cadre du programme </w:t>
      </w:r>
      <w:proofErr w:type="spellStart"/>
      <w:r w:rsidRPr="00982D3E">
        <w:rPr>
          <w:color w:val="000000" w:themeColor="text1"/>
          <w:lang w:val="fr-FR"/>
        </w:rPr>
        <w:t>Intercoonecta</w:t>
      </w:r>
      <w:proofErr w:type="spellEnd"/>
      <w:r w:rsidRPr="00982D3E">
        <w:rPr>
          <w:color w:val="000000" w:themeColor="text1"/>
          <w:lang w:val="fr-FR"/>
        </w:rPr>
        <w:t>, l</w:t>
      </w:r>
      <w:r w:rsidR="00C15821" w:rsidRPr="00982D3E">
        <w:rPr>
          <w:color w:val="000000" w:themeColor="text1"/>
          <w:lang w:val="fr-FR"/>
        </w:rPr>
        <w:t>’</w:t>
      </w:r>
      <w:r w:rsidRPr="00982D3E">
        <w:rPr>
          <w:color w:val="000000" w:themeColor="text1"/>
          <w:lang w:val="fr-FR"/>
        </w:rPr>
        <w:t>OEPM s</w:t>
      </w:r>
      <w:r w:rsidR="00C15821" w:rsidRPr="00982D3E">
        <w:rPr>
          <w:color w:val="000000" w:themeColor="text1"/>
          <w:lang w:val="fr-FR"/>
        </w:rPr>
        <w:t>’</w:t>
      </w:r>
      <w:r w:rsidRPr="00982D3E">
        <w:rPr>
          <w:color w:val="000000" w:themeColor="text1"/>
          <w:lang w:val="fr-FR"/>
        </w:rPr>
        <w:t>est associé à l</w:t>
      </w:r>
      <w:r w:rsidR="00C15821" w:rsidRPr="00982D3E">
        <w:rPr>
          <w:color w:val="000000" w:themeColor="text1"/>
          <w:lang w:val="fr-FR"/>
        </w:rPr>
        <w:t>’</w:t>
      </w:r>
      <w:r w:rsidRPr="00982D3E">
        <w:rPr>
          <w:color w:val="000000" w:themeColor="text1"/>
          <w:lang w:val="fr-FR"/>
        </w:rPr>
        <w:t>OMPI et à l</w:t>
      </w:r>
      <w:r w:rsidR="00C15821" w:rsidRPr="00982D3E">
        <w:rPr>
          <w:color w:val="000000" w:themeColor="text1"/>
          <w:lang w:val="fr-FR"/>
        </w:rPr>
        <w:t>’</w:t>
      </w:r>
      <w:r w:rsidRPr="00982D3E">
        <w:rPr>
          <w:color w:val="000000" w:themeColor="text1"/>
          <w:lang w:val="fr-FR"/>
        </w:rPr>
        <w:t>Agence espagnole pour la coopération internationale au développement (AECID) pour organiser un atelier régional de formation des formateurs en matière de propriété industrielle et de rédaction des demandes de brevet dans les pays d</w:t>
      </w:r>
      <w:r w:rsidR="00C15821" w:rsidRPr="00982D3E">
        <w:rPr>
          <w:color w:val="000000" w:themeColor="text1"/>
          <w:lang w:val="fr-FR"/>
        </w:rPr>
        <w:t>’</w:t>
      </w:r>
      <w:r w:rsidRPr="00982D3E">
        <w:rPr>
          <w:color w:val="000000" w:themeColor="text1"/>
          <w:lang w:val="fr-FR"/>
        </w:rPr>
        <w:t>Amérique latine, au Centre de formation de la coopération espagnole à Montevideo.</w:t>
      </w:r>
    </w:p>
    <w:p w14:paraId="6234658E" w14:textId="77777777" w:rsidR="005D71D4" w:rsidRPr="00982D3E" w:rsidRDefault="005D71D4" w:rsidP="00D15D07">
      <w:pPr>
        <w:jc w:val="both"/>
        <w:rPr>
          <w:bCs/>
          <w:color w:val="000000" w:themeColor="text1"/>
          <w:szCs w:val="22"/>
          <w:lang w:val="fr-FR"/>
        </w:rPr>
      </w:pPr>
    </w:p>
    <w:p w14:paraId="18D96AE6" w14:textId="03560CCB" w:rsidR="00C15821" w:rsidRPr="00982D3E" w:rsidRDefault="005D71D4" w:rsidP="00D15D07">
      <w:pPr>
        <w:jc w:val="both"/>
        <w:rPr>
          <w:color w:val="000000" w:themeColor="text1"/>
          <w:lang w:val="fr-FR"/>
        </w:rPr>
      </w:pPr>
      <w:r w:rsidRPr="00982D3E">
        <w:rPr>
          <w:color w:val="000000" w:themeColor="text1"/>
          <w:lang w:val="fr-FR"/>
        </w:rPr>
        <w:t>En 2020, un accord a été conclu entre la Fondation internationale et ibéro</w:t>
      </w:r>
      <w:r w:rsidR="000F0CBE">
        <w:rPr>
          <w:color w:val="000000" w:themeColor="text1"/>
          <w:lang w:val="fr-FR"/>
        </w:rPr>
        <w:noBreakHyphen/>
      </w:r>
      <w:r w:rsidRPr="00982D3E">
        <w:rPr>
          <w:color w:val="000000" w:themeColor="text1"/>
          <w:lang w:val="fr-FR"/>
        </w:rPr>
        <w:t>américaine à but non lucratif pour l</w:t>
      </w:r>
      <w:r w:rsidR="00C15821" w:rsidRPr="00982D3E">
        <w:rPr>
          <w:color w:val="000000" w:themeColor="text1"/>
          <w:lang w:val="fr-FR"/>
        </w:rPr>
        <w:t>’</w:t>
      </w:r>
      <w:r w:rsidRPr="00982D3E">
        <w:rPr>
          <w:color w:val="000000" w:themeColor="text1"/>
          <w:lang w:val="fr-FR"/>
        </w:rPr>
        <w:t>administration et les politiques publiques (FIIAPP) et l</w:t>
      </w:r>
      <w:r w:rsidR="00C15821" w:rsidRPr="00982D3E">
        <w:rPr>
          <w:color w:val="000000" w:themeColor="text1"/>
          <w:lang w:val="fr-FR"/>
        </w:rPr>
        <w:t>’</w:t>
      </w:r>
      <w:r w:rsidRPr="00982D3E">
        <w:rPr>
          <w:color w:val="000000" w:themeColor="text1"/>
          <w:lang w:val="fr-FR"/>
        </w:rPr>
        <w:t>OEPM concernant un projet de jumelage avec l</w:t>
      </w:r>
      <w:r w:rsidR="00C15821" w:rsidRPr="00982D3E">
        <w:rPr>
          <w:color w:val="000000" w:themeColor="text1"/>
          <w:lang w:val="fr-FR"/>
        </w:rPr>
        <w:t>’</w:t>
      </w:r>
      <w:r w:rsidRPr="00982D3E">
        <w:rPr>
          <w:color w:val="000000" w:themeColor="text1"/>
          <w:lang w:val="fr-FR"/>
        </w:rPr>
        <w:t>Égypte intitulé “Soutien et renforcement des capacités institutionnelles, techniques et en matière de sensibilisation de l</w:t>
      </w:r>
      <w:r w:rsidR="00C15821" w:rsidRPr="00982D3E">
        <w:rPr>
          <w:color w:val="000000" w:themeColor="text1"/>
          <w:lang w:val="fr-FR"/>
        </w:rPr>
        <w:t>’</w:t>
      </w:r>
      <w:r w:rsidRPr="00982D3E">
        <w:rPr>
          <w:color w:val="000000" w:themeColor="text1"/>
          <w:lang w:val="fr-FR"/>
        </w:rPr>
        <w:t xml:space="preserve">Office égyptien des brevets (EGYPO)”. </w:t>
      </w:r>
      <w:r w:rsidR="004319B8" w:rsidRPr="00982D3E">
        <w:rPr>
          <w:color w:val="000000" w:themeColor="text1"/>
          <w:lang w:val="fr-FR"/>
        </w:rPr>
        <w:t xml:space="preserve"> </w:t>
      </w:r>
      <w:r w:rsidRPr="00982D3E">
        <w:rPr>
          <w:color w:val="000000" w:themeColor="text1"/>
          <w:lang w:val="fr-FR"/>
        </w:rPr>
        <w:t>Ce projet visait à appuyer et améliorer les capacités techniques et institutionnelles de l</w:t>
      </w:r>
      <w:r w:rsidR="00C15821" w:rsidRPr="00982D3E">
        <w:rPr>
          <w:color w:val="000000" w:themeColor="text1"/>
          <w:lang w:val="fr-FR"/>
        </w:rPr>
        <w:t>’</w:t>
      </w:r>
      <w:r w:rsidRPr="00982D3E">
        <w:rPr>
          <w:color w:val="000000" w:themeColor="text1"/>
          <w:lang w:val="fr-FR"/>
        </w:rPr>
        <w:t>office égyptien tout en renforçant sa visibili</w:t>
      </w:r>
      <w:r w:rsidR="00A720A1" w:rsidRPr="00982D3E">
        <w:rPr>
          <w:color w:val="000000" w:themeColor="text1"/>
          <w:lang w:val="fr-FR"/>
        </w:rPr>
        <w:t>té.  Do</w:t>
      </w:r>
      <w:r w:rsidRPr="00982D3E">
        <w:rPr>
          <w:color w:val="000000" w:themeColor="text1"/>
          <w:lang w:val="fr-FR"/>
        </w:rPr>
        <w:t>té d</w:t>
      </w:r>
      <w:r w:rsidR="00C15821" w:rsidRPr="00982D3E">
        <w:rPr>
          <w:color w:val="000000" w:themeColor="text1"/>
          <w:lang w:val="fr-FR"/>
        </w:rPr>
        <w:t>’</w:t>
      </w:r>
      <w:r w:rsidRPr="00982D3E">
        <w:rPr>
          <w:color w:val="000000" w:themeColor="text1"/>
          <w:lang w:val="fr-FR"/>
        </w:rPr>
        <w:t>un budget de 1,5 </w:t>
      </w:r>
      <w:r w:rsidR="004319B8" w:rsidRPr="00982D3E">
        <w:rPr>
          <w:color w:val="000000" w:themeColor="text1"/>
          <w:lang w:val="fr-FR"/>
        </w:rPr>
        <w:t>million</w:t>
      </w:r>
      <w:r w:rsidRPr="00982D3E">
        <w:rPr>
          <w:color w:val="000000" w:themeColor="text1"/>
          <w:lang w:val="fr-FR"/>
        </w:rPr>
        <w:t xml:space="preserve"> d</w:t>
      </w:r>
      <w:r w:rsidR="00C15821" w:rsidRPr="00982D3E">
        <w:rPr>
          <w:color w:val="000000" w:themeColor="text1"/>
          <w:lang w:val="fr-FR"/>
        </w:rPr>
        <w:t>’</w:t>
      </w:r>
      <w:r w:rsidRPr="00982D3E">
        <w:rPr>
          <w:color w:val="000000" w:themeColor="text1"/>
          <w:lang w:val="fr-FR"/>
        </w:rPr>
        <w:t>euros, il a été mené sur une période de plus de deux</w:t>
      </w:r>
      <w:r w:rsidR="004319B8" w:rsidRPr="00982D3E">
        <w:rPr>
          <w:color w:val="000000" w:themeColor="text1"/>
          <w:lang w:val="fr-FR"/>
        </w:rPr>
        <w:t> </w:t>
      </w:r>
      <w:r w:rsidRPr="00982D3E">
        <w:rPr>
          <w:color w:val="000000" w:themeColor="text1"/>
          <w:lang w:val="fr-FR"/>
        </w:rPr>
        <w:t>ans.</w:t>
      </w:r>
      <w:r w:rsidR="004319B8" w:rsidRPr="00982D3E">
        <w:rPr>
          <w:color w:val="000000" w:themeColor="text1"/>
          <w:lang w:val="fr-FR"/>
        </w:rPr>
        <w:t xml:space="preserve"> </w:t>
      </w:r>
      <w:r w:rsidRPr="00982D3E">
        <w:rPr>
          <w:color w:val="000000" w:themeColor="text1"/>
          <w:lang w:val="fr-FR"/>
        </w:rPr>
        <w:t xml:space="preserve"> L</w:t>
      </w:r>
      <w:r w:rsidR="00C15821" w:rsidRPr="00982D3E">
        <w:rPr>
          <w:color w:val="000000" w:themeColor="text1"/>
          <w:lang w:val="fr-FR"/>
        </w:rPr>
        <w:t>’</w:t>
      </w:r>
      <w:r w:rsidRPr="00982D3E">
        <w:rPr>
          <w:color w:val="000000" w:themeColor="text1"/>
          <w:lang w:val="fr-FR"/>
        </w:rPr>
        <w:t>Office danois des brevets et des marques (DKPTO) et la Fondation allemande pour la coopération juridique internationale (IRZ) ont soutenu le projet en tant que partenaires secondaires.</w:t>
      </w:r>
    </w:p>
    <w:p w14:paraId="2FDD8613" w14:textId="15EF4FE9" w:rsidR="005D71D4" w:rsidRPr="00982D3E" w:rsidRDefault="005D71D4" w:rsidP="00D15D07">
      <w:pPr>
        <w:jc w:val="both"/>
        <w:rPr>
          <w:bCs/>
          <w:color w:val="000000" w:themeColor="text1"/>
          <w:szCs w:val="22"/>
          <w:lang w:val="fr-FR"/>
        </w:rPr>
      </w:pPr>
    </w:p>
    <w:p w14:paraId="606D64F0" w14:textId="0A1E1642" w:rsidR="005D71D4" w:rsidRPr="00982D3E" w:rsidRDefault="005D71D4" w:rsidP="00D15D07">
      <w:pPr>
        <w:jc w:val="both"/>
        <w:rPr>
          <w:bCs/>
          <w:color w:val="000000" w:themeColor="text1"/>
          <w:szCs w:val="22"/>
          <w:lang w:val="fr-FR"/>
        </w:rPr>
      </w:pPr>
      <w:r w:rsidRPr="00982D3E">
        <w:rPr>
          <w:color w:val="000000" w:themeColor="text1"/>
          <w:lang w:val="fr-FR"/>
        </w:rPr>
        <w:t>Le projet comportait cinq volets</w:t>
      </w:r>
      <w:r w:rsidR="00C15821" w:rsidRPr="00982D3E">
        <w:rPr>
          <w:color w:val="000000" w:themeColor="text1"/>
          <w:lang w:val="fr-FR"/>
        </w:rPr>
        <w:t> :</w:t>
      </w:r>
    </w:p>
    <w:p w14:paraId="5FC62374" w14:textId="77777777" w:rsidR="005D71D4" w:rsidRPr="00982D3E" w:rsidRDefault="005D71D4" w:rsidP="00D15D07">
      <w:pPr>
        <w:jc w:val="both"/>
        <w:rPr>
          <w:bCs/>
          <w:color w:val="000000" w:themeColor="text1"/>
          <w:szCs w:val="22"/>
          <w:lang w:val="fr-FR"/>
        </w:rPr>
      </w:pPr>
    </w:p>
    <w:p w14:paraId="4F4AF1EE" w14:textId="7CA53E5B" w:rsidR="005D71D4" w:rsidRPr="00982D3E" w:rsidRDefault="005D71D4" w:rsidP="002A048C">
      <w:pPr>
        <w:pStyle w:val="ListParagraph"/>
        <w:numPr>
          <w:ilvl w:val="0"/>
          <w:numId w:val="7"/>
        </w:numPr>
        <w:ind w:left="1134" w:hanging="567"/>
        <w:jc w:val="both"/>
        <w:rPr>
          <w:bCs/>
          <w:color w:val="000000" w:themeColor="text1"/>
          <w:szCs w:val="22"/>
        </w:rPr>
      </w:pPr>
      <w:r w:rsidRPr="00982D3E">
        <w:rPr>
          <w:color w:val="000000" w:themeColor="text1"/>
        </w:rPr>
        <w:t>Volet 1</w:t>
      </w:r>
      <w:r w:rsidR="00C15821" w:rsidRPr="00982D3E">
        <w:rPr>
          <w:color w:val="000000" w:themeColor="text1"/>
        </w:rPr>
        <w:t> :</w:t>
      </w:r>
      <w:r w:rsidRPr="00982D3E">
        <w:rPr>
          <w:color w:val="000000" w:themeColor="text1"/>
        </w:rPr>
        <w:t xml:space="preserve"> établissement d</w:t>
      </w:r>
      <w:r w:rsidR="00C15821" w:rsidRPr="00982D3E">
        <w:rPr>
          <w:color w:val="000000" w:themeColor="text1"/>
        </w:rPr>
        <w:t>’</w:t>
      </w:r>
      <w:r w:rsidRPr="00982D3E">
        <w:rPr>
          <w:color w:val="000000" w:themeColor="text1"/>
        </w:rPr>
        <w:t>un plan stratégique en matière de propriété intellectuelle pour la recherche scientifique en Égypte.</w:t>
      </w:r>
    </w:p>
    <w:p w14:paraId="09301AAB" w14:textId="07CFD1C7" w:rsidR="005D71D4" w:rsidRPr="00982D3E" w:rsidRDefault="005D71D4" w:rsidP="002A048C">
      <w:pPr>
        <w:pStyle w:val="ListParagraph"/>
        <w:numPr>
          <w:ilvl w:val="0"/>
          <w:numId w:val="7"/>
        </w:numPr>
        <w:ind w:left="1134" w:hanging="567"/>
        <w:jc w:val="both"/>
        <w:rPr>
          <w:bCs/>
          <w:color w:val="000000" w:themeColor="text1"/>
          <w:szCs w:val="22"/>
        </w:rPr>
      </w:pPr>
      <w:r w:rsidRPr="00982D3E">
        <w:rPr>
          <w:color w:val="000000" w:themeColor="text1"/>
        </w:rPr>
        <w:t>Volet 2</w:t>
      </w:r>
      <w:r w:rsidR="00C15821" w:rsidRPr="00982D3E">
        <w:rPr>
          <w:color w:val="000000" w:themeColor="text1"/>
        </w:rPr>
        <w:t> :</w:t>
      </w:r>
      <w:r w:rsidRPr="00982D3E">
        <w:rPr>
          <w:color w:val="000000" w:themeColor="text1"/>
        </w:rPr>
        <w:t xml:space="preserve"> coopération et coordination durables avec les titulaires de droits, les sociétés et les petites et moyennes entreprises, en mettant l</w:t>
      </w:r>
      <w:r w:rsidR="00C15821" w:rsidRPr="00982D3E">
        <w:rPr>
          <w:color w:val="000000" w:themeColor="text1"/>
        </w:rPr>
        <w:t>’</w:t>
      </w:r>
      <w:r w:rsidRPr="00982D3E">
        <w:rPr>
          <w:color w:val="000000" w:themeColor="text1"/>
        </w:rPr>
        <w:t>accent sur les institutions.</w:t>
      </w:r>
    </w:p>
    <w:p w14:paraId="157BD87B" w14:textId="58C224A3" w:rsidR="005D71D4" w:rsidRPr="00982D3E" w:rsidRDefault="005D71D4" w:rsidP="002A048C">
      <w:pPr>
        <w:pStyle w:val="ListParagraph"/>
        <w:numPr>
          <w:ilvl w:val="0"/>
          <w:numId w:val="7"/>
        </w:numPr>
        <w:ind w:left="1134" w:hanging="567"/>
        <w:jc w:val="both"/>
        <w:rPr>
          <w:bCs/>
          <w:color w:val="000000" w:themeColor="text1"/>
          <w:szCs w:val="22"/>
        </w:rPr>
      </w:pPr>
      <w:r w:rsidRPr="00982D3E">
        <w:rPr>
          <w:color w:val="000000" w:themeColor="text1"/>
        </w:rPr>
        <w:lastRenderedPageBreak/>
        <w:t>Volet 3</w:t>
      </w:r>
      <w:r w:rsidR="00C15821" w:rsidRPr="00982D3E">
        <w:rPr>
          <w:color w:val="000000" w:themeColor="text1"/>
        </w:rPr>
        <w:t> :</w:t>
      </w:r>
      <w:r w:rsidRPr="00982D3E">
        <w:rPr>
          <w:color w:val="000000" w:themeColor="text1"/>
        </w:rPr>
        <w:t xml:space="preserve"> examen et mise à jour des systèmes et procédures de l</w:t>
      </w:r>
      <w:r w:rsidR="00C15821" w:rsidRPr="00982D3E">
        <w:rPr>
          <w:color w:val="000000" w:themeColor="text1"/>
        </w:rPr>
        <w:t>’</w:t>
      </w:r>
      <w:r w:rsidRPr="00982D3E">
        <w:rPr>
          <w:color w:val="000000" w:themeColor="text1"/>
        </w:rPr>
        <w:t>Office égyptien des brevets pour les rendre conformes aux normes en vigueur dans l</w:t>
      </w:r>
      <w:r w:rsidR="00C15821" w:rsidRPr="00982D3E">
        <w:rPr>
          <w:color w:val="000000" w:themeColor="text1"/>
        </w:rPr>
        <w:t>’</w:t>
      </w:r>
      <w:r w:rsidRPr="00982D3E">
        <w:rPr>
          <w:color w:val="000000" w:themeColor="text1"/>
        </w:rPr>
        <w:t>Union européenne.</w:t>
      </w:r>
    </w:p>
    <w:p w14:paraId="4B2CAFAA" w14:textId="60B01F0F" w:rsidR="005D71D4" w:rsidRPr="00982D3E" w:rsidRDefault="005D71D4" w:rsidP="002A048C">
      <w:pPr>
        <w:pStyle w:val="ListParagraph"/>
        <w:numPr>
          <w:ilvl w:val="0"/>
          <w:numId w:val="7"/>
        </w:numPr>
        <w:ind w:left="1134" w:hanging="567"/>
        <w:jc w:val="both"/>
        <w:rPr>
          <w:bCs/>
          <w:color w:val="000000" w:themeColor="text1"/>
          <w:szCs w:val="22"/>
        </w:rPr>
      </w:pPr>
      <w:r w:rsidRPr="00982D3E">
        <w:rPr>
          <w:color w:val="000000" w:themeColor="text1"/>
        </w:rPr>
        <w:t>Volet 4</w:t>
      </w:r>
      <w:r w:rsidR="00C15821" w:rsidRPr="00982D3E">
        <w:rPr>
          <w:color w:val="000000" w:themeColor="text1"/>
        </w:rPr>
        <w:t> :</w:t>
      </w:r>
      <w:r w:rsidRPr="00982D3E">
        <w:rPr>
          <w:color w:val="000000" w:themeColor="text1"/>
        </w:rPr>
        <w:t xml:space="preserve"> renforcement des compétences du personnel de l</w:t>
      </w:r>
      <w:r w:rsidR="00C15821" w:rsidRPr="00982D3E">
        <w:rPr>
          <w:color w:val="000000" w:themeColor="text1"/>
        </w:rPr>
        <w:t>’</w:t>
      </w:r>
      <w:r w:rsidRPr="00982D3E">
        <w:rPr>
          <w:color w:val="000000" w:themeColor="text1"/>
        </w:rPr>
        <w:t>office en ce qui concerne la délivrance des brevets et la diffusion des informations.</w:t>
      </w:r>
    </w:p>
    <w:p w14:paraId="0C5BE374" w14:textId="41B71A8F" w:rsidR="005D71D4" w:rsidRPr="00982D3E" w:rsidRDefault="005D71D4" w:rsidP="002A048C">
      <w:pPr>
        <w:pStyle w:val="ListParagraph"/>
        <w:numPr>
          <w:ilvl w:val="0"/>
          <w:numId w:val="7"/>
        </w:numPr>
        <w:ind w:left="1134" w:hanging="567"/>
        <w:jc w:val="both"/>
        <w:rPr>
          <w:bCs/>
          <w:color w:val="000000" w:themeColor="text1"/>
          <w:szCs w:val="22"/>
        </w:rPr>
      </w:pPr>
      <w:r w:rsidRPr="00982D3E">
        <w:rPr>
          <w:color w:val="000000" w:themeColor="text1"/>
        </w:rPr>
        <w:t>Volet 5</w:t>
      </w:r>
      <w:r w:rsidR="00C15821" w:rsidRPr="00982D3E">
        <w:rPr>
          <w:color w:val="000000" w:themeColor="text1"/>
        </w:rPr>
        <w:t> :</w:t>
      </w:r>
      <w:r w:rsidRPr="00982D3E">
        <w:rPr>
          <w:color w:val="000000" w:themeColor="text1"/>
        </w:rPr>
        <w:t xml:space="preserve"> formation et renforcement des compétences organisationnelles du personnel de l</w:t>
      </w:r>
      <w:r w:rsidR="00C15821" w:rsidRPr="00982D3E">
        <w:rPr>
          <w:color w:val="000000" w:themeColor="text1"/>
        </w:rPr>
        <w:t>’</w:t>
      </w:r>
      <w:r w:rsidRPr="00982D3E">
        <w:rPr>
          <w:color w:val="000000" w:themeColor="text1"/>
        </w:rPr>
        <w:t>office.</w:t>
      </w:r>
    </w:p>
    <w:p w14:paraId="3C3192B0" w14:textId="77777777" w:rsidR="005D71D4" w:rsidRPr="00982D3E" w:rsidRDefault="005D71D4" w:rsidP="00D15D07">
      <w:pPr>
        <w:jc w:val="both"/>
        <w:rPr>
          <w:bCs/>
          <w:color w:val="000000" w:themeColor="text1"/>
          <w:szCs w:val="22"/>
          <w:lang w:val="fr-FR"/>
        </w:rPr>
      </w:pPr>
    </w:p>
    <w:p w14:paraId="54D53098" w14:textId="3458C727" w:rsidR="005D71D4" w:rsidRPr="00982D3E" w:rsidRDefault="005D71D4" w:rsidP="00D15D07">
      <w:pPr>
        <w:jc w:val="both"/>
        <w:rPr>
          <w:bCs/>
          <w:color w:val="000000" w:themeColor="text1"/>
          <w:szCs w:val="22"/>
          <w:lang w:val="fr-FR"/>
        </w:rPr>
      </w:pPr>
      <w:r w:rsidRPr="00982D3E">
        <w:rPr>
          <w:color w:val="000000" w:themeColor="text1"/>
          <w:lang w:val="fr-FR"/>
        </w:rPr>
        <w:t>Les différents volets correspondaient aux résultats attendus du projet et une série d</w:t>
      </w:r>
      <w:r w:rsidR="00C15821" w:rsidRPr="00982D3E">
        <w:rPr>
          <w:color w:val="000000" w:themeColor="text1"/>
          <w:lang w:val="fr-FR"/>
        </w:rPr>
        <w:t>’</w:t>
      </w:r>
      <w:r w:rsidRPr="00982D3E">
        <w:rPr>
          <w:color w:val="000000" w:themeColor="text1"/>
          <w:lang w:val="fr-FR"/>
        </w:rPr>
        <w:t>activités ont été planifiées, dont des ateliers, des séances de formation, des missions d</w:t>
      </w:r>
      <w:r w:rsidR="00C15821" w:rsidRPr="00982D3E">
        <w:rPr>
          <w:color w:val="000000" w:themeColor="text1"/>
          <w:lang w:val="fr-FR"/>
        </w:rPr>
        <w:t>’</w:t>
      </w:r>
      <w:r w:rsidRPr="00982D3E">
        <w:rPr>
          <w:color w:val="000000" w:themeColor="text1"/>
          <w:lang w:val="fr-FR"/>
        </w:rPr>
        <w:t>experts, des voyages d</w:t>
      </w:r>
      <w:r w:rsidR="00C15821" w:rsidRPr="00982D3E">
        <w:rPr>
          <w:color w:val="000000" w:themeColor="text1"/>
          <w:lang w:val="fr-FR"/>
        </w:rPr>
        <w:t>’</w:t>
      </w:r>
      <w:r w:rsidRPr="00982D3E">
        <w:rPr>
          <w:color w:val="000000" w:themeColor="text1"/>
          <w:lang w:val="fr-FR"/>
        </w:rPr>
        <w:t>étude</w:t>
      </w:r>
      <w:r w:rsidR="00982D3E">
        <w:rPr>
          <w:color w:val="000000" w:themeColor="text1"/>
          <w:lang w:val="fr-FR"/>
        </w:rPr>
        <w:t>s</w:t>
      </w:r>
      <w:r w:rsidRPr="00982D3E">
        <w:rPr>
          <w:color w:val="000000" w:themeColor="text1"/>
          <w:lang w:val="fr-FR"/>
        </w:rPr>
        <w:t xml:space="preserve"> et des consultatio</w:t>
      </w:r>
      <w:r w:rsidR="00A720A1" w:rsidRPr="00982D3E">
        <w:rPr>
          <w:color w:val="000000" w:themeColor="text1"/>
          <w:lang w:val="fr-FR"/>
        </w:rPr>
        <w:t>ns.  De</w:t>
      </w:r>
      <w:r w:rsidRPr="00982D3E">
        <w:rPr>
          <w:color w:val="000000" w:themeColor="text1"/>
          <w:lang w:val="fr-FR"/>
        </w:rPr>
        <w:t>s examinateurs spécialisés et d</w:t>
      </w:r>
      <w:r w:rsidR="00C15821" w:rsidRPr="00982D3E">
        <w:rPr>
          <w:color w:val="000000" w:themeColor="text1"/>
          <w:lang w:val="fr-FR"/>
        </w:rPr>
        <w:t>’</w:t>
      </w:r>
      <w:r w:rsidRPr="00982D3E">
        <w:rPr>
          <w:color w:val="000000" w:themeColor="text1"/>
          <w:lang w:val="fr-FR"/>
        </w:rPr>
        <w:t>autres membres du personnel de l</w:t>
      </w:r>
      <w:r w:rsidR="00C15821" w:rsidRPr="00982D3E">
        <w:rPr>
          <w:color w:val="000000" w:themeColor="text1"/>
          <w:lang w:val="fr-FR"/>
        </w:rPr>
        <w:t>’</w:t>
      </w:r>
      <w:r w:rsidRPr="00982D3E">
        <w:rPr>
          <w:color w:val="000000" w:themeColor="text1"/>
          <w:lang w:val="fr-FR"/>
        </w:rPr>
        <w:t>OEPM ont été rattachés à l</w:t>
      </w:r>
      <w:r w:rsidR="00C15821" w:rsidRPr="00982D3E">
        <w:rPr>
          <w:color w:val="000000" w:themeColor="text1"/>
          <w:lang w:val="fr-FR"/>
        </w:rPr>
        <w:t>’</w:t>
      </w:r>
      <w:r w:rsidRPr="00982D3E">
        <w:rPr>
          <w:color w:val="000000" w:themeColor="text1"/>
          <w:lang w:val="fr-FR"/>
        </w:rPr>
        <w:t>Office égyptien des brevets.</w:t>
      </w:r>
    </w:p>
    <w:p w14:paraId="11B61C13" w14:textId="77777777" w:rsidR="005D71D4" w:rsidRPr="00982D3E" w:rsidRDefault="005D71D4" w:rsidP="00D15D07">
      <w:pPr>
        <w:jc w:val="both"/>
        <w:rPr>
          <w:bCs/>
          <w:color w:val="000000" w:themeColor="text1"/>
          <w:szCs w:val="22"/>
          <w:lang w:val="fr-FR"/>
        </w:rPr>
      </w:pPr>
    </w:p>
    <w:p w14:paraId="19186B9B" w14:textId="4404E702" w:rsidR="00C15821" w:rsidRPr="00982D3E" w:rsidRDefault="005D71D4" w:rsidP="00D15D07">
      <w:pPr>
        <w:jc w:val="both"/>
        <w:rPr>
          <w:color w:val="000000" w:themeColor="text1"/>
          <w:lang w:val="fr-FR"/>
        </w:rPr>
      </w:pPr>
      <w:r w:rsidRPr="00982D3E">
        <w:rPr>
          <w:color w:val="000000" w:themeColor="text1"/>
          <w:lang w:val="fr-FR"/>
        </w:rPr>
        <w:t>Un succès à relever est l</w:t>
      </w:r>
      <w:r w:rsidR="00C15821" w:rsidRPr="00982D3E">
        <w:rPr>
          <w:color w:val="000000" w:themeColor="text1"/>
          <w:lang w:val="fr-FR"/>
        </w:rPr>
        <w:t>’</w:t>
      </w:r>
      <w:r w:rsidRPr="00982D3E">
        <w:rPr>
          <w:color w:val="000000" w:themeColor="text1"/>
          <w:lang w:val="fr-FR"/>
        </w:rPr>
        <w:t>obtention par l</w:t>
      </w:r>
      <w:r w:rsidR="00C15821" w:rsidRPr="00982D3E">
        <w:rPr>
          <w:color w:val="000000" w:themeColor="text1"/>
          <w:lang w:val="fr-FR"/>
        </w:rPr>
        <w:t>’</w:t>
      </w:r>
      <w:r w:rsidRPr="00982D3E">
        <w:rPr>
          <w:color w:val="000000" w:themeColor="text1"/>
          <w:lang w:val="fr-FR"/>
        </w:rPr>
        <w:t>office de la certification qualité ISO</w:t>
      </w:r>
      <w:r w:rsidR="00982D3E">
        <w:rPr>
          <w:color w:val="000000" w:themeColor="text1"/>
          <w:lang w:val="fr-FR"/>
        </w:rPr>
        <w:t> </w:t>
      </w:r>
      <w:r w:rsidRPr="00982D3E">
        <w:rPr>
          <w:color w:val="000000" w:themeColor="text1"/>
          <w:lang w:val="fr-FR"/>
        </w:rPr>
        <w:t>9001, fruit des efforts conjoints et du soutien apporté par les experts en qualité des offices espagnol et égyptien dans le cadre du volet 3.</w:t>
      </w:r>
    </w:p>
    <w:p w14:paraId="7FFFD293" w14:textId="67E6B771" w:rsidR="005D71D4" w:rsidRPr="00982D3E" w:rsidRDefault="005D71D4" w:rsidP="00D15D07">
      <w:pPr>
        <w:jc w:val="both"/>
        <w:rPr>
          <w:bCs/>
          <w:color w:val="000000" w:themeColor="text1"/>
          <w:szCs w:val="22"/>
          <w:lang w:val="fr-FR"/>
        </w:rPr>
      </w:pPr>
    </w:p>
    <w:p w14:paraId="143E56B4" w14:textId="4775CFF2" w:rsidR="005D71D4" w:rsidRPr="00982D3E" w:rsidRDefault="005D71D4" w:rsidP="00D15D07">
      <w:pPr>
        <w:jc w:val="both"/>
        <w:rPr>
          <w:bCs/>
          <w:color w:val="000000" w:themeColor="text1"/>
          <w:szCs w:val="22"/>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a également conclu un mémorandum d</w:t>
      </w:r>
      <w:r w:rsidR="00C15821" w:rsidRPr="00982D3E">
        <w:rPr>
          <w:color w:val="000000" w:themeColor="text1"/>
          <w:lang w:val="fr-FR"/>
        </w:rPr>
        <w:t>’</w:t>
      </w:r>
      <w:r w:rsidRPr="00982D3E">
        <w:rPr>
          <w:color w:val="000000" w:themeColor="text1"/>
          <w:lang w:val="fr-FR"/>
        </w:rPr>
        <w:t>accord avec l</w:t>
      </w:r>
      <w:r w:rsidR="00C15821" w:rsidRPr="00982D3E">
        <w:rPr>
          <w:color w:val="000000" w:themeColor="text1"/>
          <w:lang w:val="fr-FR"/>
        </w:rPr>
        <w:t>’</w:t>
      </w:r>
      <w:r w:rsidRPr="00982D3E">
        <w:rPr>
          <w:color w:val="000000" w:themeColor="text1"/>
          <w:lang w:val="fr-FR"/>
        </w:rPr>
        <w:t>OMPI sur la coopération en matière de diffusion des informations relatives à la propriété intellectuel</w:t>
      </w:r>
      <w:r w:rsidR="00A720A1" w:rsidRPr="00982D3E">
        <w:rPr>
          <w:color w:val="000000" w:themeColor="text1"/>
          <w:lang w:val="fr-FR"/>
        </w:rPr>
        <w:t>le.  Le</w:t>
      </w:r>
      <w:r w:rsidRPr="00982D3E">
        <w:rPr>
          <w:color w:val="000000" w:themeColor="text1"/>
          <w:lang w:val="fr-FR"/>
        </w:rPr>
        <w:t>s experts de l</w:t>
      </w:r>
      <w:r w:rsidR="00C15821" w:rsidRPr="00982D3E">
        <w:rPr>
          <w:color w:val="000000" w:themeColor="text1"/>
          <w:lang w:val="fr-FR"/>
        </w:rPr>
        <w:t>’</w:t>
      </w:r>
      <w:r w:rsidRPr="00982D3E">
        <w:rPr>
          <w:color w:val="000000" w:themeColor="text1"/>
          <w:lang w:val="fr-FR"/>
        </w:rPr>
        <w:t>OEPM ont participé à une série d</w:t>
      </w:r>
      <w:r w:rsidR="00C15821" w:rsidRPr="00982D3E">
        <w:rPr>
          <w:color w:val="000000" w:themeColor="text1"/>
          <w:lang w:val="fr-FR"/>
        </w:rPr>
        <w:t>’</w:t>
      </w:r>
      <w:r w:rsidRPr="00982D3E">
        <w:rPr>
          <w:color w:val="000000" w:themeColor="text1"/>
          <w:lang w:val="fr-FR"/>
        </w:rPr>
        <w:t>événements en Ouzbékistan, en République de Moldova, en Slovénie et en Ukraine en vue de répondre aux besoins en matière de formation académique et de développer les qualifications des professionnels de la propriété intellectuelle de la région.</w:t>
      </w:r>
    </w:p>
    <w:p w14:paraId="3690F043" w14:textId="77777777" w:rsidR="005D71D4" w:rsidRPr="00982D3E" w:rsidRDefault="005D71D4" w:rsidP="00D15D07">
      <w:pPr>
        <w:jc w:val="both"/>
        <w:rPr>
          <w:bCs/>
          <w:color w:val="000000" w:themeColor="text1"/>
          <w:szCs w:val="22"/>
          <w:lang w:val="fr-FR"/>
        </w:rPr>
      </w:pPr>
    </w:p>
    <w:p w14:paraId="5CE468F1" w14:textId="3F850749" w:rsidR="00C15821" w:rsidRPr="00982D3E" w:rsidRDefault="005D71D4" w:rsidP="00D15D07">
      <w:pPr>
        <w:jc w:val="both"/>
        <w:rPr>
          <w:color w:val="000000" w:themeColor="text1"/>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et l</w:t>
      </w:r>
      <w:r w:rsidR="00C15821" w:rsidRPr="00982D3E">
        <w:rPr>
          <w:color w:val="000000" w:themeColor="text1"/>
          <w:lang w:val="fr-FR"/>
        </w:rPr>
        <w:t>’</w:t>
      </w:r>
      <w:r w:rsidRPr="00982D3E">
        <w:rPr>
          <w:color w:val="000000" w:themeColor="text1"/>
          <w:lang w:val="fr-FR"/>
        </w:rPr>
        <w:t>Académie de l</w:t>
      </w:r>
      <w:r w:rsidR="00C15821" w:rsidRPr="00982D3E">
        <w:rPr>
          <w:color w:val="000000" w:themeColor="text1"/>
          <w:lang w:val="fr-FR"/>
        </w:rPr>
        <w:t>’</w:t>
      </w:r>
      <w:r w:rsidRPr="00982D3E">
        <w:rPr>
          <w:color w:val="000000" w:themeColor="text1"/>
          <w:lang w:val="fr-FR"/>
        </w:rPr>
        <w:t>OMPI organisent chaque année des cours d</w:t>
      </w:r>
      <w:r w:rsidR="00C15821" w:rsidRPr="00982D3E">
        <w:rPr>
          <w:color w:val="000000" w:themeColor="text1"/>
          <w:lang w:val="fr-FR"/>
        </w:rPr>
        <w:t>’</w:t>
      </w:r>
      <w:r w:rsidRPr="00982D3E">
        <w:rPr>
          <w:color w:val="000000" w:themeColor="text1"/>
          <w:lang w:val="fr-FR"/>
        </w:rPr>
        <w:t>été sur le droit de la propriété intellectuel</w:t>
      </w:r>
      <w:r w:rsidR="00A720A1" w:rsidRPr="00982D3E">
        <w:rPr>
          <w:color w:val="000000" w:themeColor="text1"/>
          <w:lang w:val="fr-FR"/>
        </w:rPr>
        <w:t>le.  Di</w:t>
      </w:r>
      <w:r w:rsidRPr="00982D3E">
        <w:rPr>
          <w:color w:val="000000" w:themeColor="text1"/>
          <w:lang w:val="fr-FR"/>
        </w:rPr>
        <w:t>spensés en espagnol, ils donnent aux étudiants en fin de cycle universitaire et aux jeunes professionnels la possibilité d</w:t>
      </w:r>
      <w:r w:rsidR="00C15821" w:rsidRPr="00982D3E">
        <w:rPr>
          <w:color w:val="000000" w:themeColor="text1"/>
          <w:lang w:val="fr-FR"/>
        </w:rPr>
        <w:t>’</w:t>
      </w:r>
      <w:r w:rsidRPr="00982D3E">
        <w:rPr>
          <w:color w:val="000000" w:themeColor="text1"/>
          <w:lang w:val="fr-FR"/>
        </w:rPr>
        <w:t>approfondir leurs connaissances de la propriété industrielle et de se familiariser avec le rôle et les fonctions qu</w:t>
      </w:r>
      <w:r w:rsidR="00C15821" w:rsidRPr="00982D3E">
        <w:rPr>
          <w:color w:val="000000" w:themeColor="text1"/>
          <w:lang w:val="fr-FR"/>
        </w:rPr>
        <w:t>’</w:t>
      </w:r>
      <w:r w:rsidRPr="00982D3E">
        <w:rPr>
          <w:color w:val="000000" w:themeColor="text1"/>
          <w:lang w:val="fr-FR"/>
        </w:rPr>
        <w:t>exerce l</w:t>
      </w:r>
      <w:r w:rsidR="00C15821" w:rsidRPr="00982D3E">
        <w:rPr>
          <w:color w:val="000000" w:themeColor="text1"/>
          <w:lang w:val="fr-FR"/>
        </w:rPr>
        <w:t>’</w:t>
      </w:r>
      <w:r w:rsidRPr="00982D3E">
        <w:rPr>
          <w:color w:val="000000" w:themeColor="text1"/>
          <w:lang w:val="fr-FR"/>
        </w:rPr>
        <w:t>OMPI dans l</w:t>
      </w:r>
      <w:r w:rsidR="00C15821" w:rsidRPr="00982D3E">
        <w:rPr>
          <w:color w:val="000000" w:themeColor="text1"/>
          <w:lang w:val="fr-FR"/>
        </w:rPr>
        <w:t>’</w:t>
      </w:r>
      <w:r w:rsidRPr="00982D3E">
        <w:rPr>
          <w:color w:val="000000" w:themeColor="text1"/>
          <w:lang w:val="fr-FR"/>
        </w:rPr>
        <w:t>administration mondiale de la propriété intellectuel</w:t>
      </w:r>
      <w:r w:rsidR="00A720A1" w:rsidRPr="00982D3E">
        <w:rPr>
          <w:color w:val="000000" w:themeColor="text1"/>
          <w:lang w:val="fr-FR"/>
        </w:rPr>
        <w:t>le.  Le</w:t>
      </w:r>
      <w:r w:rsidRPr="00982D3E">
        <w:rPr>
          <w:color w:val="000000" w:themeColor="text1"/>
          <w:lang w:val="fr-FR"/>
        </w:rPr>
        <w:t xml:space="preserve"> programme comporte des conférences et des tables rondes animées par des experts de l</w:t>
      </w:r>
      <w:r w:rsidR="00C15821" w:rsidRPr="00982D3E">
        <w:rPr>
          <w:color w:val="000000" w:themeColor="text1"/>
          <w:lang w:val="fr-FR"/>
        </w:rPr>
        <w:t>’</w:t>
      </w:r>
      <w:r w:rsidRPr="00982D3E">
        <w:rPr>
          <w:color w:val="000000" w:themeColor="text1"/>
          <w:lang w:val="fr-FR"/>
        </w:rPr>
        <w:t>OMPI et de l</w:t>
      </w:r>
      <w:r w:rsidR="00C15821" w:rsidRPr="00982D3E">
        <w:rPr>
          <w:color w:val="000000" w:themeColor="text1"/>
          <w:lang w:val="fr-FR"/>
        </w:rPr>
        <w:t>’</w:t>
      </w:r>
      <w:r w:rsidRPr="00982D3E">
        <w:rPr>
          <w:color w:val="000000" w:themeColor="text1"/>
          <w:lang w:val="fr-FR"/>
        </w:rPr>
        <w:t>OEPM et des professionnels réputés dans le domaine de la propriété industrielle et intellectuelle.</w:t>
      </w:r>
    </w:p>
    <w:p w14:paraId="4072A34E" w14:textId="58E4CEF5" w:rsidR="005D71D4" w:rsidRPr="00982D3E" w:rsidRDefault="005D71D4" w:rsidP="00D15D07">
      <w:pPr>
        <w:jc w:val="both"/>
        <w:rPr>
          <w:bCs/>
          <w:color w:val="000000" w:themeColor="text1"/>
          <w:szCs w:val="22"/>
          <w:lang w:val="fr-FR"/>
        </w:rPr>
      </w:pPr>
    </w:p>
    <w:p w14:paraId="08EFD09D" w14:textId="56C4AA43" w:rsidR="005D71D4" w:rsidRPr="00982D3E" w:rsidRDefault="005D71D4" w:rsidP="00D15D07">
      <w:pPr>
        <w:jc w:val="both"/>
        <w:rPr>
          <w:bCs/>
          <w:color w:val="000000" w:themeColor="text1"/>
          <w:szCs w:val="22"/>
          <w:lang w:val="fr-FR"/>
        </w:rPr>
      </w:pPr>
      <w:r w:rsidRPr="00982D3E">
        <w:rPr>
          <w:color w:val="000000" w:themeColor="text1"/>
          <w:lang w:val="fr-FR"/>
        </w:rPr>
        <w:t>Dans le cadre de la coopération en matière de formation avec l</w:t>
      </w:r>
      <w:r w:rsidR="00C15821" w:rsidRPr="00982D3E">
        <w:rPr>
          <w:color w:val="000000" w:themeColor="text1"/>
          <w:lang w:val="fr-FR"/>
        </w:rPr>
        <w:t>’</w:t>
      </w:r>
      <w:r w:rsidRPr="00982D3E">
        <w:rPr>
          <w:color w:val="000000" w:themeColor="text1"/>
          <w:lang w:val="fr-FR"/>
        </w:rPr>
        <w:t>OMPI, l</w:t>
      </w:r>
      <w:r w:rsidR="00C15821" w:rsidRPr="00982D3E">
        <w:rPr>
          <w:color w:val="000000" w:themeColor="text1"/>
          <w:lang w:val="fr-FR"/>
        </w:rPr>
        <w:t>’</w:t>
      </w:r>
      <w:r w:rsidRPr="00982D3E">
        <w:rPr>
          <w:color w:val="000000" w:themeColor="text1"/>
          <w:lang w:val="fr-FR"/>
        </w:rPr>
        <w:t xml:space="preserve">OEPM prend part </w:t>
      </w:r>
      <w:r w:rsidR="00C15821" w:rsidRPr="00982D3E">
        <w:rPr>
          <w:color w:val="000000" w:themeColor="text1"/>
          <w:lang w:val="fr-FR"/>
        </w:rPr>
        <w:t>depuis 2020</w:t>
      </w:r>
      <w:r w:rsidRPr="00982D3E">
        <w:rPr>
          <w:color w:val="000000" w:themeColor="text1"/>
          <w:lang w:val="fr-FR"/>
        </w:rPr>
        <w:t xml:space="preserve"> à des cours avancés en ligne sur l</w:t>
      </w:r>
      <w:r w:rsidR="00C15821" w:rsidRPr="00982D3E">
        <w:rPr>
          <w:color w:val="000000" w:themeColor="text1"/>
          <w:lang w:val="fr-FR"/>
        </w:rPr>
        <w:t>’</w:t>
      </w:r>
      <w:r w:rsidRPr="00982D3E">
        <w:rPr>
          <w:color w:val="000000" w:themeColor="text1"/>
          <w:lang w:val="fr-FR"/>
        </w:rPr>
        <w:t>examen des inventions mises en œuvre par ordinateur et la question de l</w:t>
      </w:r>
      <w:r w:rsidR="00C15821" w:rsidRPr="00982D3E">
        <w:rPr>
          <w:color w:val="000000" w:themeColor="text1"/>
          <w:lang w:val="fr-FR"/>
        </w:rPr>
        <w:t>’</w:t>
      </w:r>
      <w:r w:rsidRPr="00982D3E">
        <w:rPr>
          <w:color w:val="000000" w:themeColor="text1"/>
          <w:lang w:val="fr-FR"/>
        </w:rPr>
        <w:t>intelligence artificielle, la biotechnologie et les produits chimiques et pharmaceutiques, organisés à l</w:t>
      </w:r>
      <w:r w:rsidR="00C15821" w:rsidRPr="00982D3E">
        <w:rPr>
          <w:color w:val="000000" w:themeColor="text1"/>
          <w:lang w:val="fr-FR"/>
        </w:rPr>
        <w:t>’</w:t>
      </w:r>
      <w:r w:rsidRPr="00982D3E">
        <w:rPr>
          <w:color w:val="000000" w:themeColor="text1"/>
          <w:lang w:val="fr-FR"/>
        </w:rPr>
        <w:t>intention des examinateurs d</w:t>
      </w:r>
      <w:r w:rsidR="00C15821" w:rsidRPr="00982D3E">
        <w:rPr>
          <w:color w:val="000000" w:themeColor="text1"/>
          <w:lang w:val="fr-FR"/>
        </w:rPr>
        <w:t>’</w:t>
      </w:r>
      <w:r w:rsidRPr="00982D3E">
        <w:rPr>
          <w:color w:val="000000" w:themeColor="text1"/>
          <w:lang w:val="fr-FR"/>
        </w:rPr>
        <w:t>Amérique lati</w:t>
      </w:r>
      <w:r w:rsidR="00A720A1" w:rsidRPr="00982D3E">
        <w:rPr>
          <w:color w:val="000000" w:themeColor="text1"/>
          <w:lang w:val="fr-FR"/>
        </w:rPr>
        <w:t>ne.  La</w:t>
      </w:r>
      <w:r w:rsidRPr="00982D3E">
        <w:rPr>
          <w:color w:val="000000" w:themeColor="text1"/>
          <w:lang w:val="fr-FR"/>
        </w:rPr>
        <w:t xml:space="preserve"> coopération avec l</w:t>
      </w:r>
      <w:r w:rsidR="00C15821" w:rsidRPr="00982D3E">
        <w:rPr>
          <w:color w:val="000000" w:themeColor="text1"/>
          <w:lang w:val="fr-FR"/>
        </w:rPr>
        <w:t>’</w:t>
      </w:r>
      <w:r w:rsidRPr="00982D3E">
        <w:rPr>
          <w:color w:val="000000" w:themeColor="text1"/>
          <w:lang w:val="fr-FR"/>
        </w:rPr>
        <w:t>OMPI et les offices nationaux se déroule comme suit</w:t>
      </w:r>
      <w:r w:rsidR="00C15821" w:rsidRPr="00982D3E">
        <w:rPr>
          <w:color w:val="000000" w:themeColor="text1"/>
          <w:lang w:val="fr-FR"/>
        </w:rPr>
        <w:t> :</w:t>
      </w:r>
    </w:p>
    <w:p w14:paraId="7322D260" w14:textId="77777777" w:rsidR="005D71D4" w:rsidRPr="00982D3E" w:rsidRDefault="005D71D4" w:rsidP="00D15D07">
      <w:pPr>
        <w:jc w:val="both"/>
        <w:rPr>
          <w:bCs/>
          <w:color w:val="000000" w:themeColor="text1"/>
          <w:szCs w:val="22"/>
          <w:lang w:val="fr-FR"/>
        </w:rPr>
      </w:pPr>
    </w:p>
    <w:p w14:paraId="19EDA7AF" w14:textId="0CAB849A" w:rsidR="005D71D4" w:rsidRPr="00982D3E" w:rsidRDefault="005D71D4" w:rsidP="00D15D07">
      <w:pPr>
        <w:ind w:left="567"/>
        <w:jc w:val="both"/>
        <w:rPr>
          <w:bCs/>
          <w:color w:val="000000" w:themeColor="text1"/>
          <w:szCs w:val="22"/>
          <w:lang w:val="fr-FR"/>
        </w:rPr>
      </w:pPr>
      <w:r w:rsidRPr="00982D3E">
        <w:rPr>
          <w:color w:val="000000" w:themeColor="text1"/>
          <w:lang w:val="fr-FR"/>
        </w:rPr>
        <w:t>1.</w:t>
      </w:r>
      <w:r w:rsidR="004319B8" w:rsidRPr="00982D3E">
        <w:rPr>
          <w:color w:val="000000" w:themeColor="text1"/>
          <w:lang w:val="fr-FR"/>
        </w:rPr>
        <w:t xml:space="preserve"> </w:t>
      </w:r>
      <w:r w:rsidRPr="00982D3E">
        <w:rPr>
          <w:color w:val="000000" w:themeColor="text1"/>
          <w:lang w:val="fr-FR"/>
        </w:rPr>
        <w:t xml:space="preserve"> Étape 1</w:t>
      </w:r>
      <w:r w:rsidR="00C15821" w:rsidRPr="00982D3E">
        <w:rPr>
          <w:color w:val="000000" w:themeColor="text1"/>
          <w:lang w:val="fr-FR"/>
        </w:rPr>
        <w:t> :</w:t>
      </w:r>
      <w:r w:rsidRPr="00982D3E">
        <w:rPr>
          <w:color w:val="000000" w:themeColor="text1"/>
          <w:lang w:val="fr-FR"/>
        </w:rPr>
        <w:t xml:space="preserve"> théorie, droit des brevets dans les secteurs technologiques choisis, en mettant l</w:t>
      </w:r>
      <w:r w:rsidR="00C15821" w:rsidRPr="00982D3E">
        <w:rPr>
          <w:color w:val="000000" w:themeColor="text1"/>
          <w:lang w:val="fr-FR"/>
        </w:rPr>
        <w:t>’</w:t>
      </w:r>
      <w:r w:rsidRPr="00982D3E">
        <w:rPr>
          <w:color w:val="000000" w:themeColor="text1"/>
          <w:lang w:val="fr-FR"/>
        </w:rPr>
        <w:t>accent sur les aspects internationaux et les différents ressorts juridiques.</w:t>
      </w:r>
    </w:p>
    <w:p w14:paraId="4D46B353" w14:textId="77777777" w:rsidR="005D71D4" w:rsidRPr="00982D3E" w:rsidRDefault="005D71D4" w:rsidP="00D15D07">
      <w:pPr>
        <w:ind w:left="567"/>
        <w:jc w:val="both"/>
        <w:rPr>
          <w:bCs/>
          <w:color w:val="000000" w:themeColor="text1"/>
          <w:szCs w:val="22"/>
          <w:lang w:val="fr-FR"/>
        </w:rPr>
      </w:pPr>
    </w:p>
    <w:p w14:paraId="2C5A4D52" w14:textId="2B0ACD68" w:rsidR="005D71D4" w:rsidRPr="00982D3E" w:rsidRDefault="005D71D4" w:rsidP="00D15D07">
      <w:pPr>
        <w:ind w:left="567"/>
        <w:jc w:val="both"/>
        <w:rPr>
          <w:bCs/>
          <w:color w:val="000000" w:themeColor="text1"/>
          <w:szCs w:val="22"/>
          <w:lang w:val="fr-FR"/>
        </w:rPr>
      </w:pPr>
      <w:r w:rsidRPr="00982D3E">
        <w:rPr>
          <w:color w:val="000000" w:themeColor="text1"/>
          <w:lang w:val="fr-FR"/>
        </w:rPr>
        <w:t xml:space="preserve">2. </w:t>
      </w:r>
      <w:r w:rsidR="004319B8" w:rsidRPr="00982D3E">
        <w:rPr>
          <w:color w:val="000000" w:themeColor="text1"/>
          <w:lang w:val="fr-FR"/>
        </w:rPr>
        <w:t xml:space="preserve"> </w:t>
      </w:r>
      <w:r w:rsidRPr="00982D3E">
        <w:rPr>
          <w:color w:val="000000" w:themeColor="text1"/>
          <w:lang w:val="fr-FR"/>
        </w:rPr>
        <w:t>Étape 2</w:t>
      </w:r>
      <w:r w:rsidR="00C15821" w:rsidRPr="00982D3E">
        <w:rPr>
          <w:color w:val="000000" w:themeColor="text1"/>
          <w:lang w:val="fr-FR"/>
        </w:rPr>
        <w:t> :</w:t>
      </w:r>
      <w:r w:rsidRPr="00982D3E">
        <w:rPr>
          <w:color w:val="000000" w:themeColor="text1"/>
          <w:lang w:val="fr-FR"/>
        </w:rPr>
        <w:t xml:space="preserve"> modalités de fonctionnement des autres offices</w:t>
      </w:r>
      <w:r w:rsidR="00C15821" w:rsidRPr="00982D3E">
        <w:rPr>
          <w:color w:val="000000" w:themeColor="text1"/>
          <w:lang w:val="fr-FR"/>
        </w:rPr>
        <w:t> :</w:t>
      </w:r>
      <w:r w:rsidRPr="00982D3E">
        <w:rPr>
          <w:color w:val="000000" w:themeColor="text1"/>
          <w:lang w:val="fr-FR"/>
        </w:rPr>
        <w:t xml:space="preserve"> exposés sur la théorie et la pratique dans les offices internationaux et certains offices participants, illustrés par des exemples précis d</w:t>
      </w:r>
      <w:r w:rsidR="00C15821" w:rsidRPr="00982D3E">
        <w:rPr>
          <w:color w:val="000000" w:themeColor="text1"/>
          <w:lang w:val="fr-FR"/>
        </w:rPr>
        <w:t>’</w:t>
      </w:r>
      <w:r w:rsidRPr="00982D3E">
        <w:rPr>
          <w:color w:val="000000" w:themeColor="text1"/>
          <w:lang w:val="fr-FR"/>
        </w:rPr>
        <w:t>examen, d</w:t>
      </w:r>
      <w:r w:rsidR="00C15821" w:rsidRPr="00982D3E">
        <w:rPr>
          <w:color w:val="000000" w:themeColor="text1"/>
          <w:lang w:val="fr-FR"/>
        </w:rPr>
        <w:t>’</w:t>
      </w:r>
      <w:r w:rsidRPr="00982D3E">
        <w:rPr>
          <w:color w:val="000000" w:themeColor="text1"/>
          <w:lang w:val="fr-FR"/>
        </w:rPr>
        <w:t>interprétation des conditions de brevetabilité et d</w:t>
      </w:r>
      <w:r w:rsidR="00C15821" w:rsidRPr="00982D3E">
        <w:rPr>
          <w:color w:val="000000" w:themeColor="text1"/>
          <w:lang w:val="fr-FR"/>
        </w:rPr>
        <w:t>’</w:t>
      </w:r>
      <w:r w:rsidRPr="00982D3E">
        <w:rPr>
          <w:color w:val="000000" w:themeColor="text1"/>
          <w:lang w:val="fr-FR"/>
        </w:rPr>
        <w:t>utilisation des bases de données dans le secteur concerné.</w:t>
      </w:r>
    </w:p>
    <w:p w14:paraId="1F551849" w14:textId="77777777" w:rsidR="005D71D4" w:rsidRPr="00982D3E" w:rsidRDefault="005D71D4" w:rsidP="00D15D07">
      <w:pPr>
        <w:ind w:left="567"/>
        <w:jc w:val="both"/>
        <w:rPr>
          <w:bCs/>
          <w:color w:val="000000" w:themeColor="text1"/>
          <w:szCs w:val="22"/>
          <w:lang w:val="fr-FR"/>
        </w:rPr>
      </w:pPr>
    </w:p>
    <w:p w14:paraId="1E9165AA" w14:textId="5876D0DE" w:rsidR="005D71D4" w:rsidRPr="00982D3E" w:rsidRDefault="005D71D4" w:rsidP="00D15D07">
      <w:pPr>
        <w:ind w:left="567"/>
        <w:jc w:val="both"/>
        <w:rPr>
          <w:bCs/>
          <w:color w:val="000000" w:themeColor="text1"/>
          <w:szCs w:val="22"/>
          <w:lang w:val="fr-FR"/>
        </w:rPr>
      </w:pPr>
      <w:r w:rsidRPr="00982D3E">
        <w:rPr>
          <w:color w:val="000000" w:themeColor="text1"/>
          <w:lang w:val="fr-FR"/>
        </w:rPr>
        <w:t>3.</w:t>
      </w:r>
      <w:r w:rsidR="004319B8" w:rsidRPr="00982D3E">
        <w:rPr>
          <w:color w:val="000000" w:themeColor="text1"/>
          <w:lang w:val="fr-FR"/>
        </w:rPr>
        <w:t xml:space="preserve"> </w:t>
      </w:r>
      <w:r w:rsidRPr="00982D3E">
        <w:rPr>
          <w:color w:val="000000" w:themeColor="text1"/>
          <w:lang w:val="fr-FR"/>
        </w:rPr>
        <w:t xml:space="preserve"> Étape 3</w:t>
      </w:r>
      <w:r w:rsidR="00C15821" w:rsidRPr="00982D3E">
        <w:rPr>
          <w:color w:val="000000" w:themeColor="text1"/>
          <w:lang w:val="fr-FR"/>
        </w:rPr>
        <w:t> :</w:t>
      </w:r>
      <w:r w:rsidRPr="00982D3E">
        <w:rPr>
          <w:color w:val="000000" w:themeColor="text1"/>
          <w:lang w:val="fr-FR"/>
        </w:rPr>
        <w:t xml:space="preserve"> formation fondée sur l</w:t>
      </w:r>
      <w:r w:rsidR="00C15821" w:rsidRPr="00982D3E">
        <w:rPr>
          <w:color w:val="000000" w:themeColor="text1"/>
          <w:lang w:val="fr-FR"/>
        </w:rPr>
        <w:t>’</w:t>
      </w:r>
      <w:r w:rsidRPr="00982D3E">
        <w:rPr>
          <w:color w:val="000000" w:themeColor="text1"/>
          <w:lang w:val="fr-FR"/>
        </w:rPr>
        <w:t>examen de demandes spécifiques par les participants, avec l</w:t>
      </w:r>
      <w:r w:rsidR="00C15821" w:rsidRPr="00982D3E">
        <w:rPr>
          <w:color w:val="000000" w:themeColor="text1"/>
          <w:lang w:val="fr-FR"/>
        </w:rPr>
        <w:t>’</w:t>
      </w:r>
      <w:r w:rsidRPr="00982D3E">
        <w:rPr>
          <w:color w:val="000000" w:themeColor="text1"/>
          <w:lang w:val="fr-FR"/>
        </w:rPr>
        <w:t>aide de formateurs régionaux et internationaux, sur la base de cas réels traités dans chacun des offices.</w:t>
      </w:r>
    </w:p>
    <w:p w14:paraId="4AF5E6A0" w14:textId="77777777" w:rsidR="005D71D4" w:rsidRPr="00982D3E" w:rsidRDefault="005D71D4" w:rsidP="00D15D07">
      <w:pPr>
        <w:jc w:val="both"/>
        <w:rPr>
          <w:bCs/>
          <w:color w:val="000000" w:themeColor="text1"/>
          <w:szCs w:val="22"/>
          <w:lang w:val="fr-FR"/>
        </w:rPr>
      </w:pPr>
    </w:p>
    <w:p w14:paraId="67F25967" w14:textId="5301345E" w:rsidR="00C15821" w:rsidRPr="00982D3E" w:rsidRDefault="005D71D4" w:rsidP="00D15D07">
      <w:pPr>
        <w:jc w:val="both"/>
        <w:rPr>
          <w:color w:val="000000" w:themeColor="text1"/>
          <w:lang w:val="fr-FR"/>
        </w:rPr>
      </w:pPr>
      <w:r w:rsidRPr="00982D3E">
        <w:rPr>
          <w:color w:val="000000" w:themeColor="text1"/>
          <w:lang w:val="fr-FR"/>
        </w:rPr>
        <w:t>Pour conclure, l</w:t>
      </w:r>
      <w:r w:rsidR="00C15821" w:rsidRPr="00982D3E">
        <w:rPr>
          <w:color w:val="000000" w:themeColor="text1"/>
          <w:lang w:val="fr-FR"/>
        </w:rPr>
        <w:t>’</w:t>
      </w:r>
      <w:r w:rsidRPr="00982D3E">
        <w:rPr>
          <w:color w:val="000000" w:themeColor="text1"/>
          <w:lang w:val="fr-FR"/>
        </w:rPr>
        <w:t>OEPM coopère étroitement avec l</w:t>
      </w:r>
      <w:r w:rsidR="00C15821" w:rsidRPr="00982D3E">
        <w:rPr>
          <w:color w:val="000000" w:themeColor="text1"/>
          <w:lang w:val="fr-FR"/>
        </w:rPr>
        <w:t>’</w:t>
      </w:r>
      <w:r w:rsidRPr="00982D3E">
        <w:rPr>
          <w:color w:val="000000" w:themeColor="text1"/>
          <w:lang w:val="fr-FR"/>
        </w:rPr>
        <w:t>Office de l</w:t>
      </w:r>
      <w:r w:rsidR="00C15821" w:rsidRPr="00982D3E">
        <w:rPr>
          <w:color w:val="000000" w:themeColor="text1"/>
          <w:lang w:val="fr-FR"/>
        </w:rPr>
        <w:t>’</w:t>
      </w:r>
      <w:r w:rsidRPr="00982D3E">
        <w:rPr>
          <w:color w:val="000000" w:themeColor="text1"/>
          <w:lang w:val="fr-FR"/>
        </w:rPr>
        <w:t>Union européenne pour la propriété intellectuelle (EUIPO) et l</w:t>
      </w:r>
      <w:r w:rsidR="00C15821" w:rsidRPr="00982D3E">
        <w:rPr>
          <w:color w:val="000000" w:themeColor="text1"/>
          <w:lang w:val="fr-FR"/>
        </w:rPr>
        <w:t>’</w:t>
      </w:r>
      <w:r w:rsidRPr="00982D3E">
        <w:rPr>
          <w:color w:val="000000" w:themeColor="text1"/>
          <w:lang w:val="fr-FR"/>
        </w:rPr>
        <w:t>OEB, afin d</w:t>
      </w:r>
      <w:r w:rsidR="00C15821" w:rsidRPr="00982D3E">
        <w:rPr>
          <w:color w:val="000000" w:themeColor="text1"/>
          <w:lang w:val="fr-FR"/>
        </w:rPr>
        <w:t>’</w:t>
      </w:r>
      <w:r w:rsidRPr="00982D3E">
        <w:rPr>
          <w:color w:val="000000" w:themeColor="text1"/>
          <w:lang w:val="fr-FR"/>
        </w:rPr>
        <w:t>être au courant des derniers outils informatiques et bases de données sur la propriété intellectuelle, de poursuivre l</w:t>
      </w:r>
      <w:r w:rsidR="00C15821" w:rsidRPr="00982D3E">
        <w:rPr>
          <w:color w:val="000000" w:themeColor="text1"/>
          <w:lang w:val="fr-FR"/>
        </w:rPr>
        <w:t>’</w:t>
      </w:r>
      <w:r w:rsidRPr="00982D3E">
        <w:rPr>
          <w:color w:val="000000" w:themeColor="text1"/>
          <w:lang w:val="fr-FR"/>
        </w:rPr>
        <w:t>harmonisation des procédures et de rendre le système plus prévisible pour les utilisateurs.</w:t>
      </w:r>
    </w:p>
    <w:p w14:paraId="6F84A9BC" w14:textId="419ABA85" w:rsidR="005D71D4" w:rsidRPr="00982D3E" w:rsidRDefault="005D71D4" w:rsidP="00D15D07">
      <w:pPr>
        <w:jc w:val="both"/>
        <w:rPr>
          <w:bCs/>
          <w:color w:val="000000" w:themeColor="text1"/>
          <w:szCs w:val="22"/>
          <w:lang w:val="fr-FR"/>
        </w:rPr>
      </w:pPr>
    </w:p>
    <w:p w14:paraId="4F70897B" w14:textId="4E4448A9" w:rsidR="005D71D4" w:rsidRPr="00982D3E" w:rsidRDefault="005D71D4" w:rsidP="002A048C">
      <w:pPr>
        <w:keepNext/>
        <w:jc w:val="both"/>
        <w:rPr>
          <w:b/>
          <w:bCs/>
          <w:color w:val="000000" w:themeColor="text1"/>
          <w:szCs w:val="22"/>
          <w:lang w:val="fr-FR"/>
        </w:rPr>
      </w:pPr>
      <w:r w:rsidRPr="00982D3E">
        <w:rPr>
          <w:b/>
          <w:color w:val="000000" w:themeColor="text1"/>
          <w:lang w:val="fr-FR"/>
        </w:rPr>
        <w:lastRenderedPageBreak/>
        <w:t>AUTRES SERVICES FOURNIS PAR L</w:t>
      </w:r>
      <w:r w:rsidR="00C15821" w:rsidRPr="00982D3E">
        <w:rPr>
          <w:b/>
          <w:color w:val="000000" w:themeColor="text1"/>
          <w:lang w:val="fr-FR"/>
        </w:rPr>
        <w:t>’</w:t>
      </w:r>
      <w:r w:rsidRPr="00982D3E">
        <w:rPr>
          <w:b/>
          <w:color w:val="000000" w:themeColor="text1"/>
          <w:lang w:val="fr-FR"/>
        </w:rPr>
        <w:t>OEPM</w:t>
      </w:r>
    </w:p>
    <w:p w14:paraId="2B571B03" w14:textId="77777777" w:rsidR="005D71D4" w:rsidRPr="00982D3E" w:rsidRDefault="005D71D4" w:rsidP="002A048C">
      <w:pPr>
        <w:keepNext/>
        <w:jc w:val="both"/>
        <w:rPr>
          <w:bCs/>
          <w:color w:val="000000" w:themeColor="text1"/>
          <w:szCs w:val="22"/>
          <w:lang w:val="fr-FR"/>
        </w:rPr>
      </w:pPr>
    </w:p>
    <w:p w14:paraId="47B40813" w14:textId="37A02DE2" w:rsidR="005D71D4" w:rsidRPr="00982D3E" w:rsidRDefault="005D71D4" w:rsidP="00D15D07">
      <w:pPr>
        <w:jc w:val="both"/>
        <w:rPr>
          <w:b/>
          <w:bCs/>
          <w:color w:val="000000" w:themeColor="text1"/>
          <w:szCs w:val="22"/>
          <w:lang w:val="fr-FR"/>
        </w:rPr>
      </w:pPr>
      <w:r w:rsidRPr="00982D3E">
        <w:rPr>
          <w:b/>
          <w:color w:val="000000" w:themeColor="text1"/>
          <w:lang w:val="fr-FR"/>
        </w:rPr>
        <w:t>Rapports d</w:t>
      </w:r>
      <w:r w:rsidR="00C15821" w:rsidRPr="00982D3E">
        <w:rPr>
          <w:b/>
          <w:color w:val="000000" w:themeColor="text1"/>
          <w:lang w:val="fr-FR"/>
        </w:rPr>
        <w:t>’</w:t>
      </w:r>
      <w:r w:rsidRPr="00982D3E">
        <w:rPr>
          <w:b/>
          <w:color w:val="000000" w:themeColor="text1"/>
          <w:lang w:val="fr-FR"/>
        </w:rPr>
        <w:t>analyse sur les technologies</w:t>
      </w:r>
    </w:p>
    <w:p w14:paraId="60A68D67" w14:textId="77777777" w:rsidR="005D71D4" w:rsidRPr="00982D3E" w:rsidRDefault="005D71D4" w:rsidP="00D15D07">
      <w:pPr>
        <w:jc w:val="both"/>
        <w:rPr>
          <w:bCs/>
          <w:color w:val="000000" w:themeColor="text1"/>
          <w:szCs w:val="22"/>
          <w:lang w:val="fr-FR"/>
        </w:rPr>
      </w:pPr>
    </w:p>
    <w:p w14:paraId="708B93B6" w14:textId="50F231CA" w:rsidR="005D71D4" w:rsidRPr="00982D3E" w:rsidRDefault="005D71D4" w:rsidP="00D15D07">
      <w:pPr>
        <w:jc w:val="both"/>
        <w:rPr>
          <w:bCs/>
          <w:color w:val="000000" w:themeColor="text1"/>
          <w:szCs w:val="22"/>
          <w:lang w:val="fr-FR"/>
        </w:rPr>
      </w:pPr>
      <w:r w:rsidRPr="00982D3E">
        <w:rPr>
          <w:color w:val="000000" w:themeColor="text1"/>
          <w:lang w:val="fr-FR"/>
        </w:rPr>
        <w:t>Conscient de la nécessité pour les entreprises et les centres de recherche publics de mettre à profit les avancées de la technologie, l</w:t>
      </w:r>
      <w:r w:rsidR="00C15821" w:rsidRPr="00982D3E">
        <w:rPr>
          <w:color w:val="000000" w:themeColor="text1"/>
          <w:lang w:val="fr-FR"/>
        </w:rPr>
        <w:t>’</w:t>
      </w:r>
      <w:r w:rsidRPr="00982D3E">
        <w:rPr>
          <w:color w:val="000000" w:themeColor="text1"/>
          <w:lang w:val="fr-FR"/>
        </w:rPr>
        <w:t>OEPM a étendu et diversifié sa gamme de services d</w:t>
      </w:r>
      <w:r w:rsidR="00C15821" w:rsidRPr="00982D3E">
        <w:rPr>
          <w:color w:val="000000" w:themeColor="text1"/>
          <w:lang w:val="fr-FR"/>
        </w:rPr>
        <w:t>’</w:t>
      </w:r>
      <w:r w:rsidRPr="00982D3E">
        <w:rPr>
          <w:color w:val="000000" w:themeColor="text1"/>
          <w:lang w:val="fr-FR"/>
        </w:rPr>
        <w:t>information technologique, adoptant de nouveaux outils informatiques, créant de nouveaux services et améliorant le format et le contenu des prestations qu</w:t>
      </w:r>
      <w:r w:rsidR="00C15821" w:rsidRPr="00982D3E">
        <w:rPr>
          <w:color w:val="000000" w:themeColor="text1"/>
          <w:lang w:val="fr-FR"/>
        </w:rPr>
        <w:t>’</w:t>
      </w:r>
      <w:r w:rsidRPr="00982D3E">
        <w:rPr>
          <w:color w:val="000000" w:themeColor="text1"/>
          <w:lang w:val="fr-FR"/>
        </w:rPr>
        <w:t>il offre depuis plus de 30 ans.</w:t>
      </w:r>
    </w:p>
    <w:p w14:paraId="35AEB184" w14:textId="77777777" w:rsidR="005D71D4" w:rsidRPr="00982D3E" w:rsidRDefault="005D71D4" w:rsidP="00D15D07">
      <w:pPr>
        <w:jc w:val="both"/>
        <w:rPr>
          <w:bCs/>
          <w:color w:val="000000" w:themeColor="text1"/>
          <w:szCs w:val="22"/>
          <w:lang w:val="fr-FR"/>
        </w:rPr>
      </w:pPr>
    </w:p>
    <w:p w14:paraId="09DCED4C" w14:textId="4CB78C7B" w:rsidR="005D71D4" w:rsidRPr="00982D3E" w:rsidRDefault="005D71D4" w:rsidP="00D15D07">
      <w:pPr>
        <w:jc w:val="both"/>
        <w:rPr>
          <w:bCs/>
          <w:color w:val="000000" w:themeColor="text1"/>
          <w:szCs w:val="22"/>
          <w:lang w:val="fr-FR"/>
        </w:rPr>
      </w:pPr>
      <w:r w:rsidRPr="00982D3E">
        <w:rPr>
          <w:color w:val="000000" w:themeColor="text1"/>
          <w:lang w:val="fr-FR"/>
        </w:rPr>
        <w:t>Les rapports d</w:t>
      </w:r>
      <w:r w:rsidR="00C15821" w:rsidRPr="00982D3E">
        <w:rPr>
          <w:color w:val="000000" w:themeColor="text1"/>
          <w:lang w:val="fr-FR"/>
        </w:rPr>
        <w:t>’</w:t>
      </w:r>
      <w:r w:rsidRPr="00982D3E">
        <w:rPr>
          <w:color w:val="000000" w:themeColor="text1"/>
          <w:lang w:val="fr-FR"/>
        </w:rPr>
        <w:t>analyse sur les technologies peuvent être utiles dans les domaines suivants</w:t>
      </w:r>
      <w:r w:rsidR="00C15821" w:rsidRPr="00982D3E">
        <w:rPr>
          <w:color w:val="000000" w:themeColor="text1"/>
          <w:lang w:val="fr-FR"/>
        </w:rPr>
        <w:t> :</w:t>
      </w:r>
    </w:p>
    <w:p w14:paraId="7B883600" w14:textId="77777777" w:rsidR="005D71D4" w:rsidRPr="00982D3E" w:rsidRDefault="005D71D4" w:rsidP="00D15D07">
      <w:pPr>
        <w:jc w:val="both"/>
        <w:rPr>
          <w:bCs/>
          <w:color w:val="000000" w:themeColor="text1"/>
          <w:szCs w:val="22"/>
          <w:lang w:val="fr-FR"/>
        </w:rPr>
      </w:pPr>
    </w:p>
    <w:p w14:paraId="1CC4BB60" w14:textId="763726E2"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planification</w:t>
      </w:r>
      <w:proofErr w:type="gramEnd"/>
      <w:r w:rsidRPr="00982D3E">
        <w:rPr>
          <w:color w:val="000000" w:themeColor="text1"/>
        </w:rPr>
        <w:t xml:space="preserve"> de la recherche</w:t>
      </w:r>
      <w:r w:rsidR="000F0CBE">
        <w:rPr>
          <w:color w:val="000000" w:themeColor="text1"/>
        </w:rPr>
        <w:noBreakHyphen/>
      </w:r>
      <w:r w:rsidRPr="00982D3E">
        <w:rPr>
          <w:color w:val="000000" w:themeColor="text1"/>
        </w:rPr>
        <w:t>développement (R</w:t>
      </w:r>
      <w:r w:rsidR="000F0CBE">
        <w:rPr>
          <w:color w:val="000000" w:themeColor="text1"/>
        </w:rPr>
        <w:noBreakHyphen/>
      </w:r>
      <w:r w:rsidRPr="00982D3E">
        <w:rPr>
          <w:color w:val="000000" w:themeColor="text1"/>
        </w:rPr>
        <w:t>D)</w:t>
      </w:r>
    </w:p>
    <w:p w14:paraId="562D97AA" w14:textId="77777777"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analyse</w:t>
      </w:r>
      <w:proofErr w:type="gramEnd"/>
      <w:r w:rsidRPr="00982D3E">
        <w:rPr>
          <w:color w:val="000000" w:themeColor="text1"/>
        </w:rPr>
        <w:t xml:space="preserve"> de la brevetabilité des résultats obtenus</w:t>
      </w:r>
    </w:p>
    <w:p w14:paraId="23B6D49C" w14:textId="77777777"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rédaction</w:t>
      </w:r>
      <w:proofErr w:type="gramEnd"/>
      <w:r w:rsidRPr="00982D3E">
        <w:rPr>
          <w:color w:val="000000" w:themeColor="text1"/>
        </w:rPr>
        <w:t xml:space="preserve"> de brevets</w:t>
      </w:r>
    </w:p>
    <w:p w14:paraId="05CE3D9B" w14:textId="77777777"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résolution</w:t>
      </w:r>
      <w:proofErr w:type="gramEnd"/>
      <w:r w:rsidRPr="00982D3E">
        <w:rPr>
          <w:color w:val="000000" w:themeColor="text1"/>
        </w:rPr>
        <w:t xml:space="preserve"> de problèmes techniques particuliers</w:t>
      </w:r>
    </w:p>
    <w:p w14:paraId="225CC32F" w14:textId="77777777"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acquisition</w:t>
      </w:r>
      <w:proofErr w:type="gramEnd"/>
      <w:r w:rsidRPr="00982D3E">
        <w:rPr>
          <w:color w:val="000000" w:themeColor="text1"/>
        </w:rPr>
        <w:t xml:space="preserve"> de connaissances sur les nouveaux produits ou domaines de recherche</w:t>
      </w:r>
    </w:p>
    <w:p w14:paraId="68A7BDF7" w14:textId="541E1D74" w:rsidR="005D71D4" w:rsidRPr="00982D3E" w:rsidRDefault="005D71D4" w:rsidP="002A048C">
      <w:pPr>
        <w:pStyle w:val="ListParagraph"/>
        <w:numPr>
          <w:ilvl w:val="0"/>
          <w:numId w:val="7"/>
        </w:numPr>
        <w:ind w:left="1134" w:hanging="567"/>
        <w:jc w:val="both"/>
        <w:rPr>
          <w:bCs/>
          <w:color w:val="000000" w:themeColor="text1"/>
          <w:szCs w:val="22"/>
        </w:rPr>
      </w:pPr>
      <w:proofErr w:type="gramStart"/>
      <w:r w:rsidRPr="00982D3E">
        <w:rPr>
          <w:color w:val="000000" w:themeColor="text1"/>
        </w:rPr>
        <w:t>évaluation</w:t>
      </w:r>
      <w:proofErr w:type="gramEnd"/>
      <w:r w:rsidRPr="00982D3E">
        <w:rPr>
          <w:color w:val="000000" w:themeColor="text1"/>
        </w:rPr>
        <w:t xml:space="preserve"> des accords de licence</w:t>
      </w:r>
    </w:p>
    <w:p w14:paraId="55C39792" w14:textId="77777777" w:rsidR="00C15821" w:rsidRPr="00982D3E" w:rsidRDefault="005D71D4" w:rsidP="002A048C">
      <w:pPr>
        <w:pStyle w:val="ListParagraph"/>
        <w:numPr>
          <w:ilvl w:val="0"/>
          <w:numId w:val="7"/>
        </w:numPr>
        <w:ind w:left="1134" w:hanging="567"/>
        <w:jc w:val="both"/>
        <w:rPr>
          <w:color w:val="000000" w:themeColor="text1"/>
        </w:rPr>
      </w:pPr>
      <w:proofErr w:type="gramStart"/>
      <w:r w:rsidRPr="00982D3E">
        <w:rPr>
          <w:color w:val="000000" w:themeColor="text1"/>
        </w:rPr>
        <w:t>recensement</w:t>
      </w:r>
      <w:proofErr w:type="gramEnd"/>
      <w:r w:rsidRPr="00982D3E">
        <w:rPr>
          <w:color w:val="000000" w:themeColor="text1"/>
        </w:rPr>
        <w:t xml:space="preserve"> des technologies dans le domaine public</w:t>
      </w:r>
    </w:p>
    <w:p w14:paraId="68A93C71" w14:textId="4D47F31C" w:rsidR="005D71D4" w:rsidRPr="00982D3E" w:rsidRDefault="005D71D4" w:rsidP="002A048C">
      <w:pPr>
        <w:pStyle w:val="ListParagraph"/>
        <w:numPr>
          <w:ilvl w:val="0"/>
          <w:numId w:val="7"/>
        </w:numPr>
        <w:ind w:left="1134" w:hanging="567"/>
        <w:jc w:val="both"/>
        <w:rPr>
          <w:bCs/>
          <w:color w:val="000000" w:themeColor="text1"/>
          <w:szCs w:val="22"/>
        </w:rPr>
      </w:pPr>
      <w:proofErr w:type="gramStart"/>
      <w:r w:rsidRPr="00982D3E">
        <w:rPr>
          <w:color w:val="000000" w:themeColor="text1"/>
        </w:rPr>
        <w:t>prévention</w:t>
      </w:r>
      <w:proofErr w:type="gramEnd"/>
      <w:r w:rsidRPr="00982D3E">
        <w:rPr>
          <w:color w:val="000000" w:themeColor="text1"/>
        </w:rPr>
        <w:t xml:space="preserve"> d</w:t>
      </w:r>
      <w:r w:rsidR="00C15821" w:rsidRPr="00982D3E">
        <w:rPr>
          <w:color w:val="000000" w:themeColor="text1"/>
        </w:rPr>
        <w:t>’</w:t>
      </w:r>
      <w:r w:rsidRPr="00982D3E">
        <w:rPr>
          <w:color w:val="000000" w:themeColor="text1"/>
        </w:rPr>
        <w:t>atteintes potentielles</w:t>
      </w:r>
    </w:p>
    <w:p w14:paraId="3F80A5E6" w14:textId="77777777" w:rsidR="005D71D4" w:rsidRPr="00982D3E" w:rsidRDefault="005D71D4" w:rsidP="00D15D07">
      <w:pPr>
        <w:jc w:val="both"/>
        <w:rPr>
          <w:bCs/>
          <w:color w:val="000000" w:themeColor="text1"/>
          <w:szCs w:val="22"/>
          <w:lang w:val="fr-FR"/>
        </w:rPr>
      </w:pPr>
    </w:p>
    <w:p w14:paraId="071DEBC4" w14:textId="10C32D93" w:rsidR="00C15821" w:rsidRPr="00982D3E" w:rsidRDefault="005D71D4" w:rsidP="00D15D07">
      <w:pPr>
        <w:jc w:val="both"/>
        <w:rPr>
          <w:color w:val="000000" w:themeColor="text1"/>
          <w:lang w:val="fr-FR"/>
        </w:rPr>
      </w:pPr>
      <w:r w:rsidRPr="00982D3E">
        <w:rPr>
          <w:color w:val="000000" w:themeColor="text1"/>
          <w:lang w:val="fr-FR"/>
        </w:rPr>
        <w:t>Un rapport d</w:t>
      </w:r>
      <w:r w:rsidR="00C15821" w:rsidRPr="00982D3E">
        <w:rPr>
          <w:color w:val="000000" w:themeColor="text1"/>
          <w:lang w:val="fr-FR"/>
        </w:rPr>
        <w:t>’</w:t>
      </w:r>
      <w:r w:rsidRPr="00982D3E">
        <w:rPr>
          <w:color w:val="000000" w:themeColor="text1"/>
          <w:lang w:val="fr-FR"/>
        </w:rPr>
        <w:t>analyse sur les technologies contient les éléments clés suivants</w:t>
      </w:r>
      <w:r w:rsidR="00C15821" w:rsidRPr="00982D3E">
        <w:rPr>
          <w:color w:val="000000" w:themeColor="text1"/>
          <w:lang w:val="fr-FR"/>
        </w:rPr>
        <w:t> :</w:t>
      </w:r>
    </w:p>
    <w:p w14:paraId="7241AD11" w14:textId="4B9AA7A3" w:rsidR="005D71D4" w:rsidRPr="00982D3E" w:rsidRDefault="005D71D4" w:rsidP="00D15D07">
      <w:pPr>
        <w:jc w:val="both"/>
        <w:rPr>
          <w:bCs/>
          <w:color w:val="000000" w:themeColor="text1"/>
          <w:szCs w:val="22"/>
          <w:lang w:val="fr-FR"/>
        </w:rPr>
      </w:pPr>
    </w:p>
    <w:p w14:paraId="3763310D" w14:textId="75B3CFD1" w:rsidR="00C15821" w:rsidRPr="00982D3E" w:rsidRDefault="005D71D4" w:rsidP="002A048C">
      <w:pPr>
        <w:pStyle w:val="ListParagraph"/>
        <w:numPr>
          <w:ilvl w:val="0"/>
          <w:numId w:val="8"/>
        </w:numPr>
        <w:ind w:left="1134" w:hanging="567"/>
        <w:jc w:val="both"/>
        <w:rPr>
          <w:color w:val="000000" w:themeColor="text1"/>
        </w:rPr>
      </w:pPr>
      <w:r w:rsidRPr="00982D3E">
        <w:rPr>
          <w:color w:val="000000" w:themeColor="text1"/>
        </w:rPr>
        <w:t>But</w:t>
      </w:r>
      <w:r w:rsidR="00C15821" w:rsidRPr="00982D3E">
        <w:rPr>
          <w:color w:val="000000" w:themeColor="text1"/>
        </w:rPr>
        <w:t> :</w:t>
      </w:r>
      <w:r w:rsidRPr="00982D3E">
        <w:rPr>
          <w:color w:val="000000" w:themeColor="text1"/>
        </w:rPr>
        <w:t xml:space="preserve"> description détaillée du problème technique que l</w:t>
      </w:r>
      <w:r w:rsidR="00C15821" w:rsidRPr="00982D3E">
        <w:rPr>
          <w:color w:val="000000" w:themeColor="text1"/>
        </w:rPr>
        <w:t>’</w:t>
      </w:r>
      <w:r w:rsidRPr="00982D3E">
        <w:rPr>
          <w:color w:val="000000" w:themeColor="text1"/>
        </w:rPr>
        <w:t>on cherche à résoudre.</w:t>
      </w:r>
    </w:p>
    <w:p w14:paraId="6823E321" w14:textId="0B40F93F" w:rsidR="00C15821" w:rsidRPr="00982D3E" w:rsidRDefault="005D71D4" w:rsidP="002A048C">
      <w:pPr>
        <w:pStyle w:val="ListParagraph"/>
        <w:numPr>
          <w:ilvl w:val="0"/>
          <w:numId w:val="8"/>
        </w:numPr>
        <w:ind w:left="1134" w:hanging="567"/>
        <w:jc w:val="both"/>
        <w:rPr>
          <w:color w:val="000000" w:themeColor="text1"/>
        </w:rPr>
      </w:pPr>
      <w:r w:rsidRPr="00982D3E">
        <w:rPr>
          <w:color w:val="000000" w:themeColor="text1"/>
        </w:rPr>
        <w:t>Stratégie de recherche</w:t>
      </w:r>
      <w:r w:rsidR="00C15821" w:rsidRPr="00982D3E">
        <w:rPr>
          <w:color w:val="000000" w:themeColor="text1"/>
        </w:rPr>
        <w:t> :</w:t>
      </w:r>
      <w:r w:rsidRPr="00982D3E">
        <w:rPr>
          <w:color w:val="000000" w:themeColor="text1"/>
        </w:rPr>
        <w:t xml:space="preserve"> liste des critères de recherche pour consulter les informations.</w:t>
      </w:r>
    </w:p>
    <w:p w14:paraId="38E4DE83" w14:textId="77777777" w:rsidR="00C15821" w:rsidRPr="00982D3E" w:rsidRDefault="005D71D4" w:rsidP="002A048C">
      <w:pPr>
        <w:pStyle w:val="ListParagraph"/>
        <w:numPr>
          <w:ilvl w:val="1"/>
          <w:numId w:val="7"/>
        </w:numPr>
        <w:ind w:left="1701" w:hanging="567"/>
        <w:jc w:val="both"/>
        <w:rPr>
          <w:color w:val="000000" w:themeColor="text1"/>
        </w:rPr>
      </w:pPr>
      <w:r w:rsidRPr="00982D3E">
        <w:rPr>
          <w:color w:val="000000" w:themeColor="text1"/>
        </w:rPr>
        <w:t>Classification internationale des brevets</w:t>
      </w:r>
    </w:p>
    <w:p w14:paraId="09CAB86B" w14:textId="77777777" w:rsidR="00C15821" w:rsidRPr="00982D3E" w:rsidRDefault="005D71D4" w:rsidP="002A048C">
      <w:pPr>
        <w:pStyle w:val="ListParagraph"/>
        <w:numPr>
          <w:ilvl w:val="1"/>
          <w:numId w:val="7"/>
        </w:numPr>
        <w:ind w:left="1701" w:hanging="567"/>
        <w:jc w:val="both"/>
        <w:rPr>
          <w:color w:val="000000" w:themeColor="text1"/>
        </w:rPr>
      </w:pPr>
      <w:r w:rsidRPr="00982D3E">
        <w:rPr>
          <w:color w:val="000000" w:themeColor="text1"/>
        </w:rPr>
        <w:t>Mots clés</w:t>
      </w:r>
    </w:p>
    <w:p w14:paraId="5A8BEAF8" w14:textId="77777777" w:rsidR="00C15821" w:rsidRPr="00982D3E" w:rsidRDefault="005D71D4" w:rsidP="002A048C">
      <w:pPr>
        <w:pStyle w:val="ListParagraph"/>
        <w:numPr>
          <w:ilvl w:val="1"/>
          <w:numId w:val="7"/>
        </w:numPr>
        <w:ind w:left="1701" w:hanging="567"/>
        <w:jc w:val="both"/>
        <w:rPr>
          <w:color w:val="000000" w:themeColor="text1"/>
        </w:rPr>
      </w:pPr>
      <w:r w:rsidRPr="00982D3E">
        <w:rPr>
          <w:color w:val="000000" w:themeColor="text1"/>
        </w:rPr>
        <w:t>Entreprises concernées</w:t>
      </w:r>
    </w:p>
    <w:p w14:paraId="63282AF5" w14:textId="4F7BE049" w:rsidR="00C15821" w:rsidRPr="00982D3E" w:rsidRDefault="005D71D4" w:rsidP="002A048C">
      <w:pPr>
        <w:pStyle w:val="ListParagraph"/>
        <w:numPr>
          <w:ilvl w:val="0"/>
          <w:numId w:val="8"/>
        </w:numPr>
        <w:ind w:left="1134" w:hanging="567"/>
        <w:jc w:val="both"/>
        <w:rPr>
          <w:color w:val="000000" w:themeColor="text1"/>
        </w:rPr>
      </w:pPr>
      <w:r w:rsidRPr="00982D3E">
        <w:rPr>
          <w:color w:val="000000" w:themeColor="text1"/>
        </w:rPr>
        <w:t>Analyse des résultats</w:t>
      </w:r>
      <w:r w:rsidR="00C15821" w:rsidRPr="00982D3E">
        <w:rPr>
          <w:color w:val="000000" w:themeColor="text1"/>
        </w:rPr>
        <w:t> :</w:t>
      </w:r>
      <w:r w:rsidRPr="00982D3E">
        <w:rPr>
          <w:color w:val="000000" w:themeColor="text1"/>
        </w:rPr>
        <w:t xml:space="preserve"> documents consultés les plus pertinents et brève description de leur contenu par rapport au sujet du rapport.</w:t>
      </w:r>
    </w:p>
    <w:p w14:paraId="3443BEA7" w14:textId="783E1301" w:rsidR="00C15821" w:rsidRPr="00982D3E" w:rsidRDefault="005D71D4" w:rsidP="002A048C">
      <w:pPr>
        <w:pStyle w:val="ListParagraph"/>
        <w:numPr>
          <w:ilvl w:val="0"/>
          <w:numId w:val="8"/>
        </w:numPr>
        <w:ind w:left="1134" w:hanging="567"/>
        <w:jc w:val="both"/>
        <w:rPr>
          <w:color w:val="000000" w:themeColor="text1"/>
        </w:rPr>
      </w:pPr>
      <w:r w:rsidRPr="00982D3E">
        <w:rPr>
          <w:color w:val="000000" w:themeColor="text1"/>
        </w:rPr>
        <w:t>Conclusion</w:t>
      </w:r>
      <w:r w:rsidR="00C15821" w:rsidRPr="00982D3E">
        <w:rPr>
          <w:color w:val="000000" w:themeColor="text1"/>
        </w:rPr>
        <w:t> :</w:t>
      </w:r>
      <w:r w:rsidRPr="00982D3E">
        <w:rPr>
          <w:color w:val="000000" w:themeColor="text1"/>
        </w:rPr>
        <w:t xml:space="preserve"> observations finales sur le but du rapport et les documents trouvés.</w:t>
      </w:r>
    </w:p>
    <w:p w14:paraId="797C0D0A" w14:textId="28DF5A2B" w:rsidR="005D71D4" w:rsidRPr="00982D3E" w:rsidRDefault="005D71D4" w:rsidP="002A048C">
      <w:pPr>
        <w:pStyle w:val="ListParagraph"/>
        <w:numPr>
          <w:ilvl w:val="0"/>
          <w:numId w:val="8"/>
        </w:numPr>
        <w:ind w:left="1134" w:hanging="567"/>
        <w:jc w:val="both"/>
        <w:rPr>
          <w:bCs/>
          <w:color w:val="000000" w:themeColor="text1"/>
          <w:szCs w:val="22"/>
        </w:rPr>
      </w:pPr>
      <w:r w:rsidRPr="00982D3E">
        <w:rPr>
          <w:color w:val="000000" w:themeColor="text1"/>
        </w:rPr>
        <w:t>Liste de références</w:t>
      </w:r>
      <w:r w:rsidR="00C15821" w:rsidRPr="00982D3E">
        <w:rPr>
          <w:color w:val="000000" w:themeColor="text1"/>
        </w:rPr>
        <w:t> :</w:t>
      </w:r>
      <w:r w:rsidRPr="00982D3E">
        <w:rPr>
          <w:color w:val="000000" w:themeColor="text1"/>
        </w:rPr>
        <w:t xml:space="preserve"> intégration dans une annexe des références bibliographiques des documents consultés en rapport avec l</w:t>
      </w:r>
      <w:r w:rsidR="00C15821" w:rsidRPr="00982D3E">
        <w:rPr>
          <w:color w:val="000000" w:themeColor="text1"/>
        </w:rPr>
        <w:t>’</w:t>
      </w:r>
      <w:r w:rsidRPr="00982D3E">
        <w:rPr>
          <w:color w:val="000000" w:themeColor="text1"/>
        </w:rPr>
        <w:t xml:space="preserve">objet de la recherche, </w:t>
      </w:r>
      <w:r w:rsidR="00C15821" w:rsidRPr="00982D3E">
        <w:rPr>
          <w:color w:val="000000" w:themeColor="text1"/>
        </w:rPr>
        <w:t>y compris</w:t>
      </w:r>
      <w:r w:rsidRPr="00982D3E">
        <w:rPr>
          <w:color w:val="000000" w:themeColor="text1"/>
        </w:rPr>
        <w:t xml:space="preserve"> des liens Internet.</w:t>
      </w:r>
    </w:p>
    <w:p w14:paraId="270D22BC" w14:textId="77777777" w:rsidR="005D71D4" w:rsidRPr="00982D3E" w:rsidRDefault="005D71D4" w:rsidP="00D15D07">
      <w:pPr>
        <w:jc w:val="both"/>
        <w:rPr>
          <w:bCs/>
          <w:color w:val="000000" w:themeColor="text1"/>
          <w:szCs w:val="22"/>
          <w:lang w:val="fr-FR"/>
        </w:rPr>
      </w:pPr>
    </w:p>
    <w:p w14:paraId="3DFA4191" w14:textId="77777777" w:rsidR="005D71D4" w:rsidRPr="00982D3E" w:rsidRDefault="005D71D4" w:rsidP="00D15D07">
      <w:pPr>
        <w:jc w:val="both"/>
        <w:rPr>
          <w:b/>
          <w:bCs/>
          <w:color w:val="000000" w:themeColor="text1"/>
          <w:szCs w:val="22"/>
          <w:lang w:val="fr-FR"/>
        </w:rPr>
      </w:pPr>
      <w:r w:rsidRPr="00982D3E">
        <w:rPr>
          <w:b/>
          <w:color w:val="000000" w:themeColor="text1"/>
          <w:lang w:val="fr-FR"/>
        </w:rPr>
        <w:t>Bulletins de veille technologique</w:t>
      </w:r>
    </w:p>
    <w:p w14:paraId="44B22527" w14:textId="77777777" w:rsidR="005D71D4" w:rsidRPr="00982D3E" w:rsidRDefault="005D71D4" w:rsidP="00D15D07">
      <w:pPr>
        <w:jc w:val="both"/>
        <w:rPr>
          <w:b/>
          <w:bCs/>
          <w:color w:val="000000" w:themeColor="text1"/>
          <w:szCs w:val="22"/>
          <w:lang w:val="fr-FR"/>
        </w:rPr>
      </w:pPr>
    </w:p>
    <w:p w14:paraId="01481BF8" w14:textId="77777777" w:rsidR="005D71D4" w:rsidRPr="00982D3E" w:rsidRDefault="005D71D4" w:rsidP="00D15D07">
      <w:pPr>
        <w:jc w:val="both"/>
        <w:rPr>
          <w:bCs/>
          <w:color w:val="000000" w:themeColor="text1"/>
          <w:szCs w:val="22"/>
          <w:lang w:val="fr-FR"/>
        </w:rPr>
      </w:pPr>
      <w:r w:rsidRPr="00982D3E">
        <w:rPr>
          <w:color w:val="000000" w:themeColor="text1"/>
          <w:lang w:val="fr-FR"/>
        </w:rPr>
        <w:t>Les bulletins trimestriels de veille technologique fournissent des informations sur les brevets publiés les plus pertinents et sur les dernières avancées dans divers secteurs technologiques.</w:t>
      </w:r>
    </w:p>
    <w:p w14:paraId="4665A18E" w14:textId="77777777" w:rsidR="005D71D4" w:rsidRPr="00982D3E" w:rsidRDefault="005D71D4" w:rsidP="00D15D07">
      <w:pPr>
        <w:jc w:val="both"/>
        <w:rPr>
          <w:bCs/>
          <w:color w:val="000000" w:themeColor="text1"/>
          <w:szCs w:val="22"/>
          <w:lang w:val="fr-FR"/>
        </w:rPr>
      </w:pPr>
    </w:p>
    <w:p w14:paraId="43F3A1B9" w14:textId="56377D47" w:rsidR="005D71D4" w:rsidRPr="00982D3E" w:rsidRDefault="005D71D4" w:rsidP="00D15D07">
      <w:pPr>
        <w:jc w:val="both"/>
        <w:rPr>
          <w:bCs/>
          <w:color w:val="000000" w:themeColor="text1"/>
          <w:szCs w:val="22"/>
          <w:lang w:val="fr-FR"/>
        </w:rPr>
      </w:pPr>
      <w:r w:rsidRPr="00982D3E">
        <w:rPr>
          <w:color w:val="000000" w:themeColor="text1"/>
          <w:lang w:val="fr-FR"/>
        </w:rPr>
        <w:t>Grâce à ce service d</w:t>
      </w:r>
      <w:r w:rsidR="00C15821" w:rsidRPr="00982D3E">
        <w:rPr>
          <w:color w:val="000000" w:themeColor="text1"/>
          <w:lang w:val="fr-FR"/>
        </w:rPr>
        <w:t>’</w:t>
      </w:r>
      <w:r w:rsidRPr="00982D3E">
        <w:rPr>
          <w:color w:val="000000" w:themeColor="text1"/>
          <w:lang w:val="fr-FR"/>
        </w:rPr>
        <w:t>information technologique gratuit, l</w:t>
      </w:r>
      <w:r w:rsidR="00C15821" w:rsidRPr="00982D3E">
        <w:rPr>
          <w:color w:val="000000" w:themeColor="text1"/>
          <w:lang w:val="fr-FR"/>
        </w:rPr>
        <w:t>’</w:t>
      </w:r>
      <w:r w:rsidRPr="00982D3E">
        <w:rPr>
          <w:color w:val="000000" w:themeColor="text1"/>
          <w:lang w:val="fr-FR"/>
        </w:rPr>
        <w:t>OEPM contribue à la diffusion de l</w:t>
      </w:r>
      <w:r w:rsidR="00C15821" w:rsidRPr="00982D3E">
        <w:rPr>
          <w:color w:val="000000" w:themeColor="text1"/>
          <w:lang w:val="fr-FR"/>
        </w:rPr>
        <w:t>’</w:t>
      </w:r>
      <w:r w:rsidRPr="00982D3E">
        <w:rPr>
          <w:color w:val="000000" w:themeColor="text1"/>
          <w:lang w:val="fr-FR"/>
        </w:rPr>
        <w:t>information technique contenue dans les documents de brevet auprès du public.</w:t>
      </w:r>
    </w:p>
    <w:p w14:paraId="7490130A" w14:textId="017E6D70" w:rsidR="005D71D4" w:rsidRPr="00982D3E" w:rsidRDefault="005D71D4" w:rsidP="00D15D07">
      <w:pPr>
        <w:jc w:val="both"/>
        <w:rPr>
          <w:bCs/>
          <w:color w:val="000000" w:themeColor="text1"/>
          <w:szCs w:val="22"/>
          <w:lang w:val="fr-FR"/>
        </w:rPr>
      </w:pPr>
    </w:p>
    <w:p w14:paraId="563768DB" w14:textId="0306FCE3" w:rsidR="005D71D4" w:rsidRPr="00982D3E" w:rsidRDefault="005D71D4" w:rsidP="00D15D07">
      <w:pPr>
        <w:jc w:val="both"/>
        <w:rPr>
          <w:bCs/>
          <w:color w:val="000000" w:themeColor="text1"/>
          <w:szCs w:val="22"/>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établit les bulletins, parfois en tandem avec d</w:t>
      </w:r>
      <w:r w:rsidR="00C15821" w:rsidRPr="00982D3E">
        <w:rPr>
          <w:color w:val="000000" w:themeColor="text1"/>
          <w:lang w:val="fr-FR"/>
        </w:rPr>
        <w:t>’</w:t>
      </w:r>
      <w:r w:rsidRPr="00982D3E">
        <w:rPr>
          <w:color w:val="000000" w:themeColor="text1"/>
          <w:lang w:val="fr-FR"/>
        </w:rPr>
        <w:t xml:space="preserve">autres institutions nationales comme les centres de technologie ITECAM et INESCOP, des plateformes technologiques comme </w:t>
      </w:r>
      <w:proofErr w:type="spellStart"/>
      <w:r w:rsidRPr="00982D3E">
        <w:rPr>
          <w:color w:val="000000" w:themeColor="text1"/>
          <w:lang w:val="fr-FR"/>
        </w:rPr>
        <w:t>VET+i</w:t>
      </w:r>
      <w:proofErr w:type="spellEnd"/>
      <w:r w:rsidRPr="00982D3E">
        <w:rPr>
          <w:color w:val="000000" w:themeColor="text1"/>
          <w:lang w:val="fr-FR"/>
        </w:rPr>
        <w:t>, Food For Life Spain</w:t>
      </w:r>
      <w:r w:rsidR="00982D3E">
        <w:rPr>
          <w:color w:val="000000" w:themeColor="text1"/>
          <w:lang w:val="fr-FR"/>
        </w:rPr>
        <w:t> </w:t>
      </w:r>
      <w:r w:rsidRPr="00982D3E">
        <w:rPr>
          <w:color w:val="000000" w:themeColor="text1"/>
          <w:lang w:val="fr-FR"/>
        </w:rPr>
        <w:t>PTF4LS, BIOPLAT</w:t>
      </w:r>
      <w:r w:rsidR="00C15821" w:rsidRPr="00982D3E">
        <w:rPr>
          <w:b/>
          <w:color w:val="000000" w:themeColor="text1"/>
          <w:lang w:val="fr-FR"/>
        </w:rPr>
        <w:t xml:space="preserve">, </w:t>
      </w:r>
      <w:r w:rsidR="00C15821" w:rsidRPr="00982D3E">
        <w:rPr>
          <w:color w:val="000000" w:themeColor="text1"/>
          <w:lang w:val="fr-FR"/>
        </w:rPr>
        <w:t>PT</w:t>
      </w:r>
      <w:r w:rsidRPr="00982D3E">
        <w:rPr>
          <w:color w:val="000000" w:themeColor="text1"/>
          <w:lang w:val="fr-FR"/>
        </w:rPr>
        <w:t>EPA</w:t>
      </w:r>
      <w:r w:rsidR="00C15821" w:rsidRPr="00982D3E">
        <w:rPr>
          <w:b/>
          <w:color w:val="000000" w:themeColor="text1"/>
          <w:lang w:val="fr-FR"/>
        </w:rPr>
        <w:t xml:space="preserve">, </w:t>
      </w:r>
      <w:r w:rsidR="00C15821" w:rsidRPr="00982D3E">
        <w:rPr>
          <w:color w:val="000000" w:themeColor="text1"/>
          <w:lang w:val="fr-FR"/>
        </w:rPr>
        <w:t>AS</w:t>
      </w:r>
      <w:r w:rsidRPr="00982D3E">
        <w:rPr>
          <w:color w:val="000000" w:themeColor="text1"/>
          <w:lang w:val="fr-FR"/>
        </w:rPr>
        <w:t>EBIO et ITEMAS, ou des organisations internationales comme l</w:t>
      </w:r>
      <w:r w:rsidR="00C15821" w:rsidRPr="00982D3E">
        <w:rPr>
          <w:color w:val="000000" w:themeColor="text1"/>
          <w:lang w:val="fr-FR"/>
        </w:rPr>
        <w:t>’</w:t>
      </w:r>
      <w:r w:rsidRPr="00982D3E">
        <w:rPr>
          <w:color w:val="000000" w:themeColor="text1"/>
          <w:lang w:val="fr-FR"/>
        </w:rPr>
        <w:t>Institut national de la propriété industrielle du Portugal.</w:t>
      </w:r>
    </w:p>
    <w:p w14:paraId="26BE8E13" w14:textId="77777777" w:rsidR="005D71D4" w:rsidRPr="00982D3E" w:rsidRDefault="005D71D4" w:rsidP="00D15D07">
      <w:pPr>
        <w:jc w:val="both"/>
        <w:rPr>
          <w:bCs/>
          <w:color w:val="000000" w:themeColor="text1"/>
          <w:szCs w:val="22"/>
          <w:lang w:val="fr-FR"/>
        </w:rPr>
      </w:pPr>
    </w:p>
    <w:p w14:paraId="775D33AF" w14:textId="180D943D" w:rsidR="005D71D4" w:rsidRPr="00982D3E" w:rsidRDefault="005D71D4" w:rsidP="00D15D07">
      <w:pPr>
        <w:jc w:val="both"/>
        <w:rPr>
          <w:bCs/>
          <w:color w:val="000000" w:themeColor="text1"/>
          <w:szCs w:val="22"/>
          <w:lang w:val="fr-FR"/>
        </w:rPr>
      </w:pPr>
      <w:r w:rsidRPr="00982D3E">
        <w:rPr>
          <w:color w:val="000000" w:themeColor="text1"/>
          <w:lang w:val="fr-FR"/>
        </w:rPr>
        <w:t>Les bulletins couvrent les secteurs suivants</w:t>
      </w:r>
      <w:r w:rsidR="00C15821" w:rsidRPr="00982D3E">
        <w:rPr>
          <w:color w:val="000000" w:themeColor="text1"/>
          <w:lang w:val="fr-FR"/>
        </w:rPr>
        <w:t> :</w:t>
      </w:r>
    </w:p>
    <w:p w14:paraId="4D94B709" w14:textId="77777777" w:rsidR="005D71D4" w:rsidRPr="00982D3E" w:rsidRDefault="005D71D4" w:rsidP="00D15D07">
      <w:pPr>
        <w:jc w:val="both"/>
        <w:rPr>
          <w:bCs/>
          <w:color w:val="000000" w:themeColor="text1"/>
          <w:szCs w:val="22"/>
          <w:lang w:val="fr-FR"/>
        </w:rPr>
      </w:pPr>
    </w:p>
    <w:p w14:paraId="63263717" w14:textId="03BADB99"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t>Biotechnologie et santé</w:t>
      </w:r>
      <w:r w:rsidR="00C15821" w:rsidRPr="00982D3E">
        <w:rPr>
          <w:color w:val="000000" w:themeColor="text1"/>
        </w:rPr>
        <w:t> :</w:t>
      </w:r>
    </w:p>
    <w:p w14:paraId="49ACEE34" w14:textId="3BA78615" w:rsidR="005D71D4" w:rsidRPr="00982D3E" w:rsidRDefault="005D71D4" w:rsidP="002A048C">
      <w:pPr>
        <w:pStyle w:val="ListParagraph"/>
        <w:numPr>
          <w:ilvl w:val="0"/>
          <w:numId w:val="10"/>
        </w:numPr>
        <w:ind w:left="1701" w:hanging="567"/>
        <w:jc w:val="both"/>
        <w:rPr>
          <w:bCs/>
          <w:color w:val="000000" w:themeColor="text1"/>
          <w:szCs w:val="22"/>
        </w:rPr>
      </w:pPr>
      <w:r w:rsidRPr="00982D3E">
        <w:rPr>
          <w:color w:val="000000" w:themeColor="text1"/>
        </w:rPr>
        <w:t>Coronavirus</w:t>
      </w:r>
      <w:r w:rsidR="00C15821" w:rsidRPr="00982D3E">
        <w:rPr>
          <w:color w:val="000000" w:themeColor="text1"/>
        </w:rPr>
        <w:t> :</w:t>
      </w:r>
      <w:r w:rsidRPr="00982D3E">
        <w:rPr>
          <w:color w:val="000000" w:themeColor="text1"/>
        </w:rPr>
        <w:t xml:space="preserve"> diagnostic et traitement pour l</w:t>
      </w:r>
      <w:r w:rsidR="00C15821" w:rsidRPr="00982D3E">
        <w:rPr>
          <w:color w:val="000000" w:themeColor="text1"/>
        </w:rPr>
        <w:t>’</w:t>
      </w:r>
      <w:r w:rsidRPr="00982D3E">
        <w:rPr>
          <w:color w:val="000000" w:themeColor="text1"/>
        </w:rPr>
        <w:t>être humain</w:t>
      </w:r>
    </w:p>
    <w:p w14:paraId="0A3B2706" w14:textId="77777777" w:rsidR="005D71D4" w:rsidRPr="00982D3E" w:rsidRDefault="005D71D4" w:rsidP="002A048C">
      <w:pPr>
        <w:pStyle w:val="ListParagraph"/>
        <w:numPr>
          <w:ilvl w:val="0"/>
          <w:numId w:val="10"/>
        </w:numPr>
        <w:ind w:left="1701" w:hanging="567"/>
        <w:jc w:val="both"/>
        <w:rPr>
          <w:bCs/>
          <w:color w:val="000000" w:themeColor="text1"/>
          <w:szCs w:val="22"/>
        </w:rPr>
      </w:pPr>
      <w:r w:rsidRPr="00982D3E">
        <w:rPr>
          <w:color w:val="000000" w:themeColor="text1"/>
        </w:rPr>
        <w:t>Biotechnologie dans le secteur de la santé</w:t>
      </w:r>
    </w:p>
    <w:p w14:paraId="1A54B466" w14:textId="77777777" w:rsidR="005D71D4" w:rsidRPr="00982D3E" w:rsidRDefault="005D71D4" w:rsidP="002A048C">
      <w:pPr>
        <w:pStyle w:val="ListParagraph"/>
        <w:numPr>
          <w:ilvl w:val="0"/>
          <w:numId w:val="10"/>
        </w:numPr>
        <w:ind w:left="1701" w:hanging="567"/>
        <w:jc w:val="both"/>
        <w:rPr>
          <w:bCs/>
          <w:color w:val="000000" w:themeColor="text1"/>
          <w:szCs w:val="22"/>
        </w:rPr>
      </w:pPr>
      <w:r w:rsidRPr="00982D3E">
        <w:rPr>
          <w:color w:val="000000" w:themeColor="text1"/>
        </w:rPr>
        <w:t>Dispositifs médicaux</w:t>
      </w:r>
    </w:p>
    <w:p w14:paraId="3E996EC4" w14:textId="77777777" w:rsidR="005D71D4" w:rsidRPr="00982D3E" w:rsidRDefault="005D71D4" w:rsidP="002A048C">
      <w:pPr>
        <w:pStyle w:val="ListParagraph"/>
        <w:numPr>
          <w:ilvl w:val="0"/>
          <w:numId w:val="10"/>
        </w:numPr>
        <w:ind w:left="1701" w:hanging="567"/>
        <w:jc w:val="both"/>
        <w:rPr>
          <w:bCs/>
          <w:color w:val="000000" w:themeColor="text1"/>
          <w:szCs w:val="22"/>
        </w:rPr>
      </w:pPr>
      <w:r w:rsidRPr="00982D3E">
        <w:rPr>
          <w:color w:val="000000" w:themeColor="text1"/>
        </w:rPr>
        <w:t>Santé animale</w:t>
      </w:r>
    </w:p>
    <w:p w14:paraId="7639FFEF" w14:textId="39F60AD3"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lastRenderedPageBreak/>
        <w:t>Alimentation</w:t>
      </w:r>
      <w:r w:rsidR="00C15821" w:rsidRPr="00982D3E">
        <w:rPr>
          <w:color w:val="000000" w:themeColor="text1"/>
        </w:rPr>
        <w:t> :</w:t>
      </w:r>
    </w:p>
    <w:p w14:paraId="1E90D9D4" w14:textId="77777777" w:rsidR="00C15821" w:rsidRPr="00982D3E" w:rsidRDefault="005D71D4" w:rsidP="002A048C">
      <w:pPr>
        <w:pStyle w:val="ListParagraph"/>
        <w:numPr>
          <w:ilvl w:val="0"/>
          <w:numId w:val="10"/>
        </w:numPr>
        <w:ind w:left="1701" w:hanging="567"/>
        <w:jc w:val="both"/>
        <w:rPr>
          <w:color w:val="000000" w:themeColor="text1"/>
        </w:rPr>
      </w:pPr>
      <w:r w:rsidRPr="00982D3E">
        <w:rPr>
          <w:color w:val="000000" w:themeColor="text1"/>
        </w:rPr>
        <w:t>Secteur agroalimentaire</w:t>
      </w:r>
    </w:p>
    <w:p w14:paraId="4551E4C8" w14:textId="2A1C6664" w:rsidR="005D71D4" w:rsidRPr="00982D3E" w:rsidRDefault="005D71D4" w:rsidP="002A048C">
      <w:pPr>
        <w:pStyle w:val="ListParagraph"/>
        <w:numPr>
          <w:ilvl w:val="0"/>
          <w:numId w:val="10"/>
        </w:numPr>
        <w:ind w:left="1701" w:hanging="567"/>
        <w:jc w:val="both"/>
        <w:rPr>
          <w:bCs/>
          <w:color w:val="000000" w:themeColor="text1"/>
          <w:szCs w:val="22"/>
        </w:rPr>
      </w:pPr>
      <w:r w:rsidRPr="00982D3E">
        <w:rPr>
          <w:color w:val="000000" w:themeColor="text1"/>
        </w:rPr>
        <w:t>Pêche et aquaculture</w:t>
      </w:r>
    </w:p>
    <w:p w14:paraId="6F2B5CB9" w14:textId="31B2A4EE"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t>Énergie et durabilité</w:t>
      </w:r>
      <w:r w:rsidR="00C15821" w:rsidRPr="00982D3E">
        <w:rPr>
          <w:color w:val="000000" w:themeColor="text1"/>
        </w:rPr>
        <w:t> :</w:t>
      </w:r>
    </w:p>
    <w:p w14:paraId="5493DB22" w14:textId="36016924" w:rsidR="005D71D4" w:rsidRPr="00982D3E" w:rsidRDefault="005D71D4" w:rsidP="002A048C">
      <w:pPr>
        <w:pStyle w:val="ListParagraph"/>
        <w:numPr>
          <w:ilvl w:val="1"/>
          <w:numId w:val="11"/>
        </w:numPr>
        <w:ind w:left="1701" w:hanging="567"/>
        <w:jc w:val="both"/>
        <w:rPr>
          <w:bCs/>
          <w:color w:val="000000" w:themeColor="text1"/>
          <w:szCs w:val="22"/>
        </w:rPr>
      </w:pPr>
      <w:r w:rsidRPr="00982D3E">
        <w:rPr>
          <w:color w:val="000000" w:themeColor="text1"/>
        </w:rPr>
        <w:t>Biomasse</w:t>
      </w:r>
    </w:p>
    <w:p w14:paraId="474A92E0" w14:textId="77777777" w:rsidR="005D71D4" w:rsidRPr="00982D3E" w:rsidRDefault="005D71D4" w:rsidP="002A048C">
      <w:pPr>
        <w:pStyle w:val="ListParagraph"/>
        <w:numPr>
          <w:ilvl w:val="1"/>
          <w:numId w:val="11"/>
        </w:numPr>
        <w:ind w:left="1701" w:hanging="567"/>
        <w:jc w:val="both"/>
        <w:rPr>
          <w:bCs/>
          <w:color w:val="000000" w:themeColor="text1"/>
          <w:szCs w:val="22"/>
        </w:rPr>
      </w:pPr>
      <w:r w:rsidRPr="00982D3E">
        <w:rPr>
          <w:color w:val="000000" w:themeColor="text1"/>
        </w:rPr>
        <w:t>Énergie des océans</w:t>
      </w:r>
    </w:p>
    <w:p w14:paraId="7097CA07" w14:textId="711D70DF"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t>Mobilité</w:t>
      </w:r>
      <w:r w:rsidR="00C15821" w:rsidRPr="00982D3E">
        <w:rPr>
          <w:color w:val="000000" w:themeColor="text1"/>
        </w:rPr>
        <w:t> :</w:t>
      </w:r>
    </w:p>
    <w:p w14:paraId="522DC78B" w14:textId="6D910C75" w:rsidR="005D71D4" w:rsidRPr="00982D3E" w:rsidRDefault="005D71D4" w:rsidP="002A048C">
      <w:pPr>
        <w:pStyle w:val="ListParagraph"/>
        <w:numPr>
          <w:ilvl w:val="0"/>
          <w:numId w:val="12"/>
        </w:numPr>
        <w:ind w:left="1701" w:hanging="567"/>
        <w:jc w:val="both"/>
        <w:rPr>
          <w:bCs/>
          <w:color w:val="000000" w:themeColor="text1"/>
          <w:szCs w:val="22"/>
        </w:rPr>
      </w:pPr>
      <w:r w:rsidRPr="00982D3E">
        <w:rPr>
          <w:color w:val="000000" w:themeColor="text1"/>
        </w:rPr>
        <w:t>Véhicules électriques</w:t>
      </w:r>
    </w:p>
    <w:p w14:paraId="414CF969" w14:textId="77777777" w:rsidR="005D71D4" w:rsidRPr="00982D3E" w:rsidRDefault="005D71D4" w:rsidP="002A048C">
      <w:pPr>
        <w:pStyle w:val="ListParagraph"/>
        <w:numPr>
          <w:ilvl w:val="0"/>
          <w:numId w:val="12"/>
        </w:numPr>
        <w:ind w:left="1701" w:hanging="567"/>
        <w:jc w:val="both"/>
        <w:rPr>
          <w:bCs/>
          <w:color w:val="000000" w:themeColor="text1"/>
          <w:szCs w:val="22"/>
        </w:rPr>
      </w:pPr>
      <w:r w:rsidRPr="00982D3E">
        <w:rPr>
          <w:color w:val="000000" w:themeColor="text1"/>
        </w:rPr>
        <w:t>Véhicules intelligents</w:t>
      </w:r>
    </w:p>
    <w:p w14:paraId="33135EDC" w14:textId="76680F5A"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t>TIC</w:t>
      </w:r>
      <w:r w:rsidR="00C15821" w:rsidRPr="00982D3E">
        <w:rPr>
          <w:color w:val="000000" w:themeColor="text1"/>
        </w:rPr>
        <w:t> :</w:t>
      </w:r>
    </w:p>
    <w:p w14:paraId="4C621433" w14:textId="77777777" w:rsidR="00C15821" w:rsidRPr="00982D3E" w:rsidRDefault="005D71D4" w:rsidP="002A048C">
      <w:pPr>
        <w:pStyle w:val="ListParagraph"/>
        <w:numPr>
          <w:ilvl w:val="0"/>
          <w:numId w:val="13"/>
        </w:numPr>
        <w:ind w:left="1701" w:hanging="567"/>
        <w:jc w:val="both"/>
        <w:rPr>
          <w:color w:val="000000" w:themeColor="text1"/>
        </w:rPr>
      </w:pPr>
      <w:r w:rsidRPr="00982D3E">
        <w:rPr>
          <w:color w:val="000000" w:themeColor="text1"/>
        </w:rPr>
        <w:t>Dépendance numérique</w:t>
      </w:r>
    </w:p>
    <w:p w14:paraId="48B05136" w14:textId="77777777" w:rsidR="00C15821" w:rsidRPr="00982D3E" w:rsidRDefault="005D71D4" w:rsidP="002A048C">
      <w:pPr>
        <w:pStyle w:val="ListParagraph"/>
        <w:numPr>
          <w:ilvl w:val="0"/>
          <w:numId w:val="13"/>
        </w:numPr>
        <w:ind w:left="1701" w:hanging="567"/>
        <w:jc w:val="both"/>
        <w:rPr>
          <w:color w:val="000000" w:themeColor="text1"/>
        </w:rPr>
      </w:pPr>
      <w:r w:rsidRPr="00982D3E">
        <w:rPr>
          <w:color w:val="000000" w:themeColor="text1"/>
        </w:rPr>
        <w:t>Services mobiles et interfaces avancés</w:t>
      </w:r>
    </w:p>
    <w:p w14:paraId="54DE4F47" w14:textId="69ADB973" w:rsidR="005D71D4" w:rsidRPr="00982D3E" w:rsidRDefault="005D71D4" w:rsidP="002A048C">
      <w:pPr>
        <w:pStyle w:val="ListParagraph"/>
        <w:numPr>
          <w:ilvl w:val="0"/>
          <w:numId w:val="13"/>
        </w:numPr>
        <w:ind w:left="1701" w:hanging="567"/>
        <w:jc w:val="both"/>
        <w:rPr>
          <w:bCs/>
          <w:color w:val="000000" w:themeColor="text1"/>
          <w:szCs w:val="22"/>
        </w:rPr>
      </w:pPr>
      <w:r w:rsidRPr="00982D3E">
        <w:rPr>
          <w:color w:val="000000" w:themeColor="text1"/>
        </w:rPr>
        <w:t>Réseaux de capteurs sans fil</w:t>
      </w:r>
    </w:p>
    <w:p w14:paraId="396C2F4F" w14:textId="5B765979" w:rsidR="00C15821" w:rsidRPr="00982D3E" w:rsidRDefault="005D71D4" w:rsidP="002A048C">
      <w:pPr>
        <w:pStyle w:val="ListParagraph"/>
        <w:numPr>
          <w:ilvl w:val="0"/>
          <w:numId w:val="9"/>
        </w:numPr>
        <w:ind w:left="1134" w:hanging="567"/>
        <w:jc w:val="both"/>
        <w:rPr>
          <w:color w:val="000000" w:themeColor="text1"/>
        </w:rPr>
      </w:pPr>
      <w:r w:rsidRPr="00982D3E">
        <w:rPr>
          <w:color w:val="000000" w:themeColor="text1"/>
        </w:rPr>
        <w:t>Industrie</w:t>
      </w:r>
      <w:r w:rsidR="00C15821" w:rsidRPr="00982D3E">
        <w:rPr>
          <w:color w:val="000000" w:themeColor="text1"/>
        </w:rPr>
        <w:t> :</w:t>
      </w:r>
    </w:p>
    <w:p w14:paraId="23B001CD" w14:textId="2F2855B1" w:rsidR="005D71D4" w:rsidRPr="00982D3E" w:rsidRDefault="005D71D4" w:rsidP="002A048C">
      <w:pPr>
        <w:pStyle w:val="ListParagraph"/>
        <w:numPr>
          <w:ilvl w:val="0"/>
          <w:numId w:val="14"/>
        </w:numPr>
        <w:ind w:left="1701" w:hanging="567"/>
        <w:jc w:val="both"/>
        <w:rPr>
          <w:bCs/>
          <w:color w:val="000000" w:themeColor="text1"/>
          <w:szCs w:val="22"/>
        </w:rPr>
      </w:pPr>
      <w:r w:rsidRPr="00982D3E">
        <w:rPr>
          <w:color w:val="000000" w:themeColor="text1"/>
        </w:rPr>
        <w:t>Métallurgie</w:t>
      </w:r>
    </w:p>
    <w:p w14:paraId="3241D889" w14:textId="77777777" w:rsidR="005D71D4" w:rsidRPr="00982D3E" w:rsidRDefault="005D71D4" w:rsidP="002A048C">
      <w:pPr>
        <w:pStyle w:val="ListParagraph"/>
        <w:numPr>
          <w:ilvl w:val="0"/>
          <w:numId w:val="14"/>
        </w:numPr>
        <w:ind w:left="1701" w:hanging="567"/>
        <w:jc w:val="both"/>
        <w:rPr>
          <w:bCs/>
          <w:color w:val="000000" w:themeColor="text1"/>
          <w:szCs w:val="22"/>
        </w:rPr>
      </w:pPr>
      <w:r w:rsidRPr="00982D3E">
        <w:rPr>
          <w:color w:val="000000" w:themeColor="text1"/>
        </w:rPr>
        <w:t>Traitement du plastique</w:t>
      </w:r>
    </w:p>
    <w:p w14:paraId="231CC90D" w14:textId="77777777" w:rsidR="005D71D4" w:rsidRPr="00982D3E" w:rsidRDefault="005D71D4" w:rsidP="002A048C">
      <w:pPr>
        <w:pStyle w:val="ListParagraph"/>
        <w:numPr>
          <w:ilvl w:val="0"/>
          <w:numId w:val="14"/>
        </w:numPr>
        <w:ind w:left="1701" w:hanging="567"/>
        <w:jc w:val="both"/>
        <w:rPr>
          <w:bCs/>
          <w:color w:val="000000" w:themeColor="text1"/>
          <w:szCs w:val="22"/>
        </w:rPr>
      </w:pPr>
      <w:r w:rsidRPr="00982D3E">
        <w:rPr>
          <w:color w:val="000000" w:themeColor="text1"/>
        </w:rPr>
        <w:t>Impression 3D</w:t>
      </w:r>
    </w:p>
    <w:p w14:paraId="2259C3ED" w14:textId="77777777" w:rsidR="005D71D4" w:rsidRPr="00982D3E" w:rsidRDefault="005D71D4" w:rsidP="002A048C">
      <w:pPr>
        <w:pStyle w:val="ListParagraph"/>
        <w:numPr>
          <w:ilvl w:val="0"/>
          <w:numId w:val="14"/>
        </w:numPr>
        <w:ind w:left="1701" w:hanging="567"/>
        <w:jc w:val="both"/>
        <w:rPr>
          <w:bCs/>
          <w:color w:val="000000" w:themeColor="text1"/>
          <w:szCs w:val="22"/>
        </w:rPr>
      </w:pPr>
      <w:r w:rsidRPr="00982D3E">
        <w:rPr>
          <w:color w:val="000000" w:themeColor="text1"/>
        </w:rPr>
        <w:t>Chaussure</w:t>
      </w:r>
    </w:p>
    <w:p w14:paraId="68BE2A85" w14:textId="77777777" w:rsidR="005D71D4" w:rsidRPr="00982D3E" w:rsidRDefault="005D71D4" w:rsidP="00D15D07">
      <w:pPr>
        <w:jc w:val="both"/>
        <w:rPr>
          <w:bCs/>
          <w:color w:val="000000" w:themeColor="text1"/>
          <w:szCs w:val="22"/>
          <w:lang w:val="fr-FR"/>
        </w:rPr>
      </w:pPr>
    </w:p>
    <w:p w14:paraId="62721ED5" w14:textId="77777777" w:rsidR="005D71D4" w:rsidRPr="00982D3E" w:rsidRDefault="005D71D4" w:rsidP="00D15D07">
      <w:pPr>
        <w:jc w:val="both"/>
        <w:rPr>
          <w:b/>
          <w:bCs/>
          <w:color w:val="000000" w:themeColor="text1"/>
          <w:szCs w:val="22"/>
          <w:lang w:val="fr-FR"/>
        </w:rPr>
      </w:pPr>
      <w:r w:rsidRPr="00982D3E">
        <w:rPr>
          <w:b/>
          <w:color w:val="000000" w:themeColor="text1"/>
          <w:lang w:val="fr-FR"/>
        </w:rPr>
        <w:t>Alertes technologiques</w:t>
      </w:r>
    </w:p>
    <w:p w14:paraId="4F15CE82" w14:textId="77777777" w:rsidR="005D71D4" w:rsidRPr="00982D3E" w:rsidRDefault="005D71D4" w:rsidP="00D15D07">
      <w:pPr>
        <w:jc w:val="both"/>
        <w:rPr>
          <w:bCs/>
          <w:color w:val="000000" w:themeColor="text1"/>
          <w:szCs w:val="22"/>
          <w:lang w:val="fr-FR"/>
        </w:rPr>
      </w:pPr>
    </w:p>
    <w:p w14:paraId="12A0381B" w14:textId="77777777" w:rsidR="005D71D4" w:rsidRPr="00982D3E" w:rsidRDefault="005D71D4" w:rsidP="00D15D07">
      <w:pPr>
        <w:jc w:val="both"/>
        <w:rPr>
          <w:bCs/>
          <w:color w:val="000000" w:themeColor="text1"/>
          <w:szCs w:val="22"/>
          <w:lang w:val="fr-FR"/>
        </w:rPr>
      </w:pPr>
      <w:r w:rsidRPr="00982D3E">
        <w:rPr>
          <w:color w:val="000000" w:themeColor="text1"/>
          <w:lang w:val="fr-FR"/>
        </w:rPr>
        <w:t>Les alertes technologiques fournissent des informations actualisées sur les derniers brevets publiés dans le monde dans un domaine technique précis.</w:t>
      </w:r>
    </w:p>
    <w:p w14:paraId="27952659" w14:textId="7C868C8A" w:rsidR="005D71D4" w:rsidRPr="00982D3E" w:rsidRDefault="005D71D4" w:rsidP="00D15D07">
      <w:pPr>
        <w:jc w:val="both"/>
        <w:rPr>
          <w:bCs/>
          <w:color w:val="000000" w:themeColor="text1"/>
          <w:szCs w:val="22"/>
          <w:lang w:val="fr-FR"/>
        </w:rPr>
      </w:pPr>
    </w:p>
    <w:p w14:paraId="1FECE333" w14:textId="4F60F934" w:rsidR="005D71D4" w:rsidRPr="00982D3E" w:rsidRDefault="005D71D4" w:rsidP="00D15D07">
      <w:pPr>
        <w:jc w:val="both"/>
        <w:rPr>
          <w:bCs/>
          <w:color w:val="000000" w:themeColor="text1"/>
          <w:szCs w:val="22"/>
          <w:lang w:val="fr-FR"/>
        </w:rPr>
      </w:pPr>
      <w:r w:rsidRPr="00982D3E">
        <w:rPr>
          <w:color w:val="000000" w:themeColor="text1"/>
          <w:lang w:val="fr-FR"/>
        </w:rPr>
        <w:t>Chaque alerte porte sur un thème défini conjointement avec les plateformes technologiques et les autres institutions ou organisations de manière à répondre aux besoins concrets en matière d</w:t>
      </w:r>
      <w:r w:rsidR="00C15821" w:rsidRPr="00982D3E">
        <w:rPr>
          <w:color w:val="000000" w:themeColor="text1"/>
          <w:lang w:val="fr-FR"/>
        </w:rPr>
        <w:t>’</w:t>
      </w:r>
      <w:r w:rsidRPr="00982D3E">
        <w:rPr>
          <w:color w:val="000000" w:themeColor="text1"/>
          <w:lang w:val="fr-FR"/>
        </w:rPr>
        <w:t>information des entreprises et des organismes de recherche publics dans les différents secteurs technologiques.</w:t>
      </w:r>
    </w:p>
    <w:p w14:paraId="5DD4DE36" w14:textId="50CA8AEF" w:rsidR="005D71D4" w:rsidRPr="00982D3E" w:rsidRDefault="005D71D4" w:rsidP="00D15D07">
      <w:pPr>
        <w:jc w:val="both"/>
        <w:rPr>
          <w:bCs/>
          <w:color w:val="000000" w:themeColor="text1"/>
          <w:szCs w:val="22"/>
          <w:lang w:val="fr-FR"/>
        </w:rPr>
      </w:pPr>
    </w:p>
    <w:p w14:paraId="4A5DB0C8" w14:textId="4FADBDD8" w:rsidR="005D71D4" w:rsidRPr="00982D3E" w:rsidRDefault="005D71D4" w:rsidP="00D15D07">
      <w:pPr>
        <w:jc w:val="both"/>
        <w:rPr>
          <w:bCs/>
          <w:color w:val="000000" w:themeColor="text1"/>
          <w:szCs w:val="22"/>
          <w:lang w:val="fr-FR"/>
        </w:rPr>
      </w:pPr>
      <w:r w:rsidRPr="00982D3E">
        <w:rPr>
          <w:color w:val="000000" w:themeColor="text1"/>
          <w:lang w:val="fr-FR"/>
        </w:rPr>
        <w:t>De cette façon, l</w:t>
      </w:r>
      <w:r w:rsidR="00C15821" w:rsidRPr="00982D3E">
        <w:rPr>
          <w:color w:val="000000" w:themeColor="text1"/>
          <w:lang w:val="fr-FR"/>
        </w:rPr>
        <w:t>’</w:t>
      </w:r>
      <w:r w:rsidRPr="00982D3E">
        <w:rPr>
          <w:color w:val="000000" w:themeColor="text1"/>
          <w:lang w:val="fr-FR"/>
        </w:rPr>
        <w:t>OEPM tient l</w:t>
      </w:r>
      <w:r w:rsidR="00C15821" w:rsidRPr="00982D3E">
        <w:rPr>
          <w:color w:val="000000" w:themeColor="text1"/>
          <w:lang w:val="fr-FR"/>
        </w:rPr>
        <w:t>’</w:t>
      </w:r>
      <w:r w:rsidRPr="00982D3E">
        <w:rPr>
          <w:color w:val="000000" w:themeColor="text1"/>
          <w:lang w:val="fr-FR"/>
        </w:rPr>
        <w:t>engagement pris en 2012 de collaborer avec les plateformes susmentionnées pour transmettre l</w:t>
      </w:r>
      <w:r w:rsidR="00C15821" w:rsidRPr="00982D3E">
        <w:rPr>
          <w:color w:val="000000" w:themeColor="text1"/>
          <w:lang w:val="fr-FR"/>
        </w:rPr>
        <w:t>’</w:t>
      </w:r>
      <w:r w:rsidRPr="00982D3E">
        <w:rPr>
          <w:color w:val="000000" w:themeColor="text1"/>
          <w:lang w:val="fr-FR"/>
        </w:rPr>
        <w:t>information en matière de brevets aux entreprises, aux chercheurs et aux responsables de la R</w:t>
      </w:r>
      <w:r w:rsidR="000F0CBE">
        <w:rPr>
          <w:color w:val="000000" w:themeColor="text1"/>
          <w:lang w:val="fr-FR"/>
        </w:rPr>
        <w:noBreakHyphen/>
      </w:r>
      <w:r w:rsidRPr="00982D3E">
        <w:rPr>
          <w:color w:val="000000" w:themeColor="text1"/>
          <w:lang w:val="fr-FR"/>
        </w:rPr>
        <w:t>D, les aidant ainsi à générer de la technologie à valeur ajoutée, obtenir un gain financier, devenir plus compétitifs et se développer à l</w:t>
      </w:r>
      <w:r w:rsidR="00C15821" w:rsidRPr="00982D3E">
        <w:rPr>
          <w:color w:val="000000" w:themeColor="text1"/>
          <w:lang w:val="fr-FR"/>
        </w:rPr>
        <w:t>’</w:t>
      </w:r>
      <w:r w:rsidRPr="00982D3E">
        <w:rPr>
          <w:color w:val="000000" w:themeColor="text1"/>
          <w:lang w:val="fr-FR"/>
        </w:rPr>
        <w:t>international.</w:t>
      </w:r>
    </w:p>
    <w:p w14:paraId="0753C978" w14:textId="77777777" w:rsidR="005D71D4" w:rsidRPr="00982D3E" w:rsidRDefault="005D71D4" w:rsidP="00D15D07">
      <w:pPr>
        <w:jc w:val="both"/>
        <w:rPr>
          <w:color w:val="000000" w:themeColor="text1"/>
          <w:lang w:val="fr-FR"/>
        </w:rPr>
      </w:pPr>
    </w:p>
    <w:p w14:paraId="3464A7C8" w14:textId="1BF8B2F2" w:rsidR="005D71D4" w:rsidRPr="00982D3E" w:rsidRDefault="005D71D4" w:rsidP="00D15D07">
      <w:pPr>
        <w:jc w:val="both"/>
        <w:rPr>
          <w:bCs/>
          <w:color w:val="000000" w:themeColor="text1"/>
          <w:szCs w:val="22"/>
          <w:lang w:val="fr-FR"/>
        </w:rPr>
      </w:pPr>
      <w:r w:rsidRPr="00982D3E">
        <w:rPr>
          <w:color w:val="000000" w:themeColor="text1"/>
          <w:lang w:val="fr-FR"/>
        </w:rPr>
        <w:t>Une fois qu</w:t>
      </w:r>
      <w:r w:rsidR="00C15821" w:rsidRPr="00982D3E">
        <w:rPr>
          <w:color w:val="000000" w:themeColor="text1"/>
          <w:lang w:val="fr-FR"/>
        </w:rPr>
        <w:t>’</w:t>
      </w:r>
      <w:r w:rsidRPr="00982D3E">
        <w:rPr>
          <w:color w:val="000000" w:themeColor="text1"/>
          <w:lang w:val="fr-FR"/>
        </w:rPr>
        <w:t>un domaine d</w:t>
      </w:r>
      <w:r w:rsidR="00C15821" w:rsidRPr="00982D3E">
        <w:rPr>
          <w:color w:val="000000" w:themeColor="text1"/>
          <w:lang w:val="fr-FR"/>
        </w:rPr>
        <w:t>’</w:t>
      </w:r>
      <w:r w:rsidRPr="00982D3E">
        <w:rPr>
          <w:color w:val="000000" w:themeColor="text1"/>
          <w:lang w:val="fr-FR"/>
        </w:rPr>
        <w:t>intérêt a été fixé, les examinateurs de brevets mettent au point une stratégie de recherche permettant aux utilisateurs qui lisent l</w:t>
      </w:r>
      <w:r w:rsidR="00C15821" w:rsidRPr="00982D3E">
        <w:rPr>
          <w:color w:val="000000" w:themeColor="text1"/>
          <w:lang w:val="fr-FR"/>
        </w:rPr>
        <w:t>’</w:t>
      </w:r>
      <w:r w:rsidRPr="00982D3E">
        <w:rPr>
          <w:color w:val="000000" w:themeColor="text1"/>
          <w:lang w:val="fr-FR"/>
        </w:rPr>
        <w:t>alerte de connaître les derniers brevets publiés dans ce domaine partout dans le monde.</w:t>
      </w:r>
    </w:p>
    <w:p w14:paraId="14857D6C" w14:textId="77777777" w:rsidR="005D71D4" w:rsidRPr="00982D3E" w:rsidRDefault="005D71D4" w:rsidP="00D15D07">
      <w:pPr>
        <w:jc w:val="both"/>
        <w:rPr>
          <w:bCs/>
          <w:color w:val="000000" w:themeColor="text1"/>
          <w:szCs w:val="22"/>
          <w:lang w:val="fr-FR"/>
        </w:rPr>
      </w:pPr>
    </w:p>
    <w:p w14:paraId="602962F0" w14:textId="284EF141" w:rsidR="005D71D4" w:rsidRPr="00982D3E" w:rsidRDefault="005D71D4" w:rsidP="00D15D07">
      <w:pPr>
        <w:jc w:val="both"/>
        <w:rPr>
          <w:bCs/>
          <w:color w:val="000000" w:themeColor="text1"/>
          <w:szCs w:val="22"/>
          <w:lang w:val="fr-FR"/>
        </w:rPr>
      </w:pPr>
      <w:r w:rsidRPr="00982D3E">
        <w:rPr>
          <w:color w:val="000000" w:themeColor="text1"/>
          <w:lang w:val="fr-FR"/>
        </w:rPr>
        <w:t>Les domaines techniques spécifiques sont les suivants</w:t>
      </w:r>
      <w:r w:rsidR="00C15821" w:rsidRPr="00982D3E">
        <w:rPr>
          <w:color w:val="000000" w:themeColor="text1"/>
          <w:lang w:val="fr-FR"/>
        </w:rPr>
        <w:t> :</w:t>
      </w:r>
    </w:p>
    <w:p w14:paraId="2EC56EB3" w14:textId="77777777" w:rsidR="005D71D4" w:rsidRPr="00982D3E" w:rsidRDefault="005D71D4" w:rsidP="00D15D07">
      <w:pPr>
        <w:jc w:val="both"/>
        <w:rPr>
          <w:bCs/>
          <w:color w:val="000000" w:themeColor="text1"/>
          <w:szCs w:val="22"/>
          <w:lang w:val="fr-FR"/>
        </w:rPr>
      </w:pPr>
    </w:p>
    <w:p w14:paraId="673496E0" w14:textId="3BC00ACB" w:rsidR="005D71D4" w:rsidRPr="00982D3E" w:rsidRDefault="005D71D4" w:rsidP="002A048C">
      <w:pPr>
        <w:pStyle w:val="ListParagraph"/>
        <w:numPr>
          <w:ilvl w:val="0"/>
          <w:numId w:val="9"/>
        </w:numPr>
        <w:ind w:left="1134" w:hanging="567"/>
        <w:jc w:val="both"/>
        <w:rPr>
          <w:bCs/>
          <w:color w:val="000000" w:themeColor="text1"/>
          <w:szCs w:val="22"/>
        </w:rPr>
      </w:pPr>
      <w:r w:rsidRPr="00982D3E">
        <w:rPr>
          <w:color w:val="000000" w:themeColor="text1"/>
        </w:rPr>
        <w:t>Sciences de la vie et des aliments</w:t>
      </w:r>
    </w:p>
    <w:p w14:paraId="678D0503" w14:textId="05A8D5BA"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Hémopathies</w:t>
      </w:r>
      <w:r w:rsidR="00C15821" w:rsidRPr="00982D3E">
        <w:rPr>
          <w:color w:val="000000" w:themeColor="text1"/>
        </w:rPr>
        <w:t> :</w:t>
      </w:r>
      <w:r w:rsidRPr="00982D3E">
        <w:rPr>
          <w:color w:val="000000" w:themeColor="text1"/>
        </w:rPr>
        <w:t xml:space="preserve"> leucémies, lymphomes et myélomes</w:t>
      </w:r>
    </w:p>
    <w:p w14:paraId="280624AD" w14:textId="200C6D33"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Biocides et régulateurs de la croissance végétale d</w:t>
      </w:r>
      <w:r w:rsidR="00C15821" w:rsidRPr="00982D3E">
        <w:rPr>
          <w:color w:val="000000" w:themeColor="text1"/>
        </w:rPr>
        <w:t>’</w:t>
      </w:r>
      <w:r w:rsidRPr="00982D3E">
        <w:rPr>
          <w:color w:val="000000" w:themeColor="text1"/>
        </w:rPr>
        <w:t>origine biologique</w:t>
      </w:r>
    </w:p>
    <w:p w14:paraId="0EB9B97F"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Nanomédicaments</w:t>
      </w:r>
    </w:p>
    <w:p w14:paraId="060DFCE8"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Techniques de suivi et de contrôle du diabète</w:t>
      </w:r>
    </w:p>
    <w:p w14:paraId="61ABF37F"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Viticulture et œnologie</w:t>
      </w:r>
    </w:p>
    <w:p w14:paraId="1CA93737" w14:textId="246A2F1C"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Coronavirus</w:t>
      </w:r>
      <w:r w:rsidR="00C15821" w:rsidRPr="00982D3E">
        <w:rPr>
          <w:color w:val="000000" w:themeColor="text1"/>
        </w:rPr>
        <w:t> :</w:t>
      </w:r>
      <w:r w:rsidRPr="00982D3E">
        <w:rPr>
          <w:color w:val="000000" w:themeColor="text1"/>
        </w:rPr>
        <w:t xml:space="preserve"> diagnostic et traitement pour l</w:t>
      </w:r>
      <w:r w:rsidR="00C15821" w:rsidRPr="00982D3E">
        <w:rPr>
          <w:color w:val="000000" w:themeColor="text1"/>
        </w:rPr>
        <w:t>’</w:t>
      </w:r>
      <w:r w:rsidRPr="00982D3E">
        <w:rPr>
          <w:color w:val="000000" w:themeColor="text1"/>
        </w:rPr>
        <w:t>être humain</w:t>
      </w:r>
    </w:p>
    <w:p w14:paraId="2050D42A" w14:textId="02703ECE" w:rsidR="00C15821" w:rsidRPr="00982D3E" w:rsidRDefault="005D71D4" w:rsidP="002A048C">
      <w:pPr>
        <w:pStyle w:val="ListParagraph"/>
        <w:numPr>
          <w:ilvl w:val="1"/>
          <w:numId w:val="15"/>
        </w:numPr>
        <w:ind w:left="1701" w:hanging="567"/>
        <w:jc w:val="both"/>
        <w:rPr>
          <w:color w:val="000000" w:themeColor="text1"/>
        </w:rPr>
      </w:pPr>
      <w:proofErr w:type="spellStart"/>
      <w:r w:rsidRPr="00982D3E">
        <w:rPr>
          <w:color w:val="000000" w:themeColor="text1"/>
        </w:rPr>
        <w:t>Bioimpression</w:t>
      </w:r>
      <w:proofErr w:type="spellEnd"/>
      <w:r w:rsidR="00982D3E">
        <w:rPr>
          <w:color w:val="000000" w:themeColor="text1"/>
        </w:rPr>
        <w:t> </w:t>
      </w:r>
      <w:r w:rsidRPr="00982D3E">
        <w:rPr>
          <w:color w:val="000000" w:themeColor="text1"/>
        </w:rPr>
        <w:t>3D</w:t>
      </w:r>
    </w:p>
    <w:p w14:paraId="06AEE265" w14:textId="065FB289"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Salmonelle</w:t>
      </w:r>
    </w:p>
    <w:p w14:paraId="7E2FDF01"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Biomarqueurs pour le diagnostic de la démence</w:t>
      </w:r>
    </w:p>
    <w:p w14:paraId="0D8B30E9" w14:textId="535A6CD0"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Microalgues</w:t>
      </w:r>
      <w:r w:rsidR="00C15821" w:rsidRPr="00982D3E">
        <w:rPr>
          <w:color w:val="000000" w:themeColor="text1"/>
        </w:rPr>
        <w:t> :</w:t>
      </w:r>
      <w:r w:rsidRPr="00982D3E">
        <w:rPr>
          <w:color w:val="000000" w:themeColor="text1"/>
        </w:rPr>
        <w:t xml:space="preserve"> culture et utilisations</w:t>
      </w:r>
    </w:p>
    <w:p w14:paraId="2FE024C0" w14:textId="00755D2D"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Biomarqueurs pour le diagnostic de la maladie inflammatoire de l</w:t>
      </w:r>
      <w:r w:rsidR="00C15821" w:rsidRPr="00982D3E">
        <w:rPr>
          <w:color w:val="000000" w:themeColor="text1"/>
        </w:rPr>
        <w:t>’</w:t>
      </w:r>
      <w:r w:rsidRPr="00982D3E">
        <w:rPr>
          <w:color w:val="000000" w:themeColor="text1"/>
        </w:rPr>
        <w:t>intestin</w:t>
      </w:r>
    </w:p>
    <w:p w14:paraId="44EEA5E1" w14:textId="524E2A88"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Traitement de la maladie d</w:t>
      </w:r>
      <w:r w:rsidR="00C15821" w:rsidRPr="00982D3E">
        <w:rPr>
          <w:color w:val="000000" w:themeColor="text1"/>
        </w:rPr>
        <w:t>’</w:t>
      </w:r>
      <w:r w:rsidRPr="00982D3E">
        <w:rPr>
          <w:color w:val="000000" w:themeColor="text1"/>
        </w:rPr>
        <w:t>Alzheimer, de la maladie de Parkinson, de la maladie d</w:t>
      </w:r>
      <w:r w:rsidR="00C15821" w:rsidRPr="00982D3E">
        <w:rPr>
          <w:color w:val="000000" w:themeColor="text1"/>
        </w:rPr>
        <w:t>’</w:t>
      </w:r>
      <w:r w:rsidRPr="00982D3E">
        <w:rPr>
          <w:color w:val="000000" w:themeColor="text1"/>
        </w:rPr>
        <w:t>Huntington et de la sclérose latérale amyotrophique</w:t>
      </w:r>
    </w:p>
    <w:p w14:paraId="125E7132" w14:textId="77777777" w:rsidR="005D71D4" w:rsidRPr="00982D3E" w:rsidRDefault="005D71D4" w:rsidP="000F0CBE">
      <w:pPr>
        <w:pStyle w:val="ListParagraph"/>
        <w:ind w:left="0"/>
        <w:jc w:val="both"/>
        <w:rPr>
          <w:bCs/>
          <w:color w:val="000000" w:themeColor="text1"/>
          <w:szCs w:val="22"/>
        </w:rPr>
      </w:pPr>
    </w:p>
    <w:p w14:paraId="4C295771" w14:textId="4AE7AA50" w:rsidR="005D71D4" w:rsidRPr="00982D3E" w:rsidRDefault="005D71D4" w:rsidP="002A048C">
      <w:pPr>
        <w:pStyle w:val="ListParagraph"/>
        <w:numPr>
          <w:ilvl w:val="0"/>
          <w:numId w:val="9"/>
        </w:numPr>
        <w:ind w:left="1134" w:hanging="567"/>
        <w:jc w:val="both"/>
        <w:rPr>
          <w:bCs/>
          <w:color w:val="000000" w:themeColor="text1"/>
          <w:szCs w:val="22"/>
        </w:rPr>
      </w:pPr>
      <w:r w:rsidRPr="00982D3E">
        <w:rPr>
          <w:color w:val="000000" w:themeColor="text1"/>
        </w:rPr>
        <w:lastRenderedPageBreak/>
        <w:t>Énergie et durabilité</w:t>
      </w:r>
      <w:r w:rsidR="00C15821" w:rsidRPr="00982D3E">
        <w:rPr>
          <w:color w:val="000000" w:themeColor="text1"/>
        </w:rPr>
        <w:t> :</w:t>
      </w:r>
    </w:p>
    <w:p w14:paraId="690C6071"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géothermique</w:t>
      </w:r>
    </w:p>
    <w:p w14:paraId="1ADCB974"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solaire concentrée</w:t>
      </w:r>
    </w:p>
    <w:p w14:paraId="20C347EC"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Piles à combustible</w:t>
      </w:r>
    </w:p>
    <w:p w14:paraId="7EAAE5B9"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solaire photovoltaïque</w:t>
      </w:r>
    </w:p>
    <w:p w14:paraId="7D3BE4DC"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Hydrogène électrolytique</w:t>
      </w:r>
    </w:p>
    <w:p w14:paraId="7DC7D975"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éolienne</w:t>
      </w:r>
    </w:p>
    <w:p w14:paraId="76EE6259"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Stockage des batteries</w:t>
      </w:r>
    </w:p>
    <w:p w14:paraId="323FF27C"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des océans</w:t>
      </w:r>
    </w:p>
    <w:p w14:paraId="5A464627"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solaire à basse température</w:t>
      </w:r>
    </w:p>
    <w:p w14:paraId="54FE2E78"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Énergie éolienne flottante</w:t>
      </w:r>
    </w:p>
    <w:p w14:paraId="36498570"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Véhicules de mobilité personnelle</w:t>
      </w:r>
    </w:p>
    <w:p w14:paraId="3D90FD58" w14:textId="11CF8E98"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Biocarburants, bioénergie et produits d</w:t>
      </w:r>
      <w:r w:rsidR="00C15821" w:rsidRPr="00982D3E">
        <w:rPr>
          <w:color w:val="000000" w:themeColor="text1"/>
        </w:rPr>
        <w:t>’</w:t>
      </w:r>
      <w:r w:rsidRPr="00982D3E">
        <w:rPr>
          <w:color w:val="000000" w:themeColor="text1"/>
        </w:rPr>
        <w:t>origine biologique</w:t>
      </w:r>
    </w:p>
    <w:p w14:paraId="7E53E2C5" w14:textId="77777777" w:rsidR="005D71D4" w:rsidRPr="00982D3E" w:rsidRDefault="005D71D4" w:rsidP="00D15D07">
      <w:pPr>
        <w:jc w:val="both"/>
        <w:rPr>
          <w:bCs/>
          <w:color w:val="000000" w:themeColor="text1"/>
          <w:szCs w:val="22"/>
          <w:lang w:val="fr-FR"/>
        </w:rPr>
      </w:pPr>
    </w:p>
    <w:p w14:paraId="732F9C8B" w14:textId="50DB6D8A" w:rsidR="005D71D4" w:rsidRPr="00982D3E" w:rsidRDefault="005D71D4" w:rsidP="002A048C">
      <w:pPr>
        <w:pStyle w:val="ListParagraph"/>
        <w:numPr>
          <w:ilvl w:val="0"/>
          <w:numId w:val="9"/>
        </w:numPr>
        <w:ind w:left="1134" w:hanging="567"/>
        <w:jc w:val="both"/>
        <w:rPr>
          <w:bCs/>
          <w:color w:val="000000" w:themeColor="text1"/>
          <w:szCs w:val="22"/>
        </w:rPr>
      </w:pPr>
      <w:r w:rsidRPr="00982D3E">
        <w:rPr>
          <w:color w:val="000000" w:themeColor="text1"/>
        </w:rPr>
        <w:t>Matériaux et leurs applications</w:t>
      </w:r>
      <w:r w:rsidR="00C15821" w:rsidRPr="00982D3E">
        <w:rPr>
          <w:color w:val="000000" w:themeColor="text1"/>
        </w:rPr>
        <w:t> :</w:t>
      </w:r>
    </w:p>
    <w:p w14:paraId="04957FCE"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Matériaux et emballages plastiques biodégradables</w:t>
      </w:r>
    </w:p>
    <w:p w14:paraId="7654A653" w14:textId="64861340"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Agents suppresseurs d</w:t>
      </w:r>
      <w:r w:rsidR="00C15821" w:rsidRPr="00982D3E">
        <w:rPr>
          <w:color w:val="000000" w:themeColor="text1"/>
        </w:rPr>
        <w:t>’</w:t>
      </w:r>
      <w:r w:rsidRPr="00982D3E">
        <w:rPr>
          <w:color w:val="000000" w:themeColor="text1"/>
        </w:rPr>
        <w:t>oxygène dans les formulations de plastique</w:t>
      </w:r>
    </w:p>
    <w:p w14:paraId="287DA99A"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Encres de sécurité</w:t>
      </w:r>
    </w:p>
    <w:p w14:paraId="77E03EB3"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Nanomatériaux carbonés</w:t>
      </w:r>
    </w:p>
    <w:p w14:paraId="70D25D59"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Encres et peintures présentant des propriétés électriques</w:t>
      </w:r>
    </w:p>
    <w:p w14:paraId="51541724" w14:textId="77777777" w:rsidR="005D71D4" w:rsidRPr="00982D3E" w:rsidRDefault="005D71D4" w:rsidP="002A048C">
      <w:pPr>
        <w:pStyle w:val="ListParagraph"/>
        <w:numPr>
          <w:ilvl w:val="1"/>
          <w:numId w:val="15"/>
        </w:numPr>
        <w:ind w:left="1701" w:hanging="567"/>
        <w:jc w:val="both"/>
        <w:rPr>
          <w:bCs/>
          <w:color w:val="000000" w:themeColor="text1"/>
          <w:szCs w:val="22"/>
        </w:rPr>
      </w:pPr>
      <w:r w:rsidRPr="00982D3E">
        <w:rPr>
          <w:color w:val="000000" w:themeColor="text1"/>
        </w:rPr>
        <w:t xml:space="preserve">Vernis et textiles avec des </w:t>
      </w:r>
      <w:proofErr w:type="spellStart"/>
      <w:r w:rsidRPr="00982D3E">
        <w:rPr>
          <w:color w:val="000000" w:themeColor="text1"/>
        </w:rPr>
        <w:t>nanorevêtements</w:t>
      </w:r>
      <w:proofErr w:type="spellEnd"/>
      <w:r w:rsidRPr="00982D3E">
        <w:rPr>
          <w:color w:val="000000" w:themeColor="text1"/>
        </w:rPr>
        <w:t xml:space="preserve"> fonctionnels</w:t>
      </w:r>
    </w:p>
    <w:p w14:paraId="2208AB01" w14:textId="77777777" w:rsidR="005D71D4" w:rsidRPr="00982D3E" w:rsidRDefault="005D71D4" w:rsidP="00D15D07">
      <w:pPr>
        <w:jc w:val="both"/>
        <w:rPr>
          <w:bCs/>
          <w:color w:val="000000" w:themeColor="text1"/>
          <w:szCs w:val="22"/>
          <w:lang w:val="fr-FR"/>
        </w:rPr>
      </w:pPr>
    </w:p>
    <w:p w14:paraId="4195008F" w14:textId="3EC446C9" w:rsidR="005D71D4" w:rsidRPr="00982D3E" w:rsidRDefault="005D71D4" w:rsidP="002A048C">
      <w:pPr>
        <w:pStyle w:val="ListParagraph"/>
        <w:numPr>
          <w:ilvl w:val="0"/>
          <w:numId w:val="9"/>
        </w:numPr>
        <w:ind w:left="1134" w:hanging="567"/>
        <w:jc w:val="both"/>
        <w:rPr>
          <w:bCs/>
          <w:color w:val="000000" w:themeColor="text1"/>
          <w:szCs w:val="22"/>
        </w:rPr>
      </w:pPr>
      <w:r w:rsidRPr="00982D3E">
        <w:rPr>
          <w:color w:val="000000" w:themeColor="text1"/>
        </w:rPr>
        <w:t>Intelligence artificielle et chaîne de blocs</w:t>
      </w:r>
      <w:r w:rsidR="00C15821" w:rsidRPr="00982D3E">
        <w:rPr>
          <w:color w:val="000000" w:themeColor="text1"/>
        </w:rPr>
        <w:t> :</w:t>
      </w:r>
    </w:p>
    <w:p w14:paraId="0C433476" w14:textId="77777777"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Apprentissage automatique</w:t>
      </w:r>
    </w:p>
    <w:p w14:paraId="0940436D" w14:textId="77777777"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Réseaux neuronaux</w:t>
      </w:r>
    </w:p>
    <w:p w14:paraId="016754B0" w14:textId="77777777"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Logique floue</w:t>
      </w:r>
    </w:p>
    <w:p w14:paraId="74289E3B" w14:textId="77777777"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Chaîne de blocs</w:t>
      </w:r>
    </w:p>
    <w:p w14:paraId="554B2369" w14:textId="77777777" w:rsidR="005D71D4" w:rsidRPr="00982D3E" w:rsidRDefault="005D71D4" w:rsidP="00D15D07">
      <w:pPr>
        <w:jc w:val="both"/>
        <w:rPr>
          <w:bCs/>
          <w:color w:val="000000" w:themeColor="text1"/>
          <w:szCs w:val="22"/>
          <w:lang w:val="fr-FR"/>
        </w:rPr>
      </w:pPr>
    </w:p>
    <w:p w14:paraId="3E9A60C4" w14:textId="438E212A" w:rsidR="005D71D4" w:rsidRPr="00982D3E" w:rsidRDefault="005D71D4" w:rsidP="002A048C">
      <w:pPr>
        <w:pStyle w:val="ListParagraph"/>
        <w:numPr>
          <w:ilvl w:val="0"/>
          <w:numId w:val="9"/>
        </w:numPr>
        <w:ind w:left="1134" w:hanging="567"/>
        <w:jc w:val="both"/>
        <w:rPr>
          <w:bCs/>
          <w:color w:val="000000" w:themeColor="text1"/>
          <w:szCs w:val="22"/>
        </w:rPr>
      </w:pPr>
      <w:r w:rsidRPr="00982D3E">
        <w:rPr>
          <w:color w:val="000000" w:themeColor="text1"/>
        </w:rPr>
        <w:t>Divers</w:t>
      </w:r>
      <w:r w:rsidR="00C15821" w:rsidRPr="00982D3E">
        <w:rPr>
          <w:color w:val="000000" w:themeColor="text1"/>
        </w:rPr>
        <w:t> :</w:t>
      </w:r>
    </w:p>
    <w:p w14:paraId="437F0F14" w14:textId="601BEEE4"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Logistique</w:t>
      </w:r>
      <w:r w:rsidR="00C15821" w:rsidRPr="00982D3E">
        <w:rPr>
          <w:color w:val="000000" w:themeColor="text1"/>
        </w:rPr>
        <w:t> :</w:t>
      </w:r>
      <w:r w:rsidRPr="00982D3E">
        <w:rPr>
          <w:color w:val="000000" w:themeColor="text1"/>
        </w:rPr>
        <w:t xml:space="preserve"> systèmes de gestion</w:t>
      </w:r>
    </w:p>
    <w:p w14:paraId="7C723DDD" w14:textId="77777777" w:rsidR="005D71D4" w:rsidRPr="00982D3E" w:rsidRDefault="005D71D4" w:rsidP="002A048C">
      <w:pPr>
        <w:pStyle w:val="ListParagraph"/>
        <w:numPr>
          <w:ilvl w:val="1"/>
          <w:numId w:val="9"/>
        </w:numPr>
        <w:ind w:left="1701" w:hanging="567"/>
        <w:jc w:val="both"/>
        <w:rPr>
          <w:bCs/>
          <w:color w:val="000000" w:themeColor="text1"/>
          <w:szCs w:val="22"/>
        </w:rPr>
      </w:pPr>
      <w:r w:rsidRPr="00982D3E">
        <w:rPr>
          <w:color w:val="000000" w:themeColor="text1"/>
        </w:rPr>
        <w:t>Sécurité routière</w:t>
      </w:r>
    </w:p>
    <w:p w14:paraId="45BC520D" w14:textId="77777777" w:rsidR="005D71D4" w:rsidRPr="00982D3E" w:rsidRDefault="005D71D4" w:rsidP="00D15D07">
      <w:pPr>
        <w:jc w:val="both"/>
        <w:rPr>
          <w:bCs/>
          <w:color w:val="000000" w:themeColor="text1"/>
          <w:szCs w:val="22"/>
          <w:lang w:val="fr-FR"/>
        </w:rPr>
      </w:pPr>
    </w:p>
    <w:p w14:paraId="64A4A5D8" w14:textId="77777777" w:rsidR="005D71D4" w:rsidRPr="00982D3E" w:rsidRDefault="005D71D4" w:rsidP="00D15D07">
      <w:pPr>
        <w:jc w:val="both"/>
        <w:rPr>
          <w:b/>
          <w:bCs/>
          <w:color w:val="000000" w:themeColor="text1"/>
          <w:szCs w:val="22"/>
          <w:lang w:val="fr-FR"/>
        </w:rPr>
      </w:pPr>
      <w:r w:rsidRPr="00982D3E">
        <w:rPr>
          <w:b/>
          <w:color w:val="000000" w:themeColor="text1"/>
          <w:lang w:val="fr-FR"/>
        </w:rPr>
        <w:t>Recherches rétrospectives</w:t>
      </w:r>
    </w:p>
    <w:p w14:paraId="1B7B499B" w14:textId="77777777" w:rsidR="005D71D4" w:rsidRPr="00982D3E" w:rsidRDefault="005D71D4" w:rsidP="00D15D07">
      <w:pPr>
        <w:jc w:val="both"/>
        <w:rPr>
          <w:bCs/>
          <w:color w:val="000000" w:themeColor="text1"/>
          <w:szCs w:val="22"/>
          <w:lang w:val="fr-FR"/>
        </w:rPr>
      </w:pPr>
    </w:p>
    <w:p w14:paraId="63C375A1" w14:textId="5DB0B75F" w:rsidR="005D71D4" w:rsidRPr="00982D3E" w:rsidRDefault="005D71D4" w:rsidP="00D15D07">
      <w:pPr>
        <w:jc w:val="both"/>
        <w:rPr>
          <w:bCs/>
          <w:color w:val="000000" w:themeColor="text1"/>
          <w:szCs w:val="22"/>
          <w:lang w:val="fr-FR"/>
        </w:rPr>
      </w:pPr>
      <w:r w:rsidRPr="00982D3E">
        <w:rPr>
          <w:color w:val="000000" w:themeColor="text1"/>
          <w:lang w:val="fr-FR"/>
        </w:rPr>
        <w:t>Ce service fournit aux utilisateurs des références bibliographiques relatives aux brevets et aux modèles d</w:t>
      </w:r>
      <w:r w:rsidR="00C15821" w:rsidRPr="00982D3E">
        <w:rPr>
          <w:color w:val="000000" w:themeColor="text1"/>
          <w:lang w:val="fr-FR"/>
        </w:rPr>
        <w:t>’</w:t>
      </w:r>
      <w:r w:rsidRPr="00982D3E">
        <w:rPr>
          <w:color w:val="000000" w:themeColor="text1"/>
          <w:lang w:val="fr-FR"/>
        </w:rPr>
        <w:t>utilité publiés en Espagne (recherche nationale), ainsi que des références en anglais relatives aux brevets publiés dans le reste du monde (recherche internationale), sur un sujet donné.</w:t>
      </w:r>
    </w:p>
    <w:p w14:paraId="5C8495C7" w14:textId="518753E3" w:rsidR="005D71D4" w:rsidRPr="00982D3E" w:rsidRDefault="005D71D4" w:rsidP="00D15D07">
      <w:pPr>
        <w:jc w:val="both"/>
        <w:rPr>
          <w:bCs/>
          <w:color w:val="000000" w:themeColor="text1"/>
          <w:szCs w:val="22"/>
          <w:lang w:val="fr-FR"/>
        </w:rPr>
      </w:pPr>
    </w:p>
    <w:p w14:paraId="6572C989" w14:textId="09C2335A" w:rsidR="005D71D4" w:rsidRPr="00982D3E" w:rsidRDefault="005D71D4" w:rsidP="00D15D07">
      <w:pPr>
        <w:jc w:val="both"/>
        <w:rPr>
          <w:color w:val="000000" w:themeColor="text1"/>
          <w:lang w:val="fr-FR"/>
        </w:rPr>
      </w:pPr>
      <w:r w:rsidRPr="00982D3E">
        <w:rPr>
          <w:color w:val="000000" w:themeColor="text1"/>
          <w:lang w:val="fr-FR"/>
        </w:rPr>
        <w:t xml:space="preserve">Chaque référence comprend un lien vers INVENES (une base de données répertoriant les inventions en Espagne) et </w:t>
      </w:r>
      <w:proofErr w:type="spellStart"/>
      <w:r w:rsidRPr="00982D3E">
        <w:rPr>
          <w:color w:val="000000" w:themeColor="text1"/>
          <w:lang w:val="fr-FR"/>
        </w:rPr>
        <w:t>Espacenet</w:t>
      </w:r>
      <w:proofErr w:type="spellEnd"/>
      <w:r w:rsidRPr="00982D3E">
        <w:rPr>
          <w:color w:val="000000" w:themeColor="text1"/>
          <w:lang w:val="fr-FR"/>
        </w:rPr>
        <w:t xml:space="preserve"> permettant d</w:t>
      </w:r>
      <w:r w:rsidR="00C15821" w:rsidRPr="00982D3E">
        <w:rPr>
          <w:color w:val="000000" w:themeColor="text1"/>
          <w:lang w:val="fr-FR"/>
        </w:rPr>
        <w:t>’</w:t>
      </w:r>
      <w:r w:rsidRPr="00982D3E">
        <w:rPr>
          <w:color w:val="000000" w:themeColor="text1"/>
          <w:lang w:val="fr-FR"/>
        </w:rPr>
        <w:t>accéder au document intégral.</w:t>
      </w:r>
    </w:p>
    <w:p w14:paraId="7FAA693A" w14:textId="77777777" w:rsidR="005D71D4" w:rsidRPr="00982D3E" w:rsidRDefault="005D71D4" w:rsidP="00D15D07">
      <w:pPr>
        <w:rPr>
          <w:color w:val="000000" w:themeColor="text1"/>
          <w:lang w:val="fr-FR"/>
        </w:rPr>
      </w:pPr>
      <w:r w:rsidRPr="00982D3E">
        <w:rPr>
          <w:lang w:val="fr-FR"/>
        </w:rPr>
        <w:br w:type="page"/>
      </w:r>
    </w:p>
    <w:p w14:paraId="4793DBD1" w14:textId="77777777" w:rsidR="005D71D4" w:rsidRPr="00982D3E" w:rsidRDefault="005D71D4" w:rsidP="00D15D07">
      <w:pPr>
        <w:jc w:val="both"/>
        <w:rPr>
          <w:rFonts w:eastAsia="Times New Roman"/>
          <w:color w:val="000000" w:themeColor="text1"/>
          <w:szCs w:val="22"/>
          <w:lang w:val="fr-FR"/>
        </w:rPr>
      </w:pPr>
      <w:r w:rsidRPr="00982D3E">
        <w:rPr>
          <w:b/>
          <w:color w:val="000000" w:themeColor="text1"/>
          <w:szCs w:val="22"/>
          <w:lang w:val="fr-FR"/>
        </w:rPr>
        <w:lastRenderedPageBreak/>
        <w:t>Rapports de veille technologique sur mesure</w:t>
      </w:r>
    </w:p>
    <w:p w14:paraId="0E64C39C" w14:textId="77777777" w:rsidR="005D71D4" w:rsidRPr="00982D3E" w:rsidRDefault="005D71D4" w:rsidP="00D15D07">
      <w:pPr>
        <w:jc w:val="both"/>
        <w:rPr>
          <w:bCs/>
          <w:color w:val="000000" w:themeColor="text1"/>
          <w:szCs w:val="22"/>
          <w:lang w:val="fr-FR"/>
        </w:rPr>
      </w:pPr>
    </w:p>
    <w:p w14:paraId="4AB0F39D" w14:textId="33A23CAB" w:rsidR="005D71D4" w:rsidRPr="00982D3E" w:rsidRDefault="005D71D4" w:rsidP="00D15D07">
      <w:pPr>
        <w:jc w:val="both"/>
        <w:rPr>
          <w:bCs/>
          <w:color w:val="000000" w:themeColor="text1"/>
          <w:szCs w:val="22"/>
          <w:lang w:val="fr-FR"/>
        </w:rPr>
      </w:pPr>
      <w:r w:rsidRPr="00982D3E">
        <w:rPr>
          <w:color w:val="000000" w:themeColor="text1"/>
          <w:lang w:val="fr-FR"/>
        </w:rPr>
        <w:t>Les utilisateurs peuvent recevoir ces rapports à la fréquence souhait</w:t>
      </w:r>
      <w:r w:rsidR="00A720A1" w:rsidRPr="00982D3E">
        <w:rPr>
          <w:color w:val="000000" w:themeColor="text1"/>
          <w:lang w:val="fr-FR"/>
        </w:rPr>
        <w:t>ée.  Il</w:t>
      </w:r>
      <w:r w:rsidRPr="00982D3E">
        <w:rPr>
          <w:color w:val="000000" w:themeColor="text1"/>
          <w:lang w:val="fr-FR"/>
        </w:rPr>
        <w:t>s fournissent des références bibliographiques relatives aux brevets et aux modèles d</w:t>
      </w:r>
      <w:r w:rsidR="00C15821" w:rsidRPr="00982D3E">
        <w:rPr>
          <w:color w:val="000000" w:themeColor="text1"/>
          <w:lang w:val="fr-FR"/>
        </w:rPr>
        <w:t>’</w:t>
      </w:r>
      <w:r w:rsidRPr="00982D3E">
        <w:rPr>
          <w:color w:val="000000" w:themeColor="text1"/>
          <w:lang w:val="fr-FR"/>
        </w:rPr>
        <w:t>utilité publiés en Espagne (recherche nationale), ainsi que des références en anglais relatives aux brevets publiés dans le reste du monde (recherche internationale), sur un sujet donné.</w:t>
      </w:r>
    </w:p>
    <w:p w14:paraId="017EB3DE" w14:textId="77777777" w:rsidR="005D71D4" w:rsidRPr="00982D3E" w:rsidRDefault="005D71D4" w:rsidP="00D15D07">
      <w:pPr>
        <w:jc w:val="both"/>
        <w:rPr>
          <w:bCs/>
          <w:color w:val="000000" w:themeColor="text1"/>
          <w:szCs w:val="22"/>
          <w:lang w:val="fr-FR"/>
        </w:rPr>
      </w:pPr>
    </w:p>
    <w:p w14:paraId="74C6F95A" w14:textId="77777777" w:rsidR="005D71D4" w:rsidRPr="00982D3E" w:rsidRDefault="005D71D4" w:rsidP="00D15D07">
      <w:pPr>
        <w:jc w:val="both"/>
        <w:rPr>
          <w:bCs/>
          <w:color w:val="000000" w:themeColor="text1"/>
          <w:szCs w:val="22"/>
          <w:lang w:val="fr-FR"/>
        </w:rPr>
      </w:pPr>
      <w:r w:rsidRPr="00982D3E">
        <w:rPr>
          <w:color w:val="000000" w:themeColor="text1"/>
          <w:lang w:val="fr-FR"/>
        </w:rPr>
        <w:t xml:space="preserve">De même, chaque référence comprend un lien vers INVENES et </w:t>
      </w:r>
      <w:proofErr w:type="spellStart"/>
      <w:r w:rsidRPr="00982D3E">
        <w:rPr>
          <w:color w:val="000000" w:themeColor="text1"/>
          <w:lang w:val="fr-FR"/>
        </w:rPr>
        <w:t>Espacenet</w:t>
      </w:r>
      <w:proofErr w:type="spellEnd"/>
      <w:r w:rsidRPr="00982D3E">
        <w:rPr>
          <w:color w:val="000000" w:themeColor="text1"/>
          <w:lang w:val="fr-FR"/>
        </w:rPr>
        <w:t xml:space="preserve"> donnant accès au document intégral.</w:t>
      </w:r>
    </w:p>
    <w:p w14:paraId="1058EA42" w14:textId="77777777" w:rsidR="005D71D4" w:rsidRPr="00982D3E" w:rsidRDefault="005D71D4" w:rsidP="00D15D07">
      <w:pPr>
        <w:jc w:val="both"/>
        <w:rPr>
          <w:bCs/>
          <w:color w:val="000000" w:themeColor="text1"/>
          <w:szCs w:val="22"/>
          <w:lang w:val="fr-FR"/>
        </w:rPr>
      </w:pPr>
    </w:p>
    <w:p w14:paraId="3E1FAF08" w14:textId="3BC19157" w:rsidR="005D71D4" w:rsidRPr="00982D3E" w:rsidRDefault="005D71D4" w:rsidP="00D15D07">
      <w:pPr>
        <w:jc w:val="both"/>
        <w:rPr>
          <w:b/>
          <w:color w:val="000000" w:themeColor="text1"/>
          <w:szCs w:val="22"/>
          <w:lang w:val="fr-FR"/>
        </w:rPr>
      </w:pPr>
      <w:r w:rsidRPr="00982D3E">
        <w:rPr>
          <w:b/>
          <w:color w:val="000000" w:themeColor="text1"/>
          <w:lang w:val="fr-FR"/>
        </w:rPr>
        <w:t>Service d</w:t>
      </w:r>
      <w:r w:rsidR="00C15821" w:rsidRPr="00982D3E">
        <w:rPr>
          <w:b/>
          <w:color w:val="000000" w:themeColor="text1"/>
          <w:lang w:val="fr-FR"/>
        </w:rPr>
        <w:t>’</w:t>
      </w:r>
      <w:r w:rsidRPr="00982D3E">
        <w:rPr>
          <w:b/>
          <w:color w:val="000000" w:themeColor="text1"/>
          <w:lang w:val="fr-FR"/>
        </w:rPr>
        <w:t>examinateurs sur demande</w:t>
      </w:r>
    </w:p>
    <w:p w14:paraId="608AA391" w14:textId="77777777" w:rsidR="005D71D4" w:rsidRPr="00982D3E" w:rsidRDefault="005D71D4" w:rsidP="00D15D07">
      <w:pPr>
        <w:jc w:val="both"/>
        <w:rPr>
          <w:bCs/>
          <w:color w:val="000000" w:themeColor="text1"/>
          <w:szCs w:val="22"/>
          <w:lang w:val="fr-FR"/>
        </w:rPr>
      </w:pPr>
    </w:p>
    <w:p w14:paraId="41B1CD77" w14:textId="102B3B50" w:rsidR="005D71D4" w:rsidRPr="00982D3E" w:rsidRDefault="005D71D4" w:rsidP="00D15D07">
      <w:pPr>
        <w:jc w:val="both"/>
        <w:rPr>
          <w:bCs/>
          <w:color w:val="000000" w:themeColor="text1"/>
          <w:szCs w:val="22"/>
          <w:lang w:val="fr-FR"/>
        </w:rPr>
      </w:pPr>
      <w:r w:rsidRPr="00982D3E">
        <w:rPr>
          <w:color w:val="000000" w:themeColor="text1"/>
          <w:lang w:val="fr-FR"/>
        </w:rPr>
        <w:t>En premier lieu, l</w:t>
      </w:r>
      <w:r w:rsidR="00C15821" w:rsidRPr="00982D3E">
        <w:rPr>
          <w:color w:val="000000" w:themeColor="text1"/>
          <w:lang w:val="fr-FR"/>
        </w:rPr>
        <w:t>’</w:t>
      </w:r>
      <w:r w:rsidRPr="00982D3E">
        <w:rPr>
          <w:color w:val="000000" w:themeColor="text1"/>
          <w:lang w:val="fr-FR"/>
        </w:rPr>
        <w:t xml:space="preserve">OEPM a mis en place un </w:t>
      </w:r>
      <w:r w:rsidRPr="00982D3E">
        <w:rPr>
          <w:b/>
          <w:color w:val="000000" w:themeColor="text1"/>
          <w:lang w:val="fr-FR"/>
        </w:rPr>
        <w:t>service d</w:t>
      </w:r>
      <w:r w:rsidR="00C15821" w:rsidRPr="00982D3E">
        <w:rPr>
          <w:b/>
          <w:color w:val="000000" w:themeColor="text1"/>
          <w:lang w:val="fr-FR"/>
        </w:rPr>
        <w:t>’</w:t>
      </w:r>
      <w:r w:rsidRPr="00982D3E">
        <w:rPr>
          <w:b/>
          <w:color w:val="000000" w:themeColor="text1"/>
          <w:lang w:val="fr-FR"/>
        </w:rPr>
        <w:t>information</w:t>
      </w:r>
      <w:r w:rsidRPr="000F0CBE">
        <w:rPr>
          <w:bCs/>
          <w:color w:val="000000" w:themeColor="text1"/>
          <w:lang w:val="fr-FR"/>
        </w:rPr>
        <w:t xml:space="preserve"> </w:t>
      </w:r>
      <w:r w:rsidRPr="00982D3E">
        <w:rPr>
          <w:color w:val="000000" w:themeColor="text1"/>
          <w:lang w:val="fr-FR"/>
        </w:rPr>
        <w:t>pour les demandes de renseignements général</w:t>
      </w:r>
      <w:r w:rsidR="00A720A1" w:rsidRPr="00982D3E">
        <w:rPr>
          <w:color w:val="000000" w:themeColor="text1"/>
          <w:lang w:val="fr-FR"/>
        </w:rPr>
        <w:t>es.  Le</w:t>
      </w:r>
      <w:r w:rsidRPr="00982D3E">
        <w:rPr>
          <w:color w:val="000000" w:themeColor="text1"/>
          <w:lang w:val="fr-FR"/>
        </w:rPr>
        <w:t>s utilisateurs peuvent contacter l</w:t>
      </w:r>
      <w:r w:rsidR="00C15821" w:rsidRPr="00982D3E">
        <w:rPr>
          <w:color w:val="000000" w:themeColor="text1"/>
          <w:lang w:val="fr-FR"/>
        </w:rPr>
        <w:t>’</w:t>
      </w:r>
      <w:r w:rsidRPr="00982D3E">
        <w:rPr>
          <w:color w:val="000000" w:themeColor="text1"/>
          <w:lang w:val="fr-FR"/>
        </w:rPr>
        <w:t>OEPM par téléphone ou courriel (une adresse électronique est dédiée à l</w:t>
      </w:r>
      <w:r w:rsidR="00C15821" w:rsidRPr="00982D3E">
        <w:rPr>
          <w:color w:val="000000" w:themeColor="text1"/>
          <w:lang w:val="fr-FR"/>
        </w:rPr>
        <w:t>’</w:t>
      </w:r>
      <w:r w:rsidRPr="00982D3E">
        <w:rPr>
          <w:color w:val="000000" w:themeColor="text1"/>
          <w:lang w:val="fr-FR"/>
        </w:rPr>
        <w:t>information) ou se rendre en personne au siège de l</w:t>
      </w:r>
      <w:r w:rsidR="00C15821" w:rsidRPr="00982D3E">
        <w:rPr>
          <w:color w:val="000000" w:themeColor="text1"/>
          <w:lang w:val="fr-FR"/>
        </w:rPr>
        <w:t>’</w:t>
      </w:r>
      <w:r w:rsidRPr="00982D3E">
        <w:rPr>
          <w:color w:val="000000" w:themeColor="text1"/>
          <w:lang w:val="fr-FR"/>
        </w:rPr>
        <w:t>office.</w:t>
      </w:r>
    </w:p>
    <w:p w14:paraId="5D241543" w14:textId="77777777" w:rsidR="005D71D4" w:rsidRPr="00982D3E" w:rsidRDefault="005D71D4" w:rsidP="00D15D07">
      <w:pPr>
        <w:jc w:val="both"/>
        <w:rPr>
          <w:bCs/>
          <w:color w:val="000000" w:themeColor="text1"/>
          <w:szCs w:val="22"/>
          <w:lang w:val="fr-FR"/>
        </w:rPr>
      </w:pPr>
    </w:p>
    <w:p w14:paraId="7CE2BF44" w14:textId="7ECE0509" w:rsidR="00C15821" w:rsidRPr="00982D3E" w:rsidRDefault="005D71D4" w:rsidP="00D15D07">
      <w:pPr>
        <w:jc w:val="both"/>
        <w:rPr>
          <w:color w:val="000000" w:themeColor="text1"/>
          <w:lang w:val="fr-FR"/>
        </w:rPr>
      </w:pPr>
      <w:r w:rsidRPr="00982D3E">
        <w:rPr>
          <w:color w:val="000000" w:themeColor="text1"/>
          <w:lang w:val="fr-FR"/>
        </w:rPr>
        <w:t>Les demandes plus précises concernant les inventions, auxquelles le service d</w:t>
      </w:r>
      <w:r w:rsidR="00C15821" w:rsidRPr="00982D3E">
        <w:rPr>
          <w:color w:val="000000" w:themeColor="text1"/>
          <w:lang w:val="fr-FR"/>
        </w:rPr>
        <w:t>’</w:t>
      </w:r>
      <w:r w:rsidRPr="00982D3E">
        <w:rPr>
          <w:color w:val="000000" w:themeColor="text1"/>
          <w:lang w:val="fr-FR"/>
        </w:rPr>
        <w:t xml:space="preserve">information générale ne peut répondre, sont transmises au </w:t>
      </w:r>
      <w:r w:rsidRPr="00982D3E">
        <w:rPr>
          <w:b/>
          <w:color w:val="000000" w:themeColor="text1"/>
          <w:lang w:val="fr-FR"/>
        </w:rPr>
        <w:t>service d</w:t>
      </w:r>
      <w:r w:rsidR="00C15821" w:rsidRPr="00982D3E">
        <w:rPr>
          <w:b/>
          <w:color w:val="000000" w:themeColor="text1"/>
          <w:lang w:val="fr-FR"/>
        </w:rPr>
        <w:t>’</w:t>
      </w:r>
      <w:r w:rsidRPr="00982D3E">
        <w:rPr>
          <w:b/>
          <w:color w:val="000000" w:themeColor="text1"/>
          <w:lang w:val="fr-FR"/>
        </w:rPr>
        <w:t>examinateurs sur demande</w:t>
      </w:r>
      <w:r w:rsidRPr="00982D3E">
        <w:rPr>
          <w:color w:val="000000" w:themeColor="text1"/>
          <w:lang w:val="fr-FR"/>
        </w:rPr>
        <w:t>.</w:t>
      </w:r>
    </w:p>
    <w:p w14:paraId="49317A73" w14:textId="57E8110B" w:rsidR="005D71D4" w:rsidRPr="00982D3E" w:rsidRDefault="005D71D4" w:rsidP="00D15D07">
      <w:pPr>
        <w:jc w:val="both"/>
        <w:rPr>
          <w:bCs/>
          <w:color w:val="000000" w:themeColor="text1"/>
          <w:szCs w:val="22"/>
          <w:lang w:val="fr-FR"/>
        </w:rPr>
      </w:pPr>
    </w:p>
    <w:p w14:paraId="56BC0000" w14:textId="1EE9679A" w:rsidR="00C15821" w:rsidRPr="00982D3E" w:rsidRDefault="005D71D4" w:rsidP="00D15D07">
      <w:pPr>
        <w:jc w:val="both"/>
        <w:rPr>
          <w:color w:val="000000" w:themeColor="text1"/>
          <w:lang w:val="fr-FR"/>
        </w:rPr>
      </w:pPr>
      <w:r w:rsidRPr="00982D3E">
        <w:rPr>
          <w:color w:val="000000" w:themeColor="text1"/>
          <w:lang w:val="fr-FR"/>
        </w:rPr>
        <w:t>Ce service répond aux demandes de renseignements dans les domaines suivants</w:t>
      </w:r>
      <w:r w:rsidR="00C15821" w:rsidRPr="00982D3E">
        <w:rPr>
          <w:color w:val="000000" w:themeColor="text1"/>
          <w:lang w:val="fr-FR"/>
        </w:rPr>
        <w:t> :</w:t>
      </w:r>
    </w:p>
    <w:p w14:paraId="3D3C782F" w14:textId="05E29B3B" w:rsidR="00C15821" w:rsidRPr="00982D3E" w:rsidRDefault="000F0CBE" w:rsidP="00D15D07">
      <w:pPr>
        <w:jc w:val="both"/>
        <w:rPr>
          <w:color w:val="000000" w:themeColor="text1"/>
          <w:lang w:val="fr-FR"/>
        </w:rPr>
      </w:pPr>
      <w:r>
        <w:rPr>
          <w:color w:val="000000" w:themeColor="text1"/>
          <w:lang w:val="fr-FR"/>
        </w:rPr>
        <w:noBreakHyphen/>
      </w:r>
      <w:r w:rsidR="005D71D4" w:rsidRPr="00982D3E">
        <w:rPr>
          <w:color w:val="000000" w:themeColor="text1"/>
          <w:lang w:val="fr-FR"/>
        </w:rPr>
        <w:t xml:space="preserve"> Brevetabilité, nouveauté, activité inventive et unité de l</w:t>
      </w:r>
      <w:r w:rsidR="00C15821" w:rsidRPr="00982D3E">
        <w:rPr>
          <w:color w:val="000000" w:themeColor="text1"/>
          <w:lang w:val="fr-FR"/>
        </w:rPr>
        <w:t>’</w:t>
      </w:r>
      <w:r w:rsidR="005D71D4" w:rsidRPr="00982D3E">
        <w:rPr>
          <w:color w:val="000000" w:themeColor="text1"/>
          <w:lang w:val="fr-FR"/>
        </w:rPr>
        <w:t>invention</w:t>
      </w:r>
    </w:p>
    <w:p w14:paraId="23826F24" w14:textId="35AB67E0" w:rsidR="00C15821" w:rsidRPr="00982D3E" w:rsidRDefault="000F0CBE" w:rsidP="00D15D07">
      <w:pPr>
        <w:jc w:val="both"/>
        <w:rPr>
          <w:color w:val="000000" w:themeColor="text1"/>
          <w:lang w:val="fr-FR"/>
        </w:rPr>
      </w:pPr>
      <w:r>
        <w:rPr>
          <w:color w:val="000000" w:themeColor="text1"/>
          <w:lang w:val="fr-FR"/>
        </w:rPr>
        <w:noBreakHyphen/>
      </w:r>
      <w:r w:rsidR="005D71D4" w:rsidRPr="00982D3E">
        <w:rPr>
          <w:color w:val="000000" w:themeColor="text1"/>
          <w:lang w:val="fr-FR"/>
        </w:rPr>
        <w:t xml:space="preserve"> Portée et contenu des revendications</w:t>
      </w:r>
    </w:p>
    <w:p w14:paraId="2418D947" w14:textId="674A63F3" w:rsidR="00C15821" w:rsidRPr="00982D3E" w:rsidRDefault="000F0CBE" w:rsidP="00D15D07">
      <w:pPr>
        <w:jc w:val="both"/>
        <w:rPr>
          <w:color w:val="000000" w:themeColor="text1"/>
          <w:lang w:val="fr-FR"/>
        </w:rPr>
      </w:pPr>
      <w:r>
        <w:rPr>
          <w:color w:val="000000" w:themeColor="text1"/>
          <w:lang w:val="fr-FR"/>
        </w:rPr>
        <w:noBreakHyphen/>
      </w:r>
      <w:r w:rsidR="005D71D4" w:rsidRPr="00982D3E">
        <w:rPr>
          <w:color w:val="000000" w:themeColor="text1"/>
          <w:lang w:val="fr-FR"/>
        </w:rPr>
        <w:t xml:space="preserve"> Rédaction de la demande de brevet, de modèle d</w:t>
      </w:r>
      <w:r w:rsidR="00C15821" w:rsidRPr="00982D3E">
        <w:rPr>
          <w:color w:val="000000" w:themeColor="text1"/>
          <w:lang w:val="fr-FR"/>
        </w:rPr>
        <w:t>’</w:t>
      </w:r>
      <w:r w:rsidR="005D71D4" w:rsidRPr="00982D3E">
        <w:rPr>
          <w:color w:val="000000" w:themeColor="text1"/>
          <w:lang w:val="fr-FR"/>
        </w:rPr>
        <w:t>utilité ou selon</w:t>
      </w:r>
      <w:r w:rsidR="00C15821" w:rsidRPr="00982D3E">
        <w:rPr>
          <w:color w:val="000000" w:themeColor="text1"/>
          <w:lang w:val="fr-FR"/>
        </w:rPr>
        <w:t xml:space="preserve"> le PCT</w:t>
      </w:r>
      <w:r w:rsidR="005D71D4" w:rsidRPr="00982D3E">
        <w:rPr>
          <w:color w:val="000000" w:themeColor="text1"/>
          <w:lang w:val="fr-FR"/>
        </w:rPr>
        <w:t xml:space="preserve"> (en général, cela n</w:t>
      </w:r>
      <w:r w:rsidR="00C15821" w:rsidRPr="00982D3E">
        <w:rPr>
          <w:color w:val="000000" w:themeColor="text1"/>
          <w:lang w:val="fr-FR"/>
        </w:rPr>
        <w:t>’</w:t>
      </w:r>
      <w:r w:rsidR="005D71D4" w:rsidRPr="00982D3E">
        <w:rPr>
          <w:color w:val="000000" w:themeColor="text1"/>
          <w:lang w:val="fr-FR"/>
        </w:rPr>
        <w:t>inclut pas de proposer ou corriger un texte particulier)</w:t>
      </w:r>
    </w:p>
    <w:p w14:paraId="78E95920" w14:textId="32E8E1E2" w:rsidR="005D71D4" w:rsidRPr="00982D3E" w:rsidRDefault="000F0CBE" w:rsidP="00D15D07">
      <w:pPr>
        <w:jc w:val="both"/>
        <w:rPr>
          <w:bCs/>
          <w:color w:val="000000" w:themeColor="text1"/>
          <w:szCs w:val="22"/>
          <w:lang w:val="fr-FR"/>
        </w:rPr>
      </w:pPr>
      <w:r>
        <w:rPr>
          <w:color w:val="000000" w:themeColor="text1"/>
          <w:lang w:val="fr-FR"/>
        </w:rPr>
        <w:noBreakHyphen/>
      </w:r>
      <w:r w:rsidR="005D71D4" w:rsidRPr="00982D3E">
        <w:rPr>
          <w:color w:val="000000" w:themeColor="text1"/>
          <w:lang w:val="fr-FR"/>
        </w:rPr>
        <w:t xml:space="preserve"> Recherche en matière de brevets dans les bases de données gratuites </w:t>
      </w:r>
      <w:proofErr w:type="spellStart"/>
      <w:r w:rsidR="005D71D4" w:rsidRPr="00982D3E">
        <w:rPr>
          <w:color w:val="000000" w:themeColor="text1"/>
          <w:lang w:val="fr-FR"/>
        </w:rPr>
        <w:t>Espacenet</w:t>
      </w:r>
      <w:proofErr w:type="spellEnd"/>
      <w:r w:rsidR="005D71D4" w:rsidRPr="00982D3E">
        <w:rPr>
          <w:color w:val="000000" w:themeColor="text1"/>
          <w:lang w:val="fr-FR"/>
        </w:rPr>
        <w:t xml:space="preserve"> et </w:t>
      </w:r>
      <w:proofErr w:type="gramStart"/>
      <w:r w:rsidR="005D71D4" w:rsidRPr="00982D3E">
        <w:rPr>
          <w:color w:val="000000" w:themeColor="text1"/>
          <w:lang w:val="fr-FR"/>
        </w:rPr>
        <w:t>INVENES;  services</w:t>
      </w:r>
      <w:proofErr w:type="gramEnd"/>
      <w:r w:rsidR="005D71D4" w:rsidRPr="00982D3E">
        <w:rPr>
          <w:color w:val="000000" w:themeColor="text1"/>
          <w:lang w:val="fr-FR"/>
        </w:rPr>
        <w:t xml:space="preserve"> d</w:t>
      </w:r>
      <w:r w:rsidR="00C15821" w:rsidRPr="00982D3E">
        <w:rPr>
          <w:color w:val="000000" w:themeColor="text1"/>
          <w:lang w:val="fr-FR"/>
        </w:rPr>
        <w:t>’</w:t>
      </w:r>
      <w:r w:rsidR="005D71D4" w:rsidRPr="00982D3E">
        <w:rPr>
          <w:color w:val="000000" w:themeColor="text1"/>
          <w:lang w:val="fr-FR"/>
        </w:rPr>
        <w:t>information technologique de l</w:t>
      </w:r>
      <w:r w:rsidR="00C15821" w:rsidRPr="00982D3E">
        <w:rPr>
          <w:color w:val="000000" w:themeColor="text1"/>
          <w:lang w:val="fr-FR"/>
        </w:rPr>
        <w:t>’</w:t>
      </w:r>
      <w:r w:rsidR="005D71D4" w:rsidRPr="00982D3E">
        <w:rPr>
          <w:color w:val="000000" w:themeColor="text1"/>
          <w:lang w:val="fr-FR"/>
        </w:rPr>
        <w:t>OEPM</w:t>
      </w:r>
    </w:p>
    <w:p w14:paraId="2B0D2241" w14:textId="77777777" w:rsidR="005D71D4" w:rsidRPr="00982D3E" w:rsidRDefault="005D71D4" w:rsidP="00D15D07">
      <w:pPr>
        <w:jc w:val="both"/>
        <w:rPr>
          <w:bCs/>
          <w:color w:val="000000" w:themeColor="text1"/>
          <w:szCs w:val="22"/>
          <w:lang w:val="fr-FR"/>
        </w:rPr>
      </w:pPr>
    </w:p>
    <w:p w14:paraId="31E7D462" w14:textId="7E076D37" w:rsidR="005D71D4" w:rsidRPr="00982D3E" w:rsidRDefault="005D71D4" w:rsidP="00D15D07">
      <w:pPr>
        <w:jc w:val="both"/>
        <w:rPr>
          <w:bCs/>
          <w:color w:val="000000" w:themeColor="text1"/>
          <w:szCs w:val="22"/>
          <w:lang w:val="fr-FR"/>
        </w:rPr>
      </w:pPr>
      <w:r w:rsidRPr="00982D3E">
        <w:rPr>
          <w:color w:val="000000" w:themeColor="text1"/>
          <w:lang w:val="fr-FR"/>
        </w:rPr>
        <w:t>Les demandes de renseignements sur les demandes en cours de traitement, notamment celles concernant la suspension ou des objections quant à la recevabilité, sont transmises à l</w:t>
      </w:r>
      <w:r w:rsidR="00C15821" w:rsidRPr="00982D3E">
        <w:rPr>
          <w:color w:val="000000" w:themeColor="text1"/>
          <w:lang w:val="fr-FR"/>
        </w:rPr>
        <w:t>’</w:t>
      </w:r>
      <w:r w:rsidRPr="00982D3E">
        <w:rPr>
          <w:color w:val="000000" w:themeColor="text1"/>
          <w:lang w:val="fr-FR"/>
        </w:rPr>
        <w:t>examinateur en charge ou, le cas échéant, au chef de service ou au chef de secteur.</w:t>
      </w:r>
    </w:p>
    <w:p w14:paraId="25CB72FE" w14:textId="77777777" w:rsidR="005D71D4" w:rsidRPr="00982D3E" w:rsidRDefault="005D71D4" w:rsidP="00D15D07">
      <w:pPr>
        <w:jc w:val="both"/>
        <w:rPr>
          <w:bCs/>
          <w:color w:val="000000" w:themeColor="text1"/>
          <w:szCs w:val="22"/>
          <w:lang w:val="fr-FR"/>
        </w:rPr>
      </w:pPr>
    </w:p>
    <w:p w14:paraId="09074761" w14:textId="614A985A" w:rsidR="005D71D4" w:rsidRPr="00982D3E" w:rsidRDefault="005D71D4" w:rsidP="00D15D07">
      <w:pPr>
        <w:jc w:val="both"/>
        <w:rPr>
          <w:b/>
          <w:color w:val="000000" w:themeColor="text1"/>
          <w:szCs w:val="22"/>
          <w:lang w:val="fr-FR"/>
        </w:rPr>
      </w:pPr>
      <w:r w:rsidRPr="00982D3E">
        <w:rPr>
          <w:b/>
          <w:color w:val="000000" w:themeColor="text1"/>
          <w:lang w:val="fr-FR"/>
        </w:rPr>
        <w:t>Brochures d</w:t>
      </w:r>
      <w:r w:rsidR="00C15821" w:rsidRPr="00982D3E">
        <w:rPr>
          <w:b/>
          <w:color w:val="000000" w:themeColor="text1"/>
          <w:lang w:val="fr-FR"/>
        </w:rPr>
        <w:t>’</w:t>
      </w:r>
      <w:r w:rsidRPr="00982D3E">
        <w:rPr>
          <w:b/>
          <w:color w:val="000000" w:themeColor="text1"/>
          <w:lang w:val="fr-FR"/>
        </w:rPr>
        <w:t>information sur</w:t>
      </w:r>
      <w:r w:rsidR="00C15821" w:rsidRPr="00982D3E">
        <w:rPr>
          <w:b/>
          <w:color w:val="000000" w:themeColor="text1"/>
          <w:lang w:val="fr-FR"/>
        </w:rPr>
        <w:t xml:space="preserve"> le PCT</w:t>
      </w:r>
    </w:p>
    <w:p w14:paraId="774A0430" w14:textId="77777777" w:rsidR="005D71D4" w:rsidRPr="00982D3E" w:rsidRDefault="005D71D4" w:rsidP="00D15D07">
      <w:pPr>
        <w:jc w:val="both"/>
        <w:rPr>
          <w:bCs/>
          <w:color w:val="000000" w:themeColor="text1"/>
          <w:szCs w:val="22"/>
          <w:lang w:val="fr-FR"/>
        </w:rPr>
      </w:pPr>
    </w:p>
    <w:p w14:paraId="0412D820" w14:textId="1B5651EE" w:rsidR="00C15821" w:rsidRPr="00982D3E" w:rsidRDefault="005D71D4" w:rsidP="00D15D07">
      <w:pPr>
        <w:jc w:val="both"/>
        <w:rPr>
          <w:color w:val="000000" w:themeColor="text1"/>
          <w:lang w:val="fr-FR"/>
        </w:rPr>
      </w:pPr>
      <w:r w:rsidRPr="00982D3E">
        <w:rPr>
          <w:color w:val="000000" w:themeColor="text1"/>
          <w:lang w:val="fr-FR"/>
        </w:rPr>
        <w:t>Le site</w:t>
      </w:r>
      <w:r w:rsidR="004319B8" w:rsidRPr="00982D3E">
        <w:rPr>
          <w:color w:val="000000" w:themeColor="text1"/>
          <w:lang w:val="fr-FR"/>
        </w:rPr>
        <w:t> Web</w:t>
      </w:r>
      <w:r w:rsidRPr="00982D3E">
        <w:rPr>
          <w:color w:val="000000" w:themeColor="text1"/>
          <w:lang w:val="fr-FR"/>
        </w:rPr>
        <w:t xml:space="preserve"> de l</w:t>
      </w:r>
      <w:r w:rsidR="00C15821" w:rsidRPr="00982D3E">
        <w:rPr>
          <w:color w:val="000000" w:themeColor="text1"/>
          <w:lang w:val="fr-FR"/>
        </w:rPr>
        <w:t>’</w:t>
      </w:r>
      <w:r w:rsidRPr="00982D3E">
        <w:rPr>
          <w:color w:val="000000" w:themeColor="text1"/>
          <w:lang w:val="fr-FR"/>
        </w:rPr>
        <w:t>OEPM contient plusieurs brochures sur la procédure</w:t>
      </w:r>
      <w:r w:rsidR="00C15821" w:rsidRPr="00982D3E">
        <w:rPr>
          <w:color w:val="000000" w:themeColor="text1"/>
          <w:lang w:val="fr-FR"/>
        </w:rPr>
        <w:t xml:space="preserve"> du PCT</w:t>
      </w:r>
      <w:r w:rsidRPr="00982D3E">
        <w:rPr>
          <w:color w:val="000000" w:themeColor="text1"/>
          <w:lang w:val="fr-FR"/>
        </w:rPr>
        <w:t xml:space="preserve"> et ses avantages potentie</w:t>
      </w:r>
      <w:r w:rsidR="00A720A1" w:rsidRPr="00982D3E">
        <w:rPr>
          <w:color w:val="000000" w:themeColor="text1"/>
          <w:lang w:val="fr-FR"/>
        </w:rPr>
        <w:t>ls.  Ce</w:t>
      </w:r>
      <w:r w:rsidRPr="00982D3E">
        <w:rPr>
          <w:color w:val="000000" w:themeColor="text1"/>
          <w:lang w:val="fr-FR"/>
        </w:rPr>
        <w:t>rtaines traitent de questions générales, d</w:t>
      </w:r>
      <w:r w:rsidR="00C15821" w:rsidRPr="00982D3E">
        <w:rPr>
          <w:color w:val="000000" w:themeColor="text1"/>
          <w:lang w:val="fr-FR"/>
        </w:rPr>
        <w:t>’</w:t>
      </w:r>
      <w:r w:rsidRPr="00982D3E">
        <w:rPr>
          <w:color w:val="000000" w:themeColor="text1"/>
          <w:lang w:val="fr-FR"/>
        </w:rPr>
        <w:t>autres expliquent comment déposer une demande PCT auprès de l</w:t>
      </w:r>
      <w:r w:rsidR="00C15821" w:rsidRPr="00982D3E">
        <w:rPr>
          <w:color w:val="000000" w:themeColor="text1"/>
          <w:lang w:val="fr-FR"/>
        </w:rPr>
        <w:t>’</w:t>
      </w:r>
      <w:r w:rsidRPr="00982D3E">
        <w:rPr>
          <w:color w:val="000000" w:themeColor="text1"/>
          <w:lang w:val="fr-FR"/>
        </w:rPr>
        <w:t>O</w:t>
      </w:r>
      <w:r w:rsidR="00A720A1" w:rsidRPr="00982D3E">
        <w:rPr>
          <w:color w:val="000000" w:themeColor="text1"/>
          <w:lang w:val="fr-FR"/>
        </w:rPr>
        <w:t>EPM.  Le</w:t>
      </w:r>
      <w:r w:rsidRPr="00982D3E">
        <w:rPr>
          <w:color w:val="000000" w:themeColor="text1"/>
          <w:lang w:val="fr-FR"/>
        </w:rPr>
        <w:t>s brochures plus spécialisées décrivent de manière détaillée les différentes phases de la procédure selon</w:t>
      </w:r>
      <w:r w:rsidR="00C15821" w:rsidRPr="00982D3E">
        <w:rPr>
          <w:color w:val="000000" w:themeColor="text1"/>
          <w:lang w:val="fr-FR"/>
        </w:rPr>
        <w:t xml:space="preserve"> le PCT</w:t>
      </w:r>
      <w:r w:rsidRPr="00982D3E">
        <w:rPr>
          <w:color w:val="000000" w:themeColor="text1"/>
          <w:lang w:val="fr-FR"/>
        </w:rPr>
        <w:t>.</w:t>
      </w:r>
    </w:p>
    <w:p w14:paraId="3C4245C6" w14:textId="6854461E" w:rsidR="005D71D4" w:rsidRPr="00982D3E" w:rsidRDefault="005D71D4" w:rsidP="00D15D07">
      <w:pPr>
        <w:jc w:val="both"/>
        <w:rPr>
          <w:bCs/>
          <w:color w:val="000000" w:themeColor="text1"/>
          <w:szCs w:val="22"/>
          <w:lang w:val="fr-FR"/>
        </w:rPr>
      </w:pPr>
    </w:p>
    <w:p w14:paraId="557B8097" w14:textId="218DBC6C" w:rsidR="005D71D4" w:rsidRPr="00982D3E" w:rsidRDefault="005D71D4" w:rsidP="00D15D07">
      <w:pPr>
        <w:jc w:val="both"/>
        <w:rPr>
          <w:b/>
          <w:color w:val="000000" w:themeColor="text1"/>
          <w:szCs w:val="22"/>
          <w:lang w:val="fr-FR"/>
        </w:rPr>
      </w:pPr>
      <w:r w:rsidRPr="00982D3E">
        <w:rPr>
          <w:b/>
          <w:color w:val="000000" w:themeColor="text1"/>
          <w:lang w:val="fr-FR"/>
        </w:rPr>
        <w:t>Boîte mail</w:t>
      </w:r>
      <w:r w:rsidR="00C15821" w:rsidRPr="00982D3E">
        <w:rPr>
          <w:b/>
          <w:color w:val="000000" w:themeColor="text1"/>
          <w:lang w:val="fr-FR"/>
        </w:rPr>
        <w:t xml:space="preserve"> du PCT</w:t>
      </w:r>
    </w:p>
    <w:p w14:paraId="7E00FB84" w14:textId="77777777" w:rsidR="005D71D4" w:rsidRPr="00982D3E" w:rsidRDefault="005D71D4" w:rsidP="00D15D07">
      <w:pPr>
        <w:jc w:val="both"/>
        <w:rPr>
          <w:bCs/>
          <w:color w:val="000000" w:themeColor="text1"/>
          <w:szCs w:val="22"/>
          <w:lang w:val="fr-FR"/>
        </w:rPr>
      </w:pPr>
    </w:p>
    <w:p w14:paraId="06BDEEEB" w14:textId="768B36D5" w:rsidR="005D71D4" w:rsidRPr="00982D3E" w:rsidRDefault="005D71D4" w:rsidP="00D15D07">
      <w:pPr>
        <w:jc w:val="both"/>
        <w:rPr>
          <w:color w:val="000000" w:themeColor="text1"/>
          <w:lang w:val="fr-FR"/>
        </w:rPr>
      </w:pPr>
      <w:r w:rsidRPr="00982D3E">
        <w:rPr>
          <w:color w:val="000000" w:themeColor="text1"/>
          <w:lang w:val="fr-FR"/>
        </w:rPr>
        <w:t>L</w:t>
      </w:r>
      <w:r w:rsidR="00C15821" w:rsidRPr="00982D3E">
        <w:rPr>
          <w:color w:val="000000" w:themeColor="text1"/>
          <w:lang w:val="fr-FR"/>
        </w:rPr>
        <w:t>’</w:t>
      </w:r>
      <w:r w:rsidRPr="00982D3E">
        <w:rPr>
          <w:color w:val="000000" w:themeColor="text1"/>
          <w:lang w:val="fr-FR"/>
        </w:rPr>
        <w:t>OEPM a mis en place une boîte mail spéciale pour les demandes de renseignements formulées par courriel, qu</w:t>
      </w:r>
      <w:r w:rsidR="00C15821" w:rsidRPr="00982D3E">
        <w:rPr>
          <w:color w:val="000000" w:themeColor="text1"/>
          <w:lang w:val="fr-FR"/>
        </w:rPr>
        <w:t>’</w:t>
      </w:r>
      <w:r w:rsidRPr="00982D3E">
        <w:rPr>
          <w:color w:val="000000" w:themeColor="text1"/>
          <w:lang w:val="fr-FR"/>
        </w:rPr>
        <w:t>elles soient d</w:t>
      </w:r>
      <w:r w:rsidR="00C15821" w:rsidRPr="00982D3E">
        <w:rPr>
          <w:color w:val="000000" w:themeColor="text1"/>
          <w:lang w:val="fr-FR"/>
        </w:rPr>
        <w:t>’</w:t>
      </w:r>
      <w:r w:rsidRPr="00982D3E">
        <w:rPr>
          <w:color w:val="000000" w:themeColor="text1"/>
          <w:lang w:val="fr-FR"/>
        </w:rPr>
        <w:t>ordre général ou plus spécifiq</w:t>
      </w:r>
      <w:r w:rsidR="00A720A1" w:rsidRPr="00982D3E">
        <w:rPr>
          <w:color w:val="000000" w:themeColor="text1"/>
          <w:lang w:val="fr-FR"/>
        </w:rPr>
        <w:t>ue.  Ce</w:t>
      </w:r>
      <w:r w:rsidRPr="00982D3E">
        <w:rPr>
          <w:color w:val="000000" w:themeColor="text1"/>
          <w:lang w:val="fr-FR"/>
        </w:rPr>
        <w:t>tte boîte mail est tenue par le personnel de l</w:t>
      </w:r>
      <w:r w:rsidR="00C15821" w:rsidRPr="00982D3E">
        <w:rPr>
          <w:color w:val="000000" w:themeColor="text1"/>
          <w:lang w:val="fr-FR"/>
        </w:rPr>
        <w:t>’</w:t>
      </w:r>
      <w:r w:rsidRPr="00982D3E">
        <w:rPr>
          <w:color w:val="000000" w:themeColor="text1"/>
          <w:lang w:val="fr-FR"/>
        </w:rPr>
        <w:t>office récepteur de l</w:t>
      </w:r>
      <w:r w:rsidR="00C15821" w:rsidRPr="00982D3E">
        <w:rPr>
          <w:color w:val="000000" w:themeColor="text1"/>
          <w:lang w:val="fr-FR"/>
        </w:rPr>
        <w:t>’</w:t>
      </w:r>
      <w:r w:rsidRPr="00982D3E">
        <w:rPr>
          <w:color w:val="000000" w:themeColor="text1"/>
          <w:lang w:val="fr-FR"/>
        </w:rPr>
        <w:t>O</w:t>
      </w:r>
      <w:r w:rsidR="00A720A1" w:rsidRPr="00982D3E">
        <w:rPr>
          <w:color w:val="000000" w:themeColor="text1"/>
          <w:lang w:val="fr-FR"/>
        </w:rPr>
        <w:t>EPM.  Au</w:t>
      </w:r>
      <w:r w:rsidRPr="00982D3E">
        <w:rPr>
          <w:color w:val="000000" w:themeColor="text1"/>
          <w:lang w:val="fr-FR"/>
        </w:rPr>
        <w:t xml:space="preserve"> besoin, les demandes de renseignements sont transmises aux examinateurs chargés de la recherche ou de l</w:t>
      </w:r>
      <w:r w:rsidR="00C15821" w:rsidRPr="00982D3E">
        <w:rPr>
          <w:color w:val="000000" w:themeColor="text1"/>
          <w:lang w:val="fr-FR"/>
        </w:rPr>
        <w:t>’</w:t>
      </w:r>
      <w:r w:rsidRPr="00982D3E">
        <w:rPr>
          <w:color w:val="000000" w:themeColor="text1"/>
          <w:lang w:val="fr-FR"/>
        </w:rPr>
        <w:t>examen international en question.</w:t>
      </w:r>
    </w:p>
    <w:p w14:paraId="3F835981" w14:textId="77777777" w:rsidR="005D71D4" w:rsidRPr="00982D3E" w:rsidRDefault="005D71D4" w:rsidP="00D15D07">
      <w:pPr>
        <w:jc w:val="both"/>
        <w:rPr>
          <w:color w:val="000000" w:themeColor="text1"/>
          <w:lang w:val="fr-FR"/>
        </w:rPr>
      </w:pPr>
    </w:p>
    <w:p w14:paraId="2D0D832E" w14:textId="77777777" w:rsidR="005D71D4" w:rsidRPr="00982D3E" w:rsidRDefault="005D71D4" w:rsidP="00D15D07">
      <w:pPr>
        <w:pStyle w:val="SectionHeading"/>
        <w:rPr>
          <w:lang w:val="fr-FR"/>
        </w:rPr>
      </w:pPr>
      <w:bookmarkStart w:id="10" w:name="_Hlk216885187"/>
    </w:p>
    <w:bookmarkEnd w:id="10"/>
    <w:p w14:paraId="6818A25D" w14:textId="474CC568" w:rsidR="000F5E56" w:rsidRPr="00982D3E" w:rsidRDefault="005D71D4" w:rsidP="002A048C">
      <w:pPr>
        <w:pStyle w:val="Endofdocument-Annex"/>
        <w:rPr>
          <w:bCs/>
          <w:szCs w:val="22"/>
        </w:rPr>
      </w:pPr>
      <w:r w:rsidRPr="00982D3E">
        <w:t>[Fin de l</w:t>
      </w:r>
      <w:r w:rsidR="00C15821" w:rsidRPr="00982D3E">
        <w:t>’</w:t>
      </w:r>
      <w:r w:rsidRPr="00982D3E">
        <w:t>annexe et du document]</w:t>
      </w:r>
    </w:p>
    <w:sectPr w:rsidR="000F5E56" w:rsidRPr="00982D3E" w:rsidSect="00D15D07">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97CE" w14:textId="77777777" w:rsidR="00A54DCF" w:rsidRDefault="00A54DCF">
      <w:r>
        <w:separator/>
      </w:r>
    </w:p>
  </w:endnote>
  <w:endnote w:type="continuationSeparator" w:id="0">
    <w:p w14:paraId="3D2683C8" w14:textId="77777777" w:rsidR="00A54DCF" w:rsidRPr="009D30E6" w:rsidRDefault="00A54DCF" w:rsidP="00D45252">
      <w:pPr>
        <w:rPr>
          <w:sz w:val="17"/>
          <w:szCs w:val="17"/>
        </w:rPr>
      </w:pPr>
      <w:r w:rsidRPr="009D30E6">
        <w:rPr>
          <w:sz w:val="17"/>
          <w:szCs w:val="17"/>
        </w:rPr>
        <w:separator/>
      </w:r>
    </w:p>
    <w:p w14:paraId="099A6E4B" w14:textId="77777777" w:rsidR="00A54DCF" w:rsidRPr="009D30E6" w:rsidRDefault="00A54DCF" w:rsidP="00D45252">
      <w:pPr>
        <w:spacing w:after="60"/>
        <w:rPr>
          <w:sz w:val="17"/>
          <w:szCs w:val="17"/>
        </w:rPr>
      </w:pPr>
      <w:r w:rsidRPr="009D30E6">
        <w:rPr>
          <w:sz w:val="17"/>
          <w:szCs w:val="17"/>
        </w:rPr>
        <w:t>[Suite de la note de la page précédente]</w:t>
      </w:r>
    </w:p>
  </w:endnote>
  <w:endnote w:type="continuationNotice" w:id="1">
    <w:p w14:paraId="224F9D98" w14:textId="77777777" w:rsidR="00A54DCF" w:rsidRPr="009D30E6" w:rsidRDefault="00A54DC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176" w14:textId="29E2B707"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39E0" w14:textId="285D99D1"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5A97" w14:textId="5A4BC8A7"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13F0" w14:textId="77777777" w:rsidR="00A54DCF" w:rsidRDefault="00A54DCF">
      <w:r>
        <w:separator/>
      </w:r>
    </w:p>
  </w:footnote>
  <w:footnote w:type="continuationSeparator" w:id="0">
    <w:p w14:paraId="5B3CEB09" w14:textId="77777777" w:rsidR="00A54DCF" w:rsidRDefault="00A54DCF" w:rsidP="007461F1">
      <w:r>
        <w:separator/>
      </w:r>
    </w:p>
    <w:p w14:paraId="4B119CF9" w14:textId="77777777" w:rsidR="00A54DCF" w:rsidRPr="009D30E6" w:rsidRDefault="00A54DCF" w:rsidP="007461F1">
      <w:pPr>
        <w:spacing w:after="60"/>
        <w:rPr>
          <w:sz w:val="17"/>
          <w:szCs w:val="17"/>
        </w:rPr>
      </w:pPr>
      <w:r w:rsidRPr="009D30E6">
        <w:rPr>
          <w:sz w:val="17"/>
          <w:szCs w:val="17"/>
        </w:rPr>
        <w:t>[Suite de la note de la page précédente]</w:t>
      </w:r>
    </w:p>
  </w:footnote>
  <w:footnote w:type="continuationNotice" w:id="1">
    <w:p w14:paraId="4444EB01" w14:textId="77777777" w:rsidR="00A54DCF" w:rsidRPr="009D30E6" w:rsidRDefault="00A54DCF" w:rsidP="007461F1">
      <w:pPr>
        <w:spacing w:before="60"/>
        <w:jc w:val="right"/>
        <w:rPr>
          <w:sz w:val="17"/>
          <w:szCs w:val="17"/>
        </w:rPr>
      </w:pPr>
      <w:r w:rsidRPr="009D30E6">
        <w:rPr>
          <w:sz w:val="17"/>
          <w:szCs w:val="17"/>
        </w:rPr>
        <w:t>[Suite de la note page suivante]</w:t>
      </w:r>
    </w:p>
  </w:footnote>
  <w:footnote w:id="2">
    <w:p w14:paraId="68D0CBA6" w14:textId="5991D547" w:rsidR="005D71D4" w:rsidRPr="00683D0F" w:rsidRDefault="005D71D4" w:rsidP="005D71D4">
      <w:pPr>
        <w:pStyle w:val="FootnoteText"/>
      </w:pPr>
      <w:r>
        <w:rPr>
          <w:rStyle w:val="FootnoteReference"/>
        </w:rPr>
        <w:footnoteRef/>
      </w:r>
      <w:r>
        <w:t xml:space="preserve"> </w:t>
      </w:r>
      <w:r w:rsidR="00D15D07">
        <w:tab/>
      </w:r>
      <w:r>
        <w:t>Données actualisées le 31 octobre 2025.</w:t>
      </w:r>
    </w:p>
  </w:footnote>
  <w:footnote w:id="3">
    <w:p w14:paraId="2D218D3A" w14:textId="43F3ADE3" w:rsidR="005D71D4" w:rsidRPr="008614D6" w:rsidRDefault="005D71D4" w:rsidP="005D71D4">
      <w:pPr>
        <w:pStyle w:val="FootnoteText"/>
      </w:pPr>
      <w:r>
        <w:rPr>
          <w:rStyle w:val="FootnoteReference"/>
        </w:rPr>
        <w:footnoteRef/>
      </w:r>
      <w:r>
        <w:tab/>
        <w:t>Dans la procédure nationale de l</w:t>
      </w:r>
      <w:r w:rsidR="005D5951">
        <w:t>’</w:t>
      </w:r>
      <w:r>
        <w:t>Espagne, une opinion écrite est jointe aux résultats de la recherche.  C</w:t>
      </w:r>
      <w:r w:rsidR="005D5951">
        <w:t>’</w:t>
      </w:r>
      <w:r>
        <w:t>est pourquoi le premier examen est effectué à ce stade.</w:t>
      </w:r>
    </w:p>
  </w:footnote>
  <w:footnote w:id="4">
    <w:p w14:paraId="7B33BAEA" w14:textId="4AAFD903" w:rsidR="005D71D4" w:rsidRPr="00683D0F" w:rsidRDefault="005D71D4" w:rsidP="005D71D4">
      <w:pPr>
        <w:pStyle w:val="FootnoteText"/>
      </w:pPr>
      <w:r>
        <w:rPr>
          <w:rStyle w:val="FootnoteReference"/>
        </w:rPr>
        <w:footnoteRef/>
      </w:r>
      <w:r>
        <w:t xml:space="preserve"> </w:t>
      </w:r>
      <w:r w:rsidR="00D15D07">
        <w:tab/>
      </w:r>
      <w:r>
        <w:t>Données actualisées le 31 octobre 2025.</w:t>
      </w:r>
    </w:p>
  </w:footnote>
  <w:footnote w:id="5">
    <w:p w14:paraId="0A96A2D7" w14:textId="57252839" w:rsidR="005D71D4" w:rsidRDefault="005D71D4" w:rsidP="005D71D4">
      <w:pPr>
        <w:pStyle w:val="FootnoteText"/>
      </w:pPr>
      <w:r>
        <w:rPr>
          <w:rStyle w:val="FootnoteReference"/>
        </w:rPr>
        <w:footnoteRef/>
      </w:r>
      <w:r>
        <w:t xml:space="preserve"> </w:t>
      </w:r>
      <w:r w:rsidR="002A048C">
        <w:tab/>
      </w:r>
      <w:r>
        <w:t>Le fonds a également permis la création d</w:t>
      </w:r>
      <w:r w:rsidR="005D5951">
        <w:t>’</w:t>
      </w:r>
      <w:r>
        <w:t>un manuel harmonisé de critères utilisés pour l</w:t>
      </w:r>
      <w:r w:rsidR="005D5951">
        <w:t>’</w:t>
      </w:r>
      <w:r>
        <w:t>enregistrement de signes distinctifs pour les pays d</w:t>
      </w:r>
      <w:r w:rsidR="005D5951">
        <w:t>’</w:t>
      </w:r>
      <w:r>
        <w:t xml:space="preserve">Amérique centrale et la République dominicaine. </w:t>
      </w:r>
      <w:r w:rsidR="004319B8">
        <w:t xml:space="preserve"> </w:t>
      </w:r>
      <w:r>
        <w:t>Le manuel sert aussi d</w:t>
      </w:r>
      <w:r w:rsidR="005D5951">
        <w:t>’</w:t>
      </w:r>
      <w:r>
        <w:t>outil de référence pour la gestion administrative et technique de la procédure d</w:t>
      </w:r>
      <w:r w:rsidR="005D5951">
        <w:t>’</w:t>
      </w:r>
      <w:r>
        <w:t>enregistrement des marques.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C116" w14:textId="77777777" w:rsidR="005D71D4" w:rsidRDefault="005D71D4" w:rsidP="00477D6B">
    <w:pPr>
      <w:jc w:val="right"/>
    </w:pPr>
    <w:r>
      <w:t>PCT/CTC/30/10</w:t>
    </w:r>
  </w:p>
  <w:p w14:paraId="08893E90" w14:textId="77777777" w:rsidR="005D71D4" w:rsidRDefault="005D71D4" w:rsidP="00477D6B">
    <w:pPr>
      <w:jc w:val="right"/>
    </w:pPr>
    <w:r>
      <w:t>ANNEXE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5C3E" w14:textId="30CB2DD9" w:rsidR="00F16975" w:rsidRPr="00B45C15" w:rsidRDefault="005D71D4" w:rsidP="00477D6B">
    <w:pPr>
      <w:jc w:val="right"/>
      <w:rPr>
        <w:caps/>
      </w:rPr>
    </w:pPr>
    <w:bookmarkStart w:id="11" w:name="Code2"/>
    <w:bookmarkEnd w:id="11"/>
    <w:r>
      <w:rPr>
        <w:caps/>
      </w:rPr>
      <w:t>PCT/CTC/33/11</w:t>
    </w:r>
  </w:p>
  <w:p w14:paraId="6F265EAF" w14:textId="7BC2DD0A" w:rsidR="00574036" w:rsidRDefault="00D15D07"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54AB" w14:textId="77777777" w:rsidR="00D15D07" w:rsidRPr="00B45C15" w:rsidRDefault="00D15D07" w:rsidP="00D15D07">
    <w:pPr>
      <w:jc w:val="right"/>
      <w:rPr>
        <w:caps/>
      </w:rPr>
    </w:pPr>
    <w:r>
      <w:rPr>
        <w:caps/>
      </w:rPr>
      <w:t>PCT/CTC/33/11</w:t>
    </w:r>
  </w:p>
  <w:p w14:paraId="6C542286" w14:textId="5259B111" w:rsidR="00D15D07" w:rsidRDefault="00D15D07" w:rsidP="00D15D07">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096945298">
    <w:abstractNumId w:val="2"/>
  </w:num>
  <w:num w:numId="2" w16cid:durableId="2120054960">
    <w:abstractNumId w:val="9"/>
  </w:num>
  <w:num w:numId="3" w16cid:durableId="757362259">
    <w:abstractNumId w:val="0"/>
  </w:num>
  <w:num w:numId="4" w16cid:durableId="1538662951">
    <w:abstractNumId w:val="10"/>
  </w:num>
  <w:num w:numId="5" w16cid:durableId="1333725512">
    <w:abstractNumId w:val="1"/>
  </w:num>
  <w:num w:numId="6" w16cid:durableId="1392774678">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D4"/>
    <w:rsid w:val="00011B7D"/>
    <w:rsid w:val="00026BC4"/>
    <w:rsid w:val="00075432"/>
    <w:rsid w:val="0009458A"/>
    <w:rsid w:val="000F0CBE"/>
    <w:rsid w:val="000F5E56"/>
    <w:rsid w:val="001362EE"/>
    <w:rsid w:val="00170D6B"/>
    <w:rsid w:val="001832A6"/>
    <w:rsid w:val="00195C6E"/>
    <w:rsid w:val="001B266A"/>
    <w:rsid w:val="001B488E"/>
    <w:rsid w:val="001C6508"/>
    <w:rsid w:val="001D3D56"/>
    <w:rsid w:val="00240654"/>
    <w:rsid w:val="002634C4"/>
    <w:rsid w:val="002956DE"/>
    <w:rsid w:val="002A048C"/>
    <w:rsid w:val="002E4D1A"/>
    <w:rsid w:val="002F16BC"/>
    <w:rsid w:val="002F4E68"/>
    <w:rsid w:val="00322C0B"/>
    <w:rsid w:val="003342BC"/>
    <w:rsid w:val="00381798"/>
    <w:rsid w:val="003845C1"/>
    <w:rsid w:val="003A67A3"/>
    <w:rsid w:val="004008A2"/>
    <w:rsid w:val="004025DF"/>
    <w:rsid w:val="0040540C"/>
    <w:rsid w:val="00423E3E"/>
    <w:rsid w:val="00427AF4"/>
    <w:rsid w:val="004319B8"/>
    <w:rsid w:val="004647DA"/>
    <w:rsid w:val="00477D6B"/>
    <w:rsid w:val="004B3D01"/>
    <w:rsid w:val="004D6471"/>
    <w:rsid w:val="0051455D"/>
    <w:rsid w:val="00525B63"/>
    <w:rsid w:val="00525E59"/>
    <w:rsid w:val="00541348"/>
    <w:rsid w:val="005421DD"/>
    <w:rsid w:val="00554FA5"/>
    <w:rsid w:val="00567A4C"/>
    <w:rsid w:val="00574036"/>
    <w:rsid w:val="00595F07"/>
    <w:rsid w:val="005B4361"/>
    <w:rsid w:val="005D5951"/>
    <w:rsid w:val="005D71D4"/>
    <w:rsid w:val="005E6516"/>
    <w:rsid w:val="00605827"/>
    <w:rsid w:val="00616671"/>
    <w:rsid w:val="006519E3"/>
    <w:rsid w:val="0068189D"/>
    <w:rsid w:val="006B0DB5"/>
    <w:rsid w:val="00704A3D"/>
    <w:rsid w:val="007461F1"/>
    <w:rsid w:val="00773E51"/>
    <w:rsid w:val="007D6961"/>
    <w:rsid w:val="007F07CB"/>
    <w:rsid w:val="00810CEF"/>
    <w:rsid w:val="0081208D"/>
    <w:rsid w:val="008B2CC1"/>
    <w:rsid w:val="008E7930"/>
    <w:rsid w:val="0090731E"/>
    <w:rsid w:val="00966A22"/>
    <w:rsid w:val="00974CD6"/>
    <w:rsid w:val="00982D3E"/>
    <w:rsid w:val="009D30E6"/>
    <w:rsid w:val="009E3F6F"/>
    <w:rsid w:val="009F499F"/>
    <w:rsid w:val="00A11D74"/>
    <w:rsid w:val="00A54DCF"/>
    <w:rsid w:val="00A720A1"/>
    <w:rsid w:val="00AC0AE4"/>
    <w:rsid w:val="00AD61DB"/>
    <w:rsid w:val="00AE08D5"/>
    <w:rsid w:val="00B1090C"/>
    <w:rsid w:val="00B111CD"/>
    <w:rsid w:val="00B35AF5"/>
    <w:rsid w:val="00B45C15"/>
    <w:rsid w:val="00BE0BE0"/>
    <w:rsid w:val="00C15821"/>
    <w:rsid w:val="00C664C8"/>
    <w:rsid w:val="00CF0460"/>
    <w:rsid w:val="00D15D07"/>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944EA"/>
  <w15:docId w15:val="{A98CF168-FB41-48C4-8538-01B8A703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ONUMFS"/>
    <w:rsid w:val="00026BC4"/>
    <w:pPr>
      <w:numPr>
        <w:numId w:val="0"/>
      </w:numPr>
      <w:spacing w:before="720" w:after="0"/>
      <w:ind w:left="5534"/>
    </w:pPr>
    <w:rPr>
      <w:color w:val="000000" w:themeColor="text1"/>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SectionHeadingChar">
    <w:name w:val="Section Heading Char"/>
    <w:link w:val="SectionHeading"/>
    <w:qFormat/>
    <w:locked/>
    <w:rsid w:val="005D71D4"/>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5D71D4"/>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5D71D4"/>
    <w:pPr>
      <w:keepNext/>
      <w:keepLines/>
      <w:spacing w:after="240"/>
      <w:ind w:left="567" w:right="567"/>
    </w:pPr>
    <w:rPr>
      <w:bCs/>
      <w:i/>
      <w:iCs/>
      <w:lang w:val="fr-FR"/>
    </w:rPr>
  </w:style>
  <w:style w:type="paragraph" w:customStyle="1" w:styleId="Question">
    <w:name w:val="Question"/>
    <w:basedOn w:val="BodyText"/>
    <w:next w:val="Answer"/>
    <w:qFormat/>
    <w:rsid w:val="005D71D4"/>
    <w:pPr>
      <w:keepNext/>
      <w:keepLines/>
    </w:pPr>
    <w:rPr>
      <w:b/>
      <w:bCs/>
      <w:szCs w:val="22"/>
      <w:lang w:val="fr-FR"/>
    </w:rPr>
  </w:style>
  <w:style w:type="paragraph" w:customStyle="1" w:styleId="Answer">
    <w:name w:val="Answer"/>
    <w:basedOn w:val="BodyText"/>
    <w:qFormat/>
    <w:rsid w:val="005D71D4"/>
    <w:pPr>
      <w:ind w:left="567"/>
    </w:pPr>
    <w:rPr>
      <w:lang w:val="fr-FR"/>
    </w:rPr>
  </w:style>
  <w:style w:type="character" w:styleId="Hyperlink">
    <w:name w:val="Hyperlink"/>
    <w:basedOn w:val="DefaultParagraphFont"/>
    <w:uiPriority w:val="99"/>
    <w:unhideWhenUsed/>
    <w:rsid w:val="005D71D4"/>
    <w:rPr>
      <w:color w:val="0000FF" w:themeColor="hyperlink"/>
      <w:u w:val="single"/>
    </w:rPr>
  </w:style>
  <w:style w:type="paragraph" w:styleId="ListParagraph">
    <w:name w:val="List Paragraph"/>
    <w:basedOn w:val="Normal"/>
    <w:uiPriority w:val="34"/>
    <w:qFormat/>
    <w:rsid w:val="005D71D4"/>
    <w:pPr>
      <w:ind w:left="720"/>
      <w:contextualSpacing/>
    </w:pPr>
    <w:rPr>
      <w:lang w:val="fr-FR"/>
    </w:rPr>
  </w:style>
  <w:style w:type="character" w:styleId="FootnoteReference">
    <w:name w:val="footnote reference"/>
    <w:basedOn w:val="DefaultParagraphFont"/>
    <w:semiHidden/>
    <w:rsid w:val="005D71D4"/>
    <w:rPr>
      <w:vertAlign w:val="superscript"/>
    </w:rPr>
  </w:style>
  <w:style w:type="character" w:customStyle="1" w:styleId="FootnoteTextChar">
    <w:name w:val="Footnote Text Char"/>
    <w:basedOn w:val="DefaultParagraphFont"/>
    <w:link w:val="FootnoteText"/>
    <w:semiHidden/>
    <w:rsid w:val="005D71D4"/>
    <w:rPr>
      <w:rFonts w:ascii="Arial" w:eastAsia="SimSun" w:hAnsi="Arial" w:cs="Arial"/>
      <w:sz w:val="18"/>
      <w:lang w:eastAsia="zh-CN"/>
    </w:rPr>
  </w:style>
  <w:style w:type="character" w:styleId="UnresolvedMention">
    <w:name w:val="Unresolved Mention"/>
    <w:basedOn w:val="DefaultParagraphFont"/>
    <w:uiPriority w:val="99"/>
    <w:semiHidden/>
    <w:unhideWhenUsed/>
    <w:rsid w:val="00D1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ctlegal.wipo.int/eGuide/view-doc.xhtml?doc-code=ES&amp;amp;doc-lang=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pm.es/export/sites/portal/comun/documentos_relacionados/sobre_oepm/Estadisticas/Estadisticas-de-Propiedad-Industrial/OEPM-en-cifras-2024.pdf" TargetMode="External"/><Relationship Id="rId5" Type="http://schemas.openxmlformats.org/officeDocument/2006/relationships/webSettings" Target="webSettings.xml"/><Relationship Id="rId15" Type="http://schemas.openxmlformats.org/officeDocument/2006/relationships/hyperlink" Target="https://www.wipo.int/documents/d/pct-system/docs-fr-official-notices-officialnotices.pdf" TargetMode="External"/><Relationship Id="rId23" Type="http://schemas.openxmlformats.org/officeDocument/2006/relationships/theme" Target="theme/theme1.xml"/><Relationship Id="rId10" Type="http://schemas.openxmlformats.org/officeDocument/2006/relationships/hyperlink" Target="mailto:Raquel.sampedro@oepm.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fr/docs/circulars/2024/1672.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7</TotalTime>
  <Pages>18</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PCT/CTC/33/11</vt:lpstr>
    </vt:vector>
  </TitlesOfParts>
  <Company>WIPO</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PCT/CTC/33/11</dc:title>
  <dc:creator>OLIVIÉ Karen</dc:creator>
  <cp:keywords/>
  <dc:description>French</dc:description>
  <cp:lastModifiedBy>MARLOW Thomas</cp:lastModifiedBy>
  <cp:revision>4</cp:revision>
  <cp:lastPrinted>2026-01-14T16:00:00Z</cp:lastPrinted>
  <dcterms:created xsi:type="dcterms:W3CDTF">2026-01-14T15:55:00Z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2026-01-14T13:18:34Z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2bff45b9-6542-49cd-8032-61683d02eac7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