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D1C9C" w:rsidRPr="00DD1C9C" w:rsidTr="00A44FC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B68F7" w:rsidRPr="00DD1C9C" w:rsidRDefault="005B68F7" w:rsidP="008B791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B68F7" w:rsidRPr="00DD1C9C" w:rsidRDefault="005B68F7" w:rsidP="008B7911">
            <w:r w:rsidRPr="00DD1C9C">
              <w:rPr>
                <w:noProof/>
                <w:lang w:val="en-US" w:eastAsia="en-US"/>
              </w:rPr>
              <w:drawing>
                <wp:inline distT="0" distB="0" distL="0" distR="0" wp14:anchorId="77A8B9E9" wp14:editId="1EF10C12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B68F7" w:rsidRPr="00DD1C9C" w:rsidRDefault="005B68F7" w:rsidP="008B7911">
            <w:pPr>
              <w:jc w:val="right"/>
            </w:pPr>
            <w:r w:rsidRPr="00DD1C9C">
              <w:rPr>
                <w:b/>
                <w:sz w:val="40"/>
                <w:szCs w:val="40"/>
              </w:rPr>
              <w:t>F</w:t>
            </w:r>
          </w:p>
        </w:tc>
      </w:tr>
      <w:tr w:rsidR="00DD1C9C" w:rsidRPr="00DD1C9C" w:rsidTr="001A039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B68F7" w:rsidRPr="00DD1C9C" w:rsidRDefault="005B68F7" w:rsidP="008B791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D1C9C">
              <w:rPr>
                <w:rFonts w:ascii="Arial Black" w:hAnsi="Arial Black"/>
                <w:caps/>
                <w:sz w:val="15"/>
              </w:rPr>
              <w:t>PCT/CTC/30/</w:t>
            </w:r>
            <w:bookmarkStart w:id="0" w:name="Code"/>
            <w:bookmarkEnd w:id="0"/>
            <w:r w:rsidRPr="00DD1C9C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DD1C9C" w:rsidRPr="00DD1C9C" w:rsidTr="001A039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B68F7" w:rsidRPr="00DD1C9C" w:rsidRDefault="005B68F7" w:rsidP="008B791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D1C9C">
              <w:rPr>
                <w:rFonts w:ascii="Arial Black" w:hAnsi="Arial Black"/>
                <w:caps/>
                <w:sz w:val="15"/>
              </w:rPr>
              <w:t>ORIGINAL</w:t>
            </w:r>
            <w:r w:rsidR="00FD5C7A">
              <w:rPr>
                <w:rFonts w:ascii="Arial Black" w:hAnsi="Arial Black"/>
                <w:caps/>
                <w:sz w:val="15"/>
              </w:rPr>
              <w:t> :</w:t>
            </w:r>
            <w:r w:rsidRPr="00DD1C9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Pr="00DD1C9C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5B68F7" w:rsidRPr="00DD1C9C" w:rsidTr="001A039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B68F7" w:rsidRPr="00DD1C9C" w:rsidRDefault="005B68F7" w:rsidP="008B791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D1C9C">
              <w:rPr>
                <w:rFonts w:ascii="Arial Black" w:hAnsi="Arial Black"/>
                <w:caps/>
                <w:sz w:val="15"/>
              </w:rPr>
              <w:t>DATE</w:t>
            </w:r>
            <w:r w:rsidR="00FD5C7A">
              <w:rPr>
                <w:rFonts w:ascii="Arial Black" w:hAnsi="Arial Black"/>
                <w:caps/>
                <w:sz w:val="15"/>
              </w:rPr>
              <w:t> :</w:t>
            </w:r>
            <w:r w:rsidRPr="00DD1C9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DD1C9C">
              <w:rPr>
                <w:rFonts w:ascii="Arial Black" w:hAnsi="Arial Black"/>
                <w:caps/>
                <w:sz w:val="15"/>
              </w:rPr>
              <w:t>1</w:t>
            </w:r>
            <w:r w:rsidR="008F1232" w:rsidRPr="00DD1C9C">
              <w:rPr>
                <w:rFonts w:ascii="Arial Black" w:hAnsi="Arial Black"/>
                <w:caps/>
                <w:sz w:val="15"/>
              </w:rPr>
              <w:t>6 mars 20</w:t>
            </w:r>
            <w:r w:rsidRPr="00DD1C9C">
              <w:rPr>
                <w:rFonts w:ascii="Arial Black" w:hAnsi="Arial Black"/>
                <w:caps/>
                <w:sz w:val="15"/>
              </w:rPr>
              <w:t>17</w:t>
            </w:r>
          </w:p>
        </w:tc>
      </w:tr>
    </w:tbl>
    <w:p w:rsidR="005B68F7" w:rsidRPr="00DD1C9C" w:rsidRDefault="005B68F7" w:rsidP="008B7911"/>
    <w:p w:rsidR="005B68F7" w:rsidRPr="00DD1C9C" w:rsidRDefault="005B68F7" w:rsidP="008B7911"/>
    <w:p w:rsidR="005B68F7" w:rsidRPr="00DD1C9C" w:rsidRDefault="005B68F7" w:rsidP="008B7911"/>
    <w:p w:rsidR="005B68F7" w:rsidRPr="00DD1C9C" w:rsidRDefault="005B68F7" w:rsidP="008B7911"/>
    <w:p w:rsidR="005B68F7" w:rsidRPr="00DD1C9C" w:rsidRDefault="005B68F7" w:rsidP="008B7911"/>
    <w:p w:rsidR="005B68F7" w:rsidRPr="00DD1C9C" w:rsidRDefault="005B68F7" w:rsidP="008B7911">
      <w:pPr>
        <w:rPr>
          <w:b/>
          <w:sz w:val="28"/>
          <w:szCs w:val="28"/>
          <w:lang w:val="fr-FR"/>
        </w:rPr>
      </w:pPr>
      <w:r w:rsidRPr="00DD1C9C">
        <w:rPr>
          <w:b/>
          <w:sz w:val="28"/>
          <w:szCs w:val="28"/>
          <w:lang w:val="fr-FR"/>
        </w:rPr>
        <w:t>Traité de coopération en matière de brevets (PCT)</w:t>
      </w:r>
    </w:p>
    <w:p w:rsidR="005B68F7" w:rsidRPr="00DD1C9C" w:rsidRDefault="005B68F7" w:rsidP="008B7911">
      <w:pPr>
        <w:rPr>
          <w:b/>
          <w:sz w:val="28"/>
          <w:szCs w:val="28"/>
          <w:lang w:val="fr-FR"/>
        </w:rPr>
      </w:pPr>
      <w:r w:rsidRPr="00DD1C9C">
        <w:rPr>
          <w:b/>
          <w:sz w:val="28"/>
          <w:szCs w:val="28"/>
          <w:lang w:val="fr-FR"/>
        </w:rPr>
        <w:t>Comité de coopération technique</w:t>
      </w:r>
    </w:p>
    <w:p w:rsidR="005B68F7" w:rsidRPr="00DD1C9C" w:rsidRDefault="005B68F7" w:rsidP="008B7911">
      <w:pPr>
        <w:rPr>
          <w:lang w:val="fr-FR"/>
        </w:rPr>
      </w:pPr>
    </w:p>
    <w:p w:rsidR="005B68F7" w:rsidRPr="00DD1C9C" w:rsidRDefault="005B68F7" w:rsidP="008B7911">
      <w:pPr>
        <w:rPr>
          <w:lang w:val="fr-FR"/>
        </w:rPr>
      </w:pPr>
    </w:p>
    <w:p w:rsidR="005B68F7" w:rsidRPr="00DD1C9C" w:rsidRDefault="005B68F7" w:rsidP="008B7911">
      <w:pPr>
        <w:rPr>
          <w:b/>
          <w:sz w:val="24"/>
          <w:szCs w:val="24"/>
          <w:lang w:val="fr-FR"/>
        </w:rPr>
      </w:pPr>
      <w:r w:rsidRPr="00DD1C9C">
        <w:rPr>
          <w:b/>
          <w:sz w:val="24"/>
          <w:szCs w:val="24"/>
          <w:lang w:val="fr-FR"/>
        </w:rPr>
        <w:t>Trent</w:t>
      </w:r>
      <w:r w:rsidR="00FD5C7A">
        <w:rPr>
          <w:b/>
          <w:sz w:val="24"/>
          <w:szCs w:val="24"/>
          <w:lang w:val="fr-FR"/>
        </w:rPr>
        <w:t>ième session</w:t>
      </w:r>
    </w:p>
    <w:p w:rsidR="005B68F7" w:rsidRPr="00DD1C9C" w:rsidRDefault="005B68F7" w:rsidP="008B7911">
      <w:pPr>
        <w:rPr>
          <w:b/>
          <w:sz w:val="24"/>
          <w:szCs w:val="24"/>
          <w:lang w:val="fr-FR"/>
        </w:rPr>
      </w:pPr>
      <w:r w:rsidRPr="00DD1C9C">
        <w:rPr>
          <w:b/>
          <w:sz w:val="24"/>
          <w:szCs w:val="24"/>
          <w:lang w:val="fr-FR"/>
        </w:rPr>
        <w:t>Genève, 8 – 1</w:t>
      </w:r>
      <w:r w:rsidR="008F1232" w:rsidRPr="00DD1C9C">
        <w:rPr>
          <w:b/>
          <w:sz w:val="24"/>
          <w:szCs w:val="24"/>
          <w:lang w:val="fr-FR"/>
        </w:rPr>
        <w:t>2 mai 20</w:t>
      </w:r>
      <w:r w:rsidRPr="00DD1C9C">
        <w:rPr>
          <w:b/>
          <w:sz w:val="24"/>
          <w:szCs w:val="24"/>
          <w:lang w:val="fr-FR"/>
        </w:rPr>
        <w:t>17</w:t>
      </w:r>
    </w:p>
    <w:p w:rsidR="005B68F7" w:rsidRPr="00DD1C9C" w:rsidRDefault="005B68F7" w:rsidP="008B7911">
      <w:pPr>
        <w:rPr>
          <w:lang w:val="fr-FR"/>
        </w:rPr>
      </w:pPr>
    </w:p>
    <w:p w:rsidR="00A44FC8" w:rsidRPr="00DD1C9C" w:rsidRDefault="00A44FC8" w:rsidP="008B7911">
      <w:pPr>
        <w:rPr>
          <w:lang w:val="fr-FR"/>
        </w:rPr>
      </w:pPr>
    </w:p>
    <w:p w:rsidR="00A44FC8" w:rsidRPr="00DD1C9C" w:rsidRDefault="00A44FC8" w:rsidP="008B7911">
      <w:pPr>
        <w:rPr>
          <w:lang w:val="fr-FR"/>
        </w:rPr>
      </w:pPr>
    </w:p>
    <w:p w:rsidR="005B68F7" w:rsidRPr="00DD1C9C" w:rsidRDefault="00DD1C9C" w:rsidP="008B7911">
      <w:pPr>
        <w:rPr>
          <w:caps/>
          <w:sz w:val="24"/>
          <w:lang w:val="fr-FR"/>
        </w:rPr>
      </w:pPr>
      <w:r w:rsidRPr="00DD1C9C">
        <w:rPr>
          <w:caps/>
          <w:sz w:val="24"/>
          <w:lang w:val="fr-FR"/>
        </w:rPr>
        <w:t>Prolongation de la nomination de l</w:t>
      </w:r>
      <w:r w:rsidR="00FD5C7A">
        <w:rPr>
          <w:caps/>
          <w:sz w:val="24"/>
          <w:lang w:val="fr-FR"/>
        </w:rPr>
        <w:t>’</w:t>
      </w:r>
      <w:r w:rsidRPr="00DD1C9C">
        <w:rPr>
          <w:caps/>
          <w:sz w:val="24"/>
          <w:lang w:val="fr-FR"/>
        </w:rPr>
        <w:t>Office australien des brevets en qualité d</w:t>
      </w:r>
      <w:r w:rsidR="00FD5C7A">
        <w:rPr>
          <w:caps/>
          <w:sz w:val="24"/>
          <w:lang w:val="fr-FR"/>
        </w:rPr>
        <w:t>’</w:t>
      </w:r>
      <w:r w:rsidRPr="00DD1C9C">
        <w:rPr>
          <w:caps/>
          <w:sz w:val="24"/>
          <w:lang w:val="fr-FR"/>
        </w:rPr>
        <w:t>administration chargée de la recherche internationale et de l</w:t>
      </w:r>
      <w:r w:rsidR="00FD5C7A">
        <w:rPr>
          <w:caps/>
          <w:sz w:val="24"/>
          <w:lang w:val="fr-FR"/>
        </w:rPr>
        <w:t>’</w:t>
      </w:r>
      <w:r w:rsidRPr="00DD1C9C">
        <w:rPr>
          <w:caps/>
          <w:sz w:val="24"/>
          <w:lang w:val="fr-FR"/>
        </w:rPr>
        <w:t>examen préliminaire international selon le PCT</w:t>
      </w:r>
    </w:p>
    <w:p w:rsidR="001A039D" w:rsidRPr="006F47A5" w:rsidRDefault="001A039D" w:rsidP="008B7911">
      <w:pPr>
        <w:rPr>
          <w:lang w:val="fr-FR"/>
        </w:rPr>
      </w:pPr>
    </w:p>
    <w:p w:rsidR="005B68F7" w:rsidRPr="006F47A5" w:rsidRDefault="005B68F7" w:rsidP="008B7911">
      <w:pPr>
        <w:rPr>
          <w:i/>
          <w:lang w:val="fr-FR"/>
        </w:rPr>
      </w:pPr>
      <w:r w:rsidRPr="006F47A5">
        <w:rPr>
          <w:i/>
          <w:lang w:val="fr-FR"/>
        </w:rPr>
        <w:t>Document établi par le Bureau international</w:t>
      </w:r>
    </w:p>
    <w:p w:rsidR="005B68F7" w:rsidRDefault="005B68F7" w:rsidP="008B7911">
      <w:pPr>
        <w:rPr>
          <w:lang w:val="fr-FR"/>
        </w:rPr>
      </w:pPr>
    </w:p>
    <w:p w:rsidR="00A44FC8" w:rsidRDefault="00A44FC8" w:rsidP="008B7911">
      <w:pPr>
        <w:rPr>
          <w:lang w:val="fr-FR"/>
        </w:rPr>
      </w:pPr>
    </w:p>
    <w:p w:rsidR="00A44FC8" w:rsidRDefault="00A44FC8" w:rsidP="008B7911">
      <w:pPr>
        <w:rPr>
          <w:lang w:val="fr-FR"/>
        </w:rPr>
      </w:pPr>
    </w:p>
    <w:p w:rsidR="00A44FC8" w:rsidRPr="006F47A5" w:rsidRDefault="00A44FC8" w:rsidP="008B7911">
      <w:pPr>
        <w:rPr>
          <w:lang w:val="fr-FR"/>
        </w:rPr>
      </w:pPr>
    </w:p>
    <w:p w:rsidR="005B68F7" w:rsidRPr="006F47A5" w:rsidRDefault="005B68F7" w:rsidP="008B7911">
      <w:pPr>
        <w:pStyle w:val="ONUMFS"/>
        <w:rPr>
          <w:lang w:val="fr-FR"/>
        </w:rPr>
      </w:pPr>
      <w:r w:rsidRPr="006F47A5">
        <w:rPr>
          <w:lang w:val="fr-FR"/>
        </w:rPr>
        <w:t xml:space="preserve">Toutes les administrations internationales existantes ont été nommées par </w:t>
      </w:r>
      <w:r w:rsidR="009C1464" w:rsidRPr="006F47A5">
        <w:rPr>
          <w:lang w:val="fr-FR"/>
        </w:rPr>
        <w:t>l</w:t>
      </w:r>
      <w:r w:rsidR="00FD5C7A">
        <w:rPr>
          <w:lang w:val="fr-FR"/>
        </w:rPr>
        <w:t>’</w:t>
      </w:r>
      <w:r w:rsidR="009C1464" w:rsidRPr="006F47A5">
        <w:rPr>
          <w:lang w:val="fr-FR"/>
        </w:rPr>
        <w:t>Assemblée de l</w:t>
      </w:r>
      <w:r w:rsidR="00FD5C7A">
        <w:rPr>
          <w:lang w:val="fr-FR"/>
        </w:rPr>
        <w:t>’</w:t>
      </w:r>
      <w:r w:rsidR="009C1464" w:rsidRPr="006F47A5">
        <w:rPr>
          <w:lang w:val="fr-FR"/>
        </w:rPr>
        <w:t>Union</w:t>
      </w:r>
      <w:r w:rsidR="008F1232" w:rsidRPr="008F1232">
        <w:rPr>
          <w:lang w:val="fr-FR"/>
        </w:rPr>
        <w:t xml:space="preserve"> du P</w:t>
      </w:r>
      <w:r w:rsidR="0099215E">
        <w:rPr>
          <w:lang w:val="fr-FR"/>
        </w:rPr>
        <w:t>CT</w:t>
      </w:r>
      <w:r w:rsidRPr="006F47A5">
        <w:rPr>
          <w:lang w:val="fr-FR"/>
        </w:rPr>
        <w:t xml:space="preserve"> pour une période s</w:t>
      </w:r>
      <w:r w:rsidR="00FD5C7A">
        <w:rPr>
          <w:lang w:val="fr-FR"/>
        </w:rPr>
        <w:t>’</w:t>
      </w:r>
      <w:r w:rsidRPr="006F47A5">
        <w:rPr>
          <w:lang w:val="fr-FR"/>
        </w:rPr>
        <w:t>achevant le 3</w:t>
      </w:r>
      <w:r w:rsidR="008F1232" w:rsidRPr="006F47A5">
        <w:rPr>
          <w:lang w:val="fr-FR"/>
        </w:rPr>
        <w:t>1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décembre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</w:t>
      </w:r>
      <w:r w:rsidRPr="006F47A5">
        <w:rPr>
          <w:lang w:val="fr-FR"/>
        </w:rPr>
        <w:t>17</w:t>
      </w:r>
      <w:r w:rsidR="00C00099" w:rsidRPr="006F47A5">
        <w:rPr>
          <w:lang w:val="fr-FR"/>
        </w:rPr>
        <w:t xml:space="preserve">.  </w:t>
      </w:r>
      <w:r w:rsidR="008F1232" w:rsidRPr="006F47A5">
        <w:rPr>
          <w:lang w:val="fr-FR"/>
        </w:rPr>
        <w:t>En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2017</w:t>
      </w:r>
      <w:r w:rsidRPr="006F47A5">
        <w:rPr>
          <w:lang w:val="fr-FR"/>
        </w:rPr>
        <w:t>, l</w:t>
      </w:r>
      <w:r w:rsidR="00FD5C7A">
        <w:rPr>
          <w:lang w:val="fr-FR"/>
        </w:rPr>
        <w:t>’</w:t>
      </w:r>
      <w:r w:rsidRPr="006F47A5">
        <w:rPr>
          <w:lang w:val="fr-FR"/>
        </w:rPr>
        <w:t>Assemblée devra donc prendre une décision en ce qui concerne la prolongation de la nomination de chaque administration internationale existante qui souhaite demander une telle prolongation, après avoir sollicité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avis du </w:t>
      </w:r>
      <w:r w:rsidR="009C1464" w:rsidRPr="006F47A5">
        <w:rPr>
          <w:lang w:val="fr-FR"/>
        </w:rPr>
        <w:t>comité</w:t>
      </w:r>
      <w:r w:rsidRPr="006F47A5">
        <w:rPr>
          <w:lang w:val="fr-FR"/>
        </w:rPr>
        <w:t xml:space="preserve"> (voir les </w:t>
      </w:r>
      <w:r w:rsidR="008F1232" w:rsidRPr="006F47A5">
        <w:rPr>
          <w:lang w:val="fr-FR"/>
        </w:rPr>
        <w:t>articles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1</w:t>
      </w:r>
      <w:r w:rsidR="00257226">
        <w:rPr>
          <w:lang w:val="fr-FR"/>
        </w:rPr>
        <w:t>6.3.e) et </w:t>
      </w:r>
      <w:r w:rsidRPr="006F47A5">
        <w:rPr>
          <w:lang w:val="fr-FR"/>
        </w:rPr>
        <w:t>32.3)</w:t>
      </w:r>
      <w:r w:rsidR="008F1232" w:rsidRPr="008F1232">
        <w:rPr>
          <w:lang w:val="fr-FR"/>
        </w:rPr>
        <w:t xml:space="preserve"> du PCT</w:t>
      </w:r>
      <w:r w:rsidRPr="006F47A5">
        <w:rPr>
          <w:lang w:val="fr-FR"/>
        </w:rPr>
        <w:t>)</w:t>
      </w:r>
      <w:r w:rsidR="00C00099" w:rsidRPr="006F47A5">
        <w:rPr>
          <w:lang w:val="fr-FR"/>
        </w:rPr>
        <w:t xml:space="preserve">.  </w:t>
      </w:r>
      <w:r w:rsidR="009C1464" w:rsidRPr="006F47A5">
        <w:rPr>
          <w:lang w:val="fr-FR"/>
        </w:rPr>
        <w:t>On trouvera des informations concernant la procédure applicable et le rôle du comité</w:t>
      </w:r>
      <w:r w:rsidRPr="006F47A5">
        <w:rPr>
          <w:lang w:val="fr-FR"/>
        </w:rPr>
        <w:t xml:space="preserve"> dans le document PCT/CTC/30/INF/1.</w:t>
      </w:r>
    </w:p>
    <w:p w:rsidR="005B68F7" w:rsidRPr="006F47A5" w:rsidRDefault="005B68F7" w:rsidP="008B7911">
      <w:pPr>
        <w:pStyle w:val="ONUMFS"/>
        <w:rPr>
          <w:lang w:val="fr-FR"/>
        </w:rPr>
      </w:pPr>
      <w:r w:rsidRPr="006F47A5">
        <w:rPr>
          <w:lang w:val="fr-FR"/>
        </w:rPr>
        <w:t xml:space="preserve">Le </w:t>
      </w:r>
      <w:r w:rsidR="008F1232" w:rsidRPr="006F47A5">
        <w:rPr>
          <w:lang w:val="fr-FR"/>
        </w:rPr>
        <w:t>7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mars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</w:t>
      </w:r>
      <w:r w:rsidRPr="006F47A5">
        <w:rPr>
          <w:lang w:val="fr-FR"/>
        </w:rPr>
        <w:t>17,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Office australien des brevets a présenté une demande </w:t>
      </w:r>
      <w:r w:rsidR="009C1464" w:rsidRPr="006F47A5">
        <w:rPr>
          <w:lang w:val="fr-FR"/>
        </w:rPr>
        <w:t>de prolongation de s</w:t>
      </w:r>
      <w:r w:rsidRPr="006F47A5">
        <w:rPr>
          <w:lang w:val="fr-FR"/>
        </w:rPr>
        <w:t>a nomination en qualité d</w:t>
      </w:r>
      <w:r w:rsidR="00FD5C7A">
        <w:rPr>
          <w:lang w:val="fr-FR"/>
        </w:rPr>
        <w:t>’</w:t>
      </w:r>
      <w:r w:rsidRPr="006F47A5">
        <w:rPr>
          <w:lang w:val="fr-FR"/>
        </w:rPr>
        <w:t>administration chargée de l</w:t>
      </w:r>
      <w:r w:rsidR="009C1464" w:rsidRPr="006F47A5">
        <w:rPr>
          <w:lang w:val="fr-FR"/>
        </w:rPr>
        <w:t>a recherche internationale et d</w:t>
      </w:r>
      <w:r w:rsidR="00FD5C7A">
        <w:rPr>
          <w:lang w:val="fr-FR"/>
        </w:rPr>
        <w:t>’</w:t>
      </w:r>
      <w:r w:rsidR="009C1464" w:rsidRPr="006F47A5">
        <w:rPr>
          <w:lang w:val="fr-FR"/>
        </w:rPr>
        <w:t>administration chargée de</w:t>
      </w:r>
      <w:r w:rsidRPr="006F47A5">
        <w:rPr>
          <w:lang w:val="fr-FR"/>
        </w:rPr>
        <w:t xml:space="preserve"> l</w:t>
      </w:r>
      <w:r w:rsidR="00FD5C7A">
        <w:rPr>
          <w:lang w:val="fr-FR"/>
        </w:rPr>
        <w:t>’</w:t>
      </w:r>
      <w:r w:rsidRPr="006F47A5">
        <w:rPr>
          <w:lang w:val="fr-FR"/>
        </w:rPr>
        <w:t>exame</w:t>
      </w:r>
      <w:r w:rsidR="009C1464" w:rsidRPr="006F47A5">
        <w:rPr>
          <w:lang w:val="fr-FR"/>
        </w:rPr>
        <w:t>n préliminaire international selon</w:t>
      </w:r>
      <w:r w:rsidR="008F1232" w:rsidRPr="008F1232">
        <w:rPr>
          <w:lang w:val="fr-FR"/>
        </w:rPr>
        <w:t xml:space="preserve"> le </w:t>
      </w:r>
      <w:r w:rsidR="00CE00F9" w:rsidRPr="008F1232">
        <w:rPr>
          <w:lang w:val="fr-FR"/>
        </w:rPr>
        <w:t>PCT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Pr="006F47A5">
        <w:rPr>
          <w:lang w:val="fr-FR"/>
        </w:rPr>
        <w:t>tte demande est reproduite dans l</w:t>
      </w:r>
      <w:r w:rsidR="00FD5C7A">
        <w:rPr>
          <w:lang w:val="fr-FR"/>
        </w:rPr>
        <w:t>’</w:t>
      </w:r>
      <w:r w:rsidRPr="006F47A5">
        <w:rPr>
          <w:lang w:val="fr-FR"/>
        </w:rPr>
        <w:t>annexe du présent document.</w:t>
      </w:r>
    </w:p>
    <w:p w:rsidR="005B68F7" w:rsidRPr="008F1232" w:rsidRDefault="004C6DCE" w:rsidP="008B7911">
      <w:pPr>
        <w:pStyle w:val="ONUMFS"/>
        <w:ind w:left="5533"/>
        <w:rPr>
          <w:i/>
          <w:lang w:val="fr-FR"/>
        </w:rPr>
      </w:pPr>
      <w:r>
        <w:rPr>
          <w:i/>
          <w:lang w:val="fr-FR"/>
        </w:rPr>
        <w:t>Le c</w:t>
      </w:r>
      <w:r w:rsidR="005B68F7" w:rsidRPr="008F1232">
        <w:rPr>
          <w:i/>
          <w:lang w:val="fr-FR"/>
        </w:rPr>
        <w:t>omité est invité à faire part de son avis sur cette question.</w:t>
      </w:r>
    </w:p>
    <w:p w:rsidR="005B68F7" w:rsidRPr="008F1232" w:rsidRDefault="005B68F7" w:rsidP="008B7911">
      <w:pPr>
        <w:rPr>
          <w:lang w:val="fr-FR"/>
        </w:rPr>
      </w:pPr>
    </w:p>
    <w:p w:rsidR="00A44FC8" w:rsidRPr="008F1232" w:rsidRDefault="00A44FC8" w:rsidP="008B7911">
      <w:pPr>
        <w:rPr>
          <w:lang w:val="fr-FR"/>
        </w:rPr>
      </w:pPr>
    </w:p>
    <w:p w:rsidR="005B68F7" w:rsidRPr="00DC5DB4" w:rsidRDefault="005B68F7" w:rsidP="008B7911">
      <w:pPr>
        <w:pStyle w:val="Endofdocument-Annex"/>
        <w:rPr>
          <w:lang w:val="fr-CH"/>
        </w:rPr>
      </w:pPr>
      <w:r w:rsidRPr="00DC5DB4">
        <w:rPr>
          <w:lang w:val="fr-CH"/>
        </w:rPr>
        <w:t>[L</w:t>
      </w:r>
      <w:r w:rsidR="00FD5C7A">
        <w:rPr>
          <w:lang w:val="fr-CH"/>
        </w:rPr>
        <w:t>’</w:t>
      </w:r>
      <w:r w:rsidRPr="00DC5DB4">
        <w:rPr>
          <w:lang w:val="fr-CH"/>
        </w:rPr>
        <w:t>annexe suit]</w:t>
      </w:r>
    </w:p>
    <w:p w:rsidR="00A44FC8" w:rsidRDefault="00A44FC8" w:rsidP="008B7911">
      <w:pPr>
        <w:rPr>
          <w:lang w:val="fr-FR"/>
        </w:rPr>
      </w:pPr>
    </w:p>
    <w:p w:rsidR="00A44FC8" w:rsidRDefault="00A44FC8" w:rsidP="008B7911">
      <w:pPr>
        <w:rPr>
          <w:lang w:val="fr-FR"/>
        </w:rPr>
        <w:sectPr w:rsidR="00A44FC8" w:rsidSect="008F12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1134" w:bottom="1418" w:left="1418" w:header="510" w:footer="1021" w:gutter="0"/>
          <w:cols w:space="708"/>
          <w:titlePg/>
          <w:docGrid w:linePitch="360"/>
        </w:sectPr>
      </w:pPr>
    </w:p>
    <w:p w:rsidR="005B68F7" w:rsidRDefault="00DD1C9C" w:rsidP="008B7911">
      <w:pPr>
        <w:jc w:val="center"/>
        <w:rPr>
          <w:caps/>
          <w:lang w:val="fr-FR"/>
        </w:rPr>
      </w:pPr>
      <w:r w:rsidRPr="00DD1C9C">
        <w:rPr>
          <w:caps/>
          <w:lang w:val="fr-FR"/>
        </w:rPr>
        <w:lastRenderedPageBreak/>
        <w:t>Demande de prolongation de la nomination de l</w:t>
      </w:r>
      <w:r w:rsidR="00FD5C7A">
        <w:rPr>
          <w:caps/>
          <w:lang w:val="fr-FR"/>
        </w:rPr>
        <w:t>’</w:t>
      </w:r>
      <w:r w:rsidRPr="00DD1C9C">
        <w:rPr>
          <w:caps/>
          <w:lang w:val="fr-FR"/>
        </w:rPr>
        <w:t>Office australien des</w:t>
      </w:r>
      <w:r w:rsidR="008B7911">
        <w:rPr>
          <w:caps/>
          <w:lang w:val="fr-FR"/>
        </w:rPr>
        <w:t> </w:t>
      </w:r>
      <w:r w:rsidRPr="00DD1C9C">
        <w:rPr>
          <w:caps/>
          <w:lang w:val="fr-FR"/>
        </w:rPr>
        <w:t>brevets en qualité d</w:t>
      </w:r>
      <w:r w:rsidR="00FD5C7A">
        <w:rPr>
          <w:caps/>
          <w:lang w:val="fr-FR"/>
        </w:rPr>
        <w:t>’</w:t>
      </w:r>
      <w:r w:rsidRPr="00DD1C9C">
        <w:rPr>
          <w:caps/>
          <w:lang w:val="fr-FR"/>
        </w:rPr>
        <w:t>administration chargée de la recherche internationale et de l</w:t>
      </w:r>
      <w:r w:rsidR="00FD5C7A">
        <w:rPr>
          <w:caps/>
          <w:lang w:val="fr-FR"/>
        </w:rPr>
        <w:t>’</w:t>
      </w:r>
      <w:r w:rsidRPr="00DD1C9C">
        <w:rPr>
          <w:caps/>
          <w:lang w:val="fr-FR"/>
        </w:rPr>
        <w:t>examen préliminaire international selon le PCT</w:t>
      </w:r>
    </w:p>
    <w:p w:rsidR="00DD1C9C" w:rsidRPr="00DD1C9C" w:rsidRDefault="00DD1C9C" w:rsidP="008B7911">
      <w:pPr>
        <w:jc w:val="center"/>
        <w:rPr>
          <w:caps/>
          <w:lang w:val="fr-FR"/>
        </w:rPr>
      </w:pPr>
    </w:p>
    <w:p w:rsidR="005B68F7" w:rsidRPr="00DD1C9C" w:rsidRDefault="005B68F7" w:rsidP="008B7911">
      <w:pPr>
        <w:pStyle w:val="SectionHeading"/>
      </w:pPr>
      <w:r w:rsidRPr="00DD1C9C">
        <w:t xml:space="preserve">1 – </w:t>
      </w:r>
      <w:r w:rsidR="009C1464" w:rsidRPr="00DD1C9C">
        <w:t xml:space="preserve">Informations </w:t>
      </w:r>
      <w:r w:rsidR="00DD1C9C" w:rsidRPr="00DD1C9C">
        <w:t>géné</w:t>
      </w:r>
      <w:r w:rsidRPr="00DD1C9C">
        <w:t>ral</w:t>
      </w:r>
      <w:r w:rsidR="009C1464" w:rsidRPr="00DD1C9C">
        <w:t>es</w:t>
      </w:r>
    </w:p>
    <w:p w:rsidR="005B68F7" w:rsidRPr="006F47A5" w:rsidRDefault="005B68F7" w:rsidP="008B7911">
      <w:pPr>
        <w:pStyle w:val="ListParagraph"/>
        <w:numPr>
          <w:ilvl w:val="0"/>
          <w:numId w:val="2"/>
        </w:numPr>
        <w:ind w:left="567" w:hanging="567"/>
        <w:rPr>
          <w:b/>
          <w:lang w:val="fr-FR"/>
        </w:rPr>
      </w:pPr>
      <w:r w:rsidRPr="006F47A5">
        <w:rPr>
          <w:b/>
          <w:lang w:val="fr-FR"/>
        </w:rPr>
        <w:t>Nom de l</w:t>
      </w:r>
      <w:r w:rsidR="00FD5C7A">
        <w:rPr>
          <w:b/>
          <w:lang w:val="fr-FR"/>
        </w:rPr>
        <w:t>’</w:t>
      </w:r>
      <w:r w:rsidRPr="006F47A5">
        <w:rPr>
          <w:b/>
          <w:lang w:val="fr-FR"/>
        </w:rPr>
        <w:t>office national</w:t>
      </w:r>
      <w:r w:rsidR="00FD5C7A">
        <w:rPr>
          <w:b/>
          <w:lang w:val="fr-FR"/>
        </w:rPr>
        <w:t> :</w:t>
      </w:r>
    </w:p>
    <w:p w:rsidR="009020C0" w:rsidRPr="006F47A5" w:rsidRDefault="009020C0" w:rsidP="008B7911">
      <w:pPr>
        <w:pStyle w:val="ListParagraph"/>
        <w:ind w:left="567"/>
        <w:rPr>
          <w:lang w:val="fr-FR"/>
        </w:rPr>
      </w:pPr>
      <w:r w:rsidRPr="006F47A5">
        <w:rPr>
          <w:lang w:val="fr-FR"/>
        </w:rPr>
        <w:t>Office australien des brevets (qui fait partie de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organisme </w:t>
      </w:r>
      <w:r w:rsidR="009C1464" w:rsidRPr="006F47A5">
        <w:rPr>
          <w:lang w:val="fr-FR"/>
        </w:rPr>
        <w:t>gouvernemental nommé IP</w:t>
      </w:r>
      <w:r w:rsidR="00206805">
        <w:rPr>
          <w:lang w:val="fr-FR"/>
        </w:rPr>
        <w:t> </w:t>
      </w:r>
      <w:proofErr w:type="spellStart"/>
      <w:r w:rsidR="009C1464" w:rsidRPr="006F47A5">
        <w:rPr>
          <w:lang w:val="fr-FR"/>
        </w:rPr>
        <w:t>Australia</w:t>
      </w:r>
      <w:proofErr w:type="spellEnd"/>
      <w:r w:rsidR="007E2EF4" w:rsidRPr="006F47A5">
        <w:rPr>
          <w:lang w:val="fr-FR"/>
        </w:rPr>
        <w:t>)</w:t>
      </w:r>
      <w:r w:rsidR="009C1464" w:rsidRPr="006F47A5">
        <w:rPr>
          <w:lang w:val="fr-FR"/>
        </w:rPr>
        <w:t>.</w:t>
      </w:r>
    </w:p>
    <w:p w:rsidR="009020C0" w:rsidRPr="006F47A5" w:rsidRDefault="009020C0" w:rsidP="008B7911">
      <w:pPr>
        <w:pStyle w:val="ListParagraph"/>
        <w:ind w:left="567" w:hanging="567"/>
        <w:rPr>
          <w:lang w:val="fr-FR"/>
        </w:rPr>
      </w:pPr>
    </w:p>
    <w:p w:rsidR="005B68F7" w:rsidRPr="006F47A5" w:rsidRDefault="009C1464" w:rsidP="008B7911">
      <w:pPr>
        <w:pStyle w:val="ListParagraph"/>
        <w:numPr>
          <w:ilvl w:val="0"/>
          <w:numId w:val="2"/>
        </w:numPr>
        <w:ind w:left="567" w:hanging="567"/>
        <w:rPr>
          <w:b/>
          <w:lang w:val="fr-FR"/>
        </w:rPr>
      </w:pPr>
      <w:r w:rsidRPr="006F47A5">
        <w:rPr>
          <w:b/>
          <w:lang w:val="fr-FR"/>
        </w:rPr>
        <w:t>Personne à</w:t>
      </w:r>
      <w:r w:rsidR="005B68F7" w:rsidRPr="006F47A5">
        <w:rPr>
          <w:b/>
          <w:lang w:val="fr-FR"/>
        </w:rPr>
        <w:t xml:space="preserve"> contact</w:t>
      </w:r>
      <w:r w:rsidRPr="006F47A5">
        <w:rPr>
          <w:b/>
          <w:lang w:val="fr-FR"/>
        </w:rPr>
        <w:t xml:space="preserve">er en cas de question relative au </w:t>
      </w:r>
      <w:r w:rsidR="005B68F7" w:rsidRPr="006F47A5">
        <w:rPr>
          <w:b/>
          <w:lang w:val="fr-FR"/>
        </w:rPr>
        <w:t>contenu du présent rapport</w:t>
      </w:r>
      <w:r w:rsidR="00FD5C7A">
        <w:rPr>
          <w:b/>
          <w:lang w:val="fr-FR"/>
        </w:rPr>
        <w:t> :</w:t>
      </w:r>
    </w:p>
    <w:p w:rsidR="009020C0" w:rsidRPr="006F47A5" w:rsidRDefault="009020C0" w:rsidP="008B7911">
      <w:pPr>
        <w:pStyle w:val="ListParagraph"/>
        <w:ind w:left="567" w:hanging="567"/>
        <w:rPr>
          <w:lang w:val="fr-FR"/>
        </w:rPr>
      </w:pPr>
    </w:p>
    <w:p w:rsidR="009020C0" w:rsidRPr="006F47A5" w:rsidRDefault="009020C0" w:rsidP="008B7911">
      <w:pPr>
        <w:pStyle w:val="ListParagraph"/>
        <w:ind w:left="1134" w:hanging="567"/>
        <w:rPr>
          <w:lang w:val="en-AU"/>
        </w:rPr>
      </w:pPr>
      <w:r w:rsidRPr="006F47A5">
        <w:rPr>
          <w:lang w:val="en-AU"/>
        </w:rPr>
        <w:t>Martin Devlin, Policy Officer, International Policy and Cooperation</w:t>
      </w:r>
    </w:p>
    <w:p w:rsidR="009020C0" w:rsidRPr="006F47A5" w:rsidRDefault="009020C0" w:rsidP="008B7911">
      <w:pPr>
        <w:pStyle w:val="ListParagraph"/>
        <w:ind w:left="1134" w:hanging="567"/>
        <w:rPr>
          <w:lang w:val="en-AU"/>
        </w:rPr>
      </w:pPr>
      <w:r w:rsidRPr="006F47A5">
        <w:rPr>
          <w:lang w:val="en-AU"/>
        </w:rPr>
        <w:t>Policy and Governance Group, IP</w:t>
      </w:r>
      <w:r w:rsidR="00206805">
        <w:rPr>
          <w:lang w:val="en-AU"/>
        </w:rPr>
        <w:t> </w:t>
      </w:r>
      <w:r w:rsidRPr="006F47A5">
        <w:rPr>
          <w:lang w:val="en-AU"/>
        </w:rPr>
        <w:t>Australia</w:t>
      </w:r>
    </w:p>
    <w:p w:rsidR="009020C0" w:rsidRPr="006F47A5" w:rsidRDefault="00EA57A8" w:rsidP="008B7911">
      <w:pPr>
        <w:pStyle w:val="ListParagraph"/>
        <w:ind w:left="1134" w:hanging="567"/>
        <w:rPr>
          <w:lang w:val="en-AU"/>
        </w:rPr>
      </w:pPr>
      <w:hyperlink r:id="rId16" w:history="1">
        <w:r w:rsidR="009020C0" w:rsidRPr="006F47A5">
          <w:rPr>
            <w:rStyle w:val="Hyperlink"/>
          </w:rPr>
          <w:t>martin.devlin@ipaustralia.gov.au</w:t>
        </w:r>
      </w:hyperlink>
      <w:r w:rsidR="009020C0" w:rsidRPr="006F47A5">
        <w:rPr>
          <w:lang w:val="en-AU"/>
        </w:rPr>
        <w:t>, +613</w:t>
      </w:r>
      <w:r w:rsidR="00206805">
        <w:rPr>
          <w:lang w:val="en-AU"/>
        </w:rPr>
        <w:t> </w:t>
      </w:r>
      <w:r w:rsidR="009020C0" w:rsidRPr="006F47A5">
        <w:rPr>
          <w:lang w:val="en-AU"/>
        </w:rPr>
        <w:t>99359697</w:t>
      </w:r>
    </w:p>
    <w:p w:rsidR="009020C0" w:rsidRPr="006F47A5" w:rsidRDefault="009020C0" w:rsidP="008B7911">
      <w:pPr>
        <w:pStyle w:val="ListParagraph"/>
        <w:ind w:left="567" w:hanging="567"/>
        <w:rPr>
          <w:b/>
          <w:lang w:val="en-AU"/>
        </w:rPr>
      </w:pPr>
    </w:p>
    <w:p w:rsidR="005B68F7" w:rsidRPr="006F47A5" w:rsidRDefault="009C1464" w:rsidP="008B7911">
      <w:pPr>
        <w:pStyle w:val="ListParagraph"/>
        <w:numPr>
          <w:ilvl w:val="0"/>
          <w:numId w:val="2"/>
        </w:numPr>
        <w:ind w:left="567" w:hanging="567"/>
        <w:rPr>
          <w:b/>
          <w:lang w:val="fr-FR"/>
        </w:rPr>
      </w:pPr>
      <w:r w:rsidRPr="006F47A5">
        <w:rPr>
          <w:b/>
          <w:lang w:val="fr-FR"/>
        </w:rPr>
        <w:t>Date à laquelle le Directeur général a reçu la demande de renouvellement</w:t>
      </w:r>
      <w:r w:rsidR="00FD5C7A">
        <w:rPr>
          <w:b/>
          <w:lang w:val="fr-FR"/>
        </w:rPr>
        <w:t> :</w:t>
      </w:r>
    </w:p>
    <w:p w:rsidR="009020C0" w:rsidRPr="006F47A5" w:rsidRDefault="008F1232" w:rsidP="008B7911">
      <w:pPr>
        <w:pStyle w:val="ListParagraph"/>
        <w:ind w:left="567"/>
        <w:rPr>
          <w:lang w:val="fr-FR"/>
        </w:rPr>
      </w:pPr>
      <w:r w:rsidRPr="006F47A5">
        <w:rPr>
          <w:lang w:val="fr-FR"/>
        </w:rPr>
        <w:t>7</w:t>
      </w:r>
      <w:r>
        <w:rPr>
          <w:lang w:val="fr-FR"/>
        </w:rPr>
        <w:t> </w:t>
      </w:r>
      <w:r w:rsidRPr="006F47A5">
        <w:rPr>
          <w:lang w:val="fr-FR"/>
        </w:rPr>
        <w:t>mars</w:t>
      </w:r>
      <w:r>
        <w:rPr>
          <w:lang w:val="fr-FR"/>
        </w:rPr>
        <w:t> </w:t>
      </w:r>
      <w:r w:rsidRPr="006F47A5">
        <w:rPr>
          <w:lang w:val="fr-FR"/>
        </w:rPr>
        <w:t>20</w:t>
      </w:r>
      <w:r w:rsidR="009020C0" w:rsidRPr="006F47A5">
        <w:rPr>
          <w:lang w:val="fr-FR"/>
        </w:rPr>
        <w:t>17</w:t>
      </w:r>
    </w:p>
    <w:p w:rsidR="009020C0" w:rsidRPr="006F47A5" w:rsidRDefault="009020C0" w:rsidP="008B7911">
      <w:pPr>
        <w:pStyle w:val="ListParagraph"/>
        <w:ind w:left="567" w:hanging="567"/>
        <w:rPr>
          <w:lang w:val="fr-FR"/>
        </w:rPr>
      </w:pPr>
    </w:p>
    <w:p w:rsidR="005B68F7" w:rsidRPr="006F47A5" w:rsidRDefault="005B68F7" w:rsidP="008B7911">
      <w:pPr>
        <w:pStyle w:val="ListParagraph"/>
        <w:numPr>
          <w:ilvl w:val="0"/>
          <w:numId w:val="2"/>
        </w:numPr>
        <w:ind w:left="567" w:hanging="567"/>
        <w:rPr>
          <w:b/>
          <w:lang w:val="fr-FR"/>
        </w:rPr>
      </w:pPr>
      <w:r w:rsidRPr="006F47A5">
        <w:rPr>
          <w:b/>
          <w:lang w:val="fr-FR"/>
        </w:rPr>
        <w:t>Session de l</w:t>
      </w:r>
      <w:r w:rsidR="00FD5C7A">
        <w:rPr>
          <w:b/>
          <w:lang w:val="fr-FR"/>
        </w:rPr>
        <w:t>’</w:t>
      </w:r>
      <w:r w:rsidR="009C1464" w:rsidRPr="006F47A5">
        <w:rPr>
          <w:b/>
          <w:lang w:val="fr-FR"/>
        </w:rPr>
        <w:t>a</w:t>
      </w:r>
      <w:r w:rsidRPr="006F47A5">
        <w:rPr>
          <w:b/>
          <w:lang w:val="fr-FR"/>
        </w:rPr>
        <w:t xml:space="preserve">ssemblée </w:t>
      </w:r>
      <w:r w:rsidR="009C1464" w:rsidRPr="006F47A5">
        <w:rPr>
          <w:b/>
          <w:lang w:val="fr-FR"/>
        </w:rPr>
        <w:t>à</w:t>
      </w:r>
      <w:r w:rsidRPr="006F47A5">
        <w:rPr>
          <w:b/>
          <w:lang w:val="fr-FR"/>
        </w:rPr>
        <w:t xml:space="preserve"> laquelle </w:t>
      </w:r>
      <w:r w:rsidR="009C1464" w:rsidRPr="006F47A5">
        <w:rPr>
          <w:b/>
          <w:lang w:val="fr-FR"/>
        </w:rPr>
        <w:t>le renouvellement sera demandé</w:t>
      </w:r>
      <w:r w:rsidR="00FD5C7A">
        <w:rPr>
          <w:b/>
          <w:lang w:val="fr-FR"/>
        </w:rPr>
        <w:t> :</w:t>
      </w:r>
    </w:p>
    <w:p w:rsidR="008F1232" w:rsidRDefault="009020C0" w:rsidP="008B7911">
      <w:pPr>
        <w:pStyle w:val="ListParagraph"/>
        <w:ind w:left="567"/>
        <w:rPr>
          <w:lang w:val="fr-FR"/>
        </w:rPr>
      </w:pPr>
      <w:r w:rsidRPr="006F47A5">
        <w:rPr>
          <w:lang w:val="fr-FR"/>
        </w:rPr>
        <w:t>Vingt</w:t>
      </w:r>
      <w:r w:rsidR="00FD5C7A">
        <w:rPr>
          <w:lang w:val="fr-FR"/>
        </w:rPr>
        <w:t> et unième session</w:t>
      </w:r>
      <w:r w:rsidRPr="006F47A5">
        <w:rPr>
          <w:lang w:val="fr-FR"/>
        </w:rPr>
        <w:t xml:space="preserve"> ordinaire de l</w:t>
      </w:r>
      <w:r w:rsidR="00FD5C7A">
        <w:rPr>
          <w:lang w:val="fr-FR"/>
        </w:rPr>
        <w:t>’</w:t>
      </w:r>
      <w:r w:rsidRPr="006F47A5">
        <w:rPr>
          <w:lang w:val="fr-FR"/>
        </w:rPr>
        <w:t>Assemblée de l</w:t>
      </w:r>
      <w:r w:rsidR="00FD5C7A">
        <w:rPr>
          <w:lang w:val="fr-FR"/>
        </w:rPr>
        <w:t>’</w:t>
      </w:r>
      <w:r w:rsidRPr="006F47A5">
        <w:rPr>
          <w:lang w:val="fr-FR"/>
        </w:rPr>
        <w:t>Union</w:t>
      </w:r>
      <w:r w:rsidR="008F1232" w:rsidRPr="008F1232">
        <w:rPr>
          <w:lang w:val="fr-FR"/>
        </w:rPr>
        <w:t xml:space="preserve"> du PCT</w:t>
      </w:r>
    </w:p>
    <w:p w:rsidR="009020C0" w:rsidRPr="006F47A5" w:rsidRDefault="009020C0" w:rsidP="008B7911">
      <w:pPr>
        <w:pStyle w:val="ListParagraph"/>
        <w:ind w:left="567" w:hanging="567"/>
        <w:rPr>
          <w:lang w:val="fr-FR"/>
        </w:rPr>
      </w:pPr>
    </w:p>
    <w:p w:rsidR="005B68F7" w:rsidRPr="006F47A5" w:rsidRDefault="009C1464" w:rsidP="008B7911">
      <w:pPr>
        <w:pStyle w:val="ListParagraph"/>
        <w:numPr>
          <w:ilvl w:val="0"/>
          <w:numId w:val="2"/>
        </w:numPr>
        <w:ind w:left="567" w:hanging="567"/>
        <w:rPr>
          <w:b/>
          <w:lang w:val="fr-FR"/>
        </w:rPr>
      </w:pPr>
      <w:r w:rsidRPr="006F47A5">
        <w:rPr>
          <w:b/>
          <w:lang w:val="fr-FR"/>
        </w:rPr>
        <w:t>Date à laquelle l</w:t>
      </w:r>
      <w:r w:rsidR="00FD5C7A">
        <w:rPr>
          <w:b/>
          <w:lang w:val="fr-FR"/>
        </w:rPr>
        <w:t>’</w:t>
      </w:r>
      <w:r w:rsidRPr="006F47A5">
        <w:rPr>
          <w:b/>
          <w:lang w:val="fr-FR"/>
        </w:rPr>
        <w:t>office pourrait commencer à agir</w:t>
      </w:r>
      <w:r w:rsidR="009020C0" w:rsidRPr="006F47A5">
        <w:rPr>
          <w:b/>
          <w:lang w:val="fr-FR"/>
        </w:rPr>
        <w:t xml:space="preserve"> en qualité d</w:t>
      </w:r>
      <w:r w:rsidR="00FD5C7A">
        <w:rPr>
          <w:b/>
          <w:lang w:val="fr-FR"/>
        </w:rPr>
        <w:t>’</w:t>
      </w:r>
      <w:r w:rsidR="009020C0" w:rsidRPr="006F47A5">
        <w:rPr>
          <w:b/>
          <w:lang w:val="fr-FR"/>
        </w:rPr>
        <w:t>administration chargée de la recherche internationale et de l</w:t>
      </w:r>
      <w:r w:rsidR="00FD5C7A">
        <w:rPr>
          <w:b/>
          <w:lang w:val="fr-FR"/>
        </w:rPr>
        <w:t>’</w:t>
      </w:r>
      <w:r w:rsidR="009020C0" w:rsidRPr="006F47A5">
        <w:rPr>
          <w:b/>
          <w:lang w:val="fr-FR"/>
        </w:rPr>
        <w:t>examen préliminaire international</w:t>
      </w:r>
      <w:r w:rsidR="00FD5C7A">
        <w:rPr>
          <w:b/>
          <w:lang w:val="fr-FR"/>
        </w:rPr>
        <w:t> :</w:t>
      </w:r>
    </w:p>
    <w:p w:rsidR="009020C0" w:rsidRPr="006F47A5" w:rsidRDefault="009020C0" w:rsidP="008B7911">
      <w:pPr>
        <w:pStyle w:val="ListParagraph"/>
        <w:ind w:left="567"/>
        <w:rPr>
          <w:lang w:val="fr-FR"/>
        </w:rPr>
      </w:pPr>
      <w:r w:rsidRPr="006F47A5">
        <w:rPr>
          <w:lang w:val="fr-FR"/>
        </w:rPr>
        <w:t>1</w:t>
      </w:r>
      <w:r w:rsidRPr="006F47A5">
        <w:rPr>
          <w:vertAlign w:val="superscript"/>
          <w:lang w:val="fr-FR"/>
        </w:rPr>
        <w:t>er</w:t>
      </w:r>
      <w:r w:rsidR="00DD1C9C">
        <w:rPr>
          <w:lang w:val="fr-FR"/>
        </w:rPr>
        <w:t> </w:t>
      </w:r>
      <w:r w:rsidR="008F1232" w:rsidRPr="006F47A5">
        <w:rPr>
          <w:lang w:val="fr-FR"/>
        </w:rPr>
        <w:t>janvier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</w:t>
      </w:r>
      <w:r w:rsidRPr="006F47A5">
        <w:rPr>
          <w:lang w:val="fr-FR"/>
        </w:rPr>
        <w:t>18</w:t>
      </w:r>
      <w:r w:rsidR="0047187A" w:rsidRPr="006F47A5">
        <w:rPr>
          <w:rStyle w:val="FootnoteReference"/>
          <w:lang w:val="fr-FR"/>
        </w:rPr>
        <w:footnoteReference w:id="2"/>
      </w:r>
      <w:r w:rsidR="0047187A" w:rsidRPr="006F47A5">
        <w:rPr>
          <w:lang w:val="fr-FR"/>
        </w:rPr>
        <w:t>.</w:t>
      </w:r>
    </w:p>
    <w:p w:rsidR="009020C0" w:rsidRPr="006F47A5" w:rsidRDefault="009020C0" w:rsidP="008B7911">
      <w:pPr>
        <w:pStyle w:val="ListParagraph"/>
        <w:ind w:left="567" w:hanging="567"/>
        <w:rPr>
          <w:lang w:val="fr-FR"/>
        </w:rPr>
      </w:pPr>
    </w:p>
    <w:p w:rsidR="008F1232" w:rsidRDefault="009020C0" w:rsidP="008B7911">
      <w:pPr>
        <w:pStyle w:val="ListParagraph"/>
        <w:numPr>
          <w:ilvl w:val="0"/>
          <w:numId w:val="2"/>
        </w:numPr>
        <w:ind w:left="567" w:hanging="567"/>
        <w:rPr>
          <w:b/>
          <w:lang w:val="fr-FR"/>
        </w:rPr>
      </w:pPr>
      <w:r w:rsidRPr="006F47A5">
        <w:rPr>
          <w:b/>
          <w:lang w:val="fr-FR"/>
        </w:rPr>
        <w:t xml:space="preserve">Administrations </w:t>
      </w:r>
      <w:r w:rsidR="009C1464" w:rsidRPr="006F47A5">
        <w:rPr>
          <w:b/>
          <w:lang w:val="fr-FR"/>
        </w:rPr>
        <w:t>actuellement chargées de la recherche internationale et de l</w:t>
      </w:r>
      <w:r w:rsidR="00FD5C7A">
        <w:rPr>
          <w:b/>
          <w:lang w:val="fr-FR"/>
        </w:rPr>
        <w:t>’</w:t>
      </w:r>
      <w:r w:rsidR="009C1464" w:rsidRPr="006F47A5">
        <w:rPr>
          <w:b/>
          <w:lang w:val="fr-FR"/>
        </w:rPr>
        <w:t>examen préliminaire international qui prêtent leur concours à l</w:t>
      </w:r>
      <w:r w:rsidR="00FD5C7A">
        <w:rPr>
          <w:b/>
          <w:lang w:val="fr-FR"/>
        </w:rPr>
        <w:t>’</w:t>
      </w:r>
      <w:r w:rsidR="009C1464" w:rsidRPr="006F47A5">
        <w:rPr>
          <w:b/>
          <w:lang w:val="fr-FR"/>
        </w:rPr>
        <w:t>évaluation de la mesure dans laquelle les critères sont remplis</w:t>
      </w:r>
      <w:r w:rsidR="00FD5C7A">
        <w:rPr>
          <w:b/>
          <w:lang w:val="fr-FR"/>
        </w:rPr>
        <w:t> :</w:t>
      </w:r>
    </w:p>
    <w:p w:rsidR="00DD1C9C" w:rsidRDefault="00DD1C9C" w:rsidP="008B7911">
      <w:pPr>
        <w:pStyle w:val="ListParagraph"/>
        <w:ind w:left="567" w:hanging="567"/>
        <w:rPr>
          <w:lang w:val="fr-FR"/>
        </w:rPr>
      </w:pPr>
    </w:p>
    <w:p w:rsidR="008F1232" w:rsidRDefault="009020C0" w:rsidP="008B7911">
      <w:pPr>
        <w:pStyle w:val="ListParagraph"/>
        <w:ind w:left="567"/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="00F12274" w:rsidRPr="006F47A5">
        <w:rPr>
          <w:lang w:val="fr-FR"/>
        </w:rPr>
        <w:t>O</w:t>
      </w:r>
      <w:r w:rsidRPr="006F47A5">
        <w:rPr>
          <w:lang w:val="fr-FR"/>
        </w:rPr>
        <w:t>ffice australien des brevets a demandé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assistance </w:t>
      </w:r>
      <w:r w:rsidR="00F12274" w:rsidRPr="006F47A5">
        <w:rPr>
          <w:lang w:val="fr-FR"/>
        </w:rPr>
        <w:t>de l</w:t>
      </w:r>
      <w:r w:rsidR="00FD5C7A">
        <w:rPr>
          <w:lang w:val="fr-FR"/>
        </w:rPr>
        <w:t>’</w:t>
      </w:r>
      <w:r w:rsidR="00F12274" w:rsidRPr="006F47A5">
        <w:rPr>
          <w:lang w:val="fr-FR"/>
        </w:rPr>
        <w:t>Office canadien de la propriété intellectuelle pour examiner sa demande de prolongation de nomination en qualité d</w:t>
      </w:r>
      <w:r w:rsidR="00FD5C7A">
        <w:rPr>
          <w:lang w:val="fr-FR"/>
        </w:rPr>
        <w:t>’</w:t>
      </w:r>
      <w:r w:rsidR="00F12274" w:rsidRPr="006F47A5">
        <w:rPr>
          <w:lang w:val="fr-FR"/>
        </w:rPr>
        <w:t>administration internationale (chargée de la recherche internationale et de l</w:t>
      </w:r>
      <w:r w:rsidR="00FD5C7A">
        <w:rPr>
          <w:lang w:val="fr-FR"/>
        </w:rPr>
        <w:t>’</w:t>
      </w:r>
      <w:r w:rsidR="00F12274" w:rsidRPr="006F47A5">
        <w:rPr>
          <w:lang w:val="fr-FR"/>
        </w:rPr>
        <w:t xml:space="preserve">examen préliminaire international) et </w:t>
      </w:r>
      <w:r w:rsidR="00021F24" w:rsidRPr="006F47A5">
        <w:rPr>
          <w:lang w:val="fr-FR"/>
        </w:rPr>
        <w:t xml:space="preserve">en </w:t>
      </w:r>
      <w:r w:rsidR="009C1464" w:rsidRPr="006F47A5">
        <w:rPr>
          <w:lang w:val="fr-FR"/>
        </w:rPr>
        <w:t>déterminer l</w:t>
      </w:r>
      <w:r w:rsidR="00FD5C7A">
        <w:rPr>
          <w:lang w:val="fr-FR"/>
        </w:rPr>
        <w:t>’</w:t>
      </w:r>
      <w:r w:rsidR="00F12274" w:rsidRPr="006F47A5">
        <w:rPr>
          <w:lang w:val="fr-FR"/>
        </w:rPr>
        <w:t>adéquation</w:t>
      </w:r>
      <w:r w:rsidR="00C00099" w:rsidRPr="006F47A5">
        <w:rPr>
          <w:lang w:val="fr-FR"/>
        </w:rPr>
        <w:t xml:space="preserve">.  </w:t>
      </w:r>
      <w:r w:rsidR="00F12274" w:rsidRPr="006F47A5">
        <w:rPr>
          <w:lang w:val="fr-FR"/>
        </w:rPr>
        <w:t>L</w:t>
      </w:r>
      <w:r w:rsidR="00FD5C7A">
        <w:rPr>
          <w:lang w:val="fr-FR"/>
        </w:rPr>
        <w:t>’</w:t>
      </w:r>
      <w:r w:rsidR="00F12274" w:rsidRPr="006F47A5">
        <w:rPr>
          <w:lang w:val="fr-FR"/>
        </w:rPr>
        <w:t xml:space="preserve">Office australien des brevets a soumis </w:t>
      </w:r>
      <w:r w:rsidR="00021F24" w:rsidRPr="006F47A5">
        <w:rPr>
          <w:lang w:val="fr-FR"/>
        </w:rPr>
        <w:t>un projet au Bureau international</w:t>
      </w:r>
      <w:r w:rsidR="00DC5DB4">
        <w:rPr>
          <w:lang w:val="fr-FR"/>
        </w:rPr>
        <w:t>, afin que celui</w:t>
      </w:r>
      <w:r w:rsidR="00EE5220">
        <w:rPr>
          <w:lang w:val="fr-FR"/>
        </w:rPr>
        <w:noBreakHyphen/>
      </w:r>
      <w:r w:rsidR="00DC5DB4">
        <w:rPr>
          <w:lang w:val="fr-FR"/>
        </w:rPr>
        <w:t xml:space="preserve">ci puisse formuler des observations, </w:t>
      </w:r>
      <w:r w:rsidR="00021F24" w:rsidRPr="006F47A5">
        <w:rPr>
          <w:lang w:val="fr-FR"/>
        </w:rPr>
        <w:t>et a intégré ce premier retour</w:t>
      </w:r>
      <w:r w:rsidR="00DC5DB4">
        <w:rPr>
          <w:lang w:val="fr-FR"/>
        </w:rPr>
        <w:t xml:space="preserve"> d</w:t>
      </w:r>
      <w:r w:rsidR="00FD5C7A">
        <w:rPr>
          <w:lang w:val="fr-FR"/>
        </w:rPr>
        <w:t>’</w:t>
      </w:r>
      <w:r w:rsidR="00DC5DB4">
        <w:rPr>
          <w:lang w:val="fr-FR"/>
        </w:rPr>
        <w:t>informations</w:t>
      </w:r>
      <w:r w:rsidR="00021F24" w:rsidRPr="006F47A5">
        <w:rPr>
          <w:lang w:val="fr-FR"/>
        </w:rPr>
        <w:t xml:space="preserve"> dans la </w:t>
      </w:r>
      <w:r w:rsidR="00DC5DB4">
        <w:rPr>
          <w:lang w:val="fr-FR"/>
        </w:rPr>
        <w:t>présente</w:t>
      </w:r>
      <w:r w:rsidR="00021F24" w:rsidRPr="006F47A5">
        <w:rPr>
          <w:lang w:val="fr-FR"/>
        </w:rPr>
        <w:t xml:space="preserve"> deman</w:t>
      </w:r>
      <w:r w:rsidR="00CE00F9" w:rsidRPr="006F47A5">
        <w:rPr>
          <w:lang w:val="fr-FR"/>
        </w:rPr>
        <w:t>de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De</w:t>
      </w:r>
      <w:r w:rsidR="00021F24" w:rsidRPr="006F47A5">
        <w:rPr>
          <w:lang w:val="fr-FR"/>
        </w:rPr>
        <w:t xml:space="preserve"> plus amples informations concernant l</w:t>
      </w:r>
      <w:r w:rsidR="00FD5C7A">
        <w:rPr>
          <w:lang w:val="fr-FR"/>
        </w:rPr>
        <w:t>’</w:t>
      </w:r>
      <w:r w:rsidR="00021F24" w:rsidRPr="006F47A5">
        <w:rPr>
          <w:lang w:val="fr-FR"/>
        </w:rPr>
        <w:t xml:space="preserve">examen </w:t>
      </w:r>
      <w:r w:rsidR="00DC5DB4">
        <w:rPr>
          <w:lang w:val="fr-FR"/>
        </w:rPr>
        <w:t>effectué</w:t>
      </w:r>
      <w:r w:rsidR="00021F24" w:rsidRPr="006F47A5">
        <w:rPr>
          <w:lang w:val="fr-FR"/>
        </w:rPr>
        <w:t xml:space="preserve"> par d</w:t>
      </w:r>
      <w:r w:rsidR="00FD5C7A">
        <w:rPr>
          <w:lang w:val="fr-FR"/>
        </w:rPr>
        <w:t>’</w:t>
      </w:r>
      <w:r w:rsidR="00021F24" w:rsidRPr="006F47A5">
        <w:rPr>
          <w:lang w:val="fr-FR"/>
        </w:rPr>
        <w:t>autres administrations sont disponibles dans la partie</w:t>
      </w:r>
      <w:r w:rsidR="0099215E">
        <w:rPr>
          <w:lang w:val="fr-FR"/>
        </w:rPr>
        <w:t> </w:t>
      </w:r>
      <w:r w:rsidR="00021F24" w:rsidRPr="006F47A5">
        <w:rPr>
          <w:lang w:val="fr-FR"/>
        </w:rPr>
        <w:t>8 de la présente demande</w:t>
      </w:r>
      <w:r w:rsidR="00C00099" w:rsidRPr="006F47A5">
        <w:rPr>
          <w:lang w:val="fr-FR"/>
        </w:rPr>
        <w:t>.</w:t>
      </w:r>
    </w:p>
    <w:p w:rsidR="00021F24" w:rsidRPr="006F47A5" w:rsidRDefault="00DD1C9C" w:rsidP="00EA57A8">
      <w:pPr>
        <w:pStyle w:val="SectionHeading"/>
      </w:pPr>
      <w:bookmarkStart w:id="3" w:name="_GoBack"/>
      <w:bookmarkEnd w:id="3"/>
      <w:r>
        <w:lastRenderedPageBreak/>
        <w:t>2 – C</w:t>
      </w:r>
      <w:r w:rsidRPr="006F47A5">
        <w:t>ritères matériels</w:t>
      </w:r>
      <w:r w:rsidR="00FD5C7A">
        <w:t> :</w:t>
      </w:r>
      <w:r w:rsidRPr="006F47A5">
        <w:t xml:space="preserve"> exigences minimales applicables à la nomination</w:t>
      </w:r>
    </w:p>
    <w:p w:rsidR="00021F24" w:rsidRPr="00DD1C9C" w:rsidRDefault="00021F24" w:rsidP="00EA57A8">
      <w:pPr>
        <w:keepNext/>
        <w:rPr>
          <w:sz w:val="10"/>
          <w:szCs w:val="16"/>
          <w:lang w:val="fr-FR"/>
        </w:rPr>
      </w:pPr>
    </w:p>
    <w:p w:rsidR="00021F24" w:rsidRPr="006F47A5" w:rsidRDefault="00DD1C9C" w:rsidP="00EA57A8">
      <w:pPr>
        <w:pStyle w:val="SectionHeading"/>
      </w:pPr>
      <w:r w:rsidRPr="006F47A5">
        <w:t xml:space="preserve">2.1 – </w:t>
      </w:r>
      <w:r>
        <w:t>C</w:t>
      </w:r>
      <w:r w:rsidRPr="006F47A5">
        <w:t>apacité en matière de recherche et d</w:t>
      </w:r>
      <w:r w:rsidR="00FD5C7A">
        <w:t>’</w:t>
      </w:r>
      <w:r w:rsidRPr="006F47A5">
        <w:t>examen</w:t>
      </w:r>
    </w:p>
    <w:p w:rsidR="00021F24" w:rsidRPr="006F47A5" w:rsidRDefault="00021F24" w:rsidP="00EA57A8">
      <w:pPr>
        <w:keepNext/>
        <w:rPr>
          <w:lang w:val="fr-FR"/>
        </w:rPr>
      </w:pPr>
    </w:p>
    <w:p w:rsidR="008F1232" w:rsidRDefault="008F1232" w:rsidP="00EA57A8">
      <w:pPr>
        <w:keepNext/>
        <w:rPr>
          <w:lang w:val="fr-FR"/>
        </w:rPr>
      </w:pPr>
      <w:r w:rsidRPr="006F47A5">
        <w:rPr>
          <w:b/>
          <w:i/>
          <w:lang w:val="fr-FR"/>
        </w:rPr>
        <w:t>Règle</w:t>
      </w:r>
      <w:r>
        <w:rPr>
          <w:b/>
          <w:i/>
          <w:lang w:val="fr-FR"/>
        </w:rPr>
        <w:t> </w:t>
      </w:r>
      <w:r w:rsidRPr="006F47A5">
        <w:rPr>
          <w:b/>
          <w:i/>
          <w:lang w:val="fr-FR"/>
        </w:rPr>
        <w:t>3</w:t>
      </w:r>
      <w:r w:rsidR="00021F24" w:rsidRPr="006F47A5">
        <w:rPr>
          <w:b/>
          <w:i/>
          <w:lang w:val="fr-FR"/>
        </w:rPr>
        <w:t>6.1.i</w:t>
      </w:r>
      <w:r w:rsidR="009C1464" w:rsidRPr="006F47A5">
        <w:rPr>
          <w:b/>
          <w:i/>
          <w:lang w:val="fr-FR"/>
        </w:rPr>
        <w:t>)</w:t>
      </w:r>
      <w:r w:rsidR="00021F24" w:rsidRPr="006F47A5">
        <w:rPr>
          <w:b/>
          <w:i/>
          <w:lang w:val="fr-FR"/>
        </w:rPr>
        <w:t xml:space="preserve"> et 63.1.i</w:t>
      </w:r>
      <w:r w:rsidR="009C1464" w:rsidRPr="006F47A5">
        <w:rPr>
          <w:b/>
          <w:i/>
          <w:lang w:val="fr-FR"/>
        </w:rPr>
        <w:t>)</w:t>
      </w:r>
      <w:r w:rsidR="00FD5C7A">
        <w:rPr>
          <w:b/>
          <w:i/>
          <w:lang w:val="fr-FR"/>
        </w:rPr>
        <w:t> :</w:t>
      </w:r>
      <w:r w:rsidR="00021F24" w:rsidRPr="006F47A5">
        <w:rPr>
          <w:b/>
          <w:i/>
          <w:lang w:val="fr-FR"/>
        </w:rPr>
        <w:t xml:space="preserve"> </w:t>
      </w:r>
      <w:r w:rsidR="00DD1C9C">
        <w:rPr>
          <w:b/>
          <w:i/>
          <w:lang w:val="fr-FR"/>
        </w:rPr>
        <w:t>l</w:t>
      </w:r>
      <w:r w:rsidR="00FD5C7A">
        <w:rPr>
          <w:b/>
          <w:i/>
          <w:lang w:val="fr-FR"/>
        </w:rPr>
        <w:t>’</w:t>
      </w:r>
      <w:r w:rsidR="00021F24" w:rsidRPr="006F47A5">
        <w:rPr>
          <w:b/>
          <w:i/>
          <w:lang w:val="fr-FR"/>
        </w:rPr>
        <w:t>office national ou l</w:t>
      </w:r>
      <w:r w:rsidR="00FD5C7A">
        <w:rPr>
          <w:b/>
          <w:i/>
          <w:lang w:val="fr-FR"/>
        </w:rPr>
        <w:t>’</w:t>
      </w:r>
      <w:r w:rsidR="00021F24" w:rsidRPr="006F47A5">
        <w:rPr>
          <w:b/>
          <w:i/>
          <w:lang w:val="fr-FR"/>
        </w:rPr>
        <w:t>organisation intergouvernementale doit avoir au moins cent employés à plein temps possédant des qualifications techni</w:t>
      </w:r>
      <w:r w:rsidR="009C1464" w:rsidRPr="006F47A5">
        <w:rPr>
          <w:b/>
          <w:i/>
          <w:lang w:val="fr-FR"/>
        </w:rPr>
        <w:t>ques suffisantes pour procéder à la</w:t>
      </w:r>
      <w:r w:rsidR="00021F24" w:rsidRPr="006F47A5">
        <w:rPr>
          <w:b/>
          <w:i/>
          <w:lang w:val="fr-FR"/>
        </w:rPr>
        <w:t xml:space="preserve"> recherche</w:t>
      </w:r>
      <w:r w:rsidR="009C1464" w:rsidRPr="006F47A5">
        <w:rPr>
          <w:b/>
          <w:i/>
          <w:lang w:val="fr-FR"/>
        </w:rPr>
        <w:t xml:space="preserve"> et à l</w:t>
      </w:r>
      <w:r w:rsidR="00FD5C7A">
        <w:rPr>
          <w:b/>
          <w:i/>
          <w:lang w:val="fr-FR"/>
        </w:rPr>
        <w:t>’</w:t>
      </w:r>
      <w:r w:rsidR="009C1464" w:rsidRPr="006F47A5">
        <w:rPr>
          <w:b/>
          <w:i/>
          <w:lang w:val="fr-FR"/>
        </w:rPr>
        <w:t>examen</w:t>
      </w:r>
      <w:r w:rsidR="00C00099" w:rsidRPr="006F47A5">
        <w:rPr>
          <w:lang w:val="fr-FR"/>
        </w:rPr>
        <w:t>.</w:t>
      </w:r>
    </w:p>
    <w:p w:rsidR="00021F24" w:rsidRPr="006F47A5" w:rsidRDefault="00021F24" w:rsidP="008B7911">
      <w:pPr>
        <w:rPr>
          <w:lang w:val="fr-FR"/>
        </w:rPr>
      </w:pPr>
    </w:p>
    <w:p w:rsidR="00021F24" w:rsidRPr="006F47A5" w:rsidRDefault="00256527" w:rsidP="008B7911">
      <w:pPr>
        <w:rPr>
          <w:b/>
          <w:lang w:val="fr-FR"/>
        </w:rPr>
      </w:pPr>
      <w:r w:rsidRPr="006F47A5">
        <w:rPr>
          <w:b/>
          <w:lang w:val="fr-FR"/>
        </w:rPr>
        <w:t xml:space="preserve">Employés qualifiés pour procéder </w:t>
      </w:r>
      <w:r w:rsidR="002133CC" w:rsidRPr="006F47A5">
        <w:rPr>
          <w:b/>
          <w:lang w:val="fr-FR"/>
        </w:rPr>
        <w:t>à la recherche</w:t>
      </w:r>
      <w:r w:rsidRPr="006F47A5">
        <w:rPr>
          <w:b/>
          <w:lang w:val="fr-FR"/>
        </w:rPr>
        <w:t xml:space="preserve"> et </w:t>
      </w:r>
      <w:r w:rsidR="002133CC" w:rsidRPr="006F47A5">
        <w:rPr>
          <w:b/>
          <w:lang w:val="fr-FR"/>
        </w:rPr>
        <w:t>à l</w:t>
      </w:r>
      <w:r w:rsidR="00FD5C7A">
        <w:rPr>
          <w:b/>
          <w:lang w:val="fr-FR"/>
        </w:rPr>
        <w:t>’</w:t>
      </w:r>
      <w:r w:rsidRPr="006F47A5">
        <w:rPr>
          <w:b/>
          <w:lang w:val="fr-FR"/>
        </w:rPr>
        <w:t>examen</w:t>
      </w:r>
      <w:r w:rsidR="00FD5C7A">
        <w:rPr>
          <w:b/>
          <w:lang w:val="fr-FR"/>
        </w:rPr>
        <w:t> :</w:t>
      </w:r>
    </w:p>
    <w:p w:rsidR="00256527" w:rsidRPr="006F47A5" w:rsidRDefault="00256527" w:rsidP="008B7911">
      <w:pPr>
        <w:rPr>
          <w:lang w:val="fr-FR"/>
        </w:rPr>
      </w:pPr>
      <w:r w:rsidRPr="006F47A5">
        <w:rPr>
          <w:i/>
          <w:lang w:val="fr-FR"/>
        </w:rPr>
        <w:t>Source</w:t>
      </w:r>
      <w:r w:rsidR="00FD5C7A">
        <w:rPr>
          <w:i/>
          <w:lang w:val="fr-FR"/>
        </w:rPr>
        <w:t> :</w:t>
      </w:r>
      <w:r w:rsidRPr="006F47A5">
        <w:rPr>
          <w:i/>
          <w:lang w:val="fr-FR"/>
        </w:rPr>
        <w:t xml:space="preserve"> équipe de</w:t>
      </w:r>
      <w:r w:rsidR="009C1464" w:rsidRPr="006F47A5">
        <w:rPr>
          <w:i/>
          <w:lang w:val="fr-FR"/>
        </w:rPr>
        <w:t>s</w:t>
      </w:r>
      <w:r w:rsidR="00DC5DB4">
        <w:rPr>
          <w:i/>
          <w:lang w:val="fr-FR"/>
        </w:rPr>
        <w:t xml:space="preserve"> rapports internes, </w:t>
      </w:r>
      <w:r w:rsidRPr="006F47A5">
        <w:rPr>
          <w:i/>
          <w:lang w:val="fr-FR"/>
        </w:rPr>
        <w:t>IP</w:t>
      </w:r>
      <w:r w:rsidR="00206805">
        <w:rPr>
          <w:i/>
          <w:lang w:val="fr-FR"/>
        </w:rPr>
        <w:t> </w:t>
      </w:r>
      <w:proofErr w:type="spellStart"/>
      <w:r w:rsidRPr="006F47A5">
        <w:rPr>
          <w:i/>
          <w:lang w:val="fr-FR"/>
        </w:rPr>
        <w:t>Australia</w:t>
      </w:r>
      <w:proofErr w:type="spellEnd"/>
      <w:r w:rsidRPr="006F47A5">
        <w:rPr>
          <w:i/>
          <w:lang w:val="fr-FR"/>
        </w:rPr>
        <w:t>.</w:t>
      </w:r>
    </w:p>
    <w:p w:rsidR="00256527" w:rsidRPr="006F47A5" w:rsidRDefault="00256527" w:rsidP="008B7911">
      <w:pPr>
        <w:rPr>
          <w:lang w:val="fr-FR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2835"/>
      </w:tblGrid>
      <w:tr w:rsidR="00256527" w:rsidRPr="006F47A5" w:rsidTr="00DD1C9C">
        <w:trPr>
          <w:cantSplit/>
        </w:trPr>
        <w:tc>
          <w:tcPr>
            <w:tcW w:w="3085" w:type="dxa"/>
            <w:shd w:val="clear" w:color="auto" w:fill="auto"/>
          </w:tcPr>
          <w:p w:rsidR="00256527" w:rsidRPr="006F47A5" w:rsidRDefault="00256527" w:rsidP="008B7911">
            <w:pPr>
              <w:rPr>
                <w:b/>
                <w:bCs/>
                <w:lang w:val="fr-FR"/>
              </w:rPr>
            </w:pPr>
            <w:r w:rsidRPr="006F47A5">
              <w:rPr>
                <w:b/>
                <w:bCs/>
                <w:lang w:val="fr-FR"/>
              </w:rPr>
              <w:t>Domaine technique</w:t>
            </w:r>
          </w:p>
        </w:tc>
        <w:tc>
          <w:tcPr>
            <w:tcW w:w="2693" w:type="dxa"/>
            <w:shd w:val="clear" w:color="auto" w:fill="auto"/>
          </w:tcPr>
          <w:p w:rsidR="00256527" w:rsidRPr="006F47A5" w:rsidRDefault="00EE6BAF" w:rsidP="008B7911">
            <w:pPr>
              <w:rPr>
                <w:b/>
                <w:bCs/>
                <w:lang w:val="fr-FR"/>
              </w:rPr>
            </w:pPr>
            <w:r w:rsidRPr="006F47A5">
              <w:rPr>
                <w:b/>
                <w:bCs/>
                <w:lang w:val="fr-FR"/>
              </w:rPr>
              <w:t>Nombre (équivalent temps plein)</w:t>
            </w:r>
          </w:p>
        </w:tc>
        <w:tc>
          <w:tcPr>
            <w:tcW w:w="2835" w:type="dxa"/>
          </w:tcPr>
          <w:p w:rsidR="00256527" w:rsidRPr="006F47A5" w:rsidRDefault="002133CC" w:rsidP="008B7911">
            <w:pPr>
              <w:rPr>
                <w:b/>
                <w:bCs/>
                <w:lang w:val="fr-FR"/>
              </w:rPr>
            </w:pPr>
            <w:r w:rsidRPr="006F47A5">
              <w:rPr>
                <w:b/>
                <w:bCs/>
                <w:lang w:val="fr-FR"/>
              </w:rPr>
              <w:t>Expérience moyenne en tant qu</w:t>
            </w:r>
            <w:r w:rsidR="00FD5C7A">
              <w:rPr>
                <w:b/>
                <w:bCs/>
                <w:lang w:val="fr-FR"/>
              </w:rPr>
              <w:t>’</w:t>
            </w:r>
            <w:r w:rsidR="00EE6BAF" w:rsidRPr="006F47A5">
              <w:rPr>
                <w:b/>
                <w:bCs/>
                <w:lang w:val="fr-FR"/>
              </w:rPr>
              <w:t>examinateurs (années)</w:t>
            </w:r>
          </w:p>
        </w:tc>
      </w:tr>
      <w:tr w:rsidR="00256527" w:rsidRPr="006F47A5" w:rsidTr="00DD1C9C">
        <w:trPr>
          <w:cantSplit/>
        </w:trPr>
        <w:tc>
          <w:tcPr>
            <w:tcW w:w="3085" w:type="dxa"/>
            <w:shd w:val="clear" w:color="auto" w:fill="auto"/>
          </w:tcPr>
          <w:p w:rsidR="00256527" w:rsidRPr="006F47A5" w:rsidRDefault="00EE6BAF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Mécanique</w:t>
            </w:r>
          </w:p>
        </w:tc>
        <w:tc>
          <w:tcPr>
            <w:tcW w:w="2693" w:type="dxa"/>
            <w:shd w:val="clear" w:color="auto" w:fill="auto"/>
          </w:tcPr>
          <w:p w:rsidR="00256527" w:rsidRPr="006F47A5" w:rsidRDefault="00EE6BAF" w:rsidP="008B7911">
            <w:pPr>
              <w:ind w:right="884"/>
              <w:jc w:val="right"/>
              <w:rPr>
                <w:lang w:val="fr-FR"/>
              </w:rPr>
            </w:pPr>
            <w:r w:rsidRPr="006F47A5">
              <w:rPr>
                <w:lang w:val="fr-FR"/>
              </w:rPr>
              <w:t>125,</w:t>
            </w:r>
            <w:r w:rsidR="00256527" w:rsidRPr="006F47A5">
              <w:rPr>
                <w:lang w:val="fr-FR"/>
              </w:rPr>
              <w:t>98</w:t>
            </w:r>
          </w:p>
        </w:tc>
        <w:tc>
          <w:tcPr>
            <w:tcW w:w="2835" w:type="dxa"/>
          </w:tcPr>
          <w:p w:rsidR="00256527" w:rsidRPr="006F47A5" w:rsidRDefault="00EE6BAF" w:rsidP="008B7911">
            <w:pPr>
              <w:ind w:right="884"/>
              <w:jc w:val="right"/>
              <w:rPr>
                <w:lang w:val="fr-FR"/>
              </w:rPr>
            </w:pPr>
            <w:r w:rsidRPr="006F47A5">
              <w:rPr>
                <w:lang w:val="fr-FR"/>
              </w:rPr>
              <w:t>8,</w:t>
            </w:r>
            <w:r w:rsidR="00256527" w:rsidRPr="006F47A5">
              <w:rPr>
                <w:lang w:val="fr-FR"/>
              </w:rPr>
              <w:t>93</w:t>
            </w:r>
          </w:p>
        </w:tc>
      </w:tr>
      <w:tr w:rsidR="00256527" w:rsidRPr="006F47A5" w:rsidTr="00DD1C9C">
        <w:trPr>
          <w:cantSplit/>
        </w:trPr>
        <w:tc>
          <w:tcPr>
            <w:tcW w:w="3085" w:type="dxa"/>
            <w:shd w:val="clear" w:color="auto" w:fill="auto"/>
          </w:tcPr>
          <w:p w:rsidR="00256527" w:rsidRPr="006F47A5" w:rsidRDefault="00EE6BAF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Électri</w:t>
            </w:r>
            <w:r w:rsidR="002133CC" w:rsidRPr="006F47A5">
              <w:rPr>
                <w:lang w:val="fr-FR"/>
              </w:rPr>
              <w:t>cité</w:t>
            </w:r>
            <w:r w:rsidR="00DC5DB4">
              <w:rPr>
                <w:lang w:val="fr-FR"/>
              </w:rPr>
              <w:t>/é</w:t>
            </w:r>
            <w:r w:rsidRPr="006F47A5">
              <w:rPr>
                <w:lang w:val="fr-FR"/>
              </w:rPr>
              <w:t>lectronique</w:t>
            </w:r>
          </w:p>
        </w:tc>
        <w:tc>
          <w:tcPr>
            <w:tcW w:w="2693" w:type="dxa"/>
            <w:shd w:val="clear" w:color="auto" w:fill="auto"/>
          </w:tcPr>
          <w:p w:rsidR="00256527" w:rsidRPr="006F47A5" w:rsidRDefault="00EE6BAF" w:rsidP="008B7911">
            <w:pPr>
              <w:ind w:right="884"/>
              <w:jc w:val="right"/>
              <w:rPr>
                <w:lang w:val="fr-FR"/>
              </w:rPr>
            </w:pPr>
            <w:r w:rsidRPr="006F47A5">
              <w:rPr>
                <w:lang w:val="fr-FR"/>
              </w:rPr>
              <w:t>87,</w:t>
            </w:r>
            <w:r w:rsidR="00256527" w:rsidRPr="006F47A5">
              <w:rPr>
                <w:lang w:val="fr-FR"/>
              </w:rPr>
              <w:t>94</w:t>
            </w:r>
          </w:p>
        </w:tc>
        <w:tc>
          <w:tcPr>
            <w:tcW w:w="2835" w:type="dxa"/>
          </w:tcPr>
          <w:p w:rsidR="00256527" w:rsidRPr="006F47A5" w:rsidRDefault="00EE6BAF" w:rsidP="008B7911">
            <w:pPr>
              <w:ind w:right="884"/>
              <w:jc w:val="right"/>
              <w:rPr>
                <w:lang w:val="fr-FR"/>
              </w:rPr>
            </w:pPr>
            <w:r w:rsidRPr="006F47A5">
              <w:rPr>
                <w:lang w:val="fr-FR"/>
              </w:rPr>
              <w:t>8,</w:t>
            </w:r>
            <w:r w:rsidR="00256527" w:rsidRPr="006F47A5">
              <w:rPr>
                <w:lang w:val="fr-FR"/>
              </w:rPr>
              <w:t>92</w:t>
            </w:r>
          </w:p>
        </w:tc>
      </w:tr>
      <w:tr w:rsidR="00256527" w:rsidRPr="006F47A5" w:rsidTr="00DD1C9C">
        <w:trPr>
          <w:cantSplit/>
        </w:trPr>
        <w:tc>
          <w:tcPr>
            <w:tcW w:w="3085" w:type="dxa"/>
            <w:shd w:val="clear" w:color="auto" w:fill="auto"/>
          </w:tcPr>
          <w:p w:rsidR="00256527" w:rsidRPr="006F47A5" w:rsidRDefault="00256527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Ch</w:t>
            </w:r>
            <w:r w:rsidR="00EE6BAF" w:rsidRPr="006F47A5">
              <w:rPr>
                <w:lang w:val="fr-FR"/>
              </w:rPr>
              <w:t>imie</w:t>
            </w:r>
          </w:p>
        </w:tc>
        <w:tc>
          <w:tcPr>
            <w:tcW w:w="2693" w:type="dxa"/>
            <w:shd w:val="clear" w:color="auto" w:fill="auto"/>
          </w:tcPr>
          <w:p w:rsidR="00256527" w:rsidRPr="006F47A5" w:rsidRDefault="00EE6BAF" w:rsidP="008B7911">
            <w:pPr>
              <w:ind w:right="884"/>
              <w:jc w:val="right"/>
              <w:rPr>
                <w:lang w:val="fr-FR"/>
              </w:rPr>
            </w:pPr>
            <w:r w:rsidRPr="006F47A5">
              <w:rPr>
                <w:lang w:val="fr-FR"/>
              </w:rPr>
              <w:t>93,</w:t>
            </w:r>
            <w:r w:rsidR="00256527" w:rsidRPr="006F47A5">
              <w:rPr>
                <w:lang w:val="fr-FR"/>
              </w:rPr>
              <w:t>86</w:t>
            </w:r>
          </w:p>
        </w:tc>
        <w:tc>
          <w:tcPr>
            <w:tcW w:w="2835" w:type="dxa"/>
          </w:tcPr>
          <w:p w:rsidR="00256527" w:rsidRPr="006F47A5" w:rsidRDefault="00EE6BAF" w:rsidP="008B7911">
            <w:pPr>
              <w:ind w:right="884"/>
              <w:jc w:val="right"/>
              <w:rPr>
                <w:lang w:val="fr-FR"/>
              </w:rPr>
            </w:pPr>
            <w:r w:rsidRPr="006F47A5">
              <w:rPr>
                <w:lang w:val="fr-FR"/>
              </w:rPr>
              <w:t>9,</w:t>
            </w:r>
            <w:r w:rsidR="00256527" w:rsidRPr="006F47A5">
              <w:rPr>
                <w:lang w:val="fr-FR"/>
              </w:rPr>
              <w:t>06</w:t>
            </w:r>
          </w:p>
        </w:tc>
      </w:tr>
      <w:tr w:rsidR="00256527" w:rsidRPr="006F47A5" w:rsidTr="00DD1C9C">
        <w:trPr>
          <w:cantSplit/>
        </w:trPr>
        <w:tc>
          <w:tcPr>
            <w:tcW w:w="3085" w:type="dxa"/>
            <w:shd w:val="clear" w:color="auto" w:fill="auto"/>
          </w:tcPr>
          <w:p w:rsidR="00256527" w:rsidRPr="006F47A5" w:rsidRDefault="00256527" w:rsidP="008B7911">
            <w:pPr>
              <w:rPr>
                <w:i/>
                <w:iCs/>
                <w:lang w:val="fr-FR"/>
              </w:rPr>
            </w:pPr>
            <w:r w:rsidRPr="006F47A5">
              <w:rPr>
                <w:i/>
                <w:iCs/>
                <w:lang w:val="fr-FR"/>
              </w:rPr>
              <w:t>Total</w:t>
            </w:r>
          </w:p>
        </w:tc>
        <w:tc>
          <w:tcPr>
            <w:tcW w:w="2693" w:type="dxa"/>
            <w:shd w:val="clear" w:color="auto" w:fill="auto"/>
          </w:tcPr>
          <w:p w:rsidR="00256527" w:rsidRPr="006F47A5" w:rsidRDefault="00EE6BAF" w:rsidP="008B7911">
            <w:pPr>
              <w:ind w:right="884"/>
              <w:jc w:val="right"/>
              <w:rPr>
                <w:i/>
                <w:iCs/>
                <w:lang w:val="fr-FR"/>
              </w:rPr>
            </w:pPr>
            <w:r w:rsidRPr="006F47A5">
              <w:rPr>
                <w:i/>
                <w:iCs/>
                <w:lang w:val="fr-FR"/>
              </w:rPr>
              <w:t>307,</w:t>
            </w:r>
            <w:r w:rsidR="00256527" w:rsidRPr="006F47A5">
              <w:rPr>
                <w:i/>
                <w:iCs/>
                <w:lang w:val="fr-FR"/>
              </w:rPr>
              <w:t>78</w:t>
            </w:r>
          </w:p>
        </w:tc>
        <w:tc>
          <w:tcPr>
            <w:tcW w:w="2835" w:type="dxa"/>
          </w:tcPr>
          <w:p w:rsidR="00256527" w:rsidRPr="006F47A5" w:rsidRDefault="00EE6BAF" w:rsidP="008B7911">
            <w:pPr>
              <w:ind w:right="884"/>
              <w:jc w:val="right"/>
              <w:rPr>
                <w:i/>
                <w:iCs/>
                <w:lang w:val="fr-FR"/>
              </w:rPr>
            </w:pPr>
            <w:r w:rsidRPr="006F47A5">
              <w:rPr>
                <w:i/>
                <w:iCs/>
                <w:lang w:val="fr-FR"/>
              </w:rPr>
              <w:t>9,</w:t>
            </w:r>
            <w:r w:rsidR="00256527" w:rsidRPr="006F47A5">
              <w:rPr>
                <w:i/>
                <w:iCs/>
                <w:lang w:val="fr-FR"/>
              </w:rPr>
              <w:t>03</w:t>
            </w:r>
          </w:p>
        </w:tc>
      </w:tr>
      <w:tr w:rsidR="00256527" w:rsidRPr="006F47A5" w:rsidTr="00DD1C9C">
        <w:trPr>
          <w:cantSplit/>
        </w:trPr>
        <w:tc>
          <w:tcPr>
            <w:tcW w:w="3085" w:type="dxa"/>
            <w:shd w:val="clear" w:color="auto" w:fill="auto"/>
          </w:tcPr>
          <w:p w:rsidR="00256527" w:rsidRPr="006F47A5" w:rsidRDefault="00256527" w:rsidP="008B7911">
            <w:pPr>
              <w:rPr>
                <w:i/>
                <w:iCs/>
                <w:lang w:val="fr-FR"/>
              </w:rPr>
            </w:pPr>
          </w:p>
          <w:p w:rsidR="00256527" w:rsidRPr="006F47A5" w:rsidRDefault="00256527" w:rsidP="008B7911">
            <w:pPr>
              <w:rPr>
                <w:i/>
                <w:iCs/>
                <w:lang w:val="fr-FR"/>
              </w:rPr>
            </w:pPr>
          </w:p>
          <w:p w:rsidR="00256527" w:rsidRPr="006F47A5" w:rsidRDefault="00256527" w:rsidP="008B7911">
            <w:pPr>
              <w:rPr>
                <w:i/>
                <w:iCs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256527" w:rsidRPr="006F47A5" w:rsidRDefault="00EE6BAF" w:rsidP="008B7911">
            <w:pPr>
              <w:rPr>
                <w:iCs/>
                <w:lang w:val="fr-FR"/>
              </w:rPr>
            </w:pPr>
            <w:r w:rsidRPr="006F47A5">
              <w:rPr>
                <w:iCs/>
                <w:lang w:val="fr-FR"/>
              </w:rPr>
              <w:t>Stagiaires non inclus</w:t>
            </w:r>
          </w:p>
        </w:tc>
        <w:tc>
          <w:tcPr>
            <w:tcW w:w="2835" w:type="dxa"/>
          </w:tcPr>
          <w:p w:rsidR="00256527" w:rsidRPr="006F47A5" w:rsidRDefault="00EE6BAF" w:rsidP="008B7911">
            <w:pPr>
              <w:rPr>
                <w:iCs/>
                <w:lang w:val="fr-FR"/>
              </w:rPr>
            </w:pPr>
            <w:r w:rsidRPr="006F47A5">
              <w:rPr>
                <w:iCs/>
                <w:lang w:val="fr-FR"/>
              </w:rPr>
              <w:t>Années depuis le recrutement (</w:t>
            </w:r>
            <w:r w:rsidR="00FD5C7A">
              <w:rPr>
                <w:iCs/>
                <w:lang w:val="fr-FR"/>
              </w:rPr>
              <w:t>y compris</w:t>
            </w:r>
            <w:r w:rsidRPr="006F47A5">
              <w:rPr>
                <w:iCs/>
                <w:lang w:val="fr-FR"/>
              </w:rPr>
              <w:t xml:space="preserve"> la période de formation)</w:t>
            </w:r>
          </w:p>
        </w:tc>
      </w:tr>
    </w:tbl>
    <w:p w:rsidR="00021F24" w:rsidRPr="006F47A5" w:rsidRDefault="00021F24" w:rsidP="008B7911">
      <w:pPr>
        <w:rPr>
          <w:lang w:val="fr-FR"/>
        </w:rPr>
      </w:pPr>
    </w:p>
    <w:p w:rsidR="008F1232" w:rsidRDefault="00EE6BAF" w:rsidP="008B7911">
      <w:pPr>
        <w:rPr>
          <w:lang w:val="fr-FR"/>
        </w:rPr>
      </w:pPr>
      <w:r w:rsidRPr="006F47A5">
        <w:rPr>
          <w:b/>
          <w:lang w:val="fr-FR"/>
        </w:rPr>
        <w:t>Programmes de formation</w:t>
      </w:r>
      <w:r w:rsidR="00FD5C7A">
        <w:rPr>
          <w:lang w:val="fr-FR"/>
        </w:rPr>
        <w:t> :</w:t>
      </w:r>
      <w:r w:rsidRPr="006F47A5">
        <w:rPr>
          <w:lang w:val="fr-FR"/>
        </w:rPr>
        <w:t xml:space="preserve"> </w:t>
      </w:r>
      <w:r w:rsidR="00DC5DB4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Office australien des brevets </w:t>
      </w:r>
      <w:r w:rsidR="00535BC5" w:rsidRPr="006F47A5">
        <w:rPr>
          <w:lang w:val="fr-FR"/>
        </w:rPr>
        <w:t>p</w:t>
      </w:r>
      <w:r w:rsidR="00DC5DB4">
        <w:rPr>
          <w:lang w:val="fr-FR"/>
        </w:rPr>
        <w:t>ropose un programme de développement des compétences à l</w:t>
      </w:r>
      <w:r w:rsidR="00FD5C7A">
        <w:rPr>
          <w:lang w:val="fr-FR"/>
        </w:rPr>
        <w:t>’</w:t>
      </w:r>
      <w:r w:rsidR="00DC5DB4">
        <w:rPr>
          <w:lang w:val="fr-FR"/>
        </w:rPr>
        <w:t>intention des</w:t>
      </w:r>
      <w:r w:rsidR="00535BC5" w:rsidRPr="006F47A5">
        <w:rPr>
          <w:lang w:val="fr-FR"/>
        </w:rPr>
        <w:t xml:space="preserve"> examinateurs de</w:t>
      </w:r>
      <w:r w:rsidR="00DC5DB4">
        <w:rPr>
          <w:lang w:val="fr-FR"/>
        </w:rPr>
        <w:t xml:space="preserve"> demandes de</w:t>
      </w:r>
      <w:r w:rsidR="00535BC5" w:rsidRPr="006F47A5">
        <w:rPr>
          <w:lang w:val="fr-FR"/>
        </w:rPr>
        <w:t xml:space="preserve"> </w:t>
      </w:r>
      <w:r w:rsidRPr="006F47A5">
        <w:rPr>
          <w:lang w:val="fr-FR"/>
        </w:rPr>
        <w:t xml:space="preserve">brevet (Programme pour les examinateurs </w:t>
      </w:r>
      <w:r w:rsidR="00DC5DB4">
        <w:rPr>
          <w:lang w:val="fr-FR"/>
        </w:rPr>
        <w:t xml:space="preserve">en matière </w:t>
      </w:r>
      <w:r w:rsidRPr="006F47A5">
        <w:rPr>
          <w:lang w:val="fr-FR"/>
        </w:rPr>
        <w:t>de droits de propriété intellectuel</w:t>
      </w:r>
      <w:r w:rsidR="00CE00F9" w:rsidRPr="006F47A5">
        <w:rPr>
          <w:lang w:val="fr-FR"/>
        </w:rPr>
        <w:t>le)</w:t>
      </w:r>
      <w:r w:rsidR="00CE00F9">
        <w:rPr>
          <w:lang w:val="fr-FR"/>
        </w:rPr>
        <w:t>.  Da</w:t>
      </w:r>
      <w:r w:rsidR="00DC5DB4">
        <w:rPr>
          <w:lang w:val="fr-FR"/>
        </w:rPr>
        <w:t>ns ce contexte, i</w:t>
      </w:r>
      <w:r w:rsidR="00DD1C9C" w:rsidRPr="006F47A5">
        <w:rPr>
          <w:lang w:val="fr-FR"/>
        </w:rPr>
        <w:t>l</w:t>
      </w:r>
      <w:r w:rsidR="002C4BFC" w:rsidRPr="006F47A5">
        <w:rPr>
          <w:lang w:val="fr-FR"/>
        </w:rPr>
        <w:t xml:space="preserve"> a mis en </w:t>
      </w:r>
      <w:r w:rsidR="00535BC5" w:rsidRPr="006F47A5">
        <w:rPr>
          <w:lang w:val="fr-FR"/>
        </w:rPr>
        <w:t>place</w:t>
      </w:r>
      <w:r w:rsidR="002C4BFC" w:rsidRPr="006F47A5">
        <w:rPr>
          <w:lang w:val="fr-FR"/>
        </w:rPr>
        <w:t xml:space="preserve"> un</w:t>
      </w:r>
      <w:r w:rsidR="00DC5DB4">
        <w:rPr>
          <w:lang w:val="fr-FR"/>
        </w:rPr>
        <w:t>e</w:t>
      </w:r>
      <w:r w:rsidR="002C4BFC" w:rsidRPr="006F47A5">
        <w:rPr>
          <w:lang w:val="fr-FR"/>
        </w:rPr>
        <w:t xml:space="preserve"> nouve</w:t>
      </w:r>
      <w:r w:rsidR="00DC5DB4">
        <w:rPr>
          <w:lang w:val="fr-FR"/>
        </w:rPr>
        <w:t>lle</w:t>
      </w:r>
      <w:r w:rsidR="002C4BFC" w:rsidRPr="006F47A5">
        <w:rPr>
          <w:lang w:val="fr-FR"/>
        </w:rPr>
        <w:t xml:space="preserve"> </w:t>
      </w:r>
      <w:r w:rsidR="00DC5DB4">
        <w:rPr>
          <w:lang w:val="fr-FR"/>
        </w:rPr>
        <w:t>formation</w:t>
      </w:r>
      <w:r w:rsidR="002C4BFC" w:rsidRPr="006F47A5">
        <w:rPr>
          <w:lang w:val="fr-FR"/>
        </w:rPr>
        <w:t xml:space="preserve"> </w:t>
      </w:r>
      <w:r w:rsidR="00DC5DB4">
        <w:rPr>
          <w:lang w:val="fr-FR"/>
        </w:rPr>
        <w:t>à l</w:t>
      </w:r>
      <w:r w:rsidR="00FD5C7A">
        <w:rPr>
          <w:lang w:val="fr-FR"/>
        </w:rPr>
        <w:t>’</w:t>
      </w:r>
      <w:r w:rsidR="00DC5DB4">
        <w:rPr>
          <w:lang w:val="fr-FR"/>
        </w:rPr>
        <w:t xml:space="preserve">intention </w:t>
      </w:r>
      <w:r w:rsidR="0011579B" w:rsidRPr="006F47A5">
        <w:rPr>
          <w:lang w:val="fr-FR"/>
        </w:rPr>
        <w:t xml:space="preserve">des examinateurs de </w:t>
      </w:r>
      <w:r w:rsidR="00DC5DB4">
        <w:rPr>
          <w:lang w:val="fr-FR"/>
        </w:rPr>
        <w:t xml:space="preserve">demandes de </w:t>
      </w:r>
      <w:r w:rsidR="0011579B" w:rsidRPr="006F47A5">
        <w:rPr>
          <w:lang w:val="fr-FR"/>
        </w:rPr>
        <w:t>brevet</w:t>
      </w:r>
      <w:r w:rsidR="00DC5DB4">
        <w:rPr>
          <w:lang w:val="fr-FR"/>
        </w:rPr>
        <w:t xml:space="preserve">, intitulée </w:t>
      </w:r>
      <w:r w:rsidR="00C254CF">
        <w:rPr>
          <w:lang w:val="fr-FR"/>
        </w:rPr>
        <w:t>“</w:t>
      </w:r>
      <w:r w:rsidR="00DC5DB4">
        <w:rPr>
          <w:lang w:val="fr-FR"/>
        </w:rPr>
        <w:t>Self</w:t>
      </w:r>
      <w:r w:rsidR="00EE5220">
        <w:rPr>
          <w:lang w:val="fr-FR"/>
        </w:rPr>
        <w:noBreakHyphen/>
      </w:r>
      <w:proofErr w:type="spellStart"/>
      <w:r w:rsidR="00DC5DB4">
        <w:rPr>
          <w:lang w:val="fr-FR"/>
        </w:rPr>
        <w:t>Paced</w:t>
      </w:r>
      <w:proofErr w:type="spellEnd"/>
      <w:r w:rsidR="00DC5DB4">
        <w:rPr>
          <w:lang w:val="fr-FR"/>
        </w:rPr>
        <w:t xml:space="preserve"> Training in </w:t>
      </w:r>
      <w:proofErr w:type="spellStart"/>
      <w:r w:rsidR="00DC5DB4">
        <w:rPr>
          <w:lang w:val="fr-FR"/>
        </w:rPr>
        <w:t>Examining</w:t>
      </w:r>
      <w:proofErr w:type="spellEnd"/>
      <w:r w:rsidR="00DC5DB4">
        <w:rPr>
          <w:lang w:val="fr-FR"/>
        </w:rPr>
        <w:t xml:space="preserve"> Patents</w:t>
      </w:r>
      <w:r w:rsidR="00C254CF">
        <w:rPr>
          <w:lang w:val="fr-FR"/>
        </w:rPr>
        <w:t>”</w:t>
      </w:r>
      <w:r w:rsidR="00DC5DB4">
        <w:rPr>
          <w:lang w:val="fr-FR"/>
        </w:rPr>
        <w:t xml:space="preserve">, </w:t>
      </w:r>
      <w:r w:rsidR="002133CC" w:rsidRPr="006F47A5">
        <w:rPr>
          <w:lang w:val="fr-FR"/>
        </w:rPr>
        <w:t>adaptée au rythme de chac</w:t>
      </w:r>
      <w:r w:rsidR="00CE00F9" w:rsidRPr="006F47A5">
        <w:rPr>
          <w:lang w:val="fr-FR"/>
        </w:rPr>
        <w:t>un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Le</w:t>
      </w:r>
      <w:r w:rsidR="00B014B6" w:rsidRPr="006F47A5">
        <w:rPr>
          <w:lang w:val="fr-FR"/>
        </w:rPr>
        <w:t xml:space="preserve">s nouveaux modules de formation </w:t>
      </w:r>
      <w:r w:rsidR="00DC5DB4">
        <w:rPr>
          <w:lang w:val="fr-FR"/>
        </w:rPr>
        <w:t>hybride proposés</w:t>
      </w:r>
      <w:r w:rsidR="00B014B6" w:rsidRPr="006F47A5">
        <w:rPr>
          <w:lang w:val="fr-FR"/>
        </w:rPr>
        <w:t xml:space="preserve"> en ligne permettent aux </w:t>
      </w:r>
      <w:r w:rsidR="00DE0260" w:rsidRPr="006F47A5">
        <w:rPr>
          <w:lang w:val="fr-FR"/>
        </w:rPr>
        <w:t xml:space="preserve">participants </w:t>
      </w:r>
      <w:r w:rsidR="00B014B6" w:rsidRPr="006F47A5">
        <w:rPr>
          <w:lang w:val="fr-FR"/>
        </w:rPr>
        <w:t xml:space="preserve">de commencer </w:t>
      </w:r>
      <w:r w:rsidR="00535BC5" w:rsidRPr="006F47A5">
        <w:rPr>
          <w:lang w:val="fr-FR"/>
        </w:rPr>
        <w:t>dans leur section</w:t>
      </w:r>
      <w:r w:rsidR="00B014B6" w:rsidRPr="006F47A5">
        <w:rPr>
          <w:lang w:val="fr-FR"/>
        </w:rPr>
        <w:t>, plutôt que d</w:t>
      </w:r>
      <w:r w:rsidR="00FD5C7A">
        <w:rPr>
          <w:lang w:val="fr-FR"/>
        </w:rPr>
        <w:t>’</w:t>
      </w:r>
      <w:r w:rsidR="00B014B6" w:rsidRPr="006F47A5">
        <w:rPr>
          <w:lang w:val="fr-FR"/>
        </w:rPr>
        <w:t xml:space="preserve">intégrer un groupe de formation </w:t>
      </w:r>
      <w:r w:rsidR="002133CC" w:rsidRPr="006F47A5">
        <w:rPr>
          <w:lang w:val="fr-FR"/>
        </w:rPr>
        <w:t>distinct</w:t>
      </w:r>
      <w:r w:rsidR="00B014B6" w:rsidRPr="006F47A5">
        <w:rPr>
          <w:lang w:val="fr-FR"/>
        </w:rPr>
        <w:t xml:space="preserve">, </w:t>
      </w:r>
      <w:r w:rsidR="00DC5DB4">
        <w:rPr>
          <w:lang w:val="fr-FR"/>
        </w:rPr>
        <w:t>et d</w:t>
      </w:r>
      <w:r w:rsidR="00FD5C7A">
        <w:rPr>
          <w:lang w:val="fr-FR"/>
        </w:rPr>
        <w:t>’</w:t>
      </w:r>
      <w:r w:rsidR="00DC5DB4">
        <w:rPr>
          <w:lang w:val="fr-FR"/>
        </w:rPr>
        <w:t>être suivis par un formateur</w:t>
      </w:r>
      <w:r w:rsidR="00B014B6" w:rsidRPr="006F47A5">
        <w:rPr>
          <w:lang w:val="fr-FR"/>
        </w:rPr>
        <w:t xml:space="preserve"> </w:t>
      </w:r>
      <w:r w:rsidR="00DC5DB4">
        <w:rPr>
          <w:lang w:val="fr-FR"/>
        </w:rPr>
        <w:t xml:space="preserve">qui les </w:t>
      </w:r>
      <w:r w:rsidR="00B014B6" w:rsidRPr="006F47A5">
        <w:rPr>
          <w:lang w:val="fr-FR"/>
        </w:rPr>
        <w:t>supervise</w:t>
      </w:r>
      <w:r w:rsidR="005340A2" w:rsidRPr="006F47A5">
        <w:rPr>
          <w:lang w:val="fr-FR"/>
        </w:rPr>
        <w:t xml:space="preserve"> </w:t>
      </w:r>
      <w:r w:rsidR="002133CC" w:rsidRPr="006F47A5">
        <w:rPr>
          <w:lang w:val="fr-FR"/>
        </w:rPr>
        <w:t>dès le</w:t>
      </w:r>
      <w:r w:rsidR="00B014B6" w:rsidRPr="006F47A5">
        <w:rPr>
          <w:lang w:val="fr-FR"/>
        </w:rPr>
        <w:t xml:space="preserve"> pr</w:t>
      </w:r>
      <w:r w:rsidR="002133CC" w:rsidRPr="006F47A5">
        <w:rPr>
          <w:lang w:val="fr-FR"/>
        </w:rPr>
        <w:t xml:space="preserve">emier jour et </w:t>
      </w:r>
      <w:r w:rsidR="00DC5DB4">
        <w:rPr>
          <w:lang w:val="fr-FR"/>
        </w:rPr>
        <w:t xml:space="preserve">qui </w:t>
      </w:r>
      <w:r w:rsidR="002133CC" w:rsidRPr="006F47A5">
        <w:rPr>
          <w:lang w:val="fr-FR"/>
        </w:rPr>
        <w:t>est responsable de l</w:t>
      </w:r>
      <w:r w:rsidR="00FD5C7A">
        <w:rPr>
          <w:lang w:val="fr-FR"/>
        </w:rPr>
        <w:t>’</w:t>
      </w:r>
      <w:r w:rsidR="002133CC" w:rsidRPr="006F47A5">
        <w:rPr>
          <w:lang w:val="fr-FR"/>
        </w:rPr>
        <w:t>élaboration du</w:t>
      </w:r>
      <w:r w:rsidR="00DE0260" w:rsidRPr="006F47A5">
        <w:rPr>
          <w:lang w:val="fr-FR"/>
        </w:rPr>
        <w:t xml:space="preserve"> plan de formation et d</w:t>
      </w:r>
      <w:r w:rsidR="00FD5C7A">
        <w:rPr>
          <w:lang w:val="fr-FR"/>
        </w:rPr>
        <w:t>’</w:t>
      </w:r>
      <w:r w:rsidR="00DE0260" w:rsidRPr="006F47A5">
        <w:rPr>
          <w:lang w:val="fr-FR"/>
        </w:rPr>
        <w:t>évaluati</w:t>
      </w:r>
      <w:r w:rsidR="00CE00F9" w:rsidRPr="006F47A5">
        <w:rPr>
          <w:lang w:val="fr-FR"/>
        </w:rPr>
        <w:t>on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Le</w:t>
      </w:r>
      <w:r w:rsidR="00535BC5" w:rsidRPr="006F47A5">
        <w:rPr>
          <w:lang w:val="fr-FR"/>
        </w:rPr>
        <w:t xml:space="preserve">s participants et les </w:t>
      </w:r>
      <w:r w:rsidR="00DC5DB4">
        <w:rPr>
          <w:lang w:val="fr-FR"/>
        </w:rPr>
        <w:t>formateurs</w:t>
      </w:r>
      <w:r w:rsidR="00DC5DB4" w:rsidRPr="006F47A5">
        <w:rPr>
          <w:lang w:val="fr-FR"/>
        </w:rPr>
        <w:t xml:space="preserve"> </w:t>
      </w:r>
      <w:r w:rsidR="00DC5DB4">
        <w:rPr>
          <w:lang w:val="fr-FR"/>
        </w:rPr>
        <w:t>reçoivent l</w:t>
      </w:r>
      <w:r w:rsidR="00FD5C7A">
        <w:rPr>
          <w:lang w:val="fr-FR"/>
        </w:rPr>
        <w:t>’</w:t>
      </w:r>
      <w:r w:rsidR="00DC5DB4">
        <w:rPr>
          <w:lang w:val="fr-FR"/>
        </w:rPr>
        <w:t>aide</w:t>
      </w:r>
      <w:r w:rsidR="005340A2" w:rsidRPr="006F47A5">
        <w:rPr>
          <w:lang w:val="fr-FR"/>
        </w:rPr>
        <w:t xml:space="preserve"> </w:t>
      </w:r>
      <w:r w:rsidR="00DC5DB4">
        <w:rPr>
          <w:lang w:val="fr-FR"/>
        </w:rPr>
        <w:t>d</w:t>
      </w:r>
      <w:r w:rsidR="00FD5C7A">
        <w:rPr>
          <w:lang w:val="fr-FR"/>
        </w:rPr>
        <w:t>’</w:t>
      </w:r>
      <w:r w:rsidR="00DC5DB4">
        <w:rPr>
          <w:lang w:val="fr-FR"/>
        </w:rPr>
        <w:t>un animateur,</w:t>
      </w:r>
      <w:r w:rsidR="005340A2" w:rsidRPr="006F47A5">
        <w:rPr>
          <w:lang w:val="fr-FR"/>
        </w:rPr>
        <w:t xml:space="preserve"> qui aide et </w:t>
      </w:r>
      <w:r w:rsidR="00DC5DB4">
        <w:rPr>
          <w:lang w:val="fr-FR"/>
        </w:rPr>
        <w:t xml:space="preserve">qui </w:t>
      </w:r>
      <w:r w:rsidR="005340A2" w:rsidRPr="006F47A5">
        <w:rPr>
          <w:lang w:val="fr-FR"/>
        </w:rPr>
        <w:t xml:space="preserve">guide les nouveaux examinateurs </w:t>
      </w:r>
      <w:r w:rsidR="00DC5DB4">
        <w:rPr>
          <w:lang w:val="fr-FR"/>
        </w:rPr>
        <w:t>dans leurs démarches en</w:t>
      </w:r>
      <w:r w:rsidR="005340A2" w:rsidRPr="006F47A5">
        <w:rPr>
          <w:lang w:val="fr-FR"/>
        </w:rPr>
        <w:t xml:space="preserve"> ligne, ainsi que </w:t>
      </w:r>
      <w:r w:rsidR="00DC5DB4">
        <w:rPr>
          <w:lang w:val="fr-FR"/>
        </w:rPr>
        <w:t>du</w:t>
      </w:r>
      <w:r w:rsidR="005340A2" w:rsidRPr="006F47A5">
        <w:rPr>
          <w:lang w:val="fr-FR"/>
        </w:rPr>
        <w:t xml:space="preserve"> coordinateur </w:t>
      </w:r>
      <w:r w:rsidR="00DC5DB4">
        <w:rPr>
          <w:lang w:val="fr-FR"/>
        </w:rPr>
        <w:t>chargé d</w:t>
      </w:r>
      <w:r w:rsidR="00FD5C7A">
        <w:rPr>
          <w:lang w:val="fr-FR"/>
        </w:rPr>
        <w:t>’</w:t>
      </w:r>
      <w:r w:rsidR="005340A2" w:rsidRPr="006F47A5">
        <w:rPr>
          <w:lang w:val="fr-FR"/>
        </w:rPr>
        <w:t>aide</w:t>
      </w:r>
      <w:r w:rsidR="00DC5DB4">
        <w:rPr>
          <w:lang w:val="fr-FR"/>
        </w:rPr>
        <w:t>r</w:t>
      </w:r>
      <w:r w:rsidR="005340A2" w:rsidRPr="006F47A5">
        <w:rPr>
          <w:lang w:val="fr-FR"/>
        </w:rPr>
        <w:t xml:space="preserve"> et </w:t>
      </w:r>
      <w:r w:rsidR="00DC5DB4">
        <w:rPr>
          <w:lang w:val="fr-FR"/>
        </w:rPr>
        <w:t xml:space="preserve">de </w:t>
      </w:r>
      <w:r w:rsidR="005340A2" w:rsidRPr="006F47A5">
        <w:rPr>
          <w:lang w:val="fr-FR"/>
        </w:rPr>
        <w:t>guide</w:t>
      </w:r>
      <w:r w:rsidR="00DC5DB4">
        <w:rPr>
          <w:lang w:val="fr-FR"/>
        </w:rPr>
        <w:t>r</w:t>
      </w:r>
      <w:r w:rsidR="005340A2" w:rsidRPr="006F47A5">
        <w:rPr>
          <w:lang w:val="fr-FR"/>
        </w:rPr>
        <w:t xml:space="preserve"> les </w:t>
      </w:r>
      <w:r w:rsidR="00DC5DB4">
        <w:rPr>
          <w:lang w:val="fr-FR"/>
        </w:rPr>
        <w:t>formateurs</w:t>
      </w:r>
      <w:r w:rsidR="00DC5DB4" w:rsidRPr="006F47A5">
        <w:rPr>
          <w:lang w:val="fr-FR"/>
        </w:rPr>
        <w:t xml:space="preserve"> </w:t>
      </w:r>
      <w:r w:rsidR="00DC5DB4">
        <w:rPr>
          <w:lang w:val="fr-FR"/>
        </w:rPr>
        <w:t>et de diriger l</w:t>
      </w:r>
      <w:r w:rsidR="005F6591" w:rsidRPr="006F47A5">
        <w:rPr>
          <w:lang w:val="fr-FR"/>
        </w:rPr>
        <w:t>es évaluatio</w:t>
      </w:r>
      <w:r w:rsidR="00CE00F9" w:rsidRPr="006F47A5">
        <w:rPr>
          <w:lang w:val="fr-FR"/>
        </w:rPr>
        <w:t>ns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To</w:t>
      </w:r>
      <w:r w:rsidR="005F6591" w:rsidRPr="006F47A5">
        <w:rPr>
          <w:lang w:val="fr-FR"/>
        </w:rPr>
        <w:t>ute la</w:t>
      </w:r>
      <w:r w:rsidR="005A059C" w:rsidRPr="006F47A5">
        <w:rPr>
          <w:lang w:val="fr-FR"/>
        </w:rPr>
        <w:t xml:space="preserve"> formation </w:t>
      </w:r>
      <w:r w:rsidR="005F6591" w:rsidRPr="006F47A5">
        <w:rPr>
          <w:lang w:val="fr-FR"/>
        </w:rPr>
        <w:t>est</w:t>
      </w:r>
      <w:r w:rsidR="005A059C" w:rsidRPr="006F47A5">
        <w:rPr>
          <w:lang w:val="fr-FR"/>
        </w:rPr>
        <w:t xml:space="preserve"> disponible en ligne, avec des ressources que les participants peuvent utiliser à leur rythme, des communautés en ligne auxquelles ils peuvent participer et des salles de classe virtuell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Le</w:t>
      </w:r>
      <w:r w:rsidR="005A059C" w:rsidRPr="006F47A5">
        <w:rPr>
          <w:lang w:val="fr-FR"/>
        </w:rPr>
        <w:t xml:space="preserve">s participants peuvent </w:t>
      </w:r>
      <w:r w:rsidR="00DC5DB4">
        <w:rPr>
          <w:lang w:val="fr-FR"/>
        </w:rPr>
        <w:t>commencer la formation</w:t>
      </w:r>
      <w:r w:rsidR="007E2EF4" w:rsidRPr="006F47A5">
        <w:rPr>
          <w:lang w:val="fr-FR"/>
        </w:rPr>
        <w:t xml:space="preserve"> </w:t>
      </w:r>
      <w:r w:rsidR="005F6591" w:rsidRPr="006F47A5">
        <w:rPr>
          <w:lang w:val="fr-FR"/>
        </w:rPr>
        <w:t>n</w:t>
      </w:r>
      <w:r w:rsidR="00FD5C7A">
        <w:rPr>
          <w:lang w:val="fr-FR"/>
        </w:rPr>
        <w:t>’</w:t>
      </w:r>
      <w:r w:rsidR="005F6591" w:rsidRPr="006F47A5">
        <w:rPr>
          <w:lang w:val="fr-FR"/>
        </w:rPr>
        <w:t>importe qu</w:t>
      </w:r>
      <w:r w:rsidR="00DC5DB4">
        <w:rPr>
          <w:lang w:val="fr-FR"/>
        </w:rPr>
        <w:t>and</w:t>
      </w:r>
      <w:r w:rsidR="005F6591" w:rsidRPr="006F47A5">
        <w:rPr>
          <w:lang w:val="fr-FR"/>
        </w:rPr>
        <w:t xml:space="preserve"> </w:t>
      </w:r>
      <w:r w:rsidR="00DC5DB4">
        <w:rPr>
          <w:lang w:val="fr-FR"/>
        </w:rPr>
        <w:t>et</w:t>
      </w:r>
      <w:r w:rsidR="005A059C" w:rsidRPr="006F47A5">
        <w:rPr>
          <w:lang w:val="fr-FR"/>
        </w:rPr>
        <w:t xml:space="preserve"> n</w:t>
      </w:r>
      <w:r w:rsidR="00FD5C7A">
        <w:rPr>
          <w:lang w:val="fr-FR"/>
        </w:rPr>
        <w:t>’</w:t>
      </w:r>
      <w:r w:rsidR="005A059C" w:rsidRPr="006F47A5">
        <w:rPr>
          <w:lang w:val="fr-FR"/>
        </w:rPr>
        <w:t xml:space="preserve">importe </w:t>
      </w:r>
      <w:r w:rsidR="00DC5DB4">
        <w:rPr>
          <w:lang w:val="fr-FR"/>
        </w:rPr>
        <w:t>où</w:t>
      </w:r>
      <w:r w:rsidR="005A059C" w:rsidRPr="006F47A5">
        <w:rPr>
          <w:lang w:val="fr-FR"/>
        </w:rPr>
        <w:t xml:space="preserve">, plutôt que de devoir attendre la date de </w:t>
      </w:r>
      <w:r w:rsidR="005F6591" w:rsidRPr="006F47A5">
        <w:rPr>
          <w:lang w:val="fr-FR"/>
        </w:rPr>
        <w:t>commencement</w:t>
      </w:r>
      <w:r w:rsidR="005A059C" w:rsidRPr="006F47A5">
        <w:rPr>
          <w:lang w:val="fr-FR"/>
        </w:rPr>
        <w:t xml:space="preserve"> d</w:t>
      </w:r>
      <w:r w:rsidR="00FD5C7A">
        <w:rPr>
          <w:lang w:val="fr-FR"/>
        </w:rPr>
        <w:t>’</w:t>
      </w:r>
      <w:r w:rsidR="005A059C" w:rsidRPr="006F47A5">
        <w:rPr>
          <w:lang w:val="fr-FR"/>
        </w:rPr>
        <w:t>un nouveau grou</w:t>
      </w:r>
      <w:r w:rsidR="00CE00F9" w:rsidRPr="006F47A5">
        <w:rPr>
          <w:lang w:val="fr-FR"/>
        </w:rPr>
        <w:t>pe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Le</w:t>
      </w:r>
      <w:r w:rsidR="005A059C" w:rsidRPr="006F47A5">
        <w:rPr>
          <w:lang w:val="fr-FR"/>
        </w:rPr>
        <w:t xml:space="preserve">s examinateurs qui </w:t>
      </w:r>
      <w:r w:rsidR="00751283">
        <w:rPr>
          <w:lang w:val="fr-FR"/>
        </w:rPr>
        <w:t>suivent une formation</w:t>
      </w:r>
      <w:r w:rsidR="005A059C" w:rsidRPr="006F47A5">
        <w:rPr>
          <w:lang w:val="fr-FR"/>
        </w:rPr>
        <w:t xml:space="preserve"> peuvent avancer à leur propre rythme</w:t>
      </w:r>
      <w:r w:rsidR="00751283">
        <w:rPr>
          <w:lang w:val="fr-FR"/>
        </w:rPr>
        <w:t xml:space="preserve"> et </w:t>
      </w:r>
      <w:r w:rsidR="00A41097" w:rsidRPr="006F47A5">
        <w:rPr>
          <w:lang w:val="fr-FR"/>
        </w:rPr>
        <w:t xml:space="preserve">ne sont pas soumis à </w:t>
      </w:r>
      <w:r w:rsidR="005F6591" w:rsidRPr="006F47A5">
        <w:rPr>
          <w:lang w:val="fr-FR"/>
        </w:rPr>
        <w:t xml:space="preserve">un </w:t>
      </w:r>
      <w:r w:rsidR="00A41097" w:rsidRPr="006F47A5">
        <w:rPr>
          <w:lang w:val="fr-FR"/>
        </w:rPr>
        <w:t>calendrier fi</w:t>
      </w:r>
      <w:r w:rsidR="00CE00F9" w:rsidRPr="006F47A5">
        <w:rPr>
          <w:lang w:val="fr-FR"/>
        </w:rPr>
        <w:t>xe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Il</w:t>
      </w:r>
      <w:r w:rsidR="00A41097" w:rsidRPr="006F47A5">
        <w:rPr>
          <w:lang w:val="fr-FR"/>
        </w:rPr>
        <w:t>s peuvent également revenir en arrière dans leur formation pour réviser si nécessai</w:t>
      </w:r>
      <w:r w:rsidR="00CE00F9" w:rsidRPr="006F47A5">
        <w:rPr>
          <w:lang w:val="fr-FR"/>
        </w:rPr>
        <w:t>re</w:t>
      </w:r>
      <w:r w:rsidR="00CE00F9">
        <w:rPr>
          <w:lang w:val="fr-FR"/>
        </w:rPr>
        <w:t>.  L</w:t>
      </w:r>
      <w:r w:rsidR="00CE00F9" w:rsidRPr="006F47A5">
        <w:rPr>
          <w:lang w:val="fr-FR"/>
        </w:rPr>
        <w:t>e</w:t>
      </w:r>
      <w:r w:rsidR="00A41097" w:rsidRPr="006F47A5">
        <w:rPr>
          <w:lang w:val="fr-FR"/>
        </w:rPr>
        <w:t xml:space="preserve">s nouveaux examinateurs </w:t>
      </w:r>
      <w:r w:rsidR="00751283">
        <w:rPr>
          <w:lang w:val="fr-FR"/>
        </w:rPr>
        <w:t xml:space="preserve">sont censés avoir acquis </w:t>
      </w:r>
      <w:r w:rsidR="005F6591" w:rsidRPr="006F47A5">
        <w:rPr>
          <w:lang w:val="fr-FR"/>
        </w:rPr>
        <w:t>l</w:t>
      </w:r>
      <w:r w:rsidR="00A41097" w:rsidRPr="006F47A5">
        <w:rPr>
          <w:lang w:val="fr-FR"/>
        </w:rPr>
        <w:t xml:space="preserve">es compétences </w:t>
      </w:r>
      <w:r w:rsidR="00751283">
        <w:rPr>
          <w:lang w:val="fr-FR"/>
        </w:rPr>
        <w:t>visées (</w:t>
      </w:r>
      <w:r w:rsidR="00C254CF">
        <w:rPr>
          <w:lang w:val="fr-FR"/>
        </w:rPr>
        <w:t>“</w:t>
      </w:r>
      <w:proofErr w:type="spellStart"/>
      <w:r w:rsidR="00751283">
        <w:rPr>
          <w:lang w:val="fr-FR"/>
        </w:rPr>
        <w:t>Acceptance</w:t>
      </w:r>
      <w:proofErr w:type="spellEnd"/>
      <w:r w:rsidR="00751283">
        <w:rPr>
          <w:lang w:val="fr-FR"/>
        </w:rPr>
        <w:t xml:space="preserve"> </w:t>
      </w:r>
      <w:proofErr w:type="spellStart"/>
      <w:r w:rsidR="00751283">
        <w:rPr>
          <w:lang w:val="fr-FR"/>
        </w:rPr>
        <w:t>De</w:t>
      </w:r>
      <w:r w:rsidR="005F6591" w:rsidRPr="006F47A5">
        <w:rPr>
          <w:lang w:val="fr-FR"/>
        </w:rPr>
        <w:t>l</w:t>
      </w:r>
      <w:r w:rsidR="00751283">
        <w:rPr>
          <w:lang w:val="fr-FR"/>
        </w:rPr>
        <w:t>e</w:t>
      </w:r>
      <w:r w:rsidR="005F6591" w:rsidRPr="006F47A5">
        <w:rPr>
          <w:lang w:val="fr-FR"/>
        </w:rPr>
        <w:t>gation</w:t>
      </w:r>
      <w:proofErr w:type="spellEnd"/>
      <w:r w:rsidR="00C254CF">
        <w:rPr>
          <w:lang w:val="fr-FR"/>
        </w:rPr>
        <w:t>”</w:t>
      </w:r>
      <w:r w:rsidR="00751283">
        <w:rPr>
          <w:lang w:val="fr-FR"/>
        </w:rPr>
        <w:t>)</w:t>
      </w:r>
      <w:r w:rsidR="005F6591" w:rsidRPr="006F47A5">
        <w:rPr>
          <w:lang w:val="fr-FR"/>
        </w:rPr>
        <w:t xml:space="preserve"> </w:t>
      </w:r>
      <w:r w:rsidR="00751283">
        <w:rPr>
          <w:lang w:val="fr-FR"/>
        </w:rPr>
        <w:t>dans un délai de</w:t>
      </w:r>
      <w:r w:rsidR="00C254CF">
        <w:rPr>
          <w:lang w:val="fr-FR"/>
        </w:rPr>
        <w:t xml:space="preserve"> </w:t>
      </w:r>
      <w:r w:rsidR="005F6591" w:rsidRPr="006F47A5">
        <w:rPr>
          <w:lang w:val="fr-FR"/>
        </w:rPr>
        <w:t>deux</w:t>
      </w:r>
      <w:r w:rsidR="00206805">
        <w:rPr>
          <w:lang w:val="fr-FR"/>
        </w:rPr>
        <w:t> </w:t>
      </w:r>
      <w:r w:rsidR="005F6591" w:rsidRPr="006F47A5">
        <w:rPr>
          <w:lang w:val="fr-FR"/>
        </w:rPr>
        <w:t>a</w:t>
      </w:r>
      <w:r w:rsidR="00CE00F9" w:rsidRPr="006F47A5">
        <w:rPr>
          <w:lang w:val="fr-FR"/>
        </w:rPr>
        <w:t>ns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En</w:t>
      </w:r>
      <w:r w:rsidR="005F6591" w:rsidRPr="006F47A5">
        <w:rPr>
          <w:lang w:val="fr-FR"/>
        </w:rPr>
        <w:t xml:space="preserve"> fonction de leurs</w:t>
      </w:r>
      <w:r w:rsidR="00A41097" w:rsidRPr="006F47A5">
        <w:rPr>
          <w:lang w:val="fr-FR"/>
        </w:rPr>
        <w:t xml:space="preserve"> </w:t>
      </w:r>
      <w:r w:rsidR="005F6591" w:rsidRPr="006F47A5">
        <w:rPr>
          <w:lang w:val="fr-FR"/>
        </w:rPr>
        <w:t>aptitudes</w:t>
      </w:r>
      <w:r w:rsidR="00A41097" w:rsidRPr="006F47A5">
        <w:rPr>
          <w:lang w:val="fr-FR"/>
        </w:rPr>
        <w:t>, de</w:t>
      </w:r>
      <w:r w:rsidR="005F6591" w:rsidRPr="006F47A5">
        <w:rPr>
          <w:lang w:val="fr-FR"/>
        </w:rPr>
        <w:t xml:space="preserve"> leurs connaissances et de leur </w:t>
      </w:r>
      <w:r w:rsidR="00A41097" w:rsidRPr="006F47A5">
        <w:rPr>
          <w:lang w:val="fr-FR"/>
        </w:rPr>
        <w:t xml:space="preserve">application </w:t>
      </w:r>
      <w:r w:rsidR="005F6591" w:rsidRPr="006F47A5">
        <w:rPr>
          <w:lang w:val="fr-FR"/>
        </w:rPr>
        <w:t>personnelle</w:t>
      </w:r>
      <w:r w:rsidR="00A41097" w:rsidRPr="006F47A5">
        <w:rPr>
          <w:lang w:val="fr-FR"/>
        </w:rPr>
        <w:t xml:space="preserve">, les examinateurs peuvent acquérir ces compétences </w:t>
      </w:r>
      <w:r w:rsidR="00751283">
        <w:rPr>
          <w:lang w:val="fr-FR"/>
        </w:rPr>
        <w:t>plus rapidement</w:t>
      </w:r>
      <w:r w:rsidR="00C00099" w:rsidRPr="006F47A5">
        <w:rPr>
          <w:lang w:val="fr-FR"/>
        </w:rPr>
        <w:t>.</w:t>
      </w:r>
    </w:p>
    <w:p w:rsidR="00021F24" w:rsidRPr="006F47A5" w:rsidRDefault="00021F24" w:rsidP="008B7911">
      <w:pPr>
        <w:rPr>
          <w:lang w:val="fr-FR"/>
        </w:rPr>
      </w:pPr>
    </w:p>
    <w:p w:rsidR="00CE00F9" w:rsidRDefault="00A41097" w:rsidP="008B7911">
      <w:pPr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Office australien des brevets </w:t>
      </w:r>
      <w:r w:rsidR="005F6591" w:rsidRPr="006F47A5">
        <w:rPr>
          <w:lang w:val="fr-FR"/>
        </w:rPr>
        <w:t>possède</w:t>
      </w:r>
      <w:r w:rsidR="00E678F7" w:rsidRPr="006F47A5">
        <w:rPr>
          <w:lang w:val="fr-FR"/>
        </w:rPr>
        <w:t xml:space="preserve"> un programme de développement continu </w:t>
      </w:r>
      <w:r w:rsidR="00751283">
        <w:rPr>
          <w:lang w:val="fr-FR"/>
        </w:rPr>
        <w:t xml:space="preserve">intitulé </w:t>
      </w:r>
      <w:r w:rsidR="00C254CF">
        <w:rPr>
          <w:lang w:val="fr-FR"/>
        </w:rPr>
        <w:t>“</w:t>
      </w:r>
      <w:proofErr w:type="spellStart"/>
      <w:r w:rsidR="00751283">
        <w:rPr>
          <w:lang w:val="fr-FR"/>
        </w:rPr>
        <w:t>Technical</w:t>
      </w:r>
      <w:proofErr w:type="spellEnd"/>
      <w:r w:rsidR="00751283">
        <w:rPr>
          <w:lang w:val="fr-FR"/>
        </w:rPr>
        <w:t xml:space="preserve"> Examiner Learning </w:t>
      </w:r>
      <w:r w:rsidR="00E678F7" w:rsidRPr="006F47A5">
        <w:rPr>
          <w:lang w:val="fr-FR"/>
        </w:rPr>
        <w:t>Program</w:t>
      </w:r>
      <w:r w:rsidR="00751283">
        <w:rPr>
          <w:lang w:val="fr-FR"/>
        </w:rPr>
        <w:t xml:space="preserve"> (TELP)</w:t>
      </w:r>
      <w:r w:rsidR="00C254CF">
        <w:rPr>
          <w:lang w:val="fr-FR"/>
        </w:rPr>
        <w:t>”</w:t>
      </w:r>
      <w:r w:rsidR="00751283">
        <w:rPr>
          <w:lang w:val="fr-FR"/>
        </w:rPr>
        <w:t>, dont l</w:t>
      </w:r>
      <w:r w:rsidR="00FD5C7A">
        <w:rPr>
          <w:lang w:val="fr-FR"/>
        </w:rPr>
        <w:t>’</w:t>
      </w:r>
      <w:r w:rsidR="00751283">
        <w:rPr>
          <w:lang w:val="fr-FR"/>
        </w:rPr>
        <w:t>objectif est d</w:t>
      </w:r>
      <w:r w:rsidR="00FD5C7A">
        <w:rPr>
          <w:lang w:val="fr-FR"/>
        </w:rPr>
        <w:t>’</w:t>
      </w:r>
      <w:r w:rsidR="00751283">
        <w:rPr>
          <w:lang w:val="fr-FR"/>
        </w:rPr>
        <w:t xml:space="preserve">aider </w:t>
      </w:r>
      <w:r w:rsidR="00E678F7" w:rsidRPr="006F47A5">
        <w:rPr>
          <w:lang w:val="fr-FR"/>
        </w:rPr>
        <w:t xml:space="preserve">tout le personnel chargé des examens à rester </w:t>
      </w:r>
      <w:r w:rsidR="005F6591" w:rsidRPr="006F47A5">
        <w:rPr>
          <w:lang w:val="fr-FR"/>
        </w:rPr>
        <w:t>informé d</w:t>
      </w:r>
      <w:r w:rsidR="00E678F7" w:rsidRPr="006F47A5">
        <w:rPr>
          <w:lang w:val="fr-FR"/>
        </w:rPr>
        <w:t>es développements technologiqu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Op</w:t>
      </w:r>
      <w:r w:rsidR="00E678F7" w:rsidRPr="006F47A5">
        <w:rPr>
          <w:lang w:val="fr-FR"/>
        </w:rPr>
        <w:t>érant dans tous les domaines technologiques, ce programme inclut des sessions de formation technique données</w:t>
      </w:r>
      <w:r w:rsidR="00A64C27" w:rsidRPr="006F47A5">
        <w:rPr>
          <w:lang w:val="fr-FR"/>
        </w:rPr>
        <w:t xml:space="preserve"> </w:t>
      </w:r>
      <w:r w:rsidR="007E2EF4" w:rsidRPr="006F47A5">
        <w:rPr>
          <w:lang w:val="fr-FR"/>
        </w:rPr>
        <w:t>e</w:t>
      </w:r>
      <w:r w:rsidR="005F6591" w:rsidRPr="006F47A5">
        <w:rPr>
          <w:lang w:val="fr-FR"/>
        </w:rPr>
        <w:t>n interne</w:t>
      </w:r>
      <w:r w:rsidR="00A64C27" w:rsidRPr="006F47A5">
        <w:rPr>
          <w:lang w:val="fr-FR"/>
        </w:rPr>
        <w:t xml:space="preserve"> par des spécialistes, la participation à de</w:t>
      </w:r>
      <w:r w:rsidR="00751283">
        <w:rPr>
          <w:lang w:val="fr-FR"/>
        </w:rPr>
        <w:t>s conférences et des visites d</w:t>
      </w:r>
      <w:r w:rsidR="00FD5C7A">
        <w:rPr>
          <w:lang w:val="fr-FR"/>
        </w:rPr>
        <w:t>’</w:t>
      </w:r>
      <w:r w:rsidR="00A64C27" w:rsidRPr="006F47A5">
        <w:rPr>
          <w:lang w:val="fr-FR"/>
        </w:rPr>
        <w:t>entreprises d</w:t>
      </w:r>
      <w:r w:rsidR="00751283">
        <w:rPr>
          <w:lang w:val="fr-FR"/>
        </w:rPr>
        <w:t>ans des secteurs qui présentent un intérêt</w:t>
      </w:r>
      <w:r w:rsidR="00C00099" w:rsidRPr="006F47A5">
        <w:rPr>
          <w:lang w:val="fr-FR"/>
        </w:rPr>
        <w:t xml:space="preserve">.  </w:t>
      </w:r>
      <w:r w:rsidR="00A64C27" w:rsidRPr="006F47A5">
        <w:rPr>
          <w:lang w:val="fr-FR"/>
        </w:rPr>
        <w:t>L</w:t>
      </w:r>
      <w:r w:rsidR="00FD5C7A">
        <w:rPr>
          <w:lang w:val="fr-FR"/>
        </w:rPr>
        <w:t>’</w:t>
      </w:r>
      <w:r w:rsidR="00A64C27" w:rsidRPr="006F47A5">
        <w:rPr>
          <w:lang w:val="fr-FR"/>
        </w:rPr>
        <w:t xml:space="preserve">Office australien des brevets </w:t>
      </w:r>
      <w:r w:rsidR="00751283">
        <w:rPr>
          <w:lang w:val="fr-FR"/>
        </w:rPr>
        <w:t>pro</w:t>
      </w:r>
      <w:r w:rsidR="00A64C27" w:rsidRPr="006F47A5">
        <w:rPr>
          <w:lang w:val="fr-FR"/>
        </w:rPr>
        <w:t>pose également un programme fondé sur les compétences</w:t>
      </w:r>
      <w:r w:rsidR="00751283">
        <w:rPr>
          <w:lang w:val="fr-FR"/>
        </w:rPr>
        <w:t>,</w:t>
      </w:r>
      <w:r w:rsidR="00A64C27" w:rsidRPr="006F47A5">
        <w:rPr>
          <w:lang w:val="fr-FR"/>
        </w:rPr>
        <w:t xml:space="preserve"> destiné aux examinateurs expérimentés </w:t>
      </w:r>
      <w:r w:rsidR="00751283">
        <w:rPr>
          <w:lang w:val="fr-FR"/>
        </w:rPr>
        <w:t>qui souhaitent devenir des agents chargés d</w:t>
      </w:r>
      <w:r w:rsidR="00FD5C7A">
        <w:rPr>
          <w:lang w:val="fr-FR"/>
        </w:rPr>
        <w:t>’</w:t>
      </w:r>
      <w:r w:rsidR="00751283">
        <w:rPr>
          <w:lang w:val="fr-FR"/>
        </w:rPr>
        <w:t>entendre les parties</w:t>
      </w:r>
      <w:r w:rsidR="00C00099" w:rsidRPr="006F47A5">
        <w:rPr>
          <w:lang w:val="fr-FR"/>
        </w:rPr>
        <w:t>.</w:t>
      </w:r>
    </w:p>
    <w:p w:rsidR="008F1232" w:rsidRDefault="00DD3641" w:rsidP="008B7911">
      <w:pPr>
        <w:rPr>
          <w:lang w:val="fr-FR"/>
        </w:rPr>
      </w:pPr>
      <w:r w:rsidRPr="006F47A5">
        <w:rPr>
          <w:lang w:val="fr-FR"/>
        </w:rPr>
        <w:lastRenderedPageBreak/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 xml:space="preserve"> a fondé le Centre d</w:t>
      </w:r>
      <w:r w:rsidR="00FD5C7A">
        <w:rPr>
          <w:lang w:val="fr-FR"/>
        </w:rPr>
        <w:t>’</w:t>
      </w:r>
      <w:r w:rsidRPr="006F47A5">
        <w:rPr>
          <w:lang w:val="fr-FR"/>
        </w:rPr>
        <w:t>excellence technique pour les droits de propriété intellectuelle, qui sert de point d</w:t>
      </w:r>
      <w:r w:rsidR="00FD5C7A">
        <w:rPr>
          <w:lang w:val="fr-FR"/>
        </w:rPr>
        <w:t>’</w:t>
      </w:r>
      <w:r w:rsidRPr="006F47A5">
        <w:rPr>
          <w:lang w:val="fr-FR"/>
        </w:rPr>
        <w:t>accès unique à tous les services d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apprentissage et de développement </w:t>
      </w:r>
      <w:r w:rsidR="00751283">
        <w:rPr>
          <w:lang w:val="fr-FR"/>
        </w:rPr>
        <w:t>en matière de</w:t>
      </w:r>
      <w:r w:rsidRPr="006F47A5">
        <w:rPr>
          <w:lang w:val="fr-FR"/>
        </w:rPr>
        <w:t xml:space="preserve"> droits de propriété in</w:t>
      </w:r>
      <w:r w:rsidR="00F92AC7" w:rsidRPr="006F47A5">
        <w:rPr>
          <w:lang w:val="fr-FR"/>
        </w:rPr>
        <w:t>tellectuel</w:t>
      </w:r>
      <w:r w:rsidR="00CE00F9" w:rsidRPr="006F47A5">
        <w:rPr>
          <w:lang w:val="fr-FR"/>
        </w:rPr>
        <w:t>le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="00F92AC7" w:rsidRPr="006F47A5">
        <w:rPr>
          <w:lang w:val="fr-FR"/>
        </w:rPr>
        <w:t xml:space="preserve"> centre </w:t>
      </w:r>
      <w:r w:rsidRPr="006F47A5">
        <w:rPr>
          <w:lang w:val="fr-FR"/>
        </w:rPr>
        <w:t xml:space="preserve">dispense des enseignements dans tous les domaines professionnels, </w:t>
      </w:r>
      <w:r w:rsidR="00FD5C7A">
        <w:rPr>
          <w:lang w:val="fr-FR"/>
        </w:rPr>
        <w:t>y compris</w:t>
      </w:r>
      <w:r w:rsidRPr="006F47A5">
        <w:rPr>
          <w:lang w:val="fr-FR"/>
        </w:rPr>
        <w:t xml:space="preserve"> des connaissances techniques sur les breve</w:t>
      </w:r>
      <w:r w:rsidR="00CE00F9" w:rsidRPr="006F47A5">
        <w:rPr>
          <w:lang w:val="fr-FR"/>
        </w:rPr>
        <w:t>ts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De</w:t>
      </w:r>
      <w:r w:rsidRPr="006F47A5">
        <w:rPr>
          <w:lang w:val="fr-FR"/>
        </w:rPr>
        <w:t xml:space="preserve">puis </w:t>
      </w:r>
      <w:r w:rsidR="008F1232" w:rsidRPr="006F47A5">
        <w:rPr>
          <w:lang w:val="fr-FR"/>
        </w:rPr>
        <w:t>juillet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</w:t>
      </w:r>
      <w:r w:rsidRPr="006F47A5">
        <w:rPr>
          <w:lang w:val="fr-FR"/>
        </w:rPr>
        <w:t>11, les exa</w:t>
      </w:r>
      <w:r w:rsidR="00F92AC7" w:rsidRPr="006F47A5">
        <w:rPr>
          <w:lang w:val="fr-FR"/>
        </w:rPr>
        <w:t>minateurs de</w:t>
      </w:r>
      <w:r w:rsidR="00751283">
        <w:rPr>
          <w:lang w:val="fr-FR"/>
        </w:rPr>
        <w:t xml:space="preserve"> demandes de</w:t>
      </w:r>
      <w:r w:rsidR="00F92AC7" w:rsidRPr="006F47A5">
        <w:rPr>
          <w:lang w:val="fr-FR"/>
        </w:rPr>
        <w:t xml:space="preserve"> brevet </w:t>
      </w:r>
      <w:r w:rsidR="00751283">
        <w:rPr>
          <w:lang w:val="fr-FR"/>
        </w:rPr>
        <w:t>ont bénéficié de</w:t>
      </w:r>
      <w:r w:rsidRPr="006F47A5">
        <w:rPr>
          <w:lang w:val="fr-FR"/>
        </w:rPr>
        <w:t xml:space="preserve"> plusieurs cours </w:t>
      </w:r>
      <w:r w:rsidR="00751283">
        <w:rPr>
          <w:lang w:val="fr-FR"/>
        </w:rPr>
        <w:t xml:space="preserve">portant </w:t>
      </w:r>
      <w:r w:rsidRPr="006F47A5">
        <w:rPr>
          <w:lang w:val="fr-FR"/>
        </w:rPr>
        <w:t>sur la recherche (</w:t>
      </w:r>
      <w:r w:rsidR="00751283">
        <w:rPr>
          <w:lang w:val="fr-FR"/>
        </w:rPr>
        <w:t>notamment</w:t>
      </w:r>
      <w:r w:rsidRPr="006F47A5">
        <w:rPr>
          <w:lang w:val="fr-FR"/>
        </w:rPr>
        <w:t xml:space="preserve"> les étapes essentielles, les mots clés et l</w:t>
      </w:r>
      <w:r w:rsidR="00751283">
        <w:rPr>
          <w:lang w:val="fr-FR"/>
        </w:rPr>
        <w:t>e</w:t>
      </w:r>
      <w:r w:rsidRPr="006F47A5">
        <w:rPr>
          <w:lang w:val="fr-FR"/>
        </w:rPr>
        <w:t xml:space="preserve"> class</w:t>
      </w:r>
      <w:r w:rsidR="00751283">
        <w:rPr>
          <w:lang w:val="fr-FR"/>
        </w:rPr>
        <w:t>ement</w:t>
      </w:r>
      <w:r w:rsidRPr="006F47A5">
        <w:rPr>
          <w:lang w:val="fr-FR"/>
        </w:rPr>
        <w:t xml:space="preserve"> des marques), ainsi que sur les techniques de recherche avancée (</w:t>
      </w:r>
      <w:r w:rsidR="00F92AC7" w:rsidRPr="006F47A5">
        <w:rPr>
          <w:lang w:val="fr-FR"/>
        </w:rPr>
        <w:t>incluant</w:t>
      </w:r>
      <w:r w:rsidRPr="006F47A5">
        <w:rPr>
          <w:lang w:val="fr-FR"/>
        </w:rPr>
        <w:t xml:space="preserve"> les demandes dans le domaine des nanotechnologi</w:t>
      </w:r>
      <w:r w:rsidR="00CE00F9" w:rsidRPr="006F47A5">
        <w:rPr>
          <w:lang w:val="fr-FR"/>
        </w:rPr>
        <w:t>es)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De</w:t>
      </w:r>
      <w:r w:rsidR="008F1232" w:rsidRPr="006F47A5">
        <w:rPr>
          <w:lang w:val="fr-FR"/>
        </w:rPr>
        <w:t>puis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2013</w:t>
      </w:r>
      <w:r w:rsidRPr="006F47A5">
        <w:rPr>
          <w:lang w:val="fr-FR"/>
        </w:rPr>
        <w:t>, d</w:t>
      </w:r>
      <w:r w:rsidR="00FD5C7A">
        <w:rPr>
          <w:lang w:val="fr-FR"/>
        </w:rPr>
        <w:t>’</w:t>
      </w:r>
      <w:r w:rsidRPr="006F47A5">
        <w:rPr>
          <w:lang w:val="fr-FR"/>
        </w:rPr>
        <w:t>autres cours ont été élaborés</w:t>
      </w:r>
      <w:r w:rsidR="00751283">
        <w:rPr>
          <w:lang w:val="fr-FR"/>
        </w:rPr>
        <w:t>,</w:t>
      </w:r>
      <w:r w:rsidRPr="006F47A5">
        <w:rPr>
          <w:lang w:val="fr-FR"/>
        </w:rPr>
        <w:t xml:space="preserve"> compren</w:t>
      </w:r>
      <w:r w:rsidR="00751283">
        <w:rPr>
          <w:lang w:val="fr-FR"/>
        </w:rPr>
        <w:t>ant notamment</w:t>
      </w:r>
      <w:r w:rsidR="00FD5C7A">
        <w:rPr>
          <w:lang w:val="fr-FR"/>
        </w:rPr>
        <w:t> :</w:t>
      </w:r>
      <w:r w:rsidR="009B5968" w:rsidRPr="006F47A5">
        <w:rPr>
          <w:lang w:val="fr-FR"/>
        </w:rPr>
        <w:t xml:space="preserve"> Advanced </w:t>
      </w:r>
      <w:proofErr w:type="spellStart"/>
      <w:r w:rsidR="009B5968" w:rsidRPr="006F47A5">
        <w:rPr>
          <w:lang w:val="fr-FR"/>
        </w:rPr>
        <w:t>Furthers</w:t>
      </w:r>
      <w:proofErr w:type="spellEnd"/>
      <w:r w:rsidR="00751283">
        <w:rPr>
          <w:lang w:val="fr-FR"/>
        </w:rPr>
        <w:t>;</w:t>
      </w:r>
      <w:r w:rsidR="009B5968" w:rsidRPr="006F47A5">
        <w:rPr>
          <w:lang w:val="fr-FR"/>
        </w:rPr>
        <w:t xml:space="preserve"> </w:t>
      </w:r>
      <w:r w:rsidR="00C254CF">
        <w:rPr>
          <w:lang w:val="fr-FR"/>
        </w:rPr>
        <w:t xml:space="preserve"> </w:t>
      </w:r>
      <w:r w:rsidR="009B5968" w:rsidRPr="006F47A5">
        <w:rPr>
          <w:lang w:val="fr-FR"/>
        </w:rPr>
        <w:t xml:space="preserve">une formation sur </w:t>
      </w:r>
      <w:r w:rsidR="00751283">
        <w:rPr>
          <w:lang w:val="fr-FR"/>
        </w:rPr>
        <w:t>le système </w:t>
      </w:r>
      <w:r w:rsidR="009B5968" w:rsidRPr="006F47A5">
        <w:rPr>
          <w:lang w:val="fr-FR"/>
        </w:rPr>
        <w:t>EPOQUE</w:t>
      </w:r>
      <w:r w:rsidR="00751283">
        <w:rPr>
          <w:lang w:val="fr-FR"/>
        </w:rPr>
        <w:t>;</w:t>
      </w:r>
      <w:r w:rsidR="009B5968" w:rsidRPr="006F47A5">
        <w:rPr>
          <w:lang w:val="fr-FR"/>
        </w:rPr>
        <w:t xml:space="preserve"> </w:t>
      </w:r>
      <w:r w:rsidR="00C254CF">
        <w:rPr>
          <w:lang w:val="fr-FR"/>
        </w:rPr>
        <w:t xml:space="preserve"> </w:t>
      </w:r>
      <w:r w:rsidR="009B5968" w:rsidRPr="006F47A5">
        <w:rPr>
          <w:lang w:val="fr-FR"/>
        </w:rPr>
        <w:t xml:space="preserve">un </w:t>
      </w:r>
      <w:r w:rsidR="00751283">
        <w:rPr>
          <w:lang w:val="fr-FR"/>
        </w:rPr>
        <w:t>cours portant</w:t>
      </w:r>
      <w:r w:rsidR="009B5968" w:rsidRPr="006F47A5">
        <w:rPr>
          <w:lang w:val="fr-FR"/>
        </w:rPr>
        <w:t xml:space="preserve"> sur la recherche</w:t>
      </w:r>
      <w:r w:rsidR="00751283">
        <w:rPr>
          <w:lang w:val="fr-FR"/>
        </w:rPr>
        <w:t>;</w:t>
      </w:r>
      <w:r w:rsidR="009B5968" w:rsidRPr="006F47A5">
        <w:rPr>
          <w:lang w:val="fr-FR"/>
        </w:rPr>
        <w:t xml:space="preserve"> </w:t>
      </w:r>
      <w:r w:rsidR="00C254CF">
        <w:rPr>
          <w:lang w:val="fr-FR"/>
        </w:rPr>
        <w:t xml:space="preserve"> </w:t>
      </w:r>
      <w:r w:rsidR="009B5968" w:rsidRPr="006F47A5">
        <w:rPr>
          <w:lang w:val="fr-FR"/>
        </w:rPr>
        <w:t>un module de réexamen en ligne</w:t>
      </w:r>
      <w:r w:rsidR="00751283">
        <w:rPr>
          <w:lang w:val="fr-FR"/>
        </w:rPr>
        <w:t>;</w:t>
      </w:r>
      <w:r w:rsidR="00C254CF">
        <w:rPr>
          <w:lang w:val="fr-FR"/>
        </w:rPr>
        <w:t xml:space="preserve"> </w:t>
      </w:r>
      <w:r w:rsidR="009B5968" w:rsidRPr="006F47A5">
        <w:rPr>
          <w:lang w:val="fr-FR"/>
        </w:rPr>
        <w:t xml:space="preserve"> une formation sur la réforme de la propriété intellectuelle et </w:t>
      </w:r>
      <w:r w:rsidR="00751283">
        <w:rPr>
          <w:lang w:val="fr-FR"/>
        </w:rPr>
        <w:t>un cours sur l</w:t>
      </w:r>
      <w:r w:rsidR="009B5968" w:rsidRPr="006F47A5">
        <w:rPr>
          <w:lang w:val="fr-FR"/>
        </w:rPr>
        <w:t>es recherches dans l</w:t>
      </w:r>
      <w:r w:rsidR="00F92AC7" w:rsidRPr="006F47A5">
        <w:rPr>
          <w:lang w:val="fr-FR"/>
        </w:rPr>
        <w:t xml:space="preserve">a </w:t>
      </w:r>
      <w:r w:rsidR="00751283">
        <w:rPr>
          <w:lang w:val="fr-FR"/>
        </w:rPr>
        <w:t>littérature non</w:t>
      </w:r>
      <w:r w:rsidR="00EE5220">
        <w:rPr>
          <w:lang w:val="fr-FR"/>
        </w:rPr>
        <w:noBreakHyphen/>
      </w:r>
      <w:r w:rsidR="00751283">
        <w:rPr>
          <w:lang w:val="fr-FR"/>
        </w:rPr>
        <w:t>brevet.</w:t>
      </w:r>
    </w:p>
    <w:p w:rsidR="009B5968" w:rsidRDefault="009B5968" w:rsidP="008B7911">
      <w:pPr>
        <w:rPr>
          <w:lang w:val="fr-FR"/>
        </w:rPr>
      </w:pPr>
    </w:p>
    <w:p w:rsidR="004F31F2" w:rsidRPr="006F47A5" w:rsidRDefault="004F31F2" w:rsidP="008B7911">
      <w:pPr>
        <w:rPr>
          <w:lang w:val="fr-FR"/>
        </w:rPr>
      </w:pPr>
    </w:p>
    <w:p w:rsidR="00DC0AB1" w:rsidRPr="006F47A5" w:rsidRDefault="008F1232" w:rsidP="008B7911">
      <w:pPr>
        <w:rPr>
          <w:b/>
          <w:i/>
          <w:lang w:val="fr-FR"/>
        </w:rPr>
      </w:pPr>
      <w:r w:rsidRPr="006F47A5">
        <w:rPr>
          <w:b/>
          <w:i/>
          <w:lang w:val="fr-FR"/>
        </w:rPr>
        <w:t>Règles</w:t>
      </w:r>
      <w:r>
        <w:rPr>
          <w:b/>
          <w:i/>
          <w:lang w:val="fr-FR"/>
        </w:rPr>
        <w:t> </w:t>
      </w:r>
      <w:r w:rsidRPr="006F47A5">
        <w:rPr>
          <w:b/>
          <w:i/>
          <w:lang w:val="fr-FR"/>
        </w:rPr>
        <w:t>3</w:t>
      </w:r>
      <w:r w:rsidR="00DC0AB1" w:rsidRPr="006F47A5">
        <w:rPr>
          <w:b/>
          <w:i/>
          <w:lang w:val="fr-FR"/>
        </w:rPr>
        <w:t>6.</w:t>
      </w:r>
      <w:r w:rsidR="00300502">
        <w:rPr>
          <w:b/>
          <w:i/>
          <w:lang w:val="fr-FR"/>
        </w:rPr>
        <w:t>1</w:t>
      </w:r>
      <w:r w:rsidR="00DC0AB1" w:rsidRPr="006F47A5">
        <w:rPr>
          <w:b/>
          <w:i/>
          <w:lang w:val="fr-FR"/>
        </w:rPr>
        <w:t>.ii</w:t>
      </w:r>
      <w:r w:rsidR="00F92AC7" w:rsidRPr="006F47A5">
        <w:rPr>
          <w:b/>
          <w:i/>
          <w:lang w:val="fr-FR"/>
        </w:rPr>
        <w:t>)</w:t>
      </w:r>
      <w:r w:rsidR="00DC0AB1" w:rsidRPr="006F47A5">
        <w:rPr>
          <w:b/>
          <w:i/>
          <w:lang w:val="fr-FR"/>
        </w:rPr>
        <w:t xml:space="preserve"> et 63.1.ii</w:t>
      </w:r>
      <w:r w:rsidR="00F92AC7" w:rsidRPr="006F47A5">
        <w:rPr>
          <w:b/>
          <w:i/>
          <w:lang w:val="fr-FR"/>
        </w:rPr>
        <w:t>)</w:t>
      </w:r>
      <w:r w:rsidR="00FD5C7A">
        <w:rPr>
          <w:b/>
          <w:i/>
          <w:lang w:val="fr-FR"/>
        </w:rPr>
        <w:t> :</w:t>
      </w:r>
      <w:r w:rsidR="00DC0AB1" w:rsidRPr="006F47A5">
        <w:rPr>
          <w:b/>
          <w:i/>
          <w:lang w:val="fr-FR"/>
        </w:rPr>
        <w:t xml:space="preserve"> </w:t>
      </w:r>
      <w:r w:rsidR="00F92AC7" w:rsidRPr="006F47A5">
        <w:rPr>
          <w:b/>
          <w:i/>
          <w:lang w:val="fr-FR"/>
        </w:rPr>
        <w:t>c</w:t>
      </w:r>
      <w:r w:rsidR="00DC0AB1" w:rsidRPr="006F47A5">
        <w:rPr>
          <w:b/>
          <w:i/>
          <w:lang w:val="fr-FR"/>
        </w:rPr>
        <w:t xml:space="preserve">et office ou cette organisation doit avoir en sa possession au moins la documentation minimale de la </w:t>
      </w:r>
      <w:r w:rsidRPr="006F47A5">
        <w:rPr>
          <w:b/>
          <w:i/>
          <w:lang w:val="fr-FR"/>
        </w:rPr>
        <w:t>règle</w:t>
      </w:r>
      <w:r>
        <w:rPr>
          <w:b/>
          <w:i/>
          <w:lang w:val="fr-FR"/>
        </w:rPr>
        <w:t> </w:t>
      </w:r>
      <w:r w:rsidRPr="006F47A5">
        <w:rPr>
          <w:b/>
          <w:i/>
          <w:lang w:val="fr-FR"/>
        </w:rPr>
        <w:t>3</w:t>
      </w:r>
      <w:r w:rsidR="00DC0AB1" w:rsidRPr="006F47A5">
        <w:rPr>
          <w:b/>
          <w:i/>
          <w:lang w:val="fr-FR"/>
        </w:rPr>
        <w:t>4, ou avoir accès à cette documentation minimale, laquelle doit être disposée d</w:t>
      </w:r>
      <w:r w:rsidR="00FD5C7A">
        <w:rPr>
          <w:b/>
          <w:i/>
          <w:lang w:val="fr-FR"/>
        </w:rPr>
        <w:t>’</w:t>
      </w:r>
      <w:r w:rsidR="00DC0AB1" w:rsidRPr="006F47A5">
        <w:rPr>
          <w:b/>
          <w:i/>
          <w:lang w:val="fr-FR"/>
        </w:rPr>
        <w:t>une manière adéquate aux fins de la recherche et se présenter sur papier, sur microforme ou sur un support électronique.</w:t>
      </w:r>
    </w:p>
    <w:p w:rsidR="008F1232" w:rsidRDefault="008F1232" w:rsidP="008B7911">
      <w:pPr>
        <w:rPr>
          <w:lang w:val="fr-FR"/>
        </w:rPr>
      </w:pPr>
    </w:p>
    <w:p w:rsidR="00DD3641" w:rsidRPr="006F47A5" w:rsidRDefault="00A13019" w:rsidP="008B7911">
      <w:pPr>
        <w:rPr>
          <w:lang w:val="fr-FR"/>
        </w:rPr>
      </w:pPr>
      <w:r w:rsidRPr="006F47A5">
        <w:rPr>
          <w:b/>
          <w:lang w:val="fr-FR"/>
        </w:rPr>
        <w:t>Accès à la documentation minimale aux fins de la recherche</w:t>
      </w:r>
      <w:r w:rsidR="00FD5C7A">
        <w:rPr>
          <w:b/>
          <w:lang w:val="fr-FR"/>
        </w:rPr>
        <w:t> :</w:t>
      </w:r>
      <w:r w:rsidRPr="006F47A5">
        <w:rPr>
          <w:lang w:val="fr-FR"/>
        </w:rPr>
        <w:t xml:space="preserve"> </w:t>
      </w:r>
      <w:proofErr w:type="gramStart"/>
      <w:r w:rsidRPr="006F47A5">
        <w:rPr>
          <w:lang w:val="fr-FR"/>
        </w:rPr>
        <w:t>( X</w:t>
      </w:r>
      <w:proofErr w:type="gramEnd"/>
      <w:r w:rsidRPr="006F47A5">
        <w:rPr>
          <w:lang w:val="fr-FR"/>
        </w:rPr>
        <w:t xml:space="preserve"> ) Plein accès</w:t>
      </w:r>
    </w:p>
    <w:p w:rsidR="00A13019" w:rsidRPr="006F47A5" w:rsidRDefault="00A13019" w:rsidP="008B7911">
      <w:pPr>
        <w:rPr>
          <w:lang w:val="fr-FR"/>
        </w:rPr>
      </w:pPr>
    </w:p>
    <w:p w:rsidR="00A13019" w:rsidRPr="006F47A5" w:rsidRDefault="00A13019" w:rsidP="008B7911">
      <w:pPr>
        <w:rPr>
          <w:lang w:val="fr-FR"/>
        </w:rPr>
      </w:pPr>
      <w:r w:rsidRPr="006F47A5">
        <w:rPr>
          <w:b/>
          <w:lang w:val="fr-FR"/>
        </w:rPr>
        <w:t>Systèmes de recherche</w:t>
      </w:r>
      <w:r w:rsidR="00FD5C7A">
        <w:rPr>
          <w:b/>
          <w:lang w:val="fr-FR"/>
        </w:rPr>
        <w:t> :</w:t>
      </w:r>
    </w:p>
    <w:p w:rsidR="008F1232" w:rsidRDefault="001D6EBB" w:rsidP="008B7911">
      <w:pPr>
        <w:rPr>
          <w:rFonts w:eastAsiaTheme="minorHAnsi" w:cs="Times New Roman"/>
          <w:iCs/>
          <w:lang w:val="fr-FR" w:eastAsia="en-US"/>
        </w:rPr>
      </w:pPr>
      <w:r w:rsidRPr="006F47A5">
        <w:rPr>
          <w:lang w:val="fr-FR"/>
        </w:rPr>
        <w:t xml:space="preserve">Les examinateurs utilisent un système </w:t>
      </w:r>
      <w:r w:rsidR="00F92AC7" w:rsidRPr="006F47A5">
        <w:rPr>
          <w:lang w:val="fr-FR"/>
        </w:rPr>
        <w:t xml:space="preserve">électronique </w:t>
      </w:r>
      <w:r w:rsidRPr="006F47A5">
        <w:rPr>
          <w:lang w:val="fr-FR"/>
        </w:rPr>
        <w:t>de gestion des documents (</w:t>
      </w:r>
      <w:r w:rsidRPr="006F47A5">
        <w:rPr>
          <w:rFonts w:eastAsiaTheme="minorHAnsi" w:cs="Times New Roman"/>
          <w:iCs/>
          <w:lang w:val="fr-FR" w:eastAsia="en-US"/>
        </w:rPr>
        <w:t>Patent Administration Management System</w:t>
      </w:r>
      <w:r w:rsidR="008F1232">
        <w:rPr>
          <w:rFonts w:eastAsiaTheme="minorHAnsi" w:cs="Times New Roman"/>
          <w:iCs/>
          <w:lang w:val="fr-FR" w:eastAsia="en-US"/>
        </w:rPr>
        <w:t xml:space="preserve"> – </w:t>
      </w:r>
      <w:r w:rsidRPr="006F47A5">
        <w:rPr>
          <w:rFonts w:eastAsiaTheme="minorHAnsi" w:cs="Times New Roman"/>
          <w:iCs/>
          <w:lang w:val="fr-FR" w:eastAsia="en-US"/>
        </w:rPr>
        <w:t xml:space="preserve">PAMS) pour traiter, enregistrer, </w:t>
      </w:r>
      <w:r w:rsidR="007E2EF4" w:rsidRPr="006F47A5">
        <w:rPr>
          <w:rFonts w:eastAsiaTheme="minorHAnsi" w:cs="Times New Roman"/>
          <w:iCs/>
          <w:lang w:val="fr-FR" w:eastAsia="en-US"/>
        </w:rPr>
        <w:t>re</w:t>
      </w:r>
      <w:r w:rsidRPr="006F47A5">
        <w:rPr>
          <w:rFonts w:eastAsiaTheme="minorHAnsi" w:cs="Times New Roman"/>
          <w:iCs/>
          <w:lang w:val="fr-FR" w:eastAsia="en-US"/>
        </w:rPr>
        <w:t>chercher et examiner les demandes nationales de brevet</w:t>
      </w:r>
      <w:r w:rsidR="00C00099" w:rsidRPr="006F47A5">
        <w:rPr>
          <w:rFonts w:eastAsiaTheme="minorHAnsi" w:cs="Times New Roman"/>
          <w:iCs/>
          <w:lang w:val="fr-FR" w:eastAsia="en-US"/>
        </w:rPr>
        <w:t xml:space="preserve">.  </w:t>
      </w:r>
      <w:r w:rsidRPr="006F47A5">
        <w:rPr>
          <w:rFonts w:eastAsiaTheme="minorHAnsi" w:cs="Times New Roman"/>
          <w:iCs/>
          <w:lang w:val="fr-FR" w:eastAsia="en-US"/>
        </w:rPr>
        <w:t>I</w:t>
      </w:r>
      <w:r w:rsidR="00F92AC7" w:rsidRPr="006F47A5">
        <w:rPr>
          <w:rFonts w:eastAsiaTheme="minorHAnsi" w:cs="Times New Roman"/>
          <w:iCs/>
          <w:lang w:val="fr-FR" w:eastAsia="en-US"/>
        </w:rPr>
        <w:t>P</w:t>
      </w:r>
      <w:r w:rsidR="00206805">
        <w:rPr>
          <w:rFonts w:eastAsiaTheme="minorHAnsi" w:cs="Times New Roman"/>
          <w:iCs/>
          <w:lang w:val="fr-FR" w:eastAsia="en-US"/>
        </w:rPr>
        <w:t> </w:t>
      </w:r>
      <w:proofErr w:type="spellStart"/>
      <w:r w:rsidR="00F92AC7" w:rsidRPr="006F47A5">
        <w:rPr>
          <w:rFonts w:eastAsiaTheme="minorHAnsi" w:cs="Times New Roman"/>
          <w:iCs/>
          <w:lang w:val="fr-FR" w:eastAsia="en-US"/>
        </w:rPr>
        <w:t>Australia</w:t>
      </w:r>
      <w:proofErr w:type="spellEnd"/>
      <w:r w:rsidR="00F92AC7" w:rsidRPr="006F47A5">
        <w:rPr>
          <w:rFonts w:eastAsiaTheme="minorHAnsi" w:cs="Times New Roman"/>
          <w:iCs/>
          <w:lang w:val="fr-FR" w:eastAsia="en-US"/>
        </w:rPr>
        <w:t xml:space="preserve"> possède également </w:t>
      </w:r>
      <w:r w:rsidRPr="006F47A5">
        <w:rPr>
          <w:rFonts w:eastAsiaTheme="minorHAnsi" w:cs="Times New Roman"/>
          <w:iCs/>
          <w:lang w:val="fr-FR" w:eastAsia="en-US"/>
        </w:rPr>
        <w:t>un système électronique pour la recherche internationale et 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Pr="006F47A5">
        <w:rPr>
          <w:rFonts w:eastAsiaTheme="minorHAnsi" w:cs="Times New Roman"/>
          <w:iCs/>
          <w:lang w:val="fr-FR" w:eastAsia="en-US"/>
        </w:rPr>
        <w:t>examen international (INTESS)</w:t>
      </w:r>
      <w:r w:rsidR="00C00099" w:rsidRPr="006F47A5">
        <w:rPr>
          <w:rFonts w:eastAsiaTheme="minorHAnsi" w:cs="Times New Roman"/>
          <w:iCs/>
          <w:lang w:val="fr-FR" w:eastAsia="en-US"/>
        </w:rPr>
        <w:t xml:space="preserve">.  </w:t>
      </w:r>
      <w:r w:rsidRPr="006F47A5">
        <w:rPr>
          <w:rFonts w:eastAsiaTheme="minorHAnsi" w:cs="Times New Roman"/>
          <w:iCs/>
          <w:lang w:val="fr-FR" w:eastAsia="en-US"/>
        </w:rPr>
        <w:t>Les examinateurs disposent d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Pr="006F47A5">
        <w:rPr>
          <w:rFonts w:eastAsiaTheme="minorHAnsi" w:cs="Times New Roman"/>
          <w:iCs/>
          <w:lang w:val="fr-FR" w:eastAsia="en-US"/>
        </w:rPr>
        <w:t>un</w:t>
      </w:r>
      <w:r w:rsidR="00751283">
        <w:rPr>
          <w:rFonts w:eastAsiaTheme="minorHAnsi" w:cs="Times New Roman"/>
          <w:iCs/>
          <w:lang w:val="fr-FR" w:eastAsia="en-US"/>
        </w:rPr>
        <w:t>e</w:t>
      </w:r>
      <w:r w:rsidRPr="006F47A5">
        <w:rPr>
          <w:rFonts w:eastAsiaTheme="minorHAnsi" w:cs="Times New Roman"/>
          <w:iCs/>
          <w:lang w:val="fr-FR" w:eastAsia="en-US"/>
        </w:rPr>
        <w:t xml:space="preserve"> </w:t>
      </w:r>
      <w:r w:rsidR="00751283">
        <w:rPr>
          <w:rFonts w:eastAsiaTheme="minorHAnsi" w:cs="Times New Roman"/>
          <w:iCs/>
          <w:lang w:val="fr-FR" w:eastAsia="en-US"/>
        </w:rPr>
        <w:t>interface</w:t>
      </w:r>
      <w:r w:rsidRPr="006F47A5">
        <w:rPr>
          <w:rFonts w:eastAsiaTheme="minorHAnsi" w:cs="Times New Roman"/>
          <w:iCs/>
          <w:lang w:val="fr-FR" w:eastAsia="en-US"/>
        </w:rPr>
        <w:t xml:space="preserve"> pour 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Pr="006F47A5">
        <w:rPr>
          <w:rFonts w:eastAsiaTheme="minorHAnsi" w:cs="Times New Roman"/>
          <w:iCs/>
          <w:lang w:val="fr-FR" w:eastAsia="en-US"/>
        </w:rPr>
        <w:t>examen des</w:t>
      </w:r>
      <w:r w:rsidR="00751283">
        <w:rPr>
          <w:rFonts w:eastAsiaTheme="minorHAnsi" w:cs="Times New Roman"/>
          <w:iCs/>
          <w:lang w:val="fr-FR" w:eastAsia="en-US"/>
        </w:rPr>
        <w:t xml:space="preserve"> demandes de</w:t>
      </w:r>
      <w:r w:rsidRPr="006F47A5">
        <w:rPr>
          <w:rFonts w:eastAsiaTheme="minorHAnsi" w:cs="Times New Roman"/>
          <w:iCs/>
          <w:lang w:val="fr-FR" w:eastAsia="en-US"/>
        </w:rPr>
        <w:t xml:space="preserve"> brevet</w:t>
      </w:r>
      <w:r w:rsidR="00751283">
        <w:rPr>
          <w:rFonts w:eastAsiaTheme="minorHAnsi" w:cs="Times New Roman"/>
          <w:iCs/>
          <w:lang w:val="fr-FR" w:eastAsia="en-US"/>
        </w:rPr>
        <w:t>,</w:t>
      </w:r>
      <w:r w:rsidRPr="006F47A5">
        <w:rPr>
          <w:rFonts w:eastAsiaTheme="minorHAnsi" w:cs="Times New Roman"/>
          <w:iCs/>
          <w:lang w:val="fr-FR" w:eastAsia="en-US"/>
        </w:rPr>
        <w:t xml:space="preserve"> qui </w:t>
      </w:r>
      <w:r w:rsidR="00751283">
        <w:rPr>
          <w:rFonts w:eastAsiaTheme="minorHAnsi" w:cs="Times New Roman"/>
          <w:iCs/>
          <w:lang w:val="fr-FR" w:eastAsia="en-US"/>
        </w:rPr>
        <w:t>leur offre 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="00751283">
        <w:rPr>
          <w:rFonts w:eastAsiaTheme="minorHAnsi" w:cs="Times New Roman"/>
          <w:iCs/>
          <w:lang w:val="fr-FR" w:eastAsia="en-US"/>
        </w:rPr>
        <w:t>accès à</w:t>
      </w:r>
      <w:r w:rsidRPr="006F47A5">
        <w:rPr>
          <w:rFonts w:eastAsiaTheme="minorHAnsi" w:cs="Times New Roman"/>
          <w:iCs/>
          <w:lang w:val="fr-FR" w:eastAsia="en-US"/>
        </w:rPr>
        <w:t xml:space="preserve"> un large éventail de ressources, </w:t>
      </w:r>
      <w:r w:rsidR="00751283">
        <w:rPr>
          <w:rFonts w:eastAsiaTheme="minorHAnsi" w:cs="Times New Roman"/>
          <w:iCs/>
          <w:lang w:val="fr-FR" w:eastAsia="en-US"/>
        </w:rPr>
        <w:t>notamment</w:t>
      </w:r>
      <w:r w:rsidRPr="006F47A5">
        <w:rPr>
          <w:rFonts w:eastAsiaTheme="minorHAnsi" w:cs="Times New Roman"/>
          <w:iCs/>
          <w:lang w:val="fr-FR" w:eastAsia="en-US"/>
        </w:rPr>
        <w:t xml:space="preserve"> à des outils de recherche</w:t>
      </w:r>
      <w:r w:rsidR="00751283">
        <w:rPr>
          <w:rFonts w:eastAsiaTheme="minorHAnsi" w:cs="Times New Roman"/>
          <w:iCs/>
          <w:lang w:val="fr-FR" w:eastAsia="en-US"/>
        </w:rPr>
        <w:t xml:space="preserve"> en matière</w:t>
      </w:r>
      <w:r w:rsidRPr="006F47A5">
        <w:rPr>
          <w:rFonts w:eastAsiaTheme="minorHAnsi" w:cs="Times New Roman"/>
          <w:iCs/>
          <w:lang w:val="fr-FR" w:eastAsia="en-US"/>
        </w:rPr>
        <w:t xml:space="preserve"> de brevets (EPOQUE) et à des </w:t>
      </w:r>
      <w:r w:rsidR="00751283">
        <w:rPr>
          <w:rFonts w:eastAsiaTheme="minorHAnsi" w:cs="Times New Roman"/>
          <w:iCs/>
          <w:lang w:val="fr-FR" w:eastAsia="en-US"/>
        </w:rPr>
        <w:t>moteurs</w:t>
      </w:r>
      <w:r w:rsidRPr="006F47A5">
        <w:rPr>
          <w:rFonts w:eastAsiaTheme="minorHAnsi" w:cs="Times New Roman"/>
          <w:iCs/>
          <w:lang w:val="fr-FR" w:eastAsia="en-US"/>
        </w:rPr>
        <w:t xml:space="preserve"> de recherche (STN), qui </w:t>
      </w:r>
      <w:r w:rsidR="00751283">
        <w:rPr>
          <w:rFonts w:eastAsiaTheme="minorHAnsi" w:cs="Times New Roman"/>
          <w:iCs/>
          <w:lang w:val="fr-FR" w:eastAsia="en-US"/>
        </w:rPr>
        <w:t>re</w:t>
      </w:r>
      <w:r w:rsidRPr="006F47A5">
        <w:rPr>
          <w:rFonts w:eastAsiaTheme="minorHAnsi" w:cs="Times New Roman"/>
          <w:iCs/>
          <w:lang w:val="fr-FR" w:eastAsia="en-US"/>
        </w:rPr>
        <w:t>couvre</w:t>
      </w:r>
      <w:r w:rsidR="00751283">
        <w:rPr>
          <w:rFonts w:eastAsiaTheme="minorHAnsi" w:cs="Times New Roman"/>
          <w:iCs/>
          <w:lang w:val="fr-FR" w:eastAsia="en-US"/>
        </w:rPr>
        <w:t>nt</w:t>
      </w:r>
      <w:r w:rsidRPr="006F47A5">
        <w:rPr>
          <w:rFonts w:eastAsiaTheme="minorHAnsi" w:cs="Times New Roman"/>
          <w:iCs/>
          <w:lang w:val="fr-FR" w:eastAsia="en-US"/>
        </w:rPr>
        <w:t xml:space="preserve"> au moins la documentation minimale, ainsi que des manuels sous forme électronique (par exemple, le manuel </w:t>
      </w:r>
      <w:r w:rsidR="000E233A" w:rsidRPr="006F47A5">
        <w:rPr>
          <w:rFonts w:eastAsiaTheme="minorHAnsi" w:cs="Times New Roman"/>
          <w:iCs/>
          <w:lang w:val="fr-FR" w:eastAsia="en-US"/>
        </w:rPr>
        <w:t>sur les pratiques et</w:t>
      </w:r>
      <w:r w:rsidRPr="006F47A5">
        <w:rPr>
          <w:rFonts w:eastAsiaTheme="minorHAnsi" w:cs="Times New Roman"/>
          <w:iCs/>
          <w:lang w:val="fr-FR" w:eastAsia="en-US"/>
        </w:rPr>
        <w:t xml:space="preserve"> procédures en matière de brevets et le manuel </w:t>
      </w:r>
      <w:r w:rsidR="00751283">
        <w:rPr>
          <w:rFonts w:eastAsiaTheme="minorHAnsi" w:cs="Times New Roman"/>
          <w:iCs/>
          <w:lang w:val="fr-FR" w:eastAsia="en-US"/>
        </w:rPr>
        <w:t>sur le</w:t>
      </w:r>
      <w:r w:rsidRPr="006F47A5">
        <w:rPr>
          <w:rFonts w:eastAsiaTheme="minorHAnsi" w:cs="Times New Roman"/>
          <w:iCs/>
          <w:lang w:val="fr-FR" w:eastAsia="en-US"/>
        </w:rPr>
        <w:t xml:space="preserve"> système de gestion de la qualité), des documents juridiques sur les brevets, et les documents de 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Pr="006F47A5">
        <w:rPr>
          <w:rFonts w:eastAsiaTheme="minorHAnsi" w:cs="Times New Roman"/>
          <w:iCs/>
          <w:lang w:val="fr-FR" w:eastAsia="en-US"/>
        </w:rPr>
        <w:t>OMPI et</w:t>
      </w:r>
      <w:r w:rsidR="008F1232" w:rsidRPr="008F1232">
        <w:rPr>
          <w:rFonts w:eastAsiaTheme="minorHAnsi" w:cs="Times New Roman"/>
          <w:iCs/>
          <w:lang w:val="fr-FR" w:eastAsia="en-US"/>
        </w:rPr>
        <w:t xml:space="preserve"> du PCT</w:t>
      </w:r>
      <w:r w:rsidR="00C00099" w:rsidRPr="006F47A5">
        <w:rPr>
          <w:rFonts w:eastAsiaTheme="minorHAnsi" w:cs="Times New Roman"/>
          <w:iCs/>
          <w:lang w:val="fr-FR" w:eastAsia="en-US"/>
        </w:rPr>
        <w:t xml:space="preserve">.  </w:t>
      </w:r>
      <w:r w:rsidRPr="006F47A5">
        <w:rPr>
          <w:rFonts w:eastAsiaTheme="minorHAnsi" w:cs="Times New Roman"/>
          <w:iCs/>
          <w:lang w:val="fr-FR" w:eastAsia="en-US"/>
        </w:rPr>
        <w:t>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Pr="006F47A5">
        <w:rPr>
          <w:rFonts w:eastAsiaTheme="minorHAnsi" w:cs="Times New Roman"/>
          <w:iCs/>
          <w:lang w:val="fr-FR" w:eastAsia="en-US"/>
        </w:rPr>
        <w:t>Office australien des brevets a mis en œuvre un ensemble de bonnes pratiques</w:t>
      </w:r>
      <w:r w:rsidR="008F1232" w:rsidRPr="008F1232">
        <w:rPr>
          <w:rFonts w:eastAsiaTheme="minorHAnsi" w:cs="Times New Roman"/>
          <w:iCs/>
          <w:lang w:val="fr-FR" w:eastAsia="en-US"/>
        </w:rPr>
        <w:t xml:space="preserve"> </w:t>
      </w:r>
      <w:r w:rsidR="00751283">
        <w:rPr>
          <w:rFonts w:eastAsiaTheme="minorHAnsi" w:cs="Times New Roman"/>
          <w:iCs/>
          <w:lang w:val="fr-FR" w:eastAsia="en-US"/>
        </w:rPr>
        <w:t>selon le</w:t>
      </w:r>
      <w:r w:rsidR="008F1232" w:rsidRPr="008F1232">
        <w:rPr>
          <w:rFonts w:eastAsiaTheme="minorHAnsi" w:cs="Times New Roman"/>
          <w:iCs/>
          <w:lang w:val="fr-FR" w:eastAsia="en-US"/>
        </w:rPr>
        <w:t> PCT</w:t>
      </w:r>
      <w:r w:rsidRPr="006F47A5">
        <w:rPr>
          <w:rFonts w:eastAsiaTheme="minorHAnsi" w:cs="Times New Roman"/>
          <w:iCs/>
          <w:lang w:val="fr-FR" w:eastAsia="en-US"/>
        </w:rPr>
        <w:t xml:space="preserve">, qui ont été </w:t>
      </w:r>
      <w:r w:rsidR="00F92AC7" w:rsidRPr="006F47A5">
        <w:rPr>
          <w:rFonts w:eastAsiaTheme="minorHAnsi" w:cs="Times New Roman"/>
          <w:iCs/>
          <w:lang w:val="fr-FR" w:eastAsia="en-US"/>
        </w:rPr>
        <w:t>intégrées</w:t>
      </w:r>
      <w:r w:rsidRPr="006F47A5">
        <w:rPr>
          <w:rFonts w:eastAsiaTheme="minorHAnsi" w:cs="Times New Roman"/>
          <w:iCs/>
          <w:lang w:val="fr-FR" w:eastAsia="en-US"/>
        </w:rPr>
        <w:t xml:space="preserve"> au manuel </w:t>
      </w:r>
      <w:r w:rsidR="000E233A" w:rsidRPr="006F47A5">
        <w:rPr>
          <w:rFonts w:eastAsiaTheme="minorHAnsi" w:cs="Times New Roman"/>
          <w:iCs/>
          <w:lang w:val="fr-FR" w:eastAsia="en-US"/>
        </w:rPr>
        <w:t xml:space="preserve">sur les pratiques et procédures, ainsi que la formation des examinateurs </w:t>
      </w:r>
      <w:r w:rsidR="00751283">
        <w:rPr>
          <w:rFonts w:eastAsiaTheme="minorHAnsi" w:cs="Times New Roman"/>
          <w:iCs/>
          <w:lang w:val="fr-FR" w:eastAsia="en-US"/>
        </w:rPr>
        <w:t xml:space="preserve">en matière </w:t>
      </w:r>
      <w:r w:rsidR="000E233A" w:rsidRPr="006F47A5">
        <w:rPr>
          <w:rFonts w:eastAsiaTheme="minorHAnsi" w:cs="Times New Roman"/>
          <w:iCs/>
          <w:lang w:val="fr-FR" w:eastAsia="en-US"/>
        </w:rPr>
        <w:t>de droits de la propriété intellectuel</w:t>
      </w:r>
      <w:r w:rsidR="00CE00F9" w:rsidRPr="006F47A5">
        <w:rPr>
          <w:rFonts w:eastAsiaTheme="minorHAnsi" w:cs="Times New Roman"/>
          <w:iCs/>
          <w:lang w:val="fr-FR" w:eastAsia="en-US"/>
        </w:rPr>
        <w:t>le</w:t>
      </w:r>
      <w:r w:rsidR="00CE00F9">
        <w:rPr>
          <w:rFonts w:eastAsiaTheme="minorHAnsi" w:cs="Times New Roman"/>
          <w:iCs/>
          <w:lang w:val="fr-FR" w:eastAsia="en-US"/>
        </w:rPr>
        <w:t xml:space="preserve">.  </w:t>
      </w:r>
      <w:r w:rsidR="00CE00F9" w:rsidRPr="006F47A5">
        <w:rPr>
          <w:rFonts w:eastAsiaTheme="minorHAnsi" w:cs="Times New Roman"/>
          <w:iCs/>
          <w:lang w:val="fr-FR" w:eastAsia="en-US"/>
        </w:rPr>
        <w:t>Ce</w:t>
      </w:r>
      <w:r w:rsidR="000E233A" w:rsidRPr="006F47A5">
        <w:rPr>
          <w:rFonts w:eastAsiaTheme="minorHAnsi" w:cs="Times New Roman"/>
          <w:iCs/>
          <w:lang w:val="fr-FR" w:eastAsia="en-US"/>
        </w:rPr>
        <w:t xml:space="preserve">s pratiques </w:t>
      </w:r>
      <w:r w:rsidR="00751283">
        <w:rPr>
          <w:rFonts w:eastAsiaTheme="minorHAnsi" w:cs="Times New Roman"/>
          <w:iCs/>
          <w:lang w:val="fr-FR" w:eastAsia="en-US"/>
        </w:rPr>
        <w:t>s</w:t>
      </w:r>
      <w:r w:rsidR="000E233A" w:rsidRPr="006F47A5">
        <w:rPr>
          <w:rFonts w:eastAsiaTheme="minorHAnsi" w:cs="Times New Roman"/>
          <w:iCs/>
          <w:lang w:val="fr-FR" w:eastAsia="en-US"/>
        </w:rPr>
        <w:t>ont régulièrement révis</w:t>
      </w:r>
      <w:r w:rsidR="00751283">
        <w:rPr>
          <w:rFonts w:eastAsiaTheme="minorHAnsi" w:cs="Times New Roman"/>
          <w:iCs/>
          <w:lang w:val="fr-FR" w:eastAsia="en-US"/>
        </w:rPr>
        <w:t>é</w:t>
      </w:r>
      <w:r w:rsidR="00CE00F9">
        <w:rPr>
          <w:rFonts w:eastAsiaTheme="minorHAnsi" w:cs="Times New Roman"/>
          <w:iCs/>
          <w:lang w:val="fr-FR" w:eastAsia="en-US"/>
        </w:rPr>
        <w:t>es.  L</w:t>
      </w:r>
      <w:r w:rsidR="00CE00F9" w:rsidRPr="006F47A5">
        <w:rPr>
          <w:rFonts w:eastAsiaTheme="minorHAnsi" w:cs="Times New Roman"/>
          <w:iCs/>
          <w:lang w:val="fr-FR" w:eastAsia="en-US"/>
        </w:rPr>
        <w:t>e</w:t>
      </w:r>
      <w:r w:rsidR="000E233A" w:rsidRPr="006F47A5">
        <w:rPr>
          <w:rFonts w:eastAsiaTheme="minorHAnsi" w:cs="Times New Roman"/>
          <w:iCs/>
          <w:lang w:val="fr-FR" w:eastAsia="en-US"/>
        </w:rPr>
        <w:t xml:space="preserve">s outils supplémentaires </w:t>
      </w:r>
      <w:r w:rsidR="00751283">
        <w:rPr>
          <w:rFonts w:eastAsiaTheme="minorHAnsi" w:cs="Times New Roman"/>
          <w:iCs/>
          <w:lang w:val="fr-FR" w:eastAsia="en-US"/>
        </w:rPr>
        <w:t>à la disposition d</w:t>
      </w:r>
      <w:r w:rsidR="000E233A" w:rsidRPr="006F47A5">
        <w:rPr>
          <w:rFonts w:eastAsiaTheme="minorHAnsi" w:cs="Times New Roman"/>
          <w:iCs/>
          <w:lang w:val="fr-FR" w:eastAsia="en-US"/>
        </w:rPr>
        <w:t>es examinateurs comprennent 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="000E233A" w:rsidRPr="006F47A5">
        <w:rPr>
          <w:rFonts w:eastAsiaTheme="minorHAnsi" w:cs="Times New Roman"/>
          <w:iCs/>
          <w:lang w:val="fr-FR" w:eastAsia="en-US"/>
        </w:rPr>
        <w:t xml:space="preserve">accès rapide à des bases de données internes et externes, des ouvrages techniques, des </w:t>
      </w:r>
      <w:r w:rsidR="00751283">
        <w:rPr>
          <w:rFonts w:eastAsiaTheme="minorHAnsi" w:cs="Times New Roman"/>
          <w:iCs/>
          <w:lang w:val="fr-FR" w:eastAsia="en-US"/>
        </w:rPr>
        <w:t>revues</w:t>
      </w:r>
      <w:r w:rsidR="000E233A" w:rsidRPr="006F47A5">
        <w:rPr>
          <w:rFonts w:eastAsiaTheme="minorHAnsi" w:cs="Times New Roman"/>
          <w:iCs/>
          <w:lang w:val="fr-FR" w:eastAsia="en-US"/>
        </w:rPr>
        <w:t xml:space="preserve"> et des ressources juridiques sur 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="00751283">
        <w:rPr>
          <w:rFonts w:eastAsiaTheme="minorHAnsi" w:cs="Times New Roman"/>
          <w:iCs/>
          <w:lang w:val="fr-FR" w:eastAsia="en-US"/>
        </w:rPr>
        <w:t>interfac</w:t>
      </w:r>
      <w:r w:rsidR="000E233A" w:rsidRPr="006F47A5">
        <w:rPr>
          <w:rFonts w:eastAsiaTheme="minorHAnsi" w:cs="Times New Roman"/>
          <w:iCs/>
          <w:lang w:val="fr-FR" w:eastAsia="en-US"/>
        </w:rPr>
        <w:t xml:space="preserve">e </w:t>
      </w:r>
      <w:r w:rsidR="00751283">
        <w:rPr>
          <w:rFonts w:eastAsiaTheme="minorHAnsi" w:cs="Times New Roman"/>
          <w:iCs/>
          <w:lang w:val="fr-FR" w:eastAsia="en-US"/>
        </w:rPr>
        <w:t>relative à</w:t>
      </w:r>
      <w:r w:rsidR="00F92AC7" w:rsidRPr="006F47A5">
        <w:rPr>
          <w:rFonts w:eastAsiaTheme="minorHAnsi" w:cs="Times New Roman"/>
          <w:iCs/>
          <w:lang w:val="fr-FR" w:eastAsia="en-US"/>
        </w:rPr>
        <w:t xml:space="preserve"> 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="00F92AC7" w:rsidRPr="006F47A5">
        <w:rPr>
          <w:rFonts w:eastAsiaTheme="minorHAnsi" w:cs="Times New Roman"/>
          <w:iCs/>
          <w:lang w:val="fr-FR" w:eastAsia="en-US"/>
        </w:rPr>
        <w:t xml:space="preserve">examen des </w:t>
      </w:r>
      <w:r w:rsidR="00751283">
        <w:rPr>
          <w:rFonts w:eastAsiaTheme="minorHAnsi" w:cs="Times New Roman"/>
          <w:iCs/>
          <w:lang w:val="fr-FR" w:eastAsia="en-US"/>
        </w:rPr>
        <w:t xml:space="preserve">demandes de </w:t>
      </w:r>
      <w:r w:rsidR="00C44945">
        <w:rPr>
          <w:rFonts w:eastAsiaTheme="minorHAnsi" w:cs="Times New Roman"/>
          <w:iCs/>
          <w:lang w:val="fr-FR" w:eastAsia="en-US"/>
        </w:rPr>
        <w:t>brevet</w:t>
      </w:r>
      <w:r w:rsidR="00F92AC7" w:rsidRPr="006F47A5">
        <w:rPr>
          <w:rFonts w:eastAsiaTheme="minorHAnsi" w:cs="Times New Roman"/>
          <w:iCs/>
          <w:lang w:val="fr-FR" w:eastAsia="en-US"/>
        </w:rPr>
        <w:t xml:space="preserve"> d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="000E233A" w:rsidRPr="006F47A5">
        <w:rPr>
          <w:rFonts w:eastAsiaTheme="minorHAnsi" w:cs="Times New Roman"/>
          <w:iCs/>
          <w:lang w:val="fr-FR" w:eastAsia="en-US"/>
        </w:rPr>
        <w:t>IP</w:t>
      </w:r>
      <w:r w:rsidR="00206805">
        <w:rPr>
          <w:rFonts w:eastAsiaTheme="minorHAnsi" w:cs="Times New Roman"/>
          <w:iCs/>
          <w:lang w:val="fr-FR" w:eastAsia="en-US"/>
        </w:rPr>
        <w:t> </w:t>
      </w:r>
      <w:proofErr w:type="spellStart"/>
      <w:r w:rsidR="000E233A" w:rsidRPr="006F47A5">
        <w:rPr>
          <w:rFonts w:eastAsiaTheme="minorHAnsi" w:cs="Times New Roman"/>
          <w:iCs/>
          <w:lang w:val="fr-FR" w:eastAsia="en-US"/>
        </w:rPr>
        <w:t>Austral</w:t>
      </w:r>
      <w:r w:rsidR="00CE00F9" w:rsidRPr="006F47A5">
        <w:rPr>
          <w:rFonts w:eastAsiaTheme="minorHAnsi" w:cs="Times New Roman"/>
          <w:iCs/>
          <w:lang w:val="fr-FR" w:eastAsia="en-US"/>
        </w:rPr>
        <w:t>ia</w:t>
      </w:r>
      <w:proofErr w:type="spellEnd"/>
      <w:r w:rsidR="00CE00F9">
        <w:rPr>
          <w:rFonts w:eastAsiaTheme="minorHAnsi" w:cs="Times New Roman"/>
          <w:iCs/>
          <w:lang w:val="fr-FR" w:eastAsia="en-US"/>
        </w:rPr>
        <w:t xml:space="preserve">.  </w:t>
      </w:r>
      <w:r w:rsidR="00CE00F9" w:rsidRPr="006F47A5">
        <w:rPr>
          <w:rFonts w:eastAsiaTheme="minorHAnsi" w:cs="Times New Roman"/>
          <w:iCs/>
          <w:lang w:val="fr-FR" w:eastAsia="en-US"/>
        </w:rPr>
        <w:t>Ce</w:t>
      </w:r>
      <w:r w:rsidR="000E233A" w:rsidRPr="006F47A5">
        <w:rPr>
          <w:rFonts w:eastAsiaTheme="minorHAnsi" w:cs="Times New Roman"/>
          <w:iCs/>
          <w:lang w:val="fr-FR" w:eastAsia="en-US"/>
        </w:rPr>
        <w:t>la inclut</w:t>
      </w:r>
      <w:r w:rsidR="00F92AC7" w:rsidRPr="006F47A5">
        <w:rPr>
          <w:rFonts w:eastAsiaTheme="minorHAnsi" w:cs="Times New Roman"/>
          <w:iCs/>
          <w:lang w:val="fr-FR" w:eastAsia="en-US"/>
        </w:rPr>
        <w:t>, sans être exhaustif</w:t>
      </w:r>
      <w:r w:rsidR="000E233A" w:rsidRPr="006F47A5">
        <w:rPr>
          <w:rFonts w:eastAsiaTheme="minorHAnsi" w:cs="Times New Roman"/>
          <w:iCs/>
          <w:lang w:val="fr-FR" w:eastAsia="en-US"/>
        </w:rPr>
        <w:t xml:space="preserve">, IEEE, MEDLINE, Nature, </w:t>
      </w:r>
      <w:proofErr w:type="spellStart"/>
      <w:r w:rsidR="000E233A" w:rsidRPr="006F47A5">
        <w:rPr>
          <w:rFonts w:eastAsiaTheme="minorHAnsi" w:cs="Times New Roman"/>
          <w:iCs/>
          <w:lang w:val="fr-FR" w:eastAsia="en-US"/>
        </w:rPr>
        <w:t>PubMed</w:t>
      </w:r>
      <w:proofErr w:type="spellEnd"/>
      <w:r w:rsidR="000E233A" w:rsidRPr="006F47A5">
        <w:rPr>
          <w:rFonts w:eastAsiaTheme="minorHAnsi" w:cs="Times New Roman"/>
          <w:iCs/>
          <w:lang w:val="fr-FR" w:eastAsia="en-US"/>
        </w:rPr>
        <w:t>, Questel</w:t>
      </w:r>
      <w:r w:rsidR="00EE5220">
        <w:rPr>
          <w:rFonts w:eastAsiaTheme="minorHAnsi" w:cs="Times New Roman"/>
          <w:iCs/>
          <w:lang w:val="fr-FR" w:eastAsia="en-US"/>
        </w:rPr>
        <w:noBreakHyphen/>
      </w:r>
      <w:proofErr w:type="spellStart"/>
      <w:r w:rsidR="000E233A" w:rsidRPr="006F47A5">
        <w:rPr>
          <w:rFonts w:eastAsiaTheme="minorHAnsi" w:cs="Times New Roman"/>
          <w:iCs/>
          <w:lang w:val="fr-FR" w:eastAsia="en-US"/>
        </w:rPr>
        <w:t>Orbit</w:t>
      </w:r>
      <w:proofErr w:type="spellEnd"/>
      <w:r w:rsidR="000E233A" w:rsidRPr="006F47A5">
        <w:rPr>
          <w:rFonts w:eastAsiaTheme="minorHAnsi" w:cs="Times New Roman"/>
          <w:iCs/>
          <w:lang w:val="fr-FR" w:eastAsia="en-US"/>
        </w:rPr>
        <w:t xml:space="preserve">, </w:t>
      </w:r>
      <w:r w:rsidR="00FD5C7A">
        <w:rPr>
          <w:rFonts w:eastAsiaTheme="minorHAnsi" w:cs="Times New Roman"/>
          <w:iCs/>
          <w:lang w:val="fr-FR" w:eastAsia="en-US"/>
        </w:rPr>
        <w:t>WIPO CASE</w:t>
      </w:r>
      <w:r w:rsidR="00C00099" w:rsidRPr="006F47A5">
        <w:rPr>
          <w:rFonts w:eastAsiaTheme="minorHAnsi" w:cs="Times New Roman"/>
          <w:iCs/>
          <w:lang w:val="fr-FR" w:eastAsia="en-US"/>
        </w:rPr>
        <w:t>.</w:t>
      </w:r>
    </w:p>
    <w:p w:rsidR="000E233A" w:rsidRPr="006F47A5" w:rsidRDefault="000E233A" w:rsidP="008B7911">
      <w:pPr>
        <w:rPr>
          <w:rFonts w:eastAsiaTheme="minorHAnsi" w:cs="Times New Roman"/>
          <w:iCs/>
          <w:lang w:val="fr-FR" w:eastAsia="en-US"/>
        </w:rPr>
      </w:pPr>
    </w:p>
    <w:p w:rsidR="000E233A" w:rsidRDefault="000E233A" w:rsidP="008B7911">
      <w:pPr>
        <w:rPr>
          <w:rFonts w:eastAsiaTheme="minorHAnsi" w:cs="Times New Roman"/>
          <w:iCs/>
          <w:lang w:val="fr-FR" w:eastAsia="en-US"/>
        </w:rPr>
      </w:pPr>
      <w:r w:rsidRPr="006F47A5">
        <w:rPr>
          <w:rFonts w:eastAsiaTheme="minorHAnsi" w:cs="Times New Roman"/>
          <w:iCs/>
          <w:lang w:val="fr-FR" w:eastAsia="en-US"/>
        </w:rPr>
        <w:t>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Pr="006F47A5">
        <w:rPr>
          <w:rFonts w:eastAsiaTheme="minorHAnsi" w:cs="Times New Roman"/>
          <w:iCs/>
          <w:lang w:val="fr-FR" w:eastAsia="en-US"/>
        </w:rPr>
        <w:t>équipe technique de recherche de l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Pr="006F47A5">
        <w:rPr>
          <w:rFonts w:eastAsiaTheme="minorHAnsi" w:cs="Times New Roman"/>
          <w:iCs/>
          <w:lang w:val="fr-FR" w:eastAsia="en-US"/>
        </w:rPr>
        <w:t>Office australien des brevets s</w:t>
      </w:r>
      <w:r w:rsidR="00FD5C7A">
        <w:rPr>
          <w:rFonts w:eastAsiaTheme="minorHAnsi" w:cs="Times New Roman"/>
          <w:iCs/>
          <w:lang w:val="fr-FR" w:eastAsia="en-US"/>
        </w:rPr>
        <w:t>’</w:t>
      </w:r>
      <w:r w:rsidRPr="006F47A5">
        <w:rPr>
          <w:rFonts w:eastAsiaTheme="minorHAnsi" w:cs="Times New Roman"/>
          <w:iCs/>
          <w:lang w:val="fr-FR" w:eastAsia="en-US"/>
        </w:rPr>
        <w:t xml:space="preserve">assure que les examinateurs disposent des techniques de recherche issues des meilleures pratiques et </w:t>
      </w:r>
      <w:r w:rsidR="00751283">
        <w:rPr>
          <w:rFonts w:eastAsiaTheme="minorHAnsi" w:cs="Times New Roman"/>
          <w:iCs/>
          <w:lang w:val="fr-FR" w:eastAsia="en-US"/>
        </w:rPr>
        <w:t xml:space="preserve">ont </w:t>
      </w:r>
      <w:r w:rsidRPr="006F47A5">
        <w:rPr>
          <w:rFonts w:eastAsiaTheme="minorHAnsi" w:cs="Times New Roman"/>
          <w:iCs/>
          <w:lang w:val="fr-FR" w:eastAsia="en-US"/>
        </w:rPr>
        <w:t>accès à des outils de recherche de quali</w:t>
      </w:r>
      <w:r w:rsidR="00CE00F9" w:rsidRPr="006F47A5">
        <w:rPr>
          <w:rFonts w:eastAsiaTheme="minorHAnsi" w:cs="Times New Roman"/>
          <w:iCs/>
          <w:lang w:val="fr-FR" w:eastAsia="en-US"/>
        </w:rPr>
        <w:t>té</w:t>
      </w:r>
      <w:r w:rsidR="00CE00F9">
        <w:rPr>
          <w:rFonts w:eastAsiaTheme="minorHAnsi" w:cs="Times New Roman"/>
          <w:iCs/>
          <w:lang w:val="fr-FR" w:eastAsia="en-US"/>
        </w:rPr>
        <w:t xml:space="preserve">.  </w:t>
      </w:r>
      <w:r w:rsidR="00CE00F9" w:rsidRPr="006F47A5">
        <w:rPr>
          <w:rFonts w:eastAsiaTheme="minorHAnsi" w:cs="Times New Roman"/>
          <w:iCs/>
          <w:lang w:val="fr-FR" w:eastAsia="en-US"/>
        </w:rPr>
        <w:t>Ce</w:t>
      </w:r>
      <w:r w:rsidRPr="006F47A5">
        <w:rPr>
          <w:rFonts w:eastAsiaTheme="minorHAnsi" w:cs="Times New Roman"/>
          <w:iCs/>
          <w:lang w:val="fr-FR" w:eastAsia="en-US"/>
        </w:rPr>
        <w:t xml:space="preserve">tte équipe </w:t>
      </w:r>
      <w:r w:rsidR="00EF74CF" w:rsidRPr="006F47A5">
        <w:rPr>
          <w:rFonts w:eastAsiaTheme="minorHAnsi" w:cs="Times New Roman"/>
          <w:iCs/>
          <w:lang w:val="fr-FR" w:eastAsia="en-US"/>
        </w:rPr>
        <w:t>effectue deux</w:t>
      </w:r>
      <w:r w:rsidR="00206805">
        <w:rPr>
          <w:rFonts w:eastAsiaTheme="minorHAnsi" w:cs="Times New Roman"/>
          <w:iCs/>
          <w:lang w:val="fr-FR" w:eastAsia="en-US"/>
        </w:rPr>
        <w:t> </w:t>
      </w:r>
      <w:r w:rsidR="00EF74CF" w:rsidRPr="006F47A5">
        <w:rPr>
          <w:rFonts w:eastAsiaTheme="minorHAnsi" w:cs="Times New Roman"/>
          <w:iCs/>
          <w:lang w:val="fr-FR" w:eastAsia="en-US"/>
        </w:rPr>
        <w:t>tâches principales</w:t>
      </w:r>
      <w:r w:rsidR="00FD5C7A">
        <w:rPr>
          <w:rFonts w:eastAsiaTheme="minorHAnsi" w:cs="Times New Roman"/>
          <w:iCs/>
          <w:lang w:val="fr-FR" w:eastAsia="en-US"/>
        </w:rPr>
        <w:t> :</w:t>
      </w:r>
    </w:p>
    <w:p w:rsidR="00CE00F9" w:rsidRPr="006F47A5" w:rsidRDefault="00CE00F9" w:rsidP="008B7911">
      <w:pPr>
        <w:rPr>
          <w:rFonts w:eastAsiaTheme="minorHAnsi" w:cs="Times New Roman"/>
          <w:iCs/>
          <w:lang w:val="fr-FR" w:eastAsia="en-US"/>
        </w:rPr>
      </w:pPr>
    </w:p>
    <w:p w:rsidR="000E233A" w:rsidRPr="006F47A5" w:rsidRDefault="00EF74CF" w:rsidP="008B7911">
      <w:pPr>
        <w:pStyle w:val="ListParagraph"/>
        <w:numPr>
          <w:ilvl w:val="0"/>
          <w:numId w:val="3"/>
        </w:numPr>
        <w:ind w:left="1134" w:hanging="567"/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="000E233A" w:rsidRPr="006F47A5">
        <w:rPr>
          <w:lang w:val="fr-FR"/>
        </w:rPr>
        <w:t>assistance,</w:t>
      </w:r>
      <w:r w:rsidRPr="006F47A5">
        <w:rPr>
          <w:lang w:val="fr-FR"/>
        </w:rPr>
        <w:t xml:space="preserve"> la</w:t>
      </w:r>
      <w:r w:rsidR="000E233A" w:rsidRPr="006F47A5">
        <w:rPr>
          <w:lang w:val="fr-FR"/>
        </w:rPr>
        <w:t xml:space="preserve"> formation et </w:t>
      </w:r>
      <w:r w:rsidRPr="006F47A5">
        <w:rPr>
          <w:lang w:val="fr-FR"/>
        </w:rPr>
        <w:t xml:space="preserve">la </w:t>
      </w:r>
      <w:r w:rsidR="000E233A" w:rsidRPr="006F47A5">
        <w:rPr>
          <w:lang w:val="fr-FR"/>
        </w:rPr>
        <w:t>promotion des techniques de recherche issues des meilleu</w:t>
      </w:r>
      <w:r w:rsidR="004F31F2">
        <w:rPr>
          <w:lang w:val="fr-FR"/>
        </w:rPr>
        <w:t>res pratiques dans les sections;</w:t>
      </w:r>
    </w:p>
    <w:p w:rsidR="000E233A" w:rsidRDefault="00EF74CF" w:rsidP="008B7911">
      <w:pPr>
        <w:pStyle w:val="ListParagraph"/>
        <w:numPr>
          <w:ilvl w:val="0"/>
          <w:numId w:val="3"/>
        </w:numPr>
        <w:ind w:left="1134" w:hanging="567"/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>é</w:t>
      </w:r>
      <w:r w:rsidR="000E233A" w:rsidRPr="006F47A5">
        <w:rPr>
          <w:lang w:val="fr-FR"/>
        </w:rPr>
        <w:t xml:space="preserve">valuation des outils de recherche et des bases de données </w:t>
      </w:r>
      <w:r w:rsidRPr="006F47A5">
        <w:rPr>
          <w:lang w:val="fr-FR"/>
        </w:rPr>
        <w:t>pour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examen des </w:t>
      </w:r>
      <w:r w:rsidR="00751283">
        <w:rPr>
          <w:lang w:val="fr-FR"/>
        </w:rPr>
        <w:t xml:space="preserve">demandes de </w:t>
      </w:r>
      <w:r w:rsidRPr="006F47A5">
        <w:rPr>
          <w:lang w:val="fr-FR"/>
        </w:rPr>
        <w:t>brevet.</w:t>
      </w:r>
    </w:p>
    <w:p w:rsidR="004F31F2" w:rsidRPr="004F31F2" w:rsidRDefault="004F31F2" w:rsidP="008B7911">
      <w:pPr>
        <w:ind w:left="1134" w:hanging="567"/>
        <w:rPr>
          <w:lang w:val="fr-FR"/>
        </w:rPr>
      </w:pPr>
    </w:p>
    <w:p w:rsidR="00EF74CF" w:rsidRDefault="00EF74CF" w:rsidP="008B7911">
      <w:pPr>
        <w:ind w:left="1134" w:hanging="567"/>
        <w:rPr>
          <w:lang w:val="fr-FR"/>
        </w:rPr>
      </w:pPr>
      <w:r w:rsidRPr="006F47A5">
        <w:rPr>
          <w:lang w:val="fr-FR"/>
        </w:rPr>
        <w:t>En outre, les activités de l</w:t>
      </w:r>
      <w:r w:rsidR="00FD5C7A">
        <w:rPr>
          <w:lang w:val="fr-FR"/>
        </w:rPr>
        <w:t>’</w:t>
      </w:r>
      <w:r w:rsidRPr="006F47A5">
        <w:rPr>
          <w:lang w:val="fr-FR"/>
        </w:rPr>
        <w:t>équipe technique de recherche comprennent</w:t>
      </w:r>
      <w:r w:rsidR="00FD5C7A">
        <w:rPr>
          <w:lang w:val="fr-FR"/>
        </w:rPr>
        <w:t> :</w:t>
      </w:r>
    </w:p>
    <w:p w:rsidR="00CE00F9" w:rsidRPr="006F47A5" w:rsidRDefault="00CE00F9" w:rsidP="008B7911">
      <w:pPr>
        <w:ind w:left="1134" w:hanging="567"/>
        <w:rPr>
          <w:lang w:val="fr-FR"/>
        </w:rPr>
      </w:pPr>
    </w:p>
    <w:p w:rsidR="00EF74CF" w:rsidRPr="006F47A5" w:rsidRDefault="00EF74CF" w:rsidP="008B7911">
      <w:pPr>
        <w:pStyle w:val="ListParagraph"/>
        <w:numPr>
          <w:ilvl w:val="0"/>
          <w:numId w:val="5"/>
        </w:numPr>
        <w:ind w:left="1134" w:hanging="567"/>
        <w:rPr>
          <w:lang w:val="fr-FR"/>
        </w:rPr>
      </w:pPr>
      <w:r w:rsidRPr="006F47A5">
        <w:rPr>
          <w:lang w:val="fr-FR"/>
        </w:rPr>
        <w:t>des activités de clas</w:t>
      </w:r>
      <w:r w:rsidR="00917E15">
        <w:rPr>
          <w:lang w:val="fr-FR"/>
        </w:rPr>
        <w:t>sement</w:t>
      </w:r>
      <w:r w:rsidRPr="006F47A5">
        <w:rPr>
          <w:lang w:val="fr-FR"/>
        </w:rPr>
        <w:t xml:space="preserve">, </w:t>
      </w:r>
      <w:r w:rsidR="00917E15">
        <w:rPr>
          <w:lang w:val="fr-FR"/>
        </w:rPr>
        <w:t>notamment dans le cadre de</w:t>
      </w:r>
      <w:r w:rsidR="008F1232" w:rsidRPr="008F1232">
        <w:rPr>
          <w:lang w:val="fr-FR"/>
        </w:rPr>
        <w:t xml:space="preserve"> la CIB</w:t>
      </w:r>
      <w:r w:rsidRPr="006F47A5">
        <w:rPr>
          <w:lang w:val="fr-FR"/>
        </w:rPr>
        <w:t xml:space="preserve"> et</w:t>
      </w:r>
      <w:r w:rsidR="008F1232" w:rsidRPr="008F1232">
        <w:rPr>
          <w:lang w:val="fr-FR"/>
        </w:rPr>
        <w:t xml:space="preserve"> </w:t>
      </w:r>
      <w:r w:rsidR="00917E15">
        <w:rPr>
          <w:lang w:val="fr-FR"/>
        </w:rPr>
        <w:t xml:space="preserve">de </w:t>
      </w:r>
      <w:r w:rsidR="008F1232" w:rsidRPr="008F1232">
        <w:rPr>
          <w:lang w:val="fr-FR"/>
        </w:rPr>
        <w:t>la CPC</w:t>
      </w:r>
      <w:r w:rsidR="004F31F2">
        <w:rPr>
          <w:lang w:val="fr-FR"/>
        </w:rPr>
        <w:t>;</w:t>
      </w:r>
    </w:p>
    <w:p w:rsidR="00EF74CF" w:rsidRPr="006F47A5" w:rsidRDefault="00EF74CF" w:rsidP="008B7911">
      <w:pPr>
        <w:pStyle w:val="ListParagraph"/>
        <w:numPr>
          <w:ilvl w:val="0"/>
          <w:numId w:val="5"/>
        </w:numPr>
        <w:ind w:left="1134" w:hanging="567"/>
        <w:rPr>
          <w:lang w:val="fr-FR"/>
        </w:rPr>
      </w:pPr>
      <w:r w:rsidRPr="006F47A5">
        <w:rPr>
          <w:lang w:val="fr-FR"/>
        </w:rPr>
        <w:t xml:space="preserve">le maintien </w:t>
      </w:r>
      <w:r w:rsidR="00917E15">
        <w:rPr>
          <w:lang w:val="fr-FR"/>
        </w:rPr>
        <w:t>des connaissances concernant les systèmes </w:t>
      </w:r>
      <w:r w:rsidRPr="006F47A5">
        <w:rPr>
          <w:lang w:val="fr-FR"/>
        </w:rPr>
        <w:t xml:space="preserve">EPOQUE et STN, </w:t>
      </w:r>
      <w:r w:rsidR="00917E15">
        <w:rPr>
          <w:lang w:val="fr-FR"/>
        </w:rPr>
        <w:t xml:space="preserve">entre </w:t>
      </w:r>
      <w:r w:rsidR="004F31F2">
        <w:rPr>
          <w:lang w:val="fr-FR"/>
        </w:rPr>
        <w:t>autres outils de recherche;</w:t>
      </w:r>
    </w:p>
    <w:p w:rsidR="00EF74CF" w:rsidRPr="006F47A5" w:rsidRDefault="00F92AC7" w:rsidP="008B7911">
      <w:pPr>
        <w:pStyle w:val="ListParagraph"/>
        <w:numPr>
          <w:ilvl w:val="0"/>
          <w:numId w:val="5"/>
        </w:numPr>
        <w:ind w:left="1134" w:hanging="567"/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>apport</w:t>
      </w:r>
      <w:r w:rsidR="00EF6C57" w:rsidRPr="006F47A5">
        <w:rPr>
          <w:lang w:val="fr-FR"/>
        </w:rPr>
        <w:t xml:space="preserve"> de spécialiste</w:t>
      </w:r>
      <w:r w:rsidRPr="006F47A5">
        <w:rPr>
          <w:lang w:val="fr-FR"/>
        </w:rPr>
        <w:t>s d</w:t>
      </w:r>
      <w:r w:rsidR="00FD5C7A">
        <w:rPr>
          <w:lang w:val="fr-FR"/>
        </w:rPr>
        <w:t>’</w:t>
      </w:r>
      <w:r w:rsidR="00EF6C57" w:rsidRPr="006F47A5">
        <w:rPr>
          <w:lang w:val="fr-FR"/>
        </w:rPr>
        <w:t xml:space="preserve">un domaine </w:t>
      </w:r>
      <w:r w:rsidRPr="006F47A5">
        <w:rPr>
          <w:lang w:val="fr-FR"/>
        </w:rPr>
        <w:t>donné aux</w:t>
      </w:r>
      <w:r w:rsidR="00EF6C57" w:rsidRPr="006F47A5">
        <w:rPr>
          <w:lang w:val="fr-FR"/>
        </w:rPr>
        <w:t xml:space="preserve"> équipes de</w:t>
      </w:r>
      <w:r w:rsidRPr="006F47A5">
        <w:rPr>
          <w:lang w:val="fr-FR"/>
        </w:rPr>
        <w:t>s</w:t>
      </w:r>
      <w:r w:rsidR="004F31F2">
        <w:rPr>
          <w:lang w:val="fr-FR"/>
        </w:rPr>
        <w:t xml:space="preserve"> projets de formation;</w:t>
      </w:r>
    </w:p>
    <w:p w:rsidR="00EF6C57" w:rsidRPr="006F47A5" w:rsidRDefault="00EF6C57" w:rsidP="008B7911">
      <w:pPr>
        <w:pStyle w:val="ListParagraph"/>
        <w:numPr>
          <w:ilvl w:val="0"/>
          <w:numId w:val="5"/>
        </w:numPr>
        <w:ind w:left="1134" w:hanging="567"/>
        <w:rPr>
          <w:lang w:val="fr-FR"/>
        </w:rPr>
      </w:pPr>
      <w:r w:rsidRPr="006F47A5">
        <w:rPr>
          <w:lang w:val="fr-FR"/>
        </w:rPr>
        <w:lastRenderedPageBreak/>
        <w:t>le maintien du volume de recherche du manuel sur la prati</w:t>
      </w:r>
      <w:r w:rsidR="004F31F2">
        <w:rPr>
          <w:lang w:val="fr-FR"/>
        </w:rPr>
        <w:t>que et les procédures</w:t>
      </w:r>
      <w:r w:rsidR="00917E15">
        <w:rPr>
          <w:lang w:val="fr-FR"/>
        </w:rPr>
        <w:t xml:space="preserve"> en matière</w:t>
      </w:r>
      <w:r w:rsidR="004F31F2">
        <w:rPr>
          <w:lang w:val="fr-FR"/>
        </w:rPr>
        <w:t xml:space="preserve"> de brevet</w:t>
      </w:r>
      <w:r w:rsidR="00917E15">
        <w:rPr>
          <w:lang w:val="fr-FR"/>
        </w:rPr>
        <w:t>s</w:t>
      </w:r>
      <w:r w:rsidR="004F31F2">
        <w:rPr>
          <w:lang w:val="fr-FR"/>
        </w:rPr>
        <w:t>;</w:t>
      </w:r>
    </w:p>
    <w:p w:rsidR="008F1232" w:rsidRDefault="00EF6C57" w:rsidP="008B7911">
      <w:pPr>
        <w:pStyle w:val="ListParagraph"/>
        <w:numPr>
          <w:ilvl w:val="0"/>
          <w:numId w:val="5"/>
        </w:numPr>
        <w:ind w:left="1134" w:hanging="567"/>
        <w:rPr>
          <w:lang w:val="fr-FR"/>
        </w:rPr>
      </w:pPr>
      <w:r w:rsidRPr="006F47A5">
        <w:rPr>
          <w:lang w:val="fr-FR"/>
        </w:rPr>
        <w:t>la responsabilité de</w:t>
      </w:r>
      <w:r w:rsidR="00917E15">
        <w:rPr>
          <w:lang w:val="fr-FR"/>
        </w:rPr>
        <w:t xml:space="preserve"> la</w:t>
      </w:r>
      <w:r w:rsidRPr="006F47A5">
        <w:rPr>
          <w:lang w:val="fr-FR"/>
        </w:rPr>
        <w:t xml:space="preserve"> gestion</w:t>
      </w:r>
      <w:r w:rsidR="00917E15">
        <w:rPr>
          <w:lang w:val="fr-FR"/>
        </w:rPr>
        <w:t xml:space="preserve"> des contrats</w:t>
      </w:r>
      <w:r w:rsidRPr="006F47A5">
        <w:rPr>
          <w:lang w:val="fr-FR"/>
        </w:rPr>
        <w:t xml:space="preserve"> pour les outils de recherche commerciale utilisé</w:t>
      </w:r>
      <w:r w:rsidR="003E479E" w:rsidRPr="006F47A5">
        <w:rPr>
          <w:lang w:val="fr-FR"/>
        </w:rPr>
        <w:t>s</w:t>
      </w:r>
      <w:r w:rsidRPr="006F47A5">
        <w:rPr>
          <w:lang w:val="fr-FR"/>
        </w:rPr>
        <w:t xml:space="preserve"> par les examinateurs</w:t>
      </w:r>
      <w:r w:rsidR="00C00099" w:rsidRPr="006F47A5">
        <w:rPr>
          <w:lang w:val="fr-FR"/>
        </w:rPr>
        <w:t>.</w:t>
      </w:r>
    </w:p>
    <w:p w:rsidR="00EF6C57" w:rsidRDefault="00EF6C57" w:rsidP="008B7911">
      <w:pPr>
        <w:rPr>
          <w:lang w:val="fr-FR"/>
        </w:rPr>
      </w:pPr>
    </w:p>
    <w:p w:rsidR="004F31F2" w:rsidRPr="006F47A5" w:rsidRDefault="004F31F2" w:rsidP="008B7911">
      <w:pPr>
        <w:rPr>
          <w:lang w:val="fr-FR"/>
        </w:rPr>
      </w:pPr>
    </w:p>
    <w:p w:rsidR="00EF6C57" w:rsidRPr="006F47A5" w:rsidRDefault="008F1232" w:rsidP="008B7911">
      <w:pPr>
        <w:rPr>
          <w:b/>
          <w:i/>
          <w:lang w:val="fr-FR"/>
        </w:rPr>
      </w:pPr>
      <w:r w:rsidRPr="006F47A5">
        <w:rPr>
          <w:b/>
          <w:i/>
          <w:lang w:val="fr-FR"/>
        </w:rPr>
        <w:t>Règle</w:t>
      </w:r>
      <w:r>
        <w:rPr>
          <w:b/>
          <w:i/>
          <w:lang w:val="fr-FR"/>
        </w:rPr>
        <w:t> </w:t>
      </w:r>
      <w:r w:rsidRPr="006F47A5">
        <w:rPr>
          <w:b/>
          <w:i/>
          <w:lang w:val="fr-FR"/>
        </w:rPr>
        <w:t>3</w:t>
      </w:r>
      <w:r w:rsidR="00EF6C57" w:rsidRPr="006F47A5">
        <w:rPr>
          <w:b/>
          <w:i/>
          <w:lang w:val="fr-FR"/>
        </w:rPr>
        <w:t>6.1.iii) et 63.1.iii</w:t>
      </w:r>
      <w:r w:rsidR="003E479E" w:rsidRPr="006F47A5">
        <w:rPr>
          <w:b/>
          <w:i/>
          <w:lang w:val="fr-FR"/>
        </w:rPr>
        <w:t>)</w:t>
      </w:r>
      <w:r w:rsidR="00FD5C7A">
        <w:rPr>
          <w:b/>
          <w:i/>
          <w:lang w:val="fr-FR"/>
        </w:rPr>
        <w:t> :</w:t>
      </w:r>
      <w:r w:rsidR="00EF6C57" w:rsidRPr="006F47A5">
        <w:rPr>
          <w:b/>
          <w:i/>
          <w:lang w:val="fr-FR"/>
        </w:rPr>
        <w:t xml:space="preserve"> </w:t>
      </w:r>
      <w:r w:rsidR="003E479E" w:rsidRPr="006F47A5">
        <w:rPr>
          <w:b/>
          <w:i/>
          <w:lang w:val="fr-FR"/>
        </w:rPr>
        <w:t>c</w:t>
      </w:r>
      <w:r w:rsidR="00EF6C57" w:rsidRPr="006F47A5">
        <w:rPr>
          <w:b/>
          <w:i/>
          <w:lang w:val="fr-FR"/>
        </w:rPr>
        <w:t>et office ou cette organisation doit disposer d</w:t>
      </w:r>
      <w:r w:rsidR="00FD5C7A">
        <w:rPr>
          <w:b/>
          <w:i/>
          <w:lang w:val="fr-FR"/>
        </w:rPr>
        <w:t>’</w:t>
      </w:r>
      <w:r w:rsidR="00EF6C57" w:rsidRPr="006F47A5">
        <w:rPr>
          <w:b/>
          <w:i/>
          <w:lang w:val="fr-FR"/>
        </w:rPr>
        <w:t>un personnel capable de procéder à la recherche et à l</w:t>
      </w:r>
      <w:r w:rsidR="00FD5C7A">
        <w:rPr>
          <w:b/>
          <w:i/>
          <w:lang w:val="fr-FR"/>
        </w:rPr>
        <w:t>’</w:t>
      </w:r>
      <w:r w:rsidR="00EF6C57" w:rsidRPr="006F47A5">
        <w:rPr>
          <w:b/>
          <w:i/>
          <w:lang w:val="fr-FR"/>
        </w:rPr>
        <w:t xml:space="preserve">examen dans les domaines techniques sur lesquels la recherche doit porter et possédant les connaissances linguistiques nécessaires à la compréhension au moins des langues dans lesquelles la documentation minimale de la </w:t>
      </w:r>
      <w:r w:rsidRPr="006F47A5">
        <w:rPr>
          <w:b/>
          <w:i/>
          <w:lang w:val="fr-FR"/>
        </w:rPr>
        <w:t>règle</w:t>
      </w:r>
      <w:r>
        <w:rPr>
          <w:b/>
          <w:i/>
          <w:lang w:val="fr-FR"/>
        </w:rPr>
        <w:t> </w:t>
      </w:r>
      <w:r w:rsidRPr="006F47A5">
        <w:rPr>
          <w:b/>
          <w:i/>
          <w:lang w:val="fr-FR"/>
        </w:rPr>
        <w:t>3</w:t>
      </w:r>
      <w:r w:rsidR="00EF6C57" w:rsidRPr="006F47A5">
        <w:rPr>
          <w:b/>
          <w:i/>
          <w:lang w:val="fr-FR"/>
        </w:rPr>
        <w:t>4 est rédigée ou traduite.</w:t>
      </w:r>
    </w:p>
    <w:p w:rsidR="00DD3641" w:rsidRPr="006F47A5" w:rsidRDefault="00DD3641" w:rsidP="008B7911">
      <w:pPr>
        <w:rPr>
          <w:lang w:val="fr-FR"/>
        </w:rPr>
      </w:pPr>
    </w:p>
    <w:p w:rsidR="00DD3641" w:rsidRPr="006F47A5" w:rsidRDefault="003E479E" w:rsidP="008B7911">
      <w:pPr>
        <w:rPr>
          <w:lang w:val="fr-FR"/>
        </w:rPr>
      </w:pPr>
      <w:r w:rsidRPr="006F47A5">
        <w:rPr>
          <w:b/>
          <w:lang w:val="fr-FR"/>
        </w:rPr>
        <w:t>Langues dans lesquelles les demandes nationales peuvent être déposées</w:t>
      </w:r>
      <w:r w:rsidR="00EF6C57" w:rsidRPr="006F47A5">
        <w:rPr>
          <w:b/>
          <w:lang w:val="fr-FR"/>
        </w:rPr>
        <w:t xml:space="preserve"> et traitées</w:t>
      </w:r>
      <w:r w:rsidR="00FD5C7A">
        <w:rPr>
          <w:lang w:val="fr-FR"/>
        </w:rPr>
        <w:t> :</w:t>
      </w:r>
      <w:r w:rsidR="00EF6C57" w:rsidRPr="006F47A5">
        <w:rPr>
          <w:lang w:val="fr-FR"/>
        </w:rPr>
        <w:t xml:space="preserve"> anglais.</w:t>
      </w:r>
    </w:p>
    <w:p w:rsidR="00EF6C57" w:rsidRPr="006F47A5" w:rsidRDefault="00EF6C57" w:rsidP="008B7911">
      <w:pPr>
        <w:rPr>
          <w:lang w:val="fr-FR"/>
        </w:rPr>
      </w:pPr>
    </w:p>
    <w:p w:rsidR="008F1232" w:rsidRDefault="00EF6C57" w:rsidP="008B7911">
      <w:pPr>
        <w:rPr>
          <w:lang w:val="fr-FR"/>
        </w:rPr>
      </w:pPr>
      <w:r w:rsidRPr="006F47A5">
        <w:rPr>
          <w:b/>
          <w:lang w:val="fr-FR"/>
        </w:rPr>
        <w:t xml:space="preserve">Autres langues </w:t>
      </w:r>
      <w:r w:rsidR="003E479E" w:rsidRPr="006F47A5">
        <w:rPr>
          <w:b/>
          <w:lang w:val="fr-FR"/>
        </w:rPr>
        <w:t>maîtrisées par un grand nombre d</w:t>
      </w:r>
      <w:r w:rsidR="00FD5C7A">
        <w:rPr>
          <w:b/>
          <w:lang w:val="fr-FR"/>
        </w:rPr>
        <w:t>’</w:t>
      </w:r>
      <w:r w:rsidR="003E479E" w:rsidRPr="006F47A5">
        <w:rPr>
          <w:b/>
          <w:lang w:val="fr-FR"/>
        </w:rPr>
        <w:t>examinateurs</w:t>
      </w:r>
      <w:r w:rsidR="00FD5C7A">
        <w:rPr>
          <w:b/>
          <w:lang w:val="fr-FR"/>
        </w:rPr>
        <w:t> :</w:t>
      </w:r>
      <w:r w:rsidRPr="006F47A5">
        <w:rPr>
          <w:b/>
          <w:lang w:val="fr-FR"/>
        </w:rPr>
        <w:t xml:space="preserve"> </w:t>
      </w:r>
      <w:r w:rsidR="00C57892">
        <w:rPr>
          <w:lang w:val="fr-FR"/>
        </w:rPr>
        <w:t>e</w:t>
      </w:r>
      <w:r w:rsidRPr="006F47A5">
        <w:rPr>
          <w:lang w:val="fr-FR"/>
        </w:rPr>
        <w:t>n plus de l</w:t>
      </w:r>
      <w:r w:rsidR="00FD5C7A">
        <w:rPr>
          <w:lang w:val="fr-FR"/>
        </w:rPr>
        <w:t>’</w:t>
      </w:r>
      <w:r w:rsidRPr="006F47A5">
        <w:rPr>
          <w:lang w:val="fr-FR"/>
        </w:rPr>
        <w:t>anglais, l</w:t>
      </w:r>
      <w:r w:rsidR="00FD5C7A">
        <w:rPr>
          <w:lang w:val="fr-FR"/>
        </w:rPr>
        <w:t>’</w:t>
      </w:r>
      <w:r w:rsidRPr="006F47A5">
        <w:rPr>
          <w:lang w:val="fr-FR"/>
        </w:rPr>
        <w:t>Office australien des brevets applique une politique pour maintenir les compétences des examinateurs dans d</w:t>
      </w:r>
      <w:r w:rsidR="00FD5C7A">
        <w:rPr>
          <w:lang w:val="fr-FR"/>
        </w:rPr>
        <w:t>’</w:t>
      </w:r>
      <w:r w:rsidRPr="006F47A5">
        <w:rPr>
          <w:lang w:val="fr-FR"/>
        </w:rPr>
        <w:t>autres langu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Il</w:t>
      </w:r>
      <w:r w:rsidRPr="006F47A5">
        <w:rPr>
          <w:lang w:val="fr-FR"/>
        </w:rPr>
        <w:t xml:space="preserve"> compte actuellement des examinateurs ayant des compétences en français, en allemand, en japonais, en chinois, en russe, en espagnol et en coréen, couvr</w:t>
      </w:r>
      <w:r w:rsidR="003E479E" w:rsidRPr="006F47A5">
        <w:rPr>
          <w:lang w:val="fr-FR"/>
        </w:rPr>
        <w:t>ant tou</w:t>
      </w:r>
      <w:r w:rsidRPr="006F47A5">
        <w:rPr>
          <w:lang w:val="fr-FR"/>
        </w:rPr>
        <w:t>s les principaux domaines technologiques</w:t>
      </w:r>
      <w:r w:rsidR="00C00099" w:rsidRPr="006F47A5">
        <w:rPr>
          <w:lang w:val="fr-FR"/>
        </w:rPr>
        <w:t>.</w:t>
      </w:r>
    </w:p>
    <w:p w:rsidR="00EF6C57" w:rsidRPr="006F47A5" w:rsidRDefault="00EF6C57" w:rsidP="008B7911">
      <w:pPr>
        <w:rPr>
          <w:lang w:val="fr-FR"/>
        </w:rPr>
      </w:pPr>
    </w:p>
    <w:p w:rsidR="00EF6C57" w:rsidRPr="006F47A5" w:rsidRDefault="003E479E" w:rsidP="008B7911">
      <w:pPr>
        <w:rPr>
          <w:lang w:val="fr-FR"/>
        </w:rPr>
      </w:pPr>
      <w:r w:rsidRPr="006F47A5">
        <w:rPr>
          <w:b/>
          <w:lang w:val="fr-FR"/>
        </w:rPr>
        <w:t>Services proposés pour faciliter la recherche ou mieux comprendre l</w:t>
      </w:r>
      <w:r w:rsidR="00FD5C7A">
        <w:rPr>
          <w:b/>
          <w:lang w:val="fr-FR"/>
        </w:rPr>
        <w:t>’</w:t>
      </w:r>
      <w:r w:rsidRPr="006F47A5">
        <w:rPr>
          <w:b/>
          <w:lang w:val="fr-FR"/>
        </w:rPr>
        <w:t>état de la technique dans d</w:t>
      </w:r>
      <w:r w:rsidR="00FD5C7A">
        <w:rPr>
          <w:b/>
          <w:lang w:val="fr-FR"/>
        </w:rPr>
        <w:t>’</w:t>
      </w:r>
      <w:r w:rsidRPr="006F47A5">
        <w:rPr>
          <w:b/>
          <w:lang w:val="fr-FR"/>
        </w:rPr>
        <w:t>autres langues</w:t>
      </w:r>
      <w:r w:rsidR="00FD5C7A">
        <w:rPr>
          <w:b/>
          <w:lang w:val="fr-FR"/>
        </w:rPr>
        <w:t> :</w:t>
      </w:r>
    </w:p>
    <w:p w:rsidR="00DD3641" w:rsidRDefault="004E0A52" w:rsidP="008B7911">
      <w:pPr>
        <w:rPr>
          <w:lang w:val="fr-FR"/>
        </w:rPr>
      </w:pPr>
      <w:r w:rsidRPr="006F47A5">
        <w:rPr>
          <w:lang w:val="fr-FR"/>
        </w:rPr>
        <w:t xml:space="preserve">Afin </w:t>
      </w:r>
      <w:r w:rsidR="003E479E" w:rsidRPr="006F47A5">
        <w:rPr>
          <w:lang w:val="fr-FR"/>
        </w:rPr>
        <w:t>d</w:t>
      </w:r>
      <w:r w:rsidR="00FD5C7A">
        <w:rPr>
          <w:lang w:val="fr-FR"/>
        </w:rPr>
        <w:t>’</w:t>
      </w:r>
      <w:r w:rsidR="003E479E" w:rsidRPr="006F47A5">
        <w:rPr>
          <w:lang w:val="fr-FR"/>
        </w:rPr>
        <w:t>effectuer des recherches</w:t>
      </w:r>
      <w:r w:rsidRPr="006F47A5">
        <w:rPr>
          <w:lang w:val="fr-FR"/>
        </w:rPr>
        <w:t xml:space="preserve"> et de comprendre l</w:t>
      </w:r>
      <w:r w:rsidR="00FD5C7A">
        <w:rPr>
          <w:lang w:val="fr-FR"/>
        </w:rPr>
        <w:t>’</w:t>
      </w:r>
      <w:r w:rsidRPr="006F47A5">
        <w:rPr>
          <w:lang w:val="fr-FR"/>
        </w:rPr>
        <w:t>état de la technique dans d</w:t>
      </w:r>
      <w:r w:rsidR="00FD5C7A">
        <w:rPr>
          <w:lang w:val="fr-FR"/>
        </w:rPr>
        <w:t>’</w:t>
      </w:r>
      <w:r w:rsidRPr="006F47A5">
        <w:rPr>
          <w:lang w:val="fr-FR"/>
        </w:rPr>
        <w:t>autres langues, les examinateurs ont accès (sans limitation) aux ressources suivantes</w:t>
      </w:r>
      <w:r w:rsidR="00FD5C7A">
        <w:rPr>
          <w:lang w:val="fr-FR"/>
        </w:rPr>
        <w:t> :</w:t>
      </w:r>
    </w:p>
    <w:p w:rsidR="00CE00F9" w:rsidRPr="006F47A5" w:rsidRDefault="00CE00F9" w:rsidP="008B7911">
      <w:pPr>
        <w:rPr>
          <w:lang w:val="fr-FR"/>
        </w:rPr>
      </w:pPr>
    </w:p>
    <w:p w:rsidR="004E0A52" w:rsidRPr="006F47A5" w:rsidRDefault="004E0A52" w:rsidP="008B7911">
      <w:pPr>
        <w:pStyle w:val="ListParagraph"/>
        <w:numPr>
          <w:ilvl w:val="0"/>
          <w:numId w:val="6"/>
        </w:numPr>
        <w:ind w:left="1134" w:hanging="567"/>
        <w:rPr>
          <w:rFonts w:eastAsiaTheme="minorHAnsi" w:cs="Times New Roman"/>
          <w:lang w:val="en-AU" w:eastAsia="en-US"/>
        </w:rPr>
      </w:pPr>
      <w:r w:rsidRPr="006F47A5">
        <w:rPr>
          <w:rFonts w:eastAsiaTheme="minorHAnsi" w:cs="Times New Roman"/>
          <w:lang w:val="en-AU" w:eastAsia="en-US"/>
        </w:rPr>
        <w:t>WIPO Translate</w:t>
      </w:r>
    </w:p>
    <w:p w:rsidR="004E0A52" w:rsidRPr="006F47A5" w:rsidRDefault="004E0A52" w:rsidP="008B7911">
      <w:pPr>
        <w:pStyle w:val="ListParagraph"/>
        <w:numPr>
          <w:ilvl w:val="0"/>
          <w:numId w:val="6"/>
        </w:numPr>
        <w:ind w:left="1134" w:hanging="567"/>
        <w:rPr>
          <w:rFonts w:eastAsiaTheme="minorHAnsi" w:cs="Times New Roman"/>
          <w:lang w:val="en-AU" w:eastAsia="en-US"/>
        </w:rPr>
      </w:pPr>
      <w:r w:rsidRPr="006F47A5">
        <w:rPr>
          <w:rFonts w:eastAsiaTheme="minorHAnsi" w:cs="Times New Roman"/>
          <w:lang w:val="en-AU" w:eastAsia="en-US"/>
        </w:rPr>
        <w:t>WIPO Pearl</w:t>
      </w:r>
    </w:p>
    <w:p w:rsidR="004E0A52" w:rsidRPr="006F47A5" w:rsidRDefault="004E0A52" w:rsidP="008B7911">
      <w:pPr>
        <w:pStyle w:val="ListParagraph"/>
        <w:numPr>
          <w:ilvl w:val="0"/>
          <w:numId w:val="6"/>
        </w:numPr>
        <w:ind w:left="1134" w:hanging="567"/>
        <w:rPr>
          <w:rFonts w:eastAsiaTheme="minorHAnsi" w:cs="Times New Roman"/>
          <w:lang w:val="en-AU" w:eastAsia="en-US"/>
        </w:rPr>
      </w:pPr>
      <w:r w:rsidRPr="006F47A5">
        <w:rPr>
          <w:rFonts w:eastAsiaTheme="minorHAnsi" w:cs="Times New Roman"/>
          <w:lang w:val="en-AU" w:eastAsia="en-US"/>
        </w:rPr>
        <w:t>Google Translate</w:t>
      </w:r>
    </w:p>
    <w:p w:rsidR="004E0A52" w:rsidRPr="006F47A5" w:rsidRDefault="004E0A52" w:rsidP="008B7911">
      <w:pPr>
        <w:pStyle w:val="ListParagraph"/>
        <w:numPr>
          <w:ilvl w:val="0"/>
          <w:numId w:val="6"/>
        </w:numPr>
        <w:ind w:left="1134" w:hanging="567"/>
        <w:rPr>
          <w:rFonts w:eastAsiaTheme="minorHAnsi" w:cs="Times New Roman"/>
          <w:lang w:val="en-AU" w:eastAsia="en-US"/>
        </w:rPr>
      </w:pPr>
      <w:proofErr w:type="spellStart"/>
      <w:r w:rsidRPr="006F47A5">
        <w:rPr>
          <w:rFonts w:eastAsiaTheme="minorHAnsi" w:cs="Times New Roman"/>
          <w:lang w:val="en-AU" w:eastAsia="en-US"/>
        </w:rPr>
        <w:t>Esp@cenet</w:t>
      </w:r>
      <w:proofErr w:type="spellEnd"/>
      <w:r w:rsidRPr="006F47A5">
        <w:rPr>
          <w:rFonts w:eastAsiaTheme="minorHAnsi" w:cs="Times New Roman"/>
          <w:lang w:val="en-AU" w:eastAsia="en-US"/>
        </w:rPr>
        <w:t xml:space="preserve"> – Patent Translate (</w:t>
      </w:r>
      <w:r w:rsidR="00C57892">
        <w:rPr>
          <w:rFonts w:eastAsiaTheme="minorHAnsi" w:cs="Times New Roman"/>
          <w:lang w:val="en-AU" w:eastAsia="en-US"/>
        </w:rPr>
        <w:t>avec</w:t>
      </w:r>
      <w:r w:rsidRPr="006F47A5">
        <w:rPr>
          <w:rFonts w:eastAsiaTheme="minorHAnsi" w:cs="Times New Roman"/>
          <w:lang w:val="en-AU" w:eastAsia="en-US"/>
        </w:rPr>
        <w:t xml:space="preserve"> Google Translate)</w:t>
      </w:r>
    </w:p>
    <w:p w:rsidR="00DD3641" w:rsidRPr="006F47A5" w:rsidRDefault="00DD3641" w:rsidP="008B7911">
      <w:pPr>
        <w:rPr>
          <w:lang w:val="en-AU"/>
        </w:rPr>
      </w:pPr>
    </w:p>
    <w:p w:rsidR="004E0A52" w:rsidRPr="006F47A5" w:rsidRDefault="004F31F2" w:rsidP="008B7911">
      <w:pPr>
        <w:pStyle w:val="SectionHeading"/>
      </w:pPr>
      <w:r w:rsidRPr="006F47A5">
        <w:t>2.2</w:t>
      </w:r>
      <w:r w:rsidRPr="004F31F2">
        <w:rPr>
          <w:iCs/>
        </w:rPr>
        <w:t xml:space="preserve"> </w:t>
      </w:r>
      <w:r w:rsidRPr="006F47A5">
        <w:t xml:space="preserve">– </w:t>
      </w:r>
      <w:r>
        <w:t>G</w:t>
      </w:r>
      <w:r w:rsidRPr="006F47A5">
        <w:t>estion de la qualité</w:t>
      </w:r>
    </w:p>
    <w:p w:rsidR="004E0A52" w:rsidRPr="006F47A5" w:rsidRDefault="008F1232" w:rsidP="008B7911">
      <w:pPr>
        <w:rPr>
          <w:lang w:val="fr-FR"/>
        </w:rPr>
      </w:pPr>
      <w:r w:rsidRPr="006F47A5">
        <w:rPr>
          <w:b/>
          <w:i/>
          <w:lang w:val="fr-FR"/>
        </w:rPr>
        <w:t>Règles</w:t>
      </w:r>
      <w:r>
        <w:rPr>
          <w:b/>
          <w:i/>
          <w:lang w:val="fr-FR"/>
        </w:rPr>
        <w:t> </w:t>
      </w:r>
      <w:r w:rsidRPr="006F47A5">
        <w:rPr>
          <w:b/>
          <w:i/>
          <w:lang w:val="fr-FR"/>
        </w:rPr>
        <w:t>3</w:t>
      </w:r>
      <w:r w:rsidR="004E0A52" w:rsidRPr="006F47A5">
        <w:rPr>
          <w:b/>
          <w:i/>
          <w:lang w:val="fr-FR"/>
        </w:rPr>
        <w:t>6.1.iv</w:t>
      </w:r>
      <w:r w:rsidR="003E479E" w:rsidRPr="006F47A5">
        <w:rPr>
          <w:b/>
          <w:i/>
          <w:lang w:val="fr-FR"/>
        </w:rPr>
        <w:t>)</w:t>
      </w:r>
      <w:r w:rsidR="004E0A52" w:rsidRPr="006F47A5">
        <w:rPr>
          <w:b/>
          <w:i/>
          <w:lang w:val="fr-FR"/>
        </w:rPr>
        <w:t xml:space="preserve"> et 63.1.iv</w:t>
      </w:r>
      <w:r w:rsidR="003E479E" w:rsidRPr="006F47A5">
        <w:rPr>
          <w:b/>
          <w:i/>
          <w:lang w:val="fr-FR"/>
        </w:rPr>
        <w:t>)</w:t>
      </w:r>
      <w:r w:rsidR="00FD5C7A">
        <w:rPr>
          <w:b/>
          <w:i/>
          <w:lang w:val="fr-FR"/>
        </w:rPr>
        <w:t> :</w:t>
      </w:r>
      <w:r w:rsidR="004E0A52" w:rsidRPr="006F47A5">
        <w:rPr>
          <w:b/>
          <w:i/>
          <w:lang w:val="fr-FR"/>
        </w:rPr>
        <w:t xml:space="preserve"> </w:t>
      </w:r>
      <w:r w:rsidR="003E479E" w:rsidRPr="006F47A5">
        <w:rPr>
          <w:b/>
          <w:i/>
          <w:lang w:val="fr-FR"/>
        </w:rPr>
        <w:t>c</w:t>
      </w:r>
      <w:r w:rsidR="004E0A52" w:rsidRPr="006F47A5">
        <w:rPr>
          <w:b/>
          <w:i/>
          <w:lang w:val="fr-FR"/>
        </w:rPr>
        <w:t>et office ou cette organisation doit disposer d</w:t>
      </w:r>
      <w:r w:rsidR="00FD5C7A">
        <w:rPr>
          <w:b/>
          <w:i/>
          <w:lang w:val="fr-FR"/>
        </w:rPr>
        <w:t>’</w:t>
      </w:r>
      <w:r w:rsidR="004E0A52" w:rsidRPr="006F47A5">
        <w:rPr>
          <w:b/>
          <w:i/>
          <w:lang w:val="fr-FR"/>
        </w:rPr>
        <w:t>un système de gestion de la qualité et de dispositions internes en matière d</w:t>
      </w:r>
      <w:r w:rsidR="00FD5C7A">
        <w:rPr>
          <w:b/>
          <w:i/>
          <w:lang w:val="fr-FR"/>
        </w:rPr>
        <w:t>’</w:t>
      </w:r>
      <w:r w:rsidR="004E0A52" w:rsidRPr="006F47A5">
        <w:rPr>
          <w:b/>
          <w:i/>
          <w:lang w:val="fr-FR"/>
        </w:rPr>
        <w:t>évaluation conformément aux règles communes de la recherche internationale.</w:t>
      </w:r>
    </w:p>
    <w:p w:rsidR="004E0A52" w:rsidRPr="006F47A5" w:rsidRDefault="004E0A52" w:rsidP="008B7911">
      <w:pPr>
        <w:rPr>
          <w:lang w:val="fr-FR"/>
        </w:rPr>
      </w:pPr>
    </w:p>
    <w:p w:rsidR="004E0A52" w:rsidRPr="006F47A5" w:rsidRDefault="004E0A52" w:rsidP="008B7911">
      <w:pPr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>Office australien des b</w:t>
      </w:r>
      <w:r w:rsidR="00C203E0" w:rsidRPr="006F47A5">
        <w:rPr>
          <w:lang w:val="fr-FR"/>
        </w:rPr>
        <w:t>revets continue de remplir ou de dépasse</w:t>
      </w:r>
      <w:r w:rsidRPr="006F47A5">
        <w:rPr>
          <w:lang w:val="fr-FR"/>
        </w:rPr>
        <w:t xml:space="preserve">r les exigences établies au </w:t>
      </w:r>
      <w:r w:rsidR="008F1232" w:rsidRPr="006F47A5">
        <w:rPr>
          <w:lang w:val="fr-FR"/>
        </w:rPr>
        <w:t>chapitre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</w:t>
      </w:r>
      <w:r w:rsidRPr="006F47A5">
        <w:rPr>
          <w:lang w:val="fr-FR"/>
        </w:rPr>
        <w:t xml:space="preserve">1 </w:t>
      </w:r>
      <w:r w:rsidR="00C203E0" w:rsidRPr="006F47A5">
        <w:rPr>
          <w:lang w:val="fr-FR"/>
        </w:rPr>
        <w:t xml:space="preserve">des </w:t>
      </w:r>
      <w:r w:rsidR="00C57892">
        <w:rPr>
          <w:lang w:val="fr-FR"/>
        </w:rPr>
        <w:t>d</w:t>
      </w:r>
      <w:r w:rsidR="00C203E0" w:rsidRPr="006F47A5">
        <w:rPr>
          <w:lang w:val="fr-FR"/>
        </w:rPr>
        <w:t>irectiv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Il</w:t>
      </w:r>
      <w:r w:rsidR="00C203E0" w:rsidRPr="006F47A5">
        <w:rPr>
          <w:lang w:val="fr-FR"/>
        </w:rPr>
        <w:t xml:space="preserve"> s</w:t>
      </w:r>
      <w:r w:rsidR="00FD5C7A">
        <w:rPr>
          <w:lang w:val="fr-FR"/>
        </w:rPr>
        <w:t>’</w:t>
      </w:r>
      <w:r w:rsidR="00C203E0" w:rsidRPr="006F47A5">
        <w:rPr>
          <w:lang w:val="fr-FR"/>
        </w:rPr>
        <w:t xml:space="preserve">engage à améliorer continuellement </w:t>
      </w:r>
      <w:r w:rsidR="00C57892">
        <w:rPr>
          <w:lang w:val="fr-FR"/>
        </w:rPr>
        <w:t>l</w:t>
      </w:r>
      <w:r w:rsidR="00C203E0" w:rsidRPr="006F47A5">
        <w:rPr>
          <w:lang w:val="fr-FR"/>
        </w:rPr>
        <w:t xml:space="preserve">es </w:t>
      </w:r>
      <w:r w:rsidR="00C57892">
        <w:rPr>
          <w:lang w:val="fr-FR"/>
        </w:rPr>
        <w:t>fonctions</w:t>
      </w:r>
      <w:r w:rsidR="00C203E0" w:rsidRPr="006F47A5">
        <w:rPr>
          <w:lang w:val="fr-FR"/>
        </w:rPr>
        <w:t xml:space="preserve"> </w:t>
      </w:r>
      <w:r w:rsidR="00C57892">
        <w:rPr>
          <w:lang w:val="fr-FR"/>
        </w:rPr>
        <w:t>liées à ses</w:t>
      </w:r>
      <w:r w:rsidR="00C203E0" w:rsidRPr="006F47A5">
        <w:rPr>
          <w:lang w:val="fr-FR"/>
        </w:rPr>
        <w:t xml:space="preserve"> </w:t>
      </w:r>
      <w:r w:rsidR="00C57892">
        <w:rPr>
          <w:lang w:val="fr-FR"/>
        </w:rPr>
        <w:t>activités principales</w:t>
      </w:r>
      <w:r w:rsidR="00C57892" w:rsidRPr="006F47A5">
        <w:rPr>
          <w:lang w:val="fr-FR"/>
        </w:rPr>
        <w:t xml:space="preserve"> </w:t>
      </w:r>
      <w:r w:rsidR="00C203E0" w:rsidRPr="006F47A5">
        <w:rPr>
          <w:lang w:val="fr-FR"/>
        </w:rPr>
        <w:t xml:space="preserve">et </w:t>
      </w:r>
      <w:r w:rsidR="00C57892">
        <w:rPr>
          <w:lang w:val="fr-FR"/>
        </w:rPr>
        <w:t>son</w:t>
      </w:r>
      <w:r w:rsidR="00C203E0" w:rsidRPr="006F47A5">
        <w:rPr>
          <w:lang w:val="fr-FR"/>
        </w:rPr>
        <w:t xml:space="preserve"> système de gestion de la qualité corresponda</w:t>
      </w:r>
      <w:r w:rsidR="00CE00F9" w:rsidRPr="006F47A5">
        <w:rPr>
          <w:lang w:val="fr-FR"/>
        </w:rPr>
        <w:t>nt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So</w:t>
      </w:r>
      <w:r w:rsidR="00C203E0" w:rsidRPr="006F47A5">
        <w:rPr>
          <w:lang w:val="fr-FR"/>
        </w:rPr>
        <w:t xml:space="preserve">n rapport </w:t>
      </w:r>
      <w:r w:rsidR="00C57892">
        <w:rPr>
          <w:lang w:val="fr-FR"/>
        </w:rPr>
        <w:t>sur le</w:t>
      </w:r>
      <w:r w:rsidR="00C203E0" w:rsidRPr="006F47A5">
        <w:rPr>
          <w:lang w:val="fr-FR"/>
        </w:rPr>
        <w:t xml:space="preserve"> système de la gestion de la qualité est pleinement conforme au </w:t>
      </w:r>
      <w:r w:rsidR="008F1232" w:rsidRPr="006F47A5">
        <w:rPr>
          <w:lang w:val="fr-FR"/>
        </w:rPr>
        <w:t>chapitre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</w:t>
      </w:r>
      <w:r w:rsidR="00C203E0" w:rsidRPr="006F47A5">
        <w:rPr>
          <w:lang w:val="fr-FR"/>
        </w:rPr>
        <w:t>1</w:t>
      </w:r>
      <w:r w:rsidR="0099215E">
        <w:rPr>
          <w:lang w:val="fr-FR"/>
        </w:rPr>
        <w:t xml:space="preserve"> d</w:t>
      </w:r>
      <w:r w:rsidR="00C203E0" w:rsidRPr="006F47A5">
        <w:rPr>
          <w:lang w:val="fr-FR"/>
        </w:rPr>
        <w:t>es Directives concernant la recherche internationale et l</w:t>
      </w:r>
      <w:r w:rsidR="00FD5C7A">
        <w:rPr>
          <w:lang w:val="fr-FR"/>
        </w:rPr>
        <w:t>’</w:t>
      </w:r>
      <w:r w:rsidR="00C203E0" w:rsidRPr="006F47A5">
        <w:rPr>
          <w:lang w:val="fr-FR"/>
        </w:rPr>
        <w:t>examen préliminaire international selon</w:t>
      </w:r>
      <w:r w:rsidR="008F1232" w:rsidRPr="008F1232">
        <w:rPr>
          <w:lang w:val="fr-FR"/>
        </w:rPr>
        <w:t xml:space="preserve"> le PCT</w:t>
      </w:r>
      <w:r w:rsidR="00C203E0" w:rsidRPr="006F47A5">
        <w:rPr>
          <w:lang w:val="fr-FR"/>
        </w:rPr>
        <w:t>, et l</w:t>
      </w:r>
      <w:r w:rsidR="00FD5C7A">
        <w:rPr>
          <w:lang w:val="fr-FR"/>
        </w:rPr>
        <w:t>’</w:t>
      </w:r>
      <w:r w:rsidR="00C203E0" w:rsidRPr="006F47A5">
        <w:rPr>
          <w:lang w:val="fr-FR"/>
        </w:rPr>
        <w:t>ensemble des rapports de qualité annuels</w:t>
      </w:r>
      <w:r w:rsidR="00C57892">
        <w:rPr>
          <w:lang w:val="fr-FR"/>
        </w:rPr>
        <w:t xml:space="preserve"> produits</w:t>
      </w:r>
      <w:r w:rsidR="00C203E0" w:rsidRPr="006F47A5">
        <w:rPr>
          <w:lang w:val="fr-FR"/>
        </w:rPr>
        <w:t xml:space="preserve"> </w:t>
      </w:r>
      <w:r w:rsidR="008F1232" w:rsidRPr="006F47A5">
        <w:rPr>
          <w:lang w:val="fr-FR"/>
        </w:rPr>
        <w:t>depuis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2006</w:t>
      </w:r>
      <w:r w:rsidR="00C203E0" w:rsidRPr="006F47A5">
        <w:rPr>
          <w:lang w:val="fr-FR"/>
        </w:rPr>
        <w:t xml:space="preserve"> </w:t>
      </w:r>
      <w:r w:rsidR="00680A2A">
        <w:rPr>
          <w:lang w:val="fr-FR"/>
        </w:rPr>
        <w:t>par</w:t>
      </w:r>
      <w:r w:rsidR="00C203E0" w:rsidRPr="006F47A5">
        <w:rPr>
          <w:lang w:val="fr-FR"/>
        </w:rPr>
        <w:t xml:space="preserve"> l</w:t>
      </w:r>
      <w:r w:rsidR="00FD5C7A">
        <w:rPr>
          <w:lang w:val="fr-FR"/>
        </w:rPr>
        <w:t>’</w:t>
      </w:r>
      <w:r w:rsidR="00C203E0" w:rsidRPr="006F47A5">
        <w:rPr>
          <w:lang w:val="fr-FR"/>
        </w:rPr>
        <w:t xml:space="preserve">Office australien des brevets </w:t>
      </w:r>
      <w:r w:rsidR="00C57892">
        <w:rPr>
          <w:lang w:val="fr-FR"/>
        </w:rPr>
        <w:t>sont</w:t>
      </w:r>
      <w:r w:rsidR="00C203E0" w:rsidRPr="006F47A5">
        <w:rPr>
          <w:lang w:val="fr-FR"/>
        </w:rPr>
        <w:t xml:space="preserve"> disponible</w:t>
      </w:r>
      <w:r w:rsidR="00C57892">
        <w:rPr>
          <w:lang w:val="fr-FR"/>
        </w:rPr>
        <w:t>s</w:t>
      </w:r>
      <w:r w:rsidR="00C203E0" w:rsidRPr="006F47A5">
        <w:rPr>
          <w:lang w:val="fr-FR"/>
        </w:rPr>
        <w:t xml:space="preserve"> sur le site</w:t>
      </w:r>
      <w:r w:rsidR="00206805">
        <w:rPr>
          <w:lang w:val="fr-FR"/>
        </w:rPr>
        <w:t> </w:t>
      </w:r>
      <w:r w:rsidR="00C203E0" w:rsidRPr="006F47A5">
        <w:rPr>
          <w:lang w:val="fr-FR"/>
        </w:rPr>
        <w:t>Web de l</w:t>
      </w:r>
      <w:r w:rsidR="00FD5C7A">
        <w:rPr>
          <w:lang w:val="fr-FR"/>
        </w:rPr>
        <w:t>’</w:t>
      </w:r>
      <w:r w:rsidR="00C203E0" w:rsidRPr="006F47A5">
        <w:rPr>
          <w:lang w:val="fr-FR"/>
        </w:rPr>
        <w:t>OMPI</w:t>
      </w:r>
      <w:r w:rsidR="008F1232">
        <w:rPr>
          <w:lang w:val="fr-FR"/>
        </w:rPr>
        <w:t> </w:t>
      </w:r>
      <w:r w:rsidR="00C57892">
        <w:rPr>
          <w:lang w:val="fr-FR"/>
        </w:rPr>
        <w:t>à l</w:t>
      </w:r>
      <w:r w:rsidR="00FD5C7A">
        <w:rPr>
          <w:lang w:val="fr-FR"/>
        </w:rPr>
        <w:t>’</w:t>
      </w:r>
      <w:r w:rsidR="00C57892">
        <w:rPr>
          <w:lang w:val="fr-FR"/>
        </w:rPr>
        <w:t xml:space="preserve">adresse </w:t>
      </w:r>
      <w:hyperlink r:id="rId17" w:history="1">
        <w:r w:rsidR="00C203E0" w:rsidRPr="00620E83">
          <w:rPr>
            <w:rStyle w:val="Hyperlink"/>
            <w:color w:val="000000"/>
            <w:lang w:val="fr-FR"/>
          </w:rPr>
          <w:t>http://www.wipo.int/pct/en/quality/authorities.htm</w:t>
        </w:r>
        <w:r w:rsidR="00C203E0" w:rsidRPr="006F47A5">
          <w:rPr>
            <w:rStyle w:val="Hyperlink"/>
            <w:color w:val="000000"/>
            <w:u w:val="single"/>
            <w:lang w:val="fr-FR"/>
          </w:rPr>
          <w:t>l</w:t>
        </w:r>
      </w:hyperlink>
      <w:r w:rsidR="00C203E0" w:rsidRPr="006F47A5">
        <w:rPr>
          <w:lang w:val="fr-FR"/>
        </w:rPr>
        <w:t xml:space="preserve"> (en angla</w:t>
      </w:r>
      <w:r w:rsidR="00CE00F9" w:rsidRPr="006F47A5">
        <w:rPr>
          <w:lang w:val="fr-FR"/>
        </w:rPr>
        <w:t>is)</w:t>
      </w:r>
      <w:r w:rsidR="00CE00F9">
        <w:rPr>
          <w:lang w:val="fr-FR"/>
        </w:rPr>
        <w:t xml:space="preserve">.  </w:t>
      </w:r>
      <w:r w:rsidR="00CE00F9" w:rsidRPr="006F47A5">
        <w:rPr>
          <w:rFonts w:eastAsiaTheme="minorHAnsi" w:cs="Times New Roman"/>
          <w:lang w:val="fr-FR" w:eastAsia="en-US"/>
        </w:rPr>
        <w:t>De</w:t>
      </w:r>
      <w:r w:rsidR="008F1232" w:rsidRPr="006F47A5">
        <w:rPr>
          <w:rFonts w:eastAsiaTheme="minorHAnsi" w:cs="Times New Roman"/>
          <w:lang w:val="fr-FR" w:eastAsia="en-US"/>
        </w:rPr>
        <w:t>puis</w:t>
      </w:r>
      <w:r w:rsidR="008F1232">
        <w:rPr>
          <w:rFonts w:eastAsiaTheme="minorHAnsi" w:cs="Times New Roman"/>
          <w:lang w:val="fr-FR" w:eastAsia="en-US"/>
        </w:rPr>
        <w:t> </w:t>
      </w:r>
      <w:r w:rsidR="008F1232" w:rsidRPr="006F47A5">
        <w:rPr>
          <w:rFonts w:eastAsiaTheme="minorHAnsi" w:cs="Times New Roman"/>
          <w:lang w:val="fr-FR" w:eastAsia="en-US"/>
        </w:rPr>
        <w:t>2006</w:t>
      </w:r>
      <w:r w:rsidR="00C203E0" w:rsidRPr="006F47A5">
        <w:rPr>
          <w:rFonts w:eastAsiaTheme="minorHAnsi" w:cs="Times New Roman"/>
          <w:lang w:val="fr-FR" w:eastAsia="en-US"/>
        </w:rPr>
        <w:t>, son système de la gestion de la qualité est certifié selon la norme</w:t>
      </w:r>
      <w:r w:rsidR="00206805">
        <w:rPr>
          <w:rFonts w:eastAsiaTheme="minorHAnsi" w:cs="Times New Roman"/>
          <w:lang w:val="fr-FR" w:eastAsia="en-US"/>
        </w:rPr>
        <w:t> </w:t>
      </w:r>
      <w:r w:rsidR="00C203E0" w:rsidRPr="006F47A5">
        <w:rPr>
          <w:rFonts w:eastAsiaTheme="minorHAnsi" w:cs="Times New Roman"/>
          <w:lang w:val="fr-FR" w:eastAsia="en-US"/>
        </w:rPr>
        <w:t>ISO</w:t>
      </w:r>
      <w:r w:rsidR="0099215E">
        <w:rPr>
          <w:rFonts w:eastAsiaTheme="minorHAnsi" w:cs="Times New Roman"/>
          <w:lang w:val="fr-FR" w:eastAsia="en-US"/>
        </w:rPr>
        <w:t> </w:t>
      </w:r>
      <w:r w:rsidR="00C203E0" w:rsidRPr="006F47A5">
        <w:rPr>
          <w:rFonts w:eastAsiaTheme="minorHAnsi" w:cs="Times New Roman"/>
          <w:lang w:val="fr-FR" w:eastAsia="en-US"/>
        </w:rPr>
        <w:t>9001.</w:t>
      </w:r>
    </w:p>
    <w:p w:rsidR="004E0A52" w:rsidRPr="006F47A5" w:rsidRDefault="004E0A52" w:rsidP="008B7911">
      <w:pPr>
        <w:rPr>
          <w:lang w:val="fr-FR"/>
        </w:rPr>
      </w:pPr>
    </w:p>
    <w:p w:rsidR="00CE00F9" w:rsidRDefault="00C57892" w:rsidP="008B7911">
      <w:pPr>
        <w:rPr>
          <w:i/>
          <w:lang w:val="fr-FR"/>
        </w:rPr>
      </w:pPr>
      <w:r>
        <w:rPr>
          <w:b/>
          <w:lang w:val="fr-FR"/>
        </w:rPr>
        <w:t>Délais indiqués dans la c</w:t>
      </w:r>
      <w:r w:rsidR="00550BFC" w:rsidRPr="006F47A5">
        <w:rPr>
          <w:b/>
          <w:lang w:val="fr-FR"/>
        </w:rPr>
        <w:t>harte d</w:t>
      </w:r>
      <w:r>
        <w:rPr>
          <w:b/>
          <w:lang w:val="fr-FR"/>
        </w:rPr>
        <w:t>e</w:t>
      </w:r>
      <w:r w:rsidR="00550BFC" w:rsidRPr="006F47A5">
        <w:rPr>
          <w:b/>
          <w:lang w:val="fr-FR"/>
        </w:rPr>
        <w:t xml:space="preserve"> service</w:t>
      </w:r>
      <w:r>
        <w:rPr>
          <w:b/>
          <w:lang w:val="fr-FR"/>
        </w:rPr>
        <w:t>s à la</w:t>
      </w:r>
      <w:r w:rsidR="00550BFC" w:rsidRPr="006F47A5">
        <w:rPr>
          <w:b/>
          <w:lang w:val="fr-FR"/>
        </w:rPr>
        <w:t xml:space="preserve"> client</w:t>
      </w:r>
      <w:r>
        <w:rPr>
          <w:b/>
          <w:lang w:val="fr-FR"/>
        </w:rPr>
        <w:t>èle</w:t>
      </w:r>
      <w:r w:rsidR="00FD5C7A">
        <w:rPr>
          <w:b/>
          <w:lang w:val="fr-FR"/>
        </w:rPr>
        <w:t> :</w:t>
      </w:r>
      <w:r w:rsidR="00550BFC" w:rsidRPr="006F47A5">
        <w:rPr>
          <w:lang w:val="fr-FR"/>
        </w:rPr>
        <w:t xml:space="preserve"> </w:t>
      </w:r>
      <w:r>
        <w:rPr>
          <w:lang w:val="fr-FR"/>
        </w:rPr>
        <w:t>l</w:t>
      </w:r>
      <w:r w:rsidR="00550BFC" w:rsidRPr="006F47A5">
        <w:rPr>
          <w:lang w:val="fr-FR"/>
        </w:rPr>
        <w:t xml:space="preserve">e rapport </w:t>
      </w:r>
      <w:r>
        <w:rPr>
          <w:lang w:val="fr-FR"/>
        </w:rPr>
        <w:t>relatif à l</w:t>
      </w:r>
      <w:r w:rsidR="00550BFC" w:rsidRPr="006F47A5">
        <w:rPr>
          <w:lang w:val="fr-FR"/>
        </w:rPr>
        <w:t xml:space="preserve">a </w:t>
      </w:r>
      <w:r>
        <w:rPr>
          <w:lang w:val="fr-FR"/>
        </w:rPr>
        <w:t>c</w:t>
      </w:r>
      <w:r w:rsidR="00550BFC" w:rsidRPr="006F47A5">
        <w:rPr>
          <w:lang w:val="fr-FR"/>
        </w:rPr>
        <w:t>harte d</w:t>
      </w:r>
      <w:r>
        <w:rPr>
          <w:lang w:val="fr-FR"/>
        </w:rPr>
        <w:t>e</w:t>
      </w:r>
      <w:r w:rsidR="00550BFC" w:rsidRPr="006F47A5">
        <w:rPr>
          <w:lang w:val="fr-FR"/>
        </w:rPr>
        <w:t xml:space="preserve"> service</w:t>
      </w:r>
      <w:r>
        <w:rPr>
          <w:lang w:val="fr-FR"/>
        </w:rPr>
        <w:t>s à la</w:t>
      </w:r>
      <w:r w:rsidR="00550BFC" w:rsidRPr="006F47A5">
        <w:rPr>
          <w:lang w:val="fr-FR"/>
        </w:rPr>
        <w:t xml:space="preserve"> client</w:t>
      </w:r>
      <w:r>
        <w:rPr>
          <w:lang w:val="fr-FR"/>
        </w:rPr>
        <w:t>èle</w:t>
      </w:r>
      <w:r w:rsidR="00550BFC" w:rsidRPr="006F47A5">
        <w:rPr>
          <w:lang w:val="fr-FR"/>
        </w:rPr>
        <w:t xml:space="preserve"> est actualisé et publié chaque trimestre sur le site</w:t>
      </w:r>
      <w:r w:rsidR="00206805">
        <w:rPr>
          <w:lang w:val="fr-FR"/>
        </w:rPr>
        <w:t> </w:t>
      </w:r>
      <w:r w:rsidR="00550BFC" w:rsidRPr="006F47A5">
        <w:rPr>
          <w:lang w:val="fr-FR"/>
        </w:rPr>
        <w:t>Web</w:t>
      </w:r>
      <w:r w:rsidR="0047187A" w:rsidRPr="006F47A5">
        <w:rPr>
          <w:rStyle w:val="FootnoteReference"/>
          <w:lang w:val="fr-FR"/>
        </w:rPr>
        <w:footnoteReference w:id="3"/>
      </w:r>
      <w:r w:rsidR="00550BFC" w:rsidRPr="006F47A5">
        <w:rPr>
          <w:lang w:val="fr-FR"/>
        </w:rPr>
        <w:t xml:space="preserve"> </w:t>
      </w:r>
      <w:r w:rsidR="003E479E" w:rsidRPr="006F47A5">
        <w:rPr>
          <w:lang w:val="fr-FR"/>
        </w:rPr>
        <w:t>d</w:t>
      </w:r>
      <w:r w:rsidR="00FD5C7A">
        <w:rPr>
          <w:lang w:val="fr-FR"/>
        </w:rPr>
        <w:t>’</w:t>
      </w:r>
      <w:r w:rsidR="003E479E"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="003E479E" w:rsidRPr="006F47A5">
        <w:rPr>
          <w:lang w:val="fr-FR"/>
        </w:rPr>
        <w:t>Austral</w:t>
      </w:r>
      <w:r w:rsidR="00DD1C9C" w:rsidRPr="006F47A5">
        <w:rPr>
          <w:lang w:val="fr-FR"/>
        </w:rPr>
        <w:t>ia</w:t>
      </w:r>
      <w:proofErr w:type="spellEnd"/>
      <w:r>
        <w:rPr>
          <w:lang w:val="fr-FR"/>
        </w:rPr>
        <w:t xml:space="preserve"> et contient, p</w:t>
      </w:r>
      <w:r w:rsidR="00DD1C9C" w:rsidRPr="006F47A5">
        <w:rPr>
          <w:lang w:val="fr-FR"/>
        </w:rPr>
        <w:t>a</w:t>
      </w:r>
      <w:r w:rsidR="00550BFC" w:rsidRPr="006F47A5">
        <w:rPr>
          <w:lang w:val="fr-FR"/>
        </w:rPr>
        <w:t xml:space="preserve">r exemple, </w:t>
      </w:r>
      <w:r>
        <w:rPr>
          <w:lang w:val="fr-FR"/>
        </w:rPr>
        <w:t>l</w:t>
      </w:r>
      <w:r w:rsidR="00550BFC" w:rsidRPr="006F47A5">
        <w:rPr>
          <w:lang w:val="fr-FR"/>
        </w:rPr>
        <w:t>es normes</w:t>
      </w:r>
      <w:r>
        <w:rPr>
          <w:lang w:val="fr-FR"/>
        </w:rPr>
        <w:t xml:space="preserve"> appliquées par l</w:t>
      </w:r>
      <w:r w:rsidR="00FD5C7A">
        <w:rPr>
          <w:lang w:val="fr-FR"/>
        </w:rPr>
        <w:t>’</w:t>
      </w:r>
      <w:r>
        <w:rPr>
          <w:lang w:val="fr-FR"/>
        </w:rPr>
        <w:t>office</w:t>
      </w:r>
      <w:r w:rsidR="00550BFC" w:rsidRPr="006F47A5">
        <w:rPr>
          <w:lang w:val="fr-FR"/>
        </w:rPr>
        <w:t xml:space="preserve"> pour la </w:t>
      </w:r>
      <w:r>
        <w:rPr>
          <w:lang w:val="fr-FR"/>
        </w:rPr>
        <w:t xml:space="preserve">diffusion </w:t>
      </w:r>
      <w:r w:rsidR="00550BFC" w:rsidRPr="006F47A5">
        <w:rPr>
          <w:lang w:val="fr-FR"/>
        </w:rPr>
        <w:t>d</w:t>
      </w:r>
      <w:r>
        <w:rPr>
          <w:lang w:val="fr-FR"/>
        </w:rPr>
        <w:t>u</w:t>
      </w:r>
      <w:r w:rsidR="00550BFC" w:rsidRPr="006F47A5">
        <w:rPr>
          <w:lang w:val="fr-FR"/>
        </w:rPr>
        <w:t xml:space="preserve"> rapport de recherche internationale </w:t>
      </w:r>
      <w:r>
        <w:rPr>
          <w:lang w:val="fr-FR"/>
        </w:rPr>
        <w:t>par rapport</w:t>
      </w:r>
      <w:r w:rsidR="003E479E" w:rsidRPr="006F47A5">
        <w:rPr>
          <w:lang w:val="fr-FR"/>
        </w:rPr>
        <w:t xml:space="preserve"> </w:t>
      </w:r>
      <w:r>
        <w:rPr>
          <w:lang w:val="fr-FR"/>
        </w:rPr>
        <w:t>au</w:t>
      </w:r>
      <w:r w:rsidR="003E479E" w:rsidRPr="006F47A5">
        <w:rPr>
          <w:lang w:val="fr-FR"/>
        </w:rPr>
        <w:t xml:space="preserve"> </w:t>
      </w:r>
      <w:r>
        <w:rPr>
          <w:lang w:val="fr-FR"/>
        </w:rPr>
        <w:t>délai moyen enregistré</w:t>
      </w:r>
      <w:r w:rsidR="003E479E" w:rsidRPr="006F47A5">
        <w:rPr>
          <w:lang w:val="fr-FR"/>
        </w:rPr>
        <w:t xml:space="preserve"> </w:t>
      </w:r>
      <w:r>
        <w:rPr>
          <w:lang w:val="fr-FR"/>
        </w:rPr>
        <w:t>pour le</w:t>
      </w:r>
      <w:r w:rsidR="00550BFC" w:rsidRPr="006F47A5">
        <w:rPr>
          <w:lang w:val="fr-FR"/>
        </w:rPr>
        <w:t xml:space="preserve"> trimestre</w:t>
      </w:r>
      <w:r>
        <w:rPr>
          <w:lang w:val="fr-FR"/>
        </w:rPr>
        <w:t xml:space="preserve"> précédent</w:t>
      </w:r>
      <w:r w:rsidR="00C00099" w:rsidRPr="006F47A5">
        <w:rPr>
          <w:lang w:val="fr-FR"/>
        </w:rPr>
        <w:t>.</w:t>
      </w:r>
    </w:p>
    <w:p w:rsidR="00550BFC" w:rsidRPr="006F47A5" w:rsidRDefault="006908F5" w:rsidP="008B7911">
      <w:pPr>
        <w:keepNext/>
        <w:keepLines/>
        <w:rPr>
          <w:i/>
          <w:lang w:val="fr-FR"/>
        </w:rPr>
      </w:pPr>
      <w:r w:rsidRPr="006F47A5">
        <w:rPr>
          <w:i/>
          <w:lang w:val="fr-FR"/>
        </w:rPr>
        <w:lastRenderedPageBreak/>
        <w:t>NORMES CONCERNANT L</w:t>
      </w:r>
      <w:r w:rsidR="00FD5C7A">
        <w:rPr>
          <w:i/>
          <w:lang w:val="fr-FR"/>
        </w:rPr>
        <w:t>’</w:t>
      </w:r>
      <w:r w:rsidRPr="006F47A5">
        <w:rPr>
          <w:i/>
          <w:lang w:val="fr-FR"/>
        </w:rPr>
        <w:t>ENREGISTREMENT ET L</w:t>
      </w:r>
      <w:r w:rsidR="00FD5C7A">
        <w:rPr>
          <w:i/>
          <w:lang w:val="fr-FR"/>
        </w:rPr>
        <w:t>’</w:t>
      </w:r>
      <w:r w:rsidRPr="006F47A5">
        <w:rPr>
          <w:i/>
          <w:lang w:val="fr-FR"/>
        </w:rPr>
        <w:t>EXAMEN DE</w:t>
      </w:r>
      <w:r w:rsidR="00C57892">
        <w:rPr>
          <w:i/>
          <w:lang w:val="fr-FR"/>
        </w:rPr>
        <w:t>S DEMANDES DE BREVET</w:t>
      </w:r>
    </w:p>
    <w:p w:rsidR="006908F5" w:rsidRPr="006F47A5" w:rsidRDefault="006908F5" w:rsidP="008B7911">
      <w:pPr>
        <w:keepNext/>
        <w:keepLines/>
        <w:rPr>
          <w:lang w:val="fr-FR"/>
        </w:rPr>
      </w:pPr>
    </w:p>
    <w:p w:rsidR="008F1232" w:rsidRDefault="006908F5" w:rsidP="008B7911">
      <w:pPr>
        <w:pStyle w:val="ListParagraph"/>
        <w:keepNext/>
        <w:keepLines/>
        <w:numPr>
          <w:ilvl w:val="0"/>
          <w:numId w:val="7"/>
        </w:numPr>
        <w:ind w:left="1134" w:hanging="567"/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Office australien des brevets publie un rapport de recherche internationale dans les </w:t>
      </w:r>
      <w:r w:rsidR="00736588" w:rsidRPr="006F47A5">
        <w:rPr>
          <w:b/>
          <w:lang w:val="fr-FR"/>
        </w:rPr>
        <w:t>10 </w:t>
      </w:r>
      <w:r w:rsidRPr="006F47A5">
        <w:rPr>
          <w:b/>
          <w:lang w:val="fr-FR"/>
        </w:rPr>
        <w:t>semaines</w:t>
      </w:r>
      <w:r w:rsidRPr="006F47A5">
        <w:rPr>
          <w:lang w:val="fr-FR"/>
        </w:rPr>
        <w:t xml:space="preserve"> suivant la réception de la copie de recherche de la demande internationale, sauf si la demande concerne plus d</w:t>
      </w:r>
      <w:r w:rsidR="00FD5C7A">
        <w:rPr>
          <w:lang w:val="fr-FR"/>
        </w:rPr>
        <w:t>’</w:t>
      </w:r>
      <w:r w:rsidRPr="006F47A5">
        <w:rPr>
          <w:lang w:val="fr-FR"/>
        </w:rPr>
        <w:t>une invention</w:t>
      </w:r>
      <w:r w:rsidR="00C00099" w:rsidRPr="006F47A5">
        <w:rPr>
          <w:lang w:val="fr-FR"/>
        </w:rPr>
        <w:t>.</w:t>
      </w:r>
    </w:p>
    <w:p w:rsidR="008F1232" w:rsidRDefault="00736588" w:rsidP="008B7911">
      <w:pPr>
        <w:pStyle w:val="ListParagraph"/>
        <w:numPr>
          <w:ilvl w:val="0"/>
          <w:numId w:val="7"/>
        </w:numPr>
        <w:ind w:left="1134" w:hanging="567"/>
        <w:rPr>
          <w:lang w:val="fr-FR"/>
        </w:rPr>
      </w:pPr>
      <w:r w:rsidRPr="006F47A5">
        <w:rPr>
          <w:lang w:val="fr-FR"/>
        </w:rPr>
        <w:t xml:space="preserve">Il publie des rapports de recherche de type international pour les brevets dans les </w:t>
      </w:r>
      <w:r w:rsidRPr="006F47A5">
        <w:rPr>
          <w:b/>
          <w:lang w:val="fr-FR"/>
        </w:rPr>
        <w:t>6 semaines</w:t>
      </w:r>
      <w:r w:rsidR="007E2EF4" w:rsidRPr="006F47A5">
        <w:rPr>
          <w:lang w:val="fr-FR"/>
        </w:rPr>
        <w:t xml:space="preserve"> suivant la réception de la</w:t>
      </w:r>
      <w:r w:rsidRPr="006F47A5">
        <w:rPr>
          <w:lang w:val="fr-FR"/>
        </w:rPr>
        <w:t xml:space="preserve"> demande de recherche, sauf si la demande de recherche concerne plus d</w:t>
      </w:r>
      <w:r w:rsidR="00FD5C7A">
        <w:rPr>
          <w:lang w:val="fr-FR"/>
        </w:rPr>
        <w:t>’</w:t>
      </w:r>
      <w:r w:rsidRPr="006F47A5">
        <w:rPr>
          <w:lang w:val="fr-FR"/>
        </w:rPr>
        <w:t>une invention ou si l</w:t>
      </w:r>
      <w:r w:rsidR="00FD5C7A">
        <w:rPr>
          <w:lang w:val="fr-FR"/>
        </w:rPr>
        <w:t>’</w:t>
      </w:r>
      <w:r w:rsidRPr="006F47A5">
        <w:rPr>
          <w:lang w:val="fr-FR"/>
        </w:rPr>
        <w:t>office demande de fournir un</w:t>
      </w:r>
      <w:r w:rsidR="00C57892">
        <w:rPr>
          <w:lang w:val="fr-FR"/>
        </w:rPr>
        <w:t>e</w:t>
      </w:r>
      <w:r w:rsidRPr="006F47A5">
        <w:rPr>
          <w:lang w:val="fr-FR"/>
        </w:rPr>
        <w:t xml:space="preserve"> </w:t>
      </w:r>
      <w:r w:rsidR="00C57892">
        <w:rPr>
          <w:lang w:val="fr-FR"/>
        </w:rPr>
        <w:t>déclaration écrite relative à la</w:t>
      </w:r>
      <w:r w:rsidRPr="006F47A5">
        <w:rPr>
          <w:lang w:val="fr-FR"/>
        </w:rPr>
        <w:t xml:space="preserve"> recherche</w:t>
      </w:r>
      <w:r w:rsidR="00C00099" w:rsidRPr="006F47A5">
        <w:rPr>
          <w:lang w:val="fr-FR"/>
        </w:rPr>
        <w:t>.</w:t>
      </w:r>
    </w:p>
    <w:p w:rsidR="008F1232" w:rsidRDefault="00736588" w:rsidP="008B7911">
      <w:pPr>
        <w:pStyle w:val="ListParagraph"/>
        <w:numPr>
          <w:ilvl w:val="0"/>
          <w:numId w:val="7"/>
        </w:numPr>
        <w:ind w:left="1134" w:hanging="567"/>
        <w:rPr>
          <w:lang w:val="fr-FR"/>
        </w:rPr>
      </w:pPr>
      <w:r w:rsidRPr="006F47A5">
        <w:rPr>
          <w:lang w:val="fr-FR"/>
        </w:rPr>
        <w:t>Il répond au courrier relatif à l</w:t>
      </w:r>
      <w:r w:rsidR="00FD5C7A">
        <w:rPr>
          <w:lang w:val="fr-FR"/>
        </w:rPr>
        <w:t>’</w:t>
      </w:r>
      <w:r w:rsidRPr="006F47A5">
        <w:rPr>
          <w:lang w:val="fr-FR"/>
        </w:rPr>
        <w:t>examen d</w:t>
      </w:r>
      <w:r w:rsidR="00FD5C7A">
        <w:rPr>
          <w:lang w:val="fr-FR"/>
        </w:rPr>
        <w:t>’</w:t>
      </w:r>
      <w:r w:rsidRPr="006F47A5">
        <w:rPr>
          <w:lang w:val="fr-FR"/>
        </w:rPr>
        <w:t>un</w:t>
      </w:r>
      <w:r w:rsidR="00C57892">
        <w:rPr>
          <w:lang w:val="fr-FR"/>
        </w:rPr>
        <w:t>e demande</w:t>
      </w:r>
      <w:r w:rsidRPr="006F47A5">
        <w:rPr>
          <w:lang w:val="fr-FR"/>
        </w:rPr>
        <w:t xml:space="preserve"> dans les </w:t>
      </w:r>
      <w:r w:rsidRPr="006F47A5">
        <w:rPr>
          <w:b/>
          <w:lang w:val="fr-FR"/>
        </w:rPr>
        <w:t>20 jours</w:t>
      </w:r>
      <w:r w:rsidRPr="006F47A5">
        <w:rPr>
          <w:lang w:val="fr-FR"/>
        </w:rPr>
        <w:t xml:space="preserve"> </w:t>
      </w:r>
      <w:r w:rsidR="00C57892">
        <w:rPr>
          <w:lang w:val="fr-FR"/>
        </w:rPr>
        <w:t>ouvrables</w:t>
      </w:r>
      <w:r w:rsidRPr="006F47A5">
        <w:rPr>
          <w:lang w:val="fr-FR"/>
        </w:rPr>
        <w:t xml:space="preserve"> suivant la réception du courrier</w:t>
      </w:r>
      <w:r w:rsidR="00C00099" w:rsidRPr="006F47A5">
        <w:rPr>
          <w:lang w:val="fr-FR"/>
        </w:rPr>
        <w:t>.</w:t>
      </w:r>
    </w:p>
    <w:p w:rsidR="00736588" w:rsidRPr="006F47A5" w:rsidRDefault="00736588" w:rsidP="008B7911">
      <w:pPr>
        <w:rPr>
          <w:lang w:val="fr-FR"/>
        </w:rPr>
      </w:pPr>
    </w:p>
    <w:p w:rsidR="008F1232" w:rsidRDefault="00736588" w:rsidP="008B7911">
      <w:pPr>
        <w:rPr>
          <w:i/>
          <w:lang w:val="fr-FR"/>
        </w:rPr>
      </w:pPr>
      <w:r w:rsidRPr="006F47A5">
        <w:rPr>
          <w:i/>
          <w:lang w:val="fr-FR"/>
        </w:rPr>
        <w:t>Nor</w:t>
      </w:r>
      <w:r w:rsidR="00756953" w:rsidRPr="006F47A5">
        <w:rPr>
          <w:i/>
          <w:lang w:val="fr-FR"/>
        </w:rPr>
        <w:t>mes de qualité des produits brevetés</w:t>
      </w:r>
      <w:r w:rsidR="00081CD2">
        <w:rPr>
          <w:i/>
          <w:lang w:val="fr-FR"/>
        </w:rPr>
        <w:t xml:space="preserve"> – </w:t>
      </w:r>
      <w:r w:rsidR="00756953" w:rsidRPr="006F47A5">
        <w:rPr>
          <w:i/>
          <w:lang w:val="fr-FR"/>
        </w:rPr>
        <w:t>niveau</w:t>
      </w:r>
      <w:r w:rsidR="0099215E">
        <w:rPr>
          <w:i/>
          <w:lang w:val="fr-FR"/>
        </w:rPr>
        <w:t> </w:t>
      </w:r>
      <w:r w:rsidR="00756953" w:rsidRPr="006F47A5">
        <w:rPr>
          <w:i/>
          <w:lang w:val="fr-FR"/>
        </w:rPr>
        <w:t>1</w:t>
      </w:r>
    </w:p>
    <w:p w:rsidR="00756953" w:rsidRPr="006F47A5" w:rsidRDefault="000E2A65" w:rsidP="008B7911">
      <w:pPr>
        <w:rPr>
          <w:lang w:val="fr-FR"/>
        </w:rPr>
      </w:pPr>
      <w:r w:rsidRPr="006F47A5">
        <w:rPr>
          <w:bCs/>
          <w:lang w:val="fr-FR"/>
        </w:rPr>
        <w:t>Normes qualitatives touchant des questions influant (ou susceptibles d</w:t>
      </w:r>
      <w:r w:rsidR="00FD5C7A">
        <w:rPr>
          <w:bCs/>
          <w:lang w:val="fr-FR"/>
        </w:rPr>
        <w:t>’</w:t>
      </w:r>
      <w:r w:rsidRPr="006F47A5">
        <w:rPr>
          <w:bCs/>
          <w:lang w:val="fr-FR"/>
        </w:rPr>
        <w:t>influer) négativement sur la validité du droit de propriété intellectuelle</w:t>
      </w:r>
      <w:r w:rsidR="00FD5C7A">
        <w:rPr>
          <w:lang w:val="fr-FR"/>
        </w:rPr>
        <w:t> :</w:t>
      </w:r>
    </w:p>
    <w:p w:rsidR="008F1232" w:rsidRDefault="008F1232" w:rsidP="008B7911">
      <w:pPr>
        <w:rPr>
          <w:lang w:val="fr-FR"/>
        </w:rPr>
      </w:pPr>
    </w:p>
    <w:p w:rsidR="00736588" w:rsidRPr="006F47A5" w:rsidRDefault="001F4B8B" w:rsidP="008B7911">
      <w:pPr>
        <w:pStyle w:val="ListParagraph"/>
        <w:numPr>
          <w:ilvl w:val="0"/>
          <w:numId w:val="8"/>
        </w:numPr>
        <w:ind w:left="1134" w:hanging="567"/>
        <w:rPr>
          <w:lang w:val="fr-FR"/>
        </w:rPr>
      </w:pPr>
      <w:r w:rsidRPr="006F47A5">
        <w:rPr>
          <w:lang w:val="fr-FR"/>
        </w:rPr>
        <w:t>u</w:t>
      </w:r>
      <w:r w:rsidR="00756953" w:rsidRPr="006F47A5">
        <w:rPr>
          <w:lang w:val="fr-FR"/>
        </w:rPr>
        <w:t>ne procédure de recherche correcte est adoptée pour toutes les recherches</w:t>
      </w:r>
      <w:r w:rsidR="004F31F2">
        <w:rPr>
          <w:lang w:val="fr-FR"/>
        </w:rPr>
        <w:t>;</w:t>
      </w:r>
    </w:p>
    <w:p w:rsidR="008F1232" w:rsidRDefault="001F4B8B" w:rsidP="008B7911">
      <w:pPr>
        <w:pStyle w:val="ListParagraph"/>
        <w:numPr>
          <w:ilvl w:val="0"/>
          <w:numId w:val="8"/>
        </w:numPr>
        <w:ind w:left="1134" w:hanging="567"/>
        <w:rPr>
          <w:lang w:val="fr-FR"/>
        </w:rPr>
      </w:pPr>
      <w:r w:rsidRPr="006F47A5">
        <w:rPr>
          <w:lang w:val="fr-FR"/>
        </w:rPr>
        <w:t>t</w:t>
      </w:r>
      <w:r w:rsidR="00756953" w:rsidRPr="006F47A5">
        <w:rPr>
          <w:lang w:val="fr-FR"/>
        </w:rPr>
        <w:t xml:space="preserve">outes les objections/considérations </w:t>
      </w:r>
      <w:r w:rsidR="00C57892" w:rsidRPr="006F47A5">
        <w:rPr>
          <w:bCs/>
          <w:lang w:val="fr-FR"/>
        </w:rPr>
        <w:t xml:space="preserve">influant </w:t>
      </w:r>
      <w:r w:rsidR="00756953" w:rsidRPr="006F47A5">
        <w:rPr>
          <w:lang w:val="fr-FR"/>
        </w:rPr>
        <w:t>(</w:t>
      </w:r>
      <w:r w:rsidR="00C57892" w:rsidRPr="006F47A5">
        <w:rPr>
          <w:bCs/>
          <w:lang w:val="fr-FR"/>
        </w:rPr>
        <w:t>ou susceptibles d</w:t>
      </w:r>
      <w:r w:rsidR="00FD5C7A">
        <w:rPr>
          <w:bCs/>
          <w:lang w:val="fr-FR"/>
        </w:rPr>
        <w:t>’</w:t>
      </w:r>
      <w:r w:rsidR="00C57892" w:rsidRPr="006F47A5">
        <w:rPr>
          <w:bCs/>
          <w:lang w:val="fr-FR"/>
        </w:rPr>
        <w:t>influer</w:t>
      </w:r>
      <w:r w:rsidR="00756953" w:rsidRPr="006F47A5">
        <w:rPr>
          <w:lang w:val="fr-FR"/>
        </w:rPr>
        <w:t xml:space="preserve">) </w:t>
      </w:r>
      <w:r w:rsidR="00C57892" w:rsidRPr="006F47A5">
        <w:rPr>
          <w:bCs/>
          <w:lang w:val="fr-FR"/>
        </w:rPr>
        <w:t xml:space="preserve">négativement sur </w:t>
      </w:r>
      <w:r w:rsidR="00756953" w:rsidRPr="006F47A5">
        <w:rPr>
          <w:lang w:val="fr-FR"/>
        </w:rPr>
        <w:t>la validité du brevet sont prises en compte</w:t>
      </w:r>
      <w:r w:rsidR="00C00099" w:rsidRPr="006F47A5">
        <w:rPr>
          <w:lang w:val="fr-FR"/>
        </w:rPr>
        <w:t>.</w:t>
      </w:r>
    </w:p>
    <w:p w:rsidR="00736588" w:rsidRPr="006F47A5" w:rsidRDefault="00736588" w:rsidP="008B7911">
      <w:pPr>
        <w:rPr>
          <w:lang w:val="fr-FR"/>
        </w:rPr>
      </w:pPr>
    </w:p>
    <w:p w:rsidR="008F1232" w:rsidRDefault="00AC1A23" w:rsidP="008B7911">
      <w:pPr>
        <w:rPr>
          <w:i/>
          <w:lang w:val="fr-FR"/>
        </w:rPr>
      </w:pPr>
      <w:r w:rsidRPr="006F47A5">
        <w:rPr>
          <w:i/>
          <w:lang w:val="fr-FR"/>
        </w:rPr>
        <w:t>Normes de qualité des produits brevetés</w:t>
      </w:r>
      <w:r w:rsidR="00081CD2">
        <w:rPr>
          <w:i/>
          <w:lang w:val="fr-FR"/>
        </w:rPr>
        <w:t xml:space="preserve"> – </w:t>
      </w:r>
      <w:r w:rsidRPr="006F47A5">
        <w:rPr>
          <w:i/>
          <w:lang w:val="fr-FR"/>
        </w:rPr>
        <w:t>niveau</w:t>
      </w:r>
      <w:r w:rsidR="0099215E">
        <w:rPr>
          <w:i/>
          <w:lang w:val="fr-FR"/>
        </w:rPr>
        <w:t> </w:t>
      </w:r>
      <w:r w:rsidRPr="006F47A5">
        <w:rPr>
          <w:i/>
          <w:lang w:val="fr-FR"/>
        </w:rPr>
        <w:t>2</w:t>
      </w:r>
    </w:p>
    <w:p w:rsidR="00AC1A23" w:rsidRDefault="006B4096" w:rsidP="008B7911">
      <w:pPr>
        <w:rPr>
          <w:lang w:val="fr-FR"/>
        </w:rPr>
      </w:pPr>
      <w:r w:rsidRPr="006F47A5">
        <w:rPr>
          <w:lang w:val="fr-FR"/>
        </w:rPr>
        <w:t xml:space="preserve">Normes </w:t>
      </w:r>
      <w:r w:rsidR="000E2A65" w:rsidRPr="006F47A5">
        <w:rPr>
          <w:lang w:val="fr-FR"/>
        </w:rPr>
        <w:t>qualitatives touchant des questions qui</w:t>
      </w:r>
      <w:r w:rsidRPr="006F47A5">
        <w:rPr>
          <w:lang w:val="fr-FR"/>
        </w:rPr>
        <w:t xml:space="preserve"> nécessiterai</w:t>
      </w:r>
      <w:r w:rsidR="001F4B8B" w:rsidRPr="006F47A5">
        <w:rPr>
          <w:lang w:val="fr-FR"/>
        </w:rPr>
        <w:t>en</w:t>
      </w:r>
      <w:r w:rsidRPr="006F47A5">
        <w:rPr>
          <w:lang w:val="fr-FR"/>
        </w:rPr>
        <w:t xml:space="preserve">t </w:t>
      </w:r>
      <w:r w:rsidR="000E2A65" w:rsidRPr="006F47A5">
        <w:rPr>
          <w:lang w:val="fr-FR"/>
        </w:rPr>
        <w:t xml:space="preserve">une charge importante de </w:t>
      </w:r>
      <w:r w:rsidR="000E2A65" w:rsidRPr="00C57892">
        <w:rPr>
          <w:lang w:val="fr-FR"/>
        </w:rPr>
        <w:t>travail</w:t>
      </w:r>
      <w:r w:rsidRPr="006F47A5">
        <w:rPr>
          <w:lang w:val="fr-FR"/>
        </w:rPr>
        <w:t xml:space="preserve"> ou </w:t>
      </w:r>
      <w:r w:rsidR="001F4B8B" w:rsidRPr="006F47A5">
        <w:rPr>
          <w:lang w:val="fr-FR"/>
        </w:rPr>
        <w:t xml:space="preserve">entraîneraient </w:t>
      </w:r>
      <w:r w:rsidRPr="006F47A5">
        <w:rPr>
          <w:lang w:val="fr-FR"/>
        </w:rPr>
        <w:t>de</w:t>
      </w:r>
      <w:r w:rsidR="001F4B8B" w:rsidRPr="006F47A5">
        <w:rPr>
          <w:lang w:val="fr-FR"/>
        </w:rPr>
        <w:t>s</w:t>
      </w:r>
      <w:r w:rsidRPr="006F47A5">
        <w:rPr>
          <w:lang w:val="fr-FR"/>
        </w:rPr>
        <w:t xml:space="preserve"> désagrément</w:t>
      </w:r>
      <w:r w:rsidR="001F4B8B" w:rsidRPr="006F47A5">
        <w:rPr>
          <w:lang w:val="fr-FR"/>
        </w:rPr>
        <w:t xml:space="preserve">s pour le déposant ou </w:t>
      </w:r>
      <w:r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="00FD5C7A">
        <w:rPr>
          <w:lang w:val="fr-FR"/>
        </w:rPr>
        <w:t> :</w:t>
      </w:r>
    </w:p>
    <w:p w:rsidR="00CE00F9" w:rsidRPr="006F47A5" w:rsidRDefault="00CE00F9" w:rsidP="008B7911">
      <w:pPr>
        <w:rPr>
          <w:lang w:val="fr-FR"/>
        </w:rPr>
      </w:pPr>
    </w:p>
    <w:p w:rsidR="006B4096" w:rsidRPr="006F47A5" w:rsidRDefault="006B4096" w:rsidP="008B7911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6F47A5">
        <w:rPr>
          <w:lang w:val="fr-FR"/>
        </w:rPr>
        <w:t>toutes les autres objections/considération</w:t>
      </w:r>
      <w:r w:rsidR="001F4B8B" w:rsidRPr="006F47A5">
        <w:rPr>
          <w:lang w:val="fr-FR"/>
        </w:rPr>
        <w:t>s</w:t>
      </w:r>
      <w:r w:rsidR="00C57892">
        <w:rPr>
          <w:lang w:val="fr-FR"/>
        </w:rPr>
        <w:t xml:space="preserve"> importantes</w:t>
      </w:r>
      <w:r w:rsidRPr="006F47A5">
        <w:rPr>
          <w:lang w:val="fr-FR"/>
        </w:rPr>
        <w:t xml:space="preserve"> sont prises</w:t>
      </w:r>
      <w:r w:rsidR="001F4B8B" w:rsidRPr="006F47A5">
        <w:rPr>
          <w:lang w:val="fr-FR"/>
        </w:rPr>
        <w:t xml:space="preserve"> en compte</w:t>
      </w:r>
      <w:r w:rsidR="004F31F2">
        <w:rPr>
          <w:lang w:val="fr-FR"/>
        </w:rPr>
        <w:t>;</w:t>
      </w:r>
    </w:p>
    <w:p w:rsidR="006B4096" w:rsidRPr="006F47A5" w:rsidRDefault="006B4096" w:rsidP="008B7911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6F47A5">
        <w:rPr>
          <w:lang w:val="fr-FR"/>
        </w:rPr>
        <w:t>le rapport/l</w:t>
      </w:r>
      <w:r w:rsidR="00FD5C7A">
        <w:rPr>
          <w:lang w:val="fr-FR"/>
        </w:rPr>
        <w:t>’</w:t>
      </w:r>
      <w:r w:rsidRPr="006F47A5">
        <w:rPr>
          <w:lang w:val="fr-FR"/>
        </w:rPr>
        <w:t>avis ne comportent pas d</w:t>
      </w:r>
      <w:r w:rsidR="00FD5C7A">
        <w:rPr>
          <w:lang w:val="fr-FR"/>
        </w:rPr>
        <w:t>’</w:t>
      </w:r>
      <w:r w:rsidRPr="006F47A5">
        <w:rPr>
          <w:lang w:val="fr-FR"/>
        </w:rPr>
        <w:t>objections/considérations non valables</w:t>
      </w:r>
      <w:r w:rsidR="004F31F2">
        <w:rPr>
          <w:lang w:val="fr-FR"/>
        </w:rPr>
        <w:t>;</w:t>
      </w:r>
    </w:p>
    <w:p w:rsidR="006B4096" w:rsidRPr="006F47A5" w:rsidRDefault="006B4096" w:rsidP="008B7911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6F47A5">
        <w:rPr>
          <w:lang w:val="fr-FR"/>
        </w:rPr>
        <w:t xml:space="preserve">tous les rapports et avis sont complets et </w:t>
      </w:r>
      <w:r w:rsidR="001F4B8B" w:rsidRPr="006F47A5">
        <w:rPr>
          <w:lang w:val="fr-FR"/>
        </w:rPr>
        <w:t>à visée informative.</w:t>
      </w:r>
    </w:p>
    <w:p w:rsidR="006B4096" w:rsidRPr="006F47A5" w:rsidRDefault="006B4096" w:rsidP="008B7911">
      <w:pPr>
        <w:rPr>
          <w:lang w:val="fr-FR"/>
        </w:rPr>
      </w:pPr>
    </w:p>
    <w:p w:rsidR="006B4096" w:rsidRPr="006F47A5" w:rsidRDefault="006B4096" w:rsidP="008B7911">
      <w:pPr>
        <w:rPr>
          <w:lang w:val="fr-FR"/>
        </w:rPr>
      </w:pPr>
      <w:r w:rsidRPr="006F47A5">
        <w:rPr>
          <w:i/>
          <w:lang w:val="fr-FR"/>
        </w:rPr>
        <w:t>Normes de qualité des produits brevetés</w:t>
      </w:r>
      <w:r w:rsidR="00081CD2">
        <w:rPr>
          <w:i/>
          <w:lang w:val="fr-FR"/>
        </w:rPr>
        <w:t xml:space="preserve"> – </w:t>
      </w:r>
      <w:r w:rsidRPr="006F47A5">
        <w:rPr>
          <w:i/>
          <w:lang w:val="fr-FR"/>
        </w:rPr>
        <w:t>niveau</w:t>
      </w:r>
      <w:r w:rsidR="0099215E">
        <w:rPr>
          <w:i/>
          <w:lang w:val="fr-FR"/>
        </w:rPr>
        <w:t> </w:t>
      </w:r>
      <w:r w:rsidRPr="006F47A5">
        <w:rPr>
          <w:i/>
          <w:lang w:val="fr-FR"/>
        </w:rPr>
        <w:t>3</w:t>
      </w:r>
    </w:p>
    <w:p w:rsidR="006B4096" w:rsidRDefault="006B4096" w:rsidP="008B7911">
      <w:pPr>
        <w:rPr>
          <w:lang w:val="fr-FR"/>
        </w:rPr>
      </w:pPr>
      <w:r w:rsidRPr="006F47A5">
        <w:rPr>
          <w:lang w:val="fr-FR"/>
        </w:rPr>
        <w:t xml:space="preserve">Normes </w:t>
      </w:r>
      <w:r w:rsidR="000E2A65" w:rsidRPr="006F47A5">
        <w:rPr>
          <w:lang w:val="fr-FR"/>
        </w:rPr>
        <w:t>qualitatives</w:t>
      </w:r>
      <w:r w:rsidRPr="006F47A5">
        <w:rPr>
          <w:lang w:val="fr-FR"/>
        </w:rPr>
        <w:t xml:space="preserve"> lié</w:t>
      </w:r>
      <w:r w:rsidR="000E2A65" w:rsidRPr="006F47A5">
        <w:rPr>
          <w:lang w:val="fr-FR"/>
        </w:rPr>
        <w:t>e</w:t>
      </w:r>
      <w:r w:rsidRPr="006F47A5">
        <w:rPr>
          <w:lang w:val="fr-FR"/>
        </w:rPr>
        <w:t>s à d</w:t>
      </w:r>
      <w:r w:rsidR="00FD5C7A">
        <w:rPr>
          <w:lang w:val="fr-FR"/>
        </w:rPr>
        <w:t>’</w:t>
      </w:r>
      <w:r w:rsidRPr="006F47A5">
        <w:rPr>
          <w:lang w:val="fr-FR"/>
        </w:rPr>
        <w:t>autres procédures importantes établies par le manuel sur les brevets</w:t>
      </w:r>
      <w:r w:rsidR="00FD5C7A">
        <w:rPr>
          <w:lang w:val="fr-FR"/>
        </w:rPr>
        <w:t> :</w:t>
      </w:r>
    </w:p>
    <w:p w:rsidR="00CE00F9" w:rsidRPr="006F47A5" w:rsidRDefault="00CE00F9" w:rsidP="008B7911">
      <w:pPr>
        <w:rPr>
          <w:lang w:val="fr-FR"/>
        </w:rPr>
      </w:pPr>
    </w:p>
    <w:p w:rsidR="006B4096" w:rsidRPr="006F47A5" w:rsidRDefault="006B4096" w:rsidP="008B7911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6F47A5">
        <w:rPr>
          <w:lang w:val="fr-FR"/>
        </w:rPr>
        <w:t>les résultats de recherche sont correctement communiqués et enregistrés</w:t>
      </w:r>
      <w:r w:rsidR="004F31F2">
        <w:rPr>
          <w:lang w:val="fr-FR"/>
        </w:rPr>
        <w:t>;</w:t>
      </w:r>
    </w:p>
    <w:p w:rsidR="006B4096" w:rsidRPr="006F47A5" w:rsidRDefault="006B4096" w:rsidP="008B7911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6F47A5">
        <w:rPr>
          <w:lang w:val="fr-FR"/>
        </w:rPr>
        <w:t xml:space="preserve">les </w:t>
      </w:r>
      <w:r w:rsidR="00C57892">
        <w:rPr>
          <w:lang w:val="fr-FR"/>
        </w:rPr>
        <w:t>formalités</w:t>
      </w:r>
      <w:r w:rsidRPr="006F47A5">
        <w:rPr>
          <w:lang w:val="fr-FR"/>
        </w:rPr>
        <w:t xml:space="preserve"> écrit</w:t>
      </w:r>
      <w:r w:rsidR="00C57892">
        <w:rPr>
          <w:lang w:val="fr-FR"/>
        </w:rPr>
        <w:t>es</w:t>
      </w:r>
      <w:r w:rsidRPr="006F47A5">
        <w:rPr>
          <w:lang w:val="fr-FR"/>
        </w:rPr>
        <w:t xml:space="preserve"> sont complètes et correctes.</w:t>
      </w:r>
    </w:p>
    <w:p w:rsidR="006B4096" w:rsidRPr="006F47A5" w:rsidRDefault="006B4096" w:rsidP="008B7911">
      <w:pPr>
        <w:rPr>
          <w:lang w:val="fr-FR"/>
        </w:rPr>
      </w:pPr>
    </w:p>
    <w:p w:rsidR="006B4096" w:rsidRPr="006F47A5" w:rsidRDefault="004F31F2" w:rsidP="008B7911">
      <w:pPr>
        <w:pStyle w:val="SectionHeading"/>
      </w:pPr>
      <w:r>
        <w:t>3 – C</w:t>
      </w:r>
      <w:r w:rsidR="006B4096" w:rsidRPr="006F47A5">
        <w:t xml:space="preserve">hamp </w:t>
      </w:r>
      <w:r w:rsidR="001F4B8B" w:rsidRPr="006F47A5">
        <w:t>d</w:t>
      </w:r>
      <w:r w:rsidR="00FD5C7A">
        <w:t>’</w:t>
      </w:r>
      <w:r w:rsidR="001F4B8B" w:rsidRPr="006F47A5">
        <w:t>application</w:t>
      </w:r>
      <w:r w:rsidR="006B4096" w:rsidRPr="006F47A5">
        <w:t xml:space="preserve"> vis</w:t>
      </w:r>
      <w:r>
        <w:t>é</w:t>
      </w:r>
    </w:p>
    <w:p w:rsidR="006B4096" w:rsidRPr="006F47A5" w:rsidRDefault="00D3366B" w:rsidP="008B7911">
      <w:pPr>
        <w:rPr>
          <w:lang w:val="fr-FR"/>
        </w:rPr>
      </w:pPr>
      <w:r w:rsidRPr="006F47A5">
        <w:rPr>
          <w:b/>
          <w:lang w:val="fr-FR"/>
        </w:rPr>
        <w:t>Langues dans lesquelles les services seraient proposés</w:t>
      </w:r>
      <w:r w:rsidR="00FD5C7A">
        <w:rPr>
          <w:lang w:val="fr-FR"/>
        </w:rPr>
        <w:t> :</w:t>
      </w:r>
      <w:r w:rsidR="007C64F6" w:rsidRPr="006F47A5">
        <w:rPr>
          <w:lang w:val="fr-FR"/>
        </w:rPr>
        <w:t xml:space="preserve"> anglais</w:t>
      </w:r>
    </w:p>
    <w:p w:rsidR="007C64F6" w:rsidRPr="006F47A5" w:rsidRDefault="007C64F6" w:rsidP="008B7911">
      <w:pPr>
        <w:rPr>
          <w:lang w:val="fr-FR"/>
        </w:rPr>
      </w:pPr>
    </w:p>
    <w:p w:rsidR="008F1232" w:rsidRDefault="00D3366B" w:rsidP="008B7911">
      <w:pPr>
        <w:rPr>
          <w:lang w:val="fr-FR"/>
        </w:rPr>
      </w:pPr>
      <w:r w:rsidRPr="006F47A5">
        <w:rPr>
          <w:b/>
          <w:lang w:val="fr-FR"/>
        </w:rPr>
        <w:t>États ou offices</w:t>
      </w:r>
      <w:r w:rsidR="007C64F6" w:rsidRPr="006F47A5">
        <w:rPr>
          <w:b/>
          <w:lang w:val="fr-FR"/>
        </w:rPr>
        <w:t xml:space="preserve"> récepteurs </w:t>
      </w:r>
      <w:r w:rsidRPr="006F47A5">
        <w:rPr>
          <w:b/>
          <w:lang w:val="fr-FR"/>
        </w:rPr>
        <w:t>pour lesquels l</w:t>
      </w:r>
      <w:r w:rsidR="00FD5C7A">
        <w:rPr>
          <w:b/>
          <w:lang w:val="fr-FR"/>
        </w:rPr>
        <w:t>’</w:t>
      </w:r>
      <w:r w:rsidRPr="006F47A5">
        <w:rPr>
          <w:b/>
          <w:lang w:val="fr-FR"/>
        </w:rPr>
        <w:t>administration serait</w:t>
      </w:r>
      <w:r w:rsidR="007C64F6" w:rsidRPr="006F47A5">
        <w:rPr>
          <w:b/>
          <w:lang w:val="fr-FR"/>
        </w:rPr>
        <w:t xml:space="preserve"> compétente</w:t>
      </w:r>
      <w:r w:rsidR="00FD5C7A">
        <w:rPr>
          <w:lang w:val="fr-FR"/>
        </w:rPr>
        <w:t> :</w:t>
      </w:r>
      <w:r w:rsidR="007C64F6" w:rsidRPr="006F47A5">
        <w:rPr>
          <w:lang w:val="fr-FR"/>
        </w:rPr>
        <w:t xml:space="preserve"> </w:t>
      </w:r>
      <w:r w:rsidR="004F31F2">
        <w:rPr>
          <w:lang w:val="fr-FR"/>
        </w:rPr>
        <w:t>l</w:t>
      </w:r>
      <w:r w:rsidR="00FD5C7A">
        <w:rPr>
          <w:lang w:val="fr-FR"/>
        </w:rPr>
        <w:t>’</w:t>
      </w:r>
      <w:r w:rsidR="007C64F6" w:rsidRPr="006F47A5">
        <w:rPr>
          <w:lang w:val="fr-FR"/>
        </w:rPr>
        <w:t>Office australien des brevets agit en tant qu</w:t>
      </w:r>
      <w:r w:rsidR="00FD5C7A">
        <w:rPr>
          <w:lang w:val="fr-FR"/>
        </w:rPr>
        <w:t>’</w:t>
      </w:r>
      <w:r w:rsidR="007C64F6" w:rsidRPr="006F47A5">
        <w:rPr>
          <w:lang w:val="fr-FR"/>
        </w:rPr>
        <w:t>administration compétente chargée de la recherche internationale pour les pays suivants</w:t>
      </w:r>
      <w:r w:rsidR="00FD5C7A">
        <w:rPr>
          <w:lang w:val="fr-FR"/>
        </w:rPr>
        <w:t> :</w:t>
      </w:r>
      <w:r w:rsidR="007C64F6" w:rsidRPr="006F47A5">
        <w:rPr>
          <w:lang w:val="fr-FR"/>
        </w:rPr>
        <w:t xml:space="preserve"> Australie, </w:t>
      </w:r>
      <w:r w:rsidR="007E2EF4" w:rsidRPr="006F47A5">
        <w:rPr>
          <w:lang w:val="fr-FR"/>
        </w:rPr>
        <w:t xml:space="preserve">Afrique du Sud, </w:t>
      </w:r>
      <w:proofErr w:type="spellStart"/>
      <w:r w:rsidR="00300502">
        <w:rPr>
          <w:lang w:val="fr-FR"/>
        </w:rPr>
        <w:t>Brunéi</w:t>
      </w:r>
      <w:proofErr w:type="spellEnd"/>
      <w:r w:rsidR="00300502">
        <w:rPr>
          <w:lang w:val="fr-FR"/>
        </w:rPr>
        <w:t> Darussalam</w:t>
      </w:r>
      <w:r w:rsidR="007C64F6" w:rsidRPr="006F47A5">
        <w:rPr>
          <w:lang w:val="fr-FR"/>
        </w:rPr>
        <w:t>,</w:t>
      </w:r>
      <w:r w:rsidR="007E2EF4" w:rsidRPr="006F47A5">
        <w:rPr>
          <w:lang w:val="fr-FR"/>
        </w:rPr>
        <w:t xml:space="preserve"> Bureau international (pour les ressortissants ou résidents des Émirats arabes unis, du Nigéria, de Sainte</w:t>
      </w:r>
      <w:r w:rsidR="00EE5220">
        <w:rPr>
          <w:lang w:val="fr-FR"/>
        </w:rPr>
        <w:noBreakHyphen/>
      </w:r>
      <w:r w:rsidR="007E2EF4" w:rsidRPr="006F47A5">
        <w:rPr>
          <w:lang w:val="fr-FR"/>
        </w:rPr>
        <w:t>Lucie, de Saint</w:t>
      </w:r>
      <w:r w:rsidR="00EE5220">
        <w:rPr>
          <w:lang w:val="fr-FR"/>
        </w:rPr>
        <w:noBreakHyphen/>
      </w:r>
      <w:r w:rsidR="007E2EF4" w:rsidRPr="006F47A5">
        <w:rPr>
          <w:lang w:val="fr-FR"/>
        </w:rPr>
        <w:t>Vincent</w:t>
      </w:r>
      <w:r w:rsidR="00EE5220">
        <w:rPr>
          <w:lang w:val="fr-FR"/>
        </w:rPr>
        <w:noBreakHyphen/>
      </w:r>
      <w:r w:rsidR="007E2EF4" w:rsidRPr="006F47A5">
        <w:rPr>
          <w:lang w:val="fr-FR"/>
        </w:rPr>
        <w:t>et</w:t>
      </w:r>
      <w:r w:rsidR="00EE5220">
        <w:rPr>
          <w:lang w:val="fr-FR"/>
        </w:rPr>
        <w:noBreakHyphen/>
      </w:r>
      <w:r w:rsidR="007E2EF4" w:rsidRPr="006F47A5">
        <w:rPr>
          <w:lang w:val="fr-FR"/>
        </w:rPr>
        <w:t xml:space="preserve">les Grenadines et </w:t>
      </w:r>
      <w:r w:rsidR="00206805">
        <w:rPr>
          <w:lang w:val="fr-FR"/>
        </w:rPr>
        <w:t>de</w:t>
      </w:r>
      <w:r w:rsidR="007E2EF4" w:rsidRPr="006F47A5">
        <w:rPr>
          <w:lang w:val="fr-FR"/>
        </w:rPr>
        <w:t xml:space="preserve"> Sri</w:t>
      </w:r>
      <w:r w:rsidR="00206805">
        <w:rPr>
          <w:lang w:val="fr-FR"/>
        </w:rPr>
        <w:t> </w:t>
      </w:r>
      <w:r w:rsidR="007E2EF4" w:rsidRPr="006F47A5">
        <w:rPr>
          <w:lang w:val="fr-FR"/>
        </w:rPr>
        <w:t>Lanka),</w:t>
      </w:r>
      <w:r w:rsidR="007C64F6" w:rsidRPr="006F47A5">
        <w:rPr>
          <w:lang w:val="fr-FR"/>
        </w:rPr>
        <w:t xml:space="preserve"> </w:t>
      </w:r>
      <w:r w:rsidR="007E2EF4" w:rsidRPr="006F47A5">
        <w:rPr>
          <w:lang w:val="fr-FR"/>
        </w:rPr>
        <w:t>États</w:t>
      </w:r>
      <w:r w:rsidR="00EE5220">
        <w:rPr>
          <w:lang w:val="fr-FR"/>
        </w:rPr>
        <w:noBreakHyphen/>
      </w:r>
      <w:r w:rsidR="007E2EF4" w:rsidRPr="006F47A5">
        <w:rPr>
          <w:lang w:val="fr-FR"/>
        </w:rPr>
        <w:t>Unis d</w:t>
      </w:r>
      <w:r w:rsidR="00FD5C7A">
        <w:rPr>
          <w:lang w:val="fr-FR"/>
        </w:rPr>
        <w:t>’</w:t>
      </w:r>
      <w:r w:rsidR="007E2EF4" w:rsidRPr="006F47A5">
        <w:rPr>
          <w:lang w:val="fr-FR"/>
        </w:rPr>
        <w:t xml:space="preserve">Amérique, </w:t>
      </w:r>
      <w:r w:rsidR="007C64F6" w:rsidRPr="006F47A5">
        <w:rPr>
          <w:lang w:val="fr-FR"/>
        </w:rPr>
        <w:t>Ghana,</w:t>
      </w:r>
      <w:r w:rsidR="007E2EF4" w:rsidRPr="006F47A5">
        <w:rPr>
          <w:lang w:val="fr-FR"/>
        </w:rPr>
        <w:t xml:space="preserve"> Inde,</w:t>
      </w:r>
      <w:r w:rsidR="007C64F6" w:rsidRPr="006F47A5">
        <w:rPr>
          <w:lang w:val="fr-FR"/>
        </w:rPr>
        <w:t xml:space="preserve"> Indonésie, </w:t>
      </w:r>
      <w:r w:rsidR="007E2EF4" w:rsidRPr="006F47A5">
        <w:rPr>
          <w:lang w:val="fr-FR"/>
        </w:rPr>
        <w:t>Kenya</w:t>
      </w:r>
      <w:r w:rsidR="007C64F6" w:rsidRPr="006F47A5">
        <w:rPr>
          <w:lang w:val="fr-FR"/>
        </w:rPr>
        <w:t>, Malaisie, Nouvelle</w:t>
      </w:r>
      <w:r w:rsidR="00EE5220">
        <w:rPr>
          <w:lang w:val="fr-FR"/>
        </w:rPr>
        <w:noBreakHyphen/>
      </w:r>
      <w:r w:rsidR="007C64F6" w:rsidRPr="006F47A5">
        <w:rPr>
          <w:lang w:val="fr-FR"/>
        </w:rPr>
        <w:t>Zélande, Papouasie</w:t>
      </w:r>
      <w:r w:rsidR="00EE5220">
        <w:rPr>
          <w:lang w:val="fr-FR"/>
        </w:rPr>
        <w:noBreakHyphen/>
      </w:r>
      <w:r w:rsidR="007C64F6" w:rsidRPr="006F47A5">
        <w:rPr>
          <w:lang w:val="fr-FR"/>
        </w:rPr>
        <w:t>Nouvelle</w:t>
      </w:r>
      <w:r w:rsidR="00EE5220">
        <w:rPr>
          <w:lang w:val="fr-FR"/>
        </w:rPr>
        <w:noBreakHyphen/>
      </w:r>
      <w:r w:rsidR="007C64F6" w:rsidRPr="006F47A5">
        <w:rPr>
          <w:lang w:val="fr-FR"/>
        </w:rPr>
        <w:t>Guinée, Philippines,</w:t>
      </w:r>
      <w:r w:rsidR="007E2EF4" w:rsidRPr="006F47A5">
        <w:rPr>
          <w:lang w:val="fr-FR"/>
        </w:rPr>
        <w:t xml:space="preserve"> République de Corée,</w:t>
      </w:r>
      <w:r w:rsidR="007C64F6" w:rsidRPr="006F47A5">
        <w:rPr>
          <w:lang w:val="fr-FR"/>
        </w:rPr>
        <w:t xml:space="preserve"> Singapour, Thaïlande, Viet</w:t>
      </w:r>
      <w:r w:rsidR="00206805">
        <w:rPr>
          <w:lang w:val="fr-FR"/>
        </w:rPr>
        <w:t> </w:t>
      </w:r>
      <w:r w:rsidR="007C64F6" w:rsidRPr="006F47A5">
        <w:rPr>
          <w:lang w:val="fr-FR"/>
        </w:rPr>
        <w:t>Nam et Zimbabwe</w:t>
      </w:r>
      <w:r w:rsidR="00C00099" w:rsidRPr="006F47A5">
        <w:rPr>
          <w:lang w:val="fr-FR"/>
        </w:rPr>
        <w:t>.</w:t>
      </w:r>
    </w:p>
    <w:p w:rsidR="007C64F6" w:rsidRPr="006F47A5" w:rsidRDefault="007C64F6" w:rsidP="008B7911">
      <w:pPr>
        <w:rPr>
          <w:lang w:val="fr-FR"/>
        </w:rPr>
      </w:pPr>
    </w:p>
    <w:p w:rsidR="007C64F6" w:rsidRPr="006F47A5" w:rsidRDefault="007C64F6" w:rsidP="008B7911">
      <w:pPr>
        <w:rPr>
          <w:lang w:val="fr-FR"/>
        </w:rPr>
      </w:pPr>
      <w:r w:rsidRPr="006F47A5">
        <w:rPr>
          <w:b/>
          <w:lang w:val="fr-FR"/>
        </w:rPr>
        <w:t xml:space="preserve">Limitations du champ </w:t>
      </w:r>
      <w:r w:rsidR="00D3366B" w:rsidRPr="006F47A5">
        <w:rPr>
          <w:b/>
          <w:lang w:val="fr-FR"/>
        </w:rPr>
        <w:t>d</w:t>
      </w:r>
      <w:r w:rsidR="00FD5C7A">
        <w:rPr>
          <w:b/>
          <w:lang w:val="fr-FR"/>
        </w:rPr>
        <w:t>’</w:t>
      </w:r>
      <w:r w:rsidR="00D3366B" w:rsidRPr="006F47A5">
        <w:rPr>
          <w:b/>
          <w:lang w:val="fr-FR"/>
        </w:rPr>
        <w:t>application</w:t>
      </w:r>
      <w:r w:rsidR="00FD5C7A">
        <w:rPr>
          <w:b/>
          <w:lang w:val="fr-FR"/>
        </w:rPr>
        <w:t> :</w:t>
      </w:r>
      <w:r w:rsidR="004F31F2">
        <w:rPr>
          <w:lang w:val="fr-FR"/>
        </w:rPr>
        <w:t xml:space="preserve"> l</w:t>
      </w:r>
      <w:r w:rsidR="002E75EC" w:rsidRPr="006F47A5">
        <w:rPr>
          <w:lang w:val="fr-FR"/>
        </w:rPr>
        <w:t xml:space="preserve">e champ </w:t>
      </w:r>
      <w:r w:rsidR="00D3366B" w:rsidRPr="006F47A5">
        <w:rPr>
          <w:lang w:val="fr-FR"/>
        </w:rPr>
        <w:t>d</w:t>
      </w:r>
      <w:r w:rsidR="00FD5C7A">
        <w:rPr>
          <w:lang w:val="fr-FR"/>
        </w:rPr>
        <w:t>’</w:t>
      </w:r>
      <w:r w:rsidR="00D3366B" w:rsidRPr="006F47A5">
        <w:rPr>
          <w:lang w:val="fr-FR"/>
        </w:rPr>
        <w:t>application</w:t>
      </w:r>
      <w:r w:rsidR="002E75EC" w:rsidRPr="006F47A5">
        <w:rPr>
          <w:lang w:val="fr-FR"/>
        </w:rPr>
        <w:t xml:space="preserve"> de l</w:t>
      </w:r>
      <w:r w:rsidR="00FD5C7A">
        <w:rPr>
          <w:lang w:val="fr-FR"/>
        </w:rPr>
        <w:t>’</w:t>
      </w:r>
      <w:r w:rsidR="002E75EC" w:rsidRPr="006F47A5">
        <w:rPr>
          <w:lang w:val="fr-FR"/>
        </w:rPr>
        <w:t>Office australien des brevets n</w:t>
      </w:r>
      <w:r w:rsidR="00FD5C7A">
        <w:rPr>
          <w:lang w:val="fr-FR"/>
        </w:rPr>
        <w:t>’</w:t>
      </w:r>
      <w:r w:rsidR="002E75EC" w:rsidRPr="006F47A5">
        <w:rPr>
          <w:lang w:val="fr-FR"/>
        </w:rPr>
        <w:t>a pas de limitations, sauf pour les États où il agit en tant qu</w:t>
      </w:r>
      <w:r w:rsidR="00FD5C7A">
        <w:rPr>
          <w:lang w:val="fr-FR"/>
        </w:rPr>
        <w:t>’</w:t>
      </w:r>
      <w:r w:rsidR="002E75EC" w:rsidRPr="006F47A5">
        <w:rPr>
          <w:lang w:val="fr-FR"/>
        </w:rPr>
        <w:t>administration compétente.</w:t>
      </w:r>
    </w:p>
    <w:p w:rsidR="002E75EC" w:rsidRPr="006F47A5" w:rsidRDefault="002E75EC" w:rsidP="008B7911">
      <w:pPr>
        <w:rPr>
          <w:lang w:val="fr-FR"/>
        </w:rPr>
      </w:pPr>
    </w:p>
    <w:p w:rsidR="002E75EC" w:rsidRPr="006F47A5" w:rsidRDefault="002E75EC" w:rsidP="008B7911">
      <w:pPr>
        <w:pStyle w:val="SectionHeading"/>
      </w:pPr>
      <w:r w:rsidRPr="006F47A5">
        <w:lastRenderedPageBreak/>
        <w:t xml:space="preserve">4 – </w:t>
      </w:r>
      <w:r w:rsidR="00C00099" w:rsidRPr="006F47A5">
        <w:t>Énonc</w:t>
      </w:r>
      <w:r w:rsidR="004F31F2">
        <w:t>é</w:t>
      </w:r>
      <w:r w:rsidR="00D3366B" w:rsidRPr="006F47A5">
        <w:t xml:space="preserve"> des</w:t>
      </w:r>
      <w:r w:rsidRPr="006F47A5">
        <w:t xml:space="preserve"> </w:t>
      </w:r>
      <w:r w:rsidR="004F31F2">
        <w:t>m</w:t>
      </w:r>
      <w:r w:rsidRPr="006F47A5">
        <w:t>otivation</w:t>
      </w:r>
      <w:r w:rsidR="00D3366B" w:rsidRPr="006F47A5">
        <w:t>s</w:t>
      </w:r>
    </w:p>
    <w:p w:rsidR="008F1232" w:rsidRDefault="00B34443" w:rsidP="008B7911">
      <w:pPr>
        <w:rPr>
          <w:lang w:val="fr-FR"/>
        </w:rPr>
      </w:pPr>
      <w:r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 xml:space="preserve"> reconnaît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OMPI </w:t>
      </w:r>
      <w:r w:rsidR="008E04E1" w:rsidRPr="006F47A5">
        <w:rPr>
          <w:lang w:val="fr-FR"/>
        </w:rPr>
        <w:t>en tant que</w:t>
      </w:r>
      <w:r w:rsidRPr="006F47A5">
        <w:rPr>
          <w:lang w:val="fr-FR"/>
        </w:rPr>
        <w:t xml:space="preserve"> principale instance pour </w:t>
      </w:r>
      <w:r w:rsidR="008E04E1" w:rsidRPr="006F47A5">
        <w:rPr>
          <w:lang w:val="fr-FR"/>
        </w:rPr>
        <w:t>défendre ses intérêts à l</w:t>
      </w:r>
      <w:r w:rsidR="00FD5C7A">
        <w:rPr>
          <w:lang w:val="fr-FR"/>
        </w:rPr>
        <w:t>’</w:t>
      </w:r>
      <w:r w:rsidR="008E04E1" w:rsidRPr="006F47A5">
        <w:rPr>
          <w:lang w:val="fr-FR"/>
        </w:rPr>
        <w:t>échelle internationale et continuera d</w:t>
      </w:r>
      <w:r w:rsidR="00FD5C7A">
        <w:rPr>
          <w:lang w:val="fr-FR"/>
        </w:rPr>
        <w:t>’</w:t>
      </w:r>
      <w:r w:rsidR="008E04E1" w:rsidRPr="006F47A5">
        <w:rPr>
          <w:lang w:val="fr-FR"/>
        </w:rPr>
        <w:t>établir des ponts avec l</w:t>
      </w:r>
      <w:r w:rsidR="00FD5C7A">
        <w:rPr>
          <w:lang w:val="fr-FR"/>
        </w:rPr>
        <w:t>’</w:t>
      </w:r>
      <w:r w:rsidR="008E04E1" w:rsidRPr="006F47A5">
        <w:rPr>
          <w:lang w:val="fr-FR"/>
        </w:rPr>
        <w:t>OMPI, soutenant cette dernière pour garantir qu</w:t>
      </w:r>
      <w:r w:rsidR="00FD5C7A">
        <w:rPr>
          <w:lang w:val="fr-FR"/>
        </w:rPr>
        <w:t>’</w:t>
      </w:r>
      <w:r w:rsidR="008E04E1" w:rsidRPr="006F47A5">
        <w:rPr>
          <w:lang w:val="fr-FR"/>
        </w:rPr>
        <w:t>elle soit une organisation efficace et rationnel</w:t>
      </w:r>
      <w:r w:rsidR="00CE00F9" w:rsidRPr="006F47A5">
        <w:rPr>
          <w:lang w:val="fr-FR"/>
        </w:rPr>
        <w:t>le</w:t>
      </w:r>
      <w:r w:rsidR="00CE00F9">
        <w:rPr>
          <w:lang w:val="fr-FR"/>
        </w:rPr>
        <w:t xml:space="preserve">.  À </w:t>
      </w:r>
      <w:r w:rsidR="00C57892">
        <w:rPr>
          <w:lang w:val="fr-FR"/>
        </w:rPr>
        <w:t>l</w:t>
      </w:r>
      <w:r w:rsidR="00FD5C7A">
        <w:rPr>
          <w:lang w:val="fr-FR"/>
        </w:rPr>
        <w:t>’</w:t>
      </w:r>
      <w:r w:rsidR="00C57892">
        <w:rPr>
          <w:lang w:val="fr-FR"/>
        </w:rPr>
        <w:t xml:space="preserve">issue </w:t>
      </w:r>
      <w:r w:rsidR="008E04E1" w:rsidRPr="006F47A5">
        <w:rPr>
          <w:lang w:val="fr-FR"/>
        </w:rPr>
        <w:t>d</w:t>
      </w:r>
      <w:r w:rsidR="00FD5C7A">
        <w:rPr>
          <w:lang w:val="fr-FR"/>
        </w:rPr>
        <w:t>’</w:t>
      </w:r>
      <w:r w:rsidR="008E04E1" w:rsidRPr="006F47A5">
        <w:rPr>
          <w:lang w:val="fr-FR"/>
        </w:rPr>
        <w:t>une succession d</w:t>
      </w:r>
      <w:r w:rsidR="00FD5C7A">
        <w:rPr>
          <w:lang w:val="fr-FR"/>
        </w:rPr>
        <w:t>’</w:t>
      </w:r>
      <w:r w:rsidR="008E04E1" w:rsidRPr="006F47A5">
        <w:rPr>
          <w:lang w:val="fr-FR"/>
        </w:rPr>
        <w:t xml:space="preserve">accords passés entre le </w:t>
      </w:r>
      <w:r w:rsidR="00C00099" w:rsidRPr="006F47A5">
        <w:rPr>
          <w:lang w:val="fr-FR"/>
        </w:rPr>
        <w:t>G</w:t>
      </w:r>
      <w:r w:rsidR="008E04E1" w:rsidRPr="006F47A5">
        <w:rPr>
          <w:lang w:val="fr-FR"/>
        </w:rPr>
        <w:t>ouvernement australien et le Bureau international, l</w:t>
      </w:r>
      <w:r w:rsidR="00FD5C7A">
        <w:rPr>
          <w:lang w:val="fr-FR"/>
        </w:rPr>
        <w:t>’</w:t>
      </w:r>
      <w:r w:rsidR="008E04E1" w:rsidRPr="006F47A5">
        <w:rPr>
          <w:lang w:val="fr-FR"/>
        </w:rPr>
        <w:t>Office australien des brevets constitue, depuis le 3</w:t>
      </w:r>
      <w:r w:rsidR="008F1232" w:rsidRPr="006F47A5">
        <w:rPr>
          <w:lang w:val="fr-FR"/>
        </w:rPr>
        <w:t>1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mars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19</w:t>
      </w:r>
      <w:r w:rsidR="008E04E1" w:rsidRPr="006F47A5">
        <w:rPr>
          <w:lang w:val="fr-FR"/>
        </w:rPr>
        <w:t>80, une administration chargée de la recherche internationale et de l</w:t>
      </w:r>
      <w:r w:rsidR="00FD5C7A">
        <w:rPr>
          <w:lang w:val="fr-FR"/>
        </w:rPr>
        <w:t>’</w:t>
      </w:r>
      <w:r w:rsidR="008E04E1" w:rsidRPr="006F47A5">
        <w:rPr>
          <w:lang w:val="fr-FR"/>
        </w:rPr>
        <w:t xml:space="preserve">examen préliminaire international, </w:t>
      </w:r>
      <w:r w:rsidR="00C57892">
        <w:rPr>
          <w:lang w:val="fr-FR"/>
        </w:rPr>
        <w:t>et s</w:t>
      </w:r>
      <w:r w:rsidR="00FD5C7A">
        <w:rPr>
          <w:lang w:val="fr-FR"/>
        </w:rPr>
        <w:t>’</w:t>
      </w:r>
      <w:r w:rsidR="00C57892">
        <w:rPr>
          <w:lang w:val="fr-FR"/>
        </w:rPr>
        <w:t>est</w:t>
      </w:r>
      <w:r w:rsidR="008E04E1" w:rsidRPr="006F47A5">
        <w:rPr>
          <w:lang w:val="fr-FR"/>
        </w:rPr>
        <w:t xml:space="preserve"> forg</w:t>
      </w:r>
      <w:r w:rsidR="00C57892">
        <w:rPr>
          <w:lang w:val="fr-FR"/>
        </w:rPr>
        <w:t>é</w:t>
      </w:r>
      <w:r w:rsidR="008E04E1" w:rsidRPr="006F47A5">
        <w:rPr>
          <w:lang w:val="fr-FR"/>
        </w:rPr>
        <w:t xml:space="preserve"> une solide réputation au sein de la communauté</w:t>
      </w:r>
      <w:r w:rsidR="008F1232" w:rsidRPr="008F1232">
        <w:rPr>
          <w:lang w:val="fr-FR"/>
        </w:rPr>
        <w:t xml:space="preserve"> du </w:t>
      </w:r>
      <w:r w:rsidR="00CE00F9" w:rsidRPr="008F1232">
        <w:rPr>
          <w:lang w:val="fr-FR"/>
        </w:rPr>
        <w:t>PCT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Il</w:t>
      </w:r>
      <w:r w:rsidR="008E04E1" w:rsidRPr="006F47A5">
        <w:rPr>
          <w:lang w:val="fr-FR"/>
        </w:rPr>
        <w:t xml:space="preserve"> continue de démontrer son soutien en</w:t>
      </w:r>
      <w:r w:rsidR="00C57892">
        <w:rPr>
          <w:lang w:val="fr-FR"/>
        </w:rPr>
        <w:t xml:space="preserve"> faveur de</w:t>
      </w:r>
      <w:r w:rsidR="008E04E1" w:rsidRPr="006F47A5">
        <w:rPr>
          <w:lang w:val="fr-FR"/>
        </w:rPr>
        <w:t xml:space="preserve"> l</w:t>
      </w:r>
      <w:r w:rsidR="00FD5C7A">
        <w:rPr>
          <w:lang w:val="fr-FR"/>
        </w:rPr>
        <w:t>’</w:t>
      </w:r>
      <w:r w:rsidR="008E04E1" w:rsidRPr="006F47A5">
        <w:rPr>
          <w:lang w:val="fr-FR"/>
        </w:rPr>
        <w:t xml:space="preserve">OMPI, </w:t>
      </w:r>
      <w:r w:rsidR="007B4D67" w:rsidRPr="006F47A5">
        <w:rPr>
          <w:lang w:val="fr-FR"/>
        </w:rPr>
        <w:t>en accordant notamment la priorité aux réformes</w:t>
      </w:r>
      <w:r w:rsidR="008F1232" w:rsidRPr="008F1232">
        <w:rPr>
          <w:lang w:val="fr-FR"/>
        </w:rPr>
        <w:t xml:space="preserve"> du PCT</w:t>
      </w:r>
      <w:r w:rsidR="007B4D67" w:rsidRPr="006F47A5">
        <w:rPr>
          <w:lang w:val="fr-FR"/>
        </w:rPr>
        <w:t>, ce dernier étant l</w:t>
      </w:r>
      <w:r w:rsidR="00FD5C7A">
        <w:rPr>
          <w:lang w:val="fr-FR"/>
        </w:rPr>
        <w:t>’</w:t>
      </w:r>
      <w:r w:rsidR="007B4D67" w:rsidRPr="006F47A5">
        <w:rPr>
          <w:lang w:val="fr-FR"/>
        </w:rPr>
        <w:t>organe prééminent pour le développement du droit et de la pratique en matière de propriété intellectuelle à l</w:t>
      </w:r>
      <w:r w:rsidR="00FD5C7A">
        <w:rPr>
          <w:lang w:val="fr-FR"/>
        </w:rPr>
        <w:t>’</w:t>
      </w:r>
      <w:r w:rsidR="007B4D67" w:rsidRPr="006F47A5">
        <w:rPr>
          <w:lang w:val="fr-FR"/>
        </w:rPr>
        <w:t>échelle internationa</w:t>
      </w:r>
      <w:r w:rsidR="00CE00F9" w:rsidRPr="006F47A5">
        <w:rPr>
          <w:lang w:val="fr-FR"/>
        </w:rPr>
        <w:t>le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Sa</w:t>
      </w:r>
      <w:r w:rsidR="007B4D67" w:rsidRPr="006F47A5">
        <w:rPr>
          <w:lang w:val="fr-FR"/>
        </w:rPr>
        <w:t xml:space="preserve"> participation à divers comités et réunions, tant techniques que politiques, </w:t>
      </w:r>
      <w:r w:rsidR="00D3366B" w:rsidRPr="006F47A5">
        <w:rPr>
          <w:lang w:val="fr-FR"/>
        </w:rPr>
        <w:t>apporte</w:t>
      </w:r>
      <w:r w:rsidR="007B4D67" w:rsidRPr="006F47A5">
        <w:rPr>
          <w:lang w:val="fr-FR"/>
        </w:rPr>
        <w:t xml:space="preserve"> un appui aux demandes australiennes grâce à des systèmes simplifiés de propriété intellectuelle, améliore la qualité grâce à des initiatives en matière de partage du travail au sein de l</w:t>
      </w:r>
      <w:r w:rsidR="00FD5C7A">
        <w:rPr>
          <w:lang w:val="fr-FR"/>
        </w:rPr>
        <w:t>’</w:t>
      </w:r>
      <w:r w:rsidR="007B4D67" w:rsidRPr="006F47A5">
        <w:rPr>
          <w:lang w:val="fr-FR"/>
        </w:rPr>
        <w:t>office</w:t>
      </w:r>
      <w:r w:rsidR="0013645A" w:rsidRPr="006F47A5">
        <w:rPr>
          <w:lang w:val="fr-FR"/>
        </w:rPr>
        <w:t>, et élargit les possibilités d</w:t>
      </w:r>
      <w:r w:rsidR="00FD5C7A">
        <w:rPr>
          <w:lang w:val="fr-FR"/>
        </w:rPr>
        <w:t>’</w:t>
      </w:r>
      <w:r w:rsidR="0013645A" w:rsidRPr="006F47A5">
        <w:rPr>
          <w:lang w:val="fr-FR"/>
        </w:rPr>
        <w:t>utilisation</w:t>
      </w:r>
      <w:r w:rsidR="008F1232" w:rsidRPr="008F1232">
        <w:rPr>
          <w:lang w:val="fr-FR"/>
        </w:rPr>
        <w:t xml:space="preserve"> du </w:t>
      </w:r>
      <w:r w:rsidR="00CE00F9" w:rsidRPr="008F1232">
        <w:rPr>
          <w:lang w:val="fr-FR"/>
        </w:rPr>
        <w:t>PCT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Re</w:t>
      </w:r>
      <w:r w:rsidR="0013645A" w:rsidRPr="006F47A5">
        <w:rPr>
          <w:lang w:val="fr-FR"/>
        </w:rPr>
        <w:t>nouveler la nomination de l</w:t>
      </w:r>
      <w:r w:rsidR="00FD5C7A">
        <w:rPr>
          <w:lang w:val="fr-FR"/>
        </w:rPr>
        <w:t>’</w:t>
      </w:r>
      <w:r w:rsidR="0013645A" w:rsidRPr="006F47A5">
        <w:rPr>
          <w:lang w:val="fr-FR"/>
        </w:rPr>
        <w:t>Office australien des brevets en qualité d</w:t>
      </w:r>
      <w:r w:rsidR="00FD5C7A">
        <w:rPr>
          <w:lang w:val="fr-FR"/>
        </w:rPr>
        <w:t>’</w:t>
      </w:r>
      <w:r w:rsidR="0013645A" w:rsidRPr="006F47A5">
        <w:rPr>
          <w:lang w:val="fr-FR"/>
        </w:rPr>
        <w:t>administration internationale étaye son engagement international actuel</w:t>
      </w:r>
      <w:r w:rsidR="00FD5C7A">
        <w:rPr>
          <w:lang w:val="fr-FR"/>
        </w:rPr>
        <w:t> :</w:t>
      </w:r>
      <w:r w:rsidR="0013645A" w:rsidRPr="006F47A5">
        <w:rPr>
          <w:lang w:val="fr-FR"/>
        </w:rPr>
        <w:t xml:space="preserve"> en tant qu</w:t>
      </w:r>
      <w:r w:rsidR="00FD5C7A">
        <w:rPr>
          <w:lang w:val="fr-FR"/>
        </w:rPr>
        <w:t>’</w:t>
      </w:r>
      <w:r w:rsidR="0013645A" w:rsidRPr="006F47A5">
        <w:rPr>
          <w:lang w:val="fr-FR"/>
        </w:rPr>
        <w:t>organisation, il s</w:t>
      </w:r>
      <w:r w:rsidR="00FD5C7A">
        <w:rPr>
          <w:lang w:val="fr-FR"/>
        </w:rPr>
        <w:t>’</w:t>
      </w:r>
      <w:r w:rsidR="0013645A" w:rsidRPr="006F47A5">
        <w:rPr>
          <w:lang w:val="fr-FR"/>
        </w:rPr>
        <w:t>efforce de combler l</w:t>
      </w:r>
      <w:r w:rsidR="00FD5C7A">
        <w:rPr>
          <w:lang w:val="fr-FR"/>
        </w:rPr>
        <w:t>’</w:t>
      </w:r>
      <w:r w:rsidR="0013645A" w:rsidRPr="006F47A5">
        <w:rPr>
          <w:lang w:val="fr-FR"/>
        </w:rPr>
        <w:t>écart entre les pays en développement et les pays développés membres de l</w:t>
      </w:r>
      <w:r w:rsidR="00FD5C7A">
        <w:rPr>
          <w:lang w:val="fr-FR"/>
        </w:rPr>
        <w:t>’</w:t>
      </w:r>
      <w:r w:rsidR="0013645A" w:rsidRPr="006F47A5">
        <w:rPr>
          <w:lang w:val="fr-FR"/>
        </w:rPr>
        <w:t>OMPI, fournit des produits internationaux novateurs et renfor</w:t>
      </w:r>
      <w:r w:rsidR="00C57892">
        <w:rPr>
          <w:lang w:val="fr-FR"/>
        </w:rPr>
        <w:t>ce</w:t>
      </w:r>
      <w:r w:rsidR="0013645A" w:rsidRPr="006F47A5">
        <w:rPr>
          <w:lang w:val="fr-FR"/>
        </w:rPr>
        <w:t xml:space="preserve"> les capacités dans la région Asie</w:t>
      </w:r>
      <w:r w:rsidR="00EE5220">
        <w:rPr>
          <w:lang w:val="fr-FR"/>
        </w:rPr>
        <w:noBreakHyphen/>
      </w:r>
      <w:r w:rsidR="0013645A" w:rsidRPr="006F47A5">
        <w:rPr>
          <w:lang w:val="fr-FR"/>
        </w:rPr>
        <w:t>Pacifiq</w:t>
      </w:r>
      <w:r w:rsidR="00CE00F9" w:rsidRPr="006F47A5">
        <w:rPr>
          <w:lang w:val="fr-FR"/>
        </w:rPr>
        <w:t>ue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Il</w:t>
      </w:r>
      <w:r w:rsidR="0013645A" w:rsidRPr="006F47A5">
        <w:rPr>
          <w:lang w:val="fr-FR"/>
        </w:rPr>
        <w:t xml:space="preserve"> agit en tant que tel à travers diverses activités de coopération et en </w:t>
      </w:r>
      <w:r w:rsidR="005A68DB" w:rsidRPr="006F47A5">
        <w:rPr>
          <w:lang w:val="fr-FR"/>
        </w:rPr>
        <w:t>donnant le meilleur exemple</w:t>
      </w:r>
      <w:r w:rsidR="00C00099" w:rsidRPr="006F47A5">
        <w:rPr>
          <w:lang w:val="fr-FR"/>
        </w:rPr>
        <w:t>.</w:t>
      </w:r>
    </w:p>
    <w:p w:rsidR="0013645A" w:rsidRPr="006F47A5" w:rsidRDefault="0013645A" w:rsidP="008B7911">
      <w:pPr>
        <w:rPr>
          <w:lang w:val="fr-FR"/>
        </w:rPr>
      </w:pPr>
    </w:p>
    <w:p w:rsidR="002E75EC" w:rsidRPr="006F47A5" w:rsidRDefault="0013645A" w:rsidP="008B7911">
      <w:pPr>
        <w:rPr>
          <w:lang w:val="fr-FR"/>
        </w:rPr>
      </w:pPr>
      <w:r w:rsidRPr="006F47A5">
        <w:rPr>
          <w:lang w:val="fr-FR"/>
        </w:rPr>
        <w:t>Le programme régional de formation à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examen des brevets, par exemple, </w:t>
      </w:r>
      <w:r w:rsidR="008B29BA" w:rsidRPr="006F47A5">
        <w:rPr>
          <w:lang w:val="fr-FR"/>
        </w:rPr>
        <w:t>remporte continuellement un franc succès et reçoit des retours positifs de la part des participants et, plus généralement, de la communauté mondiale de la propriété intellectuel</w:t>
      </w:r>
      <w:r w:rsidR="00CE00F9" w:rsidRPr="006F47A5">
        <w:rPr>
          <w:lang w:val="fr-FR"/>
        </w:rPr>
        <w:t>le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="008B29BA" w:rsidRPr="006F47A5">
        <w:rPr>
          <w:lang w:val="fr-FR"/>
        </w:rPr>
        <w:t xml:space="preserve"> programme, première mondiale en matière de formation virtuelle, </w:t>
      </w:r>
      <w:r w:rsidR="005A68DB" w:rsidRPr="006F47A5">
        <w:rPr>
          <w:lang w:val="fr-FR"/>
        </w:rPr>
        <w:t>demeure</w:t>
      </w:r>
      <w:r w:rsidR="008B29BA" w:rsidRPr="006F47A5">
        <w:rPr>
          <w:lang w:val="fr-FR"/>
        </w:rPr>
        <w:t xml:space="preserve"> un mécanisme clé pour améliorer les pratiques de recherche et d</w:t>
      </w:r>
      <w:r w:rsidR="00FD5C7A">
        <w:rPr>
          <w:lang w:val="fr-FR"/>
        </w:rPr>
        <w:t>’</w:t>
      </w:r>
      <w:r w:rsidR="008B29BA" w:rsidRPr="006F47A5">
        <w:rPr>
          <w:lang w:val="fr-FR"/>
        </w:rPr>
        <w:t>examen dans la régi</w:t>
      </w:r>
      <w:r w:rsidR="00CE00F9" w:rsidRPr="006F47A5">
        <w:rPr>
          <w:lang w:val="fr-FR"/>
        </w:rPr>
        <w:t>on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Il</w:t>
      </w:r>
      <w:r w:rsidR="008B29BA" w:rsidRPr="006F47A5">
        <w:rPr>
          <w:lang w:val="fr-FR"/>
        </w:rPr>
        <w:t xml:space="preserve"> propose une formation complète du début à la fin et une infrastructure qui</w:t>
      </w:r>
      <w:r w:rsidR="00FD5C7A">
        <w:rPr>
          <w:lang w:val="fr-FR"/>
        </w:rPr>
        <w:t> :</w:t>
      </w:r>
    </w:p>
    <w:p w:rsidR="008B29BA" w:rsidRPr="006F47A5" w:rsidRDefault="00CD5909" w:rsidP="008B7911">
      <w:pPr>
        <w:pStyle w:val="ListParagraph"/>
        <w:numPr>
          <w:ilvl w:val="0"/>
          <w:numId w:val="11"/>
        </w:numPr>
        <w:ind w:left="1134" w:hanging="567"/>
        <w:rPr>
          <w:lang w:val="fr-FR"/>
        </w:rPr>
      </w:pPr>
      <w:r w:rsidRPr="006F47A5">
        <w:rPr>
          <w:lang w:val="fr-FR"/>
        </w:rPr>
        <w:t>assure une formation à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examen des brevets plus durable pour les offices </w:t>
      </w:r>
      <w:r w:rsidR="00C57892">
        <w:rPr>
          <w:lang w:val="fr-FR"/>
        </w:rPr>
        <w:t>extérieurs</w:t>
      </w:r>
      <w:r w:rsidR="004F31F2">
        <w:rPr>
          <w:lang w:val="fr-FR"/>
        </w:rPr>
        <w:t>;</w:t>
      </w:r>
    </w:p>
    <w:p w:rsidR="008F1232" w:rsidRDefault="00CD5909" w:rsidP="008B7911">
      <w:pPr>
        <w:pStyle w:val="ListParagraph"/>
        <w:numPr>
          <w:ilvl w:val="0"/>
          <w:numId w:val="11"/>
        </w:numPr>
        <w:ind w:left="1134" w:hanging="567"/>
        <w:rPr>
          <w:lang w:val="fr-FR"/>
        </w:rPr>
      </w:pPr>
      <w:r w:rsidRPr="006F47A5">
        <w:rPr>
          <w:lang w:val="fr-FR"/>
        </w:rPr>
        <w:t xml:space="preserve">peut être utilisé pour </w:t>
      </w:r>
      <w:r w:rsidR="005A68DB" w:rsidRPr="006F47A5">
        <w:rPr>
          <w:lang w:val="fr-FR"/>
        </w:rPr>
        <w:t>encourager</w:t>
      </w:r>
      <w:r w:rsidRPr="006F47A5">
        <w:rPr>
          <w:lang w:val="fr-FR"/>
        </w:rPr>
        <w:t xml:space="preserve"> les initiatives en matière de partage du travail et de coopération avec d</w:t>
      </w:r>
      <w:r w:rsidR="00FD5C7A">
        <w:rPr>
          <w:lang w:val="fr-FR"/>
        </w:rPr>
        <w:t>’</w:t>
      </w:r>
      <w:r w:rsidRPr="006F47A5">
        <w:rPr>
          <w:lang w:val="fr-FR"/>
        </w:rPr>
        <w:t>autres offices de propriété intellectuelle</w:t>
      </w:r>
      <w:r w:rsidR="00C00099" w:rsidRPr="006F47A5">
        <w:rPr>
          <w:lang w:val="fr-FR"/>
        </w:rPr>
        <w:t>.</w:t>
      </w:r>
    </w:p>
    <w:p w:rsidR="00CD5909" w:rsidRPr="006F47A5" w:rsidRDefault="00CD5909" w:rsidP="008B7911">
      <w:pPr>
        <w:rPr>
          <w:lang w:val="fr-FR"/>
        </w:rPr>
      </w:pPr>
    </w:p>
    <w:p w:rsidR="008F1232" w:rsidRDefault="00CD5909" w:rsidP="008B7911">
      <w:pPr>
        <w:rPr>
          <w:lang w:val="fr-FR"/>
        </w:rPr>
      </w:pPr>
      <w:r w:rsidRPr="006F47A5">
        <w:rPr>
          <w:lang w:val="fr-FR"/>
        </w:rPr>
        <w:t>À travers le programme régional de formation à l</w:t>
      </w:r>
      <w:r w:rsidR="00FD5C7A">
        <w:rPr>
          <w:lang w:val="fr-FR"/>
        </w:rPr>
        <w:t>’</w:t>
      </w:r>
      <w:r w:rsidRPr="006F47A5">
        <w:rPr>
          <w:lang w:val="fr-FR"/>
        </w:rPr>
        <w:t>examen des brevets, les offices participants améliorent leurs normes d</w:t>
      </w:r>
      <w:r w:rsidR="00FD5C7A">
        <w:rPr>
          <w:lang w:val="fr-FR"/>
        </w:rPr>
        <w:t>’</w:t>
      </w:r>
      <w:r w:rsidRPr="006F47A5">
        <w:rPr>
          <w:lang w:val="fr-FR"/>
        </w:rPr>
        <w:t>examen des brevets, ce qui conduit à délivrer des brevets de meilleure qualité et à accroître la confiance commerciale dans la région de l</w:t>
      </w:r>
      <w:r w:rsidR="00FD5C7A">
        <w:rPr>
          <w:lang w:val="fr-FR"/>
        </w:rPr>
        <w:t>’</w:t>
      </w:r>
      <w:r w:rsidRPr="006F47A5">
        <w:rPr>
          <w:lang w:val="fr-FR"/>
        </w:rPr>
        <w:t>Association des nations de l</w:t>
      </w:r>
      <w:r w:rsidR="00FD5C7A">
        <w:rPr>
          <w:lang w:val="fr-FR"/>
        </w:rPr>
        <w:t>’</w:t>
      </w:r>
      <w:r w:rsidRPr="006F47A5">
        <w:rPr>
          <w:lang w:val="fr-FR"/>
        </w:rPr>
        <w:t>Asie du Sud Est (ASEAN)</w:t>
      </w:r>
      <w:r w:rsidR="00C00099" w:rsidRPr="006F47A5">
        <w:rPr>
          <w:lang w:val="fr-FR"/>
        </w:rPr>
        <w:t xml:space="preserve">.  </w:t>
      </w:r>
      <w:r w:rsidRPr="006F47A5">
        <w:rPr>
          <w:lang w:val="fr-FR"/>
        </w:rPr>
        <w:t>Une collaboration efficace améliore la réputation de l</w:t>
      </w:r>
      <w:r w:rsidR="00FD5C7A">
        <w:rPr>
          <w:lang w:val="fr-FR"/>
        </w:rPr>
        <w:t>’</w:t>
      </w:r>
      <w:r w:rsidR="005A68DB" w:rsidRPr="006F47A5">
        <w:rPr>
          <w:lang w:val="fr-FR"/>
        </w:rPr>
        <w:t>O</w:t>
      </w:r>
      <w:r w:rsidRPr="006F47A5">
        <w:rPr>
          <w:lang w:val="fr-FR"/>
        </w:rPr>
        <w:t>ffice aust</w:t>
      </w:r>
      <w:r w:rsidR="00A23BA3" w:rsidRPr="006F47A5">
        <w:rPr>
          <w:lang w:val="fr-FR"/>
        </w:rPr>
        <w:t xml:space="preserve">ralien des brevets comme fournisseur </w:t>
      </w:r>
      <w:r w:rsidR="005A68DB" w:rsidRPr="006F47A5">
        <w:rPr>
          <w:lang w:val="fr-FR"/>
        </w:rPr>
        <w:t xml:space="preserve">de formation et de </w:t>
      </w:r>
      <w:r w:rsidR="00C57892">
        <w:rPr>
          <w:lang w:val="fr-FR"/>
        </w:rPr>
        <w:t xml:space="preserve">services de </w:t>
      </w:r>
      <w:r w:rsidR="005A68DB" w:rsidRPr="006F47A5">
        <w:rPr>
          <w:lang w:val="fr-FR"/>
        </w:rPr>
        <w:t xml:space="preserve">développement </w:t>
      </w:r>
      <w:r w:rsidR="00A23BA3" w:rsidRPr="006F47A5">
        <w:rPr>
          <w:lang w:val="fr-FR"/>
        </w:rPr>
        <w:t>en matière de propriété intellectuelle</w:t>
      </w:r>
      <w:r w:rsidR="005A68DB" w:rsidRPr="006F47A5">
        <w:rPr>
          <w:lang w:val="fr-FR"/>
        </w:rPr>
        <w:t xml:space="preserve"> engagé et de qualité</w:t>
      </w:r>
      <w:r w:rsidR="00A23BA3" w:rsidRPr="006F47A5">
        <w:rPr>
          <w:lang w:val="fr-FR"/>
        </w:rPr>
        <w:t xml:space="preserve">, tout en renforçant les relations professionnelles </w:t>
      </w:r>
      <w:r w:rsidR="005A68DB" w:rsidRPr="006F47A5">
        <w:rPr>
          <w:lang w:val="fr-FR"/>
        </w:rPr>
        <w:t>de</w:t>
      </w:r>
      <w:r w:rsidR="00C57892">
        <w:rPr>
          <w:lang w:val="fr-FR"/>
        </w:rPr>
        <w:t xml:space="preserve"> haut</w:t>
      </w:r>
      <w:r w:rsidR="005A68DB" w:rsidRPr="006F47A5">
        <w:rPr>
          <w:lang w:val="fr-FR"/>
        </w:rPr>
        <w:t xml:space="preserve"> niveau </w:t>
      </w:r>
      <w:r w:rsidR="00A23BA3" w:rsidRPr="006F47A5">
        <w:rPr>
          <w:lang w:val="fr-FR"/>
        </w:rPr>
        <w:t>avec les offices participant</w:t>
      </w:r>
      <w:r w:rsidR="005A68DB" w:rsidRPr="006F47A5">
        <w:rPr>
          <w:lang w:val="fr-FR"/>
        </w:rPr>
        <w:t>s</w:t>
      </w:r>
      <w:r w:rsidR="00A23BA3" w:rsidRPr="006F47A5">
        <w:rPr>
          <w:lang w:val="fr-FR"/>
        </w:rPr>
        <w:t xml:space="preserve"> et les partenaires du programme</w:t>
      </w:r>
      <w:r w:rsidR="00C00099" w:rsidRPr="006F47A5">
        <w:rPr>
          <w:lang w:val="fr-FR"/>
        </w:rPr>
        <w:t>.</w:t>
      </w:r>
    </w:p>
    <w:p w:rsidR="002E75EC" w:rsidRPr="006F47A5" w:rsidRDefault="002E75EC" w:rsidP="008B7911">
      <w:pPr>
        <w:rPr>
          <w:lang w:val="fr-FR"/>
        </w:rPr>
      </w:pPr>
    </w:p>
    <w:p w:rsidR="008F1232" w:rsidRDefault="00EA1036" w:rsidP="008B7911">
      <w:pPr>
        <w:rPr>
          <w:lang w:val="fr-FR"/>
        </w:rPr>
      </w:pPr>
      <w:r w:rsidRPr="006F47A5">
        <w:rPr>
          <w:lang w:val="fr-FR"/>
        </w:rPr>
        <w:t>Autre exemple de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engagement régional, les </w:t>
      </w:r>
      <w:r w:rsidR="00A23BA3" w:rsidRPr="006F47A5">
        <w:rPr>
          <w:lang w:val="fr-FR"/>
        </w:rPr>
        <w:t>fonds fiduciaires de l</w:t>
      </w:r>
      <w:r w:rsidR="00FD5C7A">
        <w:rPr>
          <w:lang w:val="fr-FR"/>
        </w:rPr>
        <w:t>’</w:t>
      </w:r>
      <w:r w:rsidR="00A23BA3" w:rsidRPr="006F47A5">
        <w:rPr>
          <w:lang w:val="fr-FR"/>
        </w:rPr>
        <w:t>OMPI</w:t>
      </w:r>
      <w:r w:rsidRPr="006F47A5">
        <w:rPr>
          <w:lang w:val="fr-FR"/>
        </w:rPr>
        <w:t xml:space="preserve"> en Australie ont été établis pour la première fois </w:t>
      </w:r>
      <w:r w:rsidR="008F1232" w:rsidRPr="006F47A5">
        <w:rPr>
          <w:lang w:val="fr-FR"/>
        </w:rPr>
        <w:t>en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2012</w:t>
      </w:r>
      <w:r w:rsidR="00C00099" w:rsidRPr="006F47A5">
        <w:rPr>
          <w:lang w:val="fr-FR"/>
        </w:rPr>
        <w:t xml:space="preserve">.  </w:t>
      </w: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>Office australien des brevets travaille étroitement avec l</w:t>
      </w:r>
      <w:r w:rsidR="00FD5C7A">
        <w:rPr>
          <w:lang w:val="fr-FR"/>
        </w:rPr>
        <w:t>’</w:t>
      </w:r>
      <w:r w:rsidRPr="006F47A5">
        <w:rPr>
          <w:lang w:val="fr-FR"/>
        </w:rPr>
        <w:t>OMPI et les États membres récepteurs pour aboutir à des résultats concrets pour améliorer les systèmes de propriété intellectuelle à l</w:t>
      </w:r>
      <w:r w:rsidR="00FD5C7A">
        <w:rPr>
          <w:lang w:val="fr-FR"/>
        </w:rPr>
        <w:t>’</w:t>
      </w:r>
      <w:r w:rsidRPr="006F47A5">
        <w:rPr>
          <w:lang w:val="fr-FR"/>
        </w:rPr>
        <w:t>échelle mondiale, plus particuliè</w:t>
      </w:r>
      <w:r w:rsidR="00C57892">
        <w:rPr>
          <w:lang w:val="fr-FR"/>
        </w:rPr>
        <w:t xml:space="preserve">rement dans la région </w:t>
      </w:r>
      <w:proofErr w:type="spellStart"/>
      <w:r w:rsidR="00C57892">
        <w:rPr>
          <w:lang w:val="fr-FR"/>
        </w:rPr>
        <w:t>Indo</w:t>
      </w:r>
      <w:r w:rsidR="00EE5220">
        <w:rPr>
          <w:lang w:val="fr-FR"/>
        </w:rPr>
        <w:noBreakHyphen/>
      </w:r>
      <w:r w:rsidRPr="006F47A5">
        <w:rPr>
          <w:lang w:val="fr-FR"/>
        </w:rPr>
        <w:t>Pacifiq</w:t>
      </w:r>
      <w:r w:rsidR="00CE00F9" w:rsidRPr="006F47A5">
        <w:rPr>
          <w:lang w:val="fr-FR"/>
        </w:rPr>
        <w:t>ue</w:t>
      </w:r>
      <w:proofErr w:type="spellEnd"/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</w:t>
      </w:r>
      <w:r w:rsidR="00CE00F9">
        <w:rPr>
          <w:lang w:val="fr-FR"/>
        </w:rPr>
        <w:t>’</w:t>
      </w:r>
      <w:r w:rsidR="00CE00F9" w:rsidRPr="006F47A5">
        <w:rPr>
          <w:lang w:val="fr-FR"/>
        </w:rPr>
        <w:t>i</w:t>
      </w:r>
      <w:r w:rsidRPr="006F47A5">
        <w:rPr>
          <w:lang w:val="fr-FR"/>
        </w:rPr>
        <w:t xml:space="preserve">nitiative </w:t>
      </w:r>
      <w:r w:rsidRPr="006F47A5">
        <w:rPr>
          <w:szCs w:val="22"/>
          <w:lang w:val="fr-FR"/>
        </w:rPr>
        <w:t xml:space="preserve">WIPO </w:t>
      </w:r>
      <w:proofErr w:type="spellStart"/>
      <w:r w:rsidRPr="006F47A5">
        <w:rPr>
          <w:szCs w:val="22"/>
          <w:lang w:val="fr-FR"/>
        </w:rPr>
        <w:t>Re:Search</w:t>
      </w:r>
      <w:proofErr w:type="spellEnd"/>
      <w:r w:rsidRPr="006F47A5">
        <w:rPr>
          <w:szCs w:val="22"/>
          <w:lang w:val="fr-FR"/>
        </w:rPr>
        <w:t xml:space="preserve"> a remporté beaucoup de succès,</w:t>
      </w:r>
      <w:r w:rsidRPr="006F47A5">
        <w:rPr>
          <w:lang w:val="fr-FR"/>
        </w:rPr>
        <w:t xml:space="preserve"> facilitant la recherche collaborative sur des maladies tropicales négligé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Le</w:t>
      </w:r>
      <w:r w:rsidRPr="006F47A5">
        <w:rPr>
          <w:lang w:val="fr-FR"/>
        </w:rPr>
        <w:t xml:space="preserve">s systèmes </w:t>
      </w:r>
      <w:r w:rsidR="005A68DB" w:rsidRPr="006F47A5">
        <w:rPr>
          <w:lang w:val="fr-FR"/>
        </w:rPr>
        <w:t xml:space="preserve">améliorés </w:t>
      </w:r>
      <w:r w:rsidRPr="006F47A5">
        <w:rPr>
          <w:lang w:val="fr-FR"/>
        </w:rPr>
        <w:t>de propriété intellectuelle,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administration et le transfert de technologie dans la région </w:t>
      </w:r>
      <w:r w:rsidR="00E4426F" w:rsidRPr="006F47A5">
        <w:rPr>
          <w:lang w:val="fr-FR"/>
        </w:rPr>
        <w:t xml:space="preserve">sont bénéfiques pour les Australiens qui </w:t>
      </w:r>
      <w:r w:rsidR="005A68DB" w:rsidRPr="006F47A5">
        <w:rPr>
          <w:lang w:val="fr-FR"/>
        </w:rPr>
        <w:t>souhaitent</w:t>
      </w:r>
      <w:r w:rsidR="00E4426F" w:rsidRPr="006F47A5">
        <w:rPr>
          <w:lang w:val="fr-FR"/>
        </w:rPr>
        <w:t xml:space="preserve"> faire du commerce avec les pays de cette régi</w:t>
      </w:r>
      <w:r w:rsidR="00CE00F9" w:rsidRPr="006F47A5">
        <w:rPr>
          <w:lang w:val="fr-FR"/>
        </w:rPr>
        <w:t>on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Le</w:t>
      </w:r>
      <w:r w:rsidR="00E4426F" w:rsidRPr="006F47A5">
        <w:rPr>
          <w:lang w:val="fr-FR"/>
        </w:rPr>
        <w:t xml:space="preserve">s fonds fiduciaires offrent également un grand nombre de bénéfices humanitaires, conformes aux </w:t>
      </w:r>
      <w:r w:rsidR="005A68DB" w:rsidRPr="006F47A5">
        <w:rPr>
          <w:lang w:val="fr-FR"/>
        </w:rPr>
        <w:t xml:space="preserve">grandes </w:t>
      </w:r>
      <w:r w:rsidR="00E4426F" w:rsidRPr="006F47A5">
        <w:rPr>
          <w:lang w:val="fr-FR"/>
        </w:rPr>
        <w:t xml:space="preserve">priorités du </w:t>
      </w:r>
      <w:r w:rsidR="00C00099" w:rsidRPr="006F47A5">
        <w:rPr>
          <w:lang w:val="fr-FR"/>
        </w:rPr>
        <w:t>G</w:t>
      </w:r>
      <w:r w:rsidR="00E4426F" w:rsidRPr="006F47A5">
        <w:rPr>
          <w:lang w:val="fr-FR"/>
        </w:rPr>
        <w:t>ouvernement australien (par exemple, l</w:t>
      </w:r>
      <w:r w:rsidR="00FD5C7A">
        <w:rPr>
          <w:lang w:val="fr-FR"/>
        </w:rPr>
        <w:t>’</w:t>
      </w:r>
      <w:r w:rsidR="00E4426F" w:rsidRPr="006F47A5">
        <w:rPr>
          <w:lang w:val="fr-FR"/>
        </w:rPr>
        <w:t xml:space="preserve">accès </w:t>
      </w:r>
      <w:r w:rsidR="00C57892">
        <w:rPr>
          <w:lang w:val="fr-FR"/>
        </w:rPr>
        <w:t xml:space="preserve">des déficients visuels </w:t>
      </w:r>
      <w:r w:rsidR="005A68DB" w:rsidRPr="006F47A5">
        <w:rPr>
          <w:lang w:val="fr-FR"/>
        </w:rPr>
        <w:t>aux</w:t>
      </w:r>
      <w:r w:rsidR="00E4426F" w:rsidRPr="006F47A5">
        <w:rPr>
          <w:lang w:val="fr-FR"/>
        </w:rPr>
        <w:t xml:space="preserve"> livres dans les pays en développeme</w:t>
      </w:r>
      <w:r w:rsidR="00CE00F9" w:rsidRPr="006F47A5">
        <w:rPr>
          <w:lang w:val="fr-FR"/>
        </w:rPr>
        <w:t>nt)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Le</w:t>
      </w:r>
      <w:r w:rsidR="00E4426F" w:rsidRPr="006F47A5">
        <w:rPr>
          <w:lang w:val="fr-FR"/>
        </w:rPr>
        <w:t>s fonds fiduciaires ont égaleme</w:t>
      </w:r>
      <w:r w:rsidR="005A68DB" w:rsidRPr="006F47A5">
        <w:rPr>
          <w:lang w:val="fr-FR"/>
        </w:rPr>
        <w:t>nt permis d</w:t>
      </w:r>
      <w:r w:rsidR="00FD5C7A">
        <w:rPr>
          <w:lang w:val="fr-FR"/>
        </w:rPr>
        <w:t>’</w:t>
      </w:r>
      <w:r w:rsidR="005A68DB" w:rsidRPr="006F47A5">
        <w:rPr>
          <w:lang w:val="fr-FR"/>
        </w:rPr>
        <w:t xml:space="preserve">améliorer </w:t>
      </w:r>
      <w:r w:rsidR="00C57892">
        <w:rPr>
          <w:lang w:val="fr-FR"/>
        </w:rPr>
        <w:t>la visibilité</w:t>
      </w:r>
      <w:r w:rsidR="00E4426F" w:rsidRPr="006F47A5">
        <w:rPr>
          <w:lang w:val="fr-FR"/>
        </w:rPr>
        <w:t xml:space="preserve">, la crédibilité et </w:t>
      </w:r>
      <w:r w:rsidR="00C57892">
        <w:rPr>
          <w:lang w:val="fr-FR"/>
        </w:rPr>
        <w:t>l</w:t>
      </w:r>
      <w:r w:rsidR="00FD5C7A">
        <w:rPr>
          <w:lang w:val="fr-FR"/>
        </w:rPr>
        <w:t>’</w:t>
      </w:r>
      <w:r w:rsidR="00C57892">
        <w:rPr>
          <w:lang w:val="fr-FR"/>
        </w:rPr>
        <w:t>image</w:t>
      </w:r>
      <w:r w:rsidR="00E4426F" w:rsidRPr="006F47A5">
        <w:rPr>
          <w:lang w:val="fr-FR"/>
        </w:rPr>
        <w:t xml:space="preserve"> de l</w:t>
      </w:r>
      <w:r w:rsidR="00FD5C7A">
        <w:rPr>
          <w:lang w:val="fr-FR"/>
        </w:rPr>
        <w:t>’</w:t>
      </w:r>
      <w:r w:rsidR="00E4426F" w:rsidRPr="006F47A5">
        <w:rPr>
          <w:lang w:val="fr-FR"/>
        </w:rPr>
        <w:t xml:space="preserve">Australie </w:t>
      </w:r>
      <w:r w:rsidR="00C57892">
        <w:rPr>
          <w:lang w:val="fr-FR"/>
        </w:rPr>
        <w:t>auprès d</w:t>
      </w:r>
      <w:r w:rsidR="00E4426F" w:rsidRPr="006F47A5">
        <w:rPr>
          <w:lang w:val="fr-FR"/>
        </w:rPr>
        <w:t>es États membres de l</w:t>
      </w:r>
      <w:r w:rsidR="00FD5C7A">
        <w:rPr>
          <w:lang w:val="fr-FR"/>
        </w:rPr>
        <w:t>’</w:t>
      </w:r>
      <w:r w:rsidR="00E4426F" w:rsidRPr="006F47A5">
        <w:rPr>
          <w:lang w:val="fr-FR"/>
        </w:rPr>
        <w:t xml:space="preserve">OMPI et </w:t>
      </w:r>
      <w:r w:rsidR="00C57892">
        <w:rPr>
          <w:lang w:val="fr-FR"/>
        </w:rPr>
        <w:t>de son</w:t>
      </w:r>
      <w:r w:rsidR="00E4426F" w:rsidRPr="006F47A5">
        <w:rPr>
          <w:lang w:val="fr-FR"/>
        </w:rPr>
        <w:t xml:space="preserve"> Secrétari</w:t>
      </w:r>
      <w:r w:rsidR="00CE00F9" w:rsidRPr="006F47A5">
        <w:rPr>
          <w:lang w:val="fr-FR"/>
        </w:rPr>
        <w:t>at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="00E4426F" w:rsidRPr="006F47A5">
        <w:rPr>
          <w:lang w:val="fr-FR"/>
        </w:rPr>
        <w:t>la a renforcé la réputation de l</w:t>
      </w:r>
      <w:r w:rsidR="00FD5C7A">
        <w:rPr>
          <w:lang w:val="fr-FR"/>
        </w:rPr>
        <w:t>’</w:t>
      </w:r>
      <w:r w:rsidR="00E4426F" w:rsidRPr="006F47A5">
        <w:rPr>
          <w:lang w:val="fr-FR"/>
        </w:rPr>
        <w:t xml:space="preserve">Office australien des brevets </w:t>
      </w:r>
      <w:r w:rsidR="00C57892">
        <w:rPr>
          <w:lang w:val="fr-FR"/>
        </w:rPr>
        <w:t>qui contribue de manière</w:t>
      </w:r>
      <w:r w:rsidR="00E4426F" w:rsidRPr="006F47A5">
        <w:rPr>
          <w:lang w:val="fr-FR"/>
        </w:rPr>
        <w:t xml:space="preserve"> constructi</w:t>
      </w:r>
      <w:r w:rsidR="00C57892">
        <w:rPr>
          <w:lang w:val="fr-FR"/>
        </w:rPr>
        <w:t>ve</w:t>
      </w:r>
      <w:r w:rsidR="00E4426F" w:rsidRPr="006F47A5">
        <w:rPr>
          <w:lang w:val="fr-FR"/>
        </w:rPr>
        <w:t xml:space="preserve"> au programme</w:t>
      </w:r>
      <w:r w:rsidR="00C35611" w:rsidRPr="006F47A5">
        <w:rPr>
          <w:lang w:val="fr-FR"/>
        </w:rPr>
        <w:t xml:space="preserve"> de l</w:t>
      </w:r>
      <w:r w:rsidR="00FD5C7A">
        <w:rPr>
          <w:lang w:val="fr-FR"/>
        </w:rPr>
        <w:t>’</w:t>
      </w:r>
      <w:r w:rsidR="00C35611" w:rsidRPr="006F47A5">
        <w:rPr>
          <w:lang w:val="fr-FR"/>
        </w:rPr>
        <w:t>OMPI</w:t>
      </w:r>
      <w:r w:rsidR="00E4426F" w:rsidRPr="006F47A5">
        <w:rPr>
          <w:lang w:val="fr-FR"/>
        </w:rPr>
        <w:t xml:space="preserve"> en matière d</w:t>
      </w:r>
      <w:r w:rsidR="00FD5C7A">
        <w:rPr>
          <w:lang w:val="fr-FR"/>
        </w:rPr>
        <w:t>’</w:t>
      </w:r>
      <w:r w:rsidR="00E4426F" w:rsidRPr="006F47A5">
        <w:rPr>
          <w:lang w:val="fr-FR"/>
        </w:rPr>
        <w:t xml:space="preserve">établissement de </w:t>
      </w:r>
      <w:r w:rsidR="00E4426F" w:rsidRPr="006F47A5">
        <w:rPr>
          <w:lang w:val="fr-FR"/>
        </w:rPr>
        <w:lastRenderedPageBreak/>
        <w:t>normes</w:t>
      </w:r>
      <w:r w:rsidR="00C35611" w:rsidRPr="006F47A5">
        <w:rPr>
          <w:lang w:val="fr-FR"/>
        </w:rPr>
        <w:t xml:space="preserve"> et a amélioré la portée géographique des systèmes mondiaux de l</w:t>
      </w:r>
      <w:r w:rsidR="00FD5C7A">
        <w:rPr>
          <w:lang w:val="fr-FR"/>
        </w:rPr>
        <w:t>’</w:t>
      </w:r>
      <w:r w:rsidR="00C35611" w:rsidRPr="006F47A5">
        <w:rPr>
          <w:lang w:val="fr-FR"/>
        </w:rPr>
        <w:t xml:space="preserve">OMPI et des services </w:t>
      </w:r>
      <w:r w:rsidR="00C57892">
        <w:rPr>
          <w:lang w:val="fr-FR"/>
        </w:rPr>
        <w:t>offerts aux</w:t>
      </w:r>
      <w:r w:rsidR="00C35611" w:rsidRPr="006F47A5">
        <w:rPr>
          <w:lang w:val="fr-FR"/>
        </w:rPr>
        <w:t xml:space="preserve"> parties prenantes </w:t>
      </w:r>
      <w:r w:rsidR="00C57892">
        <w:rPr>
          <w:lang w:val="fr-FR"/>
        </w:rPr>
        <w:t>concernées</w:t>
      </w:r>
      <w:r w:rsidR="00C00099" w:rsidRPr="006F47A5">
        <w:rPr>
          <w:lang w:val="fr-FR"/>
        </w:rPr>
        <w:t>.</w:t>
      </w:r>
    </w:p>
    <w:p w:rsidR="00C35611" w:rsidRPr="006F47A5" w:rsidRDefault="00C35611" w:rsidP="008B7911">
      <w:pPr>
        <w:rPr>
          <w:lang w:val="fr-FR"/>
        </w:rPr>
      </w:pPr>
    </w:p>
    <w:p w:rsidR="008F1232" w:rsidRDefault="00301CE4" w:rsidP="008B7911">
      <w:pPr>
        <w:rPr>
          <w:lang w:val="fr-FR"/>
        </w:rPr>
      </w:pPr>
      <w:r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 xml:space="preserve"> s</w:t>
      </w:r>
      <w:r w:rsidR="00FD5C7A">
        <w:rPr>
          <w:lang w:val="fr-FR"/>
        </w:rPr>
        <w:t>’</w:t>
      </w:r>
      <w:r w:rsidRPr="006F47A5">
        <w:rPr>
          <w:lang w:val="fr-FR"/>
        </w:rPr>
        <w:t>intéresse à la promotion du développement du système de propriété intellectuelle pour les utilisateurs et, pour cela, collabore avec d</w:t>
      </w:r>
      <w:r w:rsidR="00FD5C7A">
        <w:rPr>
          <w:lang w:val="fr-FR"/>
        </w:rPr>
        <w:t>’</w:t>
      </w:r>
      <w:r w:rsidRPr="006F47A5">
        <w:rPr>
          <w:lang w:val="fr-FR"/>
        </w:rPr>
        <w:t>autres offices de propriété intellectuelle pour influer sur le développement du système de propriété intellectuelle régional et mondi</w:t>
      </w:r>
      <w:r w:rsidR="00CE00F9" w:rsidRPr="006F47A5">
        <w:rPr>
          <w:lang w:val="fr-FR"/>
        </w:rPr>
        <w:t>al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Il</w:t>
      </w:r>
      <w:r w:rsidR="00C217A4" w:rsidRPr="006F47A5">
        <w:rPr>
          <w:lang w:val="fr-FR"/>
        </w:rPr>
        <w:t xml:space="preserve"> travaille avec des offices de taille semblable, comme </w:t>
      </w:r>
      <w:r w:rsidR="005A68DB" w:rsidRPr="006F47A5">
        <w:rPr>
          <w:lang w:val="fr-FR"/>
        </w:rPr>
        <w:t xml:space="preserve">les </w:t>
      </w:r>
      <w:r w:rsidR="00AF1D24" w:rsidRPr="006F47A5">
        <w:rPr>
          <w:lang w:val="fr-FR"/>
        </w:rPr>
        <w:t>office</w:t>
      </w:r>
      <w:r w:rsidR="005A68DB" w:rsidRPr="006F47A5">
        <w:rPr>
          <w:lang w:val="fr-FR"/>
        </w:rPr>
        <w:t>s</w:t>
      </w:r>
      <w:r w:rsidR="00AF1D24" w:rsidRPr="006F47A5">
        <w:rPr>
          <w:lang w:val="fr-FR"/>
        </w:rPr>
        <w:t xml:space="preserve"> de la propriété intellectuelle du Royaume</w:t>
      </w:r>
      <w:r w:rsidR="00EE5220">
        <w:rPr>
          <w:lang w:val="fr-FR"/>
        </w:rPr>
        <w:noBreakHyphen/>
      </w:r>
      <w:r w:rsidR="00AF1D24" w:rsidRPr="006F47A5">
        <w:rPr>
          <w:lang w:val="fr-FR"/>
        </w:rPr>
        <w:t xml:space="preserve">Uni (UKIPO) et du Canada (OPIC), sur </w:t>
      </w:r>
      <w:r w:rsidR="003F7A1B">
        <w:rPr>
          <w:lang w:val="fr-FR"/>
        </w:rPr>
        <w:t xml:space="preserve">le partage </w:t>
      </w:r>
      <w:r w:rsidR="00AF1D24" w:rsidRPr="006F47A5">
        <w:rPr>
          <w:lang w:val="fr-FR"/>
        </w:rPr>
        <w:t>de stratégies de recherche, ainsi qu</w:t>
      </w:r>
      <w:r w:rsidR="00FD5C7A">
        <w:rPr>
          <w:lang w:val="fr-FR"/>
        </w:rPr>
        <w:t>’</w:t>
      </w:r>
      <w:r w:rsidR="00AF1D24" w:rsidRPr="006F47A5">
        <w:rPr>
          <w:lang w:val="fr-FR"/>
        </w:rPr>
        <w:t>avec d</w:t>
      </w:r>
      <w:r w:rsidR="00FD5C7A">
        <w:rPr>
          <w:lang w:val="fr-FR"/>
        </w:rPr>
        <w:t>’</w:t>
      </w:r>
      <w:r w:rsidR="00AF1D24" w:rsidRPr="006F47A5">
        <w:rPr>
          <w:lang w:val="fr-FR"/>
        </w:rPr>
        <w:t>autres donateurs pour des activités de renforcement des capacit</w:t>
      </w:r>
      <w:r w:rsidR="00CE00F9" w:rsidRPr="006F47A5">
        <w:rPr>
          <w:lang w:val="fr-FR"/>
        </w:rPr>
        <w:t>és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En</w:t>
      </w:r>
      <w:r w:rsidR="00AF1D24" w:rsidRPr="006F47A5">
        <w:rPr>
          <w:lang w:val="fr-FR"/>
        </w:rPr>
        <w:t xml:space="preserve"> qualité d</w:t>
      </w:r>
      <w:r w:rsidR="00FD5C7A">
        <w:rPr>
          <w:lang w:val="fr-FR"/>
        </w:rPr>
        <w:t>’</w:t>
      </w:r>
      <w:r w:rsidR="00AF1D24" w:rsidRPr="006F47A5">
        <w:rPr>
          <w:lang w:val="fr-FR"/>
        </w:rPr>
        <w:t>administration chargée de la recherche internationale et de l</w:t>
      </w:r>
      <w:r w:rsidR="00FD5C7A">
        <w:rPr>
          <w:lang w:val="fr-FR"/>
        </w:rPr>
        <w:t>’</w:t>
      </w:r>
      <w:r w:rsidR="00AF1D24" w:rsidRPr="006F47A5">
        <w:rPr>
          <w:lang w:val="fr-FR"/>
        </w:rPr>
        <w:t>examen préliminaire international, l</w:t>
      </w:r>
      <w:r w:rsidR="00FD5C7A">
        <w:rPr>
          <w:lang w:val="fr-FR"/>
        </w:rPr>
        <w:t>’</w:t>
      </w:r>
      <w:r w:rsidR="003F7A1B">
        <w:rPr>
          <w:lang w:val="fr-FR"/>
        </w:rPr>
        <w:t>O</w:t>
      </w:r>
      <w:r w:rsidR="00AF1D24" w:rsidRPr="006F47A5">
        <w:rPr>
          <w:lang w:val="fr-FR"/>
        </w:rPr>
        <w:t>ffice australien des brevets</w:t>
      </w:r>
      <w:r w:rsidR="003F7A1B">
        <w:rPr>
          <w:lang w:val="fr-FR"/>
        </w:rPr>
        <w:t xml:space="preserve"> peut</w:t>
      </w:r>
      <w:r w:rsidR="00AF1D24" w:rsidRPr="006F47A5">
        <w:rPr>
          <w:lang w:val="fr-FR"/>
        </w:rPr>
        <w:t xml:space="preserve"> continue</w:t>
      </w:r>
      <w:r w:rsidR="003F7A1B">
        <w:rPr>
          <w:lang w:val="fr-FR"/>
        </w:rPr>
        <w:t>r</w:t>
      </w:r>
      <w:r w:rsidR="00AF1D24" w:rsidRPr="006F47A5">
        <w:rPr>
          <w:lang w:val="fr-FR"/>
        </w:rPr>
        <w:t xml:space="preserve"> d</w:t>
      </w:r>
      <w:r w:rsidR="00FD5C7A">
        <w:rPr>
          <w:lang w:val="fr-FR"/>
        </w:rPr>
        <w:t>’</w:t>
      </w:r>
      <w:r w:rsidR="00AF1D24" w:rsidRPr="006F47A5">
        <w:rPr>
          <w:lang w:val="fr-FR"/>
        </w:rPr>
        <w:t>influer sur le développement du système de propriét</w:t>
      </w:r>
      <w:r w:rsidR="005A68DB" w:rsidRPr="006F47A5">
        <w:rPr>
          <w:lang w:val="fr-FR"/>
        </w:rPr>
        <w:t xml:space="preserve">é intellectuelle international </w:t>
      </w:r>
      <w:r w:rsidR="003F7A1B">
        <w:rPr>
          <w:lang w:val="fr-FR"/>
        </w:rPr>
        <w:t>compte tenu de sa</w:t>
      </w:r>
      <w:r w:rsidR="005A68DB" w:rsidRPr="006F47A5">
        <w:rPr>
          <w:lang w:val="fr-FR"/>
        </w:rPr>
        <w:t xml:space="preserve"> </w:t>
      </w:r>
      <w:r w:rsidR="00AF1D24" w:rsidRPr="006F47A5">
        <w:rPr>
          <w:lang w:val="fr-FR"/>
        </w:rPr>
        <w:t>crédibilité, en soutenant d</w:t>
      </w:r>
      <w:r w:rsidR="00FD5C7A">
        <w:rPr>
          <w:lang w:val="fr-FR"/>
        </w:rPr>
        <w:t>’</w:t>
      </w:r>
      <w:r w:rsidR="00AF1D24" w:rsidRPr="006F47A5">
        <w:rPr>
          <w:lang w:val="fr-FR"/>
        </w:rPr>
        <w:t>autres offices et systèmes de propriété intellectuelle dans la région Asie</w:t>
      </w:r>
      <w:r w:rsidR="00EE5220">
        <w:rPr>
          <w:lang w:val="fr-FR"/>
        </w:rPr>
        <w:noBreakHyphen/>
      </w:r>
      <w:r w:rsidR="00AF1D24" w:rsidRPr="006F47A5">
        <w:rPr>
          <w:lang w:val="fr-FR"/>
        </w:rPr>
        <w:t>Pacifiq</w:t>
      </w:r>
      <w:r w:rsidR="00CE00F9" w:rsidRPr="006F47A5">
        <w:rPr>
          <w:lang w:val="fr-FR"/>
        </w:rPr>
        <w:t>ue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Le</w:t>
      </w:r>
      <w:r w:rsidR="00AF1D24" w:rsidRPr="006F47A5">
        <w:rPr>
          <w:lang w:val="fr-FR"/>
        </w:rPr>
        <w:t>s services qu</w:t>
      </w:r>
      <w:r w:rsidR="00FD5C7A">
        <w:rPr>
          <w:lang w:val="fr-FR"/>
        </w:rPr>
        <w:t>’</w:t>
      </w:r>
      <w:r w:rsidR="00AF1D24" w:rsidRPr="006F47A5">
        <w:rPr>
          <w:lang w:val="fr-FR"/>
        </w:rPr>
        <w:t>il propose en cette qualité sont hautement appréciés et recherchés par les innovateurs australiens</w:t>
      </w:r>
      <w:r w:rsidR="00FD5C7A">
        <w:rPr>
          <w:lang w:val="fr-FR"/>
        </w:rPr>
        <w:t> :</w:t>
      </w:r>
      <w:r w:rsidR="00AF1D24" w:rsidRPr="006F47A5">
        <w:rPr>
          <w:lang w:val="fr-FR"/>
        </w:rPr>
        <w:t xml:space="preserve"> une très vaste majorité de dépo</w:t>
      </w:r>
      <w:r w:rsidR="005A68DB" w:rsidRPr="006F47A5">
        <w:rPr>
          <w:lang w:val="fr-FR"/>
        </w:rPr>
        <w:t xml:space="preserve">sants australiens choisissent </w:t>
      </w:r>
      <w:r w:rsidR="00AF1D24"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="00AF1D24" w:rsidRPr="006F47A5">
        <w:rPr>
          <w:lang w:val="fr-FR"/>
        </w:rPr>
        <w:t>Australia</w:t>
      </w:r>
      <w:proofErr w:type="spellEnd"/>
      <w:r w:rsidR="00AF1D24" w:rsidRPr="006F47A5">
        <w:rPr>
          <w:lang w:val="fr-FR"/>
        </w:rPr>
        <w:t xml:space="preserve"> en tant qu</w:t>
      </w:r>
      <w:r w:rsidR="00FD5C7A">
        <w:rPr>
          <w:lang w:val="fr-FR"/>
        </w:rPr>
        <w:t>’</w:t>
      </w:r>
      <w:r w:rsidR="00AF1D24" w:rsidRPr="006F47A5">
        <w:rPr>
          <w:lang w:val="fr-FR"/>
        </w:rPr>
        <w:t>administration chargée de la recherche internationale, tout comme des déposants issus d</w:t>
      </w:r>
      <w:r w:rsidR="00FD5C7A">
        <w:rPr>
          <w:lang w:val="fr-FR"/>
        </w:rPr>
        <w:t>’</w:t>
      </w:r>
      <w:r w:rsidR="00AF1D24" w:rsidRPr="006F47A5">
        <w:rPr>
          <w:lang w:val="fr-FR"/>
        </w:rPr>
        <w:t xml:space="preserve">autres juridictions, </w:t>
      </w:r>
      <w:r w:rsidR="00FD5C7A">
        <w:rPr>
          <w:lang w:val="fr-FR"/>
        </w:rPr>
        <w:t>y compris</w:t>
      </w:r>
      <w:r w:rsidR="00AF1D24" w:rsidRPr="006F47A5">
        <w:rPr>
          <w:lang w:val="fr-FR"/>
        </w:rPr>
        <w:t xml:space="preserve"> des États</w:t>
      </w:r>
      <w:r w:rsidR="00EE5220">
        <w:rPr>
          <w:lang w:val="fr-FR"/>
        </w:rPr>
        <w:noBreakHyphen/>
      </w:r>
      <w:r w:rsidR="00AF1D24" w:rsidRPr="006F47A5">
        <w:rPr>
          <w:lang w:val="fr-FR"/>
        </w:rPr>
        <w:t>Unis</w:t>
      </w:r>
      <w:r w:rsidR="00206805">
        <w:rPr>
          <w:lang w:val="fr-FR"/>
        </w:rPr>
        <w:t xml:space="preserve"> d</w:t>
      </w:r>
      <w:r w:rsidR="00FD5C7A">
        <w:rPr>
          <w:lang w:val="fr-FR"/>
        </w:rPr>
        <w:t>’</w:t>
      </w:r>
      <w:r w:rsidR="00206805">
        <w:rPr>
          <w:lang w:val="fr-FR"/>
        </w:rPr>
        <w:t>Amérique</w:t>
      </w:r>
      <w:r w:rsidR="00AF1D24" w:rsidRPr="006F47A5">
        <w:rPr>
          <w:lang w:val="fr-FR"/>
        </w:rPr>
        <w:t xml:space="preserve">, </w:t>
      </w:r>
      <w:r w:rsidR="005A68DB" w:rsidRPr="006F47A5">
        <w:rPr>
          <w:lang w:val="fr-FR"/>
        </w:rPr>
        <w:t xml:space="preserve">de </w:t>
      </w:r>
      <w:r w:rsidR="00FD5C7A">
        <w:rPr>
          <w:lang w:val="fr-FR"/>
        </w:rPr>
        <w:t>la N</w:t>
      </w:r>
      <w:r w:rsidR="00AF1D24" w:rsidRPr="006F47A5">
        <w:rPr>
          <w:lang w:val="fr-FR"/>
        </w:rPr>
        <w:t>ouvelle</w:t>
      </w:r>
      <w:r w:rsidR="00EE5220">
        <w:rPr>
          <w:lang w:val="fr-FR"/>
        </w:rPr>
        <w:noBreakHyphen/>
      </w:r>
      <w:r w:rsidR="00AF1D24" w:rsidRPr="006F47A5">
        <w:rPr>
          <w:lang w:val="fr-FR"/>
        </w:rPr>
        <w:t xml:space="preserve">Zélande, </w:t>
      </w:r>
      <w:r w:rsidR="005A68DB" w:rsidRPr="006F47A5">
        <w:rPr>
          <w:lang w:val="fr-FR"/>
        </w:rPr>
        <w:t xml:space="preserve">de </w:t>
      </w:r>
      <w:r w:rsidR="00AF1D24" w:rsidRPr="006F47A5">
        <w:rPr>
          <w:lang w:val="fr-FR"/>
        </w:rPr>
        <w:t xml:space="preserve">Singapour, </w:t>
      </w:r>
      <w:r w:rsidR="005A68DB" w:rsidRPr="006F47A5">
        <w:rPr>
          <w:lang w:val="fr-FR"/>
        </w:rPr>
        <w:t>de</w:t>
      </w:r>
      <w:r w:rsidR="00FD5C7A">
        <w:rPr>
          <w:lang w:val="fr-FR"/>
        </w:rPr>
        <w:t xml:space="preserve"> la </w:t>
      </w:r>
      <w:r w:rsidR="00AF1D24" w:rsidRPr="006F47A5">
        <w:rPr>
          <w:lang w:val="fr-FR"/>
        </w:rPr>
        <w:t xml:space="preserve">Malaisie et </w:t>
      </w:r>
      <w:r w:rsidR="005A68DB" w:rsidRPr="006F47A5">
        <w:rPr>
          <w:lang w:val="fr-FR"/>
        </w:rPr>
        <w:t>de</w:t>
      </w:r>
      <w:r w:rsidR="00FD5C7A">
        <w:rPr>
          <w:lang w:val="fr-FR"/>
        </w:rPr>
        <w:t xml:space="preserve"> la </w:t>
      </w:r>
      <w:r w:rsidR="005A68DB" w:rsidRPr="006F47A5">
        <w:rPr>
          <w:lang w:val="fr-FR"/>
        </w:rPr>
        <w:t>République de Corée</w:t>
      </w:r>
      <w:r w:rsidR="00C00099" w:rsidRPr="006F47A5">
        <w:rPr>
          <w:lang w:val="fr-FR"/>
        </w:rPr>
        <w:t xml:space="preserve">.  </w:t>
      </w:r>
      <w:r w:rsidR="005A68DB" w:rsidRPr="006F47A5">
        <w:rPr>
          <w:lang w:val="fr-FR"/>
        </w:rPr>
        <w:t>L</w:t>
      </w:r>
      <w:r w:rsidR="00FD5C7A">
        <w:rPr>
          <w:lang w:val="fr-FR"/>
        </w:rPr>
        <w:t>’</w:t>
      </w:r>
      <w:r w:rsidR="005A68DB" w:rsidRPr="006F47A5">
        <w:rPr>
          <w:lang w:val="fr-FR"/>
        </w:rPr>
        <w:t>Office australien des brevets propose</w:t>
      </w:r>
      <w:r w:rsidR="009E481C" w:rsidRPr="006F47A5">
        <w:rPr>
          <w:lang w:val="fr-FR"/>
        </w:rPr>
        <w:t xml:space="preserve"> des services de</w:t>
      </w:r>
      <w:r w:rsidR="003F7A1B">
        <w:rPr>
          <w:lang w:val="fr-FR"/>
        </w:rPr>
        <w:t xml:space="preserve"> première qualité en matière de</w:t>
      </w:r>
      <w:r w:rsidR="009E481C" w:rsidRPr="006F47A5">
        <w:rPr>
          <w:lang w:val="fr-FR"/>
        </w:rPr>
        <w:t xml:space="preserve"> recherche et d</w:t>
      </w:r>
      <w:r w:rsidR="00FD5C7A">
        <w:rPr>
          <w:lang w:val="fr-FR"/>
        </w:rPr>
        <w:t>’</w:t>
      </w:r>
      <w:r w:rsidR="009E481C" w:rsidRPr="006F47A5">
        <w:rPr>
          <w:lang w:val="fr-FR"/>
        </w:rPr>
        <w:t>examen à un stade précoce d</w:t>
      </w:r>
      <w:r w:rsidR="003F7A1B">
        <w:rPr>
          <w:lang w:val="fr-FR"/>
        </w:rPr>
        <w:t>u</w:t>
      </w:r>
      <w:r w:rsidR="009E481C" w:rsidRPr="006F47A5">
        <w:rPr>
          <w:lang w:val="fr-FR"/>
        </w:rPr>
        <w:t xml:space="preserve"> processus de dépôt de</w:t>
      </w:r>
      <w:r w:rsidR="003F7A1B">
        <w:rPr>
          <w:lang w:val="fr-FR"/>
        </w:rPr>
        <w:t>s</w:t>
      </w:r>
      <w:r w:rsidR="009E481C" w:rsidRPr="006F47A5">
        <w:rPr>
          <w:lang w:val="fr-FR"/>
        </w:rPr>
        <w:t xml:space="preserve"> </w:t>
      </w:r>
      <w:r w:rsidR="003F7A1B">
        <w:rPr>
          <w:lang w:val="fr-FR"/>
        </w:rPr>
        <w:t xml:space="preserve">demandes internationales de </w:t>
      </w:r>
      <w:r w:rsidR="009E481C" w:rsidRPr="006F47A5">
        <w:rPr>
          <w:lang w:val="fr-FR"/>
        </w:rPr>
        <w:t>brev</w:t>
      </w:r>
      <w:r w:rsidR="00CE00F9" w:rsidRPr="006F47A5">
        <w:rPr>
          <w:lang w:val="fr-FR"/>
        </w:rPr>
        <w:t>et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="009E481C" w:rsidRPr="006F47A5">
        <w:rPr>
          <w:lang w:val="fr-FR"/>
        </w:rPr>
        <w:t xml:space="preserve">la </w:t>
      </w:r>
      <w:r w:rsidR="003F7A1B">
        <w:rPr>
          <w:lang w:val="fr-FR"/>
        </w:rPr>
        <w:t>présente des avantages notables</w:t>
      </w:r>
      <w:r w:rsidR="009E481C" w:rsidRPr="006F47A5">
        <w:rPr>
          <w:lang w:val="fr-FR"/>
        </w:rPr>
        <w:t xml:space="preserve"> pour les secteurs de l</w:t>
      </w:r>
      <w:r w:rsidR="00FD5C7A">
        <w:rPr>
          <w:lang w:val="fr-FR"/>
        </w:rPr>
        <w:t>’</w:t>
      </w:r>
      <w:r w:rsidR="009E481C" w:rsidRPr="006F47A5">
        <w:rPr>
          <w:lang w:val="fr-FR"/>
        </w:rPr>
        <w:t xml:space="preserve">industrie et de la technologie en Australie, </w:t>
      </w:r>
      <w:r w:rsidR="005A68DB" w:rsidRPr="006F47A5">
        <w:rPr>
          <w:lang w:val="fr-FR"/>
        </w:rPr>
        <w:t xml:space="preserve">notamment </w:t>
      </w:r>
      <w:r w:rsidR="003F7A1B">
        <w:rPr>
          <w:lang w:val="fr-FR"/>
        </w:rPr>
        <w:t>du fait</w:t>
      </w:r>
      <w:r w:rsidR="005A68DB" w:rsidRPr="006F47A5">
        <w:rPr>
          <w:lang w:val="fr-FR"/>
        </w:rPr>
        <w:t xml:space="preserve"> que</w:t>
      </w:r>
      <w:r w:rsidR="009E481C" w:rsidRPr="006F47A5">
        <w:rPr>
          <w:lang w:val="fr-FR"/>
        </w:rPr>
        <w:t xml:space="preserve"> le personnel </w:t>
      </w:r>
      <w:r w:rsidR="003F7A1B">
        <w:rPr>
          <w:lang w:val="fr-FR"/>
        </w:rPr>
        <w:t xml:space="preserve">chargé de </w:t>
      </w:r>
      <w:r w:rsidR="003F7A1B" w:rsidRPr="006F47A5">
        <w:rPr>
          <w:lang w:val="fr-FR"/>
        </w:rPr>
        <w:t>l</w:t>
      </w:r>
      <w:r w:rsidR="00FD5C7A">
        <w:rPr>
          <w:lang w:val="fr-FR"/>
        </w:rPr>
        <w:t>’</w:t>
      </w:r>
      <w:r w:rsidR="003F7A1B" w:rsidRPr="006F47A5">
        <w:rPr>
          <w:lang w:val="fr-FR"/>
        </w:rPr>
        <w:t xml:space="preserve">examen </w:t>
      </w:r>
      <w:r w:rsidR="003F7A1B">
        <w:rPr>
          <w:lang w:val="fr-FR"/>
        </w:rPr>
        <w:t>et de l</w:t>
      </w:r>
      <w:r w:rsidR="00FD5C7A">
        <w:rPr>
          <w:lang w:val="fr-FR"/>
        </w:rPr>
        <w:t>’</w:t>
      </w:r>
      <w:r w:rsidR="009E481C" w:rsidRPr="006F47A5">
        <w:rPr>
          <w:lang w:val="fr-FR"/>
        </w:rPr>
        <w:t xml:space="preserve">appui </w:t>
      </w:r>
      <w:r w:rsidR="003F7A1B">
        <w:rPr>
          <w:lang w:val="fr-FR"/>
        </w:rPr>
        <w:t>est à la disposition d</w:t>
      </w:r>
      <w:r w:rsidR="009E481C" w:rsidRPr="006F47A5">
        <w:rPr>
          <w:lang w:val="fr-FR"/>
        </w:rPr>
        <w:t>es déposants ou</w:t>
      </w:r>
      <w:r w:rsidR="003F7A1B">
        <w:rPr>
          <w:lang w:val="fr-FR"/>
        </w:rPr>
        <w:t xml:space="preserve"> de</w:t>
      </w:r>
      <w:r w:rsidR="009E481C" w:rsidRPr="006F47A5">
        <w:rPr>
          <w:lang w:val="fr-FR"/>
        </w:rPr>
        <w:t xml:space="preserve"> leurs conseillers juridiqu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="003F7A1B">
        <w:rPr>
          <w:lang w:val="fr-FR"/>
        </w:rPr>
        <w:t>la représente un</w:t>
      </w:r>
      <w:r w:rsidR="009E481C" w:rsidRPr="006F47A5">
        <w:rPr>
          <w:lang w:val="fr-FR"/>
        </w:rPr>
        <w:t xml:space="preserve"> </w:t>
      </w:r>
      <w:r w:rsidR="003F7A1B">
        <w:rPr>
          <w:lang w:val="fr-FR"/>
        </w:rPr>
        <w:t>vaste ensemble</w:t>
      </w:r>
      <w:r w:rsidR="009E481C" w:rsidRPr="006F47A5">
        <w:rPr>
          <w:lang w:val="fr-FR"/>
        </w:rPr>
        <w:t xml:space="preserve"> de compétences et de connaissances aisément </w:t>
      </w:r>
      <w:r w:rsidR="003F7A1B">
        <w:rPr>
          <w:lang w:val="fr-FR"/>
        </w:rPr>
        <w:t>accessibles</w:t>
      </w:r>
      <w:r w:rsidR="009E481C" w:rsidRPr="006F47A5">
        <w:rPr>
          <w:lang w:val="fr-FR"/>
        </w:rPr>
        <w:t xml:space="preserve"> </w:t>
      </w:r>
      <w:r w:rsidR="003F7A1B">
        <w:rPr>
          <w:lang w:val="fr-FR"/>
        </w:rPr>
        <w:t>aux</w:t>
      </w:r>
      <w:r w:rsidR="009E481C" w:rsidRPr="006F47A5">
        <w:rPr>
          <w:lang w:val="fr-FR"/>
        </w:rPr>
        <w:t xml:space="preserve"> secteurs du commerce et de la recherc</w:t>
      </w:r>
      <w:r w:rsidR="00CE00F9" w:rsidRPr="006F47A5">
        <w:rPr>
          <w:lang w:val="fr-FR"/>
        </w:rPr>
        <w:t>he</w:t>
      </w:r>
      <w:r w:rsidR="00CE00F9">
        <w:rPr>
          <w:lang w:val="fr-FR"/>
        </w:rPr>
        <w:t>.  L</w:t>
      </w:r>
      <w:r w:rsidR="00CE00F9" w:rsidRPr="006F47A5">
        <w:rPr>
          <w:lang w:val="fr-FR"/>
        </w:rPr>
        <w:t>e</w:t>
      </w:r>
      <w:r w:rsidR="009E481C" w:rsidRPr="006F47A5">
        <w:rPr>
          <w:lang w:val="fr-FR"/>
        </w:rPr>
        <w:t xml:space="preserve">s innovateurs australiens </w:t>
      </w:r>
      <w:r w:rsidR="003F7A1B">
        <w:rPr>
          <w:lang w:val="fr-FR"/>
        </w:rPr>
        <w:t>sont ainsi en mesure de</w:t>
      </w:r>
      <w:r w:rsidR="009E481C" w:rsidRPr="006F47A5">
        <w:rPr>
          <w:lang w:val="fr-FR"/>
        </w:rPr>
        <w:t xml:space="preserve"> prendre des décisions </w:t>
      </w:r>
      <w:r w:rsidR="003F7A1B">
        <w:rPr>
          <w:lang w:val="fr-FR"/>
        </w:rPr>
        <w:t xml:space="preserve">rapides </w:t>
      </w:r>
      <w:r w:rsidR="005A68DB" w:rsidRPr="006F47A5">
        <w:rPr>
          <w:lang w:val="fr-FR"/>
        </w:rPr>
        <w:t>relatives à leur</w:t>
      </w:r>
      <w:r w:rsidR="003F7A1B">
        <w:rPr>
          <w:lang w:val="fr-FR"/>
        </w:rPr>
        <w:t>s demandes</w:t>
      </w:r>
      <w:r w:rsidR="009E481C" w:rsidRPr="006F47A5">
        <w:rPr>
          <w:lang w:val="fr-FR"/>
        </w:rPr>
        <w:t xml:space="preserve"> de brevet, </w:t>
      </w:r>
      <w:r w:rsidR="009E481C" w:rsidRPr="003F7A1B">
        <w:rPr>
          <w:lang w:val="fr-FR"/>
        </w:rPr>
        <w:t xml:space="preserve">ce qui </w:t>
      </w:r>
      <w:r w:rsidR="003F7A1B">
        <w:rPr>
          <w:lang w:val="fr-FR"/>
        </w:rPr>
        <w:t>leur permet éventuellement</w:t>
      </w:r>
      <w:r w:rsidR="005A68DB" w:rsidRPr="006F47A5">
        <w:rPr>
          <w:lang w:val="fr-FR"/>
        </w:rPr>
        <w:t xml:space="preserve"> de </w:t>
      </w:r>
      <w:r w:rsidR="009E481C" w:rsidRPr="006F47A5">
        <w:rPr>
          <w:lang w:val="fr-FR"/>
        </w:rPr>
        <w:t>gagner du temps et de l</w:t>
      </w:r>
      <w:r w:rsidR="00FD5C7A">
        <w:rPr>
          <w:lang w:val="fr-FR"/>
        </w:rPr>
        <w:t>’</w:t>
      </w:r>
      <w:r w:rsidR="009E481C" w:rsidRPr="006F47A5">
        <w:rPr>
          <w:lang w:val="fr-FR"/>
        </w:rPr>
        <w:t>argent</w:t>
      </w:r>
      <w:r w:rsidR="00C00099" w:rsidRPr="006F47A5">
        <w:rPr>
          <w:lang w:val="fr-FR"/>
        </w:rPr>
        <w:t>.</w:t>
      </w:r>
    </w:p>
    <w:p w:rsidR="009E481C" w:rsidRPr="006F47A5" w:rsidRDefault="009E481C" w:rsidP="008B7911">
      <w:pPr>
        <w:rPr>
          <w:lang w:val="fr-FR"/>
        </w:rPr>
      </w:pPr>
    </w:p>
    <w:p w:rsidR="009E481C" w:rsidRPr="006F47A5" w:rsidRDefault="005A68DB" w:rsidP="008B7911">
      <w:pPr>
        <w:pStyle w:val="SectionHeading"/>
      </w:pPr>
      <w:r w:rsidRPr="006F47A5">
        <w:t>5 – Profil</w:t>
      </w:r>
      <w:r w:rsidR="004F31F2">
        <w:t xml:space="preserve"> des de</w:t>
      </w:r>
      <w:r w:rsidR="00C651B5" w:rsidRPr="006F47A5">
        <w:t>mandes</w:t>
      </w:r>
      <w:r w:rsidRPr="006F47A5">
        <w:t xml:space="preserve"> de brevet</w:t>
      </w:r>
    </w:p>
    <w:p w:rsidR="009E481C" w:rsidRPr="006F47A5" w:rsidRDefault="009E481C" w:rsidP="008B7911">
      <w:pPr>
        <w:rPr>
          <w:lang w:val="fr-FR"/>
        </w:rPr>
      </w:pPr>
    </w:p>
    <w:p w:rsidR="002E75EC" w:rsidRPr="006F47A5" w:rsidRDefault="009E481C" w:rsidP="008B7911">
      <w:pPr>
        <w:rPr>
          <w:lang w:val="fr-FR"/>
        </w:rPr>
      </w:pPr>
      <w:r w:rsidRPr="006F47A5">
        <w:rPr>
          <w:i/>
          <w:lang w:val="fr-FR"/>
        </w:rPr>
        <w:t>Source</w:t>
      </w:r>
      <w:r w:rsidR="00FD5C7A">
        <w:rPr>
          <w:i/>
          <w:lang w:val="fr-FR"/>
        </w:rPr>
        <w:t> :</w:t>
      </w:r>
      <w:r w:rsidRPr="006F47A5">
        <w:rPr>
          <w:i/>
          <w:lang w:val="fr-FR"/>
        </w:rPr>
        <w:t xml:space="preserve"> équipe de</w:t>
      </w:r>
      <w:r w:rsidR="005A68DB" w:rsidRPr="006F47A5">
        <w:rPr>
          <w:i/>
          <w:lang w:val="fr-FR"/>
        </w:rPr>
        <w:t>s</w:t>
      </w:r>
      <w:r w:rsidRPr="006F47A5">
        <w:rPr>
          <w:i/>
          <w:lang w:val="fr-FR"/>
        </w:rPr>
        <w:t xml:space="preserve"> rapport</w:t>
      </w:r>
      <w:r w:rsidR="005A68DB" w:rsidRPr="006F47A5">
        <w:rPr>
          <w:i/>
          <w:lang w:val="fr-FR"/>
        </w:rPr>
        <w:t>s</w:t>
      </w:r>
      <w:r w:rsidRPr="006F47A5">
        <w:rPr>
          <w:i/>
          <w:lang w:val="fr-FR"/>
        </w:rPr>
        <w:t xml:space="preserve"> interne</w:t>
      </w:r>
      <w:r w:rsidR="005A68DB" w:rsidRPr="006F47A5">
        <w:rPr>
          <w:i/>
          <w:lang w:val="fr-FR"/>
        </w:rPr>
        <w:t>s</w:t>
      </w:r>
      <w:r w:rsidR="003F7A1B">
        <w:rPr>
          <w:i/>
          <w:lang w:val="fr-FR"/>
        </w:rPr>
        <w:t xml:space="preserve">, </w:t>
      </w:r>
      <w:r w:rsidRPr="006F47A5">
        <w:rPr>
          <w:i/>
          <w:lang w:val="fr-FR"/>
        </w:rPr>
        <w:t>IP</w:t>
      </w:r>
      <w:r w:rsidR="00206805">
        <w:rPr>
          <w:i/>
          <w:lang w:val="fr-FR"/>
        </w:rPr>
        <w:t> </w:t>
      </w:r>
      <w:proofErr w:type="spellStart"/>
      <w:r w:rsidRPr="006F47A5">
        <w:rPr>
          <w:i/>
          <w:lang w:val="fr-FR"/>
        </w:rPr>
        <w:t>Australia</w:t>
      </w:r>
      <w:proofErr w:type="spellEnd"/>
      <w:r w:rsidRPr="006F47A5">
        <w:rPr>
          <w:i/>
          <w:lang w:val="fr-FR"/>
        </w:rPr>
        <w:t>.</w:t>
      </w:r>
    </w:p>
    <w:p w:rsidR="009E481C" w:rsidRDefault="009E481C" w:rsidP="008B7911">
      <w:pPr>
        <w:rPr>
          <w:lang w:val="fr-FR"/>
        </w:rPr>
      </w:pPr>
    </w:p>
    <w:p w:rsidR="004F31F2" w:rsidRPr="006F47A5" w:rsidRDefault="004F31F2" w:rsidP="008B7911">
      <w:pPr>
        <w:rPr>
          <w:lang w:val="fr-FR"/>
        </w:rPr>
      </w:pPr>
    </w:p>
    <w:p w:rsidR="00C651B5" w:rsidRPr="006F47A5" w:rsidRDefault="00C651B5" w:rsidP="008B7911">
      <w:pPr>
        <w:keepNext/>
        <w:keepLines/>
        <w:rPr>
          <w:b/>
          <w:bCs/>
          <w:szCs w:val="22"/>
          <w:lang w:val="fr-FR"/>
        </w:rPr>
      </w:pPr>
      <w:r w:rsidRPr="006F47A5">
        <w:rPr>
          <w:b/>
          <w:bCs/>
          <w:szCs w:val="22"/>
          <w:lang w:val="fr-FR"/>
        </w:rPr>
        <w:t>Nombre de demandes nationales reçues – par domaine technique</w:t>
      </w:r>
    </w:p>
    <w:p w:rsidR="009E481C" w:rsidRPr="004F31F2" w:rsidRDefault="009E481C" w:rsidP="008B7911">
      <w:pPr>
        <w:rPr>
          <w:sz w:val="20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9"/>
        <w:gridCol w:w="1457"/>
        <w:gridCol w:w="1457"/>
        <w:gridCol w:w="1457"/>
        <w:gridCol w:w="1456"/>
        <w:gridCol w:w="1134"/>
      </w:tblGrid>
      <w:tr w:rsidR="00C651B5" w:rsidRPr="006F47A5" w:rsidTr="00CE00F9">
        <w:trPr>
          <w:cantSplit/>
        </w:trPr>
        <w:tc>
          <w:tcPr>
            <w:tcW w:w="26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rPr>
                <w:rFonts w:ascii="Times New Roman" w:eastAsia="Times New Roman" w:hAnsi="Times New Roman" w:cs="Times New Roman"/>
                <w:sz w:val="20"/>
                <w:lang w:val="fr-FR" w:eastAsia="en-AU"/>
              </w:rPr>
            </w:pP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2012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2013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2014</w:t>
            </w:r>
          </w:p>
        </w:tc>
        <w:tc>
          <w:tcPr>
            <w:tcW w:w="1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2016</w:t>
            </w:r>
          </w:p>
        </w:tc>
      </w:tr>
      <w:tr w:rsidR="00C651B5" w:rsidRPr="006F47A5" w:rsidTr="00CE00F9">
        <w:trPr>
          <w:cantSplit/>
        </w:trPr>
        <w:tc>
          <w:tcPr>
            <w:tcW w:w="26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Non mentionné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4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4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</w:t>
            </w:r>
          </w:p>
        </w:tc>
        <w:tc>
          <w:tcPr>
            <w:tcW w:w="1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12</w:t>
            </w:r>
          </w:p>
        </w:tc>
      </w:tr>
      <w:tr w:rsidR="00C651B5" w:rsidRPr="006F47A5" w:rsidTr="00CE00F9">
        <w:trPr>
          <w:cantSplit/>
        </w:trPr>
        <w:tc>
          <w:tcPr>
            <w:tcW w:w="26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Chimie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8 881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10 144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8 395</w:t>
            </w:r>
          </w:p>
        </w:tc>
        <w:tc>
          <w:tcPr>
            <w:tcW w:w="1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9 354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9 205</w:t>
            </w:r>
          </w:p>
        </w:tc>
      </w:tr>
      <w:tr w:rsidR="00C651B5" w:rsidRPr="006F47A5" w:rsidTr="00CE00F9">
        <w:trPr>
          <w:cantSplit/>
        </w:trPr>
        <w:tc>
          <w:tcPr>
            <w:tcW w:w="26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99215E" w:rsidP="008B7911">
            <w:pPr>
              <w:rPr>
                <w:rFonts w:ascii="Calibri" w:eastAsiaTheme="minorHAnsi" w:hAnsi="Calibri" w:cs="Calibri"/>
                <w:szCs w:val="22"/>
                <w:lang w:val="fr-FR"/>
              </w:rPr>
            </w:pPr>
            <w:r>
              <w:rPr>
                <w:rFonts w:eastAsiaTheme="minorHAnsi" w:cs="Times New Roman"/>
                <w:lang w:val="fr-FR"/>
              </w:rPr>
              <w:t>É</w:t>
            </w:r>
            <w:r w:rsidR="00C651B5" w:rsidRPr="006F47A5">
              <w:rPr>
                <w:rFonts w:eastAsiaTheme="minorHAnsi" w:cs="Times New Roman"/>
                <w:lang w:val="fr-FR"/>
              </w:rPr>
              <w:t>lectrique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6 977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7 625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7 071</w:t>
            </w:r>
          </w:p>
        </w:tc>
        <w:tc>
          <w:tcPr>
            <w:tcW w:w="1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7 943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7 979</w:t>
            </w:r>
          </w:p>
        </w:tc>
      </w:tr>
      <w:tr w:rsidR="00C651B5" w:rsidRPr="006F47A5" w:rsidTr="00CE00F9">
        <w:trPr>
          <w:cantSplit/>
        </w:trPr>
        <w:tc>
          <w:tcPr>
            <w:tcW w:w="26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Mécanique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10 477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11 883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10</w:t>
            </w:r>
            <w:r w:rsidR="00206805">
              <w:rPr>
                <w:rFonts w:eastAsiaTheme="minorHAnsi" w:cs="Times New Roman"/>
                <w:lang w:val="fr-FR"/>
              </w:rPr>
              <w:t> </w:t>
            </w:r>
            <w:r w:rsidRPr="006F47A5">
              <w:rPr>
                <w:rFonts w:eastAsiaTheme="minorHAnsi" w:cs="Times New Roman"/>
                <w:lang w:val="fr-FR"/>
              </w:rPr>
              <w:t>469</w:t>
            </w:r>
          </w:p>
        </w:tc>
        <w:tc>
          <w:tcPr>
            <w:tcW w:w="1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11 326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11 227</w:t>
            </w:r>
          </w:p>
        </w:tc>
      </w:tr>
      <w:tr w:rsidR="00C651B5" w:rsidRPr="006F47A5" w:rsidTr="00CE00F9">
        <w:trPr>
          <w:cantSplit/>
        </w:trPr>
        <w:tc>
          <w:tcPr>
            <w:tcW w:w="26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Total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26 339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29 656</w:t>
            </w:r>
          </w:p>
        </w:tc>
        <w:tc>
          <w:tcPr>
            <w:tcW w:w="14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25 937</w:t>
            </w:r>
          </w:p>
        </w:tc>
        <w:tc>
          <w:tcPr>
            <w:tcW w:w="1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28 628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28 423</w:t>
            </w:r>
          </w:p>
        </w:tc>
      </w:tr>
    </w:tbl>
    <w:p w:rsidR="00C651B5" w:rsidRDefault="00C651B5" w:rsidP="008B7911">
      <w:pPr>
        <w:rPr>
          <w:lang w:val="fr-FR"/>
        </w:rPr>
      </w:pPr>
    </w:p>
    <w:p w:rsidR="004F31F2" w:rsidRPr="006F47A5" w:rsidRDefault="004F31F2" w:rsidP="008B7911">
      <w:pPr>
        <w:rPr>
          <w:lang w:val="fr-FR"/>
        </w:rPr>
      </w:pPr>
    </w:p>
    <w:p w:rsidR="00C651B5" w:rsidRPr="006F47A5" w:rsidRDefault="00C651B5" w:rsidP="008B7911">
      <w:pPr>
        <w:rPr>
          <w:b/>
          <w:bCs/>
          <w:szCs w:val="22"/>
          <w:lang w:val="fr-FR"/>
        </w:rPr>
      </w:pPr>
      <w:r w:rsidRPr="006F47A5">
        <w:rPr>
          <w:b/>
          <w:bCs/>
          <w:szCs w:val="22"/>
          <w:lang w:val="fr-FR"/>
        </w:rPr>
        <w:t>Nombre de demandes nationales reçues – par voie de dépôt</w:t>
      </w:r>
    </w:p>
    <w:p w:rsidR="002E75EC" w:rsidRPr="004F31F2" w:rsidRDefault="002E75EC" w:rsidP="008B7911">
      <w:pPr>
        <w:rPr>
          <w:sz w:val="20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1295"/>
        <w:gridCol w:w="1295"/>
        <w:gridCol w:w="1134"/>
        <w:gridCol w:w="1295"/>
        <w:gridCol w:w="1295"/>
      </w:tblGrid>
      <w:tr w:rsidR="00C651B5" w:rsidRPr="006F47A5" w:rsidTr="00CE00F9">
        <w:trPr>
          <w:cantSplit/>
        </w:trPr>
        <w:tc>
          <w:tcPr>
            <w:tcW w:w="3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rPr>
                <w:rFonts w:ascii="Times New Roman" w:eastAsia="Times New Roman" w:hAnsi="Times New Roman" w:cs="Times New Roman"/>
                <w:sz w:val="20"/>
                <w:lang w:val="fr-FR" w:eastAsia="en-AU"/>
              </w:rPr>
            </w:pP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2012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2013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2014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2015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2016</w:t>
            </w:r>
          </w:p>
        </w:tc>
      </w:tr>
      <w:tr w:rsidR="00C651B5" w:rsidRPr="006F47A5" w:rsidTr="00CE00F9">
        <w:trPr>
          <w:cantSplit/>
        </w:trPr>
        <w:tc>
          <w:tcPr>
            <w:tcW w:w="3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0E2A65" w:rsidP="008B7911">
            <w:pPr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Dépôt direct (AU)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1 553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1 776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1 223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1 371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1 620</w:t>
            </w:r>
          </w:p>
        </w:tc>
      </w:tr>
      <w:tr w:rsidR="00C651B5" w:rsidRPr="006F47A5" w:rsidTr="00CE00F9">
        <w:trPr>
          <w:cantSplit/>
        </w:trPr>
        <w:tc>
          <w:tcPr>
            <w:tcW w:w="3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0E2A65" w:rsidP="008B7911">
            <w:pPr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Dépôt direct (non AU)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5 678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7 179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4F31F2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>
              <w:rPr>
                <w:rFonts w:eastAsiaTheme="minorHAnsi" w:cs="Times New Roman"/>
                <w:lang w:val="en-AU"/>
              </w:rPr>
              <w:t>5 </w:t>
            </w:r>
            <w:r w:rsidR="00C651B5" w:rsidRPr="006F47A5">
              <w:rPr>
                <w:rFonts w:eastAsiaTheme="minorHAnsi" w:cs="Times New Roman"/>
                <w:lang w:val="en-AU"/>
              </w:rPr>
              <w:t>520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6 193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7 400</w:t>
            </w:r>
          </w:p>
        </w:tc>
      </w:tr>
      <w:tr w:rsidR="00C651B5" w:rsidRPr="006F47A5" w:rsidTr="00CE00F9">
        <w:trPr>
          <w:cantSplit/>
        </w:trPr>
        <w:tc>
          <w:tcPr>
            <w:tcW w:w="3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8F7B3C" w:rsidP="008B7911">
            <w:pPr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Entrée dans la phase nationale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19 108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20</w:t>
            </w:r>
            <w:r w:rsidR="00206805">
              <w:rPr>
                <w:rFonts w:eastAsiaTheme="minorHAnsi" w:cs="Times New Roman"/>
                <w:lang w:val="en-AU"/>
              </w:rPr>
              <w:t> </w:t>
            </w:r>
            <w:r w:rsidRPr="006F47A5">
              <w:rPr>
                <w:rFonts w:eastAsiaTheme="minorHAnsi" w:cs="Times New Roman"/>
                <w:lang w:val="en-AU"/>
              </w:rPr>
              <w:t>701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19 194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21 064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19</w:t>
            </w:r>
            <w:r w:rsidR="00206805">
              <w:rPr>
                <w:rFonts w:eastAsiaTheme="minorHAnsi" w:cs="Times New Roman"/>
                <w:lang w:val="en-AU"/>
              </w:rPr>
              <w:t> </w:t>
            </w:r>
            <w:r w:rsidRPr="006F47A5">
              <w:rPr>
                <w:rFonts w:eastAsiaTheme="minorHAnsi" w:cs="Times New Roman"/>
                <w:lang w:val="en-AU"/>
              </w:rPr>
              <w:t>403</w:t>
            </w:r>
          </w:p>
        </w:tc>
      </w:tr>
      <w:tr w:rsidR="00C651B5" w:rsidRPr="006F47A5" w:rsidTr="00CE00F9">
        <w:trPr>
          <w:cantSplit/>
        </w:trPr>
        <w:tc>
          <w:tcPr>
            <w:tcW w:w="3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Total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26</w:t>
            </w:r>
            <w:r w:rsidR="00206805">
              <w:rPr>
                <w:rFonts w:eastAsiaTheme="minorHAnsi" w:cs="Times New Roman"/>
                <w:lang w:val="en-AU"/>
              </w:rPr>
              <w:t> </w:t>
            </w:r>
            <w:r w:rsidRPr="006F47A5">
              <w:rPr>
                <w:rFonts w:eastAsiaTheme="minorHAnsi" w:cs="Times New Roman"/>
                <w:lang w:val="en-AU"/>
              </w:rPr>
              <w:t>339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29 656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25 937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28 628</w:t>
            </w:r>
          </w:p>
        </w:tc>
        <w:tc>
          <w:tcPr>
            <w:tcW w:w="12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en-AU"/>
              </w:rPr>
            </w:pPr>
            <w:r w:rsidRPr="006F47A5">
              <w:rPr>
                <w:rFonts w:eastAsiaTheme="minorHAnsi" w:cs="Times New Roman"/>
                <w:lang w:val="en-AU"/>
              </w:rPr>
              <w:t>28 423</w:t>
            </w:r>
          </w:p>
        </w:tc>
      </w:tr>
    </w:tbl>
    <w:p w:rsidR="00C651B5" w:rsidRPr="006F47A5" w:rsidRDefault="00C651B5" w:rsidP="008B7911">
      <w:pPr>
        <w:rPr>
          <w:lang w:val="fr-FR"/>
        </w:rPr>
      </w:pPr>
    </w:p>
    <w:p w:rsidR="004F31F2" w:rsidRDefault="004F31F2" w:rsidP="008B7911">
      <w:pPr>
        <w:spacing w:after="160"/>
        <w:rPr>
          <w:b/>
          <w:bCs/>
          <w:szCs w:val="22"/>
          <w:lang w:val="fr-FR"/>
        </w:rPr>
      </w:pPr>
    </w:p>
    <w:p w:rsidR="00C651B5" w:rsidRPr="006F47A5" w:rsidRDefault="00C651B5" w:rsidP="00620E83">
      <w:pPr>
        <w:keepNext/>
        <w:rPr>
          <w:b/>
          <w:bCs/>
          <w:szCs w:val="22"/>
          <w:lang w:val="fr-FR"/>
        </w:rPr>
      </w:pPr>
      <w:r w:rsidRPr="006F47A5">
        <w:rPr>
          <w:b/>
          <w:bCs/>
          <w:szCs w:val="22"/>
          <w:lang w:val="fr-FR"/>
        </w:rPr>
        <w:lastRenderedPageBreak/>
        <w:t>Nombre de demandes internationales reçues en tant qu</w:t>
      </w:r>
      <w:r w:rsidR="00FD5C7A">
        <w:rPr>
          <w:b/>
          <w:bCs/>
          <w:szCs w:val="22"/>
          <w:lang w:val="fr-FR"/>
        </w:rPr>
        <w:t>’</w:t>
      </w:r>
      <w:r w:rsidRPr="006F47A5">
        <w:rPr>
          <w:b/>
          <w:bCs/>
          <w:szCs w:val="22"/>
          <w:lang w:val="fr-FR"/>
        </w:rPr>
        <w:t>office récepteur</w:t>
      </w:r>
    </w:p>
    <w:p w:rsidR="002E75EC" w:rsidRPr="004F31F2" w:rsidRDefault="002E75EC" w:rsidP="00620E83">
      <w:pPr>
        <w:keepNext/>
        <w:rPr>
          <w:sz w:val="18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5"/>
        <w:gridCol w:w="1606"/>
        <w:gridCol w:w="1605"/>
        <w:gridCol w:w="1445"/>
        <w:gridCol w:w="1284"/>
        <w:gridCol w:w="1445"/>
      </w:tblGrid>
      <w:tr w:rsidR="00C651B5" w:rsidRPr="006F47A5" w:rsidTr="00CE00F9">
        <w:trPr>
          <w:cantSplit/>
        </w:trPr>
        <w:tc>
          <w:tcPr>
            <w:tcW w:w="2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rPr>
                <w:rFonts w:ascii="Times New Roman" w:eastAsia="Times New Roman" w:hAnsi="Times New Roman" w:cs="Times New Roman"/>
                <w:sz w:val="20"/>
                <w:lang w:val="fr-FR" w:eastAsia="en-AU"/>
              </w:rPr>
            </w:pPr>
          </w:p>
        </w:tc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2012</w:t>
            </w:r>
          </w:p>
        </w:tc>
        <w:tc>
          <w:tcPr>
            <w:tcW w:w="16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2013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2014</w:t>
            </w:r>
          </w:p>
        </w:tc>
        <w:tc>
          <w:tcPr>
            <w:tcW w:w="1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2015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2016</w:t>
            </w:r>
          </w:p>
        </w:tc>
      </w:tr>
      <w:tr w:rsidR="00C651B5" w:rsidRPr="006F47A5" w:rsidTr="00CE00F9">
        <w:trPr>
          <w:cantSplit/>
        </w:trPr>
        <w:tc>
          <w:tcPr>
            <w:tcW w:w="2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Non enregistrées</w:t>
            </w:r>
          </w:p>
        </w:tc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32</w:t>
            </w:r>
          </w:p>
        </w:tc>
        <w:tc>
          <w:tcPr>
            <w:tcW w:w="16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rPr>
                <w:rFonts w:ascii="Times New Roman" w:eastAsia="Times New Roman" w:hAnsi="Times New Roman" w:cs="Times New Roman"/>
                <w:sz w:val="20"/>
                <w:lang w:val="fr-FR" w:eastAsia="en-AU"/>
              </w:rPr>
            </w:pPr>
          </w:p>
        </w:tc>
        <w:tc>
          <w:tcPr>
            <w:tcW w:w="1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620E83">
            <w:pPr>
              <w:keepNext/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6</w:t>
            </w:r>
          </w:p>
        </w:tc>
      </w:tr>
      <w:tr w:rsidR="00C651B5" w:rsidRPr="006F47A5" w:rsidTr="00CE00F9">
        <w:trPr>
          <w:cantSplit/>
        </w:trPr>
        <w:tc>
          <w:tcPr>
            <w:tcW w:w="2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Ch</w:t>
            </w:r>
            <w:r w:rsidR="001A039D" w:rsidRPr="006F47A5">
              <w:rPr>
                <w:rFonts w:eastAsiaTheme="minorHAnsi" w:cs="Times New Roman"/>
                <w:lang w:val="fr-FR"/>
              </w:rPr>
              <w:t>i</w:t>
            </w:r>
            <w:r w:rsidRPr="006F47A5">
              <w:rPr>
                <w:rFonts w:eastAsiaTheme="minorHAnsi" w:cs="Times New Roman"/>
                <w:lang w:val="fr-FR"/>
              </w:rPr>
              <w:t>mie</w:t>
            </w:r>
          </w:p>
        </w:tc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753</w:t>
            </w:r>
          </w:p>
        </w:tc>
        <w:tc>
          <w:tcPr>
            <w:tcW w:w="16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744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744</w:t>
            </w:r>
          </w:p>
        </w:tc>
        <w:tc>
          <w:tcPr>
            <w:tcW w:w="1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669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595</w:t>
            </w:r>
          </w:p>
        </w:tc>
      </w:tr>
      <w:tr w:rsidR="00C651B5" w:rsidRPr="006F47A5" w:rsidTr="00CE00F9">
        <w:trPr>
          <w:cantSplit/>
        </w:trPr>
        <w:tc>
          <w:tcPr>
            <w:tcW w:w="2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99215E" w:rsidP="008B7911">
            <w:pPr>
              <w:rPr>
                <w:rFonts w:ascii="Calibri" w:eastAsiaTheme="minorHAnsi" w:hAnsi="Calibri" w:cs="Calibri"/>
                <w:szCs w:val="22"/>
                <w:lang w:val="fr-FR"/>
              </w:rPr>
            </w:pPr>
            <w:r>
              <w:rPr>
                <w:rFonts w:eastAsiaTheme="minorHAnsi" w:cs="Times New Roman"/>
                <w:lang w:val="fr-FR"/>
              </w:rPr>
              <w:t>É</w:t>
            </w:r>
            <w:r w:rsidR="00C651B5" w:rsidRPr="006F47A5">
              <w:rPr>
                <w:rFonts w:eastAsiaTheme="minorHAnsi" w:cs="Times New Roman"/>
                <w:lang w:val="fr-FR"/>
              </w:rPr>
              <w:t>lectrique</w:t>
            </w:r>
          </w:p>
        </w:tc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920</w:t>
            </w:r>
          </w:p>
        </w:tc>
        <w:tc>
          <w:tcPr>
            <w:tcW w:w="16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828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832</w:t>
            </w:r>
          </w:p>
        </w:tc>
        <w:tc>
          <w:tcPr>
            <w:tcW w:w="1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877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774</w:t>
            </w:r>
          </w:p>
        </w:tc>
      </w:tr>
      <w:tr w:rsidR="00C651B5" w:rsidRPr="006F47A5" w:rsidTr="00CE00F9">
        <w:trPr>
          <w:cantSplit/>
        </w:trPr>
        <w:tc>
          <w:tcPr>
            <w:tcW w:w="2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Mécanique</w:t>
            </w:r>
          </w:p>
        </w:tc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1 208</w:t>
            </w:r>
          </w:p>
        </w:tc>
        <w:tc>
          <w:tcPr>
            <w:tcW w:w="16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1 113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1 167</w:t>
            </w:r>
          </w:p>
        </w:tc>
        <w:tc>
          <w:tcPr>
            <w:tcW w:w="1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1 120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1B5" w:rsidRPr="006F47A5" w:rsidRDefault="00C651B5" w:rsidP="008B7911">
            <w:pPr>
              <w:jc w:val="right"/>
              <w:rPr>
                <w:rFonts w:ascii="Calibri" w:eastAsiaTheme="minorHAnsi" w:hAnsi="Calibri" w:cs="Calibri"/>
                <w:szCs w:val="22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1 081</w:t>
            </w:r>
          </w:p>
        </w:tc>
      </w:tr>
      <w:tr w:rsidR="00C651B5" w:rsidRPr="006F47A5" w:rsidTr="00CE00F9">
        <w:trPr>
          <w:cantSplit/>
        </w:trPr>
        <w:tc>
          <w:tcPr>
            <w:tcW w:w="2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Total</w:t>
            </w:r>
          </w:p>
        </w:tc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2 913</w:t>
            </w:r>
          </w:p>
        </w:tc>
        <w:tc>
          <w:tcPr>
            <w:tcW w:w="16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2 687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2 743</w:t>
            </w:r>
          </w:p>
        </w:tc>
        <w:tc>
          <w:tcPr>
            <w:tcW w:w="1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2 667</w:t>
            </w:r>
          </w:p>
        </w:tc>
        <w:tc>
          <w:tcPr>
            <w:tcW w:w="14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51B5" w:rsidRPr="006F47A5" w:rsidRDefault="00C651B5" w:rsidP="008B7911">
            <w:pPr>
              <w:jc w:val="right"/>
              <w:rPr>
                <w:rFonts w:eastAsiaTheme="minorHAnsi" w:cs="Times New Roman"/>
                <w:lang w:val="fr-FR"/>
              </w:rPr>
            </w:pPr>
            <w:r w:rsidRPr="006F47A5">
              <w:rPr>
                <w:rFonts w:eastAsiaTheme="minorHAnsi" w:cs="Times New Roman"/>
                <w:lang w:val="fr-FR"/>
              </w:rPr>
              <w:t>2 456</w:t>
            </w:r>
          </w:p>
        </w:tc>
      </w:tr>
    </w:tbl>
    <w:p w:rsidR="00C651B5" w:rsidRDefault="00C651B5" w:rsidP="008B7911">
      <w:pPr>
        <w:rPr>
          <w:lang w:val="fr-FR"/>
        </w:rPr>
      </w:pPr>
    </w:p>
    <w:p w:rsidR="004F31F2" w:rsidRPr="006F47A5" w:rsidRDefault="004F31F2" w:rsidP="008B7911">
      <w:pPr>
        <w:rPr>
          <w:lang w:val="fr-FR"/>
        </w:rPr>
      </w:pPr>
    </w:p>
    <w:p w:rsidR="002E75EC" w:rsidRPr="006F47A5" w:rsidRDefault="00C45811" w:rsidP="008B7911">
      <w:pPr>
        <w:rPr>
          <w:b/>
          <w:lang w:val="fr-FR"/>
        </w:rPr>
      </w:pPr>
      <w:r w:rsidRPr="006F47A5">
        <w:rPr>
          <w:b/>
          <w:lang w:val="fr-FR"/>
        </w:rPr>
        <w:t>Les 10</w:t>
      </w:r>
      <w:r w:rsidR="0099215E">
        <w:rPr>
          <w:b/>
          <w:lang w:val="fr-FR"/>
        </w:rPr>
        <w:t> </w:t>
      </w:r>
      <w:r w:rsidRPr="006F47A5">
        <w:rPr>
          <w:b/>
          <w:lang w:val="fr-FR"/>
        </w:rPr>
        <w:t xml:space="preserve">premiers pays </w:t>
      </w:r>
      <w:r w:rsidR="00E55992" w:rsidRPr="006F47A5">
        <w:rPr>
          <w:b/>
          <w:lang w:val="fr-FR"/>
        </w:rPr>
        <w:t>d</w:t>
      </w:r>
      <w:r w:rsidR="00FD5C7A">
        <w:rPr>
          <w:b/>
          <w:lang w:val="fr-FR"/>
        </w:rPr>
        <w:t>’</w:t>
      </w:r>
      <w:r w:rsidR="00E55992" w:rsidRPr="006F47A5">
        <w:rPr>
          <w:b/>
          <w:lang w:val="fr-FR"/>
        </w:rPr>
        <w:t>origine des demandes déposées ou entrées dans la</w:t>
      </w:r>
      <w:r w:rsidRPr="006F47A5">
        <w:rPr>
          <w:b/>
          <w:lang w:val="fr-FR"/>
        </w:rPr>
        <w:t xml:space="preserve"> phase nationale </w:t>
      </w:r>
      <w:r w:rsidR="008F1232" w:rsidRPr="006F47A5">
        <w:rPr>
          <w:b/>
          <w:lang w:val="fr-FR"/>
        </w:rPr>
        <w:t>en</w:t>
      </w:r>
      <w:r w:rsidR="008F1232">
        <w:rPr>
          <w:b/>
          <w:lang w:val="fr-FR"/>
        </w:rPr>
        <w:t> </w:t>
      </w:r>
      <w:r w:rsidR="008F1232" w:rsidRPr="006F47A5">
        <w:rPr>
          <w:b/>
          <w:lang w:val="fr-FR"/>
        </w:rPr>
        <w:t>2016</w:t>
      </w:r>
    </w:p>
    <w:p w:rsidR="002E75EC" w:rsidRPr="004F31F2" w:rsidRDefault="002E75EC" w:rsidP="008B7911">
      <w:pPr>
        <w:rPr>
          <w:sz w:val="18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8F1232" w:rsidP="008B7911">
            <w:pPr>
              <w:keepNext/>
              <w:rPr>
                <w:lang w:val="fr-FR"/>
              </w:rPr>
            </w:pPr>
            <w:r>
              <w:rPr>
                <w:lang w:val="fr-FR"/>
              </w:rPr>
              <w:t>État</w:t>
            </w:r>
            <w:r w:rsidR="001A039D" w:rsidRPr="006F47A5">
              <w:rPr>
                <w:lang w:val="fr-FR"/>
              </w:rPr>
              <w:t>s</w:t>
            </w:r>
            <w:r w:rsidR="00EE5220">
              <w:rPr>
                <w:lang w:val="fr-FR"/>
              </w:rPr>
              <w:noBreakHyphen/>
            </w:r>
            <w:r w:rsidR="001A039D" w:rsidRPr="006F47A5">
              <w:rPr>
                <w:lang w:val="fr-FR"/>
              </w:rPr>
              <w:t>Unis d</w:t>
            </w:r>
            <w:r w:rsidR="00FD5C7A">
              <w:rPr>
                <w:lang w:val="fr-FR"/>
              </w:rPr>
              <w:t>’</w:t>
            </w:r>
            <w:r w:rsidR="001A039D" w:rsidRPr="006F47A5">
              <w:rPr>
                <w:lang w:val="fr-FR"/>
              </w:rPr>
              <w:t>Amérique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12 922</w:t>
            </w:r>
          </w:p>
        </w:tc>
      </w:tr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Australie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2 620</w:t>
            </w:r>
          </w:p>
        </w:tc>
      </w:tr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Japon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1 610</w:t>
            </w:r>
          </w:p>
        </w:tc>
      </w:tr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Allemagne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1 395</w:t>
            </w:r>
          </w:p>
        </w:tc>
      </w:tr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Royaume</w:t>
            </w:r>
            <w:r w:rsidR="00EE5220">
              <w:rPr>
                <w:lang w:val="fr-FR"/>
              </w:rPr>
              <w:noBreakHyphen/>
            </w:r>
            <w:r w:rsidRPr="006F47A5">
              <w:rPr>
                <w:lang w:val="fr-FR"/>
              </w:rPr>
              <w:t>Uni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1 180</w:t>
            </w:r>
          </w:p>
        </w:tc>
      </w:tr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Suisse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4F31F2" w:rsidP="008B7911">
            <w:pPr>
              <w:keepNext/>
              <w:rPr>
                <w:lang w:val="fr-FR"/>
              </w:rPr>
            </w:pPr>
            <w:r>
              <w:rPr>
                <w:lang w:val="fr-FR"/>
              </w:rPr>
              <w:t>1 </w:t>
            </w:r>
            <w:r w:rsidR="001A039D" w:rsidRPr="006F47A5">
              <w:rPr>
                <w:lang w:val="fr-FR"/>
              </w:rPr>
              <w:t>149</w:t>
            </w:r>
          </w:p>
        </w:tc>
      </w:tr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Chine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892</w:t>
            </w:r>
          </w:p>
        </w:tc>
      </w:tr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France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808</w:t>
            </w:r>
          </w:p>
        </w:tc>
      </w:tr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Pays</w:t>
            </w:r>
            <w:r w:rsidR="00EE5220">
              <w:rPr>
                <w:lang w:val="fr-FR"/>
              </w:rPr>
              <w:noBreakHyphen/>
            </w:r>
            <w:r w:rsidRPr="006F47A5">
              <w:rPr>
                <w:lang w:val="fr-FR"/>
              </w:rPr>
              <w:t>Bas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609</w:t>
            </w:r>
          </w:p>
        </w:tc>
      </w:tr>
      <w:tr w:rsidR="001A039D" w:rsidRPr="006F47A5" w:rsidTr="00CE00F9">
        <w:trPr>
          <w:cantSplit/>
        </w:trPr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Canada</w:t>
            </w:r>
          </w:p>
        </w:tc>
        <w:tc>
          <w:tcPr>
            <w:tcW w:w="4261" w:type="dxa"/>
            <w:shd w:val="clear" w:color="auto" w:fill="auto"/>
          </w:tcPr>
          <w:p w:rsidR="001A039D" w:rsidRPr="006F47A5" w:rsidRDefault="001A039D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547</w:t>
            </w:r>
          </w:p>
        </w:tc>
      </w:tr>
    </w:tbl>
    <w:p w:rsidR="002E75EC" w:rsidRDefault="002E75EC" w:rsidP="008B7911">
      <w:pPr>
        <w:rPr>
          <w:lang w:val="fr-FR"/>
        </w:rPr>
      </w:pPr>
    </w:p>
    <w:p w:rsidR="004F31F2" w:rsidRPr="006F47A5" w:rsidRDefault="004F31F2" w:rsidP="008B7911">
      <w:pPr>
        <w:rPr>
          <w:lang w:val="fr-FR"/>
        </w:rPr>
      </w:pPr>
    </w:p>
    <w:p w:rsidR="001A039D" w:rsidRPr="006F47A5" w:rsidRDefault="001A039D" w:rsidP="008B7911">
      <w:pPr>
        <w:keepNext/>
        <w:rPr>
          <w:szCs w:val="22"/>
          <w:lang w:val="fr-FR"/>
        </w:rPr>
      </w:pPr>
      <w:r w:rsidRPr="006F47A5">
        <w:rPr>
          <w:b/>
          <w:lang w:val="fr-FR"/>
        </w:rPr>
        <w:t>Délai moyen d</w:t>
      </w:r>
      <w:r w:rsidR="00FD5C7A">
        <w:rPr>
          <w:b/>
          <w:szCs w:val="22"/>
          <w:lang w:val="fr-FR"/>
        </w:rPr>
        <w:t>’</w:t>
      </w:r>
      <w:r w:rsidRPr="006F47A5">
        <w:rPr>
          <w:b/>
          <w:szCs w:val="22"/>
          <w:lang w:val="fr-FR"/>
        </w:rPr>
        <w:t xml:space="preserve">instruction des demandes de brevet nationales </w:t>
      </w:r>
      <w:r w:rsidRPr="006F47A5">
        <w:rPr>
          <w:szCs w:val="22"/>
          <w:lang w:val="fr-FR"/>
        </w:rPr>
        <w:t>(premier rapport/date de délivrance pour l</w:t>
      </w:r>
      <w:r w:rsidR="00FD5C7A">
        <w:rPr>
          <w:szCs w:val="22"/>
          <w:lang w:val="fr-FR"/>
        </w:rPr>
        <w:t>’</w:t>
      </w:r>
      <w:r w:rsidRPr="006F47A5">
        <w:rPr>
          <w:szCs w:val="22"/>
          <w:lang w:val="fr-FR"/>
        </w:rPr>
        <w:t>année</w:t>
      </w:r>
      <w:r w:rsidR="0099215E">
        <w:rPr>
          <w:szCs w:val="22"/>
          <w:lang w:val="fr-FR"/>
        </w:rPr>
        <w:t> </w:t>
      </w:r>
      <w:r w:rsidRPr="006F47A5">
        <w:rPr>
          <w:szCs w:val="22"/>
          <w:lang w:val="fr-FR"/>
        </w:rPr>
        <w:t>2016)</w:t>
      </w:r>
    </w:p>
    <w:p w:rsidR="001A039D" w:rsidRPr="004F31F2" w:rsidRDefault="001A039D" w:rsidP="008B7911">
      <w:pPr>
        <w:keepNext/>
        <w:rPr>
          <w:sz w:val="18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63"/>
        <w:gridCol w:w="3023"/>
        <w:gridCol w:w="2669"/>
        <w:gridCol w:w="2415"/>
      </w:tblGrid>
      <w:tr w:rsidR="001A039D" w:rsidRPr="006F47A5" w:rsidTr="00CE00F9">
        <w:trPr>
          <w:cantSplit/>
        </w:trPr>
        <w:tc>
          <w:tcPr>
            <w:tcW w:w="1385" w:type="dxa"/>
          </w:tcPr>
          <w:p w:rsidR="001A039D" w:rsidRPr="006F47A5" w:rsidRDefault="001A039D" w:rsidP="008B7911">
            <w:pPr>
              <w:keepNext/>
              <w:jc w:val="center"/>
              <w:rPr>
                <w:b/>
                <w:i/>
                <w:lang w:val="fr-FR"/>
              </w:rPr>
            </w:pPr>
            <w:r w:rsidRPr="006F47A5">
              <w:rPr>
                <w:b/>
                <w:lang w:val="fr-FR"/>
              </w:rPr>
              <w:t>Indicateur</w:t>
            </w:r>
          </w:p>
        </w:tc>
        <w:tc>
          <w:tcPr>
            <w:tcW w:w="2863" w:type="dxa"/>
          </w:tcPr>
          <w:p w:rsidR="001A039D" w:rsidRPr="006F47A5" w:rsidRDefault="001A039D" w:rsidP="008B7911">
            <w:pPr>
              <w:keepNext/>
              <w:jc w:val="center"/>
              <w:rPr>
                <w:b/>
                <w:i/>
                <w:lang w:val="fr-FR"/>
              </w:rPr>
            </w:pPr>
            <w:r w:rsidRPr="006F47A5">
              <w:rPr>
                <w:b/>
                <w:i/>
                <w:lang w:val="fr-FR"/>
              </w:rPr>
              <w:t>À compter de</w:t>
            </w:r>
          </w:p>
        </w:tc>
        <w:tc>
          <w:tcPr>
            <w:tcW w:w="4814" w:type="dxa"/>
            <w:gridSpan w:val="2"/>
          </w:tcPr>
          <w:p w:rsidR="001A039D" w:rsidRPr="006F47A5" w:rsidRDefault="001A039D" w:rsidP="008B7911">
            <w:pPr>
              <w:keepNext/>
              <w:jc w:val="center"/>
              <w:rPr>
                <w:b/>
                <w:i/>
                <w:lang w:val="fr-FR"/>
              </w:rPr>
            </w:pPr>
            <w:r w:rsidRPr="006F47A5">
              <w:rPr>
                <w:b/>
                <w:lang w:val="fr-FR"/>
              </w:rPr>
              <w:t>Délai (mois)</w:t>
            </w:r>
          </w:p>
        </w:tc>
      </w:tr>
      <w:tr w:rsidR="001A039D" w:rsidRPr="006F47A5" w:rsidTr="00CE00F9">
        <w:trPr>
          <w:cantSplit/>
        </w:trPr>
        <w:tc>
          <w:tcPr>
            <w:tcW w:w="1385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szCs w:val="22"/>
                <w:lang w:val="fr-FR" w:bidi="he-IL"/>
              </w:rPr>
              <w:t>Jusqu</w:t>
            </w:r>
            <w:r w:rsidR="00FD5C7A">
              <w:rPr>
                <w:szCs w:val="22"/>
                <w:lang w:val="fr-FR" w:bidi="he-IL"/>
              </w:rPr>
              <w:t>’</w:t>
            </w:r>
            <w:r w:rsidRPr="006F47A5">
              <w:rPr>
                <w:szCs w:val="22"/>
                <w:lang w:val="fr-FR" w:bidi="he-IL"/>
              </w:rPr>
              <w:t>à la recherche</w:t>
            </w:r>
          </w:p>
        </w:tc>
        <w:tc>
          <w:tcPr>
            <w:tcW w:w="2863" w:type="dxa"/>
          </w:tcPr>
          <w:p w:rsidR="001A039D" w:rsidRPr="006F47A5" w:rsidRDefault="00C45811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Néant</w:t>
            </w:r>
          </w:p>
        </w:tc>
        <w:tc>
          <w:tcPr>
            <w:tcW w:w="4814" w:type="dxa"/>
            <w:gridSpan w:val="2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Les tâches de recherche et d</w:t>
            </w:r>
            <w:r w:rsidR="00FD5C7A">
              <w:rPr>
                <w:lang w:val="fr-FR"/>
              </w:rPr>
              <w:t>’</w:t>
            </w:r>
            <w:r w:rsidRPr="006F47A5">
              <w:rPr>
                <w:lang w:val="fr-FR"/>
              </w:rPr>
              <w:t>examen sont réalisées par le même examinateur au moment où ce dern</w:t>
            </w:r>
            <w:r w:rsidR="00C45811" w:rsidRPr="006F47A5">
              <w:rPr>
                <w:lang w:val="fr-FR"/>
              </w:rPr>
              <w:t>ier commence</w:t>
            </w:r>
            <w:r w:rsidRPr="006F47A5">
              <w:rPr>
                <w:lang w:val="fr-FR"/>
              </w:rPr>
              <w:t xml:space="preserve"> l</w:t>
            </w:r>
            <w:r w:rsidR="00FD5C7A">
              <w:rPr>
                <w:lang w:val="fr-FR"/>
              </w:rPr>
              <w:t>’</w:t>
            </w:r>
            <w:r w:rsidRPr="006F47A5">
              <w:rPr>
                <w:lang w:val="fr-FR"/>
              </w:rPr>
              <w:t>examen</w:t>
            </w:r>
          </w:p>
        </w:tc>
      </w:tr>
      <w:tr w:rsidR="001A039D" w:rsidRPr="006F47A5" w:rsidTr="00CE00F9">
        <w:trPr>
          <w:cantSplit/>
        </w:trPr>
        <w:tc>
          <w:tcPr>
            <w:tcW w:w="1385" w:type="dxa"/>
            <w:vMerge w:val="restart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szCs w:val="22"/>
                <w:lang w:val="fr-FR" w:bidi="he-IL"/>
              </w:rPr>
              <w:t>Jusqu</w:t>
            </w:r>
            <w:r w:rsidR="00FD5C7A">
              <w:rPr>
                <w:szCs w:val="22"/>
                <w:lang w:val="fr-FR" w:bidi="he-IL"/>
              </w:rPr>
              <w:t>’</w:t>
            </w:r>
            <w:r w:rsidRPr="006F47A5">
              <w:rPr>
                <w:szCs w:val="22"/>
                <w:lang w:val="fr-FR" w:bidi="he-IL"/>
              </w:rPr>
              <w:t>au premier examen</w:t>
            </w:r>
            <w:r w:rsidRPr="006F47A5">
              <w:rPr>
                <w:lang w:val="fr-FR"/>
              </w:rPr>
              <w:t xml:space="preserve"> </w:t>
            </w:r>
          </w:p>
        </w:tc>
        <w:tc>
          <w:tcPr>
            <w:tcW w:w="2863" w:type="dxa"/>
            <w:vMerge w:val="restart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La demande d</w:t>
            </w:r>
            <w:r w:rsidR="00FD5C7A">
              <w:rPr>
                <w:lang w:val="fr-FR"/>
              </w:rPr>
              <w:t>’</w:t>
            </w:r>
            <w:r w:rsidRPr="006F47A5">
              <w:rPr>
                <w:lang w:val="fr-FR"/>
              </w:rPr>
              <w:t>examen</w:t>
            </w:r>
          </w:p>
        </w:tc>
        <w:tc>
          <w:tcPr>
            <w:tcW w:w="252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Varie selon la discipline, mais en moyenne</w:t>
            </w:r>
            <w:r w:rsidR="00FD5C7A">
              <w:rPr>
                <w:lang w:val="fr-FR"/>
              </w:rPr>
              <w:t> :</w:t>
            </w:r>
          </w:p>
        </w:tc>
        <w:tc>
          <w:tcPr>
            <w:tcW w:w="228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6,9</w:t>
            </w:r>
          </w:p>
        </w:tc>
      </w:tr>
      <w:tr w:rsidR="001A039D" w:rsidRPr="006F47A5" w:rsidTr="00CE00F9">
        <w:trPr>
          <w:cantSplit/>
        </w:trPr>
        <w:tc>
          <w:tcPr>
            <w:tcW w:w="1385" w:type="dxa"/>
            <w:vMerge/>
          </w:tcPr>
          <w:p w:rsidR="001A039D" w:rsidRPr="006F47A5" w:rsidRDefault="001A039D" w:rsidP="008B7911">
            <w:pPr>
              <w:keepNext/>
              <w:rPr>
                <w:szCs w:val="22"/>
                <w:lang w:val="fr-FR" w:bidi="he-IL"/>
              </w:rPr>
            </w:pPr>
          </w:p>
        </w:tc>
        <w:tc>
          <w:tcPr>
            <w:tcW w:w="2863" w:type="dxa"/>
            <w:vMerge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</w:p>
        </w:tc>
        <w:tc>
          <w:tcPr>
            <w:tcW w:w="252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Mécanique</w:t>
            </w:r>
          </w:p>
        </w:tc>
        <w:tc>
          <w:tcPr>
            <w:tcW w:w="228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6,1</w:t>
            </w:r>
          </w:p>
        </w:tc>
      </w:tr>
      <w:tr w:rsidR="001A039D" w:rsidRPr="006F47A5" w:rsidTr="00CE00F9">
        <w:trPr>
          <w:cantSplit/>
        </w:trPr>
        <w:tc>
          <w:tcPr>
            <w:tcW w:w="1385" w:type="dxa"/>
            <w:vMerge/>
          </w:tcPr>
          <w:p w:rsidR="001A039D" w:rsidRPr="006F47A5" w:rsidRDefault="001A039D" w:rsidP="008B7911">
            <w:pPr>
              <w:keepNext/>
              <w:rPr>
                <w:szCs w:val="22"/>
                <w:lang w:val="fr-FR" w:bidi="he-IL"/>
              </w:rPr>
            </w:pPr>
          </w:p>
        </w:tc>
        <w:tc>
          <w:tcPr>
            <w:tcW w:w="2863" w:type="dxa"/>
            <w:vMerge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</w:p>
        </w:tc>
        <w:tc>
          <w:tcPr>
            <w:tcW w:w="2527" w:type="dxa"/>
          </w:tcPr>
          <w:p w:rsidR="001A039D" w:rsidRPr="006F47A5" w:rsidRDefault="0099215E" w:rsidP="008B7911">
            <w:pPr>
              <w:keepNext/>
              <w:rPr>
                <w:lang w:val="fr-FR"/>
              </w:rPr>
            </w:pPr>
            <w:r>
              <w:rPr>
                <w:lang w:val="fr-FR"/>
              </w:rPr>
              <w:t>É</w:t>
            </w:r>
            <w:r w:rsidR="001A039D" w:rsidRPr="006F47A5">
              <w:rPr>
                <w:lang w:val="fr-FR"/>
              </w:rPr>
              <w:t>lectrique/électronique</w:t>
            </w:r>
          </w:p>
        </w:tc>
        <w:tc>
          <w:tcPr>
            <w:tcW w:w="228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7,9</w:t>
            </w:r>
          </w:p>
        </w:tc>
      </w:tr>
      <w:tr w:rsidR="001A039D" w:rsidRPr="006F47A5" w:rsidTr="00CE00F9">
        <w:trPr>
          <w:cantSplit/>
        </w:trPr>
        <w:tc>
          <w:tcPr>
            <w:tcW w:w="1385" w:type="dxa"/>
            <w:vMerge/>
          </w:tcPr>
          <w:p w:rsidR="001A039D" w:rsidRPr="006F47A5" w:rsidRDefault="001A039D" w:rsidP="008B7911">
            <w:pPr>
              <w:keepNext/>
              <w:rPr>
                <w:szCs w:val="22"/>
                <w:lang w:val="fr-FR" w:bidi="he-IL"/>
              </w:rPr>
            </w:pPr>
          </w:p>
        </w:tc>
        <w:tc>
          <w:tcPr>
            <w:tcW w:w="2863" w:type="dxa"/>
            <w:vMerge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</w:p>
        </w:tc>
        <w:tc>
          <w:tcPr>
            <w:tcW w:w="252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 xml:space="preserve">Chimie </w:t>
            </w:r>
          </w:p>
        </w:tc>
        <w:tc>
          <w:tcPr>
            <w:tcW w:w="228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7,3</w:t>
            </w:r>
          </w:p>
        </w:tc>
      </w:tr>
      <w:tr w:rsidR="001A039D" w:rsidRPr="006F47A5" w:rsidTr="00CE00F9">
        <w:trPr>
          <w:cantSplit/>
        </w:trPr>
        <w:tc>
          <w:tcPr>
            <w:tcW w:w="1385" w:type="dxa"/>
            <w:vMerge w:val="restart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szCs w:val="22"/>
                <w:lang w:val="fr-FR" w:bidi="he-IL"/>
              </w:rPr>
              <w:t>Jusqu</w:t>
            </w:r>
            <w:r w:rsidR="00FD5C7A">
              <w:rPr>
                <w:szCs w:val="22"/>
                <w:lang w:val="fr-FR" w:bidi="he-IL"/>
              </w:rPr>
              <w:t>’</w:t>
            </w:r>
            <w:r w:rsidRPr="006F47A5">
              <w:rPr>
                <w:szCs w:val="22"/>
                <w:lang w:val="fr-FR" w:bidi="he-IL"/>
              </w:rPr>
              <w:t>à la délivrance</w:t>
            </w:r>
          </w:p>
        </w:tc>
        <w:tc>
          <w:tcPr>
            <w:tcW w:w="2863" w:type="dxa"/>
            <w:vMerge w:val="restart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La demande d</w:t>
            </w:r>
            <w:r w:rsidR="00FD5C7A">
              <w:rPr>
                <w:lang w:val="fr-FR"/>
              </w:rPr>
              <w:t>’</w:t>
            </w:r>
            <w:r w:rsidRPr="006F47A5">
              <w:rPr>
                <w:lang w:val="fr-FR"/>
              </w:rPr>
              <w:t>examen</w:t>
            </w:r>
          </w:p>
        </w:tc>
        <w:tc>
          <w:tcPr>
            <w:tcW w:w="252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Varie selon la discipline, mais en moyenne</w:t>
            </w:r>
            <w:r w:rsidR="00FD5C7A">
              <w:rPr>
                <w:lang w:val="fr-FR"/>
              </w:rPr>
              <w:t> :</w:t>
            </w:r>
          </w:p>
        </w:tc>
        <w:tc>
          <w:tcPr>
            <w:tcW w:w="228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23,0</w:t>
            </w:r>
          </w:p>
        </w:tc>
      </w:tr>
      <w:tr w:rsidR="001A039D" w:rsidRPr="006F47A5" w:rsidTr="00CE00F9">
        <w:trPr>
          <w:cantSplit/>
        </w:trPr>
        <w:tc>
          <w:tcPr>
            <w:tcW w:w="1385" w:type="dxa"/>
            <w:vMerge/>
          </w:tcPr>
          <w:p w:rsidR="001A039D" w:rsidRPr="006F47A5" w:rsidRDefault="001A039D" w:rsidP="008B7911">
            <w:pPr>
              <w:keepNext/>
              <w:rPr>
                <w:szCs w:val="22"/>
                <w:lang w:val="fr-FR" w:bidi="he-IL"/>
              </w:rPr>
            </w:pPr>
          </w:p>
        </w:tc>
        <w:tc>
          <w:tcPr>
            <w:tcW w:w="2863" w:type="dxa"/>
            <w:vMerge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</w:p>
        </w:tc>
        <w:tc>
          <w:tcPr>
            <w:tcW w:w="252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Mécanique</w:t>
            </w:r>
          </w:p>
        </w:tc>
        <w:tc>
          <w:tcPr>
            <w:tcW w:w="228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22,7</w:t>
            </w:r>
          </w:p>
        </w:tc>
      </w:tr>
      <w:tr w:rsidR="001A039D" w:rsidRPr="006F47A5" w:rsidTr="00CE00F9">
        <w:trPr>
          <w:cantSplit/>
        </w:trPr>
        <w:tc>
          <w:tcPr>
            <w:tcW w:w="1385" w:type="dxa"/>
            <w:vMerge/>
          </w:tcPr>
          <w:p w:rsidR="001A039D" w:rsidRPr="006F47A5" w:rsidRDefault="001A039D" w:rsidP="008B7911">
            <w:pPr>
              <w:keepNext/>
              <w:rPr>
                <w:szCs w:val="22"/>
                <w:lang w:val="fr-FR" w:bidi="he-IL"/>
              </w:rPr>
            </w:pPr>
          </w:p>
        </w:tc>
        <w:tc>
          <w:tcPr>
            <w:tcW w:w="2863" w:type="dxa"/>
            <w:vMerge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</w:p>
        </w:tc>
        <w:tc>
          <w:tcPr>
            <w:tcW w:w="2527" w:type="dxa"/>
          </w:tcPr>
          <w:p w:rsidR="001A039D" w:rsidRPr="006F47A5" w:rsidRDefault="0099215E" w:rsidP="008B7911">
            <w:pPr>
              <w:keepNext/>
              <w:rPr>
                <w:lang w:val="fr-FR"/>
              </w:rPr>
            </w:pPr>
            <w:r>
              <w:rPr>
                <w:lang w:val="fr-FR"/>
              </w:rPr>
              <w:t>É</w:t>
            </w:r>
            <w:r w:rsidR="001A039D" w:rsidRPr="006F47A5">
              <w:rPr>
                <w:lang w:val="fr-FR"/>
              </w:rPr>
              <w:t>lectrique/électronique</w:t>
            </w:r>
          </w:p>
        </w:tc>
        <w:tc>
          <w:tcPr>
            <w:tcW w:w="2287" w:type="dxa"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21,6</w:t>
            </w:r>
          </w:p>
        </w:tc>
      </w:tr>
      <w:tr w:rsidR="001A039D" w:rsidRPr="006F47A5" w:rsidTr="00CE00F9">
        <w:trPr>
          <w:cantSplit/>
        </w:trPr>
        <w:tc>
          <w:tcPr>
            <w:tcW w:w="1385" w:type="dxa"/>
            <w:vMerge/>
          </w:tcPr>
          <w:p w:rsidR="001A039D" w:rsidRPr="006F47A5" w:rsidRDefault="001A039D" w:rsidP="008B7911">
            <w:pPr>
              <w:keepNext/>
              <w:rPr>
                <w:szCs w:val="22"/>
                <w:lang w:val="fr-FR" w:bidi="he-IL"/>
              </w:rPr>
            </w:pPr>
          </w:p>
        </w:tc>
        <w:tc>
          <w:tcPr>
            <w:tcW w:w="2863" w:type="dxa"/>
            <w:vMerge/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 xml:space="preserve">Chimie 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1A039D" w:rsidRPr="006F47A5" w:rsidRDefault="001A039D" w:rsidP="008B7911">
            <w:pPr>
              <w:keepNext/>
              <w:rPr>
                <w:lang w:val="fr-FR"/>
              </w:rPr>
            </w:pPr>
            <w:r w:rsidRPr="006F47A5">
              <w:rPr>
                <w:lang w:val="fr-FR"/>
              </w:rPr>
              <w:t>24,5</w:t>
            </w:r>
          </w:p>
        </w:tc>
      </w:tr>
    </w:tbl>
    <w:p w:rsidR="002E75EC" w:rsidRDefault="002E75EC" w:rsidP="008B7911">
      <w:pPr>
        <w:rPr>
          <w:lang w:val="fr-FR"/>
        </w:rPr>
      </w:pPr>
    </w:p>
    <w:p w:rsidR="004F31F2" w:rsidRPr="006F47A5" w:rsidRDefault="004F31F2" w:rsidP="008B7911">
      <w:pPr>
        <w:rPr>
          <w:lang w:val="fr-FR"/>
        </w:rPr>
      </w:pPr>
    </w:p>
    <w:p w:rsidR="00CE00F9" w:rsidRDefault="00CE00F9" w:rsidP="008B7911">
      <w:pPr>
        <w:spacing w:after="160"/>
        <w:rPr>
          <w:b/>
          <w:lang w:val="fr-FR"/>
        </w:rPr>
      </w:pPr>
    </w:p>
    <w:p w:rsidR="001A039D" w:rsidRPr="006F47A5" w:rsidRDefault="006E1D51" w:rsidP="008B7911">
      <w:pPr>
        <w:rPr>
          <w:lang w:val="fr-FR"/>
        </w:rPr>
      </w:pPr>
      <w:r w:rsidRPr="006F47A5">
        <w:rPr>
          <w:b/>
          <w:lang w:val="fr-FR"/>
        </w:rPr>
        <w:lastRenderedPageBreak/>
        <w:t xml:space="preserve">Données </w:t>
      </w:r>
      <w:r w:rsidR="00C45811" w:rsidRPr="006F47A5">
        <w:rPr>
          <w:b/>
          <w:lang w:val="fr-FR"/>
        </w:rPr>
        <w:t>antérieures</w:t>
      </w:r>
      <w:r w:rsidR="00FD5C7A">
        <w:rPr>
          <w:b/>
          <w:lang w:val="fr-FR"/>
        </w:rPr>
        <w:t> :</w:t>
      </w:r>
      <w:r w:rsidRPr="006F47A5">
        <w:rPr>
          <w:lang w:val="fr-FR"/>
        </w:rPr>
        <w:t xml:space="preserve"> (pour </w:t>
      </w:r>
      <w:r w:rsidR="003F7A1B">
        <w:rPr>
          <w:lang w:val="fr-FR"/>
        </w:rPr>
        <w:t>illustrer</w:t>
      </w:r>
      <w:r w:rsidR="003F7A1B" w:rsidRPr="006F47A5">
        <w:rPr>
          <w:lang w:val="fr-FR"/>
        </w:rPr>
        <w:t xml:space="preserve"> </w:t>
      </w:r>
      <w:r w:rsidRPr="006F47A5">
        <w:rPr>
          <w:lang w:val="fr-FR"/>
        </w:rPr>
        <w:t xml:space="preserve">la réduction des délais </w:t>
      </w:r>
      <w:r w:rsidR="00C45811" w:rsidRPr="006F47A5">
        <w:rPr>
          <w:lang w:val="fr-FR"/>
        </w:rPr>
        <w:t xml:space="preserve">de traitement </w:t>
      </w:r>
      <w:r w:rsidRPr="006F47A5">
        <w:rPr>
          <w:lang w:val="fr-FR"/>
        </w:rPr>
        <w:t xml:space="preserve">et les </w:t>
      </w:r>
      <w:r w:rsidR="000E2A65" w:rsidRPr="006F47A5">
        <w:rPr>
          <w:lang w:val="fr-FR"/>
        </w:rPr>
        <w:t>variations de</w:t>
      </w:r>
      <w:r w:rsidRPr="006F47A5">
        <w:rPr>
          <w:lang w:val="fr-FR"/>
        </w:rPr>
        <w:t xml:space="preserve"> résultats)</w:t>
      </w:r>
    </w:p>
    <w:p w:rsidR="006E1D51" w:rsidRPr="004F31F2" w:rsidRDefault="006E1D51" w:rsidP="008B7911">
      <w:pPr>
        <w:rPr>
          <w:sz w:val="18"/>
          <w:lang w:val="fr-FR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31"/>
        <w:gridCol w:w="809"/>
        <w:gridCol w:w="810"/>
        <w:gridCol w:w="810"/>
        <w:gridCol w:w="810"/>
      </w:tblGrid>
      <w:tr w:rsidR="006E1D51" w:rsidRPr="006F47A5" w:rsidTr="00CE00F9">
        <w:trPr>
          <w:cantSplit/>
        </w:trPr>
        <w:tc>
          <w:tcPr>
            <w:tcW w:w="8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b/>
                <w:bCs/>
                <w:lang w:val="fr-FR"/>
              </w:rPr>
            </w:pPr>
            <w:r w:rsidRPr="006F47A5">
              <w:rPr>
                <w:b/>
                <w:bCs/>
                <w:lang w:val="fr-FR"/>
              </w:rPr>
              <w:t>Délais de traitement des brevets</w:t>
            </w:r>
          </w:p>
        </w:tc>
      </w:tr>
      <w:tr w:rsidR="006E1D51" w:rsidRPr="006F47A5" w:rsidTr="00CE00F9">
        <w:trPr>
          <w:cantSplit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b/>
                <w:bCs/>
                <w:lang w:val="fr-FR"/>
              </w:rPr>
            </w:pPr>
            <w:r w:rsidRPr="006F47A5">
              <w:rPr>
                <w:b/>
                <w:bCs/>
                <w:lang w:val="fr-FR"/>
              </w:rPr>
              <w:t>Délais de traitement (depuis la demande d</w:t>
            </w:r>
            <w:r w:rsidR="00FD5C7A">
              <w:rPr>
                <w:b/>
                <w:bCs/>
                <w:lang w:val="fr-FR"/>
              </w:rPr>
              <w:t>’</w:t>
            </w:r>
            <w:r w:rsidRPr="006F47A5">
              <w:rPr>
                <w:b/>
                <w:bCs/>
                <w:lang w:val="fr-FR"/>
              </w:rPr>
              <w:t>examen jusqu</w:t>
            </w:r>
            <w:r w:rsidR="00FD5C7A">
              <w:rPr>
                <w:b/>
                <w:bCs/>
                <w:lang w:val="fr-FR"/>
              </w:rPr>
              <w:t>’</w:t>
            </w:r>
            <w:r w:rsidRPr="006F47A5">
              <w:rPr>
                <w:b/>
                <w:bCs/>
                <w:lang w:val="fr-FR"/>
              </w:rPr>
              <w:t>à la délivrance, en mois)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b/>
                <w:bCs/>
                <w:lang w:val="en-AU"/>
              </w:rPr>
            </w:pPr>
            <w:r w:rsidRPr="006F47A5">
              <w:rPr>
                <w:b/>
                <w:bCs/>
                <w:lang w:val="en-AU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b/>
                <w:bCs/>
                <w:lang w:val="en-AU"/>
              </w:rPr>
            </w:pPr>
            <w:r w:rsidRPr="006F47A5">
              <w:rPr>
                <w:b/>
                <w:bCs/>
                <w:lang w:val="en-A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b/>
                <w:bCs/>
                <w:lang w:val="en-AU"/>
              </w:rPr>
            </w:pPr>
            <w:r w:rsidRPr="006F47A5">
              <w:rPr>
                <w:b/>
                <w:bCs/>
                <w:lang w:val="en-A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b/>
                <w:bCs/>
                <w:lang w:val="en-AU"/>
              </w:rPr>
            </w:pPr>
            <w:r w:rsidRPr="006F47A5">
              <w:rPr>
                <w:b/>
                <w:bCs/>
                <w:lang w:val="en-AU"/>
              </w:rPr>
              <w:t>2016</w:t>
            </w:r>
          </w:p>
        </w:tc>
      </w:tr>
      <w:tr w:rsidR="006E1D51" w:rsidRPr="006F47A5" w:rsidTr="00CE00F9">
        <w:trPr>
          <w:cantSplit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  <w:r w:rsidRPr="006F47A5">
              <w:rPr>
                <w:lang w:val="en-AU"/>
              </w:rPr>
              <w:t>24,6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  <w:r w:rsidRPr="006F47A5">
              <w:rPr>
                <w:lang w:val="en-AU"/>
              </w:rPr>
              <w:t>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  <w:r w:rsidRPr="006F47A5">
              <w:rPr>
                <w:lang w:val="en-AU"/>
              </w:rPr>
              <w:t>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  <w:r w:rsidRPr="006F47A5">
              <w:rPr>
                <w:lang w:val="en-AU"/>
              </w:rPr>
              <w:t>23,0</w:t>
            </w:r>
          </w:p>
        </w:tc>
      </w:tr>
    </w:tbl>
    <w:p w:rsidR="006E1D51" w:rsidRPr="006F47A5" w:rsidRDefault="006E1D51" w:rsidP="008B7911">
      <w:pPr>
        <w:rPr>
          <w:lang w:val="fr-FR"/>
        </w:rPr>
      </w:pPr>
    </w:p>
    <w:p w:rsidR="006E1D51" w:rsidRPr="006F47A5" w:rsidRDefault="006E1D51" w:rsidP="008B7911">
      <w:pPr>
        <w:keepNext/>
        <w:keepLines/>
        <w:rPr>
          <w:b/>
          <w:lang w:val="fr-FR"/>
        </w:rPr>
      </w:pPr>
      <w:r w:rsidRPr="006F47A5">
        <w:rPr>
          <w:b/>
          <w:lang w:val="fr-FR"/>
        </w:rPr>
        <w:t>Demandes nationales en attente de traitement</w:t>
      </w:r>
    </w:p>
    <w:p w:rsidR="006E1D51" w:rsidRPr="004F31F2" w:rsidRDefault="006E1D51" w:rsidP="008B7911">
      <w:pPr>
        <w:keepNext/>
        <w:keepLines/>
        <w:rPr>
          <w:sz w:val="20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13"/>
        <w:gridCol w:w="3257"/>
      </w:tblGrid>
      <w:tr w:rsidR="006E1D51" w:rsidRPr="006F47A5" w:rsidTr="00CE00F9">
        <w:trPr>
          <w:cantSplit/>
        </w:trPr>
        <w:tc>
          <w:tcPr>
            <w:tcW w:w="6345" w:type="dxa"/>
          </w:tcPr>
          <w:p w:rsidR="006E1D51" w:rsidRPr="006F47A5" w:rsidRDefault="006E1D51" w:rsidP="008B7911">
            <w:pPr>
              <w:keepNext/>
              <w:keepLines/>
              <w:jc w:val="center"/>
              <w:rPr>
                <w:b/>
                <w:lang w:val="fr-FR"/>
              </w:rPr>
            </w:pPr>
            <w:r w:rsidRPr="006F47A5">
              <w:rPr>
                <w:b/>
                <w:lang w:val="fr-FR"/>
              </w:rPr>
              <w:t>Mesure</w:t>
            </w:r>
          </w:p>
        </w:tc>
        <w:tc>
          <w:tcPr>
            <w:tcW w:w="3261" w:type="dxa"/>
          </w:tcPr>
          <w:p w:rsidR="006E1D51" w:rsidRPr="006F47A5" w:rsidRDefault="006E1D51" w:rsidP="008B7911">
            <w:pPr>
              <w:keepNext/>
              <w:keepLines/>
              <w:jc w:val="center"/>
              <w:rPr>
                <w:b/>
                <w:lang w:val="fr-FR"/>
              </w:rPr>
            </w:pPr>
            <w:r w:rsidRPr="006F47A5">
              <w:rPr>
                <w:b/>
                <w:lang w:val="fr-FR"/>
              </w:rPr>
              <w:t>Nombre de demandes (jusqu</w:t>
            </w:r>
            <w:r w:rsidR="00FD5C7A">
              <w:rPr>
                <w:b/>
                <w:lang w:val="fr-FR"/>
              </w:rPr>
              <w:t>’</w:t>
            </w:r>
            <w:r w:rsidRPr="006F47A5">
              <w:rPr>
                <w:b/>
                <w:lang w:val="fr-FR"/>
              </w:rPr>
              <w:t>au</w:t>
            </w:r>
            <w:r w:rsidR="00FD5C7A">
              <w:rPr>
                <w:b/>
                <w:lang w:val="fr-FR"/>
              </w:rPr>
              <w:t> </w:t>
            </w:r>
            <w:r w:rsidRPr="006F47A5">
              <w:rPr>
                <w:b/>
                <w:lang w:val="fr-FR"/>
              </w:rPr>
              <w:t>14</w:t>
            </w:r>
            <w:r w:rsidR="00FD5C7A">
              <w:rPr>
                <w:b/>
                <w:lang w:val="fr-FR"/>
              </w:rPr>
              <w:t> février </w:t>
            </w:r>
            <w:r w:rsidRPr="006F47A5">
              <w:rPr>
                <w:b/>
                <w:lang w:val="fr-FR"/>
              </w:rPr>
              <w:t>2017)</w:t>
            </w:r>
          </w:p>
        </w:tc>
      </w:tr>
      <w:tr w:rsidR="006E1D51" w:rsidRPr="006F47A5" w:rsidTr="00CE00F9">
        <w:trPr>
          <w:cantSplit/>
        </w:trPr>
        <w:tc>
          <w:tcPr>
            <w:tcW w:w="6345" w:type="dxa"/>
          </w:tcPr>
          <w:p w:rsidR="006E1D51" w:rsidRPr="006F47A5" w:rsidRDefault="006E1D51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Toutes les demandes en instance</w:t>
            </w:r>
          </w:p>
        </w:tc>
        <w:tc>
          <w:tcPr>
            <w:tcW w:w="3261" w:type="dxa"/>
          </w:tcPr>
          <w:p w:rsidR="006E1D51" w:rsidRPr="006F47A5" w:rsidRDefault="006E1D51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42 082</w:t>
            </w:r>
          </w:p>
        </w:tc>
      </w:tr>
      <w:tr w:rsidR="006E1D51" w:rsidRPr="006F47A5" w:rsidTr="00CE00F9">
        <w:trPr>
          <w:cantSplit/>
        </w:trPr>
        <w:tc>
          <w:tcPr>
            <w:tcW w:w="6345" w:type="dxa"/>
          </w:tcPr>
          <w:p w:rsidR="006E1D51" w:rsidRPr="006F47A5" w:rsidRDefault="006E1D51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Demandes en attente de la recherche (taxes correspondantes payées)</w:t>
            </w:r>
          </w:p>
        </w:tc>
        <w:tc>
          <w:tcPr>
            <w:tcW w:w="3261" w:type="dxa"/>
          </w:tcPr>
          <w:p w:rsidR="006E1D51" w:rsidRPr="006F47A5" w:rsidRDefault="006E1D51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Les tâches de recherche et d</w:t>
            </w:r>
            <w:r w:rsidR="00FD5C7A">
              <w:rPr>
                <w:lang w:val="fr-FR"/>
              </w:rPr>
              <w:t>’</w:t>
            </w:r>
            <w:r w:rsidRPr="006F47A5">
              <w:rPr>
                <w:lang w:val="fr-FR"/>
              </w:rPr>
              <w:t>examen étant effectuée</w:t>
            </w:r>
            <w:r w:rsidR="00C00099" w:rsidRPr="006F47A5">
              <w:rPr>
                <w:lang w:val="fr-FR"/>
              </w:rPr>
              <w:t>s</w:t>
            </w:r>
            <w:r w:rsidRPr="006F47A5">
              <w:rPr>
                <w:lang w:val="fr-FR"/>
              </w:rPr>
              <w:t xml:space="preserve"> par le même examinateur au même moment, il n</w:t>
            </w:r>
            <w:r w:rsidR="00FD5C7A">
              <w:rPr>
                <w:lang w:val="fr-FR"/>
              </w:rPr>
              <w:t>’</w:t>
            </w:r>
            <w:r w:rsidRPr="006F47A5">
              <w:rPr>
                <w:lang w:val="fr-FR"/>
              </w:rPr>
              <w:t>y a pas de donnée</w:t>
            </w:r>
            <w:r w:rsidR="00FD5C7A">
              <w:rPr>
                <w:lang w:val="fr-FR"/>
              </w:rPr>
              <w:t xml:space="preserve">s </w:t>
            </w:r>
            <w:r w:rsidR="00C45811" w:rsidRPr="006F47A5">
              <w:rPr>
                <w:lang w:val="fr-FR"/>
              </w:rPr>
              <w:t>distincte</w:t>
            </w:r>
            <w:r w:rsidR="00FD5C7A">
              <w:rPr>
                <w:lang w:val="fr-FR"/>
              </w:rPr>
              <w:t xml:space="preserve">s </w:t>
            </w:r>
            <w:r w:rsidRPr="006F47A5">
              <w:rPr>
                <w:lang w:val="fr-FR"/>
              </w:rPr>
              <w:t>et spécifiqu</w:t>
            </w:r>
            <w:r w:rsidR="00FD5C7A">
              <w:rPr>
                <w:lang w:val="fr-FR"/>
              </w:rPr>
              <w:t>es</w:t>
            </w:r>
          </w:p>
        </w:tc>
      </w:tr>
      <w:tr w:rsidR="006E1D51" w:rsidRPr="006F47A5" w:rsidTr="00CE00F9">
        <w:trPr>
          <w:cantSplit/>
        </w:trPr>
        <w:tc>
          <w:tcPr>
            <w:tcW w:w="6345" w:type="dxa"/>
          </w:tcPr>
          <w:p w:rsidR="006E1D51" w:rsidRPr="006F47A5" w:rsidRDefault="006E1D51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Demandes en attente de l</w:t>
            </w:r>
            <w:r w:rsidR="00FD5C7A">
              <w:rPr>
                <w:lang w:val="fr-FR"/>
              </w:rPr>
              <w:t>’</w:t>
            </w:r>
            <w:r w:rsidRPr="006F47A5">
              <w:rPr>
                <w:lang w:val="fr-FR"/>
              </w:rPr>
              <w:t>examen (taxes correspondantes payées)</w:t>
            </w:r>
          </w:p>
        </w:tc>
        <w:tc>
          <w:tcPr>
            <w:tcW w:w="3261" w:type="dxa"/>
          </w:tcPr>
          <w:p w:rsidR="006E1D51" w:rsidRPr="006F47A5" w:rsidRDefault="006E1D51" w:rsidP="008B7911">
            <w:pPr>
              <w:rPr>
                <w:lang w:val="fr-FR"/>
              </w:rPr>
            </w:pPr>
            <w:r w:rsidRPr="006F47A5">
              <w:rPr>
                <w:lang w:val="fr-FR"/>
              </w:rPr>
              <w:t>18 031</w:t>
            </w:r>
          </w:p>
        </w:tc>
      </w:tr>
    </w:tbl>
    <w:p w:rsidR="006E1D51" w:rsidRDefault="006E1D51" w:rsidP="008B7911">
      <w:pPr>
        <w:rPr>
          <w:lang w:val="fr-FR"/>
        </w:rPr>
      </w:pPr>
    </w:p>
    <w:p w:rsidR="004F31F2" w:rsidRPr="006F47A5" w:rsidRDefault="004F31F2" w:rsidP="008B7911">
      <w:pPr>
        <w:rPr>
          <w:lang w:val="fr-FR"/>
        </w:rPr>
      </w:pPr>
    </w:p>
    <w:p w:rsidR="00C45811" w:rsidRPr="006F47A5" w:rsidRDefault="006E1D51" w:rsidP="008B7911">
      <w:pPr>
        <w:rPr>
          <w:lang w:val="fr-FR"/>
        </w:rPr>
      </w:pPr>
      <w:r w:rsidRPr="006F47A5">
        <w:rPr>
          <w:b/>
          <w:lang w:val="fr-FR"/>
        </w:rPr>
        <w:t xml:space="preserve">Données </w:t>
      </w:r>
      <w:r w:rsidR="00C45811" w:rsidRPr="006F47A5">
        <w:rPr>
          <w:b/>
          <w:lang w:val="fr-FR"/>
        </w:rPr>
        <w:t>antérieures</w:t>
      </w:r>
      <w:r w:rsidR="00FD5C7A">
        <w:rPr>
          <w:b/>
          <w:lang w:val="fr-FR"/>
        </w:rPr>
        <w:t> :</w:t>
      </w:r>
      <w:r w:rsidRPr="006F47A5">
        <w:rPr>
          <w:lang w:val="fr-FR"/>
        </w:rPr>
        <w:t xml:space="preserve"> </w:t>
      </w:r>
      <w:r w:rsidR="00C45811" w:rsidRPr="006F47A5">
        <w:rPr>
          <w:lang w:val="fr-FR"/>
        </w:rPr>
        <w:t xml:space="preserve">(pour </w:t>
      </w:r>
      <w:r w:rsidR="003F7A1B">
        <w:rPr>
          <w:lang w:val="fr-FR"/>
        </w:rPr>
        <w:t>illustrer</w:t>
      </w:r>
      <w:r w:rsidR="003F7A1B" w:rsidRPr="006F47A5">
        <w:rPr>
          <w:lang w:val="fr-FR"/>
        </w:rPr>
        <w:t xml:space="preserve"> </w:t>
      </w:r>
      <w:r w:rsidR="00C45811" w:rsidRPr="006F47A5">
        <w:rPr>
          <w:lang w:val="fr-FR"/>
        </w:rPr>
        <w:t>la réduction des délais de traitement et les variations des résultats)</w:t>
      </w:r>
    </w:p>
    <w:p w:rsidR="006E1D51" w:rsidRPr="004F31F2" w:rsidRDefault="006E1D51" w:rsidP="008B7911">
      <w:pPr>
        <w:rPr>
          <w:sz w:val="20"/>
          <w:lang w:val="fr-FR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37"/>
        <w:gridCol w:w="1133"/>
        <w:gridCol w:w="1133"/>
        <w:gridCol w:w="1133"/>
        <w:gridCol w:w="1134"/>
      </w:tblGrid>
      <w:tr w:rsidR="006E1D51" w:rsidRPr="006F47A5" w:rsidTr="00CE00F9">
        <w:trPr>
          <w:cantSplit/>
        </w:trPr>
        <w:tc>
          <w:tcPr>
            <w:tcW w:w="8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keepNext/>
              <w:rPr>
                <w:b/>
                <w:bCs/>
                <w:lang w:val="fr-FR"/>
              </w:rPr>
            </w:pPr>
            <w:r w:rsidRPr="006F47A5">
              <w:rPr>
                <w:b/>
                <w:bCs/>
                <w:lang w:val="fr-FR"/>
              </w:rPr>
              <w:t xml:space="preserve">Inventaire des brevets (effectué en </w:t>
            </w:r>
            <w:r w:rsidR="008F1232" w:rsidRPr="006F47A5">
              <w:rPr>
                <w:b/>
                <w:bCs/>
                <w:lang w:val="fr-FR"/>
              </w:rPr>
              <w:t>décembre</w:t>
            </w:r>
            <w:r w:rsidR="008F1232">
              <w:rPr>
                <w:b/>
                <w:bCs/>
                <w:lang w:val="fr-FR"/>
              </w:rPr>
              <w:t> </w:t>
            </w:r>
            <w:r w:rsidR="008F1232" w:rsidRPr="006F47A5">
              <w:rPr>
                <w:b/>
                <w:bCs/>
                <w:lang w:val="fr-FR"/>
              </w:rPr>
              <w:t>20</w:t>
            </w:r>
            <w:r w:rsidRPr="006F47A5">
              <w:rPr>
                <w:b/>
                <w:bCs/>
                <w:lang w:val="fr-FR"/>
              </w:rPr>
              <w:t>16)</w:t>
            </w:r>
          </w:p>
        </w:tc>
      </w:tr>
      <w:tr w:rsidR="006E1D51" w:rsidRPr="006F47A5" w:rsidTr="00CE00F9">
        <w:trPr>
          <w:cantSplit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keepNext/>
              <w:rPr>
                <w:b/>
                <w:bCs/>
                <w:lang w:val="fr-FR"/>
              </w:rPr>
            </w:pPr>
            <w:r w:rsidRPr="006F47A5">
              <w:rPr>
                <w:b/>
                <w:bCs/>
                <w:lang w:val="fr-FR"/>
              </w:rPr>
              <w:t>Inventaire</w:t>
            </w:r>
          </w:p>
          <w:p w:rsidR="006E1D51" w:rsidRPr="006F47A5" w:rsidRDefault="006E1D51" w:rsidP="008B7911">
            <w:pPr>
              <w:keepNext/>
              <w:rPr>
                <w:b/>
                <w:bCs/>
                <w:lang w:val="fr-FR"/>
              </w:rPr>
            </w:pPr>
            <w:r w:rsidRPr="006F47A5">
              <w:rPr>
                <w:b/>
                <w:bCs/>
                <w:lang w:val="fr-FR"/>
              </w:rPr>
              <w:t>(Nombre de demandes en attente d</w:t>
            </w:r>
            <w:r w:rsidR="00FD5C7A">
              <w:rPr>
                <w:b/>
                <w:bCs/>
                <w:lang w:val="fr-FR"/>
              </w:rPr>
              <w:t>’</w:t>
            </w:r>
            <w:r w:rsidRPr="006F47A5">
              <w:rPr>
                <w:b/>
                <w:bCs/>
                <w:lang w:val="fr-FR"/>
              </w:rPr>
              <w:t>une première action</w:t>
            </w:r>
            <w:r w:rsidR="00C45811" w:rsidRPr="006F47A5">
              <w:rPr>
                <w:b/>
                <w:bCs/>
                <w:lang w:val="fr-F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keepNext/>
              <w:rPr>
                <w:b/>
                <w:bCs/>
                <w:lang w:val="en-AU"/>
              </w:rPr>
            </w:pPr>
            <w:r w:rsidRPr="006F47A5">
              <w:rPr>
                <w:b/>
                <w:bCs/>
                <w:lang w:val="en-AU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keepNext/>
              <w:rPr>
                <w:b/>
                <w:bCs/>
                <w:lang w:val="en-AU"/>
              </w:rPr>
            </w:pPr>
            <w:r w:rsidRPr="006F47A5">
              <w:rPr>
                <w:b/>
                <w:bCs/>
                <w:lang w:val="en-A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keepNext/>
              <w:rPr>
                <w:b/>
                <w:bCs/>
                <w:lang w:val="en-AU"/>
              </w:rPr>
            </w:pPr>
            <w:r w:rsidRPr="006F47A5">
              <w:rPr>
                <w:b/>
                <w:bCs/>
                <w:lang w:val="en-A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keepNext/>
              <w:rPr>
                <w:b/>
                <w:bCs/>
                <w:lang w:val="en-AU"/>
              </w:rPr>
            </w:pPr>
            <w:r w:rsidRPr="006F47A5">
              <w:rPr>
                <w:b/>
                <w:bCs/>
                <w:lang w:val="en-AU"/>
              </w:rPr>
              <w:t>2016</w:t>
            </w:r>
          </w:p>
        </w:tc>
      </w:tr>
      <w:tr w:rsidR="006E1D51" w:rsidRPr="006F47A5" w:rsidTr="00CE00F9">
        <w:trPr>
          <w:cantSplit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  <w:r w:rsidRPr="006F47A5">
              <w:rPr>
                <w:lang w:val="en-AU"/>
              </w:rPr>
              <w:t>59 123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  <w:r w:rsidRPr="006F47A5">
              <w:rPr>
                <w:lang w:val="en-AU"/>
              </w:rPr>
              <w:t>51 798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  <w:r w:rsidRPr="006F47A5">
              <w:rPr>
                <w:lang w:val="en-AU"/>
              </w:rPr>
              <w:t>47 672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D51" w:rsidRPr="006F47A5" w:rsidRDefault="006E1D51" w:rsidP="008B7911">
            <w:pPr>
              <w:rPr>
                <w:lang w:val="en-AU"/>
              </w:rPr>
            </w:pPr>
            <w:r w:rsidRPr="006F47A5">
              <w:rPr>
                <w:lang w:val="en-AU"/>
              </w:rPr>
              <w:t>42 206</w:t>
            </w:r>
          </w:p>
        </w:tc>
      </w:tr>
    </w:tbl>
    <w:p w:rsidR="006E1D51" w:rsidRPr="006F47A5" w:rsidRDefault="006E1D51" w:rsidP="008B7911">
      <w:pPr>
        <w:rPr>
          <w:lang w:val="fr-FR"/>
        </w:rPr>
      </w:pPr>
    </w:p>
    <w:p w:rsidR="006E1D51" w:rsidRPr="006F47A5" w:rsidRDefault="006E1D51" w:rsidP="008B7911">
      <w:pPr>
        <w:pStyle w:val="SectionHeading"/>
      </w:pPr>
      <w:r w:rsidRPr="006F47A5">
        <w:t>6 – Appui n</w:t>
      </w:r>
      <w:r w:rsidR="004F31F2">
        <w:t>é</w:t>
      </w:r>
      <w:r w:rsidR="00C00099" w:rsidRPr="006F47A5">
        <w:t>c</w:t>
      </w:r>
      <w:r w:rsidR="004F31F2">
        <w:t>e</w:t>
      </w:r>
      <w:r w:rsidRPr="006F47A5">
        <w:t>ssaire</w:t>
      </w:r>
    </w:p>
    <w:p w:rsidR="006E1D51" w:rsidRPr="006F47A5" w:rsidRDefault="006E1D51" w:rsidP="008B7911">
      <w:pPr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>Office australien des brevets aura besoin de l</w:t>
      </w:r>
      <w:r w:rsidR="00FD5C7A">
        <w:rPr>
          <w:lang w:val="fr-FR"/>
        </w:rPr>
        <w:t>’</w:t>
      </w:r>
      <w:r w:rsidRPr="006F47A5">
        <w:rPr>
          <w:lang w:val="fr-FR"/>
        </w:rPr>
        <w:t>appui continu du Bureau international.</w:t>
      </w:r>
    </w:p>
    <w:p w:rsidR="006E1D51" w:rsidRPr="006F47A5" w:rsidRDefault="006E1D51" w:rsidP="008B7911">
      <w:pPr>
        <w:rPr>
          <w:lang w:val="fr-FR"/>
        </w:rPr>
      </w:pPr>
    </w:p>
    <w:p w:rsidR="006E1D51" w:rsidRPr="006F47A5" w:rsidRDefault="006E1D51" w:rsidP="008B7911">
      <w:pPr>
        <w:pStyle w:val="SectionHeading"/>
      </w:pPr>
      <w:r w:rsidRPr="006F47A5">
        <w:t>7 – Autres</w:t>
      </w:r>
    </w:p>
    <w:p w:rsidR="006E1D51" w:rsidRPr="006F47A5" w:rsidRDefault="001E1FF0" w:rsidP="008B7911">
      <w:pPr>
        <w:rPr>
          <w:lang w:val="fr-FR"/>
        </w:rPr>
      </w:pPr>
      <w:r w:rsidRPr="006F47A5">
        <w:rPr>
          <w:i/>
          <w:lang w:val="fr-FR"/>
        </w:rPr>
        <w:t>Programme national pour l</w:t>
      </w:r>
      <w:r w:rsidR="00FD5C7A">
        <w:rPr>
          <w:i/>
          <w:lang w:val="fr-FR"/>
        </w:rPr>
        <w:t>’</w:t>
      </w:r>
      <w:r w:rsidRPr="006F47A5">
        <w:rPr>
          <w:i/>
          <w:lang w:val="fr-FR"/>
        </w:rPr>
        <w:t>innovation et les sciences</w:t>
      </w:r>
    </w:p>
    <w:p w:rsidR="001E1FF0" w:rsidRPr="006F47A5" w:rsidRDefault="001E1FF0" w:rsidP="008B7911">
      <w:pPr>
        <w:rPr>
          <w:lang w:val="fr-FR"/>
        </w:rPr>
      </w:pPr>
    </w:p>
    <w:p w:rsidR="008F1232" w:rsidRDefault="001E1FF0" w:rsidP="008B7911">
      <w:pPr>
        <w:rPr>
          <w:lang w:val="fr-FR"/>
        </w:rPr>
      </w:pPr>
      <w:r w:rsidRPr="006F47A5">
        <w:rPr>
          <w:lang w:val="fr-FR"/>
        </w:rPr>
        <w:t xml:space="preserve">Le </w:t>
      </w:r>
      <w:r w:rsidR="008F1232" w:rsidRPr="006F47A5">
        <w:rPr>
          <w:lang w:val="fr-FR"/>
        </w:rPr>
        <w:t>7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décembre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</w:t>
      </w:r>
      <w:r w:rsidRPr="006F47A5">
        <w:rPr>
          <w:lang w:val="fr-FR"/>
        </w:rPr>
        <w:t xml:space="preserve">15, le </w:t>
      </w:r>
      <w:r w:rsidR="00C00099" w:rsidRPr="006F47A5">
        <w:rPr>
          <w:lang w:val="fr-FR"/>
        </w:rPr>
        <w:t>G</w:t>
      </w:r>
      <w:r w:rsidRPr="006F47A5">
        <w:rPr>
          <w:lang w:val="fr-FR"/>
        </w:rPr>
        <w:t>ouvernement australien a lancé son programme national pour l</w:t>
      </w:r>
      <w:r w:rsidR="00FD5C7A">
        <w:rPr>
          <w:lang w:val="fr-FR"/>
        </w:rPr>
        <w:t>’</w:t>
      </w:r>
      <w:r w:rsidRPr="006F47A5">
        <w:rPr>
          <w:lang w:val="fr-FR"/>
        </w:rPr>
        <w:t>innovation et les scienc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="00EA7B9C" w:rsidRPr="006F47A5">
        <w:rPr>
          <w:lang w:val="fr-FR"/>
        </w:rPr>
        <w:t xml:space="preserve"> programme fait partie de l</w:t>
      </w:r>
      <w:r w:rsidR="00FD5C7A">
        <w:rPr>
          <w:lang w:val="fr-FR"/>
        </w:rPr>
        <w:t>’</w:t>
      </w:r>
      <w:r w:rsidR="00EA7B9C" w:rsidRPr="006F47A5">
        <w:rPr>
          <w:lang w:val="fr-FR"/>
        </w:rPr>
        <w:t xml:space="preserve">engagement pris par le gouvernement pour </w:t>
      </w:r>
      <w:r w:rsidR="003F7A1B">
        <w:rPr>
          <w:lang w:val="fr-FR"/>
        </w:rPr>
        <w:t>faire de</w:t>
      </w:r>
      <w:r w:rsidR="00C45811" w:rsidRPr="006F47A5">
        <w:rPr>
          <w:lang w:val="fr-FR"/>
        </w:rPr>
        <w:t xml:space="preserve"> l</w:t>
      </w:r>
      <w:r w:rsidR="00FD5C7A">
        <w:rPr>
          <w:lang w:val="fr-FR"/>
        </w:rPr>
        <w:t>’</w:t>
      </w:r>
      <w:r w:rsidR="00C45811" w:rsidRPr="006F47A5">
        <w:rPr>
          <w:lang w:val="fr-FR"/>
        </w:rPr>
        <w:t xml:space="preserve">Australie </w:t>
      </w:r>
      <w:r w:rsidR="003F7A1B">
        <w:rPr>
          <w:lang w:val="fr-FR"/>
        </w:rPr>
        <w:t>l</w:t>
      </w:r>
      <w:r w:rsidR="00FD5C7A">
        <w:rPr>
          <w:lang w:val="fr-FR"/>
        </w:rPr>
        <w:t>’</w:t>
      </w:r>
      <w:r w:rsidR="003F7A1B">
        <w:rPr>
          <w:lang w:val="fr-FR"/>
        </w:rPr>
        <w:t>une des</w:t>
      </w:r>
      <w:r w:rsidR="00C45811" w:rsidRPr="006F47A5">
        <w:rPr>
          <w:lang w:val="fr-FR"/>
        </w:rPr>
        <w:t xml:space="preserve"> principale</w:t>
      </w:r>
      <w:r w:rsidR="003F7A1B">
        <w:rPr>
          <w:lang w:val="fr-FR"/>
        </w:rPr>
        <w:t>s</w:t>
      </w:r>
      <w:r w:rsidR="00C45811" w:rsidRPr="006F47A5">
        <w:rPr>
          <w:lang w:val="fr-FR"/>
        </w:rPr>
        <w:t xml:space="preserve"> nation</w:t>
      </w:r>
      <w:r w:rsidR="003F7A1B">
        <w:rPr>
          <w:lang w:val="fr-FR"/>
        </w:rPr>
        <w:t>s en matière d</w:t>
      </w:r>
      <w:r w:rsidR="00FD5C7A">
        <w:rPr>
          <w:lang w:val="fr-FR"/>
        </w:rPr>
        <w:t>’</w:t>
      </w:r>
      <w:r w:rsidR="00C45811" w:rsidRPr="006F47A5">
        <w:rPr>
          <w:lang w:val="fr-FR"/>
        </w:rPr>
        <w:t>innovat</w:t>
      </w:r>
      <w:r w:rsidR="003F7A1B">
        <w:rPr>
          <w:lang w:val="fr-FR"/>
        </w:rPr>
        <w:t>ion</w:t>
      </w:r>
      <w:r w:rsidR="00C00099" w:rsidRPr="006F47A5">
        <w:rPr>
          <w:lang w:val="fr-FR"/>
        </w:rPr>
        <w:t xml:space="preserve">.  </w:t>
      </w:r>
      <w:r w:rsidR="00EA7B9C"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="00EA7B9C" w:rsidRPr="006F47A5">
        <w:rPr>
          <w:lang w:val="fr-FR"/>
        </w:rPr>
        <w:t>Australia</w:t>
      </w:r>
      <w:proofErr w:type="spellEnd"/>
      <w:r w:rsidR="00EA7B9C" w:rsidRPr="006F47A5">
        <w:rPr>
          <w:lang w:val="fr-FR"/>
        </w:rPr>
        <w:t xml:space="preserve"> est bien placé pour appuyer les </w:t>
      </w:r>
      <w:r w:rsidR="00C45811" w:rsidRPr="006F47A5">
        <w:rPr>
          <w:lang w:val="fr-FR"/>
        </w:rPr>
        <w:t>principaux changements</w:t>
      </w:r>
      <w:r w:rsidR="00EA7B9C" w:rsidRPr="006F47A5">
        <w:rPr>
          <w:lang w:val="fr-FR"/>
        </w:rPr>
        <w:t xml:space="preserve"> </w:t>
      </w:r>
      <w:r w:rsidR="003F7A1B">
        <w:rPr>
          <w:lang w:val="fr-FR"/>
        </w:rPr>
        <w:t>apportés par le</w:t>
      </w:r>
      <w:r w:rsidR="00EA7B9C" w:rsidRPr="006F47A5">
        <w:rPr>
          <w:lang w:val="fr-FR"/>
        </w:rPr>
        <w:t xml:space="preserve"> programme, </w:t>
      </w:r>
      <w:r w:rsidR="00FD5C7A">
        <w:rPr>
          <w:lang w:val="fr-FR"/>
        </w:rPr>
        <w:t>y compris</w:t>
      </w:r>
      <w:r w:rsidR="00EA7B9C" w:rsidRPr="006F47A5">
        <w:rPr>
          <w:lang w:val="fr-FR"/>
        </w:rPr>
        <w:t xml:space="preserve"> c</w:t>
      </w:r>
      <w:r w:rsidR="00C45811" w:rsidRPr="006F47A5">
        <w:rPr>
          <w:lang w:val="fr-FR"/>
        </w:rPr>
        <w:t>eux</w:t>
      </w:r>
      <w:r w:rsidR="00EA7B9C" w:rsidRPr="006F47A5">
        <w:rPr>
          <w:lang w:val="fr-FR"/>
        </w:rPr>
        <w:t xml:space="preserve"> concernant le partage de</w:t>
      </w:r>
      <w:r w:rsidR="00C45811" w:rsidRPr="006F47A5">
        <w:rPr>
          <w:lang w:val="fr-FR"/>
        </w:rPr>
        <w:t>s</w:t>
      </w:r>
      <w:r w:rsidR="00EA7B9C" w:rsidRPr="006F47A5">
        <w:rPr>
          <w:lang w:val="fr-FR"/>
        </w:rPr>
        <w:t xml:space="preserve"> données</w:t>
      </w:r>
      <w:r w:rsidR="00C00099" w:rsidRPr="006F47A5">
        <w:rPr>
          <w:lang w:val="fr-FR"/>
        </w:rPr>
        <w:t>.</w:t>
      </w:r>
    </w:p>
    <w:p w:rsidR="000E3050" w:rsidRPr="006F47A5" w:rsidRDefault="000E3050" w:rsidP="008B7911">
      <w:pPr>
        <w:rPr>
          <w:lang w:val="fr-FR"/>
        </w:rPr>
      </w:pPr>
    </w:p>
    <w:p w:rsidR="008F1232" w:rsidRDefault="000E3050" w:rsidP="008B7911">
      <w:pPr>
        <w:rPr>
          <w:lang w:val="fr-FR"/>
        </w:rPr>
      </w:pPr>
      <w:r w:rsidRPr="006F47A5">
        <w:rPr>
          <w:lang w:val="fr-FR"/>
        </w:rPr>
        <w:t>Le Programme national pour l</w:t>
      </w:r>
      <w:r w:rsidR="00FD5C7A">
        <w:rPr>
          <w:lang w:val="fr-FR"/>
        </w:rPr>
        <w:t>’</w:t>
      </w:r>
      <w:r w:rsidRPr="006F47A5">
        <w:rPr>
          <w:lang w:val="fr-FR"/>
        </w:rPr>
        <w:t>innovation et les sciences vise à créer un environnement</w:t>
      </w:r>
      <w:r w:rsidR="00417773" w:rsidRPr="006F47A5">
        <w:rPr>
          <w:lang w:val="fr-FR"/>
        </w:rPr>
        <w:t xml:space="preserve"> </w:t>
      </w:r>
      <w:r w:rsidR="006669F0" w:rsidRPr="006F47A5">
        <w:rPr>
          <w:lang w:val="fr-FR"/>
        </w:rPr>
        <w:t xml:space="preserve">qui </w:t>
      </w:r>
      <w:r w:rsidR="003F7A1B">
        <w:rPr>
          <w:lang w:val="fr-FR"/>
        </w:rPr>
        <w:t>offre</w:t>
      </w:r>
      <w:r w:rsidR="00417773" w:rsidRPr="006F47A5">
        <w:rPr>
          <w:lang w:val="fr-FR"/>
        </w:rPr>
        <w:t xml:space="preserve"> aux </w:t>
      </w:r>
      <w:r w:rsidR="003F7A1B">
        <w:rPr>
          <w:lang w:val="fr-FR"/>
        </w:rPr>
        <w:t>particuliers</w:t>
      </w:r>
      <w:r w:rsidR="00417773" w:rsidRPr="006F47A5">
        <w:rPr>
          <w:lang w:val="fr-FR"/>
        </w:rPr>
        <w:t xml:space="preserve"> et aux </w:t>
      </w:r>
      <w:r w:rsidR="00BA4055" w:rsidRPr="006F47A5">
        <w:rPr>
          <w:lang w:val="fr-FR"/>
        </w:rPr>
        <w:t xml:space="preserve">entreprises </w:t>
      </w:r>
      <w:r w:rsidR="003F7A1B">
        <w:rPr>
          <w:lang w:val="fr-FR"/>
        </w:rPr>
        <w:t>des mesures d</w:t>
      </w:r>
      <w:r w:rsidR="00FD5C7A">
        <w:rPr>
          <w:lang w:val="fr-FR"/>
        </w:rPr>
        <w:t>’</w:t>
      </w:r>
      <w:r w:rsidR="006669F0" w:rsidRPr="006F47A5">
        <w:rPr>
          <w:lang w:val="fr-FR"/>
        </w:rPr>
        <w:t>incitation</w:t>
      </w:r>
      <w:r w:rsidR="003F7A1B">
        <w:rPr>
          <w:lang w:val="fr-FR"/>
        </w:rPr>
        <w:t xml:space="preserve"> à l</w:t>
      </w:r>
      <w:r w:rsidR="00FD5C7A">
        <w:rPr>
          <w:lang w:val="fr-FR"/>
        </w:rPr>
        <w:t>’</w:t>
      </w:r>
      <w:r w:rsidR="00417773" w:rsidRPr="006F47A5">
        <w:rPr>
          <w:lang w:val="fr-FR"/>
        </w:rPr>
        <w:t>innov</w:t>
      </w:r>
      <w:r w:rsidR="003F7A1B">
        <w:rPr>
          <w:lang w:val="fr-FR"/>
        </w:rPr>
        <w:t>ati</w:t>
      </w:r>
      <w:r w:rsidR="00CE00F9">
        <w:rPr>
          <w:lang w:val="fr-FR"/>
        </w:rPr>
        <w:t>on.  Il</w:t>
      </w:r>
      <w:r w:rsidR="003F7A1B">
        <w:rPr>
          <w:lang w:val="fr-FR"/>
        </w:rPr>
        <w:t xml:space="preserve"> s</w:t>
      </w:r>
      <w:r w:rsidR="00FD5C7A">
        <w:rPr>
          <w:lang w:val="fr-FR"/>
        </w:rPr>
        <w:t>’</w:t>
      </w:r>
      <w:r w:rsidR="003F7A1B">
        <w:rPr>
          <w:lang w:val="fr-FR"/>
        </w:rPr>
        <w:t>agit notamment</w:t>
      </w:r>
      <w:r w:rsidR="006669F0" w:rsidRPr="006F47A5">
        <w:rPr>
          <w:lang w:val="fr-FR"/>
        </w:rPr>
        <w:t xml:space="preserve"> </w:t>
      </w:r>
      <w:r w:rsidR="00417773" w:rsidRPr="006F47A5">
        <w:rPr>
          <w:lang w:val="fr-FR"/>
        </w:rPr>
        <w:t>d</w:t>
      </w:r>
      <w:r w:rsidR="00FD5C7A">
        <w:rPr>
          <w:lang w:val="fr-FR"/>
        </w:rPr>
        <w:t>’</w:t>
      </w:r>
      <w:r w:rsidR="00417773" w:rsidRPr="006F47A5">
        <w:rPr>
          <w:lang w:val="fr-FR"/>
        </w:rPr>
        <w:t>investir dans des domaines essentiels d</w:t>
      </w:r>
      <w:r w:rsidR="006669F0" w:rsidRPr="006F47A5">
        <w:rPr>
          <w:lang w:val="fr-FR"/>
        </w:rPr>
        <w:t>e l</w:t>
      </w:r>
      <w:r w:rsidR="00FD5C7A">
        <w:rPr>
          <w:lang w:val="fr-FR"/>
        </w:rPr>
        <w:t>’</w:t>
      </w:r>
      <w:r w:rsidR="00417773" w:rsidRPr="006F47A5">
        <w:rPr>
          <w:lang w:val="fr-FR"/>
        </w:rPr>
        <w:t>innovation, comme les sciences,</w:t>
      </w:r>
      <w:r w:rsidR="006669F0" w:rsidRPr="006F47A5">
        <w:rPr>
          <w:lang w:val="fr-FR"/>
        </w:rPr>
        <w:t xml:space="preserve"> la recherche, l</w:t>
      </w:r>
      <w:r w:rsidR="00FD5C7A">
        <w:rPr>
          <w:lang w:val="fr-FR"/>
        </w:rPr>
        <w:t>’</w:t>
      </w:r>
      <w:r w:rsidR="006669F0" w:rsidRPr="006F47A5">
        <w:rPr>
          <w:lang w:val="fr-FR"/>
        </w:rPr>
        <w:t xml:space="preserve">éducation et les </w:t>
      </w:r>
      <w:r w:rsidR="00417773" w:rsidRPr="006F47A5">
        <w:rPr>
          <w:lang w:val="fr-FR"/>
        </w:rPr>
        <w:t>infrastructure</w:t>
      </w:r>
      <w:r w:rsidR="006669F0" w:rsidRPr="006F47A5">
        <w:rPr>
          <w:lang w:val="fr-FR"/>
        </w:rPr>
        <w:t>s</w:t>
      </w:r>
      <w:r w:rsidR="00417773" w:rsidRPr="006F47A5">
        <w:rPr>
          <w:lang w:val="fr-FR"/>
        </w:rPr>
        <w:t>, ainsi que d</w:t>
      </w:r>
      <w:r w:rsidR="00BA4055" w:rsidRPr="006F47A5">
        <w:rPr>
          <w:lang w:val="fr-FR"/>
        </w:rPr>
        <w:t xml:space="preserve">e </w:t>
      </w:r>
      <w:r w:rsidR="003F7A1B">
        <w:rPr>
          <w:lang w:val="fr-FR"/>
        </w:rPr>
        <w:t>proposer des conditions</w:t>
      </w:r>
      <w:r w:rsidR="00417773" w:rsidRPr="006F47A5">
        <w:rPr>
          <w:lang w:val="fr-FR"/>
        </w:rPr>
        <w:t xml:space="preserve"> </w:t>
      </w:r>
      <w:r w:rsidR="00BA4055" w:rsidRPr="006F47A5">
        <w:rPr>
          <w:lang w:val="fr-FR"/>
        </w:rPr>
        <w:t>financ</w:t>
      </w:r>
      <w:r w:rsidR="003F7A1B">
        <w:rPr>
          <w:lang w:val="fr-FR"/>
        </w:rPr>
        <w:t>ière</w:t>
      </w:r>
      <w:r w:rsidR="00BA4055" w:rsidRPr="006F47A5">
        <w:rPr>
          <w:lang w:val="fr-FR"/>
        </w:rPr>
        <w:t xml:space="preserve">s nécessaires, </w:t>
      </w:r>
      <w:r w:rsidR="00206805">
        <w:rPr>
          <w:lang w:val="fr-FR"/>
        </w:rPr>
        <w:t>réglementa</w:t>
      </w:r>
      <w:r w:rsidR="003F7A1B">
        <w:rPr>
          <w:lang w:val="fr-FR"/>
        </w:rPr>
        <w:t>ire</w:t>
      </w:r>
      <w:r w:rsidR="00BA4055" w:rsidRPr="006F47A5">
        <w:rPr>
          <w:lang w:val="fr-FR"/>
        </w:rPr>
        <w:t xml:space="preserve">s et </w:t>
      </w:r>
      <w:r w:rsidR="003F7A1B">
        <w:rPr>
          <w:lang w:val="fr-FR"/>
        </w:rPr>
        <w:t>fiscales adéquates</w:t>
      </w:r>
      <w:r w:rsidR="00BA4055" w:rsidRPr="006F47A5">
        <w:rPr>
          <w:lang w:val="fr-FR"/>
        </w:rPr>
        <w:t xml:space="preserve"> pour permettre aux entreprises d</w:t>
      </w:r>
      <w:r w:rsidR="00FD5C7A">
        <w:rPr>
          <w:lang w:val="fr-FR"/>
        </w:rPr>
        <w:t>’</w:t>
      </w:r>
      <w:r w:rsidR="00BA4055" w:rsidRPr="006F47A5">
        <w:rPr>
          <w:lang w:val="fr-FR"/>
        </w:rPr>
        <w:t>expérimenter, de tester et de commercialiser de nouvelles idées</w:t>
      </w:r>
      <w:r w:rsidR="00C00099" w:rsidRPr="006F47A5">
        <w:rPr>
          <w:lang w:val="fr-FR"/>
        </w:rPr>
        <w:t>.</w:t>
      </w:r>
    </w:p>
    <w:p w:rsidR="00BA4055" w:rsidRPr="006F47A5" w:rsidRDefault="00BA4055" w:rsidP="008B7911">
      <w:pPr>
        <w:rPr>
          <w:lang w:val="fr-FR"/>
        </w:rPr>
      </w:pPr>
    </w:p>
    <w:p w:rsidR="00081CD2" w:rsidRDefault="00BA4055" w:rsidP="008B7911">
      <w:pPr>
        <w:rPr>
          <w:lang w:val="fr-FR"/>
        </w:rPr>
      </w:pPr>
      <w:r w:rsidRPr="006F47A5">
        <w:rPr>
          <w:lang w:val="fr-FR"/>
        </w:rPr>
        <w:lastRenderedPageBreak/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 xml:space="preserve"> propose actuellement un certain nombre de services </w:t>
      </w:r>
      <w:r w:rsidR="003F7A1B">
        <w:rPr>
          <w:lang w:val="fr-FR"/>
        </w:rPr>
        <w:t>en faveur du</w:t>
      </w:r>
      <w:r w:rsidRPr="006F47A5">
        <w:rPr>
          <w:lang w:val="fr-FR"/>
        </w:rPr>
        <w:t xml:space="preserve"> Programme national pour l</w:t>
      </w:r>
      <w:r w:rsidR="00FD5C7A">
        <w:rPr>
          <w:lang w:val="fr-FR"/>
        </w:rPr>
        <w:t>’</w:t>
      </w:r>
      <w:r w:rsidRPr="006F47A5">
        <w:rPr>
          <w:lang w:val="fr-FR"/>
        </w:rPr>
        <w:t>innovation et les scienc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="006669F0" w:rsidRPr="006F47A5">
        <w:rPr>
          <w:lang w:val="fr-FR"/>
        </w:rPr>
        <w:t>s services</w:t>
      </w:r>
      <w:r w:rsidRPr="006F47A5">
        <w:rPr>
          <w:lang w:val="fr-FR"/>
        </w:rPr>
        <w:t xml:space="preserve"> ont pour objectif premier de renforcer la commercialisation </w:t>
      </w:r>
      <w:r w:rsidR="003F7A1B">
        <w:rPr>
          <w:lang w:val="fr-FR"/>
        </w:rPr>
        <w:t xml:space="preserve">des travaux de </w:t>
      </w:r>
      <w:r w:rsidRPr="006F47A5">
        <w:rPr>
          <w:lang w:val="fr-FR"/>
        </w:rPr>
        <w:t xml:space="preserve">recherche du secteur public, ainsi que la collaboration entre les chercheurs et les entreprises, </w:t>
      </w:r>
      <w:r w:rsidR="006669F0" w:rsidRPr="006F47A5">
        <w:rPr>
          <w:lang w:val="fr-FR"/>
        </w:rPr>
        <w:t>dans le cas où</w:t>
      </w:r>
      <w:r w:rsidRPr="006F47A5">
        <w:rPr>
          <w:lang w:val="fr-FR"/>
        </w:rPr>
        <w:t xml:space="preserve"> la propriété intellectuelle peut </w:t>
      </w:r>
      <w:r w:rsidR="006669F0" w:rsidRPr="006F47A5">
        <w:rPr>
          <w:lang w:val="fr-FR"/>
        </w:rPr>
        <w:t>être litigieu</w:t>
      </w:r>
      <w:r w:rsidR="00DD1C9C" w:rsidRPr="006F47A5">
        <w:rPr>
          <w:lang w:val="fr-FR"/>
        </w:rPr>
        <w:t>se</w:t>
      </w:r>
      <w:r w:rsidR="00DD1C9C">
        <w:rPr>
          <w:lang w:val="fr-FR"/>
        </w:rPr>
        <w:t>.</w:t>
      </w:r>
    </w:p>
    <w:p w:rsidR="004F31F2" w:rsidRDefault="004F31F2" w:rsidP="008B7911">
      <w:pPr>
        <w:rPr>
          <w:lang w:val="fr-FR"/>
        </w:rPr>
      </w:pPr>
    </w:p>
    <w:p w:rsidR="000E3050" w:rsidRDefault="00DD1C9C" w:rsidP="008B7911">
      <w:pPr>
        <w:rPr>
          <w:lang w:val="fr-FR"/>
        </w:rPr>
      </w:pPr>
      <w:r w:rsidRPr="006F47A5">
        <w:rPr>
          <w:lang w:val="fr-FR"/>
        </w:rPr>
        <w:t>Pa</w:t>
      </w:r>
      <w:r w:rsidR="00C00099" w:rsidRPr="006F47A5">
        <w:rPr>
          <w:lang w:val="fr-FR"/>
        </w:rPr>
        <w:t>rmi ces services</w:t>
      </w:r>
      <w:r w:rsidR="00FD5C7A">
        <w:rPr>
          <w:lang w:val="fr-FR"/>
        </w:rPr>
        <w:t> :</w:t>
      </w:r>
    </w:p>
    <w:p w:rsidR="00CE00F9" w:rsidRPr="006F47A5" w:rsidRDefault="00CE00F9" w:rsidP="008B7911">
      <w:pPr>
        <w:rPr>
          <w:lang w:val="fr-FR"/>
        </w:rPr>
      </w:pPr>
    </w:p>
    <w:p w:rsidR="00FB5E9C" w:rsidRPr="006F47A5" w:rsidRDefault="00FB5E9C" w:rsidP="008B7911">
      <w:pPr>
        <w:pStyle w:val="ListParagraph"/>
        <w:numPr>
          <w:ilvl w:val="0"/>
          <w:numId w:val="12"/>
        </w:numPr>
        <w:ind w:left="1134" w:hanging="567"/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>instrument de gestion de la propriété intellectuelle, élaboré conjointement avec le Département de l</w:t>
      </w:r>
      <w:r w:rsidR="00FD5C7A">
        <w:rPr>
          <w:lang w:val="fr-FR"/>
        </w:rPr>
        <w:t>’</w:t>
      </w:r>
      <w:r w:rsidRPr="006F47A5">
        <w:rPr>
          <w:lang w:val="fr-FR"/>
        </w:rPr>
        <w:t>industrie, de l</w:t>
      </w:r>
      <w:r w:rsidR="00FD5C7A">
        <w:rPr>
          <w:lang w:val="fr-FR"/>
        </w:rPr>
        <w:t>’</w:t>
      </w:r>
      <w:r w:rsidRPr="006F47A5">
        <w:rPr>
          <w:lang w:val="fr-FR"/>
        </w:rPr>
        <w:t>innovation et des sciences et lancé le 1</w:t>
      </w:r>
      <w:r w:rsidR="008F1232" w:rsidRPr="006F47A5">
        <w:rPr>
          <w:lang w:val="fr-FR"/>
        </w:rPr>
        <w:t>0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septembre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</w:t>
      </w:r>
      <w:r w:rsidRPr="006F47A5">
        <w:rPr>
          <w:lang w:val="fr-FR"/>
        </w:rPr>
        <w:t xml:space="preserve">15, </w:t>
      </w:r>
      <w:r w:rsidR="006669F0" w:rsidRPr="006F47A5">
        <w:rPr>
          <w:lang w:val="fr-FR"/>
        </w:rPr>
        <w:t>constitue</w:t>
      </w:r>
      <w:r w:rsidRPr="006F47A5">
        <w:rPr>
          <w:lang w:val="fr-FR"/>
        </w:rPr>
        <w:t xml:space="preserve"> une ressource en ligne visant à améliorer la collaboration entre les chercheu</w:t>
      </w:r>
      <w:r w:rsidR="006669F0" w:rsidRPr="006F47A5">
        <w:rPr>
          <w:lang w:val="fr-FR"/>
        </w:rPr>
        <w:t>rs et le milieu des affaires</w:t>
      </w:r>
      <w:r w:rsidR="00C00099" w:rsidRPr="006F47A5">
        <w:rPr>
          <w:lang w:val="fr-FR"/>
        </w:rPr>
        <w:t xml:space="preserve">.  </w:t>
      </w:r>
      <w:r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 xml:space="preserve"> </w:t>
      </w:r>
      <w:r w:rsidR="00FE4A73" w:rsidRPr="006F47A5">
        <w:rPr>
          <w:lang w:val="fr-FR"/>
        </w:rPr>
        <w:t xml:space="preserve">a </w:t>
      </w:r>
      <w:r w:rsidRPr="006F47A5">
        <w:rPr>
          <w:lang w:val="fr-FR"/>
        </w:rPr>
        <w:t>fait appel à</w:t>
      </w:r>
      <w:r w:rsidR="00FE4A73" w:rsidRPr="006F47A5">
        <w:rPr>
          <w:lang w:val="fr-FR"/>
        </w:rPr>
        <w:t xml:space="preserve"> des consultants pour examiner la version actuelle de l</w:t>
      </w:r>
      <w:r w:rsidR="00FD5C7A">
        <w:rPr>
          <w:lang w:val="fr-FR"/>
        </w:rPr>
        <w:t>’</w:t>
      </w:r>
      <w:r w:rsidR="00FE4A73" w:rsidRPr="006F47A5">
        <w:rPr>
          <w:lang w:val="fr-FR"/>
        </w:rPr>
        <w:t xml:space="preserve">instrument et envisager </w:t>
      </w:r>
      <w:r w:rsidR="006669F0" w:rsidRPr="006F47A5">
        <w:rPr>
          <w:lang w:val="fr-FR"/>
        </w:rPr>
        <w:t>les</w:t>
      </w:r>
      <w:r w:rsidR="00FE4A73" w:rsidRPr="006F47A5">
        <w:rPr>
          <w:lang w:val="fr-FR"/>
        </w:rPr>
        <w:t xml:space="preserve"> améliorations </w:t>
      </w:r>
      <w:r w:rsidR="006669F0" w:rsidRPr="006F47A5">
        <w:rPr>
          <w:lang w:val="fr-FR"/>
        </w:rPr>
        <w:t xml:space="preserve">possibles </w:t>
      </w:r>
      <w:r w:rsidR="00FE4A73" w:rsidRPr="006F47A5">
        <w:rPr>
          <w:lang w:val="fr-FR"/>
        </w:rPr>
        <w:t>afin de le rendre pl</w:t>
      </w:r>
      <w:r w:rsidR="006669F0" w:rsidRPr="006F47A5">
        <w:rPr>
          <w:lang w:val="fr-FR"/>
        </w:rPr>
        <w:t>us accessible et fonctionnel</w:t>
      </w:r>
      <w:r w:rsidR="00C00099" w:rsidRPr="006F47A5">
        <w:rPr>
          <w:lang w:val="fr-FR"/>
        </w:rPr>
        <w:t xml:space="preserve">.  </w:t>
      </w:r>
      <w:r w:rsidR="00FE4A73"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="00FE4A73" w:rsidRPr="006F47A5">
        <w:rPr>
          <w:lang w:val="fr-FR"/>
        </w:rPr>
        <w:t>Australia</w:t>
      </w:r>
      <w:proofErr w:type="spellEnd"/>
      <w:r w:rsidR="00FE4A73" w:rsidRPr="006F47A5">
        <w:rPr>
          <w:lang w:val="fr-FR"/>
        </w:rPr>
        <w:t xml:space="preserve"> et le Département de l</w:t>
      </w:r>
      <w:r w:rsidR="00FD5C7A">
        <w:rPr>
          <w:lang w:val="fr-FR"/>
        </w:rPr>
        <w:t>’</w:t>
      </w:r>
      <w:r w:rsidR="00FE4A73" w:rsidRPr="006F47A5">
        <w:rPr>
          <w:lang w:val="fr-FR"/>
        </w:rPr>
        <w:t>industrie, de l</w:t>
      </w:r>
      <w:r w:rsidR="00FD5C7A">
        <w:rPr>
          <w:lang w:val="fr-FR"/>
        </w:rPr>
        <w:t>’</w:t>
      </w:r>
      <w:r w:rsidR="00FE4A73" w:rsidRPr="006F47A5">
        <w:rPr>
          <w:lang w:val="fr-FR"/>
        </w:rPr>
        <w:t>innovati</w:t>
      </w:r>
      <w:r w:rsidR="006669F0" w:rsidRPr="006F47A5">
        <w:rPr>
          <w:lang w:val="fr-FR"/>
        </w:rPr>
        <w:t>on et des sciences travaillent actuellement</w:t>
      </w:r>
      <w:r w:rsidR="00FE4A73" w:rsidRPr="006F47A5">
        <w:rPr>
          <w:lang w:val="fr-FR"/>
        </w:rPr>
        <w:t xml:space="preserve"> ensemble </w:t>
      </w:r>
      <w:r w:rsidR="006669F0" w:rsidRPr="006F47A5">
        <w:rPr>
          <w:lang w:val="fr-FR"/>
        </w:rPr>
        <w:t>en vue du</w:t>
      </w:r>
      <w:r w:rsidR="00FE4A73" w:rsidRPr="006F47A5">
        <w:rPr>
          <w:lang w:val="fr-FR"/>
        </w:rPr>
        <w:t xml:space="preserve"> lancement d</w:t>
      </w:r>
      <w:r w:rsidR="00FD5C7A">
        <w:rPr>
          <w:lang w:val="fr-FR"/>
        </w:rPr>
        <w:t>’</w:t>
      </w:r>
      <w:r w:rsidR="00FE4A73" w:rsidRPr="006F47A5">
        <w:rPr>
          <w:lang w:val="fr-FR"/>
        </w:rPr>
        <w:t>une version b</w:t>
      </w:r>
      <w:r w:rsidR="0099215E">
        <w:rPr>
          <w:lang w:val="fr-FR"/>
        </w:rPr>
        <w:t>ê</w:t>
      </w:r>
      <w:r w:rsidR="00FE4A73" w:rsidRPr="006F47A5">
        <w:rPr>
          <w:lang w:val="fr-FR"/>
        </w:rPr>
        <w:t>ta de l</w:t>
      </w:r>
      <w:r w:rsidR="00FD5C7A">
        <w:rPr>
          <w:lang w:val="fr-FR"/>
        </w:rPr>
        <w:t>’</w:t>
      </w:r>
      <w:r w:rsidR="00FE4A73" w:rsidRPr="006F47A5">
        <w:rPr>
          <w:lang w:val="fr-FR"/>
        </w:rPr>
        <w:t>instrument amélioré au cours du premier semestre</w:t>
      </w:r>
      <w:r w:rsidR="0099215E">
        <w:rPr>
          <w:lang w:val="fr-FR"/>
        </w:rPr>
        <w:t> </w:t>
      </w:r>
      <w:r w:rsidR="00FE4A73" w:rsidRPr="006F47A5">
        <w:rPr>
          <w:lang w:val="fr-FR"/>
        </w:rPr>
        <w:t>2017.</w:t>
      </w:r>
    </w:p>
    <w:p w:rsidR="008F1232" w:rsidRDefault="00490A99" w:rsidP="008B7911">
      <w:pPr>
        <w:pStyle w:val="ListParagraph"/>
        <w:numPr>
          <w:ilvl w:val="0"/>
          <w:numId w:val="12"/>
        </w:numPr>
        <w:ind w:left="1134" w:hanging="567"/>
        <w:rPr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initiative </w:t>
      </w:r>
      <w:r w:rsidR="00206805">
        <w:rPr>
          <w:lang w:val="fr-FR"/>
        </w:rPr>
        <w:t>“</w:t>
      </w:r>
      <w:r w:rsidRPr="006F47A5">
        <w:rPr>
          <w:lang w:val="fr-FR"/>
        </w:rPr>
        <w:t>Source IP</w:t>
      </w:r>
      <w:r w:rsidR="00206805">
        <w:rPr>
          <w:lang w:val="fr-FR"/>
        </w:rPr>
        <w:t>”</w:t>
      </w:r>
      <w:r w:rsidRPr="006F47A5">
        <w:rPr>
          <w:lang w:val="fr-FR"/>
        </w:rPr>
        <w:t xml:space="preserve"> (lancée le 2</w:t>
      </w:r>
      <w:r w:rsidR="008F1232" w:rsidRPr="006F47A5">
        <w:rPr>
          <w:lang w:val="fr-FR"/>
        </w:rPr>
        <w:t>3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novembre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</w:t>
      </w:r>
      <w:r w:rsidRPr="006F47A5">
        <w:rPr>
          <w:lang w:val="fr-FR"/>
        </w:rPr>
        <w:t xml:space="preserve">15) </w:t>
      </w:r>
      <w:r w:rsidR="00A02576" w:rsidRPr="006F47A5">
        <w:rPr>
          <w:lang w:val="fr-FR"/>
        </w:rPr>
        <w:t xml:space="preserve">propose un marché en ligne pour </w:t>
      </w:r>
      <w:r w:rsidR="006669F0" w:rsidRPr="006F47A5">
        <w:rPr>
          <w:lang w:val="fr-FR"/>
        </w:rPr>
        <w:t>relier</w:t>
      </w:r>
      <w:r w:rsidR="00A02576" w:rsidRPr="006F47A5">
        <w:rPr>
          <w:lang w:val="fr-FR"/>
        </w:rPr>
        <w:t xml:space="preserve"> le milieu des affaires à la propriété intellectuelle générée par les organismes de recherche du secteur public et les universités en Austral</w:t>
      </w:r>
      <w:r w:rsidR="00CE00F9" w:rsidRPr="006F47A5">
        <w:rPr>
          <w:lang w:val="fr-FR"/>
        </w:rPr>
        <w:t>ie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De</w:t>
      </w:r>
      <w:r w:rsidR="00A02576" w:rsidRPr="006F47A5">
        <w:rPr>
          <w:lang w:val="fr-FR"/>
        </w:rPr>
        <w:t xml:space="preserve"> récentes mises à jour ont permis d</w:t>
      </w:r>
      <w:r w:rsidR="00FD5C7A">
        <w:rPr>
          <w:lang w:val="fr-FR"/>
        </w:rPr>
        <w:t>’</w:t>
      </w:r>
      <w:r w:rsidR="00A02576" w:rsidRPr="006F47A5">
        <w:rPr>
          <w:lang w:val="fr-FR"/>
        </w:rPr>
        <w:t>améliorer l</w:t>
      </w:r>
      <w:r w:rsidR="00FD5C7A">
        <w:rPr>
          <w:lang w:val="fr-FR"/>
        </w:rPr>
        <w:t>’</w:t>
      </w:r>
      <w:r w:rsidR="00A02576" w:rsidRPr="006F47A5">
        <w:rPr>
          <w:lang w:val="fr-FR"/>
        </w:rPr>
        <w:t xml:space="preserve">expérience utilisateur et </w:t>
      </w:r>
      <w:r w:rsidR="006669F0" w:rsidRPr="006F47A5">
        <w:rPr>
          <w:lang w:val="fr-FR"/>
        </w:rPr>
        <w:t xml:space="preserve">de </w:t>
      </w:r>
      <w:r w:rsidR="00A02576" w:rsidRPr="006F47A5">
        <w:rPr>
          <w:lang w:val="fr-FR"/>
        </w:rPr>
        <w:t>mettre davantage en avant l</w:t>
      </w:r>
      <w:r w:rsidR="00FD5C7A">
        <w:rPr>
          <w:lang w:val="fr-FR"/>
        </w:rPr>
        <w:t>’</w:t>
      </w:r>
      <w:r w:rsidR="00A02576" w:rsidRPr="006F47A5">
        <w:rPr>
          <w:lang w:val="fr-FR"/>
        </w:rPr>
        <w:t>intérêt commercial du site</w:t>
      </w:r>
      <w:r w:rsidR="00C00099" w:rsidRPr="006F47A5">
        <w:rPr>
          <w:lang w:val="fr-FR"/>
        </w:rPr>
        <w:t>.</w:t>
      </w:r>
    </w:p>
    <w:p w:rsidR="008F1232" w:rsidRDefault="00D462FD" w:rsidP="008B7911">
      <w:pPr>
        <w:pStyle w:val="ListParagraph"/>
        <w:numPr>
          <w:ilvl w:val="0"/>
          <w:numId w:val="12"/>
        </w:numPr>
        <w:ind w:left="1134" w:hanging="567"/>
        <w:rPr>
          <w:rFonts w:eastAsiaTheme="minorHAnsi" w:cs="Times New Roman"/>
          <w:lang w:val="fr-FR" w:eastAsia="en-AU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outil </w:t>
      </w:r>
      <w:r w:rsidR="00C254CF">
        <w:rPr>
          <w:lang w:val="fr-FR"/>
        </w:rPr>
        <w:t>“</w:t>
      </w:r>
      <w:r w:rsidR="00896DCD">
        <w:rPr>
          <w:lang w:val="fr-FR"/>
        </w:rPr>
        <w:t>IP Nova</w:t>
      </w:r>
      <w:r w:rsidR="00C254CF">
        <w:rPr>
          <w:lang w:val="fr-FR"/>
        </w:rPr>
        <w:t>”</w:t>
      </w:r>
      <w:r w:rsidR="00896DCD">
        <w:rPr>
          <w:lang w:val="fr-FR"/>
        </w:rPr>
        <w:t xml:space="preserve"> </w:t>
      </w:r>
      <w:r w:rsidRPr="006F47A5">
        <w:rPr>
          <w:lang w:val="fr-FR"/>
        </w:rPr>
        <w:t>(</w:t>
      </w:r>
      <w:proofErr w:type="spellStart"/>
      <w:r w:rsidRPr="006F47A5">
        <w:rPr>
          <w:rFonts w:eastAsiaTheme="minorHAnsi" w:cs="Times New Roman"/>
          <w:lang w:val="fr-FR" w:eastAsia="en-AU"/>
        </w:rPr>
        <w:t>Intellectual</w:t>
      </w:r>
      <w:proofErr w:type="spellEnd"/>
      <w:r w:rsidRPr="006F47A5">
        <w:rPr>
          <w:rFonts w:eastAsiaTheme="minorHAnsi" w:cs="Times New Roman"/>
          <w:lang w:val="fr-FR" w:eastAsia="en-AU"/>
        </w:rPr>
        <w:t xml:space="preserve"> </w:t>
      </w:r>
      <w:proofErr w:type="spellStart"/>
      <w:r w:rsidRPr="006F47A5">
        <w:rPr>
          <w:rFonts w:eastAsiaTheme="minorHAnsi" w:cs="Times New Roman"/>
          <w:lang w:val="fr-FR" w:eastAsia="en-AU"/>
        </w:rPr>
        <w:t>Property</w:t>
      </w:r>
      <w:proofErr w:type="spellEnd"/>
      <w:r w:rsidRPr="006F47A5">
        <w:rPr>
          <w:rFonts w:eastAsiaTheme="minorHAnsi" w:cs="Times New Roman"/>
          <w:lang w:val="fr-FR" w:eastAsia="en-AU"/>
        </w:rPr>
        <w:t xml:space="preserve"> Neural Open</w:t>
      </w:r>
      <w:r w:rsidR="00EE5220">
        <w:rPr>
          <w:rFonts w:eastAsiaTheme="minorHAnsi" w:cs="Times New Roman"/>
          <w:lang w:val="fr-FR" w:eastAsia="en-AU"/>
        </w:rPr>
        <w:noBreakHyphen/>
      </w:r>
      <w:r w:rsidRPr="006F47A5">
        <w:rPr>
          <w:rFonts w:eastAsiaTheme="minorHAnsi" w:cs="Times New Roman"/>
          <w:lang w:val="fr-FR" w:eastAsia="en-AU"/>
        </w:rPr>
        <w:t>data Visualis</w:t>
      </w:r>
      <w:r w:rsidR="00896DCD">
        <w:rPr>
          <w:rFonts w:eastAsiaTheme="minorHAnsi" w:cs="Times New Roman"/>
          <w:lang w:val="fr-FR" w:eastAsia="en-AU"/>
        </w:rPr>
        <w:t xml:space="preserve">ation and </w:t>
      </w:r>
      <w:proofErr w:type="spellStart"/>
      <w:r w:rsidR="00896DCD">
        <w:rPr>
          <w:rFonts w:eastAsiaTheme="minorHAnsi" w:cs="Times New Roman"/>
          <w:lang w:val="fr-FR" w:eastAsia="en-AU"/>
        </w:rPr>
        <w:t>Analysis</w:t>
      </w:r>
      <w:proofErr w:type="spellEnd"/>
      <w:r w:rsidR="00896DCD">
        <w:rPr>
          <w:rFonts w:eastAsiaTheme="minorHAnsi" w:cs="Times New Roman"/>
          <w:lang w:val="fr-FR" w:eastAsia="en-AU"/>
        </w:rPr>
        <w:t xml:space="preserve">) </w:t>
      </w:r>
      <w:r w:rsidRPr="006F47A5">
        <w:rPr>
          <w:rFonts w:eastAsiaTheme="minorHAnsi" w:cs="Times New Roman"/>
          <w:lang w:val="fr-FR" w:eastAsia="en-AU"/>
        </w:rPr>
        <w:t>a été lan</w:t>
      </w:r>
      <w:r w:rsidR="00630ACA" w:rsidRPr="006F47A5">
        <w:rPr>
          <w:rFonts w:eastAsiaTheme="minorHAnsi" w:cs="Times New Roman"/>
          <w:lang w:val="fr-FR" w:eastAsia="en-AU"/>
        </w:rPr>
        <w:t>cé le 2</w:t>
      </w:r>
      <w:r w:rsidR="008F1232" w:rsidRPr="006F47A5">
        <w:rPr>
          <w:rFonts w:eastAsiaTheme="minorHAnsi" w:cs="Times New Roman"/>
          <w:lang w:val="fr-FR" w:eastAsia="en-AU"/>
        </w:rPr>
        <w:t>2</w:t>
      </w:r>
      <w:r w:rsidR="008F1232">
        <w:rPr>
          <w:rFonts w:eastAsiaTheme="minorHAnsi" w:cs="Times New Roman"/>
          <w:lang w:val="fr-FR" w:eastAsia="en-AU"/>
        </w:rPr>
        <w:t> </w:t>
      </w:r>
      <w:r w:rsidR="008F1232" w:rsidRPr="006F47A5">
        <w:rPr>
          <w:rFonts w:eastAsiaTheme="minorHAnsi" w:cs="Times New Roman"/>
          <w:lang w:val="fr-FR" w:eastAsia="en-AU"/>
        </w:rPr>
        <w:t>octobre</w:t>
      </w:r>
      <w:r w:rsidR="008F1232">
        <w:rPr>
          <w:rFonts w:eastAsiaTheme="minorHAnsi" w:cs="Times New Roman"/>
          <w:lang w:val="fr-FR" w:eastAsia="en-AU"/>
        </w:rPr>
        <w:t> </w:t>
      </w:r>
      <w:r w:rsidR="008F1232" w:rsidRPr="006F47A5">
        <w:rPr>
          <w:rFonts w:eastAsiaTheme="minorHAnsi" w:cs="Times New Roman"/>
          <w:lang w:val="fr-FR" w:eastAsia="en-AU"/>
        </w:rPr>
        <w:t>20</w:t>
      </w:r>
      <w:r w:rsidR="00630ACA" w:rsidRPr="006F47A5">
        <w:rPr>
          <w:rFonts w:eastAsiaTheme="minorHAnsi" w:cs="Times New Roman"/>
          <w:lang w:val="fr-FR" w:eastAsia="en-AU"/>
        </w:rPr>
        <w:t xml:space="preserve">16 et a été </w:t>
      </w:r>
      <w:r w:rsidR="00896DCD">
        <w:rPr>
          <w:rFonts w:eastAsiaTheme="minorHAnsi" w:cs="Times New Roman"/>
          <w:lang w:val="fr-FR" w:eastAsia="en-AU"/>
        </w:rPr>
        <w:t>mis au point dans le cadre d</w:t>
      </w:r>
      <w:r w:rsidR="00FD5C7A">
        <w:rPr>
          <w:rFonts w:eastAsiaTheme="minorHAnsi" w:cs="Times New Roman"/>
          <w:lang w:val="fr-FR" w:eastAsia="en-AU"/>
        </w:rPr>
        <w:t>’</w:t>
      </w:r>
      <w:r w:rsidRPr="006F47A5">
        <w:rPr>
          <w:rFonts w:eastAsiaTheme="minorHAnsi" w:cs="Times New Roman"/>
          <w:lang w:val="fr-FR" w:eastAsia="en-AU"/>
        </w:rPr>
        <w:t>un partenariat entre IP</w:t>
      </w:r>
      <w:r w:rsidR="00206805">
        <w:rPr>
          <w:rFonts w:eastAsiaTheme="minorHAnsi" w:cs="Times New Roman"/>
          <w:lang w:val="fr-FR" w:eastAsia="en-AU"/>
        </w:rPr>
        <w:t> </w:t>
      </w:r>
      <w:proofErr w:type="spellStart"/>
      <w:r w:rsidRPr="006F47A5">
        <w:rPr>
          <w:rFonts w:eastAsiaTheme="minorHAnsi" w:cs="Times New Roman"/>
          <w:lang w:val="fr-FR" w:eastAsia="en-AU"/>
        </w:rPr>
        <w:t>Australia</w:t>
      </w:r>
      <w:proofErr w:type="spellEnd"/>
      <w:r w:rsidRPr="006F47A5">
        <w:rPr>
          <w:rFonts w:eastAsiaTheme="minorHAnsi" w:cs="Times New Roman"/>
          <w:lang w:val="fr-FR" w:eastAsia="en-AU"/>
        </w:rPr>
        <w:t xml:space="preserve"> et de petites et moyennes entreprises (PME)</w:t>
      </w:r>
      <w:r w:rsidR="00C00099" w:rsidRPr="006F47A5">
        <w:rPr>
          <w:rFonts w:eastAsiaTheme="minorHAnsi" w:cs="Times New Roman"/>
          <w:lang w:val="fr-FR" w:eastAsia="en-AU"/>
        </w:rPr>
        <w:t xml:space="preserve">.  </w:t>
      </w:r>
      <w:r w:rsidRPr="006F47A5">
        <w:rPr>
          <w:rFonts w:eastAsiaTheme="minorHAnsi" w:cs="Times New Roman"/>
          <w:lang w:val="fr-FR" w:eastAsia="en-AU"/>
        </w:rPr>
        <w:t>Il s</w:t>
      </w:r>
      <w:r w:rsidR="00FD5C7A">
        <w:rPr>
          <w:rFonts w:eastAsiaTheme="minorHAnsi" w:cs="Times New Roman"/>
          <w:lang w:val="fr-FR" w:eastAsia="en-AU"/>
        </w:rPr>
        <w:t>’</w:t>
      </w:r>
      <w:r w:rsidRPr="006F47A5">
        <w:rPr>
          <w:rFonts w:eastAsiaTheme="minorHAnsi" w:cs="Times New Roman"/>
          <w:lang w:val="fr-FR" w:eastAsia="en-AU"/>
        </w:rPr>
        <w:t>agit d</w:t>
      </w:r>
      <w:r w:rsidR="00FD5C7A">
        <w:rPr>
          <w:rFonts w:eastAsiaTheme="minorHAnsi" w:cs="Times New Roman"/>
          <w:lang w:val="fr-FR" w:eastAsia="en-AU"/>
        </w:rPr>
        <w:t>’</w:t>
      </w:r>
      <w:r w:rsidRPr="006F47A5">
        <w:rPr>
          <w:rFonts w:eastAsiaTheme="minorHAnsi" w:cs="Times New Roman"/>
          <w:lang w:val="fr-FR" w:eastAsia="en-AU"/>
        </w:rPr>
        <w:t xml:space="preserve">un outil </w:t>
      </w:r>
      <w:r w:rsidR="00FF1573" w:rsidRPr="006F47A5">
        <w:rPr>
          <w:rFonts w:eastAsiaTheme="minorHAnsi" w:cs="Times New Roman"/>
          <w:lang w:val="fr-FR" w:eastAsia="en-AU"/>
        </w:rPr>
        <w:t xml:space="preserve">gratuit de visualisation des données en nuage qui permet à </w:t>
      </w:r>
      <w:r w:rsidR="00630ACA" w:rsidRPr="006F47A5">
        <w:rPr>
          <w:rFonts w:eastAsiaTheme="minorHAnsi" w:cs="Times New Roman"/>
          <w:lang w:val="fr-FR" w:eastAsia="en-AU"/>
        </w:rPr>
        <w:t>chacun</w:t>
      </w:r>
      <w:r w:rsidR="00FF1573" w:rsidRPr="006F47A5">
        <w:rPr>
          <w:rFonts w:eastAsiaTheme="minorHAnsi" w:cs="Times New Roman"/>
          <w:lang w:val="fr-FR" w:eastAsia="en-AU"/>
        </w:rPr>
        <w:t xml:space="preserve"> d</w:t>
      </w:r>
      <w:r w:rsidR="00FD5C7A">
        <w:rPr>
          <w:rFonts w:eastAsiaTheme="minorHAnsi" w:cs="Times New Roman"/>
          <w:lang w:val="fr-FR" w:eastAsia="en-AU"/>
        </w:rPr>
        <w:t>’</w:t>
      </w:r>
      <w:r w:rsidR="00FF1573" w:rsidRPr="006F47A5">
        <w:rPr>
          <w:rFonts w:eastAsiaTheme="minorHAnsi" w:cs="Times New Roman"/>
          <w:lang w:val="fr-FR" w:eastAsia="en-AU"/>
        </w:rPr>
        <w:t>explorer le paysage de la propriété intellectuelle</w:t>
      </w:r>
      <w:r w:rsidR="008C3823" w:rsidRPr="006F47A5">
        <w:rPr>
          <w:rFonts w:eastAsiaTheme="minorHAnsi" w:cs="Times New Roman"/>
          <w:lang w:val="fr-FR" w:eastAsia="en-AU"/>
        </w:rPr>
        <w:t xml:space="preserve"> en recherchant les droits de propriété intellectuelle par technologie, personne, lieu ou nom d</w:t>
      </w:r>
      <w:r w:rsidR="00FD5C7A">
        <w:rPr>
          <w:rFonts w:eastAsiaTheme="minorHAnsi" w:cs="Times New Roman"/>
          <w:lang w:val="fr-FR" w:eastAsia="en-AU"/>
        </w:rPr>
        <w:t>’</w:t>
      </w:r>
      <w:r w:rsidR="008C3823" w:rsidRPr="006F47A5">
        <w:rPr>
          <w:rFonts w:eastAsiaTheme="minorHAnsi" w:cs="Times New Roman"/>
          <w:lang w:val="fr-FR" w:eastAsia="en-AU"/>
        </w:rPr>
        <w:t>entreprise</w:t>
      </w:r>
      <w:r w:rsidR="00C00099" w:rsidRPr="006F47A5">
        <w:rPr>
          <w:rFonts w:eastAsiaTheme="minorHAnsi" w:cs="Times New Roman"/>
          <w:lang w:val="fr-FR" w:eastAsia="en-AU"/>
        </w:rPr>
        <w:t>.</w:t>
      </w:r>
    </w:p>
    <w:p w:rsidR="008F1232" w:rsidRDefault="008C3823" w:rsidP="008B7911">
      <w:pPr>
        <w:pStyle w:val="ListParagraph"/>
        <w:numPr>
          <w:ilvl w:val="0"/>
          <w:numId w:val="12"/>
        </w:numPr>
        <w:ind w:left="1134" w:hanging="567"/>
        <w:rPr>
          <w:lang w:val="fr-FR"/>
        </w:rPr>
      </w:pPr>
      <w:r w:rsidRPr="006F47A5">
        <w:rPr>
          <w:lang w:val="fr-FR"/>
        </w:rPr>
        <w:t>La plateforme d</w:t>
      </w:r>
      <w:r w:rsidR="00FD5C7A">
        <w:rPr>
          <w:lang w:val="fr-FR"/>
        </w:rPr>
        <w:t>’</w:t>
      </w:r>
      <w:r w:rsidRPr="006F47A5">
        <w:rPr>
          <w:lang w:val="fr-FR"/>
        </w:rPr>
        <w:t>analyse des brevets propose des services pour mesurer les effets de la recherche et définir des possibilités de collaboration et de partenariat</w:t>
      </w:r>
      <w:r w:rsidR="00C00099" w:rsidRPr="006F47A5">
        <w:rPr>
          <w:lang w:val="fr-FR"/>
        </w:rPr>
        <w:t xml:space="preserve">.  </w:t>
      </w:r>
      <w:r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 xml:space="preserve"> a étendu sa gamme de services afin de fournir un meilleur appui aux universités et aux organismes de recherche financés par le secteur public</w:t>
      </w:r>
      <w:r w:rsidR="00C00099" w:rsidRPr="006F47A5">
        <w:rPr>
          <w:lang w:val="fr-FR"/>
        </w:rPr>
        <w:t>.</w:t>
      </w:r>
    </w:p>
    <w:p w:rsidR="00490A99" w:rsidRPr="006F47A5" w:rsidRDefault="008C3823" w:rsidP="008B7911">
      <w:pPr>
        <w:pStyle w:val="ListParagraph"/>
        <w:numPr>
          <w:ilvl w:val="0"/>
          <w:numId w:val="12"/>
        </w:numPr>
        <w:ind w:left="1134" w:hanging="567"/>
        <w:rPr>
          <w:lang w:val="fr-FR"/>
        </w:rPr>
      </w:pPr>
      <w:r w:rsidRPr="006F47A5">
        <w:rPr>
          <w:lang w:val="fr-FR"/>
        </w:rPr>
        <w:t xml:space="preserve">Les données </w:t>
      </w:r>
      <w:r w:rsidR="00630ACA" w:rsidRPr="006F47A5">
        <w:rPr>
          <w:lang w:val="fr-FR"/>
        </w:rPr>
        <w:t xml:space="preserve">ouvertes </w:t>
      </w:r>
      <w:r w:rsidRPr="006F47A5">
        <w:rPr>
          <w:lang w:val="fr-FR"/>
        </w:rPr>
        <w:t xml:space="preserve">de propriété intellectuelle </w:t>
      </w:r>
      <w:r w:rsidR="00896DCD">
        <w:rPr>
          <w:lang w:val="fr-FR"/>
        </w:rPr>
        <w:t xml:space="preserve">en libre accès mises à disposition par les pouvoirs publics </w:t>
      </w:r>
      <w:r w:rsidRPr="006F47A5">
        <w:rPr>
          <w:lang w:val="fr-FR"/>
        </w:rPr>
        <w:t>(</w:t>
      </w:r>
      <w:r w:rsidRPr="006F47A5">
        <w:rPr>
          <w:rFonts w:eastAsiaTheme="minorHAnsi" w:cs="Times New Roman"/>
          <w:lang w:val="fr-FR" w:eastAsia="en-AU"/>
        </w:rPr>
        <w:t xml:space="preserve">IP </w:t>
      </w:r>
      <w:proofErr w:type="spellStart"/>
      <w:r w:rsidRPr="006F47A5">
        <w:rPr>
          <w:rFonts w:eastAsiaTheme="minorHAnsi" w:cs="Times New Roman"/>
          <w:lang w:val="fr-FR" w:eastAsia="en-AU"/>
        </w:rPr>
        <w:t>Government</w:t>
      </w:r>
      <w:proofErr w:type="spellEnd"/>
      <w:r w:rsidRPr="006F47A5">
        <w:rPr>
          <w:rFonts w:eastAsiaTheme="minorHAnsi" w:cs="Times New Roman"/>
          <w:lang w:val="fr-FR" w:eastAsia="en-AU"/>
        </w:rPr>
        <w:t xml:space="preserve"> Open Data, IPGOD) </w:t>
      </w:r>
      <w:r w:rsidR="00896DCD">
        <w:rPr>
          <w:rFonts w:eastAsiaTheme="minorHAnsi" w:cs="Times New Roman"/>
          <w:lang w:val="fr-FR" w:eastAsia="en-AU"/>
        </w:rPr>
        <w:t>recouvrent</w:t>
      </w:r>
      <w:r w:rsidR="00630ACA" w:rsidRPr="006F47A5">
        <w:rPr>
          <w:rFonts w:eastAsiaTheme="minorHAnsi" w:cs="Times New Roman"/>
          <w:lang w:val="fr-FR" w:eastAsia="en-AU"/>
        </w:rPr>
        <w:t xml:space="preserve"> </w:t>
      </w:r>
      <w:r w:rsidRPr="006F47A5">
        <w:rPr>
          <w:rFonts w:eastAsiaTheme="minorHAnsi" w:cs="Times New Roman"/>
          <w:lang w:val="fr-FR" w:eastAsia="en-AU"/>
        </w:rPr>
        <w:t>100</w:t>
      </w:r>
      <w:r w:rsidR="0099215E">
        <w:rPr>
          <w:rFonts w:eastAsiaTheme="minorHAnsi" w:cs="Times New Roman"/>
          <w:lang w:val="fr-FR" w:eastAsia="en-AU"/>
        </w:rPr>
        <w:t> </w:t>
      </w:r>
      <w:r w:rsidRPr="006F47A5">
        <w:rPr>
          <w:rFonts w:eastAsiaTheme="minorHAnsi" w:cs="Times New Roman"/>
          <w:lang w:val="fr-FR" w:eastAsia="en-AU"/>
        </w:rPr>
        <w:t xml:space="preserve">ans de données relatives </w:t>
      </w:r>
      <w:r w:rsidR="00896DCD">
        <w:rPr>
          <w:rFonts w:eastAsiaTheme="minorHAnsi" w:cs="Times New Roman"/>
          <w:lang w:val="fr-FR" w:eastAsia="en-AU"/>
        </w:rPr>
        <w:t>aux droits de</w:t>
      </w:r>
      <w:r w:rsidRPr="006F47A5">
        <w:rPr>
          <w:rFonts w:eastAsiaTheme="minorHAnsi" w:cs="Times New Roman"/>
          <w:lang w:val="fr-FR" w:eastAsia="en-AU"/>
        </w:rPr>
        <w:t xml:space="preserve"> propriété intellectuelle </w:t>
      </w:r>
      <w:r w:rsidR="00896DCD">
        <w:rPr>
          <w:rFonts w:eastAsiaTheme="minorHAnsi" w:cs="Times New Roman"/>
          <w:lang w:val="fr-FR" w:eastAsia="en-AU"/>
        </w:rPr>
        <w:t>administrés par IP</w:t>
      </w:r>
      <w:r w:rsidR="00C254CF">
        <w:rPr>
          <w:rFonts w:eastAsiaTheme="minorHAnsi" w:cs="Times New Roman"/>
          <w:lang w:val="fr-FR" w:eastAsia="en-AU"/>
        </w:rPr>
        <w:t> </w:t>
      </w:r>
      <w:proofErr w:type="spellStart"/>
      <w:r w:rsidR="00896DCD">
        <w:rPr>
          <w:rFonts w:eastAsiaTheme="minorHAnsi" w:cs="Times New Roman"/>
          <w:lang w:val="fr-FR" w:eastAsia="en-AU"/>
        </w:rPr>
        <w:t>A</w:t>
      </w:r>
      <w:r w:rsidRPr="006F47A5">
        <w:rPr>
          <w:rFonts w:eastAsiaTheme="minorHAnsi" w:cs="Times New Roman"/>
          <w:lang w:val="fr-FR" w:eastAsia="en-AU"/>
        </w:rPr>
        <w:t>ustrali</w:t>
      </w:r>
      <w:r w:rsidR="00896DCD">
        <w:rPr>
          <w:rFonts w:eastAsiaTheme="minorHAnsi" w:cs="Times New Roman"/>
          <w:lang w:val="fr-FR" w:eastAsia="en-AU"/>
        </w:rPr>
        <w:t>a</w:t>
      </w:r>
      <w:proofErr w:type="spellEnd"/>
      <w:r w:rsidR="00896DCD">
        <w:rPr>
          <w:rFonts w:eastAsiaTheme="minorHAnsi" w:cs="Times New Roman"/>
          <w:lang w:val="fr-FR" w:eastAsia="en-AU"/>
        </w:rPr>
        <w:t xml:space="preserve">, </w:t>
      </w:r>
      <w:r w:rsidRPr="006F47A5">
        <w:rPr>
          <w:rFonts w:eastAsiaTheme="minorHAnsi" w:cs="Times New Roman"/>
          <w:lang w:val="fr-FR" w:eastAsia="en-AU"/>
        </w:rPr>
        <w:t>en lien avec</w:t>
      </w:r>
      <w:r w:rsidR="00D07E30" w:rsidRPr="006F47A5">
        <w:rPr>
          <w:rFonts w:eastAsiaTheme="minorHAnsi" w:cs="Times New Roman"/>
          <w:lang w:val="fr-FR" w:eastAsia="en-AU"/>
        </w:rPr>
        <w:t xml:space="preserve"> de plus vastes ensembles de données commerciales</w:t>
      </w:r>
      <w:r w:rsidR="00896DCD">
        <w:rPr>
          <w:rFonts w:eastAsiaTheme="minorHAnsi" w:cs="Times New Roman"/>
          <w:lang w:val="fr-FR" w:eastAsia="en-AU"/>
        </w:rPr>
        <w:t>,</w:t>
      </w:r>
      <w:r w:rsidR="00D07E30" w:rsidRPr="006F47A5">
        <w:rPr>
          <w:rFonts w:eastAsiaTheme="minorHAnsi" w:cs="Times New Roman"/>
          <w:lang w:val="fr-FR" w:eastAsia="en-AU"/>
        </w:rPr>
        <w:t xml:space="preserve"> pour </w:t>
      </w:r>
      <w:r w:rsidR="00896DCD">
        <w:rPr>
          <w:rFonts w:eastAsiaTheme="minorHAnsi" w:cs="Times New Roman"/>
          <w:lang w:val="fr-FR" w:eastAsia="en-AU"/>
        </w:rPr>
        <w:t>appuyer</w:t>
      </w:r>
      <w:r w:rsidR="00D07E30" w:rsidRPr="006F47A5">
        <w:rPr>
          <w:rFonts w:eastAsiaTheme="minorHAnsi" w:cs="Times New Roman"/>
          <w:lang w:val="fr-FR" w:eastAsia="en-AU"/>
        </w:rPr>
        <w:t xml:space="preserve"> les politiques fondées sur des données factuelles</w:t>
      </w:r>
      <w:r w:rsidR="00C00099" w:rsidRPr="006F47A5">
        <w:rPr>
          <w:rFonts w:eastAsiaTheme="minorHAnsi" w:cs="Times New Roman"/>
          <w:lang w:val="fr-FR" w:eastAsia="en-AU"/>
        </w:rPr>
        <w:t xml:space="preserve">.  </w:t>
      </w:r>
      <w:r w:rsidR="00D07E30" w:rsidRPr="006F47A5">
        <w:rPr>
          <w:rFonts w:eastAsiaTheme="minorHAnsi" w:cs="Times New Roman"/>
          <w:lang w:val="fr-FR" w:eastAsia="en-AU"/>
        </w:rPr>
        <w:t>IP</w:t>
      </w:r>
      <w:r w:rsidR="00206805">
        <w:rPr>
          <w:rFonts w:eastAsiaTheme="minorHAnsi" w:cs="Times New Roman"/>
          <w:lang w:val="fr-FR" w:eastAsia="en-AU"/>
        </w:rPr>
        <w:t> </w:t>
      </w:r>
      <w:proofErr w:type="spellStart"/>
      <w:r w:rsidR="00D07E30" w:rsidRPr="006F47A5">
        <w:rPr>
          <w:rFonts w:eastAsiaTheme="minorHAnsi" w:cs="Times New Roman"/>
          <w:lang w:val="fr-FR" w:eastAsia="en-AU"/>
        </w:rPr>
        <w:t>Australia</w:t>
      </w:r>
      <w:proofErr w:type="spellEnd"/>
      <w:r w:rsidR="00D07E30" w:rsidRPr="006F47A5">
        <w:rPr>
          <w:rFonts w:eastAsiaTheme="minorHAnsi" w:cs="Times New Roman"/>
          <w:lang w:val="fr-FR" w:eastAsia="en-AU"/>
        </w:rPr>
        <w:t xml:space="preserve"> a lancé une version en direct </w:t>
      </w:r>
      <w:r w:rsidR="00896DCD">
        <w:rPr>
          <w:rFonts w:eastAsiaTheme="minorHAnsi" w:cs="Times New Roman"/>
          <w:lang w:val="fr-FR" w:eastAsia="en-AU"/>
        </w:rPr>
        <w:t>renvoyant aux</w:t>
      </w:r>
      <w:r w:rsidR="00D07E30" w:rsidRPr="006F47A5">
        <w:rPr>
          <w:rFonts w:eastAsiaTheme="minorHAnsi" w:cs="Times New Roman"/>
          <w:lang w:val="fr-FR" w:eastAsia="en-AU"/>
        </w:rPr>
        <w:t xml:space="preserve"> données les plus </w:t>
      </w:r>
      <w:r w:rsidR="00896DCD">
        <w:rPr>
          <w:rFonts w:eastAsiaTheme="minorHAnsi" w:cs="Times New Roman"/>
          <w:lang w:val="fr-FR" w:eastAsia="en-AU"/>
        </w:rPr>
        <w:t>récentes</w:t>
      </w:r>
      <w:r w:rsidR="00D07E30" w:rsidRPr="006F47A5">
        <w:rPr>
          <w:rFonts w:eastAsiaTheme="minorHAnsi" w:cs="Times New Roman"/>
          <w:lang w:val="fr-FR" w:eastAsia="en-AU"/>
        </w:rPr>
        <w:t xml:space="preserve"> et </w:t>
      </w:r>
      <w:r w:rsidR="00896DCD">
        <w:rPr>
          <w:rFonts w:eastAsiaTheme="minorHAnsi" w:cs="Times New Roman"/>
          <w:lang w:val="fr-FR" w:eastAsia="en-AU"/>
        </w:rPr>
        <w:t>conforme aux</w:t>
      </w:r>
      <w:r w:rsidR="00D07E30" w:rsidRPr="006F47A5">
        <w:rPr>
          <w:rFonts w:eastAsiaTheme="minorHAnsi" w:cs="Times New Roman"/>
          <w:lang w:val="fr-FR" w:eastAsia="en-AU"/>
        </w:rPr>
        <w:t xml:space="preserve"> exigences de la déclaration de politique </w:t>
      </w:r>
      <w:r w:rsidR="00896DCD">
        <w:rPr>
          <w:rFonts w:eastAsiaTheme="minorHAnsi" w:cs="Times New Roman"/>
          <w:lang w:val="fr-FR" w:eastAsia="en-AU"/>
        </w:rPr>
        <w:t xml:space="preserve">générale </w:t>
      </w:r>
      <w:r w:rsidR="00896DCD" w:rsidRPr="006F47A5">
        <w:rPr>
          <w:rFonts w:eastAsiaTheme="minorHAnsi" w:cs="Times New Roman"/>
          <w:lang w:val="fr-FR" w:eastAsia="en-AU"/>
        </w:rPr>
        <w:t xml:space="preserve">du Gouvernement australien </w:t>
      </w:r>
      <w:r w:rsidR="00D07E30" w:rsidRPr="006F47A5">
        <w:rPr>
          <w:rFonts w:eastAsiaTheme="minorHAnsi" w:cs="Times New Roman"/>
          <w:lang w:val="fr-FR" w:eastAsia="en-AU"/>
        </w:rPr>
        <w:t>sur les données publiques.</w:t>
      </w:r>
    </w:p>
    <w:p w:rsidR="00D07E30" w:rsidRPr="006F47A5" w:rsidRDefault="00D07E30" w:rsidP="008B7911">
      <w:pPr>
        <w:rPr>
          <w:lang w:val="fr-FR"/>
        </w:rPr>
      </w:pPr>
    </w:p>
    <w:p w:rsidR="00D07E30" w:rsidRPr="006F47A5" w:rsidRDefault="00BC5E55" w:rsidP="008B7911">
      <w:pPr>
        <w:rPr>
          <w:lang w:val="fr-FR"/>
        </w:rPr>
      </w:pPr>
      <w:r w:rsidRPr="006F47A5">
        <w:rPr>
          <w:i/>
          <w:lang w:val="fr-FR"/>
        </w:rPr>
        <w:t>Collaboration avec d</w:t>
      </w:r>
      <w:r w:rsidR="00FD5C7A">
        <w:rPr>
          <w:i/>
          <w:lang w:val="fr-FR"/>
        </w:rPr>
        <w:t>’</w:t>
      </w:r>
      <w:r w:rsidRPr="006F47A5">
        <w:rPr>
          <w:i/>
          <w:lang w:val="fr-FR"/>
        </w:rPr>
        <w:t>autres administrations</w:t>
      </w:r>
    </w:p>
    <w:p w:rsidR="00BC5E55" w:rsidRPr="006F47A5" w:rsidRDefault="00BC5E55" w:rsidP="008B7911">
      <w:pPr>
        <w:rPr>
          <w:lang w:val="fr-FR"/>
        </w:rPr>
      </w:pPr>
    </w:p>
    <w:p w:rsidR="00BC5E55" w:rsidRPr="006F47A5" w:rsidRDefault="00BC5E55" w:rsidP="008B7911">
      <w:pPr>
        <w:rPr>
          <w:lang w:val="fr-FR"/>
        </w:rPr>
      </w:pPr>
      <w:r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 xml:space="preserve"> est attaché à </w:t>
      </w:r>
      <w:r w:rsidR="0047706E" w:rsidRPr="006F47A5">
        <w:rPr>
          <w:lang w:val="fr-FR"/>
        </w:rPr>
        <w:t>s</w:t>
      </w:r>
      <w:r w:rsidR="00FD5C7A">
        <w:rPr>
          <w:lang w:val="fr-FR"/>
        </w:rPr>
        <w:t>’</w:t>
      </w:r>
      <w:r w:rsidR="0047706E" w:rsidRPr="006F47A5">
        <w:rPr>
          <w:lang w:val="fr-FR"/>
        </w:rPr>
        <w:t>améliorer constamment</w:t>
      </w:r>
      <w:r w:rsidRPr="006F47A5">
        <w:rPr>
          <w:lang w:val="fr-FR"/>
        </w:rPr>
        <w:t xml:space="preserve"> et continue de chercher des possibilités de collaboration </w:t>
      </w:r>
      <w:r w:rsidR="0047706E" w:rsidRPr="006F47A5">
        <w:rPr>
          <w:lang w:val="fr-FR"/>
        </w:rPr>
        <w:t xml:space="preserve">avec les administrations internationales </w:t>
      </w:r>
      <w:r w:rsidRPr="006F47A5">
        <w:rPr>
          <w:lang w:val="fr-FR"/>
        </w:rPr>
        <w:t xml:space="preserve">pour </w:t>
      </w:r>
      <w:r w:rsidR="00E73E97" w:rsidRPr="006F47A5">
        <w:rPr>
          <w:lang w:val="fr-FR"/>
        </w:rPr>
        <w:t>appliquer des pratiques recommandé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Ac</w:t>
      </w:r>
      <w:r w:rsidRPr="006F47A5">
        <w:rPr>
          <w:lang w:val="fr-FR"/>
        </w:rPr>
        <w:t xml:space="preserve">tuellement, les initiatives </w:t>
      </w:r>
      <w:r w:rsidR="00896DCD">
        <w:rPr>
          <w:lang w:val="fr-FR"/>
        </w:rPr>
        <w:t>officielles</w:t>
      </w:r>
      <w:r w:rsidRPr="006F47A5">
        <w:rPr>
          <w:lang w:val="fr-FR"/>
        </w:rPr>
        <w:t xml:space="preserve"> dans ce domaine sont les suivantes</w:t>
      </w:r>
      <w:r w:rsidR="00FD5C7A">
        <w:rPr>
          <w:lang w:val="fr-FR"/>
        </w:rPr>
        <w:t> :</w:t>
      </w:r>
    </w:p>
    <w:p w:rsidR="00BC5E55" w:rsidRPr="006F47A5" w:rsidRDefault="00BC5E55" w:rsidP="008B7911">
      <w:pPr>
        <w:rPr>
          <w:lang w:val="fr-FR"/>
        </w:rPr>
      </w:pPr>
    </w:p>
    <w:p w:rsidR="00BC5E55" w:rsidRPr="006F47A5" w:rsidRDefault="00BC5E55" w:rsidP="008B7911">
      <w:pPr>
        <w:rPr>
          <w:lang w:val="fr-FR"/>
        </w:rPr>
      </w:pPr>
      <w:r w:rsidRPr="006F47A5">
        <w:rPr>
          <w:lang w:val="fr-FR"/>
        </w:rPr>
        <w:t>Initiatives du groupe de Vancouver</w:t>
      </w:r>
      <w:r w:rsidR="00FD5C7A">
        <w:rPr>
          <w:lang w:val="fr-FR"/>
        </w:rPr>
        <w:t> :</w:t>
      </w:r>
    </w:p>
    <w:p w:rsidR="00BC5E55" w:rsidRPr="006F47A5" w:rsidRDefault="00BC5E55" w:rsidP="008B7911">
      <w:pPr>
        <w:rPr>
          <w:lang w:val="fr-FR"/>
        </w:rPr>
      </w:pPr>
    </w:p>
    <w:p w:rsidR="00BC5E55" w:rsidRDefault="00BC5E55" w:rsidP="008B7911">
      <w:pPr>
        <w:rPr>
          <w:lang w:val="fr-FR"/>
        </w:rPr>
      </w:pPr>
      <w:r w:rsidRPr="006F47A5">
        <w:rPr>
          <w:lang w:val="fr-FR"/>
        </w:rPr>
        <w:t xml:space="preserve">Le groupe de Vancouver </w:t>
      </w:r>
      <w:r w:rsidR="002A4922" w:rsidRPr="006F47A5">
        <w:rPr>
          <w:lang w:val="fr-FR"/>
        </w:rPr>
        <w:t>s</w:t>
      </w:r>
      <w:r w:rsidR="00FD5C7A">
        <w:rPr>
          <w:lang w:val="fr-FR"/>
        </w:rPr>
        <w:t>’</w:t>
      </w:r>
      <w:r w:rsidR="002A4922" w:rsidRPr="006F47A5">
        <w:rPr>
          <w:lang w:val="fr-FR"/>
        </w:rPr>
        <w:t xml:space="preserve">est formé </w:t>
      </w:r>
      <w:r w:rsidR="008F1232" w:rsidRPr="006F47A5">
        <w:rPr>
          <w:lang w:val="fr-FR"/>
        </w:rPr>
        <w:t>en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2008</w:t>
      </w:r>
      <w:r w:rsidR="002A4922" w:rsidRPr="006F47A5">
        <w:rPr>
          <w:lang w:val="fr-FR"/>
        </w:rPr>
        <w:t xml:space="preserve"> et se compose des offices de propriété internationale de l</w:t>
      </w:r>
      <w:r w:rsidR="00FD5C7A">
        <w:rPr>
          <w:lang w:val="fr-FR"/>
        </w:rPr>
        <w:t>’</w:t>
      </w:r>
      <w:r w:rsidR="002A4922" w:rsidRPr="006F47A5">
        <w:rPr>
          <w:lang w:val="fr-FR"/>
        </w:rPr>
        <w:t>Australie, du Canada et du Royaume</w:t>
      </w:r>
      <w:r w:rsidR="00EE5220">
        <w:rPr>
          <w:lang w:val="fr-FR"/>
        </w:rPr>
        <w:noBreakHyphen/>
      </w:r>
      <w:r w:rsidR="002A4922" w:rsidRPr="006F47A5">
        <w:rPr>
          <w:lang w:val="fr-FR"/>
        </w:rPr>
        <w:t>U</w:t>
      </w:r>
      <w:r w:rsidR="00CE00F9" w:rsidRPr="006F47A5">
        <w:rPr>
          <w:lang w:val="fr-FR"/>
        </w:rPr>
        <w:t>ni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Il</w:t>
      </w:r>
      <w:r w:rsidR="002A4922" w:rsidRPr="006F47A5">
        <w:rPr>
          <w:lang w:val="fr-FR"/>
        </w:rPr>
        <w:t xml:space="preserve"> a pour but de</w:t>
      </w:r>
      <w:r w:rsidR="00FD5C7A">
        <w:rPr>
          <w:lang w:val="fr-FR"/>
        </w:rPr>
        <w:t> :</w:t>
      </w:r>
    </w:p>
    <w:p w:rsidR="00CE00F9" w:rsidRPr="006F47A5" w:rsidRDefault="00CE00F9" w:rsidP="008B7911">
      <w:pPr>
        <w:rPr>
          <w:lang w:val="fr-FR"/>
        </w:rPr>
      </w:pPr>
    </w:p>
    <w:p w:rsidR="008F1232" w:rsidRDefault="002A4922" w:rsidP="008B7911">
      <w:pPr>
        <w:pStyle w:val="ListParagraph"/>
        <w:numPr>
          <w:ilvl w:val="0"/>
          <w:numId w:val="13"/>
        </w:numPr>
        <w:ind w:left="1134" w:hanging="567"/>
        <w:rPr>
          <w:lang w:val="fr-FR"/>
        </w:rPr>
      </w:pPr>
      <w:r w:rsidRPr="006F47A5">
        <w:rPr>
          <w:lang w:val="fr-FR"/>
        </w:rPr>
        <w:t xml:space="preserve">partager des informations et des </w:t>
      </w:r>
      <w:r w:rsidR="00896DCD">
        <w:rPr>
          <w:lang w:val="fr-FR"/>
        </w:rPr>
        <w:t>données d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expérience sur des questions </w:t>
      </w:r>
      <w:r w:rsidR="00856BAA" w:rsidRPr="006F47A5">
        <w:rPr>
          <w:lang w:val="fr-FR"/>
        </w:rPr>
        <w:t xml:space="preserve">et domaines communs, </w:t>
      </w:r>
      <w:r w:rsidR="0047706E" w:rsidRPr="006F47A5">
        <w:rPr>
          <w:lang w:val="fr-FR"/>
        </w:rPr>
        <w:t xml:space="preserve">utiles </w:t>
      </w:r>
      <w:r w:rsidR="00856BAA" w:rsidRPr="006F47A5">
        <w:rPr>
          <w:lang w:val="fr-FR"/>
        </w:rPr>
        <w:t>pour gérer un office national de propriété intellectuelle de taille moyenne</w:t>
      </w:r>
      <w:r w:rsidR="004F31F2">
        <w:rPr>
          <w:lang w:val="fr-FR"/>
        </w:rPr>
        <w:t>;  et</w:t>
      </w:r>
    </w:p>
    <w:p w:rsidR="00856BAA" w:rsidRPr="006F47A5" w:rsidRDefault="00856BAA" w:rsidP="008B7911">
      <w:pPr>
        <w:pStyle w:val="ListParagraph"/>
        <w:numPr>
          <w:ilvl w:val="0"/>
          <w:numId w:val="13"/>
        </w:numPr>
        <w:ind w:left="1134" w:hanging="567"/>
        <w:rPr>
          <w:lang w:val="fr-FR"/>
        </w:rPr>
      </w:pPr>
      <w:r w:rsidRPr="006F47A5">
        <w:rPr>
          <w:lang w:val="fr-FR"/>
        </w:rPr>
        <w:lastRenderedPageBreak/>
        <w:t xml:space="preserve">contribuer à une approche multilatérale plus efficace </w:t>
      </w:r>
      <w:r w:rsidR="00896DCD">
        <w:rPr>
          <w:lang w:val="fr-FR"/>
        </w:rPr>
        <w:t>concernant le</w:t>
      </w:r>
      <w:r w:rsidRPr="006F47A5">
        <w:rPr>
          <w:lang w:val="fr-FR"/>
        </w:rPr>
        <w:t xml:space="preserve"> partager </w:t>
      </w:r>
      <w:r w:rsidR="00896DCD">
        <w:rPr>
          <w:lang w:val="fr-FR"/>
        </w:rPr>
        <w:t>des tâches, en accord avec</w:t>
      </w:r>
      <w:r w:rsidRPr="006F47A5">
        <w:rPr>
          <w:lang w:val="fr-FR"/>
        </w:rPr>
        <w:t xml:space="preserve"> les principes du Traité de coopération en matière de brevets.</w:t>
      </w:r>
    </w:p>
    <w:p w:rsidR="00856BAA" w:rsidRPr="006F47A5" w:rsidRDefault="00856BAA" w:rsidP="008B7911">
      <w:pPr>
        <w:rPr>
          <w:lang w:val="fr-FR"/>
        </w:rPr>
      </w:pPr>
    </w:p>
    <w:p w:rsidR="00856BAA" w:rsidRDefault="00856BAA" w:rsidP="008B7911">
      <w:pPr>
        <w:rPr>
          <w:lang w:val="fr-FR"/>
        </w:rPr>
      </w:pPr>
      <w:r w:rsidRPr="006F47A5">
        <w:rPr>
          <w:lang w:val="fr-FR"/>
        </w:rPr>
        <w:t>Le groupe (ou les initiatives) de Vancouver se concentre sur quatre</w:t>
      </w:r>
      <w:r w:rsidR="00206805">
        <w:rPr>
          <w:lang w:val="fr-FR"/>
        </w:rPr>
        <w:t> </w:t>
      </w:r>
      <w:r w:rsidRPr="006F47A5">
        <w:rPr>
          <w:lang w:val="fr-FR"/>
        </w:rPr>
        <w:t>domaines et, pour chaque initiative, un office principal a été désigné pour coordonner la planification et les activités.</w:t>
      </w:r>
    </w:p>
    <w:p w:rsidR="00CE00F9" w:rsidRPr="006F47A5" w:rsidRDefault="00CE00F9" w:rsidP="008B7911">
      <w:pPr>
        <w:rPr>
          <w:lang w:val="fr-FR"/>
        </w:rPr>
      </w:pPr>
    </w:p>
    <w:p w:rsidR="00856BAA" w:rsidRPr="006F47A5" w:rsidRDefault="00856BAA" w:rsidP="008B7911">
      <w:pPr>
        <w:rPr>
          <w:lang w:val="fr-FR"/>
        </w:rPr>
      </w:pPr>
      <w:r w:rsidRPr="006F47A5">
        <w:rPr>
          <w:lang w:val="fr-FR"/>
        </w:rPr>
        <w:t>1</w:t>
      </w:r>
      <w:r w:rsidR="004F31F2">
        <w:rPr>
          <w:lang w:val="fr-FR"/>
        </w:rPr>
        <w:t>.</w:t>
      </w:r>
      <w:r w:rsidR="004F31F2">
        <w:rPr>
          <w:lang w:val="fr-FR"/>
        </w:rPr>
        <w:tab/>
      </w:r>
      <w:r w:rsidRPr="006F47A5">
        <w:rPr>
          <w:lang w:val="fr-FR"/>
        </w:rPr>
        <w:t>Collaboration mutuelle (par 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>)</w:t>
      </w:r>
    </w:p>
    <w:p w:rsidR="00856BAA" w:rsidRPr="006F47A5" w:rsidRDefault="00856BAA" w:rsidP="008B7911">
      <w:pPr>
        <w:rPr>
          <w:lang w:val="fr-FR"/>
        </w:rPr>
      </w:pPr>
      <w:r w:rsidRPr="006F47A5">
        <w:rPr>
          <w:lang w:val="fr-FR"/>
        </w:rPr>
        <w:t>2</w:t>
      </w:r>
      <w:r w:rsidR="004F31F2">
        <w:rPr>
          <w:lang w:val="fr-FR"/>
        </w:rPr>
        <w:t>.</w:t>
      </w:r>
      <w:r w:rsidR="004F31F2">
        <w:rPr>
          <w:lang w:val="fr-FR"/>
        </w:rPr>
        <w:tab/>
      </w:r>
      <w:r w:rsidR="00896DCD">
        <w:rPr>
          <w:lang w:val="fr-FR"/>
        </w:rPr>
        <w:t>Notification</w:t>
      </w:r>
      <w:r w:rsidRPr="006F47A5">
        <w:rPr>
          <w:lang w:val="fr-FR"/>
        </w:rPr>
        <w:t xml:space="preserve"> de</w:t>
      </w:r>
      <w:r w:rsidR="00896DCD">
        <w:rPr>
          <w:lang w:val="fr-FR"/>
        </w:rPr>
        <w:t>s</w:t>
      </w:r>
      <w:r w:rsidRPr="006F47A5">
        <w:rPr>
          <w:lang w:val="fr-FR"/>
        </w:rPr>
        <w:t xml:space="preserve"> résultats </w:t>
      </w:r>
      <w:r w:rsidR="00E73E97" w:rsidRPr="006F47A5">
        <w:rPr>
          <w:lang w:val="fr-FR"/>
        </w:rPr>
        <w:t>(OPIC)</w:t>
      </w:r>
    </w:p>
    <w:p w:rsidR="00E73E97" w:rsidRPr="006F47A5" w:rsidRDefault="00E73E97" w:rsidP="008B7911">
      <w:pPr>
        <w:rPr>
          <w:lang w:val="fr-FR"/>
        </w:rPr>
      </w:pPr>
      <w:r w:rsidRPr="006F47A5">
        <w:rPr>
          <w:lang w:val="fr-FR"/>
        </w:rPr>
        <w:t>3</w:t>
      </w:r>
      <w:r w:rsidR="004F31F2">
        <w:rPr>
          <w:lang w:val="fr-FR"/>
        </w:rPr>
        <w:t>.</w:t>
      </w:r>
      <w:r w:rsidR="004F31F2">
        <w:rPr>
          <w:lang w:val="fr-FR"/>
        </w:rPr>
        <w:tab/>
      </w:r>
      <w:r w:rsidRPr="006F47A5">
        <w:rPr>
          <w:lang w:val="fr-FR"/>
        </w:rPr>
        <w:t>Proc</w:t>
      </w:r>
      <w:r w:rsidR="00896DCD">
        <w:rPr>
          <w:lang w:val="fr-FR"/>
        </w:rPr>
        <w:t>édure</w:t>
      </w:r>
      <w:r w:rsidRPr="006F47A5">
        <w:rPr>
          <w:lang w:val="fr-FR"/>
        </w:rPr>
        <w:t>s</w:t>
      </w:r>
      <w:r w:rsidR="00896DCD">
        <w:rPr>
          <w:lang w:val="fr-FR"/>
        </w:rPr>
        <w:t xml:space="preserve"> liées aux</w:t>
      </w:r>
      <w:r w:rsidRPr="006F47A5">
        <w:rPr>
          <w:lang w:val="fr-FR"/>
        </w:rPr>
        <w:t xml:space="preserve"> marques (IP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>)</w:t>
      </w:r>
    </w:p>
    <w:p w:rsidR="00E73E97" w:rsidRPr="006F47A5" w:rsidRDefault="00E73E97" w:rsidP="008B7911">
      <w:pPr>
        <w:rPr>
          <w:lang w:val="fr-FR"/>
        </w:rPr>
      </w:pPr>
      <w:r w:rsidRPr="006F47A5">
        <w:rPr>
          <w:lang w:val="fr-FR"/>
        </w:rPr>
        <w:t>4</w:t>
      </w:r>
      <w:r w:rsidR="004F31F2">
        <w:rPr>
          <w:lang w:val="fr-FR"/>
        </w:rPr>
        <w:t>.</w:t>
      </w:r>
      <w:r w:rsidR="004F31F2">
        <w:rPr>
          <w:lang w:val="fr-FR"/>
        </w:rPr>
        <w:tab/>
      </w:r>
      <w:r w:rsidRPr="006F47A5">
        <w:rPr>
          <w:lang w:val="fr-FR"/>
        </w:rPr>
        <w:t>Rech</w:t>
      </w:r>
      <w:r w:rsidR="00AA0CFE" w:rsidRPr="006F47A5">
        <w:rPr>
          <w:lang w:val="fr-FR"/>
        </w:rPr>
        <w:t>erche économique</w:t>
      </w:r>
      <w:r w:rsidR="00896DCD">
        <w:rPr>
          <w:lang w:val="fr-FR"/>
        </w:rPr>
        <w:t xml:space="preserve"> (UK</w:t>
      </w:r>
      <w:r w:rsidR="0047706E" w:rsidRPr="006F47A5">
        <w:rPr>
          <w:lang w:val="fr-FR"/>
        </w:rPr>
        <w:t>IPO)</w:t>
      </w:r>
    </w:p>
    <w:p w:rsidR="00AA0CFE" w:rsidRPr="006F47A5" w:rsidRDefault="00AA0CFE" w:rsidP="008B7911">
      <w:pPr>
        <w:rPr>
          <w:lang w:val="fr-FR"/>
        </w:rPr>
      </w:pPr>
    </w:p>
    <w:p w:rsidR="00AA0CFE" w:rsidRPr="006F47A5" w:rsidRDefault="00AA0CFE" w:rsidP="008B7911">
      <w:pPr>
        <w:rPr>
          <w:lang w:val="fr-FR"/>
        </w:rPr>
      </w:pPr>
      <w:r w:rsidRPr="006F47A5">
        <w:rPr>
          <w:lang w:val="fr-FR"/>
        </w:rPr>
        <w:t xml:space="preserve">Programme pilote GPPH (Global Patent </w:t>
      </w:r>
      <w:proofErr w:type="spellStart"/>
      <w:r w:rsidRPr="006F47A5">
        <w:rPr>
          <w:lang w:val="fr-FR"/>
        </w:rPr>
        <w:t>Prosecution</w:t>
      </w:r>
      <w:proofErr w:type="spellEnd"/>
      <w:r w:rsidRPr="006F47A5">
        <w:rPr>
          <w:lang w:val="fr-FR"/>
        </w:rPr>
        <w:t xml:space="preserve"> </w:t>
      </w:r>
      <w:proofErr w:type="spellStart"/>
      <w:r w:rsidRPr="006F47A5">
        <w:rPr>
          <w:lang w:val="fr-FR"/>
        </w:rPr>
        <w:t>Highway</w:t>
      </w:r>
      <w:proofErr w:type="spellEnd"/>
      <w:r w:rsidRPr="006F47A5">
        <w:rPr>
          <w:lang w:val="fr-FR"/>
        </w:rPr>
        <w:t>)</w:t>
      </w:r>
    </w:p>
    <w:p w:rsidR="00490A99" w:rsidRPr="006F47A5" w:rsidRDefault="00490A99" w:rsidP="008B7911">
      <w:pPr>
        <w:rPr>
          <w:lang w:val="fr-FR"/>
        </w:rPr>
      </w:pPr>
    </w:p>
    <w:p w:rsidR="008F1232" w:rsidRDefault="00AA0CFE" w:rsidP="008B7911">
      <w:pPr>
        <w:rPr>
          <w:lang w:val="fr-FR"/>
        </w:rPr>
      </w:pPr>
      <w:r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="008E6A23" w:rsidRPr="006F47A5">
        <w:rPr>
          <w:lang w:val="fr-FR"/>
        </w:rPr>
        <w:t xml:space="preserve"> participe au programme GPPH, lequel es</w:t>
      </w:r>
      <w:r w:rsidR="0047706E" w:rsidRPr="006F47A5">
        <w:rPr>
          <w:lang w:val="fr-FR"/>
        </w:rPr>
        <w:t xml:space="preserve">t un </w:t>
      </w:r>
      <w:r w:rsidR="000E2A65" w:rsidRPr="006F47A5">
        <w:rPr>
          <w:lang w:val="fr-FR"/>
        </w:rPr>
        <w:t>accord</w:t>
      </w:r>
      <w:r w:rsidR="0047706E" w:rsidRPr="006F47A5">
        <w:rPr>
          <w:lang w:val="fr-FR"/>
        </w:rPr>
        <w:t xml:space="preserve"> passé entre 22 </w:t>
      </w:r>
      <w:r w:rsidR="008E6A23" w:rsidRPr="006F47A5">
        <w:rPr>
          <w:lang w:val="fr-FR"/>
        </w:rPr>
        <w:t>offices de propriété intellectuel</w:t>
      </w:r>
      <w:r w:rsidR="00CE00F9" w:rsidRPr="006F47A5">
        <w:rPr>
          <w:lang w:val="fr-FR"/>
        </w:rPr>
        <w:t>le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Da</w:t>
      </w:r>
      <w:r w:rsidR="008E6A23" w:rsidRPr="006F47A5">
        <w:rPr>
          <w:lang w:val="fr-FR"/>
        </w:rPr>
        <w:t xml:space="preserve">ns le cadre de ce programme, </w:t>
      </w:r>
      <w:r w:rsidR="00317134">
        <w:rPr>
          <w:lang w:val="fr-FR"/>
        </w:rPr>
        <w:t>un processus</w:t>
      </w:r>
      <w:r w:rsidR="00896DCD">
        <w:rPr>
          <w:lang w:val="fr-FR"/>
        </w:rPr>
        <w:t xml:space="preserve"> </w:t>
      </w:r>
      <w:r w:rsidR="008E6A23" w:rsidRPr="006F47A5">
        <w:rPr>
          <w:lang w:val="fr-FR"/>
        </w:rPr>
        <w:t xml:space="preserve">de traitement accéléré des demandes de brevet est </w:t>
      </w:r>
      <w:r w:rsidR="00317134">
        <w:rPr>
          <w:lang w:val="fr-FR"/>
        </w:rPr>
        <w:t>proposé</w:t>
      </w:r>
      <w:r w:rsidR="008E6A23" w:rsidRPr="006F47A5">
        <w:rPr>
          <w:lang w:val="fr-FR"/>
        </w:rPr>
        <w:t xml:space="preserve"> dans tous les offices participan</w:t>
      </w:r>
      <w:r w:rsidR="00CE00F9" w:rsidRPr="006F47A5">
        <w:rPr>
          <w:lang w:val="fr-FR"/>
        </w:rPr>
        <w:t>ts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="0047706E" w:rsidRPr="006F47A5">
        <w:rPr>
          <w:lang w:val="fr-FR"/>
        </w:rPr>
        <w:t xml:space="preserve"> processus s</w:t>
      </w:r>
      <w:r w:rsidR="00FD5C7A">
        <w:rPr>
          <w:lang w:val="fr-FR"/>
        </w:rPr>
        <w:t>’</w:t>
      </w:r>
      <w:r w:rsidR="0047706E" w:rsidRPr="006F47A5">
        <w:rPr>
          <w:lang w:val="fr-FR"/>
        </w:rPr>
        <w:t>appuie sur l</w:t>
      </w:r>
      <w:r w:rsidR="00FD5C7A">
        <w:rPr>
          <w:lang w:val="fr-FR"/>
        </w:rPr>
        <w:t>’</w:t>
      </w:r>
      <w:r w:rsidR="008E6A23" w:rsidRPr="006F47A5">
        <w:rPr>
          <w:lang w:val="fr-FR"/>
        </w:rPr>
        <w:t>évaluation positive d</w:t>
      </w:r>
      <w:r w:rsidR="00FD5C7A">
        <w:rPr>
          <w:lang w:val="fr-FR"/>
        </w:rPr>
        <w:t>’</w:t>
      </w:r>
      <w:r w:rsidR="008E6A23" w:rsidRPr="006F47A5">
        <w:rPr>
          <w:lang w:val="fr-FR"/>
        </w:rPr>
        <w:t xml:space="preserve">au moins une </w:t>
      </w:r>
      <w:r w:rsidR="00896DCD">
        <w:rPr>
          <w:lang w:val="fr-FR"/>
        </w:rPr>
        <w:t>revendication</w:t>
      </w:r>
      <w:r w:rsidR="008E6A23" w:rsidRPr="006F47A5">
        <w:rPr>
          <w:lang w:val="fr-FR"/>
        </w:rPr>
        <w:t xml:space="preserve"> de brevet pour une même invention </w:t>
      </w:r>
      <w:r w:rsidR="0047706E" w:rsidRPr="006F47A5">
        <w:rPr>
          <w:lang w:val="fr-FR"/>
        </w:rPr>
        <w:t>déposée</w:t>
      </w:r>
      <w:r w:rsidR="008E6A23" w:rsidRPr="006F47A5">
        <w:rPr>
          <w:lang w:val="fr-FR"/>
        </w:rPr>
        <w:t xml:space="preserve"> dans un autre office participa</w:t>
      </w:r>
      <w:r w:rsidR="00CE00F9" w:rsidRPr="006F47A5">
        <w:rPr>
          <w:lang w:val="fr-FR"/>
        </w:rPr>
        <w:t>nt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Le</w:t>
      </w:r>
      <w:r w:rsidR="00977FDA" w:rsidRPr="006F47A5">
        <w:rPr>
          <w:lang w:val="fr-FR"/>
        </w:rPr>
        <w:t xml:space="preserve"> programme GPPH utilise le même accord et les mêmes </w:t>
      </w:r>
      <w:r w:rsidR="00896DCD">
        <w:rPr>
          <w:lang w:val="fr-FR"/>
        </w:rPr>
        <w:t>conditions de</w:t>
      </w:r>
      <w:r w:rsidR="00977FDA" w:rsidRPr="006F47A5">
        <w:rPr>
          <w:lang w:val="fr-FR"/>
        </w:rPr>
        <w:t xml:space="preserve"> forme dans chaque office, ce qui simplifie le processus pour les déposants</w:t>
      </w:r>
      <w:r w:rsidR="00C00099" w:rsidRPr="006F47A5">
        <w:rPr>
          <w:lang w:val="fr-FR"/>
        </w:rPr>
        <w:t xml:space="preserve">.  </w:t>
      </w:r>
      <w:r w:rsidR="00977FDA"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="00977FDA" w:rsidRPr="006F47A5">
        <w:rPr>
          <w:lang w:val="fr-FR"/>
        </w:rPr>
        <w:t>Australia</w:t>
      </w:r>
      <w:proofErr w:type="spellEnd"/>
      <w:r w:rsidR="00977FDA" w:rsidRPr="006F47A5">
        <w:rPr>
          <w:lang w:val="fr-FR"/>
        </w:rPr>
        <w:t xml:space="preserve"> particip</w:t>
      </w:r>
      <w:r w:rsidR="00896DCD">
        <w:rPr>
          <w:lang w:val="fr-FR"/>
        </w:rPr>
        <w:t>e</w:t>
      </w:r>
      <w:r w:rsidR="00977FDA" w:rsidRPr="006F47A5">
        <w:rPr>
          <w:lang w:val="fr-FR"/>
        </w:rPr>
        <w:t xml:space="preserve"> au programme pilote depuis son lancement en </w:t>
      </w:r>
      <w:r w:rsidR="008F1232" w:rsidRPr="006F47A5">
        <w:rPr>
          <w:lang w:val="fr-FR"/>
        </w:rPr>
        <w:t>janvier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</w:t>
      </w:r>
      <w:r w:rsidR="00977FDA" w:rsidRPr="006F47A5">
        <w:rPr>
          <w:lang w:val="fr-FR"/>
        </w:rPr>
        <w:t xml:space="preserve">14 et </w:t>
      </w:r>
      <w:r w:rsidR="00896DCD">
        <w:rPr>
          <w:lang w:val="fr-FR"/>
        </w:rPr>
        <w:t>connaît</w:t>
      </w:r>
      <w:r w:rsidR="00977FDA" w:rsidRPr="006F47A5">
        <w:rPr>
          <w:lang w:val="fr-FR"/>
        </w:rPr>
        <w:t xml:space="preserve"> une croissance forte et </w:t>
      </w:r>
      <w:r w:rsidR="0047706E" w:rsidRPr="006F47A5">
        <w:rPr>
          <w:lang w:val="fr-FR"/>
        </w:rPr>
        <w:t>régulière</w:t>
      </w:r>
      <w:r w:rsidR="00977FDA" w:rsidRPr="006F47A5">
        <w:rPr>
          <w:lang w:val="fr-FR"/>
        </w:rPr>
        <w:t xml:space="preserve"> du nombre de demandes GPPH </w:t>
      </w:r>
      <w:r w:rsidR="0047706E" w:rsidRPr="006F47A5">
        <w:rPr>
          <w:lang w:val="fr-FR"/>
        </w:rPr>
        <w:t>déposées</w:t>
      </w:r>
      <w:r w:rsidR="00C00099" w:rsidRPr="006F47A5">
        <w:rPr>
          <w:lang w:val="fr-FR"/>
        </w:rPr>
        <w:t>.</w:t>
      </w:r>
    </w:p>
    <w:p w:rsidR="00977FDA" w:rsidRPr="006F47A5" w:rsidRDefault="00977FDA" w:rsidP="008B7911">
      <w:pPr>
        <w:rPr>
          <w:lang w:val="fr-FR"/>
        </w:rPr>
      </w:pPr>
    </w:p>
    <w:p w:rsidR="00977FDA" w:rsidRPr="006F47A5" w:rsidRDefault="00977FDA" w:rsidP="008B7911">
      <w:pPr>
        <w:rPr>
          <w:lang w:val="fr-FR"/>
        </w:rPr>
      </w:pPr>
      <w:r w:rsidRPr="006F47A5">
        <w:rPr>
          <w:lang w:val="fr-FR"/>
        </w:rPr>
        <w:t>Mémorandum d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accord avec </w:t>
      </w:r>
      <w:r w:rsidR="00FF3144" w:rsidRPr="006F47A5">
        <w:rPr>
          <w:lang w:val="fr-FR"/>
        </w:rPr>
        <w:t>l</w:t>
      </w:r>
      <w:r w:rsidR="00FD5C7A">
        <w:rPr>
          <w:lang w:val="fr-FR"/>
        </w:rPr>
        <w:t>’</w:t>
      </w:r>
      <w:r w:rsidR="00FF3144" w:rsidRPr="006F47A5">
        <w:rPr>
          <w:lang w:val="fr-FR"/>
        </w:rPr>
        <w:t>OEB</w:t>
      </w:r>
    </w:p>
    <w:p w:rsidR="00AA0CFE" w:rsidRPr="006F47A5" w:rsidRDefault="00AA0CFE" w:rsidP="008B7911">
      <w:pPr>
        <w:rPr>
          <w:lang w:val="fr-FR"/>
        </w:rPr>
      </w:pPr>
    </w:p>
    <w:p w:rsidR="008F1232" w:rsidRDefault="00977FDA" w:rsidP="008B7911">
      <w:pPr>
        <w:rPr>
          <w:lang w:val="fr-FR"/>
        </w:rPr>
      </w:pPr>
      <w:r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 xml:space="preserve"> et l</w:t>
      </w:r>
      <w:r w:rsidR="00FD5C7A">
        <w:rPr>
          <w:lang w:val="fr-FR"/>
        </w:rPr>
        <w:t>’</w:t>
      </w:r>
      <w:r w:rsidRPr="006F47A5">
        <w:rPr>
          <w:lang w:val="fr-FR"/>
        </w:rPr>
        <w:t>Office européen des brevets (OEB) ont signé un mémorandum d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accord en marge des </w:t>
      </w:r>
      <w:r w:rsidR="00896DCD">
        <w:rPr>
          <w:lang w:val="fr-FR"/>
        </w:rPr>
        <w:t>a</w:t>
      </w:r>
      <w:r w:rsidRPr="006F47A5">
        <w:rPr>
          <w:lang w:val="fr-FR"/>
        </w:rPr>
        <w:t xml:space="preserve">ssemblées </w:t>
      </w:r>
      <w:r w:rsidR="00896DCD">
        <w:rPr>
          <w:lang w:val="fr-FR"/>
        </w:rPr>
        <w:t>des États membres</w:t>
      </w:r>
      <w:r w:rsidRPr="006F47A5">
        <w:rPr>
          <w:lang w:val="fr-FR"/>
        </w:rPr>
        <w:t xml:space="preserve"> de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OMPI </w:t>
      </w:r>
      <w:r w:rsidR="008F1232" w:rsidRPr="006F47A5">
        <w:rPr>
          <w:lang w:val="fr-FR"/>
        </w:rPr>
        <w:t>de</w:t>
      </w:r>
      <w:r w:rsidR="008F1232">
        <w:rPr>
          <w:lang w:val="fr-FR"/>
        </w:rPr>
        <w:t> </w:t>
      </w:r>
      <w:r w:rsidR="008F1232" w:rsidRPr="006F47A5">
        <w:rPr>
          <w:lang w:val="fr-FR"/>
        </w:rPr>
        <w:t>2015</w:t>
      </w:r>
      <w:r w:rsidR="00C00099" w:rsidRPr="006F47A5">
        <w:rPr>
          <w:lang w:val="fr-FR"/>
        </w:rPr>
        <w:t xml:space="preserve">.  </w:t>
      </w:r>
      <w:r w:rsidRPr="006F47A5">
        <w:rPr>
          <w:lang w:val="fr-FR"/>
        </w:rPr>
        <w:t xml:space="preserve">Les domaines de coopération sont vastes et comprennent un accès mutuel aux informations </w:t>
      </w:r>
      <w:r w:rsidR="00896DCD">
        <w:rPr>
          <w:lang w:val="fr-FR"/>
        </w:rPr>
        <w:t xml:space="preserve">en matière de </w:t>
      </w:r>
      <w:r w:rsidRPr="006F47A5">
        <w:rPr>
          <w:lang w:val="fr-FR"/>
        </w:rPr>
        <w:t>brevets ainsi que l</w:t>
      </w:r>
      <w:r w:rsidR="00FD5C7A">
        <w:rPr>
          <w:lang w:val="fr-FR"/>
        </w:rPr>
        <w:t>’</w:t>
      </w:r>
      <w:r w:rsidRPr="006F47A5">
        <w:rPr>
          <w:lang w:val="fr-FR"/>
        </w:rPr>
        <w:t>établissement d</w:t>
      </w:r>
      <w:r w:rsidR="00FD5C7A">
        <w:rPr>
          <w:lang w:val="fr-FR"/>
        </w:rPr>
        <w:t>’</w:t>
      </w:r>
      <w:r w:rsidRPr="006F47A5">
        <w:rPr>
          <w:lang w:val="fr-FR"/>
        </w:rPr>
        <w:t>un programme pilote GPPH entre les deux</w:t>
      </w:r>
      <w:r w:rsidR="00206805">
        <w:rPr>
          <w:lang w:val="fr-FR"/>
        </w:rPr>
        <w:t> </w:t>
      </w:r>
      <w:r w:rsidRPr="006F47A5">
        <w:rPr>
          <w:lang w:val="fr-FR"/>
        </w:rPr>
        <w:t>offic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Ce</w:t>
      </w:r>
      <w:r w:rsidRPr="006F47A5">
        <w:rPr>
          <w:lang w:val="fr-FR"/>
        </w:rPr>
        <w:t>s activités ont pour but d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améliorer le système mondial de propriété intellectuelle pour </w:t>
      </w:r>
      <w:r w:rsidR="0047706E" w:rsidRPr="006F47A5">
        <w:rPr>
          <w:lang w:val="fr-FR"/>
        </w:rPr>
        <w:t>aider</w:t>
      </w:r>
      <w:r w:rsidRPr="006F47A5">
        <w:rPr>
          <w:lang w:val="fr-FR"/>
        </w:rPr>
        <w:t xml:space="preserve"> les déposants et encourager l</w:t>
      </w:r>
      <w:r w:rsidR="00FD5C7A">
        <w:rPr>
          <w:lang w:val="fr-FR"/>
        </w:rPr>
        <w:t>’</w:t>
      </w:r>
      <w:r w:rsidRPr="006F47A5">
        <w:rPr>
          <w:lang w:val="fr-FR"/>
        </w:rPr>
        <w:t>innovati</w:t>
      </w:r>
      <w:r w:rsidR="00CE00F9" w:rsidRPr="006F47A5">
        <w:rPr>
          <w:lang w:val="fr-FR"/>
        </w:rPr>
        <w:t>on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Da</w:t>
      </w:r>
      <w:r w:rsidR="00FF3144" w:rsidRPr="006F47A5">
        <w:rPr>
          <w:lang w:val="fr-FR"/>
        </w:rPr>
        <w:t>ns le cadre du programme, les déposants dont les r</w:t>
      </w:r>
      <w:r w:rsidR="00896DCD">
        <w:rPr>
          <w:lang w:val="fr-FR"/>
        </w:rPr>
        <w:t>evendica</w:t>
      </w:r>
      <w:r w:rsidR="00FF3144" w:rsidRPr="006F47A5">
        <w:rPr>
          <w:lang w:val="fr-FR"/>
        </w:rPr>
        <w:t>tions ont été examinées par l</w:t>
      </w:r>
      <w:r w:rsidR="00FD5C7A">
        <w:rPr>
          <w:lang w:val="fr-FR"/>
        </w:rPr>
        <w:t>’</w:t>
      </w:r>
      <w:r w:rsidR="00FF3144" w:rsidRPr="006F47A5">
        <w:rPr>
          <w:lang w:val="fr-FR"/>
        </w:rPr>
        <w:t>OEB ou par l</w:t>
      </w:r>
      <w:r w:rsidR="00FD5C7A">
        <w:rPr>
          <w:lang w:val="fr-FR"/>
        </w:rPr>
        <w:t>’</w:t>
      </w:r>
      <w:r w:rsidR="00FF3144" w:rsidRPr="006F47A5">
        <w:rPr>
          <w:lang w:val="fr-FR"/>
        </w:rPr>
        <w:t>Office australien des brevets peuvent demande</w:t>
      </w:r>
      <w:r w:rsidR="00896DCD">
        <w:rPr>
          <w:lang w:val="fr-FR"/>
        </w:rPr>
        <w:t>r</w:t>
      </w:r>
      <w:r w:rsidR="00FF3144" w:rsidRPr="006F47A5">
        <w:rPr>
          <w:lang w:val="fr-FR"/>
        </w:rPr>
        <w:t xml:space="preserve"> une procédure accélérée dans l</w:t>
      </w:r>
      <w:r w:rsidR="00FD5C7A">
        <w:rPr>
          <w:lang w:val="fr-FR"/>
        </w:rPr>
        <w:t>’</w:t>
      </w:r>
      <w:r w:rsidR="00FF3144" w:rsidRPr="006F47A5">
        <w:rPr>
          <w:lang w:val="fr-FR"/>
        </w:rPr>
        <w:t xml:space="preserve">autre office </w:t>
      </w:r>
      <w:r w:rsidR="00896DCD">
        <w:rPr>
          <w:lang w:val="fr-FR"/>
        </w:rPr>
        <w:t>tandis</w:t>
      </w:r>
      <w:r w:rsidR="00FF3144" w:rsidRPr="006F47A5">
        <w:rPr>
          <w:lang w:val="fr-FR"/>
        </w:rPr>
        <w:t xml:space="preserve"> que les deux</w:t>
      </w:r>
      <w:r w:rsidR="00206805">
        <w:rPr>
          <w:lang w:val="fr-FR"/>
        </w:rPr>
        <w:t> </w:t>
      </w:r>
      <w:r w:rsidR="00FF3144" w:rsidRPr="006F47A5">
        <w:rPr>
          <w:lang w:val="fr-FR"/>
        </w:rPr>
        <w:t xml:space="preserve">offices partagent les résultats </w:t>
      </w:r>
      <w:r w:rsidR="00896DCD">
        <w:rPr>
          <w:lang w:val="fr-FR"/>
        </w:rPr>
        <w:t>déjà obtenus</w:t>
      </w:r>
      <w:r w:rsidR="00FF3144" w:rsidRPr="006F47A5">
        <w:rPr>
          <w:lang w:val="fr-FR"/>
        </w:rPr>
        <w:t>,</w:t>
      </w:r>
      <w:r w:rsidR="00896DCD">
        <w:rPr>
          <w:lang w:val="fr-FR"/>
        </w:rPr>
        <w:t xml:space="preserve"> ce qui </w:t>
      </w:r>
      <w:r w:rsidR="00FF3144" w:rsidRPr="006F47A5">
        <w:rPr>
          <w:lang w:val="fr-FR"/>
        </w:rPr>
        <w:t>accél</w:t>
      </w:r>
      <w:r w:rsidR="00896DCD">
        <w:rPr>
          <w:lang w:val="fr-FR"/>
        </w:rPr>
        <w:t>è</w:t>
      </w:r>
      <w:r w:rsidR="00FF3144" w:rsidRPr="006F47A5">
        <w:rPr>
          <w:lang w:val="fr-FR"/>
        </w:rPr>
        <w:t>r</w:t>
      </w:r>
      <w:r w:rsidR="00896DCD">
        <w:rPr>
          <w:lang w:val="fr-FR"/>
        </w:rPr>
        <w:t>e</w:t>
      </w:r>
      <w:r w:rsidR="00FF3144" w:rsidRPr="006F47A5">
        <w:rPr>
          <w:lang w:val="fr-FR"/>
        </w:rPr>
        <w:t xml:space="preserve"> le processus et rédu</w:t>
      </w:r>
      <w:r w:rsidR="00896DCD">
        <w:rPr>
          <w:lang w:val="fr-FR"/>
        </w:rPr>
        <w:t>i</w:t>
      </w:r>
      <w:r w:rsidR="00FF3144" w:rsidRPr="006F47A5">
        <w:rPr>
          <w:lang w:val="fr-FR"/>
        </w:rPr>
        <w:t>t les coûts pour les déposants</w:t>
      </w:r>
      <w:r w:rsidR="00C00099" w:rsidRPr="006F47A5">
        <w:rPr>
          <w:lang w:val="fr-FR"/>
        </w:rPr>
        <w:t>.</w:t>
      </w:r>
    </w:p>
    <w:p w:rsidR="00FF3144" w:rsidRPr="006F47A5" w:rsidRDefault="00FF3144" w:rsidP="008B7911">
      <w:pPr>
        <w:rPr>
          <w:lang w:val="fr-FR"/>
        </w:rPr>
      </w:pPr>
    </w:p>
    <w:p w:rsidR="008F1232" w:rsidRDefault="00FF3144" w:rsidP="008B7911">
      <w:pPr>
        <w:rPr>
          <w:lang w:val="fr-FR"/>
        </w:rPr>
      </w:pPr>
      <w:r w:rsidRPr="006F47A5">
        <w:rPr>
          <w:lang w:val="fr-FR"/>
        </w:rPr>
        <w:t>Le mémorandum d</w:t>
      </w:r>
      <w:r w:rsidR="00FD5C7A">
        <w:rPr>
          <w:lang w:val="fr-FR"/>
        </w:rPr>
        <w:t>’</w:t>
      </w:r>
      <w:r w:rsidRPr="006F47A5">
        <w:rPr>
          <w:lang w:val="fr-FR"/>
        </w:rPr>
        <w:t>accord comprend également un projet pilote pour l</w:t>
      </w:r>
      <w:r w:rsidR="00FD5C7A">
        <w:rPr>
          <w:lang w:val="fr-FR"/>
        </w:rPr>
        <w:t>’</w:t>
      </w:r>
      <w:r w:rsidRPr="006F47A5">
        <w:rPr>
          <w:lang w:val="fr-FR"/>
        </w:rPr>
        <w:t>Office australien des brevets afin que ce dernier acquière de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expérience </w:t>
      </w:r>
      <w:r w:rsidR="00896DCD">
        <w:rPr>
          <w:lang w:val="fr-FR"/>
        </w:rPr>
        <w:t>dans le domaine de la</w:t>
      </w:r>
      <w:r w:rsidRPr="006F47A5">
        <w:rPr>
          <w:lang w:val="fr-FR"/>
        </w:rPr>
        <w:t xml:space="preserve"> classification coopérative des brevets (CPC)</w:t>
      </w:r>
      <w:r w:rsidR="00C00099" w:rsidRPr="006F47A5">
        <w:rPr>
          <w:lang w:val="fr-FR"/>
        </w:rPr>
        <w:t xml:space="preserve">.  </w:t>
      </w:r>
      <w:r w:rsidRPr="006F47A5">
        <w:rPr>
          <w:lang w:val="fr-FR"/>
        </w:rPr>
        <w:t>Cela pourrait ouvrir la voie à</w:t>
      </w:r>
      <w:r w:rsidR="00896DCD">
        <w:rPr>
          <w:lang w:val="fr-FR"/>
        </w:rPr>
        <w:t xml:space="preserve"> une future coopération en matière </w:t>
      </w:r>
      <w:r w:rsidRPr="006F47A5">
        <w:rPr>
          <w:lang w:val="fr-FR"/>
        </w:rPr>
        <w:t>d</w:t>
      </w:r>
      <w:r w:rsidR="00FD5C7A">
        <w:rPr>
          <w:lang w:val="fr-FR"/>
        </w:rPr>
        <w:t>’</w:t>
      </w:r>
      <w:r w:rsidRPr="006F47A5">
        <w:rPr>
          <w:lang w:val="fr-FR"/>
        </w:rPr>
        <w:t>harmonis</w:t>
      </w:r>
      <w:r w:rsidR="00896DCD">
        <w:rPr>
          <w:lang w:val="fr-FR"/>
        </w:rPr>
        <w:t>ation dans le cadre de l</w:t>
      </w:r>
      <w:r w:rsidR="008F1232" w:rsidRPr="008F1232">
        <w:rPr>
          <w:lang w:val="fr-FR"/>
        </w:rPr>
        <w:t>a CPC</w:t>
      </w:r>
      <w:r w:rsidRPr="006F47A5">
        <w:rPr>
          <w:lang w:val="fr-FR"/>
        </w:rPr>
        <w:t>, qui compte déjà 19</w:t>
      </w:r>
      <w:r w:rsidR="0099215E">
        <w:rPr>
          <w:lang w:val="fr-FR"/>
        </w:rPr>
        <w:t> </w:t>
      </w:r>
      <w:r w:rsidRPr="006F47A5">
        <w:rPr>
          <w:lang w:val="fr-FR"/>
        </w:rPr>
        <w:t xml:space="preserve">offices de brevets </w:t>
      </w:r>
      <w:r w:rsidR="0047706E" w:rsidRPr="006F47A5">
        <w:rPr>
          <w:lang w:val="fr-FR"/>
        </w:rPr>
        <w:t xml:space="preserve">participants </w:t>
      </w:r>
      <w:r w:rsidRPr="006F47A5">
        <w:rPr>
          <w:lang w:val="fr-FR"/>
        </w:rPr>
        <w:t>dans le monde</w:t>
      </w:r>
      <w:r w:rsidR="00C00099" w:rsidRPr="006F47A5">
        <w:rPr>
          <w:lang w:val="fr-FR"/>
        </w:rPr>
        <w:t xml:space="preserve">.  </w:t>
      </w: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>OEB et l</w:t>
      </w:r>
      <w:r w:rsidR="00FD5C7A">
        <w:rPr>
          <w:lang w:val="fr-FR"/>
        </w:rPr>
        <w:t>’</w:t>
      </w:r>
      <w:r w:rsidRPr="006F47A5">
        <w:rPr>
          <w:lang w:val="fr-FR"/>
        </w:rPr>
        <w:t>Office australien des brevets coopèrent également pour assurer l</w:t>
      </w:r>
      <w:r w:rsidR="00FD5C7A">
        <w:rPr>
          <w:lang w:val="fr-FR"/>
        </w:rPr>
        <w:t>’</w:t>
      </w:r>
      <w:r w:rsidRPr="006F47A5">
        <w:rPr>
          <w:lang w:val="fr-FR"/>
        </w:rPr>
        <w:t xml:space="preserve">interconnexion entre </w:t>
      </w:r>
      <w:r w:rsidR="00493E14" w:rsidRPr="006F47A5">
        <w:rPr>
          <w:lang w:val="fr-FR"/>
        </w:rPr>
        <w:t>le système d</w:t>
      </w:r>
      <w:r w:rsidR="0047706E" w:rsidRPr="006F47A5">
        <w:rPr>
          <w:lang w:val="fr-FR"/>
        </w:rPr>
        <w:t>u</w:t>
      </w:r>
      <w:r w:rsidR="00493E14" w:rsidRPr="006F47A5">
        <w:rPr>
          <w:lang w:val="fr-FR"/>
        </w:rPr>
        <w:t xml:space="preserve"> Dossier mondial et le système </w:t>
      </w:r>
      <w:r w:rsidR="00FD5C7A">
        <w:rPr>
          <w:lang w:val="fr-FR"/>
        </w:rPr>
        <w:t>WIPO CASE</w:t>
      </w:r>
      <w:r w:rsidR="00493E14" w:rsidRPr="006F47A5">
        <w:rPr>
          <w:lang w:val="fr-FR"/>
        </w:rPr>
        <w:t xml:space="preserve"> </w:t>
      </w:r>
      <w:r w:rsidR="00C00099" w:rsidRPr="006F47A5">
        <w:rPr>
          <w:lang w:val="fr-FR"/>
        </w:rPr>
        <w:t>afin de</w:t>
      </w:r>
      <w:r w:rsidR="00493E14" w:rsidRPr="006F47A5">
        <w:rPr>
          <w:lang w:val="fr-FR"/>
        </w:rPr>
        <w:t xml:space="preserve"> permettre un accès réciproque à des dossiers d</w:t>
      </w:r>
      <w:r w:rsidR="00FD5C7A">
        <w:rPr>
          <w:lang w:val="fr-FR"/>
        </w:rPr>
        <w:t>’</w:t>
      </w:r>
      <w:r w:rsidR="00493E14" w:rsidRPr="006F47A5">
        <w:rPr>
          <w:lang w:val="fr-FR"/>
        </w:rPr>
        <w:t>informations concernant les brevets</w:t>
      </w:r>
      <w:r w:rsidR="00C00099" w:rsidRPr="006F47A5">
        <w:rPr>
          <w:lang w:val="fr-FR"/>
        </w:rPr>
        <w:t>.</w:t>
      </w:r>
    </w:p>
    <w:p w:rsidR="00493E14" w:rsidRPr="006F47A5" w:rsidRDefault="00493E14" w:rsidP="008B7911">
      <w:pPr>
        <w:rPr>
          <w:lang w:val="fr-FR"/>
        </w:rPr>
      </w:pPr>
    </w:p>
    <w:p w:rsidR="00493E14" w:rsidRPr="006F47A5" w:rsidRDefault="00493E14" w:rsidP="008B7911">
      <w:pPr>
        <w:rPr>
          <w:lang w:val="fr-FR"/>
        </w:rPr>
      </w:pPr>
      <w:r w:rsidRPr="006F47A5">
        <w:rPr>
          <w:i/>
          <w:lang w:val="fr-FR"/>
        </w:rPr>
        <w:t>Organigramme</w:t>
      </w:r>
    </w:p>
    <w:p w:rsidR="00493E14" w:rsidRPr="006F47A5" w:rsidRDefault="00493E14" w:rsidP="008B7911">
      <w:pPr>
        <w:rPr>
          <w:lang w:val="fr-FR"/>
        </w:rPr>
      </w:pPr>
    </w:p>
    <w:p w:rsidR="008F1232" w:rsidRDefault="00493E14" w:rsidP="008B7911">
      <w:pPr>
        <w:rPr>
          <w:szCs w:val="22"/>
          <w:lang w:val="fr-FR"/>
        </w:rPr>
      </w:pPr>
      <w:r w:rsidRPr="006F47A5">
        <w:rPr>
          <w:lang w:val="fr-FR"/>
        </w:rPr>
        <w:t>L</w:t>
      </w:r>
      <w:r w:rsidR="00FD5C7A">
        <w:rPr>
          <w:lang w:val="fr-FR"/>
        </w:rPr>
        <w:t>’</w:t>
      </w:r>
      <w:r w:rsidRPr="006F47A5">
        <w:rPr>
          <w:lang w:val="fr-FR"/>
        </w:rPr>
        <w:t>organigramme d</w:t>
      </w:r>
      <w:r w:rsidR="00FD5C7A">
        <w:rPr>
          <w:lang w:val="fr-FR"/>
        </w:rPr>
        <w:t>’</w:t>
      </w:r>
      <w:r w:rsidRPr="006F47A5">
        <w:rPr>
          <w:lang w:val="fr-FR"/>
        </w:rPr>
        <w:t>IP</w:t>
      </w:r>
      <w:r w:rsidR="00206805">
        <w:rPr>
          <w:lang w:val="fr-FR"/>
        </w:rPr>
        <w:t> </w:t>
      </w:r>
      <w:proofErr w:type="spellStart"/>
      <w:r w:rsidRPr="006F47A5">
        <w:rPr>
          <w:lang w:val="fr-FR"/>
        </w:rPr>
        <w:t>Australia</w:t>
      </w:r>
      <w:proofErr w:type="spellEnd"/>
      <w:r w:rsidRPr="006F47A5">
        <w:rPr>
          <w:lang w:val="fr-FR"/>
        </w:rPr>
        <w:t xml:space="preserve"> (ci</w:t>
      </w:r>
      <w:r w:rsidR="00EE5220">
        <w:rPr>
          <w:lang w:val="fr-FR"/>
        </w:rPr>
        <w:noBreakHyphen/>
      </w:r>
      <w:r w:rsidRPr="006F47A5">
        <w:rPr>
          <w:lang w:val="fr-FR"/>
        </w:rPr>
        <w:t xml:space="preserve">dessous) montre les changements récents opérés dans sa structure qui augmentent sa capacité </w:t>
      </w:r>
      <w:r w:rsidR="00896DCD">
        <w:rPr>
          <w:lang w:val="fr-FR"/>
        </w:rPr>
        <w:t>de</w:t>
      </w:r>
      <w:r w:rsidRPr="006F47A5">
        <w:rPr>
          <w:lang w:val="fr-FR"/>
        </w:rPr>
        <w:t xml:space="preserve"> délivrer des </w:t>
      </w:r>
      <w:r w:rsidR="00896DCD">
        <w:rPr>
          <w:lang w:val="fr-FR"/>
        </w:rPr>
        <w:t>titres</w:t>
      </w:r>
      <w:r w:rsidRPr="006F47A5">
        <w:rPr>
          <w:lang w:val="fr-FR"/>
        </w:rPr>
        <w:t xml:space="preserve"> de propriété intellectuelle solid</w:t>
      </w:r>
      <w:r w:rsidR="00CE00F9" w:rsidRPr="006F47A5">
        <w:rPr>
          <w:lang w:val="fr-FR"/>
        </w:rPr>
        <w:t>es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La</w:t>
      </w:r>
      <w:r w:rsidRPr="006F47A5">
        <w:rPr>
          <w:lang w:val="fr-FR"/>
        </w:rPr>
        <w:t xml:space="preserve"> division </w:t>
      </w:r>
      <w:r w:rsidR="00ED4BE7" w:rsidRPr="006F47A5">
        <w:rPr>
          <w:lang w:val="fr-FR"/>
        </w:rPr>
        <w:t>en deux</w:t>
      </w:r>
      <w:r w:rsidR="00C254CF">
        <w:rPr>
          <w:lang w:val="fr-FR"/>
        </w:rPr>
        <w:t> </w:t>
      </w:r>
      <w:r w:rsidRPr="006F47A5">
        <w:rPr>
          <w:lang w:val="fr-FR"/>
        </w:rPr>
        <w:t xml:space="preserve">du groupe des brevets permet </w:t>
      </w:r>
      <w:r w:rsidR="00896DCD">
        <w:rPr>
          <w:lang w:val="fr-FR"/>
        </w:rPr>
        <w:t>de mieux</w:t>
      </w:r>
      <w:r w:rsidRPr="006F47A5">
        <w:rPr>
          <w:lang w:val="fr-FR"/>
        </w:rPr>
        <w:t xml:space="preserve"> gérer </w:t>
      </w:r>
      <w:r w:rsidR="00896DCD">
        <w:rPr>
          <w:lang w:val="fr-FR"/>
        </w:rPr>
        <w:t>la</w:t>
      </w:r>
      <w:r w:rsidRPr="006F47A5">
        <w:rPr>
          <w:lang w:val="fr-FR"/>
        </w:rPr>
        <w:t xml:space="preserve"> charge de travail future et l</w:t>
      </w:r>
      <w:r w:rsidR="00FD5C7A">
        <w:rPr>
          <w:lang w:val="fr-FR"/>
        </w:rPr>
        <w:t>’</w:t>
      </w:r>
      <w:r w:rsidRPr="006F47A5">
        <w:rPr>
          <w:lang w:val="fr-FR"/>
        </w:rPr>
        <w:t>organisation de plus en plus complexe du paysage de la propriété intellectuel</w:t>
      </w:r>
      <w:r w:rsidR="00CE00F9" w:rsidRPr="006F47A5">
        <w:rPr>
          <w:lang w:val="fr-FR"/>
        </w:rPr>
        <w:t>le</w:t>
      </w:r>
      <w:r w:rsidR="00CE00F9">
        <w:rPr>
          <w:lang w:val="fr-FR"/>
        </w:rPr>
        <w:t xml:space="preserve">.  </w:t>
      </w:r>
      <w:r w:rsidR="00CE00F9" w:rsidRPr="006F47A5">
        <w:rPr>
          <w:lang w:val="fr-FR"/>
        </w:rPr>
        <w:t>L</w:t>
      </w:r>
      <w:r w:rsidR="00CE00F9">
        <w:rPr>
          <w:lang w:val="fr-FR"/>
        </w:rPr>
        <w:t>’e</w:t>
      </w:r>
      <w:r w:rsidR="00896DCD">
        <w:rPr>
          <w:lang w:val="fr-FR"/>
        </w:rPr>
        <w:t>ngagement d</w:t>
      </w:r>
      <w:r w:rsidR="00FD5C7A">
        <w:rPr>
          <w:lang w:val="fr-FR"/>
        </w:rPr>
        <w:t>’</w:t>
      </w:r>
      <w:r w:rsidR="00896DCD">
        <w:rPr>
          <w:lang w:val="fr-FR"/>
        </w:rPr>
        <w:t xml:space="preserve">un deuxième </w:t>
      </w:r>
      <w:r w:rsidRPr="006F47A5">
        <w:rPr>
          <w:lang w:val="fr-FR"/>
        </w:rPr>
        <w:t>vice</w:t>
      </w:r>
      <w:r w:rsidR="00EE5220">
        <w:rPr>
          <w:lang w:val="fr-FR"/>
        </w:rPr>
        <w:noBreakHyphen/>
      </w:r>
      <w:r w:rsidRPr="006F47A5">
        <w:rPr>
          <w:lang w:val="fr-FR"/>
        </w:rPr>
        <w:t>directeur général (</w:t>
      </w:r>
      <w:r w:rsidR="0047706E" w:rsidRPr="006F47A5">
        <w:rPr>
          <w:szCs w:val="22"/>
          <w:lang w:val="fr-FR"/>
        </w:rPr>
        <w:t>Poli</w:t>
      </w:r>
      <w:r w:rsidR="00896DCD">
        <w:rPr>
          <w:szCs w:val="22"/>
          <w:lang w:val="fr-FR"/>
        </w:rPr>
        <w:t xml:space="preserve">cy and </w:t>
      </w:r>
      <w:proofErr w:type="spellStart"/>
      <w:r w:rsidR="00896DCD">
        <w:rPr>
          <w:szCs w:val="22"/>
          <w:lang w:val="fr-FR"/>
        </w:rPr>
        <w:t>Corporate</w:t>
      </w:r>
      <w:proofErr w:type="spellEnd"/>
      <w:r w:rsidR="0047706E" w:rsidRPr="006F47A5">
        <w:rPr>
          <w:szCs w:val="22"/>
          <w:lang w:val="fr-FR"/>
        </w:rPr>
        <w:t xml:space="preserve"> Division</w:t>
      </w:r>
      <w:r w:rsidR="00ED4BE7" w:rsidRPr="006F47A5">
        <w:rPr>
          <w:szCs w:val="22"/>
          <w:lang w:val="fr-FR"/>
        </w:rPr>
        <w:t xml:space="preserve">) </w:t>
      </w:r>
      <w:r w:rsidR="0047706E" w:rsidRPr="006F47A5">
        <w:rPr>
          <w:szCs w:val="22"/>
          <w:lang w:val="fr-FR"/>
        </w:rPr>
        <w:t>accroît</w:t>
      </w:r>
      <w:r w:rsidR="00ED4BE7" w:rsidRPr="006F47A5">
        <w:rPr>
          <w:szCs w:val="22"/>
          <w:lang w:val="fr-FR"/>
        </w:rPr>
        <w:t xml:space="preserve"> également l</w:t>
      </w:r>
      <w:r w:rsidR="00A605C0">
        <w:rPr>
          <w:szCs w:val="22"/>
          <w:lang w:val="fr-FR"/>
        </w:rPr>
        <w:t>es</w:t>
      </w:r>
      <w:r w:rsidR="00ED4BE7" w:rsidRPr="006F47A5">
        <w:rPr>
          <w:szCs w:val="22"/>
          <w:lang w:val="fr-FR"/>
        </w:rPr>
        <w:t xml:space="preserve"> capacité</w:t>
      </w:r>
      <w:r w:rsidR="00A605C0">
        <w:rPr>
          <w:szCs w:val="22"/>
          <w:lang w:val="fr-FR"/>
        </w:rPr>
        <w:t>s</w:t>
      </w:r>
      <w:r w:rsidR="00ED4BE7" w:rsidRPr="006F47A5">
        <w:rPr>
          <w:szCs w:val="22"/>
          <w:lang w:val="fr-FR"/>
        </w:rPr>
        <w:t xml:space="preserve"> dans les domaines de l</w:t>
      </w:r>
      <w:r w:rsidR="00FD5C7A">
        <w:rPr>
          <w:szCs w:val="22"/>
          <w:lang w:val="fr-FR"/>
        </w:rPr>
        <w:t>’</w:t>
      </w:r>
      <w:r w:rsidR="00ED4BE7" w:rsidRPr="006F47A5">
        <w:rPr>
          <w:szCs w:val="22"/>
          <w:lang w:val="fr-FR"/>
        </w:rPr>
        <w:t>évaluation et de l</w:t>
      </w:r>
      <w:r w:rsidR="00FD5C7A">
        <w:rPr>
          <w:szCs w:val="22"/>
          <w:lang w:val="fr-FR"/>
        </w:rPr>
        <w:t>’</w:t>
      </w:r>
      <w:r w:rsidR="00ED4BE7" w:rsidRPr="006F47A5">
        <w:rPr>
          <w:szCs w:val="22"/>
          <w:lang w:val="fr-FR"/>
        </w:rPr>
        <w:t xml:space="preserve">élaboration des politiques, </w:t>
      </w:r>
      <w:r w:rsidR="00A605C0">
        <w:rPr>
          <w:szCs w:val="22"/>
          <w:lang w:val="fr-FR"/>
        </w:rPr>
        <w:t>ainsi que</w:t>
      </w:r>
      <w:r w:rsidR="0047706E" w:rsidRPr="006F47A5">
        <w:rPr>
          <w:szCs w:val="22"/>
          <w:lang w:val="fr-FR"/>
        </w:rPr>
        <w:t xml:space="preserve"> </w:t>
      </w:r>
      <w:r w:rsidR="00ED4BE7" w:rsidRPr="006F47A5">
        <w:rPr>
          <w:szCs w:val="22"/>
          <w:lang w:val="fr-FR"/>
        </w:rPr>
        <w:t>la collaboration nationale et internationale</w:t>
      </w:r>
      <w:r w:rsidR="00A605C0">
        <w:rPr>
          <w:szCs w:val="22"/>
          <w:lang w:val="fr-FR"/>
        </w:rPr>
        <w:t xml:space="preserve"> dans le domaine de l</w:t>
      </w:r>
      <w:r w:rsidR="00FD5C7A">
        <w:rPr>
          <w:szCs w:val="22"/>
          <w:lang w:val="fr-FR"/>
        </w:rPr>
        <w:t>’</w:t>
      </w:r>
      <w:r w:rsidR="00A605C0">
        <w:rPr>
          <w:szCs w:val="22"/>
          <w:lang w:val="fr-FR"/>
        </w:rPr>
        <w:t xml:space="preserve">élaboration des </w:t>
      </w:r>
      <w:r w:rsidR="00A605C0" w:rsidRPr="006F47A5">
        <w:rPr>
          <w:szCs w:val="22"/>
          <w:lang w:val="fr-FR"/>
        </w:rPr>
        <w:t>politique</w:t>
      </w:r>
      <w:r w:rsidR="00A605C0">
        <w:rPr>
          <w:szCs w:val="22"/>
          <w:lang w:val="fr-FR"/>
        </w:rPr>
        <w:t>s</w:t>
      </w:r>
      <w:r w:rsidR="00C00099" w:rsidRPr="006F47A5">
        <w:rPr>
          <w:szCs w:val="22"/>
          <w:lang w:val="fr-FR"/>
        </w:rPr>
        <w:t>.</w:t>
      </w:r>
    </w:p>
    <w:p w:rsidR="00ED4BE7" w:rsidRPr="006F47A5" w:rsidRDefault="00ED4BE7" w:rsidP="008B7911">
      <w:pPr>
        <w:rPr>
          <w:szCs w:val="22"/>
          <w:lang w:val="fr-FR"/>
        </w:rPr>
      </w:pPr>
    </w:p>
    <w:p w:rsidR="00ED4BE7" w:rsidRPr="006F47A5" w:rsidRDefault="00ED4BE7" w:rsidP="008B7911">
      <w:pPr>
        <w:rPr>
          <w:szCs w:val="22"/>
          <w:lang w:val="fr-FR"/>
        </w:rPr>
      </w:pPr>
      <w:r w:rsidRPr="006F47A5">
        <w:rPr>
          <w:i/>
          <w:iCs/>
          <w:noProof/>
          <w:lang w:val="en-US" w:eastAsia="en-US"/>
        </w:rPr>
        <w:lastRenderedPageBreak/>
        <w:drawing>
          <wp:inline distT="0" distB="0" distL="0" distR="0" wp14:anchorId="4B12B86E" wp14:editId="283A2437">
            <wp:extent cx="5940000" cy="7483103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74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FE" w:rsidRPr="006F47A5" w:rsidRDefault="00AA0CFE" w:rsidP="008B7911">
      <w:pPr>
        <w:rPr>
          <w:lang w:val="fr-FR"/>
        </w:rPr>
      </w:pPr>
    </w:p>
    <w:p w:rsidR="00ED4BE7" w:rsidRPr="006F47A5" w:rsidRDefault="00ED4BE7" w:rsidP="008B7911">
      <w:pPr>
        <w:pStyle w:val="SectionHeading"/>
      </w:pPr>
      <w:r w:rsidRPr="006F47A5">
        <w:t xml:space="preserve">8 – </w:t>
      </w:r>
      <w:r w:rsidR="00C00099" w:rsidRPr="006F47A5">
        <w:t>É</w:t>
      </w:r>
      <w:r w:rsidRPr="006F47A5">
        <w:t>valuation par d</w:t>
      </w:r>
      <w:r w:rsidR="00FD5C7A">
        <w:t>’</w:t>
      </w:r>
      <w:r w:rsidRPr="006F47A5">
        <w:t xml:space="preserve">autres </w:t>
      </w:r>
      <w:r w:rsidR="0047706E" w:rsidRPr="006F47A5">
        <w:t>administrations</w:t>
      </w:r>
    </w:p>
    <w:p w:rsidR="00856BAA" w:rsidRPr="006F47A5" w:rsidRDefault="00856BAA" w:rsidP="008B7911">
      <w:pPr>
        <w:rPr>
          <w:lang w:val="fr-FR"/>
        </w:rPr>
      </w:pPr>
    </w:p>
    <w:p w:rsidR="00856BAA" w:rsidRPr="006F47A5" w:rsidRDefault="00ED4BE7" w:rsidP="008B7911">
      <w:pPr>
        <w:rPr>
          <w:lang w:val="fr-FR" w:eastAsia="en-US"/>
        </w:rPr>
      </w:pPr>
      <w:r w:rsidRPr="006F47A5">
        <w:rPr>
          <w:lang w:val="fr-FR"/>
        </w:rPr>
        <w:t xml:space="preserve">La certification </w:t>
      </w:r>
      <w:r w:rsidRPr="006F47A5">
        <w:rPr>
          <w:lang w:val="fr-FR" w:eastAsia="en-US"/>
        </w:rPr>
        <w:t>selon la norme</w:t>
      </w:r>
      <w:r w:rsidR="00206805">
        <w:rPr>
          <w:lang w:val="fr-FR" w:eastAsia="en-US"/>
        </w:rPr>
        <w:t> </w:t>
      </w:r>
      <w:r w:rsidRPr="006F47A5">
        <w:rPr>
          <w:lang w:val="fr-FR" w:eastAsia="en-US"/>
        </w:rPr>
        <w:t>ISO</w:t>
      </w:r>
      <w:r w:rsidR="0099215E">
        <w:rPr>
          <w:lang w:val="fr-FR" w:eastAsia="en-US"/>
        </w:rPr>
        <w:t> </w:t>
      </w:r>
      <w:r w:rsidRPr="006F47A5">
        <w:rPr>
          <w:lang w:val="fr-FR" w:eastAsia="en-US"/>
        </w:rPr>
        <w:t>9001:2008</w:t>
      </w:r>
      <w:r w:rsidR="0047706E" w:rsidRPr="006F47A5">
        <w:rPr>
          <w:lang w:val="fr-FR" w:eastAsia="en-US"/>
        </w:rPr>
        <w:t xml:space="preserve"> d</w:t>
      </w:r>
      <w:r w:rsidR="00FD5C7A">
        <w:rPr>
          <w:lang w:val="fr-FR" w:eastAsia="en-US"/>
        </w:rPr>
        <w:t>’</w:t>
      </w:r>
      <w:r w:rsidR="0047706E" w:rsidRPr="006F47A5">
        <w:rPr>
          <w:lang w:val="fr-FR" w:eastAsia="en-US"/>
        </w:rPr>
        <w:t>IP</w:t>
      </w:r>
      <w:r w:rsidR="00206805">
        <w:rPr>
          <w:lang w:val="fr-FR" w:eastAsia="en-US"/>
        </w:rPr>
        <w:t> </w:t>
      </w:r>
      <w:proofErr w:type="spellStart"/>
      <w:r w:rsidR="0047706E" w:rsidRPr="006F47A5">
        <w:rPr>
          <w:lang w:val="fr-FR" w:eastAsia="en-US"/>
        </w:rPr>
        <w:t>Australia</w:t>
      </w:r>
      <w:proofErr w:type="spellEnd"/>
      <w:r w:rsidR="0047706E" w:rsidRPr="006F47A5">
        <w:rPr>
          <w:lang w:val="fr-FR" w:eastAsia="en-US"/>
        </w:rPr>
        <w:t xml:space="preserve"> apporte</w:t>
      </w:r>
      <w:r w:rsidRPr="006F47A5">
        <w:rPr>
          <w:lang w:val="fr-FR" w:eastAsia="en-US"/>
        </w:rPr>
        <w:t xml:space="preserve"> une validation externe de la solidité de l</w:t>
      </w:r>
      <w:r w:rsidR="00FD5C7A">
        <w:rPr>
          <w:lang w:val="fr-FR" w:eastAsia="en-US"/>
        </w:rPr>
        <w:t>’</w:t>
      </w:r>
      <w:r w:rsidR="00A605C0">
        <w:rPr>
          <w:lang w:val="fr-FR" w:eastAsia="en-US"/>
        </w:rPr>
        <w:t xml:space="preserve">approche de qualité suivie par </w:t>
      </w:r>
      <w:r w:rsidRPr="006F47A5">
        <w:rPr>
          <w:lang w:val="fr-FR" w:eastAsia="en-US"/>
        </w:rPr>
        <w:t>IP</w:t>
      </w:r>
      <w:r w:rsidR="00206805">
        <w:rPr>
          <w:lang w:val="fr-FR" w:eastAsia="en-US"/>
        </w:rPr>
        <w:t> </w:t>
      </w:r>
      <w:proofErr w:type="spellStart"/>
      <w:r w:rsidRPr="006F47A5">
        <w:rPr>
          <w:lang w:val="fr-FR" w:eastAsia="en-US"/>
        </w:rPr>
        <w:t>Australia</w:t>
      </w:r>
      <w:proofErr w:type="spellEnd"/>
      <w:r w:rsidRPr="006F47A5">
        <w:rPr>
          <w:lang w:val="fr-FR" w:eastAsia="en-US"/>
        </w:rPr>
        <w:t>.</w:t>
      </w:r>
    </w:p>
    <w:p w:rsidR="00ED4BE7" w:rsidRPr="006F47A5" w:rsidRDefault="00ED4BE7" w:rsidP="008B7911">
      <w:pPr>
        <w:rPr>
          <w:lang w:val="fr-FR" w:eastAsia="en-US"/>
        </w:rPr>
      </w:pPr>
    </w:p>
    <w:p w:rsidR="008F1232" w:rsidRDefault="00ED4BE7" w:rsidP="008B7911">
      <w:pPr>
        <w:rPr>
          <w:lang w:val="fr-FR" w:eastAsia="en-US"/>
        </w:rPr>
      </w:pPr>
      <w:r w:rsidRPr="006F47A5">
        <w:rPr>
          <w:lang w:val="fr-FR" w:eastAsia="en-US"/>
        </w:rPr>
        <w:lastRenderedPageBreak/>
        <w:t>L</w:t>
      </w:r>
      <w:r w:rsidR="00FD5C7A">
        <w:rPr>
          <w:lang w:val="fr-FR" w:eastAsia="en-US"/>
        </w:rPr>
        <w:t>’</w:t>
      </w:r>
      <w:r w:rsidRPr="006F47A5">
        <w:rPr>
          <w:lang w:val="fr-FR" w:eastAsia="en-US"/>
        </w:rPr>
        <w:t>Office australien des brevets a participé récemment à un programme pilote d</w:t>
      </w:r>
      <w:r w:rsidR="00FD5C7A">
        <w:rPr>
          <w:lang w:val="fr-FR" w:eastAsia="en-US"/>
        </w:rPr>
        <w:t>’</w:t>
      </w:r>
      <w:r w:rsidRPr="006F47A5">
        <w:rPr>
          <w:lang w:val="fr-FR" w:eastAsia="en-US"/>
        </w:rPr>
        <w:t xml:space="preserve">examen collégial des exigences du </w:t>
      </w:r>
      <w:r w:rsidR="008F1232" w:rsidRPr="006F47A5">
        <w:rPr>
          <w:lang w:val="fr-FR" w:eastAsia="en-US"/>
        </w:rPr>
        <w:t>chapitre</w:t>
      </w:r>
      <w:r w:rsidR="008F1232">
        <w:rPr>
          <w:lang w:val="fr-FR" w:eastAsia="en-US"/>
        </w:rPr>
        <w:t> </w:t>
      </w:r>
      <w:r w:rsidR="008F1232" w:rsidRPr="006F47A5">
        <w:rPr>
          <w:lang w:val="fr-FR" w:eastAsia="en-US"/>
        </w:rPr>
        <w:t>2</w:t>
      </w:r>
      <w:r w:rsidRPr="006F47A5">
        <w:rPr>
          <w:lang w:val="fr-FR" w:eastAsia="en-US"/>
        </w:rPr>
        <w:t xml:space="preserve">1 </w:t>
      </w:r>
      <w:r w:rsidR="00A605C0">
        <w:rPr>
          <w:lang w:val="fr-FR" w:eastAsia="en-US"/>
        </w:rPr>
        <w:t>relatives au</w:t>
      </w:r>
      <w:r w:rsidRPr="006F47A5">
        <w:rPr>
          <w:lang w:val="fr-FR" w:eastAsia="en-US"/>
        </w:rPr>
        <w:t xml:space="preserve"> système de gestion de la qualité</w:t>
      </w:r>
      <w:r w:rsidR="00EF7F18">
        <w:rPr>
          <w:lang w:val="fr-FR" w:eastAsia="en-US"/>
        </w:rPr>
        <w:t>,</w:t>
      </w:r>
      <w:r w:rsidRPr="006F47A5">
        <w:rPr>
          <w:lang w:val="fr-FR" w:eastAsia="en-US"/>
        </w:rPr>
        <w:t xml:space="preserve"> </w:t>
      </w:r>
      <w:r w:rsidR="00D8707A" w:rsidRPr="006F47A5">
        <w:rPr>
          <w:lang w:val="fr-FR" w:eastAsia="en-US"/>
        </w:rPr>
        <w:t>à l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>occasio</w:t>
      </w:r>
      <w:r w:rsidR="0099215E">
        <w:rPr>
          <w:lang w:val="fr-FR" w:eastAsia="en-US"/>
        </w:rPr>
        <w:t>n de la récente réunion du Sous</w:t>
      </w:r>
      <w:r w:rsidR="00EE5220">
        <w:rPr>
          <w:lang w:val="fr-FR" w:eastAsia="en-US"/>
        </w:rPr>
        <w:noBreakHyphen/>
      </w:r>
      <w:r w:rsidR="00D8707A" w:rsidRPr="006F47A5">
        <w:rPr>
          <w:lang w:val="fr-FR" w:eastAsia="en-US"/>
        </w:rPr>
        <w:t>groupe chargé de la qualité des administrations internationales et</w:t>
      </w:r>
      <w:r w:rsidR="008F1232" w:rsidRPr="008F1232">
        <w:rPr>
          <w:lang w:val="fr-FR" w:eastAsia="en-US"/>
        </w:rPr>
        <w:t xml:space="preserve"> du PCT</w:t>
      </w:r>
      <w:r w:rsidR="00C00099" w:rsidRPr="006F47A5">
        <w:rPr>
          <w:lang w:val="fr-FR" w:eastAsia="en-US"/>
        </w:rPr>
        <w:t xml:space="preserve">.  </w:t>
      </w:r>
      <w:r w:rsidR="00D8707A" w:rsidRPr="006F47A5">
        <w:rPr>
          <w:lang w:val="fr-FR" w:eastAsia="en-US"/>
        </w:rPr>
        <w:t>L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>examen collégial a permis</w:t>
      </w:r>
      <w:r w:rsidR="00A605C0">
        <w:rPr>
          <w:lang w:val="fr-FR" w:eastAsia="en-US"/>
        </w:rPr>
        <w:t xml:space="preserve"> à un </w:t>
      </w:r>
      <w:r w:rsidR="00A605C0" w:rsidRPr="006F47A5">
        <w:rPr>
          <w:lang w:val="fr-FR" w:eastAsia="en-US"/>
        </w:rPr>
        <w:t>autre office (celui de l</w:t>
      </w:r>
      <w:r w:rsidR="00FD5C7A">
        <w:rPr>
          <w:lang w:val="fr-FR" w:eastAsia="en-US"/>
        </w:rPr>
        <w:t>’</w:t>
      </w:r>
      <w:r w:rsidR="00A605C0" w:rsidRPr="006F47A5">
        <w:rPr>
          <w:lang w:val="fr-FR" w:eastAsia="en-US"/>
        </w:rPr>
        <w:t>Espagne)</w:t>
      </w:r>
      <w:r w:rsidR="00A605C0">
        <w:rPr>
          <w:lang w:val="fr-FR" w:eastAsia="en-US"/>
        </w:rPr>
        <w:t xml:space="preserve"> d</w:t>
      </w:r>
      <w:r w:rsidR="00FD5C7A">
        <w:rPr>
          <w:lang w:val="fr-FR" w:eastAsia="en-US"/>
        </w:rPr>
        <w:t>’</w:t>
      </w:r>
      <w:r w:rsidR="00A605C0">
        <w:rPr>
          <w:lang w:val="fr-FR" w:eastAsia="en-US"/>
        </w:rPr>
        <w:t>étudier le</w:t>
      </w:r>
      <w:r w:rsidR="00D8707A" w:rsidRPr="006F47A5">
        <w:rPr>
          <w:lang w:val="fr-FR" w:eastAsia="en-US"/>
        </w:rPr>
        <w:t xml:space="preserve"> système de gestion de la qualité de l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>Office australien des brevets et de répondre à toutes les questio</w:t>
      </w:r>
      <w:r w:rsidR="00CE00F9" w:rsidRPr="006F47A5">
        <w:rPr>
          <w:lang w:val="fr-FR" w:eastAsia="en-US"/>
        </w:rPr>
        <w:t>ns</w:t>
      </w:r>
      <w:r w:rsidR="00CE00F9">
        <w:rPr>
          <w:lang w:val="fr-FR" w:eastAsia="en-US"/>
        </w:rPr>
        <w:t xml:space="preserve">.  </w:t>
      </w:r>
      <w:r w:rsidR="00CE00F9" w:rsidRPr="006F47A5">
        <w:rPr>
          <w:lang w:val="fr-FR" w:eastAsia="en-US"/>
        </w:rPr>
        <w:t>Le</w:t>
      </w:r>
      <w:r w:rsidR="00D8707A" w:rsidRPr="006F47A5">
        <w:rPr>
          <w:lang w:val="fr-FR" w:eastAsia="en-US"/>
        </w:rPr>
        <w:t>s retours sur le système de gestion de la qualité de l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 xml:space="preserve">Office australien des brevets </w:t>
      </w:r>
      <w:r w:rsidR="0047706E" w:rsidRPr="006F47A5">
        <w:rPr>
          <w:lang w:val="fr-FR" w:eastAsia="en-US"/>
        </w:rPr>
        <w:t>ont été</w:t>
      </w:r>
      <w:r w:rsidR="00D8707A" w:rsidRPr="006F47A5">
        <w:rPr>
          <w:lang w:val="fr-FR" w:eastAsia="en-US"/>
        </w:rPr>
        <w:t xml:space="preserve"> positi</w:t>
      </w:r>
      <w:r w:rsidR="00CE00F9" w:rsidRPr="006F47A5">
        <w:rPr>
          <w:lang w:val="fr-FR" w:eastAsia="en-US"/>
        </w:rPr>
        <w:t>fs</w:t>
      </w:r>
      <w:r w:rsidR="00CE00F9">
        <w:rPr>
          <w:lang w:val="fr-FR" w:eastAsia="en-US"/>
        </w:rPr>
        <w:t xml:space="preserve">.  </w:t>
      </w:r>
      <w:r w:rsidR="00CE00F9" w:rsidRPr="006F47A5">
        <w:rPr>
          <w:lang w:val="fr-FR" w:eastAsia="en-US"/>
        </w:rPr>
        <w:t>Le</w:t>
      </w:r>
      <w:r w:rsidR="00D8707A" w:rsidRPr="006F47A5">
        <w:rPr>
          <w:lang w:val="fr-FR" w:eastAsia="en-US"/>
        </w:rPr>
        <w:t xml:space="preserve"> processus d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>examen mené par d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>autres offices a permis de valider l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>approche suivie par l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>Office australien des brevets par rapport aux divers aspects du système de gestion de la qualité et a montré la cohérence de l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>approche sur de nombreux aspects avec les systèmes de qualité que d</w:t>
      </w:r>
      <w:r w:rsidR="00FD5C7A">
        <w:rPr>
          <w:lang w:val="fr-FR" w:eastAsia="en-US"/>
        </w:rPr>
        <w:t>’</w:t>
      </w:r>
      <w:r w:rsidR="00D8707A" w:rsidRPr="006F47A5">
        <w:rPr>
          <w:lang w:val="fr-FR" w:eastAsia="en-US"/>
        </w:rPr>
        <w:t>autres offices ont mis en place</w:t>
      </w:r>
      <w:r w:rsidR="00C00099" w:rsidRPr="006F47A5">
        <w:rPr>
          <w:lang w:val="fr-FR" w:eastAsia="en-US"/>
        </w:rPr>
        <w:t>.</w:t>
      </w:r>
    </w:p>
    <w:p w:rsidR="00ED4BE7" w:rsidRPr="006F47A5" w:rsidRDefault="00ED4BE7" w:rsidP="008B7911">
      <w:pPr>
        <w:rPr>
          <w:lang w:val="fr-FR" w:eastAsia="en-US"/>
        </w:rPr>
      </w:pPr>
    </w:p>
    <w:p w:rsidR="00ED4BE7" w:rsidRPr="006F47A5" w:rsidRDefault="00ED4BE7" w:rsidP="008B7911">
      <w:pPr>
        <w:rPr>
          <w:lang w:val="fr-FR"/>
        </w:rPr>
      </w:pPr>
    </w:p>
    <w:p w:rsidR="00ED4BE7" w:rsidRPr="006F47A5" w:rsidRDefault="00ED4BE7" w:rsidP="008B7911">
      <w:pPr>
        <w:rPr>
          <w:lang w:val="fr-FR"/>
        </w:rPr>
      </w:pPr>
    </w:p>
    <w:p w:rsidR="00490A99" w:rsidRPr="00FD7558" w:rsidRDefault="00ED4BE7" w:rsidP="008B7911">
      <w:pPr>
        <w:pStyle w:val="Endofdocument-Annex"/>
        <w:rPr>
          <w:lang w:val="fr-CH"/>
        </w:rPr>
      </w:pPr>
      <w:r w:rsidRPr="00FD7558">
        <w:rPr>
          <w:lang w:val="fr-CH"/>
        </w:rPr>
        <w:t>[Fin de l</w:t>
      </w:r>
      <w:r w:rsidR="00FD5C7A">
        <w:rPr>
          <w:lang w:val="fr-CH"/>
        </w:rPr>
        <w:t>’</w:t>
      </w:r>
      <w:r w:rsidRPr="00FD7558">
        <w:rPr>
          <w:lang w:val="fr-CH"/>
        </w:rPr>
        <w:t>annexe et du document]</w:t>
      </w:r>
    </w:p>
    <w:sectPr w:rsidR="00490A99" w:rsidRPr="00FD7558" w:rsidSect="00DD1C9C">
      <w:headerReference w:type="default" r:id="rId19"/>
      <w:headerReference w:type="first" r:id="rId20"/>
      <w:footerReference w:type="first" r:id="rId21"/>
      <w:pgSz w:w="11906" w:h="16838" w:code="9"/>
      <w:pgMar w:top="567" w:right="1134" w:bottom="1418" w:left="1418" w:header="510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B4" w:rsidRDefault="00DC5DB4" w:rsidP="0047187A">
      <w:r>
        <w:separator/>
      </w:r>
    </w:p>
  </w:endnote>
  <w:endnote w:type="continuationSeparator" w:id="0">
    <w:p w:rsidR="00DC5DB4" w:rsidRDefault="00DC5DB4" w:rsidP="0047187A">
      <w:r>
        <w:continuationSeparator/>
      </w:r>
    </w:p>
  </w:endnote>
  <w:endnote w:type="continuationNotice" w:id="1">
    <w:p w:rsidR="00DC5DB4" w:rsidRDefault="00DC5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11" w:rsidRDefault="008B79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11" w:rsidRDefault="008B79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11" w:rsidRDefault="008B791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B4" w:rsidRPr="00DD1C9C" w:rsidRDefault="00DC5DB4" w:rsidP="00DD1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B4" w:rsidRDefault="00DC5DB4" w:rsidP="0047187A">
      <w:r>
        <w:separator/>
      </w:r>
    </w:p>
  </w:footnote>
  <w:footnote w:type="continuationSeparator" w:id="0">
    <w:p w:rsidR="00DC5DB4" w:rsidRDefault="00DC5DB4" w:rsidP="0047187A">
      <w:r>
        <w:continuationSeparator/>
      </w:r>
    </w:p>
  </w:footnote>
  <w:footnote w:type="continuationNotice" w:id="1">
    <w:p w:rsidR="00DC5DB4" w:rsidRDefault="00DC5DB4"/>
  </w:footnote>
  <w:footnote w:id="2">
    <w:p w:rsidR="00DC5DB4" w:rsidRPr="0047187A" w:rsidRDefault="00DC5DB4" w:rsidP="00CE00F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47187A">
        <w:rPr>
          <w:lang w:val="fr-FR"/>
        </w:rPr>
        <w:t xml:space="preserve"> </w:t>
      </w:r>
      <w:r>
        <w:rPr>
          <w:lang w:val="fr-FR"/>
        </w:rPr>
        <w:tab/>
        <w:t>L</w:t>
      </w:r>
      <w:r w:rsidR="00241E58">
        <w:rPr>
          <w:lang w:val="fr-FR"/>
        </w:rPr>
        <w:t>’</w:t>
      </w:r>
      <w:r>
        <w:rPr>
          <w:lang w:val="fr-FR"/>
        </w:rPr>
        <w:t>Office australien des brevets souhaite prolonger sa nomination sans interruption.  Cependant, en raison des procédures conventionnelles internes de l</w:t>
      </w:r>
      <w:r w:rsidR="00241E58">
        <w:rPr>
          <w:lang w:val="fr-FR"/>
        </w:rPr>
        <w:t>’</w:t>
      </w:r>
      <w:r>
        <w:rPr>
          <w:lang w:val="fr-FR"/>
        </w:rPr>
        <w:t>Australie, il pourrait être nécessaire de solliciter une année de prolongation pour l</w:t>
      </w:r>
      <w:r w:rsidR="00241E58">
        <w:rPr>
          <w:lang w:val="fr-FR"/>
        </w:rPr>
        <w:t>’</w:t>
      </w:r>
      <w:r>
        <w:rPr>
          <w:lang w:val="fr-FR"/>
        </w:rPr>
        <w:t>accord actuel, puis d</w:t>
      </w:r>
      <w:r w:rsidR="00241E58">
        <w:rPr>
          <w:lang w:val="fr-FR"/>
        </w:rPr>
        <w:t>’</w:t>
      </w:r>
      <w:r>
        <w:rPr>
          <w:lang w:val="fr-FR"/>
        </w:rPr>
        <w:t>adopter un nouvel accord une fois que le modèle actualisé, en cours de discussion avec d</w:t>
      </w:r>
      <w:r w:rsidR="00241E58">
        <w:rPr>
          <w:lang w:val="fr-FR"/>
        </w:rPr>
        <w:t>’</w:t>
      </w:r>
      <w:r>
        <w:rPr>
          <w:lang w:val="fr-FR"/>
        </w:rPr>
        <w:t xml:space="preserve">autres administrations, aura été communiqué.  </w:t>
      </w:r>
    </w:p>
  </w:footnote>
  <w:footnote w:id="3">
    <w:p w:rsidR="00DC5DB4" w:rsidRPr="0047187A" w:rsidRDefault="00DC5DB4" w:rsidP="00CE00F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47187A">
        <w:rPr>
          <w:lang w:val="fr-FR"/>
        </w:rPr>
        <w:t xml:space="preserve"> </w:t>
      </w:r>
      <w:r>
        <w:rPr>
          <w:lang w:val="fr-FR"/>
        </w:rPr>
        <w:tab/>
        <w:t>Voir, par exemple</w:t>
      </w:r>
      <w:r w:rsidR="00241E58">
        <w:rPr>
          <w:lang w:val="fr-FR"/>
        </w:rPr>
        <w:t> :</w:t>
      </w:r>
      <w:r>
        <w:rPr>
          <w:lang w:val="fr-FR"/>
        </w:rPr>
        <w:t xml:space="preserve"> </w:t>
      </w:r>
      <w:hyperlink r:id="rId1" w:history="1">
        <w:r w:rsidRPr="00620E83">
          <w:rPr>
            <w:rStyle w:val="Hyperlink"/>
            <w:bCs/>
            <w:color w:val="000000"/>
            <w:lang w:val="fr-FR"/>
          </w:rPr>
          <w:t>https://www.ipaustralia.gov.au/tools</w:t>
        </w:r>
        <w:r w:rsidR="00241E58" w:rsidRPr="00620E83">
          <w:rPr>
            <w:rStyle w:val="Hyperlink"/>
            <w:bCs/>
            <w:color w:val="000000"/>
            <w:lang w:val="fr-FR"/>
          </w:rPr>
          <w:t>-</w:t>
        </w:r>
        <w:r w:rsidRPr="00620E83">
          <w:rPr>
            <w:rStyle w:val="Hyperlink"/>
            <w:bCs/>
            <w:color w:val="000000"/>
            <w:lang w:val="fr-FR"/>
          </w:rPr>
          <w:t>resources/publications</w:t>
        </w:r>
        <w:r w:rsidR="00241E58" w:rsidRPr="00620E83">
          <w:rPr>
            <w:rStyle w:val="Hyperlink"/>
            <w:bCs/>
            <w:color w:val="000000"/>
            <w:lang w:val="fr-FR"/>
          </w:rPr>
          <w:t>---</w:t>
        </w:r>
        <w:r w:rsidRPr="00620E83">
          <w:rPr>
            <w:rStyle w:val="Hyperlink"/>
            <w:bCs/>
            <w:color w:val="000000"/>
            <w:lang w:val="fr-FR"/>
          </w:rPr>
          <w:t>reports</w:t>
        </w:r>
      </w:hyperlink>
      <w:r w:rsidRPr="0047187A">
        <w:rPr>
          <w:bCs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11" w:rsidRDefault="008B79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B4" w:rsidRDefault="00DC5DB4" w:rsidP="00257226">
    <w:pPr>
      <w:pStyle w:val="Header"/>
      <w:jc w:val="right"/>
    </w:pPr>
    <w:r>
      <w:t>PCT/CTC/30/4</w:t>
    </w:r>
  </w:p>
  <w:p w:rsidR="00DC5DB4" w:rsidRDefault="00DC5DB4" w:rsidP="00257226">
    <w:pPr>
      <w:pStyle w:val="Header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>PAGE   \* MERGEFORMAT</w:instrText>
    </w:r>
    <w:r>
      <w:fldChar w:fldCharType="separate"/>
    </w:r>
    <w:r w:rsidR="008B7911" w:rsidRPr="008B7911">
      <w:rPr>
        <w:noProof/>
        <w:lang w:val="fr-FR"/>
      </w:rPr>
      <w:t>2</w:t>
    </w:r>
    <w:r>
      <w:fldChar w:fldCharType="end"/>
    </w:r>
  </w:p>
  <w:p w:rsidR="00DC5DB4" w:rsidRDefault="00DC5DB4" w:rsidP="00257226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11" w:rsidRDefault="008B791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B4" w:rsidRPr="00AA5F79" w:rsidRDefault="00DC5DB4" w:rsidP="00DD1C9C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/4</w:t>
    </w:r>
  </w:p>
  <w:p w:rsidR="00DC5DB4" w:rsidRPr="00AA5F79" w:rsidRDefault="00DC5DB4" w:rsidP="00DD1C9C">
    <w:pPr>
      <w:jc w:val="right"/>
      <w:rPr>
        <w:lang w:val="fr-FR"/>
      </w:rPr>
    </w:pPr>
    <w:r w:rsidRPr="00AA5F79">
      <w:rPr>
        <w:lang w:val="fr-FR"/>
      </w:rPr>
      <w:t>Annex</w:t>
    </w:r>
    <w:r>
      <w:rPr>
        <w:lang w:val="fr-FR"/>
      </w:rPr>
      <w:t>e</w:t>
    </w:r>
    <w:r w:rsidRPr="00AA5F79">
      <w:rPr>
        <w:lang w:val="fr-FR"/>
      </w:rPr>
      <w:t>, page</w:t>
    </w:r>
    <w:r>
      <w:rPr>
        <w:lang w:val="fr-FR"/>
      </w:rPr>
      <w:t> 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EA57A8">
      <w:rPr>
        <w:noProof/>
        <w:lang w:val="fr-FR"/>
      </w:rPr>
      <w:t>12</w:t>
    </w:r>
    <w:r>
      <w:fldChar w:fldCharType="end"/>
    </w:r>
  </w:p>
  <w:p w:rsidR="00DC5DB4" w:rsidRPr="00AA5F79" w:rsidRDefault="00DC5DB4" w:rsidP="00DD1C9C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B4" w:rsidRDefault="00DC5DB4" w:rsidP="00DD1C9C">
    <w:pPr>
      <w:pStyle w:val="Header"/>
      <w:jc w:val="right"/>
    </w:pPr>
    <w:r>
      <w:t>PCT/CTC/30/4</w:t>
    </w:r>
  </w:p>
  <w:p w:rsidR="00DC5DB4" w:rsidRDefault="00DC5DB4" w:rsidP="00DD1C9C">
    <w:pPr>
      <w:pStyle w:val="Header"/>
      <w:jc w:val="right"/>
    </w:pPr>
    <w:r>
      <w:t>ANNEXE</w:t>
    </w:r>
  </w:p>
  <w:p w:rsidR="00DC5DB4" w:rsidRDefault="00DC5DB4" w:rsidP="00DD1C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DA43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B77AD4"/>
    <w:multiLevelType w:val="hybridMultilevel"/>
    <w:tmpl w:val="F2E85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BEF"/>
    <w:multiLevelType w:val="hybridMultilevel"/>
    <w:tmpl w:val="6A78E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45C73"/>
    <w:multiLevelType w:val="hybridMultilevel"/>
    <w:tmpl w:val="47085ACC"/>
    <w:lvl w:ilvl="0" w:tplc="98AA17F4">
      <w:start w:val="5"/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43F7"/>
    <w:multiLevelType w:val="hybridMultilevel"/>
    <w:tmpl w:val="3656F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001DC"/>
    <w:multiLevelType w:val="hybridMultilevel"/>
    <w:tmpl w:val="1D989B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094731F"/>
    <w:multiLevelType w:val="hybridMultilevel"/>
    <w:tmpl w:val="9F2CD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4194F"/>
    <w:multiLevelType w:val="hybridMultilevel"/>
    <w:tmpl w:val="332A3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F06F7"/>
    <w:multiLevelType w:val="hybridMultilevel"/>
    <w:tmpl w:val="EA36C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55E99"/>
    <w:multiLevelType w:val="hybridMultilevel"/>
    <w:tmpl w:val="C4DA601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136D7E"/>
    <w:multiLevelType w:val="hybridMultilevel"/>
    <w:tmpl w:val="86668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A64CC"/>
    <w:multiLevelType w:val="hybridMultilevel"/>
    <w:tmpl w:val="4F805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06F59"/>
    <w:multiLevelType w:val="hybridMultilevel"/>
    <w:tmpl w:val="00A64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91601"/>
    <w:multiLevelType w:val="hybridMultilevel"/>
    <w:tmpl w:val="B46C4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6"/>
  </w:num>
  <w:num w:numId="5">
    <w:abstractNumId w:val="13"/>
  </w:num>
  <w:num w:numId="6">
    <w:abstractNumId w:val="4"/>
  </w:num>
  <w:num w:numId="7">
    <w:abstractNumId w:val="9"/>
  </w:num>
  <w:num w:numId="8">
    <w:abstractNumId w:val="15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14"/>
  </w:num>
  <w:num w:numId="14">
    <w:abstractNumId w:val="0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567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C5"/>
    <w:rsid w:val="00010DB4"/>
    <w:rsid w:val="0001478B"/>
    <w:rsid w:val="00021F24"/>
    <w:rsid w:val="000760A0"/>
    <w:rsid w:val="00081CD2"/>
    <w:rsid w:val="000D47F6"/>
    <w:rsid w:val="000E233A"/>
    <w:rsid w:val="000E2A65"/>
    <w:rsid w:val="000E3050"/>
    <w:rsid w:val="0011579B"/>
    <w:rsid w:val="0012676A"/>
    <w:rsid w:val="001340EB"/>
    <w:rsid w:val="0013645A"/>
    <w:rsid w:val="00141DFF"/>
    <w:rsid w:val="00152634"/>
    <w:rsid w:val="001A039D"/>
    <w:rsid w:val="001D6EBB"/>
    <w:rsid w:val="001E1FF0"/>
    <w:rsid w:val="001F4B8B"/>
    <w:rsid w:val="00206805"/>
    <w:rsid w:val="002133CC"/>
    <w:rsid w:val="00215FC9"/>
    <w:rsid w:val="00241E58"/>
    <w:rsid w:val="002506FC"/>
    <w:rsid w:val="00256527"/>
    <w:rsid w:val="00257226"/>
    <w:rsid w:val="00285D8B"/>
    <w:rsid w:val="002A4922"/>
    <w:rsid w:val="002C4BFC"/>
    <w:rsid w:val="002E75EC"/>
    <w:rsid w:val="00300502"/>
    <w:rsid w:val="00301CE4"/>
    <w:rsid w:val="00317134"/>
    <w:rsid w:val="003E479E"/>
    <w:rsid w:val="003E5BEA"/>
    <w:rsid w:val="003F7A1B"/>
    <w:rsid w:val="00417773"/>
    <w:rsid w:val="00426733"/>
    <w:rsid w:val="0043413F"/>
    <w:rsid w:val="0047187A"/>
    <w:rsid w:val="0047706E"/>
    <w:rsid w:val="00490A99"/>
    <w:rsid w:val="00493E14"/>
    <w:rsid w:val="004B0289"/>
    <w:rsid w:val="004C6DCE"/>
    <w:rsid w:val="004E0A52"/>
    <w:rsid w:val="004F31F2"/>
    <w:rsid w:val="005340A2"/>
    <w:rsid w:val="00535BC5"/>
    <w:rsid w:val="00550BFC"/>
    <w:rsid w:val="005A059C"/>
    <w:rsid w:val="005A68DB"/>
    <w:rsid w:val="005B68F7"/>
    <w:rsid w:val="005F6591"/>
    <w:rsid w:val="00620E83"/>
    <w:rsid w:val="00630ACA"/>
    <w:rsid w:val="006669F0"/>
    <w:rsid w:val="00680A2A"/>
    <w:rsid w:val="006908F5"/>
    <w:rsid w:val="006B024A"/>
    <w:rsid w:val="006B4096"/>
    <w:rsid w:val="006E1D51"/>
    <w:rsid w:val="006F47A5"/>
    <w:rsid w:val="00710638"/>
    <w:rsid w:val="00736588"/>
    <w:rsid w:val="00751283"/>
    <w:rsid w:val="00756953"/>
    <w:rsid w:val="007B4D67"/>
    <w:rsid w:val="007C64F6"/>
    <w:rsid w:val="007E2EF4"/>
    <w:rsid w:val="007F71AC"/>
    <w:rsid w:val="00816D3C"/>
    <w:rsid w:val="00856BAA"/>
    <w:rsid w:val="00860E59"/>
    <w:rsid w:val="00896DCD"/>
    <w:rsid w:val="008B29BA"/>
    <w:rsid w:val="008B7911"/>
    <w:rsid w:val="008C3823"/>
    <w:rsid w:val="008D31F0"/>
    <w:rsid w:val="008E04E1"/>
    <w:rsid w:val="008E54E8"/>
    <w:rsid w:val="008E6A23"/>
    <w:rsid w:val="008F1232"/>
    <w:rsid w:val="008F7B3C"/>
    <w:rsid w:val="009020C0"/>
    <w:rsid w:val="00907B43"/>
    <w:rsid w:val="00917E15"/>
    <w:rsid w:val="00945829"/>
    <w:rsid w:val="00977FDA"/>
    <w:rsid w:val="0099215E"/>
    <w:rsid w:val="009B5968"/>
    <w:rsid w:val="009C1464"/>
    <w:rsid w:val="009E177D"/>
    <w:rsid w:val="009E2385"/>
    <w:rsid w:val="009E481C"/>
    <w:rsid w:val="009F3A88"/>
    <w:rsid w:val="00A01C5E"/>
    <w:rsid w:val="00A02576"/>
    <w:rsid w:val="00A13019"/>
    <w:rsid w:val="00A23BA3"/>
    <w:rsid w:val="00A41097"/>
    <w:rsid w:val="00A44FC8"/>
    <w:rsid w:val="00A605C0"/>
    <w:rsid w:val="00A64C27"/>
    <w:rsid w:val="00A701A5"/>
    <w:rsid w:val="00AA0CFE"/>
    <w:rsid w:val="00AB5C57"/>
    <w:rsid w:val="00AC1A23"/>
    <w:rsid w:val="00AC3632"/>
    <w:rsid w:val="00AF1D24"/>
    <w:rsid w:val="00AF208F"/>
    <w:rsid w:val="00B014B6"/>
    <w:rsid w:val="00B26B3F"/>
    <w:rsid w:val="00B34443"/>
    <w:rsid w:val="00B8540D"/>
    <w:rsid w:val="00BA4055"/>
    <w:rsid w:val="00BC4895"/>
    <w:rsid w:val="00BC5E55"/>
    <w:rsid w:val="00BF69F2"/>
    <w:rsid w:val="00C00099"/>
    <w:rsid w:val="00C203E0"/>
    <w:rsid w:val="00C217A4"/>
    <w:rsid w:val="00C254CF"/>
    <w:rsid w:val="00C35611"/>
    <w:rsid w:val="00C44945"/>
    <w:rsid w:val="00C45811"/>
    <w:rsid w:val="00C57892"/>
    <w:rsid w:val="00C651B5"/>
    <w:rsid w:val="00CB703B"/>
    <w:rsid w:val="00CD5909"/>
    <w:rsid w:val="00CE00F9"/>
    <w:rsid w:val="00D07E30"/>
    <w:rsid w:val="00D22859"/>
    <w:rsid w:val="00D3366B"/>
    <w:rsid w:val="00D462FD"/>
    <w:rsid w:val="00D8707A"/>
    <w:rsid w:val="00D91860"/>
    <w:rsid w:val="00D97072"/>
    <w:rsid w:val="00DC0AB1"/>
    <w:rsid w:val="00DC5DB4"/>
    <w:rsid w:val="00DD1C9C"/>
    <w:rsid w:val="00DD3641"/>
    <w:rsid w:val="00DE0260"/>
    <w:rsid w:val="00E4426F"/>
    <w:rsid w:val="00E55992"/>
    <w:rsid w:val="00E678F7"/>
    <w:rsid w:val="00E73E97"/>
    <w:rsid w:val="00EA1036"/>
    <w:rsid w:val="00EA4F1E"/>
    <w:rsid w:val="00EA57A8"/>
    <w:rsid w:val="00EA7B9C"/>
    <w:rsid w:val="00EC788E"/>
    <w:rsid w:val="00ED4BE7"/>
    <w:rsid w:val="00EE5220"/>
    <w:rsid w:val="00EE6BAF"/>
    <w:rsid w:val="00EF6C57"/>
    <w:rsid w:val="00EF74CF"/>
    <w:rsid w:val="00EF7F18"/>
    <w:rsid w:val="00F121F9"/>
    <w:rsid w:val="00F12274"/>
    <w:rsid w:val="00F53EC5"/>
    <w:rsid w:val="00F66B22"/>
    <w:rsid w:val="00F72BFF"/>
    <w:rsid w:val="00F92AC7"/>
    <w:rsid w:val="00FB5E9C"/>
    <w:rsid w:val="00FD5C7A"/>
    <w:rsid w:val="00FD7558"/>
    <w:rsid w:val="00FE4A73"/>
    <w:rsid w:val="00FF1573"/>
    <w:rsid w:val="00FF3144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C8"/>
    <w:pPr>
      <w:spacing w:after="0" w:line="240" w:lineRule="auto"/>
    </w:pPr>
    <w:rPr>
      <w:rFonts w:ascii="Arial" w:eastAsia="SimSun" w:hAnsi="Arial" w:cs="Arial"/>
      <w:szCs w:val="20"/>
      <w:lang w:val="fr-CH"/>
    </w:rPr>
  </w:style>
  <w:style w:type="paragraph" w:styleId="Heading1">
    <w:name w:val="heading 1"/>
    <w:basedOn w:val="Normal"/>
    <w:next w:val="Normal"/>
    <w:link w:val="Heading1Char"/>
    <w:qFormat/>
    <w:rsid w:val="00A44FC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44FC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44FC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44FC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FC8"/>
    <w:pPr>
      <w:ind w:left="720"/>
      <w:contextualSpacing/>
    </w:pPr>
  </w:style>
  <w:style w:type="paragraph" w:customStyle="1" w:styleId="SectionHeading">
    <w:name w:val="Section Heading"/>
    <w:basedOn w:val="Heading1"/>
    <w:link w:val="SectionHeadingChar"/>
    <w:qFormat/>
    <w:rsid w:val="00DD1C9C"/>
    <w:pPr>
      <w:pBdr>
        <w:top w:val="single" w:sz="4" w:space="1" w:color="auto"/>
        <w:bottom w:val="single" w:sz="4" w:space="1" w:color="auto"/>
      </w:pBdr>
      <w:spacing w:before="360" w:after="200"/>
      <w:jc w:val="both"/>
    </w:pPr>
    <w:rPr>
      <w:lang w:val="fr-FR"/>
    </w:rPr>
  </w:style>
  <w:style w:type="character" w:customStyle="1" w:styleId="SectionHeadingChar">
    <w:name w:val="Section Heading Char"/>
    <w:basedOn w:val="DefaultParagraphFont"/>
    <w:link w:val="SectionHeading"/>
    <w:rsid w:val="00DD1C9C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1Char">
    <w:name w:val="Heading 1 Char"/>
    <w:basedOn w:val="DefaultParagraphFont"/>
    <w:link w:val="Heading1"/>
    <w:rsid w:val="00A44FC8"/>
    <w:rPr>
      <w:rFonts w:ascii="Arial" w:eastAsia="SimSun" w:hAnsi="Arial" w:cs="Arial"/>
      <w:b/>
      <w:bCs/>
      <w:caps/>
      <w:kern w:val="32"/>
      <w:szCs w:val="32"/>
      <w:lang w:val="fr-CH"/>
    </w:rPr>
  </w:style>
  <w:style w:type="character" w:styleId="Hyperlink">
    <w:name w:val="Hyperlink"/>
    <w:basedOn w:val="DefaultParagraphFont"/>
    <w:uiPriority w:val="99"/>
    <w:rsid w:val="009020C0"/>
    <w:rPr>
      <w:rFonts w:eastAsiaTheme="minorHAnsi" w:cs="Times New Roman"/>
      <w:lang w:val="en-AU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20C0"/>
  </w:style>
  <w:style w:type="character" w:customStyle="1" w:styleId="DateChar">
    <w:name w:val="Date Char"/>
    <w:basedOn w:val="DefaultParagraphFont"/>
    <w:link w:val="Date"/>
    <w:uiPriority w:val="99"/>
    <w:semiHidden/>
    <w:rsid w:val="009020C0"/>
    <w:rPr>
      <w:rFonts w:ascii="Arial" w:eastAsia="SimSun" w:hAnsi="Arial" w:cs="Arial"/>
      <w:szCs w:val="20"/>
      <w:lang w:val="en-US"/>
    </w:rPr>
  </w:style>
  <w:style w:type="table" w:styleId="TableGrid">
    <w:name w:val="Table Grid"/>
    <w:basedOn w:val="TableNormal"/>
    <w:rsid w:val="001A0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A44FC8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A44FC8"/>
    <w:rPr>
      <w:rFonts w:ascii="Arial" w:eastAsia="SimSun" w:hAnsi="Arial" w:cs="Arial"/>
      <w:sz w:val="18"/>
      <w:szCs w:val="20"/>
      <w:lang w:val="fr-CH"/>
    </w:rPr>
  </w:style>
  <w:style w:type="character" w:styleId="FootnoteReference">
    <w:name w:val="footnote reference"/>
    <w:basedOn w:val="DefaultParagraphFont"/>
    <w:uiPriority w:val="99"/>
    <w:semiHidden/>
    <w:unhideWhenUsed/>
    <w:rsid w:val="0047187A"/>
    <w:rPr>
      <w:vertAlign w:val="superscript"/>
    </w:rPr>
  </w:style>
  <w:style w:type="character" w:styleId="Strong">
    <w:name w:val="Strong"/>
    <w:basedOn w:val="DefaultParagraphFont"/>
    <w:uiPriority w:val="22"/>
    <w:qFormat/>
    <w:rsid w:val="000E2A65"/>
    <w:rPr>
      <w:b/>
      <w:bCs/>
    </w:rPr>
  </w:style>
  <w:style w:type="paragraph" w:styleId="Header">
    <w:name w:val="header"/>
    <w:basedOn w:val="Normal"/>
    <w:link w:val="HeaderChar"/>
    <w:rsid w:val="00A44F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44FC8"/>
    <w:rPr>
      <w:rFonts w:ascii="Arial" w:eastAsia="SimSun" w:hAnsi="Arial" w:cs="Arial"/>
      <w:szCs w:val="20"/>
      <w:lang w:val="fr-CH"/>
    </w:rPr>
  </w:style>
  <w:style w:type="paragraph" w:styleId="Footer">
    <w:name w:val="footer"/>
    <w:basedOn w:val="Normal"/>
    <w:link w:val="FooterChar"/>
    <w:rsid w:val="00A44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4FC8"/>
    <w:rPr>
      <w:rFonts w:ascii="Arial" w:eastAsia="SimSun" w:hAnsi="Arial" w:cs="Arial"/>
      <w:szCs w:val="20"/>
      <w:lang w:val="fr-CH"/>
    </w:rPr>
  </w:style>
  <w:style w:type="paragraph" w:customStyle="1" w:styleId="Endofdocument-Annex">
    <w:name w:val="[End of document - Annex]"/>
    <w:basedOn w:val="Normal"/>
    <w:rsid w:val="00A44FC8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A44FC8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A44FC8"/>
    <w:rPr>
      <w:rFonts w:ascii="Arial" w:eastAsia="SimSun" w:hAnsi="Arial" w:cs="Arial"/>
      <w:szCs w:val="20"/>
      <w:lang w:val="fr-CH"/>
    </w:rPr>
  </w:style>
  <w:style w:type="paragraph" w:styleId="Caption">
    <w:name w:val="caption"/>
    <w:basedOn w:val="Normal"/>
    <w:next w:val="Normal"/>
    <w:qFormat/>
    <w:rsid w:val="00A44FC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44FC8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A44FC8"/>
    <w:rPr>
      <w:rFonts w:ascii="Arial" w:eastAsia="SimSun" w:hAnsi="Arial" w:cs="Arial"/>
      <w:sz w:val="18"/>
      <w:szCs w:val="20"/>
      <w:lang w:val="fr-CH"/>
    </w:rPr>
  </w:style>
  <w:style w:type="paragraph" w:styleId="EndnoteText">
    <w:name w:val="endnote text"/>
    <w:basedOn w:val="Normal"/>
    <w:link w:val="EndnoteTextChar"/>
    <w:semiHidden/>
    <w:rsid w:val="00A44FC8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A44FC8"/>
    <w:rPr>
      <w:rFonts w:ascii="Arial" w:eastAsia="SimSun" w:hAnsi="Arial" w:cs="Arial"/>
      <w:sz w:val="18"/>
      <w:szCs w:val="20"/>
      <w:lang w:val="fr-CH"/>
    </w:rPr>
  </w:style>
  <w:style w:type="character" w:customStyle="1" w:styleId="Heading2Char">
    <w:name w:val="Heading 2 Char"/>
    <w:basedOn w:val="DefaultParagraphFont"/>
    <w:link w:val="Heading2"/>
    <w:rsid w:val="00A44FC8"/>
    <w:rPr>
      <w:rFonts w:ascii="Arial" w:eastAsia="SimSun" w:hAnsi="Arial" w:cs="Arial"/>
      <w:bCs/>
      <w:iCs/>
      <w:caps/>
      <w:szCs w:val="28"/>
      <w:lang w:val="fr-CH"/>
    </w:rPr>
  </w:style>
  <w:style w:type="character" w:customStyle="1" w:styleId="Heading3Char">
    <w:name w:val="Heading 3 Char"/>
    <w:basedOn w:val="DefaultParagraphFont"/>
    <w:link w:val="Heading3"/>
    <w:rsid w:val="00A44FC8"/>
    <w:rPr>
      <w:rFonts w:ascii="Arial" w:eastAsia="SimSun" w:hAnsi="Arial" w:cs="Arial"/>
      <w:bCs/>
      <w:szCs w:val="26"/>
      <w:u w:val="single"/>
      <w:lang w:val="fr-CH"/>
    </w:rPr>
  </w:style>
  <w:style w:type="character" w:customStyle="1" w:styleId="Heading4Char">
    <w:name w:val="Heading 4 Char"/>
    <w:basedOn w:val="DefaultParagraphFont"/>
    <w:link w:val="Heading4"/>
    <w:rsid w:val="00A44FC8"/>
    <w:rPr>
      <w:rFonts w:ascii="Arial" w:eastAsia="SimSun" w:hAnsi="Arial" w:cs="Arial"/>
      <w:bCs/>
      <w:i/>
      <w:szCs w:val="28"/>
      <w:lang w:val="fr-CH"/>
    </w:rPr>
  </w:style>
  <w:style w:type="paragraph" w:styleId="ListNumber">
    <w:name w:val="List Number"/>
    <w:basedOn w:val="Normal"/>
    <w:semiHidden/>
    <w:rsid w:val="00A44FC8"/>
    <w:pPr>
      <w:numPr>
        <w:numId w:val="15"/>
      </w:numPr>
    </w:pPr>
  </w:style>
  <w:style w:type="paragraph" w:customStyle="1" w:styleId="Meetingplacedate">
    <w:name w:val="Meeting place &amp; date"/>
    <w:basedOn w:val="Normal"/>
    <w:next w:val="Normal"/>
    <w:rsid w:val="00A44FC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A44FC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A44FC8"/>
    <w:pPr>
      <w:numPr>
        <w:numId w:val="16"/>
      </w:numPr>
    </w:pPr>
  </w:style>
  <w:style w:type="paragraph" w:customStyle="1" w:styleId="ONUMFS">
    <w:name w:val="ONUM FS"/>
    <w:basedOn w:val="BodyText"/>
    <w:rsid w:val="00A44FC8"/>
    <w:pPr>
      <w:numPr>
        <w:numId w:val="17"/>
      </w:numPr>
    </w:pPr>
  </w:style>
  <w:style w:type="paragraph" w:styleId="Salutation">
    <w:name w:val="Salutation"/>
    <w:basedOn w:val="Normal"/>
    <w:next w:val="Normal"/>
    <w:link w:val="SalutationChar"/>
    <w:semiHidden/>
    <w:rsid w:val="00A44FC8"/>
  </w:style>
  <w:style w:type="character" w:customStyle="1" w:styleId="SalutationChar">
    <w:name w:val="Salutation Char"/>
    <w:basedOn w:val="DefaultParagraphFont"/>
    <w:link w:val="Salutation"/>
    <w:semiHidden/>
    <w:rsid w:val="00A44FC8"/>
    <w:rPr>
      <w:rFonts w:ascii="Arial" w:eastAsia="SimSun" w:hAnsi="Arial" w:cs="Arial"/>
      <w:szCs w:val="20"/>
      <w:lang w:val="fr-CH"/>
    </w:rPr>
  </w:style>
  <w:style w:type="paragraph" w:styleId="Signature">
    <w:name w:val="Signature"/>
    <w:basedOn w:val="Normal"/>
    <w:link w:val="SignatureChar"/>
    <w:semiHidden/>
    <w:rsid w:val="00A44FC8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A44FC8"/>
    <w:rPr>
      <w:rFonts w:ascii="Arial" w:eastAsia="SimSun" w:hAnsi="Arial" w:cs="Arial"/>
      <w:szCs w:val="20"/>
      <w:lang w:val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7D"/>
    <w:rPr>
      <w:rFonts w:ascii="Tahoma" w:eastAsia="SimSun" w:hAnsi="Tahoma" w:cs="Tahoma"/>
      <w:sz w:val="16"/>
      <w:szCs w:val="16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C8"/>
    <w:pPr>
      <w:spacing w:after="0" w:line="240" w:lineRule="auto"/>
    </w:pPr>
    <w:rPr>
      <w:rFonts w:ascii="Arial" w:eastAsia="SimSun" w:hAnsi="Arial" w:cs="Arial"/>
      <w:szCs w:val="20"/>
      <w:lang w:val="fr-CH"/>
    </w:rPr>
  </w:style>
  <w:style w:type="paragraph" w:styleId="Heading1">
    <w:name w:val="heading 1"/>
    <w:basedOn w:val="Normal"/>
    <w:next w:val="Normal"/>
    <w:link w:val="Heading1Char"/>
    <w:qFormat/>
    <w:rsid w:val="00A44FC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44FC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44FC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44FC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FC8"/>
    <w:pPr>
      <w:ind w:left="720"/>
      <w:contextualSpacing/>
    </w:pPr>
  </w:style>
  <w:style w:type="paragraph" w:customStyle="1" w:styleId="SectionHeading">
    <w:name w:val="Section Heading"/>
    <w:basedOn w:val="Heading1"/>
    <w:link w:val="SectionHeadingChar"/>
    <w:qFormat/>
    <w:rsid w:val="00DD1C9C"/>
    <w:pPr>
      <w:pBdr>
        <w:top w:val="single" w:sz="4" w:space="1" w:color="auto"/>
        <w:bottom w:val="single" w:sz="4" w:space="1" w:color="auto"/>
      </w:pBdr>
      <w:spacing w:before="360" w:after="200"/>
      <w:jc w:val="both"/>
    </w:pPr>
    <w:rPr>
      <w:lang w:val="fr-FR"/>
    </w:rPr>
  </w:style>
  <w:style w:type="character" w:customStyle="1" w:styleId="SectionHeadingChar">
    <w:name w:val="Section Heading Char"/>
    <w:basedOn w:val="DefaultParagraphFont"/>
    <w:link w:val="SectionHeading"/>
    <w:rsid w:val="00DD1C9C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1Char">
    <w:name w:val="Heading 1 Char"/>
    <w:basedOn w:val="DefaultParagraphFont"/>
    <w:link w:val="Heading1"/>
    <w:rsid w:val="00A44FC8"/>
    <w:rPr>
      <w:rFonts w:ascii="Arial" w:eastAsia="SimSun" w:hAnsi="Arial" w:cs="Arial"/>
      <w:b/>
      <w:bCs/>
      <w:caps/>
      <w:kern w:val="32"/>
      <w:szCs w:val="32"/>
      <w:lang w:val="fr-CH"/>
    </w:rPr>
  </w:style>
  <w:style w:type="character" w:styleId="Hyperlink">
    <w:name w:val="Hyperlink"/>
    <w:basedOn w:val="DefaultParagraphFont"/>
    <w:uiPriority w:val="99"/>
    <w:rsid w:val="009020C0"/>
    <w:rPr>
      <w:rFonts w:eastAsiaTheme="minorHAnsi" w:cs="Times New Roman"/>
      <w:lang w:val="en-AU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20C0"/>
  </w:style>
  <w:style w:type="character" w:customStyle="1" w:styleId="DateChar">
    <w:name w:val="Date Char"/>
    <w:basedOn w:val="DefaultParagraphFont"/>
    <w:link w:val="Date"/>
    <w:uiPriority w:val="99"/>
    <w:semiHidden/>
    <w:rsid w:val="009020C0"/>
    <w:rPr>
      <w:rFonts w:ascii="Arial" w:eastAsia="SimSun" w:hAnsi="Arial" w:cs="Arial"/>
      <w:szCs w:val="20"/>
      <w:lang w:val="en-US"/>
    </w:rPr>
  </w:style>
  <w:style w:type="table" w:styleId="TableGrid">
    <w:name w:val="Table Grid"/>
    <w:basedOn w:val="TableNormal"/>
    <w:rsid w:val="001A0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A44FC8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A44FC8"/>
    <w:rPr>
      <w:rFonts w:ascii="Arial" w:eastAsia="SimSun" w:hAnsi="Arial" w:cs="Arial"/>
      <w:sz w:val="18"/>
      <w:szCs w:val="20"/>
      <w:lang w:val="fr-CH"/>
    </w:rPr>
  </w:style>
  <w:style w:type="character" w:styleId="FootnoteReference">
    <w:name w:val="footnote reference"/>
    <w:basedOn w:val="DefaultParagraphFont"/>
    <w:uiPriority w:val="99"/>
    <w:semiHidden/>
    <w:unhideWhenUsed/>
    <w:rsid w:val="0047187A"/>
    <w:rPr>
      <w:vertAlign w:val="superscript"/>
    </w:rPr>
  </w:style>
  <w:style w:type="character" w:styleId="Strong">
    <w:name w:val="Strong"/>
    <w:basedOn w:val="DefaultParagraphFont"/>
    <w:uiPriority w:val="22"/>
    <w:qFormat/>
    <w:rsid w:val="000E2A65"/>
    <w:rPr>
      <w:b/>
      <w:bCs/>
    </w:rPr>
  </w:style>
  <w:style w:type="paragraph" w:styleId="Header">
    <w:name w:val="header"/>
    <w:basedOn w:val="Normal"/>
    <w:link w:val="HeaderChar"/>
    <w:rsid w:val="00A44F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44FC8"/>
    <w:rPr>
      <w:rFonts w:ascii="Arial" w:eastAsia="SimSun" w:hAnsi="Arial" w:cs="Arial"/>
      <w:szCs w:val="20"/>
      <w:lang w:val="fr-CH"/>
    </w:rPr>
  </w:style>
  <w:style w:type="paragraph" w:styleId="Footer">
    <w:name w:val="footer"/>
    <w:basedOn w:val="Normal"/>
    <w:link w:val="FooterChar"/>
    <w:rsid w:val="00A44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4FC8"/>
    <w:rPr>
      <w:rFonts w:ascii="Arial" w:eastAsia="SimSun" w:hAnsi="Arial" w:cs="Arial"/>
      <w:szCs w:val="20"/>
      <w:lang w:val="fr-CH"/>
    </w:rPr>
  </w:style>
  <w:style w:type="paragraph" w:customStyle="1" w:styleId="Endofdocument-Annex">
    <w:name w:val="[End of document - Annex]"/>
    <w:basedOn w:val="Normal"/>
    <w:rsid w:val="00A44FC8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A44FC8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A44FC8"/>
    <w:rPr>
      <w:rFonts w:ascii="Arial" w:eastAsia="SimSun" w:hAnsi="Arial" w:cs="Arial"/>
      <w:szCs w:val="20"/>
      <w:lang w:val="fr-CH"/>
    </w:rPr>
  </w:style>
  <w:style w:type="paragraph" w:styleId="Caption">
    <w:name w:val="caption"/>
    <w:basedOn w:val="Normal"/>
    <w:next w:val="Normal"/>
    <w:qFormat/>
    <w:rsid w:val="00A44FC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44FC8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A44FC8"/>
    <w:rPr>
      <w:rFonts w:ascii="Arial" w:eastAsia="SimSun" w:hAnsi="Arial" w:cs="Arial"/>
      <w:sz w:val="18"/>
      <w:szCs w:val="20"/>
      <w:lang w:val="fr-CH"/>
    </w:rPr>
  </w:style>
  <w:style w:type="paragraph" w:styleId="EndnoteText">
    <w:name w:val="endnote text"/>
    <w:basedOn w:val="Normal"/>
    <w:link w:val="EndnoteTextChar"/>
    <w:semiHidden/>
    <w:rsid w:val="00A44FC8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A44FC8"/>
    <w:rPr>
      <w:rFonts w:ascii="Arial" w:eastAsia="SimSun" w:hAnsi="Arial" w:cs="Arial"/>
      <w:sz w:val="18"/>
      <w:szCs w:val="20"/>
      <w:lang w:val="fr-CH"/>
    </w:rPr>
  </w:style>
  <w:style w:type="character" w:customStyle="1" w:styleId="Heading2Char">
    <w:name w:val="Heading 2 Char"/>
    <w:basedOn w:val="DefaultParagraphFont"/>
    <w:link w:val="Heading2"/>
    <w:rsid w:val="00A44FC8"/>
    <w:rPr>
      <w:rFonts w:ascii="Arial" w:eastAsia="SimSun" w:hAnsi="Arial" w:cs="Arial"/>
      <w:bCs/>
      <w:iCs/>
      <w:caps/>
      <w:szCs w:val="28"/>
      <w:lang w:val="fr-CH"/>
    </w:rPr>
  </w:style>
  <w:style w:type="character" w:customStyle="1" w:styleId="Heading3Char">
    <w:name w:val="Heading 3 Char"/>
    <w:basedOn w:val="DefaultParagraphFont"/>
    <w:link w:val="Heading3"/>
    <w:rsid w:val="00A44FC8"/>
    <w:rPr>
      <w:rFonts w:ascii="Arial" w:eastAsia="SimSun" w:hAnsi="Arial" w:cs="Arial"/>
      <w:bCs/>
      <w:szCs w:val="26"/>
      <w:u w:val="single"/>
      <w:lang w:val="fr-CH"/>
    </w:rPr>
  </w:style>
  <w:style w:type="character" w:customStyle="1" w:styleId="Heading4Char">
    <w:name w:val="Heading 4 Char"/>
    <w:basedOn w:val="DefaultParagraphFont"/>
    <w:link w:val="Heading4"/>
    <w:rsid w:val="00A44FC8"/>
    <w:rPr>
      <w:rFonts w:ascii="Arial" w:eastAsia="SimSun" w:hAnsi="Arial" w:cs="Arial"/>
      <w:bCs/>
      <w:i/>
      <w:szCs w:val="28"/>
      <w:lang w:val="fr-CH"/>
    </w:rPr>
  </w:style>
  <w:style w:type="paragraph" w:styleId="ListNumber">
    <w:name w:val="List Number"/>
    <w:basedOn w:val="Normal"/>
    <w:semiHidden/>
    <w:rsid w:val="00A44FC8"/>
    <w:pPr>
      <w:numPr>
        <w:numId w:val="15"/>
      </w:numPr>
    </w:pPr>
  </w:style>
  <w:style w:type="paragraph" w:customStyle="1" w:styleId="Meetingplacedate">
    <w:name w:val="Meeting place &amp; date"/>
    <w:basedOn w:val="Normal"/>
    <w:next w:val="Normal"/>
    <w:rsid w:val="00A44FC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A44FC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A44FC8"/>
    <w:pPr>
      <w:numPr>
        <w:numId w:val="16"/>
      </w:numPr>
    </w:pPr>
  </w:style>
  <w:style w:type="paragraph" w:customStyle="1" w:styleId="ONUMFS">
    <w:name w:val="ONUM FS"/>
    <w:basedOn w:val="BodyText"/>
    <w:rsid w:val="00A44FC8"/>
    <w:pPr>
      <w:numPr>
        <w:numId w:val="17"/>
      </w:numPr>
    </w:pPr>
  </w:style>
  <w:style w:type="paragraph" w:styleId="Salutation">
    <w:name w:val="Salutation"/>
    <w:basedOn w:val="Normal"/>
    <w:next w:val="Normal"/>
    <w:link w:val="SalutationChar"/>
    <w:semiHidden/>
    <w:rsid w:val="00A44FC8"/>
  </w:style>
  <w:style w:type="character" w:customStyle="1" w:styleId="SalutationChar">
    <w:name w:val="Salutation Char"/>
    <w:basedOn w:val="DefaultParagraphFont"/>
    <w:link w:val="Salutation"/>
    <w:semiHidden/>
    <w:rsid w:val="00A44FC8"/>
    <w:rPr>
      <w:rFonts w:ascii="Arial" w:eastAsia="SimSun" w:hAnsi="Arial" w:cs="Arial"/>
      <w:szCs w:val="20"/>
      <w:lang w:val="fr-CH"/>
    </w:rPr>
  </w:style>
  <w:style w:type="paragraph" w:styleId="Signature">
    <w:name w:val="Signature"/>
    <w:basedOn w:val="Normal"/>
    <w:link w:val="SignatureChar"/>
    <w:semiHidden/>
    <w:rsid w:val="00A44FC8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A44FC8"/>
    <w:rPr>
      <w:rFonts w:ascii="Arial" w:eastAsia="SimSun" w:hAnsi="Arial" w:cs="Arial"/>
      <w:szCs w:val="20"/>
      <w:lang w:val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7D"/>
    <w:rPr>
      <w:rFonts w:ascii="Tahoma" w:eastAsia="SimSun" w:hAnsi="Tahoma" w:cs="Tahoma"/>
      <w:sz w:val="16"/>
      <w:szCs w:val="1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wipo.int/pct/en/quality/authoriti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tin.devlin@ipaustralia.gov.au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paustralia.gov.au/tools-resources/publications---repor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C974-2CFE-46E4-9CFC-8D2B77F8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5474</Words>
  <Characters>29454</Characters>
  <Application>Microsoft Office Word</Application>
  <DocSecurity>0</DocSecurity>
  <Lines>9818</Lines>
  <Paragraphs>2686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32242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PCT/CTC/30/4</dc:title>
  <dc:subject>Extension of Appointment of IP Australia as an International Searching and Preliminary Examining Authority Under the PCT</dc:subject>
  <dc:creator>anaïs</dc:creator>
  <cp:keywords>AR/ko</cp:keywords>
  <cp:lastModifiedBy>MARLOW Thomas</cp:lastModifiedBy>
  <cp:revision>4</cp:revision>
  <cp:lastPrinted>2017-04-04T14:20:00Z</cp:lastPrinted>
  <dcterms:created xsi:type="dcterms:W3CDTF">2017-04-10T11:30:00Z</dcterms:created>
  <dcterms:modified xsi:type="dcterms:W3CDTF">2017-04-10T11:34:00Z</dcterms:modified>
</cp:coreProperties>
</file>