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4916FD" w:rsidRPr="00B65BAD" w:rsidTr="002F3F9E">
        <w:tc>
          <w:tcPr>
            <w:tcW w:w="4513" w:type="dxa"/>
            <w:tcBorders>
              <w:bottom w:val="single" w:sz="4" w:space="0" w:color="auto"/>
            </w:tcBorders>
            <w:tcMar>
              <w:bottom w:w="170" w:type="dxa"/>
            </w:tcMar>
          </w:tcPr>
          <w:p w:rsidR="004916FD" w:rsidRPr="00B65BAD" w:rsidRDefault="004916FD" w:rsidP="002F3F9E">
            <w:pPr>
              <w:rPr>
                <w:lang w:val="fr-FR"/>
              </w:rPr>
            </w:pPr>
            <w:bookmarkStart w:id="0" w:name="TitleOfDoc"/>
            <w:bookmarkEnd w:id="0"/>
          </w:p>
        </w:tc>
        <w:tc>
          <w:tcPr>
            <w:tcW w:w="4337" w:type="dxa"/>
            <w:tcBorders>
              <w:bottom w:val="single" w:sz="4" w:space="0" w:color="auto"/>
            </w:tcBorders>
            <w:tcMar>
              <w:left w:w="0" w:type="dxa"/>
              <w:right w:w="0" w:type="dxa"/>
            </w:tcMar>
          </w:tcPr>
          <w:p w:rsidR="004916FD" w:rsidRPr="00B65BAD" w:rsidRDefault="004916FD" w:rsidP="002F3F9E">
            <w:pPr>
              <w:rPr>
                <w:lang w:val="fr-FR"/>
              </w:rPr>
            </w:pPr>
            <w:r w:rsidRPr="00B65BAD">
              <w:rPr>
                <w:noProof/>
                <w:lang w:eastAsia="en-US"/>
              </w:rPr>
              <w:drawing>
                <wp:inline distT="0" distB="0" distL="0" distR="0" wp14:anchorId="11ABA66F" wp14:editId="011CA4C7">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4916FD" w:rsidRPr="00B65BAD" w:rsidRDefault="004916FD" w:rsidP="002F3F9E">
            <w:pPr>
              <w:jc w:val="right"/>
              <w:rPr>
                <w:lang w:val="fr-FR"/>
              </w:rPr>
            </w:pPr>
            <w:r w:rsidRPr="00B65BAD">
              <w:rPr>
                <w:b/>
                <w:sz w:val="40"/>
                <w:szCs w:val="40"/>
                <w:lang w:val="fr-FR"/>
              </w:rPr>
              <w:t>F</w:t>
            </w:r>
          </w:p>
        </w:tc>
      </w:tr>
      <w:tr w:rsidR="004916FD" w:rsidRPr="00B65BAD" w:rsidTr="002F3F9E">
        <w:trPr>
          <w:trHeight w:hRule="exact" w:val="357"/>
        </w:trPr>
        <w:tc>
          <w:tcPr>
            <w:tcW w:w="9356" w:type="dxa"/>
            <w:gridSpan w:val="3"/>
            <w:tcBorders>
              <w:top w:val="single" w:sz="4" w:space="0" w:color="auto"/>
            </w:tcBorders>
            <w:tcMar>
              <w:top w:w="170" w:type="dxa"/>
              <w:left w:w="0" w:type="dxa"/>
              <w:right w:w="0" w:type="dxa"/>
            </w:tcMar>
            <w:vAlign w:val="bottom"/>
          </w:tcPr>
          <w:p w:rsidR="004916FD" w:rsidRPr="00B65BAD" w:rsidRDefault="004916FD" w:rsidP="002F3F9E">
            <w:pPr>
              <w:jc w:val="right"/>
              <w:rPr>
                <w:rFonts w:ascii="Arial Black" w:hAnsi="Arial Black"/>
                <w:caps/>
                <w:sz w:val="15"/>
                <w:lang w:val="fr-FR"/>
              </w:rPr>
            </w:pPr>
            <w:r w:rsidRPr="00B65BAD">
              <w:rPr>
                <w:rFonts w:ascii="Arial Black" w:hAnsi="Arial Black"/>
                <w:caps/>
                <w:sz w:val="15"/>
                <w:lang w:val="fr-FR"/>
              </w:rPr>
              <w:t>PCT/CTC/30/</w:t>
            </w:r>
            <w:bookmarkStart w:id="1" w:name="Code"/>
            <w:bookmarkEnd w:id="1"/>
            <w:r w:rsidRPr="00B65BAD">
              <w:rPr>
                <w:rFonts w:ascii="Arial Black" w:hAnsi="Arial Black"/>
                <w:caps/>
                <w:sz w:val="15"/>
                <w:lang w:val="fr-FR"/>
              </w:rPr>
              <w:t>24</w:t>
            </w:r>
          </w:p>
        </w:tc>
      </w:tr>
      <w:tr w:rsidR="004916FD" w:rsidRPr="00B65BAD" w:rsidTr="002F3F9E">
        <w:trPr>
          <w:trHeight w:hRule="exact" w:val="170"/>
        </w:trPr>
        <w:tc>
          <w:tcPr>
            <w:tcW w:w="9356" w:type="dxa"/>
            <w:gridSpan w:val="3"/>
            <w:noWrap/>
            <w:tcMar>
              <w:left w:w="0" w:type="dxa"/>
              <w:right w:w="0" w:type="dxa"/>
            </w:tcMar>
            <w:vAlign w:val="bottom"/>
          </w:tcPr>
          <w:p w:rsidR="004916FD" w:rsidRPr="00B65BAD" w:rsidRDefault="004916FD" w:rsidP="002F3F9E">
            <w:pPr>
              <w:jc w:val="right"/>
              <w:rPr>
                <w:rFonts w:ascii="Arial Black" w:hAnsi="Arial Black"/>
                <w:caps/>
                <w:sz w:val="15"/>
                <w:lang w:val="fr-FR"/>
              </w:rPr>
            </w:pPr>
            <w:r w:rsidRPr="00B65BAD">
              <w:rPr>
                <w:rFonts w:ascii="Arial Black" w:hAnsi="Arial Black"/>
                <w:caps/>
                <w:sz w:val="15"/>
                <w:lang w:val="fr-FR"/>
              </w:rPr>
              <w:t xml:space="preserve">ORIGINAL : </w:t>
            </w:r>
            <w:bookmarkStart w:id="2" w:name="Original"/>
            <w:bookmarkEnd w:id="2"/>
            <w:r w:rsidRPr="00B65BAD">
              <w:rPr>
                <w:rFonts w:ascii="Arial Black" w:hAnsi="Arial Black"/>
                <w:caps/>
                <w:sz w:val="15"/>
                <w:lang w:val="fr-FR"/>
              </w:rPr>
              <w:t>anglais</w:t>
            </w:r>
          </w:p>
        </w:tc>
      </w:tr>
      <w:tr w:rsidR="004916FD" w:rsidRPr="00B65BAD" w:rsidTr="002F3F9E">
        <w:trPr>
          <w:trHeight w:hRule="exact" w:val="198"/>
        </w:trPr>
        <w:tc>
          <w:tcPr>
            <w:tcW w:w="9356" w:type="dxa"/>
            <w:gridSpan w:val="3"/>
            <w:tcMar>
              <w:left w:w="0" w:type="dxa"/>
              <w:right w:w="0" w:type="dxa"/>
            </w:tcMar>
            <w:vAlign w:val="bottom"/>
          </w:tcPr>
          <w:p w:rsidR="004916FD" w:rsidRPr="00B65BAD" w:rsidRDefault="004916FD" w:rsidP="002F3F9E">
            <w:pPr>
              <w:jc w:val="right"/>
              <w:rPr>
                <w:rFonts w:ascii="Arial Black" w:hAnsi="Arial Black"/>
                <w:caps/>
                <w:sz w:val="15"/>
                <w:lang w:val="fr-FR"/>
              </w:rPr>
            </w:pPr>
            <w:r w:rsidRPr="00B65BAD">
              <w:rPr>
                <w:rFonts w:ascii="Arial Black" w:hAnsi="Arial Black"/>
                <w:caps/>
                <w:sz w:val="15"/>
                <w:lang w:val="fr-FR"/>
              </w:rPr>
              <w:t xml:space="preserve">DATE : </w:t>
            </w:r>
            <w:bookmarkStart w:id="3" w:name="Date"/>
            <w:bookmarkEnd w:id="3"/>
            <w:r w:rsidRPr="00B65BAD">
              <w:rPr>
                <w:rFonts w:ascii="Arial Black" w:hAnsi="Arial Black"/>
                <w:caps/>
                <w:sz w:val="15"/>
                <w:lang w:val="fr-FR"/>
              </w:rPr>
              <w:t>16 mars 2017</w:t>
            </w:r>
          </w:p>
        </w:tc>
      </w:tr>
    </w:tbl>
    <w:p w:rsidR="004916FD" w:rsidRPr="00B65BAD" w:rsidRDefault="004916FD" w:rsidP="004916FD">
      <w:pPr>
        <w:rPr>
          <w:lang w:val="fr-FR"/>
        </w:rPr>
      </w:pPr>
    </w:p>
    <w:p w:rsidR="004916FD" w:rsidRPr="00B65BAD" w:rsidRDefault="004916FD" w:rsidP="004916FD">
      <w:pPr>
        <w:rPr>
          <w:lang w:val="fr-FR"/>
        </w:rPr>
      </w:pPr>
    </w:p>
    <w:p w:rsidR="004916FD" w:rsidRPr="00B65BAD" w:rsidRDefault="004916FD" w:rsidP="004916FD">
      <w:pPr>
        <w:rPr>
          <w:lang w:val="fr-FR"/>
        </w:rPr>
      </w:pPr>
    </w:p>
    <w:p w:rsidR="004916FD" w:rsidRPr="00B65BAD" w:rsidRDefault="004916FD" w:rsidP="004916FD">
      <w:pPr>
        <w:rPr>
          <w:lang w:val="fr-FR"/>
        </w:rPr>
      </w:pPr>
    </w:p>
    <w:p w:rsidR="004916FD" w:rsidRPr="00B65BAD" w:rsidRDefault="004916FD" w:rsidP="004916FD">
      <w:pPr>
        <w:rPr>
          <w:lang w:val="fr-FR"/>
        </w:rPr>
      </w:pPr>
    </w:p>
    <w:p w:rsidR="004916FD" w:rsidRPr="00B65BAD" w:rsidRDefault="004916FD" w:rsidP="004916FD">
      <w:pPr>
        <w:rPr>
          <w:b/>
          <w:sz w:val="28"/>
          <w:szCs w:val="28"/>
          <w:lang w:val="fr-FR"/>
        </w:rPr>
      </w:pPr>
      <w:r w:rsidRPr="00B65BAD">
        <w:rPr>
          <w:b/>
          <w:sz w:val="28"/>
          <w:szCs w:val="28"/>
          <w:lang w:val="fr-FR"/>
        </w:rPr>
        <w:t>Traité de coopération en matière de brevets (PCT)</w:t>
      </w:r>
    </w:p>
    <w:p w:rsidR="004916FD" w:rsidRPr="00B65BAD" w:rsidRDefault="004916FD" w:rsidP="004916FD">
      <w:pPr>
        <w:rPr>
          <w:b/>
          <w:sz w:val="28"/>
          <w:szCs w:val="28"/>
          <w:lang w:val="fr-FR"/>
        </w:rPr>
      </w:pPr>
      <w:r w:rsidRPr="00B65BAD">
        <w:rPr>
          <w:b/>
          <w:sz w:val="28"/>
          <w:szCs w:val="28"/>
          <w:lang w:val="fr-FR"/>
        </w:rPr>
        <w:t>Comité de coopération technique</w:t>
      </w:r>
    </w:p>
    <w:p w:rsidR="004916FD" w:rsidRPr="00B65BAD" w:rsidRDefault="004916FD" w:rsidP="004916FD">
      <w:pPr>
        <w:rPr>
          <w:lang w:val="fr-FR"/>
        </w:rPr>
      </w:pPr>
    </w:p>
    <w:p w:rsidR="004916FD" w:rsidRPr="00B65BAD" w:rsidRDefault="004916FD" w:rsidP="004916FD">
      <w:pPr>
        <w:rPr>
          <w:lang w:val="fr-FR"/>
        </w:rPr>
      </w:pPr>
    </w:p>
    <w:p w:rsidR="004916FD" w:rsidRPr="00B65BAD" w:rsidRDefault="004916FD" w:rsidP="004916FD">
      <w:pPr>
        <w:rPr>
          <w:b/>
          <w:sz w:val="24"/>
          <w:szCs w:val="24"/>
          <w:lang w:val="fr-FR"/>
        </w:rPr>
      </w:pPr>
      <w:r w:rsidRPr="00B65BAD">
        <w:rPr>
          <w:b/>
          <w:sz w:val="24"/>
          <w:szCs w:val="24"/>
          <w:lang w:val="fr-FR"/>
        </w:rPr>
        <w:t>Trentième session</w:t>
      </w:r>
    </w:p>
    <w:p w:rsidR="004916FD" w:rsidRPr="00B65BAD" w:rsidRDefault="004916FD" w:rsidP="004916FD">
      <w:pPr>
        <w:rPr>
          <w:b/>
          <w:sz w:val="24"/>
          <w:szCs w:val="24"/>
          <w:lang w:val="fr-FR"/>
        </w:rPr>
      </w:pPr>
      <w:r w:rsidRPr="00B65BAD">
        <w:rPr>
          <w:b/>
          <w:sz w:val="24"/>
          <w:szCs w:val="24"/>
          <w:lang w:val="fr-FR"/>
        </w:rPr>
        <w:t>Genève, 8 – 12 mai 2017</w:t>
      </w:r>
    </w:p>
    <w:p w:rsidR="004916FD" w:rsidRPr="00B65BAD" w:rsidRDefault="004916FD" w:rsidP="004916FD">
      <w:pPr>
        <w:rPr>
          <w:lang w:val="fr-FR"/>
        </w:rPr>
      </w:pPr>
    </w:p>
    <w:p w:rsidR="004916FD" w:rsidRPr="00B65BAD" w:rsidRDefault="004916FD" w:rsidP="004916FD">
      <w:pPr>
        <w:rPr>
          <w:lang w:val="fr-FR"/>
        </w:rPr>
      </w:pPr>
    </w:p>
    <w:p w:rsidR="004916FD" w:rsidRPr="00B65BAD" w:rsidRDefault="004916FD" w:rsidP="004916FD">
      <w:pPr>
        <w:rPr>
          <w:lang w:val="fr-FR"/>
        </w:rPr>
      </w:pPr>
    </w:p>
    <w:p w:rsidR="00CD34C1" w:rsidRPr="00A970DC" w:rsidRDefault="00000EC6" w:rsidP="00A970DC">
      <w:pPr>
        <w:rPr>
          <w:caps/>
          <w:sz w:val="24"/>
          <w:lang w:val="fr-FR"/>
        </w:rPr>
      </w:pPr>
      <w:r w:rsidRPr="00A970DC">
        <w:rPr>
          <w:caps/>
          <w:sz w:val="24"/>
          <w:lang w:val="fr-FR"/>
        </w:rPr>
        <w:t>Prolongation de la nomination de l</w:t>
      </w:r>
      <w:r w:rsidR="004916FD" w:rsidRPr="00A970DC">
        <w:rPr>
          <w:caps/>
          <w:sz w:val="24"/>
          <w:lang w:val="fr-FR"/>
        </w:rPr>
        <w:t>’</w:t>
      </w:r>
      <w:r w:rsidRPr="00A970DC">
        <w:rPr>
          <w:caps/>
          <w:sz w:val="24"/>
          <w:lang w:val="fr-FR"/>
        </w:rPr>
        <w:t>Institut des brevets de Visegrad en qualité d</w:t>
      </w:r>
      <w:r w:rsidR="004916FD" w:rsidRPr="00A970DC">
        <w:rPr>
          <w:caps/>
          <w:sz w:val="24"/>
          <w:lang w:val="fr-FR"/>
        </w:rPr>
        <w:t>’</w:t>
      </w:r>
      <w:r w:rsidRPr="00A970DC">
        <w:rPr>
          <w:caps/>
          <w:sz w:val="24"/>
          <w:lang w:val="fr-FR"/>
        </w:rPr>
        <w:t>administration chargée de la recherche internationale et</w:t>
      </w:r>
      <w:r w:rsidR="00545211" w:rsidRPr="00A970DC">
        <w:rPr>
          <w:caps/>
          <w:sz w:val="24"/>
          <w:lang w:val="fr-FR"/>
        </w:rPr>
        <w:t xml:space="preserve"> </w:t>
      </w:r>
      <w:r w:rsidRPr="00A970DC">
        <w:rPr>
          <w:caps/>
          <w:sz w:val="24"/>
          <w:lang w:val="fr-FR"/>
        </w:rPr>
        <w:t>de l</w:t>
      </w:r>
      <w:r w:rsidR="004916FD" w:rsidRPr="00A970DC">
        <w:rPr>
          <w:caps/>
          <w:sz w:val="24"/>
          <w:lang w:val="fr-FR"/>
        </w:rPr>
        <w:t>’</w:t>
      </w:r>
      <w:r w:rsidRPr="00A970DC">
        <w:rPr>
          <w:caps/>
          <w:sz w:val="24"/>
          <w:lang w:val="fr-FR"/>
        </w:rPr>
        <w:t>examen préliminaire international selon</w:t>
      </w:r>
      <w:r w:rsidR="004916FD" w:rsidRPr="00A970DC">
        <w:rPr>
          <w:caps/>
          <w:sz w:val="24"/>
          <w:lang w:val="fr-FR"/>
        </w:rPr>
        <w:t xml:space="preserve"> le PCT</w:t>
      </w:r>
    </w:p>
    <w:p w:rsidR="00CD34C1" w:rsidRPr="00A970DC" w:rsidRDefault="00CD34C1" w:rsidP="00A970DC">
      <w:pPr>
        <w:rPr>
          <w:lang w:val="fr-FR"/>
        </w:rPr>
      </w:pPr>
    </w:p>
    <w:p w:rsidR="00CD34C1" w:rsidRPr="00A970DC" w:rsidRDefault="00000EC6" w:rsidP="00A970DC">
      <w:pPr>
        <w:rPr>
          <w:i/>
          <w:lang w:val="fr-FR"/>
        </w:rPr>
      </w:pPr>
      <w:bookmarkStart w:id="4" w:name="Prepared"/>
      <w:bookmarkEnd w:id="4"/>
      <w:r w:rsidRPr="00A970DC">
        <w:rPr>
          <w:i/>
          <w:lang w:val="fr-FR"/>
        </w:rPr>
        <w:t>Document établi par le Bureau international</w:t>
      </w:r>
    </w:p>
    <w:p w:rsidR="00CD34C1" w:rsidRPr="00A970DC" w:rsidRDefault="00CD34C1" w:rsidP="00A970DC">
      <w:pPr>
        <w:rPr>
          <w:lang w:val="fr-FR"/>
        </w:rPr>
      </w:pPr>
    </w:p>
    <w:p w:rsidR="00CD34C1" w:rsidRPr="00A970DC" w:rsidRDefault="00CD34C1" w:rsidP="00A970DC">
      <w:pPr>
        <w:rPr>
          <w:lang w:val="fr-FR"/>
        </w:rPr>
      </w:pPr>
    </w:p>
    <w:p w:rsidR="00CD34C1" w:rsidRPr="00A970DC" w:rsidRDefault="00CD34C1" w:rsidP="00A970DC">
      <w:pPr>
        <w:rPr>
          <w:lang w:val="fr-FR"/>
        </w:rPr>
      </w:pPr>
    </w:p>
    <w:p w:rsidR="00CD34C1" w:rsidRPr="00A970DC" w:rsidRDefault="00CD34C1" w:rsidP="00A970DC">
      <w:pPr>
        <w:rPr>
          <w:lang w:val="fr-FR"/>
        </w:rPr>
      </w:pPr>
    </w:p>
    <w:p w:rsidR="00CD34C1" w:rsidRPr="00A970DC" w:rsidRDefault="00000EC6" w:rsidP="00A970DC">
      <w:pPr>
        <w:pStyle w:val="ONUMFS"/>
        <w:rPr>
          <w:lang w:val="fr-FR"/>
        </w:rPr>
      </w:pPr>
      <w:bookmarkStart w:id="5" w:name="_Ref447032909"/>
      <w:r w:rsidRPr="00A970DC">
        <w:rPr>
          <w:lang w:val="fr-FR"/>
        </w:rPr>
        <w:t>Toutes les administrations internationales existantes ont été nommées par l</w:t>
      </w:r>
      <w:r w:rsidR="004916FD" w:rsidRPr="00A970DC">
        <w:rPr>
          <w:lang w:val="fr-FR"/>
        </w:rPr>
        <w:t>’</w:t>
      </w:r>
      <w:r w:rsidRPr="00A970DC">
        <w:rPr>
          <w:lang w:val="fr-FR"/>
        </w:rPr>
        <w:t>Assemblée de l</w:t>
      </w:r>
      <w:r w:rsidR="004916FD" w:rsidRPr="00A970DC">
        <w:rPr>
          <w:lang w:val="fr-FR"/>
        </w:rPr>
        <w:t>’</w:t>
      </w:r>
      <w:r w:rsidRPr="00A970DC">
        <w:rPr>
          <w:lang w:val="fr-FR"/>
        </w:rPr>
        <w:t>Union</w:t>
      </w:r>
      <w:r w:rsidR="004916FD" w:rsidRPr="00A970DC">
        <w:rPr>
          <w:lang w:val="fr-FR"/>
        </w:rPr>
        <w:t xml:space="preserve"> du PCT</w:t>
      </w:r>
      <w:r w:rsidRPr="00A970DC">
        <w:rPr>
          <w:lang w:val="fr-FR"/>
        </w:rPr>
        <w:t xml:space="preserve"> pour une période s</w:t>
      </w:r>
      <w:r w:rsidR="004916FD" w:rsidRPr="00A970DC">
        <w:rPr>
          <w:lang w:val="fr-FR"/>
        </w:rPr>
        <w:t>’</w:t>
      </w:r>
      <w:r w:rsidRPr="00A970DC">
        <w:rPr>
          <w:lang w:val="fr-FR"/>
        </w:rPr>
        <w:t>achevant le 3</w:t>
      </w:r>
      <w:r w:rsidR="004916FD" w:rsidRPr="00A970DC">
        <w:rPr>
          <w:lang w:val="fr-FR"/>
        </w:rPr>
        <w:t>1 décembre 20</w:t>
      </w:r>
      <w:r w:rsidRPr="00A970DC">
        <w:rPr>
          <w:lang w:val="fr-FR"/>
        </w:rPr>
        <w:t>17.</w:t>
      </w:r>
      <w:r w:rsidR="005C40A3" w:rsidRPr="00A970DC">
        <w:rPr>
          <w:lang w:val="fr-FR"/>
        </w:rPr>
        <w:t xml:space="preserve">  </w:t>
      </w:r>
      <w:bookmarkEnd w:id="5"/>
      <w:r w:rsidR="004916FD" w:rsidRPr="00A970DC">
        <w:rPr>
          <w:lang w:val="fr-FR"/>
        </w:rPr>
        <w:t>En 2017</w:t>
      </w:r>
      <w:r w:rsidRPr="00A970DC">
        <w:rPr>
          <w:lang w:val="fr-FR"/>
        </w:rPr>
        <w:t>, l</w:t>
      </w:r>
      <w:r w:rsidR="004916FD" w:rsidRPr="00A970DC">
        <w:rPr>
          <w:lang w:val="fr-FR"/>
        </w:rPr>
        <w:t>’</w:t>
      </w:r>
      <w:r w:rsidRPr="00A970DC">
        <w:rPr>
          <w:lang w:val="fr-FR"/>
        </w:rPr>
        <w:t>assemblée devra donc prendre une décision en ce qui concerne la prolongation de la nomination de chaque administration internationale existante qui souhaite demander une telle prolongation, après avoir sollicité l</w:t>
      </w:r>
      <w:r w:rsidR="004916FD" w:rsidRPr="00A970DC">
        <w:rPr>
          <w:lang w:val="fr-FR"/>
        </w:rPr>
        <w:t>’</w:t>
      </w:r>
      <w:r w:rsidRPr="00A970DC">
        <w:rPr>
          <w:lang w:val="fr-FR"/>
        </w:rPr>
        <w:t xml:space="preserve">avis du comité (voir les </w:t>
      </w:r>
      <w:r w:rsidR="004916FD" w:rsidRPr="00A970DC">
        <w:rPr>
          <w:lang w:val="fr-FR"/>
        </w:rPr>
        <w:t>articles 1</w:t>
      </w:r>
      <w:r w:rsidRPr="00A970DC">
        <w:rPr>
          <w:lang w:val="fr-FR"/>
        </w:rPr>
        <w:t>6.3)e) et 32.3)</w:t>
      </w:r>
      <w:r w:rsidR="004916FD" w:rsidRPr="00A970DC">
        <w:rPr>
          <w:lang w:val="fr-FR"/>
        </w:rPr>
        <w:t xml:space="preserve"> du PCT</w:t>
      </w:r>
      <w:r w:rsidRPr="00A970DC">
        <w:rPr>
          <w:lang w:val="fr-FR"/>
        </w:rPr>
        <w:t>).</w:t>
      </w:r>
      <w:r w:rsidR="0035027E" w:rsidRPr="00A970DC">
        <w:rPr>
          <w:lang w:val="fr-FR"/>
        </w:rPr>
        <w:t xml:space="preserve">  </w:t>
      </w:r>
      <w:r w:rsidRPr="00A970DC">
        <w:rPr>
          <w:lang w:val="fr-FR"/>
        </w:rPr>
        <w:t xml:space="preserve">On trouvera des informations concernant </w:t>
      </w:r>
      <w:r w:rsidR="00545211" w:rsidRPr="00A970DC">
        <w:rPr>
          <w:lang w:val="fr-FR"/>
        </w:rPr>
        <w:t>la</w:t>
      </w:r>
      <w:r w:rsidRPr="00A970DC">
        <w:rPr>
          <w:lang w:val="fr-FR"/>
        </w:rPr>
        <w:t xml:space="preserve"> procédure</w:t>
      </w:r>
      <w:r w:rsidR="00545211" w:rsidRPr="00A970DC">
        <w:rPr>
          <w:lang w:val="fr-FR"/>
        </w:rPr>
        <w:t xml:space="preserve"> applicable</w:t>
      </w:r>
      <w:r w:rsidRPr="00A970DC">
        <w:rPr>
          <w:lang w:val="fr-FR"/>
        </w:rPr>
        <w:t xml:space="preserve"> et le rôle du comité dans le document PCT/CTC/30/INF/1.</w:t>
      </w:r>
    </w:p>
    <w:p w:rsidR="00CD34C1" w:rsidRPr="00A970DC" w:rsidRDefault="00DB1934" w:rsidP="00A970DC">
      <w:pPr>
        <w:pStyle w:val="ONUMFS"/>
        <w:rPr>
          <w:lang w:val="fr-FR"/>
        </w:rPr>
      </w:pPr>
      <w:r w:rsidRPr="00A970DC">
        <w:rPr>
          <w:lang w:val="fr-FR"/>
        </w:rPr>
        <w:t xml:space="preserve">Le </w:t>
      </w:r>
      <w:r w:rsidR="004916FD" w:rsidRPr="00A970DC">
        <w:rPr>
          <w:lang w:val="fr-FR"/>
        </w:rPr>
        <w:t>8 mars 20</w:t>
      </w:r>
      <w:r w:rsidRPr="00A970DC">
        <w:rPr>
          <w:lang w:val="fr-FR"/>
        </w:rPr>
        <w:t>17, l</w:t>
      </w:r>
      <w:r w:rsidR="004916FD" w:rsidRPr="00A970DC">
        <w:rPr>
          <w:lang w:val="fr-FR"/>
        </w:rPr>
        <w:t>’</w:t>
      </w:r>
      <w:r w:rsidRPr="00A970DC">
        <w:rPr>
          <w:lang w:val="fr-FR"/>
        </w:rPr>
        <w:t xml:space="preserve">Institut des brevets de Visegrad a </w:t>
      </w:r>
      <w:r w:rsidR="0095097C">
        <w:rPr>
          <w:lang w:val="fr-FR"/>
        </w:rPr>
        <w:t>présenté</w:t>
      </w:r>
      <w:r w:rsidRPr="00A970DC">
        <w:rPr>
          <w:lang w:val="fr-FR"/>
        </w:rPr>
        <w:t xml:space="preserve"> une demande de prolongation de sa nomination en qualité d</w:t>
      </w:r>
      <w:r w:rsidR="004916FD" w:rsidRPr="00A970DC">
        <w:rPr>
          <w:lang w:val="fr-FR"/>
        </w:rPr>
        <w:t>’</w:t>
      </w:r>
      <w:r w:rsidRPr="00A970DC">
        <w:rPr>
          <w:lang w:val="fr-FR"/>
        </w:rPr>
        <w:t>administration chargée de la recherche internationale et d</w:t>
      </w:r>
      <w:r w:rsidR="004916FD" w:rsidRPr="00A970DC">
        <w:rPr>
          <w:lang w:val="fr-FR"/>
        </w:rPr>
        <w:t>’</w:t>
      </w:r>
      <w:r w:rsidR="00545211" w:rsidRPr="00A970DC">
        <w:rPr>
          <w:lang w:val="fr-FR"/>
        </w:rPr>
        <w:t>administration chargée de l</w:t>
      </w:r>
      <w:r w:rsidR="004916FD" w:rsidRPr="00A970DC">
        <w:rPr>
          <w:lang w:val="fr-FR"/>
        </w:rPr>
        <w:t>’</w:t>
      </w:r>
      <w:r w:rsidRPr="00A970DC">
        <w:rPr>
          <w:lang w:val="fr-FR"/>
        </w:rPr>
        <w:t>examen préliminaire international selon</w:t>
      </w:r>
      <w:r w:rsidR="004916FD" w:rsidRPr="00A970DC">
        <w:rPr>
          <w:lang w:val="fr-FR"/>
        </w:rPr>
        <w:t xml:space="preserve"> le </w:t>
      </w:r>
      <w:r w:rsidR="00B65BAD" w:rsidRPr="00A970DC">
        <w:rPr>
          <w:lang w:val="fr-FR"/>
        </w:rPr>
        <w:t>PCT.  Ce</w:t>
      </w:r>
      <w:r w:rsidRPr="00A970DC">
        <w:rPr>
          <w:lang w:val="fr-FR"/>
        </w:rPr>
        <w:t>tte demande est reproduite à l</w:t>
      </w:r>
      <w:r w:rsidR="004916FD" w:rsidRPr="00A970DC">
        <w:rPr>
          <w:lang w:val="fr-FR"/>
        </w:rPr>
        <w:t>’</w:t>
      </w:r>
      <w:r w:rsidRPr="00A970DC">
        <w:rPr>
          <w:lang w:val="fr-FR"/>
        </w:rPr>
        <w:t>annexe du présent document.</w:t>
      </w:r>
    </w:p>
    <w:p w:rsidR="00CD34C1" w:rsidRPr="00A970DC" w:rsidRDefault="00DB1934" w:rsidP="00A970DC">
      <w:pPr>
        <w:pStyle w:val="ONUMFS"/>
        <w:ind w:left="5533"/>
        <w:rPr>
          <w:i/>
          <w:lang w:val="fr-FR"/>
        </w:rPr>
      </w:pPr>
      <w:r w:rsidRPr="00A970DC">
        <w:rPr>
          <w:i/>
          <w:lang w:val="fr-FR"/>
        </w:rPr>
        <w:t>Le comité est invité à faire part de son avis sur cette question.</w:t>
      </w:r>
    </w:p>
    <w:p w:rsidR="00CD34C1" w:rsidRPr="005C1D2B" w:rsidRDefault="00CD34C1" w:rsidP="00A970DC">
      <w:pPr>
        <w:rPr>
          <w:lang w:val="fr-FR"/>
        </w:rPr>
      </w:pPr>
    </w:p>
    <w:p w:rsidR="00F96272" w:rsidRPr="005C1D2B" w:rsidRDefault="00F96272" w:rsidP="00A970DC">
      <w:pPr>
        <w:rPr>
          <w:lang w:val="fr-FR"/>
        </w:rPr>
      </w:pPr>
    </w:p>
    <w:p w:rsidR="00AA5F79" w:rsidRPr="00A970DC" w:rsidRDefault="00DB1934" w:rsidP="00A970DC">
      <w:pPr>
        <w:pStyle w:val="ONUME"/>
        <w:numPr>
          <w:ilvl w:val="0"/>
          <w:numId w:val="0"/>
        </w:numPr>
        <w:ind w:left="5533"/>
        <w:rPr>
          <w:lang w:val="fr-FR"/>
        </w:rPr>
        <w:sectPr w:rsidR="00AA5F79" w:rsidRPr="00A970DC" w:rsidSect="00B65BAD">
          <w:headerReference w:type="default" r:id="rId10"/>
          <w:endnotePr>
            <w:numFmt w:val="decimal"/>
          </w:endnotePr>
          <w:pgSz w:w="11907" w:h="16840" w:code="9"/>
          <w:pgMar w:top="567" w:right="1134" w:bottom="1418" w:left="1418" w:header="510" w:footer="1021" w:gutter="0"/>
          <w:cols w:space="720"/>
          <w:titlePg/>
          <w:docGrid w:linePitch="299"/>
        </w:sectPr>
      </w:pPr>
      <w:r w:rsidRPr="00A970DC">
        <w:rPr>
          <w:lang w:val="fr-FR"/>
        </w:rPr>
        <w:t>[L</w:t>
      </w:r>
      <w:r w:rsidR="004916FD" w:rsidRPr="00A970DC">
        <w:rPr>
          <w:lang w:val="fr-FR"/>
        </w:rPr>
        <w:t>’</w:t>
      </w:r>
      <w:r w:rsidRPr="00A970DC">
        <w:rPr>
          <w:lang w:val="fr-FR"/>
        </w:rPr>
        <w:t>annexe suit]</w:t>
      </w:r>
    </w:p>
    <w:p w:rsidR="00CD34C1" w:rsidRPr="004056AF" w:rsidRDefault="00DB1934" w:rsidP="004056AF">
      <w:pPr>
        <w:pStyle w:val="ONUME"/>
        <w:numPr>
          <w:ilvl w:val="0"/>
          <w:numId w:val="0"/>
        </w:numPr>
        <w:jc w:val="center"/>
        <w:rPr>
          <w:caps/>
          <w:lang w:val="fr-FR"/>
        </w:rPr>
      </w:pPr>
      <w:r w:rsidRPr="00A970DC">
        <w:rPr>
          <w:caps/>
          <w:lang w:val="fr-FR"/>
        </w:rPr>
        <w:lastRenderedPageBreak/>
        <w:t xml:space="preserve">DEMANDE DE PROLONGATION DE LA NOMINATION </w:t>
      </w:r>
      <w:r w:rsidR="00AB3E5B" w:rsidRPr="00A970DC">
        <w:rPr>
          <w:caps/>
          <w:lang w:val="fr-FR"/>
        </w:rPr>
        <w:t xml:space="preserve">de </w:t>
      </w:r>
      <w:r w:rsidRPr="00A970DC">
        <w:rPr>
          <w:caps/>
          <w:lang w:val="fr-FR"/>
        </w:rPr>
        <w:t>L</w:t>
      </w:r>
      <w:r w:rsidR="004916FD" w:rsidRPr="00A970DC">
        <w:rPr>
          <w:caps/>
          <w:lang w:val="fr-FR"/>
        </w:rPr>
        <w:t>’</w:t>
      </w:r>
      <w:r w:rsidR="00F96272" w:rsidRPr="00A970DC">
        <w:rPr>
          <w:caps/>
          <w:lang w:val="fr-FR"/>
        </w:rPr>
        <w:t>INSTITUT DES BREVETS DE </w:t>
      </w:r>
      <w:r w:rsidRPr="00A970DC">
        <w:rPr>
          <w:caps/>
          <w:lang w:val="fr-FR"/>
        </w:rPr>
        <w:t>VISEGRAD EN QUALITÉ D</w:t>
      </w:r>
      <w:r w:rsidR="004916FD" w:rsidRPr="00A970DC">
        <w:rPr>
          <w:caps/>
          <w:lang w:val="fr-FR"/>
        </w:rPr>
        <w:t>’</w:t>
      </w:r>
      <w:r w:rsidRPr="00A970DC">
        <w:rPr>
          <w:caps/>
          <w:lang w:val="fr-FR"/>
        </w:rPr>
        <w:t>ADMINISTRATION CHARGÉE DE LA RECHERCHE INTERNATIONALE ET DE L</w:t>
      </w:r>
      <w:r w:rsidR="004916FD" w:rsidRPr="00A970DC">
        <w:rPr>
          <w:caps/>
          <w:lang w:val="fr-FR"/>
        </w:rPr>
        <w:t>’</w:t>
      </w:r>
      <w:r w:rsidRPr="00A970DC">
        <w:rPr>
          <w:caps/>
          <w:lang w:val="fr-FR"/>
        </w:rPr>
        <w:t>EXAMEN PRÉLIMINAIRE INTERNATIONAL SELON LE PCT</w:t>
      </w:r>
    </w:p>
    <w:p w:rsidR="00CD34C1" w:rsidRPr="00A970DC" w:rsidRDefault="00DB1934" w:rsidP="00A970DC">
      <w:pPr>
        <w:pStyle w:val="Heading1"/>
        <w:tabs>
          <w:tab w:val="left" w:pos="567"/>
        </w:tabs>
        <w:rPr>
          <w:lang w:val="fr-FR"/>
        </w:rPr>
      </w:pPr>
      <w:r w:rsidRPr="00A970DC">
        <w:rPr>
          <w:lang w:val="fr-FR"/>
        </w:rPr>
        <w:t>I.</w:t>
      </w:r>
      <w:r w:rsidRPr="00A970DC">
        <w:rPr>
          <w:lang w:val="fr-FR"/>
        </w:rPr>
        <w:tab/>
        <w:t>Présentation de l</w:t>
      </w:r>
      <w:r w:rsidR="004916FD" w:rsidRPr="00A970DC">
        <w:rPr>
          <w:lang w:val="fr-FR"/>
        </w:rPr>
        <w:t>’</w:t>
      </w:r>
      <w:r w:rsidR="00433FCC" w:rsidRPr="00A970DC">
        <w:rPr>
          <w:lang w:val="fr-FR"/>
        </w:rPr>
        <w:t>Institut</w:t>
      </w:r>
      <w:r w:rsidRPr="00A970DC">
        <w:rPr>
          <w:lang w:val="fr-FR"/>
        </w:rPr>
        <w:t xml:space="preserve"> des brevets de Visegrad</w:t>
      </w:r>
    </w:p>
    <w:p w:rsidR="00CD34C1" w:rsidRPr="00A970DC" w:rsidRDefault="00507EED" w:rsidP="00A970DC">
      <w:pPr>
        <w:pStyle w:val="Heading4"/>
        <w:rPr>
          <w:lang w:val="fr-FR"/>
        </w:rPr>
      </w:pPr>
      <w:r w:rsidRPr="00A970DC">
        <w:rPr>
          <w:lang w:val="fr-FR"/>
        </w:rPr>
        <w:t>1.1.</w:t>
      </w:r>
      <w:r w:rsidRPr="00A970DC">
        <w:rPr>
          <w:lang w:val="fr-FR"/>
        </w:rPr>
        <w:tab/>
        <w:t>Principaux objectifs de l</w:t>
      </w:r>
      <w:r w:rsidR="004916FD" w:rsidRPr="00A970DC">
        <w:rPr>
          <w:lang w:val="fr-FR"/>
        </w:rPr>
        <w:t>’</w:t>
      </w:r>
      <w:r w:rsidRPr="00A970DC">
        <w:rPr>
          <w:lang w:val="fr-FR"/>
        </w:rPr>
        <w:t>Institut des brevets de Visegrad</w:t>
      </w:r>
    </w:p>
    <w:p w:rsidR="004916FD" w:rsidRPr="00A970DC" w:rsidRDefault="00BF00D7" w:rsidP="00A970DC">
      <w:pPr>
        <w:pStyle w:val="ONUMFS"/>
        <w:numPr>
          <w:ilvl w:val="0"/>
          <w:numId w:val="9"/>
        </w:numPr>
        <w:rPr>
          <w:lang w:val="fr-FR"/>
        </w:rPr>
      </w:pPr>
      <w:r w:rsidRPr="00A970DC">
        <w:rPr>
          <w:lang w:val="fr-FR"/>
        </w:rPr>
        <w:t>L</w:t>
      </w:r>
      <w:r w:rsidR="004916FD" w:rsidRPr="00A970DC">
        <w:rPr>
          <w:lang w:val="fr-FR"/>
        </w:rPr>
        <w:t>’</w:t>
      </w:r>
      <w:r w:rsidRPr="00A970DC">
        <w:rPr>
          <w:lang w:val="fr-FR"/>
        </w:rPr>
        <w:t>Institut des brevets de Visegrad (ci</w:t>
      </w:r>
      <w:r w:rsidR="004916FD" w:rsidRPr="00A970DC">
        <w:rPr>
          <w:lang w:val="fr-FR"/>
        </w:rPr>
        <w:t>-</w:t>
      </w:r>
      <w:r w:rsidRPr="00A970DC">
        <w:rPr>
          <w:lang w:val="fr-FR"/>
        </w:rPr>
        <w:t>après dénommé “VPI” ou “institut”) est une organisation intergouvernementale de coopération dans le domaine des brevets, établie dans les quatre</w:t>
      </w:r>
      <w:r w:rsidR="00433FCC" w:rsidRPr="00A970DC">
        <w:rPr>
          <w:lang w:val="fr-FR"/>
        </w:rPr>
        <w:t> </w:t>
      </w:r>
      <w:r w:rsidRPr="00A970DC">
        <w:rPr>
          <w:lang w:val="fr-FR"/>
        </w:rPr>
        <w:t xml:space="preserve">pays du groupe de Visegrad, </w:t>
      </w:r>
      <w:r w:rsidR="004916FD" w:rsidRPr="00A970DC">
        <w:rPr>
          <w:lang w:val="fr-FR"/>
        </w:rPr>
        <w:t>à savoir</w:t>
      </w:r>
      <w:r w:rsidRPr="00A970DC">
        <w:rPr>
          <w:lang w:val="fr-FR"/>
        </w:rPr>
        <w:t xml:space="preserve"> la Hongrie, la République de Pologne, la République tchèque et la République slovaque (également appelés “les pays du V4”).</w:t>
      </w:r>
    </w:p>
    <w:p w:rsidR="00CD34C1" w:rsidRPr="00A970DC" w:rsidRDefault="002C785D" w:rsidP="00A970DC">
      <w:pPr>
        <w:pStyle w:val="ONUMFS"/>
        <w:rPr>
          <w:lang w:val="fr-FR"/>
        </w:rPr>
      </w:pPr>
      <w:r w:rsidRPr="00A970DC">
        <w:rPr>
          <w:lang w:val="fr-FR"/>
        </w:rPr>
        <w:t>Le VPI sollicite le renouvellement de la nomination de l</w:t>
      </w:r>
      <w:r w:rsidR="004916FD" w:rsidRPr="00A970DC">
        <w:rPr>
          <w:lang w:val="fr-FR"/>
        </w:rPr>
        <w:t>’</w:t>
      </w:r>
      <w:r w:rsidRPr="00A970DC">
        <w:rPr>
          <w:lang w:val="fr-FR"/>
        </w:rPr>
        <w:t>institut en qualité d</w:t>
      </w:r>
      <w:r w:rsidR="004916FD" w:rsidRPr="00A970DC">
        <w:rPr>
          <w:lang w:val="fr-FR"/>
        </w:rPr>
        <w:t>’</w:t>
      </w:r>
      <w:r w:rsidRPr="00A970DC">
        <w:rPr>
          <w:lang w:val="fr-FR"/>
        </w:rPr>
        <w:t>administration chargée de la recherche internationale et d</w:t>
      </w:r>
      <w:r w:rsidR="004916FD" w:rsidRPr="00A970DC">
        <w:rPr>
          <w:lang w:val="fr-FR"/>
        </w:rPr>
        <w:t>’</w:t>
      </w:r>
      <w:r w:rsidRPr="00A970DC">
        <w:rPr>
          <w:lang w:val="fr-FR"/>
        </w:rPr>
        <w:t>administration chargée de l</w:t>
      </w:r>
      <w:r w:rsidR="004916FD" w:rsidRPr="00A970DC">
        <w:rPr>
          <w:lang w:val="fr-FR"/>
        </w:rPr>
        <w:t>’</w:t>
      </w:r>
      <w:r w:rsidRPr="00A970DC">
        <w:rPr>
          <w:lang w:val="fr-FR"/>
        </w:rPr>
        <w:t>examen préliminaire international selon le Traité de coopération en matière de brevets (PCT) dans le but d</w:t>
      </w:r>
      <w:r w:rsidR="004916FD" w:rsidRPr="00A970DC">
        <w:rPr>
          <w:lang w:val="fr-FR"/>
        </w:rPr>
        <w:t>’</w:t>
      </w:r>
      <w:r w:rsidRPr="00A970DC">
        <w:rPr>
          <w:lang w:val="fr-FR"/>
        </w:rPr>
        <w:t>atteindre toute une série d</w:t>
      </w:r>
      <w:r w:rsidR="004916FD" w:rsidRPr="00A970DC">
        <w:rPr>
          <w:lang w:val="fr-FR"/>
        </w:rPr>
        <w:t>’</w:t>
      </w:r>
      <w:r w:rsidRPr="00A970DC">
        <w:rPr>
          <w:lang w:val="fr-FR"/>
        </w:rPr>
        <w:t>objectifs importants à différents niveaux (mondial, européen, régional et national).</w:t>
      </w:r>
    </w:p>
    <w:p w:rsidR="00CD34C1" w:rsidRPr="00A970DC" w:rsidRDefault="002C785D" w:rsidP="00A970DC">
      <w:pPr>
        <w:pStyle w:val="ONUMFS"/>
        <w:rPr>
          <w:lang w:val="fr-FR"/>
        </w:rPr>
      </w:pPr>
      <w:r w:rsidRPr="00A970DC">
        <w:rPr>
          <w:lang w:val="fr-FR"/>
        </w:rPr>
        <w:t>Le système des brevets est un facteur essentiel de promotion du développement économique par l</w:t>
      </w:r>
      <w:r w:rsidR="004916FD" w:rsidRPr="00A970DC">
        <w:rPr>
          <w:lang w:val="fr-FR"/>
        </w:rPr>
        <w:t>’</w:t>
      </w:r>
      <w:r w:rsidRPr="00A970DC">
        <w:rPr>
          <w:lang w:val="fr-FR"/>
        </w:rPr>
        <w:t>innovati</w:t>
      </w:r>
      <w:r w:rsidR="00B65BAD" w:rsidRPr="00A970DC">
        <w:rPr>
          <w:lang w:val="fr-FR"/>
        </w:rPr>
        <w:t>on.  Qu</w:t>
      </w:r>
      <w:r w:rsidRPr="00A970DC">
        <w:rPr>
          <w:lang w:val="fr-FR"/>
        </w:rPr>
        <w:t xml:space="preserve">oique les brevets soient avant tout des instruments juridiques, ils servent effectivement un objectif économique fondamental, </w:t>
      </w:r>
      <w:r w:rsidR="004916FD" w:rsidRPr="00A970DC">
        <w:rPr>
          <w:lang w:val="fr-FR"/>
        </w:rPr>
        <w:t>à savoir</w:t>
      </w:r>
      <w:r w:rsidRPr="00A970DC">
        <w:rPr>
          <w:lang w:val="fr-FR"/>
        </w:rPr>
        <w:t xml:space="preserve"> stimuler l</w:t>
      </w:r>
      <w:r w:rsidR="004916FD" w:rsidRPr="00A970DC">
        <w:rPr>
          <w:lang w:val="fr-FR"/>
        </w:rPr>
        <w:t>’</w:t>
      </w:r>
      <w:r w:rsidRPr="00A970DC">
        <w:rPr>
          <w:lang w:val="fr-FR"/>
        </w:rPr>
        <w:t>innovation et la croissance économiq</w:t>
      </w:r>
      <w:r w:rsidR="00B65BAD" w:rsidRPr="00A970DC">
        <w:rPr>
          <w:lang w:val="fr-FR"/>
        </w:rPr>
        <w:t>ue.  Il</w:t>
      </w:r>
      <w:r w:rsidRPr="00A970DC">
        <w:rPr>
          <w:lang w:val="fr-FR"/>
        </w:rPr>
        <w:t xml:space="preserve"> existe également un lien direct entre le niveau d</w:t>
      </w:r>
      <w:r w:rsidR="004916FD" w:rsidRPr="00A970DC">
        <w:rPr>
          <w:lang w:val="fr-FR"/>
        </w:rPr>
        <w:t>’</w:t>
      </w:r>
      <w:r w:rsidRPr="00A970DC">
        <w:rPr>
          <w:lang w:val="fr-FR"/>
        </w:rPr>
        <w:t>innovation d</w:t>
      </w:r>
      <w:r w:rsidR="004916FD" w:rsidRPr="00A970DC">
        <w:rPr>
          <w:lang w:val="fr-FR"/>
        </w:rPr>
        <w:t>’</w:t>
      </w:r>
      <w:r w:rsidRPr="00A970DC">
        <w:rPr>
          <w:lang w:val="fr-FR"/>
        </w:rPr>
        <w:t>un pays (ou d</w:t>
      </w:r>
      <w:r w:rsidR="004916FD" w:rsidRPr="00A970DC">
        <w:rPr>
          <w:lang w:val="fr-FR"/>
        </w:rPr>
        <w:t>’</w:t>
      </w:r>
      <w:r w:rsidRPr="00A970DC">
        <w:rPr>
          <w:lang w:val="fr-FR"/>
        </w:rPr>
        <w:t>une région) et la qualité du cadre national (ou régional) applicable à la protection par brev</w:t>
      </w:r>
      <w:r w:rsidR="00B65BAD" w:rsidRPr="00A970DC">
        <w:rPr>
          <w:lang w:val="fr-FR"/>
        </w:rPr>
        <w:t>et.  En</w:t>
      </w:r>
      <w:r w:rsidRPr="00A970DC">
        <w:rPr>
          <w:lang w:val="fr-FR"/>
        </w:rPr>
        <w:t xml:space="preserve"> outre, les offices nationaux de propriété intellectuelle et les administrations</w:t>
      </w:r>
      <w:r w:rsidR="004916FD" w:rsidRPr="00A970DC">
        <w:rPr>
          <w:lang w:val="fr-FR"/>
        </w:rPr>
        <w:t xml:space="preserve"> du PCT</w:t>
      </w:r>
      <w:r w:rsidRPr="00A970DC">
        <w:rPr>
          <w:lang w:val="fr-FR"/>
        </w:rPr>
        <w:t xml:space="preserve"> constituent une part importante de ce cadre.</w:t>
      </w:r>
    </w:p>
    <w:p w:rsidR="004916FD" w:rsidRPr="00A970DC" w:rsidRDefault="002C785D" w:rsidP="00A970DC">
      <w:pPr>
        <w:pStyle w:val="ONUMFS"/>
        <w:rPr>
          <w:lang w:val="fr-FR"/>
        </w:rPr>
      </w:pPr>
      <w:r w:rsidRPr="00A970DC">
        <w:rPr>
          <w:lang w:val="fr-FR"/>
        </w:rPr>
        <w:t>La protection par brevet à une échelle mondiale joue un rôle de plus en plus important dans l</w:t>
      </w:r>
      <w:r w:rsidR="004916FD" w:rsidRPr="00A970DC">
        <w:rPr>
          <w:lang w:val="fr-FR"/>
        </w:rPr>
        <w:t>’</w:t>
      </w:r>
      <w:r w:rsidRPr="00A970DC">
        <w:rPr>
          <w:lang w:val="fr-FR"/>
        </w:rPr>
        <w:t>économie fondée sur le savoir et la société de l</w:t>
      </w:r>
      <w:r w:rsidR="004916FD" w:rsidRPr="00A970DC">
        <w:rPr>
          <w:lang w:val="fr-FR"/>
        </w:rPr>
        <w:t>’</w:t>
      </w:r>
      <w:r w:rsidRPr="00A970DC">
        <w:rPr>
          <w:lang w:val="fr-FR"/>
        </w:rPr>
        <w:t>information</w:t>
      </w:r>
      <w:r w:rsidR="004916FD" w:rsidRPr="00A970DC">
        <w:rPr>
          <w:lang w:val="fr-FR"/>
        </w:rPr>
        <w:t xml:space="preserve"> du XXI</w:t>
      </w:r>
      <w:r w:rsidRPr="00A970DC">
        <w:rPr>
          <w:vertAlign w:val="superscript"/>
          <w:lang w:val="fr-FR"/>
        </w:rPr>
        <w:t>e</w:t>
      </w:r>
      <w:r w:rsidR="00F96272" w:rsidRPr="00A970DC">
        <w:rPr>
          <w:lang w:val="fr-FR"/>
        </w:rPr>
        <w:t> </w:t>
      </w:r>
      <w:r w:rsidRPr="00A970DC">
        <w:rPr>
          <w:lang w:val="fr-FR"/>
        </w:rPr>
        <w:t>siècle, marquées par des technologies de pointe, une concurrence accrue et la nécessité d</w:t>
      </w:r>
      <w:r w:rsidR="004916FD" w:rsidRPr="00A970DC">
        <w:rPr>
          <w:lang w:val="fr-FR"/>
        </w:rPr>
        <w:t>’</w:t>
      </w:r>
      <w:r w:rsidRPr="00A970DC">
        <w:rPr>
          <w:lang w:val="fr-FR"/>
        </w:rPr>
        <w:t>améliorer la compétitivi</w:t>
      </w:r>
      <w:r w:rsidR="00B65BAD" w:rsidRPr="00A970DC">
        <w:rPr>
          <w:lang w:val="fr-FR"/>
        </w:rPr>
        <w:t>té.  Le</w:t>
      </w:r>
      <w:r w:rsidRPr="00A970DC">
        <w:rPr>
          <w:lang w:val="fr-FR"/>
        </w:rPr>
        <w:t xml:space="preserve"> besoin d</w:t>
      </w:r>
      <w:r w:rsidR="004916FD" w:rsidRPr="00A970DC">
        <w:rPr>
          <w:lang w:val="fr-FR"/>
        </w:rPr>
        <w:t>’</w:t>
      </w:r>
      <w:r w:rsidRPr="00A970DC">
        <w:rPr>
          <w:lang w:val="fr-FR"/>
        </w:rPr>
        <w:t>un système efficace de protection par brevet, offrant des produits et des services de haute qualité, est donc toujours plus prése</w:t>
      </w:r>
      <w:r w:rsidR="00B65BAD" w:rsidRPr="00A970DC">
        <w:rPr>
          <w:lang w:val="fr-FR"/>
        </w:rPr>
        <w:t>nt.  Le</w:t>
      </w:r>
      <w:r w:rsidR="004916FD" w:rsidRPr="00A970DC">
        <w:rPr>
          <w:lang w:val="fr-FR"/>
        </w:rPr>
        <w:t> PCT</w:t>
      </w:r>
      <w:r w:rsidRPr="00A970DC">
        <w:rPr>
          <w:lang w:val="fr-FR"/>
        </w:rPr>
        <w:t xml:space="preserve"> propose un excellent cadre pour la création et la pérennité d</w:t>
      </w:r>
      <w:r w:rsidR="004916FD" w:rsidRPr="00A970DC">
        <w:rPr>
          <w:lang w:val="fr-FR"/>
        </w:rPr>
        <w:t>’</w:t>
      </w:r>
      <w:r w:rsidRPr="00A970DC">
        <w:rPr>
          <w:lang w:val="fr-FR"/>
        </w:rPr>
        <w:t>un tel système mondial des brevets, et il assure déjà une protection internationale par brevet très efficace.</w:t>
      </w:r>
    </w:p>
    <w:p w:rsidR="00CD34C1" w:rsidRPr="004056AF" w:rsidRDefault="002C785D" w:rsidP="004056AF">
      <w:pPr>
        <w:pStyle w:val="ONUMFS"/>
        <w:rPr>
          <w:lang w:val="fr-FR"/>
        </w:rPr>
      </w:pPr>
      <w:r w:rsidRPr="00A970DC">
        <w:rPr>
          <w:lang w:val="fr-FR"/>
        </w:rPr>
        <w:t>Le VPI comble une lacune territoriale dans le système mondial</w:t>
      </w:r>
      <w:r w:rsidR="004916FD" w:rsidRPr="00A970DC">
        <w:rPr>
          <w:lang w:val="fr-FR"/>
        </w:rPr>
        <w:t xml:space="preserve"> du PCT</w:t>
      </w:r>
      <w:r w:rsidRPr="00A970DC">
        <w:rPr>
          <w:lang w:val="fr-FR"/>
        </w:rPr>
        <w:t xml:space="preserve"> en agissant en qualité d</w:t>
      </w:r>
      <w:r w:rsidR="004916FD" w:rsidRPr="00A970DC">
        <w:rPr>
          <w:lang w:val="fr-FR"/>
        </w:rPr>
        <w:t>’</w:t>
      </w:r>
      <w:r w:rsidRPr="00A970DC">
        <w:rPr>
          <w:lang w:val="fr-FR"/>
        </w:rPr>
        <w:t>administration internationale pour l</w:t>
      </w:r>
      <w:r w:rsidR="004916FD" w:rsidRPr="00A970DC">
        <w:rPr>
          <w:lang w:val="fr-FR"/>
        </w:rPr>
        <w:t>’</w:t>
      </w:r>
      <w:r w:rsidRPr="00A970DC">
        <w:rPr>
          <w:lang w:val="fr-FR"/>
        </w:rPr>
        <w:t>Europe centrale et orienta</w:t>
      </w:r>
      <w:r w:rsidR="00B65BAD" w:rsidRPr="00A970DC">
        <w:rPr>
          <w:lang w:val="fr-FR"/>
        </w:rPr>
        <w:t>le.  Il</w:t>
      </w:r>
      <w:r w:rsidRPr="00A970DC">
        <w:rPr>
          <w:lang w:val="fr-FR"/>
        </w:rPr>
        <w:t xml:space="preserve"> convient de noter que</w:t>
      </w:r>
      <w:r w:rsidR="004916FD" w:rsidRPr="00A970DC">
        <w:rPr>
          <w:lang w:val="fr-FR"/>
        </w:rPr>
        <w:t xml:space="preserve"> le VPI</w:t>
      </w:r>
      <w:r w:rsidRPr="00A970DC">
        <w:rPr>
          <w:lang w:val="fr-FR"/>
        </w:rPr>
        <w:t xml:space="preserve"> est la seule administration internationale opérationnelle selon</w:t>
      </w:r>
      <w:r w:rsidR="004916FD" w:rsidRPr="00A970DC">
        <w:rPr>
          <w:lang w:val="fr-FR"/>
        </w:rPr>
        <w:t xml:space="preserve"> le PCT</w:t>
      </w:r>
      <w:r w:rsidRPr="00A970DC">
        <w:rPr>
          <w:lang w:val="fr-FR"/>
        </w:rPr>
        <w:t xml:space="preserve"> au sein du groupe des pays d</w:t>
      </w:r>
      <w:r w:rsidR="004916FD" w:rsidRPr="00A970DC">
        <w:rPr>
          <w:lang w:val="fr-FR"/>
        </w:rPr>
        <w:t>’</w:t>
      </w:r>
      <w:r w:rsidRPr="00A970DC">
        <w:rPr>
          <w:lang w:val="fr-FR"/>
        </w:rPr>
        <w:t>Europe centrale et des États balt</w:t>
      </w:r>
      <w:r w:rsidR="00B65BAD" w:rsidRPr="00A970DC">
        <w:rPr>
          <w:lang w:val="fr-FR"/>
        </w:rPr>
        <w:t>es.  Le</w:t>
      </w:r>
      <w:r w:rsidR="004916FD" w:rsidRPr="00A970DC">
        <w:rPr>
          <w:lang w:val="fr-FR"/>
        </w:rPr>
        <w:t> VPI</w:t>
      </w:r>
      <w:r w:rsidRPr="00A970DC">
        <w:rPr>
          <w:lang w:val="fr-FR"/>
        </w:rPr>
        <w:t xml:space="preserve"> comble également ce manque dans le réseau des administrations européennes</w:t>
      </w:r>
      <w:r w:rsidR="004916FD" w:rsidRPr="00A970DC">
        <w:rPr>
          <w:lang w:val="fr-FR"/>
        </w:rPr>
        <w:t xml:space="preserve"> du </w:t>
      </w:r>
      <w:r w:rsidR="00B65BAD" w:rsidRPr="00A970DC">
        <w:rPr>
          <w:lang w:val="fr-FR"/>
        </w:rPr>
        <w:t>PCT.  Il</w:t>
      </w:r>
      <w:r w:rsidRPr="00A970DC">
        <w:rPr>
          <w:lang w:val="fr-FR"/>
        </w:rPr>
        <w:t xml:space="preserve"> contribue donc à soutenir le développement et l</w:t>
      </w:r>
      <w:r w:rsidR="004916FD" w:rsidRPr="00A970DC">
        <w:rPr>
          <w:lang w:val="fr-FR"/>
        </w:rPr>
        <w:t>’</w:t>
      </w:r>
      <w:r w:rsidRPr="00A970DC">
        <w:rPr>
          <w:lang w:val="fr-FR"/>
        </w:rPr>
        <w:t>utilité du système</w:t>
      </w:r>
      <w:r w:rsidR="004916FD" w:rsidRPr="00A970DC">
        <w:rPr>
          <w:lang w:val="fr-FR"/>
        </w:rPr>
        <w:t xml:space="preserve"> du PCT</w:t>
      </w:r>
      <w:r w:rsidRPr="00A970DC">
        <w:rPr>
          <w:lang w:val="fr-FR"/>
        </w:rPr>
        <w:t xml:space="preserve"> en ajoutant d</w:t>
      </w:r>
      <w:r w:rsidR="004916FD" w:rsidRPr="00A970DC">
        <w:rPr>
          <w:lang w:val="fr-FR"/>
        </w:rPr>
        <w:t>’</w:t>
      </w:r>
      <w:r w:rsidRPr="00A970DC">
        <w:rPr>
          <w:lang w:val="fr-FR"/>
        </w:rPr>
        <w:t>autres ressources adéquates à celles déjà disponibles, notamment pour une région qui, à l</w:t>
      </w:r>
      <w:r w:rsidR="004916FD" w:rsidRPr="00A970DC">
        <w:rPr>
          <w:lang w:val="fr-FR"/>
        </w:rPr>
        <w:t>’</w:t>
      </w:r>
      <w:r w:rsidRPr="00A970DC">
        <w:rPr>
          <w:lang w:val="fr-FR"/>
        </w:rPr>
        <w:t>heure actuelle, n</w:t>
      </w:r>
      <w:r w:rsidR="004916FD" w:rsidRPr="00A970DC">
        <w:rPr>
          <w:lang w:val="fr-FR"/>
        </w:rPr>
        <w:t>’</w:t>
      </w:r>
      <w:r w:rsidRPr="00A970DC">
        <w:rPr>
          <w:lang w:val="fr-FR"/>
        </w:rPr>
        <w:t>a pas d</w:t>
      </w:r>
      <w:r w:rsidR="004916FD" w:rsidRPr="00A970DC">
        <w:rPr>
          <w:lang w:val="fr-FR"/>
        </w:rPr>
        <w:t>’</w:t>
      </w:r>
      <w:r w:rsidRPr="00A970DC">
        <w:rPr>
          <w:lang w:val="fr-FR"/>
        </w:rPr>
        <w:t>autre administration internationa</w:t>
      </w:r>
      <w:r w:rsidR="00B65BAD" w:rsidRPr="00A970DC">
        <w:rPr>
          <w:lang w:val="fr-FR"/>
        </w:rPr>
        <w:t>le.  En</w:t>
      </w:r>
      <w:r w:rsidR="00A13F71" w:rsidRPr="00A970DC">
        <w:rPr>
          <w:lang w:val="fr-FR"/>
        </w:rPr>
        <w:t xml:space="preserve"> complétant la portée mondiale des administrations internationales,</w:t>
      </w:r>
      <w:r w:rsidR="004916FD" w:rsidRPr="00A970DC">
        <w:rPr>
          <w:lang w:val="fr-FR"/>
        </w:rPr>
        <w:t xml:space="preserve"> le VPI</w:t>
      </w:r>
      <w:r w:rsidR="00A13F71" w:rsidRPr="00A970DC">
        <w:rPr>
          <w:lang w:val="fr-FR"/>
        </w:rPr>
        <w:t xml:space="preserve"> contribue à une meilleure compréhension et à une utilisation élargie</w:t>
      </w:r>
      <w:r w:rsidR="004916FD" w:rsidRPr="00A970DC">
        <w:rPr>
          <w:lang w:val="fr-FR"/>
        </w:rPr>
        <w:t xml:space="preserve"> du PCT</w:t>
      </w:r>
      <w:r w:rsidR="00A13F71" w:rsidRPr="00A970DC">
        <w:rPr>
          <w:lang w:val="fr-FR"/>
        </w:rPr>
        <w:t xml:space="preserve"> dans la région de l</w:t>
      </w:r>
      <w:r w:rsidR="004916FD" w:rsidRPr="00A970DC">
        <w:rPr>
          <w:lang w:val="fr-FR"/>
        </w:rPr>
        <w:t>’</w:t>
      </w:r>
      <w:r w:rsidR="00A13F71" w:rsidRPr="00A970DC">
        <w:rPr>
          <w:lang w:val="fr-FR"/>
        </w:rPr>
        <w:t>Europe centrale et orientale, ce qui permet aussi d</w:t>
      </w:r>
      <w:r w:rsidR="004916FD" w:rsidRPr="00A970DC">
        <w:rPr>
          <w:lang w:val="fr-FR"/>
        </w:rPr>
        <w:t>’</w:t>
      </w:r>
      <w:r w:rsidR="00A13F71" w:rsidRPr="00A970DC">
        <w:rPr>
          <w:lang w:val="fr-FR"/>
        </w:rPr>
        <w:t>améliorer la qualité des demandes internationales provenant de cette régi</w:t>
      </w:r>
      <w:r w:rsidR="00B65BAD" w:rsidRPr="00A970DC">
        <w:rPr>
          <w:lang w:val="fr-FR"/>
        </w:rPr>
        <w:t>on.  S’a</w:t>
      </w:r>
      <w:r w:rsidR="00A13F71" w:rsidRPr="00A970DC">
        <w:rPr>
          <w:lang w:val="fr-FR"/>
        </w:rPr>
        <w:t>ppuyant sur les traditions et les compétences de longue date des offices nationaux engagés dans la coopération selon</w:t>
      </w:r>
      <w:r w:rsidR="004916FD" w:rsidRPr="00A970DC">
        <w:rPr>
          <w:lang w:val="fr-FR"/>
        </w:rPr>
        <w:t xml:space="preserve"> le VPI</w:t>
      </w:r>
      <w:r w:rsidR="00A13F71" w:rsidRPr="00A970DC">
        <w:rPr>
          <w:lang w:val="fr-FR"/>
        </w:rPr>
        <w:t>, ainsi que sur leurs ressources existantes, et s</w:t>
      </w:r>
      <w:r w:rsidR="004916FD" w:rsidRPr="00A970DC">
        <w:rPr>
          <w:lang w:val="fr-FR"/>
        </w:rPr>
        <w:t>’</w:t>
      </w:r>
      <w:r w:rsidR="00A13F71" w:rsidRPr="00A970DC">
        <w:rPr>
          <w:lang w:val="fr-FR"/>
        </w:rPr>
        <w:t>appuyant aussi sur les bons résultats attendus</w:t>
      </w:r>
      <w:r w:rsidR="004916FD" w:rsidRPr="00A970DC">
        <w:rPr>
          <w:lang w:val="fr-FR"/>
        </w:rPr>
        <w:t xml:space="preserve"> du VPI</w:t>
      </w:r>
      <w:r w:rsidR="00A13F71" w:rsidRPr="00A970DC">
        <w:rPr>
          <w:lang w:val="fr-FR"/>
        </w:rPr>
        <w:t xml:space="preserve"> en matière de gestion de la qualité,</w:t>
      </w:r>
      <w:r w:rsidR="004916FD" w:rsidRPr="00A970DC">
        <w:rPr>
          <w:lang w:val="fr-FR"/>
        </w:rPr>
        <w:t xml:space="preserve"> le VPI</w:t>
      </w:r>
      <w:r w:rsidR="00A13F71" w:rsidRPr="00A970DC">
        <w:rPr>
          <w:lang w:val="fr-FR"/>
        </w:rPr>
        <w:t xml:space="preserve"> cherche à devenir un partenaire fiable, efficace et constructif des efforts visant à renforcer la qualité et l</w:t>
      </w:r>
      <w:r w:rsidR="004916FD" w:rsidRPr="00A970DC">
        <w:rPr>
          <w:lang w:val="fr-FR"/>
        </w:rPr>
        <w:t>’</w:t>
      </w:r>
      <w:r w:rsidR="00A13F71" w:rsidRPr="00A970DC">
        <w:rPr>
          <w:lang w:val="fr-FR"/>
        </w:rPr>
        <w:t>efficacité du fonctionnement du système mondial des breve</w:t>
      </w:r>
      <w:r w:rsidR="00B65BAD" w:rsidRPr="00A970DC">
        <w:rPr>
          <w:lang w:val="fr-FR"/>
        </w:rPr>
        <w:t>ts.  Il</w:t>
      </w:r>
      <w:r w:rsidR="00A13F71" w:rsidRPr="00A970DC">
        <w:rPr>
          <w:lang w:val="fr-FR"/>
        </w:rPr>
        <w:t xml:space="preserve"> entend rester ouvert et, si possible, participer activement à d</w:t>
      </w:r>
      <w:r w:rsidR="004916FD" w:rsidRPr="00A970DC">
        <w:rPr>
          <w:lang w:val="fr-FR"/>
        </w:rPr>
        <w:t>’</w:t>
      </w:r>
      <w:r w:rsidR="00A13F71" w:rsidRPr="00A970DC">
        <w:rPr>
          <w:lang w:val="fr-FR"/>
        </w:rPr>
        <w:t>autres initiatives et projets internationaux destinés à partager la charge de travail, à améliorer la qualité, à renforcer l</w:t>
      </w:r>
      <w:r w:rsidR="004916FD" w:rsidRPr="00A970DC">
        <w:rPr>
          <w:lang w:val="fr-FR"/>
        </w:rPr>
        <w:t>’</w:t>
      </w:r>
      <w:r w:rsidR="00A13F71" w:rsidRPr="00A970DC">
        <w:rPr>
          <w:lang w:val="fr-FR"/>
        </w:rPr>
        <w:t>harmonisation et à développer des services mieux</w:t>
      </w:r>
      <w:r w:rsidR="004056AF">
        <w:rPr>
          <w:lang w:val="fr-FR"/>
        </w:rPr>
        <w:t xml:space="preserve"> </w:t>
      </w:r>
      <w:r w:rsidR="00A13F71" w:rsidRPr="004056AF">
        <w:rPr>
          <w:lang w:val="fr-FR"/>
        </w:rPr>
        <w:t>adaptés au profit des utilisateurs, comme le programme GPPH (</w:t>
      </w:r>
      <w:r w:rsidR="00A13F71" w:rsidRPr="004056AF">
        <w:rPr>
          <w:i/>
          <w:lang w:val="fr-FR"/>
        </w:rPr>
        <w:t>Global Patent Prosecution Highway</w:t>
      </w:r>
      <w:r w:rsidR="00A13F71" w:rsidRPr="004056AF">
        <w:rPr>
          <w:lang w:val="fr-FR"/>
        </w:rPr>
        <w:t>) ou des accords bilatéraux de coopération relatifs à des activités de recherche et d</w:t>
      </w:r>
      <w:r w:rsidR="004916FD" w:rsidRPr="004056AF">
        <w:rPr>
          <w:lang w:val="fr-FR"/>
        </w:rPr>
        <w:t>’</w:t>
      </w:r>
      <w:r w:rsidR="00A13F71" w:rsidRPr="004056AF">
        <w:rPr>
          <w:lang w:val="fr-FR"/>
        </w:rPr>
        <w:t>examen.</w:t>
      </w:r>
    </w:p>
    <w:p w:rsidR="00CD34C1" w:rsidRPr="00A970DC" w:rsidRDefault="00893E5A" w:rsidP="00A970DC">
      <w:pPr>
        <w:pStyle w:val="ONUMFS"/>
        <w:rPr>
          <w:lang w:val="fr-FR"/>
        </w:rPr>
      </w:pPr>
      <w:r w:rsidRPr="00A970DC">
        <w:rPr>
          <w:lang w:val="fr-FR"/>
        </w:rPr>
        <w:lastRenderedPageBreak/>
        <w:t>En outre, le renouvellement de la nomination</w:t>
      </w:r>
      <w:r w:rsidR="004916FD" w:rsidRPr="00A970DC">
        <w:rPr>
          <w:lang w:val="fr-FR"/>
        </w:rPr>
        <w:t xml:space="preserve"> du VPI</w:t>
      </w:r>
      <w:r w:rsidRPr="00A970DC">
        <w:rPr>
          <w:lang w:val="fr-FR"/>
        </w:rPr>
        <w:t xml:space="preserve"> s</w:t>
      </w:r>
      <w:r w:rsidR="004916FD" w:rsidRPr="00A970DC">
        <w:rPr>
          <w:lang w:val="fr-FR"/>
        </w:rPr>
        <w:t>’</w:t>
      </w:r>
      <w:r w:rsidRPr="00A970DC">
        <w:rPr>
          <w:lang w:val="fr-FR"/>
        </w:rPr>
        <w:t>inscri</w:t>
      </w:r>
      <w:r w:rsidR="00AB3E5B" w:rsidRPr="00A970DC">
        <w:rPr>
          <w:lang w:val="fr-FR"/>
        </w:rPr>
        <w:t>t</w:t>
      </w:r>
      <w:r w:rsidRPr="00A970DC">
        <w:rPr>
          <w:lang w:val="fr-FR"/>
        </w:rPr>
        <w:t xml:space="preserve"> dans le cadre du Réseau européen des brevets de l</w:t>
      </w:r>
      <w:r w:rsidR="004916FD" w:rsidRPr="00A970DC">
        <w:rPr>
          <w:lang w:val="fr-FR"/>
        </w:rPr>
        <w:t>’</w:t>
      </w:r>
      <w:r w:rsidRPr="00A970DC">
        <w:rPr>
          <w:lang w:val="fr-FR"/>
        </w:rPr>
        <w:t>Organisation européenne des brevets et garanti</w:t>
      </w:r>
      <w:r w:rsidR="00AB3E5B" w:rsidRPr="00A970DC">
        <w:rPr>
          <w:lang w:val="fr-FR"/>
        </w:rPr>
        <w:t>ra</w:t>
      </w:r>
      <w:r w:rsidRPr="00A970DC">
        <w:rPr>
          <w:lang w:val="fr-FR"/>
        </w:rPr>
        <w:t xml:space="preserve"> une interaction harmonieuse avec le tout nouveau régime de protection par brevet unitaire de l</w:t>
      </w:r>
      <w:r w:rsidR="004916FD" w:rsidRPr="00A970DC">
        <w:rPr>
          <w:lang w:val="fr-FR"/>
        </w:rPr>
        <w:t>’</w:t>
      </w:r>
      <w:r w:rsidRPr="00A970DC">
        <w:rPr>
          <w:lang w:val="fr-FR"/>
        </w:rPr>
        <w:t>Union européen</w:t>
      </w:r>
      <w:r w:rsidR="00B65BAD" w:rsidRPr="00A970DC">
        <w:rPr>
          <w:lang w:val="fr-FR"/>
        </w:rPr>
        <w:t>ne.  Le</w:t>
      </w:r>
      <w:r w:rsidR="004916FD" w:rsidRPr="00A970DC">
        <w:rPr>
          <w:lang w:val="fr-FR"/>
        </w:rPr>
        <w:t> VPI</w:t>
      </w:r>
      <w:r w:rsidRPr="00A970DC">
        <w:rPr>
          <w:lang w:val="fr-FR"/>
        </w:rPr>
        <w:t xml:space="preserve"> poursuit donc un autre objectif important, </w:t>
      </w:r>
      <w:r w:rsidR="004916FD" w:rsidRPr="00A970DC">
        <w:rPr>
          <w:lang w:val="fr-FR"/>
        </w:rPr>
        <w:t>à savoir</w:t>
      </w:r>
      <w:r w:rsidRPr="00A970DC">
        <w:rPr>
          <w:lang w:val="fr-FR"/>
        </w:rPr>
        <w:t xml:space="preserve"> contribuer positivement au développement d</w:t>
      </w:r>
      <w:r w:rsidR="004916FD" w:rsidRPr="00A970DC">
        <w:rPr>
          <w:lang w:val="fr-FR"/>
        </w:rPr>
        <w:t>’</w:t>
      </w:r>
      <w:r w:rsidRPr="00A970DC">
        <w:rPr>
          <w:lang w:val="fr-FR"/>
        </w:rPr>
        <w:t>un système européen des brevets, cohérent et efficace, fondé sur la Convention sur le brevet européen (CBE) et sur la coopération bien établie entre l</w:t>
      </w:r>
      <w:r w:rsidR="004916FD" w:rsidRPr="00A970DC">
        <w:rPr>
          <w:lang w:val="fr-FR"/>
        </w:rPr>
        <w:t>’</w:t>
      </w:r>
      <w:r w:rsidRPr="00A970DC">
        <w:rPr>
          <w:lang w:val="fr-FR"/>
        </w:rPr>
        <w:t>Office européen des brevets (OEB) et les offices nationaux, et offrir aux utilisateurs de l</w:t>
      </w:r>
      <w:r w:rsidR="004916FD" w:rsidRPr="00A970DC">
        <w:rPr>
          <w:lang w:val="fr-FR"/>
        </w:rPr>
        <w:t>’</w:t>
      </w:r>
      <w:r w:rsidRPr="00A970DC">
        <w:rPr>
          <w:lang w:val="fr-FR"/>
        </w:rPr>
        <w:t>Europe centrale et orientale le meilleur cadre possible pour tirer parti d</w:t>
      </w:r>
      <w:r w:rsidR="004916FD" w:rsidRPr="00A970DC">
        <w:rPr>
          <w:lang w:val="fr-FR"/>
        </w:rPr>
        <w:t>’</w:t>
      </w:r>
      <w:r w:rsidRPr="00A970DC">
        <w:rPr>
          <w:lang w:val="fr-FR"/>
        </w:rPr>
        <w:t>une telle coopération européenne.</w:t>
      </w:r>
    </w:p>
    <w:p w:rsidR="00CD34C1" w:rsidRPr="00A970DC" w:rsidRDefault="00893E5A" w:rsidP="00A970DC">
      <w:pPr>
        <w:pStyle w:val="ONUMFS"/>
        <w:rPr>
          <w:lang w:val="fr-FR"/>
        </w:rPr>
      </w:pPr>
      <w:r w:rsidRPr="00A970DC">
        <w:rPr>
          <w:lang w:val="fr-FR"/>
        </w:rPr>
        <w:t>Le VPI a pour objectif d</w:t>
      </w:r>
      <w:r w:rsidR="004916FD" w:rsidRPr="00A970DC">
        <w:rPr>
          <w:lang w:val="fr-FR"/>
        </w:rPr>
        <w:t>’</w:t>
      </w:r>
      <w:r w:rsidRPr="00A970DC">
        <w:rPr>
          <w:lang w:val="fr-FR"/>
        </w:rPr>
        <w:t>encourager l</w:t>
      </w:r>
      <w:r w:rsidR="004916FD" w:rsidRPr="00A970DC">
        <w:rPr>
          <w:lang w:val="fr-FR"/>
        </w:rPr>
        <w:t>’</w:t>
      </w:r>
      <w:r w:rsidRPr="00A970DC">
        <w:rPr>
          <w:lang w:val="fr-FR"/>
        </w:rPr>
        <w:t>innovation et la créativité et de promouvoir la croissance économique et la compétitivité en Europe centrale et orienta</w:t>
      </w:r>
      <w:r w:rsidR="00B65BAD" w:rsidRPr="00A970DC">
        <w:rPr>
          <w:lang w:val="fr-FR"/>
        </w:rPr>
        <w:t>le.  Po</w:t>
      </w:r>
      <w:r w:rsidRPr="00A970DC">
        <w:rPr>
          <w:lang w:val="fr-FR"/>
        </w:rPr>
        <w:t>ur atteindre ces objectifs,</w:t>
      </w:r>
      <w:r w:rsidR="004916FD" w:rsidRPr="00A970DC">
        <w:rPr>
          <w:lang w:val="fr-FR"/>
        </w:rPr>
        <w:t xml:space="preserve"> le VPI</w:t>
      </w:r>
      <w:r w:rsidRPr="00A970DC">
        <w:rPr>
          <w:lang w:val="fr-FR"/>
        </w:rPr>
        <w:t xml:space="preserve"> doit</w:t>
      </w:r>
      <w:r w:rsidR="004916FD" w:rsidRPr="00A970DC">
        <w:rPr>
          <w:lang w:val="fr-FR"/>
        </w:rPr>
        <w:t> :</w:t>
      </w:r>
    </w:p>
    <w:p w:rsidR="00CD34C1" w:rsidRPr="00A970DC" w:rsidRDefault="004916FD" w:rsidP="00A970DC">
      <w:pPr>
        <w:pStyle w:val="ONUME"/>
        <w:numPr>
          <w:ilvl w:val="0"/>
          <w:numId w:val="0"/>
        </w:numPr>
        <w:ind w:left="567"/>
        <w:rPr>
          <w:lang w:val="fr-FR"/>
        </w:rPr>
      </w:pPr>
      <w:r w:rsidRPr="00A970DC">
        <w:rPr>
          <w:lang w:val="fr-FR"/>
        </w:rPr>
        <w:t>-</w:t>
      </w:r>
      <w:r w:rsidR="00893E5A" w:rsidRPr="00A970DC">
        <w:rPr>
          <w:lang w:val="fr-FR"/>
        </w:rPr>
        <w:tab/>
        <w:t>offrir aux déposants une solution favorable et efficace pour entrer dans le système</w:t>
      </w:r>
      <w:r w:rsidRPr="00A970DC">
        <w:rPr>
          <w:lang w:val="fr-FR"/>
        </w:rPr>
        <w:t xml:space="preserve"> du PCT</w:t>
      </w:r>
      <w:r w:rsidR="00893E5A" w:rsidRPr="00A970DC">
        <w:rPr>
          <w:lang w:val="fr-FR"/>
        </w:rPr>
        <w:t xml:space="preserve"> (en permettant l</w:t>
      </w:r>
      <w:r w:rsidRPr="00A970DC">
        <w:rPr>
          <w:lang w:val="fr-FR"/>
        </w:rPr>
        <w:t>’</w:t>
      </w:r>
      <w:r w:rsidR="00893E5A" w:rsidRPr="00A970DC">
        <w:rPr>
          <w:lang w:val="fr-FR"/>
        </w:rPr>
        <w:t>utilisation de langues locales et en favorisant la proximité avec les utilisateurs, notamment</w:t>
      </w:r>
      <w:r w:rsidRPr="00A970DC">
        <w:rPr>
          <w:lang w:val="fr-FR"/>
        </w:rPr>
        <w:t xml:space="preserve"> les PME</w:t>
      </w:r>
      <w:r w:rsidR="00893E5A" w:rsidRPr="00A970DC">
        <w:rPr>
          <w:lang w:val="fr-FR"/>
        </w:rPr>
        <w:t>, les inventeurs et apparentés);</w:t>
      </w:r>
      <w:r w:rsidR="00AB3E5B" w:rsidRPr="00A970DC">
        <w:rPr>
          <w:lang w:val="fr-FR"/>
        </w:rPr>
        <w:t xml:space="preserve">  et</w:t>
      </w:r>
    </w:p>
    <w:p w:rsidR="00CD34C1" w:rsidRPr="00A970DC" w:rsidRDefault="004916FD" w:rsidP="00A970DC">
      <w:pPr>
        <w:pStyle w:val="ONUME"/>
        <w:numPr>
          <w:ilvl w:val="0"/>
          <w:numId w:val="0"/>
        </w:numPr>
        <w:ind w:left="567"/>
        <w:rPr>
          <w:lang w:val="fr-FR"/>
        </w:rPr>
      </w:pPr>
      <w:r w:rsidRPr="00A970DC">
        <w:rPr>
          <w:lang w:val="fr-FR"/>
        </w:rPr>
        <w:t>-</w:t>
      </w:r>
      <w:r w:rsidR="00893E5A" w:rsidRPr="00A970DC">
        <w:rPr>
          <w:lang w:val="fr-FR"/>
        </w:rPr>
        <w:tab/>
        <w:t>tenir à jour, et renforcer, les compétences relatives aux brevets des offices nationaux participants dans l</w:t>
      </w:r>
      <w:r w:rsidRPr="00A970DC">
        <w:rPr>
          <w:lang w:val="fr-FR"/>
        </w:rPr>
        <w:t>’</w:t>
      </w:r>
      <w:r w:rsidR="00893E5A" w:rsidRPr="00A970DC">
        <w:rPr>
          <w:lang w:val="fr-FR"/>
        </w:rPr>
        <w:t>intérêt des inventeurs et des industries qu</w:t>
      </w:r>
      <w:r w:rsidRPr="00A970DC">
        <w:rPr>
          <w:lang w:val="fr-FR"/>
        </w:rPr>
        <w:t>’</w:t>
      </w:r>
      <w:r w:rsidR="00893E5A" w:rsidRPr="00A970DC">
        <w:rPr>
          <w:lang w:val="fr-FR"/>
        </w:rPr>
        <w:t>ils servent.</w:t>
      </w:r>
    </w:p>
    <w:p w:rsidR="00CD34C1" w:rsidRPr="00A970DC" w:rsidRDefault="00AB3E5B" w:rsidP="00A970DC">
      <w:pPr>
        <w:pStyle w:val="Heading4"/>
        <w:rPr>
          <w:lang w:val="fr-FR"/>
        </w:rPr>
      </w:pPr>
      <w:r w:rsidRPr="00A970DC">
        <w:rPr>
          <w:lang w:val="fr-FR"/>
        </w:rPr>
        <w:t>1.2.</w:t>
      </w:r>
      <w:r w:rsidRPr="00A970DC">
        <w:rPr>
          <w:lang w:val="fr-FR"/>
        </w:rPr>
        <w:tab/>
      </w:r>
      <w:r w:rsidR="00F360E4" w:rsidRPr="00A970DC">
        <w:rPr>
          <w:lang w:val="fr-FR"/>
        </w:rPr>
        <w:t>Résultats obtenus par</w:t>
      </w:r>
      <w:r w:rsidR="004916FD" w:rsidRPr="00A970DC">
        <w:rPr>
          <w:lang w:val="fr-FR"/>
        </w:rPr>
        <w:t xml:space="preserve"> le VPI</w:t>
      </w:r>
    </w:p>
    <w:p w:rsidR="004916FD" w:rsidRPr="00A970DC" w:rsidRDefault="00F360E4" w:rsidP="00A970DC">
      <w:pPr>
        <w:pStyle w:val="ONUMFS"/>
        <w:rPr>
          <w:lang w:val="fr-FR"/>
        </w:rPr>
      </w:pPr>
      <w:r w:rsidRPr="00A970DC">
        <w:rPr>
          <w:lang w:val="fr-FR"/>
        </w:rPr>
        <w:t>Le VPI a débuté ses activités en qualité d</w:t>
      </w:r>
      <w:r w:rsidR="004916FD" w:rsidRPr="00A970DC">
        <w:rPr>
          <w:lang w:val="fr-FR"/>
        </w:rPr>
        <w:t>’</w:t>
      </w:r>
      <w:r w:rsidRPr="00A970DC">
        <w:rPr>
          <w:lang w:val="fr-FR"/>
        </w:rPr>
        <w:t>administration internationale le</w:t>
      </w:r>
      <w:r w:rsidR="004916FD" w:rsidRPr="00A970DC">
        <w:rPr>
          <w:lang w:val="fr-FR"/>
        </w:rPr>
        <w:t xml:space="preserve"> 1</w:t>
      </w:r>
      <w:r w:rsidR="004916FD" w:rsidRPr="00A970DC">
        <w:rPr>
          <w:vertAlign w:val="superscript"/>
          <w:lang w:val="fr-FR"/>
        </w:rPr>
        <w:t>er</w:t>
      </w:r>
      <w:r w:rsidR="004916FD" w:rsidRPr="00A970DC">
        <w:rPr>
          <w:lang w:val="fr-FR"/>
        </w:rPr>
        <w:t> juillet 20</w:t>
      </w:r>
      <w:r w:rsidRPr="00A970DC">
        <w:rPr>
          <w:lang w:val="fr-FR"/>
        </w:rPr>
        <w:t>16.</w:t>
      </w:r>
      <w:r w:rsidR="00E22C57" w:rsidRPr="00A970DC">
        <w:rPr>
          <w:lang w:val="fr-FR"/>
        </w:rPr>
        <w:t xml:space="preserve">  </w:t>
      </w:r>
      <w:r w:rsidR="006D3792" w:rsidRPr="00A970DC">
        <w:rPr>
          <w:lang w:val="fr-FR"/>
        </w:rPr>
        <w:t>Au cours des six</w:t>
      </w:r>
      <w:r w:rsidR="00433FCC" w:rsidRPr="00A970DC">
        <w:rPr>
          <w:lang w:val="fr-FR"/>
        </w:rPr>
        <w:t> </w:t>
      </w:r>
      <w:r w:rsidR="006D3792" w:rsidRPr="00A970DC">
        <w:rPr>
          <w:lang w:val="fr-FR"/>
        </w:rPr>
        <w:t>premiers mois d</w:t>
      </w:r>
      <w:r w:rsidR="004916FD" w:rsidRPr="00A970DC">
        <w:rPr>
          <w:lang w:val="fr-FR"/>
        </w:rPr>
        <w:t>’</w:t>
      </w:r>
      <w:r w:rsidR="006D3792" w:rsidRPr="00A970DC">
        <w:rPr>
          <w:lang w:val="fr-FR"/>
        </w:rPr>
        <w:t>activité,</w:t>
      </w:r>
      <w:r w:rsidR="004916FD" w:rsidRPr="00A970DC">
        <w:rPr>
          <w:lang w:val="fr-FR"/>
        </w:rPr>
        <w:t xml:space="preserve"> le VPI</w:t>
      </w:r>
      <w:r w:rsidR="006D3792" w:rsidRPr="00A970DC">
        <w:rPr>
          <w:lang w:val="fr-FR"/>
        </w:rPr>
        <w:t xml:space="preserve"> a été choisi par les déposants comme administration chargée de la recherche internationale dans 70</w:t>
      </w:r>
      <w:r w:rsidR="00F96272" w:rsidRPr="00A970DC">
        <w:rPr>
          <w:lang w:val="fr-FR"/>
        </w:rPr>
        <w:t> </w:t>
      </w:r>
      <w:r w:rsidR="006D3792" w:rsidRPr="00A970DC">
        <w:rPr>
          <w:lang w:val="fr-FR"/>
        </w:rPr>
        <w:t>c</w:t>
      </w:r>
      <w:r w:rsidR="00B65BAD" w:rsidRPr="00A970DC">
        <w:rPr>
          <w:lang w:val="fr-FR"/>
        </w:rPr>
        <w:t>as.  En</w:t>
      </w:r>
      <w:r w:rsidR="006D3792" w:rsidRPr="00A970DC">
        <w:rPr>
          <w:lang w:val="fr-FR"/>
        </w:rPr>
        <w:t>viron trois</w:t>
      </w:r>
      <w:r w:rsidR="00B65BAD" w:rsidRPr="00A970DC">
        <w:rPr>
          <w:lang w:val="fr-FR"/>
        </w:rPr>
        <w:t xml:space="preserve"> </w:t>
      </w:r>
      <w:r w:rsidR="006D3792" w:rsidRPr="00A970DC">
        <w:rPr>
          <w:lang w:val="fr-FR"/>
        </w:rPr>
        <w:t>quarts de ces demandes ont été déposées dans une langue nationale (tchèque, hongrois, polonais ou slovaque) et environ un quart seulement étaient rédigées en anglais, ce qui confirme la nécessité de disposer d</w:t>
      </w:r>
      <w:r w:rsidR="004916FD" w:rsidRPr="00A970DC">
        <w:rPr>
          <w:lang w:val="fr-FR"/>
        </w:rPr>
        <w:t>’</w:t>
      </w:r>
      <w:r w:rsidR="006D3792" w:rsidRPr="00A970DC">
        <w:rPr>
          <w:lang w:val="fr-FR"/>
        </w:rPr>
        <w:t>une administration internationale dans la région d</w:t>
      </w:r>
      <w:r w:rsidR="004916FD" w:rsidRPr="00A970DC">
        <w:rPr>
          <w:lang w:val="fr-FR"/>
        </w:rPr>
        <w:t>’</w:t>
      </w:r>
      <w:r w:rsidR="006D3792" w:rsidRPr="00A970DC">
        <w:rPr>
          <w:lang w:val="fr-FR"/>
        </w:rPr>
        <w:t>Europe centrale et orientale.</w:t>
      </w:r>
    </w:p>
    <w:p w:rsidR="004916FD" w:rsidRPr="00A970DC" w:rsidRDefault="006D3792" w:rsidP="00A970DC">
      <w:pPr>
        <w:pStyle w:val="ONUMFS"/>
        <w:rPr>
          <w:lang w:val="fr-FR"/>
        </w:rPr>
      </w:pPr>
      <w:r w:rsidRPr="00A970DC">
        <w:rPr>
          <w:lang w:val="fr-FR"/>
        </w:rPr>
        <w:t>Le VPI a publié 14</w:t>
      </w:r>
      <w:r w:rsidR="00F96272" w:rsidRPr="00A970DC">
        <w:rPr>
          <w:lang w:val="fr-FR"/>
        </w:rPr>
        <w:t> </w:t>
      </w:r>
      <w:r w:rsidRPr="00A970DC">
        <w:rPr>
          <w:lang w:val="fr-FR"/>
        </w:rPr>
        <w:t>rapports de recherche internationale jusqu</w:t>
      </w:r>
      <w:r w:rsidR="004916FD" w:rsidRPr="00A970DC">
        <w:rPr>
          <w:lang w:val="fr-FR"/>
        </w:rPr>
        <w:t>’</w:t>
      </w:r>
      <w:r w:rsidRPr="00A970DC">
        <w:rPr>
          <w:lang w:val="fr-FR"/>
        </w:rPr>
        <w:t xml:space="preserve">à la fin </w:t>
      </w:r>
      <w:r w:rsidR="004916FD" w:rsidRPr="00A970DC">
        <w:rPr>
          <w:lang w:val="fr-FR"/>
        </w:rPr>
        <w:t>de 2016</w:t>
      </w:r>
      <w:r w:rsidRPr="00A970DC">
        <w:rPr>
          <w:lang w:val="fr-FR"/>
        </w:rPr>
        <w:t>, à chaque fois dans les délais prescrits et en conformité avec le règlement d</w:t>
      </w:r>
      <w:r w:rsidR="004916FD" w:rsidRPr="00A970DC">
        <w:rPr>
          <w:lang w:val="fr-FR"/>
        </w:rPr>
        <w:t>’</w:t>
      </w:r>
      <w:r w:rsidRPr="00A970DC">
        <w:rPr>
          <w:lang w:val="fr-FR"/>
        </w:rPr>
        <w:t>exécution</w:t>
      </w:r>
      <w:r w:rsidR="004916FD" w:rsidRPr="00A970DC">
        <w:rPr>
          <w:lang w:val="fr-FR"/>
        </w:rPr>
        <w:t xml:space="preserve"> du PCT</w:t>
      </w:r>
      <w:r w:rsidRPr="00A970DC">
        <w:rPr>
          <w:lang w:val="fr-FR"/>
        </w:rPr>
        <w:t>.</w:t>
      </w:r>
    </w:p>
    <w:p w:rsidR="004916FD" w:rsidRPr="00A970DC" w:rsidRDefault="00AB3E5B" w:rsidP="00A970DC">
      <w:pPr>
        <w:pStyle w:val="ONUMFS"/>
        <w:rPr>
          <w:lang w:val="fr-FR"/>
        </w:rPr>
      </w:pPr>
      <w:r w:rsidRPr="00A970DC">
        <w:rPr>
          <w:lang w:val="fr-FR"/>
        </w:rPr>
        <w:t>Le VPI a reçu la</w:t>
      </w:r>
      <w:r w:rsidR="00C870D5" w:rsidRPr="00A970DC">
        <w:rPr>
          <w:lang w:val="fr-FR"/>
        </w:rPr>
        <w:t xml:space="preserve"> première demande d</w:t>
      </w:r>
      <w:r w:rsidR="004916FD" w:rsidRPr="00A970DC">
        <w:rPr>
          <w:lang w:val="fr-FR"/>
        </w:rPr>
        <w:t>’</w:t>
      </w:r>
      <w:r w:rsidR="00C870D5" w:rsidRPr="00A970DC">
        <w:rPr>
          <w:lang w:val="fr-FR"/>
        </w:rPr>
        <w:t>établissement d</w:t>
      </w:r>
      <w:r w:rsidR="004916FD" w:rsidRPr="00A970DC">
        <w:rPr>
          <w:lang w:val="fr-FR"/>
        </w:rPr>
        <w:t>’</w:t>
      </w:r>
      <w:r w:rsidR="00C870D5" w:rsidRPr="00A970DC">
        <w:rPr>
          <w:lang w:val="fr-FR"/>
        </w:rPr>
        <w:t>un rapport d</w:t>
      </w:r>
      <w:r w:rsidR="004916FD" w:rsidRPr="00A970DC">
        <w:rPr>
          <w:lang w:val="fr-FR"/>
        </w:rPr>
        <w:t>’</w:t>
      </w:r>
      <w:r w:rsidR="00C870D5" w:rsidRPr="00A970DC">
        <w:rPr>
          <w:lang w:val="fr-FR"/>
        </w:rPr>
        <w:t xml:space="preserve">examen préliminaire international (IPER) en </w:t>
      </w:r>
      <w:r w:rsidR="004916FD" w:rsidRPr="00A970DC">
        <w:rPr>
          <w:lang w:val="fr-FR"/>
        </w:rPr>
        <w:t>janvier 20</w:t>
      </w:r>
      <w:r w:rsidR="00C870D5" w:rsidRPr="00A970DC">
        <w:rPr>
          <w:lang w:val="fr-FR"/>
        </w:rPr>
        <w:t>17.</w:t>
      </w:r>
    </w:p>
    <w:p w:rsidR="00CD34C1" w:rsidRPr="00A970DC" w:rsidRDefault="00C870D5" w:rsidP="00A970DC">
      <w:pPr>
        <w:pStyle w:val="Heading4"/>
        <w:rPr>
          <w:lang w:val="fr-FR"/>
        </w:rPr>
      </w:pPr>
      <w:r w:rsidRPr="00A970DC">
        <w:rPr>
          <w:lang w:val="fr-FR"/>
        </w:rPr>
        <w:t>1.3.</w:t>
      </w:r>
      <w:r w:rsidRPr="00A970DC">
        <w:rPr>
          <w:lang w:val="fr-FR"/>
        </w:rPr>
        <w:tab/>
        <w:t>Rôle</w:t>
      </w:r>
      <w:r w:rsidR="004916FD" w:rsidRPr="00A970DC">
        <w:rPr>
          <w:lang w:val="fr-FR"/>
        </w:rPr>
        <w:t xml:space="preserve"> du VPI</w:t>
      </w:r>
      <w:r w:rsidRPr="00A970DC">
        <w:rPr>
          <w:lang w:val="fr-FR"/>
        </w:rPr>
        <w:t xml:space="preserve"> dans le contexte du groupe de Visegrad</w:t>
      </w:r>
    </w:p>
    <w:p w:rsidR="004916FD" w:rsidRPr="00A970DC" w:rsidRDefault="00C870D5" w:rsidP="00A970DC">
      <w:pPr>
        <w:pStyle w:val="ONUMFS"/>
        <w:rPr>
          <w:lang w:val="fr-FR"/>
        </w:rPr>
      </w:pPr>
      <w:r w:rsidRPr="00A970DC">
        <w:rPr>
          <w:lang w:val="fr-FR"/>
        </w:rPr>
        <w:t>Les pays du groupe de Visegrad sont bien placés pour jouer un plus grand rôle dans le système international des breve</w:t>
      </w:r>
      <w:r w:rsidR="00B65BAD" w:rsidRPr="00A970DC">
        <w:rPr>
          <w:lang w:val="fr-FR"/>
        </w:rPr>
        <w:t>ts.  Il</w:t>
      </w:r>
      <w:r w:rsidRPr="00A970DC">
        <w:rPr>
          <w:lang w:val="fr-FR"/>
        </w:rPr>
        <w:t>s représentent des pays émergents caractérisés par une production économique de plus en plus importante, une participation toujours plus grande au commerce européen et mondial, une compétitivité sans cesse accrue et une attention de plus en plus marquée pour l</w:t>
      </w:r>
      <w:r w:rsidR="004916FD" w:rsidRPr="00A970DC">
        <w:rPr>
          <w:lang w:val="fr-FR"/>
        </w:rPr>
        <w:t>’</w:t>
      </w:r>
      <w:r w:rsidRPr="00A970DC">
        <w:rPr>
          <w:lang w:val="fr-FR"/>
        </w:rPr>
        <w:t>innovati</w:t>
      </w:r>
      <w:r w:rsidR="00B65BAD" w:rsidRPr="00A970DC">
        <w:rPr>
          <w:lang w:val="fr-FR"/>
        </w:rPr>
        <w:t>on.  En</w:t>
      </w:r>
      <w:r w:rsidRPr="00A970DC">
        <w:rPr>
          <w:lang w:val="fr-FR"/>
        </w:rPr>
        <w:t xml:space="preserve"> outre, la création</w:t>
      </w:r>
      <w:r w:rsidR="004916FD" w:rsidRPr="00A970DC">
        <w:rPr>
          <w:lang w:val="fr-FR"/>
        </w:rPr>
        <w:t xml:space="preserve"> du VPI</w:t>
      </w:r>
      <w:r w:rsidRPr="00A970DC">
        <w:rPr>
          <w:lang w:val="fr-FR"/>
        </w:rPr>
        <w:t xml:space="preserve"> et la demande en vue de sa nomination en qualité d</w:t>
      </w:r>
      <w:r w:rsidR="004916FD" w:rsidRPr="00A970DC">
        <w:rPr>
          <w:lang w:val="fr-FR"/>
        </w:rPr>
        <w:t>’</w:t>
      </w:r>
      <w:r w:rsidRPr="00A970DC">
        <w:rPr>
          <w:lang w:val="fr-FR"/>
        </w:rPr>
        <w:t>administration chargée de la recherche internationale et d</w:t>
      </w:r>
      <w:r w:rsidR="004916FD" w:rsidRPr="00A970DC">
        <w:rPr>
          <w:lang w:val="fr-FR"/>
        </w:rPr>
        <w:t>’</w:t>
      </w:r>
      <w:r w:rsidRPr="00A970DC">
        <w:rPr>
          <w:lang w:val="fr-FR"/>
        </w:rPr>
        <w:t>administration chargée de l</w:t>
      </w:r>
      <w:r w:rsidR="004916FD" w:rsidRPr="00A970DC">
        <w:rPr>
          <w:lang w:val="fr-FR"/>
        </w:rPr>
        <w:t>’</w:t>
      </w:r>
      <w:r w:rsidRPr="00A970DC">
        <w:rPr>
          <w:lang w:val="fr-FR"/>
        </w:rPr>
        <w:t>examen préliminaire international sont bien conformes aux objectifs politiques généraux et de haut niveau de la coopération dans le cadre du groupe de Visegrad.</w:t>
      </w:r>
    </w:p>
    <w:p w:rsidR="00CD34C1" w:rsidRPr="00A970DC" w:rsidRDefault="00C870D5" w:rsidP="00A970DC">
      <w:pPr>
        <w:pStyle w:val="ONUMFS"/>
        <w:rPr>
          <w:lang w:val="fr-FR"/>
        </w:rPr>
      </w:pPr>
      <w:r w:rsidRPr="00A970DC">
        <w:rPr>
          <w:lang w:val="fr-FR"/>
        </w:rPr>
        <w:t>Le groupe de Visegrad (également appelé “les Quatre</w:t>
      </w:r>
      <w:r w:rsidR="00433FCC" w:rsidRPr="00A970DC">
        <w:rPr>
          <w:lang w:val="fr-FR"/>
        </w:rPr>
        <w:t> </w:t>
      </w:r>
      <w:r w:rsidRPr="00A970DC">
        <w:rPr>
          <w:lang w:val="fr-FR"/>
        </w:rPr>
        <w:t>de Visegrad” ou, simplement, “le V4”) reflète les efforts consentis par les pays de l</w:t>
      </w:r>
      <w:r w:rsidR="004916FD" w:rsidRPr="00A970DC">
        <w:rPr>
          <w:lang w:val="fr-FR"/>
        </w:rPr>
        <w:t>’</w:t>
      </w:r>
      <w:r w:rsidRPr="00A970DC">
        <w:rPr>
          <w:lang w:val="fr-FR"/>
        </w:rPr>
        <w:t>Europe centrale pour collaborer dans un certain nombre de domaines d</w:t>
      </w:r>
      <w:r w:rsidR="004916FD" w:rsidRPr="00A970DC">
        <w:rPr>
          <w:lang w:val="fr-FR"/>
        </w:rPr>
        <w:t>’</w:t>
      </w:r>
      <w:r w:rsidRPr="00A970DC">
        <w:rPr>
          <w:lang w:val="fr-FR"/>
        </w:rPr>
        <w:t>intérêt commun dans le cadre de l</w:t>
      </w:r>
      <w:r w:rsidR="004916FD" w:rsidRPr="00A970DC">
        <w:rPr>
          <w:lang w:val="fr-FR"/>
        </w:rPr>
        <w:t>’</w:t>
      </w:r>
      <w:r w:rsidRPr="00A970DC">
        <w:rPr>
          <w:lang w:val="fr-FR"/>
        </w:rPr>
        <w:t>intégration européen</w:t>
      </w:r>
      <w:r w:rsidR="00B65BAD" w:rsidRPr="00A970DC">
        <w:rPr>
          <w:lang w:val="fr-FR"/>
        </w:rPr>
        <w:t>ne.  La</w:t>
      </w:r>
      <w:r w:rsidRPr="00A970DC">
        <w:rPr>
          <w:lang w:val="fr-FR"/>
        </w:rPr>
        <w:t xml:space="preserve"> Hongrie, la République de Pologne, la République slovaque et la République tchèque ont toujours fait partie d</w:t>
      </w:r>
      <w:r w:rsidR="004916FD" w:rsidRPr="00A970DC">
        <w:rPr>
          <w:lang w:val="fr-FR"/>
        </w:rPr>
        <w:t>’</w:t>
      </w:r>
      <w:r w:rsidRPr="00A970DC">
        <w:rPr>
          <w:lang w:val="fr-FR"/>
        </w:rPr>
        <w:t>une seule civilisation, partageant des valeurs culturelles et intellectuelles et des racines communes, qu</w:t>
      </w:r>
      <w:r w:rsidR="004916FD" w:rsidRPr="00A970DC">
        <w:rPr>
          <w:lang w:val="fr-FR"/>
        </w:rPr>
        <w:t>’</w:t>
      </w:r>
      <w:r w:rsidRPr="00A970DC">
        <w:rPr>
          <w:lang w:val="fr-FR"/>
        </w:rPr>
        <w:t>ils souhaitent préserver et renforcer encore.</w:t>
      </w:r>
    </w:p>
    <w:p w:rsidR="00CD34C1" w:rsidRPr="00A970DC" w:rsidRDefault="00C870D5" w:rsidP="00A970DC">
      <w:pPr>
        <w:pStyle w:val="ONUMFS"/>
        <w:rPr>
          <w:lang w:val="fr-FR"/>
        </w:rPr>
      </w:pPr>
      <w:r w:rsidRPr="00A970DC">
        <w:rPr>
          <w:lang w:val="fr-FR"/>
        </w:rPr>
        <w:lastRenderedPageBreak/>
        <w:t>Tous les pays du V4 aspiraient à devenir membres de l</w:t>
      </w:r>
      <w:r w:rsidR="004916FD" w:rsidRPr="00A970DC">
        <w:rPr>
          <w:lang w:val="fr-FR"/>
        </w:rPr>
        <w:t>’</w:t>
      </w:r>
      <w:r w:rsidRPr="00A970DC">
        <w:rPr>
          <w:lang w:val="fr-FR"/>
        </w:rPr>
        <w:t>Union européenne, percevant leur intégration dans l</w:t>
      </w:r>
      <w:r w:rsidR="004916FD" w:rsidRPr="00A970DC">
        <w:rPr>
          <w:lang w:val="fr-FR"/>
        </w:rPr>
        <w:t>’</w:t>
      </w:r>
      <w:r w:rsidRPr="00A970DC">
        <w:rPr>
          <w:lang w:val="fr-FR"/>
        </w:rPr>
        <w:t>Union européenne comme une autre étape dans le processus qui permettrait de surmonter les clivages artificiels en Europe par l</w:t>
      </w:r>
      <w:r w:rsidR="004916FD" w:rsidRPr="00A970DC">
        <w:rPr>
          <w:lang w:val="fr-FR"/>
        </w:rPr>
        <w:t>’</w:t>
      </w:r>
      <w:r w:rsidRPr="00A970DC">
        <w:rPr>
          <w:lang w:val="fr-FR"/>
        </w:rPr>
        <w:t>entraide, un objectif qu</w:t>
      </w:r>
      <w:r w:rsidR="004916FD" w:rsidRPr="00A970DC">
        <w:rPr>
          <w:lang w:val="fr-FR"/>
        </w:rPr>
        <w:t>’</w:t>
      </w:r>
      <w:r w:rsidRPr="00A970DC">
        <w:rPr>
          <w:lang w:val="fr-FR"/>
        </w:rPr>
        <w:t xml:space="preserve">ils ont atteint </w:t>
      </w:r>
      <w:r w:rsidR="004916FD" w:rsidRPr="00A970DC">
        <w:rPr>
          <w:lang w:val="fr-FR"/>
        </w:rPr>
        <w:t>en 2004</w:t>
      </w:r>
      <w:r w:rsidRPr="00A970DC">
        <w:rPr>
          <w:lang w:val="fr-FR"/>
        </w:rPr>
        <w:t xml:space="preserve"> au moment de leur entrée dans l</w:t>
      </w:r>
      <w:r w:rsidR="004916FD" w:rsidRPr="00A970DC">
        <w:rPr>
          <w:lang w:val="fr-FR"/>
        </w:rPr>
        <w:t>’</w:t>
      </w:r>
      <w:r w:rsidRPr="00A970DC">
        <w:rPr>
          <w:lang w:val="fr-FR"/>
        </w:rPr>
        <w:t>Union européenne.</w:t>
      </w:r>
    </w:p>
    <w:p w:rsidR="00CD34C1" w:rsidRPr="00A970DC" w:rsidRDefault="00736C3F" w:rsidP="00A970DC">
      <w:pPr>
        <w:pStyle w:val="ONUMFS"/>
        <w:rPr>
          <w:lang w:val="fr-FR"/>
        </w:rPr>
      </w:pPr>
      <w:r w:rsidRPr="00A970DC">
        <w:rPr>
          <w:lang w:val="fr-FR"/>
        </w:rPr>
        <w:t>Le groupe de Visegrad a pour objet d</w:t>
      </w:r>
      <w:r w:rsidR="004916FD" w:rsidRPr="00A970DC">
        <w:rPr>
          <w:lang w:val="fr-FR"/>
        </w:rPr>
        <w:t>’</w:t>
      </w:r>
      <w:r w:rsidRPr="00A970DC">
        <w:rPr>
          <w:lang w:val="fr-FR"/>
        </w:rPr>
        <w:t>encourager une coopération optimale avec tous les pays, plus particulièrement ses voisins, le développement démocratique de toutes les régions de l</w:t>
      </w:r>
      <w:r w:rsidR="004916FD" w:rsidRPr="00A970DC">
        <w:rPr>
          <w:lang w:val="fr-FR"/>
        </w:rPr>
        <w:t>’</w:t>
      </w:r>
      <w:r w:rsidRPr="00A970DC">
        <w:rPr>
          <w:lang w:val="fr-FR"/>
        </w:rPr>
        <w:t>Europe étant son intérêt supérieur.</w:t>
      </w:r>
    </w:p>
    <w:p w:rsidR="00CD34C1" w:rsidRPr="00A970DC" w:rsidRDefault="00736C3F" w:rsidP="00A970DC">
      <w:pPr>
        <w:pStyle w:val="ONUMFS"/>
        <w:rPr>
          <w:lang w:val="fr-FR"/>
        </w:rPr>
      </w:pPr>
      <w:r w:rsidRPr="00A970DC">
        <w:rPr>
          <w:lang w:val="fr-FR"/>
        </w:rPr>
        <w:t>La composition du groupe de Visegrad est la suivante</w:t>
      </w:r>
      <w:r w:rsidR="004916FD" w:rsidRPr="00A970DC">
        <w:rPr>
          <w:lang w:val="fr-FR"/>
        </w:rPr>
        <w:t> :</w:t>
      </w:r>
    </w:p>
    <w:p w:rsidR="00CD34C1" w:rsidRPr="00A970DC" w:rsidRDefault="00F96272" w:rsidP="00A970DC">
      <w:pPr>
        <w:pStyle w:val="ONUME"/>
        <w:numPr>
          <w:ilvl w:val="0"/>
          <w:numId w:val="0"/>
        </w:numPr>
        <w:ind w:left="567"/>
        <w:rPr>
          <w:lang w:val="fr-FR"/>
        </w:rPr>
      </w:pPr>
      <w:r w:rsidRPr="00A970DC">
        <w:rPr>
          <w:lang w:val="fr-FR"/>
        </w:rPr>
        <w:t>•</w:t>
      </w:r>
      <w:r w:rsidR="00736C3F" w:rsidRPr="00A970DC">
        <w:rPr>
          <w:lang w:val="fr-FR"/>
        </w:rPr>
        <w:tab/>
        <w:t>Hongrie (</w:t>
      </w:r>
      <w:r w:rsidR="004916FD" w:rsidRPr="00A970DC">
        <w:rPr>
          <w:lang w:val="fr-FR"/>
        </w:rPr>
        <w:t>depuis 1991</w:t>
      </w:r>
      <w:r w:rsidR="00736C3F" w:rsidRPr="00A970DC">
        <w:rPr>
          <w:lang w:val="fr-FR"/>
        </w:rPr>
        <w:t>);</w:t>
      </w:r>
    </w:p>
    <w:p w:rsidR="00CD34C1" w:rsidRPr="00A970DC" w:rsidRDefault="00F96272" w:rsidP="00A970DC">
      <w:pPr>
        <w:pStyle w:val="ONUME"/>
        <w:numPr>
          <w:ilvl w:val="0"/>
          <w:numId w:val="0"/>
        </w:numPr>
        <w:ind w:left="567"/>
        <w:rPr>
          <w:lang w:val="fr-FR"/>
        </w:rPr>
      </w:pPr>
      <w:r w:rsidRPr="00A970DC">
        <w:rPr>
          <w:lang w:val="fr-FR"/>
        </w:rPr>
        <w:t>•</w:t>
      </w:r>
      <w:r w:rsidR="00736C3F" w:rsidRPr="00A970DC">
        <w:rPr>
          <w:lang w:val="fr-FR"/>
        </w:rPr>
        <w:tab/>
        <w:t>République de Pologne (</w:t>
      </w:r>
      <w:r w:rsidR="004916FD" w:rsidRPr="00A970DC">
        <w:rPr>
          <w:lang w:val="fr-FR"/>
        </w:rPr>
        <w:t>depuis 1991</w:t>
      </w:r>
      <w:r w:rsidR="00736C3F" w:rsidRPr="00A970DC">
        <w:rPr>
          <w:lang w:val="fr-FR"/>
        </w:rPr>
        <w:t>);</w:t>
      </w:r>
    </w:p>
    <w:p w:rsidR="00CD34C1" w:rsidRPr="00A970DC" w:rsidRDefault="00F96272" w:rsidP="00A970DC">
      <w:pPr>
        <w:pStyle w:val="ONUME"/>
        <w:numPr>
          <w:ilvl w:val="0"/>
          <w:numId w:val="0"/>
        </w:numPr>
        <w:ind w:left="567"/>
        <w:rPr>
          <w:lang w:val="fr-FR"/>
        </w:rPr>
      </w:pPr>
      <w:r w:rsidRPr="00A970DC">
        <w:rPr>
          <w:lang w:val="fr-FR"/>
        </w:rPr>
        <w:t>•</w:t>
      </w:r>
      <w:r w:rsidR="00736C3F" w:rsidRPr="00A970DC">
        <w:rPr>
          <w:lang w:val="fr-FR"/>
        </w:rPr>
        <w:tab/>
        <w:t>Tchécoslovaquie (1991</w:t>
      </w:r>
      <w:r w:rsidR="004916FD" w:rsidRPr="00A970DC">
        <w:rPr>
          <w:lang w:val="fr-FR"/>
        </w:rPr>
        <w:t>-</w:t>
      </w:r>
      <w:r w:rsidR="00736C3F" w:rsidRPr="00A970DC">
        <w:rPr>
          <w:lang w:val="fr-FR"/>
        </w:rPr>
        <w:t>1993), remplacé</w:t>
      </w:r>
      <w:r w:rsidR="00AB3E5B" w:rsidRPr="00A970DC">
        <w:rPr>
          <w:lang w:val="fr-FR"/>
        </w:rPr>
        <w:t>e</w:t>
      </w:r>
      <w:r w:rsidR="00736C3F" w:rsidRPr="00A970DC">
        <w:rPr>
          <w:lang w:val="fr-FR"/>
        </w:rPr>
        <w:t xml:space="preserve"> par les États suivants</w:t>
      </w:r>
      <w:r w:rsidR="004916FD" w:rsidRPr="00A970DC">
        <w:rPr>
          <w:lang w:val="fr-FR"/>
        </w:rPr>
        <w:t> :</w:t>
      </w:r>
    </w:p>
    <w:p w:rsidR="00CD34C1" w:rsidRPr="00A970DC" w:rsidRDefault="00F96272" w:rsidP="00A970DC">
      <w:pPr>
        <w:pStyle w:val="ONUME"/>
        <w:numPr>
          <w:ilvl w:val="0"/>
          <w:numId w:val="0"/>
        </w:numPr>
        <w:ind w:left="1134"/>
        <w:rPr>
          <w:lang w:val="fr-FR"/>
        </w:rPr>
      </w:pPr>
      <w:r w:rsidRPr="00A970DC">
        <w:rPr>
          <w:lang w:val="fr-FR"/>
        </w:rPr>
        <w:t>o</w:t>
      </w:r>
      <w:r w:rsidR="00736C3F" w:rsidRPr="00A970DC">
        <w:rPr>
          <w:lang w:val="fr-FR"/>
        </w:rPr>
        <w:tab/>
        <w:t>République slovaque (</w:t>
      </w:r>
      <w:r w:rsidR="004916FD" w:rsidRPr="00A970DC">
        <w:rPr>
          <w:lang w:val="fr-FR"/>
        </w:rPr>
        <w:t>depuis 1993</w:t>
      </w:r>
      <w:r w:rsidR="00736C3F" w:rsidRPr="00A970DC">
        <w:rPr>
          <w:lang w:val="fr-FR"/>
        </w:rPr>
        <w:t>);</w:t>
      </w:r>
    </w:p>
    <w:p w:rsidR="00CD34C1" w:rsidRPr="00A970DC" w:rsidRDefault="00F96272" w:rsidP="00A970DC">
      <w:pPr>
        <w:pStyle w:val="ONUME"/>
        <w:numPr>
          <w:ilvl w:val="0"/>
          <w:numId w:val="0"/>
        </w:numPr>
        <w:ind w:left="1134"/>
        <w:rPr>
          <w:lang w:val="fr-FR"/>
        </w:rPr>
      </w:pPr>
      <w:r w:rsidRPr="00A970DC">
        <w:rPr>
          <w:lang w:val="fr-FR"/>
        </w:rPr>
        <w:t>o</w:t>
      </w:r>
      <w:r w:rsidR="00736C3F" w:rsidRPr="00A970DC">
        <w:rPr>
          <w:lang w:val="fr-FR"/>
        </w:rPr>
        <w:tab/>
        <w:t>République tchèque (</w:t>
      </w:r>
      <w:r w:rsidR="004916FD" w:rsidRPr="00A970DC">
        <w:rPr>
          <w:lang w:val="fr-FR"/>
        </w:rPr>
        <w:t>depuis 1993</w:t>
      </w:r>
      <w:r w:rsidR="00736C3F" w:rsidRPr="00A970DC">
        <w:rPr>
          <w:lang w:val="fr-FR"/>
        </w:rPr>
        <w:t>).</w:t>
      </w:r>
    </w:p>
    <w:p w:rsidR="004916FD" w:rsidRPr="00A970DC" w:rsidRDefault="003D5D61" w:rsidP="00A970DC">
      <w:pPr>
        <w:pStyle w:val="ONUMFS"/>
        <w:rPr>
          <w:lang w:val="fr-FR"/>
        </w:rPr>
      </w:pPr>
      <w:r w:rsidRPr="00A970DC">
        <w:rPr>
          <w:lang w:val="fr-FR"/>
        </w:rPr>
        <w:t>On peut dire que la coopération dans le cadre du V4 est actuellement l</w:t>
      </w:r>
      <w:r w:rsidR="004916FD" w:rsidRPr="00A970DC">
        <w:rPr>
          <w:lang w:val="fr-FR"/>
        </w:rPr>
        <w:t>’</w:t>
      </w:r>
      <w:r w:rsidRPr="00A970DC">
        <w:rPr>
          <w:lang w:val="fr-FR"/>
        </w:rPr>
        <w:t>initiative la plus clairement définie en Europe centra</w:t>
      </w:r>
      <w:r w:rsidR="00B65BAD" w:rsidRPr="00A970DC">
        <w:rPr>
          <w:lang w:val="fr-FR"/>
        </w:rPr>
        <w:t>le.  Ce</w:t>
      </w:r>
      <w:r w:rsidRPr="00A970DC">
        <w:rPr>
          <w:lang w:val="fr-FR"/>
        </w:rPr>
        <w:t>tte coopération s</w:t>
      </w:r>
      <w:r w:rsidR="004916FD" w:rsidRPr="00A970DC">
        <w:rPr>
          <w:lang w:val="fr-FR"/>
        </w:rPr>
        <w:t>’</w:t>
      </w:r>
      <w:r w:rsidRPr="00A970DC">
        <w:rPr>
          <w:lang w:val="fr-FR"/>
        </w:rPr>
        <w:t>appuie sur des réunions périodiques de ses représentants à différents niveaux – des sommets politiques de haut niveau à des consultations d</w:t>
      </w:r>
      <w:r w:rsidR="004916FD" w:rsidRPr="00A970DC">
        <w:rPr>
          <w:lang w:val="fr-FR"/>
        </w:rPr>
        <w:t>’</w:t>
      </w:r>
      <w:r w:rsidRPr="00A970DC">
        <w:rPr>
          <w:lang w:val="fr-FR"/>
        </w:rPr>
        <w:t>experts et des réunions diplomatiques, en passant par les activités d</w:t>
      </w:r>
      <w:r w:rsidR="004916FD" w:rsidRPr="00A970DC">
        <w:rPr>
          <w:lang w:val="fr-FR"/>
        </w:rPr>
        <w:t>’</w:t>
      </w:r>
      <w:r w:rsidRPr="00A970DC">
        <w:rPr>
          <w:lang w:val="fr-FR"/>
        </w:rPr>
        <w:t>associations non gouvernementales dans la région, de centres de réflexion et d</w:t>
      </w:r>
      <w:r w:rsidR="004916FD" w:rsidRPr="00A970DC">
        <w:rPr>
          <w:lang w:val="fr-FR"/>
        </w:rPr>
        <w:t>’</w:t>
      </w:r>
      <w:r w:rsidRPr="00A970DC">
        <w:rPr>
          <w:lang w:val="fr-FR"/>
        </w:rPr>
        <w:t>organismes de recherche, d</w:t>
      </w:r>
      <w:r w:rsidR="004916FD" w:rsidRPr="00A970DC">
        <w:rPr>
          <w:lang w:val="fr-FR"/>
        </w:rPr>
        <w:t>’</w:t>
      </w:r>
      <w:r w:rsidRPr="00A970DC">
        <w:rPr>
          <w:lang w:val="fr-FR"/>
        </w:rPr>
        <w:t>institutions culturelles ou de nombreux réseaux de personnes.</w:t>
      </w:r>
    </w:p>
    <w:p w:rsidR="00CD34C1" w:rsidRPr="00A970DC" w:rsidRDefault="003D5D61" w:rsidP="00A970DC">
      <w:pPr>
        <w:pStyle w:val="ONUMFS"/>
        <w:rPr>
          <w:lang w:val="fr-FR"/>
        </w:rPr>
      </w:pPr>
      <w:r w:rsidRPr="00A970DC">
        <w:rPr>
          <w:lang w:val="fr-FR"/>
        </w:rPr>
        <w:t>Les sommets officiels des premiers ministres du V4, qui ont lieu chaque année, sont des exemples bien établis de ces réunions périodiqu</w:t>
      </w:r>
      <w:r w:rsidR="00B65BAD" w:rsidRPr="00A970DC">
        <w:rPr>
          <w:lang w:val="fr-FR"/>
        </w:rPr>
        <w:t>es.  En</w:t>
      </w:r>
      <w:r w:rsidRPr="00A970DC">
        <w:rPr>
          <w:lang w:val="fr-FR"/>
        </w:rPr>
        <w:t>tre ces sommets, la présidence est assurée par l</w:t>
      </w:r>
      <w:r w:rsidR="004916FD" w:rsidRPr="00A970DC">
        <w:rPr>
          <w:lang w:val="fr-FR"/>
        </w:rPr>
        <w:t>’</w:t>
      </w:r>
      <w:r w:rsidRPr="00A970DC">
        <w:rPr>
          <w:lang w:val="fr-FR"/>
        </w:rPr>
        <w:t>un des pays du V4, qui assume notamment la responsabilité d</w:t>
      </w:r>
      <w:r w:rsidR="004916FD" w:rsidRPr="00A970DC">
        <w:rPr>
          <w:lang w:val="fr-FR"/>
        </w:rPr>
        <w:t>’</w:t>
      </w:r>
      <w:r w:rsidRPr="00A970DC">
        <w:rPr>
          <w:lang w:val="fr-FR"/>
        </w:rPr>
        <w:t>établir un plan d</w:t>
      </w:r>
      <w:r w:rsidR="004916FD" w:rsidRPr="00A970DC">
        <w:rPr>
          <w:lang w:val="fr-FR"/>
        </w:rPr>
        <w:t>’</w:t>
      </w:r>
      <w:r w:rsidRPr="00A970DC">
        <w:rPr>
          <w:lang w:val="fr-FR"/>
        </w:rPr>
        <w:t xml:space="preserve">action pour un </w:t>
      </w:r>
      <w:r w:rsidR="00B65BAD" w:rsidRPr="00A970DC">
        <w:rPr>
          <w:lang w:val="fr-FR"/>
        </w:rPr>
        <w:t>an.  En</w:t>
      </w:r>
      <w:r w:rsidRPr="00A970DC">
        <w:rPr>
          <w:lang w:val="fr-FR"/>
        </w:rPr>
        <w:t xml:space="preserve"> outre, une part importante des activités inscrites dans le cadre du V4 est déterminée par la coopération entre les différents ministères des gouvernements du V4, au niveau des ministres ou via des équipes conjointes d</w:t>
      </w:r>
      <w:r w:rsidR="004916FD" w:rsidRPr="00A970DC">
        <w:rPr>
          <w:lang w:val="fr-FR"/>
        </w:rPr>
        <w:t>’</w:t>
      </w:r>
      <w:r w:rsidRPr="00A970DC">
        <w:rPr>
          <w:lang w:val="fr-FR"/>
        </w:rPr>
        <w:t>exper</w:t>
      </w:r>
      <w:r w:rsidR="00B65BAD" w:rsidRPr="00A970DC">
        <w:rPr>
          <w:lang w:val="fr-FR"/>
        </w:rPr>
        <w:t>ts.  Un</w:t>
      </w:r>
      <w:r w:rsidRPr="00A970DC">
        <w:rPr>
          <w:lang w:val="fr-FR"/>
        </w:rPr>
        <w:t xml:space="preserve"> certain nombre de projets conjoints sont actuellement mis en œuvre, plus particulièrement dans les domaines de la culture, de l</w:t>
      </w:r>
      <w:r w:rsidR="004916FD" w:rsidRPr="00A970DC">
        <w:rPr>
          <w:lang w:val="fr-FR"/>
        </w:rPr>
        <w:t>’</w:t>
      </w:r>
      <w:r w:rsidRPr="00A970DC">
        <w:rPr>
          <w:lang w:val="fr-FR"/>
        </w:rPr>
        <w:t>environnement, de la sécurité intérieure, de la défense, des sciences et de l</w:t>
      </w:r>
      <w:r w:rsidR="004916FD" w:rsidRPr="00A970DC">
        <w:rPr>
          <w:lang w:val="fr-FR"/>
        </w:rPr>
        <w:t>’</w:t>
      </w:r>
      <w:r w:rsidRPr="00A970DC">
        <w:rPr>
          <w:lang w:val="fr-FR"/>
        </w:rPr>
        <w:t>éducati</w:t>
      </w:r>
      <w:r w:rsidR="00B65BAD" w:rsidRPr="00A970DC">
        <w:rPr>
          <w:lang w:val="fr-FR"/>
        </w:rPr>
        <w:t>on.  Ce</w:t>
      </w:r>
      <w:r w:rsidRPr="00A970DC">
        <w:rPr>
          <w:lang w:val="fr-FR"/>
        </w:rPr>
        <w:t>la étant, la coopération dans les domaines de la justice, du transport, du tourisme, de l</w:t>
      </w:r>
      <w:r w:rsidR="004916FD" w:rsidRPr="00A970DC">
        <w:rPr>
          <w:lang w:val="fr-FR"/>
        </w:rPr>
        <w:t>’</w:t>
      </w:r>
      <w:r w:rsidRPr="00A970DC">
        <w:rPr>
          <w:lang w:val="fr-FR"/>
        </w:rPr>
        <w:t>énergie ou des technologies de l</w:t>
      </w:r>
      <w:r w:rsidR="004916FD" w:rsidRPr="00A970DC">
        <w:rPr>
          <w:lang w:val="fr-FR"/>
        </w:rPr>
        <w:t>’</w:t>
      </w:r>
      <w:r w:rsidRPr="00A970DC">
        <w:rPr>
          <w:lang w:val="fr-FR"/>
        </w:rPr>
        <w:t>information gagne également du terrain.</w:t>
      </w:r>
    </w:p>
    <w:p w:rsidR="00CD34C1" w:rsidRPr="00A970DC" w:rsidRDefault="003D5D61" w:rsidP="00A970DC">
      <w:pPr>
        <w:pStyle w:val="ONUMFS"/>
        <w:rPr>
          <w:lang w:val="fr-FR"/>
        </w:rPr>
      </w:pPr>
      <w:r w:rsidRPr="00A970DC">
        <w:rPr>
          <w:lang w:val="fr-FR"/>
        </w:rPr>
        <w:t xml:space="preserve">Cette coopération régionale a en outre été renforcée et institutionnalisée par les pays du V4 en </w:t>
      </w:r>
      <w:r w:rsidR="004916FD" w:rsidRPr="00A970DC">
        <w:rPr>
          <w:lang w:val="fr-FR"/>
        </w:rPr>
        <w:t>juin 20</w:t>
      </w:r>
      <w:r w:rsidRPr="00A970DC">
        <w:rPr>
          <w:lang w:val="fr-FR"/>
        </w:rPr>
        <w:t>00 par la création du Fonds international de Visegrad, dont le siège est situé à Bratisla</w:t>
      </w:r>
      <w:r w:rsidR="00B65BAD" w:rsidRPr="00A970DC">
        <w:rPr>
          <w:lang w:val="fr-FR"/>
        </w:rPr>
        <w:t>va.  L’o</w:t>
      </w:r>
      <w:r w:rsidRPr="00A970DC">
        <w:rPr>
          <w:lang w:val="fr-FR"/>
        </w:rPr>
        <w:t>bjectif de cette organisation internationale est de faciliter et de promouvoir le développement d</w:t>
      </w:r>
      <w:r w:rsidR="004916FD" w:rsidRPr="00A970DC">
        <w:rPr>
          <w:lang w:val="fr-FR"/>
        </w:rPr>
        <w:t>’</w:t>
      </w:r>
      <w:r w:rsidRPr="00A970DC">
        <w:rPr>
          <w:lang w:val="fr-FR"/>
        </w:rPr>
        <w:t>une coopération plus étroite entre les citoyens et les institutions dans la région et entre les pays du V4 et les autres pays, en particulier les pays des Balkans occidentaux et du Partenariat orient</w:t>
      </w:r>
      <w:r w:rsidR="00B65BAD" w:rsidRPr="00A970DC">
        <w:rPr>
          <w:lang w:val="fr-FR"/>
        </w:rPr>
        <w:t>al.  Le</w:t>
      </w:r>
      <w:r w:rsidRPr="00A970DC">
        <w:rPr>
          <w:lang w:val="fr-FR"/>
        </w:rPr>
        <w:t xml:space="preserve"> Fonds s</w:t>
      </w:r>
      <w:r w:rsidR="004916FD" w:rsidRPr="00A970DC">
        <w:rPr>
          <w:lang w:val="fr-FR"/>
        </w:rPr>
        <w:t>’</w:t>
      </w:r>
      <w:r w:rsidRPr="00A970DC">
        <w:rPr>
          <w:lang w:val="fr-FR"/>
        </w:rPr>
        <w:t>efforce d</w:t>
      </w:r>
      <w:r w:rsidR="004916FD" w:rsidRPr="00A970DC">
        <w:rPr>
          <w:lang w:val="fr-FR"/>
        </w:rPr>
        <w:t>’</w:t>
      </w:r>
      <w:r w:rsidRPr="00A970DC">
        <w:rPr>
          <w:lang w:val="fr-FR"/>
        </w:rPr>
        <w:t>atteindre cet objectif en accordant un soutien à des projets communs d</w:t>
      </w:r>
      <w:r w:rsidR="004916FD" w:rsidRPr="00A970DC">
        <w:rPr>
          <w:lang w:val="fr-FR"/>
        </w:rPr>
        <w:t>’</w:t>
      </w:r>
      <w:r w:rsidRPr="00A970DC">
        <w:rPr>
          <w:lang w:val="fr-FR"/>
        </w:rPr>
        <w:t>ordre culturel, scientifique et éducatif, des échanges de jeunes, des projets transfrontaliers et des initiatives de promotion du tourisme, et en instaurant des programmes de mobilité (bourses d</w:t>
      </w:r>
      <w:r w:rsidR="004916FD" w:rsidRPr="00A970DC">
        <w:rPr>
          <w:lang w:val="fr-FR"/>
        </w:rPr>
        <w:t>’</w:t>
      </w:r>
      <w:r w:rsidRPr="00A970DC">
        <w:rPr>
          <w:lang w:val="fr-FR"/>
        </w:rPr>
        <w:t>études, résidences).</w:t>
      </w:r>
    </w:p>
    <w:p w:rsidR="004056AF" w:rsidRDefault="003D5D61" w:rsidP="00A970DC">
      <w:pPr>
        <w:pStyle w:val="ONUMFS"/>
        <w:rPr>
          <w:lang w:val="fr-FR"/>
        </w:rPr>
      </w:pPr>
      <w:r w:rsidRPr="00A970DC">
        <w:rPr>
          <w:lang w:val="fr-FR"/>
        </w:rPr>
        <w:t>Le groupe de Visegrad a également une dimension propre en matière de propriété intellectuel</w:t>
      </w:r>
      <w:r w:rsidR="00B65BAD" w:rsidRPr="00A970DC">
        <w:rPr>
          <w:lang w:val="fr-FR"/>
        </w:rPr>
        <w:t>le.  Le</w:t>
      </w:r>
      <w:r w:rsidRPr="00A970DC">
        <w:rPr>
          <w:lang w:val="fr-FR"/>
        </w:rPr>
        <w:t xml:space="preserve">s chefs des offices de propriété </w:t>
      </w:r>
      <w:r w:rsidR="00AB3E5B" w:rsidRPr="00A970DC">
        <w:rPr>
          <w:lang w:val="fr-FR"/>
        </w:rPr>
        <w:t>intellectuelle</w:t>
      </w:r>
      <w:r w:rsidRPr="00A970DC">
        <w:rPr>
          <w:lang w:val="fr-FR"/>
        </w:rPr>
        <w:t xml:space="preserve"> du V4 se réunissent tous les ans </w:t>
      </w:r>
      <w:r w:rsidR="004916FD" w:rsidRPr="00A970DC">
        <w:rPr>
          <w:lang w:val="fr-FR"/>
        </w:rPr>
        <w:t>depuis 1992</w:t>
      </w:r>
      <w:r w:rsidRPr="00A970DC">
        <w:rPr>
          <w:lang w:val="fr-FR"/>
        </w:rPr>
        <w:t>.</w:t>
      </w:r>
      <w:r w:rsidR="00E22C57" w:rsidRPr="00A970DC">
        <w:rPr>
          <w:lang w:val="fr-FR"/>
        </w:rPr>
        <w:t xml:space="preserve">  </w:t>
      </w:r>
      <w:r w:rsidRPr="00A970DC">
        <w:rPr>
          <w:lang w:val="fr-FR"/>
        </w:rPr>
        <w:t>Ces réunions permettent d</w:t>
      </w:r>
      <w:r w:rsidR="004916FD" w:rsidRPr="00A970DC">
        <w:rPr>
          <w:lang w:val="fr-FR"/>
        </w:rPr>
        <w:t>’</w:t>
      </w:r>
      <w:r w:rsidRPr="00A970DC">
        <w:rPr>
          <w:lang w:val="fr-FR"/>
        </w:rPr>
        <w:t>échanger des vues sur les questions d</w:t>
      </w:r>
      <w:r w:rsidR="004916FD" w:rsidRPr="00A970DC">
        <w:rPr>
          <w:lang w:val="fr-FR"/>
        </w:rPr>
        <w:t>’</w:t>
      </w:r>
      <w:r w:rsidRPr="00A970DC">
        <w:rPr>
          <w:lang w:val="fr-FR"/>
        </w:rPr>
        <w:t>actualité dans le domaine de la propriété intellectuelle et d</w:t>
      </w:r>
      <w:r w:rsidR="004916FD" w:rsidRPr="00A970DC">
        <w:rPr>
          <w:lang w:val="fr-FR"/>
        </w:rPr>
        <w:t>’</w:t>
      </w:r>
      <w:r w:rsidRPr="00A970DC">
        <w:rPr>
          <w:lang w:val="fr-FR"/>
        </w:rPr>
        <w:t>évaluer les faits nouveaux sur le plan régional, européen et mondi</w:t>
      </w:r>
      <w:r w:rsidR="00B65BAD" w:rsidRPr="00A970DC">
        <w:rPr>
          <w:lang w:val="fr-FR"/>
        </w:rPr>
        <w:t>al.  De</w:t>
      </w:r>
      <w:r w:rsidRPr="00A970DC">
        <w:rPr>
          <w:lang w:val="fr-FR"/>
        </w:rPr>
        <w:t xml:space="preserve"> telles discussions ont souvent donné lieu à des positions communes, qui ont été présentées lors de forums mondiaux et européens dédiés à des questions d</w:t>
      </w:r>
      <w:r w:rsidR="004916FD" w:rsidRPr="00A970DC">
        <w:rPr>
          <w:lang w:val="fr-FR"/>
        </w:rPr>
        <w:t>’</w:t>
      </w:r>
      <w:r w:rsidRPr="00A970DC">
        <w:rPr>
          <w:lang w:val="fr-FR"/>
        </w:rPr>
        <w:t>importance stratégiq</w:t>
      </w:r>
      <w:r w:rsidR="00B65BAD" w:rsidRPr="00A970DC">
        <w:rPr>
          <w:lang w:val="fr-FR"/>
        </w:rPr>
        <w:t>ue.  La</w:t>
      </w:r>
      <w:r w:rsidRPr="00A970DC">
        <w:rPr>
          <w:lang w:val="fr-FR"/>
        </w:rPr>
        <w:t xml:space="preserve"> coopération des offices nationaux de la propriété intellectuelle </w:t>
      </w:r>
    </w:p>
    <w:p w:rsidR="00CD34C1" w:rsidRPr="00A970DC" w:rsidRDefault="003D5D61" w:rsidP="004056AF">
      <w:pPr>
        <w:pStyle w:val="ONUMFS"/>
        <w:numPr>
          <w:ilvl w:val="0"/>
          <w:numId w:val="0"/>
        </w:numPr>
        <w:rPr>
          <w:lang w:val="fr-FR"/>
        </w:rPr>
      </w:pPr>
      <w:r w:rsidRPr="00A970DC">
        <w:rPr>
          <w:lang w:val="fr-FR"/>
        </w:rPr>
        <w:lastRenderedPageBreak/>
        <w:t>selon le V4 a également été étendue à l</w:t>
      </w:r>
      <w:r w:rsidR="004916FD" w:rsidRPr="00A970DC">
        <w:rPr>
          <w:lang w:val="fr-FR"/>
        </w:rPr>
        <w:t>’</w:t>
      </w:r>
      <w:r w:rsidRPr="00A970DC">
        <w:rPr>
          <w:lang w:val="fr-FR"/>
        </w:rPr>
        <w:t>Autriche, la Croatie, la Roumanie et la Slovénie dans le cadre de réunions regroupant les pays du V4 et leurs amis, organisées conjointement aux réunions annuelles des chefs des offices de propriété intellectuelle du V4.</w:t>
      </w:r>
    </w:p>
    <w:p w:rsidR="004916FD" w:rsidRPr="00A970DC" w:rsidRDefault="003D5D61" w:rsidP="00A970DC">
      <w:pPr>
        <w:pStyle w:val="ONUMFS"/>
        <w:rPr>
          <w:lang w:val="fr-FR"/>
        </w:rPr>
      </w:pPr>
      <w:r w:rsidRPr="00A970DC">
        <w:rPr>
          <w:lang w:val="fr-FR"/>
        </w:rPr>
        <w:t>La coopération entre les pays du V4 dans le domaine de la propriété intellectuelle a petit à petit franchi les frontières régionales et elle a acquis une dimension de plus en plus internationa</w:t>
      </w:r>
      <w:r w:rsidR="00B65BAD" w:rsidRPr="00A970DC">
        <w:rPr>
          <w:lang w:val="fr-FR"/>
        </w:rPr>
        <w:t>le.  Ce</w:t>
      </w:r>
      <w:r w:rsidRPr="00A970DC">
        <w:rPr>
          <w:lang w:val="fr-FR"/>
        </w:rPr>
        <w:t>tte tendance s</w:t>
      </w:r>
      <w:r w:rsidR="004916FD" w:rsidRPr="00A970DC">
        <w:rPr>
          <w:lang w:val="fr-FR"/>
        </w:rPr>
        <w:t>’</w:t>
      </w:r>
      <w:r w:rsidRPr="00A970DC">
        <w:rPr>
          <w:lang w:val="fr-FR"/>
        </w:rPr>
        <w:t>est notamment illustrée par une série de manifestations intitulées “Forum du groupe de Visegrad et de la Chine sur la propriété intellectuelle et les entreprises”, organisées conjointement par l</w:t>
      </w:r>
      <w:r w:rsidR="004916FD" w:rsidRPr="00A970DC">
        <w:rPr>
          <w:lang w:val="fr-FR"/>
        </w:rPr>
        <w:t>’</w:t>
      </w:r>
      <w:r w:rsidRPr="00A970DC">
        <w:rPr>
          <w:lang w:val="fr-FR"/>
        </w:rPr>
        <w:t>Office national de propriété intellectuelle de la République populaire de Chine (SIPO) et l</w:t>
      </w:r>
      <w:r w:rsidR="004916FD" w:rsidRPr="00A970DC">
        <w:rPr>
          <w:lang w:val="fr-FR"/>
        </w:rPr>
        <w:t>’</w:t>
      </w:r>
      <w:r w:rsidRPr="00A970DC">
        <w:rPr>
          <w:lang w:val="fr-FR"/>
        </w:rPr>
        <w:t>Office des brevets de la République de Pologne, en partenariat avec les offices de propriété intellectuelle des pays du V4.</w:t>
      </w:r>
      <w:r w:rsidR="00E22C57" w:rsidRPr="00A970DC">
        <w:rPr>
          <w:lang w:val="fr-FR"/>
        </w:rPr>
        <w:t xml:space="preserve">  </w:t>
      </w:r>
      <w:r w:rsidRPr="00A970DC">
        <w:rPr>
          <w:lang w:val="fr-FR"/>
        </w:rPr>
        <w:t>Ce forum s</w:t>
      </w:r>
      <w:r w:rsidR="004916FD" w:rsidRPr="00A970DC">
        <w:rPr>
          <w:lang w:val="fr-FR"/>
        </w:rPr>
        <w:t>’</w:t>
      </w:r>
      <w:r w:rsidRPr="00A970DC">
        <w:rPr>
          <w:lang w:val="fr-FR"/>
        </w:rPr>
        <w:t>est tenu à Varsovie (</w:t>
      </w:r>
      <w:r w:rsidR="004916FD" w:rsidRPr="00A970DC">
        <w:rPr>
          <w:lang w:val="fr-FR"/>
        </w:rPr>
        <w:t>en 2012</w:t>
      </w:r>
      <w:r w:rsidRPr="00A970DC">
        <w:rPr>
          <w:lang w:val="fr-FR"/>
        </w:rPr>
        <w:t xml:space="preserve"> et 2014) et à Beijing (</w:t>
      </w:r>
      <w:r w:rsidR="004916FD" w:rsidRPr="00A970DC">
        <w:rPr>
          <w:lang w:val="fr-FR"/>
        </w:rPr>
        <w:t>en 2013</w:t>
      </w:r>
      <w:r w:rsidRPr="00A970DC">
        <w:rPr>
          <w:lang w:val="fr-FR"/>
        </w:rPr>
        <w:t xml:space="preserve"> et 2015), avec la participation d</w:t>
      </w:r>
      <w:r w:rsidR="004916FD" w:rsidRPr="00A970DC">
        <w:rPr>
          <w:lang w:val="fr-FR"/>
        </w:rPr>
        <w:t>’</w:t>
      </w:r>
      <w:r w:rsidRPr="00A970DC">
        <w:rPr>
          <w:lang w:val="fr-FR"/>
        </w:rPr>
        <w:t>entrepreneurs, d</w:t>
      </w:r>
      <w:r w:rsidR="004916FD" w:rsidRPr="00A970DC">
        <w:rPr>
          <w:lang w:val="fr-FR"/>
        </w:rPr>
        <w:t>’</w:t>
      </w:r>
      <w:r w:rsidRPr="00A970DC">
        <w:rPr>
          <w:lang w:val="fr-FR"/>
        </w:rPr>
        <w:t>institutions d</w:t>
      </w:r>
      <w:r w:rsidR="004916FD" w:rsidRPr="00A970DC">
        <w:rPr>
          <w:lang w:val="fr-FR"/>
        </w:rPr>
        <w:t>’</w:t>
      </w:r>
      <w:r w:rsidRPr="00A970DC">
        <w:rPr>
          <w:lang w:val="fr-FR"/>
        </w:rPr>
        <w:t>aide aux entreprises, et des représentants des ambassades et des offices de propriété intellectuelle de la Chine et des pays du V4.</w:t>
      </w:r>
      <w:r w:rsidR="00E22C57" w:rsidRPr="00A970DC">
        <w:rPr>
          <w:lang w:val="fr-FR"/>
        </w:rPr>
        <w:t xml:space="preserve">  </w:t>
      </w:r>
      <w:r w:rsidRPr="00A970DC">
        <w:rPr>
          <w:lang w:val="fr-FR"/>
        </w:rPr>
        <w:t>L</w:t>
      </w:r>
      <w:r w:rsidR="004916FD" w:rsidRPr="00A970DC">
        <w:rPr>
          <w:lang w:val="fr-FR"/>
        </w:rPr>
        <w:t>’</w:t>
      </w:r>
      <w:r w:rsidRPr="00A970DC">
        <w:rPr>
          <w:lang w:val="fr-FR"/>
        </w:rPr>
        <w:t>objectif principal de cette initiative était de contribuer de façon notable à l</w:t>
      </w:r>
      <w:r w:rsidR="004916FD" w:rsidRPr="00A970DC">
        <w:rPr>
          <w:lang w:val="fr-FR"/>
        </w:rPr>
        <w:t>’</w:t>
      </w:r>
      <w:r w:rsidRPr="00A970DC">
        <w:rPr>
          <w:lang w:val="fr-FR"/>
        </w:rPr>
        <w:t>augmentation du volume des investissements et de la coopération entre les entreprises chinoises et les entreprises des pays du V4, et d</w:t>
      </w:r>
      <w:r w:rsidR="004916FD" w:rsidRPr="00A970DC">
        <w:rPr>
          <w:lang w:val="fr-FR"/>
        </w:rPr>
        <w:t>’</w:t>
      </w:r>
      <w:r w:rsidRPr="00A970DC">
        <w:rPr>
          <w:lang w:val="fr-FR"/>
        </w:rPr>
        <w:t>accroître leurs activités relatives aux droits de propriété intellectuelle.</w:t>
      </w:r>
    </w:p>
    <w:p w:rsidR="00CD34C1" w:rsidRPr="00A970DC" w:rsidRDefault="003D5D61" w:rsidP="00A970DC">
      <w:pPr>
        <w:pStyle w:val="ONUMFS"/>
        <w:rPr>
          <w:lang w:val="fr-FR"/>
        </w:rPr>
      </w:pPr>
      <w:r w:rsidRPr="00A970DC">
        <w:rPr>
          <w:lang w:val="fr-FR"/>
        </w:rPr>
        <w:t>Le Mémorandum de coopération entre les offices nationaux de la propriété industrielle des pays du V4 et l</w:t>
      </w:r>
      <w:r w:rsidR="004916FD" w:rsidRPr="00A970DC">
        <w:rPr>
          <w:lang w:val="fr-FR"/>
        </w:rPr>
        <w:t>’</w:t>
      </w:r>
      <w:r w:rsidRPr="00A970DC">
        <w:rPr>
          <w:lang w:val="fr-FR"/>
        </w:rPr>
        <w:t>Office des brevets du Japon (JPO) sur la coopération dans le domaine de la propriété intellectuelle est également un bon exemp</w:t>
      </w:r>
      <w:r w:rsidR="00B65BAD" w:rsidRPr="00A970DC">
        <w:rPr>
          <w:lang w:val="fr-FR"/>
        </w:rPr>
        <w:t>le.  Ce</w:t>
      </w:r>
      <w:r w:rsidRPr="00A970DC">
        <w:rPr>
          <w:lang w:val="fr-FR"/>
        </w:rPr>
        <w:t xml:space="preserve"> mémorandum, qui a été signé le 2</w:t>
      </w:r>
      <w:r w:rsidR="004916FD" w:rsidRPr="00A970DC">
        <w:rPr>
          <w:lang w:val="fr-FR"/>
        </w:rPr>
        <w:t>3 septembre 20</w:t>
      </w:r>
      <w:r w:rsidRPr="00A970DC">
        <w:rPr>
          <w:lang w:val="fr-FR"/>
        </w:rPr>
        <w:t>14, envisage, entre autres, une coopération eu égard au futur rôle</w:t>
      </w:r>
      <w:r w:rsidR="004916FD" w:rsidRPr="00A970DC">
        <w:rPr>
          <w:lang w:val="fr-FR"/>
        </w:rPr>
        <w:t xml:space="preserve"> du VPI</w:t>
      </w:r>
      <w:r w:rsidRPr="00A970DC">
        <w:rPr>
          <w:lang w:val="fr-FR"/>
        </w:rPr>
        <w:t xml:space="preserve"> en qualité d</w:t>
      </w:r>
      <w:r w:rsidR="004916FD" w:rsidRPr="00A970DC">
        <w:rPr>
          <w:lang w:val="fr-FR"/>
        </w:rPr>
        <w:t>’</w:t>
      </w:r>
      <w:r w:rsidRPr="00A970DC">
        <w:rPr>
          <w:lang w:val="fr-FR"/>
        </w:rPr>
        <w:t xml:space="preserve">administration chargée de la recherche internationale et </w:t>
      </w:r>
      <w:r w:rsidR="00AB3E5B" w:rsidRPr="00A970DC">
        <w:rPr>
          <w:lang w:val="fr-FR"/>
        </w:rPr>
        <w:t>d</w:t>
      </w:r>
      <w:r w:rsidR="004916FD" w:rsidRPr="00A970DC">
        <w:rPr>
          <w:lang w:val="fr-FR"/>
        </w:rPr>
        <w:t>’</w:t>
      </w:r>
      <w:r w:rsidR="00AB3E5B" w:rsidRPr="00A970DC">
        <w:rPr>
          <w:lang w:val="fr-FR"/>
        </w:rPr>
        <w:t xml:space="preserve">administration chargée </w:t>
      </w:r>
      <w:r w:rsidRPr="00A970DC">
        <w:rPr>
          <w:lang w:val="fr-FR"/>
        </w:rPr>
        <w:t>de l</w:t>
      </w:r>
      <w:r w:rsidR="004916FD" w:rsidRPr="00A970DC">
        <w:rPr>
          <w:lang w:val="fr-FR"/>
        </w:rPr>
        <w:t>’</w:t>
      </w:r>
      <w:r w:rsidRPr="00A970DC">
        <w:rPr>
          <w:lang w:val="fr-FR"/>
        </w:rPr>
        <w:t>examen préliminaire international, et dispose que</w:t>
      </w:r>
      <w:r w:rsidR="004916FD" w:rsidRPr="00A970DC">
        <w:rPr>
          <w:lang w:val="fr-FR"/>
        </w:rPr>
        <w:t xml:space="preserve"> le JPO</w:t>
      </w:r>
      <w:r w:rsidRPr="00A970DC">
        <w:rPr>
          <w:lang w:val="fr-FR"/>
        </w:rPr>
        <w:t xml:space="preserve"> devra partager son expérience et ses connaissances acquises en qualité d</w:t>
      </w:r>
      <w:r w:rsidR="004916FD" w:rsidRPr="00A970DC">
        <w:rPr>
          <w:lang w:val="fr-FR"/>
        </w:rPr>
        <w:t>’</w:t>
      </w:r>
      <w:r w:rsidRPr="00A970DC">
        <w:rPr>
          <w:lang w:val="fr-FR"/>
        </w:rPr>
        <w:t>administration internationale avec les offices des pays du V4 et, plus tard, avec</w:t>
      </w:r>
      <w:r w:rsidR="004916FD" w:rsidRPr="00A970DC">
        <w:rPr>
          <w:lang w:val="fr-FR"/>
        </w:rPr>
        <w:t xml:space="preserve"> le VPI</w:t>
      </w:r>
      <w:r w:rsidRPr="00A970DC">
        <w:rPr>
          <w:lang w:val="fr-FR"/>
        </w:rPr>
        <w:t xml:space="preserve"> lui</w:t>
      </w:r>
      <w:r w:rsidR="004916FD" w:rsidRPr="00A970DC">
        <w:rPr>
          <w:lang w:val="fr-FR"/>
        </w:rPr>
        <w:t>-</w:t>
      </w:r>
      <w:r w:rsidRPr="00A970DC">
        <w:rPr>
          <w:lang w:val="fr-FR"/>
        </w:rPr>
        <w:t>mê</w:t>
      </w:r>
      <w:r w:rsidR="00B65BAD" w:rsidRPr="00A970DC">
        <w:rPr>
          <w:lang w:val="fr-FR"/>
        </w:rPr>
        <w:t>me.  Ce</w:t>
      </w:r>
      <w:r w:rsidRPr="00A970DC">
        <w:rPr>
          <w:lang w:val="fr-FR"/>
        </w:rPr>
        <w:t xml:space="preserve"> type de coopération vise notamment à respecter conjointement les délais relatifs à l</w:t>
      </w:r>
      <w:r w:rsidR="004916FD" w:rsidRPr="00A970DC">
        <w:rPr>
          <w:lang w:val="fr-FR"/>
        </w:rPr>
        <w:t>’</w:t>
      </w:r>
      <w:r w:rsidRPr="00A970DC">
        <w:rPr>
          <w:lang w:val="fr-FR"/>
        </w:rPr>
        <w:t>établissement des rapports de recherche internationale et à en améliorer la quali</w:t>
      </w:r>
      <w:r w:rsidR="00B65BAD" w:rsidRPr="00A970DC">
        <w:rPr>
          <w:lang w:val="fr-FR"/>
        </w:rPr>
        <w:t>té.  Un</w:t>
      </w:r>
      <w:r w:rsidR="00133F64" w:rsidRPr="00A970DC">
        <w:rPr>
          <w:lang w:val="fr-FR"/>
        </w:rPr>
        <w:t>e coopération de fait, poursuivant les mêmes objectifs, prenait forme entre l</w:t>
      </w:r>
      <w:r w:rsidR="004916FD" w:rsidRPr="00A970DC">
        <w:rPr>
          <w:lang w:val="fr-FR"/>
        </w:rPr>
        <w:t>’</w:t>
      </w:r>
      <w:r w:rsidR="00133F64" w:rsidRPr="00A970DC">
        <w:rPr>
          <w:lang w:val="fr-FR"/>
        </w:rPr>
        <w:t>Institut nordique des brevets (NPI) et</w:t>
      </w:r>
      <w:r w:rsidR="004916FD" w:rsidRPr="00A970DC">
        <w:rPr>
          <w:lang w:val="fr-FR"/>
        </w:rPr>
        <w:t xml:space="preserve"> le VPI</w:t>
      </w:r>
      <w:r w:rsidR="00133F64" w:rsidRPr="00A970DC">
        <w:rPr>
          <w:lang w:val="fr-FR"/>
        </w:rPr>
        <w:t>, une coopération que le groupe de Visegrad entend proposer d</w:t>
      </w:r>
      <w:r w:rsidR="004916FD" w:rsidRPr="00A970DC">
        <w:rPr>
          <w:lang w:val="fr-FR"/>
        </w:rPr>
        <w:t>’</w:t>
      </w:r>
      <w:r w:rsidR="00133F64" w:rsidRPr="00A970DC">
        <w:rPr>
          <w:lang w:val="fr-FR"/>
        </w:rPr>
        <w:t>approfondir et d</w:t>
      </w:r>
      <w:r w:rsidR="004916FD" w:rsidRPr="00A970DC">
        <w:rPr>
          <w:lang w:val="fr-FR"/>
        </w:rPr>
        <w:t>’</w:t>
      </w:r>
      <w:r w:rsidR="00133F64" w:rsidRPr="00A970DC">
        <w:rPr>
          <w:lang w:val="fr-FR"/>
        </w:rPr>
        <w:t>officialiser.</w:t>
      </w:r>
    </w:p>
    <w:p w:rsidR="00CD34C1" w:rsidRPr="00A970DC" w:rsidRDefault="00133F64" w:rsidP="00A970DC">
      <w:pPr>
        <w:pStyle w:val="ONUMFS"/>
        <w:rPr>
          <w:lang w:val="fr-FR"/>
        </w:rPr>
      </w:pPr>
      <w:r w:rsidRPr="00A970DC">
        <w:rPr>
          <w:lang w:val="fr-FR"/>
        </w:rPr>
        <w:t>Les offices nationaux de propriété industrielle des pays du V4 et l</w:t>
      </w:r>
      <w:r w:rsidR="004916FD" w:rsidRPr="00A970DC">
        <w:rPr>
          <w:lang w:val="fr-FR"/>
        </w:rPr>
        <w:t>’</w:t>
      </w:r>
      <w:r w:rsidRPr="00A970DC">
        <w:rPr>
          <w:lang w:val="fr-FR"/>
        </w:rPr>
        <w:t>Office coréen de la propriété intellectuelle (KIPO) ont également conclu un mémorandum de coopération dans le domaine de la propriété intellectuel</w:t>
      </w:r>
      <w:r w:rsidR="00B65BAD" w:rsidRPr="00A970DC">
        <w:rPr>
          <w:lang w:val="fr-FR"/>
        </w:rPr>
        <w:t>le.  Ce</w:t>
      </w:r>
      <w:r w:rsidRPr="00A970DC">
        <w:rPr>
          <w:lang w:val="fr-FR"/>
        </w:rPr>
        <w:t xml:space="preserve"> mémorandum a été signé le </w:t>
      </w:r>
      <w:r w:rsidR="004916FD" w:rsidRPr="00A970DC">
        <w:rPr>
          <w:lang w:val="fr-FR"/>
        </w:rPr>
        <w:t>5 octobre 20</w:t>
      </w:r>
      <w:r w:rsidRPr="00A970DC">
        <w:rPr>
          <w:lang w:val="fr-FR"/>
        </w:rPr>
        <w:t>16.</w:t>
      </w:r>
      <w:r w:rsidR="00E22C57" w:rsidRPr="00A970DC">
        <w:rPr>
          <w:lang w:val="fr-FR"/>
        </w:rPr>
        <w:t xml:space="preserve">  </w:t>
      </w:r>
      <w:r w:rsidRPr="00A970DC">
        <w:rPr>
          <w:lang w:val="fr-FR"/>
        </w:rPr>
        <w:t>Il a pour objectif de renforcer encore la coopération entre ces offices, notamment en ce qui concerne la recherche internationale et l</w:t>
      </w:r>
      <w:r w:rsidR="004916FD" w:rsidRPr="00A970DC">
        <w:rPr>
          <w:lang w:val="fr-FR"/>
        </w:rPr>
        <w:t>’</w:t>
      </w:r>
      <w:r w:rsidRPr="00A970DC">
        <w:rPr>
          <w:lang w:val="fr-FR"/>
        </w:rPr>
        <w:t>examen préliminaire international.</w:t>
      </w:r>
    </w:p>
    <w:p w:rsidR="00CD34C1" w:rsidRPr="00A970DC" w:rsidRDefault="00ED3C5F" w:rsidP="00A970DC">
      <w:pPr>
        <w:pStyle w:val="ONUMFS"/>
        <w:rPr>
          <w:lang w:val="fr-FR"/>
        </w:rPr>
      </w:pPr>
      <w:r w:rsidRPr="00A970DC">
        <w:rPr>
          <w:lang w:val="fr-FR"/>
        </w:rPr>
        <w:t>Les pays du groupe de Visegrad ont un potentiel considérable pour promouvoir l</w:t>
      </w:r>
      <w:r w:rsidR="004916FD" w:rsidRPr="00A970DC">
        <w:rPr>
          <w:lang w:val="fr-FR"/>
        </w:rPr>
        <w:t>’</w:t>
      </w:r>
      <w:r w:rsidRPr="00A970DC">
        <w:rPr>
          <w:lang w:val="fr-FR"/>
        </w:rPr>
        <w:t>innovation, stimuler la recherche et le développement, améliorer la compétitivité et encourager le développement de la protection par brevet dans la région qu</w:t>
      </w:r>
      <w:r w:rsidR="004916FD" w:rsidRPr="00A970DC">
        <w:rPr>
          <w:lang w:val="fr-FR"/>
        </w:rPr>
        <w:t>’</w:t>
      </w:r>
      <w:r w:rsidRPr="00A970DC">
        <w:rPr>
          <w:lang w:val="fr-FR"/>
        </w:rPr>
        <w:t>ils représente</w:t>
      </w:r>
      <w:r w:rsidR="00B65BAD" w:rsidRPr="00A970DC">
        <w:rPr>
          <w:lang w:val="fr-FR"/>
        </w:rPr>
        <w:t>nt.  Le</w:t>
      </w:r>
      <w:r w:rsidR="00FB400E" w:rsidRPr="00A970DC">
        <w:rPr>
          <w:lang w:val="fr-FR"/>
        </w:rPr>
        <w:t>s objectifs</w:t>
      </w:r>
      <w:r w:rsidR="004916FD" w:rsidRPr="00A970DC">
        <w:rPr>
          <w:lang w:val="fr-FR"/>
        </w:rPr>
        <w:t xml:space="preserve"> du VPI</w:t>
      </w:r>
      <w:r w:rsidR="00FB400E" w:rsidRPr="00A970DC">
        <w:rPr>
          <w:lang w:val="fr-FR"/>
        </w:rPr>
        <w:t xml:space="preserve"> et la création</w:t>
      </w:r>
      <w:r w:rsidR="004916FD" w:rsidRPr="00A970DC">
        <w:rPr>
          <w:lang w:val="fr-FR"/>
        </w:rPr>
        <w:t xml:space="preserve"> du VPI</w:t>
      </w:r>
      <w:r w:rsidR="00FB400E" w:rsidRPr="00A970DC">
        <w:rPr>
          <w:lang w:val="fr-FR"/>
        </w:rPr>
        <w:t xml:space="preserve"> lui</w:t>
      </w:r>
      <w:r w:rsidR="004916FD" w:rsidRPr="00A970DC">
        <w:rPr>
          <w:lang w:val="fr-FR"/>
        </w:rPr>
        <w:t>-</w:t>
      </w:r>
      <w:r w:rsidR="00FB400E" w:rsidRPr="00A970DC">
        <w:rPr>
          <w:lang w:val="fr-FR"/>
        </w:rPr>
        <w:t>même sont des éléments importants des stratégies nationales des États contractants en ce qui concerne l</w:t>
      </w:r>
      <w:r w:rsidR="004916FD" w:rsidRPr="00A970DC">
        <w:rPr>
          <w:lang w:val="fr-FR"/>
        </w:rPr>
        <w:t>’</w:t>
      </w:r>
      <w:r w:rsidR="00FB400E" w:rsidRPr="00A970DC">
        <w:rPr>
          <w:lang w:val="fr-FR"/>
        </w:rPr>
        <w:t>économie, l</w:t>
      </w:r>
      <w:r w:rsidR="004916FD" w:rsidRPr="00A970DC">
        <w:rPr>
          <w:lang w:val="fr-FR"/>
        </w:rPr>
        <w:t>’</w:t>
      </w:r>
      <w:r w:rsidR="00FB400E" w:rsidRPr="00A970DC">
        <w:rPr>
          <w:lang w:val="fr-FR"/>
        </w:rPr>
        <w:t>innovation et la propriété intellectuelle.</w:t>
      </w:r>
    </w:p>
    <w:p w:rsidR="004916FD" w:rsidRPr="00A970DC" w:rsidRDefault="00FB400E" w:rsidP="00A970DC">
      <w:pPr>
        <w:pStyle w:val="ONUMFS"/>
        <w:rPr>
          <w:lang w:val="fr-FR"/>
        </w:rPr>
      </w:pPr>
      <w:r w:rsidRPr="00A970DC">
        <w:rPr>
          <w:lang w:val="fr-FR"/>
        </w:rPr>
        <w:t xml:space="preserve">Les pays du V4 présentent un atout supplémentaire et une spécificité commune, </w:t>
      </w:r>
      <w:r w:rsidR="004916FD" w:rsidRPr="00A970DC">
        <w:rPr>
          <w:lang w:val="fr-FR"/>
        </w:rPr>
        <w:t>à savoir</w:t>
      </w:r>
      <w:r w:rsidRPr="00A970DC">
        <w:rPr>
          <w:lang w:val="fr-FR"/>
        </w:rPr>
        <w:t xml:space="preserve"> des traditions profondément ancrées à l</w:t>
      </w:r>
      <w:r w:rsidR="004916FD" w:rsidRPr="00A970DC">
        <w:rPr>
          <w:lang w:val="fr-FR"/>
        </w:rPr>
        <w:t>’</w:t>
      </w:r>
      <w:r w:rsidRPr="00A970DC">
        <w:rPr>
          <w:lang w:val="fr-FR"/>
        </w:rPr>
        <w:t>origine de la législation en matière de propriété intellectuelle et de ses institutions connex</w:t>
      </w:r>
      <w:r w:rsidR="00B65BAD" w:rsidRPr="00A970DC">
        <w:rPr>
          <w:lang w:val="fr-FR"/>
        </w:rPr>
        <w:t>es.  Il</w:t>
      </w:r>
      <w:r w:rsidRPr="00A970DC">
        <w:rPr>
          <w:lang w:val="fr-FR"/>
        </w:rPr>
        <w:t>s ont également l</w:t>
      </w:r>
      <w:r w:rsidR="004916FD" w:rsidRPr="00A970DC">
        <w:rPr>
          <w:lang w:val="fr-FR"/>
        </w:rPr>
        <w:t>’</w:t>
      </w:r>
      <w:r w:rsidRPr="00A970DC">
        <w:rPr>
          <w:lang w:val="fr-FR"/>
        </w:rPr>
        <w:t>avantage de participer à grande échelle et de manière intensive à des initiatives mondiales de coopération sous l</w:t>
      </w:r>
      <w:r w:rsidR="004916FD" w:rsidRPr="00A970DC">
        <w:rPr>
          <w:lang w:val="fr-FR"/>
        </w:rPr>
        <w:t>’</w:t>
      </w:r>
      <w:r w:rsidRPr="00A970DC">
        <w:rPr>
          <w:lang w:val="fr-FR"/>
        </w:rPr>
        <w:t>égide de l</w:t>
      </w:r>
      <w:r w:rsidR="004916FD" w:rsidRPr="00A970DC">
        <w:rPr>
          <w:lang w:val="fr-FR"/>
        </w:rPr>
        <w:t>’</w:t>
      </w:r>
      <w:r w:rsidRPr="00A970DC">
        <w:rPr>
          <w:lang w:val="fr-FR"/>
        </w:rPr>
        <w:t>OMPI.  L</w:t>
      </w:r>
      <w:r w:rsidR="004916FD" w:rsidRPr="00A970DC">
        <w:rPr>
          <w:lang w:val="fr-FR"/>
        </w:rPr>
        <w:t>’</w:t>
      </w:r>
      <w:r w:rsidRPr="00A970DC">
        <w:rPr>
          <w:lang w:val="fr-FR"/>
        </w:rPr>
        <w:t>histoire des législations nationales en matière de brevets et des offices nationaux remonte à 1918</w:t>
      </w:r>
      <w:r w:rsidR="004916FD" w:rsidRPr="00A970DC">
        <w:rPr>
          <w:lang w:val="fr-FR"/>
        </w:rPr>
        <w:t>-</w:t>
      </w:r>
      <w:r w:rsidRPr="00A970DC">
        <w:rPr>
          <w:lang w:val="fr-FR"/>
        </w:rPr>
        <w:t>1919 pour la République tchèque, la République de Pologne et la République slovaque, tandis que la Hongrie a adopté sa première loi relative aux brevets et instauré l</w:t>
      </w:r>
      <w:r w:rsidR="004916FD" w:rsidRPr="00A970DC">
        <w:rPr>
          <w:lang w:val="fr-FR"/>
        </w:rPr>
        <w:t>’</w:t>
      </w:r>
      <w:r w:rsidRPr="00A970DC">
        <w:rPr>
          <w:lang w:val="fr-FR"/>
        </w:rPr>
        <w:t xml:space="preserve">office y relatif </w:t>
      </w:r>
      <w:r w:rsidR="004916FD" w:rsidRPr="00A970DC">
        <w:rPr>
          <w:lang w:val="fr-FR"/>
        </w:rPr>
        <w:t>en 1895-</w:t>
      </w:r>
      <w:r w:rsidRPr="00A970DC">
        <w:rPr>
          <w:lang w:val="fr-FR"/>
        </w:rPr>
        <w:t>1896.  Tous ces offices nationaux sont des offices de la propriété industrielle de plein droit, responsables de toute une série de titres de propriété intellectuel</w:t>
      </w:r>
      <w:r w:rsidR="00B65BAD" w:rsidRPr="00A970DC">
        <w:rPr>
          <w:lang w:val="fr-FR"/>
        </w:rPr>
        <w:t>le.  Il</w:t>
      </w:r>
      <w:r w:rsidRPr="00A970DC">
        <w:rPr>
          <w:lang w:val="fr-FR"/>
        </w:rPr>
        <w:t>s mènent des recherches et des examens en matière de brevets dans le cadre de leurs fonctions d</w:t>
      </w:r>
      <w:r w:rsidR="004916FD" w:rsidRPr="00A970DC">
        <w:rPr>
          <w:lang w:val="fr-FR"/>
        </w:rPr>
        <w:t>’</w:t>
      </w:r>
      <w:r w:rsidRPr="00A970DC">
        <w:rPr>
          <w:lang w:val="fr-FR"/>
        </w:rPr>
        <w:t>administration publique et fournissent des services relatifs aux breve</w:t>
      </w:r>
      <w:r w:rsidR="00B65BAD" w:rsidRPr="00A970DC">
        <w:rPr>
          <w:lang w:val="fr-FR"/>
        </w:rPr>
        <w:t>ts.  Il</w:t>
      </w:r>
      <w:r w:rsidRPr="00A970DC">
        <w:rPr>
          <w:lang w:val="fr-FR"/>
        </w:rPr>
        <w:t>s sont également chargés de faire mieux connaître la propriété intellectuelle auprès du public, de diffuser les informations en matière de brevets et de stimuler l</w:t>
      </w:r>
      <w:r w:rsidR="004916FD" w:rsidRPr="00A970DC">
        <w:rPr>
          <w:lang w:val="fr-FR"/>
        </w:rPr>
        <w:t>’</w:t>
      </w:r>
      <w:r w:rsidRPr="00A970DC">
        <w:rPr>
          <w:lang w:val="fr-FR"/>
        </w:rPr>
        <w:t>innovation et la créativité en s</w:t>
      </w:r>
      <w:r w:rsidR="004916FD" w:rsidRPr="00A970DC">
        <w:rPr>
          <w:lang w:val="fr-FR"/>
        </w:rPr>
        <w:t>’</w:t>
      </w:r>
      <w:r w:rsidRPr="00A970DC">
        <w:rPr>
          <w:lang w:val="fr-FR"/>
        </w:rPr>
        <w:t xml:space="preserve">appuyant sur </w:t>
      </w:r>
      <w:r w:rsidRPr="00A970DC">
        <w:rPr>
          <w:lang w:val="fr-FR"/>
        </w:rPr>
        <w:lastRenderedPageBreak/>
        <w:t>différents outils de propriété intellectuelle, et ils s</w:t>
      </w:r>
      <w:r w:rsidR="004916FD" w:rsidRPr="00A970DC">
        <w:rPr>
          <w:lang w:val="fr-FR"/>
        </w:rPr>
        <w:t>’</w:t>
      </w:r>
      <w:r w:rsidRPr="00A970DC">
        <w:rPr>
          <w:lang w:val="fr-FR"/>
        </w:rPr>
        <w:t>y emploient avec dynamis</w:t>
      </w:r>
      <w:r w:rsidR="00B65BAD" w:rsidRPr="00A970DC">
        <w:rPr>
          <w:lang w:val="fr-FR"/>
        </w:rPr>
        <w:t>me.  To</w:t>
      </w:r>
      <w:r w:rsidRPr="00A970DC">
        <w:rPr>
          <w:lang w:val="fr-FR"/>
        </w:rPr>
        <w:t>us les pays du groupe de Visegrad sont des parties aux principaux instruments internationaux administrés par l</w:t>
      </w:r>
      <w:r w:rsidR="004916FD" w:rsidRPr="00A970DC">
        <w:rPr>
          <w:lang w:val="fr-FR"/>
        </w:rPr>
        <w:t>’</w:t>
      </w:r>
      <w:r w:rsidRPr="00A970DC">
        <w:rPr>
          <w:lang w:val="fr-FR"/>
        </w:rPr>
        <w:t>OMPI, à l</w:t>
      </w:r>
      <w:r w:rsidR="004916FD" w:rsidRPr="00A970DC">
        <w:rPr>
          <w:lang w:val="fr-FR"/>
        </w:rPr>
        <w:t>’</w:t>
      </w:r>
      <w:r w:rsidRPr="00A970DC">
        <w:rPr>
          <w:lang w:val="fr-FR"/>
        </w:rPr>
        <w:t>Accord sur les aspects des droits de propriété intellectuelle qui touchent au commerce (Accord sur</w:t>
      </w:r>
      <w:r w:rsidR="004916FD" w:rsidRPr="00A970DC">
        <w:rPr>
          <w:lang w:val="fr-FR"/>
        </w:rPr>
        <w:t xml:space="preserve"> les ADP</w:t>
      </w:r>
      <w:r w:rsidRPr="00A970DC">
        <w:rPr>
          <w:lang w:val="fr-FR"/>
        </w:rPr>
        <w:t>IC) de l</w:t>
      </w:r>
      <w:r w:rsidR="004916FD" w:rsidRPr="00A970DC">
        <w:rPr>
          <w:lang w:val="fr-FR"/>
        </w:rPr>
        <w:t>’</w:t>
      </w:r>
      <w:r w:rsidRPr="00A970DC">
        <w:rPr>
          <w:lang w:val="fr-FR"/>
        </w:rPr>
        <w:t>Organisation mondiale du commerce (OMC) et à la Convention sur le brevet européen (CBE).  Leur participation</w:t>
      </w:r>
      <w:r w:rsidR="004916FD" w:rsidRPr="00A970DC">
        <w:rPr>
          <w:lang w:val="fr-FR"/>
        </w:rPr>
        <w:t xml:space="preserve"> au PCT</w:t>
      </w:r>
      <w:r w:rsidRPr="00A970DC">
        <w:rPr>
          <w:lang w:val="fr-FR"/>
        </w:rPr>
        <w:t xml:space="preserve"> et à d</w:t>
      </w:r>
      <w:r w:rsidR="004916FD" w:rsidRPr="00A970DC">
        <w:rPr>
          <w:lang w:val="fr-FR"/>
        </w:rPr>
        <w:t>’</w:t>
      </w:r>
      <w:r w:rsidRPr="00A970DC">
        <w:rPr>
          <w:lang w:val="fr-FR"/>
        </w:rPr>
        <w:t>autres formes de coopération internationale dans le domaine des brevets est traitée un peu plus en détail dans le chapitre suivant.</w:t>
      </w:r>
    </w:p>
    <w:p w:rsidR="00CD34C1" w:rsidRPr="00A970DC" w:rsidRDefault="000039B6" w:rsidP="00A970DC">
      <w:pPr>
        <w:pStyle w:val="Heading4"/>
        <w:rPr>
          <w:lang w:val="fr-FR"/>
        </w:rPr>
      </w:pPr>
      <w:r w:rsidRPr="00A970DC">
        <w:rPr>
          <w:lang w:val="fr-FR"/>
        </w:rPr>
        <w:t>1.4.</w:t>
      </w:r>
      <w:r w:rsidRPr="00A970DC">
        <w:rPr>
          <w:lang w:val="fr-FR"/>
        </w:rPr>
        <w:tab/>
        <w:t>Participation des pays du groupe de Visegrad au système</w:t>
      </w:r>
      <w:r w:rsidR="004916FD" w:rsidRPr="00A970DC">
        <w:rPr>
          <w:lang w:val="fr-FR"/>
        </w:rPr>
        <w:t xml:space="preserve"> du PCT</w:t>
      </w:r>
      <w:r w:rsidRPr="00A970DC">
        <w:rPr>
          <w:lang w:val="fr-FR"/>
        </w:rPr>
        <w:t xml:space="preserve"> et à d</w:t>
      </w:r>
      <w:r w:rsidR="004916FD" w:rsidRPr="00A970DC">
        <w:rPr>
          <w:lang w:val="fr-FR"/>
        </w:rPr>
        <w:t>’</w:t>
      </w:r>
      <w:r w:rsidRPr="00A970DC">
        <w:rPr>
          <w:lang w:val="fr-FR"/>
        </w:rPr>
        <w:t>autres initiatives internationales relatives aux brevets</w:t>
      </w:r>
    </w:p>
    <w:p w:rsidR="004916FD" w:rsidRPr="00A970DC" w:rsidRDefault="000039B6" w:rsidP="00A970DC">
      <w:pPr>
        <w:pStyle w:val="ONUMFS"/>
        <w:rPr>
          <w:lang w:val="fr-FR"/>
        </w:rPr>
      </w:pPr>
      <w:r w:rsidRPr="00A970DC">
        <w:rPr>
          <w:lang w:val="fr-FR"/>
        </w:rPr>
        <w:t>L</w:t>
      </w:r>
      <w:r w:rsidR="004916FD" w:rsidRPr="00A970DC">
        <w:rPr>
          <w:lang w:val="fr-FR"/>
        </w:rPr>
        <w:t>’</w:t>
      </w:r>
      <w:r w:rsidRPr="00A970DC">
        <w:rPr>
          <w:lang w:val="fr-FR"/>
        </w:rPr>
        <w:t>ancienne Tchécoslovaquie est devenue une partie contractante</w:t>
      </w:r>
      <w:r w:rsidR="004916FD" w:rsidRPr="00A970DC">
        <w:rPr>
          <w:lang w:val="fr-FR"/>
        </w:rPr>
        <w:t xml:space="preserve"> au PCT</w:t>
      </w:r>
      <w:r w:rsidRPr="00A970DC">
        <w:rPr>
          <w:lang w:val="fr-FR"/>
        </w:rPr>
        <w:t xml:space="preserve"> le 2</w:t>
      </w:r>
      <w:r w:rsidR="004916FD" w:rsidRPr="00A970DC">
        <w:rPr>
          <w:lang w:val="fr-FR"/>
        </w:rPr>
        <w:t>0 juin 19</w:t>
      </w:r>
      <w:r w:rsidRPr="00A970DC">
        <w:rPr>
          <w:lang w:val="fr-FR"/>
        </w:rPr>
        <w:t>91.</w:t>
      </w:r>
      <w:r w:rsidR="00E22C57" w:rsidRPr="00A970DC">
        <w:rPr>
          <w:lang w:val="fr-FR"/>
        </w:rPr>
        <w:t xml:space="preserve">  </w:t>
      </w:r>
      <w:r w:rsidRPr="00A970DC">
        <w:rPr>
          <w:lang w:val="fr-FR"/>
        </w:rPr>
        <w:t>En tant que successeur, la République tchèque a continué d</w:t>
      </w:r>
      <w:r w:rsidR="004916FD" w:rsidRPr="00A970DC">
        <w:rPr>
          <w:lang w:val="fr-FR"/>
        </w:rPr>
        <w:t>’</w:t>
      </w:r>
      <w:r w:rsidRPr="00A970DC">
        <w:rPr>
          <w:lang w:val="fr-FR"/>
        </w:rPr>
        <w:t>appliquer</w:t>
      </w:r>
      <w:r w:rsidR="004916FD" w:rsidRPr="00A970DC">
        <w:rPr>
          <w:lang w:val="fr-FR"/>
        </w:rPr>
        <w:t xml:space="preserve"> le PCT</w:t>
      </w:r>
      <w:r w:rsidRPr="00A970DC">
        <w:rPr>
          <w:lang w:val="fr-FR"/>
        </w:rPr>
        <w:t xml:space="preserve"> sur son territoire à partir du</w:t>
      </w:r>
      <w:r w:rsidR="004916FD" w:rsidRPr="00A970DC">
        <w:rPr>
          <w:lang w:val="fr-FR"/>
        </w:rPr>
        <w:t xml:space="preserve"> 1</w:t>
      </w:r>
      <w:r w:rsidR="004916FD" w:rsidRPr="00A970DC">
        <w:rPr>
          <w:vertAlign w:val="superscript"/>
          <w:lang w:val="fr-FR"/>
        </w:rPr>
        <w:t>er</w:t>
      </w:r>
      <w:r w:rsidR="004916FD" w:rsidRPr="00A970DC">
        <w:rPr>
          <w:lang w:val="fr-FR"/>
        </w:rPr>
        <w:t> janvier 19</w:t>
      </w:r>
      <w:r w:rsidRPr="00A970DC">
        <w:rPr>
          <w:lang w:val="fr-FR"/>
        </w:rPr>
        <w:t>93.</w:t>
      </w:r>
      <w:r w:rsidR="00E22C57" w:rsidRPr="00A970DC">
        <w:rPr>
          <w:lang w:val="fr-FR"/>
        </w:rPr>
        <w:t xml:space="preserve">  </w:t>
      </w:r>
      <w:r w:rsidRPr="00A970DC">
        <w:rPr>
          <w:lang w:val="fr-FR"/>
        </w:rPr>
        <w:t>L</w:t>
      </w:r>
      <w:r w:rsidR="004916FD" w:rsidRPr="00A970DC">
        <w:rPr>
          <w:lang w:val="fr-FR"/>
        </w:rPr>
        <w:t>’</w:t>
      </w:r>
      <w:r w:rsidRPr="00A970DC">
        <w:rPr>
          <w:lang w:val="fr-FR"/>
        </w:rPr>
        <w:t xml:space="preserve">Office de la propriété industrielle de la République tchèque </w:t>
      </w:r>
      <w:r w:rsidR="00AB3E5B" w:rsidRPr="00A970DC">
        <w:rPr>
          <w:lang w:val="fr-FR"/>
        </w:rPr>
        <w:t xml:space="preserve">(IPO CZ) </w:t>
      </w:r>
      <w:r w:rsidRPr="00A970DC">
        <w:rPr>
          <w:lang w:val="fr-FR"/>
        </w:rPr>
        <w:t>assume les fonctions d</w:t>
      </w:r>
      <w:r w:rsidR="004916FD" w:rsidRPr="00A970DC">
        <w:rPr>
          <w:lang w:val="fr-FR"/>
        </w:rPr>
        <w:t>’</w:t>
      </w:r>
      <w:r w:rsidRPr="00A970DC">
        <w:rPr>
          <w:lang w:val="fr-FR"/>
        </w:rPr>
        <w:t>office récepteur au titre</w:t>
      </w:r>
      <w:r w:rsidR="004916FD" w:rsidRPr="00A970DC">
        <w:rPr>
          <w:lang w:val="fr-FR"/>
        </w:rPr>
        <w:t xml:space="preserve"> du </w:t>
      </w:r>
      <w:r w:rsidR="00B65BAD" w:rsidRPr="00A970DC">
        <w:rPr>
          <w:lang w:val="fr-FR"/>
        </w:rPr>
        <w:t>PCT.  On</w:t>
      </w:r>
      <w:r w:rsidRPr="00A970DC">
        <w:rPr>
          <w:lang w:val="fr-FR"/>
        </w:rPr>
        <w:t xml:space="preserve"> observe une tendance favorable en ce qui concerne les demandes selon</w:t>
      </w:r>
      <w:r w:rsidR="004916FD" w:rsidRPr="00A970DC">
        <w:rPr>
          <w:lang w:val="fr-FR"/>
        </w:rPr>
        <w:t xml:space="preserve"> le PCT</w:t>
      </w:r>
      <w:r w:rsidRPr="00A970DC">
        <w:rPr>
          <w:lang w:val="fr-FR"/>
        </w:rPr>
        <w:t xml:space="preserve"> déposées par des nationa</w:t>
      </w:r>
      <w:r w:rsidR="00B65BAD" w:rsidRPr="00A970DC">
        <w:rPr>
          <w:lang w:val="fr-FR"/>
        </w:rPr>
        <w:t>ux.  Le</w:t>
      </w:r>
      <w:r w:rsidRPr="00A970DC">
        <w:rPr>
          <w:lang w:val="fr-FR"/>
        </w:rPr>
        <w:t xml:space="preserve"> nombre de demandes internationales de brevet déposées auprès de </w:t>
      </w:r>
      <w:r w:rsidR="00AB3E5B" w:rsidRPr="00A970DC">
        <w:rPr>
          <w:lang w:val="fr-FR"/>
        </w:rPr>
        <w:t>l</w:t>
      </w:r>
      <w:r w:rsidR="004916FD" w:rsidRPr="00A970DC">
        <w:rPr>
          <w:lang w:val="fr-FR"/>
        </w:rPr>
        <w:t>’</w:t>
      </w:r>
      <w:r w:rsidR="00AB3E5B" w:rsidRPr="00A970DC">
        <w:rPr>
          <w:lang w:val="fr-FR"/>
        </w:rPr>
        <w:t>IPO CZ agissant</w:t>
      </w:r>
      <w:r w:rsidRPr="00A970DC">
        <w:rPr>
          <w:lang w:val="fr-FR"/>
        </w:rPr>
        <w:t xml:space="preserve"> en qualité d</w:t>
      </w:r>
      <w:r w:rsidR="004916FD" w:rsidRPr="00A970DC">
        <w:rPr>
          <w:lang w:val="fr-FR"/>
        </w:rPr>
        <w:t>’</w:t>
      </w:r>
      <w:r w:rsidRPr="00A970DC">
        <w:rPr>
          <w:lang w:val="fr-FR"/>
        </w:rPr>
        <w:t>office récepteur est passé de 132 à 180 entre 2007 et 2016.</w:t>
      </w:r>
    </w:p>
    <w:p w:rsidR="00CD34C1" w:rsidRPr="00A970DC" w:rsidRDefault="00E372B5" w:rsidP="00A970DC">
      <w:pPr>
        <w:pStyle w:val="ONUMFS"/>
        <w:rPr>
          <w:lang w:val="fr-FR"/>
        </w:rPr>
      </w:pPr>
      <w:r w:rsidRPr="00A970DC">
        <w:rPr>
          <w:lang w:val="fr-FR"/>
        </w:rPr>
        <w:t>La Hongrie est devenue partie</w:t>
      </w:r>
      <w:r w:rsidR="004916FD" w:rsidRPr="00A970DC">
        <w:rPr>
          <w:lang w:val="fr-FR"/>
        </w:rPr>
        <w:t xml:space="preserve"> au PCT</w:t>
      </w:r>
      <w:r w:rsidRPr="00A970DC">
        <w:rPr>
          <w:lang w:val="fr-FR"/>
        </w:rPr>
        <w:t xml:space="preserve"> le 2</w:t>
      </w:r>
      <w:r w:rsidR="004916FD" w:rsidRPr="00A970DC">
        <w:rPr>
          <w:lang w:val="fr-FR"/>
        </w:rPr>
        <w:t>7 juin 19</w:t>
      </w:r>
      <w:r w:rsidRPr="00A970DC">
        <w:rPr>
          <w:lang w:val="fr-FR"/>
        </w:rPr>
        <w:t>80.</w:t>
      </w:r>
      <w:r w:rsidR="00E22C57" w:rsidRPr="00A970DC">
        <w:rPr>
          <w:lang w:val="fr-FR"/>
        </w:rPr>
        <w:t xml:space="preserve">  </w:t>
      </w:r>
      <w:r w:rsidRPr="00A970DC">
        <w:rPr>
          <w:lang w:val="fr-FR"/>
        </w:rPr>
        <w:t>En sus de sa fonction d</w:t>
      </w:r>
      <w:r w:rsidR="004916FD" w:rsidRPr="00A970DC">
        <w:rPr>
          <w:lang w:val="fr-FR"/>
        </w:rPr>
        <w:t>’</w:t>
      </w:r>
      <w:r w:rsidRPr="00A970DC">
        <w:rPr>
          <w:lang w:val="fr-FR"/>
        </w:rPr>
        <w:t>office récepteur au titre</w:t>
      </w:r>
      <w:r w:rsidR="004916FD" w:rsidRPr="00A970DC">
        <w:rPr>
          <w:lang w:val="fr-FR"/>
        </w:rPr>
        <w:t xml:space="preserve"> du PCT</w:t>
      </w:r>
      <w:r w:rsidRPr="00A970DC">
        <w:rPr>
          <w:lang w:val="fr-FR"/>
        </w:rPr>
        <w:t xml:space="preserve">, </w:t>
      </w:r>
      <w:r w:rsidR="004916FD" w:rsidRPr="00A970DC">
        <w:rPr>
          <w:lang w:val="fr-FR"/>
        </w:rPr>
        <w:t>depuis 2006</w:t>
      </w:r>
      <w:r w:rsidRPr="00A970DC">
        <w:rPr>
          <w:lang w:val="fr-FR"/>
        </w:rPr>
        <w:t>, l</w:t>
      </w:r>
      <w:r w:rsidR="004916FD" w:rsidRPr="00A970DC">
        <w:rPr>
          <w:lang w:val="fr-FR"/>
        </w:rPr>
        <w:t>’</w:t>
      </w:r>
      <w:r w:rsidRPr="00A970DC">
        <w:rPr>
          <w:lang w:val="fr-FR"/>
        </w:rPr>
        <w:t xml:space="preserve">Office hongrois de propriété intellectuelle </w:t>
      </w:r>
      <w:r w:rsidR="00144D2E" w:rsidRPr="00A970DC">
        <w:rPr>
          <w:lang w:val="fr-FR"/>
        </w:rPr>
        <w:t xml:space="preserve">(HIPO) </w:t>
      </w:r>
      <w:r w:rsidRPr="00A970DC">
        <w:rPr>
          <w:lang w:val="fr-FR"/>
        </w:rPr>
        <w:t>menait des recherches et des examens préliminaires pour l</w:t>
      </w:r>
      <w:r w:rsidR="004916FD" w:rsidRPr="00A970DC">
        <w:rPr>
          <w:lang w:val="fr-FR"/>
        </w:rPr>
        <w:t>’</w:t>
      </w:r>
      <w:r w:rsidRPr="00A970DC">
        <w:rPr>
          <w:lang w:val="fr-FR"/>
        </w:rPr>
        <w:t xml:space="preserve">Office autrichien des brevets </w:t>
      </w:r>
      <w:r w:rsidR="00144D2E" w:rsidRPr="00A970DC">
        <w:rPr>
          <w:lang w:val="fr-FR"/>
        </w:rPr>
        <w:t xml:space="preserve">(APO) </w:t>
      </w:r>
      <w:r w:rsidRPr="00A970DC">
        <w:rPr>
          <w:lang w:val="fr-FR"/>
        </w:rPr>
        <w:t>en tant qu</w:t>
      </w:r>
      <w:r w:rsidR="004916FD" w:rsidRPr="00A970DC">
        <w:rPr>
          <w:lang w:val="fr-FR"/>
        </w:rPr>
        <w:t>’</w:t>
      </w:r>
      <w:r w:rsidRPr="00A970DC">
        <w:rPr>
          <w:lang w:val="fr-FR"/>
        </w:rPr>
        <w:t>administration</w:t>
      </w:r>
      <w:r w:rsidR="004916FD" w:rsidRPr="00A970DC">
        <w:rPr>
          <w:lang w:val="fr-FR"/>
        </w:rPr>
        <w:t xml:space="preserve"> du PCT</w:t>
      </w:r>
      <w:r w:rsidRPr="00A970DC">
        <w:rPr>
          <w:lang w:val="fr-FR"/>
        </w:rPr>
        <w:t xml:space="preserve"> dans le cadre d</w:t>
      </w:r>
      <w:r w:rsidR="004916FD" w:rsidRPr="00A970DC">
        <w:rPr>
          <w:lang w:val="fr-FR"/>
        </w:rPr>
        <w:t>’</w:t>
      </w:r>
      <w:r w:rsidRPr="00A970DC">
        <w:rPr>
          <w:lang w:val="fr-FR"/>
        </w:rPr>
        <w:t xml:space="preserve">un accord bilatéral conclu avec </w:t>
      </w:r>
      <w:r w:rsidR="00144D2E" w:rsidRPr="00A970DC">
        <w:rPr>
          <w:lang w:val="fr-FR"/>
        </w:rPr>
        <w:t>l</w:t>
      </w:r>
      <w:r w:rsidR="004916FD" w:rsidRPr="00A970DC">
        <w:rPr>
          <w:lang w:val="fr-FR"/>
        </w:rPr>
        <w:t>’</w:t>
      </w:r>
      <w:r w:rsidR="00B65BAD" w:rsidRPr="00A970DC">
        <w:rPr>
          <w:lang w:val="fr-FR"/>
        </w:rPr>
        <w:t>APO.  Po</w:t>
      </w:r>
      <w:r w:rsidRPr="00A970DC">
        <w:rPr>
          <w:lang w:val="fr-FR"/>
        </w:rPr>
        <w:t>ur mener des recherches et des examens préliminaires en vertu de cet accord, l</w:t>
      </w:r>
      <w:r w:rsidR="004916FD" w:rsidRPr="00A970DC">
        <w:rPr>
          <w:lang w:val="fr-FR"/>
        </w:rPr>
        <w:t>’</w:t>
      </w:r>
      <w:r w:rsidR="00144D2E" w:rsidRPr="00A970DC">
        <w:rPr>
          <w:lang w:val="fr-FR"/>
        </w:rPr>
        <w:t>HIPO</w:t>
      </w:r>
      <w:r w:rsidRPr="00A970DC">
        <w:rPr>
          <w:lang w:val="fr-FR"/>
        </w:rPr>
        <w:t xml:space="preserve"> suivait les Directives concernant la recherche internationale et l</w:t>
      </w:r>
      <w:r w:rsidR="004916FD" w:rsidRPr="00A970DC">
        <w:rPr>
          <w:lang w:val="fr-FR"/>
        </w:rPr>
        <w:t>’</w:t>
      </w:r>
      <w:r w:rsidRPr="00A970DC">
        <w:rPr>
          <w:lang w:val="fr-FR"/>
        </w:rPr>
        <w:t>examen préliminaire international selon le Traité de coopération en matière de breve</w:t>
      </w:r>
      <w:r w:rsidR="00B65BAD" w:rsidRPr="00A970DC">
        <w:rPr>
          <w:lang w:val="fr-FR"/>
        </w:rPr>
        <w:t>ts.  Ce</w:t>
      </w:r>
      <w:r w:rsidRPr="00A970DC">
        <w:rPr>
          <w:lang w:val="fr-FR"/>
        </w:rPr>
        <w:t>t accord était en vigueur jusqu</w:t>
      </w:r>
      <w:r w:rsidR="004916FD" w:rsidRPr="00A970DC">
        <w:rPr>
          <w:lang w:val="fr-FR"/>
        </w:rPr>
        <w:t>’</w:t>
      </w:r>
      <w:r w:rsidRPr="00A970DC">
        <w:rPr>
          <w:lang w:val="fr-FR"/>
        </w:rPr>
        <w:t xml:space="preserve">à la fin de </w:t>
      </w:r>
      <w:r w:rsidR="004916FD" w:rsidRPr="00A970DC">
        <w:rPr>
          <w:lang w:val="fr-FR"/>
        </w:rPr>
        <w:t>décembre 20</w:t>
      </w:r>
      <w:r w:rsidRPr="00A970DC">
        <w:rPr>
          <w:lang w:val="fr-FR"/>
        </w:rPr>
        <w:t xml:space="preserve">14.  Dans le cadre de cet accord, </w:t>
      </w:r>
      <w:r w:rsidR="00144D2E" w:rsidRPr="00A970DC">
        <w:rPr>
          <w:lang w:val="fr-FR"/>
        </w:rPr>
        <w:t>l</w:t>
      </w:r>
      <w:r w:rsidR="004916FD" w:rsidRPr="00A970DC">
        <w:rPr>
          <w:lang w:val="fr-FR"/>
        </w:rPr>
        <w:t>’</w:t>
      </w:r>
      <w:r w:rsidR="00144D2E" w:rsidRPr="00A970DC">
        <w:rPr>
          <w:lang w:val="fr-FR"/>
        </w:rPr>
        <w:t>HIPO</w:t>
      </w:r>
      <w:r w:rsidRPr="00A970DC">
        <w:rPr>
          <w:lang w:val="fr-FR"/>
        </w:rPr>
        <w:t xml:space="preserve"> avait missionné des experts en brevets, en qualité d</w:t>
      </w:r>
      <w:r w:rsidR="004916FD" w:rsidRPr="00A970DC">
        <w:rPr>
          <w:lang w:val="fr-FR"/>
        </w:rPr>
        <w:t>’</w:t>
      </w:r>
      <w:r w:rsidRPr="00A970DC">
        <w:rPr>
          <w:lang w:val="fr-FR"/>
        </w:rPr>
        <w:t>observateurs, auprès du Comité permanent pour l</w:t>
      </w:r>
      <w:r w:rsidR="004916FD" w:rsidRPr="00A970DC">
        <w:rPr>
          <w:lang w:val="fr-FR"/>
        </w:rPr>
        <w:t>’</w:t>
      </w:r>
      <w:r w:rsidRPr="00A970DC">
        <w:rPr>
          <w:lang w:val="fr-FR"/>
        </w:rPr>
        <w:t>harmonisation des activités de recherche et de ses groupes de travail chargés de la coopération et de l</w:t>
      </w:r>
      <w:r w:rsidR="004916FD" w:rsidRPr="00A970DC">
        <w:rPr>
          <w:lang w:val="fr-FR"/>
        </w:rPr>
        <w:t>’</w:t>
      </w:r>
      <w:r w:rsidRPr="00A970DC">
        <w:rPr>
          <w:lang w:val="fr-FR"/>
        </w:rPr>
        <w:t>harmonisation entre les administrations</w:t>
      </w:r>
      <w:r w:rsidR="004916FD" w:rsidRPr="00A970DC">
        <w:rPr>
          <w:lang w:val="fr-FR"/>
        </w:rPr>
        <w:t xml:space="preserve"> du PCT</w:t>
      </w:r>
      <w:r w:rsidRPr="00A970DC">
        <w:rPr>
          <w:lang w:val="fr-FR"/>
        </w:rPr>
        <w:t xml:space="preserve"> en Europe</w:t>
      </w:r>
      <w:r w:rsidR="00144D2E" w:rsidRPr="00A970DC">
        <w:rPr>
          <w:lang w:val="fr-FR"/>
        </w:rPr>
        <w:t xml:space="preserve"> (PCHSA)</w:t>
      </w:r>
      <w:r w:rsidRPr="00A970DC">
        <w:rPr>
          <w:lang w:val="fr-FR"/>
        </w:rPr>
        <w:t xml:space="preserve">.  Les représentants de </w:t>
      </w:r>
      <w:r w:rsidR="00144D2E" w:rsidRPr="00A970DC">
        <w:rPr>
          <w:lang w:val="fr-FR"/>
        </w:rPr>
        <w:t>l</w:t>
      </w:r>
      <w:r w:rsidR="004916FD" w:rsidRPr="00A970DC">
        <w:rPr>
          <w:lang w:val="fr-FR"/>
        </w:rPr>
        <w:t>’</w:t>
      </w:r>
      <w:r w:rsidR="00144D2E" w:rsidRPr="00A970DC">
        <w:rPr>
          <w:lang w:val="fr-FR"/>
        </w:rPr>
        <w:t>HIPO prennent</w:t>
      </w:r>
      <w:r w:rsidRPr="00A970DC">
        <w:rPr>
          <w:lang w:val="fr-FR"/>
        </w:rPr>
        <w:t xml:space="preserve"> part aux travaux du </w:t>
      </w:r>
      <w:r w:rsidR="00B65BAD" w:rsidRPr="00A970DC">
        <w:rPr>
          <w:lang w:val="fr-FR"/>
        </w:rPr>
        <w:t>c</w:t>
      </w:r>
      <w:r w:rsidRPr="00A970DC">
        <w:rPr>
          <w:lang w:val="fr-FR"/>
        </w:rPr>
        <w:t xml:space="preserve">omité permanent et de ses groupes de travail </w:t>
      </w:r>
      <w:r w:rsidR="004916FD" w:rsidRPr="00A970DC">
        <w:rPr>
          <w:lang w:val="fr-FR"/>
        </w:rPr>
        <w:t>depuis 2009</w:t>
      </w:r>
      <w:r w:rsidRPr="00A970DC">
        <w:rPr>
          <w:lang w:val="fr-FR"/>
        </w:rPr>
        <w:t>.  Le nombre de demandes selon</w:t>
      </w:r>
      <w:r w:rsidR="004916FD" w:rsidRPr="00A970DC">
        <w:rPr>
          <w:lang w:val="fr-FR"/>
        </w:rPr>
        <w:t xml:space="preserve"> le PCT</w:t>
      </w:r>
      <w:r w:rsidRPr="00A970DC">
        <w:rPr>
          <w:lang w:val="fr-FR"/>
        </w:rPr>
        <w:t xml:space="preserve"> originaires de la Hongrie a oscillé entre 142 et 173 </w:t>
      </w:r>
      <w:r w:rsidR="004916FD" w:rsidRPr="00A970DC">
        <w:rPr>
          <w:lang w:val="fr-FR"/>
        </w:rPr>
        <w:t>de 2007</w:t>
      </w:r>
      <w:r w:rsidRPr="00A970DC">
        <w:rPr>
          <w:lang w:val="fr-FR"/>
        </w:rPr>
        <w:t xml:space="preserve"> à 2016.</w:t>
      </w:r>
    </w:p>
    <w:p w:rsidR="00CD34C1" w:rsidRPr="00A970DC" w:rsidRDefault="00980A15" w:rsidP="00A970DC">
      <w:pPr>
        <w:pStyle w:val="ONUMFS"/>
        <w:rPr>
          <w:lang w:val="fr-FR"/>
        </w:rPr>
      </w:pPr>
      <w:r w:rsidRPr="00A970DC">
        <w:rPr>
          <w:lang w:val="fr-FR"/>
        </w:rPr>
        <w:t>La République de Pologne a adhéré</w:t>
      </w:r>
      <w:r w:rsidR="004916FD" w:rsidRPr="00A970DC">
        <w:rPr>
          <w:lang w:val="fr-FR"/>
        </w:rPr>
        <w:t xml:space="preserve"> au PCT</w:t>
      </w:r>
      <w:r w:rsidRPr="00A970DC">
        <w:rPr>
          <w:lang w:val="fr-FR"/>
        </w:rPr>
        <w:t xml:space="preserve"> le 2</w:t>
      </w:r>
      <w:r w:rsidR="004916FD" w:rsidRPr="00A970DC">
        <w:rPr>
          <w:lang w:val="fr-FR"/>
        </w:rPr>
        <w:t>5 décembre 19</w:t>
      </w:r>
      <w:r w:rsidRPr="00A970DC">
        <w:rPr>
          <w:lang w:val="fr-FR"/>
        </w:rPr>
        <w:t>90.  Depuis cette date, l</w:t>
      </w:r>
      <w:r w:rsidR="004916FD" w:rsidRPr="00A970DC">
        <w:rPr>
          <w:lang w:val="fr-FR"/>
        </w:rPr>
        <w:t>’</w:t>
      </w:r>
      <w:r w:rsidRPr="00A970DC">
        <w:rPr>
          <w:lang w:val="fr-FR"/>
        </w:rPr>
        <w:t xml:space="preserve">Office des brevets de la République de Pologne </w:t>
      </w:r>
      <w:r w:rsidR="00144D2E" w:rsidRPr="00A970DC">
        <w:rPr>
          <w:lang w:val="fr-FR"/>
        </w:rPr>
        <w:t>(PPO) agit</w:t>
      </w:r>
      <w:r w:rsidRPr="00A970DC">
        <w:rPr>
          <w:lang w:val="fr-FR"/>
        </w:rPr>
        <w:t xml:space="preserve"> en qualité d</w:t>
      </w:r>
      <w:r w:rsidR="004916FD" w:rsidRPr="00A970DC">
        <w:rPr>
          <w:lang w:val="fr-FR"/>
        </w:rPr>
        <w:t>’</w:t>
      </w:r>
      <w:r w:rsidRPr="00A970DC">
        <w:rPr>
          <w:lang w:val="fr-FR"/>
        </w:rPr>
        <w:t>office récepteur et la Pologne est devenue pays désigné dans les demandes selon</w:t>
      </w:r>
      <w:r w:rsidR="004916FD" w:rsidRPr="00A970DC">
        <w:rPr>
          <w:lang w:val="fr-FR"/>
        </w:rPr>
        <w:t xml:space="preserve"> le </w:t>
      </w:r>
      <w:r w:rsidR="00B65BAD" w:rsidRPr="00A970DC">
        <w:rPr>
          <w:lang w:val="fr-FR"/>
        </w:rPr>
        <w:t>PCT.  En</w:t>
      </w:r>
      <w:r w:rsidRPr="00A970DC">
        <w:rPr>
          <w:lang w:val="fr-FR"/>
        </w:rPr>
        <w:t>tre 2007 et 2016, le nombre de demandes selon</w:t>
      </w:r>
      <w:r w:rsidR="004916FD" w:rsidRPr="00A970DC">
        <w:rPr>
          <w:lang w:val="fr-FR"/>
        </w:rPr>
        <w:t xml:space="preserve"> le PCT</w:t>
      </w:r>
      <w:r w:rsidRPr="00A970DC">
        <w:rPr>
          <w:lang w:val="fr-FR"/>
        </w:rPr>
        <w:t xml:space="preserve"> en provenance de la République de Pologne est passé de 107 à 277.</w:t>
      </w:r>
    </w:p>
    <w:p w:rsidR="00CD34C1" w:rsidRPr="00A970DC" w:rsidRDefault="00980A15" w:rsidP="00A970DC">
      <w:pPr>
        <w:pStyle w:val="ONUMFS"/>
        <w:rPr>
          <w:lang w:val="fr-FR"/>
        </w:rPr>
      </w:pPr>
      <w:r w:rsidRPr="00A970DC">
        <w:rPr>
          <w:lang w:val="fr-FR"/>
        </w:rPr>
        <w:t>La République slovaque, ainsi que la République tchèque, ont remplacé l</w:t>
      </w:r>
      <w:r w:rsidR="004916FD" w:rsidRPr="00A970DC">
        <w:rPr>
          <w:lang w:val="fr-FR"/>
        </w:rPr>
        <w:t>’</w:t>
      </w:r>
      <w:r w:rsidRPr="00A970DC">
        <w:rPr>
          <w:lang w:val="fr-FR"/>
        </w:rPr>
        <w:t>ancienne Tchécoslovaquie qui avait adhéré</w:t>
      </w:r>
      <w:r w:rsidR="004916FD" w:rsidRPr="00A970DC">
        <w:rPr>
          <w:lang w:val="fr-FR"/>
        </w:rPr>
        <w:t xml:space="preserve"> au PCT</w:t>
      </w:r>
      <w:r w:rsidRPr="00A970DC">
        <w:rPr>
          <w:lang w:val="fr-FR"/>
        </w:rPr>
        <w:t xml:space="preserve"> </w:t>
      </w:r>
      <w:r w:rsidR="004916FD" w:rsidRPr="00A970DC">
        <w:rPr>
          <w:lang w:val="fr-FR"/>
        </w:rPr>
        <w:t>en 1991</w:t>
      </w:r>
      <w:r w:rsidRPr="00A970DC">
        <w:rPr>
          <w:lang w:val="fr-FR"/>
        </w:rPr>
        <w:t>.</w:t>
      </w:r>
      <w:r w:rsidR="00CD0D8F" w:rsidRPr="00A970DC">
        <w:rPr>
          <w:lang w:val="fr-FR"/>
        </w:rPr>
        <w:t xml:space="preserve"> </w:t>
      </w:r>
      <w:r w:rsidR="00E22C57" w:rsidRPr="00A970DC">
        <w:rPr>
          <w:lang w:val="fr-FR"/>
        </w:rPr>
        <w:t xml:space="preserve"> </w:t>
      </w:r>
      <w:r w:rsidRPr="00A970DC">
        <w:rPr>
          <w:lang w:val="fr-FR"/>
        </w:rPr>
        <w:t>La République slovaque est un État contractant</w:t>
      </w:r>
      <w:r w:rsidR="004916FD" w:rsidRPr="00A970DC">
        <w:rPr>
          <w:lang w:val="fr-FR"/>
        </w:rPr>
        <w:t xml:space="preserve"> du PCT</w:t>
      </w:r>
      <w:r w:rsidRPr="00A970DC">
        <w:rPr>
          <w:lang w:val="fr-FR"/>
        </w:rPr>
        <w:t xml:space="preserve"> depuis le</w:t>
      </w:r>
      <w:r w:rsidR="004916FD" w:rsidRPr="00A970DC">
        <w:rPr>
          <w:lang w:val="fr-FR"/>
        </w:rPr>
        <w:t xml:space="preserve"> 1</w:t>
      </w:r>
      <w:r w:rsidR="004916FD" w:rsidRPr="00A970DC">
        <w:rPr>
          <w:vertAlign w:val="superscript"/>
          <w:lang w:val="fr-FR"/>
        </w:rPr>
        <w:t>er</w:t>
      </w:r>
      <w:r w:rsidR="004916FD" w:rsidRPr="00A970DC">
        <w:rPr>
          <w:lang w:val="fr-FR"/>
        </w:rPr>
        <w:t> janvier 19</w:t>
      </w:r>
      <w:r w:rsidRPr="00A970DC">
        <w:rPr>
          <w:lang w:val="fr-FR"/>
        </w:rPr>
        <w:t>93.  Depuis cette date, l</w:t>
      </w:r>
      <w:r w:rsidR="004916FD" w:rsidRPr="00A970DC">
        <w:rPr>
          <w:lang w:val="fr-FR"/>
        </w:rPr>
        <w:t>’</w:t>
      </w:r>
      <w:r w:rsidRPr="00A970DC">
        <w:rPr>
          <w:lang w:val="fr-FR"/>
        </w:rPr>
        <w:t xml:space="preserve">Office de la propriété industrielle de la République slovaque </w:t>
      </w:r>
      <w:r w:rsidR="00144D2E" w:rsidRPr="00A970DC">
        <w:rPr>
          <w:lang w:val="fr-FR"/>
        </w:rPr>
        <w:t xml:space="preserve">(IPO SR) </w:t>
      </w:r>
      <w:r w:rsidRPr="00A970DC">
        <w:rPr>
          <w:lang w:val="fr-FR"/>
        </w:rPr>
        <w:t>accomplit sa mission dans le cadre du système</w:t>
      </w:r>
      <w:r w:rsidR="004916FD" w:rsidRPr="00A970DC">
        <w:rPr>
          <w:lang w:val="fr-FR"/>
        </w:rPr>
        <w:t xml:space="preserve"> du PCT</w:t>
      </w:r>
      <w:r w:rsidRPr="00A970DC">
        <w:rPr>
          <w:lang w:val="fr-FR"/>
        </w:rPr>
        <w:t xml:space="preserve"> en qualité d</w:t>
      </w:r>
      <w:r w:rsidR="004916FD" w:rsidRPr="00A970DC">
        <w:rPr>
          <w:lang w:val="fr-FR"/>
        </w:rPr>
        <w:t>’</w:t>
      </w:r>
      <w:r w:rsidRPr="00A970DC">
        <w:rPr>
          <w:lang w:val="fr-FR"/>
        </w:rPr>
        <w:t>office récepte</w:t>
      </w:r>
      <w:r w:rsidR="00B65BAD" w:rsidRPr="00A970DC">
        <w:rPr>
          <w:lang w:val="fr-FR"/>
        </w:rPr>
        <w:t>ur.  Le</w:t>
      </w:r>
      <w:r w:rsidRPr="00A970DC">
        <w:rPr>
          <w:lang w:val="fr-FR"/>
        </w:rPr>
        <w:t xml:space="preserve"> nombre de demandes selon</w:t>
      </w:r>
      <w:r w:rsidR="004916FD" w:rsidRPr="00A970DC">
        <w:rPr>
          <w:lang w:val="fr-FR"/>
        </w:rPr>
        <w:t xml:space="preserve"> le PCT</w:t>
      </w:r>
      <w:r w:rsidRPr="00A970DC">
        <w:rPr>
          <w:lang w:val="fr-FR"/>
        </w:rPr>
        <w:t xml:space="preserve"> originaires de la République slovaque a oscillé entre 33 et 65 </w:t>
      </w:r>
      <w:r w:rsidR="004916FD" w:rsidRPr="00A970DC">
        <w:rPr>
          <w:lang w:val="fr-FR"/>
        </w:rPr>
        <w:t>de 2007</w:t>
      </w:r>
      <w:r w:rsidRPr="00A970DC">
        <w:rPr>
          <w:lang w:val="fr-FR"/>
        </w:rPr>
        <w:t xml:space="preserve"> à 2016.</w:t>
      </w:r>
    </w:p>
    <w:p w:rsidR="004916FD" w:rsidRPr="00A970DC" w:rsidRDefault="0095155F" w:rsidP="00A970DC">
      <w:pPr>
        <w:pStyle w:val="ONUMFS"/>
        <w:rPr>
          <w:lang w:val="fr-FR"/>
        </w:rPr>
      </w:pPr>
      <w:r w:rsidRPr="00A970DC">
        <w:rPr>
          <w:lang w:val="fr-FR"/>
        </w:rPr>
        <w:t>Tous les offices nationaux du V4 agissent également en qualité d</w:t>
      </w:r>
      <w:r w:rsidR="004916FD" w:rsidRPr="00A970DC">
        <w:rPr>
          <w:lang w:val="fr-FR"/>
        </w:rPr>
        <w:t>’</w:t>
      </w:r>
      <w:r w:rsidRPr="00A970DC">
        <w:rPr>
          <w:lang w:val="fr-FR"/>
        </w:rPr>
        <w:t>offices désignés et élus selon</w:t>
      </w:r>
      <w:r w:rsidR="004916FD" w:rsidRPr="00A970DC">
        <w:rPr>
          <w:lang w:val="fr-FR"/>
        </w:rPr>
        <w:t xml:space="preserve"> le PCT</w:t>
      </w:r>
      <w:r w:rsidRPr="00A970DC">
        <w:rPr>
          <w:lang w:val="fr-FR"/>
        </w:rPr>
        <w:t>, quoique le nombre de demandes internationales entrant dans la phase nationale ait fortement diminué depuis l</w:t>
      </w:r>
      <w:r w:rsidR="004916FD" w:rsidRPr="00A970DC">
        <w:rPr>
          <w:lang w:val="fr-FR"/>
        </w:rPr>
        <w:t>’</w:t>
      </w:r>
      <w:r w:rsidRPr="00A970DC">
        <w:rPr>
          <w:lang w:val="fr-FR"/>
        </w:rPr>
        <w:t>adhésion des pays du groupe de Visegrad à</w:t>
      </w:r>
      <w:r w:rsidR="004916FD" w:rsidRPr="00A970DC">
        <w:rPr>
          <w:lang w:val="fr-FR"/>
        </w:rPr>
        <w:t xml:space="preserve"> la CBE</w:t>
      </w:r>
      <w:r w:rsidRPr="00A970DC">
        <w:rPr>
          <w:lang w:val="fr-FR"/>
        </w:rPr>
        <w:t xml:space="preserve"> entre 2002 et 2004.</w:t>
      </w:r>
    </w:p>
    <w:p w:rsidR="00CD34C1" w:rsidRPr="00A970DC" w:rsidRDefault="0095155F" w:rsidP="004056AF">
      <w:pPr>
        <w:pStyle w:val="ONUMFS"/>
        <w:rPr>
          <w:lang w:val="fr-FR"/>
        </w:rPr>
      </w:pPr>
      <w:r w:rsidRPr="00A970DC">
        <w:rPr>
          <w:lang w:val="fr-FR"/>
        </w:rPr>
        <w:t>Les offices nationaux des pays du groupe de Visegrad jouent un rôle de plus en plus important dans la coopération en matière de brevets destinée à partager la charge de travail et à harmoniser la recherche et l</w:t>
      </w:r>
      <w:r w:rsidR="004916FD" w:rsidRPr="00A970DC">
        <w:rPr>
          <w:lang w:val="fr-FR"/>
        </w:rPr>
        <w:t>’</w:t>
      </w:r>
      <w:r w:rsidRPr="00A970DC">
        <w:rPr>
          <w:lang w:val="fr-FR"/>
        </w:rPr>
        <w:t>examen.</w:t>
      </w:r>
      <w:r w:rsidR="00CD0D8F" w:rsidRPr="00A970DC">
        <w:rPr>
          <w:lang w:val="fr-FR"/>
        </w:rPr>
        <w:t xml:space="preserve"> </w:t>
      </w:r>
      <w:r w:rsidR="00E22C57" w:rsidRPr="00A970DC">
        <w:rPr>
          <w:lang w:val="fr-FR"/>
        </w:rPr>
        <w:t xml:space="preserve"> </w:t>
      </w:r>
      <w:r w:rsidR="00F97F86" w:rsidRPr="00A970DC">
        <w:rPr>
          <w:lang w:val="fr-FR"/>
        </w:rPr>
        <w:t>L</w:t>
      </w:r>
      <w:r w:rsidR="004916FD" w:rsidRPr="00A970DC">
        <w:rPr>
          <w:lang w:val="fr-FR"/>
        </w:rPr>
        <w:t>’</w:t>
      </w:r>
      <w:r w:rsidR="00F97F86" w:rsidRPr="00A970DC">
        <w:rPr>
          <w:lang w:val="fr-FR"/>
        </w:rPr>
        <w:t>HIPO et</w:t>
      </w:r>
      <w:r w:rsidR="004916FD" w:rsidRPr="00A970DC">
        <w:rPr>
          <w:lang w:val="fr-FR"/>
        </w:rPr>
        <w:t xml:space="preserve"> le PPO</w:t>
      </w:r>
      <w:r w:rsidR="00152F31" w:rsidRPr="00A970DC">
        <w:rPr>
          <w:lang w:val="fr-FR"/>
        </w:rPr>
        <w:t xml:space="preserve"> sont membres du programme G</w:t>
      </w:r>
      <w:r w:rsidR="00B65BAD" w:rsidRPr="00A970DC">
        <w:rPr>
          <w:lang w:val="fr-FR"/>
        </w:rPr>
        <w:t>PPH.  Un</w:t>
      </w:r>
      <w:r w:rsidR="00152F31" w:rsidRPr="00A970DC">
        <w:rPr>
          <w:lang w:val="fr-FR"/>
        </w:rPr>
        <w:t>e fois qu</w:t>
      </w:r>
      <w:r w:rsidR="004916FD" w:rsidRPr="00A970DC">
        <w:rPr>
          <w:lang w:val="fr-FR"/>
        </w:rPr>
        <w:t>’</w:t>
      </w:r>
      <w:r w:rsidR="00152F31" w:rsidRPr="00A970DC">
        <w:rPr>
          <w:lang w:val="fr-FR"/>
        </w:rPr>
        <w:t>il aura obtenu la certification ISO</w:t>
      </w:r>
      <w:r w:rsidR="00F96272" w:rsidRPr="00A970DC">
        <w:rPr>
          <w:lang w:val="fr-FR"/>
        </w:rPr>
        <w:t> </w:t>
      </w:r>
      <w:r w:rsidR="00152F31" w:rsidRPr="00A970DC">
        <w:rPr>
          <w:lang w:val="fr-FR"/>
        </w:rPr>
        <w:t>9001,</w:t>
      </w:r>
      <w:r w:rsidR="004916FD" w:rsidRPr="00A970DC">
        <w:rPr>
          <w:lang w:val="fr-FR"/>
        </w:rPr>
        <w:t xml:space="preserve"> le VPI</w:t>
      </w:r>
      <w:r w:rsidR="00152F31" w:rsidRPr="00A970DC">
        <w:rPr>
          <w:lang w:val="fr-FR"/>
        </w:rPr>
        <w:t xml:space="preserve"> devrait également s</w:t>
      </w:r>
      <w:r w:rsidR="004916FD" w:rsidRPr="00A970DC">
        <w:rPr>
          <w:lang w:val="fr-FR"/>
        </w:rPr>
        <w:t>’</w:t>
      </w:r>
      <w:r w:rsidR="00152F31" w:rsidRPr="00A970DC">
        <w:rPr>
          <w:lang w:val="fr-FR"/>
        </w:rPr>
        <w:t>efforcer de participer à ce réseau mondi</w:t>
      </w:r>
      <w:r w:rsidR="00B65BAD" w:rsidRPr="00A970DC">
        <w:rPr>
          <w:lang w:val="fr-FR"/>
        </w:rPr>
        <w:t>al.  En</w:t>
      </w:r>
      <w:r w:rsidR="00152F31" w:rsidRPr="00A970DC">
        <w:rPr>
          <w:lang w:val="fr-FR"/>
        </w:rPr>
        <w:t xml:space="preserve"> outre, tous les offices du V4 participent à des programmes </w:t>
      </w:r>
      <w:r w:rsidR="00152F31" w:rsidRPr="00A970DC">
        <w:rPr>
          <w:lang w:val="fr-FR"/>
        </w:rPr>
        <w:lastRenderedPageBreak/>
        <w:t>d</w:t>
      </w:r>
      <w:r w:rsidR="004916FD" w:rsidRPr="00A970DC">
        <w:rPr>
          <w:lang w:val="fr-FR"/>
        </w:rPr>
        <w:t>’</w:t>
      </w:r>
      <w:r w:rsidR="00152F31" w:rsidRPr="00A970DC">
        <w:rPr>
          <w:lang w:val="fr-FR"/>
        </w:rPr>
        <w:t>accélération des procédures d</w:t>
      </w:r>
      <w:r w:rsidR="004916FD" w:rsidRPr="00A970DC">
        <w:rPr>
          <w:lang w:val="fr-FR"/>
        </w:rPr>
        <w:t>’</w:t>
      </w:r>
      <w:r w:rsidR="00152F31" w:rsidRPr="00A970DC">
        <w:rPr>
          <w:lang w:val="fr-FR"/>
        </w:rPr>
        <w:t>examen des demandes de brevet (PPH), (entre autres, avec l</w:t>
      </w:r>
      <w:r w:rsidR="004916FD" w:rsidRPr="00A970DC">
        <w:rPr>
          <w:lang w:val="fr-FR"/>
        </w:rPr>
        <w:t>’</w:t>
      </w:r>
      <w:r w:rsidR="00152F31" w:rsidRPr="00A970DC">
        <w:rPr>
          <w:lang w:val="fr-FR"/>
        </w:rPr>
        <w:t>Office des brevets et des marques des États</w:t>
      </w:r>
      <w:r w:rsidR="004916FD" w:rsidRPr="00A970DC">
        <w:rPr>
          <w:lang w:val="fr-FR"/>
        </w:rPr>
        <w:t>-</w:t>
      </w:r>
      <w:r w:rsidR="00152F31" w:rsidRPr="00A970DC">
        <w:rPr>
          <w:lang w:val="fr-FR"/>
        </w:rPr>
        <w:t>Unis d</w:t>
      </w:r>
      <w:r w:rsidR="004916FD" w:rsidRPr="00A970DC">
        <w:rPr>
          <w:lang w:val="fr-FR"/>
        </w:rPr>
        <w:t>’</w:t>
      </w:r>
      <w:r w:rsidR="00152F31" w:rsidRPr="00A970DC">
        <w:rPr>
          <w:lang w:val="fr-FR"/>
        </w:rPr>
        <w:t>Amérique</w:t>
      </w:r>
      <w:r w:rsidR="00F97F86" w:rsidRPr="00A970DC">
        <w:rPr>
          <w:lang w:val="fr-FR"/>
        </w:rPr>
        <w:t xml:space="preserve"> (USPTO)</w:t>
      </w:r>
      <w:r w:rsidR="00152F31" w:rsidRPr="00A970DC">
        <w:rPr>
          <w:lang w:val="fr-FR"/>
        </w:rPr>
        <w:t>, l</w:t>
      </w:r>
      <w:r w:rsidR="004916FD" w:rsidRPr="00A970DC">
        <w:rPr>
          <w:lang w:val="fr-FR"/>
        </w:rPr>
        <w:t>’</w:t>
      </w:r>
      <w:r w:rsidR="00152F31" w:rsidRPr="00A970DC">
        <w:rPr>
          <w:lang w:val="fr-FR"/>
        </w:rPr>
        <w:t>Office national des brevets et de l</w:t>
      </w:r>
      <w:r w:rsidR="004916FD" w:rsidRPr="00A970DC">
        <w:rPr>
          <w:lang w:val="fr-FR"/>
        </w:rPr>
        <w:t>’</w:t>
      </w:r>
      <w:r w:rsidR="00152F31" w:rsidRPr="00A970DC">
        <w:rPr>
          <w:lang w:val="fr-FR"/>
        </w:rPr>
        <w:t>enregistrement de la Finlande,</w:t>
      </w:r>
      <w:r w:rsidR="004916FD" w:rsidRPr="00A970DC">
        <w:rPr>
          <w:lang w:val="fr-FR"/>
        </w:rPr>
        <w:t xml:space="preserve"> le JPO</w:t>
      </w:r>
      <w:r w:rsidR="00152F31" w:rsidRPr="00A970DC">
        <w:rPr>
          <w:lang w:val="fr-FR"/>
        </w:rPr>
        <w:t xml:space="preserve"> et</w:t>
      </w:r>
      <w:r w:rsidR="004916FD" w:rsidRPr="00A970DC">
        <w:rPr>
          <w:lang w:val="fr-FR"/>
        </w:rPr>
        <w:t xml:space="preserve"> le SIP</w:t>
      </w:r>
      <w:r w:rsidR="00152F31" w:rsidRPr="00A970DC">
        <w:rPr>
          <w:lang w:val="fr-FR"/>
        </w:rPr>
        <w:t>O) ou à d</w:t>
      </w:r>
      <w:r w:rsidR="004916FD" w:rsidRPr="00A970DC">
        <w:rPr>
          <w:lang w:val="fr-FR"/>
        </w:rPr>
        <w:t>’</w:t>
      </w:r>
      <w:r w:rsidR="00152F31" w:rsidRPr="00A970DC">
        <w:rPr>
          <w:lang w:val="fr-FR"/>
        </w:rPr>
        <w:t>autres formes de coopération, sur une base bilatérale, dans le domaine de la recherche et de l</w:t>
      </w:r>
      <w:r w:rsidR="004916FD" w:rsidRPr="00A970DC">
        <w:rPr>
          <w:lang w:val="fr-FR"/>
        </w:rPr>
        <w:t>’</w:t>
      </w:r>
      <w:r w:rsidR="00152F31" w:rsidRPr="00A970DC">
        <w:rPr>
          <w:lang w:val="fr-FR"/>
        </w:rPr>
        <w:t>examen préliminaire en matière de breve</w:t>
      </w:r>
      <w:r w:rsidR="00B65BAD" w:rsidRPr="00A970DC">
        <w:rPr>
          <w:lang w:val="fr-FR"/>
        </w:rPr>
        <w:t>ts.  De</w:t>
      </w:r>
      <w:r w:rsidR="004916FD" w:rsidRPr="00A970DC">
        <w:rPr>
          <w:lang w:val="fr-FR"/>
        </w:rPr>
        <w:t>puis 2009</w:t>
      </w:r>
      <w:r w:rsidR="00152F31" w:rsidRPr="00A970DC">
        <w:rPr>
          <w:lang w:val="fr-FR"/>
        </w:rPr>
        <w:t xml:space="preserve">, </w:t>
      </w:r>
      <w:r w:rsidR="00F97F86" w:rsidRPr="00A970DC">
        <w:rPr>
          <w:lang w:val="fr-FR"/>
        </w:rPr>
        <w:t>l</w:t>
      </w:r>
      <w:r w:rsidR="004916FD" w:rsidRPr="00A970DC">
        <w:rPr>
          <w:lang w:val="fr-FR"/>
        </w:rPr>
        <w:t>’</w:t>
      </w:r>
      <w:r w:rsidR="00F97F86" w:rsidRPr="00A970DC">
        <w:rPr>
          <w:lang w:val="fr-FR"/>
        </w:rPr>
        <w:t>HIPO</w:t>
      </w:r>
      <w:r w:rsidR="00152F31" w:rsidRPr="00A970DC">
        <w:rPr>
          <w:lang w:val="fr-FR"/>
        </w:rPr>
        <w:t xml:space="preserve"> assure des services de recherche et d</w:t>
      </w:r>
      <w:r w:rsidR="004916FD" w:rsidRPr="00A970DC">
        <w:rPr>
          <w:lang w:val="fr-FR"/>
        </w:rPr>
        <w:t>’</w:t>
      </w:r>
      <w:r w:rsidR="00152F31" w:rsidRPr="00A970DC">
        <w:rPr>
          <w:lang w:val="fr-FR"/>
        </w:rPr>
        <w:t>examen en matière de brevets pour l</w:t>
      </w:r>
      <w:r w:rsidR="004916FD" w:rsidRPr="00A970DC">
        <w:rPr>
          <w:lang w:val="fr-FR"/>
        </w:rPr>
        <w:t>’</w:t>
      </w:r>
      <w:r w:rsidR="00152F31" w:rsidRPr="00A970DC">
        <w:rPr>
          <w:lang w:val="fr-FR"/>
        </w:rPr>
        <w:t>Office de la propriété intellectuelle de Singapour</w:t>
      </w:r>
      <w:r w:rsidR="00F97F86" w:rsidRPr="00A970DC">
        <w:rPr>
          <w:lang w:val="fr-FR"/>
        </w:rPr>
        <w:t xml:space="preserve"> (IPOS)</w:t>
      </w:r>
      <w:r w:rsidR="00152F31" w:rsidRPr="00A970DC">
        <w:rPr>
          <w:lang w:val="fr-FR"/>
        </w:rPr>
        <w:t>, préparant quelque 2500 à 3000</w:t>
      </w:r>
      <w:r w:rsidR="00F96272" w:rsidRPr="00A970DC">
        <w:rPr>
          <w:lang w:val="fr-FR"/>
        </w:rPr>
        <w:t> </w:t>
      </w:r>
      <w:r w:rsidR="00152F31" w:rsidRPr="00A970DC">
        <w:rPr>
          <w:lang w:val="fr-FR"/>
        </w:rPr>
        <w:t>rapports de recherche ou d</w:t>
      </w:r>
      <w:r w:rsidR="004916FD" w:rsidRPr="00A970DC">
        <w:rPr>
          <w:lang w:val="fr-FR"/>
        </w:rPr>
        <w:t>’</w:t>
      </w:r>
      <w:r w:rsidR="00152F31" w:rsidRPr="00A970DC">
        <w:rPr>
          <w:lang w:val="fr-FR"/>
        </w:rPr>
        <w:t>examen par an pour le compte de cet offi</w:t>
      </w:r>
      <w:r w:rsidR="00B65BAD" w:rsidRPr="00A970DC">
        <w:rPr>
          <w:lang w:val="fr-FR"/>
        </w:rPr>
        <w:t>ce.  En</w:t>
      </w:r>
      <w:r w:rsidR="00152F31" w:rsidRPr="00A970DC">
        <w:rPr>
          <w:lang w:val="fr-FR"/>
        </w:rPr>
        <w:t xml:space="preserve"> outre, </w:t>
      </w:r>
      <w:r w:rsidR="00F97F86" w:rsidRPr="00A970DC">
        <w:rPr>
          <w:lang w:val="fr-FR"/>
        </w:rPr>
        <w:t>l</w:t>
      </w:r>
      <w:r w:rsidR="004916FD" w:rsidRPr="00A970DC">
        <w:rPr>
          <w:lang w:val="fr-FR"/>
        </w:rPr>
        <w:t>’</w:t>
      </w:r>
      <w:r w:rsidR="00F97F86" w:rsidRPr="00A970DC">
        <w:rPr>
          <w:lang w:val="fr-FR"/>
        </w:rPr>
        <w:t>HIPO</w:t>
      </w:r>
      <w:r w:rsidR="00152F31" w:rsidRPr="00A970DC">
        <w:rPr>
          <w:lang w:val="fr-FR"/>
        </w:rPr>
        <w:t xml:space="preserve"> a des accords bilatéraux avec l</w:t>
      </w:r>
      <w:r w:rsidR="004916FD" w:rsidRPr="00A970DC">
        <w:rPr>
          <w:lang w:val="fr-FR"/>
        </w:rPr>
        <w:t>’</w:t>
      </w:r>
      <w:r w:rsidR="00152F31" w:rsidRPr="00A970DC">
        <w:rPr>
          <w:lang w:val="fr-FR"/>
        </w:rPr>
        <w:t>Office slovène de propriété intellectuelle</w:t>
      </w:r>
      <w:r w:rsidR="00F97F86" w:rsidRPr="00A970DC">
        <w:rPr>
          <w:lang w:val="fr-FR"/>
        </w:rPr>
        <w:t xml:space="preserve"> (SIPO)</w:t>
      </w:r>
      <w:r w:rsidR="00152F31" w:rsidRPr="00A970DC">
        <w:rPr>
          <w:lang w:val="fr-FR"/>
        </w:rPr>
        <w:t>, l</w:t>
      </w:r>
      <w:r w:rsidR="004916FD" w:rsidRPr="00A970DC">
        <w:rPr>
          <w:lang w:val="fr-FR"/>
        </w:rPr>
        <w:t>’</w:t>
      </w:r>
      <w:r w:rsidR="00152F31" w:rsidRPr="00A970DC">
        <w:rPr>
          <w:lang w:val="fr-FR"/>
        </w:rPr>
        <w:t xml:space="preserve">Office macédonien des brevets </w:t>
      </w:r>
      <w:r w:rsidR="00F97F86" w:rsidRPr="00A970DC">
        <w:rPr>
          <w:lang w:val="fr-FR"/>
        </w:rPr>
        <w:t xml:space="preserve">(SOIP) </w:t>
      </w:r>
      <w:r w:rsidR="00152F31" w:rsidRPr="00A970DC">
        <w:rPr>
          <w:lang w:val="fr-FR"/>
        </w:rPr>
        <w:t>et le Brunéi Darussalam en ce qui concerne la fourniture de services liés à la recherche et à l</w:t>
      </w:r>
      <w:r w:rsidR="004916FD" w:rsidRPr="00A970DC">
        <w:rPr>
          <w:lang w:val="fr-FR"/>
        </w:rPr>
        <w:t>’</w:t>
      </w:r>
      <w:r w:rsidR="00152F31" w:rsidRPr="00A970DC">
        <w:rPr>
          <w:lang w:val="fr-FR"/>
        </w:rPr>
        <w:t>examen en matière de breve</w:t>
      </w:r>
      <w:r w:rsidR="00B65BAD" w:rsidRPr="00A970DC">
        <w:rPr>
          <w:lang w:val="fr-FR"/>
        </w:rPr>
        <w:t>ts.  De</w:t>
      </w:r>
      <w:r w:rsidR="00152F31" w:rsidRPr="00A970DC">
        <w:rPr>
          <w:lang w:val="fr-FR"/>
        </w:rPr>
        <w:t>rnier point, et non des moindres, on se reportera dans ce contexte à la coopération que le V4 a mis</w:t>
      </w:r>
      <w:r w:rsidR="00B65BAD" w:rsidRPr="00A970DC">
        <w:rPr>
          <w:lang w:val="fr-FR"/>
        </w:rPr>
        <w:t xml:space="preserve"> </w:t>
      </w:r>
      <w:r w:rsidR="00152F31" w:rsidRPr="00A970DC">
        <w:rPr>
          <w:lang w:val="fr-FR"/>
        </w:rPr>
        <w:t>en place avec</w:t>
      </w:r>
      <w:r w:rsidR="004916FD" w:rsidRPr="00A970DC">
        <w:rPr>
          <w:lang w:val="fr-FR"/>
        </w:rPr>
        <w:t xml:space="preserve"> le SIP</w:t>
      </w:r>
      <w:r w:rsidR="00152F31" w:rsidRPr="00A970DC">
        <w:rPr>
          <w:lang w:val="fr-FR"/>
        </w:rPr>
        <w:t>O,</w:t>
      </w:r>
      <w:r w:rsidR="004916FD" w:rsidRPr="00A970DC">
        <w:rPr>
          <w:lang w:val="fr-FR"/>
        </w:rPr>
        <w:t xml:space="preserve"> le JPO</w:t>
      </w:r>
      <w:r w:rsidR="00152F31" w:rsidRPr="00A970DC">
        <w:rPr>
          <w:lang w:val="fr-FR"/>
        </w:rPr>
        <w:t xml:space="preserve"> et</w:t>
      </w:r>
      <w:r w:rsidR="004916FD" w:rsidRPr="00A970DC">
        <w:rPr>
          <w:lang w:val="fr-FR"/>
        </w:rPr>
        <w:t xml:space="preserve"> le NPI</w:t>
      </w:r>
      <w:r w:rsidR="00F97F86" w:rsidRPr="00A970DC">
        <w:rPr>
          <w:lang w:val="fr-FR"/>
        </w:rPr>
        <w:t xml:space="preserve"> comme indiqué au </w:t>
      </w:r>
      <w:r w:rsidR="00152F31" w:rsidRPr="00A970DC">
        <w:rPr>
          <w:lang w:val="fr-FR"/>
        </w:rPr>
        <w:t>chapitre précédent.</w:t>
      </w:r>
    </w:p>
    <w:p w:rsidR="00CD34C1" w:rsidRPr="00A970DC" w:rsidRDefault="00FD3F84" w:rsidP="00A970DC">
      <w:pPr>
        <w:pStyle w:val="Heading4"/>
        <w:rPr>
          <w:lang w:val="fr-FR"/>
        </w:rPr>
      </w:pPr>
      <w:r w:rsidRPr="00A970DC">
        <w:rPr>
          <w:lang w:val="fr-FR"/>
        </w:rPr>
        <w:t>1.5.</w:t>
      </w:r>
      <w:r w:rsidRPr="00A970DC">
        <w:rPr>
          <w:lang w:val="fr-FR"/>
        </w:rPr>
        <w:tab/>
        <w:t>Structure, principes et missions</w:t>
      </w:r>
      <w:r w:rsidR="004916FD" w:rsidRPr="00A970DC">
        <w:rPr>
          <w:lang w:val="fr-FR"/>
        </w:rPr>
        <w:t xml:space="preserve"> du VPI</w:t>
      </w:r>
    </w:p>
    <w:p w:rsidR="004916FD" w:rsidRPr="00A970DC" w:rsidRDefault="00FD3F84" w:rsidP="00A970DC">
      <w:pPr>
        <w:pStyle w:val="ONUMFS"/>
        <w:rPr>
          <w:lang w:val="fr-FR"/>
        </w:rPr>
      </w:pPr>
      <w:r w:rsidRPr="00A970DC">
        <w:rPr>
          <w:lang w:val="fr-FR"/>
        </w:rPr>
        <w:t>L</w:t>
      </w:r>
      <w:r w:rsidR="004916FD" w:rsidRPr="00A970DC">
        <w:rPr>
          <w:lang w:val="fr-FR"/>
        </w:rPr>
        <w:t>’</w:t>
      </w:r>
      <w:r w:rsidRPr="00A970DC">
        <w:rPr>
          <w:lang w:val="fr-FR"/>
        </w:rPr>
        <w:t>Accord sur l</w:t>
      </w:r>
      <w:r w:rsidR="004916FD" w:rsidRPr="00A970DC">
        <w:rPr>
          <w:lang w:val="fr-FR"/>
        </w:rPr>
        <w:t>’</w:t>
      </w:r>
      <w:r w:rsidRPr="00A970DC">
        <w:rPr>
          <w:lang w:val="fr-FR"/>
        </w:rPr>
        <w:t>Institut des brevets</w:t>
      </w:r>
      <w:r w:rsidR="00433FCC" w:rsidRPr="00A970DC">
        <w:rPr>
          <w:lang w:val="fr-FR"/>
        </w:rPr>
        <w:t xml:space="preserve"> de Visegrad</w:t>
      </w:r>
      <w:r w:rsidRPr="00A970DC">
        <w:rPr>
          <w:lang w:val="fr-FR"/>
        </w:rPr>
        <w:t xml:space="preserve"> (Accord sur</w:t>
      </w:r>
      <w:r w:rsidR="004916FD" w:rsidRPr="00A970DC">
        <w:rPr>
          <w:lang w:val="fr-FR"/>
        </w:rPr>
        <w:t xml:space="preserve"> le VPI</w:t>
      </w:r>
      <w:r w:rsidRPr="00A970DC">
        <w:rPr>
          <w:lang w:val="fr-FR"/>
        </w:rPr>
        <w:t>) a été signé à Bratislava le 2</w:t>
      </w:r>
      <w:r w:rsidR="004916FD" w:rsidRPr="00A970DC">
        <w:rPr>
          <w:lang w:val="fr-FR"/>
        </w:rPr>
        <w:t>6 février 20</w:t>
      </w:r>
      <w:r w:rsidRPr="00A970DC">
        <w:rPr>
          <w:lang w:val="fr-FR"/>
        </w:rPr>
        <w:t>15, par les chefs des offices nationaux de propriété intellectuelle du V4 en qualité de représentants dûment autorisés de leurs gouvernements.</w:t>
      </w:r>
      <w:r w:rsidR="00CD0D8F" w:rsidRPr="00A970DC">
        <w:rPr>
          <w:lang w:val="fr-FR"/>
        </w:rPr>
        <w:t xml:space="preserve"> </w:t>
      </w:r>
      <w:r w:rsidR="00E22C57" w:rsidRPr="00A970DC">
        <w:rPr>
          <w:lang w:val="fr-FR"/>
        </w:rPr>
        <w:t xml:space="preserve"> </w:t>
      </w:r>
      <w:r w:rsidRPr="00A970DC">
        <w:rPr>
          <w:lang w:val="fr-FR"/>
        </w:rPr>
        <w:t>L</w:t>
      </w:r>
      <w:r w:rsidR="004916FD" w:rsidRPr="00A970DC">
        <w:rPr>
          <w:lang w:val="fr-FR"/>
        </w:rPr>
        <w:t>’</w:t>
      </w:r>
      <w:r w:rsidRPr="00A970DC">
        <w:rPr>
          <w:lang w:val="fr-FR"/>
        </w:rPr>
        <w:t>Accord sur</w:t>
      </w:r>
      <w:r w:rsidR="004916FD" w:rsidRPr="00A970DC">
        <w:rPr>
          <w:lang w:val="fr-FR"/>
        </w:rPr>
        <w:t xml:space="preserve"> le VPI</w:t>
      </w:r>
      <w:r w:rsidRPr="00A970DC">
        <w:rPr>
          <w:lang w:val="fr-FR"/>
        </w:rPr>
        <w:t xml:space="preserve"> est ratifié conformément aux exigences constitutionnelles respectives des États contractants.</w:t>
      </w:r>
    </w:p>
    <w:p w:rsidR="00CD34C1" w:rsidRPr="00A970DC" w:rsidRDefault="00FD3F84" w:rsidP="00A970DC">
      <w:pPr>
        <w:pStyle w:val="ONUMFS"/>
        <w:rPr>
          <w:lang w:val="fr-FR"/>
        </w:rPr>
      </w:pPr>
      <w:r w:rsidRPr="00A970DC">
        <w:rPr>
          <w:lang w:val="fr-FR"/>
        </w:rPr>
        <w:t>Le VPI est une organisation intergouvernementale au sens de l</w:t>
      </w:r>
      <w:r w:rsidR="004916FD" w:rsidRPr="00A970DC">
        <w:rPr>
          <w:lang w:val="fr-FR"/>
        </w:rPr>
        <w:t>’article 1</w:t>
      </w:r>
      <w:r w:rsidRPr="00A970DC">
        <w:rPr>
          <w:lang w:val="fr-FR"/>
        </w:rPr>
        <w:t>6</w:t>
      </w:r>
      <w:r w:rsidR="004916FD" w:rsidRPr="00A970DC">
        <w:rPr>
          <w:lang w:val="fr-FR"/>
        </w:rPr>
        <w:t xml:space="preserve"> du PCT</w:t>
      </w:r>
      <w:r w:rsidRPr="00A970DC">
        <w:rPr>
          <w:lang w:val="fr-FR"/>
        </w:rPr>
        <w:t xml:space="preserve"> et de la </w:t>
      </w:r>
      <w:r w:rsidR="004916FD" w:rsidRPr="00A970DC">
        <w:rPr>
          <w:lang w:val="fr-FR"/>
        </w:rPr>
        <w:t>règle 3</w:t>
      </w:r>
      <w:r w:rsidRPr="00A970DC">
        <w:rPr>
          <w:lang w:val="fr-FR"/>
        </w:rPr>
        <w:t>6 du règlement d</w:t>
      </w:r>
      <w:r w:rsidR="004916FD" w:rsidRPr="00A970DC">
        <w:rPr>
          <w:lang w:val="fr-FR"/>
        </w:rPr>
        <w:t>’</w:t>
      </w:r>
      <w:r w:rsidRPr="00A970DC">
        <w:rPr>
          <w:lang w:val="fr-FR"/>
        </w:rPr>
        <w:t>exécution</w:t>
      </w:r>
      <w:r w:rsidR="004916FD" w:rsidRPr="00A970DC">
        <w:rPr>
          <w:lang w:val="fr-FR"/>
        </w:rPr>
        <w:t xml:space="preserve"> du </w:t>
      </w:r>
      <w:r w:rsidR="00B65BAD" w:rsidRPr="00A970DC">
        <w:rPr>
          <w:lang w:val="fr-FR"/>
        </w:rPr>
        <w:t>PCT.  Il</w:t>
      </w:r>
      <w:r w:rsidRPr="00A970DC">
        <w:rPr>
          <w:lang w:val="fr-FR"/>
        </w:rPr>
        <w:t xml:space="preserve"> a la personnalité juridique et jouit d</w:t>
      </w:r>
      <w:r w:rsidR="004916FD" w:rsidRPr="00A970DC">
        <w:rPr>
          <w:lang w:val="fr-FR"/>
        </w:rPr>
        <w:t>’</w:t>
      </w:r>
      <w:r w:rsidRPr="00A970DC">
        <w:rPr>
          <w:lang w:val="fr-FR"/>
        </w:rPr>
        <w:t>une capacité juridique large afin de mener à bien ses missio</w:t>
      </w:r>
      <w:r w:rsidR="00B65BAD" w:rsidRPr="00A970DC">
        <w:rPr>
          <w:lang w:val="fr-FR"/>
        </w:rPr>
        <w:t>ns.  Il</w:t>
      </w:r>
      <w:r w:rsidRPr="00A970DC">
        <w:rPr>
          <w:lang w:val="fr-FR"/>
        </w:rPr>
        <w:t xml:space="preserve"> peut notamment agir de sa propre initiative par l</w:t>
      </w:r>
      <w:r w:rsidR="004916FD" w:rsidRPr="00A970DC">
        <w:rPr>
          <w:lang w:val="fr-FR"/>
        </w:rPr>
        <w:t>’</w:t>
      </w:r>
      <w:r w:rsidRPr="00A970DC">
        <w:rPr>
          <w:lang w:val="fr-FR"/>
        </w:rPr>
        <w:t>entremise de son directeur, qui le représente dans les affaires relatives à sa mission en tant qu</w:t>
      </w:r>
      <w:r w:rsidR="004916FD" w:rsidRPr="00A970DC">
        <w:rPr>
          <w:lang w:val="fr-FR"/>
        </w:rPr>
        <w:t>’</w:t>
      </w:r>
      <w:r w:rsidRPr="00A970DC">
        <w:rPr>
          <w:lang w:val="fr-FR"/>
        </w:rPr>
        <w:t>administration</w:t>
      </w:r>
      <w:r w:rsidR="004916FD" w:rsidRPr="00A970DC">
        <w:rPr>
          <w:lang w:val="fr-FR"/>
        </w:rPr>
        <w:t xml:space="preserve"> du </w:t>
      </w:r>
      <w:r w:rsidR="00B65BAD" w:rsidRPr="00A970DC">
        <w:rPr>
          <w:lang w:val="fr-FR"/>
        </w:rPr>
        <w:t>PCT.  Le</w:t>
      </w:r>
      <w:r w:rsidR="004916FD" w:rsidRPr="00A970DC">
        <w:rPr>
          <w:lang w:val="fr-FR"/>
        </w:rPr>
        <w:t> VPI</w:t>
      </w:r>
      <w:r w:rsidRPr="00A970DC">
        <w:rPr>
          <w:lang w:val="fr-FR"/>
        </w:rPr>
        <w:t xml:space="preserve"> devra maintenir deux</w:t>
      </w:r>
      <w:r w:rsidR="00433FCC" w:rsidRPr="00A970DC">
        <w:rPr>
          <w:lang w:val="fr-FR"/>
        </w:rPr>
        <w:t> </w:t>
      </w:r>
      <w:r w:rsidRPr="00A970DC">
        <w:rPr>
          <w:lang w:val="fr-FR"/>
        </w:rPr>
        <w:t>axes d</w:t>
      </w:r>
      <w:r w:rsidR="004916FD" w:rsidRPr="00A970DC">
        <w:rPr>
          <w:lang w:val="fr-FR"/>
        </w:rPr>
        <w:t>’</w:t>
      </w:r>
      <w:r w:rsidRPr="00A970DC">
        <w:rPr>
          <w:lang w:val="fr-FR"/>
        </w:rPr>
        <w:t>ouvertu</w:t>
      </w:r>
      <w:r w:rsidR="00B65BAD" w:rsidRPr="00A970DC">
        <w:rPr>
          <w:lang w:val="fr-FR"/>
        </w:rPr>
        <w:t>re.  Pr</w:t>
      </w:r>
      <w:r w:rsidRPr="00A970DC">
        <w:rPr>
          <w:lang w:val="fr-FR"/>
        </w:rPr>
        <w:t>emièrement, il sera réceptif à l</w:t>
      </w:r>
      <w:r w:rsidR="004916FD" w:rsidRPr="00A970DC">
        <w:rPr>
          <w:lang w:val="fr-FR"/>
        </w:rPr>
        <w:t>’</w:t>
      </w:r>
      <w:r w:rsidRPr="00A970DC">
        <w:rPr>
          <w:lang w:val="fr-FR"/>
        </w:rPr>
        <w:t>adhésion de tout État européen sur invitation du Conseil d</w:t>
      </w:r>
      <w:r w:rsidR="004916FD" w:rsidRPr="00A970DC">
        <w:rPr>
          <w:lang w:val="fr-FR"/>
        </w:rPr>
        <w:t>’</w:t>
      </w:r>
      <w:r w:rsidRPr="00A970DC">
        <w:rPr>
          <w:lang w:val="fr-FR"/>
        </w:rPr>
        <w:t>administration</w:t>
      </w:r>
      <w:r w:rsidR="004916FD" w:rsidRPr="00A970DC">
        <w:rPr>
          <w:lang w:val="fr-FR"/>
        </w:rPr>
        <w:t xml:space="preserve"> du VPI</w:t>
      </w:r>
      <w:r w:rsidRPr="00A970DC">
        <w:rPr>
          <w:lang w:val="fr-FR"/>
        </w:rPr>
        <w:t>, sans préjudice des obligations internationales de l</w:t>
      </w:r>
      <w:r w:rsidR="004916FD" w:rsidRPr="00A970DC">
        <w:rPr>
          <w:lang w:val="fr-FR"/>
        </w:rPr>
        <w:t>’</w:t>
      </w:r>
      <w:r w:rsidRPr="00A970DC">
        <w:rPr>
          <w:lang w:val="fr-FR"/>
        </w:rPr>
        <w:t>État en question, notamment celles découlant de</w:t>
      </w:r>
      <w:r w:rsidR="004916FD" w:rsidRPr="00A970DC">
        <w:rPr>
          <w:lang w:val="fr-FR"/>
        </w:rPr>
        <w:t xml:space="preserve"> la CBE</w:t>
      </w:r>
      <w:r w:rsidRPr="00A970DC">
        <w:rPr>
          <w:lang w:val="fr-FR"/>
        </w:rPr>
        <w:t xml:space="preserve"> et de son Protocole sur la centralisati</w:t>
      </w:r>
      <w:r w:rsidR="00B65BAD" w:rsidRPr="00A970DC">
        <w:rPr>
          <w:lang w:val="fr-FR"/>
        </w:rPr>
        <w:t>on.  De</w:t>
      </w:r>
      <w:r w:rsidRPr="00A970DC">
        <w:rPr>
          <w:lang w:val="fr-FR"/>
        </w:rPr>
        <w:t>uxièmement, il est prévu que</w:t>
      </w:r>
      <w:r w:rsidR="004916FD" w:rsidRPr="00A970DC">
        <w:rPr>
          <w:lang w:val="fr-FR"/>
        </w:rPr>
        <w:t xml:space="preserve"> le VPI</w:t>
      </w:r>
      <w:r w:rsidRPr="00A970DC">
        <w:rPr>
          <w:lang w:val="fr-FR"/>
        </w:rPr>
        <w:t xml:space="preserve"> agisse en qualité d</w:t>
      </w:r>
      <w:r w:rsidR="004916FD" w:rsidRPr="00A970DC">
        <w:rPr>
          <w:lang w:val="fr-FR"/>
        </w:rPr>
        <w:t>’</w:t>
      </w:r>
      <w:r w:rsidRPr="00A970DC">
        <w:rPr>
          <w:lang w:val="fr-FR"/>
        </w:rPr>
        <w:t xml:space="preserve">administration chargée de la recherche internationale et </w:t>
      </w:r>
      <w:r w:rsidR="002458DD" w:rsidRPr="00A970DC">
        <w:rPr>
          <w:lang w:val="fr-FR"/>
        </w:rPr>
        <w:t>d</w:t>
      </w:r>
      <w:r w:rsidR="004916FD" w:rsidRPr="00A970DC">
        <w:rPr>
          <w:lang w:val="fr-FR"/>
        </w:rPr>
        <w:t>’</w:t>
      </w:r>
      <w:r w:rsidR="002458DD" w:rsidRPr="00A970DC">
        <w:rPr>
          <w:lang w:val="fr-FR"/>
        </w:rPr>
        <w:t xml:space="preserve">administration chargée de </w:t>
      </w:r>
      <w:r w:rsidRPr="00A970DC">
        <w:rPr>
          <w:lang w:val="fr-FR"/>
        </w:rPr>
        <w:t>l</w:t>
      </w:r>
      <w:r w:rsidR="004916FD" w:rsidRPr="00A970DC">
        <w:rPr>
          <w:lang w:val="fr-FR"/>
        </w:rPr>
        <w:t>’</w:t>
      </w:r>
      <w:r w:rsidRPr="00A970DC">
        <w:rPr>
          <w:lang w:val="fr-FR"/>
        </w:rPr>
        <w:t>examen préliminaire international pour les demandes internationales qui sont déposées non seulement auprès des offices du V4 mais aussi des offices récepteurs des États contractants de</w:t>
      </w:r>
      <w:r w:rsidR="004916FD" w:rsidRPr="00A970DC">
        <w:rPr>
          <w:lang w:val="fr-FR"/>
        </w:rPr>
        <w:t xml:space="preserve"> la CBE</w:t>
      </w:r>
      <w:r w:rsidRPr="00A970DC">
        <w:rPr>
          <w:lang w:val="fr-FR"/>
        </w:rPr>
        <w:t>, limitrophes des pays du V4 (</w:t>
      </w:r>
      <w:r w:rsidR="004916FD" w:rsidRPr="00A970DC">
        <w:rPr>
          <w:lang w:val="fr-FR"/>
        </w:rPr>
        <w:t>à savoir</w:t>
      </w:r>
      <w:r w:rsidRPr="00A970DC">
        <w:rPr>
          <w:lang w:val="fr-FR"/>
        </w:rPr>
        <w:t>, la Croatie, la Lituanie, la Roumanie, la Serbie et la Slovénie), pour autant qu</w:t>
      </w:r>
      <w:r w:rsidR="004916FD" w:rsidRPr="00A970DC">
        <w:rPr>
          <w:lang w:val="fr-FR"/>
        </w:rPr>
        <w:t>’</w:t>
      </w:r>
      <w:r w:rsidRPr="00A970DC">
        <w:rPr>
          <w:lang w:val="fr-FR"/>
        </w:rPr>
        <w:t>ils désignent</w:t>
      </w:r>
      <w:r w:rsidR="004916FD" w:rsidRPr="00A970DC">
        <w:rPr>
          <w:lang w:val="fr-FR"/>
        </w:rPr>
        <w:t xml:space="preserve"> le VPI</w:t>
      </w:r>
      <w:r w:rsidRPr="00A970DC">
        <w:rPr>
          <w:lang w:val="fr-FR"/>
        </w:rPr>
        <w:t xml:space="preserve"> à cette fin.</w:t>
      </w:r>
    </w:p>
    <w:p w:rsidR="00CD34C1" w:rsidRPr="00A970DC" w:rsidRDefault="00FD3F84" w:rsidP="00A970DC">
      <w:pPr>
        <w:pStyle w:val="ONUMFS"/>
        <w:rPr>
          <w:lang w:val="fr-FR"/>
        </w:rPr>
      </w:pPr>
      <w:r w:rsidRPr="00A970DC">
        <w:rPr>
          <w:lang w:val="fr-FR"/>
        </w:rPr>
        <w:t>En créant</w:t>
      </w:r>
      <w:r w:rsidR="004916FD" w:rsidRPr="00A970DC">
        <w:rPr>
          <w:lang w:val="fr-FR"/>
        </w:rPr>
        <w:t xml:space="preserve"> le VPI</w:t>
      </w:r>
      <w:r w:rsidRPr="00A970DC">
        <w:rPr>
          <w:lang w:val="fr-FR"/>
        </w:rPr>
        <w:t>, les pays du groupe de Visegrad ont agi en respectant pleinement leurs obligations au titre de</w:t>
      </w:r>
      <w:r w:rsidR="004916FD" w:rsidRPr="00A970DC">
        <w:rPr>
          <w:lang w:val="fr-FR"/>
        </w:rPr>
        <w:t xml:space="preserve"> la </w:t>
      </w:r>
      <w:r w:rsidR="00B65BAD" w:rsidRPr="00A970DC">
        <w:rPr>
          <w:lang w:val="fr-FR"/>
        </w:rPr>
        <w:t>CBE.  Il</w:t>
      </w:r>
      <w:r w:rsidRPr="00A970DC">
        <w:rPr>
          <w:lang w:val="fr-FR"/>
        </w:rPr>
        <w:t>s ont tiré parti de l</w:t>
      </w:r>
      <w:r w:rsidR="004916FD" w:rsidRPr="00A970DC">
        <w:rPr>
          <w:lang w:val="fr-FR"/>
        </w:rPr>
        <w:t>’</w:t>
      </w:r>
      <w:r w:rsidRPr="00A970DC">
        <w:rPr>
          <w:lang w:val="fr-FR"/>
        </w:rPr>
        <w:t xml:space="preserve">autorisation prévue au </w:t>
      </w:r>
      <w:r w:rsidR="004916FD" w:rsidRPr="00A970DC">
        <w:rPr>
          <w:lang w:val="fr-FR"/>
        </w:rPr>
        <w:t>paragraphe 1</w:t>
      </w:r>
      <w:r w:rsidRPr="00A970DC">
        <w:rPr>
          <w:lang w:val="fr-FR"/>
        </w:rPr>
        <w:t xml:space="preserve">) de la </w:t>
      </w:r>
      <w:r w:rsidR="004916FD" w:rsidRPr="00A970DC">
        <w:rPr>
          <w:lang w:val="fr-FR"/>
        </w:rPr>
        <w:t>section I</w:t>
      </w:r>
      <w:r w:rsidRPr="00A970DC">
        <w:rPr>
          <w:lang w:val="fr-FR"/>
        </w:rPr>
        <w:t>II du Protocole sur la centralisation relatif à</w:t>
      </w:r>
      <w:r w:rsidR="004916FD" w:rsidRPr="00A970DC">
        <w:rPr>
          <w:lang w:val="fr-FR"/>
        </w:rPr>
        <w:t xml:space="preserve"> la CBE</w:t>
      </w:r>
      <w:r w:rsidRPr="00A970DC">
        <w:rPr>
          <w:lang w:val="fr-FR"/>
        </w:rPr>
        <w:t>, étant donné que la langue officielle de ces pays n</w:t>
      </w:r>
      <w:r w:rsidR="004916FD" w:rsidRPr="00A970DC">
        <w:rPr>
          <w:lang w:val="fr-FR"/>
        </w:rPr>
        <w:t>’</w:t>
      </w:r>
      <w:r w:rsidRPr="00A970DC">
        <w:rPr>
          <w:lang w:val="fr-FR"/>
        </w:rPr>
        <w:t>est pas l</w:t>
      </w:r>
      <w:r w:rsidR="004916FD" w:rsidRPr="00A970DC">
        <w:rPr>
          <w:lang w:val="fr-FR"/>
        </w:rPr>
        <w:t>’</w:t>
      </w:r>
      <w:r w:rsidRPr="00A970DC">
        <w:rPr>
          <w:lang w:val="fr-FR"/>
        </w:rPr>
        <w:t xml:space="preserve">une des langues officielles des pays de </w:t>
      </w:r>
      <w:r w:rsidR="002458DD" w:rsidRPr="00A970DC">
        <w:rPr>
          <w:lang w:val="fr-FR"/>
        </w:rPr>
        <w:t>l</w:t>
      </w:r>
      <w:r w:rsidR="004916FD" w:rsidRPr="00A970DC">
        <w:rPr>
          <w:lang w:val="fr-FR"/>
        </w:rPr>
        <w:t>’</w:t>
      </w:r>
      <w:r w:rsidR="00B65BAD" w:rsidRPr="00A970DC">
        <w:rPr>
          <w:lang w:val="fr-FR"/>
        </w:rPr>
        <w:t>OEB.  En</w:t>
      </w:r>
      <w:r w:rsidRPr="00A970DC">
        <w:rPr>
          <w:lang w:val="fr-FR"/>
        </w:rPr>
        <w:t xml:space="preserve"> outre, ils se sont engagés à respecter leurs obligations au titre de</w:t>
      </w:r>
      <w:r w:rsidR="004916FD" w:rsidRPr="00A970DC">
        <w:rPr>
          <w:lang w:val="fr-FR"/>
        </w:rPr>
        <w:t xml:space="preserve"> la CBE</w:t>
      </w:r>
      <w:r w:rsidRPr="00A970DC">
        <w:rPr>
          <w:lang w:val="fr-FR"/>
        </w:rPr>
        <w:t xml:space="preserve"> et du Protocole sur la centralisation au moment de conclure et de mettre en place l</w:t>
      </w:r>
      <w:r w:rsidR="004916FD" w:rsidRPr="00A970DC">
        <w:rPr>
          <w:lang w:val="fr-FR"/>
        </w:rPr>
        <w:t>’</w:t>
      </w:r>
      <w:r w:rsidRPr="00A970DC">
        <w:rPr>
          <w:lang w:val="fr-FR"/>
        </w:rPr>
        <w:t>accord avec le Bureau international de l</w:t>
      </w:r>
      <w:r w:rsidR="004916FD" w:rsidRPr="00A970DC">
        <w:rPr>
          <w:lang w:val="fr-FR"/>
        </w:rPr>
        <w:t>’</w:t>
      </w:r>
      <w:r w:rsidRPr="00A970DC">
        <w:rPr>
          <w:lang w:val="fr-FR"/>
        </w:rPr>
        <w:t>OMPI, concernant le fonctionnement</w:t>
      </w:r>
      <w:r w:rsidR="004916FD" w:rsidRPr="00A970DC">
        <w:rPr>
          <w:lang w:val="fr-FR"/>
        </w:rPr>
        <w:t xml:space="preserve"> du VPI</w:t>
      </w:r>
      <w:r w:rsidRPr="00A970DC">
        <w:rPr>
          <w:lang w:val="fr-FR"/>
        </w:rPr>
        <w:t xml:space="preserve"> en qualité d</w:t>
      </w:r>
      <w:r w:rsidR="004916FD" w:rsidRPr="00A970DC">
        <w:rPr>
          <w:lang w:val="fr-FR"/>
        </w:rPr>
        <w:t>’</w:t>
      </w:r>
      <w:r w:rsidRPr="00A970DC">
        <w:rPr>
          <w:lang w:val="fr-FR"/>
        </w:rPr>
        <w:t xml:space="preserve">administration chargée de la recherche internationale et </w:t>
      </w:r>
      <w:r w:rsidR="002458DD" w:rsidRPr="00A970DC">
        <w:rPr>
          <w:lang w:val="fr-FR"/>
        </w:rPr>
        <w:t>d</w:t>
      </w:r>
      <w:r w:rsidR="004916FD" w:rsidRPr="00A970DC">
        <w:rPr>
          <w:lang w:val="fr-FR"/>
        </w:rPr>
        <w:t>’</w:t>
      </w:r>
      <w:r w:rsidR="002458DD" w:rsidRPr="00A970DC">
        <w:rPr>
          <w:lang w:val="fr-FR"/>
        </w:rPr>
        <w:t xml:space="preserve">administration chargée </w:t>
      </w:r>
      <w:r w:rsidRPr="00A970DC">
        <w:rPr>
          <w:lang w:val="fr-FR"/>
        </w:rPr>
        <w:t>de l</w:t>
      </w:r>
      <w:r w:rsidR="004916FD" w:rsidRPr="00A970DC">
        <w:rPr>
          <w:lang w:val="fr-FR"/>
        </w:rPr>
        <w:t>’</w:t>
      </w:r>
      <w:r w:rsidRPr="00A970DC">
        <w:rPr>
          <w:lang w:val="fr-FR"/>
        </w:rPr>
        <w:t>examen préliminaire international.</w:t>
      </w:r>
    </w:p>
    <w:p w:rsidR="004056AF" w:rsidRDefault="00FD3F84" w:rsidP="00A970DC">
      <w:pPr>
        <w:pStyle w:val="ONUMFS"/>
        <w:numPr>
          <w:ilvl w:val="0"/>
          <w:numId w:val="0"/>
        </w:numPr>
        <w:rPr>
          <w:lang w:val="fr-FR"/>
        </w:rPr>
      </w:pPr>
      <w:r w:rsidRPr="00A970DC">
        <w:rPr>
          <w:lang w:val="fr-FR"/>
        </w:rPr>
        <w:t>La gouvernance</w:t>
      </w:r>
      <w:r w:rsidR="004916FD" w:rsidRPr="00A970DC">
        <w:rPr>
          <w:lang w:val="fr-FR"/>
        </w:rPr>
        <w:t xml:space="preserve"> du VPI</w:t>
      </w:r>
      <w:r w:rsidRPr="00A970DC">
        <w:rPr>
          <w:lang w:val="fr-FR"/>
        </w:rPr>
        <w:t xml:space="preserve"> en tant qu</w:t>
      </w:r>
      <w:r w:rsidR="004916FD" w:rsidRPr="00A970DC">
        <w:rPr>
          <w:lang w:val="fr-FR"/>
        </w:rPr>
        <w:t>’</w:t>
      </w:r>
      <w:r w:rsidRPr="00A970DC">
        <w:rPr>
          <w:lang w:val="fr-FR"/>
        </w:rPr>
        <w:t>organisation intergouvernementale est assurée par un conseil d</w:t>
      </w:r>
      <w:r w:rsidR="004916FD" w:rsidRPr="00A970DC">
        <w:rPr>
          <w:lang w:val="fr-FR"/>
        </w:rPr>
        <w:t>’</w:t>
      </w:r>
      <w:r w:rsidRPr="00A970DC">
        <w:rPr>
          <w:lang w:val="fr-FR"/>
        </w:rPr>
        <w:t>administration composé des représentants des États contractants, tandis que le secrétariat</w:t>
      </w:r>
      <w:r w:rsidR="004916FD" w:rsidRPr="00A970DC">
        <w:rPr>
          <w:lang w:val="fr-FR"/>
        </w:rPr>
        <w:t xml:space="preserve"> du VPI</w:t>
      </w:r>
      <w:r w:rsidRPr="00A970DC">
        <w:rPr>
          <w:lang w:val="fr-FR"/>
        </w:rPr>
        <w:t>, placé sous la responsabilité du directeur, est chargé d</w:t>
      </w:r>
      <w:r w:rsidR="004916FD" w:rsidRPr="00A970DC">
        <w:rPr>
          <w:lang w:val="fr-FR"/>
        </w:rPr>
        <w:t>’</w:t>
      </w:r>
      <w:r w:rsidRPr="00A970DC">
        <w:rPr>
          <w:lang w:val="fr-FR"/>
        </w:rPr>
        <w:t>organiser, de gérer au quotidien et d</w:t>
      </w:r>
      <w:r w:rsidR="004916FD" w:rsidRPr="00A970DC">
        <w:rPr>
          <w:lang w:val="fr-FR"/>
        </w:rPr>
        <w:t>’</w:t>
      </w:r>
      <w:r w:rsidRPr="00A970DC">
        <w:rPr>
          <w:lang w:val="fr-FR"/>
        </w:rPr>
        <w:t>appuyer d</w:t>
      </w:r>
      <w:r w:rsidR="004916FD" w:rsidRPr="00A970DC">
        <w:rPr>
          <w:lang w:val="fr-FR"/>
        </w:rPr>
        <w:t>’</w:t>
      </w:r>
      <w:r w:rsidRPr="00A970DC">
        <w:rPr>
          <w:lang w:val="fr-FR"/>
        </w:rPr>
        <w:t>un point de vue administratif les travaux de l</w:t>
      </w:r>
      <w:r w:rsidR="004916FD" w:rsidRPr="00A970DC">
        <w:rPr>
          <w:lang w:val="fr-FR"/>
        </w:rPr>
        <w:t>’</w:t>
      </w:r>
      <w:r w:rsidRPr="00A970DC">
        <w:rPr>
          <w:lang w:val="fr-FR"/>
        </w:rPr>
        <w:t>instit</w:t>
      </w:r>
      <w:r w:rsidR="00B65BAD" w:rsidRPr="00A970DC">
        <w:rPr>
          <w:lang w:val="fr-FR"/>
        </w:rPr>
        <w:t>ut.  Le</w:t>
      </w:r>
      <w:r w:rsidRPr="00A970DC">
        <w:rPr>
          <w:lang w:val="fr-FR"/>
        </w:rPr>
        <w:t xml:space="preserve"> secrétariat et le directeur sont les interlocuteurs de toutes les parties extérieures, notamment le Bureau international de l</w:t>
      </w:r>
      <w:r w:rsidR="004916FD" w:rsidRPr="00A970DC">
        <w:rPr>
          <w:lang w:val="fr-FR"/>
        </w:rPr>
        <w:t>’</w:t>
      </w:r>
      <w:r w:rsidRPr="00A970DC">
        <w:rPr>
          <w:lang w:val="fr-FR"/>
        </w:rPr>
        <w:t>OMPI, les offices nationaux agissant en qualité d</w:t>
      </w:r>
      <w:r w:rsidR="004916FD" w:rsidRPr="00A970DC">
        <w:rPr>
          <w:lang w:val="fr-FR"/>
        </w:rPr>
        <w:t>’</w:t>
      </w:r>
      <w:r w:rsidRPr="00A970DC">
        <w:rPr>
          <w:lang w:val="fr-FR"/>
        </w:rPr>
        <w:t>office récepteur et, si possible, d</w:t>
      </w:r>
      <w:r w:rsidR="004916FD" w:rsidRPr="00A970DC">
        <w:rPr>
          <w:lang w:val="fr-FR"/>
        </w:rPr>
        <w:t>’</w:t>
      </w:r>
      <w:r w:rsidRPr="00A970DC">
        <w:rPr>
          <w:lang w:val="fr-FR"/>
        </w:rPr>
        <w:t>autres partenaires et utilisateurs internationaux des services proposés par</w:t>
      </w:r>
      <w:r w:rsidR="004916FD" w:rsidRPr="00A970DC">
        <w:rPr>
          <w:lang w:val="fr-FR"/>
        </w:rPr>
        <w:t xml:space="preserve"> le VPI</w:t>
      </w:r>
      <w:r w:rsidRPr="00A970DC">
        <w:rPr>
          <w:lang w:val="fr-FR"/>
        </w:rPr>
        <w:t xml:space="preserve"> en matière de breve</w:t>
      </w:r>
      <w:r w:rsidR="00B65BAD" w:rsidRPr="00A970DC">
        <w:rPr>
          <w:lang w:val="fr-FR"/>
        </w:rPr>
        <w:t>ts.  Da</w:t>
      </w:r>
      <w:r w:rsidRPr="00A970DC">
        <w:rPr>
          <w:lang w:val="fr-FR"/>
        </w:rPr>
        <w:t>ns le cadre de cette dimension intergouvernementale</w:t>
      </w:r>
      <w:r w:rsidR="004916FD" w:rsidRPr="00A970DC">
        <w:rPr>
          <w:lang w:val="fr-FR"/>
        </w:rPr>
        <w:t xml:space="preserve"> du VPI</w:t>
      </w:r>
      <w:r w:rsidRPr="00A970DC">
        <w:rPr>
          <w:lang w:val="fr-FR"/>
        </w:rPr>
        <w:t>, ce sont les offices nationaux des États contractants qui exécutent les activités internationales de recherche et d</w:t>
      </w:r>
      <w:r w:rsidR="004916FD" w:rsidRPr="00A970DC">
        <w:rPr>
          <w:lang w:val="fr-FR"/>
        </w:rPr>
        <w:t>’</w:t>
      </w:r>
      <w:r w:rsidRPr="00A970DC">
        <w:rPr>
          <w:lang w:val="fr-FR"/>
        </w:rPr>
        <w:t>examen au nom</w:t>
      </w:r>
      <w:r w:rsidR="004916FD" w:rsidRPr="00A970DC">
        <w:rPr>
          <w:lang w:val="fr-FR"/>
        </w:rPr>
        <w:t xml:space="preserve"> du </w:t>
      </w:r>
      <w:r w:rsidR="00B65BAD" w:rsidRPr="00A970DC">
        <w:rPr>
          <w:lang w:val="fr-FR"/>
        </w:rPr>
        <w:t>VPI.  En</w:t>
      </w:r>
      <w:r w:rsidRPr="00A970DC">
        <w:rPr>
          <w:lang w:val="fr-FR"/>
        </w:rPr>
        <w:t xml:space="preserve"> harmonisant les outils et les pratiques de recherche </w:t>
      </w:r>
    </w:p>
    <w:p w:rsidR="00CD34C1" w:rsidRPr="00A970DC" w:rsidRDefault="00FD3F84" w:rsidP="00A970DC">
      <w:pPr>
        <w:pStyle w:val="ONUMFS"/>
        <w:numPr>
          <w:ilvl w:val="0"/>
          <w:numId w:val="0"/>
        </w:numPr>
        <w:rPr>
          <w:lang w:val="fr-FR"/>
        </w:rPr>
      </w:pPr>
      <w:r w:rsidRPr="00A970DC">
        <w:rPr>
          <w:lang w:val="fr-FR"/>
        </w:rPr>
        <w:lastRenderedPageBreak/>
        <w:t>et d</w:t>
      </w:r>
      <w:r w:rsidR="004916FD" w:rsidRPr="00A970DC">
        <w:rPr>
          <w:lang w:val="fr-FR"/>
        </w:rPr>
        <w:t>’</w:t>
      </w:r>
      <w:r w:rsidRPr="00A970DC">
        <w:rPr>
          <w:lang w:val="fr-FR"/>
        </w:rPr>
        <w:t>examen, et en assurant une gestion rigoureuse de la qualité à chaque étape de la procédure,</w:t>
      </w:r>
      <w:r w:rsidR="004916FD" w:rsidRPr="00A970DC">
        <w:rPr>
          <w:lang w:val="fr-FR"/>
        </w:rPr>
        <w:t xml:space="preserve"> le VPI</w:t>
      </w:r>
      <w:r w:rsidRPr="00A970DC">
        <w:rPr>
          <w:lang w:val="fr-FR"/>
        </w:rPr>
        <w:t xml:space="preserve"> garantit toujours aux déposants la fourniture d</w:t>
      </w:r>
      <w:r w:rsidR="004916FD" w:rsidRPr="00A970DC">
        <w:rPr>
          <w:lang w:val="fr-FR"/>
        </w:rPr>
        <w:t>’</w:t>
      </w:r>
      <w:r w:rsidRPr="00A970DC">
        <w:rPr>
          <w:lang w:val="fr-FR"/>
        </w:rPr>
        <w:t>un service uniforme et de haute quali</w:t>
      </w:r>
      <w:r w:rsidR="00B65BAD" w:rsidRPr="00A970DC">
        <w:rPr>
          <w:lang w:val="fr-FR"/>
        </w:rPr>
        <w:t>té.  Le</w:t>
      </w:r>
      <w:r w:rsidRPr="00A970DC">
        <w:rPr>
          <w:lang w:val="fr-FR"/>
        </w:rPr>
        <w:t xml:space="preserve"> tableau</w:t>
      </w:r>
      <w:r w:rsidR="00433FCC" w:rsidRPr="00A970DC">
        <w:rPr>
          <w:lang w:val="fr-FR"/>
        </w:rPr>
        <w:t> </w:t>
      </w:r>
      <w:r w:rsidRPr="00A970DC">
        <w:rPr>
          <w:lang w:val="fr-FR"/>
        </w:rPr>
        <w:t>1 présente l</w:t>
      </w:r>
      <w:r w:rsidR="004916FD" w:rsidRPr="00A970DC">
        <w:rPr>
          <w:lang w:val="fr-FR"/>
        </w:rPr>
        <w:t>’</w:t>
      </w:r>
      <w:r w:rsidRPr="00A970DC">
        <w:rPr>
          <w:lang w:val="fr-FR"/>
        </w:rPr>
        <w:t>organigramme</w:t>
      </w:r>
      <w:r w:rsidR="004916FD" w:rsidRPr="00A970DC">
        <w:rPr>
          <w:lang w:val="fr-FR"/>
        </w:rPr>
        <w:t xml:space="preserve"> du VPI</w:t>
      </w:r>
      <w:r w:rsidRPr="00A970DC">
        <w:rPr>
          <w:lang w:val="fr-FR"/>
        </w:rPr>
        <w:t xml:space="preserve"> (en anglais).</w:t>
      </w:r>
    </w:p>
    <w:p w:rsidR="00CD34C1" w:rsidRPr="00A970DC" w:rsidRDefault="00FD3F84" w:rsidP="00A970DC">
      <w:pPr>
        <w:rPr>
          <w:u w:val="single"/>
          <w:lang w:val="fr-FR"/>
        </w:rPr>
      </w:pPr>
      <w:r w:rsidRPr="00A970DC">
        <w:rPr>
          <w:u w:val="single"/>
          <w:lang w:val="fr-FR"/>
        </w:rPr>
        <w:t>Tableau</w:t>
      </w:r>
      <w:r w:rsidR="00433FCC" w:rsidRPr="00A970DC">
        <w:rPr>
          <w:u w:val="single"/>
          <w:lang w:val="fr-FR"/>
        </w:rPr>
        <w:t> </w:t>
      </w:r>
      <w:r w:rsidRPr="00A970DC">
        <w:rPr>
          <w:u w:val="single"/>
          <w:lang w:val="fr-FR"/>
        </w:rPr>
        <w:t>1 – Organigramme</w:t>
      </w:r>
      <w:r w:rsidR="004916FD" w:rsidRPr="00A970DC">
        <w:rPr>
          <w:u w:val="single"/>
          <w:lang w:val="fr-FR"/>
        </w:rPr>
        <w:t xml:space="preserve"> du VPI</w:t>
      </w:r>
      <w:r w:rsidRPr="00A970DC">
        <w:rPr>
          <w:u w:val="single"/>
          <w:lang w:val="fr-FR"/>
        </w:rPr>
        <w:t xml:space="preserve"> (en anglais)</w:t>
      </w:r>
      <w:r w:rsidRPr="00A970DC">
        <w:rPr>
          <w:rStyle w:val="FootnoteReference"/>
          <w:u w:val="single"/>
          <w:lang w:val="fr-FR"/>
        </w:rPr>
        <w:footnoteReference w:id="2"/>
      </w:r>
    </w:p>
    <w:p w:rsidR="00CD34C1" w:rsidRDefault="00CD0D8F" w:rsidP="00A970DC">
      <w:pPr>
        <w:rPr>
          <w:lang w:val="fr-FR"/>
        </w:rPr>
      </w:pPr>
      <w:r w:rsidRPr="00A970DC">
        <w:rPr>
          <w:noProof/>
          <w:lang w:eastAsia="en-US"/>
        </w:rPr>
        <w:drawing>
          <wp:inline distT="0" distB="0" distL="0" distR="0" wp14:anchorId="63C9840F" wp14:editId="44DC31B4">
            <wp:extent cx="5762625" cy="50292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5029200"/>
                    </a:xfrm>
                    <a:prstGeom prst="rect">
                      <a:avLst/>
                    </a:prstGeom>
                    <a:noFill/>
                    <a:ln>
                      <a:noFill/>
                    </a:ln>
                  </pic:spPr>
                </pic:pic>
              </a:graphicData>
            </a:graphic>
          </wp:inline>
        </w:drawing>
      </w:r>
    </w:p>
    <w:p w:rsidR="00A6067D" w:rsidRPr="00A970DC" w:rsidRDefault="00A6067D" w:rsidP="00A970DC">
      <w:pPr>
        <w:rPr>
          <w:lang w:val="fr-FR"/>
        </w:rPr>
      </w:pPr>
    </w:p>
    <w:p w:rsidR="004916FD" w:rsidRPr="00A970DC" w:rsidRDefault="00CA47D0" w:rsidP="00A970DC">
      <w:pPr>
        <w:pStyle w:val="ONUMFS"/>
        <w:rPr>
          <w:lang w:val="fr-FR"/>
        </w:rPr>
      </w:pPr>
      <w:r w:rsidRPr="00A970DC">
        <w:rPr>
          <w:lang w:val="fr-FR"/>
        </w:rPr>
        <w:t>La principale mission</w:t>
      </w:r>
      <w:r w:rsidR="004916FD" w:rsidRPr="00A970DC">
        <w:rPr>
          <w:lang w:val="fr-FR"/>
        </w:rPr>
        <w:t xml:space="preserve"> du VPI</w:t>
      </w:r>
      <w:r w:rsidRPr="00A970DC">
        <w:rPr>
          <w:lang w:val="fr-FR"/>
        </w:rPr>
        <w:t xml:space="preserve"> consiste à agir en qualité d</w:t>
      </w:r>
      <w:r w:rsidR="004916FD" w:rsidRPr="00A970DC">
        <w:rPr>
          <w:lang w:val="fr-FR"/>
        </w:rPr>
        <w:t>’</w:t>
      </w:r>
      <w:r w:rsidRPr="00A970DC">
        <w:rPr>
          <w:lang w:val="fr-FR"/>
        </w:rPr>
        <w:t>administration chargée de la recherche internationale et d</w:t>
      </w:r>
      <w:r w:rsidR="004916FD" w:rsidRPr="00A970DC">
        <w:rPr>
          <w:lang w:val="fr-FR"/>
        </w:rPr>
        <w:t>’</w:t>
      </w:r>
      <w:r w:rsidRPr="00A970DC">
        <w:rPr>
          <w:lang w:val="fr-FR"/>
        </w:rPr>
        <w:t>administration chargée de l</w:t>
      </w:r>
      <w:r w:rsidR="004916FD" w:rsidRPr="00A970DC">
        <w:rPr>
          <w:lang w:val="fr-FR"/>
        </w:rPr>
        <w:t>’</w:t>
      </w:r>
      <w:r w:rsidRPr="00A970DC">
        <w:rPr>
          <w:lang w:val="fr-FR"/>
        </w:rPr>
        <w:t>examen préliminaire international au sens</w:t>
      </w:r>
      <w:r w:rsidR="004916FD" w:rsidRPr="00A970DC">
        <w:rPr>
          <w:lang w:val="fr-FR"/>
        </w:rPr>
        <w:t xml:space="preserve"> du </w:t>
      </w:r>
      <w:r w:rsidR="00B65BAD" w:rsidRPr="00A970DC">
        <w:rPr>
          <w:lang w:val="fr-FR"/>
        </w:rPr>
        <w:t>PCT.  Le</w:t>
      </w:r>
      <w:r w:rsidR="004916FD" w:rsidRPr="00A970DC">
        <w:rPr>
          <w:lang w:val="fr-FR"/>
        </w:rPr>
        <w:t> VPI</w:t>
      </w:r>
      <w:r w:rsidRPr="00A970DC">
        <w:rPr>
          <w:lang w:val="fr-FR"/>
        </w:rPr>
        <w:t xml:space="preserve"> propose également des recherches de type international et prévoit de proposer des recherches internationales supplémentaires aus</w:t>
      </w:r>
      <w:r w:rsidR="00B65BAD" w:rsidRPr="00A970DC">
        <w:rPr>
          <w:lang w:val="fr-FR"/>
        </w:rPr>
        <w:t>si.  En</w:t>
      </w:r>
      <w:r w:rsidRPr="00A970DC">
        <w:rPr>
          <w:lang w:val="fr-FR"/>
        </w:rPr>
        <w:t xml:space="preserve"> outre, le Conseil d</w:t>
      </w:r>
      <w:r w:rsidR="004916FD" w:rsidRPr="00A970DC">
        <w:rPr>
          <w:lang w:val="fr-FR"/>
        </w:rPr>
        <w:t>’</w:t>
      </w:r>
      <w:r w:rsidRPr="00A970DC">
        <w:rPr>
          <w:lang w:val="fr-FR"/>
        </w:rPr>
        <w:t>administration pourra peut</w:t>
      </w:r>
      <w:r w:rsidR="004916FD" w:rsidRPr="00A970DC">
        <w:rPr>
          <w:lang w:val="fr-FR"/>
        </w:rPr>
        <w:t>-</w:t>
      </w:r>
      <w:r w:rsidRPr="00A970DC">
        <w:rPr>
          <w:lang w:val="fr-FR"/>
        </w:rPr>
        <w:t>être décider de confier</w:t>
      </w:r>
      <w:r w:rsidR="004916FD" w:rsidRPr="00A970DC">
        <w:rPr>
          <w:lang w:val="fr-FR"/>
        </w:rPr>
        <w:t xml:space="preserve"> au VPI</w:t>
      </w:r>
      <w:r w:rsidRPr="00A970DC">
        <w:rPr>
          <w:lang w:val="fr-FR"/>
        </w:rPr>
        <w:t xml:space="preserve"> d</w:t>
      </w:r>
      <w:r w:rsidR="004916FD" w:rsidRPr="00A970DC">
        <w:rPr>
          <w:lang w:val="fr-FR"/>
        </w:rPr>
        <w:t>’</w:t>
      </w:r>
      <w:r w:rsidRPr="00A970DC">
        <w:rPr>
          <w:lang w:val="fr-FR"/>
        </w:rPr>
        <w:t>autres tâches similaires dans le domaine des brevets et autoriser le directeur à conclure des accords à cette fin au nom</w:t>
      </w:r>
      <w:r w:rsidR="004916FD" w:rsidRPr="00A970DC">
        <w:rPr>
          <w:lang w:val="fr-FR"/>
        </w:rPr>
        <w:t xml:space="preserve"> du VPI</w:t>
      </w:r>
      <w:r w:rsidRPr="00A970DC">
        <w:rPr>
          <w:lang w:val="fr-FR"/>
        </w:rPr>
        <w:t>.</w:t>
      </w:r>
    </w:p>
    <w:p w:rsidR="004056AF" w:rsidRDefault="00CA47D0" w:rsidP="00A970DC">
      <w:pPr>
        <w:pStyle w:val="ONUMFS"/>
        <w:rPr>
          <w:lang w:val="fr-FR"/>
        </w:rPr>
      </w:pPr>
      <w:r w:rsidRPr="00A970DC">
        <w:rPr>
          <w:lang w:val="fr-FR"/>
        </w:rPr>
        <w:t>Le fonctionnement</w:t>
      </w:r>
      <w:r w:rsidR="004916FD" w:rsidRPr="00A970DC">
        <w:rPr>
          <w:lang w:val="fr-FR"/>
        </w:rPr>
        <w:t xml:space="preserve"> du VPI</w:t>
      </w:r>
      <w:r w:rsidRPr="00A970DC">
        <w:rPr>
          <w:lang w:val="fr-FR"/>
        </w:rPr>
        <w:t xml:space="preserve"> est fondé sur la coopération entre les offices nationaux de la propriété industrielle des États contractants, ce qui garantit la réalisation harmonieuse de toutes les activités qui lui sont propr</w:t>
      </w:r>
      <w:r w:rsidR="00B65BAD" w:rsidRPr="00A970DC">
        <w:rPr>
          <w:lang w:val="fr-FR"/>
        </w:rPr>
        <w:t>es.  En</w:t>
      </w:r>
      <w:r w:rsidRPr="00A970DC">
        <w:rPr>
          <w:lang w:val="fr-FR"/>
        </w:rPr>
        <w:t xml:space="preserve"> regroupant leurs ressources en matière de recherche et d</w:t>
      </w:r>
      <w:r w:rsidR="004916FD" w:rsidRPr="00A970DC">
        <w:rPr>
          <w:lang w:val="fr-FR"/>
        </w:rPr>
        <w:t>’</w:t>
      </w:r>
      <w:r w:rsidRPr="00A970DC">
        <w:rPr>
          <w:lang w:val="fr-FR"/>
        </w:rPr>
        <w:t>examen sous l</w:t>
      </w:r>
      <w:r w:rsidR="004916FD" w:rsidRPr="00A970DC">
        <w:rPr>
          <w:lang w:val="fr-FR"/>
        </w:rPr>
        <w:t>’</w:t>
      </w:r>
      <w:r w:rsidRPr="00A970DC">
        <w:rPr>
          <w:lang w:val="fr-FR"/>
        </w:rPr>
        <w:t>égide</w:t>
      </w:r>
      <w:r w:rsidR="004916FD" w:rsidRPr="00A970DC">
        <w:rPr>
          <w:lang w:val="fr-FR"/>
        </w:rPr>
        <w:t xml:space="preserve"> du VPI</w:t>
      </w:r>
      <w:r w:rsidRPr="00A970DC">
        <w:rPr>
          <w:lang w:val="fr-FR"/>
        </w:rPr>
        <w:t>, les offices participants comptent créer des synergies importantes et approfondir leur spécialisation dans les domaines technologiques faisant l</w:t>
      </w:r>
      <w:r w:rsidR="004916FD" w:rsidRPr="00A970DC">
        <w:rPr>
          <w:lang w:val="fr-FR"/>
        </w:rPr>
        <w:t>’</w:t>
      </w:r>
      <w:r w:rsidRPr="00A970DC">
        <w:rPr>
          <w:lang w:val="fr-FR"/>
        </w:rPr>
        <w:t>objet de recherches et d</w:t>
      </w:r>
      <w:r w:rsidR="004916FD" w:rsidRPr="00A970DC">
        <w:rPr>
          <w:lang w:val="fr-FR"/>
        </w:rPr>
        <w:t>’</w:t>
      </w:r>
      <w:r w:rsidRPr="00A970DC">
        <w:rPr>
          <w:lang w:val="fr-FR"/>
        </w:rPr>
        <w:t>exame</w:t>
      </w:r>
      <w:r w:rsidR="00B65BAD" w:rsidRPr="00A970DC">
        <w:rPr>
          <w:lang w:val="fr-FR"/>
        </w:rPr>
        <w:t>ns.  Av</w:t>
      </w:r>
      <w:r w:rsidRPr="00A970DC">
        <w:rPr>
          <w:lang w:val="fr-FR"/>
        </w:rPr>
        <w:t>ec cette structure, toutes les activités</w:t>
      </w:r>
      <w:r w:rsidR="004916FD" w:rsidRPr="00A970DC">
        <w:rPr>
          <w:lang w:val="fr-FR"/>
        </w:rPr>
        <w:t xml:space="preserve"> du VPI</w:t>
      </w:r>
      <w:r w:rsidRPr="00A970DC">
        <w:rPr>
          <w:lang w:val="fr-FR"/>
        </w:rPr>
        <w:t xml:space="preserve"> en tant qu</w:t>
      </w:r>
      <w:r w:rsidR="004916FD" w:rsidRPr="00A970DC">
        <w:rPr>
          <w:lang w:val="fr-FR"/>
        </w:rPr>
        <w:t>’</w:t>
      </w:r>
      <w:r w:rsidRPr="00A970DC">
        <w:rPr>
          <w:lang w:val="fr-FR"/>
        </w:rPr>
        <w:t>administration chargée de la recherche internationale et de l</w:t>
      </w:r>
      <w:r w:rsidR="004916FD" w:rsidRPr="00A970DC">
        <w:rPr>
          <w:lang w:val="fr-FR"/>
        </w:rPr>
        <w:t>’</w:t>
      </w:r>
      <w:r w:rsidRPr="00A970DC">
        <w:rPr>
          <w:lang w:val="fr-FR"/>
        </w:rPr>
        <w:t xml:space="preserve">examen préliminaire </w:t>
      </w:r>
    </w:p>
    <w:p w:rsidR="004916FD" w:rsidRPr="00A970DC" w:rsidRDefault="00CA47D0" w:rsidP="004056AF">
      <w:pPr>
        <w:pStyle w:val="ONUMFS"/>
        <w:numPr>
          <w:ilvl w:val="0"/>
          <w:numId w:val="0"/>
        </w:numPr>
        <w:rPr>
          <w:lang w:val="fr-FR"/>
        </w:rPr>
      </w:pPr>
      <w:r w:rsidRPr="00A970DC">
        <w:rPr>
          <w:lang w:val="fr-FR"/>
        </w:rPr>
        <w:lastRenderedPageBreak/>
        <w:t>international, et toute autre tâche qui lui est confiée, sont menées par les offices nationaux de propriété intellectuelle des États contractants au nom, et sous le plein contrôle,</w:t>
      </w:r>
      <w:r w:rsidR="004916FD" w:rsidRPr="00A970DC">
        <w:rPr>
          <w:lang w:val="fr-FR"/>
        </w:rPr>
        <w:t xml:space="preserve"> du VPI</w:t>
      </w:r>
      <w:r w:rsidRPr="00A970DC">
        <w:rPr>
          <w:lang w:val="fr-FR"/>
        </w:rPr>
        <w:t>, conformément aux conditions énoncées par son Conseil d</w:t>
      </w:r>
      <w:r w:rsidR="004916FD" w:rsidRPr="00A970DC">
        <w:rPr>
          <w:lang w:val="fr-FR"/>
        </w:rPr>
        <w:t>’</w:t>
      </w:r>
      <w:r w:rsidRPr="00A970DC">
        <w:rPr>
          <w:lang w:val="fr-FR"/>
        </w:rPr>
        <w:t>administration.</w:t>
      </w:r>
    </w:p>
    <w:p w:rsidR="004916FD" w:rsidRPr="00A970DC" w:rsidRDefault="00CA47D0" w:rsidP="00A970DC">
      <w:pPr>
        <w:pStyle w:val="ONUMFS"/>
        <w:rPr>
          <w:lang w:val="fr-FR"/>
        </w:rPr>
      </w:pPr>
      <w:r w:rsidRPr="00A970DC">
        <w:rPr>
          <w:lang w:val="fr-FR"/>
        </w:rPr>
        <w:t>Le volume de travail total</w:t>
      </w:r>
      <w:r w:rsidR="004916FD" w:rsidRPr="00A970DC">
        <w:rPr>
          <w:lang w:val="fr-FR"/>
        </w:rPr>
        <w:t xml:space="preserve"> du VPI</w:t>
      </w:r>
      <w:r w:rsidRPr="00A970DC">
        <w:rPr>
          <w:lang w:val="fr-FR"/>
        </w:rPr>
        <w:t xml:space="preserve"> en tant qu</w:t>
      </w:r>
      <w:r w:rsidR="004916FD" w:rsidRPr="00A970DC">
        <w:rPr>
          <w:lang w:val="fr-FR"/>
        </w:rPr>
        <w:t>’</w:t>
      </w:r>
      <w:r w:rsidRPr="00A970DC">
        <w:rPr>
          <w:lang w:val="fr-FR"/>
        </w:rPr>
        <w:t>administration chargée de la</w:t>
      </w:r>
      <w:r w:rsidR="006D32C8" w:rsidRPr="00A970DC">
        <w:rPr>
          <w:lang w:val="fr-FR"/>
        </w:rPr>
        <w:t xml:space="preserve"> recherche internationale et d</w:t>
      </w:r>
      <w:r w:rsidR="004916FD" w:rsidRPr="00A970DC">
        <w:rPr>
          <w:lang w:val="fr-FR"/>
        </w:rPr>
        <w:t>’</w:t>
      </w:r>
      <w:r w:rsidR="006D32C8" w:rsidRPr="00A970DC">
        <w:rPr>
          <w:lang w:val="fr-FR"/>
        </w:rPr>
        <w:t xml:space="preserve">administration chargée </w:t>
      </w:r>
      <w:r w:rsidRPr="00A970DC">
        <w:rPr>
          <w:lang w:val="fr-FR"/>
        </w:rPr>
        <w:t>l</w:t>
      </w:r>
      <w:r w:rsidR="004916FD" w:rsidRPr="00A970DC">
        <w:rPr>
          <w:lang w:val="fr-FR"/>
        </w:rPr>
        <w:t>’</w:t>
      </w:r>
      <w:r w:rsidRPr="00A970DC">
        <w:rPr>
          <w:lang w:val="fr-FR"/>
        </w:rPr>
        <w:t>examen préliminaire international est composé des demandes établies selon</w:t>
      </w:r>
      <w:r w:rsidR="004916FD" w:rsidRPr="00A970DC">
        <w:rPr>
          <w:lang w:val="fr-FR"/>
        </w:rPr>
        <w:t xml:space="preserve"> le PCT</w:t>
      </w:r>
      <w:r w:rsidRPr="00A970DC">
        <w:rPr>
          <w:lang w:val="fr-FR"/>
        </w:rPr>
        <w:t xml:space="preserve"> en provenance d</w:t>
      </w:r>
      <w:r w:rsidR="004916FD" w:rsidRPr="00A970DC">
        <w:rPr>
          <w:lang w:val="fr-FR"/>
        </w:rPr>
        <w:t>’</w:t>
      </w:r>
      <w:r w:rsidRPr="00A970DC">
        <w:rPr>
          <w:lang w:val="fr-FR"/>
        </w:rPr>
        <w:t>Europe centrale (Hongrie, Pologne, Slovaquie, République tchèque et, sous réserve de leurs décisions respectives, Croatie, Lituanie, Roumanie, Serbie, Slovénie).</w:t>
      </w:r>
    </w:p>
    <w:p w:rsidR="00CD34C1" w:rsidRPr="00A970DC" w:rsidRDefault="00CA47D0" w:rsidP="00A970DC">
      <w:pPr>
        <w:pStyle w:val="ONUMFS"/>
        <w:rPr>
          <w:lang w:val="fr-FR"/>
        </w:rPr>
      </w:pPr>
      <w:r w:rsidRPr="00A970DC">
        <w:rPr>
          <w:lang w:val="fr-FR"/>
        </w:rPr>
        <w:t>Le conseil d</w:t>
      </w:r>
      <w:r w:rsidR="004916FD" w:rsidRPr="00A970DC">
        <w:rPr>
          <w:lang w:val="fr-FR"/>
        </w:rPr>
        <w:t>’</w:t>
      </w:r>
      <w:r w:rsidRPr="00A970DC">
        <w:rPr>
          <w:lang w:val="fr-FR"/>
        </w:rPr>
        <w:t>administration</w:t>
      </w:r>
      <w:r w:rsidR="004916FD" w:rsidRPr="00A970DC">
        <w:rPr>
          <w:lang w:val="fr-FR"/>
        </w:rPr>
        <w:t xml:space="preserve"> du VPI</w:t>
      </w:r>
      <w:r w:rsidRPr="00A970DC">
        <w:rPr>
          <w:lang w:val="fr-FR"/>
        </w:rPr>
        <w:t xml:space="preserve"> établit les critères de répartition des tâches entre les différents offices nationaux participan</w:t>
      </w:r>
      <w:r w:rsidR="00B65BAD" w:rsidRPr="00A970DC">
        <w:rPr>
          <w:lang w:val="fr-FR"/>
        </w:rPr>
        <w:t>ts.  Le</w:t>
      </w:r>
      <w:r w:rsidRPr="00A970DC">
        <w:rPr>
          <w:lang w:val="fr-FR"/>
        </w:rPr>
        <w:t>s parties sont convenues que les critères devaient être justes, équitables et pertinents et garantir une répartition équilibr</w:t>
      </w:r>
      <w:r w:rsidR="00B65BAD" w:rsidRPr="00A970DC">
        <w:rPr>
          <w:lang w:val="fr-FR"/>
        </w:rPr>
        <w:t>ée.  Le</w:t>
      </w:r>
      <w:r w:rsidRPr="00A970DC">
        <w:rPr>
          <w:lang w:val="fr-FR"/>
        </w:rPr>
        <w:t>s critères essentiels suivants sont appliqués pour répartir entre les offices les demandes de recherche et d</w:t>
      </w:r>
      <w:r w:rsidR="004916FD" w:rsidRPr="00A970DC">
        <w:rPr>
          <w:lang w:val="fr-FR"/>
        </w:rPr>
        <w:t>’</w:t>
      </w:r>
      <w:r w:rsidRPr="00A970DC">
        <w:rPr>
          <w:lang w:val="fr-FR"/>
        </w:rPr>
        <w:t>examen adressées</w:t>
      </w:r>
      <w:r w:rsidR="004916FD" w:rsidRPr="00A970DC">
        <w:rPr>
          <w:lang w:val="fr-FR"/>
        </w:rPr>
        <w:t xml:space="preserve"> au VPI</w:t>
      </w:r>
      <w:r w:rsidRPr="00A970DC">
        <w:rPr>
          <w:lang w:val="fr-FR"/>
        </w:rPr>
        <w:t>, qu</w:t>
      </w:r>
      <w:r w:rsidR="004916FD" w:rsidRPr="00A970DC">
        <w:rPr>
          <w:lang w:val="fr-FR"/>
        </w:rPr>
        <w:t>’</w:t>
      </w:r>
      <w:r w:rsidRPr="00A970DC">
        <w:rPr>
          <w:lang w:val="fr-FR"/>
        </w:rPr>
        <w:t>il s</w:t>
      </w:r>
      <w:r w:rsidR="004916FD" w:rsidRPr="00A970DC">
        <w:rPr>
          <w:lang w:val="fr-FR"/>
        </w:rPr>
        <w:t>’</w:t>
      </w:r>
      <w:r w:rsidRPr="00A970DC">
        <w:rPr>
          <w:lang w:val="fr-FR"/>
        </w:rPr>
        <w:t>agisse de demandes commerciales ou émanant</w:t>
      </w:r>
      <w:r w:rsidR="004916FD" w:rsidRPr="00A970DC">
        <w:rPr>
          <w:lang w:val="fr-FR"/>
        </w:rPr>
        <w:t xml:space="preserve"> du PCT :</w:t>
      </w:r>
      <w:r w:rsidRPr="00A970DC">
        <w:rPr>
          <w:lang w:val="fr-FR"/>
        </w:rPr>
        <w:t xml:space="preserve"> la compétence technique, la langue du document soumis et la disponibilité des examinateurs dans chacun des domaines techniques considér</w:t>
      </w:r>
      <w:r w:rsidR="00B65BAD" w:rsidRPr="00A970DC">
        <w:rPr>
          <w:lang w:val="fr-FR"/>
        </w:rPr>
        <w:t>és.  L’a</w:t>
      </w:r>
      <w:r w:rsidRPr="00A970DC">
        <w:rPr>
          <w:lang w:val="fr-FR"/>
        </w:rPr>
        <w:t>ttribution de l</w:t>
      </w:r>
      <w:r w:rsidR="004916FD" w:rsidRPr="00A970DC">
        <w:rPr>
          <w:lang w:val="fr-FR"/>
        </w:rPr>
        <w:t>’</w:t>
      </w:r>
      <w:r w:rsidRPr="00A970DC">
        <w:rPr>
          <w:lang w:val="fr-FR"/>
        </w:rPr>
        <w:t>examen d</w:t>
      </w:r>
      <w:r w:rsidR="004916FD" w:rsidRPr="00A970DC">
        <w:rPr>
          <w:lang w:val="fr-FR"/>
        </w:rPr>
        <w:t>’</w:t>
      </w:r>
      <w:r w:rsidRPr="00A970DC">
        <w:rPr>
          <w:lang w:val="fr-FR"/>
        </w:rPr>
        <w:t>une demande et des documents connexes est effectuée compte tenu des critères susmentionn</w:t>
      </w:r>
      <w:r w:rsidR="00B65BAD" w:rsidRPr="00A970DC">
        <w:rPr>
          <w:lang w:val="fr-FR"/>
        </w:rPr>
        <w:t xml:space="preserve">és.  À </w:t>
      </w:r>
      <w:r w:rsidRPr="00A970DC">
        <w:rPr>
          <w:lang w:val="fr-FR"/>
        </w:rPr>
        <w:t>cette fin,</w:t>
      </w:r>
      <w:r w:rsidR="004916FD" w:rsidRPr="00A970DC">
        <w:rPr>
          <w:lang w:val="fr-FR"/>
        </w:rPr>
        <w:t xml:space="preserve"> le VPI</w:t>
      </w:r>
      <w:r w:rsidRPr="00A970DC">
        <w:rPr>
          <w:lang w:val="fr-FR"/>
        </w:rPr>
        <w:t xml:space="preserve"> a fait une évaluation des domaines techniques pris en charge par les examinateurs des offices participants (chaque office a donc établi une “cartographie des compétences” de ses examinateu</w:t>
      </w:r>
      <w:r w:rsidR="00B65BAD" w:rsidRPr="00A970DC">
        <w:rPr>
          <w:lang w:val="fr-FR"/>
        </w:rPr>
        <w:t>rs).  Le</w:t>
      </w:r>
      <w:r w:rsidRPr="00A970DC">
        <w:rPr>
          <w:lang w:val="fr-FR"/>
        </w:rPr>
        <w:t>s compétences de chaque examinateur étaient indiquées par les symboles de</w:t>
      </w:r>
      <w:r w:rsidR="004916FD" w:rsidRPr="00A970DC">
        <w:rPr>
          <w:lang w:val="fr-FR"/>
        </w:rPr>
        <w:t xml:space="preserve"> la CIB</w:t>
      </w:r>
      <w:r w:rsidRPr="00A970DC">
        <w:rPr>
          <w:lang w:val="fr-FR"/>
        </w:rPr>
        <w:t xml:space="preserve"> correspondant aux domaines techniques se rapportant à leurs connaissances techniqu</w:t>
      </w:r>
      <w:r w:rsidR="00B65BAD" w:rsidRPr="00A970DC">
        <w:rPr>
          <w:lang w:val="fr-FR"/>
        </w:rPr>
        <w:t>es.  Le</w:t>
      </w:r>
      <w:r w:rsidR="004916FD" w:rsidRPr="00A970DC">
        <w:rPr>
          <w:lang w:val="fr-FR"/>
        </w:rPr>
        <w:t> VPI</w:t>
      </w:r>
      <w:r w:rsidRPr="00A970DC">
        <w:rPr>
          <w:lang w:val="fr-FR"/>
        </w:rPr>
        <w:t xml:space="preserve"> dispose de compétences interchangeables dans la plupart des domaines techniques, en raison du nombre d</w:t>
      </w:r>
      <w:r w:rsidR="004916FD" w:rsidRPr="00A970DC">
        <w:rPr>
          <w:lang w:val="fr-FR"/>
        </w:rPr>
        <w:t>’</w:t>
      </w:r>
      <w:r w:rsidRPr="00A970DC">
        <w:rPr>
          <w:lang w:val="fr-FR"/>
        </w:rPr>
        <w:t>examinateurs disponibles et du fait que certains examinateurs disposent de qualifications officielles dans plusieurs domaines techniqu</w:t>
      </w:r>
      <w:r w:rsidR="00B65BAD" w:rsidRPr="00A970DC">
        <w:rPr>
          <w:lang w:val="fr-FR"/>
        </w:rPr>
        <w:t>es.  Il</w:t>
      </w:r>
      <w:r w:rsidRPr="00A970DC">
        <w:rPr>
          <w:lang w:val="fr-FR"/>
        </w:rPr>
        <w:t xml:space="preserve"> en va de même pour les compétences linguistiques des examinateurs, qui sont aussi interchangeables pour</w:t>
      </w:r>
      <w:r w:rsidR="004916FD" w:rsidRPr="00A970DC">
        <w:rPr>
          <w:lang w:val="fr-FR"/>
        </w:rPr>
        <w:t xml:space="preserve"> le VPI</w:t>
      </w:r>
      <w:r w:rsidRPr="00A970DC">
        <w:rPr>
          <w:lang w:val="fr-FR"/>
        </w:rPr>
        <w:t xml:space="preserve"> (ainsi, </w:t>
      </w:r>
      <w:r w:rsidR="006D32C8" w:rsidRPr="00A970DC">
        <w:rPr>
          <w:lang w:val="fr-FR"/>
        </w:rPr>
        <w:t>l</w:t>
      </w:r>
      <w:r w:rsidR="004916FD" w:rsidRPr="00A970DC">
        <w:rPr>
          <w:lang w:val="fr-FR"/>
        </w:rPr>
        <w:t>’</w:t>
      </w:r>
      <w:r w:rsidR="006D32C8" w:rsidRPr="00A970DC">
        <w:rPr>
          <w:lang w:val="fr-FR"/>
        </w:rPr>
        <w:t>IPO SR</w:t>
      </w:r>
      <w:r w:rsidRPr="00A970DC">
        <w:rPr>
          <w:lang w:val="fr-FR"/>
        </w:rPr>
        <w:t xml:space="preserve"> pourra examiner des documents en hongrois, tandis que </w:t>
      </w:r>
      <w:r w:rsidR="006D32C8" w:rsidRPr="00A970DC">
        <w:rPr>
          <w:lang w:val="fr-FR"/>
        </w:rPr>
        <w:t>l</w:t>
      </w:r>
      <w:r w:rsidR="004916FD" w:rsidRPr="00A970DC">
        <w:rPr>
          <w:lang w:val="fr-FR"/>
        </w:rPr>
        <w:t>’</w:t>
      </w:r>
      <w:r w:rsidR="006D32C8" w:rsidRPr="00A970DC">
        <w:rPr>
          <w:lang w:val="fr-FR"/>
        </w:rPr>
        <w:t>IPO CZ</w:t>
      </w:r>
      <w:r w:rsidRPr="00A970DC">
        <w:rPr>
          <w:lang w:val="fr-FR"/>
        </w:rPr>
        <w:t xml:space="preserve">, </w:t>
      </w:r>
      <w:r w:rsidR="006D32C8" w:rsidRPr="00A970DC">
        <w:rPr>
          <w:lang w:val="fr-FR"/>
        </w:rPr>
        <w:t>l</w:t>
      </w:r>
      <w:r w:rsidR="004916FD" w:rsidRPr="00A970DC">
        <w:rPr>
          <w:lang w:val="fr-FR"/>
        </w:rPr>
        <w:t>’</w:t>
      </w:r>
      <w:r w:rsidR="006D32C8" w:rsidRPr="00A970DC">
        <w:rPr>
          <w:lang w:val="fr-FR"/>
        </w:rPr>
        <w:t>HIPO et</w:t>
      </w:r>
      <w:r w:rsidR="004916FD" w:rsidRPr="00A970DC">
        <w:rPr>
          <w:lang w:val="fr-FR"/>
        </w:rPr>
        <w:t xml:space="preserve"> le PPO</w:t>
      </w:r>
      <w:r w:rsidRPr="00A970DC">
        <w:rPr>
          <w:lang w:val="fr-FR"/>
        </w:rPr>
        <w:t xml:space="preserve"> pourront travailler en slovaq</w:t>
      </w:r>
      <w:r w:rsidR="00B65BAD" w:rsidRPr="00A970DC">
        <w:rPr>
          <w:lang w:val="fr-FR"/>
        </w:rPr>
        <w:t>ue).  Ce</w:t>
      </w:r>
      <w:r w:rsidRPr="00A970DC">
        <w:rPr>
          <w:lang w:val="fr-FR"/>
        </w:rPr>
        <w:t>s éléments de flexibilité inhérents</w:t>
      </w:r>
      <w:r w:rsidR="004916FD" w:rsidRPr="00A970DC">
        <w:rPr>
          <w:lang w:val="fr-FR"/>
        </w:rPr>
        <w:t xml:space="preserve"> au VPI</w:t>
      </w:r>
      <w:r w:rsidRPr="00A970DC">
        <w:rPr>
          <w:lang w:val="fr-FR"/>
        </w:rPr>
        <w:t xml:space="preserve"> </w:t>
      </w:r>
      <w:r w:rsidR="006D32C8" w:rsidRPr="00A970DC">
        <w:rPr>
          <w:lang w:val="fr-FR"/>
        </w:rPr>
        <w:t>contribuent dans une large mesure à la</w:t>
      </w:r>
      <w:r w:rsidRPr="00A970DC">
        <w:rPr>
          <w:lang w:val="fr-FR"/>
        </w:rPr>
        <w:t xml:space="preserve"> répartition</w:t>
      </w:r>
      <w:r w:rsidR="006D32C8" w:rsidRPr="00A970DC">
        <w:rPr>
          <w:lang w:val="fr-FR"/>
        </w:rPr>
        <w:t xml:space="preserve"> optimale de l</w:t>
      </w:r>
      <w:r w:rsidRPr="00A970DC">
        <w:rPr>
          <w:lang w:val="fr-FR"/>
        </w:rPr>
        <w:t>a charge de travail, répartition dont le directeur et le secrétariat sont responsables.</w:t>
      </w:r>
    </w:p>
    <w:p w:rsidR="00CD34C1" w:rsidRDefault="00CA47D0" w:rsidP="00A970DC">
      <w:pPr>
        <w:pStyle w:val="Heading1"/>
        <w:rPr>
          <w:lang w:val="fr-FR"/>
        </w:rPr>
      </w:pPr>
      <w:r w:rsidRPr="00A970DC">
        <w:rPr>
          <w:lang w:val="fr-FR"/>
        </w:rPr>
        <w:t>II.</w:t>
      </w:r>
      <w:r w:rsidR="00F96272" w:rsidRPr="00A970DC">
        <w:rPr>
          <w:lang w:val="fr-FR"/>
        </w:rPr>
        <w:tab/>
      </w:r>
      <w:r w:rsidRPr="00A970DC">
        <w:rPr>
          <w:lang w:val="fr-FR"/>
        </w:rPr>
        <w:t xml:space="preserve">Exigences relatives à la nomination des administrations chargées de la recherche internationale et </w:t>
      </w:r>
      <w:r w:rsidR="006D32C8" w:rsidRPr="00A970DC">
        <w:rPr>
          <w:lang w:val="fr-FR"/>
        </w:rPr>
        <w:t xml:space="preserve">des administrations chargées </w:t>
      </w:r>
      <w:r w:rsidRPr="00A970DC">
        <w:rPr>
          <w:lang w:val="fr-FR"/>
        </w:rPr>
        <w:t>de l</w:t>
      </w:r>
      <w:r w:rsidR="004916FD" w:rsidRPr="00A970DC">
        <w:rPr>
          <w:lang w:val="fr-FR"/>
        </w:rPr>
        <w:t>’</w:t>
      </w:r>
      <w:r w:rsidRPr="00A970DC">
        <w:rPr>
          <w:lang w:val="fr-FR"/>
        </w:rPr>
        <w:t>examen préliminaire international</w:t>
      </w:r>
    </w:p>
    <w:p w:rsidR="00CD34C1" w:rsidRPr="00A970DC" w:rsidRDefault="00462AD9" w:rsidP="00A970DC">
      <w:pPr>
        <w:pStyle w:val="Heading4"/>
        <w:rPr>
          <w:lang w:val="fr-FR"/>
        </w:rPr>
      </w:pPr>
      <w:r w:rsidRPr="00A970DC">
        <w:rPr>
          <w:lang w:val="fr-FR"/>
        </w:rPr>
        <w:t>2.1.</w:t>
      </w:r>
      <w:r w:rsidRPr="00A970DC">
        <w:rPr>
          <w:lang w:val="fr-FR"/>
        </w:rPr>
        <w:tab/>
        <w:t xml:space="preserve">Conformité avec les exigences relatives à la nomination des administrations chargées de la recherche internationale et </w:t>
      </w:r>
      <w:r w:rsidR="006D32C8" w:rsidRPr="00A970DC">
        <w:rPr>
          <w:lang w:val="fr-FR"/>
        </w:rPr>
        <w:t xml:space="preserve">des administrations chargées </w:t>
      </w:r>
      <w:r w:rsidRPr="00A970DC">
        <w:rPr>
          <w:lang w:val="fr-FR"/>
        </w:rPr>
        <w:t>de l</w:t>
      </w:r>
      <w:r w:rsidR="004916FD" w:rsidRPr="00A970DC">
        <w:rPr>
          <w:lang w:val="fr-FR"/>
        </w:rPr>
        <w:t>’</w:t>
      </w:r>
      <w:r w:rsidRPr="00A970DC">
        <w:rPr>
          <w:lang w:val="fr-FR"/>
        </w:rPr>
        <w:t>examen préliminaire international</w:t>
      </w:r>
    </w:p>
    <w:p w:rsidR="00CD34C1" w:rsidRPr="00A970DC" w:rsidRDefault="00462AD9" w:rsidP="00A970DC">
      <w:pPr>
        <w:pStyle w:val="ONUMFS"/>
        <w:rPr>
          <w:lang w:val="fr-FR"/>
        </w:rPr>
      </w:pPr>
      <w:r w:rsidRPr="00A970DC">
        <w:rPr>
          <w:lang w:val="fr-FR"/>
        </w:rPr>
        <w:t>En application de l</w:t>
      </w:r>
      <w:r w:rsidR="004916FD" w:rsidRPr="00A970DC">
        <w:rPr>
          <w:lang w:val="fr-FR"/>
        </w:rPr>
        <w:t>’article 1</w:t>
      </w:r>
      <w:r w:rsidRPr="00A970DC">
        <w:rPr>
          <w:lang w:val="fr-FR"/>
        </w:rPr>
        <w:t>6.</w:t>
      </w:r>
      <w:r w:rsidR="006D2BEB">
        <w:rPr>
          <w:lang w:val="fr-FR"/>
        </w:rPr>
        <w:t>3</w:t>
      </w:r>
      <w:bookmarkStart w:id="7" w:name="_GoBack"/>
      <w:bookmarkEnd w:id="7"/>
      <w:r w:rsidRPr="00A970DC">
        <w:rPr>
          <w:lang w:val="fr-FR"/>
        </w:rPr>
        <w:t>)c)</w:t>
      </w:r>
      <w:r w:rsidR="004916FD" w:rsidRPr="00A970DC">
        <w:rPr>
          <w:lang w:val="fr-FR"/>
        </w:rPr>
        <w:t xml:space="preserve"> du PCT</w:t>
      </w:r>
      <w:r w:rsidRPr="00A970DC">
        <w:rPr>
          <w:lang w:val="fr-FR"/>
        </w:rPr>
        <w:t>, s</w:t>
      </w:r>
      <w:r w:rsidR="004916FD" w:rsidRPr="00A970DC">
        <w:rPr>
          <w:lang w:val="fr-FR"/>
        </w:rPr>
        <w:t>’</w:t>
      </w:r>
      <w:r w:rsidRPr="00A970DC">
        <w:rPr>
          <w:lang w:val="fr-FR"/>
        </w:rPr>
        <w:t>agissant des administrations chargées de la recherche internationale, “[l]e règlement d</w:t>
      </w:r>
      <w:r w:rsidR="004916FD" w:rsidRPr="00A970DC">
        <w:rPr>
          <w:lang w:val="fr-FR"/>
        </w:rPr>
        <w:t>’</w:t>
      </w:r>
      <w:r w:rsidRPr="00A970DC">
        <w:rPr>
          <w:lang w:val="fr-FR"/>
        </w:rPr>
        <w:t>exécution prescrit les exigences minimales, particulièrement en ce qui concerne le personnel et la documentation, auxquelles chaque office ou organisation doit satisfaire avant qu</w:t>
      </w:r>
      <w:r w:rsidR="004916FD" w:rsidRPr="00A970DC">
        <w:rPr>
          <w:lang w:val="fr-FR"/>
        </w:rPr>
        <w:t>’</w:t>
      </w:r>
      <w:r w:rsidRPr="00A970DC">
        <w:rPr>
          <w:lang w:val="fr-FR"/>
        </w:rPr>
        <w:t>il puisse être nommé et auxquelles il doit continuer de satisfaire tant qu</w:t>
      </w:r>
      <w:r w:rsidR="004916FD" w:rsidRPr="00A970DC">
        <w:rPr>
          <w:lang w:val="fr-FR"/>
        </w:rPr>
        <w:t>’</w:t>
      </w:r>
      <w:r w:rsidRPr="00A970DC">
        <w:rPr>
          <w:lang w:val="fr-FR"/>
        </w:rPr>
        <w:t>il demeure nommé”.</w:t>
      </w:r>
      <w:r w:rsidR="00CD0D8F" w:rsidRPr="00A970DC">
        <w:rPr>
          <w:lang w:val="fr-FR"/>
        </w:rPr>
        <w:t xml:space="preserve"> </w:t>
      </w:r>
      <w:r w:rsidR="00924BD2" w:rsidRPr="00A970DC">
        <w:rPr>
          <w:lang w:val="fr-FR"/>
        </w:rPr>
        <w:t xml:space="preserve"> </w:t>
      </w:r>
      <w:r w:rsidRPr="00A970DC">
        <w:rPr>
          <w:lang w:val="fr-FR"/>
        </w:rPr>
        <w:t xml:space="preserve">Ces exigences minimales sont énoncées dans la </w:t>
      </w:r>
      <w:r w:rsidR="004916FD" w:rsidRPr="00A970DC">
        <w:rPr>
          <w:lang w:val="fr-FR"/>
        </w:rPr>
        <w:t>règle 3</w:t>
      </w:r>
      <w:r w:rsidRPr="00A970DC">
        <w:rPr>
          <w:lang w:val="fr-FR"/>
        </w:rPr>
        <w:t>6.1 du règlement d</w:t>
      </w:r>
      <w:r w:rsidR="004916FD" w:rsidRPr="00A970DC">
        <w:rPr>
          <w:lang w:val="fr-FR"/>
        </w:rPr>
        <w:t>’</w:t>
      </w:r>
      <w:r w:rsidRPr="00A970DC">
        <w:rPr>
          <w:lang w:val="fr-FR"/>
        </w:rPr>
        <w:t>exécution</w:t>
      </w:r>
      <w:r w:rsidR="004916FD" w:rsidRPr="00A970DC">
        <w:rPr>
          <w:lang w:val="fr-FR"/>
        </w:rPr>
        <w:t xml:space="preserve"> du PCT :</w:t>
      </w:r>
    </w:p>
    <w:p w:rsidR="00CD34C1" w:rsidRPr="00A970DC" w:rsidRDefault="00462AD9" w:rsidP="00A970DC">
      <w:pPr>
        <w:pStyle w:val="ONUME"/>
        <w:numPr>
          <w:ilvl w:val="0"/>
          <w:numId w:val="8"/>
        </w:numPr>
        <w:ind w:left="567" w:firstLine="0"/>
        <w:rPr>
          <w:lang w:val="fr-FR"/>
        </w:rPr>
      </w:pPr>
      <w:r w:rsidRPr="00A970DC">
        <w:rPr>
          <w:lang w:val="fr-FR"/>
        </w:rPr>
        <w:t>une administration chargée de la recherche internationale doit avoir au moins cent employés à plein temps possédant des qualifications techniques suffisantes pour procéder aux recherches;</w:t>
      </w:r>
    </w:p>
    <w:p w:rsidR="00CD34C1" w:rsidRPr="00A970DC" w:rsidRDefault="00C441B8" w:rsidP="00A970DC">
      <w:pPr>
        <w:pStyle w:val="ONUME"/>
        <w:numPr>
          <w:ilvl w:val="0"/>
          <w:numId w:val="8"/>
        </w:numPr>
        <w:ind w:left="567" w:firstLine="0"/>
        <w:rPr>
          <w:lang w:val="fr-FR"/>
        </w:rPr>
      </w:pPr>
      <w:r w:rsidRPr="00A970DC">
        <w:rPr>
          <w:lang w:val="fr-FR"/>
        </w:rPr>
        <w:t>une administration chargée de la recherche internationale</w:t>
      </w:r>
      <w:r w:rsidR="00462AD9" w:rsidRPr="00A970DC">
        <w:rPr>
          <w:lang w:val="fr-FR"/>
        </w:rPr>
        <w:t xml:space="preserve"> doit avoir en sa possession au moins la documentation minimale de la </w:t>
      </w:r>
      <w:r w:rsidR="004916FD" w:rsidRPr="00A970DC">
        <w:rPr>
          <w:lang w:val="fr-FR"/>
        </w:rPr>
        <w:t>règle 3</w:t>
      </w:r>
      <w:r w:rsidR="00462AD9" w:rsidRPr="00A970DC">
        <w:rPr>
          <w:lang w:val="fr-FR"/>
        </w:rPr>
        <w:t>4, ou avoir accès à cette documentation minimale, laquelle doit être disposée d</w:t>
      </w:r>
      <w:r w:rsidR="004916FD" w:rsidRPr="00A970DC">
        <w:rPr>
          <w:lang w:val="fr-FR"/>
        </w:rPr>
        <w:t>’</w:t>
      </w:r>
      <w:r w:rsidR="00462AD9" w:rsidRPr="00A970DC">
        <w:rPr>
          <w:lang w:val="fr-FR"/>
        </w:rPr>
        <w:t>une manière adéquate aux fins de la recherche et se présenter sur papier, sur microforme ou sur un support électronique;</w:t>
      </w:r>
    </w:p>
    <w:p w:rsidR="00CD34C1" w:rsidRPr="00A970DC" w:rsidRDefault="00C441B8" w:rsidP="00A970DC">
      <w:pPr>
        <w:pStyle w:val="ONUME"/>
        <w:numPr>
          <w:ilvl w:val="0"/>
          <w:numId w:val="8"/>
        </w:numPr>
        <w:ind w:left="567" w:firstLine="0"/>
        <w:rPr>
          <w:lang w:val="fr-FR"/>
        </w:rPr>
      </w:pPr>
      <w:r w:rsidRPr="00A970DC">
        <w:rPr>
          <w:lang w:val="fr-FR"/>
        </w:rPr>
        <w:lastRenderedPageBreak/>
        <w:t>une administration chargée de la recherche internationale</w:t>
      </w:r>
      <w:r w:rsidR="00462AD9" w:rsidRPr="00A970DC">
        <w:rPr>
          <w:lang w:val="fr-FR"/>
        </w:rPr>
        <w:t xml:space="preserve"> doit disposer d</w:t>
      </w:r>
      <w:r w:rsidR="004916FD" w:rsidRPr="00A970DC">
        <w:rPr>
          <w:lang w:val="fr-FR"/>
        </w:rPr>
        <w:t>’</w:t>
      </w:r>
      <w:r w:rsidR="00462AD9" w:rsidRPr="00A970DC">
        <w:rPr>
          <w:lang w:val="fr-FR"/>
        </w:rPr>
        <w:t>un personnel capable de procéder à la recherche dans les domaines techniques sur lesquels la recherche doit porter et possédant les connaissances linguistiques nécessaires à la compréhension au moins des langues dans lesquelles la documentation minimale de la règle est rédigée ou traduite;</w:t>
      </w:r>
    </w:p>
    <w:p w:rsidR="00CD34C1" w:rsidRPr="00A970DC" w:rsidRDefault="00C441B8" w:rsidP="00A970DC">
      <w:pPr>
        <w:pStyle w:val="ONUME"/>
        <w:numPr>
          <w:ilvl w:val="0"/>
          <w:numId w:val="8"/>
        </w:numPr>
        <w:ind w:left="567" w:firstLine="0"/>
        <w:rPr>
          <w:lang w:val="fr-FR"/>
        </w:rPr>
      </w:pPr>
      <w:r w:rsidRPr="00A970DC">
        <w:rPr>
          <w:lang w:val="fr-FR"/>
        </w:rPr>
        <w:t>une administration chargée de la recherche internationale doit disposer d</w:t>
      </w:r>
      <w:r w:rsidR="004916FD" w:rsidRPr="00A970DC">
        <w:rPr>
          <w:lang w:val="fr-FR"/>
        </w:rPr>
        <w:t>’</w:t>
      </w:r>
      <w:r w:rsidRPr="00A970DC">
        <w:rPr>
          <w:lang w:val="fr-FR"/>
        </w:rPr>
        <w:t>un système de gestion de la qualité et de dispositions internes en matière d</w:t>
      </w:r>
      <w:r w:rsidR="004916FD" w:rsidRPr="00A970DC">
        <w:rPr>
          <w:lang w:val="fr-FR"/>
        </w:rPr>
        <w:t>’</w:t>
      </w:r>
      <w:r w:rsidRPr="00A970DC">
        <w:rPr>
          <w:lang w:val="fr-FR"/>
        </w:rPr>
        <w:t>évaluation conformément aux règles communes de la recherche internationale;</w:t>
      </w:r>
    </w:p>
    <w:p w:rsidR="00CD34C1" w:rsidRPr="00A970DC" w:rsidRDefault="00C441B8" w:rsidP="00A970DC">
      <w:pPr>
        <w:pStyle w:val="ONUME"/>
        <w:numPr>
          <w:ilvl w:val="0"/>
          <w:numId w:val="8"/>
        </w:numPr>
        <w:ind w:left="567" w:firstLine="0"/>
        <w:rPr>
          <w:lang w:val="fr-FR"/>
        </w:rPr>
      </w:pPr>
      <w:r w:rsidRPr="00A970DC">
        <w:rPr>
          <w:lang w:val="fr-FR"/>
        </w:rPr>
        <w:t>une administration chargée de la recherche internationale doit être nommée en qualité d</w:t>
      </w:r>
      <w:r w:rsidR="004916FD" w:rsidRPr="00A970DC">
        <w:rPr>
          <w:lang w:val="fr-FR"/>
        </w:rPr>
        <w:t>’</w:t>
      </w:r>
      <w:r w:rsidRPr="00A970DC">
        <w:rPr>
          <w:lang w:val="fr-FR"/>
        </w:rPr>
        <w:t>administration chargée de l</w:t>
      </w:r>
      <w:r w:rsidR="004916FD" w:rsidRPr="00A970DC">
        <w:rPr>
          <w:lang w:val="fr-FR"/>
        </w:rPr>
        <w:t>’</w:t>
      </w:r>
      <w:r w:rsidRPr="00A970DC">
        <w:rPr>
          <w:lang w:val="fr-FR"/>
        </w:rPr>
        <w:t>examen préliminaire international.</w:t>
      </w:r>
    </w:p>
    <w:p w:rsidR="00CD34C1" w:rsidRPr="00A970DC" w:rsidRDefault="00924BD2" w:rsidP="00A970DC">
      <w:pPr>
        <w:pStyle w:val="ONUMFS"/>
        <w:rPr>
          <w:lang w:val="fr-FR"/>
        </w:rPr>
      </w:pPr>
      <w:r w:rsidRPr="00A970DC">
        <w:rPr>
          <w:lang w:val="fr-FR"/>
        </w:rPr>
        <w:t>Les exigences minimales applicables à une administration chargée de l</w:t>
      </w:r>
      <w:r w:rsidR="004916FD" w:rsidRPr="00A970DC">
        <w:rPr>
          <w:lang w:val="fr-FR"/>
        </w:rPr>
        <w:t>’</w:t>
      </w:r>
      <w:r w:rsidRPr="00A970DC">
        <w:rPr>
          <w:lang w:val="fr-FR"/>
        </w:rPr>
        <w:t xml:space="preserve">examen préliminaire international définies dans la </w:t>
      </w:r>
      <w:r w:rsidR="004916FD" w:rsidRPr="00A970DC">
        <w:rPr>
          <w:lang w:val="fr-FR"/>
        </w:rPr>
        <w:t>règle 6</w:t>
      </w:r>
      <w:r w:rsidRPr="00A970DC">
        <w:rPr>
          <w:lang w:val="fr-FR"/>
        </w:rPr>
        <w:t>3.1 du règlement d</w:t>
      </w:r>
      <w:r w:rsidR="004916FD" w:rsidRPr="00A970DC">
        <w:rPr>
          <w:lang w:val="fr-FR"/>
        </w:rPr>
        <w:t>’</w:t>
      </w:r>
      <w:r w:rsidRPr="00A970DC">
        <w:rPr>
          <w:lang w:val="fr-FR"/>
        </w:rPr>
        <w:t>exécution</w:t>
      </w:r>
      <w:r w:rsidR="004916FD" w:rsidRPr="00A970DC">
        <w:rPr>
          <w:lang w:val="fr-FR"/>
        </w:rPr>
        <w:t xml:space="preserve"> du PCT</w:t>
      </w:r>
      <w:r w:rsidRPr="00A970DC">
        <w:rPr>
          <w:lang w:val="fr-FR"/>
        </w:rPr>
        <w:t xml:space="preserve"> correspondent à celles appliquées aux administrations chargées de la recherche internationale.</w:t>
      </w:r>
    </w:p>
    <w:p w:rsidR="00CD34C1" w:rsidRPr="00A970DC" w:rsidRDefault="00924BD2" w:rsidP="00A970DC">
      <w:pPr>
        <w:pStyle w:val="ONUMFS"/>
        <w:rPr>
          <w:lang w:val="fr-FR"/>
        </w:rPr>
      </w:pPr>
      <w:r w:rsidRPr="00A970DC">
        <w:rPr>
          <w:lang w:val="fr-FR"/>
        </w:rPr>
        <w:t>Comme cela a déjà été souligné dans le chapitre précédent,</w:t>
      </w:r>
      <w:r w:rsidR="004916FD" w:rsidRPr="00A970DC">
        <w:rPr>
          <w:lang w:val="fr-FR"/>
        </w:rPr>
        <w:t xml:space="preserve"> le VPI</w:t>
      </w:r>
      <w:r w:rsidRPr="00A970DC">
        <w:rPr>
          <w:lang w:val="fr-FR"/>
        </w:rPr>
        <w:t xml:space="preserve"> exploite les synergies tirées de la mise en commun des ressources des offices nationaux participan</w:t>
      </w:r>
      <w:r w:rsidR="00B65BAD" w:rsidRPr="00A970DC">
        <w:rPr>
          <w:lang w:val="fr-FR"/>
        </w:rPr>
        <w:t>ts.  Ce</w:t>
      </w:r>
      <w:r w:rsidRPr="00A970DC">
        <w:rPr>
          <w:lang w:val="fr-FR"/>
        </w:rPr>
        <w:t>la permet</w:t>
      </w:r>
      <w:r w:rsidR="004916FD" w:rsidRPr="00A970DC">
        <w:rPr>
          <w:lang w:val="fr-FR"/>
        </w:rPr>
        <w:t xml:space="preserve"> au VPI</w:t>
      </w:r>
      <w:r w:rsidRPr="00A970DC">
        <w:rPr>
          <w:lang w:val="fr-FR"/>
        </w:rPr>
        <w:t xml:space="preserve"> de répondre pleinement à l</w:t>
      </w:r>
      <w:r w:rsidR="004916FD" w:rsidRPr="00A970DC">
        <w:rPr>
          <w:lang w:val="fr-FR"/>
        </w:rPr>
        <w:t>’</w:t>
      </w:r>
      <w:r w:rsidRPr="00A970DC">
        <w:rPr>
          <w:lang w:val="fr-FR"/>
        </w:rPr>
        <w:t>ensemble des critères en vue d</w:t>
      </w:r>
      <w:r w:rsidR="004916FD" w:rsidRPr="00A970DC">
        <w:rPr>
          <w:lang w:val="fr-FR"/>
        </w:rPr>
        <w:t>’</w:t>
      </w:r>
      <w:r w:rsidRPr="00A970DC">
        <w:rPr>
          <w:lang w:val="fr-FR"/>
        </w:rPr>
        <w:t>être nommé en qualité d</w:t>
      </w:r>
      <w:r w:rsidR="004916FD" w:rsidRPr="00A970DC">
        <w:rPr>
          <w:lang w:val="fr-FR"/>
        </w:rPr>
        <w:t>’</w:t>
      </w:r>
      <w:r w:rsidRPr="00A970DC">
        <w:rPr>
          <w:lang w:val="fr-FR"/>
        </w:rPr>
        <w:t xml:space="preserve">administration chargée de la recherche internationale et </w:t>
      </w:r>
      <w:r w:rsidR="006D32C8" w:rsidRPr="00A970DC">
        <w:rPr>
          <w:lang w:val="fr-FR"/>
        </w:rPr>
        <w:t>d</w:t>
      </w:r>
      <w:r w:rsidR="004916FD" w:rsidRPr="00A970DC">
        <w:rPr>
          <w:lang w:val="fr-FR"/>
        </w:rPr>
        <w:t>’</w:t>
      </w:r>
      <w:r w:rsidR="006D32C8" w:rsidRPr="00A970DC">
        <w:rPr>
          <w:lang w:val="fr-FR"/>
        </w:rPr>
        <w:t xml:space="preserve">administration chargée </w:t>
      </w:r>
      <w:r w:rsidRPr="00A970DC">
        <w:rPr>
          <w:lang w:val="fr-FR"/>
        </w:rPr>
        <w:t>de l</w:t>
      </w:r>
      <w:r w:rsidR="004916FD" w:rsidRPr="00A970DC">
        <w:rPr>
          <w:lang w:val="fr-FR"/>
        </w:rPr>
        <w:t>’</w:t>
      </w:r>
      <w:r w:rsidRPr="00A970DC">
        <w:rPr>
          <w:lang w:val="fr-FR"/>
        </w:rPr>
        <w:t>examen préliminaire international, et de remplir sa mission en tant que tel en pleine conformité avec ces exigenc</w:t>
      </w:r>
      <w:r w:rsidR="00B65BAD" w:rsidRPr="00A970DC">
        <w:rPr>
          <w:lang w:val="fr-FR"/>
        </w:rPr>
        <w:t>es.  Le</w:t>
      </w:r>
      <w:r w:rsidRPr="00A970DC">
        <w:rPr>
          <w:lang w:val="fr-FR"/>
        </w:rPr>
        <w:t>s éléments d</w:t>
      </w:r>
      <w:r w:rsidR="004916FD" w:rsidRPr="00A970DC">
        <w:rPr>
          <w:lang w:val="fr-FR"/>
        </w:rPr>
        <w:t>’</w:t>
      </w:r>
      <w:r w:rsidRPr="00A970DC">
        <w:rPr>
          <w:lang w:val="fr-FR"/>
        </w:rPr>
        <w:t>appréciation ci</w:t>
      </w:r>
      <w:r w:rsidR="004916FD" w:rsidRPr="00A970DC">
        <w:rPr>
          <w:lang w:val="fr-FR"/>
        </w:rPr>
        <w:t>-</w:t>
      </w:r>
      <w:r w:rsidRPr="00A970DC">
        <w:rPr>
          <w:lang w:val="fr-FR"/>
        </w:rPr>
        <w:t>après exposent</w:t>
      </w:r>
      <w:r w:rsidR="004916FD" w:rsidRPr="00A970DC">
        <w:rPr>
          <w:lang w:val="fr-FR"/>
        </w:rPr>
        <w:t> :</w:t>
      </w:r>
    </w:p>
    <w:p w:rsidR="00CD34C1" w:rsidRPr="00A970DC" w:rsidRDefault="004916FD" w:rsidP="00A970DC">
      <w:pPr>
        <w:pStyle w:val="ONUME"/>
        <w:numPr>
          <w:ilvl w:val="0"/>
          <w:numId w:val="0"/>
        </w:numPr>
        <w:ind w:left="567"/>
        <w:rPr>
          <w:lang w:val="fr-FR"/>
        </w:rPr>
      </w:pPr>
      <w:r w:rsidRPr="00A970DC">
        <w:rPr>
          <w:lang w:val="fr-FR"/>
        </w:rPr>
        <w:t>-</w:t>
      </w:r>
      <w:r w:rsidR="00924BD2" w:rsidRPr="00A970DC">
        <w:rPr>
          <w:lang w:val="fr-FR"/>
        </w:rPr>
        <w:tab/>
        <w:t>les ressources</w:t>
      </w:r>
      <w:r w:rsidRPr="00A970DC">
        <w:rPr>
          <w:lang w:val="fr-FR"/>
        </w:rPr>
        <w:t xml:space="preserve"> du VPI</w:t>
      </w:r>
      <w:r w:rsidR="00924BD2" w:rsidRPr="00A970DC">
        <w:rPr>
          <w:lang w:val="fr-FR"/>
        </w:rPr>
        <w:t xml:space="preserve"> en matière de recherche et d</w:t>
      </w:r>
      <w:r w:rsidRPr="00A970DC">
        <w:rPr>
          <w:lang w:val="fr-FR"/>
        </w:rPr>
        <w:t>’</w:t>
      </w:r>
      <w:r w:rsidR="00924BD2" w:rsidRPr="00A970DC">
        <w:rPr>
          <w:lang w:val="fr-FR"/>
        </w:rPr>
        <w:t>examen et les qualifications de ses examinateurs;</w:t>
      </w:r>
    </w:p>
    <w:p w:rsidR="00CD34C1" w:rsidRPr="00A970DC" w:rsidRDefault="004916FD" w:rsidP="00A970DC">
      <w:pPr>
        <w:pStyle w:val="ONUME"/>
        <w:numPr>
          <w:ilvl w:val="0"/>
          <w:numId w:val="0"/>
        </w:numPr>
        <w:ind w:left="567"/>
        <w:rPr>
          <w:lang w:val="fr-FR"/>
        </w:rPr>
      </w:pPr>
      <w:r w:rsidRPr="00A970DC">
        <w:rPr>
          <w:lang w:val="fr-FR"/>
        </w:rPr>
        <w:t>-</w:t>
      </w:r>
      <w:r w:rsidR="00924BD2" w:rsidRPr="00A970DC">
        <w:rPr>
          <w:lang w:val="fr-FR"/>
        </w:rPr>
        <w:tab/>
        <w:t>l</w:t>
      </w:r>
      <w:r w:rsidRPr="00A970DC">
        <w:rPr>
          <w:lang w:val="fr-FR"/>
        </w:rPr>
        <w:t>’</w:t>
      </w:r>
      <w:r w:rsidR="00924BD2" w:rsidRPr="00A970DC">
        <w:rPr>
          <w:lang w:val="fr-FR"/>
        </w:rPr>
        <w:t>accès</w:t>
      </w:r>
      <w:r w:rsidRPr="00A970DC">
        <w:rPr>
          <w:lang w:val="fr-FR"/>
        </w:rPr>
        <w:t xml:space="preserve"> du VPI</w:t>
      </w:r>
      <w:r w:rsidR="00924BD2" w:rsidRPr="00A970DC">
        <w:rPr>
          <w:lang w:val="fr-FR"/>
        </w:rPr>
        <w:t xml:space="preserve"> à la documentation à des fins de recherche et d</w:t>
      </w:r>
      <w:r w:rsidRPr="00A970DC">
        <w:rPr>
          <w:lang w:val="fr-FR"/>
        </w:rPr>
        <w:t>’</w:t>
      </w:r>
      <w:r w:rsidR="00924BD2" w:rsidRPr="00A970DC">
        <w:rPr>
          <w:lang w:val="fr-FR"/>
        </w:rPr>
        <w:t>examen;</w:t>
      </w:r>
    </w:p>
    <w:p w:rsidR="00CD34C1" w:rsidRPr="00A970DC" w:rsidRDefault="004916FD" w:rsidP="00A970DC">
      <w:pPr>
        <w:pStyle w:val="ONUME"/>
        <w:numPr>
          <w:ilvl w:val="0"/>
          <w:numId w:val="0"/>
        </w:numPr>
        <w:ind w:left="567"/>
        <w:rPr>
          <w:lang w:val="fr-FR"/>
        </w:rPr>
      </w:pPr>
      <w:r w:rsidRPr="00A970DC">
        <w:rPr>
          <w:lang w:val="fr-FR"/>
        </w:rPr>
        <w:t>-</w:t>
      </w:r>
      <w:r w:rsidR="00924BD2" w:rsidRPr="00A970DC">
        <w:rPr>
          <w:lang w:val="fr-FR"/>
        </w:rPr>
        <w:tab/>
        <w:t>le système de gestion de la qualité et les dispositions internes en matière d</w:t>
      </w:r>
      <w:r w:rsidRPr="00A970DC">
        <w:rPr>
          <w:lang w:val="fr-FR"/>
        </w:rPr>
        <w:t>’</w:t>
      </w:r>
      <w:r w:rsidR="00924BD2" w:rsidRPr="00A970DC">
        <w:rPr>
          <w:lang w:val="fr-FR"/>
        </w:rPr>
        <w:t>évaluation</w:t>
      </w:r>
      <w:r w:rsidRPr="00A970DC">
        <w:rPr>
          <w:lang w:val="fr-FR"/>
        </w:rPr>
        <w:t xml:space="preserve"> du VPI</w:t>
      </w:r>
      <w:r w:rsidR="00924BD2" w:rsidRPr="00A970DC">
        <w:rPr>
          <w:lang w:val="fr-FR"/>
        </w:rPr>
        <w:t>, notamment celles appliquées aux offices nationaux participants.</w:t>
      </w:r>
    </w:p>
    <w:p w:rsidR="00CD34C1" w:rsidRPr="00A970DC" w:rsidRDefault="00924BD2" w:rsidP="00A970DC">
      <w:pPr>
        <w:pStyle w:val="Heading4"/>
        <w:rPr>
          <w:lang w:val="fr-FR"/>
        </w:rPr>
      </w:pPr>
      <w:r w:rsidRPr="00A970DC">
        <w:rPr>
          <w:lang w:val="fr-FR"/>
        </w:rPr>
        <w:t>2.2.</w:t>
      </w:r>
      <w:r w:rsidRPr="00A970DC">
        <w:rPr>
          <w:lang w:val="fr-FR"/>
        </w:rPr>
        <w:tab/>
        <w:t>Examinateurs et outils</w:t>
      </w:r>
    </w:p>
    <w:p w:rsidR="00CD34C1" w:rsidRPr="00A970DC" w:rsidRDefault="0036529D" w:rsidP="00A970DC">
      <w:pPr>
        <w:pStyle w:val="ONUMFS"/>
        <w:rPr>
          <w:lang w:val="fr-FR"/>
        </w:rPr>
      </w:pPr>
      <w:r w:rsidRPr="00A970DC">
        <w:rPr>
          <w:lang w:val="fr-FR"/>
        </w:rPr>
        <w:t>Des recherches et des examens de qualité reposent essentiellement sur du personnel technique hautement qualifié et for</w:t>
      </w:r>
      <w:r w:rsidR="00B65BAD" w:rsidRPr="00A970DC">
        <w:rPr>
          <w:lang w:val="fr-FR"/>
        </w:rPr>
        <w:t>mé.  Le</w:t>
      </w:r>
      <w:r w:rsidRPr="00A970DC">
        <w:rPr>
          <w:lang w:val="fr-FR"/>
        </w:rPr>
        <w:t xml:space="preserve"> présent chapitre fournit des informations sur le nombre d</w:t>
      </w:r>
      <w:r w:rsidR="004916FD" w:rsidRPr="00A970DC">
        <w:rPr>
          <w:lang w:val="fr-FR"/>
        </w:rPr>
        <w:t>’</w:t>
      </w:r>
      <w:r w:rsidRPr="00A970DC">
        <w:rPr>
          <w:lang w:val="fr-FR"/>
        </w:rPr>
        <w:t>examinateurs mis à la disposition</w:t>
      </w:r>
      <w:r w:rsidR="004916FD" w:rsidRPr="00A970DC">
        <w:rPr>
          <w:lang w:val="fr-FR"/>
        </w:rPr>
        <w:t xml:space="preserve"> du VPI</w:t>
      </w:r>
      <w:r w:rsidRPr="00A970DC">
        <w:rPr>
          <w:lang w:val="fr-FR"/>
        </w:rPr>
        <w:t xml:space="preserve"> en qualité d</w:t>
      </w:r>
      <w:r w:rsidR="004916FD" w:rsidRPr="00A970DC">
        <w:rPr>
          <w:lang w:val="fr-FR"/>
        </w:rPr>
        <w:t>’</w:t>
      </w:r>
      <w:r w:rsidRPr="00A970DC">
        <w:rPr>
          <w:lang w:val="fr-FR"/>
        </w:rPr>
        <w:t xml:space="preserve">administration chargée de la recherche internationale et </w:t>
      </w:r>
      <w:r w:rsidR="006D32C8" w:rsidRPr="00A970DC">
        <w:rPr>
          <w:lang w:val="fr-FR"/>
        </w:rPr>
        <w:t>d</w:t>
      </w:r>
      <w:r w:rsidR="004916FD" w:rsidRPr="00A970DC">
        <w:rPr>
          <w:lang w:val="fr-FR"/>
        </w:rPr>
        <w:t>’</w:t>
      </w:r>
      <w:r w:rsidR="006D32C8" w:rsidRPr="00A970DC">
        <w:rPr>
          <w:lang w:val="fr-FR"/>
        </w:rPr>
        <w:t xml:space="preserve">administration chargée </w:t>
      </w:r>
      <w:r w:rsidRPr="00A970DC">
        <w:rPr>
          <w:lang w:val="fr-FR"/>
        </w:rPr>
        <w:t>de l</w:t>
      </w:r>
      <w:r w:rsidR="004916FD" w:rsidRPr="00A970DC">
        <w:rPr>
          <w:lang w:val="fr-FR"/>
        </w:rPr>
        <w:t>’</w:t>
      </w:r>
      <w:r w:rsidRPr="00A970DC">
        <w:rPr>
          <w:lang w:val="fr-FR"/>
        </w:rPr>
        <w:t>examen préliminaire international et sur leurs qualifications, expériences, compétences linguistiques et programmes de formation.</w:t>
      </w:r>
    </w:p>
    <w:p w:rsidR="004056AF" w:rsidRDefault="0036529D" w:rsidP="004056AF">
      <w:pPr>
        <w:pStyle w:val="ONUMFS"/>
        <w:rPr>
          <w:lang w:val="fr-FR"/>
        </w:rPr>
      </w:pPr>
      <w:r w:rsidRPr="00A970DC">
        <w:rPr>
          <w:lang w:val="fr-FR"/>
        </w:rPr>
        <w:t>En tant qu</w:t>
      </w:r>
      <w:r w:rsidR="004916FD" w:rsidRPr="00A970DC">
        <w:rPr>
          <w:lang w:val="fr-FR"/>
        </w:rPr>
        <w:t>’</w:t>
      </w:r>
      <w:r w:rsidRPr="00A970DC">
        <w:rPr>
          <w:lang w:val="fr-FR"/>
        </w:rPr>
        <w:t xml:space="preserve">administration internationale chargée de la recherche et </w:t>
      </w:r>
      <w:r w:rsidR="006D32C8" w:rsidRPr="00A970DC">
        <w:rPr>
          <w:lang w:val="fr-FR"/>
        </w:rPr>
        <w:t>d</w:t>
      </w:r>
      <w:r w:rsidR="004916FD" w:rsidRPr="00A970DC">
        <w:rPr>
          <w:lang w:val="fr-FR"/>
        </w:rPr>
        <w:t>’</w:t>
      </w:r>
      <w:r w:rsidR="006D32C8" w:rsidRPr="00A970DC">
        <w:rPr>
          <w:lang w:val="fr-FR"/>
        </w:rPr>
        <w:t>administration chargée d</w:t>
      </w:r>
      <w:r w:rsidRPr="00A970DC">
        <w:rPr>
          <w:lang w:val="fr-FR"/>
        </w:rPr>
        <w:t>e l</w:t>
      </w:r>
      <w:r w:rsidR="004916FD" w:rsidRPr="00A970DC">
        <w:rPr>
          <w:lang w:val="fr-FR"/>
        </w:rPr>
        <w:t>’</w:t>
      </w:r>
      <w:r w:rsidRPr="00A970DC">
        <w:rPr>
          <w:lang w:val="fr-FR"/>
        </w:rPr>
        <w:t>examen préliminaire internationa</w:t>
      </w:r>
      <w:r w:rsidR="006D32C8" w:rsidRPr="00A970DC">
        <w:rPr>
          <w:lang w:val="fr-FR"/>
        </w:rPr>
        <w:t>l</w:t>
      </w:r>
      <w:r w:rsidRPr="00A970DC">
        <w:rPr>
          <w:lang w:val="fr-FR"/>
        </w:rPr>
        <w:t>,</w:t>
      </w:r>
      <w:r w:rsidR="004916FD" w:rsidRPr="00A970DC">
        <w:rPr>
          <w:lang w:val="fr-FR"/>
        </w:rPr>
        <w:t xml:space="preserve"> le VPI</w:t>
      </w:r>
      <w:r w:rsidRPr="00A970DC">
        <w:rPr>
          <w:lang w:val="fr-FR"/>
        </w:rPr>
        <w:t xml:space="preserve"> dispose en tout de 189</w:t>
      </w:r>
      <w:r w:rsidR="00F96272" w:rsidRPr="00A970DC">
        <w:rPr>
          <w:lang w:val="fr-FR"/>
        </w:rPr>
        <w:t> </w:t>
      </w:r>
      <w:r w:rsidRPr="00A970DC">
        <w:rPr>
          <w:lang w:val="fr-FR"/>
        </w:rPr>
        <w:t>examinateurs (équivalent plein</w:t>
      </w:r>
      <w:r w:rsidR="006D32C8" w:rsidRPr="00A970DC">
        <w:rPr>
          <w:lang w:val="fr-FR"/>
        </w:rPr>
        <w:t xml:space="preserve"> </w:t>
      </w:r>
      <w:r w:rsidRPr="00A970DC">
        <w:rPr>
          <w:lang w:val="fr-FR"/>
        </w:rPr>
        <w:t>temps) en mesure d</w:t>
      </w:r>
      <w:r w:rsidR="004916FD" w:rsidRPr="00A970DC">
        <w:rPr>
          <w:lang w:val="fr-FR"/>
        </w:rPr>
        <w:t>’</w:t>
      </w:r>
      <w:r w:rsidRPr="00A970DC">
        <w:rPr>
          <w:lang w:val="fr-FR"/>
        </w:rPr>
        <w:t>effectuer des recherches et des examens dans tous les domaines techniqu</w:t>
      </w:r>
      <w:r w:rsidR="00B65BAD" w:rsidRPr="00A970DC">
        <w:rPr>
          <w:lang w:val="fr-FR"/>
        </w:rPr>
        <w:t>es</w:t>
      </w:r>
      <w:r w:rsidR="006C03CC">
        <w:rPr>
          <w:lang w:val="fr-FR"/>
        </w:rPr>
        <w:t xml:space="preserve"> (voir tableau 2)</w:t>
      </w:r>
      <w:r w:rsidR="00B65BAD" w:rsidRPr="00A970DC">
        <w:rPr>
          <w:lang w:val="fr-FR"/>
        </w:rPr>
        <w:t>.  Il</w:t>
      </w:r>
      <w:r w:rsidR="006D32C8" w:rsidRPr="00A970DC">
        <w:rPr>
          <w:lang w:val="fr-FR"/>
        </w:rPr>
        <w:t>s disposent tou</w:t>
      </w:r>
      <w:r w:rsidR="00356F56" w:rsidRPr="00A970DC">
        <w:rPr>
          <w:lang w:val="fr-FR"/>
        </w:rPr>
        <w:t>s des qualifications techniques et de l</w:t>
      </w:r>
      <w:r w:rsidR="004916FD" w:rsidRPr="00A970DC">
        <w:rPr>
          <w:lang w:val="fr-FR"/>
        </w:rPr>
        <w:t>’</w:t>
      </w:r>
      <w:r w:rsidR="00356F56" w:rsidRPr="00A970DC">
        <w:rPr>
          <w:lang w:val="fr-FR"/>
        </w:rPr>
        <w:t>expérience requises pour effectuer des recherches et des examens de haute qualité de manière efficace et en temps uti</w:t>
      </w:r>
      <w:r w:rsidR="00B65BAD" w:rsidRPr="00A970DC">
        <w:rPr>
          <w:lang w:val="fr-FR"/>
        </w:rPr>
        <w:t>le.  Il</w:t>
      </w:r>
      <w:r w:rsidR="006D32C8" w:rsidRPr="00A970DC">
        <w:rPr>
          <w:lang w:val="fr-FR"/>
        </w:rPr>
        <w:t>s</w:t>
      </w:r>
      <w:r w:rsidR="00356F56" w:rsidRPr="00A970DC">
        <w:rPr>
          <w:lang w:val="fr-FR"/>
        </w:rPr>
        <w:t xml:space="preserve"> sont tou</w:t>
      </w:r>
      <w:r w:rsidR="006D32C8" w:rsidRPr="00A970DC">
        <w:rPr>
          <w:lang w:val="fr-FR"/>
        </w:rPr>
        <w:t>s détenteurs</w:t>
      </w:r>
      <w:r w:rsidR="00356F56" w:rsidRPr="00A970DC">
        <w:rPr>
          <w:lang w:val="fr-FR"/>
        </w:rPr>
        <w:t xml:space="preserve"> d</w:t>
      </w:r>
      <w:r w:rsidR="004916FD" w:rsidRPr="00A970DC">
        <w:rPr>
          <w:lang w:val="fr-FR"/>
        </w:rPr>
        <w:t>’</w:t>
      </w:r>
      <w:r w:rsidR="00356F56" w:rsidRPr="00A970DC">
        <w:rPr>
          <w:lang w:val="fr-FR"/>
        </w:rPr>
        <w:t>un master ou d</w:t>
      </w:r>
      <w:r w:rsidR="004916FD" w:rsidRPr="00A970DC">
        <w:rPr>
          <w:lang w:val="fr-FR"/>
        </w:rPr>
        <w:t>’</w:t>
      </w:r>
      <w:r w:rsidR="00356F56" w:rsidRPr="00A970DC">
        <w:rPr>
          <w:lang w:val="fr-FR"/>
        </w:rPr>
        <w:t>un doctorat, ont tous suivi des programmes de formation exhaustifs, intensifs et bien structurés, et ont tous réussi les examens pertinents avant d</w:t>
      </w:r>
      <w:r w:rsidR="004916FD" w:rsidRPr="00A970DC">
        <w:rPr>
          <w:lang w:val="fr-FR"/>
        </w:rPr>
        <w:t>’</w:t>
      </w:r>
      <w:r w:rsidR="00356F56" w:rsidRPr="00A970DC">
        <w:rPr>
          <w:lang w:val="fr-FR"/>
        </w:rPr>
        <w:t>être recrut</w:t>
      </w:r>
      <w:r w:rsidR="00B65BAD" w:rsidRPr="00A970DC">
        <w:rPr>
          <w:lang w:val="fr-FR"/>
        </w:rPr>
        <w:t>és.  En</w:t>
      </w:r>
      <w:r w:rsidR="00356F56" w:rsidRPr="00A970DC">
        <w:rPr>
          <w:lang w:val="fr-FR"/>
        </w:rPr>
        <w:t xml:space="preserve"> outre, la plupart d</w:t>
      </w:r>
      <w:r w:rsidR="004916FD" w:rsidRPr="00A970DC">
        <w:rPr>
          <w:lang w:val="fr-FR"/>
        </w:rPr>
        <w:t>’</w:t>
      </w:r>
      <w:r w:rsidR="00356F56" w:rsidRPr="00A970DC">
        <w:rPr>
          <w:lang w:val="fr-FR"/>
        </w:rPr>
        <w:t xml:space="preserve">entre </w:t>
      </w:r>
      <w:r w:rsidR="006D32C8" w:rsidRPr="00A970DC">
        <w:rPr>
          <w:lang w:val="fr-FR"/>
        </w:rPr>
        <w:t>eux</w:t>
      </w:r>
      <w:r w:rsidR="00356F56" w:rsidRPr="00A970DC">
        <w:rPr>
          <w:lang w:val="fr-FR"/>
        </w:rPr>
        <w:t xml:space="preserve"> ont déjà suivi plusieurs programmes instaurés par l</w:t>
      </w:r>
      <w:r w:rsidR="004916FD" w:rsidRPr="00A970DC">
        <w:rPr>
          <w:lang w:val="fr-FR"/>
        </w:rPr>
        <w:t>’</w:t>
      </w:r>
      <w:r w:rsidR="00356F56" w:rsidRPr="00A970DC">
        <w:rPr>
          <w:lang w:val="fr-FR"/>
        </w:rPr>
        <w:t>OMPI, l</w:t>
      </w:r>
      <w:r w:rsidR="004916FD" w:rsidRPr="00A970DC">
        <w:rPr>
          <w:lang w:val="fr-FR"/>
        </w:rPr>
        <w:t>’</w:t>
      </w:r>
      <w:r w:rsidR="00356F56" w:rsidRPr="00A970DC">
        <w:rPr>
          <w:lang w:val="fr-FR"/>
        </w:rPr>
        <w:t>OEB, l</w:t>
      </w:r>
      <w:r w:rsidR="004916FD" w:rsidRPr="00A970DC">
        <w:rPr>
          <w:lang w:val="fr-FR"/>
        </w:rPr>
        <w:t>’</w:t>
      </w:r>
      <w:r w:rsidR="00356F56" w:rsidRPr="00A970DC">
        <w:rPr>
          <w:lang w:val="fr-FR"/>
        </w:rPr>
        <w:t>USPTO ou d</w:t>
      </w:r>
      <w:r w:rsidR="004916FD" w:rsidRPr="00A970DC">
        <w:rPr>
          <w:lang w:val="fr-FR"/>
        </w:rPr>
        <w:t>’</w:t>
      </w:r>
      <w:r w:rsidR="00356F56" w:rsidRPr="00A970DC">
        <w:rPr>
          <w:lang w:val="fr-FR"/>
        </w:rPr>
        <w:t>autres administrations internationales ou offices des brevets nationaux, ou encore par des universités ou d</w:t>
      </w:r>
      <w:r w:rsidR="004916FD" w:rsidRPr="00A970DC">
        <w:rPr>
          <w:lang w:val="fr-FR"/>
        </w:rPr>
        <w:t>’</w:t>
      </w:r>
      <w:r w:rsidR="00356F56" w:rsidRPr="00A970DC">
        <w:rPr>
          <w:lang w:val="fr-FR"/>
        </w:rPr>
        <w:t>autres établissements de formation spécialisés dans la propriété intellectuel</w:t>
      </w:r>
      <w:r w:rsidR="00B65BAD" w:rsidRPr="00A970DC">
        <w:rPr>
          <w:lang w:val="fr-FR"/>
        </w:rPr>
        <w:t>le.  Un</w:t>
      </w:r>
      <w:r w:rsidR="00356F56" w:rsidRPr="00A970DC">
        <w:rPr>
          <w:lang w:val="fr-FR"/>
        </w:rPr>
        <w:t>e formation des examinateurs</w:t>
      </w:r>
      <w:r w:rsidR="004916FD" w:rsidRPr="00A970DC">
        <w:rPr>
          <w:lang w:val="fr-FR"/>
        </w:rPr>
        <w:t xml:space="preserve"> du VPI</w:t>
      </w:r>
      <w:r w:rsidR="00356F56" w:rsidRPr="00A970DC">
        <w:rPr>
          <w:lang w:val="fr-FR"/>
        </w:rPr>
        <w:t xml:space="preserve"> est prévue par ailleurs dans le cadre de la coopération établie avec</w:t>
      </w:r>
      <w:r w:rsidR="004916FD" w:rsidRPr="00A970DC">
        <w:rPr>
          <w:lang w:val="fr-FR"/>
        </w:rPr>
        <w:t xml:space="preserve"> le JPO</w:t>
      </w:r>
      <w:r w:rsidR="00356F56" w:rsidRPr="00A970DC">
        <w:rPr>
          <w:lang w:val="fr-FR"/>
        </w:rPr>
        <w:t xml:space="preserve"> et</w:t>
      </w:r>
      <w:r w:rsidR="004916FD" w:rsidRPr="00A970DC">
        <w:rPr>
          <w:lang w:val="fr-FR"/>
        </w:rPr>
        <w:t xml:space="preserve"> le NPI</w:t>
      </w:r>
      <w:r w:rsidR="00356F56" w:rsidRPr="00A970DC">
        <w:rPr>
          <w:lang w:val="fr-FR"/>
        </w:rPr>
        <w:t>, comme</w:t>
      </w:r>
      <w:r w:rsidR="006D32C8" w:rsidRPr="00A970DC">
        <w:rPr>
          <w:lang w:val="fr-FR"/>
        </w:rPr>
        <w:t xml:space="preserve"> indiqué au </w:t>
      </w:r>
      <w:r w:rsidR="004916FD" w:rsidRPr="00A970DC">
        <w:rPr>
          <w:lang w:val="fr-FR"/>
        </w:rPr>
        <w:t>chapitre 1</w:t>
      </w:r>
      <w:r w:rsidR="00356F56" w:rsidRPr="00A970DC">
        <w:rPr>
          <w:lang w:val="fr-FR"/>
        </w:rPr>
        <w:t>.2.  Pour améliorer en permanence les compétences des examinateurs de l</w:t>
      </w:r>
      <w:r w:rsidR="004916FD" w:rsidRPr="00A970DC">
        <w:rPr>
          <w:lang w:val="fr-FR"/>
        </w:rPr>
        <w:t>’</w:t>
      </w:r>
      <w:r w:rsidR="00356F56" w:rsidRPr="00A970DC">
        <w:rPr>
          <w:lang w:val="fr-FR"/>
        </w:rPr>
        <w:t>institut et permettre à ceux</w:t>
      </w:r>
      <w:r w:rsidR="004916FD" w:rsidRPr="00A970DC">
        <w:rPr>
          <w:lang w:val="fr-FR"/>
        </w:rPr>
        <w:t>-</w:t>
      </w:r>
      <w:r w:rsidR="00356F56" w:rsidRPr="00A970DC">
        <w:rPr>
          <w:lang w:val="fr-FR"/>
        </w:rPr>
        <w:t>ci d</w:t>
      </w:r>
      <w:r w:rsidR="004916FD" w:rsidRPr="00A970DC">
        <w:rPr>
          <w:lang w:val="fr-FR"/>
        </w:rPr>
        <w:t>’</w:t>
      </w:r>
      <w:r w:rsidR="00356F56" w:rsidRPr="00A970DC">
        <w:rPr>
          <w:lang w:val="fr-FR"/>
        </w:rPr>
        <w:t>actualiser leurs connaissances techniques, le conseil d</w:t>
      </w:r>
      <w:r w:rsidR="004916FD" w:rsidRPr="00A970DC">
        <w:rPr>
          <w:lang w:val="fr-FR"/>
        </w:rPr>
        <w:t>’</w:t>
      </w:r>
      <w:r w:rsidR="00356F56" w:rsidRPr="00A970DC">
        <w:rPr>
          <w:lang w:val="fr-FR"/>
        </w:rPr>
        <w:t xml:space="preserve">administration instaurera un cadre de formation qui leur </w:t>
      </w:r>
    </w:p>
    <w:p w:rsidR="00CD34C1" w:rsidRPr="004056AF" w:rsidRDefault="00356F56" w:rsidP="004056AF">
      <w:pPr>
        <w:pStyle w:val="ONUMFS"/>
        <w:numPr>
          <w:ilvl w:val="0"/>
          <w:numId w:val="0"/>
        </w:numPr>
        <w:rPr>
          <w:lang w:val="fr-FR"/>
        </w:rPr>
      </w:pPr>
      <w:r w:rsidRPr="004056AF">
        <w:rPr>
          <w:lang w:val="fr-FR"/>
        </w:rPr>
        <w:lastRenderedPageBreak/>
        <w:t>permettra d</w:t>
      </w:r>
      <w:r w:rsidR="004916FD" w:rsidRPr="004056AF">
        <w:rPr>
          <w:lang w:val="fr-FR"/>
        </w:rPr>
        <w:t>’</w:t>
      </w:r>
      <w:r w:rsidRPr="004056AF">
        <w:rPr>
          <w:lang w:val="fr-FR"/>
        </w:rPr>
        <w:t>organiser efficacement des sessions de formation et d</w:t>
      </w:r>
      <w:r w:rsidR="004916FD" w:rsidRPr="004056AF">
        <w:rPr>
          <w:lang w:val="fr-FR"/>
        </w:rPr>
        <w:t>’</w:t>
      </w:r>
      <w:r w:rsidRPr="004056AF">
        <w:rPr>
          <w:lang w:val="fr-FR"/>
        </w:rPr>
        <w:t>en tirer le meilleur par</w:t>
      </w:r>
      <w:r w:rsidR="00B65BAD" w:rsidRPr="004056AF">
        <w:rPr>
          <w:lang w:val="fr-FR"/>
        </w:rPr>
        <w:t>ti.  En</w:t>
      </w:r>
      <w:r w:rsidRPr="004056AF">
        <w:rPr>
          <w:lang w:val="fr-FR"/>
        </w:rPr>
        <w:t xml:space="preserve"> outre,</w:t>
      </w:r>
      <w:r w:rsidR="004916FD" w:rsidRPr="004056AF">
        <w:rPr>
          <w:lang w:val="fr-FR"/>
        </w:rPr>
        <w:t xml:space="preserve"> le VPI</w:t>
      </w:r>
      <w:r w:rsidRPr="004056AF">
        <w:rPr>
          <w:lang w:val="fr-FR"/>
        </w:rPr>
        <w:t xml:space="preserve"> organise régulièrement des échanges et des réunions entre examinateurs pour continuer d</w:t>
      </w:r>
      <w:r w:rsidR="004916FD" w:rsidRPr="004056AF">
        <w:rPr>
          <w:lang w:val="fr-FR"/>
        </w:rPr>
        <w:t>’</w:t>
      </w:r>
      <w:r w:rsidRPr="004056AF">
        <w:rPr>
          <w:lang w:val="fr-FR"/>
        </w:rPr>
        <w:t>améliorer la cohérence de leurs pratiques en matière de recherche et d</w:t>
      </w:r>
      <w:r w:rsidR="004916FD" w:rsidRPr="004056AF">
        <w:rPr>
          <w:lang w:val="fr-FR"/>
        </w:rPr>
        <w:t>’</w:t>
      </w:r>
      <w:r w:rsidRPr="004056AF">
        <w:rPr>
          <w:lang w:val="fr-FR"/>
        </w:rPr>
        <w:t>examen.</w:t>
      </w:r>
    </w:p>
    <w:p w:rsidR="00CD0D8F" w:rsidRPr="00A970DC" w:rsidRDefault="00356F56" w:rsidP="00A970DC">
      <w:pPr>
        <w:keepNext/>
        <w:rPr>
          <w:u w:val="single"/>
          <w:lang w:val="fr-FR"/>
        </w:rPr>
      </w:pPr>
      <w:r w:rsidRPr="00A970DC">
        <w:rPr>
          <w:u w:val="single"/>
          <w:lang w:val="fr-FR"/>
        </w:rPr>
        <w:t>Tableau</w:t>
      </w:r>
      <w:r w:rsidR="00433FCC" w:rsidRPr="00A970DC">
        <w:rPr>
          <w:u w:val="single"/>
          <w:lang w:val="fr-FR"/>
        </w:rPr>
        <w:t> </w:t>
      </w:r>
      <w:r w:rsidRPr="00A970DC">
        <w:rPr>
          <w:u w:val="single"/>
          <w:lang w:val="fr-FR"/>
        </w:rPr>
        <w:t>2</w:t>
      </w:r>
      <w:r w:rsidR="004916FD" w:rsidRPr="00A970DC">
        <w:rPr>
          <w:u w:val="single"/>
          <w:lang w:val="fr-FR"/>
        </w:rPr>
        <w:t xml:space="preserve"> – </w:t>
      </w:r>
      <w:r w:rsidRPr="00A970DC">
        <w:rPr>
          <w:u w:val="single"/>
          <w:lang w:val="fr-FR"/>
        </w:rPr>
        <w:t>Nombre d</w:t>
      </w:r>
      <w:r w:rsidR="004916FD" w:rsidRPr="00A970DC">
        <w:rPr>
          <w:u w:val="single"/>
          <w:lang w:val="fr-FR"/>
        </w:rPr>
        <w:t>’</w:t>
      </w:r>
      <w:r w:rsidRPr="00A970DC">
        <w:rPr>
          <w:u w:val="single"/>
          <w:lang w:val="fr-FR"/>
        </w:rPr>
        <w:t>examinateurs au sein</w:t>
      </w:r>
      <w:r w:rsidR="004916FD" w:rsidRPr="00A970DC">
        <w:rPr>
          <w:u w:val="single"/>
          <w:lang w:val="fr-FR"/>
        </w:rPr>
        <w:t xml:space="preserve"> du VPI</w:t>
      </w:r>
      <w:r w:rsidRPr="00A970DC">
        <w:rPr>
          <w:u w:val="single"/>
          <w:lang w:val="fr-FR"/>
        </w:rPr>
        <w:t xml:space="preserve"> par domaine technique</w:t>
      </w:r>
      <w:r w:rsidRPr="006C03CC">
        <w:rPr>
          <w:rStyle w:val="FootnoteReference"/>
          <w:lang w:val="fr-FR"/>
        </w:rPr>
        <w:footnoteReference w:id="3"/>
      </w:r>
    </w:p>
    <w:tbl>
      <w:tblP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984"/>
        <w:gridCol w:w="2410"/>
      </w:tblGrid>
      <w:tr w:rsidR="00A970DC" w:rsidRPr="006D2BEB" w:rsidTr="00CD0D8F">
        <w:trPr>
          <w:cantSplit/>
        </w:trPr>
        <w:tc>
          <w:tcPr>
            <w:tcW w:w="2547" w:type="dxa"/>
            <w:tcBorders>
              <w:top w:val="single" w:sz="4" w:space="0" w:color="auto"/>
              <w:left w:val="single" w:sz="4" w:space="0" w:color="auto"/>
              <w:bottom w:val="single" w:sz="4" w:space="0" w:color="auto"/>
              <w:right w:val="single" w:sz="4" w:space="0" w:color="auto"/>
            </w:tcBorders>
            <w:hideMark/>
          </w:tcPr>
          <w:p w:rsidR="00CD0D8F" w:rsidRPr="00A970DC" w:rsidRDefault="00356F56" w:rsidP="00A970DC">
            <w:pPr>
              <w:keepNext/>
              <w:keepLines/>
              <w:suppressAutoHyphens/>
              <w:rPr>
                <w:rFonts w:eastAsia="Times New Roman"/>
                <w:b/>
                <w:bCs/>
                <w:szCs w:val="22"/>
                <w:lang w:val="fr-FR" w:eastAsia="en-GB" w:bidi="he-IL"/>
              </w:rPr>
            </w:pPr>
            <w:r w:rsidRPr="00A970DC">
              <w:rPr>
                <w:rFonts w:eastAsia="Times New Roman"/>
                <w:b/>
                <w:bCs/>
                <w:szCs w:val="22"/>
                <w:lang w:val="fr-FR" w:eastAsia="en-GB" w:bidi="he-IL"/>
              </w:rPr>
              <w:t>Domaine technique</w:t>
            </w:r>
          </w:p>
        </w:tc>
        <w:tc>
          <w:tcPr>
            <w:tcW w:w="1984" w:type="dxa"/>
            <w:tcBorders>
              <w:top w:val="single" w:sz="4" w:space="0" w:color="auto"/>
              <w:left w:val="single" w:sz="4" w:space="0" w:color="auto"/>
              <w:bottom w:val="single" w:sz="4" w:space="0" w:color="auto"/>
              <w:right w:val="single" w:sz="4" w:space="0" w:color="auto"/>
            </w:tcBorders>
            <w:hideMark/>
          </w:tcPr>
          <w:p w:rsidR="00CD0D8F" w:rsidRPr="00A970DC" w:rsidRDefault="002827A5" w:rsidP="0095097C">
            <w:pPr>
              <w:keepNext/>
              <w:keepLines/>
              <w:suppressAutoHyphens/>
              <w:rPr>
                <w:rFonts w:eastAsia="Times New Roman"/>
                <w:b/>
                <w:bCs/>
                <w:szCs w:val="22"/>
                <w:lang w:val="fr-FR" w:eastAsia="en-GB" w:bidi="he-IL"/>
              </w:rPr>
            </w:pPr>
            <w:r>
              <w:rPr>
                <w:rFonts w:eastAsia="Times New Roman"/>
                <w:b/>
                <w:bCs/>
                <w:szCs w:val="22"/>
                <w:lang w:val="fr-FR" w:eastAsia="en-GB" w:bidi="he-IL"/>
              </w:rPr>
              <w:t>Nombre (</w:t>
            </w:r>
            <w:r w:rsidR="00356F56" w:rsidRPr="00A970DC">
              <w:rPr>
                <w:rFonts w:eastAsia="Times New Roman"/>
                <w:b/>
                <w:bCs/>
                <w:szCs w:val="22"/>
                <w:lang w:val="fr-FR" w:eastAsia="en-GB" w:bidi="he-IL"/>
              </w:rPr>
              <w:t>équivalent plein</w:t>
            </w:r>
            <w:r w:rsidR="006D32C8" w:rsidRPr="00A970DC">
              <w:rPr>
                <w:rFonts w:eastAsia="Times New Roman"/>
                <w:b/>
                <w:bCs/>
                <w:szCs w:val="22"/>
                <w:lang w:val="fr-FR" w:eastAsia="en-GB" w:bidi="he-IL"/>
              </w:rPr>
              <w:t xml:space="preserve"> </w:t>
            </w:r>
            <w:r w:rsidR="00356F56" w:rsidRPr="00A970DC">
              <w:rPr>
                <w:rFonts w:eastAsia="Times New Roman"/>
                <w:b/>
                <w:bCs/>
                <w:szCs w:val="22"/>
                <w:lang w:val="fr-FR" w:eastAsia="en-GB" w:bidi="he-IL"/>
              </w:rPr>
              <w:t>temps)</w:t>
            </w:r>
          </w:p>
        </w:tc>
        <w:tc>
          <w:tcPr>
            <w:tcW w:w="2410" w:type="dxa"/>
            <w:tcBorders>
              <w:top w:val="single" w:sz="4" w:space="0" w:color="auto"/>
              <w:left w:val="single" w:sz="4" w:space="0" w:color="auto"/>
              <w:bottom w:val="single" w:sz="4" w:space="0" w:color="auto"/>
              <w:right w:val="single" w:sz="4" w:space="0" w:color="auto"/>
            </w:tcBorders>
            <w:hideMark/>
          </w:tcPr>
          <w:p w:rsidR="00CD0D8F" w:rsidRPr="00A970DC" w:rsidRDefault="00356F56" w:rsidP="00A970DC">
            <w:pPr>
              <w:keepNext/>
              <w:suppressAutoHyphens/>
              <w:rPr>
                <w:rFonts w:eastAsia="Times New Roman"/>
                <w:b/>
                <w:bCs/>
                <w:szCs w:val="24"/>
                <w:lang w:val="fr-FR" w:eastAsia="en-GB" w:bidi="he-IL"/>
              </w:rPr>
            </w:pPr>
            <w:r w:rsidRPr="00A970DC">
              <w:rPr>
                <w:rFonts w:eastAsia="Times New Roman"/>
                <w:b/>
                <w:bCs/>
                <w:szCs w:val="24"/>
                <w:lang w:val="fr-FR" w:eastAsia="en-GB" w:bidi="he-IL"/>
              </w:rPr>
              <w:t>Expérience moyenne en tant qu</w:t>
            </w:r>
            <w:r w:rsidR="004916FD" w:rsidRPr="00A970DC">
              <w:rPr>
                <w:rFonts w:eastAsia="Times New Roman"/>
                <w:b/>
                <w:bCs/>
                <w:szCs w:val="24"/>
                <w:lang w:val="fr-FR" w:eastAsia="en-GB" w:bidi="he-IL"/>
              </w:rPr>
              <w:t>’</w:t>
            </w:r>
            <w:r w:rsidRPr="00A970DC">
              <w:rPr>
                <w:rFonts w:eastAsia="Times New Roman"/>
                <w:b/>
                <w:bCs/>
                <w:szCs w:val="24"/>
                <w:lang w:val="fr-FR" w:eastAsia="en-GB" w:bidi="he-IL"/>
              </w:rPr>
              <w:t>examinateurs (en</w:t>
            </w:r>
            <w:r w:rsidR="00F96272" w:rsidRPr="00A970DC">
              <w:rPr>
                <w:rFonts w:eastAsia="Times New Roman"/>
                <w:b/>
                <w:bCs/>
                <w:szCs w:val="24"/>
                <w:lang w:val="fr-FR" w:eastAsia="en-GB" w:bidi="he-IL"/>
              </w:rPr>
              <w:t> </w:t>
            </w:r>
            <w:r w:rsidRPr="00A970DC">
              <w:rPr>
                <w:rFonts w:eastAsia="Times New Roman"/>
                <w:b/>
                <w:bCs/>
                <w:szCs w:val="24"/>
                <w:lang w:val="fr-FR" w:eastAsia="en-GB" w:bidi="he-IL"/>
              </w:rPr>
              <w:t>années)</w:t>
            </w:r>
          </w:p>
        </w:tc>
      </w:tr>
      <w:tr w:rsidR="00A970DC" w:rsidRPr="00A970DC" w:rsidTr="00CD0D8F">
        <w:trPr>
          <w:cantSplit/>
        </w:trPr>
        <w:tc>
          <w:tcPr>
            <w:tcW w:w="2547" w:type="dxa"/>
            <w:tcBorders>
              <w:top w:val="nil"/>
              <w:left w:val="single" w:sz="8" w:space="0" w:color="auto"/>
              <w:bottom w:val="single" w:sz="8" w:space="0" w:color="auto"/>
              <w:right w:val="single" w:sz="8" w:space="0" w:color="auto"/>
            </w:tcBorders>
            <w:vAlign w:val="center"/>
            <w:hideMark/>
          </w:tcPr>
          <w:p w:rsidR="00CD0D8F" w:rsidRPr="00A970DC" w:rsidRDefault="00356F56" w:rsidP="00A970DC">
            <w:pPr>
              <w:keepNext/>
              <w:keepLines/>
              <w:suppressAutoHyphens/>
              <w:rPr>
                <w:rFonts w:eastAsia="Times New Roman"/>
                <w:szCs w:val="22"/>
                <w:lang w:val="fr-FR" w:eastAsia="en-GB" w:bidi="he-IL"/>
              </w:rPr>
            </w:pPr>
            <w:r w:rsidRPr="00A970DC">
              <w:rPr>
                <w:rFonts w:eastAsia="Times New Roman"/>
                <w:szCs w:val="22"/>
                <w:lang w:val="fr-FR" w:eastAsia="en-GB" w:bidi="he-IL"/>
              </w:rPr>
              <w:t>Électrotechnique</w:t>
            </w:r>
          </w:p>
        </w:tc>
        <w:tc>
          <w:tcPr>
            <w:tcW w:w="1984" w:type="dxa"/>
            <w:tcBorders>
              <w:top w:val="single" w:sz="4" w:space="0" w:color="auto"/>
              <w:left w:val="single" w:sz="4" w:space="0" w:color="auto"/>
              <w:bottom w:val="single" w:sz="4" w:space="0" w:color="auto"/>
              <w:right w:val="single" w:sz="4" w:space="0" w:color="auto"/>
            </w:tcBorders>
            <w:hideMark/>
          </w:tcPr>
          <w:p w:rsidR="00CD0D8F" w:rsidRPr="00A970DC" w:rsidRDefault="00CD0D8F" w:rsidP="00A970DC">
            <w:pPr>
              <w:keepNext/>
              <w:keepLines/>
              <w:suppressAutoHyphens/>
              <w:jc w:val="right"/>
              <w:rPr>
                <w:rFonts w:eastAsia="Times New Roman"/>
                <w:szCs w:val="22"/>
                <w:lang w:val="fr-FR" w:eastAsia="en-GB" w:bidi="he-IL"/>
              </w:rPr>
            </w:pPr>
            <w:r w:rsidRPr="00A970DC">
              <w:rPr>
                <w:lang w:val="fr-FR" w:eastAsia="en-GB"/>
              </w:rPr>
              <w:t>24</w:t>
            </w:r>
          </w:p>
        </w:tc>
        <w:tc>
          <w:tcPr>
            <w:tcW w:w="2410" w:type="dxa"/>
            <w:tcBorders>
              <w:top w:val="single" w:sz="4" w:space="0" w:color="auto"/>
              <w:left w:val="single" w:sz="4" w:space="0" w:color="auto"/>
              <w:bottom w:val="single" w:sz="4" w:space="0" w:color="auto"/>
              <w:right w:val="single" w:sz="4" w:space="0" w:color="auto"/>
            </w:tcBorders>
            <w:hideMark/>
          </w:tcPr>
          <w:p w:rsidR="00CD0D8F" w:rsidRPr="00A970DC" w:rsidRDefault="00CD0D8F" w:rsidP="00A970DC">
            <w:pPr>
              <w:keepNext/>
              <w:keepLines/>
              <w:suppressAutoHyphens/>
              <w:jc w:val="right"/>
              <w:rPr>
                <w:rFonts w:eastAsia="Times New Roman"/>
                <w:szCs w:val="22"/>
                <w:lang w:val="fr-FR" w:eastAsia="en-GB" w:bidi="he-IL"/>
              </w:rPr>
            </w:pPr>
            <w:r w:rsidRPr="00A970DC">
              <w:rPr>
                <w:lang w:val="fr-FR" w:eastAsia="en-GB"/>
              </w:rPr>
              <w:t>12</w:t>
            </w:r>
          </w:p>
        </w:tc>
      </w:tr>
      <w:tr w:rsidR="00A970DC" w:rsidRPr="00A970DC" w:rsidTr="00CD0D8F">
        <w:trPr>
          <w:cantSplit/>
        </w:trPr>
        <w:tc>
          <w:tcPr>
            <w:tcW w:w="2547" w:type="dxa"/>
            <w:tcBorders>
              <w:top w:val="nil"/>
              <w:left w:val="single" w:sz="8" w:space="0" w:color="auto"/>
              <w:bottom w:val="single" w:sz="8" w:space="0" w:color="auto"/>
              <w:right w:val="single" w:sz="8" w:space="0" w:color="auto"/>
            </w:tcBorders>
            <w:vAlign w:val="center"/>
            <w:hideMark/>
          </w:tcPr>
          <w:p w:rsidR="00CD0D8F" w:rsidRPr="00A970DC" w:rsidRDefault="00356F56" w:rsidP="00A970DC">
            <w:pPr>
              <w:keepNext/>
              <w:keepLines/>
              <w:suppressAutoHyphens/>
              <w:rPr>
                <w:rFonts w:eastAsia="Times New Roman"/>
                <w:szCs w:val="22"/>
                <w:lang w:val="fr-FR" w:eastAsia="en-GB" w:bidi="he-IL"/>
              </w:rPr>
            </w:pPr>
            <w:r w:rsidRPr="00A970DC">
              <w:rPr>
                <w:rFonts w:eastAsia="Times New Roman"/>
                <w:szCs w:val="22"/>
                <w:lang w:val="fr-FR" w:eastAsia="en-GB" w:bidi="he-IL"/>
              </w:rPr>
              <w:t>Instruments</w:t>
            </w:r>
          </w:p>
        </w:tc>
        <w:tc>
          <w:tcPr>
            <w:tcW w:w="1984" w:type="dxa"/>
            <w:tcBorders>
              <w:top w:val="single" w:sz="4" w:space="0" w:color="auto"/>
              <w:left w:val="single" w:sz="4" w:space="0" w:color="auto"/>
              <w:bottom w:val="single" w:sz="4" w:space="0" w:color="auto"/>
              <w:right w:val="single" w:sz="4" w:space="0" w:color="auto"/>
            </w:tcBorders>
            <w:hideMark/>
          </w:tcPr>
          <w:p w:rsidR="00CD0D8F" w:rsidRPr="00A970DC" w:rsidRDefault="00CD0D8F" w:rsidP="00A970DC">
            <w:pPr>
              <w:keepNext/>
              <w:keepLines/>
              <w:suppressAutoHyphens/>
              <w:jc w:val="right"/>
              <w:rPr>
                <w:rFonts w:eastAsia="Times New Roman"/>
                <w:szCs w:val="22"/>
                <w:lang w:val="fr-FR" w:eastAsia="en-GB" w:bidi="he-IL"/>
              </w:rPr>
            </w:pPr>
            <w:r w:rsidRPr="00A970DC">
              <w:rPr>
                <w:lang w:val="fr-FR" w:eastAsia="en-GB"/>
              </w:rPr>
              <w:t>21</w:t>
            </w:r>
          </w:p>
        </w:tc>
        <w:tc>
          <w:tcPr>
            <w:tcW w:w="2410" w:type="dxa"/>
            <w:tcBorders>
              <w:top w:val="single" w:sz="4" w:space="0" w:color="auto"/>
              <w:left w:val="single" w:sz="4" w:space="0" w:color="auto"/>
              <w:bottom w:val="single" w:sz="4" w:space="0" w:color="auto"/>
              <w:right w:val="single" w:sz="4" w:space="0" w:color="auto"/>
            </w:tcBorders>
            <w:hideMark/>
          </w:tcPr>
          <w:p w:rsidR="00CD0D8F" w:rsidRPr="00A970DC" w:rsidRDefault="00CD0D8F" w:rsidP="00A970DC">
            <w:pPr>
              <w:keepNext/>
              <w:keepLines/>
              <w:suppressAutoHyphens/>
              <w:jc w:val="right"/>
              <w:rPr>
                <w:rFonts w:eastAsia="Times New Roman"/>
                <w:szCs w:val="22"/>
                <w:lang w:val="fr-FR" w:eastAsia="en-GB" w:bidi="he-IL"/>
              </w:rPr>
            </w:pPr>
            <w:r w:rsidRPr="00A970DC">
              <w:rPr>
                <w:lang w:val="fr-FR" w:eastAsia="en-GB"/>
              </w:rPr>
              <w:t>12</w:t>
            </w:r>
          </w:p>
        </w:tc>
      </w:tr>
      <w:tr w:rsidR="00A970DC" w:rsidRPr="00A970DC" w:rsidTr="00CD0D8F">
        <w:trPr>
          <w:cantSplit/>
        </w:trPr>
        <w:tc>
          <w:tcPr>
            <w:tcW w:w="2547" w:type="dxa"/>
            <w:tcBorders>
              <w:top w:val="nil"/>
              <w:left w:val="single" w:sz="8" w:space="0" w:color="auto"/>
              <w:bottom w:val="single" w:sz="8" w:space="0" w:color="auto"/>
              <w:right w:val="single" w:sz="8" w:space="0" w:color="auto"/>
            </w:tcBorders>
            <w:vAlign w:val="center"/>
            <w:hideMark/>
          </w:tcPr>
          <w:p w:rsidR="00CD0D8F" w:rsidRPr="00A970DC" w:rsidRDefault="00356F56" w:rsidP="00A970DC">
            <w:pPr>
              <w:keepNext/>
              <w:keepLines/>
              <w:suppressAutoHyphens/>
              <w:rPr>
                <w:rFonts w:eastAsia="Times New Roman"/>
                <w:szCs w:val="22"/>
                <w:lang w:val="fr-FR" w:eastAsia="en-GB" w:bidi="he-IL"/>
              </w:rPr>
            </w:pPr>
            <w:r w:rsidRPr="00A970DC">
              <w:rPr>
                <w:rFonts w:eastAsia="Times New Roman"/>
                <w:szCs w:val="22"/>
                <w:lang w:val="fr-FR" w:eastAsia="en-GB" w:bidi="he-IL"/>
              </w:rPr>
              <w:t>Chimie</w:t>
            </w:r>
          </w:p>
        </w:tc>
        <w:tc>
          <w:tcPr>
            <w:tcW w:w="1984" w:type="dxa"/>
            <w:tcBorders>
              <w:top w:val="single" w:sz="4" w:space="0" w:color="auto"/>
              <w:left w:val="single" w:sz="4" w:space="0" w:color="auto"/>
              <w:bottom w:val="single" w:sz="4" w:space="0" w:color="auto"/>
              <w:right w:val="single" w:sz="4" w:space="0" w:color="auto"/>
            </w:tcBorders>
            <w:hideMark/>
          </w:tcPr>
          <w:p w:rsidR="00CD0D8F" w:rsidRPr="00A970DC" w:rsidRDefault="00CD0D8F" w:rsidP="00A970DC">
            <w:pPr>
              <w:keepNext/>
              <w:keepLines/>
              <w:suppressAutoHyphens/>
              <w:jc w:val="right"/>
              <w:rPr>
                <w:rFonts w:eastAsia="Times New Roman"/>
                <w:szCs w:val="22"/>
                <w:lang w:val="fr-FR" w:eastAsia="en-GB" w:bidi="he-IL"/>
              </w:rPr>
            </w:pPr>
            <w:r w:rsidRPr="00A970DC">
              <w:rPr>
                <w:lang w:val="fr-FR" w:eastAsia="en-GB"/>
              </w:rPr>
              <w:t>76</w:t>
            </w:r>
          </w:p>
        </w:tc>
        <w:tc>
          <w:tcPr>
            <w:tcW w:w="2410" w:type="dxa"/>
            <w:tcBorders>
              <w:top w:val="single" w:sz="4" w:space="0" w:color="auto"/>
              <w:left w:val="single" w:sz="4" w:space="0" w:color="auto"/>
              <w:bottom w:val="single" w:sz="4" w:space="0" w:color="auto"/>
              <w:right w:val="single" w:sz="4" w:space="0" w:color="auto"/>
            </w:tcBorders>
            <w:hideMark/>
          </w:tcPr>
          <w:p w:rsidR="00CD0D8F" w:rsidRPr="00A970DC" w:rsidRDefault="00CD0D8F" w:rsidP="00A970DC">
            <w:pPr>
              <w:keepNext/>
              <w:keepLines/>
              <w:suppressAutoHyphens/>
              <w:jc w:val="right"/>
              <w:rPr>
                <w:rFonts w:eastAsia="Times New Roman"/>
                <w:szCs w:val="22"/>
                <w:lang w:val="fr-FR" w:eastAsia="en-GB" w:bidi="he-IL"/>
              </w:rPr>
            </w:pPr>
            <w:r w:rsidRPr="00A970DC">
              <w:rPr>
                <w:lang w:val="fr-FR" w:eastAsia="en-GB"/>
              </w:rPr>
              <w:t>13</w:t>
            </w:r>
          </w:p>
        </w:tc>
      </w:tr>
      <w:tr w:rsidR="00A970DC" w:rsidRPr="00A970DC" w:rsidTr="00CD0D8F">
        <w:trPr>
          <w:cantSplit/>
        </w:trPr>
        <w:tc>
          <w:tcPr>
            <w:tcW w:w="2547" w:type="dxa"/>
            <w:tcBorders>
              <w:top w:val="nil"/>
              <w:left w:val="single" w:sz="8" w:space="0" w:color="auto"/>
              <w:bottom w:val="single" w:sz="8" w:space="0" w:color="auto"/>
              <w:right w:val="single" w:sz="8" w:space="0" w:color="auto"/>
            </w:tcBorders>
            <w:vAlign w:val="center"/>
            <w:hideMark/>
          </w:tcPr>
          <w:p w:rsidR="00CD0D8F" w:rsidRPr="00A970DC" w:rsidRDefault="00356F56" w:rsidP="00A970DC">
            <w:pPr>
              <w:keepNext/>
              <w:keepLines/>
              <w:suppressAutoHyphens/>
              <w:rPr>
                <w:rFonts w:eastAsia="Times New Roman"/>
                <w:szCs w:val="22"/>
                <w:lang w:val="fr-FR" w:eastAsia="en-GB" w:bidi="he-IL"/>
              </w:rPr>
            </w:pPr>
            <w:r w:rsidRPr="00A970DC">
              <w:rPr>
                <w:rFonts w:eastAsia="Times New Roman"/>
                <w:szCs w:val="22"/>
                <w:lang w:val="fr-FR" w:eastAsia="en-GB" w:bidi="he-IL"/>
              </w:rPr>
              <w:t>Mécanique</w:t>
            </w:r>
          </w:p>
        </w:tc>
        <w:tc>
          <w:tcPr>
            <w:tcW w:w="1984" w:type="dxa"/>
            <w:tcBorders>
              <w:top w:val="single" w:sz="4" w:space="0" w:color="auto"/>
              <w:left w:val="single" w:sz="4" w:space="0" w:color="auto"/>
              <w:bottom w:val="single" w:sz="4" w:space="0" w:color="auto"/>
              <w:right w:val="single" w:sz="4" w:space="0" w:color="auto"/>
            </w:tcBorders>
            <w:hideMark/>
          </w:tcPr>
          <w:p w:rsidR="00CD0D8F" w:rsidRPr="00A970DC" w:rsidRDefault="00CD0D8F" w:rsidP="00A970DC">
            <w:pPr>
              <w:keepNext/>
              <w:keepLines/>
              <w:suppressAutoHyphens/>
              <w:jc w:val="right"/>
              <w:rPr>
                <w:rFonts w:eastAsia="Times New Roman"/>
                <w:szCs w:val="22"/>
                <w:lang w:val="fr-FR" w:eastAsia="en-GB" w:bidi="he-IL"/>
              </w:rPr>
            </w:pPr>
            <w:r w:rsidRPr="00A970DC">
              <w:rPr>
                <w:lang w:val="fr-FR" w:eastAsia="en-GB"/>
              </w:rPr>
              <w:t>47</w:t>
            </w:r>
          </w:p>
        </w:tc>
        <w:tc>
          <w:tcPr>
            <w:tcW w:w="2410" w:type="dxa"/>
            <w:tcBorders>
              <w:top w:val="single" w:sz="4" w:space="0" w:color="auto"/>
              <w:left w:val="single" w:sz="4" w:space="0" w:color="auto"/>
              <w:bottom w:val="single" w:sz="4" w:space="0" w:color="auto"/>
              <w:right w:val="single" w:sz="4" w:space="0" w:color="auto"/>
            </w:tcBorders>
            <w:hideMark/>
          </w:tcPr>
          <w:p w:rsidR="00CD0D8F" w:rsidRPr="00A970DC" w:rsidRDefault="00CD0D8F" w:rsidP="00A970DC">
            <w:pPr>
              <w:keepNext/>
              <w:keepLines/>
              <w:suppressAutoHyphens/>
              <w:jc w:val="right"/>
              <w:rPr>
                <w:rFonts w:eastAsia="Times New Roman"/>
                <w:szCs w:val="22"/>
                <w:lang w:val="fr-FR" w:eastAsia="en-GB" w:bidi="he-IL"/>
              </w:rPr>
            </w:pPr>
            <w:r w:rsidRPr="00A970DC">
              <w:rPr>
                <w:lang w:val="fr-FR" w:eastAsia="en-GB"/>
              </w:rPr>
              <w:t>12</w:t>
            </w:r>
          </w:p>
        </w:tc>
      </w:tr>
      <w:tr w:rsidR="00A970DC" w:rsidRPr="00A970DC" w:rsidTr="00CD0D8F">
        <w:trPr>
          <w:cantSplit/>
        </w:trPr>
        <w:tc>
          <w:tcPr>
            <w:tcW w:w="2547" w:type="dxa"/>
            <w:tcBorders>
              <w:top w:val="nil"/>
              <w:left w:val="single" w:sz="8" w:space="0" w:color="auto"/>
              <w:bottom w:val="single" w:sz="8" w:space="0" w:color="auto"/>
              <w:right w:val="single" w:sz="8" w:space="0" w:color="auto"/>
            </w:tcBorders>
            <w:vAlign w:val="center"/>
            <w:hideMark/>
          </w:tcPr>
          <w:p w:rsidR="00CD0D8F" w:rsidRPr="00A970DC" w:rsidRDefault="00356F56" w:rsidP="00A970DC">
            <w:pPr>
              <w:suppressAutoHyphens/>
              <w:rPr>
                <w:iCs/>
                <w:szCs w:val="22"/>
                <w:lang w:val="fr-FR" w:eastAsia="en-GB" w:bidi="he-IL"/>
              </w:rPr>
            </w:pPr>
            <w:r w:rsidRPr="00A970DC">
              <w:rPr>
                <w:iCs/>
                <w:szCs w:val="22"/>
                <w:lang w:val="fr-FR" w:eastAsia="en-GB" w:bidi="he-IL"/>
              </w:rPr>
              <w:t>Autres domaines</w:t>
            </w:r>
          </w:p>
        </w:tc>
        <w:tc>
          <w:tcPr>
            <w:tcW w:w="1984" w:type="dxa"/>
            <w:tcBorders>
              <w:top w:val="single" w:sz="4" w:space="0" w:color="auto"/>
              <w:left w:val="single" w:sz="4" w:space="0" w:color="auto"/>
              <w:bottom w:val="single" w:sz="4" w:space="0" w:color="auto"/>
              <w:right w:val="single" w:sz="4" w:space="0" w:color="auto"/>
            </w:tcBorders>
            <w:hideMark/>
          </w:tcPr>
          <w:p w:rsidR="00CD0D8F" w:rsidRPr="00A970DC" w:rsidRDefault="00CD0D8F" w:rsidP="00A970DC">
            <w:pPr>
              <w:suppressAutoHyphens/>
              <w:jc w:val="right"/>
              <w:rPr>
                <w:szCs w:val="22"/>
                <w:lang w:val="fr-FR" w:eastAsia="en-GB"/>
              </w:rPr>
            </w:pPr>
            <w:r w:rsidRPr="00A970DC">
              <w:rPr>
                <w:lang w:val="fr-FR" w:eastAsia="en-GB"/>
              </w:rPr>
              <w:t>21</w:t>
            </w:r>
          </w:p>
        </w:tc>
        <w:tc>
          <w:tcPr>
            <w:tcW w:w="2410" w:type="dxa"/>
            <w:tcBorders>
              <w:top w:val="single" w:sz="4" w:space="0" w:color="auto"/>
              <w:left w:val="single" w:sz="4" w:space="0" w:color="auto"/>
              <w:bottom w:val="single" w:sz="4" w:space="0" w:color="auto"/>
              <w:right w:val="single" w:sz="4" w:space="0" w:color="auto"/>
            </w:tcBorders>
            <w:hideMark/>
          </w:tcPr>
          <w:p w:rsidR="00CD0D8F" w:rsidRPr="00A970DC" w:rsidRDefault="00CD0D8F" w:rsidP="00A970DC">
            <w:pPr>
              <w:suppressAutoHyphens/>
              <w:jc w:val="right"/>
              <w:rPr>
                <w:szCs w:val="22"/>
                <w:lang w:val="fr-FR" w:eastAsia="en-GB"/>
              </w:rPr>
            </w:pPr>
            <w:r w:rsidRPr="00A970DC">
              <w:rPr>
                <w:lang w:val="fr-FR" w:eastAsia="en-GB"/>
              </w:rPr>
              <w:t>12</w:t>
            </w:r>
          </w:p>
        </w:tc>
      </w:tr>
      <w:tr w:rsidR="00CD0D8F" w:rsidRPr="00A970DC" w:rsidTr="00CD0D8F">
        <w:trPr>
          <w:cantSplit/>
        </w:trPr>
        <w:tc>
          <w:tcPr>
            <w:tcW w:w="2547" w:type="dxa"/>
            <w:tcBorders>
              <w:top w:val="single" w:sz="4" w:space="0" w:color="auto"/>
              <w:left w:val="single" w:sz="4" w:space="0" w:color="auto"/>
              <w:bottom w:val="single" w:sz="4" w:space="0" w:color="auto"/>
              <w:right w:val="single" w:sz="4" w:space="0" w:color="auto"/>
            </w:tcBorders>
            <w:hideMark/>
          </w:tcPr>
          <w:p w:rsidR="00CD0D8F" w:rsidRPr="00A970DC" w:rsidRDefault="00356F56" w:rsidP="00A970DC">
            <w:pPr>
              <w:suppressAutoHyphens/>
              <w:rPr>
                <w:rFonts w:eastAsia="Times New Roman"/>
                <w:i/>
                <w:iCs/>
                <w:szCs w:val="22"/>
                <w:lang w:val="fr-FR" w:eastAsia="en-GB" w:bidi="he-IL"/>
              </w:rPr>
            </w:pPr>
            <w:r w:rsidRPr="00A970DC">
              <w:rPr>
                <w:rFonts w:eastAsia="Times New Roman"/>
                <w:i/>
                <w:iCs/>
                <w:szCs w:val="22"/>
                <w:lang w:val="fr-FR" w:eastAsia="en-GB" w:bidi="he-IL"/>
              </w:rPr>
              <w:t>Total</w:t>
            </w:r>
          </w:p>
        </w:tc>
        <w:tc>
          <w:tcPr>
            <w:tcW w:w="1984" w:type="dxa"/>
            <w:tcBorders>
              <w:top w:val="single" w:sz="4" w:space="0" w:color="auto"/>
              <w:left w:val="single" w:sz="4" w:space="0" w:color="auto"/>
              <w:bottom w:val="single" w:sz="4" w:space="0" w:color="auto"/>
              <w:right w:val="single" w:sz="4" w:space="0" w:color="auto"/>
            </w:tcBorders>
            <w:hideMark/>
          </w:tcPr>
          <w:p w:rsidR="00CD0D8F" w:rsidRPr="00A970DC" w:rsidRDefault="00CD0D8F" w:rsidP="00A970DC">
            <w:pPr>
              <w:suppressAutoHyphens/>
              <w:jc w:val="right"/>
              <w:rPr>
                <w:rFonts w:eastAsia="Times New Roman"/>
                <w:i/>
                <w:iCs/>
                <w:szCs w:val="22"/>
                <w:lang w:val="fr-FR" w:eastAsia="en-GB" w:bidi="he-IL"/>
              </w:rPr>
            </w:pPr>
            <w:r w:rsidRPr="00A970DC">
              <w:rPr>
                <w:i/>
                <w:lang w:val="fr-FR" w:eastAsia="en-GB"/>
              </w:rPr>
              <w:t>189</w:t>
            </w:r>
          </w:p>
        </w:tc>
        <w:tc>
          <w:tcPr>
            <w:tcW w:w="2410" w:type="dxa"/>
            <w:tcBorders>
              <w:top w:val="single" w:sz="4" w:space="0" w:color="auto"/>
              <w:left w:val="single" w:sz="4" w:space="0" w:color="auto"/>
              <w:bottom w:val="single" w:sz="4" w:space="0" w:color="auto"/>
              <w:right w:val="single" w:sz="4" w:space="0" w:color="auto"/>
            </w:tcBorders>
            <w:hideMark/>
          </w:tcPr>
          <w:p w:rsidR="00CD0D8F" w:rsidRPr="00A970DC" w:rsidRDefault="00CD0D8F" w:rsidP="00A970DC">
            <w:pPr>
              <w:suppressAutoHyphens/>
              <w:jc w:val="right"/>
              <w:rPr>
                <w:rFonts w:eastAsia="Times New Roman"/>
                <w:i/>
                <w:iCs/>
                <w:szCs w:val="22"/>
                <w:lang w:val="fr-FR" w:eastAsia="en-GB" w:bidi="he-IL"/>
              </w:rPr>
            </w:pPr>
            <w:r w:rsidRPr="00A970DC">
              <w:rPr>
                <w:i/>
                <w:lang w:val="fr-FR" w:eastAsia="en-GB"/>
              </w:rPr>
              <w:t>12</w:t>
            </w:r>
          </w:p>
        </w:tc>
      </w:tr>
    </w:tbl>
    <w:p w:rsidR="00CD34C1" w:rsidRPr="00A970DC" w:rsidRDefault="00CD34C1" w:rsidP="00A970DC">
      <w:pPr>
        <w:rPr>
          <w:szCs w:val="22"/>
          <w:lang w:val="fr-FR"/>
        </w:rPr>
      </w:pPr>
    </w:p>
    <w:p w:rsidR="00CD34C1" w:rsidRPr="00A970DC" w:rsidRDefault="0002578E" w:rsidP="00A970DC">
      <w:pPr>
        <w:pStyle w:val="ONUMFS"/>
        <w:rPr>
          <w:lang w:val="fr-FR"/>
        </w:rPr>
      </w:pPr>
      <w:r w:rsidRPr="00A970DC">
        <w:rPr>
          <w:lang w:val="fr-FR"/>
        </w:rPr>
        <w:t>Outre la maîtrise de leur langue maternelle (le tchèque, le hongrois, le polonais ou le slovaque), les examinateurs</w:t>
      </w:r>
      <w:r w:rsidR="004916FD" w:rsidRPr="00A970DC">
        <w:rPr>
          <w:lang w:val="fr-FR"/>
        </w:rPr>
        <w:t xml:space="preserve"> du VPI</w:t>
      </w:r>
      <w:r w:rsidRPr="00A970DC">
        <w:rPr>
          <w:lang w:val="fr-FR"/>
        </w:rPr>
        <w:t xml:space="preserve"> ont une excellente connaissance de l</w:t>
      </w:r>
      <w:r w:rsidR="004916FD" w:rsidRPr="00A970DC">
        <w:rPr>
          <w:lang w:val="fr-FR"/>
        </w:rPr>
        <w:t>’</w:t>
      </w:r>
      <w:r w:rsidRPr="00A970DC">
        <w:rPr>
          <w:lang w:val="fr-FR"/>
        </w:rPr>
        <w:t>anglais, et la plupart d</w:t>
      </w:r>
      <w:r w:rsidR="004916FD" w:rsidRPr="00A970DC">
        <w:rPr>
          <w:lang w:val="fr-FR"/>
        </w:rPr>
        <w:t>’</w:t>
      </w:r>
      <w:r w:rsidRPr="00A970DC">
        <w:rPr>
          <w:lang w:val="fr-FR"/>
        </w:rPr>
        <w:t>entre eux sont aussi à l</w:t>
      </w:r>
      <w:r w:rsidR="004916FD" w:rsidRPr="00A970DC">
        <w:rPr>
          <w:lang w:val="fr-FR"/>
        </w:rPr>
        <w:t>’</w:t>
      </w:r>
      <w:r w:rsidR="006D32C8" w:rsidRPr="00A970DC">
        <w:rPr>
          <w:lang w:val="fr-FR"/>
        </w:rPr>
        <w:t xml:space="preserve">aise en allemand </w:t>
      </w:r>
      <w:r w:rsidRPr="00A970DC">
        <w:rPr>
          <w:lang w:val="fr-FR"/>
        </w:rPr>
        <w:t>ou en frança</w:t>
      </w:r>
      <w:r w:rsidR="00B65BAD" w:rsidRPr="00A970DC">
        <w:rPr>
          <w:lang w:val="fr-FR"/>
        </w:rPr>
        <w:t>is.  Il</w:t>
      </w:r>
      <w:r w:rsidRPr="00A970DC">
        <w:rPr>
          <w:lang w:val="fr-FR"/>
        </w:rPr>
        <w:t>s comprennent et utilisent aussi d</w:t>
      </w:r>
      <w:r w:rsidR="004916FD" w:rsidRPr="00A970DC">
        <w:rPr>
          <w:lang w:val="fr-FR"/>
        </w:rPr>
        <w:t>’</w:t>
      </w:r>
      <w:r w:rsidRPr="00A970DC">
        <w:rPr>
          <w:lang w:val="fr-FR"/>
        </w:rPr>
        <w:t>autres langues, notamment le croate, l</w:t>
      </w:r>
      <w:r w:rsidR="004916FD" w:rsidRPr="00A970DC">
        <w:rPr>
          <w:lang w:val="fr-FR"/>
        </w:rPr>
        <w:t>’</w:t>
      </w:r>
      <w:r w:rsidRPr="00A970DC">
        <w:rPr>
          <w:lang w:val="fr-FR"/>
        </w:rPr>
        <w:t>italien, le japonais, le russe, l</w:t>
      </w:r>
      <w:r w:rsidR="004916FD" w:rsidRPr="00A970DC">
        <w:rPr>
          <w:lang w:val="fr-FR"/>
        </w:rPr>
        <w:t>’</w:t>
      </w:r>
      <w:r w:rsidRPr="00A970DC">
        <w:rPr>
          <w:lang w:val="fr-FR"/>
        </w:rPr>
        <w:t>espagnol et le suédois.</w:t>
      </w:r>
    </w:p>
    <w:p w:rsidR="004916FD" w:rsidRPr="00A970DC" w:rsidRDefault="0002578E" w:rsidP="00A970DC">
      <w:pPr>
        <w:pStyle w:val="ONUMFS"/>
        <w:rPr>
          <w:lang w:val="fr-FR"/>
        </w:rPr>
      </w:pPr>
      <w:r w:rsidRPr="00A970DC">
        <w:rPr>
          <w:lang w:val="fr-FR"/>
        </w:rPr>
        <w:t>Les examinateurs</w:t>
      </w:r>
      <w:r w:rsidR="004916FD" w:rsidRPr="00A970DC">
        <w:rPr>
          <w:lang w:val="fr-FR"/>
        </w:rPr>
        <w:t xml:space="preserve"> du VPI</w:t>
      </w:r>
      <w:r w:rsidRPr="00A970DC">
        <w:rPr>
          <w:lang w:val="fr-FR"/>
        </w:rPr>
        <w:t xml:space="preserve"> disposent aussi des ressources nécessaires pour fournir un travail de qualité, et en particulier de directives, de systèmes informatiques et d</w:t>
      </w:r>
      <w:r w:rsidR="004916FD" w:rsidRPr="00A970DC">
        <w:rPr>
          <w:lang w:val="fr-FR"/>
        </w:rPr>
        <w:t>’</w:t>
      </w:r>
      <w:r w:rsidRPr="00A970DC">
        <w:rPr>
          <w:lang w:val="fr-FR"/>
        </w:rPr>
        <w:t>outils de recherche et d</w:t>
      </w:r>
      <w:r w:rsidR="004916FD" w:rsidRPr="00A970DC">
        <w:rPr>
          <w:lang w:val="fr-FR"/>
        </w:rPr>
        <w:t>’</w:t>
      </w:r>
      <w:r w:rsidRPr="00A970DC">
        <w:rPr>
          <w:lang w:val="fr-FR"/>
        </w:rPr>
        <w:t>examen.</w:t>
      </w:r>
    </w:p>
    <w:p w:rsidR="00CD34C1" w:rsidRPr="00A970DC" w:rsidRDefault="0002578E" w:rsidP="00A970DC">
      <w:pPr>
        <w:pStyle w:val="ONUMFS"/>
        <w:rPr>
          <w:lang w:val="fr-FR"/>
        </w:rPr>
      </w:pPr>
      <w:r w:rsidRPr="00A970DC">
        <w:rPr>
          <w:lang w:val="fr-FR"/>
        </w:rPr>
        <w:t>Si nécessaire,</w:t>
      </w:r>
      <w:r w:rsidR="004916FD" w:rsidRPr="00A970DC">
        <w:rPr>
          <w:lang w:val="fr-FR"/>
        </w:rPr>
        <w:t xml:space="preserve"> le VPI</w:t>
      </w:r>
      <w:r w:rsidRPr="00A970DC">
        <w:rPr>
          <w:lang w:val="fr-FR"/>
        </w:rPr>
        <w:t xml:space="preserve"> et ses États contractants sont disposés à fournir des informations supplémentaires et plus détaillées sur le nombre d</w:t>
      </w:r>
      <w:r w:rsidR="004916FD" w:rsidRPr="00A970DC">
        <w:rPr>
          <w:lang w:val="fr-FR"/>
        </w:rPr>
        <w:t>’</w:t>
      </w:r>
      <w:r w:rsidRPr="00A970DC">
        <w:rPr>
          <w:lang w:val="fr-FR"/>
        </w:rPr>
        <w:t>examinateurs qui sont à la disposition</w:t>
      </w:r>
      <w:r w:rsidR="004916FD" w:rsidRPr="00A970DC">
        <w:rPr>
          <w:lang w:val="fr-FR"/>
        </w:rPr>
        <w:t xml:space="preserve"> du VPI</w:t>
      </w:r>
      <w:r w:rsidRPr="00A970DC">
        <w:rPr>
          <w:lang w:val="fr-FR"/>
        </w:rPr>
        <w:t xml:space="preserve"> en tant qu</w:t>
      </w:r>
      <w:r w:rsidR="004916FD" w:rsidRPr="00A970DC">
        <w:rPr>
          <w:lang w:val="fr-FR"/>
        </w:rPr>
        <w:t>’</w:t>
      </w:r>
      <w:r w:rsidRPr="00A970DC">
        <w:rPr>
          <w:lang w:val="fr-FR"/>
        </w:rPr>
        <w:t xml:space="preserve">administration chargée de la recherche internationale et </w:t>
      </w:r>
      <w:r w:rsidR="006D32C8" w:rsidRPr="00A970DC">
        <w:rPr>
          <w:lang w:val="fr-FR"/>
        </w:rPr>
        <w:t>d</w:t>
      </w:r>
      <w:r w:rsidR="004916FD" w:rsidRPr="00A970DC">
        <w:rPr>
          <w:lang w:val="fr-FR"/>
        </w:rPr>
        <w:t>’</w:t>
      </w:r>
      <w:r w:rsidR="006D32C8" w:rsidRPr="00A970DC">
        <w:rPr>
          <w:lang w:val="fr-FR"/>
        </w:rPr>
        <w:t xml:space="preserve">administration chargée </w:t>
      </w:r>
      <w:r w:rsidRPr="00A970DC">
        <w:rPr>
          <w:lang w:val="fr-FR"/>
        </w:rPr>
        <w:t>de l</w:t>
      </w:r>
      <w:r w:rsidR="004916FD" w:rsidRPr="00A970DC">
        <w:rPr>
          <w:lang w:val="fr-FR"/>
        </w:rPr>
        <w:t>’</w:t>
      </w:r>
      <w:r w:rsidRPr="00A970DC">
        <w:rPr>
          <w:lang w:val="fr-FR"/>
        </w:rPr>
        <w:t>examen préliminaire international, et sur leurs qualifications, expériences, compétences linguistiques et formations ainsi que sur les systèmes informatiques et autres outils d</w:t>
      </w:r>
      <w:r w:rsidR="004916FD" w:rsidRPr="00A970DC">
        <w:rPr>
          <w:lang w:val="fr-FR"/>
        </w:rPr>
        <w:t>’</w:t>
      </w:r>
      <w:r w:rsidRPr="00A970DC">
        <w:rPr>
          <w:lang w:val="fr-FR"/>
        </w:rPr>
        <w:t>aide à la recherche et à l</w:t>
      </w:r>
      <w:r w:rsidR="004916FD" w:rsidRPr="00A970DC">
        <w:rPr>
          <w:lang w:val="fr-FR"/>
        </w:rPr>
        <w:t>’</w:t>
      </w:r>
      <w:r w:rsidRPr="00A970DC">
        <w:rPr>
          <w:lang w:val="fr-FR"/>
        </w:rPr>
        <w:t>examen.</w:t>
      </w:r>
    </w:p>
    <w:p w:rsidR="00CD34C1" w:rsidRPr="00A970DC" w:rsidRDefault="0002578E" w:rsidP="00A970DC">
      <w:pPr>
        <w:pStyle w:val="Heading4"/>
        <w:rPr>
          <w:lang w:val="fr-FR"/>
        </w:rPr>
      </w:pPr>
      <w:r w:rsidRPr="00A970DC">
        <w:rPr>
          <w:lang w:val="fr-FR"/>
        </w:rPr>
        <w:t>2.3.</w:t>
      </w:r>
      <w:r w:rsidRPr="00A970DC">
        <w:rPr>
          <w:lang w:val="fr-FR"/>
        </w:rPr>
        <w:tab/>
        <w:t>Systèmes de recherche et documentation minimale</w:t>
      </w:r>
      <w:r w:rsidR="004916FD" w:rsidRPr="00A970DC">
        <w:rPr>
          <w:lang w:val="fr-FR"/>
        </w:rPr>
        <w:t xml:space="preserve"> du PCT</w:t>
      </w:r>
    </w:p>
    <w:p w:rsidR="00CD34C1" w:rsidRPr="00A970DC" w:rsidRDefault="0002578E" w:rsidP="00A970DC">
      <w:pPr>
        <w:pStyle w:val="ONUMFS"/>
        <w:rPr>
          <w:lang w:val="fr-FR"/>
        </w:rPr>
      </w:pPr>
      <w:r w:rsidRPr="00A970DC">
        <w:rPr>
          <w:lang w:val="fr-FR"/>
        </w:rPr>
        <w:t xml:space="preserve">Les examinateurs </w:t>
      </w:r>
      <w:r w:rsidR="006D32C8" w:rsidRPr="00A970DC">
        <w:rPr>
          <w:lang w:val="fr-FR"/>
        </w:rPr>
        <w:t>des</w:t>
      </w:r>
      <w:r w:rsidRPr="00A970DC">
        <w:rPr>
          <w:lang w:val="fr-FR"/>
        </w:rPr>
        <w:t xml:space="preserve"> offices participants ont accès à une large gamme d</w:t>
      </w:r>
      <w:r w:rsidR="004916FD" w:rsidRPr="00A970DC">
        <w:rPr>
          <w:lang w:val="fr-FR"/>
        </w:rPr>
        <w:t>’</w:t>
      </w:r>
      <w:r w:rsidRPr="00A970DC">
        <w:rPr>
          <w:lang w:val="fr-FR"/>
        </w:rPr>
        <w:t>informations sur les brevets et à la littérature scientifique, ainsi qu</w:t>
      </w:r>
      <w:r w:rsidR="004916FD" w:rsidRPr="00A970DC">
        <w:rPr>
          <w:lang w:val="fr-FR"/>
        </w:rPr>
        <w:t>’</w:t>
      </w:r>
      <w:r w:rsidRPr="00A970DC">
        <w:rPr>
          <w:lang w:val="fr-FR"/>
        </w:rPr>
        <w:t>à des outils de recherche et différents lie</w:t>
      </w:r>
      <w:r w:rsidR="00B65BAD" w:rsidRPr="00A970DC">
        <w:rPr>
          <w:lang w:val="fr-FR"/>
        </w:rPr>
        <w:t>ns.  Ét</w:t>
      </w:r>
      <w:r w:rsidRPr="00A970DC">
        <w:rPr>
          <w:lang w:val="fr-FR"/>
        </w:rPr>
        <w:t>ant donné</w:t>
      </w:r>
      <w:r w:rsidR="006D32C8" w:rsidRPr="00A970DC">
        <w:rPr>
          <w:lang w:val="fr-FR"/>
        </w:rPr>
        <w:t xml:space="preserve"> que les </w:t>
      </w:r>
      <w:r w:rsidRPr="00A970DC">
        <w:rPr>
          <w:lang w:val="fr-FR"/>
        </w:rPr>
        <w:t xml:space="preserve">pays </w:t>
      </w:r>
      <w:r w:rsidR="006D32C8" w:rsidRPr="00A970DC">
        <w:rPr>
          <w:lang w:val="fr-FR"/>
        </w:rPr>
        <w:t>du V4</w:t>
      </w:r>
      <w:r w:rsidRPr="00A970DC">
        <w:rPr>
          <w:lang w:val="fr-FR"/>
        </w:rPr>
        <w:t xml:space="preserve"> sont des États contractants de</w:t>
      </w:r>
      <w:r w:rsidR="004916FD" w:rsidRPr="00A970DC">
        <w:rPr>
          <w:lang w:val="fr-FR"/>
        </w:rPr>
        <w:t xml:space="preserve"> la CBE</w:t>
      </w:r>
      <w:r w:rsidRPr="00A970DC">
        <w:rPr>
          <w:lang w:val="fr-FR"/>
        </w:rPr>
        <w:t>, les offices participants</w:t>
      </w:r>
      <w:r w:rsidR="004916FD" w:rsidRPr="00A970DC">
        <w:rPr>
          <w:lang w:val="fr-FR"/>
        </w:rPr>
        <w:t xml:space="preserve"> du VPI</w:t>
      </w:r>
      <w:r w:rsidRPr="00A970DC">
        <w:rPr>
          <w:lang w:val="fr-FR"/>
        </w:rPr>
        <w:t xml:space="preserve"> ont accès à </w:t>
      </w:r>
      <w:r w:rsidR="003F2A1F" w:rsidRPr="00A970DC">
        <w:rPr>
          <w:lang w:val="fr-FR"/>
        </w:rPr>
        <w:t>Poquent</w:t>
      </w:r>
      <w:r w:rsidRPr="00A970DC">
        <w:rPr>
          <w:lang w:val="fr-FR"/>
        </w:rPr>
        <w:t xml:space="preserve"> ainsi qu</w:t>
      </w:r>
      <w:r w:rsidR="004916FD" w:rsidRPr="00A970DC">
        <w:rPr>
          <w:lang w:val="fr-FR"/>
        </w:rPr>
        <w:t>’</w:t>
      </w:r>
      <w:r w:rsidRPr="00A970DC">
        <w:rPr>
          <w:lang w:val="fr-FR"/>
        </w:rPr>
        <w:t xml:space="preserve">à plusieurs </w:t>
      </w:r>
      <w:r w:rsidR="00433FCC" w:rsidRPr="00A970DC">
        <w:rPr>
          <w:lang w:val="fr-FR"/>
        </w:rPr>
        <w:t>plateformes</w:t>
      </w:r>
      <w:r w:rsidRPr="00A970DC">
        <w:rPr>
          <w:lang w:val="fr-FR"/>
        </w:rPr>
        <w:t xml:space="preserve"> de recherche commerciales</w:t>
      </w:r>
      <w:r w:rsidR="004916FD" w:rsidRPr="00A970DC">
        <w:rPr>
          <w:lang w:val="fr-FR"/>
        </w:rPr>
        <w:t> :</w:t>
      </w:r>
    </w:p>
    <w:p w:rsidR="00CD34C1" w:rsidRPr="00A970DC" w:rsidRDefault="0002578E" w:rsidP="00A970DC">
      <w:pPr>
        <w:pStyle w:val="ONUMFS"/>
        <w:numPr>
          <w:ilvl w:val="1"/>
          <w:numId w:val="6"/>
        </w:numPr>
        <w:rPr>
          <w:lang w:val="fr-FR"/>
        </w:rPr>
      </w:pPr>
      <w:r w:rsidRPr="00A970DC">
        <w:rPr>
          <w:lang w:val="fr-FR"/>
        </w:rPr>
        <w:t>L</w:t>
      </w:r>
      <w:r w:rsidR="004916FD" w:rsidRPr="00A970DC">
        <w:rPr>
          <w:lang w:val="fr-FR"/>
        </w:rPr>
        <w:t>’</w:t>
      </w:r>
      <w:r w:rsidRPr="00A970DC">
        <w:rPr>
          <w:lang w:val="fr-FR"/>
        </w:rPr>
        <w:t>outil de recherche EPOQUE</w:t>
      </w:r>
      <w:r w:rsidR="003F2A1F" w:rsidRPr="00A970DC">
        <w:rPr>
          <w:lang w:val="fr-FR"/>
        </w:rPr>
        <w:t> </w:t>
      </w:r>
      <w:r w:rsidRPr="00A970DC">
        <w:rPr>
          <w:lang w:val="fr-FR"/>
        </w:rPr>
        <w:t>Net donne accès à toutes les bases de données de brevets répondant aux critères de documentation minimale</w:t>
      </w:r>
      <w:r w:rsidR="004916FD" w:rsidRPr="00A970DC">
        <w:rPr>
          <w:lang w:val="fr-FR"/>
        </w:rPr>
        <w:t xml:space="preserve"> du PCT</w:t>
      </w:r>
      <w:r w:rsidRPr="00A970DC">
        <w:rPr>
          <w:lang w:val="fr-FR"/>
        </w:rPr>
        <w:t>, ainsi qu</w:t>
      </w:r>
      <w:r w:rsidR="004916FD" w:rsidRPr="00A970DC">
        <w:rPr>
          <w:lang w:val="fr-FR"/>
        </w:rPr>
        <w:t>’</w:t>
      </w:r>
      <w:r w:rsidRPr="00A970DC">
        <w:rPr>
          <w:lang w:val="fr-FR"/>
        </w:rPr>
        <w:t>à la plupart des bases de données de littérature non</w:t>
      </w:r>
      <w:r w:rsidR="004916FD" w:rsidRPr="00A970DC">
        <w:rPr>
          <w:lang w:val="fr-FR"/>
        </w:rPr>
        <w:t>-</w:t>
      </w:r>
      <w:r w:rsidRPr="00A970DC">
        <w:rPr>
          <w:lang w:val="fr-FR"/>
        </w:rPr>
        <w:t>brevet et aux bases de données d</w:t>
      </w:r>
      <w:r w:rsidR="004916FD" w:rsidRPr="00A970DC">
        <w:rPr>
          <w:lang w:val="fr-FR"/>
        </w:rPr>
        <w:t>’</w:t>
      </w:r>
      <w:r w:rsidRPr="00A970DC">
        <w:rPr>
          <w:lang w:val="fr-FR"/>
        </w:rPr>
        <w:t>autres sources commerciales (par exemple WPI).</w:t>
      </w:r>
    </w:p>
    <w:p w:rsidR="004056AF" w:rsidRDefault="004F0D17" w:rsidP="002C2579">
      <w:pPr>
        <w:pStyle w:val="ONUMFS"/>
        <w:numPr>
          <w:ilvl w:val="0"/>
          <w:numId w:val="0"/>
        </w:numPr>
        <w:ind w:left="567"/>
        <w:rPr>
          <w:lang w:val="fr-FR"/>
        </w:rPr>
      </w:pPr>
      <w:r w:rsidRPr="004056AF">
        <w:rPr>
          <w:lang w:val="fr-FR"/>
        </w:rPr>
        <w:t xml:space="preserve">Les services </w:t>
      </w:r>
      <w:r w:rsidR="007B3897" w:rsidRPr="004056AF">
        <w:rPr>
          <w:lang w:val="fr-FR"/>
        </w:rPr>
        <w:t xml:space="preserve">de </w:t>
      </w:r>
      <w:r w:rsidR="006D32C8" w:rsidRPr="004056AF">
        <w:rPr>
          <w:lang w:val="fr-FR"/>
        </w:rPr>
        <w:t xml:space="preserve">STN </w:t>
      </w:r>
      <w:r w:rsidRPr="004056AF">
        <w:rPr>
          <w:lang w:val="fr-FR"/>
        </w:rPr>
        <w:t>permettent d</w:t>
      </w:r>
      <w:r w:rsidR="004916FD" w:rsidRPr="004056AF">
        <w:rPr>
          <w:lang w:val="fr-FR"/>
        </w:rPr>
        <w:t>’</w:t>
      </w:r>
      <w:r w:rsidRPr="004056AF">
        <w:rPr>
          <w:lang w:val="fr-FR"/>
        </w:rPr>
        <w:t>effectuer des recherches dans les bases de données du réseau STN International et de les étendre à d</w:t>
      </w:r>
      <w:r w:rsidR="004916FD" w:rsidRPr="004056AF">
        <w:rPr>
          <w:lang w:val="fr-FR"/>
        </w:rPr>
        <w:t>’</w:t>
      </w:r>
      <w:r w:rsidRPr="004056AF">
        <w:rPr>
          <w:lang w:val="fr-FR"/>
        </w:rPr>
        <w:t>autres bases de données de brevets, de littérature non</w:t>
      </w:r>
      <w:r w:rsidR="004916FD" w:rsidRPr="004056AF">
        <w:rPr>
          <w:lang w:val="fr-FR"/>
        </w:rPr>
        <w:t>-</w:t>
      </w:r>
      <w:r w:rsidRPr="004056AF">
        <w:rPr>
          <w:lang w:val="fr-FR"/>
        </w:rPr>
        <w:t>brevet et de documentation commerciale de Thomson Reuters par le biais du système Thomson Innovation.</w:t>
      </w:r>
      <w:r w:rsidR="00E22C57" w:rsidRPr="004056AF">
        <w:rPr>
          <w:lang w:val="fr-FR"/>
        </w:rPr>
        <w:t xml:space="preserve">  </w:t>
      </w:r>
      <w:r w:rsidRPr="004056AF">
        <w:rPr>
          <w:lang w:val="fr-FR"/>
        </w:rPr>
        <w:t>STN est surtout employé pour les recherches de structure (par exemple</w:t>
      </w:r>
      <w:r w:rsidR="00CD0D8F" w:rsidRPr="004056AF">
        <w:rPr>
          <w:lang w:val="fr-FR"/>
        </w:rPr>
        <w:t xml:space="preserve"> </w:t>
      </w:r>
      <w:r w:rsidRPr="004056AF">
        <w:rPr>
          <w:lang w:val="fr-FR"/>
        </w:rPr>
        <w:t>dans les enregistrements CAP (</w:t>
      </w:r>
      <w:r w:rsidRPr="004056AF">
        <w:rPr>
          <w:i/>
          <w:lang w:val="fr-FR"/>
        </w:rPr>
        <w:t>Continued Access Protocol</w:t>
      </w:r>
      <w:r w:rsidRPr="004056AF">
        <w:rPr>
          <w:lang w:val="fr-FR"/>
        </w:rPr>
        <w:t>) et CAS (</w:t>
      </w:r>
      <w:r w:rsidRPr="004056AF">
        <w:rPr>
          <w:i/>
          <w:lang w:val="fr-FR"/>
        </w:rPr>
        <w:t>Chemical Abstracts Service</w:t>
      </w:r>
      <w:r w:rsidRPr="004056AF">
        <w:rPr>
          <w:lang w:val="fr-FR"/>
        </w:rPr>
        <w:t xml:space="preserve">)) dans les domaines de la chimie et de la pharmacie, </w:t>
      </w:r>
    </w:p>
    <w:p w:rsidR="00CD34C1" w:rsidRPr="004056AF" w:rsidRDefault="004F0D17" w:rsidP="002C2579">
      <w:pPr>
        <w:pStyle w:val="ONUMFS"/>
        <w:numPr>
          <w:ilvl w:val="0"/>
          <w:numId w:val="0"/>
        </w:numPr>
        <w:ind w:left="567"/>
        <w:rPr>
          <w:lang w:val="fr-FR"/>
        </w:rPr>
      </w:pPr>
      <w:r w:rsidRPr="004056AF">
        <w:rPr>
          <w:lang w:val="fr-FR"/>
        </w:rPr>
        <w:lastRenderedPageBreak/>
        <w:t>ainsi que pour les recherches sur des séquences de nucléotides ou d</w:t>
      </w:r>
      <w:r w:rsidR="004916FD" w:rsidRPr="004056AF">
        <w:rPr>
          <w:lang w:val="fr-FR"/>
        </w:rPr>
        <w:t>’</w:t>
      </w:r>
      <w:r w:rsidRPr="004056AF">
        <w:rPr>
          <w:lang w:val="fr-FR"/>
        </w:rPr>
        <w:t>acides aminés (enregistrements CAS, USGENE®, PCTGen et DGene) dans le domaine de la biotechnologie.</w:t>
      </w:r>
    </w:p>
    <w:p w:rsidR="00CD34C1" w:rsidRPr="00A970DC" w:rsidRDefault="004F0D17" w:rsidP="00A970DC">
      <w:pPr>
        <w:pStyle w:val="ONUMFS"/>
        <w:numPr>
          <w:ilvl w:val="1"/>
          <w:numId w:val="6"/>
        </w:numPr>
        <w:rPr>
          <w:lang w:val="fr-FR"/>
        </w:rPr>
      </w:pPr>
      <w:r w:rsidRPr="00A970DC">
        <w:rPr>
          <w:lang w:val="fr-FR"/>
        </w:rPr>
        <w:t>Il est également possible d</w:t>
      </w:r>
      <w:r w:rsidR="004916FD" w:rsidRPr="00A970DC">
        <w:rPr>
          <w:lang w:val="fr-FR"/>
        </w:rPr>
        <w:t>’</w:t>
      </w:r>
      <w:r w:rsidRPr="00A970DC">
        <w:rPr>
          <w:lang w:val="fr-FR"/>
        </w:rPr>
        <w:t>effectuer des recherches dans d</w:t>
      </w:r>
      <w:r w:rsidR="004916FD" w:rsidRPr="00A970DC">
        <w:rPr>
          <w:lang w:val="fr-FR"/>
        </w:rPr>
        <w:t>’</w:t>
      </w:r>
      <w:r w:rsidRPr="00A970DC">
        <w:rPr>
          <w:lang w:val="fr-FR"/>
        </w:rPr>
        <w:t>autres bases de données de littérature non</w:t>
      </w:r>
      <w:r w:rsidR="004916FD" w:rsidRPr="00A970DC">
        <w:rPr>
          <w:lang w:val="fr-FR"/>
        </w:rPr>
        <w:t>-</w:t>
      </w:r>
      <w:r w:rsidRPr="00A970DC">
        <w:rPr>
          <w:lang w:val="fr-FR"/>
        </w:rPr>
        <w:t>brevet comme MEDLINE, ELSEVIER, EMBASE, IEEE et PUBCHEM au moyen d</w:t>
      </w:r>
      <w:r w:rsidR="004916FD" w:rsidRPr="00A970DC">
        <w:rPr>
          <w:lang w:val="fr-FR"/>
        </w:rPr>
        <w:t>’</w:t>
      </w:r>
      <w:r w:rsidRPr="00A970DC">
        <w:rPr>
          <w:lang w:val="fr-FR"/>
        </w:rPr>
        <w:t>EPOQUE</w:t>
      </w:r>
      <w:r w:rsidR="003F2A1F" w:rsidRPr="00A970DC">
        <w:rPr>
          <w:lang w:val="fr-FR"/>
        </w:rPr>
        <w:t> </w:t>
      </w:r>
      <w:r w:rsidRPr="00A970DC">
        <w:rPr>
          <w:lang w:val="fr-FR"/>
        </w:rPr>
        <w:t>Net ou de STN, ou directement à partir d</w:t>
      </w:r>
      <w:r w:rsidR="004916FD" w:rsidRPr="00A970DC">
        <w:rPr>
          <w:lang w:val="fr-FR"/>
        </w:rPr>
        <w:t>’</w:t>
      </w:r>
      <w:r w:rsidRPr="00A970DC">
        <w:rPr>
          <w:lang w:val="fr-FR"/>
        </w:rPr>
        <w:t>outils de recherche sur le Web.</w:t>
      </w:r>
    </w:p>
    <w:p w:rsidR="00CD34C1" w:rsidRPr="00A970DC" w:rsidRDefault="004F0D17" w:rsidP="00A970DC">
      <w:pPr>
        <w:pStyle w:val="ONUMFS"/>
        <w:numPr>
          <w:ilvl w:val="1"/>
          <w:numId w:val="6"/>
        </w:numPr>
        <w:rPr>
          <w:lang w:val="fr-FR"/>
        </w:rPr>
      </w:pPr>
      <w:r w:rsidRPr="00A970DC">
        <w:rPr>
          <w:lang w:val="fr-FR"/>
        </w:rPr>
        <w:t>Une documentation sur des brevets et des modèles d</w:t>
      </w:r>
      <w:r w:rsidR="004916FD" w:rsidRPr="00A970DC">
        <w:rPr>
          <w:lang w:val="fr-FR"/>
        </w:rPr>
        <w:t>’</w:t>
      </w:r>
      <w:r w:rsidRPr="00A970DC">
        <w:rPr>
          <w:lang w:val="fr-FR"/>
        </w:rPr>
        <w:t>utilité de plus de 80</w:t>
      </w:r>
      <w:r w:rsidR="00F96272" w:rsidRPr="00A970DC">
        <w:rPr>
          <w:lang w:val="fr-FR"/>
        </w:rPr>
        <w:t> </w:t>
      </w:r>
      <w:r w:rsidRPr="00A970DC">
        <w:rPr>
          <w:lang w:val="fr-FR"/>
        </w:rPr>
        <w:t>pays et administrations, qui remonte jusqu</w:t>
      </w:r>
      <w:r w:rsidR="004916FD" w:rsidRPr="00A970DC">
        <w:rPr>
          <w:lang w:val="fr-FR"/>
        </w:rPr>
        <w:t>’en 1920</w:t>
      </w:r>
      <w:r w:rsidRPr="00A970DC">
        <w:rPr>
          <w:lang w:val="fr-FR"/>
        </w:rPr>
        <w:t>, peut aussi être consultée à partir de CD ou de DVD dans tous les offices participants</w:t>
      </w:r>
      <w:r w:rsidR="004916FD" w:rsidRPr="00A970DC">
        <w:rPr>
          <w:lang w:val="fr-FR"/>
        </w:rPr>
        <w:t xml:space="preserve"> du VPI</w:t>
      </w:r>
      <w:r w:rsidRPr="00A970DC">
        <w:rPr>
          <w:lang w:val="fr-FR"/>
        </w:rPr>
        <w:t>.</w:t>
      </w:r>
    </w:p>
    <w:p w:rsidR="00CD34C1" w:rsidRPr="00A970DC" w:rsidRDefault="004F0D17" w:rsidP="00A970DC">
      <w:pPr>
        <w:pStyle w:val="ONUMFS"/>
        <w:numPr>
          <w:ilvl w:val="1"/>
          <w:numId w:val="6"/>
        </w:numPr>
        <w:rPr>
          <w:lang w:val="fr-FR"/>
        </w:rPr>
      </w:pPr>
      <w:r w:rsidRPr="00A970DC">
        <w:rPr>
          <w:lang w:val="fr-FR"/>
        </w:rPr>
        <w:t>Ces offices peuvent en outre consulter des informations sur les brevets et les modèles d</w:t>
      </w:r>
      <w:r w:rsidR="004916FD" w:rsidRPr="00A970DC">
        <w:rPr>
          <w:lang w:val="fr-FR"/>
        </w:rPr>
        <w:t>’</w:t>
      </w:r>
      <w:r w:rsidRPr="00A970DC">
        <w:rPr>
          <w:lang w:val="fr-FR"/>
        </w:rPr>
        <w:t>utilité nationaux délivrés par d</w:t>
      </w:r>
      <w:r w:rsidR="004916FD" w:rsidRPr="00A970DC">
        <w:rPr>
          <w:lang w:val="fr-FR"/>
        </w:rPr>
        <w:t>’</w:t>
      </w:r>
      <w:r w:rsidRPr="00A970DC">
        <w:rPr>
          <w:lang w:val="fr-FR"/>
        </w:rPr>
        <w:t>autres offices de la propriété intellectuelle par le biais de bases de données nationales accessibles en ligne.</w:t>
      </w:r>
    </w:p>
    <w:p w:rsidR="004916FD" w:rsidRPr="00A970DC" w:rsidRDefault="004F0D17" w:rsidP="00A970DC">
      <w:pPr>
        <w:pStyle w:val="ONUMFS"/>
        <w:numPr>
          <w:ilvl w:val="1"/>
          <w:numId w:val="6"/>
        </w:numPr>
        <w:rPr>
          <w:lang w:val="fr-FR"/>
        </w:rPr>
      </w:pPr>
      <w:r w:rsidRPr="00A970DC">
        <w:rPr>
          <w:lang w:val="fr-FR"/>
        </w:rPr>
        <w:t>Outre les bases de données électroniques précitées, les offices participants disposent de bibliothèques qui reçoivent des bulletins et journaux officiels du monde entier, et qui possèdent des ouvrages concernant différents domaines technologiques, scientifiques, juridiques et linguistiqu</w:t>
      </w:r>
      <w:r w:rsidR="00B65BAD" w:rsidRPr="00A970DC">
        <w:rPr>
          <w:lang w:val="fr-FR"/>
        </w:rPr>
        <w:t>es.  Un</w:t>
      </w:r>
      <w:r w:rsidRPr="00A970DC">
        <w:rPr>
          <w:lang w:val="fr-FR"/>
        </w:rPr>
        <w:t xml:space="preserve"> grand nombre de revues et autres publications périodiques spécialisées peuvent aussi y être consultées.</w:t>
      </w:r>
    </w:p>
    <w:p w:rsidR="00CD34C1" w:rsidRPr="00A970DC" w:rsidRDefault="004F0D17" w:rsidP="00A970DC">
      <w:pPr>
        <w:pStyle w:val="ONUMFS"/>
        <w:rPr>
          <w:lang w:val="fr-FR"/>
        </w:rPr>
      </w:pPr>
      <w:r w:rsidRPr="00A970DC">
        <w:rPr>
          <w:lang w:val="fr-FR"/>
        </w:rPr>
        <w:t xml:space="preserve">Chaque office participant a accès aux principales bases de données des systèmes de </w:t>
      </w:r>
      <w:r w:rsidR="007B3897" w:rsidRPr="00A970DC">
        <w:rPr>
          <w:lang w:val="fr-FR"/>
        </w:rPr>
        <w:t>classeme</w:t>
      </w:r>
      <w:r w:rsidR="00B65BAD" w:rsidRPr="00A970DC">
        <w:rPr>
          <w:lang w:val="fr-FR"/>
        </w:rPr>
        <w:t>nt.  Le</w:t>
      </w:r>
      <w:r w:rsidRPr="00A970DC">
        <w:rPr>
          <w:lang w:val="fr-FR"/>
        </w:rPr>
        <w:t>s examinateurs emploient les systèmes de classement de</w:t>
      </w:r>
      <w:r w:rsidR="004916FD" w:rsidRPr="00A970DC">
        <w:rPr>
          <w:lang w:val="fr-FR"/>
        </w:rPr>
        <w:t xml:space="preserve"> la CIB</w:t>
      </w:r>
      <w:r w:rsidRPr="00A970DC">
        <w:rPr>
          <w:lang w:val="fr-FR"/>
        </w:rPr>
        <w:t xml:space="preserve"> à des fins de classement et</w:t>
      </w:r>
      <w:r w:rsidR="004916FD" w:rsidRPr="00A970DC">
        <w:rPr>
          <w:lang w:val="fr-FR"/>
        </w:rPr>
        <w:t xml:space="preserve"> la CIB</w:t>
      </w:r>
      <w:r w:rsidRPr="00A970DC">
        <w:rPr>
          <w:lang w:val="fr-FR"/>
        </w:rPr>
        <w:t xml:space="preserve"> et</w:t>
      </w:r>
      <w:r w:rsidR="004916FD" w:rsidRPr="00A970DC">
        <w:rPr>
          <w:lang w:val="fr-FR"/>
        </w:rPr>
        <w:t xml:space="preserve"> la CPC</w:t>
      </w:r>
      <w:r w:rsidRPr="00A970DC">
        <w:rPr>
          <w:lang w:val="fr-FR"/>
        </w:rPr>
        <w:t xml:space="preserve"> aux fins de la recherc</w:t>
      </w:r>
      <w:r w:rsidR="00B65BAD" w:rsidRPr="00A970DC">
        <w:rPr>
          <w:lang w:val="fr-FR"/>
        </w:rPr>
        <w:t>he.  Le</w:t>
      </w:r>
      <w:r w:rsidRPr="00A970DC">
        <w:rPr>
          <w:lang w:val="fr-FR"/>
        </w:rPr>
        <w:t>s offices participants actualisent en permanence leurs accès aux bases de données de brevets et de littérature non</w:t>
      </w:r>
      <w:r w:rsidR="004916FD" w:rsidRPr="00A970DC">
        <w:rPr>
          <w:lang w:val="fr-FR"/>
        </w:rPr>
        <w:t>-</w:t>
      </w:r>
      <w:r w:rsidRPr="00A970DC">
        <w:rPr>
          <w:lang w:val="fr-FR"/>
        </w:rPr>
        <w:t>brevet, et ils améliorent constamment leurs procédures de recherche en ajoutant de nouvelles bases de données et d</w:t>
      </w:r>
      <w:r w:rsidR="004916FD" w:rsidRPr="00A970DC">
        <w:rPr>
          <w:lang w:val="fr-FR"/>
        </w:rPr>
        <w:t>’</w:t>
      </w:r>
      <w:r w:rsidRPr="00A970DC">
        <w:rPr>
          <w:lang w:val="fr-FR"/>
        </w:rPr>
        <w:t>autres sources d</w:t>
      </w:r>
      <w:r w:rsidR="004916FD" w:rsidRPr="00A970DC">
        <w:rPr>
          <w:lang w:val="fr-FR"/>
        </w:rPr>
        <w:t>’</w:t>
      </w:r>
      <w:r w:rsidRPr="00A970DC">
        <w:rPr>
          <w:lang w:val="fr-FR"/>
        </w:rPr>
        <w:t>informati</w:t>
      </w:r>
      <w:r w:rsidR="00B65BAD" w:rsidRPr="00A970DC">
        <w:rPr>
          <w:lang w:val="fr-FR"/>
        </w:rPr>
        <w:t>on.  Il</w:t>
      </w:r>
      <w:r w:rsidRPr="00A970DC">
        <w:rPr>
          <w:lang w:val="fr-FR"/>
        </w:rPr>
        <w:t>s contribuent ainsi à l</w:t>
      </w:r>
      <w:r w:rsidR="004916FD" w:rsidRPr="00A970DC">
        <w:rPr>
          <w:lang w:val="fr-FR"/>
        </w:rPr>
        <w:t>’</w:t>
      </w:r>
      <w:r w:rsidRPr="00A970DC">
        <w:rPr>
          <w:lang w:val="fr-FR"/>
        </w:rPr>
        <w:t>établissement et au maintien de procédures de recherche de haute qualité.</w:t>
      </w:r>
    </w:p>
    <w:p w:rsidR="004916FD" w:rsidRPr="00A970DC" w:rsidRDefault="000C7F14" w:rsidP="00A970DC">
      <w:pPr>
        <w:pStyle w:val="ONUMFS"/>
        <w:rPr>
          <w:lang w:val="fr-FR"/>
        </w:rPr>
      </w:pPr>
      <w:r w:rsidRPr="00A970DC">
        <w:rPr>
          <w:lang w:val="fr-FR"/>
        </w:rPr>
        <w:t>Les examinateurs de ces offices suivent des formations et assistent à des séminaires concernant la recherche de brevets, et portant plus particulièrement sur la manière d</w:t>
      </w:r>
      <w:r w:rsidR="004916FD" w:rsidRPr="00A970DC">
        <w:rPr>
          <w:lang w:val="fr-FR"/>
        </w:rPr>
        <w:t>’</w:t>
      </w:r>
      <w:r w:rsidRPr="00A970DC">
        <w:rPr>
          <w:lang w:val="fr-FR"/>
        </w:rPr>
        <w:t>employer efficacement les bases de données de brevets et de littérature non</w:t>
      </w:r>
      <w:r w:rsidR="004916FD" w:rsidRPr="00A970DC">
        <w:rPr>
          <w:lang w:val="fr-FR"/>
        </w:rPr>
        <w:t>-</w:t>
      </w:r>
      <w:r w:rsidRPr="00A970DC">
        <w:rPr>
          <w:lang w:val="fr-FR"/>
        </w:rPr>
        <w:t>brevet.</w:t>
      </w:r>
    </w:p>
    <w:p w:rsidR="00CD34C1" w:rsidRPr="00A970DC" w:rsidRDefault="000C7F14" w:rsidP="00A970DC">
      <w:pPr>
        <w:pStyle w:val="ONUMFS"/>
        <w:rPr>
          <w:lang w:val="fr-FR"/>
        </w:rPr>
      </w:pPr>
      <w:r w:rsidRPr="00A970DC">
        <w:rPr>
          <w:lang w:val="fr-FR"/>
        </w:rPr>
        <w:t xml:space="preserve">Les </w:t>
      </w:r>
      <w:r w:rsidR="00433FCC" w:rsidRPr="00A970DC">
        <w:rPr>
          <w:lang w:val="fr-FR"/>
        </w:rPr>
        <w:t>plateformes</w:t>
      </w:r>
      <w:r w:rsidRPr="00A970DC">
        <w:rPr>
          <w:lang w:val="fr-FR"/>
        </w:rPr>
        <w:t xml:space="preserve"> de recherche précitées permettent aux examinateurs d</w:t>
      </w:r>
      <w:r w:rsidR="004916FD" w:rsidRPr="00A970DC">
        <w:rPr>
          <w:lang w:val="fr-FR"/>
        </w:rPr>
        <w:t>’</w:t>
      </w:r>
      <w:r w:rsidRPr="00A970DC">
        <w:rPr>
          <w:lang w:val="fr-FR"/>
        </w:rPr>
        <w:t xml:space="preserve">accéder au moins à la documentation minimale prévue à la </w:t>
      </w:r>
      <w:r w:rsidR="004916FD" w:rsidRPr="00A970DC">
        <w:rPr>
          <w:lang w:val="fr-FR"/>
        </w:rPr>
        <w:t>règle 3</w:t>
      </w:r>
      <w:r w:rsidRPr="00A970DC">
        <w:rPr>
          <w:lang w:val="fr-FR"/>
        </w:rPr>
        <w:t>4 du règlement d</w:t>
      </w:r>
      <w:r w:rsidR="004916FD" w:rsidRPr="00A970DC">
        <w:rPr>
          <w:lang w:val="fr-FR"/>
        </w:rPr>
        <w:t>’</w:t>
      </w:r>
      <w:r w:rsidRPr="00A970DC">
        <w:rPr>
          <w:lang w:val="fr-FR"/>
        </w:rPr>
        <w:t>exécution</w:t>
      </w:r>
      <w:r w:rsidR="004916FD" w:rsidRPr="00A970DC">
        <w:rPr>
          <w:lang w:val="fr-FR"/>
        </w:rPr>
        <w:t xml:space="preserve"> du PCT</w:t>
      </w:r>
      <w:r w:rsidRPr="00A970DC">
        <w:rPr>
          <w:lang w:val="fr-FR"/>
        </w:rPr>
        <w:t>.</w:t>
      </w:r>
    </w:p>
    <w:p w:rsidR="004916FD" w:rsidRPr="00A970DC" w:rsidRDefault="000C7F14" w:rsidP="00A970DC">
      <w:pPr>
        <w:pStyle w:val="Heading4"/>
        <w:rPr>
          <w:lang w:val="fr-FR"/>
        </w:rPr>
      </w:pPr>
      <w:r w:rsidRPr="00A970DC">
        <w:rPr>
          <w:lang w:val="fr-FR"/>
        </w:rPr>
        <w:t>2.4.</w:t>
      </w:r>
      <w:r w:rsidRPr="00A970DC">
        <w:rPr>
          <w:lang w:val="fr-FR"/>
        </w:rPr>
        <w:tab/>
        <w:t>Systèmes de gestion de la qualité</w:t>
      </w:r>
    </w:p>
    <w:p w:rsidR="00CD34C1" w:rsidRPr="00A970DC" w:rsidRDefault="00180022" w:rsidP="00A970DC">
      <w:pPr>
        <w:pStyle w:val="ONUMFS"/>
        <w:rPr>
          <w:lang w:val="fr-FR"/>
        </w:rPr>
      </w:pPr>
      <w:r w:rsidRPr="00A970DC">
        <w:rPr>
          <w:lang w:val="fr-FR"/>
        </w:rPr>
        <w:t xml:space="preserve">Le </w:t>
      </w:r>
      <w:r w:rsidR="004916FD" w:rsidRPr="00A970DC">
        <w:rPr>
          <w:lang w:val="fr-FR"/>
        </w:rPr>
        <w:t>paragraphe d)</w:t>
      </w:r>
      <w:r w:rsidRPr="00A970DC">
        <w:rPr>
          <w:lang w:val="fr-FR"/>
        </w:rPr>
        <w:t xml:space="preserve"> de l</w:t>
      </w:r>
      <w:r w:rsidR="004916FD" w:rsidRPr="00A970DC">
        <w:rPr>
          <w:lang w:val="fr-FR"/>
        </w:rPr>
        <w:t>’</w:t>
      </w:r>
      <w:r w:rsidRPr="00A970DC">
        <w:rPr>
          <w:lang w:val="fr-FR"/>
        </w:rPr>
        <w:t>accord de principe concernant les procédures de nomination des administrations internationales, adopté par l</w:t>
      </w:r>
      <w:r w:rsidR="004916FD" w:rsidRPr="00A970DC">
        <w:rPr>
          <w:lang w:val="fr-FR"/>
        </w:rPr>
        <w:t>’</w:t>
      </w:r>
      <w:r w:rsidRPr="00A970DC">
        <w:rPr>
          <w:lang w:val="fr-FR"/>
        </w:rPr>
        <w:t>Assemblée de l</w:t>
      </w:r>
      <w:r w:rsidR="004916FD" w:rsidRPr="00A970DC">
        <w:rPr>
          <w:lang w:val="fr-FR"/>
        </w:rPr>
        <w:t>’</w:t>
      </w:r>
      <w:r w:rsidRPr="00A970DC">
        <w:rPr>
          <w:lang w:val="fr-FR"/>
        </w:rPr>
        <w:t>Union</w:t>
      </w:r>
      <w:r w:rsidR="004916FD" w:rsidRPr="00A970DC">
        <w:rPr>
          <w:lang w:val="fr-FR"/>
        </w:rPr>
        <w:t xml:space="preserve"> du PCT</w:t>
      </w:r>
      <w:r w:rsidRPr="00A970DC">
        <w:rPr>
          <w:lang w:val="fr-FR"/>
        </w:rPr>
        <w:t xml:space="preserve"> à sa quarante</w:t>
      </w:r>
      <w:r w:rsidR="004916FD" w:rsidRPr="00A970DC">
        <w:rPr>
          <w:lang w:val="fr-FR"/>
        </w:rPr>
        <w:t>-</w:t>
      </w:r>
      <w:r w:rsidRPr="00A970DC">
        <w:rPr>
          <w:lang w:val="fr-FR"/>
        </w:rPr>
        <w:t>six</w:t>
      </w:r>
      <w:r w:rsidR="004916FD" w:rsidRPr="00A970DC">
        <w:rPr>
          <w:lang w:val="fr-FR"/>
        </w:rPr>
        <w:t>ième session</w:t>
      </w:r>
      <w:r w:rsidRPr="00A970DC">
        <w:rPr>
          <w:lang w:val="fr-FR"/>
        </w:rPr>
        <w:t xml:space="preserve"> en </w:t>
      </w:r>
      <w:r w:rsidR="004916FD" w:rsidRPr="00A970DC">
        <w:rPr>
          <w:lang w:val="fr-FR"/>
        </w:rPr>
        <w:t>septembre 20</w:t>
      </w:r>
      <w:r w:rsidRPr="00A970DC">
        <w:rPr>
          <w:lang w:val="fr-FR"/>
        </w:rPr>
        <w:t>14 (ci</w:t>
      </w:r>
      <w:r w:rsidR="004916FD" w:rsidRPr="00A970DC">
        <w:rPr>
          <w:lang w:val="fr-FR"/>
        </w:rPr>
        <w:t>-</w:t>
      </w:r>
      <w:r w:rsidRPr="00A970DC">
        <w:rPr>
          <w:lang w:val="fr-FR"/>
        </w:rPr>
        <w:t>après</w:t>
      </w:r>
      <w:r w:rsidR="007B3897" w:rsidRPr="00A970DC">
        <w:rPr>
          <w:lang w:val="fr-FR"/>
        </w:rPr>
        <w:t xml:space="preserve"> dénommé</w:t>
      </w:r>
      <w:r w:rsidRPr="00A970DC">
        <w:rPr>
          <w:lang w:val="fr-FR"/>
        </w:rPr>
        <w:t xml:space="preserve"> “accord de principe</w:t>
      </w:r>
      <w:r w:rsidR="004916FD" w:rsidRPr="00A970DC">
        <w:rPr>
          <w:lang w:val="fr-FR"/>
        </w:rPr>
        <w:t xml:space="preserve"> du PCT</w:t>
      </w:r>
      <w:r w:rsidRPr="00A970DC">
        <w:rPr>
          <w:lang w:val="fr-FR"/>
        </w:rPr>
        <w:t xml:space="preserve"> </w:t>
      </w:r>
      <w:r w:rsidR="004916FD" w:rsidRPr="00A970DC">
        <w:rPr>
          <w:lang w:val="fr-FR"/>
        </w:rPr>
        <w:t>de 2014</w:t>
      </w:r>
      <w:r w:rsidRPr="00A970DC">
        <w:rPr>
          <w:lang w:val="fr-FR"/>
        </w:rPr>
        <w:t>”), contient des éclaircissements sur le fait qu</w:t>
      </w:r>
      <w:r w:rsidR="004916FD" w:rsidRPr="00A970DC">
        <w:rPr>
          <w:lang w:val="fr-FR"/>
        </w:rPr>
        <w:t>’</w:t>
      </w:r>
      <w:r w:rsidRPr="00A970DC">
        <w:rPr>
          <w:lang w:val="fr-FR"/>
        </w:rPr>
        <w:t>il est exigé de tout office national ou organisation intergouvernementale candidat à la nomination de disposer d</w:t>
      </w:r>
      <w:r w:rsidR="004916FD" w:rsidRPr="00A970DC">
        <w:rPr>
          <w:lang w:val="fr-FR"/>
        </w:rPr>
        <w:t>’</w:t>
      </w:r>
      <w:r w:rsidRPr="00A970DC">
        <w:rPr>
          <w:lang w:val="fr-FR"/>
        </w:rPr>
        <w:t>un système de gestion de la qualité et de dispositions internes en matière d</w:t>
      </w:r>
      <w:r w:rsidR="004916FD" w:rsidRPr="00A970DC">
        <w:rPr>
          <w:lang w:val="fr-FR"/>
        </w:rPr>
        <w:t>’</w:t>
      </w:r>
      <w:r w:rsidRPr="00A970DC">
        <w:rPr>
          <w:lang w:val="fr-FR"/>
        </w:rPr>
        <w:t>évaluation conformément aux règles communes de la recherche internationa</w:t>
      </w:r>
      <w:r w:rsidR="00B65BAD" w:rsidRPr="00A970DC">
        <w:rPr>
          <w:lang w:val="fr-FR"/>
        </w:rPr>
        <w:t>le.  Il</w:t>
      </w:r>
      <w:r w:rsidRPr="00A970DC">
        <w:rPr>
          <w:lang w:val="fr-FR"/>
        </w:rPr>
        <w:t xml:space="preserve"> indique que lorsqu</w:t>
      </w:r>
      <w:r w:rsidR="004916FD" w:rsidRPr="00A970DC">
        <w:rPr>
          <w:lang w:val="fr-FR"/>
        </w:rPr>
        <w:t>’</w:t>
      </w:r>
      <w:r w:rsidRPr="00A970DC">
        <w:rPr>
          <w:lang w:val="fr-FR"/>
        </w:rPr>
        <w:t>un tel système n</w:t>
      </w:r>
      <w:r w:rsidR="004916FD" w:rsidRPr="00A970DC">
        <w:rPr>
          <w:lang w:val="fr-FR"/>
        </w:rPr>
        <w:t>’</w:t>
      </w:r>
      <w:r w:rsidRPr="00A970DC">
        <w:rPr>
          <w:lang w:val="fr-FR"/>
        </w:rPr>
        <w:t>est pas encore en place au moment de la nomination par l</w:t>
      </w:r>
      <w:r w:rsidR="004916FD" w:rsidRPr="00A970DC">
        <w:rPr>
          <w:lang w:val="fr-FR"/>
        </w:rPr>
        <w:t>’</w:t>
      </w:r>
      <w:r w:rsidRPr="00A970DC">
        <w:rPr>
          <w:lang w:val="fr-FR"/>
        </w:rPr>
        <w:t>assemblée, il suffit que ce système soit complètement programmé et, de préférence, que des systèmes similaires soient déjà opérationnels en ce qui concerne les travaux de recherche et d</w:t>
      </w:r>
      <w:r w:rsidR="004916FD" w:rsidRPr="00A970DC">
        <w:rPr>
          <w:lang w:val="fr-FR"/>
        </w:rPr>
        <w:t>’</w:t>
      </w:r>
      <w:r w:rsidRPr="00A970DC">
        <w:rPr>
          <w:lang w:val="fr-FR"/>
        </w:rPr>
        <w:t>examen nationaux pour témoigner d</w:t>
      </w:r>
      <w:r w:rsidR="004916FD" w:rsidRPr="00A970DC">
        <w:rPr>
          <w:lang w:val="fr-FR"/>
        </w:rPr>
        <w:t>’</w:t>
      </w:r>
      <w:r w:rsidRPr="00A970DC">
        <w:rPr>
          <w:lang w:val="fr-FR"/>
        </w:rPr>
        <w:t>une expérience appropriée.</w:t>
      </w:r>
    </w:p>
    <w:p w:rsidR="004916FD" w:rsidRPr="00A970DC" w:rsidRDefault="00180022" w:rsidP="00A970DC">
      <w:pPr>
        <w:pStyle w:val="ONUMFS"/>
        <w:rPr>
          <w:lang w:val="fr-FR"/>
        </w:rPr>
      </w:pPr>
      <w:r w:rsidRPr="00A970DC">
        <w:rPr>
          <w:lang w:val="fr-FR"/>
        </w:rPr>
        <w:t>L</w:t>
      </w:r>
      <w:r w:rsidR="00867CE9" w:rsidRPr="00A970DC">
        <w:rPr>
          <w:lang w:val="fr-FR"/>
        </w:rPr>
        <w:t>e VPI</w:t>
      </w:r>
      <w:r w:rsidRPr="00A970DC">
        <w:rPr>
          <w:lang w:val="fr-FR"/>
        </w:rPr>
        <w:t xml:space="preserve"> a établi son propre système de gestion de la qualité, qui couvre l</w:t>
      </w:r>
      <w:r w:rsidR="004916FD" w:rsidRPr="00A970DC">
        <w:rPr>
          <w:lang w:val="fr-FR"/>
        </w:rPr>
        <w:t>’</w:t>
      </w:r>
      <w:r w:rsidRPr="00A970DC">
        <w:rPr>
          <w:lang w:val="fr-FR"/>
        </w:rPr>
        <w:t>ensemble des services proposés à ses usagers et en particulier le traitement des demandes selon</w:t>
      </w:r>
      <w:r w:rsidR="004916FD" w:rsidRPr="00A970DC">
        <w:rPr>
          <w:lang w:val="fr-FR"/>
        </w:rPr>
        <w:t xml:space="preserve"> le PCT</w:t>
      </w:r>
      <w:r w:rsidRPr="00A970DC">
        <w:rPr>
          <w:lang w:val="fr-FR"/>
        </w:rPr>
        <w:t xml:space="preserve"> dans la phase internationa</w:t>
      </w:r>
      <w:r w:rsidR="00B65BAD" w:rsidRPr="00A970DC">
        <w:rPr>
          <w:lang w:val="fr-FR"/>
        </w:rPr>
        <w:t>le.  Le</w:t>
      </w:r>
      <w:r w:rsidR="0048479E" w:rsidRPr="00A970DC">
        <w:rPr>
          <w:lang w:val="fr-FR"/>
        </w:rPr>
        <w:t xml:space="preserve"> système de gestion de la qualité</w:t>
      </w:r>
      <w:r w:rsidR="004916FD" w:rsidRPr="00A970DC">
        <w:rPr>
          <w:lang w:val="fr-FR"/>
        </w:rPr>
        <w:t xml:space="preserve"> du VPI</w:t>
      </w:r>
      <w:r w:rsidR="0048479E" w:rsidRPr="00A970DC">
        <w:rPr>
          <w:lang w:val="fr-FR"/>
        </w:rPr>
        <w:t xml:space="preserve"> est fondé sur les systèmes de gestion de la qualité certifiés ISO des offices nationaux participants et sa portée </w:t>
      </w:r>
      <w:r w:rsidR="0048479E" w:rsidRPr="00A970DC">
        <w:rPr>
          <w:lang w:val="fr-FR"/>
        </w:rPr>
        <w:lastRenderedPageBreak/>
        <w:t>est élargie pour prendre en compte l</w:t>
      </w:r>
      <w:r w:rsidR="004916FD" w:rsidRPr="00A970DC">
        <w:rPr>
          <w:lang w:val="fr-FR"/>
        </w:rPr>
        <w:t>’</w:t>
      </w:r>
      <w:r w:rsidR="0048479E" w:rsidRPr="00A970DC">
        <w:rPr>
          <w:lang w:val="fr-FR"/>
        </w:rPr>
        <w:t>ensemble des procédures</w:t>
      </w:r>
      <w:r w:rsidR="004916FD" w:rsidRPr="00A970DC">
        <w:rPr>
          <w:lang w:val="fr-FR"/>
        </w:rPr>
        <w:t xml:space="preserve"> du PCT</w:t>
      </w:r>
      <w:r w:rsidR="0048479E" w:rsidRPr="00A970DC">
        <w:rPr>
          <w:lang w:val="fr-FR"/>
        </w:rPr>
        <w:t xml:space="preserve"> concernant la phase internationale, et pour être conforme aux Directives concernant la recherche internationale et l</w:t>
      </w:r>
      <w:r w:rsidR="004916FD" w:rsidRPr="00A970DC">
        <w:rPr>
          <w:lang w:val="fr-FR"/>
        </w:rPr>
        <w:t>’</w:t>
      </w:r>
      <w:r w:rsidR="0048479E" w:rsidRPr="00A970DC">
        <w:rPr>
          <w:lang w:val="fr-FR"/>
        </w:rPr>
        <w:t>examen préliminaire international selon</w:t>
      </w:r>
      <w:r w:rsidR="004916FD" w:rsidRPr="00A970DC">
        <w:rPr>
          <w:lang w:val="fr-FR"/>
        </w:rPr>
        <w:t xml:space="preserve"> le </w:t>
      </w:r>
      <w:r w:rsidR="00B65BAD" w:rsidRPr="00A970DC">
        <w:rPr>
          <w:lang w:val="fr-FR"/>
        </w:rPr>
        <w:t>PCT.  Le</w:t>
      </w:r>
      <w:r w:rsidR="0048479E" w:rsidRPr="00A970DC">
        <w:rPr>
          <w:lang w:val="fr-FR"/>
        </w:rPr>
        <w:t>s descriptions des processus relatifs aux activités de recherche et d</w:t>
      </w:r>
      <w:r w:rsidR="004916FD" w:rsidRPr="00A970DC">
        <w:rPr>
          <w:lang w:val="fr-FR"/>
        </w:rPr>
        <w:t>’</w:t>
      </w:r>
      <w:r w:rsidR="0048479E" w:rsidRPr="00A970DC">
        <w:rPr>
          <w:lang w:val="fr-FR"/>
        </w:rPr>
        <w:t>examen préliminaire selon</w:t>
      </w:r>
      <w:r w:rsidR="004916FD" w:rsidRPr="00A970DC">
        <w:rPr>
          <w:lang w:val="fr-FR"/>
        </w:rPr>
        <w:t xml:space="preserve"> le PCT</w:t>
      </w:r>
      <w:r w:rsidR="0048479E" w:rsidRPr="00A970DC">
        <w:rPr>
          <w:lang w:val="fr-FR"/>
        </w:rPr>
        <w:t xml:space="preserve"> sont toutes prises en considération dans les systèmes de gestion de la qualité </w:t>
      </w:r>
      <w:r w:rsidR="007B3897" w:rsidRPr="00A970DC">
        <w:rPr>
          <w:lang w:val="fr-FR"/>
        </w:rPr>
        <w:t>des</w:t>
      </w:r>
      <w:r w:rsidR="0048479E" w:rsidRPr="00A970DC">
        <w:rPr>
          <w:lang w:val="fr-FR"/>
        </w:rPr>
        <w:t xml:space="preserve"> office</w:t>
      </w:r>
      <w:r w:rsidR="007B3897" w:rsidRPr="00A970DC">
        <w:rPr>
          <w:lang w:val="fr-FR"/>
        </w:rPr>
        <w:t>s</w:t>
      </w:r>
      <w:r w:rsidR="0048479E" w:rsidRPr="00A970DC">
        <w:rPr>
          <w:lang w:val="fr-FR"/>
        </w:rPr>
        <w:t xml:space="preserve"> nationa</w:t>
      </w:r>
      <w:r w:rsidR="00B65BAD" w:rsidRPr="00A970DC">
        <w:rPr>
          <w:lang w:val="fr-FR"/>
        </w:rPr>
        <w:t>ux.  Le</w:t>
      </w:r>
      <w:r w:rsidR="004916FD" w:rsidRPr="00A970DC">
        <w:rPr>
          <w:lang w:val="fr-FR"/>
        </w:rPr>
        <w:t> VPI</w:t>
      </w:r>
      <w:r w:rsidR="009E01D3" w:rsidRPr="00A970DC">
        <w:rPr>
          <w:lang w:val="fr-FR"/>
        </w:rPr>
        <w:t xml:space="preserve"> a conclu des accords sur le niveau de services avec chacun des offices nationaux selon lesquels l</w:t>
      </w:r>
      <w:r w:rsidR="004916FD" w:rsidRPr="00A970DC">
        <w:rPr>
          <w:lang w:val="fr-FR"/>
        </w:rPr>
        <w:t>’</w:t>
      </w:r>
      <w:r w:rsidR="007B3897" w:rsidRPr="00A970DC">
        <w:rPr>
          <w:lang w:val="fr-FR"/>
        </w:rPr>
        <w:t>office national</w:t>
      </w:r>
      <w:r w:rsidR="009E01D3" w:rsidRPr="00A970DC">
        <w:rPr>
          <w:lang w:val="fr-FR"/>
        </w:rPr>
        <w:t xml:space="preserve"> accomplit les tâches</w:t>
      </w:r>
      <w:r w:rsidR="004916FD" w:rsidRPr="00A970DC">
        <w:rPr>
          <w:lang w:val="fr-FR"/>
        </w:rPr>
        <w:t xml:space="preserve"> du VPI</w:t>
      </w:r>
      <w:r w:rsidR="009E01D3" w:rsidRPr="00A970DC">
        <w:rPr>
          <w:lang w:val="fr-FR"/>
        </w:rPr>
        <w:t xml:space="preserve"> relatives</w:t>
      </w:r>
      <w:r w:rsidR="004916FD" w:rsidRPr="00A970DC">
        <w:rPr>
          <w:lang w:val="fr-FR"/>
        </w:rPr>
        <w:t xml:space="preserve"> aux PCT</w:t>
      </w:r>
      <w:r w:rsidR="009E01D3" w:rsidRPr="00A970DC">
        <w:rPr>
          <w:lang w:val="fr-FR"/>
        </w:rPr>
        <w:t>.</w:t>
      </w:r>
    </w:p>
    <w:p w:rsidR="004916FD" w:rsidRPr="00A970DC" w:rsidRDefault="007B3897" w:rsidP="00A970DC">
      <w:pPr>
        <w:pStyle w:val="ONUMFS"/>
        <w:rPr>
          <w:lang w:val="fr-FR"/>
        </w:rPr>
      </w:pPr>
      <w:r w:rsidRPr="00A970DC">
        <w:rPr>
          <w:lang w:val="fr-FR"/>
        </w:rPr>
        <w:t>C</w:t>
      </w:r>
      <w:r w:rsidR="009E01D3" w:rsidRPr="00A970DC">
        <w:rPr>
          <w:lang w:val="fr-FR"/>
        </w:rPr>
        <w:t>haque office national possède un système de gestion de la qualité certifié ISO</w:t>
      </w:r>
      <w:r w:rsidR="00F96272" w:rsidRPr="00A970DC">
        <w:rPr>
          <w:lang w:val="fr-FR"/>
        </w:rPr>
        <w:t> </w:t>
      </w:r>
      <w:r w:rsidR="009E01D3" w:rsidRPr="00A970DC">
        <w:rPr>
          <w:lang w:val="fr-FR"/>
        </w:rPr>
        <w:t>9001.</w:t>
      </w:r>
      <w:r w:rsidR="00E22C57" w:rsidRPr="00A970DC">
        <w:rPr>
          <w:lang w:val="fr-FR"/>
        </w:rPr>
        <w:t xml:space="preserve">  </w:t>
      </w:r>
      <w:r w:rsidR="009E01D3" w:rsidRPr="00A970DC">
        <w:rPr>
          <w:lang w:val="fr-FR"/>
        </w:rPr>
        <w:t>Le système de gestion de la qualité des offices nationaux englobe toutes les procédures nécessaires pour accomplir les activités et les procédures permettant une amélioration contin</w:t>
      </w:r>
      <w:r w:rsidR="00B65BAD" w:rsidRPr="00A970DC">
        <w:rPr>
          <w:lang w:val="fr-FR"/>
        </w:rPr>
        <w:t>ue.  L’a</w:t>
      </w:r>
      <w:r w:rsidR="009E01D3" w:rsidRPr="00A970DC">
        <w:rPr>
          <w:lang w:val="fr-FR"/>
        </w:rPr>
        <w:t>ccord sur le niveau de services entre</w:t>
      </w:r>
      <w:r w:rsidR="004916FD" w:rsidRPr="00A970DC">
        <w:rPr>
          <w:lang w:val="fr-FR"/>
        </w:rPr>
        <w:t xml:space="preserve"> le VPI</w:t>
      </w:r>
      <w:r w:rsidR="009E01D3" w:rsidRPr="00A970DC">
        <w:rPr>
          <w:lang w:val="fr-FR"/>
        </w:rPr>
        <w:t xml:space="preserve"> et les offices nationaux précise les exigences auxquelles doivent satisfaire les systèmes de gestion de la qualité des offices nationa</w:t>
      </w:r>
      <w:r w:rsidR="00B65BAD" w:rsidRPr="00A970DC">
        <w:rPr>
          <w:lang w:val="fr-FR"/>
        </w:rPr>
        <w:t>ux.  L’u</w:t>
      </w:r>
      <w:r w:rsidR="009E01D3" w:rsidRPr="00A970DC">
        <w:rPr>
          <w:lang w:val="fr-FR"/>
        </w:rPr>
        <w:t>n des principaux objectifs</w:t>
      </w:r>
      <w:r w:rsidR="004916FD" w:rsidRPr="00A970DC">
        <w:rPr>
          <w:lang w:val="fr-FR"/>
        </w:rPr>
        <w:t xml:space="preserve"> du VPI</w:t>
      </w:r>
      <w:r w:rsidR="009E01D3" w:rsidRPr="00A970DC">
        <w:rPr>
          <w:lang w:val="fr-FR"/>
        </w:rPr>
        <w:t xml:space="preserve"> est de certifier les processus relatifs aux activités de base</w:t>
      </w:r>
      <w:r w:rsidR="004916FD" w:rsidRPr="00A970DC">
        <w:rPr>
          <w:lang w:val="fr-FR"/>
        </w:rPr>
        <w:t xml:space="preserve"> du VPI</w:t>
      </w:r>
      <w:r w:rsidR="009E01D3" w:rsidRPr="00A970DC">
        <w:rPr>
          <w:lang w:val="fr-FR"/>
        </w:rPr>
        <w:t xml:space="preserve">, </w:t>
      </w:r>
      <w:r w:rsidR="004916FD" w:rsidRPr="00A970DC">
        <w:rPr>
          <w:lang w:val="fr-FR"/>
        </w:rPr>
        <w:t>à savoir</w:t>
      </w:r>
      <w:r w:rsidR="009E01D3" w:rsidRPr="00A970DC">
        <w:rPr>
          <w:lang w:val="fr-FR"/>
        </w:rPr>
        <w:t xml:space="preserve"> la recherche et l</w:t>
      </w:r>
      <w:r w:rsidR="004916FD" w:rsidRPr="00A970DC">
        <w:rPr>
          <w:lang w:val="fr-FR"/>
        </w:rPr>
        <w:t>’</w:t>
      </w:r>
      <w:r w:rsidR="009E01D3" w:rsidRPr="00A970DC">
        <w:rPr>
          <w:lang w:val="fr-FR"/>
        </w:rPr>
        <w:t>examen en qualité d</w:t>
      </w:r>
      <w:r w:rsidR="004916FD" w:rsidRPr="00A970DC">
        <w:rPr>
          <w:lang w:val="fr-FR"/>
        </w:rPr>
        <w:t>’</w:t>
      </w:r>
      <w:r w:rsidR="009E01D3" w:rsidRPr="00A970DC">
        <w:rPr>
          <w:lang w:val="fr-FR"/>
        </w:rPr>
        <w:t xml:space="preserve">administration chargée de la recherche internationale et </w:t>
      </w:r>
      <w:r w:rsidRPr="00A970DC">
        <w:rPr>
          <w:lang w:val="fr-FR"/>
        </w:rPr>
        <w:t>d</w:t>
      </w:r>
      <w:r w:rsidR="004916FD" w:rsidRPr="00A970DC">
        <w:rPr>
          <w:lang w:val="fr-FR"/>
        </w:rPr>
        <w:t>’</w:t>
      </w:r>
      <w:r w:rsidRPr="00A970DC">
        <w:rPr>
          <w:lang w:val="fr-FR"/>
        </w:rPr>
        <w:t xml:space="preserve">administration chargée </w:t>
      </w:r>
      <w:r w:rsidR="009E01D3" w:rsidRPr="00A970DC">
        <w:rPr>
          <w:lang w:val="fr-FR"/>
        </w:rPr>
        <w:t>de l</w:t>
      </w:r>
      <w:r w:rsidR="004916FD" w:rsidRPr="00A970DC">
        <w:rPr>
          <w:lang w:val="fr-FR"/>
        </w:rPr>
        <w:t>’</w:t>
      </w:r>
      <w:r w:rsidR="009E01D3" w:rsidRPr="00A970DC">
        <w:rPr>
          <w:lang w:val="fr-FR"/>
        </w:rPr>
        <w:t>examen préliminaire international et la recherche international</w:t>
      </w:r>
      <w:r w:rsidR="00A970DC" w:rsidRPr="00A970DC">
        <w:rPr>
          <w:lang w:val="fr-FR"/>
        </w:rPr>
        <w:t>e</w:t>
      </w:r>
      <w:r w:rsidR="009E01D3" w:rsidRPr="00A970DC">
        <w:rPr>
          <w:lang w:val="fr-FR"/>
        </w:rPr>
        <w:t xml:space="preserve"> conformément aux normes</w:t>
      </w:r>
      <w:r w:rsidR="00433FCC" w:rsidRPr="00A970DC">
        <w:rPr>
          <w:lang w:val="fr-FR"/>
        </w:rPr>
        <w:t> </w:t>
      </w:r>
      <w:r w:rsidR="00B65BAD" w:rsidRPr="00A970DC">
        <w:rPr>
          <w:lang w:val="fr-FR"/>
        </w:rPr>
        <w:t>ISO.  Ce</w:t>
      </w:r>
      <w:r w:rsidR="009E01D3" w:rsidRPr="00A970DC">
        <w:rPr>
          <w:lang w:val="fr-FR"/>
        </w:rPr>
        <w:t>s certifications sont prévues entre la fin</w:t>
      </w:r>
      <w:r w:rsidR="00F96272" w:rsidRPr="00A970DC">
        <w:rPr>
          <w:lang w:val="fr-FR"/>
        </w:rPr>
        <w:t> </w:t>
      </w:r>
      <w:r w:rsidR="009E01D3" w:rsidRPr="00A970DC">
        <w:rPr>
          <w:lang w:val="fr-FR"/>
        </w:rPr>
        <w:t xml:space="preserve">2016 et le milieu </w:t>
      </w:r>
      <w:r w:rsidR="004916FD" w:rsidRPr="00A970DC">
        <w:rPr>
          <w:lang w:val="fr-FR"/>
        </w:rPr>
        <w:t>de 2017</w:t>
      </w:r>
      <w:r w:rsidR="009E01D3" w:rsidRPr="00A970DC">
        <w:rPr>
          <w:lang w:val="fr-FR"/>
        </w:rPr>
        <w:t>, selon le calendrier de recertification des offices nationaux.</w:t>
      </w:r>
    </w:p>
    <w:p w:rsidR="004916FD" w:rsidRPr="00A970DC" w:rsidRDefault="003627F9" w:rsidP="00A970DC">
      <w:pPr>
        <w:pStyle w:val="ONUMFS"/>
        <w:rPr>
          <w:lang w:val="fr-FR"/>
        </w:rPr>
      </w:pPr>
      <w:r w:rsidRPr="00A970DC">
        <w:rPr>
          <w:lang w:val="fr-FR"/>
        </w:rPr>
        <w:t>Le système de gestion de la qualité</w:t>
      </w:r>
      <w:r w:rsidR="004916FD" w:rsidRPr="00A970DC">
        <w:rPr>
          <w:lang w:val="fr-FR"/>
        </w:rPr>
        <w:t xml:space="preserve"> du VPI</w:t>
      </w:r>
      <w:r w:rsidRPr="00A970DC">
        <w:rPr>
          <w:lang w:val="fr-FR"/>
        </w:rPr>
        <w:t xml:space="preserve"> sera certifié ISO</w:t>
      </w:r>
      <w:r w:rsidR="00F96272" w:rsidRPr="00A970DC">
        <w:rPr>
          <w:lang w:val="fr-FR"/>
        </w:rPr>
        <w:t> </w:t>
      </w:r>
      <w:r w:rsidRPr="00A970DC">
        <w:rPr>
          <w:lang w:val="fr-FR"/>
        </w:rPr>
        <w:t xml:space="preserve">9001 au cours du dernier trimestre </w:t>
      </w:r>
      <w:r w:rsidR="004916FD" w:rsidRPr="00A970DC">
        <w:rPr>
          <w:lang w:val="fr-FR"/>
        </w:rPr>
        <w:t>de 2017</w:t>
      </w:r>
      <w:r w:rsidRPr="00A970DC">
        <w:rPr>
          <w:lang w:val="fr-FR"/>
        </w:rPr>
        <w:t xml:space="preserve"> lorsqu</w:t>
      </w:r>
      <w:r w:rsidR="004916FD" w:rsidRPr="00A970DC">
        <w:rPr>
          <w:lang w:val="fr-FR"/>
        </w:rPr>
        <w:t>’</w:t>
      </w:r>
      <w:r w:rsidRPr="00A970DC">
        <w:rPr>
          <w:lang w:val="fr-FR"/>
        </w:rPr>
        <w:t xml:space="preserve">il aura </w:t>
      </w:r>
      <w:r w:rsidR="007B3897" w:rsidRPr="00A970DC">
        <w:rPr>
          <w:lang w:val="fr-FR"/>
        </w:rPr>
        <w:t xml:space="preserve">été démontré que le système a été opérationnel </w:t>
      </w:r>
      <w:r w:rsidRPr="00A970DC">
        <w:rPr>
          <w:lang w:val="fr-FR"/>
        </w:rPr>
        <w:t>pendant le temps nécessaire.</w:t>
      </w:r>
    </w:p>
    <w:p w:rsidR="00CD34C1" w:rsidRPr="00A970DC" w:rsidRDefault="003627F9" w:rsidP="00A970DC">
      <w:pPr>
        <w:pStyle w:val="ONUMFS"/>
        <w:spacing w:after="120"/>
        <w:rPr>
          <w:lang w:val="fr-FR"/>
        </w:rPr>
      </w:pPr>
      <w:r w:rsidRPr="00A970DC">
        <w:rPr>
          <w:lang w:val="fr-FR"/>
        </w:rPr>
        <w:t xml:space="preserve">Conformément aux </w:t>
      </w:r>
      <w:r w:rsidR="004916FD" w:rsidRPr="00A970DC">
        <w:rPr>
          <w:lang w:val="fr-FR"/>
        </w:rPr>
        <w:t>paragraphes 2</w:t>
      </w:r>
      <w:r w:rsidRPr="00A970DC">
        <w:rPr>
          <w:lang w:val="fr-FR"/>
        </w:rPr>
        <w:t>1.26 et 21.27 des Directives concernant la recherche internationale et l</w:t>
      </w:r>
      <w:r w:rsidR="004916FD" w:rsidRPr="00A970DC">
        <w:rPr>
          <w:lang w:val="fr-FR"/>
        </w:rPr>
        <w:t>’</w:t>
      </w:r>
      <w:r w:rsidRPr="00A970DC">
        <w:rPr>
          <w:lang w:val="fr-FR"/>
        </w:rPr>
        <w:t>examen préliminaire international selon</w:t>
      </w:r>
      <w:r w:rsidR="004916FD" w:rsidRPr="00A970DC">
        <w:rPr>
          <w:lang w:val="fr-FR"/>
        </w:rPr>
        <w:t xml:space="preserve"> le PCT</w:t>
      </w:r>
      <w:r w:rsidRPr="00A970DC">
        <w:rPr>
          <w:lang w:val="fr-FR"/>
        </w:rPr>
        <w:t>,</w:t>
      </w:r>
      <w:r w:rsidR="004916FD" w:rsidRPr="00A970DC">
        <w:rPr>
          <w:lang w:val="fr-FR"/>
        </w:rPr>
        <w:t xml:space="preserve"> le VPI</w:t>
      </w:r>
      <w:r w:rsidRPr="00A970DC">
        <w:rPr>
          <w:lang w:val="fr-FR"/>
        </w:rPr>
        <w:t xml:space="preserve"> a établi deux</w:t>
      </w:r>
      <w:r w:rsidR="00433FCC" w:rsidRPr="00A970DC">
        <w:rPr>
          <w:lang w:val="fr-FR"/>
        </w:rPr>
        <w:t> </w:t>
      </w:r>
      <w:r w:rsidRPr="00A970DC">
        <w:rPr>
          <w:lang w:val="fr-FR"/>
        </w:rPr>
        <w:t>rapports annuels sur ses systèmes de gestion de la qualité, qui peuvent être téléchargés aux adresses suivantes</w:t>
      </w:r>
      <w:r w:rsidR="004916FD" w:rsidRPr="00A970DC">
        <w:rPr>
          <w:lang w:val="fr-FR"/>
        </w:rPr>
        <w:t> :</w:t>
      </w:r>
    </w:p>
    <w:p w:rsidR="00CD34C1" w:rsidRPr="00A970DC" w:rsidRDefault="006D2BEB" w:rsidP="00A970DC">
      <w:pPr>
        <w:pStyle w:val="ONUME"/>
        <w:numPr>
          <w:ilvl w:val="0"/>
          <w:numId w:val="0"/>
        </w:numPr>
        <w:spacing w:after="120"/>
        <w:rPr>
          <w:lang w:val="fr-FR"/>
        </w:rPr>
      </w:pPr>
      <w:hyperlink r:id="rId12" w:history="1">
        <w:r w:rsidR="00A04C86" w:rsidRPr="00A970DC">
          <w:rPr>
            <w:rStyle w:val="Hyperlink"/>
            <w:color w:val="auto"/>
            <w:u w:val="none"/>
            <w:lang w:val="fr-FR"/>
          </w:rPr>
          <w:t>http://www.wipo.int/export/sites/www/pct/en/quality/2015/2015_xv.pdf</w:t>
        </w:r>
      </w:hyperlink>
    </w:p>
    <w:p w:rsidR="00CD34C1" w:rsidRPr="00A970DC" w:rsidRDefault="006D2BEB" w:rsidP="00A970DC">
      <w:pPr>
        <w:pStyle w:val="ONUME"/>
        <w:numPr>
          <w:ilvl w:val="0"/>
          <w:numId w:val="0"/>
        </w:numPr>
        <w:rPr>
          <w:lang w:val="fr-FR"/>
        </w:rPr>
      </w:pPr>
      <w:hyperlink r:id="rId13" w:history="1">
        <w:r w:rsidR="00A04C86" w:rsidRPr="00A970DC">
          <w:rPr>
            <w:rStyle w:val="Hyperlink"/>
            <w:color w:val="auto"/>
            <w:u w:val="none"/>
            <w:lang w:val="fr-FR"/>
          </w:rPr>
          <w:t>http://www.wipo.int/export/sites/www/pct/en/quality/2016/2016_xv.pdf</w:t>
        </w:r>
      </w:hyperlink>
    </w:p>
    <w:p w:rsidR="00CD34C1" w:rsidRPr="00A970DC" w:rsidRDefault="007B3897" w:rsidP="00A970DC">
      <w:pPr>
        <w:pStyle w:val="Heading4"/>
        <w:rPr>
          <w:lang w:val="fr-FR"/>
        </w:rPr>
      </w:pPr>
      <w:r w:rsidRPr="00A970DC">
        <w:rPr>
          <w:lang w:val="fr-FR"/>
        </w:rPr>
        <w:t>2.5.</w:t>
      </w:r>
      <w:r w:rsidRPr="00A970DC">
        <w:rPr>
          <w:lang w:val="fr-FR"/>
        </w:rPr>
        <w:tab/>
      </w:r>
      <w:r w:rsidR="00EF7FC7" w:rsidRPr="00A970DC">
        <w:rPr>
          <w:lang w:val="fr-FR"/>
        </w:rPr>
        <w:t>Dispositions internes en matière d</w:t>
      </w:r>
      <w:r w:rsidR="004916FD" w:rsidRPr="00A970DC">
        <w:rPr>
          <w:lang w:val="fr-FR"/>
        </w:rPr>
        <w:t>’</w:t>
      </w:r>
      <w:r w:rsidR="00EF7FC7" w:rsidRPr="00A970DC">
        <w:rPr>
          <w:lang w:val="fr-FR"/>
        </w:rPr>
        <w:t>évaluation</w:t>
      </w:r>
    </w:p>
    <w:p w:rsidR="004916FD" w:rsidRPr="00A970DC" w:rsidRDefault="00EF7FC7" w:rsidP="00A970DC">
      <w:pPr>
        <w:pStyle w:val="ONUMFS"/>
        <w:rPr>
          <w:lang w:val="fr-FR"/>
        </w:rPr>
      </w:pPr>
      <w:r w:rsidRPr="00A970DC">
        <w:rPr>
          <w:lang w:val="fr-FR"/>
        </w:rPr>
        <w:t>Pour mettre en place son système de gestion de la qualité,</w:t>
      </w:r>
      <w:r w:rsidR="004916FD" w:rsidRPr="00A970DC">
        <w:rPr>
          <w:lang w:val="fr-FR"/>
        </w:rPr>
        <w:t xml:space="preserve"> le VPI</w:t>
      </w:r>
      <w:r w:rsidRPr="00A970DC">
        <w:rPr>
          <w:lang w:val="fr-FR"/>
        </w:rPr>
        <w:t xml:space="preserve"> recense tous les éléments nécessaires au système, tous les participants, fournisseurs et usagers, ainsi que la demande des usage</w:t>
      </w:r>
      <w:r w:rsidR="00B65BAD" w:rsidRPr="00A970DC">
        <w:rPr>
          <w:lang w:val="fr-FR"/>
        </w:rPr>
        <w:t>rs.  De</w:t>
      </w:r>
      <w:r w:rsidRPr="00A970DC">
        <w:rPr>
          <w:lang w:val="fr-FR"/>
        </w:rPr>
        <w:t>s processus et procédures sont établis dans différents domaines, notamment la gouvernance (gestion), les activités de base et l</w:t>
      </w:r>
      <w:r w:rsidR="004916FD" w:rsidRPr="00A970DC">
        <w:rPr>
          <w:lang w:val="fr-FR"/>
        </w:rPr>
        <w:t>’</w:t>
      </w:r>
      <w:r w:rsidRPr="00A970DC">
        <w:rPr>
          <w:lang w:val="fr-FR"/>
        </w:rPr>
        <w:t>appui (processus fonctionnels).</w:t>
      </w:r>
      <w:r w:rsidR="00E22C57" w:rsidRPr="00A970DC">
        <w:rPr>
          <w:lang w:val="fr-FR"/>
        </w:rPr>
        <w:t xml:space="preserve">  </w:t>
      </w:r>
      <w:r w:rsidRPr="00A970DC">
        <w:rPr>
          <w:lang w:val="fr-FR"/>
        </w:rPr>
        <w:t>L</w:t>
      </w:r>
      <w:r w:rsidR="004916FD" w:rsidRPr="00A970DC">
        <w:rPr>
          <w:lang w:val="fr-FR"/>
        </w:rPr>
        <w:t>’</w:t>
      </w:r>
      <w:r w:rsidRPr="00A970DC">
        <w:rPr>
          <w:lang w:val="fr-FR"/>
        </w:rPr>
        <w:t>ensemble des politiques, processus et procédures sont documentés au sein du système de gestion de la quali</w:t>
      </w:r>
      <w:r w:rsidR="00B65BAD" w:rsidRPr="00A970DC">
        <w:rPr>
          <w:lang w:val="fr-FR"/>
        </w:rPr>
        <w:t>té.  Ce</w:t>
      </w:r>
      <w:r w:rsidRPr="00A970DC">
        <w:rPr>
          <w:lang w:val="fr-FR"/>
        </w:rPr>
        <w:t>lui</w:t>
      </w:r>
      <w:r w:rsidR="004916FD" w:rsidRPr="00A970DC">
        <w:rPr>
          <w:lang w:val="fr-FR"/>
        </w:rPr>
        <w:t>-</w:t>
      </w:r>
      <w:r w:rsidRPr="00A970DC">
        <w:rPr>
          <w:lang w:val="fr-FR"/>
        </w:rPr>
        <w:t xml:space="preserve">ci est mis en </w:t>
      </w:r>
      <w:r w:rsidR="00867CE9" w:rsidRPr="00A970DC">
        <w:rPr>
          <w:lang w:val="fr-FR"/>
        </w:rPr>
        <w:t>œuvre</w:t>
      </w:r>
      <w:r w:rsidRPr="00A970DC">
        <w:rPr>
          <w:lang w:val="fr-FR"/>
        </w:rPr>
        <w:t xml:space="preserve"> selon des instructions détaillées, compréhensibles et réalisables pour que les objectifs de qualité puissent être attein</w:t>
      </w:r>
      <w:r w:rsidR="00B65BAD" w:rsidRPr="00A970DC">
        <w:rPr>
          <w:lang w:val="fr-FR"/>
        </w:rPr>
        <w:t>ts.  Un</w:t>
      </w:r>
      <w:r w:rsidRPr="00A970DC">
        <w:rPr>
          <w:lang w:val="fr-FR"/>
        </w:rPr>
        <w:t xml:space="preserve"> mécanisme d</w:t>
      </w:r>
      <w:r w:rsidR="004916FD" w:rsidRPr="00A970DC">
        <w:rPr>
          <w:lang w:val="fr-FR"/>
        </w:rPr>
        <w:t>’</w:t>
      </w:r>
      <w:r w:rsidRPr="00A970DC">
        <w:rPr>
          <w:lang w:val="fr-FR"/>
        </w:rPr>
        <w:t xml:space="preserve">évaluation </w:t>
      </w:r>
      <w:r w:rsidR="007B3897" w:rsidRPr="00A970DC">
        <w:rPr>
          <w:lang w:val="fr-FR"/>
        </w:rPr>
        <w:t>a été</w:t>
      </w:r>
      <w:r w:rsidRPr="00A970DC">
        <w:rPr>
          <w:lang w:val="fr-FR"/>
        </w:rPr>
        <w:t xml:space="preserve"> instauré pour vérifier que le système est conforme aux normes de qualité, et une équipe mixte d</w:t>
      </w:r>
      <w:r w:rsidR="004916FD" w:rsidRPr="00A970DC">
        <w:rPr>
          <w:lang w:val="fr-FR"/>
        </w:rPr>
        <w:t>’</w:t>
      </w:r>
      <w:r w:rsidRPr="00A970DC">
        <w:rPr>
          <w:lang w:val="fr-FR"/>
        </w:rPr>
        <w:t>évaluation interne a été établie au sein</w:t>
      </w:r>
      <w:r w:rsidR="004916FD" w:rsidRPr="00A970DC">
        <w:rPr>
          <w:lang w:val="fr-FR"/>
        </w:rPr>
        <w:t xml:space="preserve"> du </w:t>
      </w:r>
      <w:r w:rsidR="00B65BAD" w:rsidRPr="00A970DC">
        <w:rPr>
          <w:lang w:val="fr-FR"/>
        </w:rPr>
        <w:t>VPI.  Ou</w:t>
      </w:r>
      <w:r w:rsidRPr="00A970DC">
        <w:rPr>
          <w:lang w:val="fr-FR"/>
        </w:rPr>
        <w:t>tre les audits internes, des évaluations extérieures seront aussi effectuées de façon cyclique.</w:t>
      </w:r>
    </w:p>
    <w:p w:rsidR="00A970DC" w:rsidRPr="002C2579" w:rsidRDefault="00CD34C1" w:rsidP="002C2579">
      <w:pPr>
        <w:pStyle w:val="ONUMFS"/>
        <w:rPr>
          <w:lang w:val="fr-FR"/>
        </w:rPr>
      </w:pPr>
      <w:r w:rsidRPr="00A970DC">
        <w:rPr>
          <w:lang w:val="fr-FR"/>
        </w:rPr>
        <w:t>Chaque office national possède ses propres experts chargés de réaliser des audits internes au sein de l</w:t>
      </w:r>
      <w:r w:rsidR="004916FD" w:rsidRPr="00A970DC">
        <w:rPr>
          <w:lang w:val="fr-FR"/>
        </w:rPr>
        <w:t>’</w:t>
      </w:r>
      <w:r w:rsidRPr="00A970DC">
        <w:rPr>
          <w:lang w:val="fr-FR"/>
        </w:rPr>
        <w:t>office</w:t>
      </w:r>
      <w:r w:rsidR="00CD0D8F" w:rsidRPr="00A970DC">
        <w:rPr>
          <w:lang w:val="fr-FR"/>
        </w:rPr>
        <w:t xml:space="preserve">, </w:t>
      </w:r>
      <w:r w:rsidRPr="00A970DC">
        <w:rPr>
          <w:lang w:val="fr-FR"/>
        </w:rPr>
        <w:t xml:space="preserve">qui seront suivis dans le cas des offices nationaux </w:t>
      </w:r>
      <w:r w:rsidR="00CD0D8F" w:rsidRPr="00A970DC">
        <w:rPr>
          <w:lang w:val="fr-FR"/>
        </w:rPr>
        <w:t>(</w:t>
      </w:r>
      <w:r w:rsidRPr="00A970DC">
        <w:rPr>
          <w:lang w:val="fr-FR"/>
        </w:rPr>
        <w:t>c</w:t>
      </w:r>
      <w:r w:rsidR="004916FD" w:rsidRPr="00A970DC">
        <w:rPr>
          <w:lang w:val="fr-FR"/>
        </w:rPr>
        <w:t>’</w:t>
      </w:r>
      <w:r w:rsidRPr="00A970DC">
        <w:rPr>
          <w:lang w:val="fr-FR"/>
        </w:rPr>
        <w:t>est</w:t>
      </w:r>
      <w:r w:rsidR="004916FD" w:rsidRPr="00A970DC">
        <w:rPr>
          <w:lang w:val="fr-FR"/>
        </w:rPr>
        <w:t>-</w:t>
      </w:r>
      <w:r w:rsidRPr="00A970DC">
        <w:rPr>
          <w:lang w:val="fr-FR"/>
        </w:rPr>
        <w:t>à</w:t>
      </w:r>
      <w:r w:rsidR="004916FD" w:rsidRPr="00A970DC">
        <w:rPr>
          <w:lang w:val="fr-FR"/>
        </w:rPr>
        <w:t>-</w:t>
      </w:r>
      <w:r w:rsidRPr="00A970DC">
        <w:rPr>
          <w:lang w:val="fr-FR"/>
        </w:rPr>
        <w:t>dire que chacun des experts</w:t>
      </w:r>
      <w:r w:rsidR="007B3897" w:rsidRPr="00A970DC">
        <w:rPr>
          <w:lang w:val="fr-FR"/>
        </w:rPr>
        <w:t xml:space="preserve"> des offices nationaux</w:t>
      </w:r>
      <w:r w:rsidRPr="00A970DC">
        <w:rPr>
          <w:lang w:val="fr-FR"/>
        </w:rPr>
        <w:t xml:space="preserve"> réalisera l</w:t>
      </w:r>
      <w:r w:rsidR="004916FD" w:rsidRPr="00A970DC">
        <w:rPr>
          <w:lang w:val="fr-FR"/>
        </w:rPr>
        <w:t>’</w:t>
      </w:r>
      <w:r w:rsidRPr="00A970DC">
        <w:rPr>
          <w:lang w:val="fr-FR"/>
        </w:rPr>
        <w:t>audit interne de l</w:t>
      </w:r>
      <w:r w:rsidR="004916FD" w:rsidRPr="00A970DC">
        <w:rPr>
          <w:lang w:val="fr-FR"/>
        </w:rPr>
        <w:t>’</w:t>
      </w:r>
      <w:r w:rsidRPr="00A970DC">
        <w:rPr>
          <w:lang w:val="fr-FR"/>
        </w:rPr>
        <w:t>office national correspondant</w:t>
      </w:r>
      <w:r w:rsidR="004916FD" w:rsidRPr="00A970DC">
        <w:rPr>
          <w:lang w:val="fr-FR"/>
        </w:rPr>
        <w:t xml:space="preserve"> du VPI</w:t>
      </w:r>
      <w:r w:rsidR="00CD0D8F" w:rsidRPr="00A970DC">
        <w:rPr>
          <w:lang w:val="fr-FR"/>
        </w:rPr>
        <w:t>)</w:t>
      </w:r>
      <w:r w:rsidR="00E22C57" w:rsidRPr="00A970DC">
        <w:rPr>
          <w:lang w:val="fr-FR"/>
        </w:rPr>
        <w:t xml:space="preserve">.  </w:t>
      </w:r>
      <w:r w:rsidRPr="00A970DC">
        <w:rPr>
          <w:lang w:val="fr-FR"/>
        </w:rPr>
        <w:t>Du fait que le secrétariat</w:t>
      </w:r>
      <w:r w:rsidR="004916FD" w:rsidRPr="00A970DC">
        <w:rPr>
          <w:lang w:val="fr-FR"/>
        </w:rPr>
        <w:t xml:space="preserve"> du VPI</w:t>
      </w:r>
      <w:r w:rsidRPr="00A970DC">
        <w:rPr>
          <w:lang w:val="fr-FR"/>
        </w:rPr>
        <w:t xml:space="preserve"> fera également l</w:t>
      </w:r>
      <w:r w:rsidR="004916FD" w:rsidRPr="00A970DC">
        <w:rPr>
          <w:lang w:val="fr-FR"/>
        </w:rPr>
        <w:t>’</w:t>
      </w:r>
      <w:r w:rsidRPr="00A970DC">
        <w:rPr>
          <w:lang w:val="fr-FR"/>
        </w:rPr>
        <w:t>objet d</w:t>
      </w:r>
      <w:r w:rsidR="004916FD" w:rsidRPr="00A970DC">
        <w:rPr>
          <w:lang w:val="fr-FR"/>
        </w:rPr>
        <w:t>’</w:t>
      </w:r>
      <w:r w:rsidRPr="00A970DC">
        <w:rPr>
          <w:lang w:val="fr-FR"/>
        </w:rPr>
        <w:t>un audit interne, les experts de l</w:t>
      </w:r>
      <w:r w:rsidR="004916FD" w:rsidRPr="00A970DC">
        <w:rPr>
          <w:lang w:val="fr-FR"/>
        </w:rPr>
        <w:t>’</w:t>
      </w:r>
      <w:r w:rsidRPr="00A970DC">
        <w:rPr>
          <w:lang w:val="fr-FR"/>
        </w:rPr>
        <w:t xml:space="preserve">équipe </w:t>
      </w:r>
      <w:r w:rsidR="007B3897" w:rsidRPr="00A970DC">
        <w:rPr>
          <w:lang w:val="fr-FR"/>
        </w:rPr>
        <w:t>de l</w:t>
      </w:r>
      <w:r w:rsidR="004916FD" w:rsidRPr="00A970DC">
        <w:rPr>
          <w:lang w:val="fr-FR"/>
        </w:rPr>
        <w:t>’</w:t>
      </w:r>
      <w:r w:rsidR="007B3897" w:rsidRPr="00A970DC">
        <w:rPr>
          <w:lang w:val="fr-FR"/>
        </w:rPr>
        <w:t>audit</w:t>
      </w:r>
      <w:r w:rsidRPr="00A970DC">
        <w:rPr>
          <w:lang w:val="fr-FR"/>
        </w:rPr>
        <w:t xml:space="preserve"> interne réaliseront l</w:t>
      </w:r>
      <w:r w:rsidR="004916FD" w:rsidRPr="00A970DC">
        <w:rPr>
          <w:lang w:val="fr-FR"/>
        </w:rPr>
        <w:t>’</w:t>
      </w:r>
      <w:r w:rsidRPr="00A970DC">
        <w:rPr>
          <w:lang w:val="fr-FR"/>
        </w:rPr>
        <w:t>audit interne du secrétariat à tour de rôle</w:t>
      </w:r>
      <w:r w:rsidR="00CD0D8F" w:rsidRPr="00A970DC">
        <w:rPr>
          <w:lang w:val="fr-FR"/>
        </w:rPr>
        <w:t xml:space="preserve"> (</w:t>
      </w:r>
      <w:r w:rsidRPr="00A970DC">
        <w:rPr>
          <w:lang w:val="fr-FR"/>
        </w:rPr>
        <w:t>c</w:t>
      </w:r>
      <w:r w:rsidR="004916FD" w:rsidRPr="00A970DC">
        <w:rPr>
          <w:lang w:val="fr-FR"/>
        </w:rPr>
        <w:t>’</w:t>
      </w:r>
      <w:r w:rsidRPr="00A970DC">
        <w:rPr>
          <w:lang w:val="fr-FR"/>
        </w:rPr>
        <w:t>est</w:t>
      </w:r>
      <w:r w:rsidR="004916FD" w:rsidRPr="00A970DC">
        <w:rPr>
          <w:lang w:val="fr-FR"/>
        </w:rPr>
        <w:t>-</w:t>
      </w:r>
      <w:r w:rsidRPr="00A970DC">
        <w:rPr>
          <w:lang w:val="fr-FR"/>
        </w:rPr>
        <w:t>à</w:t>
      </w:r>
      <w:r w:rsidR="004916FD" w:rsidRPr="00A970DC">
        <w:rPr>
          <w:lang w:val="fr-FR"/>
        </w:rPr>
        <w:t>-</w:t>
      </w:r>
      <w:r w:rsidRPr="00A970DC">
        <w:rPr>
          <w:lang w:val="fr-FR"/>
        </w:rPr>
        <w:t>dire que</w:t>
      </w:r>
      <w:r w:rsidR="007B3897" w:rsidRPr="00A970DC">
        <w:rPr>
          <w:lang w:val="fr-FR"/>
        </w:rPr>
        <w:t>,</w:t>
      </w:r>
      <w:r w:rsidRPr="00A970DC">
        <w:rPr>
          <w:lang w:val="fr-FR"/>
        </w:rPr>
        <w:t xml:space="preserve"> chaque année, les experts des différents offices nationaux</w:t>
      </w:r>
      <w:r w:rsidR="004916FD" w:rsidRPr="00A970DC">
        <w:rPr>
          <w:lang w:val="fr-FR"/>
        </w:rPr>
        <w:t xml:space="preserve"> du VPI</w:t>
      </w:r>
      <w:r w:rsidRPr="00A970DC">
        <w:rPr>
          <w:lang w:val="fr-FR"/>
        </w:rPr>
        <w:t xml:space="preserve"> agiront en qualité d</w:t>
      </w:r>
      <w:r w:rsidR="004916FD" w:rsidRPr="00A970DC">
        <w:rPr>
          <w:lang w:val="fr-FR"/>
        </w:rPr>
        <w:t>’</w:t>
      </w:r>
      <w:r w:rsidRPr="00A970DC">
        <w:rPr>
          <w:lang w:val="fr-FR"/>
        </w:rPr>
        <w:t>auditeur interne</w:t>
      </w:r>
      <w:r w:rsidR="00A04C86" w:rsidRPr="00A970DC">
        <w:rPr>
          <w:lang w:val="fr-FR"/>
        </w:rPr>
        <w:t>).</w:t>
      </w:r>
    </w:p>
    <w:p w:rsidR="00CD34C1" w:rsidRDefault="00CD0D8F" w:rsidP="002C2579">
      <w:pPr>
        <w:pStyle w:val="Heading1"/>
        <w:rPr>
          <w:lang w:val="fr-FR"/>
        </w:rPr>
      </w:pPr>
      <w:r w:rsidRPr="00A970DC">
        <w:rPr>
          <w:lang w:val="fr-FR"/>
        </w:rPr>
        <w:lastRenderedPageBreak/>
        <w:t>III</w:t>
      </w:r>
      <w:r w:rsidR="00E22C57" w:rsidRPr="00A970DC">
        <w:rPr>
          <w:lang w:val="fr-FR"/>
        </w:rPr>
        <w:t>.</w:t>
      </w:r>
      <w:r w:rsidR="00F96272" w:rsidRPr="00A970DC">
        <w:rPr>
          <w:lang w:val="fr-FR"/>
        </w:rPr>
        <w:tab/>
      </w:r>
      <w:r w:rsidRPr="00A970DC">
        <w:rPr>
          <w:lang w:val="fr-FR"/>
        </w:rPr>
        <w:t>CONCLUSION</w:t>
      </w:r>
    </w:p>
    <w:p w:rsidR="00A970DC" w:rsidRPr="00A970DC" w:rsidRDefault="00A970DC" w:rsidP="002C2579">
      <w:pPr>
        <w:keepNext/>
        <w:rPr>
          <w:lang w:val="fr-FR"/>
        </w:rPr>
      </w:pPr>
    </w:p>
    <w:p w:rsidR="00CD34C1" w:rsidRPr="00A970DC" w:rsidRDefault="006077F3" w:rsidP="002C2579">
      <w:pPr>
        <w:pStyle w:val="ONUMFS"/>
        <w:keepNext/>
        <w:rPr>
          <w:lang w:val="fr-FR"/>
        </w:rPr>
      </w:pPr>
      <w:r w:rsidRPr="00A970DC">
        <w:rPr>
          <w:lang w:val="fr-FR"/>
        </w:rPr>
        <w:t>En conclusion, les États contractants de l</w:t>
      </w:r>
      <w:r w:rsidR="004916FD" w:rsidRPr="00A970DC">
        <w:rPr>
          <w:lang w:val="fr-FR"/>
        </w:rPr>
        <w:t>’</w:t>
      </w:r>
      <w:r w:rsidRPr="00A970DC">
        <w:rPr>
          <w:lang w:val="fr-FR"/>
        </w:rPr>
        <w:t>Accord instituant l</w:t>
      </w:r>
      <w:r w:rsidR="004916FD" w:rsidRPr="00A970DC">
        <w:rPr>
          <w:lang w:val="fr-FR"/>
        </w:rPr>
        <w:t>’</w:t>
      </w:r>
      <w:r w:rsidRPr="00A970DC">
        <w:rPr>
          <w:lang w:val="fr-FR"/>
        </w:rPr>
        <w:t xml:space="preserve">Institut des brevets de Visegrad se déclarent convaincus que cet institut est en mesure de remplir tous les critères applicables au renouvellement de </w:t>
      </w:r>
      <w:r w:rsidR="007B3897" w:rsidRPr="00A970DC">
        <w:rPr>
          <w:lang w:val="fr-FR"/>
        </w:rPr>
        <w:t>sa</w:t>
      </w:r>
      <w:r w:rsidRPr="00A970DC">
        <w:rPr>
          <w:lang w:val="fr-FR"/>
        </w:rPr>
        <w:t xml:space="preserve"> nomination </w:t>
      </w:r>
      <w:r w:rsidR="007B3897" w:rsidRPr="00A970DC">
        <w:rPr>
          <w:lang w:val="fr-FR"/>
        </w:rPr>
        <w:t>en qualité d</w:t>
      </w:r>
      <w:r w:rsidR="004916FD" w:rsidRPr="00A970DC">
        <w:rPr>
          <w:lang w:val="fr-FR"/>
        </w:rPr>
        <w:t>’</w:t>
      </w:r>
      <w:r w:rsidRPr="00A970DC">
        <w:rPr>
          <w:lang w:val="fr-FR"/>
        </w:rPr>
        <w:t xml:space="preserve">administration chargée de la recherche </w:t>
      </w:r>
      <w:r w:rsidR="007B3897" w:rsidRPr="00A970DC">
        <w:rPr>
          <w:lang w:val="fr-FR"/>
        </w:rPr>
        <w:t>internationale et d</w:t>
      </w:r>
      <w:r w:rsidR="004916FD" w:rsidRPr="00A970DC">
        <w:rPr>
          <w:lang w:val="fr-FR"/>
        </w:rPr>
        <w:t>’</w:t>
      </w:r>
      <w:r w:rsidR="007B3897" w:rsidRPr="00A970DC">
        <w:rPr>
          <w:lang w:val="fr-FR"/>
        </w:rPr>
        <w:t>administration chargée de</w:t>
      </w:r>
      <w:r w:rsidRPr="00A970DC">
        <w:rPr>
          <w:lang w:val="fr-FR"/>
        </w:rPr>
        <w:t xml:space="preserve"> l</w:t>
      </w:r>
      <w:r w:rsidR="004916FD" w:rsidRPr="00A970DC">
        <w:rPr>
          <w:lang w:val="fr-FR"/>
        </w:rPr>
        <w:t>’</w:t>
      </w:r>
      <w:r w:rsidRPr="00A970DC">
        <w:rPr>
          <w:lang w:val="fr-FR"/>
        </w:rPr>
        <w:t>examen préliminaire internation</w:t>
      </w:r>
      <w:r w:rsidR="00B65BAD" w:rsidRPr="00A970DC">
        <w:rPr>
          <w:lang w:val="fr-FR"/>
        </w:rPr>
        <w:t>al.  Pa</w:t>
      </w:r>
      <w:r w:rsidRPr="00A970DC">
        <w:rPr>
          <w:lang w:val="fr-FR"/>
        </w:rPr>
        <w:t>r l</w:t>
      </w:r>
      <w:r w:rsidR="004916FD" w:rsidRPr="00A970DC">
        <w:rPr>
          <w:lang w:val="fr-FR"/>
        </w:rPr>
        <w:t>’</w:t>
      </w:r>
      <w:r w:rsidRPr="00A970DC">
        <w:rPr>
          <w:lang w:val="fr-FR"/>
        </w:rPr>
        <w:t>action qu</w:t>
      </w:r>
      <w:r w:rsidR="004916FD" w:rsidRPr="00A970DC">
        <w:rPr>
          <w:lang w:val="fr-FR"/>
        </w:rPr>
        <w:t>’</w:t>
      </w:r>
      <w:r w:rsidRPr="00A970DC">
        <w:rPr>
          <w:lang w:val="fr-FR"/>
        </w:rPr>
        <w:t>il mène en qualité d</w:t>
      </w:r>
      <w:r w:rsidR="004916FD" w:rsidRPr="00A970DC">
        <w:rPr>
          <w:lang w:val="fr-FR"/>
        </w:rPr>
        <w:t>’</w:t>
      </w:r>
      <w:r w:rsidRPr="00A970DC">
        <w:rPr>
          <w:lang w:val="fr-FR"/>
        </w:rPr>
        <w:t>administration internationale,</w:t>
      </w:r>
      <w:r w:rsidR="004916FD" w:rsidRPr="00A970DC">
        <w:rPr>
          <w:lang w:val="fr-FR"/>
        </w:rPr>
        <w:t xml:space="preserve"> le VPI</w:t>
      </w:r>
      <w:r w:rsidRPr="00A970DC">
        <w:rPr>
          <w:lang w:val="fr-FR"/>
        </w:rPr>
        <w:t xml:space="preserve"> apporte une contribution importante à la croissance économique, à la compétitivité et à l</w:t>
      </w:r>
      <w:r w:rsidR="004916FD" w:rsidRPr="00A970DC">
        <w:rPr>
          <w:lang w:val="fr-FR"/>
        </w:rPr>
        <w:t>’</w:t>
      </w:r>
      <w:r w:rsidRPr="00A970DC">
        <w:rPr>
          <w:lang w:val="fr-FR"/>
        </w:rPr>
        <w:t>innovation dans la région et au</w:t>
      </w:r>
      <w:r w:rsidR="004916FD" w:rsidRPr="00A970DC">
        <w:rPr>
          <w:lang w:val="fr-FR"/>
        </w:rPr>
        <w:t>-</w:t>
      </w:r>
      <w:r w:rsidRPr="00A970DC">
        <w:rPr>
          <w:lang w:val="fr-FR"/>
        </w:rPr>
        <w:t>delà, ainsi qu</w:t>
      </w:r>
      <w:r w:rsidR="004916FD" w:rsidRPr="00A970DC">
        <w:rPr>
          <w:lang w:val="fr-FR"/>
        </w:rPr>
        <w:t>’</w:t>
      </w:r>
      <w:r w:rsidRPr="00A970DC">
        <w:rPr>
          <w:lang w:val="fr-FR"/>
        </w:rPr>
        <w:t>au bon fonctionnement du système mondial établi au titre</w:t>
      </w:r>
      <w:r w:rsidR="004916FD" w:rsidRPr="00A970DC">
        <w:rPr>
          <w:lang w:val="fr-FR"/>
        </w:rPr>
        <w:t xml:space="preserve"> du PCT</w:t>
      </w:r>
      <w:r w:rsidRPr="00A970DC">
        <w:rPr>
          <w:lang w:val="fr-FR"/>
        </w:rPr>
        <w:t>.</w:t>
      </w:r>
    </w:p>
    <w:p w:rsidR="00CD34C1" w:rsidRPr="005C1D2B" w:rsidRDefault="00CD34C1" w:rsidP="00A970DC">
      <w:pPr>
        <w:rPr>
          <w:lang w:val="fr-FR"/>
        </w:rPr>
      </w:pPr>
    </w:p>
    <w:p w:rsidR="00F96272" w:rsidRPr="005C1D2B" w:rsidRDefault="00F96272" w:rsidP="00A970DC">
      <w:pPr>
        <w:rPr>
          <w:lang w:val="fr-FR"/>
        </w:rPr>
      </w:pPr>
    </w:p>
    <w:p w:rsidR="00CD34C1" w:rsidRPr="00A970DC" w:rsidRDefault="006077F3" w:rsidP="00A970DC">
      <w:pPr>
        <w:pStyle w:val="Endofdocument-Annex"/>
        <w:rPr>
          <w:lang w:val="fr-FR"/>
        </w:rPr>
      </w:pPr>
      <w:r w:rsidRPr="00A970DC">
        <w:rPr>
          <w:lang w:val="fr-FR"/>
        </w:rPr>
        <w:t>[Fin de l</w:t>
      </w:r>
      <w:r w:rsidR="004916FD" w:rsidRPr="00A970DC">
        <w:rPr>
          <w:lang w:val="fr-FR"/>
        </w:rPr>
        <w:t>’</w:t>
      </w:r>
      <w:r w:rsidRPr="00A970DC">
        <w:rPr>
          <w:lang w:val="fr-FR"/>
        </w:rPr>
        <w:t>annexe du document]</w:t>
      </w:r>
    </w:p>
    <w:sectPr w:rsidR="00CD34C1" w:rsidRPr="00A970DC" w:rsidSect="00B65BAD">
      <w:head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0A4" w:rsidRDefault="00C650A4">
      <w:r>
        <w:separator/>
      </w:r>
    </w:p>
  </w:endnote>
  <w:endnote w:type="continuationSeparator" w:id="0">
    <w:p w:rsidR="00C650A4" w:rsidRDefault="00C650A4" w:rsidP="003B38C1">
      <w:r>
        <w:separator/>
      </w:r>
    </w:p>
    <w:p w:rsidR="00C650A4" w:rsidRPr="003B38C1" w:rsidRDefault="00C650A4" w:rsidP="003B38C1">
      <w:pPr>
        <w:spacing w:after="60"/>
        <w:rPr>
          <w:sz w:val="17"/>
        </w:rPr>
      </w:pPr>
      <w:r>
        <w:rPr>
          <w:sz w:val="17"/>
        </w:rPr>
        <w:t>[Endnote continued from previous page]</w:t>
      </w:r>
    </w:p>
  </w:endnote>
  <w:endnote w:type="continuationNotice" w:id="1">
    <w:p w:rsidR="00C650A4" w:rsidRPr="003B38C1" w:rsidRDefault="00C650A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272" w:rsidRPr="00F96272" w:rsidRDefault="00F96272" w:rsidP="00F962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0A4" w:rsidRDefault="00C650A4">
      <w:r>
        <w:separator/>
      </w:r>
    </w:p>
  </w:footnote>
  <w:footnote w:type="continuationSeparator" w:id="0">
    <w:p w:rsidR="00C650A4" w:rsidRDefault="00C650A4" w:rsidP="008B60B2">
      <w:r>
        <w:separator/>
      </w:r>
    </w:p>
    <w:p w:rsidR="00C650A4" w:rsidRPr="00ED77FB" w:rsidRDefault="00C650A4" w:rsidP="008B60B2">
      <w:pPr>
        <w:spacing w:after="60"/>
        <w:rPr>
          <w:sz w:val="17"/>
          <w:szCs w:val="17"/>
        </w:rPr>
      </w:pPr>
      <w:r w:rsidRPr="00ED77FB">
        <w:rPr>
          <w:sz w:val="17"/>
          <w:szCs w:val="17"/>
        </w:rPr>
        <w:t>[Footnote continued from previous page]</w:t>
      </w:r>
    </w:p>
  </w:footnote>
  <w:footnote w:type="continuationNotice" w:id="1">
    <w:p w:rsidR="00C650A4" w:rsidRPr="00ED77FB" w:rsidRDefault="00C650A4" w:rsidP="008B60B2">
      <w:pPr>
        <w:spacing w:before="60"/>
        <w:jc w:val="right"/>
        <w:rPr>
          <w:sz w:val="17"/>
          <w:szCs w:val="17"/>
        </w:rPr>
      </w:pPr>
      <w:r w:rsidRPr="00ED77FB">
        <w:rPr>
          <w:sz w:val="17"/>
          <w:szCs w:val="17"/>
        </w:rPr>
        <w:t>[Footnote continued on next page]</w:t>
      </w:r>
    </w:p>
  </w:footnote>
  <w:footnote w:id="2">
    <w:p w:rsidR="00FD3F84" w:rsidRPr="00B65BAD" w:rsidRDefault="00FD3F84" w:rsidP="00FD3F84">
      <w:pPr>
        <w:pStyle w:val="FootnoteText"/>
        <w:rPr>
          <w:lang w:val="fr-FR"/>
        </w:rPr>
      </w:pPr>
      <w:r w:rsidRPr="00A970DC">
        <w:rPr>
          <w:rStyle w:val="FootnoteReference"/>
          <w:lang w:val="fr-FR"/>
        </w:rPr>
        <w:footnoteRef/>
      </w:r>
      <w:r w:rsidRPr="00A970DC">
        <w:rPr>
          <w:lang w:val="fr-FR"/>
        </w:rPr>
        <w:t xml:space="preserve"> </w:t>
      </w:r>
      <w:r w:rsidRPr="00A970DC">
        <w:rPr>
          <w:lang w:val="fr-FR"/>
        </w:rPr>
        <w:tab/>
        <w:t>Conformément à l</w:t>
      </w:r>
      <w:r w:rsidR="00551CE7" w:rsidRPr="00A970DC">
        <w:rPr>
          <w:lang w:val="fr-FR"/>
        </w:rPr>
        <w:t>’article 5</w:t>
      </w:r>
      <w:r w:rsidRPr="00A970DC">
        <w:rPr>
          <w:lang w:val="fr-FR"/>
        </w:rPr>
        <w:t xml:space="preserve"> de l</w:t>
      </w:r>
      <w:r w:rsidR="00551CE7" w:rsidRPr="00A970DC">
        <w:rPr>
          <w:lang w:val="fr-FR"/>
        </w:rPr>
        <w:t>’</w:t>
      </w:r>
      <w:r w:rsidRPr="00A970DC">
        <w:rPr>
          <w:lang w:val="fr-FR"/>
        </w:rPr>
        <w:t>Accord sur</w:t>
      </w:r>
      <w:r w:rsidR="00551CE7" w:rsidRPr="00A970DC">
        <w:rPr>
          <w:lang w:val="fr-FR"/>
        </w:rPr>
        <w:t xml:space="preserve"> le VPI</w:t>
      </w:r>
      <w:r w:rsidRPr="00A970DC">
        <w:rPr>
          <w:lang w:val="fr-FR"/>
        </w:rPr>
        <w:t>, le siège</w:t>
      </w:r>
      <w:r w:rsidR="00551CE7" w:rsidRPr="00A970DC">
        <w:rPr>
          <w:lang w:val="fr-FR"/>
        </w:rPr>
        <w:t xml:space="preserve"> du VPI</w:t>
      </w:r>
      <w:r w:rsidRPr="00A970DC">
        <w:rPr>
          <w:lang w:val="fr-FR"/>
        </w:rPr>
        <w:t xml:space="preserve"> sera situé à Budapest et une succursale sera installée dans chacun des autres États contractants.</w:t>
      </w:r>
    </w:p>
  </w:footnote>
  <w:footnote w:id="3">
    <w:p w:rsidR="00356F56" w:rsidRPr="00B65BAD" w:rsidRDefault="00356F56" w:rsidP="00356F56">
      <w:pPr>
        <w:pStyle w:val="FootnoteText"/>
        <w:rPr>
          <w:lang w:val="fr-FR"/>
        </w:rPr>
      </w:pPr>
      <w:r w:rsidRPr="00B65BAD">
        <w:rPr>
          <w:rStyle w:val="FootnoteReference"/>
          <w:lang w:val="fr-FR"/>
        </w:rPr>
        <w:footnoteRef/>
      </w:r>
      <w:r w:rsidRPr="00B65BAD">
        <w:rPr>
          <w:lang w:val="fr-FR"/>
        </w:rPr>
        <w:t xml:space="preserve"> </w:t>
      </w:r>
      <w:r w:rsidR="00F96272">
        <w:rPr>
          <w:lang w:val="fr-FR"/>
        </w:rPr>
        <w:tab/>
      </w:r>
      <w:r w:rsidRPr="00B65BAD">
        <w:rPr>
          <w:color w:val="000000"/>
          <w:lang w:val="fr-FR"/>
        </w:rPr>
        <w:t>Les domaines techniques sont définis conformément à la table de concordance CIB</w:t>
      </w:r>
      <w:r w:rsidR="00551CE7" w:rsidRPr="00B65BAD">
        <w:rPr>
          <w:color w:val="000000"/>
          <w:lang w:val="fr-FR"/>
        </w:rPr>
        <w:t xml:space="preserve"> – </w:t>
      </w:r>
      <w:r w:rsidRPr="00B65BAD">
        <w:rPr>
          <w:color w:val="000000"/>
          <w:lang w:val="fr-FR"/>
        </w:rPr>
        <w:t>technologie publiée par l</w:t>
      </w:r>
      <w:r w:rsidR="00551CE7" w:rsidRPr="00B65BAD">
        <w:rPr>
          <w:color w:val="000000"/>
          <w:lang w:val="fr-FR"/>
        </w:rPr>
        <w:t>’</w:t>
      </w:r>
      <w:r w:rsidRPr="00B65BAD">
        <w:rPr>
          <w:color w:val="000000"/>
          <w:lang w:val="fr-FR"/>
        </w:rPr>
        <w:t>OMPI</w:t>
      </w:r>
      <w:r w:rsidR="006D32C8" w:rsidRPr="00B65BAD">
        <w:rPr>
          <w:color w:val="000000"/>
          <w:lang w:val="fr-FR"/>
        </w:rPr>
        <w:t xml:space="preserve"> à l</w:t>
      </w:r>
      <w:r w:rsidR="00551CE7" w:rsidRPr="00B65BAD">
        <w:rPr>
          <w:color w:val="000000"/>
          <w:lang w:val="fr-FR"/>
        </w:rPr>
        <w:t>’</w:t>
      </w:r>
      <w:r w:rsidR="006D32C8" w:rsidRPr="00B65BAD">
        <w:rPr>
          <w:color w:val="000000"/>
          <w:lang w:val="fr-FR"/>
        </w:rPr>
        <w:t xml:space="preserve">adresse </w:t>
      </w:r>
      <w:hyperlink r:id="rId1" w:history="1">
        <w:r w:rsidR="006D32C8" w:rsidRPr="002C2579">
          <w:rPr>
            <w:rStyle w:val="Hyperlink"/>
            <w:color w:val="auto"/>
            <w:u w:val="none"/>
            <w:lang w:val="fr-FR"/>
          </w:rPr>
          <w:t>http://www.wipo.int/ipstats/en/statistics/technology_concordance.htm</w:t>
        </w:r>
        <w:r w:rsidR="006D32C8" w:rsidRPr="00B65BAD">
          <w:rPr>
            <w:rStyle w:val="Hyperlink"/>
            <w:lang w:val="fr-FR"/>
          </w:rPr>
          <w:t>l</w:t>
        </w:r>
      </w:hyperlink>
      <w:r w:rsidRPr="00B65BAD">
        <w:rPr>
          <w:color w:val="000000"/>
          <w:lang w:val="fr-F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C650A4" w:rsidP="00477D6B">
    <w:pPr>
      <w:jc w:val="right"/>
    </w:pPr>
    <w:bookmarkStart w:id="6" w:name="Code2"/>
    <w:bookmarkEnd w:id="6"/>
    <w:r>
      <w:t>PCT/CTC/30/xx</w:t>
    </w:r>
  </w:p>
  <w:p w:rsidR="00EC4E49" w:rsidRDefault="00EC4E49" w:rsidP="00477D6B">
    <w:pPr>
      <w:jc w:val="right"/>
    </w:pPr>
    <w:r>
      <w:t>page</w:t>
    </w:r>
    <w:r w:rsidR="00F96272">
      <w:t> </w:t>
    </w:r>
    <w:r>
      <w:fldChar w:fldCharType="begin"/>
    </w:r>
    <w:r>
      <w:instrText xml:space="preserve"> PAGE  \* MERGEFORMAT </w:instrText>
    </w:r>
    <w:r>
      <w:fldChar w:fldCharType="separate"/>
    </w:r>
    <w:r w:rsidR="00A970DC">
      <w:rPr>
        <w:noProof/>
      </w:rPr>
      <w:t>2</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F79" w:rsidRPr="00AA5F79" w:rsidRDefault="00AA5F79" w:rsidP="00477D6B">
    <w:pPr>
      <w:jc w:val="right"/>
      <w:rPr>
        <w:lang w:val="fr-FR"/>
      </w:rPr>
    </w:pPr>
    <w:r w:rsidRPr="00AA5F79">
      <w:rPr>
        <w:lang w:val="fr-FR"/>
      </w:rPr>
      <w:t>PCT/CTC/30/</w:t>
    </w:r>
    <w:r w:rsidR="00A04C86">
      <w:rPr>
        <w:lang w:val="fr-FR"/>
      </w:rPr>
      <w:t>24</w:t>
    </w:r>
  </w:p>
  <w:p w:rsidR="00AA5F79" w:rsidRPr="00AA5F79" w:rsidRDefault="00AA5F79" w:rsidP="00477D6B">
    <w:pPr>
      <w:jc w:val="right"/>
      <w:rPr>
        <w:lang w:val="fr-FR"/>
      </w:rPr>
    </w:pPr>
    <w:r w:rsidRPr="00AA5F79">
      <w:rPr>
        <w:lang w:val="fr-FR"/>
      </w:rPr>
      <w:t>Annex</w:t>
    </w:r>
    <w:r w:rsidR="00FF5FA2">
      <w:rPr>
        <w:lang w:val="fr-FR"/>
      </w:rPr>
      <w:t>e</w:t>
    </w:r>
    <w:r w:rsidRPr="00AA5F79">
      <w:rPr>
        <w:lang w:val="fr-FR"/>
      </w:rPr>
      <w:t>, page</w:t>
    </w:r>
    <w:r w:rsidR="00B65BAD">
      <w:rPr>
        <w:lang w:val="fr-FR"/>
      </w:rPr>
      <w:t> </w:t>
    </w:r>
    <w:r>
      <w:fldChar w:fldCharType="begin"/>
    </w:r>
    <w:r w:rsidRPr="00AA5F79">
      <w:rPr>
        <w:lang w:val="fr-FR"/>
      </w:rPr>
      <w:instrText xml:space="preserve"> PAGE  \* MERGEFORMAT </w:instrText>
    </w:r>
    <w:r>
      <w:fldChar w:fldCharType="separate"/>
    </w:r>
    <w:r w:rsidR="006D2BEB">
      <w:rPr>
        <w:noProof/>
        <w:lang w:val="fr-FR"/>
      </w:rPr>
      <w:t>8</w:t>
    </w:r>
    <w:r>
      <w:fldChar w:fldCharType="end"/>
    </w:r>
  </w:p>
  <w:p w:rsidR="00AA5F79" w:rsidRPr="00AA5F79" w:rsidRDefault="00AA5F79" w:rsidP="00477D6B">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F79" w:rsidRDefault="00AA5F79" w:rsidP="00AA5F79">
    <w:pPr>
      <w:pStyle w:val="Header"/>
      <w:jc w:val="right"/>
    </w:pPr>
    <w:r>
      <w:t>PCT/CTC/30/</w:t>
    </w:r>
    <w:r w:rsidR="00A04C86">
      <w:t>24</w:t>
    </w:r>
  </w:p>
  <w:p w:rsidR="00AA5F79" w:rsidRDefault="00AA5F79" w:rsidP="00AA5F79">
    <w:pPr>
      <w:pStyle w:val="Header"/>
      <w:jc w:val="right"/>
    </w:pPr>
    <w:r>
      <w:t>ANNEX</w:t>
    </w:r>
    <w:r w:rsidR="00FF5FA2">
      <w:t>E</w:t>
    </w:r>
  </w:p>
  <w:p w:rsidR="00AA5F79" w:rsidRDefault="00AA5F79" w:rsidP="00B65BA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B83EC5BC"/>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8D36056"/>
    <w:multiLevelType w:val="hybridMultilevel"/>
    <w:tmpl w:val="F9502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TRADTERM|WIPOLDTERM"/>
    <w:docVar w:name="TermBaseURL" w:val="empty"/>
    <w:docVar w:name="TextBases" w:val="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C650A4"/>
    <w:rsid w:val="00000EC6"/>
    <w:rsid w:val="000039B6"/>
    <w:rsid w:val="0002578E"/>
    <w:rsid w:val="00043CAA"/>
    <w:rsid w:val="00075432"/>
    <w:rsid w:val="00086BC0"/>
    <w:rsid w:val="000903E4"/>
    <w:rsid w:val="000968ED"/>
    <w:rsid w:val="000C7F14"/>
    <w:rsid w:val="000D4F41"/>
    <w:rsid w:val="000F5E56"/>
    <w:rsid w:val="00101001"/>
    <w:rsid w:val="00133F64"/>
    <w:rsid w:val="001362EE"/>
    <w:rsid w:val="00144D2E"/>
    <w:rsid w:val="00152F31"/>
    <w:rsid w:val="00180022"/>
    <w:rsid w:val="001832A6"/>
    <w:rsid w:val="00205FF8"/>
    <w:rsid w:val="0021217E"/>
    <w:rsid w:val="002458DD"/>
    <w:rsid w:val="002634C4"/>
    <w:rsid w:val="002827A5"/>
    <w:rsid w:val="002928D3"/>
    <w:rsid w:val="002C2579"/>
    <w:rsid w:val="002C785D"/>
    <w:rsid w:val="002F1FE6"/>
    <w:rsid w:val="002F4E68"/>
    <w:rsid w:val="00312F7F"/>
    <w:rsid w:val="0035027E"/>
    <w:rsid w:val="00356F56"/>
    <w:rsid w:val="00361450"/>
    <w:rsid w:val="003627F9"/>
    <w:rsid w:val="0036529D"/>
    <w:rsid w:val="003673CF"/>
    <w:rsid w:val="003845C1"/>
    <w:rsid w:val="003A6F89"/>
    <w:rsid w:val="003B38C1"/>
    <w:rsid w:val="003D5D61"/>
    <w:rsid w:val="003F2A1F"/>
    <w:rsid w:val="003F68F7"/>
    <w:rsid w:val="004056AF"/>
    <w:rsid w:val="00423E3E"/>
    <w:rsid w:val="00427AF4"/>
    <w:rsid w:val="00433FCC"/>
    <w:rsid w:val="00462AD9"/>
    <w:rsid w:val="004647DA"/>
    <w:rsid w:val="00474062"/>
    <w:rsid w:val="00477D6B"/>
    <w:rsid w:val="0048479E"/>
    <w:rsid w:val="004916FD"/>
    <w:rsid w:val="004F0D17"/>
    <w:rsid w:val="004F3C6B"/>
    <w:rsid w:val="004F74E6"/>
    <w:rsid w:val="00500805"/>
    <w:rsid w:val="005019FF"/>
    <w:rsid w:val="00507EED"/>
    <w:rsid w:val="00514CA3"/>
    <w:rsid w:val="0053057A"/>
    <w:rsid w:val="00545211"/>
    <w:rsid w:val="00551CE7"/>
    <w:rsid w:val="00560A29"/>
    <w:rsid w:val="005A3EC8"/>
    <w:rsid w:val="005C1D2B"/>
    <w:rsid w:val="005C40A3"/>
    <w:rsid w:val="005C6649"/>
    <w:rsid w:val="00605827"/>
    <w:rsid w:val="006077F3"/>
    <w:rsid w:val="00635751"/>
    <w:rsid w:val="00646050"/>
    <w:rsid w:val="006713CA"/>
    <w:rsid w:val="00676C5C"/>
    <w:rsid w:val="006C03CC"/>
    <w:rsid w:val="006D2BEB"/>
    <w:rsid w:val="006D32C8"/>
    <w:rsid w:val="006D3792"/>
    <w:rsid w:val="00736C3F"/>
    <w:rsid w:val="007B3897"/>
    <w:rsid w:val="007D1613"/>
    <w:rsid w:val="007E4C0E"/>
    <w:rsid w:val="007F0288"/>
    <w:rsid w:val="007F0F45"/>
    <w:rsid w:val="00837953"/>
    <w:rsid w:val="00867CE9"/>
    <w:rsid w:val="00893E5A"/>
    <w:rsid w:val="008A00F5"/>
    <w:rsid w:val="008B2CC1"/>
    <w:rsid w:val="008B50A2"/>
    <w:rsid w:val="008B60B2"/>
    <w:rsid w:val="008C5ECC"/>
    <w:rsid w:val="008E3F63"/>
    <w:rsid w:val="0090731E"/>
    <w:rsid w:val="00912DAE"/>
    <w:rsid w:val="00916EE2"/>
    <w:rsid w:val="0091759C"/>
    <w:rsid w:val="00924BD2"/>
    <w:rsid w:val="0095097C"/>
    <w:rsid w:val="0095155F"/>
    <w:rsid w:val="00966A22"/>
    <w:rsid w:val="0096722F"/>
    <w:rsid w:val="00980843"/>
    <w:rsid w:val="00980A15"/>
    <w:rsid w:val="009E01D3"/>
    <w:rsid w:val="009E2791"/>
    <w:rsid w:val="009E3F6F"/>
    <w:rsid w:val="009F499F"/>
    <w:rsid w:val="00A04C86"/>
    <w:rsid w:val="00A05CF3"/>
    <w:rsid w:val="00A13F71"/>
    <w:rsid w:val="00A3681A"/>
    <w:rsid w:val="00A42DAF"/>
    <w:rsid w:val="00A45BD8"/>
    <w:rsid w:val="00A6067D"/>
    <w:rsid w:val="00A869B7"/>
    <w:rsid w:val="00A90A29"/>
    <w:rsid w:val="00A93FC2"/>
    <w:rsid w:val="00A970DC"/>
    <w:rsid w:val="00AA5F79"/>
    <w:rsid w:val="00AB3E5B"/>
    <w:rsid w:val="00AC205C"/>
    <w:rsid w:val="00AF0A6B"/>
    <w:rsid w:val="00B05A69"/>
    <w:rsid w:val="00B27534"/>
    <w:rsid w:val="00B65BAD"/>
    <w:rsid w:val="00B9734B"/>
    <w:rsid w:val="00BA30E2"/>
    <w:rsid w:val="00BD078D"/>
    <w:rsid w:val="00BF00D7"/>
    <w:rsid w:val="00BF35AE"/>
    <w:rsid w:val="00C11BFE"/>
    <w:rsid w:val="00C200CB"/>
    <w:rsid w:val="00C441B8"/>
    <w:rsid w:val="00C5068F"/>
    <w:rsid w:val="00C650A4"/>
    <w:rsid w:val="00C71970"/>
    <w:rsid w:val="00C83D3A"/>
    <w:rsid w:val="00C870D5"/>
    <w:rsid w:val="00CA47D0"/>
    <w:rsid w:val="00CD04F1"/>
    <w:rsid w:val="00CD0D8F"/>
    <w:rsid w:val="00CD34C1"/>
    <w:rsid w:val="00D45252"/>
    <w:rsid w:val="00D71B4D"/>
    <w:rsid w:val="00D93D55"/>
    <w:rsid w:val="00D95826"/>
    <w:rsid w:val="00DB1934"/>
    <w:rsid w:val="00E15015"/>
    <w:rsid w:val="00E22C57"/>
    <w:rsid w:val="00E3046A"/>
    <w:rsid w:val="00E335FE"/>
    <w:rsid w:val="00E372B5"/>
    <w:rsid w:val="00E82D0C"/>
    <w:rsid w:val="00EC4E49"/>
    <w:rsid w:val="00ED3C5F"/>
    <w:rsid w:val="00ED77FB"/>
    <w:rsid w:val="00EE45FA"/>
    <w:rsid w:val="00EF7FC7"/>
    <w:rsid w:val="00F360E4"/>
    <w:rsid w:val="00F57CED"/>
    <w:rsid w:val="00F66152"/>
    <w:rsid w:val="00F828BB"/>
    <w:rsid w:val="00F96272"/>
    <w:rsid w:val="00F974CB"/>
    <w:rsid w:val="00F97F86"/>
    <w:rsid w:val="00FA4CE0"/>
    <w:rsid w:val="00FB400E"/>
    <w:rsid w:val="00FD06A7"/>
    <w:rsid w:val="00FD3F84"/>
    <w:rsid w:val="00FF5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5C40A3"/>
    <w:rPr>
      <w:rFonts w:ascii="Arial" w:eastAsia="SimSun" w:hAnsi="Arial" w:cs="Arial"/>
      <w:sz w:val="22"/>
      <w:lang w:eastAsia="zh-CN"/>
    </w:rPr>
  </w:style>
  <w:style w:type="character" w:customStyle="1" w:styleId="FootnoteTextChar">
    <w:name w:val="Footnote Text Char"/>
    <w:basedOn w:val="DefaultParagraphFont"/>
    <w:link w:val="FootnoteText"/>
    <w:uiPriority w:val="99"/>
    <w:semiHidden/>
    <w:rsid w:val="00CD0D8F"/>
    <w:rPr>
      <w:rFonts w:ascii="Arial" w:eastAsia="SimSun" w:hAnsi="Arial" w:cs="Arial"/>
      <w:sz w:val="18"/>
      <w:lang w:eastAsia="zh-CN"/>
    </w:rPr>
  </w:style>
  <w:style w:type="character" w:styleId="FootnoteReference">
    <w:name w:val="footnote reference"/>
    <w:basedOn w:val="DefaultParagraphFont"/>
    <w:uiPriority w:val="99"/>
    <w:unhideWhenUsed/>
    <w:rsid w:val="00CD0D8F"/>
    <w:rPr>
      <w:rFonts w:ascii="Times New Roman" w:hAnsi="Times New Roman" w:cs="Times New Roman" w:hint="default"/>
      <w:vertAlign w:val="superscript"/>
    </w:rPr>
  </w:style>
  <w:style w:type="character" w:styleId="Hyperlink">
    <w:name w:val="Hyperlink"/>
    <w:basedOn w:val="DefaultParagraphFont"/>
    <w:rsid w:val="00A04C8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5C40A3"/>
    <w:rPr>
      <w:rFonts w:ascii="Arial" w:eastAsia="SimSun" w:hAnsi="Arial" w:cs="Arial"/>
      <w:sz w:val="22"/>
      <w:lang w:eastAsia="zh-CN"/>
    </w:rPr>
  </w:style>
  <w:style w:type="character" w:customStyle="1" w:styleId="FootnoteTextChar">
    <w:name w:val="Footnote Text Char"/>
    <w:basedOn w:val="DefaultParagraphFont"/>
    <w:link w:val="FootnoteText"/>
    <w:uiPriority w:val="99"/>
    <w:semiHidden/>
    <w:rsid w:val="00CD0D8F"/>
    <w:rPr>
      <w:rFonts w:ascii="Arial" w:eastAsia="SimSun" w:hAnsi="Arial" w:cs="Arial"/>
      <w:sz w:val="18"/>
      <w:lang w:eastAsia="zh-CN"/>
    </w:rPr>
  </w:style>
  <w:style w:type="character" w:styleId="FootnoteReference">
    <w:name w:val="footnote reference"/>
    <w:basedOn w:val="DefaultParagraphFont"/>
    <w:uiPriority w:val="99"/>
    <w:unhideWhenUsed/>
    <w:rsid w:val="00CD0D8F"/>
    <w:rPr>
      <w:rFonts w:ascii="Times New Roman" w:hAnsi="Times New Roman" w:cs="Times New Roman" w:hint="default"/>
      <w:vertAlign w:val="superscript"/>
    </w:rPr>
  </w:style>
  <w:style w:type="character" w:styleId="Hyperlink">
    <w:name w:val="Hyperlink"/>
    <w:basedOn w:val="DefaultParagraphFont"/>
    <w:rsid w:val="00A04C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67972">
      <w:bodyDiv w:val="1"/>
      <w:marLeft w:val="0"/>
      <w:marRight w:val="0"/>
      <w:marTop w:val="0"/>
      <w:marBottom w:val="0"/>
      <w:divBdr>
        <w:top w:val="none" w:sz="0" w:space="0" w:color="auto"/>
        <w:left w:val="none" w:sz="0" w:space="0" w:color="auto"/>
        <w:bottom w:val="none" w:sz="0" w:space="0" w:color="auto"/>
        <w:right w:val="none" w:sz="0" w:space="0" w:color="auto"/>
      </w:divBdr>
    </w:div>
    <w:div w:id="705179382">
      <w:bodyDiv w:val="1"/>
      <w:marLeft w:val="0"/>
      <w:marRight w:val="0"/>
      <w:marTop w:val="0"/>
      <w:marBottom w:val="0"/>
      <w:divBdr>
        <w:top w:val="none" w:sz="0" w:space="0" w:color="auto"/>
        <w:left w:val="none" w:sz="0" w:space="0" w:color="auto"/>
        <w:bottom w:val="none" w:sz="0" w:space="0" w:color="auto"/>
        <w:right w:val="none" w:sz="0" w:space="0" w:color="auto"/>
      </w:divBdr>
    </w:div>
    <w:div w:id="149024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export/sites/www/pct/en/quality/2016/2016_xv.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ipo.int/export/sites/www/pct/en/quality/2015/2015_xv.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ipstats/en/statistics/technology_concordanc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CTC%203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8CFF6-91FD-4C3B-804E-4B1CE6B8A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CTC 30 (E)</Template>
  <TotalTime>8</TotalTime>
  <Pages>14</Pages>
  <Words>6848</Words>
  <Characters>39174</Characters>
  <Application>Microsoft Office Word</Application>
  <DocSecurity>0</DocSecurity>
  <Lines>739</Lines>
  <Paragraphs>284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PCT/CTC/30/24</vt:lpstr>
      <vt:lpstr>PCT/CTC/30/24</vt:lpstr>
    </vt:vector>
  </TitlesOfParts>
  <Company>WIPO</Company>
  <LinksUpToDate>false</LinksUpToDate>
  <CharactersWithSpaces>45738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PCT/CTC/30/24</dc:title>
  <dc:subject>Extension of Appointment of the Visegrad Patent Institute as an International Searching and Preliminary Examining Authority Under the PCT</dc:subject>
  <dc:creator>MARLOW Thomas</dc:creator>
  <cp:keywords>MP/ko</cp:keywords>
  <cp:lastModifiedBy>MARLOW Thomas</cp:lastModifiedBy>
  <cp:revision>5</cp:revision>
  <cp:lastPrinted>2017-03-22T12:28:00Z</cp:lastPrinted>
  <dcterms:created xsi:type="dcterms:W3CDTF">2017-03-27T13:55:00Z</dcterms:created>
  <dcterms:modified xsi:type="dcterms:W3CDTF">2017-03-28T10:01:00Z</dcterms:modified>
</cp:coreProperties>
</file>