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B718C6" w:rsidRPr="00C67C18" w14:paraId="6F45A0B4" w14:textId="77777777" w:rsidTr="00E62AB7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5E05B8C" w14:textId="77777777" w:rsidR="00B718C6" w:rsidRPr="00C67C18" w:rsidRDefault="00B718C6" w:rsidP="00320FDF">
            <w:pPr>
              <w:rPr>
                <w:lang w:val="fr-FR"/>
              </w:rPr>
            </w:pPr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B250111" w14:textId="77777777" w:rsidR="00B718C6" w:rsidRPr="00C67C18" w:rsidRDefault="00B718C6" w:rsidP="00320FDF">
            <w:pPr>
              <w:rPr>
                <w:lang w:val="fr-FR"/>
              </w:rPr>
            </w:pPr>
            <w:r w:rsidRPr="00C67C18">
              <w:rPr>
                <w:noProof/>
                <w:lang w:eastAsia="en-US"/>
              </w:rPr>
              <w:drawing>
                <wp:inline distT="0" distB="0" distL="0" distR="0" wp14:anchorId="4AEB4447" wp14:editId="3EA729B1">
                  <wp:extent cx="1856740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5A6E902" w14:textId="77777777" w:rsidR="00B718C6" w:rsidRPr="00C67C18" w:rsidRDefault="00B718C6" w:rsidP="00320FDF">
            <w:pPr>
              <w:jc w:val="right"/>
              <w:rPr>
                <w:lang w:val="fr-FR"/>
              </w:rPr>
            </w:pPr>
            <w:r w:rsidRPr="00C67C18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B718C6" w:rsidRPr="00C67C18" w14:paraId="0BC5D56A" w14:textId="77777777" w:rsidTr="00E62AB7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5D331552" w14:textId="77777777" w:rsidR="00B718C6" w:rsidRPr="00C67C18" w:rsidRDefault="00B718C6" w:rsidP="00320FDF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C67C18">
              <w:rPr>
                <w:rFonts w:ascii="Arial Black" w:hAnsi="Arial Black"/>
                <w:caps/>
                <w:sz w:val="15"/>
                <w:lang w:val="fr-FR"/>
              </w:rPr>
              <w:t>PCT/CTC/30/</w:t>
            </w:r>
            <w:bookmarkStart w:id="1" w:name="Code"/>
            <w:bookmarkEnd w:id="1"/>
            <w:r w:rsidRPr="00C67C18">
              <w:rPr>
                <w:rFonts w:ascii="Arial Black" w:hAnsi="Arial Black"/>
                <w:caps/>
                <w:sz w:val="15"/>
                <w:lang w:val="fr-FR"/>
              </w:rPr>
              <w:t>19</w:t>
            </w:r>
          </w:p>
        </w:tc>
      </w:tr>
      <w:tr w:rsidR="00B718C6" w:rsidRPr="00C67C18" w14:paraId="6D0273CA" w14:textId="77777777" w:rsidTr="00E62AB7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3F990931" w14:textId="3581FEC5" w:rsidR="00B718C6" w:rsidRPr="00C67C18" w:rsidRDefault="00B718C6" w:rsidP="00320FDF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C67C18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220660" w:rsidRPr="00C67C18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C67C18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2" w:name="Original"/>
            <w:bookmarkEnd w:id="2"/>
            <w:r w:rsidRPr="00C67C18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B718C6" w:rsidRPr="00C67C18" w14:paraId="18430FCC" w14:textId="77777777" w:rsidTr="00E62AB7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1221082B" w14:textId="40820058" w:rsidR="00B718C6" w:rsidRPr="00C67C18" w:rsidRDefault="00B718C6" w:rsidP="00320FDF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C67C18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220660" w:rsidRPr="00C67C18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C67C18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3" w:name="Date"/>
            <w:bookmarkEnd w:id="3"/>
            <w:r w:rsidRPr="00C67C18">
              <w:rPr>
                <w:rFonts w:ascii="Arial Black" w:hAnsi="Arial Black"/>
                <w:caps/>
                <w:sz w:val="15"/>
                <w:lang w:val="fr-FR"/>
              </w:rPr>
              <w:t>16</w:t>
            </w:r>
            <w:r w:rsidR="00E62AB7" w:rsidRPr="00C67C18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C67C18">
              <w:rPr>
                <w:rFonts w:ascii="Arial Black" w:hAnsi="Arial Black"/>
                <w:caps/>
                <w:sz w:val="15"/>
                <w:lang w:val="fr-FR"/>
              </w:rPr>
              <w:t>mars</w:t>
            </w:r>
            <w:r w:rsidR="00E62AB7" w:rsidRPr="00C67C18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C67C18">
              <w:rPr>
                <w:rFonts w:ascii="Arial Black" w:hAnsi="Arial Black"/>
                <w:caps/>
                <w:sz w:val="15"/>
                <w:lang w:val="fr-FR"/>
              </w:rPr>
              <w:t>2017</w:t>
            </w:r>
          </w:p>
        </w:tc>
      </w:tr>
    </w:tbl>
    <w:p w14:paraId="5FC1C519" w14:textId="77777777" w:rsidR="00B718C6" w:rsidRPr="00C67C18" w:rsidRDefault="00B718C6" w:rsidP="00320FDF">
      <w:pPr>
        <w:rPr>
          <w:lang w:val="fr-FR"/>
        </w:rPr>
      </w:pPr>
    </w:p>
    <w:p w14:paraId="27B32E92" w14:textId="77777777" w:rsidR="00B718C6" w:rsidRPr="00C67C18" w:rsidRDefault="00B718C6" w:rsidP="00320FDF">
      <w:pPr>
        <w:rPr>
          <w:lang w:val="fr-FR"/>
        </w:rPr>
      </w:pPr>
    </w:p>
    <w:p w14:paraId="200E4C64" w14:textId="77777777" w:rsidR="00B718C6" w:rsidRPr="00C67C18" w:rsidRDefault="00B718C6" w:rsidP="00320FDF">
      <w:pPr>
        <w:rPr>
          <w:lang w:val="fr-FR"/>
        </w:rPr>
      </w:pPr>
    </w:p>
    <w:p w14:paraId="5F955864" w14:textId="77777777" w:rsidR="00B718C6" w:rsidRPr="00C67C18" w:rsidRDefault="00B718C6" w:rsidP="00320FDF">
      <w:pPr>
        <w:rPr>
          <w:lang w:val="fr-FR"/>
        </w:rPr>
      </w:pPr>
    </w:p>
    <w:p w14:paraId="7F6CD9C7" w14:textId="77777777" w:rsidR="00B718C6" w:rsidRPr="00C67C18" w:rsidRDefault="00B718C6" w:rsidP="00320FDF">
      <w:pPr>
        <w:rPr>
          <w:lang w:val="fr-FR"/>
        </w:rPr>
      </w:pPr>
    </w:p>
    <w:p w14:paraId="0DEBA540" w14:textId="77777777" w:rsidR="00B718C6" w:rsidRPr="00C67C18" w:rsidRDefault="00B718C6" w:rsidP="00320FDF">
      <w:pPr>
        <w:rPr>
          <w:b/>
          <w:sz w:val="28"/>
          <w:szCs w:val="28"/>
          <w:lang w:val="fr-FR"/>
        </w:rPr>
      </w:pPr>
      <w:r w:rsidRPr="00C67C18">
        <w:rPr>
          <w:b/>
          <w:sz w:val="28"/>
          <w:szCs w:val="28"/>
          <w:lang w:val="fr-FR"/>
        </w:rPr>
        <w:t>Traité de coopération en matière</w:t>
      </w:r>
      <w:bookmarkStart w:id="4" w:name="_GoBack"/>
      <w:bookmarkEnd w:id="4"/>
      <w:r w:rsidRPr="00C67C18">
        <w:rPr>
          <w:b/>
          <w:sz w:val="28"/>
          <w:szCs w:val="28"/>
          <w:lang w:val="fr-FR"/>
        </w:rPr>
        <w:t xml:space="preserve"> de brevets (PCT)</w:t>
      </w:r>
    </w:p>
    <w:p w14:paraId="242F48C4" w14:textId="77777777" w:rsidR="00B718C6" w:rsidRPr="00C67C18" w:rsidRDefault="00B718C6" w:rsidP="00320FDF">
      <w:pPr>
        <w:rPr>
          <w:b/>
          <w:sz w:val="28"/>
          <w:szCs w:val="28"/>
          <w:lang w:val="fr-FR"/>
        </w:rPr>
      </w:pPr>
      <w:r w:rsidRPr="00C67C18">
        <w:rPr>
          <w:b/>
          <w:sz w:val="28"/>
          <w:szCs w:val="28"/>
          <w:lang w:val="fr-FR"/>
        </w:rPr>
        <w:t>Comité de coopération technique</w:t>
      </w:r>
    </w:p>
    <w:p w14:paraId="450749BD" w14:textId="77777777" w:rsidR="00B718C6" w:rsidRPr="00C67C18" w:rsidRDefault="00B718C6" w:rsidP="00320FDF">
      <w:pPr>
        <w:rPr>
          <w:lang w:val="fr-FR"/>
        </w:rPr>
      </w:pPr>
    </w:p>
    <w:p w14:paraId="43A4BCE3" w14:textId="77777777" w:rsidR="00B718C6" w:rsidRPr="00C67C18" w:rsidRDefault="00B718C6" w:rsidP="00320FDF">
      <w:pPr>
        <w:rPr>
          <w:lang w:val="fr-FR"/>
        </w:rPr>
      </w:pPr>
    </w:p>
    <w:p w14:paraId="21EF3984" w14:textId="1BE80E14" w:rsidR="00B718C6" w:rsidRPr="00C67C18" w:rsidRDefault="00B718C6" w:rsidP="00320FDF">
      <w:pPr>
        <w:rPr>
          <w:b/>
          <w:sz w:val="24"/>
          <w:szCs w:val="24"/>
          <w:lang w:val="fr-FR"/>
        </w:rPr>
      </w:pPr>
      <w:r w:rsidRPr="00C67C18">
        <w:rPr>
          <w:b/>
          <w:sz w:val="24"/>
          <w:szCs w:val="24"/>
          <w:lang w:val="fr-FR"/>
        </w:rPr>
        <w:t>Trent</w:t>
      </w:r>
      <w:r w:rsidR="00220660" w:rsidRPr="00C67C18">
        <w:rPr>
          <w:b/>
          <w:sz w:val="24"/>
          <w:szCs w:val="24"/>
          <w:lang w:val="fr-FR"/>
        </w:rPr>
        <w:t>ième session</w:t>
      </w:r>
    </w:p>
    <w:p w14:paraId="717E49C0" w14:textId="2FE2C3FD" w:rsidR="00B718C6" w:rsidRPr="00C67C18" w:rsidRDefault="00B718C6" w:rsidP="00320FDF">
      <w:pPr>
        <w:rPr>
          <w:b/>
          <w:sz w:val="24"/>
          <w:szCs w:val="24"/>
          <w:lang w:val="fr-FR"/>
        </w:rPr>
      </w:pPr>
      <w:r w:rsidRPr="00C67C18">
        <w:rPr>
          <w:b/>
          <w:sz w:val="24"/>
          <w:szCs w:val="24"/>
          <w:lang w:val="fr-FR"/>
        </w:rPr>
        <w:t>Genève, 8 – 12</w:t>
      </w:r>
      <w:r w:rsidR="00AB16E4" w:rsidRPr="00C67C18">
        <w:rPr>
          <w:b/>
          <w:sz w:val="24"/>
          <w:szCs w:val="24"/>
          <w:lang w:val="fr-FR"/>
        </w:rPr>
        <w:t> </w:t>
      </w:r>
      <w:r w:rsidRPr="00C67C18">
        <w:rPr>
          <w:b/>
          <w:sz w:val="24"/>
          <w:szCs w:val="24"/>
          <w:lang w:val="fr-FR"/>
        </w:rPr>
        <w:t>mai</w:t>
      </w:r>
      <w:r w:rsidR="00AB16E4" w:rsidRPr="00C67C18">
        <w:rPr>
          <w:b/>
          <w:sz w:val="24"/>
          <w:szCs w:val="24"/>
          <w:lang w:val="fr-FR"/>
        </w:rPr>
        <w:t> </w:t>
      </w:r>
      <w:r w:rsidRPr="00C67C18">
        <w:rPr>
          <w:b/>
          <w:sz w:val="24"/>
          <w:szCs w:val="24"/>
          <w:lang w:val="fr-FR"/>
        </w:rPr>
        <w:t>2017</w:t>
      </w:r>
    </w:p>
    <w:p w14:paraId="14E051EC" w14:textId="77777777" w:rsidR="00B718C6" w:rsidRPr="00C67C18" w:rsidRDefault="00B718C6" w:rsidP="00320FDF">
      <w:pPr>
        <w:rPr>
          <w:lang w:val="fr-FR"/>
        </w:rPr>
      </w:pPr>
    </w:p>
    <w:p w14:paraId="7CB39848" w14:textId="77777777" w:rsidR="00B718C6" w:rsidRPr="00C67C18" w:rsidRDefault="00B718C6" w:rsidP="00320FDF">
      <w:pPr>
        <w:rPr>
          <w:lang w:val="fr-FR"/>
        </w:rPr>
      </w:pPr>
    </w:p>
    <w:p w14:paraId="10E60249" w14:textId="77777777" w:rsidR="00B718C6" w:rsidRPr="00C67C18" w:rsidRDefault="00B718C6" w:rsidP="00320FDF">
      <w:pPr>
        <w:rPr>
          <w:lang w:val="fr-FR"/>
        </w:rPr>
      </w:pPr>
    </w:p>
    <w:p w14:paraId="62F2755F" w14:textId="2F9D6C76" w:rsidR="008B2CC1" w:rsidRPr="00500A7B" w:rsidRDefault="00500A7B" w:rsidP="00320FDF">
      <w:pPr>
        <w:rPr>
          <w:caps/>
          <w:sz w:val="24"/>
          <w:lang w:val="fr-FR"/>
        </w:rPr>
      </w:pPr>
      <w:r w:rsidRPr="00500A7B">
        <w:rPr>
          <w:caps/>
          <w:sz w:val="24"/>
          <w:lang w:val="fr-FR"/>
        </w:rPr>
        <w:t>Prolongation de la nomination de l’Office de la propriété intellectuelle de Singapour en qualité d’administration chargée de la recherche internationale et de l’examen préliminaire international selon le PCT</w:t>
      </w:r>
    </w:p>
    <w:p w14:paraId="0A8DA8F6" w14:textId="77777777" w:rsidR="008B2CC1" w:rsidRPr="0096317D" w:rsidRDefault="008B2CC1" w:rsidP="00320FDF">
      <w:pPr>
        <w:rPr>
          <w:lang w:val="fr-FR"/>
        </w:rPr>
      </w:pPr>
    </w:p>
    <w:p w14:paraId="7797AAF9" w14:textId="77777777" w:rsidR="008B2CC1" w:rsidRPr="0096317D" w:rsidRDefault="00E62AB7" w:rsidP="00320FDF">
      <w:pPr>
        <w:rPr>
          <w:i/>
          <w:lang w:val="fr-FR"/>
        </w:rPr>
      </w:pPr>
      <w:bookmarkStart w:id="5" w:name="Prepared"/>
      <w:bookmarkEnd w:id="5"/>
      <w:r w:rsidRPr="0096317D">
        <w:rPr>
          <w:i/>
          <w:lang w:val="fr-FR"/>
        </w:rPr>
        <w:t>Document établi par le Bureau international</w:t>
      </w:r>
    </w:p>
    <w:p w14:paraId="108708D9" w14:textId="77777777" w:rsidR="00AC205C" w:rsidRPr="0096317D" w:rsidRDefault="00AC205C" w:rsidP="00320FDF">
      <w:pPr>
        <w:rPr>
          <w:lang w:val="fr-FR"/>
        </w:rPr>
      </w:pPr>
    </w:p>
    <w:p w14:paraId="276B2003" w14:textId="77777777" w:rsidR="000F5E56" w:rsidRPr="0096317D" w:rsidRDefault="000F5E56" w:rsidP="00320FDF">
      <w:pPr>
        <w:rPr>
          <w:lang w:val="fr-FR"/>
        </w:rPr>
      </w:pPr>
    </w:p>
    <w:p w14:paraId="53B7C8E3" w14:textId="77777777" w:rsidR="002928D3" w:rsidRPr="0096317D" w:rsidRDefault="002928D3" w:rsidP="00320FDF">
      <w:pPr>
        <w:rPr>
          <w:lang w:val="fr-FR"/>
        </w:rPr>
      </w:pPr>
    </w:p>
    <w:p w14:paraId="4CA29657" w14:textId="77777777" w:rsidR="002928D3" w:rsidRPr="0096317D" w:rsidRDefault="002928D3" w:rsidP="00320FDF">
      <w:pPr>
        <w:rPr>
          <w:lang w:val="fr-FR"/>
        </w:rPr>
      </w:pPr>
    </w:p>
    <w:p w14:paraId="146E5456" w14:textId="1C2C5448" w:rsidR="005C40A3" w:rsidRPr="0096317D" w:rsidRDefault="00E62AB7" w:rsidP="00320FDF">
      <w:pPr>
        <w:pStyle w:val="ONUMFS"/>
        <w:rPr>
          <w:lang w:val="fr-FR"/>
        </w:rPr>
      </w:pPr>
      <w:r w:rsidRPr="0096317D">
        <w:rPr>
          <w:lang w:val="fr-FR"/>
        </w:rPr>
        <w:t>Toutes les administrations internationales existantes ont été nommées par l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>Assemblée de l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>Union</w:t>
      </w:r>
      <w:r w:rsidR="00220660" w:rsidRPr="0096317D">
        <w:rPr>
          <w:lang w:val="fr-FR"/>
        </w:rPr>
        <w:t xml:space="preserve"> du PCT</w:t>
      </w:r>
      <w:r w:rsidRPr="0096317D">
        <w:rPr>
          <w:lang w:val="fr-FR"/>
        </w:rPr>
        <w:t xml:space="preserve"> pour une période s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 xml:space="preserve">achevant le 31 décembre 2017. </w:t>
      </w:r>
      <w:r w:rsidR="00D8335B" w:rsidRPr="0096317D">
        <w:rPr>
          <w:lang w:val="fr-FR"/>
        </w:rPr>
        <w:t xml:space="preserve"> </w:t>
      </w:r>
      <w:r w:rsidRPr="0096317D">
        <w:rPr>
          <w:lang w:val="fr-FR"/>
        </w:rPr>
        <w:t>En 2017, l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>assemblée devra donc prendre une décision en ce qui concerne la prolongation de la nomination de chaque administration internationale existante qui souhaite demander une telle prolongation, après avoir sollicité l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>avis du comité (voir les articles 16.3)e) et 32.3)</w:t>
      </w:r>
      <w:r w:rsidR="00220660" w:rsidRPr="0096317D">
        <w:rPr>
          <w:lang w:val="fr-FR"/>
        </w:rPr>
        <w:t xml:space="preserve"> du PCT</w:t>
      </w:r>
      <w:r w:rsidRPr="0096317D">
        <w:rPr>
          <w:lang w:val="fr-FR"/>
        </w:rPr>
        <w:t xml:space="preserve">). </w:t>
      </w:r>
      <w:r w:rsidR="00D8335B" w:rsidRPr="0096317D">
        <w:rPr>
          <w:lang w:val="fr-FR"/>
        </w:rPr>
        <w:t xml:space="preserve"> </w:t>
      </w:r>
      <w:r w:rsidRPr="0096317D">
        <w:rPr>
          <w:lang w:val="fr-FR"/>
        </w:rPr>
        <w:t>On trouvera des informations concernant la procédure applicable et le rôle du comité dans le document PCT/CTC/30/INF/1</w:t>
      </w:r>
      <w:r w:rsidR="0035027E" w:rsidRPr="0096317D">
        <w:rPr>
          <w:lang w:val="fr-FR"/>
        </w:rPr>
        <w:t>.</w:t>
      </w:r>
    </w:p>
    <w:p w14:paraId="67A61AB7" w14:textId="2DC99AE4" w:rsidR="005C40A3" w:rsidRPr="0096317D" w:rsidRDefault="00E62AB7" w:rsidP="00320FDF">
      <w:pPr>
        <w:pStyle w:val="ONUMFS"/>
        <w:rPr>
          <w:lang w:val="fr-FR"/>
        </w:rPr>
      </w:pPr>
      <w:r w:rsidRPr="0096317D">
        <w:rPr>
          <w:lang w:val="fr-FR"/>
        </w:rPr>
        <w:t>Le 2 mars </w:t>
      </w:r>
      <w:r w:rsidR="00AA5F79" w:rsidRPr="0096317D">
        <w:rPr>
          <w:lang w:val="fr-FR"/>
        </w:rPr>
        <w:t xml:space="preserve">2017, </w:t>
      </w:r>
      <w:r w:rsidRPr="0096317D">
        <w:rPr>
          <w:lang w:val="fr-FR"/>
        </w:rPr>
        <w:t>l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 xml:space="preserve">Office de la propriété intellectuelle de Singapour </w:t>
      </w:r>
      <w:r w:rsidR="00710036" w:rsidRPr="0096317D">
        <w:rPr>
          <w:lang w:val="fr-FR"/>
        </w:rPr>
        <w:t>a présenté une demande de prolongation de sa nomination en qualité d</w:t>
      </w:r>
      <w:r w:rsidR="00220660" w:rsidRPr="0096317D">
        <w:rPr>
          <w:lang w:val="fr-FR"/>
        </w:rPr>
        <w:t>’</w:t>
      </w:r>
      <w:r w:rsidR="00710036" w:rsidRPr="0096317D">
        <w:rPr>
          <w:lang w:val="fr-FR"/>
        </w:rPr>
        <w:t>administration chargée de la recherche internationale et d</w:t>
      </w:r>
      <w:r w:rsidR="00220660" w:rsidRPr="0096317D">
        <w:rPr>
          <w:lang w:val="fr-FR"/>
        </w:rPr>
        <w:t>’</w:t>
      </w:r>
      <w:r w:rsidR="00710036" w:rsidRPr="0096317D">
        <w:rPr>
          <w:lang w:val="fr-FR"/>
        </w:rPr>
        <w:t>administration chargée de l</w:t>
      </w:r>
      <w:r w:rsidR="00220660" w:rsidRPr="0096317D">
        <w:rPr>
          <w:lang w:val="fr-FR"/>
        </w:rPr>
        <w:t>’</w:t>
      </w:r>
      <w:r w:rsidR="00710036" w:rsidRPr="0096317D">
        <w:rPr>
          <w:lang w:val="fr-FR"/>
        </w:rPr>
        <w:t>examen préliminaire international selon</w:t>
      </w:r>
      <w:r w:rsidR="00220660" w:rsidRPr="0096317D">
        <w:rPr>
          <w:lang w:val="fr-FR"/>
        </w:rPr>
        <w:t xml:space="preserve"> le </w:t>
      </w:r>
      <w:r w:rsidR="0096317D" w:rsidRPr="0096317D">
        <w:rPr>
          <w:lang w:val="fr-FR"/>
        </w:rPr>
        <w:t>PCT.  Ce</w:t>
      </w:r>
      <w:r w:rsidR="00710036" w:rsidRPr="0096317D">
        <w:rPr>
          <w:lang w:val="fr-FR"/>
        </w:rPr>
        <w:t>tte demande est reproduite à l</w:t>
      </w:r>
      <w:r w:rsidR="00220660" w:rsidRPr="0096317D">
        <w:rPr>
          <w:lang w:val="fr-FR"/>
        </w:rPr>
        <w:t>’</w:t>
      </w:r>
      <w:r w:rsidR="00710036" w:rsidRPr="0096317D">
        <w:rPr>
          <w:lang w:val="fr-FR"/>
        </w:rPr>
        <w:t>annexe du présent document</w:t>
      </w:r>
      <w:r w:rsidR="00AA5F79" w:rsidRPr="0096317D">
        <w:rPr>
          <w:lang w:val="fr-FR"/>
        </w:rPr>
        <w:t>.</w:t>
      </w:r>
    </w:p>
    <w:p w14:paraId="6A5BD683" w14:textId="77777777" w:rsidR="005C40A3" w:rsidRPr="00500A7B" w:rsidRDefault="00E62AB7" w:rsidP="00320FDF">
      <w:pPr>
        <w:pStyle w:val="ONUMFS"/>
        <w:ind w:left="5533"/>
        <w:rPr>
          <w:i/>
          <w:lang w:val="fr-FR"/>
        </w:rPr>
      </w:pPr>
      <w:r w:rsidRPr="00500A7B">
        <w:rPr>
          <w:i/>
          <w:lang w:val="fr-FR"/>
        </w:rPr>
        <w:t>Le comité est invité à faire part de son avis sur cette question</w:t>
      </w:r>
      <w:r w:rsidR="00AA5F79" w:rsidRPr="00500A7B">
        <w:rPr>
          <w:i/>
          <w:lang w:val="fr-FR"/>
        </w:rPr>
        <w:t>.</w:t>
      </w:r>
    </w:p>
    <w:p w14:paraId="60415F57" w14:textId="77777777" w:rsidR="00AA5F79" w:rsidRPr="001D1CDF" w:rsidRDefault="00AA5F79" w:rsidP="00320FDF">
      <w:pPr>
        <w:rPr>
          <w:lang w:val="fr-FR"/>
        </w:rPr>
      </w:pPr>
    </w:p>
    <w:p w14:paraId="4556B80B" w14:textId="77777777" w:rsidR="00500A7B" w:rsidRPr="001D1CDF" w:rsidRDefault="00500A7B" w:rsidP="00320FDF">
      <w:pPr>
        <w:rPr>
          <w:lang w:val="fr-FR"/>
        </w:rPr>
      </w:pPr>
    </w:p>
    <w:p w14:paraId="46F38132" w14:textId="1562DEA7" w:rsidR="00AA5F79" w:rsidRPr="0096317D" w:rsidRDefault="00AA5F79" w:rsidP="00320FDF">
      <w:pPr>
        <w:pStyle w:val="ONUME"/>
        <w:numPr>
          <w:ilvl w:val="0"/>
          <w:numId w:val="0"/>
        </w:numPr>
        <w:ind w:left="5533"/>
        <w:rPr>
          <w:lang w:val="fr-FR"/>
        </w:rPr>
        <w:sectPr w:rsidR="00AA5F79" w:rsidRPr="0096317D" w:rsidSect="00220660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96317D">
        <w:rPr>
          <w:lang w:val="fr-FR"/>
        </w:rPr>
        <w:t>[</w:t>
      </w:r>
      <w:r w:rsidR="00E62AB7" w:rsidRPr="0096317D">
        <w:rPr>
          <w:lang w:val="fr-FR"/>
        </w:rPr>
        <w:t>L</w:t>
      </w:r>
      <w:r w:rsidR="00220660" w:rsidRPr="0096317D">
        <w:rPr>
          <w:lang w:val="fr-FR"/>
        </w:rPr>
        <w:t>’</w:t>
      </w:r>
      <w:r w:rsidR="00E62AB7" w:rsidRPr="0096317D">
        <w:rPr>
          <w:lang w:val="fr-FR"/>
        </w:rPr>
        <w:t>annexe suit</w:t>
      </w:r>
      <w:r w:rsidRPr="0096317D">
        <w:rPr>
          <w:lang w:val="fr-FR"/>
        </w:rPr>
        <w:t>]</w:t>
      </w:r>
    </w:p>
    <w:p w14:paraId="06B026EC" w14:textId="7E3F5770" w:rsidR="00AA5F79" w:rsidRPr="00500A7B" w:rsidRDefault="00500A7B" w:rsidP="00320FDF">
      <w:pPr>
        <w:spacing w:after="240"/>
        <w:jc w:val="center"/>
        <w:rPr>
          <w:caps/>
          <w:lang w:val="fr-FR"/>
        </w:rPr>
      </w:pPr>
      <w:r w:rsidRPr="00500A7B">
        <w:rPr>
          <w:caps/>
          <w:lang w:val="fr-FR"/>
        </w:rPr>
        <w:lastRenderedPageBreak/>
        <w:t>Demande de prolongation de la nomination</w:t>
      </w:r>
      <w:r w:rsidRPr="00500A7B">
        <w:rPr>
          <w:caps/>
          <w:lang w:val="fr-FR"/>
        </w:rPr>
        <w:br/>
        <w:t>de l’Office de la propriété intellectuelle de Singapour</w:t>
      </w:r>
      <w:r w:rsidRPr="00500A7B">
        <w:rPr>
          <w:caps/>
          <w:lang w:val="fr-FR"/>
        </w:rPr>
        <w:br/>
        <w:t>en qualité d’administration chargée de la recherche internationale</w:t>
      </w:r>
      <w:r w:rsidRPr="00500A7B">
        <w:rPr>
          <w:caps/>
          <w:lang w:val="fr-FR"/>
        </w:rPr>
        <w:br/>
        <w:t>et de l’examen préliminaire international selon le PCT</w:t>
      </w:r>
    </w:p>
    <w:p w14:paraId="2ED1D15A" w14:textId="4D36EB75" w:rsidR="000E64C9" w:rsidRPr="0096317D" w:rsidRDefault="00500A7B" w:rsidP="00320FDF">
      <w:pPr>
        <w:pStyle w:val="Heading1"/>
        <w:rPr>
          <w:lang w:val="fr-FR"/>
        </w:rPr>
      </w:pPr>
      <w:r w:rsidRPr="0096317D">
        <w:rPr>
          <w:lang w:val="fr-FR"/>
        </w:rPr>
        <w:t>1.</w:t>
      </w:r>
      <w:r w:rsidRPr="0096317D">
        <w:rPr>
          <w:lang w:val="fr-FR"/>
        </w:rPr>
        <w:tab/>
      </w:r>
      <w:r>
        <w:rPr>
          <w:lang w:val="fr-FR"/>
        </w:rPr>
        <w:t>I</w:t>
      </w:r>
      <w:r w:rsidRPr="0096317D">
        <w:rPr>
          <w:lang w:val="fr-FR"/>
        </w:rPr>
        <w:t>nformations générales</w:t>
      </w:r>
    </w:p>
    <w:p w14:paraId="42592437" w14:textId="5C3BAD3D" w:rsidR="000E64C9" w:rsidRDefault="00500A7B" w:rsidP="00320FDF">
      <w:pPr>
        <w:pStyle w:val="Heading2"/>
        <w:rPr>
          <w:lang w:val="fr-FR"/>
        </w:rPr>
      </w:pPr>
      <w:r>
        <w:rPr>
          <w:lang w:val="fr-FR"/>
        </w:rPr>
        <w:t>1.1</w:t>
      </w:r>
      <w:r>
        <w:rPr>
          <w:lang w:val="fr-FR"/>
        </w:rPr>
        <w:tab/>
        <w:t>N</w:t>
      </w:r>
      <w:r w:rsidR="00320FDF">
        <w:rPr>
          <w:lang w:val="fr-FR"/>
        </w:rPr>
        <w:t>om de l’office</w:t>
      </w:r>
    </w:p>
    <w:p w14:paraId="7871E455" w14:textId="77777777" w:rsidR="00320FDF" w:rsidRPr="00320FDF" w:rsidRDefault="00320FDF" w:rsidP="00320FDF">
      <w:pPr>
        <w:rPr>
          <w:lang w:val="fr-FR"/>
        </w:rPr>
      </w:pPr>
    </w:p>
    <w:p w14:paraId="70CF267F" w14:textId="73BBCD4E" w:rsidR="00AA5F79" w:rsidRPr="0096317D" w:rsidRDefault="00DC16F7" w:rsidP="00320FDF">
      <w:pPr>
        <w:jc w:val="both"/>
        <w:rPr>
          <w:bCs/>
          <w:szCs w:val="22"/>
          <w:lang w:val="fr-FR"/>
        </w:rPr>
      </w:pPr>
      <w:r w:rsidRPr="0096317D">
        <w:rPr>
          <w:bCs/>
          <w:szCs w:val="22"/>
          <w:lang w:val="fr-FR"/>
        </w:rPr>
        <w:t xml:space="preserve">Office de la propriété intellectuelle de Singapour </w:t>
      </w:r>
      <w:r w:rsidR="000E64C9" w:rsidRPr="0096317D">
        <w:rPr>
          <w:bCs/>
          <w:szCs w:val="22"/>
          <w:lang w:val="fr-FR"/>
        </w:rPr>
        <w:t>(IPOS)</w:t>
      </w:r>
    </w:p>
    <w:p w14:paraId="5604D224" w14:textId="3E9B9561" w:rsidR="000E64C9" w:rsidRDefault="00500A7B" w:rsidP="00320FDF">
      <w:pPr>
        <w:pStyle w:val="Heading2"/>
        <w:rPr>
          <w:lang w:val="fr-FR"/>
        </w:rPr>
      </w:pPr>
      <w:r w:rsidRPr="0096317D">
        <w:rPr>
          <w:lang w:val="fr-FR"/>
        </w:rPr>
        <w:t>1.2</w:t>
      </w:r>
      <w:r w:rsidRPr="0096317D">
        <w:rPr>
          <w:lang w:val="fr-FR"/>
        </w:rPr>
        <w:tab/>
      </w:r>
      <w:r>
        <w:rPr>
          <w:lang w:val="fr-FR"/>
        </w:rPr>
        <w:t>S</w:t>
      </w:r>
      <w:r w:rsidRPr="0096317D">
        <w:rPr>
          <w:lang w:val="fr-FR"/>
        </w:rPr>
        <w:t>ession de l’assemblée à laquell</w:t>
      </w:r>
      <w:r w:rsidR="00320FDF">
        <w:rPr>
          <w:lang w:val="fr-FR"/>
        </w:rPr>
        <w:t>e la nomination a été demandée</w:t>
      </w:r>
    </w:p>
    <w:p w14:paraId="66014955" w14:textId="77777777" w:rsidR="00320FDF" w:rsidRPr="00320FDF" w:rsidRDefault="00320FDF" w:rsidP="00320FDF">
      <w:pPr>
        <w:rPr>
          <w:lang w:val="fr-FR"/>
        </w:rPr>
      </w:pPr>
    </w:p>
    <w:p w14:paraId="11FEA099" w14:textId="73E6B646" w:rsidR="000E64C9" w:rsidRPr="0096317D" w:rsidRDefault="00A40BFE" w:rsidP="00320FDF">
      <w:pPr>
        <w:pStyle w:val="ONUME"/>
        <w:numPr>
          <w:ilvl w:val="0"/>
          <w:numId w:val="0"/>
        </w:numPr>
        <w:rPr>
          <w:lang w:val="fr-FR"/>
        </w:rPr>
      </w:pPr>
      <w:r w:rsidRPr="0096317D">
        <w:rPr>
          <w:lang w:val="fr-FR"/>
        </w:rPr>
        <w:t>Quarante</w:t>
      </w:r>
      <w:r w:rsidR="00B776A6">
        <w:rPr>
          <w:lang w:val="fr-FR"/>
        </w:rPr>
        <w:noBreakHyphen/>
      </w:r>
      <w:r w:rsidRPr="0096317D">
        <w:rPr>
          <w:lang w:val="fr-FR"/>
        </w:rPr>
        <w:t>six</w:t>
      </w:r>
      <w:r w:rsidR="00220660" w:rsidRPr="0096317D">
        <w:rPr>
          <w:lang w:val="fr-FR"/>
        </w:rPr>
        <w:t>ième session</w:t>
      </w:r>
      <w:r w:rsidR="000E64C9" w:rsidRPr="0096317D">
        <w:rPr>
          <w:lang w:val="fr-FR"/>
        </w:rPr>
        <w:t xml:space="preserve"> (2</w:t>
      </w:r>
      <w:r w:rsidR="00666C16" w:rsidRPr="0096317D">
        <w:rPr>
          <w:lang w:val="fr-FR"/>
        </w:rPr>
        <w:t>7</w:t>
      </w:r>
      <w:r w:rsidRPr="0096317D">
        <w:rPr>
          <w:vertAlign w:val="superscript"/>
          <w:lang w:val="fr-FR"/>
        </w:rPr>
        <w:t>e</w:t>
      </w:r>
      <w:r w:rsidRPr="0096317D">
        <w:rPr>
          <w:lang w:val="fr-FR"/>
        </w:rPr>
        <w:t> session e</w:t>
      </w:r>
      <w:r w:rsidR="000E64C9" w:rsidRPr="0096317D">
        <w:rPr>
          <w:lang w:val="fr-FR"/>
        </w:rPr>
        <w:t>xtraordina</w:t>
      </w:r>
      <w:r w:rsidRPr="0096317D">
        <w:rPr>
          <w:lang w:val="fr-FR"/>
        </w:rPr>
        <w:t>i</w:t>
      </w:r>
      <w:r w:rsidR="000E64C9" w:rsidRPr="0096317D">
        <w:rPr>
          <w:lang w:val="fr-FR"/>
        </w:rPr>
        <w:t>r</w:t>
      </w:r>
      <w:r w:rsidRPr="0096317D">
        <w:rPr>
          <w:lang w:val="fr-FR"/>
        </w:rPr>
        <w:t>e</w:t>
      </w:r>
      <w:r w:rsidR="000E64C9" w:rsidRPr="0096317D">
        <w:rPr>
          <w:lang w:val="fr-FR"/>
        </w:rPr>
        <w:t>), Gen</w:t>
      </w:r>
      <w:r w:rsidRPr="0096317D">
        <w:rPr>
          <w:lang w:val="fr-FR"/>
        </w:rPr>
        <w:t>è</w:t>
      </w:r>
      <w:r w:rsidR="000E64C9" w:rsidRPr="0096317D">
        <w:rPr>
          <w:lang w:val="fr-FR"/>
        </w:rPr>
        <w:t>v</w:t>
      </w:r>
      <w:r w:rsidRPr="0096317D">
        <w:rPr>
          <w:lang w:val="fr-FR"/>
        </w:rPr>
        <w:t>e</w:t>
      </w:r>
      <w:r w:rsidR="000E64C9" w:rsidRPr="0096317D">
        <w:rPr>
          <w:lang w:val="fr-FR"/>
        </w:rPr>
        <w:t xml:space="preserve">, </w:t>
      </w:r>
      <w:r w:rsidRPr="0096317D">
        <w:rPr>
          <w:lang w:val="fr-FR"/>
        </w:rPr>
        <w:t>22</w:t>
      </w:r>
      <w:r w:rsidR="00500A7B">
        <w:rPr>
          <w:lang w:val="fr-FR"/>
        </w:rPr>
        <w:t xml:space="preserve"> – </w:t>
      </w:r>
      <w:r w:rsidRPr="0096317D">
        <w:rPr>
          <w:lang w:val="fr-FR"/>
        </w:rPr>
        <w:t>30 s</w:t>
      </w:r>
      <w:r w:rsidR="000E64C9" w:rsidRPr="0096317D">
        <w:rPr>
          <w:lang w:val="fr-FR"/>
        </w:rPr>
        <w:t>eptembr</w:t>
      </w:r>
      <w:r w:rsidRPr="0096317D">
        <w:rPr>
          <w:lang w:val="fr-FR"/>
        </w:rPr>
        <w:t>e </w:t>
      </w:r>
      <w:r w:rsidR="000E64C9" w:rsidRPr="0096317D">
        <w:rPr>
          <w:lang w:val="fr-FR"/>
        </w:rPr>
        <w:t>2014.</w:t>
      </w:r>
    </w:p>
    <w:p w14:paraId="7063C82C" w14:textId="6F76E630" w:rsidR="00AA5F79" w:rsidRPr="0096317D" w:rsidRDefault="00500A7B" w:rsidP="00320FDF">
      <w:pPr>
        <w:pStyle w:val="Heading1"/>
        <w:rPr>
          <w:lang w:val="fr-FR"/>
        </w:rPr>
      </w:pPr>
      <w:r w:rsidRPr="0096317D">
        <w:rPr>
          <w:lang w:val="fr-FR"/>
        </w:rPr>
        <w:t>2.</w:t>
      </w:r>
      <w:r w:rsidRPr="0096317D">
        <w:rPr>
          <w:lang w:val="fr-FR"/>
        </w:rPr>
        <w:tab/>
      </w:r>
      <w:r>
        <w:rPr>
          <w:lang w:val="fr-FR"/>
        </w:rPr>
        <w:t>C</w:t>
      </w:r>
      <w:r w:rsidRPr="0096317D">
        <w:rPr>
          <w:lang w:val="fr-FR"/>
        </w:rPr>
        <w:t>ritères matériels : exigences minimales applicables à</w:t>
      </w:r>
      <w:r w:rsidR="00320FDF">
        <w:rPr>
          <w:lang w:val="fr-FR"/>
        </w:rPr>
        <w:t> </w:t>
      </w:r>
      <w:r w:rsidRPr="0096317D">
        <w:rPr>
          <w:lang w:val="fr-FR"/>
        </w:rPr>
        <w:t>la</w:t>
      </w:r>
      <w:r w:rsidR="00320FDF">
        <w:rPr>
          <w:lang w:val="fr-FR"/>
        </w:rPr>
        <w:t> </w:t>
      </w:r>
      <w:r w:rsidRPr="0096317D">
        <w:rPr>
          <w:lang w:val="fr-FR"/>
        </w:rPr>
        <w:t>nomination</w:t>
      </w:r>
    </w:p>
    <w:p w14:paraId="3F0341D6" w14:textId="2C089C7A" w:rsidR="000E64C9" w:rsidRDefault="00500A7B" w:rsidP="00320FDF">
      <w:pPr>
        <w:pStyle w:val="Heading2"/>
        <w:rPr>
          <w:lang w:val="fr-FR"/>
        </w:rPr>
      </w:pPr>
      <w:r w:rsidRPr="0096317D">
        <w:rPr>
          <w:lang w:val="fr-FR"/>
        </w:rPr>
        <w:t>2.1</w:t>
      </w:r>
      <w:r w:rsidRPr="0096317D">
        <w:rPr>
          <w:lang w:val="fr-FR"/>
        </w:rPr>
        <w:tab/>
      </w:r>
      <w:r>
        <w:rPr>
          <w:lang w:val="fr-FR"/>
        </w:rPr>
        <w:t>C</w:t>
      </w:r>
      <w:r w:rsidRPr="0096317D">
        <w:rPr>
          <w:lang w:val="fr-FR"/>
        </w:rPr>
        <w:t>apacité en ma</w:t>
      </w:r>
      <w:r w:rsidR="00320FDF">
        <w:rPr>
          <w:lang w:val="fr-FR"/>
        </w:rPr>
        <w:t>tière de recherche et d’examen</w:t>
      </w:r>
    </w:p>
    <w:p w14:paraId="5A67399D" w14:textId="77777777" w:rsidR="00320FDF" w:rsidRPr="00320FDF" w:rsidRDefault="00320FDF" w:rsidP="00320FDF">
      <w:pPr>
        <w:rPr>
          <w:lang w:val="fr-FR"/>
        </w:rPr>
      </w:pPr>
    </w:p>
    <w:p w14:paraId="7B018056" w14:textId="5D5C5949" w:rsidR="00AA5F79" w:rsidRPr="0096317D" w:rsidRDefault="00666C16" w:rsidP="00320FDF">
      <w:pPr>
        <w:pStyle w:val="ONUME"/>
        <w:numPr>
          <w:ilvl w:val="0"/>
          <w:numId w:val="0"/>
        </w:numPr>
        <w:rPr>
          <w:i/>
          <w:lang w:val="fr-FR"/>
        </w:rPr>
      </w:pPr>
      <w:r w:rsidRPr="0096317D">
        <w:rPr>
          <w:i/>
          <w:lang w:val="fr-FR"/>
        </w:rPr>
        <w:t xml:space="preserve">En vertu des </w:t>
      </w:r>
      <w:r w:rsidR="00A40BFE" w:rsidRPr="0096317D">
        <w:rPr>
          <w:i/>
          <w:lang w:val="fr-FR"/>
        </w:rPr>
        <w:t>règles 36.1.i) et 63.1.i)</w:t>
      </w:r>
      <w:r w:rsidR="00220660" w:rsidRPr="0096317D">
        <w:rPr>
          <w:i/>
          <w:lang w:val="fr-FR"/>
        </w:rPr>
        <w:t xml:space="preserve"> du PCT</w:t>
      </w:r>
      <w:r w:rsidR="00A40BFE" w:rsidRPr="0096317D">
        <w:rPr>
          <w:i/>
          <w:lang w:val="fr-FR"/>
        </w:rPr>
        <w:t>, l</w:t>
      </w:r>
      <w:r w:rsidR="00220660" w:rsidRPr="0096317D">
        <w:rPr>
          <w:i/>
          <w:lang w:val="fr-FR"/>
        </w:rPr>
        <w:t>’</w:t>
      </w:r>
      <w:r w:rsidR="00A40BFE" w:rsidRPr="0096317D">
        <w:rPr>
          <w:i/>
          <w:lang w:val="fr-FR"/>
        </w:rPr>
        <w:t>office national ou l</w:t>
      </w:r>
      <w:r w:rsidR="00220660" w:rsidRPr="0096317D">
        <w:rPr>
          <w:i/>
          <w:lang w:val="fr-FR"/>
        </w:rPr>
        <w:t>’</w:t>
      </w:r>
      <w:r w:rsidR="00A40BFE" w:rsidRPr="0096317D">
        <w:rPr>
          <w:i/>
          <w:lang w:val="fr-FR"/>
        </w:rPr>
        <w:t xml:space="preserve">organisation intergouvernementale doit avoir au moins </w:t>
      </w:r>
      <w:r w:rsidR="00C502DF" w:rsidRPr="0096317D">
        <w:rPr>
          <w:i/>
          <w:lang w:val="fr-FR"/>
        </w:rPr>
        <w:t xml:space="preserve">cent </w:t>
      </w:r>
      <w:r w:rsidR="00A40BFE" w:rsidRPr="0096317D">
        <w:rPr>
          <w:i/>
          <w:lang w:val="fr-FR"/>
        </w:rPr>
        <w:t>employés à plein temps possédant des qualifications techniques suffisantes pour procéder à la recherche et à l</w:t>
      </w:r>
      <w:r w:rsidR="00220660" w:rsidRPr="0096317D">
        <w:rPr>
          <w:i/>
          <w:lang w:val="fr-FR"/>
        </w:rPr>
        <w:t>’</w:t>
      </w:r>
      <w:r w:rsidR="00A40BFE" w:rsidRPr="0096317D">
        <w:rPr>
          <w:i/>
          <w:lang w:val="fr-FR"/>
        </w:rPr>
        <w:t>examen.</w:t>
      </w:r>
    </w:p>
    <w:p w14:paraId="03A55C08" w14:textId="6911E408" w:rsidR="00AA5F79" w:rsidRPr="0096317D" w:rsidRDefault="00AB16E4" w:rsidP="00320FDF">
      <w:pPr>
        <w:pStyle w:val="ONUME"/>
        <w:numPr>
          <w:ilvl w:val="0"/>
          <w:numId w:val="0"/>
        </w:numPr>
        <w:rPr>
          <w:lang w:val="fr-FR"/>
        </w:rPr>
      </w:pPr>
      <w:r w:rsidRPr="0096317D">
        <w:rPr>
          <w:lang w:val="fr-FR"/>
        </w:rPr>
        <w:t>En novembre 2016, l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>IPOS dispose de 102 examinateurs de brevet</w:t>
      </w:r>
      <w:r w:rsidR="00666C16" w:rsidRPr="0096317D">
        <w:rPr>
          <w:lang w:val="fr-FR"/>
        </w:rPr>
        <w:t>s</w:t>
      </w:r>
      <w:r w:rsidRPr="0096317D">
        <w:rPr>
          <w:lang w:val="fr-FR"/>
        </w:rPr>
        <w:t xml:space="preserve"> à plein temps, dont plus de 90% </w:t>
      </w:r>
      <w:r w:rsidR="007D7B6D" w:rsidRPr="0096317D">
        <w:rPr>
          <w:lang w:val="fr-FR"/>
        </w:rPr>
        <w:t>s</w:t>
      </w:r>
      <w:r w:rsidRPr="0096317D">
        <w:rPr>
          <w:lang w:val="fr-FR"/>
        </w:rPr>
        <w:t xml:space="preserve">ont </w:t>
      </w:r>
      <w:r w:rsidR="007D7B6D" w:rsidRPr="0096317D">
        <w:rPr>
          <w:lang w:val="fr-FR"/>
        </w:rPr>
        <w:t>titulaires d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>un doctor</w:t>
      </w:r>
      <w:r w:rsidR="0096317D" w:rsidRPr="0096317D">
        <w:rPr>
          <w:lang w:val="fr-FR"/>
        </w:rPr>
        <w:t>at.  Il</w:t>
      </w:r>
      <w:r w:rsidRPr="0096317D">
        <w:rPr>
          <w:lang w:val="fr-FR"/>
        </w:rPr>
        <w:t xml:space="preserve">s </w:t>
      </w:r>
      <w:r w:rsidR="001B1AB7" w:rsidRPr="0096317D">
        <w:rPr>
          <w:lang w:val="fr-FR"/>
        </w:rPr>
        <w:t>pro</w:t>
      </w:r>
      <w:r w:rsidRPr="0096317D">
        <w:rPr>
          <w:lang w:val="fr-FR"/>
        </w:rPr>
        <w:t xml:space="preserve">viennent </w:t>
      </w:r>
      <w:r w:rsidR="007D7B6D" w:rsidRPr="0096317D">
        <w:rPr>
          <w:lang w:val="fr-FR"/>
        </w:rPr>
        <w:t>d</w:t>
      </w:r>
      <w:r w:rsidR="00220660" w:rsidRPr="0096317D">
        <w:rPr>
          <w:lang w:val="fr-FR"/>
        </w:rPr>
        <w:t>’</w:t>
      </w:r>
      <w:r w:rsidR="007D7B6D" w:rsidRPr="0096317D">
        <w:rPr>
          <w:lang w:val="fr-FR"/>
        </w:rPr>
        <w:t>établissements universitaires de premier plan</w:t>
      </w:r>
      <w:r w:rsidRPr="0096317D">
        <w:rPr>
          <w:lang w:val="fr-FR"/>
        </w:rPr>
        <w:t xml:space="preserve"> du monde entier</w:t>
      </w:r>
      <w:r w:rsidR="001B1AB7" w:rsidRPr="0096317D">
        <w:rPr>
          <w:lang w:val="fr-FR"/>
        </w:rPr>
        <w:t>,</w:t>
      </w:r>
      <w:r w:rsidRPr="0096317D">
        <w:rPr>
          <w:lang w:val="fr-FR"/>
        </w:rPr>
        <w:t xml:space="preserve"> comme </w:t>
      </w:r>
      <w:r w:rsidR="001B1AB7" w:rsidRPr="0096317D">
        <w:rPr>
          <w:lang w:val="fr-FR"/>
        </w:rPr>
        <w:t>l</w:t>
      </w:r>
      <w:r w:rsidR="00220660" w:rsidRPr="0096317D">
        <w:rPr>
          <w:lang w:val="fr-FR"/>
        </w:rPr>
        <w:t>’</w:t>
      </w:r>
      <w:r w:rsidR="001B1AB7" w:rsidRPr="0096317D">
        <w:rPr>
          <w:lang w:val="fr-FR"/>
        </w:rPr>
        <w:t>Université nationale de Singapour, l</w:t>
      </w:r>
      <w:r w:rsidR="00220660" w:rsidRPr="0096317D">
        <w:rPr>
          <w:lang w:val="fr-FR"/>
        </w:rPr>
        <w:t>’</w:t>
      </w:r>
      <w:r w:rsidR="001B1AB7" w:rsidRPr="0096317D">
        <w:rPr>
          <w:lang w:val="fr-FR"/>
        </w:rPr>
        <w:t>Université de technologie de Nanyang (Singapour), l</w:t>
      </w:r>
      <w:r w:rsidR="00220660" w:rsidRPr="0096317D">
        <w:rPr>
          <w:lang w:val="fr-FR"/>
        </w:rPr>
        <w:t>’</w:t>
      </w:r>
      <w:r w:rsidR="001B1AB7" w:rsidRPr="0096317D">
        <w:rPr>
          <w:lang w:val="fr-FR"/>
        </w:rPr>
        <w:t>Université Johns Hopkins (États</w:t>
      </w:r>
      <w:r w:rsidR="00B776A6">
        <w:rPr>
          <w:lang w:val="fr-FR"/>
        </w:rPr>
        <w:noBreakHyphen/>
      </w:r>
      <w:r w:rsidR="001B1AB7" w:rsidRPr="0096317D">
        <w:rPr>
          <w:lang w:val="fr-FR"/>
        </w:rPr>
        <w:t>Unis</w:t>
      </w:r>
      <w:r w:rsidR="00D8335B" w:rsidRPr="0096317D">
        <w:rPr>
          <w:lang w:val="fr-FR"/>
        </w:rPr>
        <w:t xml:space="preserve"> d’Amérique</w:t>
      </w:r>
      <w:r w:rsidR="001B1AB7" w:rsidRPr="0096317D">
        <w:rPr>
          <w:lang w:val="fr-FR"/>
        </w:rPr>
        <w:t>), l</w:t>
      </w:r>
      <w:r w:rsidR="00220660" w:rsidRPr="0096317D">
        <w:rPr>
          <w:lang w:val="fr-FR"/>
        </w:rPr>
        <w:t>’</w:t>
      </w:r>
      <w:r w:rsidR="001B1AB7" w:rsidRPr="0096317D">
        <w:rPr>
          <w:lang w:val="fr-FR"/>
        </w:rPr>
        <w:t>Imperial College London (Royaume</w:t>
      </w:r>
      <w:r w:rsidR="00B776A6">
        <w:rPr>
          <w:lang w:val="fr-FR"/>
        </w:rPr>
        <w:noBreakHyphen/>
      </w:r>
      <w:r w:rsidR="001B1AB7" w:rsidRPr="0096317D">
        <w:rPr>
          <w:lang w:val="fr-FR"/>
        </w:rPr>
        <w:t>Uni), l</w:t>
      </w:r>
      <w:r w:rsidR="00220660" w:rsidRPr="0096317D">
        <w:rPr>
          <w:lang w:val="fr-FR"/>
        </w:rPr>
        <w:t>’</w:t>
      </w:r>
      <w:r w:rsidR="001B1AB7" w:rsidRPr="0096317D">
        <w:rPr>
          <w:lang w:val="fr-FR"/>
        </w:rPr>
        <w:t>Université technique de Munich (Allemagne), l</w:t>
      </w:r>
      <w:r w:rsidR="00220660" w:rsidRPr="0096317D">
        <w:rPr>
          <w:lang w:val="fr-FR"/>
        </w:rPr>
        <w:t>’</w:t>
      </w:r>
      <w:r w:rsidR="001B1AB7" w:rsidRPr="0096317D">
        <w:rPr>
          <w:lang w:val="fr-FR"/>
        </w:rPr>
        <w:t>Université Monash (Australie), l</w:t>
      </w:r>
      <w:r w:rsidR="00220660" w:rsidRPr="0096317D">
        <w:rPr>
          <w:lang w:val="fr-FR"/>
        </w:rPr>
        <w:t>’</w:t>
      </w:r>
      <w:r w:rsidR="001B1AB7" w:rsidRPr="0096317D">
        <w:rPr>
          <w:lang w:val="fr-FR"/>
        </w:rPr>
        <w:t>Université de Pékin (Chine), l</w:t>
      </w:r>
      <w:r w:rsidR="00220660" w:rsidRPr="0096317D">
        <w:rPr>
          <w:lang w:val="fr-FR"/>
        </w:rPr>
        <w:t>’</w:t>
      </w:r>
      <w:r w:rsidR="001B1AB7" w:rsidRPr="0096317D">
        <w:rPr>
          <w:lang w:val="fr-FR"/>
        </w:rPr>
        <w:t>Université de Tsinghua (Chine) et l</w:t>
      </w:r>
      <w:r w:rsidR="00220660" w:rsidRPr="0096317D">
        <w:rPr>
          <w:lang w:val="fr-FR"/>
        </w:rPr>
        <w:t>’</w:t>
      </w:r>
      <w:r w:rsidR="001B1AB7" w:rsidRPr="0096317D">
        <w:rPr>
          <w:lang w:val="fr-FR"/>
        </w:rPr>
        <w:t>Université de Zhejiang (Chi</w:t>
      </w:r>
      <w:r w:rsidR="0096317D" w:rsidRPr="0096317D">
        <w:rPr>
          <w:lang w:val="fr-FR"/>
        </w:rPr>
        <w:t>ne).  En</w:t>
      </w:r>
      <w:r w:rsidR="001B1AB7" w:rsidRPr="0096317D">
        <w:rPr>
          <w:lang w:val="fr-FR"/>
        </w:rPr>
        <w:t xml:space="preserve"> outre, la plupart ont publié dans des revues de forte influence et nombre d</w:t>
      </w:r>
      <w:r w:rsidR="00220660" w:rsidRPr="0096317D">
        <w:rPr>
          <w:lang w:val="fr-FR"/>
        </w:rPr>
        <w:t>’</w:t>
      </w:r>
      <w:r w:rsidR="001B1AB7" w:rsidRPr="0096317D">
        <w:rPr>
          <w:lang w:val="fr-FR"/>
        </w:rPr>
        <w:t>entre eux sont cités en tant que co</w:t>
      </w:r>
      <w:r w:rsidR="00B776A6">
        <w:rPr>
          <w:lang w:val="fr-FR"/>
        </w:rPr>
        <w:noBreakHyphen/>
      </w:r>
      <w:r w:rsidR="00584E85" w:rsidRPr="0096317D">
        <w:rPr>
          <w:lang w:val="fr-FR"/>
        </w:rPr>
        <w:t>i</w:t>
      </w:r>
      <w:r w:rsidR="001B1AB7" w:rsidRPr="0096317D">
        <w:rPr>
          <w:lang w:val="fr-FR"/>
        </w:rPr>
        <w:t>nventeurs dans des demandes de brevet.</w:t>
      </w:r>
    </w:p>
    <w:p w14:paraId="79C84AE3" w14:textId="55EA4B5E" w:rsidR="000E64C9" w:rsidRPr="0096317D" w:rsidRDefault="001B1AB7" w:rsidP="00320FDF">
      <w:pPr>
        <w:pStyle w:val="ONUME"/>
        <w:numPr>
          <w:ilvl w:val="0"/>
          <w:numId w:val="0"/>
        </w:numPr>
        <w:rPr>
          <w:lang w:val="fr-FR"/>
        </w:rPr>
      </w:pPr>
      <w:r w:rsidRPr="0096317D">
        <w:rPr>
          <w:lang w:val="fr-FR"/>
        </w:rPr>
        <w:t>Ci</w:t>
      </w:r>
      <w:r w:rsidR="00B776A6">
        <w:rPr>
          <w:lang w:val="fr-FR"/>
        </w:rPr>
        <w:noBreakHyphen/>
      </w:r>
      <w:r w:rsidRPr="0096317D">
        <w:rPr>
          <w:lang w:val="fr-FR"/>
        </w:rPr>
        <w:t xml:space="preserve">dessous </w:t>
      </w:r>
      <w:r w:rsidR="00584E85" w:rsidRPr="0096317D">
        <w:rPr>
          <w:lang w:val="fr-FR"/>
        </w:rPr>
        <w:t>figure un décompte des examinateurs de brevet</w:t>
      </w:r>
      <w:r w:rsidR="00666C16" w:rsidRPr="0096317D">
        <w:rPr>
          <w:lang w:val="fr-FR"/>
        </w:rPr>
        <w:t>s</w:t>
      </w:r>
      <w:r w:rsidR="00584E85" w:rsidRPr="0096317D">
        <w:rPr>
          <w:lang w:val="fr-FR"/>
        </w:rPr>
        <w:t xml:space="preserve"> de l</w:t>
      </w:r>
      <w:r w:rsidR="00220660" w:rsidRPr="0096317D">
        <w:rPr>
          <w:lang w:val="fr-FR"/>
        </w:rPr>
        <w:t>’</w:t>
      </w:r>
      <w:r w:rsidR="00584E85" w:rsidRPr="0096317D">
        <w:rPr>
          <w:lang w:val="fr-FR"/>
        </w:rPr>
        <w:t>IPOS répartis par domaine technique.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539"/>
        <w:gridCol w:w="2273"/>
        <w:gridCol w:w="2759"/>
      </w:tblGrid>
      <w:tr w:rsidR="000E64C9" w:rsidRPr="001D1CDF" w14:paraId="18FDB197" w14:textId="77777777" w:rsidTr="00320FDF">
        <w:trPr>
          <w:cantSplit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DD836" w14:textId="401238FF" w:rsidR="000E64C9" w:rsidRPr="0096317D" w:rsidRDefault="00C502DF" w:rsidP="00320FDF">
            <w:pPr>
              <w:keepNext/>
              <w:keepLines/>
              <w:suppressAutoHyphens/>
              <w:rPr>
                <w:rFonts w:eastAsia="Times New Roman"/>
                <w:b/>
                <w:bCs/>
                <w:szCs w:val="22"/>
                <w:lang w:val="fr-FR" w:eastAsia="en-US" w:bidi="he-IL"/>
              </w:rPr>
            </w:pPr>
            <w:r w:rsidRPr="0096317D">
              <w:rPr>
                <w:b/>
                <w:bCs/>
                <w:szCs w:val="22"/>
                <w:lang w:val="fr-FR" w:eastAsia="en-US" w:bidi="he-IL"/>
              </w:rPr>
              <w:t>Domaine technique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38E8" w14:textId="49D0DD43" w:rsidR="000E64C9" w:rsidRPr="0096317D" w:rsidRDefault="00C502DF" w:rsidP="00320FDF">
            <w:pPr>
              <w:keepNext/>
              <w:keepLines/>
              <w:suppressAutoHyphens/>
              <w:rPr>
                <w:rFonts w:eastAsia="Times New Roman"/>
                <w:b/>
                <w:bCs/>
                <w:szCs w:val="22"/>
                <w:lang w:val="fr-FR" w:eastAsia="en-US" w:bidi="he-IL"/>
              </w:rPr>
            </w:pPr>
            <w:r w:rsidRPr="0096317D">
              <w:rPr>
                <w:b/>
                <w:bCs/>
                <w:szCs w:val="22"/>
                <w:lang w:val="fr-FR" w:eastAsia="en-US" w:bidi="he-IL"/>
              </w:rPr>
              <w:t>Nombre (équivalent plein temps)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FD2FA" w14:textId="6AE87416" w:rsidR="000E64C9" w:rsidRPr="0096317D" w:rsidRDefault="00C502DF" w:rsidP="00320FDF">
            <w:pPr>
              <w:suppressAutoHyphens/>
              <w:rPr>
                <w:rFonts w:eastAsia="Times New Roman"/>
                <w:b/>
                <w:bCs/>
                <w:szCs w:val="22"/>
                <w:lang w:val="fr-FR" w:eastAsia="en-US" w:bidi="he-IL"/>
              </w:rPr>
            </w:pPr>
            <w:r w:rsidRPr="0096317D">
              <w:rPr>
                <w:b/>
                <w:bCs/>
                <w:szCs w:val="22"/>
                <w:lang w:val="fr-FR" w:eastAsia="en-US" w:bidi="he-IL"/>
              </w:rPr>
              <w:t>Expérience moyenne en tant qu</w:t>
            </w:r>
            <w:r w:rsidR="00220660" w:rsidRPr="0096317D">
              <w:rPr>
                <w:b/>
                <w:bCs/>
                <w:szCs w:val="22"/>
                <w:lang w:val="fr-FR" w:eastAsia="en-US" w:bidi="he-IL"/>
              </w:rPr>
              <w:t>’</w:t>
            </w:r>
            <w:r w:rsidRPr="0096317D">
              <w:rPr>
                <w:b/>
                <w:bCs/>
                <w:szCs w:val="22"/>
                <w:lang w:val="fr-FR" w:eastAsia="en-US" w:bidi="he-IL"/>
              </w:rPr>
              <w:t>examinateurs (années)</w:t>
            </w:r>
          </w:p>
        </w:tc>
      </w:tr>
      <w:tr w:rsidR="000E64C9" w:rsidRPr="0096317D" w14:paraId="01C750CA" w14:textId="77777777" w:rsidTr="00320FDF">
        <w:trPr>
          <w:cantSplit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2AF91" w14:textId="37BCB717" w:rsidR="000E64C9" w:rsidRPr="0096317D" w:rsidRDefault="00C502DF" w:rsidP="00320FDF">
            <w:pPr>
              <w:keepNext/>
              <w:keepLines/>
              <w:suppressAutoHyphens/>
              <w:rPr>
                <w:rFonts w:eastAsia="Times New Roman"/>
                <w:szCs w:val="22"/>
                <w:lang w:val="fr-FR" w:eastAsia="en-US" w:bidi="he-IL"/>
              </w:rPr>
            </w:pPr>
            <w:r w:rsidRPr="0096317D">
              <w:rPr>
                <w:szCs w:val="22"/>
                <w:lang w:val="fr-FR" w:eastAsia="en-US" w:bidi="he-IL"/>
              </w:rPr>
              <w:t>Ingénierie et physique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632FB" w14:textId="77777777" w:rsidR="000E64C9" w:rsidRPr="0096317D" w:rsidRDefault="000E64C9" w:rsidP="00320FDF">
            <w:pPr>
              <w:keepNext/>
              <w:keepLines/>
              <w:suppressAutoHyphens/>
              <w:rPr>
                <w:rFonts w:eastAsia="Times New Roman"/>
                <w:szCs w:val="22"/>
                <w:lang w:val="fr-FR" w:eastAsia="en-US" w:bidi="he-IL"/>
              </w:rPr>
            </w:pPr>
            <w:r w:rsidRPr="0096317D">
              <w:rPr>
                <w:rFonts w:eastAsia="Times New Roman"/>
                <w:szCs w:val="22"/>
                <w:lang w:val="fr-FR" w:eastAsia="en-US" w:bidi="he-IL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E90D7" w14:textId="77777777" w:rsidR="000E64C9" w:rsidRPr="0096317D" w:rsidRDefault="000E64C9" w:rsidP="00320FDF">
            <w:pPr>
              <w:keepNext/>
              <w:keepLines/>
              <w:suppressAutoHyphens/>
              <w:rPr>
                <w:rFonts w:eastAsia="Times New Roman"/>
                <w:szCs w:val="22"/>
                <w:lang w:val="fr-FR" w:eastAsia="en-US" w:bidi="he-IL"/>
              </w:rPr>
            </w:pPr>
            <w:r w:rsidRPr="0096317D">
              <w:rPr>
                <w:rFonts w:eastAsia="Times New Roman"/>
                <w:szCs w:val="22"/>
                <w:lang w:val="fr-FR" w:eastAsia="en-US" w:bidi="he-IL"/>
              </w:rPr>
              <w:t>4</w:t>
            </w:r>
          </w:p>
        </w:tc>
      </w:tr>
      <w:tr w:rsidR="000E64C9" w:rsidRPr="0096317D" w14:paraId="49557411" w14:textId="77777777" w:rsidTr="00320FDF">
        <w:trPr>
          <w:cantSplit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31033" w14:textId="728F2104" w:rsidR="000E64C9" w:rsidRPr="0096317D" w:rsidRDefault="00584E85" w:rsidP="00320FDF">
            <w:pPr>
              <w:keepNext/>
              <w:keepLines/>
              <w:suppressAutoHyphens/>
              <w:rPr>
                <w:rFonts w:eastAsia="Times New Roman"/>
                <w:szCs w:val="22"/>
                <w:lang w:val="fr-FR" w:eastAsia="en-US" w:bidi="he-IL"/>
              </w:rPr>
            </w:pPr>
            <w:r w:rsidRPr="0096317D">
              <w:rPr>
                <w:szCs w:val="22"/>
                <w:lang w:val="fr-FR" w:eastAsia="en-US" w:bidi="he-IL"/>
              </w:rPr>
              <w:t>Technologies de l</w:t>
            </w:r>
            <w:r w:rsidR="00220660" w:rsidRPr="0096317D">
              <w:rPr>
                <w:szCs w:val="22"/>
                <w:lang w:val="fr-FR" w:eastAsia="en-US" w:bidi="he-IL"/>
              </w:rPr>
              <w:t>’</w:t>
            </w:r>
            <w:r w:rsidRPr="0096317D">
              <w:rPr>
                <w:szCs w:val="22"/>
                <w:lang w:val="fr-FR" w:eastAsia="en-US" w:bidi="he-IL"/>
              </w:rPr>
              <w:t>information et de la communication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164ED" w14:textId="77777777" w:rsidR="000E64C9" w:rsidRPr="0096317D" w:rsidRDefault="000E64C9" w:rsidP="00320FDF">
            <w:pPr>
              <w:keepNext/>
              <w:keepLines/>
              <w:suppressAutoHyphens/>
              <w:rPr>
                <w:rFonts w:eastAsia="Times New Roman"/>
                <w:szCs w:val="22"/>
                <w:lang w:val="fr-FR" w:eastAsia="en-US" w:bidi="he-IL"/>
              </w:rPr>
            </w:pPr>
            <w:r w:rsidRPr="0096317D">
              <w:rPr>
                <w:rFonts w:eastAsia="Times New Roman"/>
                <w:szCs w:val="22"/>
                <w:lang w:val="fr-FR" w:eastAsia="en-US" w:bidi="he-IL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98DE5" w14:textId="77777777" w:rsidR="000E64C9" w:rsidRPr="0096317D" w:rsidRDefault="000E64C9" w:rsidP="00320FDF">
            <w:pPr>
              <w:keepNext/>
              <w:keepLines/>
              <w:suppressAutoHyphens/>
              <w:rPr>
                <w:rFonts w:eastAsia="Times New Roman"/>
                <w:szCs w:val="22"/>
                <w:lang w:val="fr-FR" w:eastAsia="en-US" w:bidi="he-IL"/>
              </w:rPr>
            </w:pPr>
            <w:r w:rsidRPr="0096317D">
              <w:rPr>
                <w:rFonts w:eastAsia="Times New Roman"/>
                <w:szCs w:val="22"/>
                <w:lang w:val="fr-FR" w:eastAsia="en-US" w:bidi="he-IL"/>
              </w:rPr>
              <w:t>4</w:t>
            </w:r>
          </w:p>
        </w:tc>
      </w:tr>
      <w:tr w:rsidR="000E64C9" w:rsidRPr="0096317D" w14:paraId="29C11A24" w14:textId="77777777" w:rsidTr="00320FDF">
        <w:trPr>
          <w:cantSplit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27CE6" w14:textId="5BB595E7" w:rsidR="000E64C9" w:rsidRPr="0096317D" w:rsidRDefault="00C502DF" w:rsidP="00320FDF">
            <w:pPr>
              <w:keepNext/>
              <w:keepLines/>
              <w:suppressAutoHyphens/>
              <w:rPr>
                <w:rFonts w:eastAsia="Times New Roman"/>
                <w:szCs w:val="22"/>
                <w:lang w:val="fr-FR" w:eastAsia="en-US" w:bidi="he-IL"/>
              </w:rPr>
            </w:pPr>
            <w:r w:rsidRPr="0096317D">
              <w:rPr>
                <w:szCs w:val="22"/>
                <w:lang w:val="fr-FR" w:eastAsia="en-US" w:bidi="he-IL"/>
              </w:rPr>
              <w:t>Chimie et</w:t>
            </w:r>
            <w:r w:rsidR="000E64C9" w:rsidRPr="0096317D">
              <w:rPr>
                <w:szCs w:val="22"/>
                <w:lang w:val="fr-FR" w:eastAsia="en-US" w:bidi="he-IL"/>
              </w:rPr>
              <w:t xml:space="preserve"> mat</w:t>
            </w:r>
            <w:r w:rsidR="00584E85" w:rsidRPr="0096317D">
              <w:rPr>
                <w:szCs w:val="22"/>
                <w:lang w:val="fr-FR" w:eastAsia="en-US" w:bidi="he-IL"/>
              </w:rPr>
              <w:t>é</w:t>
            </w:r>
            <w:r w:rsidR="000E64C9" w:rsidRPr="0096317D">
              <w:rPr>
                <w:szCs w:val="22"/>
                <w:lang w:val="fr-FR" w:eastAsia="en-US" w:bidi="he-IL"/>
              </w:rPr>
              <w:t>ria</w:t>
            </w:r>
            <w:r w:rsidR="00584E85" w:rsidRPr="0096317D">
              <w:rPr>
                <w:szCs w:val="22"/>
                <w:lang w:val="fr-FR" w:eastAsia="en-US" w:bidi="he-IL"/>
              </w:rPr>
              <w:t>ux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E83C1" w14:textId="77777777" w:rsidR="000E64C9" w:rsidRPr="0096317D" w:rsidRDefault="000E64C9" w:rsidP="00320FDF">
            <w:pPr>
              <w:keepNext/>
              <w:keepLines/>
              <w:suppressAutoHyphens/>
              <w:rPr>
                <w:rFonts w:eastAsia="Times New Roman"/>
                <w:szCs w:val="22"/>
                <w:lang w:val="fr-FR" w:eastAsia="en-US" w:bidi="he-IL"/>
              </w:rPr>
            </w:pPr>
            <w:r w:rsidRPr="0096317D">
              <w:rPr>
                <w:rFonts w:eastAsia="Times New Roman"/>
                <w:szCs w:val="22"/>
                <w:lang w:val="fr-FR" w:eastAsia="en-US" w:bidi="he-IL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17B3A" w14:textId="77777777" w:rsidR="000E64C9" w:rsidRPr="0096317D" w:rsidRDefault="000E64C9" w:rsidP="00320FDF">
            <w:pPr>
              <w:keepNext/>
              <w:keepLines/>
              <w:suppressAutoHyphens/>
              <w:rPr>
                <w:rFonts w:eastAsia="Times New Roman"/>
                <w:szCs w:val="22"/>
                <w:lang w:val="fr-FR" w:eastAsia="en-US" w:bidi="he-IL"/>
              </w:rPr>
            </w:pPr>
            <w:r w:rsidRPr="0096317D">
              <w:rPr>
                <w:rFonts w:eastAsia="Times New Roman"/>
                <w:szCs w:val="22"/>
                <w:lang w:val="fr-FR" w:eastAsia="en-US" w:bidi="he-IL"/>
              </w:rPr>
              <w:t>4</w:t>
            </w:r>
          </w:p>
        </w:tc>
      </w:tr>
      <w:tr w:rsidR="000E64C9" w:rsidRPr="0096317D" w14:paraId="049F8057" w14:textId="77777777" w:rsidTr="00320FDF">
        <w:trPr>
          <w:cantSplit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4A826" w14:textId="45CB7A0C" w:rsidR="000E64C9" w:rsidRPr="0096317D" w:rsidRDefault="000E64C9" w:rsidP="00320FDF">
            <w:pPr>
              <w:keepNext/>
              <w:keepLines/>
              <w:suppressAutoHyphens/>
              <w:rPr>
                <w:rFonts w:eastAsia="Times New Roman"/>
                <w:szCs w:val="22"/>
                <w:lang w:val="fr-FR" w:eastAsia="en-US" w:bidi="he-IL"/>
              </w:rPr>
            </w:pPr>
            <w:r w:rsidRPr="0096317D">
              <w:rPr>
                <w:szCs w:val="22"/>
                <w:lang w:val="fr-FR" w:eastAsia="en-US" w:bidi="he-IL"/>
              </w:rPr>
              <w:t>Biotechnolog</w:t>
            </w:r>
            <w:r w:rsidR="00C502DF" w:rsidRPr="0096317D">
              <w:rPr>
                <w:szCs w:val="22"/>
                <w:lang w:val="fr-FR" w:eastAsia="en-US" w:bidi="he-IL"/>
              </w:rPr>
              <w:t>ie</w:t>
            </w:r>
            <w:r w:rsidRPr="0096317D">
              <w:rPr>
                <w:szCs w:val="22"/>
                <w:lang w:val="fr-FR" w:eastAsia="en-US" w:bidi="he-IL"/>
              </w:rPr>
              <w:t xml:space="preserve"> </w:t>
            </w:r>
            <w:r w:rsidR="00C502DF" w:rsidRPr="0096317D">
              <w:rPr>
                <w:szCs w:val="22"/>
                <w:lang w:val="fr-FR" w:eastAsia="en-US" w:bidi="he-IL"/>
              </w:rPr>
              <w:t>et</w:t>
            </w:r>
            <w:r w:rsidRPr="0096317D">
              <w:rPr>
                <w:szCs w:val="22"/>
                <w:lang w:val="fr-FR" w:eastAsia="en-US" w:bidi="he-IL"/>
              </w:rPr>
              <w:t xml:space="preserve"> </w:t>
            </w:r>
            <w:r w:rsidR="00584E85" w:rsidRPr="0096317D">
              <w:rPr>
                <w:szCs w:val="22"/>
                <w:lang w:val="fr-FR" w:eastAsia="en-US" w:bidi="he-IL"/>
              </w:rPr>
              <w:t xml:space="preserve">science </w:t>
            </w:r>
            <w:r w:rsidRPr="0096317D">
              <w:rPr>
                <w:szCs w:val="22"/>
                <w:lang w:val="fr-FR" w:eastAsia="en-US" w:bidi="he-IL"/>
              </w:rPr>
              <w:t>biom</w:t>
            </w:r>
            <w:r w:rsidR="00584E85" w:rsidRPr="0096317D">
              <w:rPr>
                <w:szCs w:val="22"/>
                <w:lang w:val="fr-FR" w:eastAsia="en-US" w:bidi="he-IL"/>
              </w:rPr>
              <w:t>é</w:t>
            </w:r>
            <w:r w:rsidRPr="0096317D">
              <w:rPr>
                <w:szCs w:val="22"/>
                <w:lang w:val="fr-FR" w:eastAsia="en-US" w:bidi="he-IL"/>
              </w:rPr>
              <w:t>dical</w:t>
            </w:r>
            <w:r w:rsidR="00584E85" w:rsidRPr="0096317D">
              <w:rPr>
                <w:szCs w:val="22"/>
                <w:lang w:val="fr-FR" w:eastAsia="en-US" w:bidi="he-IL"/>
              </w:rPr>
              <w:t>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3A82C" w14:textId="77777777" w:rsidR="000E64C9" w:rsidRPr="0096317D" w:rsidRDefault="000E64C9" w:rsidP="00320FDF">
            <w:pPr>
              <w:keepNext/>
              <w:keepLines/>
              <w:suppressAutoHyphens/>
              <w:rPr>
                <w:rFonts w:eastAsia="Times New Roman"/>
                <w:szCs w:val="22"/>
                <w:lang w:val="fr-FR" w:eastAsia="en-US" w:bidi="he-IL"/>
              </w:rPr>
            </w:pPr>
            <w:r w:rsidRPr="0096317D">
              <w:rPr>
                <w:rFonts w:eastAsia="Times New Roman"/>
                <w:szCs w:val="22"/>
                <w:lang w:val="fr-FR" w:eastAsia="en-US" w:bidi="he-IL"/>
              </w:rPr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78F41" w14:textId="77777777" w:rsidR="000E64C9" w:rsidRPr="0096317D" w:rsidRDefault="000E64C9" w:rsidP="00320FDF">
            <w:pPr>
              <w:keepNext/>
              <w:keepLines/>
              <w:suppressAutoHyphens/>
              <w:rPr>
                <w:rFonts w:eastAsia="Times New Roman"/>
                <w:szCs w:val="22"/>
                <w:lang w:val="fr-FR" w:eastAsia="en-US" w:bidi="he-IL"/>
              </w:rPr>
            </w:pPr>
            <w:r w:rsidRPr="0096317D">
              <w:rPr>
                <w:rFonts w:eastAsia="Times New Roman"/>
                <w:szCs w:val="22"/>
                <w:lang w:val="fr-FR" w:eastAsia="en-US" w:bidi="he-IL"/>
              </w:rPr>
              <w:t>4</w:t>
            </w:r>
          </w:p>
        </w:tc>
      </w:tr>
      <w:tr w:rsidR="000E64C9" w:rsidRPr="0096317D" w14:paraId="00FD3055" w14:textId="77777777" w:rsidTr="00320FDF">
        <w:trPr>
          <w:cantSplit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B4745" w14:textId="77777777" w:rsidR="000E64C9" w:rsidRPr="0096317D" w:rsidRDefault="000E64C9" w:rsidP="00320FDF">
            <w:pPr>
              <w:suppressAutoHyphens/>
              <w:rPr>
                <w:rFonts w:eastAsia="Times New Roman"/>
                <w:i/>
                <w:iCs/>
                <w:szCs w:val="22"/>
                <w:lang w:val="fr-FR" w:eastAsia="en-US" w:bidi="he-IL"/>
              </w:rPr>
            </w:pPr>
            <w:r w:rsidRPr="0096317D">
              <w:rPr>
                <w:i/>
                <w:iCs/>
                <w:szCs w:val="22"/>
                <w:lang w:val="fr-FR" w:eastAsia="en-US" w:bidi="he-IL"/>
              </w:rPr>
              <w:t>Total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A0EB7" w14:textId="77777777" w:rsidR="000E64C9" w:rsidRPr="0096317D" w:rsidRDefault="000E64C9" w:rsidP="00320FDF">
            <w:pPr>
              <w:suppressAutoHyphens/>
              <w:rPr>
                <w:rFonts w:eastAsia="Times New Roman"/>
                <w:i/>
                <w:iCs/>
                <w:szCs w:val="22"/>
                <w:lang w:val="fr-FR" w:eastAsia="en-US" w:bidi="he-IL"/>
              </w:rPr>
            </w:pPr>
            <w:r w:rsidRPr="0096317D">
              <w:rPr>
                <w:rFonts w:eastAsia="Times New Roman"/>
                <w:i/>
                <w:iCs/>
                <w:szCs w:val="22"/>
                <w:lang w:val="fr-FR" w:eastAsia="en-US" w:bidi="he-IL"/>
              </w:rPr>
              <w:t>102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1D344A4" w14:textId="77777777" w:rsidR="000E64C9" w:rsidRPr="0096317D" w:rsidRDefault="000E64C9" w:rsidP="00320FDF">
            <w:pPr>
              <w:suppressAutoHyphens/>
              <w:rPr>
                <w:rFonts w:eastAsia="Times New Roman"/>
                <w:iCs/>
                <w:szCs w:val="22"/>
                <w:lang w:val="fr-FR" w:eastAsia="en-US" w:bidi="he-IL"/>
              </w:rPr>
            </w:pPr>
          </w:p>
        </w:tc>
      </w:tr>
    </w:tbl>
    <w:p w14:paraId="0C33DDD0" w14:textId="77777777" w:rsidR="000E64C9" w:rsidRPr="0096317D" w:rsidRDefault="000E64C9" w:rsidP="00320FDF">
      <w:pPr>
        <w:pStyle w:val="ONUME"/>
        <w:numPr>
          <w:ilvl w:val="0"/>
          <w:numId w:val="0"/>
        </w:numPr>
        <w:rPr>
          <w:lang w:val="fr-FR"/>
        </w:rPr>
      </w:pPr>
    </w:p>
    <w:p w14:paraId="3CD11921" w14:textId="58505FFE" w:rsidR="00AA5F79" w:rsidRPr="0096317D" w:rsidRDefault="00584E85" w:rsidP="00320FDF">
      <w:pPr>
        <w:pStyle w:val="ONUME"/>
        <w:numPr>
          <w:ilvl w:val="0"/>
          <w:numId w:val="0"/>
        </w:numPr>
        <w:rPr>
          <w:lang w:val="fr-FR"/>
        </w:rPr>
      </w:pPr>
      <w:r w:rsidRPr="0096317D">
        <w:rPr>
          <w:lang w:val="fr-FR"/>
        </w:rPr>
        <w:t>L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 xml:space="preserve">IPOS </w:t>
      </w:r>
      <w:r w:rsidR="00666C16" w:rsidRPr="0096317D">
        <w:rPr>
          <w:lang w:val="fr-FR"/>
        </w:rPr>
        <w:t>emploie des</w:t>
      </w:r>
      <w:r w:rsidRPr="0096317D">
        <w:rPr>
          <w:lang w:val="fr-FR"/>
        </w:rPr>
        <w:t xml:space="preserve"> examinateurs de brevet</w:t>
      </w:r>
      <w:r w:rsidR="00666C16" w:rsidRPr="0096317D">
        <w:rPr>
          <w:lang w:val="fr-FR"/>
        </w:rPr>
        <w:t>s</w:t>
      </w:r>
      <w:r w:rsidRPr="0096317D">
        <w:rPr>
          <w:lang w:val="fr-FR"/>
        </w:rPr>
        <w:t xml:space="preserve"> expérimenté</w:t>
      </w:r>
      <w:r w:rsidR="00666C16" w:rsidRPr="0096317D">
        <w:rPr>
          <w:lang w:val="fr-FR"/>
        </w:rPr>
        <w:t>s</w:t>
      </w:r>
      <w:r w:rsidRPr="0096317D">
        <w:rPr>
          <w:lang w:val="fr-FR"/>
        </w:rPr>
        <w:t xml:space="preserve"> qui avaient déjà travaillé dans des offices de propriété intellectuelle, </w:t>
      </w:r>
      <w:r w:rsidR="006F334B" w:rsidRPr="0096317D">
        <w:rPr>
          <w:lang w:val="fr-FR"/>
        </w:rPr>
        <w:t>par exemple</w:t>
      </w:r>
      <w:r w:rsidRPr="0096317D">
        <w:rPr>
          <w:lang w:val="fr-FR"/>
        </w:rPr>
        <w:t xml:space="preserve"> en Australie, au Royaume</w:t>
      </w:r>
      <w:r w:rsidR="00B776A6">
        <w:rPr>
          <w:lang w:val="fr-FR"/>
        </w:rPr>
        <w:noBreakHyphen/>
      </w:r>
      <w:r w:rsidRPr="0096317D">
        <w:rPr>
          <w:lang w:val="fr-FR"/>
        </w:rPr>
        <w:t>Uni, au Japon, au Canada et en Chi</w:t>
      </w:r>
      <w:r w:rsidR="0096317D" w:rsidRPr="0096317D">
        <w:rPr>
          <w:lang w:val="fr-FR"/>
        </w:rPr>
        <w:t>ne.  Pa</w:t>
      </w:r>
      <w:r w:rsidR="006F334B" w:rsidRPr="0096317D">
        <w:rPr>
          <w:lang w:val="fr-FR"/>
        </w:rPr>
        <w:t>rmi le</w:t>
      </w:r>
      <w:r w:rsidR="00471CB6" w:rsidRPr="0096317D">
        <w:rPr>
          <w:lang w:val="fr-FR"/>
        </w:rPr>
        <w:t>s domaines d</w:t>
      </w:r>
      <w:r w:rsidR="00220660" w:rsidRPr="0096317D">
        <w:rPr>
          <w:lang w:val="fr-FR"/>
        </w:rPr>
        <w:t>’</w:t>
      </w:r>
      <w:r w:rsidR="00471CB6" w:rsidRPr="0096317D">
        <w:rPr>
          <w:lang w:val="fr-FR"/>
        </w:rPr>
        <w:t>expertise et d</w:t>
      </w:r>
      <w:r w:rsidR="00220660" w:rsidRPr="0096317D">
        <w:rPr>
          <w:lang w:val="fr-FR"/>
        </w:rPr>
        <w:t>’</w:t>
      </w:r>
      <w:r w:rsidR="00471CB6" w:rsidRPr="0096317D">
        <w:rPr>
          <w:lang w:val="fr-FR"/>
        </w:rPr>
        <w:t xml:space="preserve">expérience </w:t>
      </w:r>
      <w:r w:rsidR="006F334B" w:rsidRPr="0096317D">
        <w:rPr>
          <w:lang w:val="fr-FR"/>
        </w:rPr>
        <w:t xml:space="preserve">des examinateurs </w:t>
      </w:r>
      <w:r w:rsidR="00471CB6" w:rsidRPr="0096317D">
        <w:rPr>
          <w:lang w:val="fr-FR"/>
        </w:rPr>
        <w:t xml:space="preserve">figurent </w:t>
      </w:r>
      <w:r w:rsidR="00471CB6" w:rsidRPr="0096317D">
        <w:rPr>
          <w:lang w:val="fr-FR"/>
        </w:rPr>
        <w:lastRenderedPageBreak/>
        <w:t>la recherche et l</w:t>
      </w:r>
      <w:r w:rsidR="00220660" w:rsidRPr="0096317D">
        <w:rPr>
          <w:lang w:val="fr-FR"/>
        </w:rPr>
        <w:t>’</w:t>
      </w:r>
      <w:r w:rsidR="00471CB6" w:rsidRPr="0096317D">
        <w:rPr>
          <w:lang w:val="fr-FR"/>
        </w:rPr>
        <w:t>examen</w:t>
      </w:r>
      <w:r w:rsidR="006F334B" w:rsidRPr="0096317D">
        <w:rPr>
          <w:lang w:val="fr-FR"/>
        </w:rPr>
        <w:t xml:space="preserve"> (notamment au sein d</w:t>
      </w:r>
      <w:r w:rsidR="00220660" w:rsidRPr="0096317D">
        <w:rPr>
          <w:lang w:val="fr-FR"/>
        </w:rPr>
        <w:t>’</w:t>
      </w:r>
      <w:r w:rsidR="006F334B" w:rsidRPr="0096317D">
        <w:rPr>
          <w:lang w:val="fr-FR"/>
        </w:rPr>
        <w:t>une administration chargée de la recherche internationale ou d</w:t>
      </w:r>
      <w:r w:rsidR="00220660" w:rsidRPr="0096317D">
        <w:rPr>
          <w:lang w:val="fr-FR"/>
        </w:rPr>
        <w:t>’</w:t>
      </w:r>
      <w:r w:rsidR="006F334B" w:rsidRPr="0096317D">
        <w:rPr>
          <w:lang w:val="fr-FR"/>
        </w:rPr>
        <w:t>une administration chargée de l</w:t>
      </w:r>
      <w:r w:rsidR="00220660" w:rsidRPr="0096317D">
        <w:rPr>
          <w:lang w:val="fr-FR"/>
        </w:rPr>
        <w:t>’</w:t>
      </w:r>
      <w:r w:rsidR="006F334B" w:rsidRPr="0096317D">
        <w:rPr>
          <w:lang w:val="fr-FR"/>
        </w:rPr>
        <w:t>examen préliminaire international)</w:t>
      </w:r>
      <w:r w:rsidR="00471CB6" w:rsidRPr="0096317D">
        <w:rPr>
          <w:lang w:val="fr-FR"/>
        </w:rPr>
        <w:t xml:space="preserve">, </w:t>
      </w:r>
      <w:r w:rsidR="006F334B" w:rsidRPr="0096317D">
        <w:rPr>
          <w:lang w:val="fr-FR"/>
        </w:rPr>
        <w:t>la formation, les audiences, la gestion de la qualité, la planification stratégique, les politiques et l</w:t>
      </w:r>
      <w:r w:rsidR="00220660" w:rsidRPr="0096317D">
        <w:rPr>
          <w:lang w:val="fr-FR"/>
        </w:rPr>
        <w:t>’</w:t>
      </w:r>
      <w:r w:rsidR="006F334B" w:rsidRPr="0096317D">
        <w:rPr>
          <w:lang w:val="fr-FR"/>
        </w:rPr>
        <w:t>informatique en matière de brevets.</w:t>
      </w:r>
    </w:p>
    <w:p w14:paraId="3CBDDE8B" w14:textId="44718719" w:rsidR="00E24ADE" w:rsidRDefault="00E24ADE" w:rsidP="00320FDF">
      <w:pPr>
        <w:pStyle w:val="Heading2"/>
        <w:rPr>
          <w:lang w:val="fr-FR"/>
        </w:rPr>
      </w:pPr>
      <w:r w:rsidRPr="00500A7B">
        <w:rPr>
          <w:lang w:val="fr-FR"/>
        </w:rPr>
        <w:t>2.2</w:t>
      </w:r>
      <w:r w:rsidRPr="00500A7B">
        <w:rPr>
          <w:lang w:val="fr-FR"/>
        </w:rPr>
        <w:tab/>
      </w:r>
      <w:r w:rsidR="00742FE9" w:rsidRPr="00500A7B">
        <w:rPr>
          <w:lang w:val="fr-FR"/>
        </w:rPr>
        <w:t>F</w:t>
      </w:r>
      <w:r w:rsidR="00500A7B" w:rsidRPr="00500A7B">
        <w:rPr>
          <w:lang w:val="fr-FR"/>
        </w:rPr>
        <w:t>ormation et</w:t>
      </w:r>
      <w:r w:rsidR="00742FE9" w:rsidRPr="00500A7B">
        <w:rPr>
          <w:lang w:val="fr-FR"/>
        </w:rPr>
        <w:t xml:space="preserve"> </w:t>
      </w:r>
      <w:r w:rsidR="00500A7B" w:rsidRPr="00500A7B">
        <w:rPr>
          <w:lang w:val="fr-FR"/>
        </w:rPr>
        <w:t>développement axés sur les</w:t>
      </w:r>
      <w:r w:rsidR="00742FE9" w:rsidRPr="00500A7B">
        <w:rPr>
          <w:lang w:val="fr-FR"/>
        </w:rPr>
        <w:t xml:space="preserve"> </w:t>
      </w:r>
      <w:r w:rsidR="00500A7B" w:rsidRPr="00500A7B">
        <w:rPr>
          <w:lang w:val="fr-FR"/>
        </w:rPr>
        <w:t>compé</w:t>
      </w:r>
      <w:r w:rsidRPr="00500A7B">
        <w:rPr>
          <w:lang w:val="fr-FR"/>
        </w:rPr>
        <w:t>tenc</w:t>
      </w:r>
      <w:r w:rsidR="00500A7B" w:rsidRPr="00500A7B">
        <w:rPr>
          <w:lang w:val="fr-FR"/>
        </w:rPr>
        <w:t>es</w:t>
      </w:r>
    </w:p>
    <w:p w14:paraId="5258A425" w14:textId="77777777" w:rsidR="00320FDF" w:rsidRPr="00320FDF" w:rsidRDefault="00320FDF" w:rsidP="00320FDF">
      <w:pPr>
        <w:rPr>
          <w:lang w:val="fr-FR"/>
        </w:rPr>
      </w:pPr>
    </w:p>
    <w:p w14:paraId="5B0F4AAB" w14:textId="7E3E0427" w:rsidR="00AA5F79" w:rsidRPr="0096317D" w:rsidRDefault="00742FE9" w:rsidP="00320FDF">
      <w:pPr>
        <w:pStyle w:val="ONUME"/>
        <w:keepNext/>
        <w:numPr>
          <w:ilvl w:val="0"/>
          <w:numId w:val="0"/>
        </w:numPr>
        <w:rPr>
          <w:lang w:val="fr-FR"/>
        </w:rPr>
      </w:pPr>
      <w:r w:rsidRPr="0096317D">
        <w:rPr>
          <w:lang w:val="fr-FR"/>
        </w:rPr>
        <w:t>L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 xml:space="preserve">IPOS </w:t>
      </w:r>
      <w:r w:rsidR="00801875" w:rsidRPr="0096317D">
        <w:rPr>
          <w:lang w:val="fr-FR"/>
        </w:rPr>
        <w:t>a mis au point un cadre de compétences applicable aux examinateurs de brevet</w:t>
      </w:r>
      <w:r w:rsidR="00746B23" w:rsidRPr="0096317D">
        <w:rPr>
          <w:lang w:val="fr-FR"/>
        </w:rPr>
        <w:t>s</w:t>
      </w:r>
      <w:r w:rsidR="00801875" w:rsidRPr="0096317D">
        <w:rPr>
          <w:lang w:val="fr-FR"/>
        </w:rPr>
        <w:t xml:space="preserve"> et définissant les connaissances, les compétences, le jugement et les </w:t>
      </w:r>
      <w:r w:rsidR="00DA007A">
        <w:rPr>
          <w:lang w:val="fr-FR"/>
        </w:rPr>
        <w:t>qualités</w:t>
      </w:r>
      <w:r w:rsidR="00801875" w:rsidRPr="0096317D">
        <w:rPr>
          <w:lang w:val="fr-FR"/>
        </w:rPr>
        <w:t xml:space="preserve"> </w:t>
      </w:r>
      <w:r w:rsidR="00746B23" w:rsidRPr="0096317D">
        <w:rPr>
          <w:lang w:val="fr-FR"/>
        </w:rPr>
        <w:t>que les examinateurs</w:t>
      </w:r>
      <w:r w:rsidR="004E5C6F" w:rsidRPr="0096317D">
        <w:rPr>
          <w:lang w:val="fr-FR"/>
        </w:rPr>
        <w:t xml:space="preserve"> doivent posséder</w:t>
      </w:r>
      <w:r w:rsidR="00801875" w:rsidRPr="0096317D">
        <w:rPr>
          <w:lang w:val="fr-FR"/>
        </w:rPr>
        <w:t xml:space="preserve"> pour </w:t>
      </w:r>
      <w:r w:rsidR="00692885" w:rsidRPr="0096317D">
        <w:rPr>
          <w:lang w:val="fr-FR"/>
        </w:rPr>
        <w:t xml:space="preserve">effectuer </w:t>
      </w:r>
      <w:r w:rsidR="00801875" w:rsidRPr="0096317D">
        <w:rPr>
          <w:lang w:val="fr-FR"/>
        </w:rPr>
        <w:t>le</w:t>
      </w:r>
      <w:r w:rsidR="004E5C6F" w:rsidRPr="0096317D">
        <w:rPr>
          <w:lang w:val="fr-FR"/>
        </w:rPr>
        <w:t>ur</w:t>
      </w:r>
      <w:r w:rsidR="00801875" w:rsidRPr="0096317D">
        <w:rPr>
          <w:lang w:val="fr-FR"/>
        </w:rPr>
        <w:t xml:space="preserve"> travail de manière </w:t>
      </w:r>
      <w:r w:rsidR="00DA007A">
        <w:rPr>
          <w:lang w:val="fr-FR"/>
        </w:rPr>
        <w:t>efficace</w:t>
      </w:r>
      <w:r w:rsidR="0096317D" w:rsidRPr="0096317D">
        <w:rPr>
          <w:lang w:val="fr-FR"/>
        </w:rPr>
        <w:t>.  Le</w:t>
      </w:r>
      <w:r w:rsidR="00801875" w:rsidRPr="0096317D">
        <w:rPr>
          <w:lang w:val="fr-FR"/>
        </w:rPr>
        <w:t xml:space="preserve">s stratégies de formation et de développement reposent sur ce cadre de compétences </w:t>
      </w:r>
      <w:r w:rsidR="004E5C6F" w:rsidRPr="0096317D">
        <w:rPr>
          <w:lang w:val="fr-FR"/>
        </w:rPr>
        <w:t xml:space="preserve">et visent à favoriser </w:t>
      </w:r>
      <w:r w:rsidR="00746B23" w:rsidRPr="0096317D">
        <w:rPr>
          <w:lang w:val="fr-FR"/>
        </w:rPr>
        <w:t>le développement</w:t>
      </w:r>
      <w:r w:rsidR="004E5C6F" w:rsidRPr="0096317D">
        <w:rPr>
          <w:lang w:val="fr-FR"/>
        </w:rPr>
        <w:t xml:space="preserve"> individuel et </w:t>
      </w:r>
      <w:r w:rsidR="00DA007A">
        <w:rPr>
          <w:lang w:val="fr-FR"/>
        </w:rPr>
        <w:t>institutionnel</w:t>
      </w:r>
      <w:r w:rsidR="00E24ADE" w:rsidRPr="0096317D">
        <w:rPr>
          <w:lang w:val="fr-FR"/>
        </w:rPr>
        <w:t>.</w:t>
      </w:r>
    </w:p>
    <w:p w14:paraId="74B06998" w14:textId="1BB76A1F" w:rsidR="00E24ADE" w:rsidRPr="0096317D" w:rsidRDefault="004E5C6F" w:rsidP="00320FDF">
      <w:pPr>
        <w:pStyle w:val="ONUME"/>
        <w:keepNext/>
        <w:numPr>
          <w:ilvl w:val="0"/>
          <w:numId w:val="0"/>
        </w:numPr>
        <w:rPr>
          <w:lang w:val="fr-FR"/>
        </w:rPr>
      </w:pPr>
      <w:r w:rsidRPr="0096317D">
        <w:rPr>
          <w:lang w:val="fr-FR"/>
        </w:rPr>
        <w:t>L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 xml:space="preserve">IPOS </w:t>
      </w:r>
      <w:r w:rsidR="00692885" w:rsidRPr="0096317D">
        <w:rPr>
          <w:lang w:val="fr-FR"/>
        </w:rPr>
        <w:t>s</w:t>
      </w:r>
      <w:r w:rsidR="00220660" w:rsidRPr="0096317D">
        <w:rPr>
          <w:lang w:val="fr-FR"/>
        </w:rPr>
        <w:t>’</w:t>
      </w:r>
      <w:r w:rsidR="00692885" w:rsidRPr="0096317D">
        <w:rPr>
          <w:lang w:val="fr-FR"/>
        </w:rPr>
        <w:t>est associé</w:t>
      </w:r>
      <w:r w:rsidRPr="0096317D">
        <w:rPr>
          <w:lang w:val="fr-FR"/>
        </w:rPr>
        <w:t xml:space="preserve"> </w:t>
      </w:r>
      <w:r w:rsidR="00692885" w:rsidRPr="0096317D">
        <w:rPr>
          <w:lang w:val="fr-FR"/>
        </w:rPr>
        <w:t>à</w:t>
      </w:r>
      <w:r w:rsidRPr="0096317D">
        <w:rPr>
          <w:lang w:val="fr-FR"/>
        </w:rPr>
        <w:t xml:space="preserve"> l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>Office européen des brevets (OEB) et l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 xml:space="preserve">Office japonais des brevets (JPO) </w:t>
      </w:r>
      <w:r w:rsidR="00692885" w:rsidRPr="0096317D">
        <w:rPr>
          <w:lang w:val="fr-FR"/>
        </w:rPr>
        <w:t xml:space="preserve">pour </w:t>
      </w:r>
      <w:r w:rsidRPr="0096317D">
        <w:rPr>
          <w:lang w:val="fr-FR"/>
        </w:rPr>
        <w:t>élaborer et</w:t>
      </w:r>
      <w:r w:rsidR="00692885" w:rsidRPr="0096317D">
        <w:rPr>
          <w:lang w:val="fr-FR"/>
        </w:rPr>
        <w:t xml:space="preserve"> exécuter des programmes de formation à l</w:t>
      </w:r>
      <w:r w:rsidR="00220660" w:rsidRPr="0096317D">
        <w:rPr>
          <w:lang w:val="fr-FR"/>
        </w:rPr>
        <w:t>’</w:t>
      </w:r>
      <w:r w:rsidR="00692885" w:rsidRPr="0096317D">
        <w:rPr>
          <w:lang w:val="fr-FR"/>
        </w:rPr>
        <w:t xml:space="preserve">intention de </w:t>
      </w:r>
      <w:r w:rsidR="00746B23" w:rsidRPr="0096317D">
        <w:rPr>
          <w:lang w:val="fr-FR"/>
        </w:rPr>
        <w:t>son</w:t>
      </w:r>
      <w:r w:rsidR="00692885" w:rsidRPr="0096317D">
        <w:rPr>
          <w:lang w:val="fr-FR"/>
        </w:rPr>
        <w:t xml:space="preserve"> groupe pilote d</w:t>
      </w:r>
      <w:r w:rsidR="00220660" w:rsidRPr="0096317D">
        <w:rPr>
          <w:lang w:val="fr-FR"/>
        </w:rPr>
        <w:t>’</w:t>
      </w:r>
      <w:r w:rsidR="00692885" w:rsidRPr="0096317D">
        <w:rPr>
          <w:lang w:val="fr-FR"/>
        </w:rPr>
        <w:t>examinateu</w:t>
      </w:r>
      <w:r w:rsidR="0096317D" w:rsidRPr="0096317D">
        <w:rPr>
          <w:lang w:val="fr-FR"/>
        </w:rPr>
        <w:t>rs.  Il</w:t>
      </w:r>
      <w:r w:rsidR="00746B23" w:rsidRPr="0096317D">
        <w:rPr>
          <w:lang w:val="fr-FR"/>
        </w:rPr>
        <w:t xml:space="preserve"> a</w:t>
      </w:r>
      <w:r w:rsidR="00692885" w:rsidRPr="0096317D">
        <w:rPr>
          <w:lang w:val="fr-FR"/>
        </w:rPr>
        <w:t xml:space="preserve"> en outre fait appel à des praticiens chevronnés, possédant plus de 15 ans d</w:t>
      </w:r>
      <w:r w:rsidR="00220660" w:rsidRPr="0096317D">
        <w:rPr>
          <w:lang w:val="fr-FR"/>
        </w:rPr>
        <w:t>’</w:t>
      </w:r>
      <w:r w:rsidR="00692885" w:rsidRPr="0096317D">
        <w:rPr>
          <w:lang w:val="fr-FR"/>
        </w:rPr>
        <w:t xml:space="preserve">expérience, pour compléter la formation des examinateurs et </w:t>
      </w:r>
      <w:r w:rsidR="00881123" w:rsidRPr="0096317D">
        <w:rPr>
          <w:lang w:val="fr-FR"/>
        </w:rPr>
        <w:t xml:space="preserve">superviser </w:t>
      </w:r>
      <w:r w:rsidR="00692885" w:rsidRPr="0096317D">
        <w:rPr>
          <w:lang w:val="fr-FR"/>
        </w:rPr>
        <w:t>étroite</w:t>
      </w:r>
      <w:r w:rsidR="00881123" w:rsidRPr="0096317D">
        <w:rPr>
          <w:lang w:val="fr-FR"/>
        </w:rPr>
        <w:t>ment</w:t>
      </w:r>
      <w:r w:rsidR="00692885" w:rsidRPr="0096317D">
        <w:rPr>
          <w:lang w:val="fr-FR"/>
        </w:rPr>
        <w:t xml:space="preserve"> leur trava</w:t>
      </w:r>
      <w:r w:rsidR="0096317D" w:rsidRPr="0096317D">
        <w:rPr>
          <w:lang w:val="fr-FR"/>
        </w:rPr>
        <w:t>il.  Af</w:t>
      </w:r>
      <w:r w:rsidR="00881123" w:rsidRPr="0096317D">
        <w:rPr>
          <w:lang w:val="fr-FR"/>
        </w:rPr>
        <w:t>in d</w:t>
      </w:r>
      <w:r w:rsidR="00220660" w:rsidRPr="0096317D">
        <w:rPr>
          <w:lang w:val="fr-FR"/>
        </w:rPr>
        <w:t>’</w:t>
      </w:r>
      <w:r w:rsidR="00881123" w:rsidRPr="0096317D">
        <w:rPr>
          <w:lang w:val="fr-FR"/>
        </w:rPr>
        <w:t>assurer la continuité de la formation, l</w:t>
      </w:r>
      <w:r w:rsidR="00220660" w:rsidRPr="0096317D">
        <w:rPr>
          <w:lang w:val="fr-FR"/>
        </w:rPr>
        <w:t>’</w:t>
      </w:r>
      <w:r w:rsidR="00881123" w:rsidRPr="0096317D">
        <w:rPr>
          <w:lang w:val="fr-FR"/>
        </w:rPr>
        <w:t>IPOS s</w:t>
      </w:r>
      <w:r w:rsidR="00220660" w:rsidRPr="0096317D">
        <w:rPr>
          <w:lang w:val="fr-FR"/>
        </w:rPr>
        <w:t>’</w:t>
      </w:r>
      <w:r w:rsidR="00881123" w:rsidRPr="0096317D">
        <w:rPr>
          <w:lang w:val="fr-FR"/>
        </w:rPr>
        <w:t>est ensuite associé à l</w:t>
      </w:r>
      <w:r w:rsidR="00220660" w:rsidRPr="0096317D">
        <w:rPr>
          <w:lang w:val="fr-FR"/>
        </w:rPr>
        <w:t>’</w:t>
      </w:r>
      <w:r w:rsidR="00881123" w:rsidRPr="0096317D">
        <w:rPr>
          <w:lang w:val="fr-FR"/>
        </w:rPr>
        <w:t>OEB et à l</w:t>
      </w:r>
      <w:r w:rsidR="00220660" w:rsidRPr="0096317D">
        <w:rPr>
          <w:lang w:val="fr-FR"/>
        </w:rPr>
        <w:t>’</w:t>
      </w:r>
      <w:r w:rsidR="00881123" w:rsidRPr="0096317D">
        <w:rPr>
          <w:lang w:val="fr-FR"/>
        </w:rPr>
        <w:t>Office des brevets et des marques des États</w:t>
      </w:r>
      <w:r w:rsidR="00B776A6">
        <w:rPr>
          <w:lang w:val="fr-FR"/>
        </w:rPr>
        <w:noBreakHyphen/>
      </w:r>
      <w:r w:rsidR="00881123" w:rsidRPr="0096317D">
        <w:rPr>
          <w:lang w:val="fr-FR"/>
        </w:rPr>
        <w:t xml:space="preserve">Unis </w:t>
      </w:r>
      <w:r w:rsidR="00D8335B" w:rsidRPr="0096317D">
        <w:rPr>
          <w:lang w:val="fr-FR"/>
        </w:rPr>
        <w:t>d’Amérique</w:t>
      </w:r>
      <w:r w:rsidR="00881123" w:rsidRPr="0096317D">
        <w:rPr>
          <w:lang w:val="fr-FR"/>
        </w:rPr>
        <w:t xml:space="preserve"> (US</w:t>
      </w:r>
      <w:r w:rsidR="00636647" w:rsidRPr="0096317D">
        <w:rPr>
          <w:lang w:val="fr-FR"/>
        </w:rPr>
        <w:t>P</w:t>
      </w:r>
      <w:r w:rsidR="00881123" w:rsidRPr="0096317D">
        <w:rPr>
          <w:lang w:val="fr-FR"/>
        </w:rPr>
        <w:t>TO) pour développer ses capacités de formation intern</w:t>
      </w:r>
      <w:r w:rsidR="0096317D" w:rsidRPr="0096317D">
        <w:rPr>
          <w:lang w:val="fr-FR"/>
        </w:rPr>
        <w:t>es.  De</w:t>
      </w:r>
      <w:r w:rsidR="00881123" w:rsidRPr="0096317D">
        <w:rPr>
          <w:lang w:val="fr-FR"/>
        </w:rPr>
        <w:t>s examinateurs qui avaient une expérience de l</w:t>
      </w:r>
      <w:r w:rsidR="00220660" w:rsidRPr="0096317D">
        <w:rPr>
          <w:lang w:val="fr-FR"/>
        </w:rPr>
        <w:t>’</w:t>
      </w:r>
      <w:r w:rsidR="00881123" w:rsidRPr="0096317D">
        <w:rPr>
          <w:lang w:val="fr-FR"/>
        </w:rPr>
        <w:t>enseignement ont été désignés et ont reçu une formation spécialisée en vue de devenir formateu</w:t>
      </w:r>
      <w:r w:rsidR="0096317D" w:rsidRPr="0096317D">
        <w:rPr>
          <w:lang w:val="fr-FR"/>
        </w:rPr>
        <w:t>rs.  Ce</w:t>
      </w:r>
      <w:r w:rsidR="00881123" w:rsidRPr="0096317D">
        <w:rPr>
          <w:lang w:val="fr-FR"/>
        </w:rPr>
        <w:t>s formateurs internes ont, en collaboration avec les examinateurs chevronnés de l</w:t>
      </w:r>
      <w:r w:rsidR="00220660" w:rsidRPr="0096317D">
        <w:rPr>
          <w:lang w:val="fr-FR"/>
        </w:rPr>
        <w:t>’</w:t>
      </w:r>
      <w:r w:rsidR="00881123" w:rsidRPr="0096317D">
        <w:rPr>
          <w:lang w:val="fr-FR"/>
        </w:rPr>
        <w:t xml:space="preserve">IPOS et des conférenciers invités, mis au point un programme </w:t>
      </w:r>
      <w:r w:rsidR="003B07BE" w:rsidRPr="0096317D">
        <w:rPr>
          <w:lang w:val="fr-FR"/>
        </w:rPr>
        <w:t>de formation</w:t>
      </w:r>
      <w:r w:rsidR="00746B23" w:rsidRPr="0096317D">
        <w:rPr>
          <w:lang w:val="fr-FR"/>
        </w:rPr>
        <w:t xml:space="preserve"> structuré</w:t>
      </w:r>
      <w:r w:rsidR="003B07BE" w:rsidRPr="0096317D">
        <w:rPr>
          <w:lang w:val="fr-FR"/>
        </w:rPr>
        <w:t>, commun à l</w:t>
      </w:r>
      <w:r w:rsidR="00220660" w:rsidRPr="0096317D">
        <w:rPr>
          <w:lang w:val="fr-FR"/>
        </w:rPr>
        <w:t>’</w:t>
      </w:r>
      <w:r w:rsidR="00881123" w:rsidRPr="0096317D">
        <w:rPr>
          <w:lang w:val="fr-FR"/>
        </w:rPr>
        <w:t xml:space="preserve">IPOS </w:t>
      </w:r>
      <w:r w:rsidR="003B07BE" w:rsidRPr="0096317D">
        <w:rPr>
          <w:lang w:val="fr-FR"/>
        </w:rPr>
        <w:t>et l</w:t>
      </w:r>
      <w:r w:rsidR="00220660" w:rsidRPr="0096317D">
        <w:rPr>
          <w:lang w:val="fr-FR"/>
        </w:rPr>
        <w:t>’</w:t>
      </w:r>
      <w:r w:rsidR="00881123" w:rsidRPr="0096317D">
        <w:rPr>
          <w:lang w:val="fr-FR"/>
        </w:rPr>
        <w:t>OEB</w:t>
      </w:r>
      <w:r w:rsidR="003B07BE" w:rsidRPr="0096317D">
        <w:rPr>
          <w:lang w:val="fr-FR"/>
        </w:rPr>
        <w:t>,</w:t>
      </w:r>
      <w:r w:rsidR="00881123" w:rsidRPr="0096317D">
        <w:rPr>
          <w:lang w:val="fr-FR"/>
        </w:rPr>
        <w:t xml:space="preserve"> à l</w:t>
      </w:r>
      <w:r w:rsidR="00220660" w:rsidRPr="0096317D">
        <w:rPr>
          <w:lang w:val="fr-FR"/>
        </w:rPr>
        <w:t>’</w:t>
      </w:r>
      <w:r w:rsidR="00881123" w:rsidRPr="0096317D">
        <w:rPr>
          <w:lang w:val="fr-FR"/>
        </w:rPr>
        <w:t>intention des nouveaux examinateurs stagiair</w:t>
      </w:r>
      <w:r w:rsidR="0096317D" w:rsidRPr="0096317D">
        <w:rPr>
          <w:lang w:val="fr-FR"/>
        </w:rPr>
        <w:t>es.  Ap</w:t>
      </w:r>
      <w:r w:rsidR="003B07BE" w:rsidRPr="0096317D">
        <w:rPr>
          <w:lang w:val="fr-FR"/>
        </w:rPr>
        <w:t>rès la nomination de l</w:t>
      </w:r>
      <w:r w:rsidR="00220660" w:rsidRPr="0096317D">
        <w:rPr>
          <w:lang w:val="fr-FR"/>
        </w:rPr>
        <w:t>’</w:t>
      </w:r>
      <w:r w:rsidR="003B07BE" w:rsidRPr="0096317D">
        <w:rPr>
          <w:lang w:val="fr-FR"/>
        </w:rPr>
        <w:t xml:space="preserve">IPOS en </w:t>
      </w:r>
      <w:r w:rsidR="00746B23" w:rsidRPr="0096317D">
        <w:rPr>
          <w:lang w:val="fr-FR"/>
        </w:rPr>
        <w:t>qualité</w:t>
      </w:r>
      <w:r w:rsidR="003B07BE" w:rsidRPr="0096317D">
        <w:rPr>
          <w:lang w:val="fr-FR"/>
        </w:rPr>
        <w:t xml:space="preserve"> </w:t>
      </w:r>
      <w:r w:rsidR="00746B23" w:rsidRPr="0096317D">
        <w:rPr>
          <w:lang w:val="fr-FR"/>
        </w:rPr>
        <w:t>d</w:t>
      </w:r>
      <w:r w:rsidR="00220660" w:rsidRPr="0096317D">
        <w:rPr>
          <w:lang w:val="fr-FR"/>
        </w:rPr>
        <w:t>’</w:t>
      </w:r>
      <w:r w:rsidR="003B07BE" w:rsidRPr="0096317D">
        <w:rPr>
          <w:lang w:val="fr-FR"/>
        </w:rPr>
        <w:t>administration chargée de la recherche internationale et administration chargée de l</w:t>
      </w:r>
      <w:r w:rsidR="00220660" w:rsidRPr="0096317D">
        <w:rPr>
          <w:lang w:val="fr-FR"/>
        </w:rPr>
        <w:t>’</w:t>
      </w:r>
      <w:r w:rsidR="003B07BE" w:rsidRPr="0096317D">
        <w:rPr>
          <w:lang w:val="fr-FR"/>
        </w:rPr>
        <w:t>examen préliminaire international, un programme spécial de quatre</w:t>
      </w:r>
      <w:r w:rsidR="00D8335B" w:rsidRPr="0096317D">
        <w:rPr>
          <w:lang w:val="fr-FR"/>
        </w:rPr>
        <w:t> </w:t>
      </w:r>
      <w:r w:rsidR="003B07BE" w:rsidRPr="0096317D">
        <w:rPr>
          <w:lang w:val="fr-FR"/>
        </w:rPr>
        <w:t>jours a été élaboré en vue de former les examinateurs aux procédures propres</w:t>
      </w:r>
      <w:r w:rsidR="00220660" w:rsidRPr="0096317D">
        <w:rPr>
          <w:lang w:val="fr-FR"/>
        </w:rPr>
        <w:t xml:space="preserve"> au PCT</w:t>
      </w:r>
      <w:r w:rsidR="00E24ADE" w:rsidRPr="0096317D">
        <w:rPr>
          <w:lang w:val="fr-FR"/>
        </w:rPr>
        <w:t>.</w:t>
      </w:r>
    </w:p>
    <w:p w14:paraId="2ECFE681" w14:textId="45D0AD7B" w:rsidR="00E24ADE" w:rsidRPr="0096317D" w:rsidRDefault="00270967" w:rsidP="00320FDF">
      <w:pPr>
        <w:pStyle w:val="ONUME"/>
        <w:numPr>
          <w:ilvl w:val="0"/>
          <w:numId w:val="0"/>
        </w:numPr>
        <w:rPr>
          <w:lang w:val="fr-FR"/>
        </w:rPr>
      </w:pPr>
      <w:r w:rsidRPr="0096317D">
        <w:rPr>
          <w:lang w:val="fr-FR"/>
        </w:rPr>
        <w:t xml:space="preserve">La formation continue est également incluse dans </w:t>
      </w:r>
      <w:r w:rsidR="00746B23" w:rsidRPr="0096317D">
        <w:rPr>
          <w:lang w:val="fr-FR"/>
        </w:rPr>
        <w:t>la</w:t>
      </w:r>
      <w:r w:rsidRPr="0096317D">
        <w:rPr>
          <w:lang w:val="fr-FR"/>
        </w:rPr>
        <w:t xml:space="preserve"> stratégie de formation</w:t>
      </w:r>
      <w:r w:rsidR="00746B23" w:rsidRPr="0096317D">
        <w:rPr>
          <w:lang w:val="fr-FR"/>
        </w:rPr>
        <w:t xml:space="preserve"> de l</w:t>
      </w:r>
      <w:r w:rsidR="00220660" w:rsidRPr="0096317D">
        <w:rPr>
          <w:lang w:val="fr-FR"/>
        </w:rPr>
        <w:t>’</w:t>
      </w:r>
      <w:r w:rsidR="00746B23" w:rsidRPr="0096317D">
        <w:rPr>
          <w:lang w:val="fr-FR"/>
        </w:rPr>
        <w:t>IPOS</w:t>
      </w:r>
      <w:r w:rsidRPr="0096317D">
        <w:rPr>
          <w:lang w:val="fr-FR"/>
        </w:rPr>
        <w:t xml:space="preserve"> pour faire en sorte que les examinateurs continuent à gagner en expérience et restent en phase avec l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>évolution de la propriété intellectuelle et le progrès techniq</w:t>
      </w:r>
      <w:r w:rsidR="0096317D" w:rsidRPr="0096317D">
        <w:rPr>
          <w:lang w:val="fr-FR"/>
        </w:rPr>
        <w:t>ue.  Le</w:t>
      </w:r>
      <w:r w:rsidR="00DC371A" w:rsidRPr="0096317D">
        <w:rPr>
          <w:lang w:val="fr-FR"/>
        </w:rPr>
        <w:t xml:space="preserve">s examinateurs ont de nombreuses </w:t>
      </w:r>
      <w:r w:rsidRPr="0096317D">
        <w:rPr>
          <w:lang w:val="fr-FR"/>
        </w:rPr>
        <w:t>possibilités</w:t>
      </w:r>
      <w:r w:rsidR="00DC371A" w:rsidRPr="0096317D">
        <w:rPr>
          <w:lang w:val="fr-FR"/>
        </w:rPr>
        <w:t xml:space="preserve"> d</w:t>
      </w:r>
      <w:r w:rsidR="00220660" w:rsidRPr="0096317D">
        <w:rPr>
          <w:lang w:val="fr-FR"/>
        </w:rPr>
        <w:t>’</w:t>
      </w:r>
      <w:r w:rsidR="00DC371A" w:rsidRPr="0096317D">
        <w:rPr>
          <w:lang w:val="fr-FR"/>
        </w:rPr>
        <w:t>assister à des cours et à des conférences, sur place et à l</w:t>
      </w:r>
      <w:r w:rsidR="00220660" w:rsidRPr="0096317D">
        <w:rPr>
          <w:lang w:val="fr-FR"/>
        </w:rPr>
        <w:t>’</w:t>
      </w:r>
      <w:r w:rsidR="00DC371A" w:rsidRPr="0096317D">
        <w:rPr>
          <w:lang w:val="fr-FR"/>
        </w:rPr>
        <w:t>étrang</w:t>
      </w:r>
      <w:r w:rsidR="0096317D" w:rsidRPr="0096317D">
        <w:rPr>
          <w:lang w:val="fr-FR"/>
        </w:rPr>
        <w:t>er.  Un</w:t>
      </w:r>
      <w:r w:rsidR="00DC371A" w:rsidRPr="0096317D">
        <w:rPr>
          <w:lang w:val="fr-FR"/>
        </w:rPr>
        <w:t xml:space="preserve">e équipe apprentissage et développement a en outre été créée </w:t>
      </w:r>
      <w:r w:rsidR="00746B23" w:rsidRPr="0096317D">
        <w:rPr>
          <w:lang w:val="fr-FR"/>
        </w:rPr>
        <w:t>qui vise à trouver</w:t>
      </w:r>
      <w:r w:rsidR="00F31746" w:rsidRPr="0096317D">
        <w:rPr>
          <w:lang w:val="fr-FR"/>
        </w:rPr>
        <w:t xml:space="preserve"> des ateliers et des formations pertinents pour la formation et </w:t>
      </w:r>
      <w:r w:rsidR="00746B23" w:rsidRPr="0096317D">
        <w:rPr>
          <w:lang w:val="fr-FR"/>
        </w:rPr>
        <w:t>le développement</w:t>
      </w:r>
      <w:r w:rsidR="00F31746" w:rsidRPr="0096317D">
        <w:rPr>
          <w:lang w:val="fr-FR"/>
        </w:rPr>
        <w:t xml:space="preserve"> profession</w:t>
      </w:r>
      <w:r w:rsidR="00746B23" w:rsidRPr="0096317D">
        <w:rPr>
          <w:lang w:val="fr-FR"/>
        </w:rPr>
        <w:t>nel</w:t>
      </w:r>
      <w:r w:rsidR="00F31746" w:rsidRPr="0096317D">
        <w:rPr>
          <w:lang w:val="fr-FR"/>
        </w:rPr>
        <w:t>s.</w:t>
      </w:r>
    </w:p>
    <w:p w14:paraId="78CAA71F" w14:textId="46A4CC81" w:rsidR="00E24ADE" w:rsidRPr="0096317D" w:rsidRDefault="00957114" w:rsidP="00320FDF">
      <w:pPr>
        <w:pStyle w:val="ONUME"/>
        <w:numPr>
          <w:ilvl w:val="0"/>
          <w:numId w:val="0"/>
        </w:numPr>
        <w:rPr>
          <w:lang w:val="fr-FR"/>
        </w:rPr>
      </w:pPr>
      <w:r w:rsidRPr="0096317D">
        <w:rPr>
          <w:lang w:val="fr-FR"/>
        </w:rPr>
        <w:t>Par ailleurs, l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>IPOS collabore avec d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 xml:space="preserve">autres offices à la </w:t>
      </w:r>
      <w:r w:rsidR="00746B23" w:rsidRPr="0096317D">
        <w:rPr>
          <w:lang w:val="fr-FR"/>
        </w:rPr>
        <w:t>mise en place</w:t>
      </w:r>
      <w:r w:rsidRPr="0096317D">
        <w:rPr>
          <w:lang w:val="fr-FR"/>
        </w:rPr>
        <w:t xml:space="preserve"> d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>un programme d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>échange pour les examinateu</w:t>
      </w:r>
      <w:r w:rsidR="0096317D" w:rsidRPr="0096317D">
        <w:rPr>
          <w:lang w:val="fr-FR"/>
        </w:rPr>
        <w:t>rs.  Le</w:t>
      </w:r>
      <w:r w:rsidRPr="0096317D">
        <w:rPr>
          <w:lang w:val="fr-FR"/>
        </w:rPr>
        <w:t>s visites réciproques permettent aux examinateurs de deux</w:t>
      </w:r>
      <w:r w:rsidR="00D8335B" w:rsidRPr="0096317D">
        <w:rPr>
          <w:lang w:val="fr-FR"/>
        </w:rPr>
        <w:t> </w:t>
      </w:r>
      <w:r w:rsidRPr="0096317D">
        <w:rPr>
          <w:lang w:val="fr-FR"/>
        </w:rPr>
        <w:t>offices de partager et de comparer les pratiques en vigueur dans leurs offices respectifs et d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>apprendre les uns des autres en termes de capacité de recherche et d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 xml:space="preserve">examen. </w:t>
      </w:r>
      <w:r w:rsidR="00D8335B" w:rsidRPr="0096317D">
        <w:rPr>
          <w:lang w:val="fr-FR"/>
        </w:rPr>
        <w:t xml:space="preserve"> </w:t>
      </w:r>
      <w:r w:rsidR="00746B23" w:rsidRPr="0096317D">
        <w:rPr>
          <w:lang w:val="fr-FR"/>
        </w:rPr>
        <w:t>L</w:t>
      </w:r>
      <w:r w:rsidR="00220660" w:rsidRPr="0096317D">
        <w:rPr>
          <w:lang w:val="fr-FR"/>
        </w:rPr>
        <w:t>’</w:t>
      </w:r>
      <w:r w:rsidR="00746B23" w:rsidRPr="0096317D">
        <w:rPr>
          <w:lang w:val="fr-FR"/>
        </w:rPr>
        <w:t>IPOS a</w:t>
      </w:r>
      <w:r w:rsidRPr="0096317D">
        <w:rPr>
          <w:lang w:val="fr-FR"/>
        </w:rPr>
        <w:t xml:space="preserve"> eu le privilège d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>accueillir</w:t>
      </w:r>
      <w:r w:rsidR="00746B23" w:rsidRPr="0096317D">
        <w:rPr>
          <w:lang w:val="fr-FR"/>
        </w:rPr>
        <w:t>,</w:t>
      </w:r>
      <w:r w:rsidRPr="0096317D">
        <w:rPr>
          <w:lang w:val="fr-FR"/>
        </w:rPr>
        <w:t xml:space="preserve"> </w:t>
      </w:r>
      <w:r w:rsidR="00746B23" w:rsidRPr="0096317D">
        <w:rPr>
          <w:lang w:val="fr-FR"/>
        </w:rPr>
        <w:t>pendant des périodes allant d</w:t>
      </w:r>
      <w:r w:rsidR="00220660" w:rsidRPr="0096317D">
        <w:rPr>
          <w:lang w:val="fr-FR"/>
        </w:rPr>
        <w:t>’</w:t>
      </w:r>
      <w:r w:rsidR="00746B23" w:rsidRPr="0096317D">
        <w:rPr>
          <w:lang w:val="fr-FR"/>
        </w:rPr>
        <w:t>une semaine à six</w:t>
      </w:r>
      <w:r w:rsidR="00D8335B" w:rsidRPr="0096317D">
        <w:rPr>
          <w:lang w:val="fr-FR"/>
        </w:rPr>
        <w:t> </w:t>
      </w:r>
      <w:r w:rsidR="00746B23" w:rsidRPr="0096317D">
        <w:rPr>
          <w:lang w:val="fr-FR"/>
        </w:rPr>
        <w:t xml:space="preserve">mois, </w:t>
      </w:r>
      <w:r w:rsidRPr="0096317D">
        <w:rPr>
          <w:lang w:val="fr-FR"/>
        </w:rPr>
        <w:t>des examinateurs de l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>OEB et</w:t>
      </w:r>
      <w:r w:rsidR="00220660" w:rsidRPr="0096317D">
        <w:rPr>
          <w:lang w:val="fr-FR"/>
        </w:rPr>
        <w:t xml:space="preserve"> du JPO</w:t>
      </w:r>
      <w:r w:rsidRPr="0096317D">
        <w:rPr>
          <w:lang w:val="fr-FR"/>
        </w:rPr>
        <w:t xml:space="preserve"> possédant une grande expérience </w:t>
      </w:r>
      <w:r w:rsidR="00746B23" w:rsidRPr="0096317D">
        <w:rPr>
          <w:lang w:val="fr-FR"/>
        </w:rPr>
        <w:t>dans divers domaines techniqu</w:t>
      </w:r>
      <w:r w:rsidR="0096317D" w:rsidRPr="0096317D">
        <w:rPr>
          <w:lang w:val="fr-FR"/>
        </w:rPr>
        <w:t>es.  Le</w:t>
      </w:r>
      <w:r w:rsidR="00267A94" w:rsidRPr="0096317D">
        <w:rPr>
          <w:lang w:val="fr-FR"/>
        </w:rPr>
        <w:t>s</w:t>
      </w:r>
      <w:r w:rsidRPr="0096317D">
        <w:rPr>
          <w:lang w:val="fr-FR"/>
        </w:rPr>
        <w:t xml:space="preserve"> examinateurs</w:t>
      </w:r>
      <w:r w:rsidR="00267A94" w:rsidRPr="0096317D">
        <w:rPr>
          <w:lang w:val="fr-FR"/>
        </w:rPr>
        <w:t xml:space="preserve"> de l</w:t>
      </w:r>
      <w:r w:rsidR="00220660" w:rsidRPr="0096317D">
        <w:rPr>
          <w:lang w:val="fr-FR"/>
        </w:rPr>
        <w:t>’</w:t>
      </w:r>
      <w:r w:rsidR="00267A94" w:rsidRPr="0096317D">
        <w:rPr>
          <w:lang w:val="fr-FR"/>
        </w:rPr>
        <w:t>IPOS</w:t>
      </w:r>
      <w:r w:rsidRPr="0096317D">
        <w:rPr>
          <w:lang w:val="fr-FR"/>
        </w:rPr>
        <w:t xml:space="preserve"> ont aussi été envoyés dans d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>autres offices (</w:t>
      </w:r>
      <w:r w:rsidR="00270967" w:rsidRPr="0096317D">
        <w:rPr>
          <w:lang w:val="fr-FR"/>
        </w:rPr>
        <w:t>l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>U</w:t>
      </w:r>
      <w:r w:rsidR="00636647" w:rsidRPr="0096317D">
        <w:rPr>
          <w:lang w:val="fr-FR"/>
        </w:rPr>
        <w:t>S</w:t>
      </w:r>
      <w:r w:rsidRPr="0096317D">
        <w:rPr>
          <w:lang w:val="fr-FR"/>
        </w:rPr>
        <w:t>PTO,</w:t>
      </w:r>
      <w:r w:rsidR="00220660" w:rsidRPr="0096317D">
        <w:rPr>
          <w:lang w:val="fr-FR"/>
        </w:rPr>
        <w:t xml:space="preserve"> le JPO</w:t>
      </w:r>
      <w:r w:rsidRPr="0096317D">
        <w:rPr>
          <w:lang w:val="fr-FR"/>
        </w:rPr>
        <w:t xml:space="preserve">, et </w:t>
      </w:r>
      <w:r w:rsidR="00270967" w:rsidRPr="0096317D">
        <w:rPr>
          <w:lang w:val="fr-FR"/>
        </w:rPr>
        <w:t>l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>Office allemand des brevets et des marques (DPMA)) afin de travailler sur de vraies demandes de brevet et d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>échanger sur les conclusions avec leurs homologues dans d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>autres offic</w:t>
      </w:r>
      <w:r w:rsidR="0096317D" w:rsidRPr="0096317D">
        <w:rPr>
          <w:lang w:val="fr-FR"/>
        </w:rPr>
        <w:t>es.  De</w:t>
      </w:r>
      <w:r w:rsidR="00270967" w:rsidRPr="0096317D">
        <w:rPr>
          <w:lang w:val="fr-FR"/>
        </w:rPr>
        <w:t xml:space="preserve"> plus, l</w:t>
      </w:r>
      <w:r w:rsidR="00220660" w:rsidRPr="0096317D">
        <w:rPr>
          <w:lang w:val="fr-FR"/>
        </w:rPr>
        <w:t>’</w:t>
      </w:r>
      <w:r w:rsidR="00270967" w:rsidRPr="0096317D">
        <w:rPr>
          <w:lang w:val="fr-FR"/>
        </w:rPr>
        <w:t>IPOS organise régulièrement des ateliers sur l</w:t>
      </w:r>
      <w:r w:rsidR="00220660" w:rsidRPr="0096317D">
        <w:rPr>
          <w:lang w:val="fr-FR"/>
        </w:rPr>
        <w:t>’</w:t>
      </w:r>
      <w:r w:rsidR="00270967" w:rsidRPr="0096317D">
        <w:rPr>
          <w:lang w:val="fr-FR"/>
        </w:rPr>
        <w:t>harmonisation des pratiques à l</w:t>
      </w:r>
      <w:r w:rsidR="00220660" w:rsidRPr="0096317D">
        <w:rPr>
          <w:lang w:val="fr-FR"/>
        </w:rPr>
        <w:t>’</w:t>
      </w:r>
      <w:r w:rsidR="00270967" w:rsidRPr="0096317D">
        <w:rPr>
          <w:lang w:val="fr-FR"/>
        </w:rPr>
        <w:t>intention des examinateurs de brevets des pays membres de l</w:t>
      </w:r>
      <w:r w:rsidR="00220660" w:rsidRPr="0096317D">
        <w:rPr>
          <w:lang w:val="fr-FR"/>
        </w:rPr>
        <w:t>’</w:t>
      </w:r>
      <w:r w:rsidR="00270967" w:rsidRPr="0096317D">
        <w:rPr>
          <w:rStyle w:val="st"/>
          <w:lang w:val="fr-FR"/>
        </w:rPr>
        <w:t>Association des nations de l</w:t>
      </w:r>
      <w:r w:rsidR="00220660" w:rsidRPr="0096317D">
        <w:rPr>
          <w:rStyle w:val="st"/>
          <w:lang w:val="fr-FR"/>
        </w:rPr>
        <w:t>’</w:t>
      </w:r>
      <w:r w:rsidR="00270967" w:rsidRPr="0096317D">
        <w:rPr>
          <w:rStyle w:val="st"/>
          <w:lang w:val="fr-FR"/>
        </w:rPr>
        <w:t>Asie du Sud</w:t>
      </w:r>
      <w:r w:rsidR="00B776A6">
        <w:rPr>
          <w:rStyle w:val="st"/>
          <w:lang w:val="fr-FR"/>
        </w:rPr>
        <w:noBreakHyphen/>
      </w:r>
      <w:r w:rsidR="00270967" w:rsidRPr="0096317D">
        <w:rPr>
          <w:rStyle w:val="st"/>
          <w:lang w:val="fr-FR"/>
        </w:rPr>
        <w:t>Est</w:t>
      </w:r>
      <w:r w:rsidR="00270967" w:rsidRPr="0096317D">
        <w:rPr>
          <w:lang w:val="fr-FR"/>
        </w:rPr>
        <w:t xml:space="preserve"> (ASEAN)</w:t>
      </w:r>
      <w:r w:rsidRPr="0096317D">
        <w:rPr>
          <w:lang w:val="fr-FR"/>
        </w:rPr>
        <w:t xml:space="preserve">. </w:t>
      </w:r>
      <w:r w:rsidR="00D8335B" w:rsidRPr="0096317D">
        <w:rPr>
          <w:lang w:val="fr-FR"/>
        </w:rPr>
        <w:t xml:space="preserve"> </w:t>
      </w:r>
      <w:r w:rsidR="00270967" w:rsidRPr="0096317D">
        <w:rPr>
          <w:lang w:val="fr-FR"/>
        </w:rPr>
        <w:t>Le prochain se tiendra à Singapour en mars 2017 et réunira sur une durée de trois</w:t>
      </w:r>
      <w:r w:rsidR="00D8335B" w:rsidRPr="0096317D">
        <w:rPr>
          <w:lang w:val="fr-FR"/>
        </w:rPr>
        <w:t> </w:t>
      </w:r>
      <w:r w:rsidR="00270967" w:rsidRPr="0096317D">
        <w:rPr>
          <w:lang w:val="fr-FR"/>
        </w:rPr>
        <w:t>jours des examinateurs qui pourront échanger des données d</w:t>
      </w:r>
      <w:r w:rsidR="00220660" w:rsidRPr="0096317D">
        <w:rPr>
          <w:lang w:val="fr-FR"/>
        </w:rPr>
        <w:t>’</w:t>
      </w:r>
      <w:r w:rsidR="00270967" w:rsidRPr="0096317D">
        <w:rPr>
          <w:lang w:val="fr-FR"/>
        </w:rPr>
        <w:t>expérience et examiner des questions d</w:t>
      </w:r>
      <w:r w:rsidR="00220660" w:rsidRPr="0096317D">
        <w:rPr>
          <w:lang w:val="fr-FR"/>
        </w:rPr>
        <w:t>’</w:t>
      </w:r>
      <w:r w:rsidR="00270967" w:rsidRPr="0096317D">
        <w:rPr>
          <w:lang w:val="fr-FR"/>
        </w:rPr>
        <w:t>intérêt commun sur notre plateforme régionale de partage du travail, le programme de coopération en matière d</w:t>
      </w:r>
      <w:r w:rsidR="00220660" w:rsidRPr="0096317D">
        <w:rPr>
          <w:lang w:val="fr-FR"/>
        </w:rPr>
        <w:t>’</w:t>
      </w:r>
      <w:r w:rsidR="00270967" w:rsidRPr="0096317D">
        <w:rPr>
          <w:lang w:val="fr-FR"/>
        </w:rPr>
        <w:t>examen des brevets de l</w:t>
      </w:r>
      <w:r w:rsidR="00220660" w:rsidRPr="0096317D">
        <w:rPr>
          <w:lang w:val="fr-FR"/>
        </w:rPr>
        <w:t>’</w:t>
      </w:r>
      <w:r w:rsidR="00270967" w:rsidRPr="0096317D">
        <w:rPr>
          <w:lang w:val="fr-FR"/>
        </w:rPr>
        <w:t>ASEAN (ASPEC).</w:t>
      </w:r>
    </w:p>
    <w:p w14:paraId="117A3C50" w14:textId="11A9F8B4" w:rsidR="00E24ADE" w:rsidRPr="0096317D" w:rsidRDefault="00270967" w:rsidP="00320FDF">
      <w:pPr>
        <w:pStyle w:val="ONUME"/>
        <w:numPr>
          <w:ilvl w:val="0"/>
          <w:numId w:val="0"/>
        </w:numPr>
        <w:rPr>
          <w:lang w:val="fr-FR"/>
        </w:rPr>
      </w:pPr>
      <w:r w:rsidRPr="0096317D">
        <w:rPr>
          <w:lang w:val="fr-FR"/>
        </w:rPr>
        <w:t>Le tableau ci</w:t>
      </w:r>
      <w:r w:rsidR="00B776A6">
        <w:rPr>
          <w:lang w:val="fr-FR"/>
        </w:rPr>
        <w:noBreakHyphen/>
      </w:r>
      <w:r w:rsidRPr="0096317D">
        <w:rPr>
          <w:lang w:val="fr-FR"/>
        </w:rPr>
        <w:t>dessous présente une vue d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>ensemble du programme de formation d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>un examinateur de brevets de l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>IPOS.</w:t>
      </w:r>
    </w:p>
    <w:tbl>
      <w:tblPr>
        <w:tblStyle w:val="TableGrid"/>
        <w:tblW w:w="5000" w:type="pct"/>
        <w:jc w:val="center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1545"/>
        <w:gridCol w:w="640"/>
        <w:gridCol w:w="5785"/>
        <w:gridCol w:w="1601"/>
      </w:tblGrid>
      <w:tr w:rsidR="00E24ADE" w:rsidRPr="0096317D" w14:paraId="0B6FB917" w14:textId="77777777" w:rsidTr="00320FDF">
        <w:trPr>
          <w:cantSplit/>
          <w:jc w:val="center"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4C29" w14:textId="12CA91DD" w:rsidR="00E24ADE" w:rsidRPr="0096317D" w:rsidRDefault="00E24ADE" w:rsidP="00320FDF">
            <w:pPr>
              <w:keepNext/>
              <w:keepLines/>
              <w:rPr>
                <w:lang w:val="fr-FR"/>
              </w:rPr>
            </w:pPr>
            <w:r w:rsidRPr="0096317D">
              <w:rPr>
                <w:lang w:val="fr-FR"/>
              </w:rPr>
              <w:t>Forma</w:t>
            </w:r>
            <w:r w:rsidR="00D70349" w:rsidRPr="0096317D">
              <w:rPr>
                <w:lang w:val="fr-FR"/>
              </w:rPr>
              <w:t>tion</w:t>
            </w:r>
            <w:r w:rsidRPr="0096317D">
              <w:rPr>
                <w:lang w:val="fr-FR"/>
              </w:rPr>
              <w:t xml:space="preserve"> </w:t>
            </w:r>
            <w:r w:rsidR="00696D71" w:rsidRPr="0096317D">
              <w:rPr>
                <w:lang w:val="fr-FR"/>
              </w:rPr>
              <w:t>officielle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CA97E" w14:textId="77777777" w:rsidR="00E24ADE" w:rsidRPr="0096317D" w:rsidRDefault="00E24ADE" w:rsidP="00320FDF">
            <w:pPr>
              <w:keepNext/>
              <w:keepLines/>
              <w:rPr>
                <w:rFonts w:asciiTheme="minorHAnsi" w:eastAsiaTheme="minorEastAsia" w:hAnsiTheme="minorHAnsi" w:cs="Times New Roman"/>
                <w:lang w:val="fr-FR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F367E" w14:textId="640A00B1" w:rsidR="00E24ADE" w:rsidRPr="0096317D" w:rsidRDefault="00BE0CA1" w:rsidP="00320FDF">
            <w:pPr>
              <w:keepNext/>
              <w:keepLines/>
              <w:rPr>
                <w:b/>
                <w:lang w:val="fr-FR"/>
              </w:rPr>
            </w:pPr>
            <w:r w:rsidRPr="0096317D">
              <w:rPr>
                <w:b/>
                <w:lang w:val="fr-FR"/>
              </w:rPr>
              <w:t>Sujet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A5306" w14:textId="3A41AA2D" w:rsidR="00E24ADE" w:rsidRPr="0096317D" w:rsidRDefault="00E24ADE" w:rsidP="00320FDF">
            <w:pPr>
              <w:keepNext/>
              <w:keepLines/>
              <w:jc w:val="center"/>
              <w:rPr>
                <w:b/>
                <w:lang w:val="fr-FR"/>
              </w:rPr>
            </w:pPr>
            <w:r w:rsidRPr="0096317D">
              <w:rPr>
                <w:b/>
                <w:lang w:val="fr-FR"/>
              </w:rPr>
              <w:t>Dur</w:t>
            </w:r>
            <w:r w:rsidR="00BE0CA1" w:rsidRPr="0096317D">
              <w:rPr>
                <w:b/>
                <w:lang w:val="fr-FR"/>
              </w:rPr>
              <w:t>ée</w:t>
            </w:r>
          </w:p>
        </w:tc>
      </w:tr>
      <w:tr w:rsidR="00E24ADE" w:rsidRPr="0096317D" w14:paraId="0F244AFD" w14:textId="77777777" w:rsidTr="00320FDF">
        <w:trPr>
          <w:cantSplit/>
          <w:jc w:val="center"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C6BC4" w14:textId="77777777" w:rsidR="00E24ADE" w:rsidRPr="0096317D" w:rsidRDefault="00E24ADE" w:rsidP="00320FDF">
            <w:pPr>
              <w:keepNext/>
              <w:keepLines/>
              <w:rPr>
                <w:lang w:val="fr-FR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F11D2" w14:textId="77777777" w:rsidR="00E24ADE" w:rsidRPr="0096317D" w:rsidRDefault="00E24ADE" w:rsidP="00320FDF">
            <w:pPr>
              <w:keepNext/>
              <w:keepLines/>
              <w:rPr>
                <w:lang w:val="fr-FR"/>
              </w:rPr>
            </w:pPr>
            <w:r w:rsidRPr="0096317D">
              <w:rPr>
                <w:lang w:val="fr-FR"/>
              </w:rPr>
              <w:t>1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B9A67" w14:textId="765C31B9" w:rsidR="00E24ADE" w:rsidRPr="0096317D" w:rsidRDefault="00696D71" w:rsidP="00320FDF">
            <w:pPr>
              <w:keepNext/>
              <w:keepLines/>
              <w:rPr>
                <w:lang w:val="fr-FR"/>
              </w:rPr>
            </w:pPr>
            <w:r w:rsidRPr="0096317D">
              <w:rPr>
                <w:lang w:val="fr-FR"/>
              </w:rPr>
              <w:t>Initiation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F3795" w14:textId="43146A2B" w:rsidR="00E24ADE" w:rsidRPr="0096317D" w:rsidRDefault="00D70349" w:rsidP="00320FDF">
            <w:pPr>
              <w:keepNext/>
              <w:keepLines/>
              <w:tabs>
                <w:tab w:val="right" w:pos="380"/>
                <w:tab w:val="left" w:pos="530"/>
              </w:tabs>
              <w:jc w:val="center"/>
              <w:rPr>
                <w:lang w:val="fr-FR"/>
              </w:rPr>
            </w:pPr>
            <w:r w:rsidRPr="0096317D">
              <w:rPr>
                <w:lang w:val="fr-FR"/>
              </w:rPr>
              <w:t>1 semaine</w:t>
            </w:r>
          </w:p>
        </w:tc>
      </w:tr>
      <w:tr w:rsidR="00E24ADE" w:rsidRPr="0096317D" w14:paraId="2C77817E" w14:textId="77777777" w:rsidTr="00320FDF">
        <w:trPr>
          <w:cantSplit/>
          <w:jc w:val="center"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D8920" w14:textId="77777777" w:rsidR="00E24ADE" w:rsidRPr="0096317D" w:rsidRDefault="00E24ADE" w:rsidP="00320FDF">
            <w:pPr>
              <w:keepNext/>
              <w:keepLines/>
              <w:rPr>
                <w:lang w:val="fr-FR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279D3" w14:textId="77777777" w:rsidR="00E24ADE" w:rsidRPr="0096317D" w:rsidRDefault="00E24ADE" w:rsidP="00320FDF">
            <w:pPr>
              <w:keepNext/>
              <w:keepLines/>
              <w:rPr>
                <w:lang w:val="fr-FR"/>
              </w:rPr>
            </w:pPr>
            <w:r w:rsidRPr="0096317D">
              <w:rPr>
                <w:lang w:val="fr-FR"/>
              </w:rPr>
              <w:t xml:space="preserve">2 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86E65" w14:textId="60D2855C" w:rsidR="00E24ADE" w:rsidRPr="0096317D" w:rsidRDefault="00696D71" w:rsidP="00320FDF">
            <w:pPr>
              <w:keepNext/>
              <w:keepLines/>
              <w:rPr>
                <w:lang w:val="fr-FR"/>
              </w:rPr>
            </w:pPr>
            <w:r w:rsidRPr="0096317D">
              <w:rPr>
                <w:lang w:val="fr-FR"/>
              </w:rPr>
              <w:t>Droit des brevets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FCAE5" w14:textId="24270710" w:rsidR="00E24ADE" w:rsidRPr="0096317D" w:rsidRDefault="00D70349" w:rsidP="00320FDF">
            <w:pPr>
              <w:keepNext/>
              <w:keepLines/>
              <w:tabs>
                <w:tab w:val="right" w:pos="380"/>
                <w:tab w:val="left" w:pos="527"/>
              </w:tabs>
              <w:jc w:val="center"/>
              <w:rPr>
                <w:lang w:val="fr-FR"/>
              </w:rPr>
            </w:pPr>
            <w:r w:rsidRPr="0096317D">
              <w:rPr>
                <w:lang w:val="fr-FR"/>
              </w:rPr>
              <w:t>3 semaines</w:t>
            </w:r>
          </w:p>
        </w:tc>
      </w:tr>
      <w:tr w:rsidR="00E24ADE" w:rsidRPr="0096317D" w14:paraId="17CD8FB6" w14:textId="77777777" w:rsidTr="00320FDF">
        <w:trPr>
          <w:cantSplit/>
          <w:jc w:val="center"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F917E" w14:textId="77777777" w:rsidR="00E24ADE" w:rsidRPr="0096317D" w:rsidRDefault="00E24ADE" w:rsidP="00320FDF">
            <w:pPr>
              <w:keepNext/>
              <w:keepLines/>
              <w:rPr>
                <w:lang w:val="fr-FR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D7CFF" w14:textId="77777777" w:rsidR="00E24ADE" w:rsidRPr="0096317D" w:rsidRDefault="00E24ADE" w:rsidP="00320FDF">
            <w:pPr>
              <w:keepNext/>
              <w:keepLines/>
              <w:rPr>
                <w:lang w:val="fr-FR"/>
              </w:rPr>
            </w:pPr>
            <w:r w:rsidRPr="0096317D">
              <w:rPr>
                <w:lang w:val="fr-FR"/>
              </w:rPr>
              <w:t xml:space="preserve">3 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0FD9B" w14:textId="3A721631" w:rsidR="00E24ADE" w:rsidRPr="0096317D" w:rsidRDefault="00E24ADE" w:rsidP="00320FDF">
            <w:pPr>
              <w:keepNext/>
              <w:keepLines/>
              <w:rPr>
                <w:lang w:val="fr-FR"/>
              </w:rPr>
            </w:pPr>
            <w:r w:rsidRPr="0096317D">
              <w:rPr>
                <w:lang w:val="fr-FR"/>
              </w:rPr>
              <w:t>Class</w:t>
            </w:r>
            <w:r w:rsidR="00696D71" w:rsidRPr="0096317D">
              <w:rPr>
                <w:lang w:val="fr-FR"/>
              </w:rPr>
              <w:t>ement</w:t>
            </w:r>
            <w:r w:rsidRPr="0096317D">
              <w:rPr>
                <w:lang w:val="fr-FR"/>
              </w:rPr>
              <w:t xml:space="preserve"> </w:t>
            </w:r>
            <w:r w:rsidR="00696D71" w:rsidRPr="0096317D">
              <w:rPr>
                <w:lang w:val="fr-FR"/>
              </w:rPr>
              <w:t>des brevets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DFB46" w14:textId="5DEC1AE2" w:rsidR="00E24ADE" w:rsidRPr="0096317D" w:rsidRDefault="00D70349" w:rsidP="00320FDF">
            <w:pPr>
              <w:keepNext/>
              <w:keepLines/>
              <w:tabs>
                <w:tab w:val="right" w:pos="380"/>
                <w:tab w:val="left" w:pos="527"/>
              </w:tabs>
              <w:jc w:val="center"/>
              <w:rPr>
                <w:lang w:val="fr-FR"/>
              </w:rPr>
            </w:pPr>
            <w:r w:rsidRPr="0096317D">
              <w:rPr>
                <w:lang w:val="fr-FR"/>
              </w:rPr>
              <w:t>1 semaine</w:t>
            </w:r>
          </w:p>
        </w:tc>
      </w:tr>
      <w:tr w:rsidR="00E24ADE" w:rsidRPr="0096317D" w14:paraId="4617B477" w14:textId="77777777" w:rsidTr="00320FDF">
        <w:trPr>
          <w:cantSplit/>
          <w:jc w:val="center"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F0685" w14:textId="77777777" w:rsidR="00E24ADE" w:rsidRPr="0096317D" w:rsidRDefault="00E24ADE" w:rsidP="00320FDF">
            <w:pPr>
              <w:keepNext/>
              <w:keepLines/>
              <w:rPr>
                <w:lang w:val="fr-FR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9E826" w14:textId="77777777" w:rsidR="00E24ADE" w:rsidRPr="0096317D" w:rsidRDefault="00E24ADE" w:rsidP="00320FDF">
            <w:pPr>
              <w:keepNext/>
              <w:keepLines/>
              <w:rPr>
                <w:lang w:val="fr-FR"/>
              </w:rPr>
            </w:pPr>
            <w:r w:rsidRPr="0096317D">
              <w:rPr>
                <w:lang w:val="fr-FR"/>
              </w:rPr>
              <w:t xml:space="preserve">4 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BA663" w14:textId="2A45F937" w:rsidR="00E24ADE" w:rsidRPr="0096317D" w:rsidRDefault="00696D71" w:rsidP="00320FDF">
            <w:pPr>
              <w:keepNext/>
              <w:keepLines/>
              <w:rPr>
                <w:lang w:val="fr-FR"/>
              </w:rPr>
            </w:pPr>
            <w:r w:rsidRPr="0096317D">
              <w:rPr>
                <w:lang w:val="fr-FR"/>
              </w:rPr>
              <w:t>Critères de brevetabilité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B00B9" w14:textId="287CD606" w:rsidR="00E24ADE" w:rsidRPr="0096317D" w:rsidRDefault="00D70349" w:rsidP="00320FDF">
            <w:pPr>
              <w:keepNext/>
              <w:keepLines/>
              <w:tabs>
                <w:tab w:val="right" w:pos="380"/>
                <w:tab w:val="left" w:pos="527"/>
              </w:tabs>
              <w:jc w:val="center"/>
              <w:rPr>
                <w:lang w:val="fr-FR"/>
              </w:rPr>
            </w:pPr>
            <w:r w:rsidRPr="0096317D">
              <w:rPr>
                <w:lang w:val="fr-FR"/>
              </w:rPr>
              <w:t>3 semaines</w:t>
            </w:r>
          </w:p>
        </w:tc>
      </w:tr>
      <w:tr w:rsidR="00E24ADE" w:rsidRPr="0096317D" w14:paraId="6BF4B8CD" w14:textId="77777777" w:rsidTr="00320FDF">
        <w:trPr>
          <w:cantSplit/>
          <w:jc w:val="center"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0B5B" w14:textId="77777777" w:rsidR="00E24ADE" w:rsidRPr="0096317D" w:rsidRDefault="00E24ADE" w:rsidP="00320FDF">
            <w:pPr>
              <w:keepNext/>
              <w:keepLines/>
              <w:rPr>
                <w:lang w:val="fr-FR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75888" w14:textId="77777777" w:rsidR="00E24ADE" w:rsidRPr="0096317D" w:rsidRDefault="00E24ADE" w:rsidP="00320FDF">
            <w:pPr>
              <w:keepNext/>
              <w:keepLines/>
              <w:rPr>
                <w:lang w:val="fr-FR"/>
              </w:rPr>
            </w:pPr>
            <w:r w:rsidRPr="0096317D">
              <w:rPr>
                <w:lang w:val="fr-FR"/>
              </w:rPr>
              <w:t>5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C3545" w14:textId="31F15DE3" w:rsidR="00E24ADE" w:rsidRPr="0096317D" w:rsidRDefault="00696D71" w:rsidP="00320FDF">
            <w:pPr>
              <w:keepNext/>
              <w:keepLines/>
              <w:rPr>
                <w:lang w:val="fr-FR"/>
              </w:rPr>
            </w:pPr>
            <w:r w:rsidRPr="0096317D">
              <w:rPr>
                <w:lang w:val="fr-FR"/>
              </w:rPr>
              <w:t>Recherche et examen</w:t>
            </w:r>
          </w:p>
          <w:p w14:paraId="2A2893B7" w14:textId="77777777" w:rsidR="00696D71" w:rsidRPr="0096317D" w:rsidRDefault="00696D71" w:rsidP="00320FDF">
            <w:pPr>
              <w:pStyle w:val="ListParagraph"/>
              <w:keepNext/>
              <w:keepLines/>
              <w:numPr>
                <w:ilvl w:val="0"/>
                <w:numId w:val="7"/>
              </w:numPr>
              <w:rPr>
                <w:lang w:val="fr-FR"/>
              </w:rPr>
            </w:pPr>
            <w:r w:rsidRPr="0096317D">
              <w:rPr>
                <w:lang w:val="fr-FR"/>
              </w:rPr>
              <w:t>Rédaction des revendications</w:t>
            </w:r>
          </w:p>
          <w:p w14:paraId="317C7763" w14:textId="4D4E902D" w:rsidR="00E24ADE" w:rsidRPr="0096317D" w:rsidRDefault="00696D71" w:rsidP="00320FDF">
            <w:pPr>
              <w:pStyle w:val="ListParagraph"/>
              <w:keepNext/>
              <w:keepLines/>
              <w:numPr>
                <w:ilvl w:val="0"/>
                <w:numId w:val="7"/>
              </w:numPr>
              <w:rPr>
                <w:lang w:val="fr-FR"/>
              </w:rPr>
            </w:pPr>
            <w:r w:rsidRPr="0096317D">
              <w:rPr>
                <w:lang w:val="fr-FR"/>
              </w:rPr>
              <w:t>Stratégie de recherche</w:t>
            </w:r>
            <w:r w:rsidR="00E24ADE" w:rsidRPr="0096317D">
              <w:rPr>
                <w:lang w:val="fr-FR"/>
              </w:rPr>
              <w:t>, plat</w:t>
            </w:r>
            <w:r w:rsidRPr="0096317D">
              <w:rPr>
                <w:lang w:val="fr-FR"/>
              </w:rPr>
              <w:t>e</w:t>
            </w:r>
            <w:r w:rsidR="00E24ADE" w:rsidRPr="0096317D">
              <w:rPr>
                <w:lang w:val="fr-FR"/>
              </w:rPr>
              <w:t>form</w:t>
            </w:r>
            <w:r w:rsidRPr="0096317D">
              <w:rPr>
                <w:lang w:val="fr-FR"/>
              </w:rPr>
              <w:t>e</w:t>
            </w:r>
            <w:r w:rsidR="00E24ADE" w:rsidRPr="0096317D">
              <w:rPr>
                <w:lang w:val="fr-FR"/>
              </w:rPr>
              <w:t xml:space="preserve">s </w:t>
            </w:r>
            <w:r w:rsidRPr="0096317D">
              <w:rPr>
                <w:lang w:val="fr-FR"/>
              </w:rPr>
              <w:t>et</w:t>
            </w:r>
            <w:r w:rsidR="00E24ADE" w:rsidRPr="0096317D">
              <w:rPr>
                <w:lang w:val="fr-FR"/>
              </w:rPr>
              <w:t xml:space="preserve"> </w:t>
            </w:r>
            <w:r w:rsidRPr="0096317D">
              <w:rPr>
                <w:lang w:val="fr-FR"/>
              </w:rPr>
              <w:t>bases de données</w:t>
            </w:r>
          </w:p>
          <w:p w14:paraId="0EFCE94F" w14:textId="7C48908A" w:rsidR="00E24ADE" w:rsidRPr="0096317D" w:rsidRDefault="00696D71" w:rsidP="00320FDF">
            <w:pPr>
              <w:pStyle w:val="ListParagraph"/>
              <w:keepNext/>
              <w:keepLines/>
              <w:numPr>
                <w:ilvl w:val="0"/>
                <w:numId w:val="7"/>
              </w:numPr>
              <w:rPr>
                <w:lang w:val="fr-FR"/>
              </w:rPr>
            </w:pPr>
            <w:r w:rsidRPr="0096317D">
              <w:rPr>
                <w:lang w:val="fr-FR"/>
              </w:rPr>
              <w:t>Rédaction des opinions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F3519" w14:textId="75C3A82F" w:rsidR="00E24ADE" w:rsidRPr="0096317D" w:rsidRDefault="00D70349" w:rsidP="00320FDF">
            <w:pPr>
              <w:keepNext/>
              <w:keepLines/>
              <w:tabs>
                <w:tab w:val="right" w:pos="380"/>
                <w:tab w:val="left" w:pos="527"/>
              </w:tabs>
              <w:jc w:val="center"/>
              <w:rPr>
                <w:lang w:val="fr-FR"/>
              </w:rPr>
            </w:pPr>
            <w:r w:rsidRPr="0096317D">
              <w:rPr>
                <w:lang w:val="fr-FR"/>
              </w:rPr>
              <w:t>11 semaines</w:t>
            </w:r>
          </w:p>
        </w:tc>
      </w:tr>
      <w:tr w:rsidR="00E24ADE" w:rsidRPr="0096317D" w14:paraId="28EB7FD8" w14:textId="77777777" w:rsidTr="00320FDF">
        <w:trPr>
          <w:cantSplit/>
          <w:jc w:val="center"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27D92" w14:textId="77777777" w:rsidR="00E24ADE" w:rsidRPr="0096317D" w:rsidRDefault="00E24ADE" w:rsidP="00320FDF">
            <w:pPr>
              <w:keepNext/>
              <w:keepLines/>
              <w:rPr>
                <w:lang w:val="fr-FR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80F80" w14:textId="77777777" w:rsidR="00E24ADE" w:rsidRPr="0096317D" w:rsidRDefault="00E24ADE" w:rsidP="00320FDF">
            <w:pPr>
              <w:keepNext/>
              <w:keepLines/>
              <w:rPr>
                <w:lang w:val="fr-FR"/>
              </w:rPr>
            </w:pPr>
            <w:r w:rsidRPr="0096317D">
              <w:rPr>
                <w:lang w:val="fr-FR"/>
              </w:rPr>
              <w:t>6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76396" w14:textId="759A84CD" w:rsidR="00E24ADE" w:rsidRPr="0096317D" w:rsidRDefault="00696D71" w:rsidP="00320FDF">
            <w:pPr>
              <w:keepNext/>
              <w:keepLines/>
              <w:rPr>
                <w:lang w:val="fr-FR"/>
              </w:rPr>
            </w:pPr>
            <w:r w:rsidRPr="0096317D">
              <w:rPr>
                <w:lang w:val="fr-FR"/>
              </w:rPr>
              <w:t>Pratique en matière de recherche et d</w:t>
            </w:r>
            <w:r w:rsidR="00220660" w:rsidRPr="0096317D">
              <w:rPr>
                <w:lang w:val="fr-FR"/>
              </w:rPr>
              <w:t>’</w:t>
            </w:r>
            <w:r w:rsidRPr="0096317D">
              <w:rPr>
                <w:lang w:val="fr-FR"/>
              </w:rPr>
              <w:t>examen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45346" w14:textId="6090CD7D" w:rsidR="00E24ADE" w:rsidRPr="0096317D" w:rsidRDefault="00D70349" w:rsidP="00320FDF">
            <w:pPr>
              <w:keepNext/>
              <w:keepLines/>
              <w:tabs>
                <w:tab w:val="right" w:pos="380"/>
                <w:tab w:val="left" w:pos="527"/>
              </w:tabs>
              <w:jc w:val="center"/>
              <w:rPr>
                <w:lang w:val="fr-FR"/>
              </w:rPr>
            </w:pPr>
            <w:r w:rsidRPr="0096317D">
              <w:rPr>
                <w:lang w:val="fr-FR"/>
              </w:rPr>
              <w:t>2 semaines</w:t>
            </w:r>
          </w:p>
        </w:tc>
      </w:tr>
      <w:tr w:rsidR="00E24ADE" w:rsidRPr="0096317D" w14:paraId="36BB9299" w14:textId="77777777" w:rsidTr="00320FDF">
        <w:trPr>
          <w:cantSplit/>
          <w:jc w:val="center"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44C05" w14:textId="77777777" w:rsidR="00E24ADE" w:rsidRPr="0096317D" w:rsidRDefault="00E24ADE" w:rsidP="00320FDF">
            <w:pPr>
              <w:keepNext/>
              <w:keepLines/>
              <w:rPr>
                <w:lang w:val="fr-FR"/>
              </w:rPr>
            </w:pP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551C0" w14:textId="5C18A649" w:rsidR="00E24ADE" w:rsidRPr="0096317D" w:rsidRDefault="00696D71" w:rsidP="00320FDF">
            <w:pPr>
              <w:keepNext/>
              <w:keepLines/>
              <w:rPr>
                <w:lang w:val="fr-FR"/>
              </w:rPr>
            </w:pPr>
            <w:r w:rsidRPr="0096317D">
              <w:rPr>
                <w:lang w:val="fr-FR"/>
              </w:rPr>
              <w:t>Évaluation au moyen d</w:t>
            </w:r>
            <w:r w:rsidR="00220660" w:rsidRPr="0096317D">
              <w:rPr>
                <w:lang w:val="fr-FR"/>
              </w:rPr>
              <w:t>’</w:t>
            </w:r>
            <w:r w:rsidRPr="0096317D">
              <w:rPr>
                <w:lang w:val="fr-FR"/>
              </w:rPr>
              <w:t>un examen écrit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E2F5B" w14:textId="529E41F9" w:rsidR="00E24ADE" w:rsidRPr="0096317D" w:rsidRDefault="00D70349" w:rsidP="00320FDF">
            <w:pPr>
              <w:keepNext/>
              <w:keepLines/>
              <w:tabs>
                <w:tab w:val="right" w:pos="380"/>
                <w:tab w:val="left" w:pos="527"/>
              </w:tabs>
              <w:jc w:val="center"/>
              <w:rPr>
                <w:lang w:val="fr-FR"/>
              </w:rPr>
            </w:pPr>
            <w:r w:rsidRPr="0096317D">
              <w:rPr>
                <w:lang w:val="fr-FR"/>
              </w:rPr>
              <w:t>1 semaine</w:t>
            </w:r>
          </w:p>
        </w:tc>
      </w:tr>
      <w:tr w:rsidR="00E24ADE" w:rsidRPr="0096317D" w14:paraId="34B89CC2" w14:textId="77777777" w:rsidTr="00320FDF">
        <w:trPr>
          <w:cantSplit/>
          <w:jc w:val="center"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3B792" w14:textId="77777777" w:rsidR="00E24ADE" w:rsidRPr="0096317D" w:rsidRDefault="00E24ADE" w:rsidP="00320FDF">
            <w:pPr>
              <w:keepNext/>
              <w:keepLines/>
              <w:rPr>
                <w:lang w:val="fr-FR"/>
              </w:rPr>
            </w:pP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63A87" w14:textId="5B074087" w:rsidR="00E24ADE" w:rsidRPr="0096317D" w:rsidRDefault="00696D71" w:rsidP="00320FDF">
            <w:pPr>
              <w:keepNext/>
              <w:keepLines/>
              <w:rPr>
                <w:lang w:val="fr-FR"/>
              </w:rPr>
            </w:pPr>
            <w:r w:rsidRPr="0096317D">
              <w:rPr>
                <w:lang w:val="fr-FR"/>
              </w:rPr>
              <w:t>Préparation à la formation en cours d</w:t>
            </w:r>
            <w:r w:rsidR="00220660" w:rsidRPr="0096317D">
              <w:rPr>
                <w:lang w:val="fr-FR"/>
              </w:rPr>
              <w:t>’</w:t>
            </w:r>
            <w:r w:rsidRPr="0096317D">
              <w:rPr>
                <w:lang w:val="fr-FR"/>
              </w:rPr>
              <w:t>emploi, constitution des équipes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00264" w14:textId="4D44EA98" w:rsidR="00E24ADE" w:rsidRPr="0096317D" w:rsidRDefault="00D70349" w:rsidP="00320FDF">
            <w:pPr>
              <w:keepNext/>
              <w:keepLines/>
              <w:tabs>
                <w:tab w:val="right" w:pos="380"/>
                <w:tab w:val="left" w:pos="527"/>
              </w:tabs>
              <w:jc w:val="center"/>
              <w:rPr>
                <w:lang w:val="fr-FR"/>
              </w:rPr>
            </w:pPr>
            <w:r w:rsidRPr="0096317D">
              <w:rPr>
                <w:lang w:val="fr-FR"/>
              </w:rPr>
              <w:t>2 semaines</w:t>
            </w:r>
          </w:p>
        </w:tc>
      </w:tr>
      <w:tr w:rsidR="00E24ADE" w:rsidRPr="0096317D" w14:paraId="6970A4CB" w14:textId="77777777" w:rsidTr="00320FDF">
        <w:trPr>
          <w:cantSplit/>
          <w:jc w:val="center"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27D91" w14:textId="77777777" w:rsidR="00E24ADE" w:rsidRPr="0096317D" w:rsidRDefault="00E24ADE" w:rsidP="00320FDF">
            <w:pPr>
              <w:keepNext/>
              <w:keepLines/>
              <w:rPr>
                <w:lang w:val="fr-FR"/>
              </w:rPr>
            </w:pP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7FB44" w14:textId="0785E84C" w:rsidR="00E24ADE" w:rsidRPr="0096317D" w:rsidRDefault="00696D71" w:rsidP="00320FDF">
            <w:pPr>
              <w:keepNext/>
              <w:keepLines/>
              <w:rPr>
                <w:lang w:val="fr-FR"/>
              </w:rPr>
            </w:pPr>
            <w:r w:rsidRPr="0096317D">
              <w:rPr>
                <w:lang w:val="fr-FR"/>
              </w:rPr>
              <w:t>P</w:t>
            </w:r>
            <w:r w:rsidR="00E24ADE" w:rsidRPr="0096317D">
              <w:rPr>
                <w:lang w:val="fr-FR"/>
              </w:rPr>
              <w:t>roc</w:t>
            </w:r>
            <w:r w:rsidRPr="0096317D">
              <w:rPr>
                <w:lang w:val="fr-FR"/>
              </w:rPr>
              <w:t>é</w:t>
            </w:r>
            <w:r w:rsidR="00E24ADE" w:rsidRPr="0096317D">
              <w:rPr>
                <w:lang w:val="fr-FR"/>
              </w:rPr>
              <w:t>dures</w:t>
            </w:r>
            <w:r w:rsidRPr="0096317D">
              <w:rPr>
                <w:lang w:val="fr-FR"/>
              </w:rPr>
              <w:t xml:space="preserve"> propres</w:t>
            </w:r>
            <w:r w:rsidR="00220660" w:rsidRPr="0096317D">
              <w:rPr>
                <w:lang w:val="fr-FR"/>
              </w:rPr>
              <w:t xml:space="preserve"> au PCT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F4682" w14:textId="5C738AC5" w:rsidR="00E24ADE" w:rsidRPr="0096317D" w:rsidRDefault="00D70349" w:rsidP="00320FDF">
            <w:pPr>
              <w:keepNext/>
              <w:keepLines/>
              <w:tabs>
                <w:tab w:val="right" w:pos="380"/>
                <w:tab w:val="left" w:pos="527"/>
              </w:tabs>
              <w:jc w:val="center"/>
              <w:rPr>
                <w:lang w:val="fr-FR"/>
              </w:rPr>
            </w:pPr>
            <w:r w:rsidRPr="0096317D">
              <w:rPr>
                <w:lang w:val="fr-FR"/>
              </w:rPr>
              <w:t>4 jours</w:t>
            </w:r>
          </w:p>
        </w:tc>
      </w:tr>
      <w:tr w:rsidR="00E24ADE" w:rsidRPr="0096317D" w14:paraId="6F2D718A" w14:textId="77777777" w:rsidTr="00320FDF">
        <w:trPr>
          <w:cantSplit/>
          <w:jc w:val="center"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EE919" w14:textId="77777777" w:rsidR="00E24ADE" w:rsidRPr="0096317D" w:rsidRDefault="00E24ADE" w:rsidP="00320FDF">
            <w:pPr>
              <w:keepNext/>
              <w:keepLines/>
              <w:rPr>
                <w:lang w:val="fr-FR"/>
              </w:rPr>
            </w:pP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12665" w14:textId="18A87E31" w:rsidR="00E24ADE" w:rsidRPr="0096317D" w:rsidRDefault="00696D71" w:rsidP="00320FDF">
            <w:pPr>
              <w:keepNext/>
              <w:keepLines/>
              <w:rPr>
                <w:b/>
                <w:lang w:val="fr-FR"/>
              </w:rPr>
            </w:pPr>
            <w:r w:rsidRPr="0096317D">
              <w:rPr>
                <w:b/>
                <w:lang w:val="fr-FR"/>
              </w:rPr>
              <w:t>Total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B8581" w14:textId="2592E4CA" w:rsidR="00E24ADE" w:rsidRPr="0096317D" w:rsidRDefault="00D70349" w:rsidP="00320FDF">
            <w:pPr>
              <w:keepNext/>
              <w:keepLines/>
              <w:tabs>
                <w:tab w:val="right" w:pos="380"/>
                <w:tab w:val="left" w:pos="527"/>
              </w:tabs>
              <w:jc w:val="center"/>
              <w:rPr>
                <w:lang w:val="fr-FR"/>
              </w:rPr>
            </w:pPr>
            <w:r w:rsidRPr="0096317D">
              <w:rPr>
                <w:lang w:val="fr-FR"/>
              </w:rPr>
              <w:t xml:space="preserve">24 semaines </w:t>
            </w:r>
            <w:r w:rsidR="00E24ADE" w:rsidRPr="0096317D">
              <w:rPr>
                <w:lang w:val="fr-FR"/>
              </w:rPr>
              <w:t>(6</w:t>
            </w:r>
            <w:r w:rsidRPr="0096317D">
              <w:rPr>
                <w:lang w:val="fr-FR"/>
              </w:rPr>
              <w:t> mois</w:t>
            </w:r>
            <w:r w:rsidR="00E24ADE" w:rsidRPr="0096317D">
              <w:rPr>
                <w:lang w:val="fr-FR"/>
              </w:rPr>
              <w:t>)</w:t>
            </w:r>
          </w:p>
        </w:tc>
      </w:tr>
      <w:tr w:rsidR="00E24ADE" w:rsidRPr="0096317D" w14:paraId="6CE265CD" w14:textId="77777777" w:rsidTr="00320FDF">
        <w:trPr>
          <w:cantSplit/>
          <w:jc w:val="center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9A681" w14:textId="720814AD" w:rsidR="00E24ADE" w:rsidRPr="0096317D" w:rsidRDefault="00323F15" w:rsidP="00320FDF">
            <w:pPr>
              <w:keepNext/>
              <w:keepLines/>
              <w:rPr>
                <w:lang w:val="fr-FR"/>
              </w:rPr>
            </w:pPr>
            <w:r w:rsidRPr="0096317D">
              <w:rPr>
                <w:lang w:val="fr-FR"/>
              </w:rPr>
              <w:t xml:space="preserve">Formation </w:t>
            </w:r>
            <w:r w:rsidR="00696D71" w:rsidRPr="0096317D">
              <w:rPr>
                <w:lang w:val="fr-FR"/>
              </w:rPr>
              <w:t>en cours d</w:t>
            </w:r>
            <w:r w:rsidR="00220660" w:rsidRPr="0096317D">
              <w:rPr>
                <w:lang w:val="fr-FR"/>
              </w:rPr>
              <w:t>’</w:t>
            </w:r>
            <w:r w:rsidR="00696D71" w:rsidRPr="0096317D">
              <w:rPr>
                <w:lang w:val="fr-FR"/>
              </w:rPr>
              <w:t>emploi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587F2" w14:textId="5753C1EA" w:rsidR="00E24ADE" w:rsidRPr="0096317D" w:rsidRDefault="00696D71" w:rsidP="00320FDF">
            <w:pPr>
              <w:keepNext/>
              <w:keepLines/>
              <w:rPr>
                <w:lang w:val="fr-FR"/>
              </w:rPr>
            </w:pPr>
            <w:r w:rsidRPr="0096317D">
              <w:rPr>
                <w:lang w:val="fr-FR"/>
              </w:rPr>
              <w:t>Formation dispensée par des examinateurs expérimentés en conditions réelles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D03AA" w14:textId="28FE4299" w:rsidR="00E24ADE" w:rsidRPr="0096317D" w:rsidRDefault="00D70349" w:rsidP="00320FDF">
            <w:pPr>
              <w:keepNext/>
              <w:keepLines/>
              <w:tabs>
                <w:tab w:val="right" w:pos="380"/>
                <w:tab w:val="left" w:pos="527"/>
              </w:tabs>
              <w:jc w:val="center"/>
              <w:rPr>
                <w:lang w:val="fr-FR"/>
              </w:rPr>
            </w:pPr>
            <w:r w:rsidRPr="0096317D">
              <w:rPr>
                <w:lang w:val="fr-FR"/>
              </w:rPr>
              <w:t>Jusqu</w:t>
            </w:r>
            <w:r w:rsidR="00220660" w:rsidRPr="0096317D">
              <w:rPr>
                <w:lang w:val="fr-FR"/>
              </w:rPr>
              <w:t>’</w:t>
            </w:r>
            <w:r w:rsidRPr="0096317D">
              <w:rPr>
                <w:lang w:val="fr-FR"/>
              </w:rPr>
              <w:t>à 12 mois</w:t>
            </w:r>
          </w:p>
        </w:tc>
      </w:tr>
      <w:tr w:rsidR="00E24ADE" w:rsidRPr="001D1CDF" w14:paraId="2B4CA6C9" w14:textId="77777777" w:rsidTr="00320FDF">
        <w:trPr>
          <w:cantSplit/>
          <w:jc w:val="center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9BB26" w14:textId="2F348A52" w:rsidR="00E24ADE" w:rsidRPr="0096317D" w:rsidRDefault="00323F15" w:rsidP="00320FDF">
            <w:pPr>
              <w:keepNext/>
              <w:keepLines/>
              <w:rPr>
                <w:lang w:val="fr-FR"/>
              </w:rPr>
            </w:pPr>
            <w:r w:rsidRPr="0096317D">
              <w:rPr>
                <w:lang w:val="fr-FR"/>
              </w:rPr>
              <w:t>Évaluation globale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D8B5B" w14:textId="325AB62E" w:rsidR="00E24ADE" w:rsidRPr="0096317D" w:rsidRDefault="00696D71" w:rsidP="00320FDF">
            <w:pPr>
              <w:keepNext/>
              <w:keepLines/>
              <w:rPr>
                <w:lang w:val="fr-FR"/>
              </w:rPr>
            </w:pPr>
            <w:r w:rsidRPr="0096317D">
              <w:rPr>
                <w:lang w:val="fr-FR"/>
              </w:rPr>
              <w:t>Évaluation fondée sur les exigences énoncées dans le cadre de compétences applicable aux examinateurs de brevets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7E0EC" w14:textId="77777777" w:rsidR="00E24ADE" w:rsidRPr="0096317D" w:rsidRDefault="00E24ADE" w:rsidP="00320FDF">
            <w:pPr>
              <w:keepNext/>
              <w:keepLines/>
              <w:rPr>
                <w:rFonts w:asciiTheme="minorHAnsi" w:eastAsiaTheme="minorEastAsia" w:hAnsiTheme="minorHAnsi" w:cs="Times New Roman"/>
                <w:lang w:val="fr-FR"/>
              </w:rPr>
            </w:pPr>
          </w:p>
        </w:tc>
      </w:tr>
      <w:tr w:rsidR="00E24ADE" w:rsidRPr="001D1CDF" w14:paraId="48620E19" w14:textId="77777777" w:rsidTr="00320FDF">
        <w:trPr>
          <w:cantSplit/>
          <w:jc w:val="center"/>
        </w:trPr>
        <w:tc>
          <w:tcPr>
            <w:tcW w:w="8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739D2" w14:textId="6E236113" w:rsidR="00E24ADE" w:rsidRPr="0096317D" w:rsidRDefault="00696D71" w:rsidP="00320FDF">
            <w:pPr>
              <w:keepNext/>
              <w:keepLines/>
              <w:tabs>
                <w:tab w:val="right" w:pos="380"/>
                <w:tab w:val="left" w:pos="527"/>
              </w:tabs>
              <w:rPr>
                <w:lang w:val="fr-FR"/>
              </w:rPr>
            </w:pPr>
            <w:r w:rsidRPr="0096317D">
              <w:rPr>
                <w:lang w:val="fr-FR"/>
              </w:rPr>
              <w:t>Formation continue des examinateurs par le biais de divers programmes</w:t>
            </w:r>
          </w:p>
        </w:tc>
      </w:tr>
    </w:tbl>
    <w:p w14:paraId="1042FA9E" w14:textId="6DD570BD" w:rsidR="00AA5F79" w:rsidRDefault="00E24ADE" w:rsidP="00320FDF">
      <w:pPr>
        <w:pStyle w:val="Heading2"/>
        <w:rPr>
          <w:lang w:val="fr-FR"/>
        </w:rPr>
      </w:pPr>
      <w:r w:rsidRPr="0096317D">
        <w:rPr>
          <w:lang w:val="fr-FR"/>
        </w:rPr>
        <w:t>2.3</w:t>
      </w:r>
      <w:r w:rsidRPr="0096317D">
        <w:rPr>
          <w:lang w:val="fr-FR"/>
        </w:rPr>
        <w:tab/>
      </w:r>
      <w:r w:rsidR="00031CD2" w:rsidRPr="0096317D">
        <w:rPr>
          <w:lang w:val="fr-FR"/>
        </w:rPr>
        <w:t>S</w:t>
      </w:r>
      <w:r w:rsidR="00500A7B">
        <w:rPr>
          <w:lang w:val="fr-FR"/>
        </w:rPr>
        <w:t>ystèmes de recherche et d</w:t>
      </w:r>
      <w:r w:rsidR="002232EC" w:rsidRPr="0096317D">
        <w:rPr>
          <w:lang w:val="fr-FR"/>
        </w:rPr>
        <w:t xml:space="preserve">ocumentation </w:t>
      </w:r>
      <w:r w:rsidR="00500A7B" w:rsidRPr="0096317D">
        <w:rPr>
          <w:lang w:val="fr-FR"/>
        </w:rPr>
        <w:t xml:space="preserve">minimale </w:t>
      </w:r>
      <w:r w:rsidR="00500A7B">
        <w:rPr>
          <w:lang w:val="fr-FR"/>
        </w:rPr>
        <w:t>du </w:t>
      </w:r>
      <w:r w:rsidRPr="0096317D">
        <w:rPr>
          <w:lang w:val="fr-FR"/>
        </w:rPr>
        <w:t>PCT</w:t>
      </w:r>
    </w:p>
    <w:p w14:paraId="3052E99D" w14:textId="77777777" w:rsidR="00320FDF" w:rsidRPr="00320FDF" w:rsidRDefault="00320FDF" w:rsidP="00320FDF">
      <w:pPr>
        <w:rPr>
          <w:lang w:val="fr-FR"/>
        </w:rPr>
      </w:pPr>
    </w:p>
    <w:p w14:paraId="74954A40" w14:textId="2151802A" w:rsidR="00AA5F79" w:rsidRPr="0096317D" w:rsidRDefault="00267A94" w:rsidP="00320FDF">
      <w:pPr>
        <w:pStyle w:val="ONUME"/>
        <w:numPr>
          <w:ilvl w:val="0"/>
          <w:numId w:val="0"/>
        </w:numPr>
        <w:rPr>
          <w:i/>
          <w:lang w:val="fr-FR"/>
        </w:rPr>
      </w:pPr>
      <w:r w:rsidRPr="0096317D">
        <w:rPr>
          <w:i/>
          <w:lang w:val="fr-FR"/>
        </w:rPr>
        <w:t>En vertu des</w:t>
      </w:r>
      <w:r w:rsidR="002232EC" w:rsidRPr="0096317D">
        <w:rPr>
          <w:i/>
          <w:lang w:val="fr-FR"/>
        </w:rPr>
        <w:t xml:space="preserve"> règles 36.1.ii) et 63.1.ii)</w:t>
      </w:r>
      <w:r w:rsidR="00220660" w:rsidRPr="0096317D">
        <w:rPr>
          <w:i/>
          <w:lang w:val="fr-FR"/>
        </w:rPr>
        <w:t xml:space="preserve"> du PCT</w:t>
      </w:r>
      <w:r w:rsidR="002232EC" w:rsidRPr="0096317D">
        <w:rPr>
          <w:i/>
          <w:lang w:val="fr-FR"/>
        </w:rPr>
        <w:t>, l</w:t>
      </w:r>
      <w:r w:rsidR="00220660" w:rsidRPr="0096317D">
        <w:rPr>
          <w:i/>
          <w:lang w:val="fr-FR"/>
        </w:rPr>
        <w:t>’</w:t>
      </w:r>
      <w:r w:rsidR="002232EC" w:rsidRPr="0096317D">
        <w:rPr>
          <w:i/>
          <w:lang w:val="fr-FR"/>
        </w:rPr>
        <w:t>office national ou l</w:t>
      </w:r>
      <w:r w:rsidR="00220660" w:rsidRPr="0096317D">
        <w:rPr>
          <w:i/>
          <w:lang w:val="fr-FR"/>
        </w:rPr>
        <w:t>’</w:t>
      </w:r>
      <w:r w:rsidR="002232EC" w:rsidRPr="0096317D">
        <w:rPr>
          <w:i/>
          <w:lang w:val="fr-FR"/>
        </w:rPr>
        <w:t>organisation intergouvernementale doit avoir en sa possession au moins la documentation minimale de la règle 34, ou avoir accès à cette documentation minimale, laquelle doit être disposée d</w:t>
      </w:r>
      <w:r w:rsidR="00220660" w:rsidRPr="0096317D">
        <w:rPr>
          <w:i/>
          <w:lang w:val="fr-FR"/>
        </w:rPr>
        <w:t>’</w:t>
      </w:r>
      <w:r w:rsidR="002232EC" w:rsidRPr="0096317D">
        <w:rPr>
          <w:i/>
          <w:lang w:val="fr-FR"/>
        </w:rPr>
        <w:t>une manière adéquate aux fins de la recherche et se présenter sur papier, sur microforme ou sur un support électronique.</w:t>
      </w:r>
    </w:p>
    <w:p w14:paraId="1E4E64B3" w14:textId="42711EDE" w:rsidR="00AA5F79" w:rsidRPr="0096317D" w:rsidRDefault="002232EC" w:rsidP="00320FDF">
      <w:pPr>
        <w:pStyle w:val="ONUME"/>
        <w:numPr>
          <w:ilvl w:val="0"/>
          <w:numId w:val="0"/>
        </w:numPr>
        <w:rPr>
          <w:lang w:val="fr-FR"/>
        </w:rPr>
      </w:pPr>
      <w:r w:rsidRPr="0096317D">
        <w:rPr>
          <w:lang w:val="fr-FR"/>
        </w:rPr>
        <w:t>L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>IPOS a établi une série complète de plateformes assorties de leurs extensions, qui couvrent à la fois la documentation de brevets et la littérature non</w:t>
      </w:r>
      <w:r w:rsidR="00B776A6">
        <w:rPr>
          <w:lang w:val="fr-FR"/>
        </w:rPr>
        <w:noBreakHyphen/>
      </w:r>
      <w:r w:rsidRPr="0096317D">
        <w:rPr>
          <w:lang w:val="fr-FR"/>
        </w:rPr>
        <w:t>brev</w:t>
      </w:r>
      <w:r w:rsidR="0096317D" w:rsidRPr="0096317D">
        <w:rPr>
          <w:lang w:val="fr-FR"/>
        </w:rPr>
        <w:t>et.  En</w:t>
      </w:r>
      <w:r w:rsidRPr="0096317D">
        <w:rPr>
          <w:lang w:val="fr-FR"/>
        </w:rPr>
        <w:t>semble, elles donnent aux examinateurs accès à la documentation minimale visée à la règle</w:t>
      </w:r>
      <w:r w:rsidR="00267A94" w:rsidRPr="0096317D">
        <w:rPr>
          <w:lang w:val="fr-FR"/>
        </w:rPr>
        <w:t> </w:t>
      </w:r>
      <w:r w:rsidRPr="0096317D">
        <w:rPr>
          <w:lang w:val="fr-FR"/>
        </w:rPr>
        <w:t>34 du</w:t>
      </w:r>
      <w:r w:rsidR="00267A94" w:rsidRPr="0096317D">
        <w:rPr>
          <w:lang w:val="fr-FR"/>
        </w:rPr>
        <w:t xml:space="preserve"> règlement d</w:t>
      </w:r>
      <w:r w:rsidR="00220660" w:rsidRPr="0096317D">
        <w:rPr>
          <w:lang w:val="fr-FR"/>
        </w:rPr>
        <w:t>’</w:t>
      </w:r>
      <w:r w:rsidR="00267A94" w:rsidRPr="0096317D">
        <w:rPr>
          <w:lang w:val="fr-FR"/>
        </w:rPr>
        <w:t>exécution</w:t>
      </w:r>
      <w:r w:rsidR="00220660" w:rsidRPr="0096317D">
        <w:rPr>
          <w:lang w:val="fr-FR"/>
        </w:rPr>
        <w:t xml:space="preserve"> du PCT</w:t>
      </w:r>
      <w:r w:rsidR="00267A94" w:rsidRPr="0096317D">
        <w:rPr>
          <w:lang w:val="fr-FR"/>
        </w:rPr>
        <w:t>, mais pas seulement</w:t>
      </w:r>
      <w:r w:rsidRPr="0096317D">
        <w:rPr>
          <w:lang w:val="fr-FR"/>
        </w:rPr>
        <w:t>.</w:t>
      </w:r>
    </w:p>
    <w:p w14:paraId="4079ECC9" w14:textId="182421AA" w:rsidR="00E24ADE" w:rsidRPr="0096317D" w:rsidRDefault="002232EC" w:rsidP="00320FDF">
      <w:pPr>
        <w:pStyle w:val="ONUME"/>
        <w:keepNext/>
        <w:keepLines/>
        <w:numPr>
          <w:ilvl w:val="0"/>
          <w:numId w:val="0"/>
        </w:numPr>
        <w:rPr>
          <w:lang w:val="fr-FR"/>
        </w:rPr>
      </w:pPr>
      <w:r w:rsidRPr="0096317D">
        <w:rPr>
          <w:lang w:val="fr-FR"/>
        </w:rPr>
        <w:t>Les ex</w:t>
      </w:r>
      <w:r w:rsidR="00267A94" w:rsidRPr="0096317D">
        <w:rPr>
          <w:lang w:val="fr-FR"/>
        </w:rPr>
        <w:t>aminateurs ont accès aux plate</w:t>
      </w:r>
      <w:r w:rsidRPr="0096317D">
        <w:rPr>
          <w:lang w:val="fr-FR"/>
        </w:rPr>
        <w:t>formes suivantes</w:t>
      </w:r>
      <w:r w:rsidR="00220660" w:rsidRPr="0096317D">
        <w:rPr>
          <w:lang w:val="fr-FR"/>
        </w:rPr>
        <w:t> :</w:t>
      </w:r>
    </w:p>
    <w:p w14:paraId="207DB8FB" w14:textId="7E6B3088" w:rsidR="00E24ADE" w:rsidRPr="0096317D" w:rsidRDefault="00E24ADE" w:rsidP="00320FDF">
      <w:pPr>
        <w:pStyle w:val="ONUME"/>
        <w:keepNext/>
        <w:keepLines/>
        <w:numPr>
          <w:ilvl w:val="0"/>
          <w:numId w:val="0"/>
        </w:numPr>
        <w:ind w:left="567"/>
        <w:rPr>
          <w:lang w:val="fr-FR"/>
        </w:rPr>
      </w:pPr>
      <w:r w:rsidRPr="0096317D">
        <w:rPr>
          <w:lang w:val="fr-FR"/>
        </w:rPr>
        <w:t>a.</w:t>
      </w:r>
      <w:r w:rsidRPr="0096317D">
        <w:rPr>
          <w:lang w:val="fr-FR"/>
        </w:rPr>
        <w:tab/>
      </w:r>
      <w:r w:rsidR="00267A94" w:rsidRPr="0096317D">
        <w:rPr>
          <w:lang w:val="fr-FR"/>
        </w:rPr>
        <w:t>le système</w:t>
      </w:r>
      <w:r w:rsidR="002232EC" w:rsidRPr="0096317D">
        <w:rPr>
          <w:lang w:val="fr-FR"/>
        </w:rPr>
        <w:t xml:space="preserve"> de recherche de l</w:t>
      </w:r>
      <w:r w:rsidR="00220660" w:rsidRPr="0096317D">
        <w:rPr>
          <w:lang w:val="fr-FR"/>
        </w:rPr>
        <w:t>’</w:t>
      </w:r>
      <w:r w:rsidR="002232EC" w:rsidRPr="0096317D">
        <w:rPr>
          <w:lang w:val="fr-FR"/>
        </w:rPr>
        <w:t>OEB, EPOQUENet, donnant accès au Derwent World Patent Index (DWPI)</w:t>
      </w:r>
      <w:r w:rsidR="00220660" w:rsidRPr="0096317D">
        <w:rPr>
          <w:lang w:val="fr-FR"/>
        </w:rPr>
        <w:t>;</w:t>
      </w:r>
    </w:p>
    <w:p w14:paraId="122E467C" w14:textId="702F2243" w:rsidR="00E24ADE" w:rsidRPr="0096317D" w:rsidRDefault="00E24ADE" w:rsidP="00320FDF">
      <w:pPr>
        <w:pStyle w:val="ONUME"/>
        <w:numPr>
          <w:ilvl w:val="0"/>
          <w:numId w:val="0"/>
        </w:numPr>
        <w:ind w:left="567"/>
        <w:rPr>
          <w:lang w:val="fr-FR"/>
        </w:rPr>
      </w:pPr>
      <w:r w:rsidRPr="0096317D">
        <w:rPr>
          <w:lang w:val="fr-FR"/>
        </w:rPr>
        <w:t>b.</w:t>
      </w:r>
      <w:r w:rsidRPr="0096317D">
        <w:rPr>
          <w:lang w:val="fr-FR"/>
        </w:rPr>
        <w:tab/>
      </w:r>
      <w:r w:rsidR="002232EC" w:rsidRPr="0096317D">
        <w:rPr>
          <w:lang w:val="fr-FR"/>
        </w:rPr>
        <w:t xml:space="preserve">un </w:t>
      </w:r>
      <w:r w:rsidR="00267A94" w:rsidRPr="0096317D">
        <w:rPr>
          <w:lang w:val="fr-FR"/>
        </w:rPr>
        <w:t>système</w:t>
      </w:r>
      <w:r w:rsidR="002232EC" w:rsidRPr="0096317D">
        <w:rPr>
          <w:lang w:val="fr-FR"/>
        </w:rPr>
        <w:t xml:space="preserve"> de recherche commercial à large couverture dénommé Questel Orbit</w:t>
      </w:r>
      <w:r w:rsidR="00220660" w:rsidRPr="0096317D">
        <w:rPr>
          <w:lang w:val="fr-FR"/>
        </w:rPr>
        <w:t>;</w:t>
      </w:r>
    </w:p>
    <w:p w14:paraId="1452B999" w14:textId="568800E1" w:rsidR="00E24ADE" w:rsidRPr="0096317D" w:rsidRDefault="00E24ADE" w:rsidP="00320FDF">
      <w:pPr>
        <w:pStyle w:val="ONUME"/>
        <w:numPr>
          <w:ilvl w:val="0"/>
          <w:numId w:val="0"/>
        </w:numPr>
        <w:ind w:left="567"/>
        <w:rPr>
          <w:lang w:val="fr-FR"/>
        </w:rPr>
      </w:pPr>
      <w:r w:rsidRPr="0096317D">
        <w:rPr>
          <w:lang w:val="fr-FR"/>
        </w:rPr>
        <w:t>c.</w:t>
      </w:r>
      <w:r w:rsidRPr="0096317D">
        <w:rPr>
          <w:lang w:val="fr-FR"/>
        </w:rPr>
        <w:tab/>
      </w:r>
      <w:r w:rsidR="00267A94" w:rsidRPr="0096317D">
        <w:rPr>
          <w:lang w:val="fr-FR"/>
        </w:rPr>
        <w:t xml:space="preserve">STN, un système </w:t>
      </w:r>
      <w:r w:rsidR="002232EC" w:rsidRPr="0096317D">
        <w:rPr>
          <w:lang w:val="fr-FR"/>
        </w:rPr>
        <w:t>de recherche commercial dédié aux recherches dans le domaine de la</w:t>
      </w:r>
      <w:r w:rsidR="00267A94" w:rsidRPr="0096317D">
        <w:rPr>
          <w:lang w:val="fr-FR"/>
        </w:rPr>
        <w:t xml:space="preserve"> chimie et de la biotechnologie</w:t>
      </w:r>
      <w:r w:rsidR="00220660" w:rsidRPr="0096317D">
        <w:rPr>
          <w:lang w:val="fr-FR"/>
        </w:rPr>
        <w:t>;</w:t>
      </w:r>
      <w:r w:rsidR="002232EC" w:rsidRPr="0096317D">
        <w:rPr>
          <w:lang w:val="fr-FR"/>
        </w:rPr>
        <w:t xml:space="preserve"> </w:t>
      </w:r>
      <w:r w:rsidR="00D8335B" w:rsidRPr="0096317D">
        <w:rPr>
          <w:lang w:val="fr-FR"/>
        </w:rPr>
        <w:t xml:space="preserve"> </w:t>
      </w:r>
      <w:r w:rsidR="002232EC" w:rsidRPr="0096317D">
        <w:rPr>
          <w:lang w:val="fr-FR"/>
        </w:rPr>
        <w:t>et</w:t>
      </w:r>
    </w:p>
    <w:p w14:paraId="44A6DF0D" w14:textId="62AFC810" w:rsidR="00AA5F79" w:rsidRPr="0096317D" w:rsidRDefault="00E24ADE" w:rsidP="00320FDF">
      <w:pPr>
        <w:pStyle w:val="ONUME"/>
        <w:numPr>
          <w:ilvl w:val="0"/>
          <w:numId w:val="0"/>
        </w:numPr>
        <w:ind w:left="567"/>
        <w:rPr>
          <w:lang w:val="fr-FR"/>
        </w:rPr>
      </w:pPr>
      <w:r w:rsidRPr="0096317D">
        <w:rPr>
          <w:lang w:val="fr-FR"/>
        </w:rPr>
        <w:t>d.</w:t>
      </w:r>
      <w:r w:rsidRPr="0096317D">
        <w:rPr>
          <w:lang w:val="fr-FR"/>
        </w:rPr>
        <w:tab/>
      </w:r>
      <w:r w:rsidR="002232EC" w:rsidRPr="0096317D">
        <w:rPr>
          <w:lang w:val="fr-FR"/>
        </w:rPr>
        <w:t>d</w:t>
      </w:r>
      <w:r w:rsidR="00220660" w:rsidRPr="0096317D">
        <w:rPr>
          <w:lang w:val="fr-FR"/>
        </w:rPr>
        <w:t>’</w:t>
      </w:r>
      <w:r w:rsidR="002232EC" w:rsidRPr="0096317D">
        <w:rPr>
          <w:lang w:val="fr-FR"/>
        </w:rPr>
        <w:t xml:space="preserve">autres bases de données </w:t>
      </w:r>
      <w:r w:rsidR="005E1524" w:rsidRPr="0096317D">
        <w:rPr>
          <w:lang w:val="fr-FR"/>
        </w:rPr>
        <w:t>de littérature non</w:t>
      </w:r>
      <w:r w:rsidR="00B776A6">
        <w:rPr>
          <w:lang w:val="fr-FR"/>
        </w:rPr>
        <w:noBreakHyphen/>
      </w:r>
      <w:r w:rsidR="005E1524" w:rsidRPr="0096317D">
        <w:rPr>
          <w:lang w:val="fr-FR"/>
        </w:rPr>
        <w:t>brevet</w:t>
      </w:r>
      <w:r w:rsidR="002232EC" w:rsidRPr="0096317D">
        <w:rPr>
          <w:lang w:val="fr-FR"/>
        </w:rPr>
        <w:t xml:space="preserve">, dont </w:t>
      </w:r>
      <w:r w:rsidR="005E1524" w:rsidRPr="0096317D">
        <w:rPr>
          <w:lang w:val="fr-FR"/>
        </w:rPr>
        <w:t>le</w:t>
      </w:r>
      <w:r w:rsidR="002232EC" w:rsidRPr="0096317D">
        <w:rPr>
          <w:lang w:val="fr-FR"/>
        </w:rPr>
        <w:t xml:space="preserve"> China Academic Journals de la China National Knowledge Infrastructure (CNKI), </w:t>
      </w:r>
      <w:r w:rsidR="005E1524" w:rsidRPr="0096317D">
        <w:rPr>
          <w:lang w:val="fr-FR"/>
        </w:rPr>
        <w:t>IEEE Xplore d</w:t>
      </w:r>
      <w:r w:rsidR="00220660" w:rsidRPr="0096317D">
        <w:rPr>
          <w:lang w:val="fr-FR"/>
        </w:rPr>
        <w:t>’</w:t>
      </w:r>
      <w:r w:rsidR="005E1524" w:rsidRPr="0096317D">
        <w:rPr>
          <w:lang w:val="fr-FR"/>
        </w:rPr>
        <w:t>IEEE et Scopus d</w:t>
      </w:r>
      <w:r w:rsidR="00220660" w:rsidRPr="0096317D">
        <w:rPr>
          <w:lang w:val="fr-FR"/>
        </w:rPr>
        <w:t>’</w:t>
      </w:r>
      <w:r w:rsidR="005E1524" w:rsidRPr="0096317D">
        <w:rPr>
          <w:lang w:val="fr-FR"/>
        </w:rPr>
        <w:t>Elsevier</w:t>
      </w:r>
      <w:r w:rsidRPr="0096317D">
        <w:rPr>
          <w:lang w:val="fr-FR"/>
        </w:rPr>
        <w:t>.</w:t>
      </w:r>
    </w:p>
    <w:p w14:paraId="50C7BF9A" w14:textId="1141CBC8" w:rsidR="00E24ADE" w:rsidRPr="0096317D" w:rsidRDefault="00267A94" w:rsidP="00320FDF">
      <w:pPr>
        <w:pStyle w:val="ONUME"/>
        <w:numPr>
          <w:ilvl w:val="0"/>
          <w:numId w:val="0"/>
        </w:numPr>
        <w:rPr>
          <w:lang w:val="fr-FR"/>
        </w:rPr>
      </w:pPr>
      <w:r w:rsidRPr="0096317D">
        <w:rPr>
          <w:lang w:val="fr-FR"/>
        </w:rPr>
        <w:t>Ces plate</w:t>
      </w:r>
      <w:r w:rsidR="00EA401C" w:rsidRPr="0096317D">
        <w:rPr>
          <w:lang w:val="fr-FR"/>
        </w:rPr>
        <w:t>formes sont reliées à la documentation de brevets de plus de 80 pays et administrations (dont l</w:t>
      </w:r>
      <w:r w:rsidR="00220660" w:rsidRPr="0096317D">
        <w:rPr>
          <w:lang w:val="fr-FR"/>
        </w:rPr>
        <w:t>’</w:t>
      </w:r>
      <w:r w:rsidR="00EA401C" w:rsidRPr="0096317D">
        <w:rPr>
          <w:lang w:val="fr-FR"/>
        </w:rPr>
        <w:t>Organisation Mondiale de la Propriété Intellectuelle (OMPI), la Chine, l</w:t>
      </w:r>
      <w:r w:rsidR="00220660" w:rsidRPr="0096317D">
        <w:rPr>
          <w:lang w:val="fr-FR"/>
        </w:rPr>
        <w:t>’</w:t>
      </w:r>
      <w:r w:rsidR="00EA401C" w:rsidRPr="0096317D">
        <w:rPr>
          <w:lang w:val="fr-FR"/>
        </w:rPr>
        <w:t>OEB, l</w:t>
      </w:r>
      <w:r w:rsidR="00220660" w:rsidRPr="0096317D">
        <w:rPr>
          <w:lang w:val="fr-FR"/>
        </w:rPr>
        <w:t>’</w:t>
      </w:r>
      <w:r w:rsidR="00EA401C" w:rsidRPr="0096317D">
        <w:rPr>
          <w:lang w:val="fr-FR"/>
        </w:rPr>
        <w:t xml:space="preserve">Allemagne, le Japon, la </w:t>
      </w:r>
      <w:r w:rsidR="00D8335B" w:rsidRPr="0096317D">
        <w:rPr>
          <w:lang w:val="fr-FR"/>
        </w:rPr>
        <w:t xml:space="preserve">République de </w:t>
      </w:r>
      <w:r w:rsidR="00EA401C" w:rsidRPr="0096317D">
        <w:rPr>
          <w:lang w:val="fr-FR"/>
        </w:rPr>
        <w:t>Corée, la Russie, le Royaume</w:t>
      </w:r>
      <w:r w:rsidR="00B776A6">
        <w:rPr>
          <w:lang w:val="fr-FR"/>
        </w:rPr>
        <w:noBreakHyphen/>
      </w:r>
      <w:r w:rsidR="00EA401C" w:rsidRPr="0096317D">
        <w:rPr>
          <w:lang w:val="fr-FR"/>
        </w:rPr>
        <w:t>Uni, les États</w:t>
      </w:r>
      <w:r w:rsidR="00B776A6">
        <w:rPr>
          <w:lang w:val="fr-FR"/>
        </w:rPr>
        <w:noBreakHyphen/>
      </w:r>
      <w:r w:rsidR="00EA401C" w:rsidRPr="0096317D">
        <w:rPr>
          <w:lang w:val="fr-FR"/>
        </w:rPr>
        <w:t>Unis</w:t>
      </w:r>
      <w:r w:rsidR="00D8335B" w:rsidRPr="0096317D">
        <w:rPr>
          <w:lang w:val="fr-FR"/>
        </w:rPr>
        <w:t xml:space="preserve"> d’Amérique</w:t>
      </w:r>
      <w:r w:rsidR="00EA401C" w:rsidRPr="0096317D">
        <w:rPr>
          <w:lang w:val="fr-FR"/>
        </w:rPr>
        <w:t xml:space="preserve"> et Singapour) dans de nombreuses langues (dont le chinois, l</w:t>
      </w:r>
      <w:r w:rsidR="00220660" w:rsidRPr="0096317D">
        <w:rPr>
          <w:lang w:val="fr-FR"/>
        </w:rPr>
        <w:t>’</w:t>
      </w:r>
      <w:r w:rsidR="00EA401C" w:rsidRPr="0096317D">
        <w:rPr>
          <w:lang w:val="fr-FR"/>
        </w:rPr>
        <w:t>anglais, le français, l</w:t>
      </w:r>
      <w:r w:rsidR="00220660" w:rsidRPr="0096317D">
        <w:rPr>
          <w:lang w:val="fr-FR"/>
        </w:rPr>
        <w:t>’</w:t>
      </w:r>
      <w:r w:rsidR="00EA401C" w:rsidRPr="0096317D">
        <w:rPr>
          <w:lang w:val="fr-FR"/>
        </w:rPr>
        <w:t>allemand, le japonais, le coréen, le russe et l</w:t>
      </w:r>
      <w:r w:rsidR="00220660" w:rsidRPr="0096317D">
        <w:rPr>
          <w:lang w:val="fr-FR"/>
        </w:rPr>
        <w:t>’</w:t>
      </w:r>
      <w:r w:rsidR="00EA401C" w:rsidRPr="0096317D">
        <w:rPr>
          <w:lang w:val="fr-FR"/>
        </w:rPr>
        <w:t>espagnol).</w:t>
      </w:r>
    </w:p>
    <w:p w14:paraId="1A0E5489" w14:textId="3A8BECF2" w:rsidR="00E24ADE" w:rsidRPr="0096317D" w:rsidRDefault="00F60878" w:rsidP="00320FDF">
      <w:pPr>
        <w:pStyle w:val="ONUME"/>
        <w:numPr>
          <w:ilvl w:val="0"/>
          <w:numId w:val="0"/>
        </w:numPr>
        <w:rPr>
          <w:lang w:val="fr-FR"/>
        </w:rPr>
      </w:pPr>
      <w:r w:rsidRPr="0096317D">
        <w:rPr>
          <w:lang w:val="fr-FR"/>
        </w:rPr>
        <w:t>L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 xml:space="preserve">IPOS réexamine périodiquement son système de recherche </w:t>
      </w:r>
      <w:r w:rsidR="00B90831" w:rsidRPr="0096317D">
        <w:rPr>
          <w:lang w:val="fr-FR"/>
        </w:rPr>
        <w:t>et ses bases de données</w:t>
      </w:r>
      <w:r w:rsidRPr="0096317D">
        <w:rPr>
          <w:lang w:val="fr-FR"/>
        </w:rPr>
        <w:t xml:space="preserve"> </w:t>
      </w:r>
      <w:r w:rsidR="004572B6" w:rsidRPr="0096317D">
        <w:rPr>
          <w:lang w:val="fr-FR"/>
        </w:rPr>
        <w:t xml:space="preserve">consultables par abonnement </w:t>
      </w:r>
      <w:r w:rsidRPr="0096317D">
        <w:rPr>
          <w:lang w:val="fr-FR"/>
        </w:rPr>
        <w:t>afin de s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 xml:space="preserve">assurer de </w:t>
      </w:r>
      <w:r w:rsidR="00B90831" w:rsidRPr="0096317D">
        <w:rPr>
          <w:lang w:val="fr-FR"/>
        </w:rPr>
        <w:t>leur</w:t>
      </w:r>
      <w:r w:rsidRPr="0096317D">
        <w:rPr>
          <w:lang w:val="fr-FR"/>
        </w:rPr>
        <w:t xml:space="preserve"> </w:t>
      </w:r>
      <w:r w:rsidR="00B776A6">
        <w:rPr>
          <w:lang w:val="fr-FR"/>
        </w:rPr>
        <w:t>qualité</w:t>
      </w:r>
      <w:r w:rsidRPr="0096317D">
        <w:rPr>
          <w:lang w:val="fr-FR"/>
        </w:rPr>
        <w:t xml:space="preserve">, de </w:t>
      </w:r>
      <w:r w:rsidR="00B90831" w:rsidRPr="0096317D">
        <w:rPr>
          <w:lang w:val="fr-FR"/>
        </w:rPr>
        <w:t>leur</w:t>
      </w:r>
      <w:r w:rsidRPr="0096317D">
        <w:rPr>
          <w:lang w:val="fr-FR"/>
        </w:rPr>
        <w:t xml:space="preserve"> pertinence et de </w:t>
      </w:r>
      <w:r w:rsidR="00B90831" w:rsidRPr="0096317D">
        <w:rPr>
          <w:lang w:val="fr-FR"/>
        </w:rPr>
        <w:t>leur</w:t>
      </w:r>
      <w:r w:rsidRPr="0096317D">
        <w:rPr>
          <w:lang w:val="fr-FR"/>
        </w:rPr>
        <w:t xml:space="preserve"> efficaci</w:t>
      </w:r>
      <w:r w:rsidR="0096317D" w:rsidRPr="0096317D">
        <w:rPr>
          <w:lang w:val="fr-FR"/>
        </w:rPr>
        <w:t>té.  De</w:t>
      </w:r>
      <w:r w:rsidRPr="0096317D">
        <w:rPr>
          <w:lang w:val="fr-FR"/>
        </w:rPr>
        <w:t xml:space="preserve"> nouvelles ressources sont passées en revue par le Bureau des normes en matière de recherche de l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>I</w:t>
      </w:r>
      <w:r w:rsidR="00FC67E6" w:rsidRPr="0096317D">
        <w:rPr>
          <w:lang w:val="fr-FR"/>
        </w:rPr>
        <w:t>POS</w:t>
      </w:r>
      <w:r w:rsidRPr="0096317D">
        <w:rPr>
          <w:lang w:val="fr-FR"/>
        </w:rPr>
        <w:t xml:space="preserve"> et, le cas échéant, ajoutées à celles </w:t>
      </w:r>
      <w:r w:rsidR="00B776A6">
        <w:rPr>
          <w:lang w:val="fr-FR"/>
        </w:rPr>
        <w:t xml:space="preserve">qui sont </w:t>
      </w:r>
      <w:r w:rsidRPr="0096317D">
        <w:rPr>
          <w:lang w:val="fr-FR"/>
        </w:rPr>
        <w:t>accessibles aux examinateurs afin d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>élargir la portée des recherches.</w:t>
      </w:r>
    </w:p>
    <w:p w14:paraId="32CDBA3A" w14:textId="65474399" w:rsidR="00E24ADE" w:rsidRPr="0096317D" w:rsidRDefault="00F60878" w:rsidP="00320FDF">
      <w:pPr>
        <w:pStyle w:val="ONUME"/>
        <w:numPr>
          <w:ilvl w:val="0"/>
          <w:numId w:val="0"/>
        </w:numPr>
        <w:rPr>
          <w:lang w:val="fr-FR"/>
        </w:rPr>
      </w:pPr>
      <w:r w:rsidRPr="0096317D">
        <w:rPr>
          <w:lang w:val="fr-FR"/>
        </w:rPr>
        <w:t>Les examinateurs ont reçu une formation complète à l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>utilisation du système de recherche</w:t>
      </w:r>
      <w:r w:rsidR="00104EAE" w:rsidRPr="0096317D">
        <w:rPr>
          <w:lang w:val="fr-FR"/>
        </w:rPr>
        <w:t xml:space="preserve"> de la part des prestataires de servi</w:t>
      </w:r>
      <w:r w:rsidR="0096317D" w:rsidRPr="0096317D">
        <w:rPr>
          <w:lang w:val="fr-FR"/>
        </w:rPr>
        <w:t>ce.  De</w:t>
      </w:r>
      <w:r w:rsidR="00104EAE" w:rsidRPr="0096317D">
        <w:rPr>
          <w:lang w:val="fr-FR"/>
        </w:rPr>
        <w:t xml:space="preserve">s remises à niveau ou des cours avancés concernant un domaine technique spécifique sont </w:t>
      </w:r>
      <w:r w:rsidR="004572B6" w:rsidRPr="0096317D">
        <w:rPr>
          <w:lang w:val="fr-FR"/>
        </w:rPr>
        <w:t xml:space="preserve">régulièrement </w:t>
      </w:r>
      <w:r w:rsidR="00104EAE" w:rsidRPr="0096317D">
        <w:rPr>
          <w:lang w:val="fr-FR"/>
        </w:rPr>
        <w:t xml:space="preserve">proposés pour veiller à ce que les examinateurs </w:t>
      </w:r>
      <w:r w:rsidR="004572B6" w:rsidRPr="0096317D">
        <w:rPr>
          <w:lang w:val="fr-FR"/>
        </w:rPr>
        <w:t>restent en phase avec</w:t>
      </w:r>
      <w:r w:rsidR="006B6220" w:rsidRPr="0096317D">
        <w:rPr>
          <w:lang w:val="fr-FR"/>
        </w:rPr>
        <w:t xml:space="preserve"> l</w:t>
      </w:r>
      <w:r w:rsidR="00220660" w:rsidRPr="0096317D">
        <w:rPr>
          <w:lang w:val="fr-FR"/>
        </w:rPr>
        <w:t>’</w:t>
      </w:r>
      <w:r w:rsidR="006B6220" w:rsidRPr="0096317D">
        <w:rPr>
          <w:lang w:val="fr-FR"/>
        </w:rPr>
        <w:t xml:space="preserve">utilisation des </w:t>
      </w:r>
      <w:r w:rsidR="004572B6" w:rsidRPr="0096317D">
        <w:rPr>
          <w:lang w:val="fr-FR"/>
        </w:rPr>
        <w:t>systèmes</w:t>
      </w:r>
      <w:r w:rsidR="006B6220" w:rsidRPr="0096317D">
        <w:rPr>
          <w:lang w:val="fr-FR"/>
        </w:rPr>
        <w:t xml:space="preserve"> de recherche et des bases de données.</w:t>
      </w:r>
    </w:p>
    <w:p w14:paraId="196E0E3A" w14:textId="02BA5D97" w:rsidR="00AA5F79" w:rsidRDefault="00E24ADE" w:rsidP="00320FDF">
      <w:pPr>
        <w:pStyle w:val="Heading2"/>
        <w:rPr>
          <w:lang w:val="fr-FR"/>
        </w:rPr>
      </w:pPr>
      <w:r w:rsidRPr="0096317D">
        <w:rPr>
          <w:lang w:val="fr-FR"/>
        </w:rPr>
        <w:t>2.4</w:t>
      </w:r>
      <w:r w:rsidRPr="0096317D">
        <w:rPr>
          <w:lang w:val="fr-FR"/>
        </w:rPr>
        <w:tab/>
      </w:r>
      <w:r w:rsidR="006B6220" w:rsidRPr="0096317D">
        <w:rPr>
          <w:lang w:val="fr-FR"/>
        </w:rPr>
        <w:t xml:space="preserve">Langues dans lesquelles les demandes </w:t>
      </w:r>
      <w:r w:rsidR="00500A7B" w:rsidRPr="0096317D">
        <w:rPr>
          <w:lang w:val="fr-FR"/>
        </w:rPr>
        <w:t xml:space="preserve">régionales </w:t>
      </w:r>
      <w:r w:rsidR="006B6220" w:rsidRPr="0096317D">
        <w:rPr>
          <w:lang w:val="fr-FR"/>
        </w:rPr>
        <w:t xml:space="preserve">peuvent </w:t>
      </w:r>
      <w:r w:rsidR="00500A7B">
        <w:rPr>
          <w:lang w:val="fr-FR"/>
        </w:rPr>
        <w:t>ê</w:t>
      </w:r>
      <w:r w:rsidR="006B6220" w:rsidRPr="0096317D">
        <w:rPr>
          <w:lang w:val="fr-FR"/>
        </w:rPr>
        <w:t>tre d</w:t>
      </w:r>
      <w:r w:rsidR="00500A7B" w:rsidRPr="0096317D">
        <w:rPr>
          <w:lang w:val="fr-FR"/>
        </w:rPr>
        <w:t>é</w:t>
      </w:r>
      <w:r w:rsidR="006B6220" w:rsidRPr="0096317D">
        <w:rPr>
          <w:lang w:val="fr-FR"/>
        </w:rPr>
        <w:t>pos</w:t>
      </w:r>
      <w:r w:rsidR="00500A7B" w:rsidRPr="0096317D">
        <w:rPr>
          <w:lang w:val="fr-FR"/>
        </w:rPr>
        <w:t>é</w:t>
      </w:r>
      <w:r w:rsidR="006B6220" w:rsidRPr="0096317D">
        <w:rPr>
          <w:lang w:val="fr-FR"/>
        </w:rPr>
        <w:t xml:space="preserve">es et </w:t>
      </w:r>
      <w:r w:rsidR="00500A7B" w:rsidRPr="0096317D">
        <w:rPr>
          <w:lang w:val="fr-FR"/>
        </w:rPr>
        <w:t>traitées</w:t>
      </w:r>
    </w:p>
    <w:p w14:paraId="42A50CC6" w14:textId="77777777" w:rsidR="00320FDF" w:rsidRPr="00320FDF" w:rsidRDefault="00320FDF" w:rsidP="00320FDF">
      <w:pPr>
        <w:rPr>
          <w:lang w:val="fr-FR"/>
        </w:rPr>
      </w:pPr>
    </w:p>
    <w:p w14:paraId="2E2481AA" w14:textId="4211A354" w:rsidR="00E24ADE" w:rsidRPr="0096317D" w:rsidRDefault="00253C3F" w:rsidP="00320FDF">
      <w:pPr>
        <w:pStyle w:val="ONUME"/>
        <w:numPr>
          <w:ilvl w:val="0"/>
          <w:numId w:val="0"/>
        </w:numPr>
        <w:rPr>
          <w:i/>
          <w:lang w:val="fr-FR"/>
        </w:rPr>
      </w:pPr>
      <w:r w:rsidRPr="0096317D">
        <w:rPr>
          <w:i/>
          <w:lang w:val="fr-FR"/>
        </w:rPr>
        <w:t>En vertu des</w:t>
      </w:r>
      <w:r w:rsidR="006B6220" w:rsidRPr="0096317D">
        <w:rPr>
          <w:i/>
          <w:lang w:val="fr-FR"/>
        </w:rPr>
        <w:t xml:space="preserve"> règles 36.1.iii) et 63.1.iii), cet office ou cette organisation doit disposer d</w:t>
      </w:r>
      <w:r w:rsidR="00220660" w:rsidRPr="0096317D">
        <w:rPr>
          <w:i/>
          <w:lang w:val="fr-FR"/>
        </w:rPr>
        <w:t>’</w:t>
      </w:r>
      <w:r w:rsidR="006B6220" w:rsidRPr="0096317D">
        <w:rPr>
          <w:i/>
          <w:lang w:val="fr-FR"/>
        </w:rPr>
        <w:t xml:space="preserve">un personnel capable de procéder à la recherche </w:t>
      </w:r>
      <w:r w:rsidR="00031CD2" w:rsidRPr="0096317D">
        <w:rPr>
          <w:i/>
          <w:lang w:val="fr-FR"/>
        </w:rPr>
        <w:t>et à l</w:t>
      </w:r>
      <w:r w:rsidR="00220660" w:rsidRPr="0096317D">
        <w:rPr>
          <w:i/>
          <w:lang w:val="fr-FR"/>
        </w:rPr>
        <w:t>’</w:t>
      </w:r>
      <w:r w:rsidR="00031CD2" w:rsidRPr="0096317D">
        <w:rPr>
          <w:i/>
          <w:lang w:val="fr-FR"/>
        </w:rPr>
        <w:t xml:space="preserve">examen </w:t>
      </w:r>
      <w:r w:rsidR="006B6220" w:rsidRPr="0096317D">
        <w:rPr>
          <w:i/>
          <w:lang w:val="fr-FR"/>
        </w:rPr>
        <w:t xml:space="preserve">dans les domaines techniques </w:t>
      </w:r>
      <w:r w:rsidR="00031CD2" w:rsidRPr="0096317D">
        <w:rPr>
          <w:i/>
          <w:lang w:val="fr-FR"/>
        </w:rPr>
        <w:t>requis</w:t>
      </w:r>
      <w:r w:rsidR="006B6220" w:rsidRPr="0096317D">
        <w:rPr>
          <w:i/>
          <w:lang w:val="fr-FR"/>
        </w:rPr>
        <w:t xml:space="preserve"> et possédant </w:t>
      </w:r>
      <w:r w:rsidR="0007792B" w:rsidRPr="0096317D">
        <w:rPr>
          <w:i/>
          <w:lang w:val="fr-FR"/>
        </w:rPr>
        <w:t xml:space="preserve">au moins </w:t>
      </w:r>
      <w:r w:rsidR="006B6220" w:rsidRPr="0096317D">
        <w:rPr>
          <w:i/>
          <w:lang w:val="fr-FR"/>
        </w:rPr>
        <w:t>les connaissances linguistiques nécessaires à la compréhension des langues dans lesquelles la documentation minimale de la règle 34 est rédigée ou traduite.</w:t>
      </w:r>
    </w:p>
    <w:p w14:paraId="32E9331C" w14:textId="5DCC6F7E" w:rsidR="00220660" w:rsidRPr="0096317D" w:rsidRDefault="00F32235" w:rsidP="00320FDF">
      <w:pPr>
        <w:pStyle w:val="ONUME"/>
        <w:numPr>
          <w:ilvl w:val="0"/>
          <w:numId w:val="0"/>
        </w:numPr>
        <w:rPr>
          <w:lang w:val="fr-FR"/>
        </w:rPr>
      </w:pPr>
      <w:r w:rsidRPr="0096317D">
        <w:rPr>
          <w:lang w:val="fr-FR"/>
        </w:rPr>
        <w:t>L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 xml:space="preserve">IPOS a </w:t>
      </w:r>
      <w:r w:rsidR="00253C3F" w:rsidRPr="0096317D">
        <w:rPr>
          <w:lang w:val="fr-FR"/>
        </w:rPr>
        <w:t>pris ses fonctions</w:t>
      </w:r>
      <w:r w:rsidRPr="0096317D">
        <w:rPr>
          <w:lang w:val="fr-FR"/>
        </w:rPr>
        <w:t xml:space="preserve"> </w:t>
      </w:r>
      <w:r w:rsidR="00253C3F" w:rsidRPr="0096317D">
        <w:rPr>
          <w:lang w:val="fr-FR"/>
        </w:rPr>
        <w:t>d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>administration chargée de la recherche internationale, de l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 xml:space="preserve">examen préliminaire international et </w:t>
      </w:r>
      <w:r w:rsidR="001C3BA2" w:rsidRPr="0096317D">
        <w:rPr>
          <w:lang w:val="fr-FR"/>
        </w:rPr>
        <w:t>de la recherche internationale supplémentaire selon</w:t>
      </w:r>
      <w:r w:rsidR="00220660" w:rsidRPr="0096317D">
        <w:rPr>
          <w:lang w:val="fr-FR"/>
        </w:rPr>
        <w:t xml:space="preserve"> le PCT</w:t>
      </w:r>
      <w:r w:rsidR="001C3BA2" w:rsidRPr="0096317D">
        <w:rPr>
          <w:lang w:val="fr-FR"/>
        </w:rPr>
        <w:t xml:space="preserve"> le</w:t>
      </w:r>
      <w:r w:rsidR="00220660" w:rsidRPr="0096317D">
        <w:rPr>
          <w:lang w:val="fr-FR"/>
        </w:rPr>
        <w:t xml:space="preserve"> 1</w:t>
      </w:r>
      <w:r w:rsidR="00220660" w:rsidRPr="0096317D">
        <w:rPr>
          <w:vertAlign w:val="superscript"/>
          <w:lang w:val="fr-FR"/>
        </w:rPr>
        <w:t>er</w:t>
      </w:r>
      <w:r w:rsidR="00220660" w:rsidRPr="0096317D">
        <w:rPr>
          <w:lang w:val="fr-FR"/>
        </w:rPr>
        <w:t> </w:t>
      </w:r>
      <w:r w:rsidR="001C3BA2" w:rsidRPr="0096317D">
        <w:rPr>
          <w:lang w:val="fr-FR"/>
        </w:rPr>
        <w:t xml:space="preserve">septembre 2015. </w:t>
      </w:r>
      <w:r w:rsidR="00D8335B" w:rsidRPr="0096317D">
        <w:rPr>
          <w:lang w:val="fr-FR"/>
        </w:rPr>
        <w:t xml:space="preserve"> </w:t>
      </w:r>
      <w:r w:rsidR="001C3BA2" w:rsidRPr="0096317D">
        <w:rPr>
          <w:lang w:val="fr-FR"/>
        </w:rPr>
        <w:t>En sa qualité d</w:t>
      </w:r>
      <w:r w:rsidR="00220660" w:rsidRPr="0096317D">
        <w:rPr>
          <w:lang w:val="fr-FR"/>
        </w:rPr>
        <w:t>’</w:t>
      </w:r>
      <w:r w:rsidR="001C3BA2" w:rsidRPr="0096317D">
        <w:rPr>
          <w:lang w:val="fr-FR"/>
        </w:rPr>
        <w:t>administration chargée de la recherche internationale et de l</w:t>
      </w:r>
      <w:r w:rsidR="00220660" w:rsidRPr="0096317D">
        <w:rPr>
          <w:lang w:val="fr-FR"/>
        </w:rPr>
        <w:t>’</w:t>
      </w:r>
      <w:r w:rsidR="001C3BA2" w:rsidRPr="0096317D">
        <w:rPr>
          <w:lang w:val="fr-FR"/>
        </w:rPr>
        <w:t xml:space="preserve">examen préliminaire international, </w:t>
      </w:r>
      <w:r w:rsidR="00253C3F" w:rsidRPr="0096317D">
        <w:rPr>
          <w:lang w:val="fr-FR"/>
        </w:rPr>
        <w:t>il</w:t>
      </w:r>
      <w:r w:rsidR="001C3BA2" w:rsidRPr="0096317D">
        <w:rPr>
          <w:lang w:val="fr-FR"/>
        </w:rPr>
        <w:t xml:space="preserve"> acceptait </w:t>
      </w:r>
      <w:r w:rsidR="00253C3F" w:rsidRPr="0096317D">
        <w:rPr>
          <w:lang w:val="fr-FR"/>
        </w:rPr>
        <w:t xml:space="preserve">alors </w:t>
      </w:r>
      <w:r w:rsidR="001C3BA2" w:rsidRPr="0096317D">
        <w:rPr>
          <w:lang w:val="fr-FR"/>
        </w:rPr>
        <w:t>pour seule langue l</w:t>
      </w:r>
      <w:r w:rsidR="00220660" w:rsidRPr="0096317D">
        <w:rPr>
          <w:lang w:val="fr-FR"/>
        </w:rPr>
        <w:t>’</w:t>
      </w:r>
      <w:r w:rsidR="001C3BA2" w:rsidRPr="0096317D">
        <w:rPr>
          <w:lang w:val="fr-FR"/>
        </w:rPr>
        <w:t>anglais, tandis qu</w:t>
      </w:r>
      <w:r w:rsidR="00220660" w:rsidRPr="0096317D">
        <w:rPr>
          <w:lang w:val="fr-FR"/>
        </w:rPr>
        <w:t>’</w:t>
      </w:r>
      <w:r w:rsidR="001C3BA2" w:rsidRPr="0096317D">
        <w:rPr>
          <w:lang w:val="fr-FR"/>
        </w:rPr>
        <w:t>en sa qualité d</w:t>
      </w:r>
      <w:r w:rsidR="00220660" w:rsidRPr="0096317D">
        <w:rPr>
          <w:lang w:val="fr-FR"/>
        </w:rPr>
        <w:t>’</w:t>
      </w:r>
      <w:r w:rsidR="001C3BA2" w:rsidRPr="0096317D">
        <w:rPr>
          <w:lang w:val="fr-FR"/>
        </w:rPr>
        <w:t>administration chargée de la recherche internationale supplémentaire, il acceptait aussi le chino</w:t>
      </w:r>
      <w:r w:rsidR="0096317D" w:rsidRPr="0096317D">
        <w:rPr>
          <w:lang w:val="fr-FR"/>
        </w:rPr>
        <w:t>is.  Le</w:t>
      </w:r>
      <w:r w:rsidR="00220660" w:rsidRPr="0096317D">
        <w:rPr>
          <w:lang w:val="fr-FR"/>
        </w:rPr>
        <w:t xml:space="preserve"> 1</w:t>
      </w:r>
      <w:r w:rsidR="00220660" w:rsidRPr="0096317D">
        <w:rPr>
          <w:vertAlign w:val="superscript"/>
          <w:lang w:val="fr-FR"/>
        </w:rPr>
        <w:t>er</w:t>
      </w:r>
      <w:r w:rsidR="00220660" w:rsidRPr="0096317D">
        <w:rPr>
          <w:lang w:val="fr-FR"/>
        </w:rPr>
        <w:t> </w:t>
      </w:r>
      <w:r w:rsidR="001C3BA2" w:rsidRPr="0096317D">
        <w:rPr>
          <w:lang w:val="fr-FR"/>
        </w:rPr>
        <w:t>octobre 2016, l</w:t>
      </w:r>
      <w:r w:rsidR="00220660" w:rsidRPr="0096317D">
        <w:rPr>
          <w:lang w:val="fr-FR"/>
        </w:rPr>
        <w:t>’</w:t>
      </w:r>
      <w:r w:rsidR="001C3BA2" w:rsidRPr="0096317D">
        <w:rPr>
          <w:lang w:val="fr-FR"/>
        </w:rPr>
        <w:t xml:space="preserve">IPOS a </w:t>
      </w:r>
      <w:r w:rsidR="00253C3F" w:rsidRPr="0096317D">
        <w:rPr>
          <w:lang w:val="fr-FR"/>
        </w:rPr>
        <w:t>accompli des progrès</w:t>
      </w:r>
      <w:r w:rsidR="001C3BA2" w:rsidRPr="0096317D">
        <w:rPr>
          <w:lang w:val="fr-FR"/>
        </w:rPr>
        <w:t xml:space="preserve"> et</w:t>
      </w:r>
      <w:r w:rsidR="00253C3F" w:rsidRPr="0096317D">
        <w:rPr>
          <w:lang w:val="fr-FR"/>
        </w:rPr>
        <w:t>,</w:t>
      </w:r>
      <w:r w:rsidR="001C3BA2" w:rsidRPr="0096317D">
        <w:rPr>
          <w:lang w:val="fr-FR"/>
        </w:rPr>
        <w:t xml:space="preserve"> en sa qualité d</w:t>
      </w:r>
      <w:r w:rsidR="00220660" w:rsidRPr="0096317D">
        <w:rPr>
          <w:lang w:val="fr-FR"/>
        </w:rPr>
        <w:t>’</w:t>
      </w:r>
      <w:r w:rsidR="001C3BA2" w:rsidRPr="0096317D">
        <w:rPr>
          <w:lang w:val="fr-FR"/>
        </w:rPr>
        <w:t>administration chargée de la recherche internationale et de l</w:t>
      </w:r>
      <w:r w:rsidR="00220660" w:rsidRPr="0096317D">
        <w:rPr>
          <w:lang w:val="fr-FR"/>
        </w:rPr>
        <w:t>’</w:t>
      </w:r>
      <w:r w:rsidR="001C3BA2" w:rsidRPr="0096317D">
        <w:rPr>
          <w:lang w:val="fr-FR"/>
        </w:rPr>
        <w:t>examen préliminaire international, accepté une autre langue pour le dépôt des demandes</w:t>
      </w:r>
      <w:r w:rsidR="00220660" w:rsidRPr="0096317D">
        <w:rPr>
          <w:lang w:val="fr-FR"/>
        </w:rPr>
        <w:t> :</w:t>
      </w:r>
      <w:r w:rsidR="001C3BA2" w:rsidRPr="0096317D">
        <w:rPr>
          <w:lang w:val="fr-FR"/>
        </w:rPr>
        <w:t xml:space="preserve"> le chinois.</w:t>
      </w:r>
    </w:p>
    <w:p w14:paraId="15876C69" w14:textId="44A852C3" w:rsidR="00AA5F79" w:rsidRPr="0096317D" w:rsidRDefault="001C3BA2" w:rsidP="00320FDF">
      <w:pPr>
        <w:pStyle w:val="ONUME"/>
        <w:numPr>
          <w:ilvl w:val="0"/>
          <w:numId w:val="0"/>
        </w:numPr>
        <w:rPr>
          <w:lang w:val="fr-FR"/>
        </w:rPr>
      </w:pPr>
      <w:r w:rsidRPr="0096317D">
        <w:rPr>
          <w:lang w:val="fr-FR"/>
        </w:rPr>
        <w:t>Tous les examinateurs parlent couramment l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>anglais, qui est la langue de travail officiel</w:t>
      </w:r>
      <w:r w:rsidR="00B229F5" w:rsidRPr="0096317D">
        <w:rPr>
          <w:lang w:val="fr-FR"/>
        </w:rPr>
        <w:t>le à Singapour, et p</w:t>
      </w:r>
      <w:r w:rsidRPr="0096317D">
        <w:rPr>
          <w:lang w:val="fr-FR"/>
        </w:rPr>
        <w:t xml:space="preserve">lus de </w:t>
      </w:r>
      <w:r w:rsidR="00B229F5" w:rsidRPr="0096317D">
        <w:rPr>
          <w:lang w:val="fr-FR"/>
        </w:rPr>
        <w:t>3</w:t>
      </w:r>
      <w:r w:rsidRPr="0096317D">
        <w:rPr>
          <w:lang w:val="fr-FR"/>
        </w:rPr>
        <w:t xml:space="preserve">5% </w:t>
      </w:r>
      <w:r w:rsidR="00B229F5" w:rsidRPr="0096317D">
        <w:rPr>
          <w:lang w:val="fr-FR"/>
        </w:rPr>
        <w:t>d</w:t>
      </w:r>
      <w:r w:rsidR="00220660" w:rsidRPr="0096317D">
        <w:rPr>
          <w:lang w:val="fr-FR"/>
        </w:rPr>
        <w:t>’</w:t>
      </w:r>
      <w:r w:rsidR="00B229F5" w:rsidRPr="0096317D">
        <w:rPr>
          <w:lang w:val="fr-FR"/>
        </w:rPr>
        <w:t>entre eux</w:t>
      </w:r>
      <w:r w:rsidRPr="0096317D">
        <w:rPr>
          <w:lang w:val="fr-FR"/>
        </w:rPr>
        <w:t xml:space="preserve"> maîtrisent parfaitement le chinois.</w:t>
      </w:r>
      <w:r w:rsidR="00D8335B" w:rsidRPr="0096317D">
        <w:rPr>
          <w:lang w:val="fr-FR"/>
        </w:rPr>
        <w:t xml:space="preserve"> </w:t>
      </w:r>
      <w:r w:rsidRPr="0096317D">
        <w:rPr>
          <w:lang w:val="fr-FR"/>
        </w:rPr>
        <w:t xml:space="preserve"> </w:t>
      </w:r>
      <w:r w:rsidR="00B229F5" w:rsidRPr="0096317D">
        <w:rPr>
          <w:lang w:val="fr-FR"/>
        </w:rPr>
        <w:t>L</w:t>
      </w:r>
      <w:r w:rsidR="00220660" w:rsidRPr="0096317D">
        <w:rPr>
          <w:lang w:val="fr-FR"/>
        </w:rPr>
        <w:t>’</w:t>
      </w:r>
      <w:r w:rsidR="00B229F5" w:rsidRPr="0096317D">
        <w:rPr>
          <w:lang w:val="fr-FR"/>
        </w:rPr>
        <w:t>IPOS est donc en mesure d</w:t>
      </w:r>
      <w:r w:rsidR="00220660" w:rsidRPr="0096317D">
        <w:rPr>
          <w:lang w:val="fr-FR"/>
        </w:rPr>
        <w:t>’</w:t>
      </w:r>
      <w:r w:rsidR="00B229F5" w:rsidRPr="0096317D">
        <w:rPr>
          <w:lang w:val="fr-FR"/>
        </w:rPr>
        <w:t>effectuer des recherches et d</w:t>
      </w:r>
      <w:r w:rsidR="00220660" w:rsidRPr="0096317D">
        <w:rPr>
          <w:lang w:val="fr-FR"/>
        </w:rPr>
        <w:t>’</w:t>
      </w:r>
      <w:r w:rsidR="00B229F5" w:rsidRPr="0096317D">
        <w:rPr>
          <w:lang w:val="fr-FR"/>
        </w:rPr>
        <w:t>examiner des documents sur l</w:t>
      </w:r>
      <w:r w:rsidR="00220660" w:rsidRPr="0096317D">
        <w:rPr>
          <w:lang w:val="fr-FR"/>
        </w:rPr>
        <w:t>’</w:t>
      </w:r>
      <w:r w:rsidR="00B229F5" w:rsidRPr="0096317D">
        <w:rPr>
          <w:lang w:val="fr-FR"/>
        </w:rPr>
        <w:t xml:space="preserve">état de la technique </w:t>
      </w:r>
      <w:r w:rsidR="00253C3F" w:rsidRPr="0096317D">
        <w:rPr>
          <w:lang w:val="fr-FR"/>
        </w:rPr>
        <w:t>en chino</w:t>
      </w:r>
      <w:r w:rsidR="0096317D" w:rsidRPr="0096317D">
        <w:rPr>
          <w:lang w:val="fr-FR"/>
        </w:rPr>
        <w:t>is.  Ét</w:t>
      </w:r>
      <w:r w:rsidR="00B229F5" w:rsidRPr="0096317D">
        <w:rPr>
          <w:lang w:val="fr-FR"/>
        </w:rPr>
        <w:t>ant donné que le volume de cette documentation ne cesse d</w:t>
      </w:r>
      <w:r w:rsidR="00220660" w:rsidRPr="0096317D">
        <w:rPr>
          <w:lang w:val="fr-FR"/>
        </w:rPr>
        <w:t>’</w:t>
      </w:r>
      <w:r w:rsidR="00B229F5" w:rsidRPr="0096317D">
        <w:rPr>
          <w:lang w:val="fr-FR"/>
        </w:rPr>
        <w:t>augmenter, l</w:t>
      </w:r>
      <w:r w:rsidR="00220660" w:rsidRPr="0096317D">
        <w:rPr>
          <w:lang w:val="fr-FR"/>
        </w:rPr>
        <w:t>’</w:t>
      </w:r>
      <w:r w:rsidR="00B229F5" w:rsidRPr="0096317D">
        <w:rPr>
          <w:lang w:val="fr-FR"/>
        </w:rPr>
        <w:t xml:space="preserve">aptitude à effectuer des recherches en texte intégral et </w:t>
      </w:r>
      <w:r w:rsidR="00253C3F" w:rsidRPr="0096317D">
        <w:rPr>
          <w:lang w:val="fr-FR"/>
        </w:rPr>
        <w:t>à</w:t>
      </w:r>
      <w:r w:rsidR="00B229F5" w:rsidRPr="0096317D">
        <w:rPr>
          <w:lang w:val="fr-FR"/>
        </w:rPr>
        <w:t xml:space="preserve"> procéder à un examen des documents en chinois favorisera l</w:t>
      </w:r>
      <w:r w:rsidR="00220660" w:rsidRPr="0096317D">
        <w:rPr>
          <w:lang w:val="fr-FR"/>
        </w:rPr>
        <w:t>’</w:t>
      </w:r>
      <w:r w:rsidR="00B229F5" w:rsidRPr="0096317D">
        <w:rPr>
          <w:lang w:val="fr-FR"/>
        </w:rPr>
        <w:t>exhaustivité et la précision des travaux de recherche et d</w:t>
      </w:r>
      <w:r w:rsidR="00220660" w:rsidRPr="0096317D">
        <w:rPr>
          <w:lang w:val="fr-FR"/>
        </w:rPr>
        <w:t>’</w:t>
      </w:r>
      <w:r w:rsidR="00B229F5" w:rsidRPr="0096317D">
        <w:rPr>
          <w:lang w:val="fr-FR"/>
        </w:rPr>
        <w:t>examen selon</w:t>
      </w:r>
      <w:r w:rsidR="00220660" w:rsidRPr="0096317D">
        <w:rPr>
          <w:lang w:val="fr-FR"/>
        </w:rPr>
        <w:t xml:space="preserve"> le PCT</w:t>
      </w:r>
      <w:r w:rsidR="00B229F5" w:rsidRPr="0096317D">
        <w:rPr>
          <w:lang w:val="fr-FR"/>
        </w:rPr>
        <w:t>.</w:t>
      </w:r>
    </w:p>
    <w:p w14:paraId="0756C39A" w14:textId="08B3A68D" w:rsidR="00AA5F79" w:rsidRDefault="00E24ADE" w:rsidP="00320FDF">
      <w:pPr>
        <w:pStyle w:val="Heading1"/>
        <w:rPr>
          <w:lang w:val="fr-FR"/>
        </w:rPr>
      </w:pPr>
      <w:r w:rsidRPr="0096317D">
        <w:rPr>
          <w:lang w:val="fr-FR"/>
        </w:rPr>
        <w:t>3.</w:t>
      </w:r>
      <w:r w:rsidRPr="0096317D">
        <w:rPr>
          <w:lang w:val="fr-FR"/>
        </w:rPr>
        <w:tab/>
      </w:r>
      <w:r w:rsidR="00C502DF" w:rsidRPr="0096317D">
        <w:rPr>
          <w:lang w:val="fr-FR"/>
        </w:rPr>
        <w:t>G</w:t>
      </w:r>
      <w:r w:rsidR="00500A7B">
        <w:rPr>
          <w:lang w:val="fr-FR"/>
        </w:rPr>
        <w:t>estion de la</w:t>
      </w:r>
      <w:r w:rsidR="00C502DF" w:rsidRPr="0096317D">
        <w:rPr>
          <w:lang w:val="fr-FR"/>
        </w:rPr>
        <w:t xml:space="preserve"> </w:t>
      </w:r>
      <w:r w:rsidR="00500A7B" w:rsidRPr="0096317D">
        <w:rPr>
          <w:lang w:val="fr-FR"/>
        </w:rPr>
        <w:t>qualité</w:t>
      </w:r>
    </w:p>
    <w:p w14:paraId="50E7D422" w14:textId="77777777" w:rsidR="00320FDF" w:rsidRPr="00320FDF" w:rsidRDefault="00320FDF" w:rsidP="00320FDF">
      <w:pPr>
        <w:rPr>
          <w:lang w:val="fr-FR"/>
        </w:rPr>
      </w:pPr>
    </w:p>
    <w:p w14:paraId="269A9B0D" w14:textId="75DB8925" w:rsidR="00AA5F79" w:rsidRPr="0096317D" w:rsidRDefault="00C502DF" w:rsidP="00320FDF">
      <w:pPr>
        <w:pStyle w:val="ONUME"/>
        <w:numPr>
          <w:ilvl w:val="0"/>
          <w:numId w:val="0"/>
        </w:numPr>
        <w:rPr>
          <w:i/>
          <w:lang w:val="fr-FR"/>
        </w:rPr>
      </w:pPr>
      <w:r w:rsidRPr="0096317D">
        <w:rPr>
          <w:i/>
          <w:lang w:val="fr-FR"/>
        </w:rPr>
        <w:t>En vertu des règles 36.1.</w:t>
      </w:r>
      <w:r w:rsidR="00E24ADE" w:rsidRPr="0096317D">
        <w:rPr>
          <w:i/>
          <w:lang w:val="fr-FR"/>
        </w:rPr>
        <w:t xml:space="preserve">iv) </w:t>
      </w:r>
      <w:r w:rsidRPr="0096317D">
        <w:rPr>
          <w:i/>
          <w:lang w:val="fr-FR"/>
        </w:rPr>
        <w:t>et 63.1.</w:t>
      </w:r>
      <w:r w:rsidR="00E24ADE" w:rsidRPr="0096317D">
        <w:rPr>
          <w:i/>
          <w:lang w:val="fr-FR"/>
        </w:rPr>
        <w:t>iv)</w:t>
      </w:r>
      <w:r w:rsidR="00220660" w:rsidRPr="0096317D">
        <w:rPr>
          <w:i/>
          <w:lang w:val="fr-FR"/>
        </w:rPr>
        <w:t xml:space="preserve"> du PCT</w:t>
      </w:r>
      <w:r w:rsidR="00E24ADE" w:rsidRPr="0096317D">
        <w:rPr>
          <w:i/>
          <w:lang w:val="fr-FR"/>
        </w:rPr>
        <w:t xml:space="preserve">, </w:t>
      </w:r>
      <w:r w:rsidRPr="0096317D">
        <w:rPr>
          <w:i/>
          <w:lang w:val="fr-FR"/>
        </w:rPr>
        <w:t>cet office ou cette organisation doit disposer d</w:t>
      </w:r>
      <w:r w:rsidR="00220660" w:rsidRPr="0096317D">
        <w:rPr>
          <w:i/>
          <w:lang w:val="fr-FR"/>
        </w:rPr>
        <w:t>’</w:t>
      </w:r>
      <w:r w:rsidRPr="0096317D">
        <w:rPr>
          <w:i/>
          <w:lang w:val="fr-FR"/>
        </w:rPr>
        <w:t>un système de gestion de la qualité et de dispositions internes en matière d</w:t>
      </w:r>
      <w:r w:rsidR="00220660" w:rsidRPr="0096317D">
        <w:rPr>
          <w:i/>
          <w:lang w:val="fr-FR"/>
        </w:rPr>
        <w:t>’</w:t>
      </w:r>
      <w:r w:rsidRPr="0096317D">
        <w:rPr>
          <w:i/>
          <w:lang w:val="fr-FR"/>
        </w:rPr>
        <w:t>évaluation conformément aux règles communes de la recherche internationale</w:t>
      </w:r>
      <w:r w:rsidR="00E24ADE" w:rsidRPr="0096317D">
        <w:rPr>
          <w:i/>
          <w:lang w:val="fr-FR"/>
        </w:rPr>
        <w:t>.</w:t>
      </w:r>
    </w:p>
    <w:p w14:paraId="143B0CBB" w14:textId="2E2EE928" w:rsidR="00E24ADE" w:rsidRPr="0096317D" w:rsidRDefault="00EA71C4" w:rsidP="00320FDF">
      <w:pPr>
        <w:pStyle w:val="ONUME"/>
        <w:numPr>
          <w:ilvl w:val="0"/>
          <w:numId w:val="0"/>
        </w:numPr>
        <w:rPr>
          <w:lang w:val="fr-FR"/>
        </w:rPr>
      </w:pPr>
      <w:r w:rsidRPr="0096317D">
        <w:rPr>
          <w:lang w:val="fr-FR"/>
        </w:rPr>
        <w:t>Depuis 2013, l</w:t>
      </w:r>
      <w:r w:rsidR="001C7D44" w:rsidRPr="0096317D">
        <w:rPr>
          <w:lang w:val="fr-FR"/>
        </w:rPr>
        <w:t>e Service de recherche et d</w:t>
      </w:r>
      <w:r w:rsidR="00220660" w:rsidRPr="0096317D">
        <w:rPr>
          <w:lang w:val="fr-FR"/>
        </w:rPr>
        <w:t>’</w:t>
      </w:r>
      <w:r w:rsidR="001C7D44" w:rsidRPr="0096317D">
        <w:rPr>
          <w:lang w:val="fr-FR"/>
        </w:rPr>
        <w:t>examen en matière de brevets de l</w:t>
      </w:r>
      <w:r w:rsidR="00220660" w:rsidRPr="0096317D">
        <w:rPr>
          <w:lang w:val="fr-FR"/>
        </w:rPr>
        <w:t>’</w:t>
      </w:r>
      <w:r w:rsidR="001C7D44" w:rsidRPr="0096317D">
        <w:rPr>
          <w:lang w:val="fr-FR"/>
        </w:rPr>
        <w:t>IPOS met en œuvre des procédures de gestion de la qualité conformes aux normes</w:t>
      </w:r>
      <w:r w:rsidR="00D8335B" w:rsidRPr="0096317D">
        <w:rPr>
          <w:lang w:val="fr-FR"/>
        </w:rPr>
        <w:t> </w:t>
      </w:r>
      <w:r w:rsidR="001C7D44" w:rsidRPr="0096317D">
        <w:rPr>
          <w:lang w:val="fr-FR"/>
        </w:rPr>
        <w:t>ISO</w:t>
      </w:r>
      <w:r w:rsidR="0079276A" w:rsidRPr="0096317D">
        <w:rPr>
          <w:lang w:val="fr-FR"/>
        </w:rPr>
        <w:t xml:space="preserve"> </w:t>
      </w:r>
      <w:r w:rsidR="00FC67E6" w:rsidRPr="0096317D">
        <w:rPr>
          <w:lang w:val="fr-FR"/>
        </w:rPr>
        <w:t>aux fins</w:t>
      </w:r>
      <w:r w:rsidR="0079276A" w:rsidRPr="0096317D">
        <w:rPr>
          <w:lang w:val="fr-FR"/>
        </w:rPr>
        <w:t xml:space="preserve"> des services de recherche et d</w:t>
      </w:r>
      <w:r w:rsidR="00220660" w:rsidRPr="0096317D">
        <w:rPr>
          <w:lang w:val="fr-FR"/>
        </w:rPr>
        <w:t>’</w:t>
      </w:r>
      <w:r w:rsidR="0079276A" w:rsidRPr="0096317D">
        <w:rPr>
          <w:lang w:val="fr-FR"/>
        </w:rPr>
        <w:t>exam</w:t>
      </w:r>
      <w:r w:rsidR="0096317D" w:rsidRPr="0096317D">
        <w:rPr>
          <w:lang w:val="fr-FR"/>
        </w:rPr>
        <w:t>en.  La</w:t>
      </w:r>
      <w:r w:rsidRPr="0096317D">
        <w:rPr>
          <w:lang w:val="fr-FR"/>
        </w:rPr>
        <w:t xml:space="preserve"> certification selon la norme</w:t>
      </w:r>
      <w:r w:rsidR="00D8335B" w:rsidRPr="0096317D">
        <w:rPr>
          <w:lang w:val="fr-FR"/>
        </w:rPr>
        <w:t> </w:t>
      </w:r>
      <w:r w:rsidRPr="0096317D">
        <w:rPr>
          <w:lang w:val="fr-FR"/>
        </w:rPr>
        <w:t xml:space="preserve">ISO 9001:2008 </w:t>
      </w:r>
      <w:r w:rsidR="00DB0D94" w:rsidRPr="0096317D">
        <w:rPr>
          <w:lang w:val="fr-FR"/>
        </w:rPr>
        <w:t>des services de recherche et d</w:t>
      </w:r>
      <w:r w:rsidR="00220660" w:rsidRPr="0096317D">
        <w:rPr>
          <w:lang w:val="fr-FR"/>
        </w:rPr>
        <w:t>’</w:t>
      </w:r>
      <w:r w:rsidR="00DB0D94" w:rsidRPr="0096317D">
        <w:rPr>
          <w:lang w:val="fr-FR"/>
        </w:rPr>
        <w:t>examen a été officiellement obtenue en novembre 2014.</w:t>
      </w:r>
      <w:r w:rsidR="00D8335B" w:rsidRPr="0096317D">
        <w:rPr>
          <w:lang w:val="fr-FR"/>
        </w:rPr>
        <w:t xml:space="preserve"> </w:t>
      </w:r>
      <w:r w:rsidR="00DB0D94" w:rsidRPr="0096317D">
        <w:rPr>
          <w:lang w:val="fr-FR"/>
        </w:rPr>
        <w:t xml:space="preserve"> Par la suite, le Service de recherche et d</w:t>
      </w:r>
      <w:r w:rsidR="00220660" w:rsidRPr="0096317D">
        <w:rPr>
          <w:lang w:val="fr-FR"/>
        </w:rPr>
        <w:t>’</w:t>
      </w:r>
      <w:r w:rsidR="00DB0D94" w:rsidRPr="0096317D">
        <w:rPr>
          <w:lang w:val="fr-FR"/>
        </w:rPr>
        <w:t>examen s</w:t>
      </w:r>
      <w:r w:rsidR="00220660" w:rsidRPr="0096317D">
        <w:rPr>
          <w:lang w:val="fr-FR"/>
        </w:rPr>
        <w:t>’</w:t>
      </w:r>
      <w:r w:rsidR="00DB0D94" w:rsidRPr="0096317D">
        <w:rPr>
          <w:lang w:val="fr-FR"/>
        </w:rPr>
        <w:t>est soumis avec succès aux audits externes de 2015 et</w:t>
      </w:r>
      <w:r w:rsidR="00FC67E6" w:rsidRPr="0096317D">
        <w:rPr>
          <w:lang w:val="fr-FR"/>
        </w:rPr>
        <w:t xml:space="preserve"> de </w:t>
      </w:r>
      <w:r w:rsidR="00DB0D94" w:rsidRPr="0096317D">
        <w:rPr>
          <w:lang w:val="fr-FR"/>
        </w:rPr>
        <w:t xml:space="preserve">2016, </w:t>
      </w:r>
      <w:r w:rsidR="00643D8C" w:rsidRPr="0096317D">
        <w:rPr>
          <w:lang w:val="fr-FR"/>
        </w:rPr>
        <w:t>qui n</w:t>
      </w:r>
      <w:r w:rsidR="00220660" w:rsidRPr="0096317D">
        <w:rPr>
          <w:lang w:val="fr-FR"/>
        </w:rPr>
        <w:t>’</w:t>
      </w:r>
      <w:r w:rsidR="00643D8C" w:rsidRPr="0096317D">
        <w:rPr>
          <w:lang w:val="fr-FR"/>
        </w:rPr>
        <w:t xml:space="preserve">ont </w:t>
      </w:r>
      <w:r w:rsidR="009564E6" w:rsidRPr="0096317D">
        <w:rPr>
          <w:lang w:val="fr-FR"/>
        </w:rPr>
        <w:t>rien révélé de</w:t>
      </w:r>
      <w:r w:rsidR="00643D8C" w:rsidRPr="0096317D">
        <w:rPr>
          <w:lang w:val="fr-FR"/>
        </w:rPr>
        <w:t xml:space="preserve"> maje</w:t>
      </w:r>
      <w:r w:rsidR="0096317D" w:rsidRPr="0096317D">
        <w:rPr>
          <w:lang w:val="fr-FR"/>
        </w:rPr>
        <w:t>ur.  Le</w:t>
      </w:r>
      <w:r w:rsidR="009564E6" w:rsidRPr="0096317D">
        <w:rPr>
          <w:lang w:val="fr-FR"/>
        </w:rPr>
        <w:t xml:space="preserve"> </w:t>
      </w:r>
      <w:r w:rsidR="00FC67E6" w:rsidRPr="0096317D">
        <w:rPr>
          <w:lang w:val="fr-FR"/>
        </w:rPr>
        <w:t xml:space="preserve">Bureau de gestion de la qualité </w:t>
      </w:r>
      <w:r w:rsidR="009564E6" w:rsidRPr="0096317D">
        <w:rPr>
          <w:lang w:val="fr-FR"/>
        </w:rPr>
        <w:t>prépare actuellement une transition de la norme</w:t>
      </w:r>
      <w:r w:rsidR="00D8335B" w:rsidRPr="0096317D">
        <w:rPr>
          <w:lang w:val="fr-FR"/>
        </w:rPr>
        <w:t> </w:t>
      </w:r>
      <w:r w:rsidR="009564E6" w:rsidRPr="0096317D">
        <w:rPr>
          <w:lang w:val="fr-FR"/>
        </w:rPr>
        <w:t>ISO 9001:2008 à la norme</w:t>
      </w:r>
      <w:r w:rsidR="00D8335B" w:rsidRPr="0096317D">
        <w:rPr>
          <w:lang w:val="fr-FR"/>
        </w:rPr>
        <w:t> </w:t>
      </w:r>
      <w:r w:rsidR="009564E6" w:rsidRPr="0096317D">
        <w:rPr>
          <w:lang w:val="fr-FR"/>
        </w:rPr>
        <w:t>ISO 9001:2015 et vise à obtenir la certification selon la nouvelle norme avant la fin du mois d</w:t>
      </w:r>
      <w:r w:rsidR="00220660" w:rsidRPr="0096317D">
        <w:rPr>
          <w:lang w:val="fr-FR"/>
        </w:rPr>
        <w:t>’</w:t>
      </w:r>
      <w:r w:rsidR="009564E6" w:rsidRPr="0096317D">
        <w:rPr>
          <w:lang w:val="fr-FR"/>
        </w:rPr>
        <w:t>octobre 2017.</w:t>
      </w:r>
    </w:p>
    <w:p w14:paraId="38640E97" w14:textId="6C777C97" w:rsidR="00E24ADE" w:rsidRPr="0096317D" w:rsidRDefault="00863E8F" w:rsidP="00320FDF">
      <w:pPr>
        <w:pStyle w:val="ONUME"/>
        <w:numPr>
          <w:ilvl w:val="0"/>
          <w:numId w:val="0"/>
        </w:numPr>
        <w:rPr>
          <w:lang w:val="fr-FR"/>
        </w:rPr>
      </w:pPr>
      <w:r w:rsidRPr="0096317D">
        <w:rPr>
          <w:lang w:val="fr-FR"/>
        </w:rPr>
        <w:t>En réponse à la circulaire C. PCT 1483 du Bureau international, l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 xml:space="preserve">IPOS a récemment soumis un rapport annuel décrivant </w:t>
      </w:r>
      <w:r w:rsidR="00FC67E6" w:rsidRPr="0096317D">
        <w:rPr>
          <w:lang w:val="fr-FR"/>
        </w:rPr>
        <w:t>dans le</w:t>
      </w:r>
      <w:r w:rsidRPr="0096317D">
        <w:rPr>
          <w:lang w:val="fr-FR"/>
        </w:rPr>
        <w:t xml:space="preserve"> détail son système de gestion de la qualité, conformément au chapitre 21 des Directives concernant la recherche internationale et l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>examen préliminaire international selon</w:t>
      </w:r>
      <w:r w:rsidR="00220660" w:rsidRPr="0096317D">
        <w:rPr>
          <w:lang w:val="fr-FR"/>
        </w:rPr>
        <w:t xml:space="preserve"> le PCT</w:t>
      </w:r>
      <w:r w:rsidRPr="0096317D">
        <w:rPr>
          <w:lang w:val="fr-FR"/>
        </w:rPr>
        <w:t>.</w:t>
      </w:r>
    </w:p>
    <w:p w14:paraId="71909A95" w14:textId="312FFB4C" w:rsidR="00E24ADE" w:rsidRPr="0096317D" w:rsidRDefault="00FC67E6" w:rsidP="00320FDF">
      <w:pPr>
        <w:pStyle w:val="ONUME"/>
        <w:numPr>
          <w:ilvl w:val="0"/>
          <w:numId w:val="0"/>
        </w:numPr>
        <w:rPr>
          <w:lang w:val="fr-FR"/>
        </w:rPr>
      </w:pPr>
      <w:r w:rsidRPr="0096317D">
        <w:rPr>
          <w:lang w:val="fr-FR"/>
        </w:rPr>
        <w:t>La</w:t>
      </w:r>
      <w:r w:rsidR="00863E8F" w:rsidRPr="0096317D">
        <w:rPr>
          <w:lang w:val="fr-FR"/>
        </w:rPr>
        <w:t xml:space="preserve"> politique </w:t>
      </w:r>
      <w:r w:rsidRPr="0096317D">
        <w:rPr>
          <w:lang w:val="fr-FR"/>
        </w:rPr>
        <w:t>de l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 xml:space="preserve">IPOS </w:t>
      </w:r>
      <w:r w:rsidR="00863E8F" w:rsidRPr="0096317D">
        <w:rPr>
          <w:lang w:val="fr-FR"/>
        </w:rPr>
        <w:t xml:space="preserve">en matière de qualité consiste à travailler de concert avec </w:t>
      </w:r>
      <w:r w:rsidRPr="0096317D">
        <w:rPr>
          <w:lang w:val="fr-FR"/>
        </w:rPr>
        <w:t>ses</w:t>
      </w:r>
      <w:r w:rsidR="00863E8F" w:rsidRPr="0096317D">
        <w:rPr>
          <w:lang w:val="fr-FR"/>
        </w:rPr>
        <w:t xml:space="preserve"> clients pour assurer la fourniture de prod</w:t>
      </w:r>
      <w:r w:rsidRPr="0096317D">
        <w:rPr>
          <w:lang w:val="fr-FR"/>
        </w:rPr>
        <w:t>uits et services de qualité d</w:t>
      </w:r>
      <w:r w:rsidR="00863E8F" w:rsidRPr="0096317D">
        <w:rPr>
          <w:lang w:val="fr-FR"/>
        </w:rPr>
        <w:t xml:space="preserve">e manière efficace et uniforme. </w:t>
      </w:r>
      <w:r w:rsidR="00D8335B" w:rsidRPr="0096317D">
        <w:rPr>
          <w:lang w:val="fr-FR"/>
        </w:rPr>
        <w:t xml:space="preserve"> </w:t>
      </w:r>
      <w:r w:rsidRPr="0096317D">
        <w:rPr>
          <w:lang w:val="fr-FR"/>
        </w:rPr>
        <w:t>L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>IPOS est</w:t>
      </w:r>
      <w:r w:rsidR="00863E8F" w:rsidRPr="0096317D">
        <w:rPr>
          <w:lang w:val="fr-FR"/>
        </w:rPr>
        <w:t xml:space="preserve"> déterminé à améliorer en permanence </w:t>
      </w:r>
      <w:r w:rsidRPr="0096317D">
        <w:rPr>
          <w:lang w:val="fr-FR"/>
        </w:rPr>
        <w:t>se</w:t>
      </w:r>
      <w:r w:rsidR="00863E8F" w:rsidRPr="0096317D">
        <w:rPr>
          <w:lang w:val="fr-FR"/>
        </w:rPr>
        <w:t xml:space="preserve">s systèmes, </w:t>
      </w:r>
      <w:r w:rsidRPr="0096317D">
        <w:rPr>
          <w:lang w:val="fr-FR"/>
        </w:rPr>
        <w:t>ses</w:t>
      </w:r>
      <w:r w:rsidR="00863E8F" w:rsidRPr="0096317D">
        <w:rPr>
          <w:lang w:val="fr-FR"/>
        </w:rPr>
        <w:t xml:space="preserve"> pratiques et </w:t>
      </w:r>
      <w:r w:rsidRPr="0096317D">
        <w:rPr>
          <w:lang w:val="fr-FR"/>
        </w:rPr>
        <w:t>se</w:t>
      </w:r>
      <w:r w:rsidR="00863E8F" w:rsidRPr="0096317D">
        <w:rPr>
          <w:lang w:val="fr-FR"/>
        </w:rPr>
        <w:t>s programmes afin d</w:t>
      </w:r>
      <w:r w:rsidR="00220660" w:rsidRPr="0096317D">
        <w:rPr>
          <w:lang w:val="fr-FR"/>
        </w:rPr>
        <w:t>’</w:t>
      </w:r>
      <w:r w:rsidR="00863E8F" w:rsidRPr="0096317D">
        <w:rPr>
          <w:lang w:val="fr-FR"/>
        </w:rPr>
        <w:t>octroyer des droits de propriété intellectuelle solides, propres à favoriser un environnement dynamique et fructueux pour la propriété intellectuelle à Singapour.</w:t>
      </w:r>
    </w:p>
    <w:p w14:paraId="53873D44" w14:textId="22446BC3" w:rsidR="00AA5F79" w:rsidRPr="0096317D" w:rsidRDefault="00FC67E6" w:rsidP="00320FDF">
      <w:pPr>
        <w:pStyle w:val="ONUME"/>
        <w:numPr>
          <w:ilvl w:val="0"/>
          <w:numId w:val="0"/>
        </w:numPr>
        <w:rPr>
          <w:lang w:val="fr-FR"/>
        </w:rPr>
      </w:pPr>
      <w:r w:rsidRPr="0096317D">
        <w:rPr>
          <w:lang w:val="fr-FR"/>
        </w:rPr>
        <w:t>L</w:t>
      </w:r>
      <w:r w:rsidR="00220660" w:rsidRPr="0096317D">
        <w:rPr>
          <w:lang w:val="fr-FR"/>
        </w:rPr>
        <w:t>’</w:t>
      </w:r>
      <w:r w:rsidR="00863E8F" w:rsidRPr="0096317D">
        <w:rPr>
          <w:lang w:val="fr-FR"/>
        </w:rPr>
        <w:t>objectif</w:t>
      </w:r>
      <w:r w:rsidRPr="0096317D">
        <w:rPr>
          <w:lang w:val="fr-FR"/>
        </w:rPr>
        <w:t xml:space="preserve"> de l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>IPOS</w:t>
      </w:r>
      <w:r w:rsidR="00863E8F" w:rsidRPr="0096317D">
        <w:rPr>
          <w:lang w:val="fr-FR"/>
        </w:rPr>
        <w:t xml:space="preserve"> est de fournir des produits et services de qualité en matière de recherche et d</w:t>
      </w:r>
      <w:r w:rsidR="00220660" w:rsidRPr="0096317D">
        <w:rPr>
          <w:lang w:val="fr-FR"/>
        </w:rPr>
        <w:t>’</w:t>
      </w:r>
      <w:r w:rsidR="00863E8F" w:rsidRPr="0096317D">
        <w:rPr>
          <w:lang w:val="fr-FR"/>
        </w:rPr>
        <w:t>examen, qui soient valides et fiables</w:t>
      </w:r>
      <w:r w:rsidRPr="0096317D">
        <w:rPr>
          <w:lang w:val="fr-FR"/>
        </w:rPr>
        <w:t>,</w:t>
      </w:r>
      <w:r w:rsidR="00863E8F" w:rsidRPr="0096317D">
        <w:rPr>
          <w:lang w:val="fr-FR"/>
        </w:rPr>
        <w:t xml:space="preserve"> et livrés de manière efficace et pragmatique.</w:t>
      </w:r>
    </w:p>
    <w:p w14:paraId="06462C5A" w14:textId="4AA583FA" w:rsidR="00AA5F79" w:rsidRDefault="00E24ADE" w:rsidP="00320FDF">
      <w:pPr>
        <w:pStyle w:val="Heading2"/>
        <w:rPr>
          <w:lang w:val="fr-FR"/>
        </w:rPr>
      </w:pPr>
      <w:r w:rsidRPr="0096317D">
        <w:rPr>
          <w:lang w:val="fr-FR"/>
        </w:rPr>
        <w:t>3.1</w:t>
      </w:r>
      <w:r w:rsidRPr="0096317D">
        <w:rPr>
          <w:lang w:val="fr-FR"/>
        </w:rPr>
        <w:tab/>
      </w:r>
      <w:r w:rsidR="00500A7B">
        <w:rPr>
          <w:lang w:val="fr-FR"/>
        </w:rPr>
        <w:t>V</w:t>
      </w:r>
      <w:r w:rsidR="00500A7B" w:rsidRPr="0096317D">
        <w:rPr>
          <w:lang w:val="fr-FR"/>
        </w:rPr>
        <w:t>alidité</w:t>
      </w:r>
      <w:r w:rsidRPr="0096317D">
        <w:rPr>
          <w:lang w:val="fr-FR"/>
        </w:rPr>
        <w:t xml:space="preserve"> </w:t>
      </w:r>
      <w:r w:rsidR="00500A7B">
        <w:rPr>
          <w:lang w:val="fr-FR"/>
        </w:rPr>
        <w:t>et fiabilité de la recherche et de l’examen</w:t>
      </w:r>
    </w:p>
    <w:p w14:paraId="4AC4F4B2" w14:textId="77777777" w:rsidR="00320FDF" w:rsidRPr="00320FDF" w:rsidRDefault="00320FDF" w:rsidP="00320FDF">
      <w:pPr>
        <w:rPr>
          <w:lang w:val="fr-FR"/>
        </w:rPr>
      </w:pPr>
    </w:p>
    <w:p w14:paraId="4D203995" w14:textId="4E80DB5F" w:rsidR="00E24ADE" w:rsidRPr="0096317D" w:rsidRDefault="00FC67E6" w:rsidP="00320FDF">
      <w:pPr>
        <w:pStyle w:val="ONUME"/>
        <w:numPr>
          <w:ilvl w:val="0"/>
          <w:numId w:val="0"/>
        </w:numPr>
        <w:rPr>
          <w:lang w:val="fr-FR"/>
        </w:rPr>
      </w:pPr>
      <w:r w:rsidRPr="0096317D">
        <w:rPr>
          <w:lang w:val="fr-FR"/>
        </w:rPr>
        <w:t>L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>IPOS</w:t>
      </w:r>
      <w:r w:rsidR="00F37356" w:rsidRPr="0096317D">
        <w:rPr>
          <w:lang w:val="fr-FR"/>
        </w:rPr>
        <w:t xml:space="preserve"> consid</w:t>
      </w:r>
      <w:r w:rsidRPr="0096317D">
        <w:rPr>
          <w:lang w:val="fr-FR"/>
        </w:rPr>
        <w:t>ère</w:t>
      </w:r>
      <w:r w:rsidR="00F37356" w:rsidRPr="0096317D">
        <w:rPr>
          <w:lang w:val="fr-FR"/>
        </w:rPr>
        <w:t xml:space="preserve"> qu</w:t>
      </w:r>
      <w:r w:rsidR="00220660" w:rsidRPr="0096317D">
        <w:rPr>
          <w:lang w:val="fr-FR"/>
        </w:rPr>
        <w:t>’</w:t>
      </w:r>
      <w:r w:rsidR="00F37356" w:rsidRPr="0096317D">
        <w:rPr>
          <w:lang w:val="fr-FR"/>
        </w:rPr>
        <w:t>une recherche est valide lorsqu</w:t>
      </w:r>
      <w:r w:rsidR="00220660" w:rsidRPr="0096317D">
        <w:rPr>
          <w:lang w:val="fr-FR"/>
        </w:rPr>
        <w:t>’</w:t>
      </w:r>
      <w:r w:rsidR="00F37356" w:rsidRPr="0096317D">
        <w:rPr>
          <w:lang w:val="fr-FR"/>
        </w:rPr>
        <w:t>elle s</w:t>
      </w:r>
      <w:r w:rsidR="00220660" w:rsidRPr="0096317D">
        <w:rPr>
          <w:lang w:val="fr-FR"/>
        </w:rPr>
        <w:t>’</w:t>
      </w:r>
      <w:r w:rsidR="00F37356" w:rsidRPr="0096317D">
        <w:rPr>
          <w:lang w:val="fr-FR"/>
        </w:rPr>
        <w:t>inscrit dans le cadre d</w:t>
      </w:r>
      <w:r w:rsidR="00220660" w:rsidRPr="0096317D">
        <w:rPr>
          <w:lang w:val="fr-FR"/>
        </w:rPr>
        <w:t>’</w:t>
      </w:r>
      <w:r w:rsidR="00F37356" w:rsidRPr="0096317D">
        <w:rPr>
          <w:lang w:val="fr-FR"/>
        </w:rPr>
        <w:t>une stratégie appropriée et repose sur des sources d</w:t>
      </w:r>
      <w:r w:rsidR="00220660" w:rsidRPr="0096317D">
        <w:rPr>
          <w:lang w:val="fr-FR"/>
        </w:rPr>
        <w:t>’</w:t>
      </w:r>
      <w:r w:rsidR="00F37356" w:rsidRPr="0096317D">
        <w:rPr>
          <w:lang w:val="fr-FR"/>
        </w:rPr>
        <w:t>information détaillées et faisant f</w:t>
      </w:r>
      <w:r w:rsidR="0096317D" w:rsidRPr="0096317D">
        <w:rPr>
          <w:lang w:val="fr-FR"/>
        </w:rPr>
        <w:t>oi.  Un</w:t>
      </w:r>
      <w:r w:rsidR="00F37356" w:rsidRPr="0096317D">
        <w:rPr>
          <w:lang w:val="fr-FR"/>
        </w:rPr>
        <w:t>e recherche est considérée comme fiable lorsqu</w:t>
      </w:r>
      <w:r w:rsidR="00220660" w:rsidRPr="0096317D">
        <w:rPr>
          <w:lang w:val="fr-FR"/>
        </w:rPr>
        <w:t>’</w:t>
      </w:r>
      <w:r w:rsidR="00F37356" w:rsidRPr="0096317D">
        <w:rPr>
          <w:lang w:val="fr-FR"/>
        </w:rPr>
        <w:t>elle est suffisamment documentée pour permettre l</w:t>
      </w:r>
      <w:r w:rsidR="00220660" w:rsidRPr="0096317D">
        <w:rPr>
          <w:lang w:val="fr-FR"/>
        </w:rPr>
        <w:t>’</w:t>
      </w:r>
      <w:r w:rsidR="00F37356" w:rsidRPr="0096317D">
        <w:rPr>
          <w:lang w:val="fr-FR"/>
        </w:rPr>
        <w:t>obtention de résultats reproductibles et homogènes.</w:t>
      </w:r>
    </w:p>
    <w:p w14:paraId="684DEE81" w14:textId="5CD180B6" w:rsidR="00E24ADE" w:rsidRPr="0096317D" w:rsidRDefault="00F37356" w:rsidP="00320FDF">
      <w:pPr>
        <w:pStyle w:val="ONUME"/>
        <w:numPr>
          <w:ilvl w:val="0"/>
          <w:numId w:val="0"/>
        </w:numPr>
        <w:rPr>
          <w:lang w:val="fr-FR"/>
        </w:rPr>
      </w:pPr>
      <w:r w:rsidRPr="0096317D">
        <w:rPr>
          <w:lang w:val="fr-FR"/>
        </w:rPr>
        <w:t>Un examen est valide lorsque le droit est interprété correctement et appliqué logiquement pour parvenir à une décision cohérente, et que cette décision et ses motivations sont communiquées clairement au clie</w:t>
      </w:r>
      <w:r w:rsidR="0096317D" w:rsidRPr="0096317D">
        <w:rPr>
          <w:lang w:val="fr-FR"/>
        </w:rPr>
        <w:t>nt.  Un</w:t>
      </w:r>
      <w:r w:rsidRPr="0096317D">
        <w:rPr>
          <w:lang w:val="fr-FR"/>
        </w:rPr>
        <w:t xml:space="preserve"> examen est fiable lorsque les examinateurs appliquent une démarche uniforme fondée sur des directives ouvertes et transparentes</w:t>
      </w:r>
      <w:r w:rsidR="00FC67E6" w:rsidRPr="0096317D">
        <w:rPr>
          <w:lang w:val="fr-FR"/>
        </w:rPr>
        <w:t>,</w:t>
      </w:r>
      <w:r w:rsidRPr="0096317D">
        <w:rPr>
          <w:lang w:val="fr-FR"/>
        </w:rPr>
        <w:t xml:space="preserve"> et lorsque les arguments pris en considération pour parvenir à une décision ont été consignés de manière suffisamment précise pour prouver que les directives ont effectivement été suivies au cours de l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>examen.</w:t>
      </w:r>
    </w:p>
    <w:p w14:paraId="10C3C1DA" w14:textId="66C6A4CF" w:rsidR="00E24ADE" w:rsidRPr="0096317D" w:rsidRDefault="00F37356" w:rsidP="00320FDF">
      <w:pPr>
        <w:pStyle w:val="ONUME"/>
        <w:numPr>
          <w:ilvl w:val="0"/>
          <w:numId w:val="0"/>
        </w:numPr>
        <w:rPr>
          <w:lang w:val="fr-FR"/>
        </w:rPr>
      </w:pPr>
      <w:r w:rsidRPr="0096317D">
        <w:rPr>
          <w:lang w:val="fr-FR"/>
        </w:rPr>
        <w:t>Avant de procéder à la recherche et à l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>examen concernant une demande internationale, une équipe de recherche co</w:t>
      </w:r>
      <w:r w:rsidR="00517E06" w:rsidRPr="0096317D">
        <w:rPr>
          <w:lang w:val="fr-FR"/>
        </w:rPr>
        <w:t>mposée de trois</w:t>
      </w:r>
      <w:r w:rsidR="00D8335B" w:rsidRPr="0096317D">
        <w:rPr>
          <w:lang w:val="fr-FR"/>
        </w:rPr>
        <w:t> </w:t>
      </w:r>
      <w:r w:rsidR="00517E06" w:rsidRPr="0096317D">
        <w:rPr>
          <w:lang w:val="fr-FR"/>
        </w:rPr>
        <w:t xml:space="preserve">membres (un </w:t>
      </w:r>
      <w:r w:rsidR="00731550" w:rsidRPr="0096317D">
        <w:rPr>
          <w:lang w:val="fr-FR"/>
        </w:rPr>
        <w:t xml:space="preserve">premier </w:t>
      </w:r>
      <w:r w:rsidR="00517E06" w:rsidRPr="0096317D">
        <w:rPr>
          <w:lang w:val="fr-FR"/>
        </w:rPr>
        <w:t>exa</w:t>
      </w:r>
      <w:r w:rsidRPr="0096317D">
        <w:rPr>
          <w:lang w:val="fr-FR"/>
        </w:rPr>
        <w:t xml:space="preserve">minateur, </w:t>
      </w:r>
      <w:r w:rsidR="00517E06" w:rsidRPr="0096317D">
        <w:rPr>
          <w:lang w:val="fr-FR"/>
        </w:rPr>
        <w:t xml:space="preserve">un </w:t>
      </w:r>
      <w:r w:rsidR="00731550" w:rsidRPr="0096317D">
        <w:rPr>
          <w:lang w:val="fr-FR"/>
        </w:rPr>
        <w:t xml:space="preserve">deuxième </w:t>
      </w:r>
      <w:r w:rsidR="00517E06" w:rsidRPr="0096317D">
        <w:rPr>
          <w:lang w:val="fr-FR"/>
        </w:rPr>
        <w:t xml:space="preserve">examinateur et un examinateur chevronné) </w:t>
      </w:r>
      <w:r w:rsidR="00FC67E6" w:rsidRPr="0096317D">
        <w:rPr>
          <w:lang w:val="fr-FR"/>
        </w:rPr>
        <w:t>est</w:t>
      </w:r>
      <w:r w:rsidR="00517E06" w:rsidRPr="0096317D">
        <w:rPr>
          <w:lang w:val="fr-FR"/>
        </w:rPr>
        <w:t xml:space="preserve"> formée en vue de discuter de la stratégie de recherche et des différentes questions de fond liées à la deman</w:t>
      </w:r>
      <w:r w:rsidR="0096317D" w:rsidRPr="0096317D">
        <w:rPr>
          <w:lang w:val="fr-FR"/>
        </w:rPr>
        <w:t>de.  L’e</w:t>
      </w:r>
      <w:r w:rsidR="00517E06" w:rsidRPr="0096317D">
        <w:rPr>
          <w:lang w:val="fr-FR"/>
        </w:rPr>
        <w:t>xaminateur a l</w:t>
      </w:r>
      <w:r w:rsidR="00220660" w:rsidRPr="0096317D">
        <w:rPr>
          <w:lang w:val="fr-FR"/>
        </w:rPr>
        <w:t>’</w:t>
      </w:r>
      <w:r w:rsidR="00517E06" w:rsidRPr="0096317D">
        <w:rPr>
          <w:lang w:val="fr-FR"/>
        </w:rPr>
        <w:t>obligation de consigner dans un document interne la stratégie de recherche de documentation, les résultats de la recherche, un court fragment de la documentation pertinente sur l</w:t>
      </w:r>
      <w:r w:rsidR="00220660" w:rsidRPr="0096317D">
        <w:rPr>
          <w:lang w:val="fr-FR"/>
        </w:rPr>
        <w:t>’</w:t>
      </w:r>
      <w:r w:rsidR="00517E06" w:rsidRPr="0096317D">
        <w:rPr>
          <w:lang w:val="fr-FR"/>
        </w:rPr>
        <w:t xml:space="preserve">état de la technique, et </w:t>
      </w:r>
      <w:r w:rsidR="0036250A" w:rsidRPr="0096317D">
        <w:rPr>
          <w:lang w:val="fr-FR"/>
        </w:rPr>
        <w:t>les observations faites pendant l</w:t>
      </w:r>
      <w:r w:rsidR="00220660" w:rsidRPr="0096317D">
        <w:rPr>
          <w:lang w:val="fr-FR"/>
        </w:rPr>
        <w:t>’</w:t>
      </w:r>
      <w:r w:rsidR="0036250A" w:rsidRPr="0096317D">
        <w:rPr>
          <w:lang w:val="fr-FR"/>
        </w:rPr>
        <w:t>exam</w:t>
      </w:r>
      <w:r w:rsidR="0096317D" w:rsidRPr="0096317D">
        <w:rPr>
          <w:lang w:val="fr-FR"/>
        </w:rPr>
        <w:t>en.  Ce</w:t>
      </w:r>
      <w:r w:rsidR="0036250A" w:rsidRPr="0096317D">
        <w:rPr>
          <w:lang w:val="fr-FR"/>
        </w:rPr>
        <w:t xml:space="preserve"> document interne servira à faciliter un processus de contrôle de la qualité passant par </w:t>
      </w:r>
      <w:r w:rsidR="00D8335B" w:rsidRPr="0096317D">
        <w:rPr>
          <w:lang w:val="fr-FR"/>
        </w:rPr>
        <w:t>“</w:t>
      </w:r>
      <w:r w:rsidR="0036250A" w:rsidRPr="0096317D">
        <w:rPr>
          <w:lang w:val="fr-FR"/>
        </w:rPr>
        <w:t>trois paires d</w:t>
      </w:r>
      <w:r w:rsidR="00220660" w:rsidRPr="0096317D">
        <w:rPr>
          <w:lang w:val="fr-FR"/>
        </w:rPr>
        <w:t>’</w:t>
      </w:r>
      <w:r w:rsidR="0036250A" w:rsidRPr="0096317D">
        <w:rPr>
          <w:lang w:val="fr-FR"/>
        </w:rPr>
        <w:t>yeux</w:t>
      </w:r>
      <w:r w:rsidR="00D8335B" w:rsidRPr="0096317D">
        <w:rPr>
          <w:lang w:val="fr-FR"/>
        </w:rPr>
        <w:t>”</w:t>
      </w:r>
      <w:r w:rsidR="0036250A" w:rsidRPr="0096317D">
        <w:rPr>
          <w:lang w:val="fr-FR"/>
        </w:rPr>
        <w:t xml:space="preserve"> (voir le schéma ci</w:t>
      </w:r>
      <w:r w:rsidR="00B776A6">
        <w:rPr>
          <w:lang w:val="fr-FR"/>
        </w:rPr>
        <w:noBreakHyphen/>
      </w:r>
      <w:r w:rsidR="0036250A" w:rsidRPr="0096317D">
        <w:rPr>
          <w:lang w:val="fr-FR"/>
        </w:rPr>
        <w:t>dessous), obligatoire pour tous les rapports établis selon</w:t>
      </w:r>
      <w:r w:rsidR="00220660" w:rsidRPr="0096317D">
        <w:rPr>
          <w:lang w:val="fr-FR"/>
        </w:rPr>
        <w:t xml:space="preserve"> le PCT</w:t>
      </w:r>
      <w:r w:rsidR="0036250A" w:rsidRPr="0096317D">
        <w:rPr>
          <w:lang w:val="fr-FR"/>
        </w:rPr>
        <w:t>.</w:t>
      </w:r>
    </w:p>
    <w:p w14:paraId="40F08CC1" w14:textId="77777777" w:rsidR="0018170C" w:rsidRPr="0096317D" w:rsidRDefault="0018170C" w:rsidP="00320FDF">
      <w:pPr>
        <w:pStyle w:val="ONUME"/>
        <w:numPr>
          <w:ilvl w:val="0"/>
          <w:numId w:val="0"/>
        </w:numPr>
        <w:jc w:val="center"/>
        <w:rPr>
          <w:lang w:val="fr-FR"/>
        </w:rPr>
      </w:pPr>
      <w:r w:rsidRPr="0096317D">
        <w:rPr>
          <w:noProof/>
          <w:lang w:eastAsia="en-US"/>
        </w:rPr>
        <w:drawing>
          <wp:inline distT="0" distB="0" distL="0" distR="0" wp14:anchorId="2DF7333C" wp14:editId="7F7546A8">
            <wp:extent cx="3320415" cy="280987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0415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4A9AB" w14:textId="375E9C0A" w:rsidR="0018170C" w:rsidRPr="0096317D" w:rsidRDefault="00766901" w:rsidP="00320FDF">
      <w:pPr>
        <w:pStyle w:val="ONUME"/>
        <w:numPr>
          <w:ilvl w:val="0"/>
          <w:numId w:val="0"/>
        </w:numPr>
        <w:rPr>
          <w:lang w:val="fr-FR"/>
        </w:rPr>
      </w:pPr>
      <w:r w:rsidRPr="0096317D">
        <w:rPr>
          <w:lang w:val="fr-FR"/>
        </w:rPr>
        <w:t>Une fois le projet de rapport terminé, l</w:t>
      </w:r>
      <w:r w:rsidR="00731550" w:rsidRPr="0096317D">
        <w:rPr>
          <w:lang w:val="fr-FR"/>
        </w:rPr>
        <w:t xml:space="preserve">e premier </w:t>
      </w:r>
      <w:r w:rsidRPr="0096317D">
        <w:rPr>
          <w:lang w:val="fr-FR"/>
        </w:rPr>
        <w:t>examinateur l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>env</w:t>
      </w:r>
      <w:r w:rsidR="00731550" w:rsidRPr="0096317D">
        <w:rPr>
          <w:lang w:val="fr-FR"/>
        </w:rPr>
        <w:t xml:space="preserve">oie au deuxième </w:t>
      </w:r>
      <w:r w:rsidRPr="0096317D">
        <w:rPr>
          <w:lang w:val="fr-FR"/>
        </w:rPr>
        <w:t>pour que celui</w:t>
      </w:r>
      <w:r w:rsidR="00B776A6">
        <w:rPr>
          <w:lang w:val="fr-FR"/>
        </w:rPr>
        <w:noBreakHyphen/>
      </w:r>
      <w:r w:rsidRPr="0096317D">
        <w:rPr>
          <w:lang w:val="fr-FR"/>
        </w:rPr>
        <w:t xml:space="preserve">ci contrôle la logique des arguments et les </w:t>
      </w:r>
      <w:r w:rsidR="00731550" w:rsidRPr="0096317D">
        <w:rPr>
          <w:lang w:val="fr-FR"/>
        </w:rPr>
        <w:t>conditions de for</w:t>
      </w:r>
      <w:r w:rsidR="0096317D" w:rsidRPr="0096317D">
        <w:rPr>
          <w:lang w:val="fr-FR"/>
        </w:rPr>
        <w:t>me.  Le</w:t>
      </w:r>
      <w:r w:rsidRPr="0096317D">
        <w:rPr>
          <w:lang w:val="fr-FR"/>
        </w:rPr>
        <w:t xml:space="preserve"> </w:t>
      </w:r>
      <w:r w:rsidR="00731550" w:rsidRPr="0096317D">
        <w:rPr>
          <w:lang w:val="fr-FR"/>
        </w:rPr>
        <w:t xml:space="preserve">deuxième </w:t>
      </w:r>
      <w:r w:rsidRPr="0096317D">
        <w:rPr>
          <w:lang w:val="fr-FR"/>
        </w:rPr>
        <w:t xml:space="preserve">examinateur peut formuler des commentaires et apporter des </w:t>
      </w:r>
      <w:r w:rsidR="00731550" w:rsidRPr="0096317D">
        <w:rPr>
          <w:lang w:val="fr-FR"/>
        </w:rPr>
        <w:t>changements</w:t>
      </w:r>
      <w:r w:rsidRPr="0096317D">
        <w:rPr>
          <w:lang w:val="fr-FR"/>
        </w:rPr>
        <w:t xml:space="preserve"> en mode </w:t>
      </w:r>
      <w:r w:rsidR="00D8335B" w:rsidRPr="0096317D">
        <w:rPr>
          <w:lang w:val="fr-FR"/>
        </w:rPr>
        <w:t>“</w:t>
      </w:r>
      <w:r w:rsidRPr="0096317D">
        <w:rPr>
          <w:lang w:val="fr-FR"/>
        </w:rPr>
        <w:t>suivi</w:t>
      </w:r>
      <w:r w:rsidR="00731550" w:rsidRPr="0096317D">
        <w:rPr>
          <w:lang w:val="fr-FR"/>
        </w:rPr>
        <w:t xml:space="preserve"> des modifications</w:t>
      </w:r>
      <w:r w:rsidR="00D8335B" w:rsidRPr="0096317D">
        <w:rPr>
          <w:lang w:val="fr-FR"/>
        </w:rPr>
        <w:t>”</w:t>
      </w:r>
      <w:r w:rsidRPr="0096317D">
        <w:rPr>
          <w:lang w:val="fr-FR"/>
        </w:rPr>
        <w:t xml:space="preserve">, avant de renvoyer le projet de rapport au premier pour </w:t>
      </w:r>
      <w:r w:rsidR="007C6010" w:rsidRPr="0096317D">
        <w:rPr>
          <w:lang w:val="fr-FR"/>
        </w:rPr>
        <w:t>étu</w:t>
      </w:r>
      <w:r w:rsidR="0096317D" w:rsidRPr="0096317D">
        <w:rPr>
          <w:lang w:val="fr-FR"/>
        </w:rPr>
        <w:t>de.  Le</w:t>
      </w:r>
      <w:r w:rsidR="00731550" w:rsidRPr="0096317D">
        <w:rPr>
          <w:lang w:val="fr-FR"/>
        </w:rPr>
        <w:t xml:space="preserve"> premier examinateur</w:t>
      </w:r>
      <w:r w:rsidRPr="0096317D">
        <w:rPr>
          <w:lang w:val="fr-FR"/>
        </w:rPr>
        <w:t xml:space="preserve"> peut alors modifier </w:t>
      </w:r>
      <w:r w:rsidR="00731550" w:rsidRPr="0096317D">
        <w:rPr>
          <w:lang w:val="fr-FR"/>
        </w:rPr>
        <w:t>le projet sur la base des commentaires reçus avant de le soumettre à l</w:t>
      </w:r>
      <w:r w:rsidR="00220660" w:rsidRPr="0096317D">
        <w:rPr>
          <w:lang w:val="fr-FR"/>
        </w:rPr>
        <w:t>’</w:t>
      </w:r>
      <w:r w:rsidR="00731550" w:rsidRPr="0096317D">
        <w:rPr>
          <w:lang w:val="fr-FR"/>
        </w:rPr>
        <w:t>examinateur chevronné pour un dernier contrôle quali</w:t>
      </w:r>
      <w:r w:rsidR="0096317D" w:rsidRPr="0096317D">
        <w:rPr>
          <w:lang w:val="fr-FR"/>
        </w:rPr>
        <w:t>té.  Le</w:t>
      </w:r>
      <w:r w:rsidR="00731550" w:rsidRPr="0096317D">
        <w:rPr>
          <w:lang w:val="fr-FR"/>
        </w:rPr>
        <w:t xml:space="preserve"> processus final de contrôle de la qualité est itératif et ne </w:t>
      </w:r>
      <w:r w:rsidR="007C6010" w:rsidRPr="0096317D">
        <w:rPr>
          <w:lang w:val="fr-FR"/>
        </w:rPr>
        <w:t>s</w:t>
      </w:r>
      <w:r w:rsidR="00220660" w:rsidRPr="0096317D">
        <w:rPr>
          <w:lang w:val="fr-FR"/>
        </w:rPr>
        <w:t>’</w:t>
      </w:r>
      <w:r w:rsidR="007C6010" w:rsidRPr="0096317D">
        <w:rPr>
          <w:lang w:val="fr-FR"/>
        </w:rPr>
        <w:t>achève</w:t>
      </w:r>
      <w:r w:rsidR="00731550" w:rsidRPr="0096317D">
        <w:rPr>
          <w:lang w:val="fr-FR"/>
        </w:rPr>
        <w:t xml:space="preserve"> que sur approbation de l</w:t>
      </w:r>
      <w:r w:rsidR="00220660" w:rsidRPr="0096317D">
        <w:rPr>
          <w:lang w:val="fr-FR"/>
        </w:rPr>
        <w:t>’</w:t>
      </w:r>
      <w:r w:rsidR="00731550" w:rsidRPr="0096317D">
        <w:rPr>
          <w:lang w:val="fr-FR"/>
        </w:rPr>
        <w:t>examinateur chevron</w:t>
      </w:r>
      <w:r w:rsidR="0096317D" w:rsidRPr="0096317D">
        <w:rPr>
          <w:lang w:val="fr-FR"/>
        </w:rPr>
        <w:t>né.  Le</w:t>
      </w:r>
      <w:r w:rsidR="00731550" w:rsidRPr="0096317D">
        <w:rPr>
          <w:lang w:val="fr-FR"/>
        </w:rPr>
        <w:t>s rapports finalisés sont alors soumis à un dernier cycle de vérification des conditions de forme avant d</w:t>
      </w:r>
      <w:r w:rsidR="00220660" w:rsidRPr="0096317D">
        <w:rPr>
          <w:lang w:val="fr-FR"/>
        </w:rPr>
        <w:t>’</w:t>
      </w:r>
      <w:r w:rsidR="00731550" w:rsidRPr="0096317D">
        <w:rPr>
          <w:lang w:val="fr-FR"/>
        </w:rPr>
        <w:t xml:space="preserve">être transmis au </w:t>
      </w:r>
      <w:r w:rsidR="00DA007A">
        <w:rPr>
          <w:lang w:val="fr-FR"/>
        </w:rPr>
        <w:t>déposant</w:t>
      </w:r>
      <w:r w:rsidR="00731550" w:rsidRPr="0096317D">
        <w:rPr>
          <w:lang w:val="fr-FR"/>
        </w:rPr>
        <w:t>.</w:t>
      </w:r>
    </w:p>
    <w:p w14:paraId="35FDF1FE" w14:textId="46AB4194" w:rsidR="00AA5F79" w:rsidRPr="0096317D" w:rsidRDefault="00731550" w:rsidP="00320FDF">
      <w:pPr>
        <w:pStyle w:val="ONUME"/>
        <w:numPr>
          <w:ilvl w:val="0"/>
          <w:numId w:val="0"/>
        </w:numPr>
        <w:rPr>
          <w:lang w:val="fr-FR"/>
        </w:rPr>
      </w:pPr>
      <w:r w:rsidRPr="0096317D">
        <w:rPr>
          <w:lang w:val="fr-FR"/>
        </w:rPr>
        <w:t>Le degré de conformité est évalué sur la base d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>un</w:t>
      </w:r>
      <w:r w:rsidR="00203433" w:rsidRPr="0096317D">
        <w:rPr>
          <w:lang w:val="fr-FR"/>
        </w:rPr>
        <w:t>e</w:t>
      </w:r>
      <w:r w:rsidRPr="0096317D">
        <w:rPr>
          <w:lang w:val="fr-FR"/>
        </w:rPr>
        <w:t xml:space="preserve"> </w:t>
      </w:r>
      <w:r w:rsidR="00203433" w:rsidRPr="0096317D">
        <w:rPr>
          <w:lang w:val="fr-FR"/>
        </w:rPr>
        <w:t>série</w:t>
      </w:r>
      <w:r w:rsidRPr="0096317D">
        <w:rPr>
          <w:lang w:val="fr-FR"/>
        </w:rPr>
        <w:t xml:space="preserve"> de </w:t>
      </w:r>
      <w:r w:rsidR="00203433" w:rsidRPr="0096317D">
        <w:rPr>
          <w:lang w:val="fr-FR"/>
        </w:rPr>
        <w:t>paramètres relatifs à la validité et à la fiabili</w:t>
      </w:r>
      <w:r w:rsidR="0096317D" w:rsidRPr="0096317D">
        <w:rPr>
          <w:lang w:val="fr-FR"/>
        </w:rPr>
        <w:t>té.  De</w:t>
      </w:r>
      <w:r w:rsidR="000F1F00" w:rsidRPr="0096317D">
        <w:rPr>
          <w:lang w:val="fr-FR"/>
        </w:rPr>
        <w:t>s commentaires ayant trait à la qualité du travail</w:t>
      </w:r>
      <w:r w:rsidR="007C6010" w:rsidRPr="0096317D">
        <w:rPr>
          <w:lang w:val="fr-FR"/>
        </w:rPr>
        <w:t>,</w:t>
      </w:r>
      <w:r w:rsidR="000F1F00" w:rsidRPr="0096317D">
        <w:rPr>
          <w:lang w:val="fr-FR"/>
        </w:rPr>
        <w:t xml:space="preserve"> ainsi que des </w:t>
      </w:r>
      <w:r w:rsidR="007C6010" w:rsidRPr="0096317D">
        <w:rPr>
          <w:lang w:val="fr-FR"/>
        </w:rPr>
        <w:t>directives</w:t>
      </w:r>
      <w:r w:rsidR="000F1F00" w:rsidRPr="0096317D">
        <w:rPr>
          <w:lang w:val="fr-FR"/>
        </w:rPr>
        <w:t xml:space="preserve"> mises à jour et des notes de procédure</w:t>
      </w:r>
      <w:r w:rsidR="007C6010" w:rsidRPr="0096317D">
        <w:rPr>
          <w:lang w:val="fr-FR"/>
        </w:rPr>
        <w:t>,</w:t>
      </w:r>
      <w:r w:rsidR="000F1F00" w:rsidRPr="0096317D">
        <w:rPr>
          <w:lang w:val="fr-FR"/>
        </w:rPr>
        <w:t xml:space="preserve"> sont régulièrement proposés à des fins de cohérence et d</w:t>
      </w:r>
      <w:r w:rsidR="00220660" w:rsidRPr="0096317D">
        <w:rPr>
          <w:lang w:val="fr-FR"/>
        </w:rPr>
        <w:t>’</w:t>
      </w:r>
      <w:r w:rsidR="000F1F00" w:rsidRPr="0096317D">
        <w:rPr>
          <w:lang w:val="fr-FR"/>
        </w:rPr>
        <w:t>amélioration de la qualité.</w:t>
      </w:r>
    </w:p>
    <w:p w14:paraId="6A397430" w14:textId="3B2B4D2F" w:rsidR="00AA5F79" w:rsidRDefault="0018170C" w:rsidP="00320FDF">
      <w:pPr>
        <w:pStyle w:val="Heading2"/>
        <w:rPr>
          <w:lang w:val="fr-FR"/>
        </w:rPr>
      </w:pPr>
      <w:r w:rsidRPr="0096317D">
        <w:rPr>
          <w:lang w:val="fr-FR"/>
        </w:rPr>
        <w:t>3.2</w:t>
      </w:r>
      <w:r w:rsidRPr="0096317D">
        <w:rPr>
          <w:lang w:val="fr-FR"/>
        </w:rPr>
        <w:tab/>
      </w:r>
      <w:r w:rsidR="00500A7B">
        <w:rPr>
          <w:lang w:val="fr-FR"/>
        </w:rPr>
        <w:t>E</w:t>
      </w:r>
      <w:r w:rsidR="00500A7B" w:rsidRPr="0096317D">
        <w:rPr>
          <w:lang w:val="fr-FR"/>
        </w:rPr>
        <w:t>ffica</w:t>
      </w:r>
      <w:r w:rsidRPr="0096317D">
        <w:rPr>
          <w:lang w:val="fr-FR"/>
        </w:rPr>
        <w:t>cit</w:t>
      </w:r>
      <w:r w:rsidR="00500A7B" w:rsidRPr="0096317D">
        <w:rPr>
          <w:lang w:val="fr-FR"/>
        </w:rPr>
        <w:t>é</w:t>
      </w:r>
      <w:r w:rsidRPr="0096317D">
        <w:rPr>
          <w:lang w:val="fr-FR"/>
        </w:rPr>
        <w:t xml:space="preserve"> – </w:t>
      </w:r>
      <w:r w:rsidR="00500A7B">
        <w:rPr>
          <w:lang w:val="fr-FR"/>
        </w:rPr>
        <w:t>volonté de respecter les délais</w:t>
      </w:r>
    </w:p>
    <w:p w14:paraId="073CDC61" w14:textId="77777777" w:rsidR="00320FDF" w:rsidRPr="00320FDF" w:rsidRDefault="00320FDF" w:rsidP="00320FDF">
      <w:pPr>
        <w:rPr>
          <w:lang w:val="fr-FR"/>
        </w:rPr>
      </w:pPr>
    </w:p>
    <w:p w14:paraId="392B4A40" w14:textId="5CDFAFDD" w:rsidR="0018170C" w:rsidRPr="0096317D" w:rsidRDefault="00731550" w:rsidP="00320FDF">
      <w:pPr>
        <w:pStyle w:val="ONUME"/>
        <w:numPr>
          <w:ilvl w:val="0"/>
          <w:numId w:val="0"/>
        </w:numPr>
        <w:rPr>
          <w:lang w:val="fr-FR"/>
        </w:rPr>
      </w:pPr>
      <w:r w:rsidRPr="0096317D">
        <w:rPr>
          <w:lang w:val="fr-FR"/>
        </w:rPr>
        <w:t>Les produits et services sont fournis de manière efficace lorsqu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>ils sont livrés en temps vou</w:t>
      </w:r>
      <w:r w:rsidR="0096317D" w:rsidRPr="0096317D">
        <w:rPr>
          <w:lang w:val="fr-FR"/>
        </w:rPr>
        <w:t>lu.  De</w:t>
      </w:r>
      <w:r w:rsidR="00F64502" w:rsidRPr="0096317D">
        <w:rPr>
          <w:lang w:val="fr-FR"/>
        </w:rPr>
        <w:t xml:space="preserve">puis </w:t>
      </w:r>
      <w:r w:rsidR="007C6010" w:rsidRPr="0096317D">
        <w:rPr>
          <w:lang w:val="fr-FR"/>
        </w:rPr>
        <w:t>qu</w:t>
      </w:r>
      <w:r w:rsidR="00220660" w:rsidRPr="0096317D">
        <w:rPr>
          <w:lang w:val="fr-FR"/>
        </w:rPr>
        <w:t>’</w:t>
      </w:r>
      <w:r w:rsidR="007C6010" w:rsidRPr="0096317D">
        <w:rPr>
          <w:lang w:val="fr-FR"/>
        </w:rPr>
        <w:t>il</w:t>
      </w:r>
      <w:r w:rsidR="00F64502" w:rsidRPr="0096317D">
        <w:rPr>
          <w:lang w:val="fr-FR"/>
        </w:rPr>
        <w:t xml:space="preserve"> </w:t>
      </w:r>
      <w:r w:rsidR="007C6010" w:rsidRPr="0096317D">
        <w:rPr>
          <w:lang w:val="fr-FR"/>
        </w:rPr>
        <w:t>a pris ses fonctions d</w:t>
      </w:r>
      <w:r w:rsidR="00220660" w:rsidRPr="0096317D">
        <w:rPr>
          <w:lang w:val="fr-FR"/>
        </w:rPr>
        <w:t>’</w:t>
      </w:r>
      <w:r w:rsidR="00F64502" w:rsidRPr="0096317D">
        <w:rPr>
          <w:lang w:val="fr-FR"/>
        </w:rPr>
        <w:t>administration chargée de la recherche internationale et de l</w:t>
      </w:r>
      <w:r w:rsidR="00220660" w:rsidRPr="0096317D">
        <w:rPr>
          <w:lang w:val="fr-FR"/>
        </w:rPr>
        <w:t>’</w:t>
      </w:r>
      <w:r w:rsidR="00F64502" w:rsidRPr="0096317D">
        <w:rPr>
          <w:lang w:val="fr-FR"/>
        </w:rPr>
        <w:t xml:space="preserve">examen préliminaire international en septembre 2015, </w:t>
      </w:r>
      <w:r w:rsidR="007C6010" w:rsidRPr="0096317D">
        <w:rPr>
          <w:lang w:val="fr-FR"/>
        </w:rPr>
        <w:t>l</w:t>
      </w:r>
      <w:r w:rsidR="00220660" w:rsidRPr="0096317D">
        <w:rPr>
          <w:lang w:val="fr-FR"/>
        </w:rPr>
        <w:t>’</w:t>
      </w:r>
      <w:r w:rsidR="007C6010" w:rsidRPr="0096317D">
        <w:rPr>
          <w:lang w:val="fr-FR"/>
        </w:rPr>
        <w:t>IPOS est</w:t>
      </w:r>
      <w:r w:rsidR="00F64502" w:rsidRPr="0096317D">
        <w:rPr>
          <w:lang w:val="fr-FR"/>
        </w:rPr>
        <w:t xml:space="preserve"> résolu à transmettre tous les rapports dans les délais prévus par </w:t>
      </w:r>
      <w:r w:rsidR="007C6010" w:rsidRPr="0096317D">
        <w:rPr>
          <w:lang w:val="fr-FR"/>
        </w:rPr>
        <w:t xml:space="preserve">le </w:t>
      </w:r>
      <w:r w:rsidR="00F64502" w:rsidRPr="0096317D">
        <w:rPr>
          <w:lang w:val="fr-FR"/>
        </w:rPr>
        <w:t>règlement d</w:t>
      </w:r>
      <w:r w:rsidR="00220660" w:rsidRPr="0096317D">
        <w:rPr>
          <w:lang w:val="fr-FR"/>
        </w:rPr>
        <w:t>’</w:t>
      </w:r>
      <w:r w:rsidR="00F64502" w:rsidRPr="0096317D">
        <w:rPr>
          <w:lang w:val="fr-FR"/>
        </w:rPr>
        <w:t>exécution</w:t>
      </w:r>
      <w:r w:rsidR="00220660" w:rsidRPr="0096317D">
        <w:rPr>
          <w:lang w:val="fr-FR"/>
        </w:rPr>
        <w:t xml:space="preserve"> du PCT</w:t>
      </w:r>
      <w:r w:rsidR="00F64502" w:rsidRPr="0096317D">
        <w:rPr>
          <w:lang w:val="fr-FR"/>
        </w:rPr>
        <w:t>, et proc</w:t>
      </w:r>
      <w:r w:rsidR="007C6010" w:rsidRPr="0096317D">
        <w:rPr>
          <w:lang w:val="fr-FR"/>
        </w:rPr>
        <w:t>è</w:t>
      </w:r>
      <w:r w:rsidR="00F64502" w:rsidRPr="0096317D">
        <w:rPr>
          <w:lang w:val="fr-FR"/>
        </w:rPr>
        <w:t>d</w:t>
      </w:r>
      <w:r w:rsidR="007C6010" w:rsidRPr="0096317D">
        <w:rPr>
          <w:lang w:val="fr-FR"/>
        </w:rPr>
        <w:t>e</w:t>
      </w:r>
      <w:r w:rsidR="00F64502" w:rsidRPr="0096317D">
        <w:rPr>
          <w:lang w:val="fr-FR"/>
        </w:rPr>
        <w:t xml:space="preserve"> régulièrement à un examen de </w:t>
      </w:r>
      <w:r w:rsidR="007C6010" w:rsidRPr="0096317D">
        <w:rPr>
          <w:lang w:val="fr-FR"/>
        </w:rPr>
        <w:t>se</w:t>
      </w:r>
      <w:r w:rsidR="00F64502" w:rsidRPr="0096317D">
        <w:rPr>
          <w:lang w:val="fr-FR"/>
        </w:rPr>
        <w:t>s procédures afin d</w:t>
      </w:r>
      <w:r w:rsidR="00220660" w:rsidRPr="0096317D">
        <w:rPr>
          <w:lang w:val="fr-FR"/>
        </w:rPr>
        <w:t>’</w:t>
      </w:r>
      <w:r w:rsidR="00F64502" w:rsidRPr="0096317D">
        <w:rPr>
          <w:lang w:val="fr-FR"/>
        </w:rPr>
        <w:t>empêcher que des rapports ne soient rendus en reta</w:t>
      </w:r>
      <w:r w:rsidR="0096317D" w:rsidRPr="0096317D">
        <w:rPr>
          <w:lang w:val="fr-FR"/>
        </w:rPr>
        <w:t>rd.  De</w:t>
      </w:r>
      <w:r w:rsidR="00F64502" w:rsidRPr="0096317D">
        <w:rPr>
          <w:lang w:val="fr-FR"/>
        </w:rPr>
        <w:t>puis le début de ses opérations, l</w:t>
      </w:r>
      <w:r w:rsidR="00220660" w:rsidRPr="0096317D">
        <w:rPr>
          <w:lang w:val="fr-FR"/>
        </w:rPr>
        <w:t>’</w:t>
      </w:r>
      <w:r w:rsidR="00F64502" w:rsidRPr="0096317D">
        <w:rPr>
          <w:lang w:val="fr-FR"/>
        </w:rPr>
        <w:t>IPOS affiche de bons résultats en termes de respect des déla</w:t>
      </w:r>
      <w:r w:rsidR="0096317D" w:rsidRPr="0096317D">
        <w:rPr>
          <w:lang w:val="fr-FR"/>
        </w:rPr>
        <w:t>is.  En</w:t>
      </w:r>
      <w:r w:rsidR="00F64502" w:rsidRPr="0096317D">
        <w:rPr>
          <w:lang w:val="fr-FR"/>
        </w:rPr>
        <w:t xml:space="preserve"> 2015, il est arrivé premier parmi toutes les administrations chargées de la recherche internationale, en </w:t>
      </w:r>
      <w:r w:rsidR="007C6010" w:rsidRPr="0096317D">
        <w:rPr>
          <w:lang w:val="fr-FR"/>
        </w:rPr>
        <w:t>remettant</w:t>
      </w:r>
      <w:r w:rsidR="00F64502" w:rsidRPr="0096317D">
        <w:rPr>
          <w:lang w:val="fr-FR"/>
        </w:rPr>
        <w:t xml:space="preserve"> 100% de ses rapports de recherche internationale </w:t>
      </w:r>
      <w:r w:rsidR="00203433" w:rsidRPr="0096317D">
        <w:rPr>
          <w:lang w:val="fr-FR"/>
        </w:rPr>
        <w:t xml:space="preserve">dans le délai de 90 jours </w:t>
      </w:r>
      <w:r w:rsidR="007C6010" w:rsidRPr="0096317D">
        <w:rPr>
          <w:lang w:val="fr-FR"/>
        </w:rPr>
        <w:t>prescrit</w:t>
      </w:r>
      <w:r w:rsidR="00203433" w:rsidRPr="0096317D">
        <w:rPr>
          <w:lang w:val="fr-FR"/>
        </w:rPr>
        <w:t>.</w:t>
      </w:r>
    </w:p>
    <w:p w14:paraId="4CCC59E8" w14:textId="0C6AA5F4" w:rsidR="00AA5F79" w:rsidRPr="0096317D" w:rsidRDefault="00203433" w:rsidP="00320FDF">
      <w:pPr>
        <w:pStyle w:val="ONUME"/>
        <w:numPr>
          <w:ilvl w:val="0"/>
          <w:numId w:val="0"/>
        </w:numPr>
        <w:rPr>
          <w:lang w:val="fr-FR"/>
        </w:rPr>
      </w:pPr>
      <w:r w:rsidRPr="0096317D">
        <w:rPr>
          <w:lang w:val="fr-FR"/>
        </w:rPr>
        <w:t>L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 xml:space="preserve">IPOS </w:t>
      </w:r>
      <w:r w:rsidR="007C6010" w:rsidRPr="0096317D">
        <w:rPr>
          <w:lang w:val="fr-FR"/>
        </w:rPr>
        <w:t>dispose d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>un système de surveillance qui renseigne sur les délais restant pour tous les rapports remis selon</w:t>
      </w:r>
      <w:r w:rsidR="00220660" w:rsidRPr="0096317D">
        <w:rPr>
          <w:lang w:val="fr-FR"/>
        </w:rPr>
        <w:t xml:space="preserve"> le </w:t>
      </w:r>
      <w:r w:rsidR="0096317D" w:rsidRPr="0096317D">
        <w:rPr>
          <w:lang w:val="fr-FR"/>
        </w:rPr>
        <w:t>PCT.  De</w:t>
      </w:r>
      <w:r w:rsidRPr="0096317D">
        <w:rPr>
          <w:lang w:val="fr-FR"/>
        </w:rPr>
        <w:t>s vérifications sont effectuées chaque semaine pour s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 xml:space="preserve">assurer que tous les rapports seront soumis dans les délais </w:t>
      </w:r>
      <w:r w:rsidR="007C6010" w:rsidRPr="0096317D">
        <w:rPr>
          <w:lang w:val="fr-FR"/>
        </w:rPr>
        <w:t>impart</w:t>
      </w:r>
      <w:r w:rsidR="0096317D" w:rsidRPr="0096317D">
        <w:rPr>
          <w:lang w:val="fr-FR"/>
        </w:rPr>
        <w:t>is.  De</w:t>
      </w:r>
      <w:r w:rsidRPr="0096317D">
        <w:rPr>
          <w:lang w:val="fr-FR"/>
        </w:rPr>
        <w:t>ux</w:t>
      </w:r>
      <w:r w:rsidR="00D8335B" w:rsidRPr="0096317D">
        <w:rPr>
          <w:lang w:val="fr-FR"/>
        </w:rPr>
        <w:t> </w:t>
      </w:r>
      <w:r w:rsidRPr="0096317D">
        <w:rPr>
          <w:lang w:val="fr-FR"/>
        </w:rPr>
        <w:t xml:space="preserve">semaines avant </w:t>
      </w:r>
      <w:r w:rsidR="007C6010" w:rsidRPr="0096317D">
        <w:rPr>
          <w:lang w:val="fr-FR"/>
        </w:rPr>
        <w:t xml:space="preserve">toute </w:t>
      </w:r>
      <w:r w:rsidRPr="0096317D">
        <w:rPr>
          <w:lang w:val="fr-FR"/>
        </w:rPr>
        <w:t>échéance, des messages électroniques ou notifications individualisés sont envoyés aux examinateurs pour leur rappeler les délais.</w:t>
      </w:r>
    </w:p>
    <w:p w14:paraId="56A1FF42" w14:textId="5CB02D86" w:rsidR="0018170C" w:rsidRDefault="00203433" w:rsidP="00320FDF">
      <w:pPr>
        <w:pStyle w:val="Heading2"/>
        <w:rPr>
          <w:lang w:val="fr-FR"/>
        </w:rPr>
      </w:pPr>
      <w:r w:rsidRPr="0096317D">
        <w:rPr>
          <w:lang w:val="fr-FR"/>
        </w:rPr>
        <w:t>3.3</w:t>
      </w:r>
      <w:r w:rsidR="0018170C" w:rsidRPr="0096317D">
        <w:rPr>
          <w:lang w:val="fr-FR"/>
        </w:rPr>
        <w:tab/>
        <w:t>Pragmati</w:t>
      </w:r>
      <w:r w:rsidR="00500A7B">
        <w:rPr>
          <w:lang w:val="fr-FR"/>
        </w:rPr>
        <w:t>sme</w:t>
      </w:r>
    </w:p>
    <w:p w14:paraId="6DCF5B86" w14:textId="77777777" w:rsidR="00320FDF" w:rsidRPr="00320FDF" w:rsidRDefault="00320FDF" w:rsidP="00320FDF">
      <w:pPr>
        <w:keepNext/>
        <w:rPr>
          <w:lang w:val="fr-FR"/>
        </w:rPr>
      </w:pPr>
    </w:p>
    <w:p w14:paraId="1FCA68FC" w14:textId="085BF40B" w:rsidR="00AA5F79" w:rsidRPr="0096317D" w:rsidRDefault="00176434" w:rsidP="00320FDF">
      <w:pPr>
        <w:pStyle w:val="ONUME"/>
        <w:numPr>
          <w:ilvl w:val="0"/>
          <w:numId w:val="0"/>
        </w:numPr>
        <w:rPr>
          <w:lang w:val="fr-FR"/>
        </w:rPr>
      </w:pPr>
      <w:r w:rsidRPr="0096317D">
        <w:rPr>
          <w:lang w:val="fr-FR"/>
        </w:rPr>
        <w:t>Conformément à sa volonté de fournir des services de qualité aux demandeurs, l</w:t>
      </w:r>
      <w:r w:rsidR="00220660" w:rsidRPr="0096317D">
        <w:rPr>
          <w:lang w:val="fr-FR"/>
        </w:rPr>
        <w:t>’</w:t>
      </w:r>
      <w:r w:rsidR="00203433" w:rsidRPr="0096317D">
        <w:rPr>
          <w:lang w:val="fr-FR"/>
        </w:rPr>
        <w:t>IPOS attend des examinateurs qu</w:t>
      </w:r>
      <w:r w:rsidR="00220660" w:rsidRPr="0096317D">
        <w:rPr>
          <w:lang w:val="fr-FR"/>
        </w:rPr>
        <w:t>’</w:t>
      </w:r>
      <w:r w:rsidR="00203433" w:rsidRPr="0096317D">
        <w:rPr>
          <w:lang w:val="fr-FR"/>
        </w:rPr>
        <w:t xml:space="preserve">ils fassent preuve de pragmatisme et de bon sens dans le </w:t>
      </w:r>
      <w:r w:rsidRPr="0096317D">
        <w:rPr>
          <w:lang w:val="fr-FR"/>
        </w:rPr>
        <w:t>cadre</w:t>
      </w:r>
      <w:r w:rsidR="00203433" w:rsidRPr="0096317D">
        <w:rPr>
          <w:lang w:val="fr-FR"/>
        </w:rPr>
        <w:t xml:space="preserve"> de la livraison de produits et de la prestation de services </w:t>
      </w:r>
      <w:r w:rsidRPr="0096317D">
        <w:rPr>
          <w:lang w:val="fr-FR"/>
        </w:rPr>
        <w:t>auprès des clients</w:t>
      </w:r>
      <w:r w:rsidR="00203433" w:rsidRPr="0096317D">
        <w:rPr>
          <w:lang w:val="fr-FR"/>
        </w:rPr>
        <w:t>.</w:t>
      </w:r>
    </w:p>
    <w:p w14:paraId="332A5581" w14:textId="0A530F36" w:rsidR="00AA5F79" w:rsidRDefault="00500A7B" w:rsidP="00320FDF">
      <w:pPr>
        <w:pStyle w:val="Heading2"/>
        <w:rPr>
          <w:lang w:val="fr-FR"/>
        </w:rPr>
      </w:pPr>
      <w:r>
        <w:rPr>
          <w:lang w:val="fr-FR"/>
        </w:rPr>
        <w:t>3.4</w:t>
      </w:r>
      <w:r w:rsidR="0018170C" w:rsidRPr="0096317D">
        <w:rPr>
          <w:lang w:val="fr-FR"/>
        </w:rPr>
        <w:tab/>
      </w:r>
      <w:r>
        <w:rPr>
          <w:lang w:val="fr-FR"/>
        </w:rPr>
        <w:t>B</w:t>
      </w:r>
      <w:r w:rsidR="009D0088" w:rsidRPr="0096317D">
        <w:rPr>
          <w:lang w:val="fr-FR"/>
        </w:rPr>
        <w:t>ureau charg</w:t>
      </w:r>
      <w:r>
        <w:rPr>
          <w:lang w:val="fr-FR"/>
        </w:rPr>
        <w:t>é</w:t>
      </w:r>
      <w:r w:rsidR="009D0088" w:rsidRPr="0096317D">
        <w:rPr>
          <w:lang w:val="fr-FR"/>
        </w:rPr>
        <w:t xml:space="preserve"> de la mise en œuvre des fonctions d</w:t>
      </w:r>
      <w:r w:rsidR="00220660" w:rsidRPr="0096317D">
        <w:rPr>
          <w:lang w:val="fr-FR"/>
        </w:rPr>
        <w:t>’</w:t>
      </w:r>
      <w:r w:rsidR="009D0088" w:rsidRPr="0096317D">
        <w:rPr>
          <w:lang w:val="fr-FR"/>
        </w:rPr>
        <w:t>administration internationale</w:t>
      </w:r>
    </w:p>
    <w:p w14:paraId="2F7B3EB2" w14:textId="77777777" w:rsidR="00320FDF" w:rsidRPr="00320FDF" w:rsidRDefault="00320FDF" w:rsidP="00320FDF">
      <w:pPr>
        <w:rPr>
          <w:lang w:val="fr-FR"/>
        </w:rPr>
      </w:pPr>
    </w:p>
    <w:p w14:paraId="7A1EF40D" w14:textId="2FEFB067" w:rsidR="00AA5F79" w:rsidRPr="0096317D" w:rsidRDefault="009D0088" w:rsidP="00320FDF">
      <w:pPr>
        <w:pStyle w:val="ONUME"/>
        <w:numPr>
          <w:ilvl w:val="0"/>
          <w:numId w:val="0"/>
        </w:numPr>
        <w:rPr>
          <w:lang w:val="fr-FR"/>
        </w:rPr>
      </w:pPr>
      <w:r w:rsidRPr="0096317D">
        <w:rPr>
          <w:lang w:val="fr-FR"/>
        </w:rPr>
        <w:t>En 2014, en préparation de sa nomination en qualité d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>administration chargée de la recherche internationale et d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>administration chargée de l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>examen préliminaire international, l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 xml:space="preserve">IPOS a établi un </w:t>
      </w:r>
      <w:r w:rsidR="00176434" w:rsidRPr="0096317D">
        <w:rPr>
          <w:lang w:val="fr-FR"/>
        </w:rPr>
        <w:t>B</w:t>
      </w:r>
      <w:r w:rsidRPr="0096317D">
        <w:rPr>
          <w:lang w:val="fr-FR"/>
        </w:rPr>
        <w:t>ureau chargé de la mise en œuvre des fonctions d</w:t>
      </w:r>
      <w:r w:rsidR="00220660" w:rsidRPr="0096317D">
        <w:rPr>
          <w:lang w:val="fr-FR"/>
        </w:rPr>
        <w:t>’</w:t>
      </w:r>
      <w:r w:rsidR="00176434" w:rsidRPr="0096317D">
        <w:rPr>
          <w:lang w:val="fr-FR"/>
        </w:rPr>
        <w:t>administration internationa</w:t>
      </w:r>
      <w:r w:rsidR="0096317D" w:rsidRPr="0096317D">
        <w:rPr>
          <w:lang w:val="fr-FR"/>
        </w:rPr>
        <w:t xml:space="preserve">le.  À </w:t>
      </w:r>
      <w:r w:rsidRPr="0096317D">
        <w:rPr>
          <w:lang w:val="fr-FR"/>
        </w:rPr>
        <w:t>la suite de la nomination de l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 xml:space="preserve">IPOS, </w:t>
      </w:r>
      <w:r w:rsidR="00176434" w:rsidRPr="0096317D">
        <w:rPr>
          <w:lang w:val="fr-FR"/>
        </w:rPr>
        <w:t>le Bureau</w:t>
      </w:r>
      <w:r w:rsidRPr="0096317D">
        <w:rPr>
          <w:lang w:val="fr-FR"/>
        </w:rPr>
        <w:t xml:space="preserve"> s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 xml:space="preserve">est penché sur la schématisation des processus opérationnels, la préparation de directives (administratives, mais aussi relatives à la recherche et </w:t>
      </w:r>
      <w:r w:rsidR="00176434" w:rsidRPr="0096317D">
        <w:rPr>
          <w:lang w:val="fr-FR"/>
        </w:rPr>
        <w:t xml:space="preserve">à </w:t>
      </w:r>
      <w:r w:rsidRPr="0096317D">
        <w:rPr>
          <w:lang w:val="fr-FR"/>
        </w:rPr>
        <w:t>l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>examen), la formation aux procédures, les préparatifs en vue de l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>application des documents types</w:t>
      </w:r>
      <w:r w:rsidR="00220660" w:rsidRPr="0096317D">
        <w:rPr>
          <w:lang w:val="fr-FR"/>
        </w:rPr>
        <w:t xml:space="preserve"> du PCT</w:t>
      </w:r>
      <w:r w:rsidRPr="0096317D">
        <w:rPr>
          <w:lang w:val="fr-FR"/>
        </w:rPr>
        <w:t>, et l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>adaptation de l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>infrastructure informatique en vue de la mise en œuvre du système e</w:t>
      </w:r>
      <w:r w:rsidR="0096317D" w:rsidRPr="0096317D">
        <w:rPr>
          <w:lang w:val="fr-FR"/>
        </w:rPr>
        <w:t>PCT.  De</w:t>
      </w:r>
      <w:r w:rsidRPr="0096317D">
        <w:rPr>
          <w:lang w:val="fr-FR"/>
        </w:rPr>
        <w:t>puis que l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 xml:space="preserve">IPOS </w:t>
      </w:r>
      <w:r w:rsidR="00176434" w:rsidRPr="0096317D">
        <w:rPr>
          <w:lang w:val="fr-FR"/>
        </w:rPr>
        <w:t>a pris ses fonctions d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 xml:space="preserve">administration chargée de la recherche internationale et </w:t>
      </w:r>
      <w:r w:rsidR="00176434" w:rsidRPr="0096317D">
        <w:rPr>
          <w:lang w:val="fr-FR"/>
        </w:rPr>
        <w:t>d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>administration chargée de l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 xml:space="preserve">examen préliminaire international, </w:t>
      </w:r>
      <w:r w:rsidR="00176434" w:rsidRPr="0096317D">
        <w:rPr>
          <w:lang w:val="fr-FR"/>
        </w:rPr>
        <w:t>le Bureau</w:t>
      </w:r>
      <w:r w:rsidRPr="0096317D">
        <w:rPr>
          <w:lang w:val="fr-FR"/>
        </w:rPr>
        <w:t xml:space="preserve"> continue de s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>employer à rationalis</w:t>
      </w:r>
      <w:r w:rsidR="00176434" w:rsidRPr="0096317D">
        <w:rPr>
          <w:lang w:val="fr-FR"/>
        </w:rPr>
        <w:t>er</w:t>
      </w:r>
      <w:r w:rsidRPr="0096317D">
        <w:rPr>
          <w:lang w:val="fr-FR"/>
        </w:rPr>
        <w:t xml:space="preserve"> et</w:t>
      </w:r>
      <w:r w:rsidR="00176434" w:rsidRPr="0096317D">
        <w:rPr>
          <w:lang w:val="fr-FR"/>
        </w:rPr>
        <w:t xml:space="preserve"> </w:t>
      </w:r>
      <w:r w:rsidRPr="0096317D">
        <w:rPr>
          <w:lang w:val="fr-FR"/>
        </w:rPr>
        <w:t>actualis</w:t>
      </w:r>
      <w:r w:rsidR="00176434" w:rsidRPr="0096317D">
        <w:rPr>
          <w:lang w:val="fr-FR"/>
        </w:rPr>
        <w:t>er</w:t>
      </w:r>
      <w:r w:rsidRPr="0096317D">
        <w:rPr>
          <w:lang w:val="fr-FR"/>
        </w:rPr>
        <w:t xml:space="preserve"> </w:t>
      </w:r>
      <w:r w:rsidR="00176434" w:rsidRPr="0096317D">
        <w:rPr>
          <w:lang w:val="fr-FR"/>
        </w:rPr>
        <w:t>l</w:t>
      </w:r>
      <w:r w:rsidRPr="0096317D">
        <w:rPr>
          <w:lang w:val="fr-FR"/>
        </w:rPr>
        <w:t>es</w:t>
      </w:r>
      <w:r w:rsidR="00DA007A">
        <w:rPr>
          <w:lang w:val="fr-FR"/>
        </w:rPr>
        <w:t xml:space="preserve"> procédures opérationnelles et l</w:t>
      </w:r>
      <w:r w:rsidRPr="0096317D">
        <w:rPr>
          <w:lang w:val="fr-FR"/>
        </w:rPr>
        <w:t xml:space="preserve">es directives, conformément </w:t>
      </w:r>
      <w:r w:rsidR="00DF148D" w:rsidRPr="0096317D">
        <w:rPr>
          <w:lang w:val="fr-FR"/>
        </w:rPr>
        <w:t>aux modifications des textes et des directives</w:t>
      </w:r>
      <w:r w:rsidR="00220660" w:rsidRPr="0096317D">
        <w:rPr>
          <w:lang w:val="fr-FR"/>
        </w:rPr>
        <w:t xml:space="preserve"> du PCT</w:t>
      </w:r>
      <w:r w:rsidR="00DF148D" w:rsidRPr="0096317D">
        <w:rPr>
          <w:lang w:val="fr-FR"/>
        </w:rPr>
        <w:t>.</w:t>
      </w:r>
    </w:p>
    <w:p w14:paraId="10858DC9" w14:textId="6B859CEC" w:rsidR="00AA5F79" w:rsidRDefault="0018170C" w:rsidP="00320FDF">
      <w:pPr>
        <w:pStyle w:val="Heading1"/>
        <w:rPr>
          <w:lang w:val="fr-FR"/>
        </w:rPr>
      </w:pPr>
      <w:r w:rsidRPr="0096317D">
        <w:rPr>
          <w:lang w:val="fr-FR"/>
        </w:rPr>
        <w:t>4.</w:t>
      </w:r>
      <w:r w:rsidRPr="0096317D">
        <w:rPr>
          <w:lang w:val="fr-FR"/>
        </w:rPr>
        <w:tab/>
      </w:r>
      <w:r w:rsidR="00C502DF" w:rsidRPr="0096317D">
        <w:rPr>
          <w:lang w:val="fr-FR"/>
        </w:rPr>
        <w:t>Champ d</w:t>
      </w:r>
      <w:r w:rsidR="00220660" w:rsidRPr="0096317D">
        <w:rPr>
          <w:lang w:val="fr-FR"/>
        </w:rPr>
        <w:t>’</w:t>
      </w:r>
      <w:r w:rsidR="00C502DF" w:rsidRPr="0096317D">
        <w:rPr>
          <w:lang w:val="fr-FR"/>
        </w:rPr>
        <w:t>application visé</w:t>
      </w:r>
    </w:p>
    <w:p w14:paraId="2620EF5C" w14:textId="77777777" w:rsidR="00320FDF" w:rsidRPr="00320FDF" w:rsidRDefault="00320FDF" w:rsidP="00320FDF">
      <w:pPr>
        <w:rPr>
          <w:lang w:val="fr-FR"/>
        </w:rPr>
      </w:pPr>
    </w:p>
    <w:p w14:paraId="6E9D239F" w14:textId="18CE665C" w:rsidR="00AA5F79" w:rsidRPr="0096317D" w:rsidRDefault="007F72C2" w:rsidP="00320FDF">
      <w:pPr>
        <w:pStyle w:val="ONUME"/>
        <w:numPr>
          <w:ilvl w:val="0"/>
          <w:numId w:val="0"/>
        </w:numPr>
        <w:rPr>
          <w:lang w:val="fr-FR"/>
        </w:rPr>
      </w:pPr>
      <w:r w:rsidRPr="0096317D">
        <w:rPr>
          <w:lang w:val="fr-FR"/>
        </w:rPr>
        <w:t>Les langues acceptées par l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>IPOS en sa qualité d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>administration chargée de la recherche internationale, d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>administration chargée de l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>examen préliminaire international et d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>administration chargée de la recherche internationale supplémentaire, sont l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>anglais et le chinois.</w:t>
      </w:r>
    </w:p>
    <w:p w14:paraId="1D6C6F2B" w14:textId="7E75F68E" w:rsidR="0018170C" w:rsidRPr="0096317D" w:rsidRDefault="007F72C2" w:rsidP="00320FDF">
      <w:pPr>
        <w:pStyle w:val="ONUME"/>
        <w:numPr>
          <w:ilvl w:val="0"/>
          <w:numId w:val="0"/>
        </w:numPr>
        <w:rPr>
          <w:lang w:val="fr-FR"/>
        </w:rPr>
      </w:pPr>
      <w:r w:rsidRPr="0096317D">
        <w:rPr>
          <w:lang w:val="fr-FR"/>
        </w:rPr>
        <w:t>Les offices récepteurs suivants ont reconnu l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 xml:space="preserve">IPOS comme leur administration </w:t>
      </w:r>
      <w:r w:rsidR="00DA007A">
        <w:rPr>
          <w:lang w:val="fr-FR"/>
        </w:rPr>
        <w:t xml:space="preserve">compétente </w:t>
      </w:r>
      <w:r w:rsidRPr="0096317D">
        <w:rPr>
          <w:lang w:val="fr-FR"/>
        </w:rPr>
        <w:t>chargée de la recherche internationale</w:t>
      </w:r>
      <w:r w:rsidR="00DA007A">
        <w:rPr>
          <w:lang w:val="fr-FR"/>
        </w:rPr>
        <w:t xml:space="preserve"> et </w:t>
      </w:r>
      <w:r w:rsidRPr="0096317D">
        <w:rPr>
          <w:lang w:val="fr-FR"/>
        </w:rPr>
        <w:t>de l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>examen préliminaire international</w:t>
      </w:r>
      <w:r w:rsidR="00DA007A">
        <w:rPr>
          <w:lang w:val="fr-FR"/>
        </w:rPr>
        <w:t> </w:t>
      </w:r>
      <w:r w:rsidR="00220660" w:rsidRPr="0096317D">
        <w:rPr>
          <w:lang w:val="fr-FR"/>
        </w:rPr>
        <w:t>:</w:t>
      </w:r>
    </w:p>
    <w:p w14:paraId="63F18761" w14:textId="7D897C00" w:rsidR="0018170C" w:rsidRPr="0096317D" w:rsidRDefault="009246FF" w:rsidP="00320FDF">
      <w:pPr>
        <w:pStyle w:val="ONUME"/>
        <w:numPr>
          <w:ilvl w:val="0"/>
          <w:numId w:val="0"/>
        </w:numPr>
        <w:ind w:left="567"/>
        <w:rPr>
          <w:lang w:val="fr-FR"/>
        </w:rPr>
      </w:pPr>
      <w:r w:rsidRPr="0096317D">
        <w:rPr>
          <w:lang w:val="fr-FR"/>
        </w:rPr>
        <w:t>1)</w:t>
      </w:r>
      <w:r w:rsidRPr="0096317D">
        <w:rPr>
          <w:lang w:val="fr-FR"/>
        </w:rPr>
        <w:tab/>
        <w:t>Cambod</w:t>
      </w:r>
      <w:r w:rsidR="007F72C2" w:rsidRPr="0096317D">
        <w:rPr>
          <w:lang w:val="fr-FR"/>
        </w:rPr>
        <w:t>ge</w:t>
      </w:r>
      <w:r w:rsidR="00220660" w:rsidRPr="0096317D">
        <w:rPr>
          <w:lang w:val="fr-FR"/>
        </w:rPr>
        <w:t> :</w:t>
      </w:r>
      <w:r w:rsidR="0018170C" w:rsidRPr="0096317D">
        <w:rPr>
          <w:lang w:val="fr-FR"/>
        </w:rPr>
        <w:t xml:space="preserve"> D</w:t>
      </w:r>
      <w:r w:rsidR="00636647" w:rsidRPr="0096317D">
        <w:rPr>
          <w:lang w:val="fr-FR"/>
        </w:rPr>
        <w:t>é</w:t>
      </w:r>
      <w:r w:rsidR="0018170C" w:rsidRPr="0096317D">
        <w:rPr>
          <w:lang w:val="fr-FR"/>
        </w:rPr>
        <w:t>part</w:t>
      </w:r>
      <w:r w:rsidR="00636647" w:rsidRPr="0096317D">
        <w:rPr>
          <w:lang w:val="fr-FR"/>
        </w:rPr>
        <w:t>e</w:t>
      </w:r>
      <w:r w:rsidR="0018170C" w:rsidRPr="0096317D">
        <w:rPr>
          <w:lang w:val="fr-FR"/>
        </w:rPr>
        <w:t xml:space="preserve">ment </w:t>
      </w:r>
      <w:r w:rsidR="00636647" w:rsidRPr="0096317D">
        <w:rPr>
          <w:lang w:val="fr-FR"/>
        </w:rPr>
        <w:t>de la</w:t>
      </w:r>
      <w:r w:rsidR="0018170C" w:rsidRPr="0096317D">
        <w:rPr>
          <w:lang w:val="fr-FR"/>
        </w:rPr>
        <w:t xml:space="preserve"> </w:t>
      </w:r>
      <w:r w:rsidR="00636647" w:rsidRPr="0096317D">
        <w:rPr>
          <w:lang w:val="fr-FR"/>
        </w:rPr>
        <w:t>propriété i</w:t>
      </w:r>
      <w:r w:rsidR="0018170C" w:rsidRPr="0096317D">
        <w:rPr>
          <w:lang w:val="fr-FR"/>
        </w:rPr>
        <w:t>ndustri</w:t>
      </w:r>
      <w:r w:rsidR="00636647" w:rsidRPr="0096317D">
        <w:rPr>
          <w:lang w:val="fr-FR"/>
        </w:rPr>
        <w:t>el</w:t>
      </w:r>
      <w:r w:rsidR="0018170C" w:rsidRPr="0096317D">
        <w:rPr>
          <w:lang w:val="fr-FR"/>
        </w:rPr>
        <w:t>l</w:t>
      </w:r>
      <w:r w:rsidR="00636647" w:rsidRPr="0096317D">
        <w:rPr>
          <w:lang w:val="fr-FR"/>
        </w:rPr>
        <w:t>e</w:t>
      </w:r>
      <w:r w:rsidR="0018170C" w:rsidRPr="0096317D">
        <w:rPr>
          <w:lang w:val="fr-FR"/>
        </w:rPr>
        <w:t xml:space="preserve"> </w:t>
      </w:r>
      <w:r w:rsidR="00636647" w:rsidRPr="0096317D">
        <w:rPr>
          <w:lang w:val="fr-FR"/>
        </w:rPr>
        <w:t>du</w:t>
      </w:r>
      <w:r w:rsidR="0018170C" w:rsidRPr="0096317D">
        <w:rPr>
          <w:lang w:val="fr-FR"/>
        </w:rPr>
        <w:t xml:space="preserve"> Cambod</w:t>
      </w:r>
      <w:r w:rsidR="00636647" w:rsidRPr="0096317D">
        <w:rPr>
          <w:lang w:val="fr-FR"/>
        </w:rPr>
        <w:t>ge</w:t>
      </w:r>
    </w:p>
    <w:p w14:paraId="43E38E5F" w14:textId="44A5DC1A" w:rsidR="0018170C" w:rsidRPr="0096317D" w:rsidRDefault="009246FF" w:rsidP="00320FDF">
      <w:pPr>
        <w:pStyle w:val="ONUME"/>
        <w:numPr>
          <w:ilvl w:val="0"/>
          <w:numId w:val="0"/>
        </w:numPr>
        <w:ind w:left="567"/>
        <w:rPr>
          <w:lang w:val="fr-FR"/>
        </w:rPr>
      </w:pPr>
      <w:r w:rsidRPr="0096317D">
        <w:rPr>
          <w:lang w:val="fr-FR"/>
        </w:rPr>
        <w:t>2)</w:t>
      </w:r>
      <w:r w:rsidRPr="0096317D">
        <w:rPr>
          <w:lang w:val="fr-FR"/>
        </w:rPr>
        <w:tab/>
        <w:t>Indon</w:t>
      </w:r>
      <w:r w:rsidR="007F72C2" w:rsidRPr="0096317D">
        <w:rPr>
          <w:lang w:val="fr-FR"/>
        </w:rPr>
        <w:t>é</w:t>
      </w:r>
      <w:r w:rsidRPr="0096317D">
        <w:rPr>
          <w:lang w:val="fr-FR"/>
        </w:rPr>
        <w:t>si</w:t>
      </w:r>
      <w:r w:rsidR="007F72C2" w:rsidRPr="0096317D">
        <w:rPr>
          <w:lang w:val="fr-FR"/>
        </w:rPr>
        <w:t>e</w:t>
      </w:r>
      <w:r w:rsidR="00220660" w:rsidRPr="0096317D">
        <w:rPr>
          <w:lang w:val="fr-FR"/>
        </w:rPr>
        <w:t> :</w:t>
      </w:r>
      <w:r w:rsidR="0018170C" w:rsidRPr="0096317D">
        <w:rPr>
          <w:lang w:val="fr-FR"/>
        </w:rPr>
        <w:t xml:space="preserve"> </w:t>
      </w:r>
      <w:r w:rsidR="00636647" w:rsidRPr="0096317D">
        <w:rPr>
          <w:lang w:val="fr-FR"/>
        </w:rPr>
        <w:t>Direction générale de la propriété intellectuelle de l</w:t>
      </w:r>
      <w:r w:rsidR="00220660" w:rsidRPr="0096317D">
        <w:rPr>
          <w:lang w:val="fr-FR"/>
        </w:rPr>
        <w:t>’</w:t>
      </w:r>
      <w:r w:rsidR="0018170C" w:rsidRPr="0096317D">
        <w:rPr>
          <w:lang w:val="fr-FR"/>
        </w:rPr>
        <w:t>Indon</w:t>
      </w:r>
      <w:r w:rsidR="00636647" w:rsidRPr="0096317D">
        <w:rPr>
          <w:lang w:val="fr-FR"/>
        </w:rPr>
        <w:t>é</w:t>
      </w:r>
      <w:r w:rsidR="0018170C" w:rsidRPr="0096317D">
        <w:rPr>
          <w:lang w:val="fr-FR"/>
        </w:rPr>
        <w:t>si</w:t>
      </w:r>
      <w:r w:rsidR="00636647" w:rsidRPr="0096317D">
        <w:rPr>
          <w:lang w:val="fr-FR"/>
        </w:rPr>
        <w:t>e</w:t>
      </w:r>
    </w:p>
    <w:p w14:paraId="0BD9AF34" w14:textId="7C9634B7" w:rsidR="0018170C" w:rsidRPr="0096317D" w:rsidRDefault="009246FF" w:rsidP="00320FDF">
      <w:pPr>
        <w:pStyle w:val="ONUME"/>
        <w:numPr>
          <w:ilvl w:val="0"/>
          <w:numId w:val="0"/>
        </w:numPr>
        <w:ind w:left="567"/>
        <w:rPr>
          <w:lang w:val="fr-FR"/>
        </w:rPr>
      </w:pPr>
      <w:r w:rsidRPr="0096317D">
        <w:rPr>
          <w:lang w:val="fr-FR"/>
        </w:rPr>
        <w:t>3)</w:t>
      </w:r>
      <w:r w:rsidRPr="0096317D">
        <w:rPr>
          <w:lang w:val="fr-FR"/>
        </w:rPr>
        <w:tab/>
        <w:t>Jap</w:t>
      </w:r>
      <w:r w:rsidR="007F72C2" w:rsidRPr="0096317D">
        <w:rPr>
          <w:lang w:val="fr-FR"/>
        </w:rPr>
        <w:t>o</w:t>
      </w:r>
      <w:r w:rsidRPr="0096317D">
        <w:rPr>
          <w:lang w:val="fr-FR"/>
        </w:rPr>
        <w:t>n</w:t>
      </w:r>
      <w:r w:rsidR="00220660" w:rsidRPr="0096317D">
        <w:rPr>
          <w:lang w:val="fr-FR"/>
        </w:rPr>
        <w:t> :</w:t>
      </w:r>
      <w:r w:rsidRPr="0096317D">
        <w:rPr>
          <w:lang w:val="fr-FR"/>
        </w:rPr>
        <w:t xml:space="preserve"> </w:t>
      </w:r>
      <w:r w:rsidR="00636647" w:rsidRPr="0096317D">
        <w:rPr>
          <w:lang w:val="fr-FR"/>
        </w:rPr>
        <w:t>Office japonais des brevets</w:t>
      </w:r>
    </w:p>
    <w:p w14:paraId="39230574" w14:textId="7A8782DF" w:rsidR="0018170C" w:rsidRPr="0096317D" w:rsidRDefault="009246FF" w:rsidP="00320FDF">
      <w:pPr>
        <w:pStyle w:val="ONUME"/>
        <w:numPr>
          <w:ilvl w:val="0"/>
          <w:numId w:val="0"/>
        </w:numPr>
        <w:ind w:left="567"/>
        <w:rPr>
          <w:lang w:val="fr-FR"/>
        </w:rPr>
      </w:pPr>
      <w:r w:rsidRPr="0096317D">
        <w:rPr>
          <w:lang w:val="fr-FR"/>
        </w:rPr>
        <w:t>4)</w:t>
      </w:r>
      <w:r w:rsidRPr="0096317D">
        <w:rPr>
          <w:lang w:val="fr-FR"/>
        </w:rPr>
        <w:tab/>
        <w:t>Mexi</w:t>
      </w:r>
      <w:r w:rsidR="007F72C2" w:rsidRPr="0096317D">
        <w:rPr>
          <w:lang w:val="fr-FR"/>
        </w:rPr>
        <w:t>que</w:t>
      </w:r>
      <w:r w:rsidR="00220660" w:rsidRPr="0096317D">
        <w:rPr>
          <w:lang w:val="fr-FR"/>
        </w:rPr>
        <w:t> :</w:t>
      </w:r>
      <w:r w:rsidRPr="0096317D">
        <w:rPr>
          <w:lang w:val="fr-FR"/>
        </w:rPr>
        <w:t xml:space="preserve"> </w:t>
      </w:r>
      <w:r w:rsidR="00636647" w:rsidRPr="0096317D">
        <w:rPr>
          <w:lang w:val="fr-FR"/>
        </w:rPr>
        <w:t>Institut mexicain de la propriété industrielle</w:t>
      </w:r>
    </w:p>
    <w:p w14:paraId="0F950963" w14:textId="4C5C97AA" w:rsidR="0018170C" w:rsidRPr="0096317D" w:rsidRDefault="0018170C" w:rsidP="00B776A6">
      <w:pPr>
        <w:pStyle w:val="ONUME"/>
        <w:numPr>
          <w:ilvl w:val="0"/>
          <w:numId w:val="0"/>
        </w:numPr>
        <w:ind w:left="1134" w:hanging="567"/>
        <w:rPr>
          <w:lang w:val="fr-FR"/>
        </w:rPr>
      </w:pPr>
      <w:r w:rsidRPr="0096317D">
        <w:rPr>
          <w:lang w:val="fr-FR"/>
        </w:rPr>
        <w:t>5)</w:t>
      </w:r>
      <w:r w:rsidRPr="0096317D">
        <w:rPr>
          <w:lang w:val="fr-FR"/>
        </w:rPr>
        <w:tab/>
      </w:r>
      <w:r w:rsidR="007F72C2" w:rsidRPr="0096317D">
        <w:rPr>
          <w:lang w:val="fr-FR"/>
        </w:rPr>
        <w:t>États</w:t>
      </w:r>
      <w:r w:rsidR="00B776A6">
        <w:rPr>
          <w:lang w:val="fr-FR"/>
        </w:rPr>
        <w:noBreakHyphen/>
      </w:r>
      <w:r w:rsidR="007F72C2" w:rsidRPr="0096317D">
        <w:rPr>
          <w:lang w:val="fr-FR"/>
        </w:rPr>
        <w:t>Unis</w:t>
      </w:r>
      <w:r w:rsidR="00D8335B" w:rsidRPr="0096317D">
        <w:rPr>
          <w:lang w:val="fr-FR"/>
        </w:rPr>
        <w:t xml:space="preserve"> d’Amérique</w:t>
      </w:r>
      <w:r w:rsidR="00220660" w:rsidRPr="0096317D">
        <w:rPr>
          <w:lang w:val="fr-FR"/>
        </w:rPr>
        <w:t> :</w:t>
      </w:r>
      <w:r w:rsidRPr="0096317D">
        <w:rPr>
          <w:lang w:val="fr-FR"/>
        </w:rPr>
        <w:t xml:space="preserve"> </w:t>
      </w:r>
      <w:r w:rsidR="00636647" w:rsidRPr="0096317D">
        <w:rPr>
          <w:lang w:val="fr-FR"/>
        </w:rPr>
        <w:t>Office des brevets et des marques des États</w:t>
      </w:r>
      <w:r w:rsidR="00B776A6">
        <w:rPr>
          <w:lang w:val="fr-FR"/>
        </w:rPr>
        <w:noBreakHyphen/>
      </w:r>
      <w:r w:rsidR="00636647" w:rsidRPr="0096317D">
        <w:rPr>
          <w:lang w:val="fr-FR"/>
        </w:rPr>
        <w:t>Unis</w:t>
      </w:r>
      <w:r w:rsidR="00D8335B" w:rsidRPr="0096317D">
        <w:rPr>
          <w:lang w:val="fr-FR"/>
        </w:rPr>
        <w:t xml:space="preserve"> d’Amérique</w:t>
      </w:r>
    </w:p>
    <w:p w14:paraId="6395D110" w14:textId="5A39D1CB" w:rsidR="00AA5F79" w:rsidRPr="0096317D" w:rsidRDefault="0018170C" w:rsidP="00320FDF">
      <w:pPr>
        <w:pStyle w:val="ONUME"/>
        <w:numPr>
          <w:ilvl w:val="0"/>
          <w:numId w:val="0"/>
        </w:numPr>
        <w:ind w:left="567"/>
        <w:rPr>
          <w:lang w:val="fr-FR"/>
        </w:rPr>
      </w:pPr>
      <w:r w:rsidRPr="0096317D">
        <w:rPr>
          <w:lang w:val="fr-FR"/>
        </w:rPr>
        <w:t>6)</w:t>
      </w:r>
      <w:r w:rsidRPr="0096317D">
        <w:rPr>
          <w:lang w:val="fr-FR"/>
        </w:rPr>
        <w:tab/>
      </w:r>
      <w:r w:rsidR="00D8335B" w:rsidRPr="0096317D">
        <w:rPr>
          <w:lang w:val="fr-FR"/>
        </w:rPr>
        <w:t>Viet Nam</w:t>
      </w:r>
      <w:r w:rsidR="00220660" w:rsidRPr="0096317D">
        <w:rPr>
          <w:lang w:val="fr-FR"/>
        </w:rPr>
        <w:t> :</w:t>
      </w:r>
      <w:r w:rsidRPr="0096317D">
        <w:rPr>
          <w:lang w:val="fr-FR"/>
        </w:rPr>
        <w:t xml:space="preserve"> </w:t>
      </w:r>
      <w:r w:rsidR="00636647" w:rsidRPr="0096317D">
        <w:rPr>
          <w:lang w:val="fr-FR"/>
        </w:rPr>
        <w:t xml:space="preserve">Office national de la propriété intellectuelle du </w:t>
      </w:r>
      <w:r w:rsidR="00D8335B" w:rsidRPr="0096317D">
        <w:rPr>
          <w:lang w:val="fr-FR"/>
        </w:rPr>
        <w:t>Viet Nam</w:t>
      </w:r>
    </w:p>
    <w:p w14:paraId="05823233" w14:textId="0496140D" w:rsidR="0018170C" w:rsidRDefault="0018170C" w:rsidP="00320FDF">
      <w:pPr>
        <w:pStyle w:val="Heading1"/>
        <w:rPr>
          <w:lang w:val="fr-FR"/>
        </w:rPr>
      </w:pPr>
      <w:r w:rsidRPr="0096317D">
        <w:rPr>
          <w:lang w:val="fr-FR"/>
        </w:rPr>
        <w:t>5.</w:t>
      </w:r>
      <w:r w:rsidRPr="0096317D">
        <w:rPr>
          <w:lang w:val="fr-FR"/>
        </w:rPr>
        <w:tab/>
      </w:r>
      <w:r w:rsidR="00500A7B" w:rsidRPr="0096317D">
        <w:rPr>
          <w:lang w:val="fr-FR"/>
        </w:rPr>
        <w:t>Stratégies nationales</w:t>
      </w:r>
      <w:r w:rsidRPr="0096317D">
        <w:rPr>
          <w:lang w:val="fr-FR"/>
        </w:rPr>
        <w:t xml:space="preserve"> </w:t>
      </w:r>
      <w:r w:rsidR="00500A7B">
        <w:rPr>
          <w:lang w:val="fr-FR"/>
        </w:rPr>
        <w:t>d</w:t>
      </w:r>
      <w:r w:rsidR="00220660" w:rsidRPr="0096317D">
        <w:rPr>
          <w:lang w:val="fr-FR"/>
        </w:rPr>
        <w:t>’</w:t>
      </w:r>
      <w:r w:rsidR="00500A7B">
        <w:rPr>
          <w:lang w:val="fr-FR"/>
        </w:rPr>
        <w:t>i</w:t>
      </w:r>
      <w:r w:rsidRPr="0096317D">
        <w:rPr>
          <w:lang w:val="fr-FR"/>
        </w:rPr>
        <w:t xml:space="preserve">nnovation </w:t>
      </w:r>
      <w:r w:rsidR="00500A7B">
        <w:rPr>
          <w:lang w:val="fr-FR"/>
        </w:rPr>
        <w:t>et énoncé des</w:t>
      </w:r>
      <w:r w:rsidRPr="0096317D">
        <w:rPr>
          <w:lang w:val="fr-FR"/>
        </w:rPr>
        <w:t xml:space="preserve"> </w:t>
      </w:r>
      <w:r w:rsidR="00500A7B" w:rsidRPr="0096317D">
        <w:rPr>
          <w:lang w:val="fr-FR"/>
        </w:rPr>
        <w:t>motivations</w:t>
      </w:r>
    </w:p>
    <w:p w14:paraId="588B54D7" w14:textId="77777777" w:rsidR="00320FDF" w:rsidRPr="00320FDF" w:rsidRDefault="00320FDF" w:rsidP="00320FDF">
      <w:pPr>
        <w:rPr>
          <w:lang w:val="fr-FR"/>
        </w:rPr>
      </w:pPr>
    </w:p>
    <w:p w14:paraId="6ECC8AC4" w14:textId="689CBFD8" w:rsidR="0018170C" w:rsidRPr="0096317D" w:rsidRDefault="0057403A" w:rsidP="00320FDF">
      <w:pPr>
        <w:pStyle w:val="ONUME"/>
        <w:numPr>
          <w:ilvl w:val="0"/>
          <w:numId w:val="0"/>
        </w:numPr>
        <w:rPr>
          <w:lang w:val="fr-FR"/>
        </w:rPr>
      </w:pPr>
      <w:r w:rsidRPr="0096317D">
        <w:rPr>
          <w:lang w:val="fr-FR"/>
        </w:rPr>
        <w:t>Au début des années </w:t>
      </w:r>
      <w:r w:rsidR="00D8335B" w:rsidRPr="0096317D">
        <w:rPr>
          <w:lang w:val="fr-FR"/>
        </w:rPr>
        <w:t>90</w:t>
      </w:r>
      <w:r w:rsidRPr="0096317D">
        <w:rPr>
          <w:lang w:val="fr-FR"/>
        </w:rPr>
        <w:t xml:space="preserve">, Singapour a entamé un parcours </w:t>
      </w:r>
      <w:r w:rsidR="00DA007A">
        <w:rPr>
          <w:lang w:val="fr-FR"/>
        </w:rPr>
        <w:t>en matière d’innovation</w:t>
      </w:r>
      <w:r w:rsidRPr="0096317D">
        <w:rPr>
          <w:lang w:val="fr-FR"/>
        </w:rPr>
        <w:t xml:space="preserve"> qui constitue le fondement essentiel de </w:t>
      </w:r>
      <w:r w:rsidR="006D2592" w:rsidRPr="0096317D">
        <w:rPr>
          <w:lang w:val="fr-FR"/>
        </w:rPr>
        <w:t>son</w:t>
      </w:r>
      <w:r w:rsidRPr="0096317D">
        <w:rPr>
          <w:lang w:val="fr-FR"/>
        </w:rPr>
        <w:t xml:space="preserve"> secteur de la recherche</w:t>
      </w:r>
      <w:r w:rsidR="00B776A6">
        <w:rPr>
          <w:lang w:val="fr-FR"/>
        </w:rPr>
        <w:noBreakHyphen/>
      </w:r>
      <w:r w:rsidRPr="0096317D">
        <w:rPr>
          <w:lang w:val="fr-FR"/>
        </w:rPr>
        <w:t xml:space="preserve">développement </w:t>
      </w:r>
      <w:r w:rsidR="0018170C" w:rsidRPr="0096317D">
        <w:rPr>
          <w:lang w:val="fr-FR"/>
        </w:rPr>
        <w:t>(R</w:t>
      </w:r>
      <w:r w:rsidR="00B776A6">
        <w:rPr>
          <w:lang w:val="fr-FR"/>
        </w:rPr>
        <w:noBreakHyphen/>
      </w:r>
      <w:r w:rsidR="0018170C" w:rsidRPr="0096317D">
        <w:rPr>
          <w:lang w:val="fr-FR"/>
        </w:rPr>
        <w:t>D).</w:t>
      </w:r>
      <w:r w:rsidR="00D8335B" w:rsidRPr="0096317D">
        <w:rPr>
          <w:lang w:val="fr-FR"/>
        </w:rPr>
        <w:t xml:space="preserve"> </w:t>
      </w:r>
      <w:r w:rsidR="0018170C" w:rsidRPr="0096317D">
        <w:rPr>
          <w:lang w:val="fr-FR"/>
        </w:rPr>
        <w:t xml:space="preserve"> </w:t>
      </w:r>
      <w:r w:rsidRPr="0096317D">
        <w:rPr>
          <w:lang w:val="fr-FR"/>
        </w:rPr>
        <w:t xml:space="preserve">Singapour </w:t>
      </w:r>
      <w:r w:rsidR="0074780E" w:rsidRPr="0096317D">
        <w:rPr>
          <w:lang w:val="fr-FR"/>
        </w:rPr>
        <w:t>enregistre</w:t>
      </w:r>
      <w:r w:rsidRPr="0096317D">
        <w:rPr>
          <w:lang w:val="fr-FR"/>
        </w:rPr>
        <w:t xml:space="preserve"> une densité de population de </w:t>
      </w:r>
      <w:r w:rsidR="00D8335B" w:rsidRPr="0096317D">
        <w:rPr>
          <w:lang w:val="fr-FR"/>
        </w:rPr>
        <w:t>7807</w:t>
      </w:r>
      <w:r w:rsidRPr="0096317D">
        <w:rPr>
          <w:lang w:val="fr-FR"/>
        </w:rPr>
        <w:t xml:space="preserve"> personnes par kilomètre carré et accueille sur son sol </w:t>
      </w:r>
      <w:r w:rsidR="0074780E" w:rsidRPr="0096317D">
        <w:rPr>
          <w:lang w:val="fr-FR"/>
        </w:rPr>
        <w:t xml:space="preserve">plus de </w:t>
      </w:r>
      <w:r w:rsidRPr="0096317D">
        <w:rPr>
          <w:lang w:val="fr-FR"/>
        </w:rPr>
        <w:t>190 000 entreprises</w:t>
      </w:r>
      <w:r w:rsidR="0074780E" w:rsidRPr="0096317D">
        <w:rPr>
          <w:lang w:val="fr-FR"/>
        </w:rPr>
        <w:t>,</w:t>
      </w:r>
      <w:r w:rsidRPr="0096317D">
        <w:rPr>
          <w:lang w:val="fr-FR"/>
        </w:rPr>
        <w:t xml:space="preserve"> allant de sociétés de petite et moyenne taille à des multinationales</w:t>
      </w:r>
      <w:r w:rsidR="0074780E" w:rsidRPr="0096317D">
        <w:rPr>
          <w:lang w:val="fr-FR"/>
        </w:rPr>
        <w:t>,</w:t>
      </w:r>
      <w:r w:rsidRPr="0096317D">
        <w:rPr>
          <w:lang w:val="fr-FR"/>
        </w:rPr>
        <w:t xml:space="preserve"> </w:t>
      </w:r>
      <w:r w:rsidR="0074780E" w:rsidRPr="0096317D">
        <w:rPr>
          <w:lang w:val="fr-FR"/>
        </w:rPr>
        <w:t>qui y déploient leurs activités d</w:t>
      </w:r>
      <w:r w:rsidR="00220660" w:rsidRPr="0096317D">
        <w:rPr>
          <w:lang w:val="fr-FR"/>
        </w:rPr>
        <w:t>’</w:t>
      </w:r>
      <w:r w:rsidR="0074780E" w:rsidRPr="0096317D">
        <w:rPr>
          <w:lang w:val="fr-FR"/>
        </w:rPr>
        <w:t>innovati</w:t>
      </w:r>
      <w:r w:rsidR="0096317D" w:rsidRPr="0096317D">
        <w:rPr>
          <w:lang w:val="fr-FR"/>
        </w:rPr>
        <w:t>on.  En</w:t>
      </w:r>
      <w:r w:rsidR="0074780E" w:rsidRPr="0096317D">
        <w:rPr>
          <w:lang w:val="fr-FR"/>
        </w:rPr>
        <w:t> 2015, le produit intérieur brut (PIB) de Singapour s</w:t>
      </w:r>
      <w:r w:rsidR="00220660" w:rsidRPr="0096317D">
        <w:rPr>
          <w:lang w:val="fr-FR"/>
        </w:rPr>
        <w:t>’</w:t>
      </w:r>
      <w:r w:rsidR="0074780E" w:rsidRPr="0096317D">
        <w:rPr>
          <w:lang w:val="fr-FR"/>
        </w:rPr>
        <w:t>élevait à 292,74 milliards de dollars des États</w:t>
      </w:r>
      <w:r w:rsidR="00B776A6">
        <w:rPr>
          <w:lang w:val="fr-FR"/>
        </w:rPr>
        <w:noBreakHyphen/>
      </w:r>
      <w:r w:rsidR="0074780E" w:rsidRPr="0096317D">
        <w:rPr>
          <w:lang w:val="fr-FR"/>
        </w:rPr>
        <w:t xml:space="preserve">Unis </w:t>
      </w:r>
      <w:r w:rsidR="00D8335B" w:rsidRPr="0096317D">
        <w:rPr>
          <w:lang w:val="fr-FR"/>
        </w:rPr>
        <w:t>d’Amérique</w:t>
      </w:r>
      <w:r w:rsidR="0074780E" w:rsidRPr="0096317D">
        <w:rPr>
          <w:lang w:val="fr-FR"/>
        </w:rPr>
        <w:t xml:space="preserve"> (402,50 milliards de dollars singapouriens), ce qui représentait 0,47% de l</w:t>
      </w:r>
      <w:r w:rsidR="00220660" w:rsidRPr="0096317D">
        <w:rPr>
          <w:lang w:val="fr-FR"/>
        </w:rPr>
        <w:t>’</w:t>
      </w:r>
      <w:r w:rsidR="0074780E" w:rsidRPr="0096317D">
        <w:rPr>
          <w:lang w:val="fr-FR"/>
        </w:rPr>
        <w:t>économie mondiale et un PIB par habitant de 85 382,30 dollars singapourie</w:t>
      </w:r>
      <w:r w:rsidR="0096317D" w:rsidRPr="0096317D">
        <w:rPr>
          <w:lang w:val="fr-FR"/>
        </w:rPr>
        <w:t>ns.  En</w:t>
      </w:r>
      <w:r w:rsidR="008F3648" w:rsidRPr="0096317D">
        <w:rPr>
          <w:lang w:val="fr-FR"/>
        </w:rPr>
        <w:t> 2014, l</w:t>
      </w:r>
      <w:r w:rsidR="0074780E" w:rsidRPr="0096317D">
        <w:rPr>
          <w:lang w:val="fr-FR"/>
        </w:rPr>
        <w:t>a part de l</w:t>
      </w:r>
      <w:r w:rsidR="00220660" w:rsidRPr="0096317D">
        <w:rPr>
          <w:lang w:val="fr-FR"/>
        </w:rPr>
        <w:t>’</w:t>
      </w:r>
      <w:r w:rsidR="0074780E" w:rsidRPr="0096317D">
        <w:rPr>
          <w:lang w:val="fr-FR"/>
        </w:rPr>
        <w:t xml:space="preserve">ensemble des dépenses brutes de </w:t>
      </w:r>
      <w:r w:rsidR="00A85E4C" w:rsidRPr="0096317D">
        <w:rPr>
          <w:lang w:val="fr-FR"/>
        </w:rPr>
        <w:t>R</w:t>
      </w:r>
      <w:r w:rsidR="00B776A6">
        <w:rPr>
          <w:lang w:val="fr-FR"/>
        </w:rPr>
        <w:noBreakHyphen/>
      </w:r>
      <w:r w:rsidR="00A85E4C" w:rsidRPr="0096317D">
        <w:rPr>
          <w:lang w:val="fr-FR"/>
        </w:rPr>
        <w:t xml:space="preserve">D </w:t>
      </w:r>
      <w:r w:rsidR="0074780E" w:rsidRPr="0096317D">
        <w:rPr>
          <w:lang w:val="fr-FR"/>
        </w:rPr>
        <w:t>dans</w:t>
      </w:r>
      <w:r w:rsidR="00220660" w:rsidRPr="0096317D">
        <w:rPr>
          <w:lang w:val="fr-FR"/>
        </w:rPr>
        <w:t xml:space="preserve"> le PIB</w:t>
      </w:r>
      <w:r w:rsidR="0074780E" w:rsidRPr="0096317D">
        <w:rPr>
          <w:lang w:val="fr-FR"/>
        </w:rPr>
        <w:t xml:space="preserve"> de Singapour </w:t>
      </w:r>
      <w:r w:rsidR="008F3648" w:rsidRPr="0096317D">
        <w:rPr>
          <w:lang w:val="fr-FR"/>
        </w:rPr>
        <w:t>s</w:t>
      </w:r>
      <w:r w:rsidR="00220660" w:rsidRPr="0096317D">
        <w:rPr>
          <w:lang w:val="fr-FR"/>
        </w:rPr>
        <w:t>’</w:t>
      </w:r>
      <w:r w:rsidR="008F3648" w:rsidRPr="0096317D">
        <w:rPr>
          <w:lang w:val="fr-FR"/>
        </w:rPr>
        <w:t xml:space="preserve">élevait à </w:t>
      </w:r>
      <w:r w:rsidR="0074780E" w:rsidRPr="0096317D">
        <w:rPr>
          <w:lang w:val="fr-FR"/>
        </w:rPr>
        <w:t>2,</w:t>
      </w:r>
      <w:r w:rsidR="008F3648" w:rsidRPr="0096317D">
        <w:rPr>
          <w:lang w:val="fr-FR"/>
        </w:rPr>
        <w:t>2</w:t>
      </w:r>
      <w:r w:rsidR="0074780E" w:rsidRPr="0096317D">
        <w:rPr>
          <w:lang w:val="fr-FR"/>
        </w:rPr>
        <w:t>%</w:t>
      </w:r>
      <w:r w:rsidR="008F3648" w:rsidRPr="0096317D">
        <w:rPr>
          <w:lang w:val="fr-FR"/>
        </w:rPr>
        <w:t>, soit 8,5 milliards de dollars singapourie</w:t>
      </w:r>
      <w:r w:rsidR="0096317D" w:rsidRPr="0096317D">
        <w:rPr>
          <w:lang w:val="fr-FR"/>
        </w:rPr>
        <w:t>ns.  Le</w:t>
      </w:r>
      <w:r w:rsidR="008F3648" w:rsidRPr="0096317D">
        <w:rPr>
          <w:lang w:val="fr-FR"/>
        </w:rPr>
        <w:t xml:space="preserve">s investissements engagés dans la </w:t>
      </w:r>
      <w:r w:rsidR="00A85E4C" w:rsidRPr="0096317D">
        <w:rPr>
          <w:lang w:val="fr-FR"/>
        </w:rPr>
        <w:t>R</w:t>
      </w:r>
      <w:r w:rsidR="00B776A6">
        <w:rPr>
          <w:lang w:val="fr-FR"/>
        </w:rPr>
        <w:noBreakHyphen/>
      </w:r>
      <w:r w:rsidR="00A85E4C" w:rsidRPr="0096317D">
        <w:rPr>
          <w:lang w:val="fr-FR"/>
        </w:rPr>
        <w:t xml:space="preserve">D </w:t>
      </w:r>
      <w:r w:rsidR="008F3648" w:rsidRPr="0096317D">
        <w:rPr>
          <w:lang w:val="fr-FR"/>
        </w:rPr>
        <w:t>ont entraîné la création d</w:t>
      </w:r>
      <w:r w:rsidR="00220660" w:rsidRPr="0096317D">
        <w:rPr>
          <w:lang w:val="fr-FR"/>
        </w:rPr>
        <w:t>’</w:t>
      </w:r>
      <w:r w:rsidR="008F3648" w:rsidRPr="0096317D">
        <w:rPr>
          <w:lang w:val="fr-FR"/>
        </w:rPr>
        <w:t xml:space="preserve">emplois à forte valeur ajoutée à Singapour, et en 2014, 42 100 emplois liés à la </w:t>
      </w:r>
      <w:r w:rsidR="00A85E4C" w:rsidRPr="0096317D">
        <w:rPr>
          <w:lang w:val="fr-FR"/>
        </w:rPr>
        <w:t>R</w:t>
      </w:r>
      <w:r w:rsidR="00B776A6">
        <w:rPr>
          <w:lang w:val="fr-FR"/>
        </w:rPr>
        <w:noBreakHyphen/>
      </w:r>
      <w:r w:rsidR="00A85E4C" w:rsidRPr="0096317D">
        <w:rPr>
          <w:lang w:val="fr-FR"/>
        </w:rPr>
        <w:t xml:space="preserve">D </w:t>
      </w:r>
      <w:r w:rsidR="008F3648" w:rsidRPr="0096317D">
        <w:rPr>
          <w:lang w:val="fr-FR"/>
        </w:rPr>
        <w:t>ont été créés à Singapour, parmi lesquels des postes de chercheur</w:t>
      </w:r>
      <w:r w:rsidR="00DA007A">
        <w:rPr>
          <w:lang w:val="fr-FR"/>
        </w:rPr>
        <w:t>s</w:t>
      </w:r>
      <w:r w:rsidR="008F3648" w:rsidRPr="0096317D">
        <w:rPr>
          <w:lang w:val="fr-FR"/>
        </w:rPr>
        <w:t>, d</w:t>
      </w:r>
      <w:r w:rsidR="00220660" w:rsidRPr="0096317D">
        <w:rPr>
          <w:lang w:val="fr-FR"/>
        </w:rPr>
        <w:t>’</w:t>
      </w:r>
      <w:r w:rsidR="008F3648" w:rsidRPr="0096317D">
        <w:rPr>
          <w:lang w:val="fr-FR"/>
        </w:rPr>
        <w:t>ingénieur</w:t>
      </w:r>
      <w:r w:rsidR="00DA007A">
        <w:rPr>
          <w:lang w:val="fr-FR"/>
        </w:rPr>
        <w:t>s</w:t>
      </w:r>
      <w:r w:rsidR="008F3648" w:rsidRPr="0096317D">
        <w:rPr>
          <w:lang w:val="fr-FR"/>
        </w:rPr>
        <w:t>, de chercheur</w:t>
      </w:r>
      <w:r w:rsidR="00DA007A">
        <w:rPr>
          <w:lang w:val="fr-FR"/>
        </w:rPr>
        <w:t>s</w:t>
      </w:r>
      <w:r w:rsidR="008F3648" w:rsidRPr="0096317D">
        <w:rPr>
          <w:lang w:val="fr-FR"/>
        </w:rPr>
        <w:t xml:space="preserve"> non diplômé</w:t>
      </w:r>
      <w:r w:rsidR="00DA007A">
        <w:rPr>
          <w:lang w:val="fr-FR"/>
        </w:rPr>
        <w:t>s</w:t>
      </w:r>
      <w:r w:rsidR="008F3648" w:rsidRPr="0096317D">
        <w:rPr>
          <w:lang w:val="fr-FR"/>
        </w:rPr>
        <w:t>, de technicien</w:t>
      </w:r>
      <w:r w:rsidR="00DA007A">
        <w:rPr>
          <w:lang w:val="fr-FR"/>
        </w:rPr>
        <w:t>s</w:t>
      </w:r>
      <w:r w:rsidR="008F3648" w:rsidRPr="0096317D">
        <w:rPr>
          <w:lang w:val="fr-FR"/>
        </w:rPr>
        <w:t xml:space="preserve"> et </w:t>
      </w:r>
      <w:r w:rsidR="00A85E4C" w:rsidRPr="0096317D">
        <w:rPr>
          <w:lang w:val="fr-FR"/>
        </w:rPr>
        <w:t xml:space="preserve">de </w:t>
      </w:r>
      <w:r w:rsidR="00DA007A">
        <w:rPr>
          <w:lang w:val="fr-FR"/>
        </w:rPr>
        <w:t>personnel d’appui</w:t>
      </w:r>
      <w:r w:rsidR="0096317D" w:rsidRPr="0096317D">
        <w:rPr>
          <w:lang w:val="fr-FR"/>
        </w:rPr>
        <w:t>.  En</w:t>
      </w:r>
      <w:r w:rsidR="00C82A5F" w:rsidRPr="0096317D">
        <w:rPr>
          <w:lang w:val="fr-FR"/>
        </w:rPr>
        <w:t xml:space="preserve"> ce qui concerne</w:t>
      </w:r>
      <w:r w:rsidR="00A85E4C" w:rsidRPr="0096317D">
        <w:rPr>
          <w:lang w:val="fr-FR"/>
        </w:rPr>
        <w:t xml:space="preserve"> 2016, Singapour a </w:t>
      </w:r>
      <w:r w:rsidR="001C1D90" w:rsidRPr="0096317D">
        <w:rPr>
          <w:lang w:val="fr-FR"/>
        </w:rPr>
        <w:t>dévoilé</w:t>
      </w:r>
      <w:r w:rsidR="00A85E4C" w:rsidRPr="0096317D">
        <w:rPr>
          <w:lang w:val="fr-FR"/>
        </w:rPr>
        <w:t xml:space="preserve"> le plan quinquennal RIE 2020 (Research, Innovation and Enterprise), destiné à injecter 19 milliards de dollars singapouriens en vue de soutenir les efforts déploy</w:t>
      </w:r>
      <w:r w:rsidR="00C82A5F" w:rsidRPr="0096317D">
        <w:rPr>
          <w:lang w:val="fr-FR"/>
        </w:rPr>
        <w:t>é</w:t>
      </w:r>
      <w:r w:rsidR="00A85E4C" w:rsidRPr="0096317D">
        <w:rPr>
          <w:lang w:val="fr-FR"/>
        </w:rPr>
        <w:t>s dans le domaine de la R</w:t>
      </w:r>
      <w:r w:rsidR="00B776A6">
        <w:rPr>
          <w:lang w:val="fr-FR"/>
        </w:rPr>
        <w:noBreakHyphen/>
      </w:r>
      <w:r w:rsidR="00A85E4C" w:rsidRPr="0096317D">
        <w:rPr>
          <w:lang w:val="fr-FR"/>
        </w:rPr>
        <w:t>D</w:t>
      </w:r>
      <w:r w:rsidR="001C1D90" w:rsidRPr="0096317D">
        <w:rPr>
          <w:lang w:val="fr-FR"/>
        </w:rPr>
        <w:t>, soit 3 milliards de dollars singapouriens de plus que le plan RIE 2015 qui avait été présenté en 2011</w:t>
      </w:r>
      <w:r w:rsidR="00A85E4C" w:rsidRPr="0096317D">
        <w:rPr>
          <w:lang w:val="fr-FR"/>
        </w:rPr>
        <w:t xml:space="preserve">. </w:t>
      </w:r>
      <w:r w:rsidR="00D8335B" w:rsidRPr="0096317D">
        <w:rPr>
          <w:lang w:val="fr-FR"/>
        </w:rPr>
        <w:t xml:space="preserve"> </w:t>
      </w:r>
      <w:r w:rsidR="00A85E4C" w:rsidRPr="0096317D">
        <w:rPr>
          <w:lang w:val="fr-FR"/>
        </w:rPr>
        <w:t xml:space="preserve">Le plan RIE 2020 </w:t>
      </w:r>
      <w:r w:rsidR="001C1D90" w:rsidRPr="0096317D">
        <w:rPr>
          <w:lang w:val="fr-FR"/>
        </w:rPr>
        <w:t>vise à promouvoir la reconnaissance de l</w:t>
      </w:r>
      <w:r w:rsidR="00220660" w:rsidRPr="0096317D">
        <w:rPr>
          <w:lang w:val="fr-FR"/>
        </w:rPr>
        <w:t>’</w:t>
      </w:r>
      <w:r w:rsidR="001C1D90" w:rsidRPr="0096317D">
        <w:rPr>
          <w:lang w:val="fr-FR"/>
        </w:rPr>
        <w:t xml:space="preserve">innovation et des technologies dans les entreprises, et à encourager la croissance économique </w:t>
      </w:r>
      <w:r w:rsidR="00C82A5F" w:rsidRPr="0096317D">
        <w:rPr>
          <w:lang w:val="fr-FR"/>
        </w:rPr>
        <w:t>en créant</w:t>
      </w:r>
      <w:r w:rsidR="001C1D90" w:rsidRPr="0096317D">
        <w:rPr>
          <w:lang w:val="fr-FR"/>
        </w:rPr>
        <w:t xml:space="preserve"> de la vale</w:t>
      </w:r>
      <w:r w:rsidR="0096317D" w:rsidRPr="0096317D">
        <w:rPr>
          <w:lang w:val="fr-FR"/>
        </w:rPr>
        <w:t>ur.  Si</w:t>
      </w:r>
      <w:r w:rsidR="00C82A5F" w:rsidRPr="0096317D">
        <w:rPr>
          <w:lang w:val="fr-FR"/>
        </w:rPr>
        <w:t>ngapour est bien placée pour soutenir l</w:t>
      </w:r>
      <w:r w:rsidR="00220660" w:rsidRPr="0096317D">
        <w:rPr>
          <w:lang w:val="fr-FR"/>
        </w:rPr>
        <w:t>’</w:t>
      </w:r>
      <w:r w:rsidR="00C82A5F" w:rsidRPr="0096317D">
        <w:rPr>
          <w:lang w:val="fr-FR"/>
        </w:rPr>
        <w:t>écosystème de propriété intellectuelle de l</w:t>
      </w:r>
      <w:r w:rsidR="00220660" w:rsidRPr="0096317D">
        <w:rPr>
          <w:lang w:val="fr-FR"/>
        </w:rPr>
        <w:t>’</w:t>
      </w:r>
      <w:r w:rsidR="00C82A5F" w:rsidRPr="0096317D">
        <w:rPr>
          <w:lang w:val="fr-FR"/>
        </w:rPr>
        <w:t>IPOS, compte tenu de</w:t>
      </w:r>
      <w:r w:rsidR="001C1D90" w:rsidRPr="0096317D">
        <w:rPr>
          <w:lang w:val="fr-FR"/>
        </w:rPr>
        <w:t xml:space="preserve"> l</w:t>
      </w:r>
      <w:r w:rsidR="00220660" w:rsidRPr="0096317D">
        <w:rPr>
          <w:lang w:val="fr-FR"/>
        </w:rPr>
        <w:t>’</w:t>
      </w:r>
      <w:r w:rsidR="001C1D90" w:rsidRPr="0096317D">
        <w:rPr>
          <w:lang w:val="fr-FR"/>
        </w:rPr>
        <w:t xml:space="preserve">attention toute particulière </w:t>
      </w:r>
      <w:r w:rsidR="00C82A5F" w:rsidRPr="0096317D">
        <w:rPr>
          <w:lang w:val="fr-FR"/>
        </w:rPr>
        <w:t>que l</w:t>
      </w:r>
      <w:r w:rsidR="00220660" w:rsidRPr="0096317D">
        <w:rPr>
          <w:lang w:val="fr-FR"/>
        </w:rPr>
        <w:t>’</w:t>
      </w:r>
      <w:r w:rsidR="00C82A5F" w:rsidRPr="0096317D">
        <w:rPr>
          <w:lang w:val="fr-FR"/>
        </w:rPr>
        <w:t xml:space="preserve">IPOS </w:t>
      </w:r>
      <w:r w:rsidR="001C1D90" w:rsidRPr="0096317D">
        <w:rPr>
          <w:lang w:val="fr-FR"/>
        </w:rPr>
        <w:t>accord</w:t>
      </w:r>
      <w:r w:rsidR="00C82A5F" w:rsidRPr="0096317D">
        <w:rPr>
          <w:lang w:val="fr-FR"/>
        </w:rPr>
        <w:t>e</w:t>
      </w:r>
      <w:r w:rsidR="001C1D90" w:rsidRPr="0096317D">
        <w:rPr>
          <w:lang w:val="fr-FR"/>
        </w:rPr>
        <w:t xml:space="preserve"> à la R</w:t>
      </w:r>
      <w:r w:rsidR="00B776A6">
        <w:rPr>
          <w:lang w:val="fr-FR"/>
        </w:rPr>
        <w:noBreakHyphen/>
      </w:r>
      <w:r w:rsidR="001C1D90" w:rsidRPr="0096317D">
        <w:rPr>
          <w:lang w:val="fr-FR"/>
        </w:rPr>
        <w:t>D.</w:t>
      </w:r>
    </w:p>
    <w:p w14:paraId="37F482E8" w14:textId="1209E7E9" w:rsidR="0018170C" w:rsidRPr="0096317D" w:rsidRDefault="001C1D90" w:rsidP="00320FDF">
      <w:pPr>
        <w:pStyle w:val="ONUME"/>
        <w:numPr>
          <w:ilvl w:val="0"/>
          <w:numId w:val="0"/>
        </w:numPr>
        <w:rPr>
          <w:lang w:val="fr-FR"/>
        </w:rPr>
      </w:pPr>
      <w:r w:rsidRPr="0096317D">
        <w:rPr>
          <w:lang w:val="fr-FR"/>
        </w:rPr>
        <w:t xml:space="preserve">Le </w:t>
      </w:r>
      <w:r w:rsidR="00D8335B" w:rsidRPr="0096317D">
        <w:rPr>
          <w:lang w:val="fr-FR"/>
        </w:rPr>
        <w:t>Gouvernement</w:t>
      </w:r>
      <w:r w:rsidRPr="0096317D">
        <w:rPr>
          <w:lang w:val="fr-FR"/>
        </w:rPr>
        <w:t xml:space="preserve"> de Singapour a récemment publié le rapport du Comité sur l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>économie du futur, qui met en évidence plusieurs recommandations en faveur de la normalisation du protocole IP, qui permettrait de rationaliser le processus de commercialisation dans le cadre de la R</w:t>
      </w:r>
      <w:r w:rsidR="00B776A6">
        <w:rPr>
          <w:lang w:val="fr-FR"/>
        </w:rPr>
        <w:noBreakHyphen/>
      </w:r>
      <w:r w:rsidRPr="0096317D">
        <w:rPr>
          <w:lang w:val="fr-FR"/>
        </w:rPr>
        <w:t>D.</w:t>
      </w:r>
      <w:r w:rsidR="00D8335B" w:rsidRPr="0096317D">
        <w:rPr>
          <w:lang w:val="fr-FR"/>
        </w:rPr>
        <w:t xml:space="preserve"> </w:t>
      </w:r>
      <w:r w:rsidRPr="0096317D">
        <w:rPr>
          <w:lang w:val="fr-FR"/>
        </w:rPr>
        <w:t xml:space="preserve"> Ce rapport montre les efforts déployés par Singapour en vue d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 xml:space="preserve">une plus grande reconnaissance de la </w:t>
      </w:r>
      <w:r w:rsidR="00DA007A">
        <w:rPr>
          <w:lang w:val="fr-FR"/>
        </w:rPr>
        <w:t>propriété intellectuelle</w:t>
      </w:r>
      <w:r w:rsidRPr="0096317D">
        <w:rPr>
          <w:lang w:val="fr-FR"/>
        </w:rPr>
        <w:t xml:space="preserve"> et </w:t>
      </w:r>
      <w:r w:rsidR="006B6544" w:rsidRPr="0096317D">
        <w:rPr>
          <w:lang w:val="fr-FR"/>
        </w:rPr>
        <w:t>de son</w:t>
      </w:r>
      <w:r w:rsidRPr="0096317D">
        <w:rPr>
          <w:lang w:val="fr-FR"/>
        </w:rPr>
        <w:t xml:space="preserve"> rôle crucial </w:t>
      </w:r>
      <w:r w:rsidR="006B6544" w:rsidRPr="0096317D">
        <w:rPr>
          <w:lang w:val="fr-FR"/>
        </w:rPr>
        <w:t>pour</w:t>
      </w:r>
      <w:r w:rsidRPr="0096317D">
        <w:rPr>
          <w:lang w:val="fr-FR"/>
        </w:rPr>
        <w:t xml:space="preserve"> </w:t>
      </w:r>
      <w:r w:rsidR="006B6544" w:rsidRPr="0096317D">
        <w:rPr>
          <w:lang w:val="fr-FR"/>
        </w:rPr>
        <w:t>la promotion de l</w:t>
      </w:r>
      <w:r w:rsidR="00220660" w:rsidRPr="0096317D">
        <w:rPr>
          <w:lang w:val="fr-FR"/>
        </w:rPr>
        <w:t>’</w:t>
      </w:r>
      <w:r w:rsidR="006B6544" w:rsidRPr="0096317D">
        <w:rPr>
          <w:lang w:val="fr-FR"/>
        </w:rPr>
        <w:t xml:space="preserve">innovation, qui constitue le moteur de croissance </w:t>
      </w:r>
      <w:r w:rsidR="00E612F2" w:rsidRPr="0096317D">
        <w:rPr>
          <w:lang w:val="fr-FR"/>
        </w:rPr>
        <w:t xml:space="preserve">à venir </w:t>
      </w:r>
      <w:r w:rsidR="006B6544" w:rsidRPr="0096317D">
        <w:rPr>
          <w:lang w:val="fr-FR"/>
        </w:rPr>
        <w:t>de Singapo</w:t>
      </w:r>
      <w:r w:rsidR="0096317D" w:rsidRPr="0096317D">
        <w:rPr>
          <w:lang w:val="fr-FR"/>
        </w:rPr>
        <w:t>ur.  Da</w:t>
      </w:r>
      <w:r w:rsidR="006B6544" w:rsidRPr="0096317D">
        <w:rPr>
          <w:lang w:val="fr-FR"/>
        </w:rPr>
        <w:t>ns sa déclaration concernant le budget pour l</w:t>
      </w:r>
      <w:r w:rsidR="00220660" w:rsidRPr="0096317D">
        <w:rPr>
          <w:lang w:val="fr-FR"/>
        </w:rPr>
        <w:t>’</w:t>
      </w:r>
      <w:r w:rsidR="006B6544" w:rsidRPr="0096317D">
        <w:rPr>
          <w:lang w:val="fr-FR"/>
        </w:rPr>
        <w:t xml:space="preserve">année fiscale 2017, le </w:t>
      </w:r>
      <w:r w:rsidR="00D8335B" w:rsidRPr="0096317D">
        <w:rPr>
          <w:lang w:val="fr-FR"/>
        </w:rPr>
        <w:t>Gouvernement</w:t>
      </w:r>
      <w:r w:rsidR="006B6544" w:rsidRPr="0096317D">
        <w:rPr>
          <w:lang w:val="fr-FR"/>
        </w:rPr>
        <w:t xml:space="preserve"> de</w:t>
      </w:r>
      <w:r w:rsidR="00DA007A">
        <w:rPr>
          <w:lang w:val="fr-FR"/>
        </w:rPr>
        <w:t xml:space="preserve"> Singapour a en outre souligné l</w:t>
      </w:r>
      <w:r w:rsidR="006B6544" w:rsidRPr="0096317D">
        <w:rPr>
          <w:lang w:val="fr-FR"/>
        </w:rPr>
        <w:t>es mesures prises pour améliorer l</w:t>
      </w:r>
      <w:r w:rsidR="00220660" w:rsidRPr="0096317D">
        <w:rPr>
          <w:lang w:val="fr-FR"/>
        </w:rPr>
        <w:t>’</w:t>
      </w:r>
      <w:r w:rsidR="006B6544" w:rsidRPr="0096317D">
        <w:rPr>
          <w:lang w:val="fr-FR"/>
        </w:rPr>
        <w:t xml:space="preserve">accès à la </w:t>
      </w:r>
      <w:r w:rsidR="00DA007A">
        <w:rPr>
          <w:lang w:val="fr-FR"/>
        </w:rPr>
        <w:t>propriété intellectuelle</w:t>
      </w:r>
      <w:r w:rsidR="006B6544" w:rsidRPr="0096317D">
        <w:rPr>
          <w:lang w:val="fr-FR"/>
        </w:rPr>
        <w:t>, dans le cadre desquelles l</w:t>
      </w:r>
      <w:r w:rsidR="00220660" w:rsidRPr="0096317D">
        <w:rPr>
          <w:lang w:val="fr-FR"/>
        </w:rPr>
        <w:t>’</w:t>
      </w:r>
      <w:r w:rsidR="006B6544" w:rsidRPr="0096317D">
        <w:rPr>
          <w:lang w:val="fr-FR"/>
        </w:rPr>
        <w:t>IPOS et l</w:t>
      </w:r>
      <w:r w:rsidR="00220660" w:rsidRPr="0096317D">
        <w:rPr>
          <w:lang w:val="fr-FR"/>
        </w:rPr>
        <w:t>’</w:t>
      </w:r>
      <w:r w:rsidR="006B6544" w:rsidRPr="0096317D">
        <w:rPr>
          <w:lang w:val="fr-FR"/>
        </w:rPr>
        <w:t>intermédiaire sur la propriété intellectuelle collaboreront en vue d</w:t>
      </w:r>
      <w:r w:rsidR="00220660" w:rsidRPr="0096317D">
        <w:rPr>
          <w:lang w:val="fr-FR"/>
        </w:rPr>
        <w:t>’</w:t>
      </w:r>
      <w:r w:rsidR="006B6544" w:rsidRPr="0096317D">
        <w:rPr>
          <w:lang w:val="fr-FR"/>
        </w:rPr>
        <w:t>analyser et de regrouper les droits de propriété intellectuelle complémentaires de Singapour et de l</w:t>
      </w:r>
      <w:r w:rsidR="00220660" w:rsidRPr="0096317D">
        <w:rPr>
          <w:lang w:val="fr-FR"/>
        </w:rPr>
        <w:t>’</w:t>
      </w:r>
      <w:r w:rsidR="006B6544" w:rsidRPr="0096317D">
        <w:rPr>
          <w:lang w:val="fr-FR"/>
        </w:rPr>
        <w:t>étrang</w:t>
      </w:r>
      <w:r w:rsidR="0096317D" w:rsidRPr="0096317D">
        <w:rPr>
          <w:lang w:val="fr-FR"/>
        </w:rPr>
        <w:t>er.  Pa</w:t>
      </w:r>
      <w:r w:rsidR="004010D7" w:rsidRPr="0096317D">
        <w:rPr>
          <w:lang w:val="fr-FR"/>
        </w:rPr>
        <w:t>r ailleurs, d</w:t>
      </w:r>
      <w:r w:rsidR="006B6544" w:rsidRPr="0096317D">
        <w:rPr>
          <w:lang w:val="fr-FR"/>
        </w:rPr>
        <w:t xml:space="preserve">es incitations au développement de la </w:t>
      </w:r>
      <w:r w:rsidR="00DA007A">
        <w:rPr>
          <w:lang w:val="fr-FR"/>
        </w:rPr>
        <w:t xml:space="preserve">propriété intellectuelle </w:t>
      </w:r>
      <w:r w:rsidR="006B6544" w:rsidRPr="0096317D">
        <w:rPr>
          <w:lang w:val="fr-FR"/>
        </w:rPr>
        <w:t>mettant l</w:t>
      </w:r>
      <w:r w:rsidR="00220660" w:rsidRPr="0096317D">
        <w:rPr>
          <w:lang w:val="fr-FR"/>
        </w:rPr>
        <w:t>’</w:t>
      </w:r>
      <w:r w:rsidR="006B6544" w:rsidRPr="0096317D">
        <w:rPr>
          <w:lang w:val="fr-FR"/>
        </w:rPr>
        <w:t xml:space="preserve">accent sur </w:t>
      </w:r>
      <w:r w:rsidR="00DA007A">
        <w:rPr>
          <w:lang w:val="fr-FR"/>
        </w:rPr>
        <w:t>s</w:t>
      </w:r>
      <w:r w:rsidR="006B6544" w:rsidRPr="0096317D">
        <w:rPr>
          <w:lang w:val="fr-FR"/>
        </w:rPr>
        <w:t>a</w:t>
      </w:r>
      <w:r w:rsidR="004010D7" w:rsidRPr="0096317D">
        <w:rPr>
          <w:lang w:val="fr-FR"/>
        </w:rPr>
        <w:t xml:space="preserve"> commercialisation ont été introduites afin d</w:t>
      </w:r>
      <w:r w:rsidR="00220660" w:rsidRPr="0096317D">
        <w:rPr>
          <w:lang w:val="fr-FR"/>
        </w:rPr>
        <w:t>’</w:t>
      </w:r>
      <w:r w:rsidR="004010D7" w:rsidRPr="0096317D">
        <w:rPr>
          <w:lang w:val="fr-FR"/>
        </w:rPr>
        <w:t>encourager l</w:t>
      </w:r>
      <w:r w:rsidR="00220660" w:rsidRPr="0096317D">
        <w:rPr>
          <w:lang w:val="fr-FR"/>
        </w:rPr>
        <w:t>’</w:t>
      </w:r>
      <w:r w:rsidR="004010D7" w:rsidRPr="0096317D">
        <w:rPr>
          <w:lang w:val="fr-FR"/>
        </w:rPr>
        <w:t>innovati</w:t>
      </w:r>
      <w:r w:rsidR="0096317D" w:rsidRPr="0096317D">
        <w:rPr>
          <w:lang w:val="fr-FR"/>
        </w:rPr>
        <w:t>on.  Ce</w:t>
      </w:r>
      <w:r w:rsidR="004010D7" w:rsidRPr="0096317D">
        <w:rPr>
          <w:lang w:val="fr-FR"/>
        </w:rPr>
        <w:t>tte attention portée à l</w:t>
      </w:r>
      <w:r w:rsidR="00220660" w:rsidRPr="0096317D">
        <w:rPr>
          <w:lang w:val="fr-FR"/>
        </w:rPr>
        <w:t>’</w:t>
      </w:r>
      <w:r w:rsidR="004010D7" w:rsidRPr="0096317D">
        <w:rPr>
          <w:lang w:val="fr-FR"/>
        </w:rPr>
        <w:t>innovation sous</w:t>
      </w:r>
      <w:r w:rsidR="00B776A6">
        <w:rPr>
          <w:lang w:val="fr-FR"/>
        </w:rPr>
        <w:noBreakHyphen/>
      </w:r>
      <w:r w:rsidR="004010D7" w:rsidRPr="0096317D">
        <w:rPr>
          <w:lang w:val="fr-FR"/>
        </w:rPr>
        <w:t xml:space="preserve">tend </w:t>
      </w:r>
      <w:r w:rsidR="00E612F2" w:rsidRPr="0096317D">
        <w:rPr>
          <w:lang w:val="fr-FR"/>
        </w:rPr>
        <w:t>l</w:t>
      </w:r>
      <w:r w:rsidR="00220660" w:rsidRPr="0096317D">
        <w:rPr>
          <w:lang w:val="fr-FR"/>
        </w:rPr>
        <w:t>’</w:t>
      </w:r>
      <w:r w:rsidR="00E612F2" w:rsidRPr="0096317D">
        <w:rPr>
          <w:lang w:val="fr-FR"/>
        </w:rPr>
        <w:t>augmentation</w:t>
      </w:r>
      <w:r w:rsidR="004010D7" w:rsidRPr="0096317D">
        <w:rPr>
          <w:lang w:val="fr-FR"/>
        </w:rPr>
        <w:t xml:space="preserve"> continue des activités en matière de brevets, notamment des activités selon</w:t>
      </w:r>
      <w:r w:rsidR="00220660" w:rsidRPr="0096317D">
        <w:rPr>
          <w:lang w:val="fr-FR"/>
        </w:rPr>
        <w:t xml:space="preserve"> le PCT</w:t>
      </w:r>
      <w:r w:rsidR="004010D7" w:rsidRPr="0096317D">
        <w:rPr>
          <w:lang w:val="fr-FR"/>
        </w:rPr>
        <w:t xml:space="preserve">. </w:t>
      </w:r>
      <w:r w:rsidR="00D8335B" w:rsidRPr="0096317D">
        <w:rPr>
          <w:lang w:val="fr-FR"/>
        </w:rPr>
        <w:t xml:space="preserve"> </w:t>
      </w:r>
      <w:r w:rsidR="004010D7" w:rsidRPr="0096317D">
        <w:rPr>
          <w:lang w:val="fr-FR"/>
        </w:rPr>
        <w:t>S</w:t>
      </w:r>
      <w:r w:rsidR="00220660" w:rsidRPr="0096317D">
        <w:rPr>
          <w:lang w:val="fr-FR"/>
        </w:rPr>
        <w:t>’</w:t>
      </w:r>
      <w:r w:rsidR="004010D7" w:rsidRPr="0096317D">
        <w:rPr>
          <w:lang w:val="fr-FR"/>
        </w:rPr>
        <w:t>agissant de ces dernières, une grande part des demandes</w:t>
      </w:r>
      <w:r w:rsidR="0025028E" w:rsidRPr="0096317D">
        <w:rPr>
          <w:lang w:val="fr-FR"/>
        </w:rPr>
        <w:t xml:space="preserve"> traitées provenait d</w:t>
      </w:r>
      <w:r w:rsidR="00220660" w:rsidRPr="0096317D">
        <w:rPr>
          <w:lang w:val="fr-FR"/>
        </w:rPr>
        <w:t>’</w:t>
      </w:r>
      <w:r w:rsidR="0025028E" w:rsidRPr="0096317D">
        <w:rPr>
          <w:lang w:val="fr-FR"/>
        </w:rPr>
        <w:t>universités en 2015, tandis qu</w:t>
      </w:r>
      <w:r w:rsidR="00220660" w:rsidRPr="0096317D">
        <w:rPr>
          <w:lang w:val="fr-FR"/>
        </w:rPr>
        <w:t>’</w:t>
      </w:r>
      <w:r w:rsidR="0025028E" w:rsidRPr="0096317D">
        <w:rPr>
          <w:lang w:val="fr-FR"/>
        </w:rPr>
        <w:t>environ 30% provenai</w:t>
      </w:r>
      <w:r w:rsidR="0096317D">
        <w:rPr>
          <w:lang w:val="fr-FR"/>
        </w:rPr>
        <w:t>ent</w:t>
      </w:r>
      <w:r w:rsidR="0025028E" w:rsidRPr="0096317D">
        <w:rPr>
          <w:lang w:val="fr-FR"/>
        </w:rPr>
        <w:t xml:space="preserve"> d</w:t>
      </w:r>
      <w:r w:rsidR="00220660" w:rsidRPr="0096317D">
        <w:rPr>
          <w:lang w:val="fr-FR"/>
        </w:rPr>
        <w:t>’</w:t>
      </w:r>
      <w:r w:rsidR="0025028E" w:rsidRPr="0096317D">
        <w:rPr>
          <w:lang w:val="fr-FR"/>
        </w:rPr>
        <w:t xml:space="preserve">institutions gouvernementales et </w:t>
      </w:r>
      <w:r w:rsidR="00DA007A">
        <w:rPr>
          <w:lang w:val="fr-FR"/>
        </w:rPr>
        <w:t>d’organisme</w:t>
      </w:r>
      <w:r w:rsidR="00B776A6">
        <w:rPr>
          <w:lang w:val="fr-FR"/>
        </w:rPr>
        <w:t>s</w:t>
      </w:r>
      <w:r w:rsidR="00DA007A">
        <w:rPr>
          <w:lang w:val="fr-FR"/>
        </w:rPr>
        <w:t xml:space="preserve"> </w:t>
      </w:r>
      <w:r w:rsidR="0025028E" w:rsidRPr="0096317D">
        <w:rPr>
          <w:lang w:val="fr-FR"/>
        </w:rPr>
        <w:t>de recherche.</w:t>
      </w:r>
    </w:p>
    <w:p w14:paraId="3A4EC1F1" w14:textId="6C42A1AB" w:rsidR="0018170C" w:rsidRPr="0096317D" w:rsidRDefault="0025028E" w:rsidP="00320FDF">
      <w:pPr>
        <w:pStyle w:val="ONUME"/>
        <w:numPr>
          <w:ilvl w:val="0"/>
          <w:numId w:val="0"/>
        </w:numPr>
        <w:rPr>
          <w:lang w:val="fr-FR"/>
        </w:rPr>
      </w:pPr>
      <w:r w:rsidRPr="0096317D">
        <w:rPr>
          <w:lang w:val="fr-FR"/>
        </w:rPr>
        <w:t>Singapour est un État contractant</w:t>
      </w:r>
      <w:r w:rsidR="00220660" w:rsidRPr="0096317D">
        <w:rPr>
          <w:lang w:val="fr-FR"/>
        </w:rPr>
        <w:t xml:space="preserve"> du PCT</w:t>
      </w:r>
      <w:r w:rsidRPr="0096317D">
        <w:rPr>
          <w:lang w:val="fr-FR"/>
        </w:rPr>
        <w:t xml:space="preserve"> depuis 1995, l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>IPOS agissant en tant qu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>office récepteur</w:t>
      </w:r>
      <w:r w:rsidR="00220660" w:rsidRPr="0096317D">
        <w:rPr>
          <w:lang w:val="fr-FR"/>
        </w:rPr>
        <w:t xml:space="preserve"> du PCT</w:t>
      </w:r>
      <w:r w:rsidRPr="0096317D">
        <w:rPr>
          <w:lang w:val="fr-FR"/>
        </w:rPr>
        <w:t xml:space="preserve"> à Singapour. </w:t>
      </w:r>
      <w:r w:rsidR="00D8335B" w:rsidRPr="0096317D">
        <w:rPr>
          <w:lang w:val="fr-FR"/>
        </w:rPr>
        <w:t xml:space="preserve"> </w:t>
      </w:r>
      <w:r w:rsidRPr="0096317D">
        <w:rPr>
          <w:lang w:val="fr-FR"/>
        </w:rPr>
        <w:t>L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 xml:space="preserve">IPOS </w:t>
      </w:r>
      <w:r w:rsidR="00E612F2" w:rsidRPr="0096317D">
        <w:rPr>
          <w:lang w:val="fr-FR"/>
        </w:rPr>
        <w:t>a une bonne connaissance</w:t>
      </w:r>
      <w:r w:rsidRPr="0096317D">
        <w:rPr>
          <w:lang w:val="fr-FR"/>
        </w:rPr>
        <w:t xml:space="preserve"> des opérations</w:t>
      </w:r>
      <w:r w:rsidR="00220660" w:rsidRPr="0096317D">
        <w:rPr>
          <w:lang w:val="fr-FR"/>
        </w:rPr>
        <w:t xml:space="preserve"> du PCT</w:t>
      </w:r>
      <w:r w:rsidRPr="0096317D">
        <w:rPr>
          <w:lang w:val="fr-FR"/>
        </w:rPr>
        <w:t xml:space="preserve"> étant donné qu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>il traite un volume important de demandes selon</w:t>
      </w:r>
      <w:r w:rsidR="00220660" w:rsidRPr="0096317D">
        <w:rPr>
          <w:lang w:val="fr-FR"/>
        </w:rPr>
        <w:t xml:space="preserve"> le </w:t>
      </w:r>
      <w:r w:rsidR="0096317D" w:rsidRPr="0096317D">
        <w:rPr>
          <w:lang w:val="fr-FR"/>
        </w:rPr>
        <w:t>PCT.  Se</w:t>
      </w:r>
      <w:r w:rsidRPr="0096317D">
        <w:rPr>
          <w:lang w:val="fr-FR"/>
        </w:rPr>
        <w:t>lon les dernières statistiques en date de l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 xml:space="preserve">OMPI, Singapour se classait au douzième rang (en 2014) pour le nombre </w:t>
      </w:r>
      <w:r w:rsidR="00DA007A">
        <w:rPr>
          <w:lang w:val="fr-FR"/>
        </w:rPr>
        <w:t xml:space="preserve">d’ouvertures de </w:t>
      </w:r>
      <w:r w:rsidRPr="0096317D">
        <w:rPr>
          <w:lang w:val="fr-FR"/>
        </w:rPr>
        <w:t>la phase nationale</w:t>
      </w:r>
      <w:r w:rsidR="00220660" w:rsidRPr="0096317D">
        <w:rPr>
          <w:lang w:val="fr-FR"/>
        </w:rPr>
        <w:t xml:space="preserve"> du PCT</w:t>
      </w:r>
      <w:r w:rsidRPr="0096317D">
        <w:rPr>
          <w:lang w:val="fr-FR"/>
        </w:rPr>
        <w:t>, et parmi les vingt premiers (en 2015) pour le nombre de demandes selon</w:t>
      </w:r>
      <w:r w:rsidR="00220660" w:rsidRPr="0096317D">
        <w:rPr>
          <w:lang w:val="fr-FR"/>
        </w:rPr>
        <w:t xml:space="preserve"> le PCT</w:t>
      </w:r>
      <w:r w:rsidRPr="0096317D">
        <w:rPr>
          <w:lang w:val="fr-FR"/>
        </w:rPr>
        <w:t xml:space="preserve"> instruites en tant qu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>office récepte</w:t>
      </w:r>
      <w:r w:rsidR="0096317D" w:rsidRPr="0096317D">
        <w:rPr>
          <w:lang w:val="fr-FR"/>
        </w:rPr>
        <w:t>ur.  En</w:t>
      </w:r>
      <w:r w:rsidRPr="0096317D">
        <w:rPr>
          <w:lang w:val="fr-FR"/>
        </w:rPr>
        <w:t xml:space="preserve"> outre, Singapour s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 xml:space="preserve">est classée parmi les </w:t>
      </w:r>
      <w:r w:rsidR="00D8335B" w:rsidRPr="0096317D">
        <w:rPr>
          <w:lang w:val="fr-FR"/>
        </w:rPr>
        <w:t>10 </w:t>
      </w:r>
      <w:r w:rsidRPr="0096317D">
        <w:rPr>
          <w:lang w:val="fr-FR"/>
        </w:rPr>
        <w:t>premiers offices récepteurs pour le respect des délais de transmission des demandes selon</w:t>
      </w:r>
      <w:r w:rsidR="00220660" w:rsidRPr="0096317D">
        <w:rPr>
          <w:lang w:val="fr-FR"/>
        </w:rPr>
        <w:t xml:space="preserve"> le PCT</w:t>
      </w:r>
      <w:r w:rsidRPr="0096317D">
        <w:rPr>
          <w:lang w:val="fr-FR"/>
        </w:rPr>
        <w:t xml:space="preserve"> au Bureau international et aux administrations chargées de la recherche internationa</w:t>
      </w:r>
      <w:r w:rsidR="0096317D" w:rsidRPr="0096317D">
        <w:rPr>
          <w:lang w:val="fr-FR"/>
        </w:rPr>
        <w:t>le.  De</w:t>
      </w:r>
      <w:r w:rsidRPr="0096317D">
        <w:rPr>
          <w:lang w:val="fr-FR"/>
        </w:rPr>
        <w:t xml:space="preserve">puis </w:t>
      </w:r>
      <w:r w:rsidR="00732AD3" w:rsidRPr="0096317D">
        <w:rPr>
          <w:lang w:val="fr-FR"/>
        </w:rPr>
        <w:t>qu</w:t>
      </w:r>
      <w:r w:rsidR="00220660" w:rsidRPr="0096317D">
        <w:rPr>
          <w:lang w:val="fr-FR"/>
        </w:rPr>
        <w:t>’</w:t>
      </w:r>
      <w:r w:rsidR="00732AD3" w:rsidRPr="0096317D">
        <w:rPr>
          <w:lang w:val="fr-FR"/>
        </w:rPr>
        <w:t>il</w:t>
      </w:r>
      <w:r w:rsidRPr="0096317D">
        <w:rPr>
          <w:lang w:val="fr-FR"/>
        </w:rPr>
        <w:t xml:space="preserve"> a </w:t>
      </w:r>
      <w:r w:rsidR="00E612F2" w:rsidRPr="0096317D">
        <w:rPr>
          <w:lang w:val="fr-FR"/>
        </w:rPr>
        <w:t>pris ses fonctions d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 xml:space="preserve">administration chargée de la recherche </w:t>
      </w:r>
      <w:r w:rsidR="007B4DAB" w:rsidRPr="0096317D">
        <w:rPr>
          <w:lang w:val="fr-FR"/>
        </w:rPr>
        <w:t xml:space="preserve">internationale </w:t>
      </w:r>
      <w:r w:rsidRPr="0096317D">
        <w:rPr>
          <w:lang w:val="fr-FR"/>
        </w:rPr>
        <w:t xml:space="preserve">et </w:t>
      </w:r>
      <w:r w:rsidR="00E612F2" w:rsidRPr="0096317D">
        <w:rPr>
          <w:lang w:val="fr-FR"/>
        </w:rPr>
        <w:t>d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>administration chargée de l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>examen préliminaire international, le</w:t>
      </w:r>
      <w:r w:rsidR="00220660" w:rsidRPr="0096317D">
        <w:rPr>
          <w:lang w:val="fr-FR"/>
        </w:rPr>
        <w:t xml:space="preserve"> 1</w:t>
      </w:r>
      <w:r w:rsidR="00220660" w:rsidRPr="0096317D">
        <w:rPr>
          <w:vertAlign w:val="superscript"/>
          <w:lang w:val="fr-FR"/>
        </w:rPr>
        <w:t>er</w:t>
      </w:r>
      <w:r w:rsidR="00220660" w:rsidRPr="0096317D">
        <w:rPr>
          <w:lang w:val="fr-FR"/>
        </w:rPr>
        <w:t> </w:t>
      </w:r>
      <w:r w:rsidRPr="0096317D">
        <w:rPr>
          <w:lang w:val="fr-FR"/>
        </w:rPr>
        <w:t>septembre 2015, l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>IPOS a délivré plus de 400 </w:t>
      </w:r>
      <w:r w:rsidR="007B4DAB" w:rsidRPr="0096317D">
        <w:rPr>
          <w:lang w:val="fr-FR"/>
        </w:rPr>
        <w:t xml:space="preserve">rapports </w:t>
      </w:r>
      <w:r w:rsidR="00DA007A">
        <w:rPr>
          <w:lang w:val="fr-FR"/>
        </w:rPr>
        <w:t>de</w:t>
      </w:r>
      <w:r w:rsidR="007B4DAB" w:rsidRPr="0096317D">
        <w:rPr>
          <w:lang w:val="fr-FR"/>
        </w:rPr>
        <w:t xml:space="preserve"> recherche internationa</w:t>
      </w:r>
      <w:r w:rsidR="0096317D" w:rsidRPr="0096317D">
        <w:rPr>
          <w:lang w:val="fr-FR"/>
        </w:rPr>
        <w:t>le.  D’a</w:t>
      </w:r>
      <w:r w:rsidR="007B4DAB" w:rsidRPr="0096317D">
        <w:rPr>
          <w:lang w:val="fr-FR"/>
        </w:rPr>
        <w:t>près ce qui ressort des dernières statistiques de l</w:t>
      </w:r>
      <w:r w:rsidR="00220660" w:rsidRPr="0096317D">
        <w:rPr>
          <w:lang w:val="fr-FR"/>
        </w:rPr>
        <w:t>’</w:t>
      </w:r>
      <w:r w:rsidR="007B4DAB" w:rsidRPr="0096317D">
        <w:rPr>
          <w:lang w:val="fr-FR"/>
        </w:rPr>
        <w:t>OMPI sur</w:t>
      </w:r>
      <w:r w:rsidR="00220660" w:rsidRPr="0096317D">
        <w:rPr>
          <w:lang w:val="fr-FR"/>
        </w:rPr>
        <w:t xml:space="preserve"> le PCT</w:t>
      </w:r>
      <w:r w:rsidR="007B4DAB" w:rsidRPr="0096317D">
        <w:rPr>
          <w:lang w:val="fr-FR"/>
        </w:rPr>
        <w:t>, Singapour s</w:t>
      </w:r>
      <w:r w:rsidR="00220660" w:rsidRPr="0096317D">
        <w:rPr>
          <w:lang w:val="fr-FR"/>
        </w:rPr>
        <w:t>’</w:t>
      </w:r>
      <w:r w:rsidR="007B4DAB" w:rsidRPr="0096317D">
        <w:rPr>
          <w:lang w:val="fr-FR"/>
        </w:rPr>
        <w:t xml:space="preserve">est classée au premier rang pour le respect des délais de transmission des rapports </w:t>
      </w:r>
      <w:r w:rsidR="00732AD3" w:rsidRPr="0096317D">
        <w:rPr>
          <w:lang w:val="fr-FR"/>
        </w:rPr>
        <w:t>de</w:t>
      </w:r>
      <w:r w:rsidR="007B4DAB" w:rsidRPr="0096317D">
        <w:rPr>
          <w:lang w:val="fr-FR"/>
        </w:rPr>
        <w:t xml:space="preserve"> recherche internationale au Bureau international</w:t>
      </w:r>
      <w:r w:rsidR="00732AD3" w:rsidRPr="0096317D">
        <w:rPr>
          <w:lang w:val="fr-FR"/>
        </w:rPr>
        <w:t xml:space="preserve"> en 2015</w:t>
      </w:r>
      <w:r w:rsidR="007B4DAB" w:rsidRPr="0096317D">
        <w:rPr>
          <w:lang w:val="fr-FR"/>
        </w:rPr>
        <w:t>, et devrait se classer parmi les trois</w:t>
      </w:r>
      <w:r w:rsidR="00D8335B" w:rsidRPr="0096317D">
        <w:rPr>
          <w:lang w:val="fr-FR"/>
        </w:rPr>
        <w:t> </w:t>
      </w:r>
      <w:r w:rsidR="007B4DAB" w:rsidRPr="0096317D">
        <w:rPr>
          <w:lang w:val="fr-FR"/>
        </w:rPr>
        <w:t>premiers</w:t>
      </w:r>
      <w:r w:rsidR="00732AD3" w:rsidRPr="0096317D">
        <w:rPr>
          <w:lang w:val="fr-FR"/>
        </w:rPr>
        <w:t xml:space="preserve"> en 2016</w:t>
      </w:r>
      <w:r w:rsidR="007B4DAB" w:rsidRPr="0096317D">
        <w:rPr>
          <w:lang w:val="fr-FR"/>
        </w:rPr>
        <w:t>.</w:t>
      </w:r>
      <w:r w:rsidR="00D8335B" w:rsidRPr="0096317D">
        <w:rPr>
          <w:lang w:val="fr-FR"/>
        </w:rPr>
        <w:t xml:space="preserve"> </w:t>
      </w:r>
      <w:r w:rsidR="007B4DAB" w:rsidRPr="0096317D">
        <w:rPr>
          <w:lang w:val="fr-FR"/>
        </w:rPr>
        <w:t xml:space="preserve"> Avec l</w:t>
      </w:r>
      <w:r w:rsidR="00220660" w:rsidRPr="0096317D">
        <w:rPr>
          <w:lang w:val="fr-FR"/>
        </w:rPr>
        <w:t>’</w:t>
      </w:r>
      <w:r w:rsidR="007B4DAB" w:rsidRPr="0096317D">
        <w:rPr>
          <w:lang w:val="fr-FR"/>
        </w:rPr>
        <w:t>accent mis sur le renforcement des capacités dans le domaine de la recherche et de l</w:t>
      </w:r>
      <w:r w:rsidR="00220660" w:rsidRPr="0096317D">
        <w:rPr>
          <w:lang w:val="fr-FR"/>
        </w:rPr>
        <w:t>’</w:t>
      </w:r>
      <w:r w:rsidR="007B4DAB" w:rsidRPr="0096317D">
        <w:rPr>
          <w:lang w:val="fr-FR"/>
        </w:rPr>
        <w:t>examen en matière de brevets, l</w:t>
      </w:r>
      <w:r w:rsidR="00220660" w:rsidRPr="0096317D">
        <w:rPr>
          <w:lang w:val="fr-FR"/>
        </w:rPr>
        <w:t>’</w:t>
      </w:r>
      <w:r w:rsidR="007B4DAB" w:rsidRPr="0096317D">
        <w:rPr>
          <w:lang w:val="fr-FR"/>
        </w:rPr>
        <w:t>IPOS ne doute pas qu</w:t>
      </w:r>
      <w:r w:rsidR="00220660" w:rsidRPr="0096317D">
        <w:rPr>
          <w:lang w:val="fr-FR"/>
        </w:rPr>
        <w:t>’</w:t>
      </w:r>
      <w:r w:rsidR="007B4DAB" w:rsidRPr="0096317D">
        <w:rPr>
          <w:lang w:val="fr-FR"/>
        </w:rPr>
        <w:t>il a les moyens de continuer à jouer un rôle actif dans le système</w:t>
      </w:r>
      <w:r w:rsidR="00220660" w:rsidRPr="0096317D">
        <w:rPr>
          <w:lang w:val="fr-FR"/>
        </w:rPr>
        <w:t xml:space="preserve"> du PCT</w:t>
      </w:r>
      <w:r w:rsidR="007B4DAB" w:rsidRPr="0096317D">
        <w:rPr>
          <w:lang w:val="fr-FR"/>
        </w:rPr>
        <w:t xml:space="preserve"> en assumant les fonctions d</w:t>
      </w:r>
      <w:r w:rsidR="00220660" w:rsidRPr="0096317D">
        <w:rPr>
          <w:lang w:val="fr-FR"/>
        </w:rPr>
        <w:t>’</w:t>
      </w:r>
      <w:r w:rsidR="007B4DAB" w:rsidRPr="0096317D">
        <w:rPr>
          <w:lang w:val="fr-FR"/>
        </w:rPr>
        <w:t>administration chargée de la recherche internationale et d</w:t>
      </w:r>
      <w:r w:rsidR="00220660" w:rsidRPr="0096317D">
        <w:rPr>
          <w:lang w:val="fr-FR"/>
        </w:rPr>
        <w:t>’</w:t>
      </w:r>
      <w:r w:rsidR="007B4DAB" w:rsidRPr="0096317D">
        <w:rPr>
          <w:lang w:val="fr-FR"/>
        </w:rPr>
        <w:t>administration chargée de l</w:t>
      </w:r>
      <w:r w:rsidR="00220660" w:rsidRPr="0096317D">
        <w:rPr>
          <w:lang w:val="fr-FR"/>
        </w:rPr>
        <w:t>’</w:t>
      </w:r>
      <w:r w:rsidR="007B4DAB" w:rsidRPr="0096317D">
        <w:rPr>
          <w:lang w:val="fr-FR"/>
        </w:rPr>
        <w:t>examen préliminaire international.</w:t>
      </w:r>
    </w:p>
    <w:p w14:paraId="7A731536" w14:textId="42A4A92B" w:rsidR="0018170C" w:rsidRPr="0096317D" w:rsidRDefault="007B4DAB" w:rsidP="00320FDF">
      <w:pPr>
        <w:pStyle w:val="ONUME"/>
        <w:numPr>
          <w:ilvl w:val="0"/>
          <w:numId w:val="0"/>
        </w:numPr>
        <w:rPr>
          <w:lang w:val="fr-FR"/>
        </w:rPr>
      </w:pPr>
      <w:r w:rsidRPr="0096317D">
        <w:rPr>
          <w:lang w:val="fr-FR"/>
        </w:rPr>
        <w:t>Outre sa connaissance du système</w:t>
      </w:r>
      <w:r w:rsidR="00220660" w:rsidRPr="0096317D">
        <w:rPr>
          <w:lang w:val="fr-FR"/>
        </w:rPr>
        <w:t xml:space="preserve"> du PCT</w:t>
      </w:r>
      <w:r w:rsidRPr="0096317D">
        <w:rPr>
          <w:lang w:val="fr-FR"/>
        </w:rPr>
        <w:t>, l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>IPOS agissant en qualité d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>administration chargée de la recherche internationale et d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>administration chargée de l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>examen préliminaire international contribuera à répondre à la forte augmentation de la demande de travaux de recherche et d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>examen selon</w:t>
      </w:r>
      <w:r w:rsidR="00220660" w:rsidRPr="0096317D">
        <w:rPr>
          <w:lang w:val="fr-FR"/>
        </w:rPr>
        <w:t xml:space="preserve"> le PCT</w:t>
      </w:r>
      <w:r w:rsidRPr="0096317D">
        <w:rPr>
          <w:lang w:val="fr-FR"/>
        </w:rPr>
        <w:t>, en particulier en Asie du Sud</w:t>
      </w:r>
      <w:r w:rsidR="00B776A6">
        <w:rPr>
          <w:lang w:val="fr-FR"/>
        </w:rPr>
        <w:noBreakHyphen/>
      </w:r>
      <w:r w:rsidRPr="0096317D">
        <w:rPr>
          <w:lang w:val="fr-FR"/>
        </w:rPr>
        <w:t>E</w:t>
      </w:r>
      <w:r w:rsidR="0096317D" w:rsidRPr="0096317D">
        <w:rPr>
          <w:lang w:val="fr-FR"/>
        </w:rPr>
        <w:t>st.  Le</w:t>
      </w:r>
      <w:r w:rsidR="00184A94" w:rsidRPr="0096317D">
        <w:rPr>
          <w:lang w:val="fr-FR"/>
        </w:rPr>
        <w:t xml:space="preserve">s </w:t>
      </w:r>
      <w:r w:rsidRPr="0096317D">
        <w:rPr>
          <w:lang w:val="fr-FR"/>
        </w:rPr>
        <w:t>demandes selon</w:t>
      </w:r>
      <w:r w:rsidR="00220660" w:rsidRPr="0096317D">
        <w:rPr>
          <w:lang w:val="fr-FR"/>
        </w:rPr>
        <w:t xml:space="preserve"> le PCT</w:t>
      </w:r>
      <w:r w:rsidRPr="0096317D">
        <w:rPr>
          <w:lang w:val="fr-FR"/>
        </w:rPr>
        <w:t xml:space="preserve"> augmente</w:t>
      </w:r>
      <w:r w:rsidR="00184A94" w:rsidRPr="0096317D">
        <w:rPr>
          <w:lang w:val="fr-FR"/>
        </w:rPr>
        <w:t>nt</w:t>
      </w:r>
      <w:r w:rsidRPr="0096317D">
        <w:rPr>
          <w:lang w:val="fr-FR"/>
        </w:rPr>
        <w:t xml:space="preserve"> depuis cinq</w:t>
      </w:r>
      <w:r w:rsidR="00D8335B" w:rsidRPr="0096317D">
        <w:rPr>
          <w:lang w:val="fr-FR"/>
        </w:rPr>
        <w:t> </w:t>
      </w:r>
      <w:r w:rsidRPr="0096317D">
        <w:rPr>
          <w:lang w:val="fr-FR"/>
        </w:rPr>
        <w:t xml:space="preserve">années consécutives et </w:t>
      </w:r>
      <w:r w:rsidR="00184A94" w:rsidRPr="0096317D">
        <w:rPr>
          <w:lang w:val="fr-FR"/>
        </w:rPr>
        <w:t>ont</w:t>
      </w:r>
      <w:r w:rsidRPr="0096317D">
        <w:rPr>
          <w:lang w:val="fr-FR"/>
        </w:rPr>
        <w:t xml:space="preserve"> atteint un </w:t>
      </w:r>
      <w:r w:rsidR="00732AD3" w:rsidRPr="0096317D">
        <w:rPr>
          <w:lang w:val="fr-FR"/>
        </w:rPr>
        <w:t>nombre</w:t>
      </w:r>
      <w:r w:rsidRPr="0096317D">
        <w:rPr>
          <w:lang w:val="fr-FR"/>
        </w:rPr>
        <w:t xml:space="preserve"> record </w:t>
      </w:r>
      <w:r w:rsidR="00184A94" w:rsidRPr="0096317D">
        <w:rPr>
          <w:lang w:val="fr-FR"/>
        </w:rPr>
        <w:t>de 2</w:t>
      </w:r>
      <w:r w:rsidR="00AF6CF7">
        <w:rPr>
          <w:lang w:val="fr-FR"/>
        </w:rPr>
        <w:t>18</w:t>
      </w:r>
      <w:r w:rsidR="00184A94" w:rsidRPr="0096317D">
        <w:rPr>
          <w:lang w:val="fr-FR"/>
        </w:rPr>
        <w:t> 000 en 2015.</w:t>
      </w:r>
      <w:r w:rsidR="00D8335B" w:rsidRPr="0096317D">
        <w:rPr>
          <w:lang w:val="fr-FR"/>
        </w:rPr>
        <w:t xml:space="preserve"> </w:t>
      </w:r>
      <w:r w:rsidR="00184A94" w:rsidRPr="0096317D">
        <w:rPr>
          <w:lang w:val="fr-FR"/>
        </w:rPr>
        <w:t xml:space="preserve"> Le 2 février 2017,</w:t>
      </w:r>
      <w:r w:rsidR="00220660" w:rsidRPr="0096317D">
        <w:rPr>
          <w:lang w:val="fr-FR"/>
        </w:rPr>
        <w:t xml:space="preserve"> le PCT</w:t>
      </w:r>
      <w:r w:rsidR="00184A94" w:rsidRPr="0096317D">
        <w:rPr>
          <w:lang w:val="fr-FR"/>
        </w:rPr>
        <w:t xml:space="preserve"> a marqué une nouvelle </w:t>
      </w:r>
      <w:r w:rsidR="00B12AC2" w:rsidRPr="0096317D">
        <w:rPr>
          <w:lang w:val="fr-FR"/>
        </w:rPr>
        <w:t>étape en publiant en un temps record sa trois</w:t>
      </w:r>
      <w:r w:rsidR="0096317D">
        <w:rPr>
          <w:lang w:val="fr-FR"/>
        </w:rPr>
        <w:t xml:space="preserve"> </w:t>
      </w:r>
      <w:r w:rsidR="00B12AC2" w:rsidRPr="0096317D">
        <w:rPr>
          <w:lang w:val="fr-FR"/>
        </w:rPr>
        <w:t xml:space="preserve">millionième demande </w:t>
      </w:r>
      <w:r w:rsidR="00732AD3" w:rsidRPr="0096317D">
        <w:rPr>
          <w:lang w:val="fr-FR"/>
        </w:rPr>
        <w:t>dépos</w:t>
      </w:r>
      <w:r w:rsidR="0096317D" w:rsidRPr="0096317D">
        <w:rPr>
          <w:lang w:val="fr-FR"/>
        </w:rPr>
        <w:t>ée.  Ce</w:t>
      </w:r>
      <w:r w:rsidR="00184A94" w:rsidRPr="0096317D">
        <w:rPr>
          <w:lang w:val="fr-FR"/>
        </w:rPr>
        <w:t>tte tendance est largement imputable à l</w:t>
      </w:r>
      <w:r w:rsidR="00220660" w:rsidRPr="0096317D">
        <w:rPr>
          <w:lang w:val="fr-FR"/>
        </w:rPr>
        <w:t>’</w:t>
      </w:r>
      <w:r w:rsidR="00184A94" w:rsidRPr="0096317D">
        <w:rPr>
          <w:lang w:val="fr-FR"/>
        </w:rPr>
        <w:t>Asie, d</w:t>
      </w:r>
      <w:r w:rsidR="00220660" w:rsidRPr="0096317D">
        <w:rPr>
          <w:lang w:val="fr-FR"/>
        </w:rPr>
        <w:t>’</w:t>
      </w:r>
      <w:r w:rsidR="00184A94" w:rsidRPr="0096317D">
        <w:rPr>
          <w:lang w:val="fr-FR"/>
        </w:rPr>
        <w:t>où provenai</w:t>
      </w:r>
      <w:r w:rsidR="0096317D">
        <w:rPr>
          <w:lang w:val="fr-FR"/>
        </w:rPr>
        <w:t>ent</w:t>
      </w:r>
      <w:r w:rsidR="00184A94" w:rsidRPr="0096317D">
        <w:rPr>
          <w:lang w:val="fr-FR"/>
        </w:rPr>
        <w:t xml:space="preserve"> 43,5% de toutes les demandes déposées en 2015. </w:t>
      </w:r>
      <w:r w:rsidR="00D8335B" w:rsidRPr="0096317D">
        <w:rPr>
          <w:lang w:val="fr-FR"/>
        </w:rPr>
        <w:t xml:space="preserve"> </w:t>
      </w:r>
      <w:r w:rsidR="00184A94" w:rsidRPr="0096317D">
        <w:rPr>
          <w:lang w:val="fr-FR"/>
        </w:rPr>
        <w:t>Parmi les six</w:t>
      </w:r>
      <w:r w:rsidR="00D8335B" w:rsidRPr="0096317D">
        <w:rPr>
          <w:lang w:val="fr-FR"/>
        </w:rPr>
        <w:t> </w:t>
      </w:r>
      <w:r w:rsidR="00184A94" w:rsidRPr="0096317D">
        <w:rPr>
          <w:lang w:val="fr-FR"/>
        </w:rPr>
        <w:t>principales régions géographiques, l</w:t>
      </w:r>
      <w:r w:rsidR="00220660" w:rsidRPr="0096317D">
        <w:rPr>
          <w:lang w:val="fr-FR"/>
        </w:rPr>
        <w:t>’</w:t>
      </w:r>
      <w:r w:rsidR="00184A94" w:rsidRPr="0096317D">
        <w:rPr>
          <w:lang w:val="fr-FR"/>
        </w:rPr>
        <w:t>Asie a de loin enregistré la plus forte augmentation dans le dépôt des demandes (+9% en 2015).</w:t>
      </w:r>
      <w:r w:rsidR="00D8335B" w:rsidRPr="0096317D">
        <w:rPr>
          <w:lang w:val="fr-FR"/>
        </w:rPr>
        <w:t xml:space="preserve"> </w:t>
      </w:r>
      <w:r w:rsidR="00184A94" w:rsidRPr="0096317D">
        <w:rPr>
          <w:lang w:val="fr-FR"/>
        </w:rPr>
        <w:t xml:space="preserve"> </w:t>
      </w:r>
      <w:r w:rsidR="00B12AC2" w:rsidRPr="0096317D">
        <w:rPr>
          <w:lang w:val="fr-FR"/>
        </w:rPr>
        <w:t>L</w:t>
      </w:r>
      <w:r w:rsidR="00220660" w:rsidRPr="0096317D">
        <w:rPr>
          <w:lang w:val="fr-FR"/>
        </w:rPr>
        <w:t>’</w:t>
      </w:r>
      <w:r w:rsidR="00B12AC2" w:rsidRPr="0096317D">
        <w:rPr>
          <w:lang w:val="fr-FR"/>
        </w:rPr>
        <w:t>établissement en 2015 de la Communauté économique de l</w:t>
      </w:r>
      <w:r w:rsidR="00220660" w:rsidRPr="0096317D">
        <w:rPr>
          <w:lang w:val="fr-FR"/>
        </w:rPr>
        <w:t>’</w:t>
      </w:r>
      <w:r w:rsidR="00B12AC2" w:rsidRPr="0096317D">
        <w:rPr>
          <w:lang w:val="fr-FR"/>
        </w:rPr>
        <w:t>ASEAN ayant marqué un tournant dans l</w:t>
      </w:r>
      <w:r w:rsidR="00220660" w:rsidRPr="0096317D">
        <w:rPr>
          <w:lang w:val="fr-FR"/>
        </w:rPr>
        <w:t>’</w:t>
      </w:r>
      <w:r w:rsidR="00B12AC2" w:rsidRPr="0096317D">
        <w:rPr>
          <w:lang w:val="fr-FR"/>
        </w:rPr>
        <w:t xml:space="preserve">intégration économique régionale, il devrait </w:t>
      </w:r>
      <w:r w:rsidR="00A05905" w:rsidRPr="0096317D">
        <w:rPr>
          <w:lang w:val="fr-FR"/>
        </w:rPr>
        <w:t>tirer</w:t>
      </w:r>
      <w:r w:rsidR="00B12AC2" w:rsidRPr="0096317D">
        <w:rPr>
          <w:lang w:val="fr-FR"/>
        </w:rPr>
        <w:t xml:space="preserve"> la croissance économique régionale </w:t>
      </w:r>
      <w:r w:rsidR="00A05905" w:rsidRPr="0096317D">
        <w:rPr>
          <w:lang w:val="fr-FR"/>
        </w:rPr>
        <w:t>et, partant, l</w:t>
      </w:r>
      <w:r w:rsidR="00220660" w:rsidRPr="0096317D">
        <w:rPr>
          <w:lang w:val="fr-FR"/>
        </w:rPr>
        <w:t>’</w:t>
      </w:r>
      <w:r w:rsidR="00A05905" w:rsidRPr="0096317D">
        <w:rPr>
          <w:lang w:val="fr-FR"/>
        </w:rPr>
        <w:t>augmentation de l</w:t>
      </w:r>
      <w:r w:rsidR="00220660" w:rsidRPr="0096317D">
        <w:rPr>
          <w:lang w:val="fr-FR"/>
        </w:rPr>
        <w:t>’</w:t>
      </w:r>
      <w:r w:rsidR="00A05905" w:rsidRPr="0096317D">
        <w:rPr>
          <w:lang w:val="fr-FR"/>
        </w:rPr>
        <w:t>activité en matière de brevets dans la régi</w:t>
      </w:r>
      <w:r w:rsidR="0096317D" w:rsidRPr="0096317D">
        <w:rPr>
          <w:lang w:val="fr-FR"/>
        </w:rPr>
        <w:t>on.  La</w:t>
      </w:r>
      <w:r w:rsidR="00A05905" w:rsidRPr="0096317D">
        <w:rPr>
          <w:lang w:val="fr-FR"/>
        </w:rPr>
        <w:t xml:space="preserve"> forte croissance du nombre de demandes selon</w:t>
      </w:r>
      <w:r w:rsidR="00220660" w:rsidRPr="0096317D">
        <w:rPr>
          <w:lang w:val="fr-FR"/>
        </w:rPr>
        <w:t xml:space="preserve"> le PCT</w:t>
      </w:r>
      <w:r w:rsidR="00A05905" w:rsidRPr="0096317D">
        <w:rPr>
          <w:lang w:val="fr-FR"/>
        </w:rPr>
        <w:t xml:space="preserve"> émanant des pays membres de l</w:t>
      </w:r>
      <w:r w:rsidR="00220660" w:rsidRPr="0096317D">
        <w:rPr>
          <w:lang w:val="fr-FR"/>
        </w:rPr>
        <w:t>’</w:t>
      </w:r>
      <w:r w:rsidR="00A05905" w:rsidRPr="0096317D">
        <w:rPr>
          <w:lang w:val="fr-FR"/>
        </w:rPr>
        <w:t xml:space="preserve">ASEAN et de Singapour devrait donc se poursuivre. </w:t>
      </w:r>
      <w:r w:rsidR="00D8335B" w:rsidRPr="0096317D">
        <w:rPr>
          <w:lang w:val="fr-FR"/>
        </w:rPr>
        <w:t xml:space="preserve"> </w:t>
      </w:r>
      <w:r w:rsidR="00A05905" w:rsidRPr="0096317D">
        <w:rPr>
          <w:lang w:val="fr-FR"/>
        </w:rPr>
        <w:t>L</w:t>
      </w:r>
      <w:r w:rsidR="00220660" w:rsidRPr="0096317D">
        <w:rPr>
          <w:lang w:val="fr-FR"/>
        </w:rPr>
        <w:t>’</w:t>
      </w:r>
      <w:r w:rsidR="00A05905" w:rsidRPr="0096317D">
        <w:rPr>
          <w:lang w:val="fr-FR"/>
        </w:rPr>
        <w:t>IPOS agissant en qualité d</w:t>
      </w:r>
      <w:r w:rsidR="00220660" w:rsidRPr="0096317D">
        <w:rPr>
          <w:lang w:val="fr-FR"/>
        </w:rPr>
        <w:t>’</w:t>
      </w:r>
      <w:r w:rsidR="00A05905" w:rsidRPr="0096317D">
        <w:rPr>
          <w:lang w:val="fr-FR"/>
        </w:rPr>
        <w:t>administration chargée de la recherche internationale et d</w:t>
      </w:r>
      <w:r w:rsidR="00220660" w:rsidRPr="0096317D">
        <w:rPr>
          <w:lang w:val="fr-FR"/>
        </w:rPr>
        <w:t>’</w:t>
      </w:r>
      <w:r w:rsidR="00A05905" w:rsidRPr="0096317D">
        <w:rPr>
          <w:lang w:val="fr-FR"/>
        </w:rPr>
        <w:t>administration chargée de l</w:t>
      </w:r>
      <w:r w:rsidR="00220660" w:rsidRPr="0096317D">
        <w:rPr>
          <w:lang w:val="fr-FR"/>
        </w:rPr>
        <w:t>’</w:t>
      </w:r>
      <w:r w:rsidR="00A05905" w:rsidRPr="0096317D">
        <w:rPr>
          <w:lang w:val="fr-FR"/>
        </w:rPr>
        <w:t>examen préliminaire international continuera à répondre à la demande de l</w:t>
      </w:r>
      <w:r w:rsidR="00220660" w:rsidRPr="0096317D">
        <w:rPr>
          <w:lang w:val="fr-FR"/>
        </w:rPr>
        <w:t>’</w:t>
      </w:r>
      <w:r w:rsidR="00A05905" w:rsidRPr="0096317D">
        <w:rPr>
          <w:lang w:val="fr-FR"/>
        </w:rPr>
        <w:t>Asie, et notamment des pays membres de l</w:t>
      </w:r>
      <w:r w:rsidR="00220660" w:rsidRPr="0096317D">
        <w:rPr>
          <w:lang w:val="fr-FR"/>
        </w:rPr>
        <w:t>’</w:t>
      </w:r>
      <w:r w:rsidR="00A05905" w:rsidRPr="0096317D">
        <w:rPr>
          <w:lang w:val="fr-FR"/>
        </w:rPr>
        <w:t>ASEAN, alors que l</w:t>
      </w:r>
      <w:r w:rsidR="00220660" w:rsidRPr="0096317D">
        <w:rPr>
          <w:lang w:val="fr-FR"/>
        </w:rPr>
        <w:t>’</w:t>
      </w:r>
      <w:r w:rsidR="00A05905" w:rsidRPr="0096317D">
        <w:rPr>
          <w:lang w:val="fr-FR"/>
        </w:rPr>
        <w:t>activité dans le domaine</w:t>
      </w:r>
      <w:r w:rsidR="00220660" w:rsidRPr="0096317D">
        <w:rPr>
          <w:lang w:val="fr-FR"/>
        </w:rPr>
        <w:t xml:space="preserve"> du PCT</w:t>
      </w:r>
      <w:r w:rsidR="00A05905" w:rsidRPr="0096317D">
        <w:rPr>
          <w:lang w:val="fr-FR"/>
        </w:rPr>
        <w:t xml:space="preserve"> continue de s</w:t>
      </w:r>
      <w:r w:rsidR="00220660" w:rsidRPr="0096317D">
        <w:rPr>
          <w:lang w:val="fr-FR"/>
        </w:rPr>
        <w:t>’</w:t>
      </w:r>
      <w:r w:rsidR="00A05905" w:rsidRPr="0096317D">
        <w:rPr>
          <w:lang w:val="fr-FR"/>
        </w:rPr>
        <w:t>intensifier, non seulement en matière de services de recherche et d</w:t>
      </w:r>
      <w:r w:rsidR="00220660" w:rsidRPr="0096317D">
        <w:rPr>
          <w:lang w:val="fr-FR"/>
        </w:rPr>
        <w:t>’</w:t>
      </w:r>
      <w:r w:rsidR="00A05905" w:rsidRPr="0096317D">
        <w:rPr>
          <w:lang w:val="fr-FR"/>
        </w:rPr>
        <w:t>examen, mais également en termes d</w:t>
      </w:r>
      <w:r w:rsidR="00220660" w:rsidRPr="0096317D">
        <w:rPr>
          <w:lang w:val="fr-FR"/>
        </w:rPr>
        <w:t>’</w:t>
      </w:r>
      <w:r w:rsidR="00A05905" w:rsidRPr="0096317D">
        <w:rPr>
          <w:lang w:val="fr-FR"/>
        </w:rPr>
        <w:t>activités de sensibilisation au système</w:t>
      </w:r>
      <w:r w:rsidR="00220660" w:rsidRPr="0096317D">
        <w:rPr>
          <w:lang w:val="fr-FR"/>
        </w:rPr>
        <w:t xml:space="preserve"> du PCT</w:t>
      </w:r>
      <w:r w:rsidR="00A05905" w:rsidRPr="0096317D">
        <w:rPr>
          <w:lang w:val="fr-FR"/>
        </w:rPr>
        <w:t xml:space="preserve"> et de promotion de son utilisation.</w:t>
      </w:r>
    </w:p>
    <w:p w14:paraId="2C01B094" w14:textId="567E2692" w:rsidR="00AA5F79" w:rsidRPr="0096317D" w:rsidRDefault="00A05905" w:rsidP="00320FDF">
      <w:pPr>
        <w:pStyle w:val="ONUME"/>
        <w:keepLines/>
        <w:numPr>
          <w:ilvl w:val="0"/>
          <w:numId w:val="0"/>
        </w:numPr>
        <w:rPr>
          <w:lang w:val="fr-FR"/>
        </w:rPr>
      </w:pPr>
      <w:r w:rsidRPr="0096317D">
        <w:rPr>
          <w:lang w:val="fr-FR"/>
        </w:rPr>
        <w:t xml:space="preserve">Par ailleurs, </w:t>
      </w:r>
      <w:r w:rsidR="00F32F71" w:rsidRPr="0096317D">
        <w:rPr>
          <w:lang w:val="fr-FR"/>
        </w:rPr>
        <w:t>le rôle</w:t>
      </w:r>
      <w:r w:rsidRPr="0096317D">
        <w:rPr>
          <w:lang w:val="fr-FR"/>
        </w:rPr>
        <w:t xml:space="preserve"> de </w:t>
      </w:r>
      <w:r w:rsidR="00732AD3" w:rsidRPr="0096317D">
        <w:rPr>
          <w:lang w:val="fr-FR"/>
        </w:rPr>
        <w:t>l</w:t>
      </w:r>
      <w:r w:rsidR="00220660" w:rsidRPr="0096317D">
        <w:rPr>
          <w:lang w:val="fr-FR"/>
        </w:rPr>
        <w:t>’</w:t>
      </w:r>
      <w:r w:rsidR="00732AD3" w:rsidRPr="0096317D">
        <w:rPr>
          <w:lang w:val="fr-FR"/>
        </w:rPr>
        <w:t>IPOS</w:t>
      </w:r>
      <w:r w:rsidRPr="0096317D">
        <w:rPr>
          <w:lang w:val="fr-FR"/>
        </w:rPr>
        <w:t xml:space="preserve"> en tant qu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>administration chargée de la recherche internationale et de l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 xml:space="preserve">examen préliminaire international </w:t>
      </w:r>
      <w:r w:rsidR="00F32F71" w:rsidRPr="0096317D">
        <w:rPr>
          <w:lang w:val="fr-FR"/>
        </w:rPr>
        <w:t xml:space="preserve">sera en synergie avec les </w:t>
      </w:r>
      <w:r w:rsidRPr="0096317D">
        <w:rPr>
          <w:lang w:val="fr-FR"/>
        </w:rPr>
        <w:t xml:space="preserve">efforts </w:t>
      </w:r>
      <w:r w:rsidR="00F32F71" w:rsidRPr="0096317D">
        <w:rPr>
          <w:lang w:val="fr-FR"/>
        </w:rPr>
        <w:t>qu</w:t>
      </w:r>
      <w:r w:rsidR="00220660" w:rsidRPr="0096317D">
        <w:rPr>
          <w:lang w:val="fr-FR"/>
        </w:rPr>
        <w:t>’</w:t>
      </w:r>
      <w:r w:rsidR="00F32F71" w:rsidRPr="0096317D">
        <w:rPr>
          <w:lang w:val="fr-FR"/>
        </w:rPr>
        <w:t>il déploie</w:t>
      </w:r>
      <w:r w:rsidRPr="0096317D">
        <w:rPr>
          <w:lang w:val="fr-FR"/>
        </w:rPr>
        <w:t xml:space="preserve"> dans la région de l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>ASEAN en vue de réduire la charge de travail et d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>améliorer la qualité et l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>efficacité de la recherche et de l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>examen en matière de breve</w:t>
      </w:r>
      <w:r w:rsidR="0096317D" w:rsidRPr="0096317D">
        <w:rPr>
          <w:lang w:val="fr-FR"/>
        </w:rPr>
        <w:t>ts.  Ce</w:t>
      </w:r>
      <w:r w:rsidR="00F32F71" w:rsidRPr="0096317D">
        <w:rPr>
          <w:lang w:val="fr-FR"/>
        </w:rPr>
        <w:t xml:space="preserve"> rôle</w:t>
      </w:r>
      <w:r w:rsidRPr="0096317D">
        <w:rPr>
          <w:lang w:val="fr-FR"/>
        </w:rPr>
        <w:t xml:space="preserve"> viendr</w:t>
      </w:r>
      <w:r w:rsidR="00F32F71" w:rsidRPr="0096317D">
        <w:rPr>
          <w:lang w:val="fr-FR"/>
        </w:rPr>
        <w:t>a</w:t>
      </w:r>
      <w:r w:rsidRPr="0096317D">
        <w:rPr>
          <w:lang w:val="fr-FR"/>
        </w:rPr>
        <w:t xml:space="preserve"> en particulier compléter </w:t>
      </w:r>
      <w:r w:rsidR="00F32F71" w:rsidRPr="0096317D">
        <w:rPr>
          <w:lang w:val="fr-FR"/>
        </w:rPr>
        <w:t>les</w:t>
      </w:r>
      <w:r w:rsidRPr="0096317D">
        <w:rPr>
          <w:lang w:val="fr-FR"/>
        </w:rPr>
        <w:t xml:space="preserve"> responsabilités </w:t>
      </w:r>
      <w:r w:rsidR="00F32F71" w:rsidRPr="0096317D">
        <w:rPr>
          <w:lang w:val="fr-FR"/>
        </w:rPr>
        <w:t>assumées par l</w:t>
      </w:r>
      <w:r w:rsidR="00220660" w:rsidRPr="0096317D">
        <w:rPr>
          <w:lang w:val="fr-FR"/>
        </w:rPr>
        <w:t>’</w:t>
      </w:r>
      <w:r w:rsidR="00F32F71" w:rsidRPr="0096317D">
        <w:rPr>
          <w:lang w:val="fr-FR"/>
        </w:rPr>
        <w:t xml:space="preserve">IPOS au niveau régional </w:t>
      </w:r>
      <w:r w:rsidRPr="0096317D">
        <w:rPr>
          <w:lang w:val="fr-FR"/>
        </w:rPr>
        <w:t>dans le cadre du programme ASPEC visant à renforcer le partage des tâches et à instaurer des pratiques communes à l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>intention des examinateurs de brevets</w:t>
      </w:r>
      <w:r w:rsidR="0018170C" w:rsidRPr="0096317D">
        <w:rPr>
          <w:lang w:val="fr-FR"/>
        </w:rPr>
        <w:t>.</w:t>
      </w:r>
    </w:p>
    <w:p w14:paraId="57DFF043" w14:textId="0CC2189D" w:rsidR="00AA5F79" w:rsidRPr="0096317D" w:rsidRDefault="009246FF" w:rsidP="00320FDF">
      <w:pPr>
        <w:pStyle w:val="Heading3"/>
        <w:rPr>
          <w:lang w:val="fr-FR"/>
        </w:rPr>
      </w:pPr>
      <w:r w:rsidRPr="0096317D">
        <w:rPr>
          <w:lang w:val="fr-FR"/>
        </w:rPr>
        <w:t>Carte montrant les États voisins</w:t>
      </w:r>
    </w:p>
    <w:p w14:paraId="451113A8" w14:textId="77777777" w:rsidR="00FF68B7" w:rsidRPr="0096317D" w:rsidRDefault="00FF68B7" w:rsidP="00320FDF">
      <w:pPr>
        <w:rPr>
          <w:lang w:val="fr-FR"/>
        </w:rPr>
      </w:pPr>
    </w:p>
    <w:p w14:paraId="3B2BDB4A" w14:textId="77777777" w:rsidR="00AA5F79" w:rsidRPr="0096317D" w:rsidRDefault="004C6A76" w:rsidP="00320FDF">
      <w:pPr>
        <w:pStyle w:val="ONUME"/>
        <w:numPr>
          <w:ilvl w:val="0"/>
          <w:numId w:val="0"/>
        </w:numPr>
        <w:jc w:val="center"/>
        <w:rPr>
          <w:lang w:val="fr-FR"/>
        </w:rPr>
      </w:pPr>
      <w:r w:rsidRPr="0096317D">
        <w:rPr>
          <w:noProof/>
          <w:lang w:eastAsia="en-US"/>
        </w:rPr>
        <w:drawing>
          <wp:inline distT="0" distB="0" distL="0" distR="0" wp14:anchorId="51248E45" wp14:editId="70CE8E13">
            <wp:extent cx="5580000" cy="4651445"/>
            <wp:effectExtent l="0" t="0" r="190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hutterstock_213207697 [Converted]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0000" cy="465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875C2" w14:textId="34F7C344" w:rsidR="004C6A76" w:rsidRPr="0096317D" w:rsidRDefault="00C67C18" w:rsidP="00320FDF">
      <w:pPr>
        <w:pStyle w:val="Heading1"/>
        <w:rPr>
          <w:lang w:val="fr-FR"/>
        </w:rPr>
      </w:pPr>
      <w:r w:rsidRPr="0096317D">
        <w:rPr>
          <w:lang w:val="fr-FR"/>
        </w:rPr>
        <w:t>6.</w:t>
      </w:r>
      <w:r w:rsidRPr="0096317D">
        <w:rPr>
          <w:lang w:val="fr-FR"/>
        </w:rPr>
        <w:tab/>
      </w:r>
      <w:r>
        <w:rPr>
          <w:lang w:val="fr-FR"/>
        </w:rPr>
        <w:t>P</w:t>
      </w:r>
      <w:r w:rsidRPr="0096317D">
        <w:rPr>
          <w:lang w:val="fr-FR"/>
        </w:rPr>
        <w:t>rofil des demandes de brevet</w:t>
      </w:r>
    </w:p>
    <w:p w14:paraId="3A1A5F14" w14:textId="70D8AABA" w:rsidR="004C6A76" w:rsidRPr="0096317D" w:rsidRDefault="00C67C18" w:rsidP="00320FDF">
      <w:pPr>
        <w:pStyle w:val="Heading2"/>
        <w:rPr>
          <w:lang w:val="fr-FR"/>
        </w:rPr>
      </w:pPr>
      <w:r>
        <w:rPr>
          <w:lang w:val="fr-FR"/>
        </w:rPr>
        <w:t>6.1</w:t>
      </w:r>
      <w:r>
        <w:rPr>
          <w:lang w:val="fr-FR"/>
        </w:rPr>
        <w:tab/>
        <w:t>N</w:t>
      </w:r>
      <w:r w:rsidRPr="0096317D">
        <w:rPr>
          <w:lang w:val="fr-FR"/>
        </w:rPr>
        <w:t>ombre de demandes nationales reçues – par domaine technique :</w:t>
      </w:r>
    </w:p>
    <w:p w14:paraId="20BE66AC" w14:textId="77777777" w:rsidR="004C6A76" w:rsidRPr="0096317D" w:rsidRDefault="004C6A76" w:rsidP="00320FDF">
      <w:pPr>
        <w:keepNext/>
        <w:keepLines/>
        <w:rPr>
          <w:b/>
          <w:bCs/>
          <w:szCs w:val="22"/>
          <w:lang w:val="fr-FR"/>
        </w:rPr>
      </w:pPr>
    </w:p>
    <w:tbl>
      <w:tblPr>
        <w:tblW w:w="4870" w:type="pct"/>
        <w:tblLook w:val="04A0" w:firstRow="1" w:lastRow="0" w:firstColumn="1" w:lastColumn="0" w:noHBand="0" w:noVBand="1"/>
      </w:tblPr>
      <w:tblGrid>
        <w:gridCol w:w="4210"/>
        <w:gridCol w:w="851"/>
        <w:gridCol w:w="1134"/>
        <w:gridCol w:w="992"/>
        <w:gridCol w:w="1134"/>
        <w:gridCol w:w="1002"/>
      </w:tblGrid>
      <w:tr w:rsidR="004C6A76" w:rsidRPr="0096317D" w14:paraId="001C4EC8" w14:textId="77777777" w:rsidTr="002C4B0E">
        <w:trPr>
          <w:cantSplit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5973F" w14:textId="38202FB4" w:rsidR="004C6A76" w:rsidRPr="0096317D" w:rsidRDefault="009246FF" w:rsidP="00320FDF">
            <w:pPr>
              <w:keepNext/>
              <w:keepLines/>
              <w:spacing w:before="20" w:after="20"/>
              <w:rPr>
                <w:rFonts w:eastAsia="Times New Roman"/>
                <w:b/>
                <w:bCs/>
                <w:color w:val="000000" w:themeColor="text1"/>
                <w:szCs w:val="22"/>
                <w:lang w:val="fr-FR"/>
              </w:rPr>
            </w:pPr>
            <w:r w:rsidRPr="0096317D">
              <w:rPr>
                <w:b/>
                <w:lang w:val="fr-FR"/>
              </w:rPr>
              <w:t>Domaine technique/Année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81FA9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b/>
                <w:bCs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b/>
                <w:bCs/>
                <w:color w:val="000000" w:themeColor="text1"/>
                <w:szCs w:val="22"/>
                <w:lang w:val="fr-FR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34CB8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b/>
                <w:bCs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b/>
                <w:bCs/>
                <w:color w:val="000000" w:themeColor="text1"/>
                <w:szCs w:val="22"/>
                <w:lang w:val="fr-FR"/>
              </w:rP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2FCC5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b/>
                <w:bCs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b/>
                <w:bCs/>
                <w:color w:val="000000" w:themeColor="text1"/>
                <w:szCs w:val="22"/>
                <w:lang w:val="fr-FR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7E7CF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b/>
                <w:bCs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b/>
                <w:bCs/>
                <w:color w:val="000000" w:themeColor="text1"/>
                <w:szCs w:val="22"/>
                <w:lang w:val="fr-FR"/>
              </w:rPr>
              <w:t>2015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4CCA9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b/>
                <w:bCs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b/>
                <w:bCs/>
                <w:color w:val="000000" w:themeColor="text1"/>
                <w:szCs w:val="22"/>
                <w:lang w:val="fr-FR"/>
              </w:rPr>
              <w:t>2016</w:t>
            </w:r>
          </w:p>
        </w:tc>
      </w:tr>
      <w:tr w:rsidR="004C6A76" w:rsidRPr="0096317D" w14:paraId="02A396A3" w14:textId="77777777" w:rsidTr="002C4B0E">
        <w:trPr>
          <w:cantSplit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70AE6" w14:textId="5CC3FD4D" w:rsidR="004C6A76" w:rsidRPr="0096317D" w:rsidRDefault="00561A29" w:rsidP="00320FDF">
            <w:pPr>
              <w:keepNext/>
              <w:keepLines/>
              <w:spacing w:before="20" w:after="20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Chimie de base</w:t>
            </w:r>
            <w:r w:rsidR="004C6A76"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9F4E4" w14:textId="01C98375" w:rsidR="004C6A76" w:rsidRPr="0096317D" w:rsidRDefault="00C67C18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C67C18">
              <w:rPr>
                <w:rFonts w:eastAsia="Times New Roman"/>
                <w:color w:val="000000" w:themeColor="text1"/>
                <w:szCs w:val="22"/>
                <w:lang w:val="fr-FR"/>
              </w:rPr>
              <w:t>n</w:t>
            </w:r>
            <w:r w:rsidR="004C6A76" w:rsidRPr="00C67C18">
              <w:rPr>
                <w:rFonts w:eastAsia="Times New Roman"/>
                <w:color w:val="000000" w:themeColor="text1"/>
                <w:szCs w:val="22"/>
                <w:lang w:val="fr-FR"/>
              </w:rPr>
              <w:t>.</w:t>
            </w:r>
            <w:r w:rsidRPr="00C67C18">
              <w:rPr>
                <w:rFonts w:eastAsia="Times New Roman"/>
                <w:color w:val="000000" w:themeColor="text1"/>
                <w:szCs w:val="22"/>
                <w:lang w:val="fr-FR"/>
              </w:rPr>
              <w:t>d</w:t>
            </w:r>
            <w:r w:rsidR="004C6A76" w:rsidRPr="00C67C18">
              <w:rPr>
                <w:rFonts w:eastAsia="Times New Roman"/>
                <w:color w:val="000000" w:themeColor="text1"/>
                <w:szCs w:val="22"/>
                <w:lang w:val="fr-FR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4C72B" w14:textId="6841907F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1</w:t>
            </w:r>
            <w:r w:rsidR="00561A29"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 </w:t>
            </w: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9654E" w14:textId="66C89508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1</w:t>
            </w:r>
            <w:r w:rsidR="00561A29"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 </w:t>
            </w: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05360" w14:textId="79AF2860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1</w:t>
            </w:r>
            <w:r w:rsidR="00561A29"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 </w:t>
            </w: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197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B7565" w14:textId="356A6B1E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1</w:t>
            </w:r>
            <w:r w:rsidR="00561A29"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 </w:t>
            </w: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328</w:t>
            </w:r>
          </w:p>
        </w:tc>
      </w:tr>
      <w:tr w:rsidR="004C6A76" w:rsidRPr="0096317D" w14:paraId="33AB4122" w14:textId="77777777" w:rsidTr="002C4B0E">
        <w:trPr>
          <w:cantSplit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690E7" w14:textId="59E5A3AA" w:rsidR="004C6A76" w:rsidRPr="0096317D" w:rsidRDefault="004C6A76" w:rsidP="00320FDF">
            <w:pPr>
              <w:keepNext/>
              <w:keepLines/>
              <w:spacing w:before="20" w:after="20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Biotechnolog</w:t>
            </w:r>
            <w:r w:rsidR="00561A29"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ie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1D5C6" w14:textId="77777777" w:rsidR="004C6A76" w:rsidRPr="0096317D" w:rsidRDefault="004C6A76" w:rsidP="00320FDF">
            <w:pPr>
              <w:keepNext/>
              <w:keepLines/>
              <w:spacing w:before="20" w:after="20"/>
              <w:rPr>
                <w:rFonts w:eastAsia="Times New Roman"/>
                <w:color w:val="000000" w:themeColor="text1"/>
                <w:szCs w:val="22"/>
                <w:lang w:val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2CDF8" w14:textId="58F0CC65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1</w:t>
            </w:r>
            <w:r w:rsidR="00561A29"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 </w:t>
            </w: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508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4700B" w14:textId="6A7155CF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1</w:t>
            </w:r>
            <w:r w:rsidR="00561A29"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 </w:t>
            </w: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497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B44BE" w14:textId="2C07F56E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1</w:t>
            </w:r>
            <w:r w:rsidR="00561A29"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 </w:t>
            </w: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648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8F27B" w14:textId="0844D9AE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1</w:t>
            </w:r>
            <w:r w:rsidR="00561A29"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 </w:t>
            </w: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577</w:t>
            </w:r>
          </w:p>
        </w:tc>
      </w:tr>
      <w:tr w:rsidR="004C6A76" w:rsidRPr="0096317D" w14:paraId="47ACE4DD" w14:textId="77777777" w:rsidTr="002C4B0E">
        <w:trPr>
          <w:cantSplit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E9748" w14:textId="074EF802" w:rsidR="004C6A76" w:rsidRPr="0096317D" w:rsidRDefault="00561A29" w:rsidP="00320FDF">
            <w:pPr>
              <w:keepNext/>
              <w:keepLines/>
              <w:spacing w:before="20" w:after="20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Génie chimique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E8E82" w14:textId="77777777" w:rsidR="004C6A76" w:rsidRPr="0096317D" w:rsidRDefault="004C6A76" w:rsidP="00320FDF">
            <w:pPr>
              <w:keepNext/>
              <w:keepLines/>
              <w:spacing w:before="20" w:after="20"/>
              <w:rPr>
                <w:rFonts w:eastAsia="Times New Roman"/>
                <w:color w:val="000000" w:themeColor="text1"/>
                <w:szCs w:val="22"/>
                <w:lang w:val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DD389" w14:textId="73ED84B0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1</w:t>
            </w:r>
            <w:r w:rsidR="00561A29"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 </w:t>
            </w: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92574" w14:textId="2497D9AD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1</w:t>
            </w:r>
            <w:r w:rsidR="00561A29"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 </w:t>
            </w: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EC88D" w14:textId="1CB5C3A0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1</w:t>
            </w:r>
            <w:r w:rsidR="00561A29"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 </w:t>
            </w: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086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0BB44" w14:textId="73A517F1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1</w:t>
            </w:r>
            <w:r w:rsidR="00561A29"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 </w:t>
            </w: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015</w:t>
            </w:r>
          </w:p>
        </w:tc>
      </w:tr>
      <w:tr w:rsidR="004C6A76" w:rsidRPr="0096317D" w14:paraId="3B2E9454" w14:textId="77777777" w:rsidTr="002C4B0E">
        <w:trPr>
          <w:cantSplit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4BEDC" w14:textId="2214DE69" w:rsidR="004C6A76" w:rsidRPr="0096317D" w:rsidRDefault="00561A29" w:rsidP="00320FDF">
            <w:pPr>
              <w:keepNext/>
              <w:keepLines/>
              <w:spacing w:before="20" w:after="20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Écot</w:t>
            </w:r>
            <w:r w:rsidR="004C6A76"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echnolog</w:t>
            </w: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ie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AF030" w14:textId="77777777" w:rsidR="004C6A76" w:rsidRPr="0096317D" w:rsidRDefault="004C6A76" w:rsidP="00320FDF">
            <w:pPr>
              <w:keepNext/>
              <w:keepLines/>
              <w:spacing w:before="20" w:after="20"/>
              <w:rPr>
                <w:rFonts w:eastAsia="Times New Roman"/>
                <w:color w:val="000000" w:themeColor="text1"/>
                <w:szCs w:val="22"/>
                <w:lang w:val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D3B5B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297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AC457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AEC84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389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04331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339</w:t>
            </w:r>
          </w:p>
        </w:tc>
      </w:tr>
      <w:tr w:rsidR="004C6A76" w:rsidRPr="0096317D" w14:paraId="7ECAED1D" w14:textId="77777777" w:rsidTr="002C4B0E">
        <w:trPr>
          <w:cantSplit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D3927" w14:textId="7EA4C818" w:rsidR="004C6A76" w:rsidRPr="0096317D" w:rsidRDefault="00561A29" w:rsidP="00320FDF">
            <w:pPr>
              <w:keepNext/>
              <w:keepLines/>
              <w:spacing w:before="20" w:after="20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Chimie alimentaire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65075" w14:textId="77777777" w:rsidR="004C6A76" w:rsidRPr="0096317D" w:rsidRDefault="004C6A76" w:rsidP="00320FDF">
            <w:pPr>
              <w:keepNext/>
              <w:keepLines/>
              <w:spacing w:before="20" w:after="20"/>
              <w:rPr>
                <w:rFonts w:eastAsia="Times New Roman"/>
                <w:color w:val="000000" w:themeColor="text1"/>
                <w:szCs w:val="22"/>
                <w:lang w:val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95054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486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B665A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28D1B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438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C3786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331</w:t>
            </w:r>
          </w:p>
        </w:tc>
      </w:tr>
      <w:tr w:rsidR="004C6A76" w:rsidRPr="0096317D" w14:paraId="11E25271" w14:textId="77777777" w:rsidTr="002C4B0E">
        <w:trPr>
          <w:cantSplit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75EC8" w14:textId="1A7C6F6D" w:rsidR="004C6A76" w:rsidRPr="0096317D" w:rsidRDefault="00561A29" w:rsidP="00320FDF">
            <w:pPr>
              <w:keepNext/>
              <w:keepLines/>
              <w:spacing w:before="20" w:after="20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Chimie macromoléculaire, polymères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BF234" w14:textId="77777777" w:rsidR="004C6A76" w:rsidRPr="0096317D" w:rsidRDefault="004C6A76" w:rsidP="00320FDF">
            <w:pPr>
              <w:keepNext/>
              <w:keepLines/>
              <w:spacing w:before="20" w:after="20"/>
              <w:rPr>
                <w:rFonts w:eastAsia="Times New Roman"/>
                <w:color w:val="000000" w:themeColor="text1"/>
                <w:szCs w:val="22"/>
                <w:lang w:val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77CAC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925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6ACC6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EFD0C" w14:textId="2C573D6A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1</w:t>
            </w:r>
            <w:r w:rsidR="00561A29"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 </w:t>
            </w: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010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E9C62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910</w:t>
            </w:r>
          </w:p>
        </w:tc>
      </w:tr>
      <w:tr w:rsidR="004C6A76" w:rsidRPr="0096317D" w14:paraId="6A2ED7EA" w14:textId="77777777" w:rsidTr="002C4B0E">
        <w:trPr>
          <w:cantSplit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16FAD" w14:textId="327BF730" w:rsidR="004C6A76" w:rsidRPr="0096317D" w:rsidRDefault="004C6A76" w:rsidP="00320FDF">
            <w:pPr>
              <w:keepNext/>
              <w:keepLines/>
              <w:spacing w:before="20" w:after="20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Mat</w:t>
            </w:r>
            <w:r w:rsidR="00561A29"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é</w:t>
            </w: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ria</w:t>
            </w:r>
            <w:r w:rsidR="00561A29"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ux</w:t>
            </w: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, m</w:t>
            </w:r>
            <w:r w:rsidR="00561A29"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é</w:t>
            </w: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tallurg</w:t>
            </w:r>
            <w:r w:rsidR="00561A29"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ie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60349" w14:textId="77777777" w:rsidR="004C6A76" w:rsidRPr="0096317D" w:rsidRDefault="004C6A76" w:rsidP="00320FDF">
            <w:pPr>
              <w:keepNext/>
              <w:keepLines/>
              <w:spacing w:before="20" w:after="20"/>
              <w:rPr>
                <w:rFonts w:eastAsia="Times New Roman"/>
                <w:color w:val="000000" w:themeColor="text1"/>
                <w:szCs w:val="22"/>
                <w:lang w:val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8CD47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418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7FAC1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B8F6A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435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98C0F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403</w:t>
            </w:r>
          </w:p>
        </w:tc>
      </w:tr>
      <w:tr w:rsidR="004C6A76" w:rsidRPr="0096317D" w14:paraId="4885BF14" w14:textId="77777777" w:rsidTr="002C4B0E">
        <w:trPr>
          <w:cantSplit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E27C1" w14:textId="0A0457F0" w:rsidR="004C6A76" w:rsidRPr="0096317D" w:rsidRDefault="00561A29" w:rsidP="00320FDF">
            <w:pPr>
              <w:keepNext/>
              <w:keepLines/>
              <w:spacing w:before="20" w:after="20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Technologie des microstructures, nanotechnologie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7DCF1" w14:textId="77777777" w:rsidR="004C6A76" w:rsidRPr="0096317D" w:rsidRDefault="004C6A76" w:rsidP="00320FDF">
            <w:pPr>
              <w:keepNext/>
              <w:keepLines/>
              <w:spacing w:before="20" w:after="20"/>
              <w:rPr>
                <w:rFonts w:eastAsia="Times New Roman"/>
                <w:color w:val="000000" w:themeColor="text1"/>
                <w:szCs w:val="22"/>
                <w:lang w:val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414D8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06FB8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ACA1A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58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7FC44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65</w:t>
            </w:r>
          </w:p>
        </w:tc>
      </w:tr>
      <w:tr w:rsidR="004C6A76" w:rsidRPr="0096317D" w14:paraId="32472B69" w14:textId="77777777" w:rsidTr="002C4B0E">
        <w:trPr>
          <w:cantSplit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03E34" w14:textId="5D618DDA" w:rsidR="004C6A76" w:rsidRPr="0096317D" w:rsidRDefault="00561A29" w:rsidP="00320FDF">
            <w:pPr>
              <w:keepNext/>
              <w:keepLines/>
              <w:spacing w:before="20" w:after="20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Chimie fine organique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F25DB" w14:textId="77777777" w:rsidR="004C6A76" w:rsidRPr="0096317D" w:rsidRDefault="004C6A76" w:rsidP="00320FDF">
            <w:pPr>
              <w:keepNext/>
              <w:keepLines/>
              <w:spacing w:before="20" w:after="20"/>
              <w:rPr>
                <w:rFonts w:eastAsia="Times New Roman"/>
                <w:color w:val="000000" w:themeColor="text1"/>
                <w:szCs w:val="22"/>
                <w:lang w:val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C4203" w14:textId="70120602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2</w:t>
            </w:r>
            <w:r w:rsidR="00561A29"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 </w:t>
            </w: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443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D45E1" w14:textId="2B4437DA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2</w:t>
            </w:r>
            <w:r w:rsidR="00561A29"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 </w:t>
            </w: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839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EABF2" w14:textId="1920FAB9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2</w:t>
            </w:r>
            <w:r w:rsidR="00561A29"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 </w:t>
            </w: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683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72945" w14:textId="12DE8B0B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2</w:t>
            </w:r>
            <w:r w:rsidR="00561A29"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 </w:t>
            </w: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538</w:t>
            </w:r>
          </w:p>
        </w:tc>
      </w:tr>
      <w:tr w:rsidR="004C6A76" w:rsidRPr="0096317D" w14:paraId="08A74227" w14:textId="77777777" w:rsidTr="002C4B0E">
        <w:trPr>
          <w:cantSplit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931D6" w14:textId="2477E857" w:rsidR="004C6A76" w:rsidRPr="0096317D" w:rsidRDefault="00561A29" w:rsidP="00320FDF">
            <w:pPr>
              <w:keepNext/>
              <w:keepLines/>
              <w:spacing w:before="20" w:after="20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Produits p</w:t>
            </w:r>
            <w:r w:rsidR="004C6A76"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harmaceuti</w:t>
            </w: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que</w:t>
            </w:r>
            <w:r w:rsidR="004C6A76"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s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9BEA6" w14:textId="77777777" w:rsidR="004C6A76" w:rsidRPr="0096317D" w:rsidRDefault="004C6A76" w:rsidP="00320FDF">
            <w:pPr>
              <w:keepNext/>
              <w:keepLines/>
              <w:spacing w:before="20" w:after="20"/>
              <w:rPr>
                <w:rFonts w:eastAsia="Times New Roman"/>
                <w:color w:val="000000" w:themeColor="text1"/>
                <w:szCs w:val="22"/>
                <w:lang w:val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3D352" w14:textId="5C332EF1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3</w:t>
            </w:r>
            <w:r w:rsidR="00561A29"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 </w:t>
            </w: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760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EFC02" w14:textId="09E8BF13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4</w:t>
            </w:r>
            <w:r w:rsidR="00561A29"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 </w:t>
            </w: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69F16" w14:textId="34100C8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4</w:t>
            </w:r>
            <w:r w:rsidR="00561A29"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 </w:t>
            </w: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490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1D7FA" w14:textId="61EE36C0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4</w:t>
            </w:r>
            <w:r w:rsidR="00561A29"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 </w:t>
            </w: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096</w:t>
            </w:r>
          </w:p>
        </w:tc>
      </w:tr>
      <w:tr w:rsidR="004C6A76" w:rsidRPr="0096317D" w14:paraId="2F78F1DF" w14:textId="77777777" w:rsidTr="002C4B0E">
        <w:trPr>
          <w:cantSplit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18BB7" w14:textId="09627494" w:rsidR="004C6A76" w:rsidRPr="0096317D" w:rsidRDefault="00561A29" w:rsidP="00320FDF">
            <w:pPr>
              <w:keepNext/>
              <w:keepLines/>
              <w:spacing w:before="20" w:after="20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Technique de surface, revêtement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9B224" w14:textId="77777777" w:rsidR="004C6A76" w:rsidRPr="0096317D" w:rsidRDefault="004C6A76" w:rsidP="00320FDF">
            <w:pPr>
              <w:keepNext/>
              <w:keepLines/>
              <w:spacing w:before="20" w:after="20"/>
              <w:rPr>
                <w:rFonts w:eastAsia="Times New Roman"/>
                <w:color w:val="000000" w:themeColor="text1"/>
                <w:szCs w:val="22"/>
                <w:lang w:val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3CD91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532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2203F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BF24B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468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B062E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466</w:t>
            </w:r>
          </w:p>
        </w:tc>
      </w:tr>
      <w:tr w:rsidR="004C6A76" w:rsidRPr="0096317D" w14:paraId="3CB6ED62" w14:textId="77777777" w:rsidTr="002C4B0E">
        <w:trPr>
          <w:cantSplit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3C5B6" w14:textId="6EAE759B" w:rsidR="004C6A76" w:rsidRPr="0096317D" w:rsidRDefault="00561A29" w:rsidP="00320FDF">
            <w:pPr>
              <w:keepNext/>
              <w:keepLines/>
              <w:spacing w:before="20" w:after="20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Techniques audiovisuelles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4BED2" w14:textId="77777777" w:rsidR="004C6A76" w:rsidRPr="0096317D" w:rsidRDefault="004C6A76" w:rsidP="00320FDF">
            <w:pPr>
              <w:keepNext/>
              <w:keepLines/>
              <w:spacing w:before="20" w:after="20"/>
              <w:rPr>
                <w:rFonts w:eastAsia="Times New Roman"/>
                <w:color w:val="000000" w:themeColor="text1"/>
                <w:szCs w:val="22"/>
                <w:lang w:val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940C0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5E402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90DE6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386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6FD0E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293</w:t>
            </w:r>
          </w:p>
        </w:tc>
      </w:tr>
      <w:tr w:rsidR="004C6A76" w:rsidRPr="0096317D" w14:paraId="7F959DCC" w14:textId="77777777" w:rsidTr="002C4B0E">
        <w:trPr>
          <w:cantSplit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DA6A3" w14:textId="66B601BF" w:rsidR="004C6A76" w:rsidRPr="0096317D" w:rsidRDefault="00E254AD" w:rsidP="00320FDF">
            <w:pPr>
              <w:keepNext/>
              <w:keepLines/>
              <w:spacing w:before="20" w:after="20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Techniques de communication de base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937C" w14:textId="77777777" w:rsidR="004C6A76" w:rsidRPr="0096317D" w:rsidRDefault="004C6A76" w:rsidP="00320FDF">
            <w:pPr>
              <w:keepNext/>
              <w:keepLines/>
              <w:spacing w:before="20" w:after="20"/>
              <w:rPr>
                <w:rFonts w:eastAsia="Times New Roman"/>
                <w:color w:val="000000" w:themeColor="text1"/>
                <w:szCs w:val="22"/>
                <w:lang w:val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CAE79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E3B29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0809D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62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2F674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52</w:t>
            </w:r>
          </w:p>
        </w:tc>
      </w:tr>
      <w:tr w:rsidR="004C6A76" w:rsidRPr="0096317D" w14:paraId="68C5B9B8" w14:textId="77777777" w:rsidTr="002C4B0E">
        <w:trPr>
          <w:cantSplit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39D43" w14:textId="75369EC0" w:rsidR="004C6A76" w:rsidRPr="0096317D" w:rsidRDefault="00E254AD" w:rsidP="00320FDF">
            <w:pPr>
              <w:keepNext/>
              <w:keepLines/>
              <w:spacing w:before="20" w:after="20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Informatique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4DA73" w14:textId="77777777" w:rsidR="004C6A76" w:rsidRPr="0096317D" w:rsidRDefault="004C6A76" w:rsidP="00320FDF">
            <w:pPr>
              <w:keepNext/>
              <w:keepLines/>
              <w:spacing w:before="20" w:after="20"/>
              <w:rPr>
                <w:rFonts w:eastAsia="Times New Roman"/>
                <w:color w:val="000000" w:themeColor="text1"/>
                <w:szCs w:val="22"/>
                <w:lang w:val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D2FB8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755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C5352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601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57ACF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840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52127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944</w:t>
            </w:r>
          </w:p>
        </w:tc>
      </w:tr>
      <w:tr w:rsidR="004C6A76" w:rsidRPr="0096317D" w14:paraId="35A84A9B" w14:textId="77777777" w:rsidTr="002C4B0E">
        <w:trPr>
          <w:cantSplit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2BEE9" w14:textId="2F24A60D" w:rsidR="004C6A76" w:rsidRPr="0096317D" w:rsidRDefault="00E254AD" w:rsidP="00320FDF">
            <w:pPr>
              <w:keepNext/>
              <w:keepLines/>
              <w:spacing w:before="20" w:after="20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Communication numérique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295CF" w14:textId="77777777" w:rsidR="004C6A76" w:rsidRPr="0096317D" w:rsidRDefault="004C6A76" w:rsidP="00320FDF">
            <w:pPr>
              <w:keepNext/>
              <w:keepLines/>
              <w:spacing w:before="20" w:after="20"/>
              <w:rPr>
                <w:rFonts w:eastAsia="Times New Roman"/>
                <w:color w:val="000000" w:themeColor="text1"/>
                <w:szCs w:val="22"/>
                <w:lang w:val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A03A4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515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A4B18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470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FD17A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500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42124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483</w:t>
            </w:r>
          </w:p>
        </w:tc>
      </w:tr>
      <w:tr w:rsidR="004C6A76" w:rsidRPr="0096317D" w14:paraId="3BBB019D" w14:textId="77777777" w:rsidTr="002C4B0E">
        <w:trPr>
          <w:cantSplit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2DEB3" w14:textId="4C6D5C64" w:rsidR="004C6A76" w:rsidRPr="0096317D" w:rsidRDefault="00E254AD" w:rsidP="00320FDF">
            <w:pPr>
              <w:keepNext/>
              <w:keepLines/>
              <w:spacing w:before="20" w:after="20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Machines</w:t>
            </w:r>
            <w:r w:rsidR="00F32F71"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,</w:t>
            </w: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 xml:space="preserve"> appareils </w:t>
            </w:r>
            <w:r w:rsidR="00F32F71"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 xml:space="preserve">et énergie </w:t>
            </w: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éle</w:t>
            </w:r>
            <w:r w:rsidR="00F32F71"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ctriques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629F4" w14:textId="77777777" w:rsidR="004C6A76" w:rsidRPr="0096317D" w:rsidRDefault="004C6A76" w:rsidP="00320FDF">
            <w:pPr>
              <w:keepNext/>
              <w:keepLines/>
              <w:spacing w:before="20" w:after="20"/>
              <w:rPr>
                <w:rFonts w:eastAsia="Times New Roman"/>
                <w:color w:val="000000" w:themeColor="text1"/>
                <w:szCs w:val="22"/>
                <w:lang w:val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6466EF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637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DAAE1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541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13B39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593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E9F078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550</w:t>
            </w:r>
          </w:p>
        </w:tc>
      </w:tr>
      <w:tr w:rsidR="004C6A76" w:rsidRPr="0096317D" w14:paraId="01556D96" w14:textId="77777777" w:rsidTr="002C4B0E">
        <w:trPr>
          <w:cantSplit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9AB98" w14:textId="490FA221" w:rsidR="004C6A76" w:rsidRPr="0096317D" w:rsidRDefault="00E254AD" w:rsidP="00320FDF">
            <w:pPr>
              <w:keepNext/>
              <w:keepLines/>
              <w:spacing w:before="20" w:after="20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Méthodes de traitement des données à des fins de gestion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AB9B" w14:textId="77777777" w:rsidR="004C6A76" w:rsidRPr="0096317D" w:rsidRDefault="004C6A76" w:rsidP="00320FDF">
            <w:pPr>
              <w:keepNext/>
              <w:keepLines/>
              <w:spacing w:before="20" w:after="20"/>
              <w:rPr>
                <w:rFonts w:eastAsia="Times New Roman"/>
                <w:color w:val="000000" w:themeColor="text1"/>
                <w:szCs w:val="22"/>
                <w:lang w:val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C146E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308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87F81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287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02C89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303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97835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324</w:t>
            </w:r>
          </w:p>
        </w:tc>
      </w:tr>
      <w:tr w:rsidR="004C6A76" w:rsidRPr="0096317D" w14:paraId="3638FF11" w14:textId="77777777" w:rsidTr="002C4B0E">
        <w:trPr>
          <w:cantSplit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9CF49" w14:textId="620FB20E" w:rsidR="004C6A76" w:rsidRPr="0096317D" w:rsidRDefault="00F32F71" w:rsidP="00320FDF">
            <w:pPr>
              <w:keepNext/>
              <w:keepLines/>
              <w:spacing w:before="20" w:after="20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Semi</w:t>
            </w:r>
            <w:r w:rsidR="00B776A6">
              <w:rPr>
                <w:rFonts w:eastAsia="Times New Roman"/>
                <w:color w:val="000000" w:themeColor="text1"/>
                <w:szCs w:val="22"/>
                <w:lang w:val="fr-FR"/>
              </w:rPr>
              <w:noBreakHyphen/>
            </w: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conducteurs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1FB6A" w14:textId="77777777" w:rsidR="004C6A76" w:rsidRPr="0096317D" w:rsidRDefault="004C6A76" w:rsidP="00320FDF">
            <w:pPr>
              <w:keepNext/>
              <w:keepLines/>
              <w:spacing w:before="20" w:after="20"/>
              <w:rPr>
                <w:rFonts w:eastAsia="Times New Roman"/>
                <w:color w:val="000000" w:themeColor="text1"/>
                <w:szCs w:val="22"/>
                <w:lang w:val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6D2EC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871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6712A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03266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731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A3A3D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845</w:t>
            </w:r>
          </w:p>
        </w:tc>
      </w:tr>
      <w:tr w:rsidR="004C6A76" w:rsidRPr="0096317D" w14:paraId="24B7E33F" w14:textId="77777777" w:rsidTr="002C4B0E">
        <w:trPr>
          <w:cantSplit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DFEE6" w14:textId="54F19727" w:rsidR="004C6A76" w:rsidRPr="0096317D" w:rsidRDefault="004C6A76" w:rsidP="00320FDF">
            <w:pPr>
              <w:keepNext/>
              <w:keepLines/>
              <w:spacing w:before="20" w:after="20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T</w:t>
            </w:r>
            <w:r w:rsidR="00E254AD"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é</w:t>
            </w: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l</w:t>
            </w:r>
            <w:r w:rsidR="00E254AD"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é</w:t>
            </w: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communications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8A196" w14:textId="77777777" w:rsidR="004C6A76" w:rsidRPr="0096317D" w:rsidRDefault="004C6A76" w:rsidP="00320FDF">
            <w:pPr>
              <w:keepNext/>
              <w:keepLines/>
              <w:spacing w:before="20" w:after="20"/>
              <w:rPr>
                <w:rFonts w:eastAsia="Times New Roman"/>
                <w:color w:val="000000" w:themeColor="text1"/>
                <w:szCs w:val="22"/>
                <w:lang w:val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BBDC6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C3D4F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8B426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399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3F556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215</w:t>
            </w:r>
          </w:p>
        </w:tc>
      </w:tr>
      <w:tr w:rsidR="004C6A76" w:rsidRPr="0096317D" w14:paraId="619F0A24" w14:textId="77777777" w:rsidTr="002C4B0E">
        <w:trPr>
          <w:cantSplit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5BD3B" w14:textId="1EDC1AB6" w:rsidR="004C6A76" w:rsidRPr="0096317D" w:rsidRDefault="00E254AD" w:rsidP="00320FDF">
            <w:pPr>
              <w:keepNext/>
              <w:keepLines/>
              <w:spacing w:before="20" w:after="20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Analyse de matériels biologiques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95601" w14:textId="77777777" w:rsidR="004C6A76" w:rsidRPr="0096317D" w:rsidRDefault="004C6A76" w:rsidP="00320FDF">
            <w:pPr>
              <w:keepNext/>
              <w:keepLines/>
              <w:spacing w:before="20" w:after="20"/>
              <w:rPr>
                <w:rFonts w:eastAsia="Times New Roman"/>
                <w:color w:val="000000" w:themeColor="text1"/>
                <w:szCs w:val="22"/>
                <w:lang w:val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5287A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E8812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6D369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221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937D0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206</w:t>
            </w:r>
          </w:p>
        </w:tc>
      </w:tr>
      <w:tr w:rsidR="004C6A76" w:rsidRPr="0096317D" w14:paraId="3D90CEDC" w14:textId="77777777" w:rsidTr="002C4B0E">
        <w:trPr>
          <w:cantSplit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4F047" w14:textId="3FD87AE8" w:rsidR="004C6A76" w:rsidRPr="0096317D" w:rsidRDefault="00E254AD" w:rsidP="00320FDF">
            <w:pPr>
              <w:keepNext/>
              <w:keepLines/>
              <w:spacing w:before="20" w:after="20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Dispositifs de commande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2AE88" w14:textId="77777777" w:rsidR="004C6A76" w:rsidRPr="0096317D" w:rsidRDefault="004C6A76" w:rsidP="00320FDF">
            <w:pPr>
              <w:keepNext/>
              <w:keepLines/>
              <w:spacing w:before="20" w:after="20"/>
              <w:rPr>
                <w:rFonts w:eastAsia="Times New Roman"/>
                <w:color w:val="000000" w:themeColor="text1"/>
                <w:szCs w:val="22"/>
                <w:lang w:val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E6FF9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193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A71C3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AF233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238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A5663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225</w:t>
            </w:r>
          </w:p>
        </w:tc>
      </w:tr>
      <w:tr w:rsidR="004C6A76" w:rsidRPr="0096317D" w14:paraId="6CEF2801" w14:textId="77777777" w:rsidTr="002C4B0E">
        <w:trPr>
          <w:cantSplit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C9EEB" w14:textId="589AC49C" w:rsidR="004C6A76" w:rsidRPr="0096317D" w:rsidRDefault="00E254AD" w:rsidP="00320FDF">
            <w:pPr>
              <w:keepNext/>
              <w:keepLines/>
              <w:spacing w:before="20" w:after="20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Techniques de mesure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984C6" w14:textId="77777777" w:rsidR="004C6A76" w:rsidRPr="0096317D" w:rsidRDefault="004C6A76" w:rsidP="00320FDF">
            <w:pPr>
              <w:keepNext/>
              <w:keepLines/>
              <w:spacing w:before="20" w:after="20"/>
              <w:rPr>
                <w:rFonts w:eastAsia="Times New Roman"/>
                <w:color w:val="000000" w:themeColor="text1"/>
                <w:szCs w:val="22"/>
                <w:lang w:val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76CE2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855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8E27B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745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5745A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894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DA1A6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825</w:t>
            </w:r>
          </w:p>
        </w:tc>
      </w:tr>
      <w:tr w:rsidR="004C6A76" w:rsidRPr="0096317D" w14:paraId="4EFC2CDE" w14:textId="77777777" w:rsidTr="002C4B0E">
        <w:trPr>
          <w:cantSplit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EB23D" w14:textId="120BBB85" w:rsidR="004C6A76" w:rsidRPr="0096317D" w:rsidRDefault="00E254AD" w:rsidP="00320FDF">
            <w:pPr>
              <w:keepNext/>
              <w:keepLines/>
              <w:spacing w:before="20" w:after="20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Technologie médicale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89C03" w14:textId="77777777" w:rsidR="004C6A76" w:rsidRPr="0096317D" w:rsidRDefault="004C6A76" w:rsidP="00320FDF">
            <w:pPr>
              <w:keepNext/>
              <w:keepLines/>
              <w:spacing w:before="20" w:after="20"/>
              <w:rPr>
                <w:rFonts w:eastAsia="Times New Roman"/>
                <w:color w:val="000000" w:themeColor="text1"/>
                <w:szCs w:val="22"/>
                <w:lang w:val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5EE5D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813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6465F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6633C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874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9BB88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761</w:t>
            </w:r>
          </w:p>
        </w:tc>
      </w:tr>
      <w:tr w:rsidR="004C6A76" w:rsidRPr="0096317D" w14:paraId="1F4DB9E2" w14:textId="77777777" w:rsidTr="002C4B0E">
        <w:trPr>
          <w:cantSplit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22008" w14:textId="639DEEFA" w:rsidR="004C6A76" w:rsidRPr="0096317D" w:rsidRDefault="004C6A76" w:rsidP="00320FDF">
            <w:pPr>
              <w:keepNext/>
              <w:keepLines/>
              <w:spacing w:before="20" w:after="20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Opti</w:t>
            </w:r>
            <w:r w:rsidR="00E254AD"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que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3B583" w14:textId="77777777" w:rsidR="004C6A76" w:rsidRPr="0096317D" w:rsidRDefault="004C6A76" w:rsidP="00320FDF">
            <w:pPr>
              <w:keepNext/>
              <w:keepLines/>
              <w:spacing w:before="20" w:after="20"/>
              <w:rPr>
                <w:rFonts w:eastAsia="Times New Roman"/>
                <w:color w:val="000000" w:themeColor="text1"/>
                <w:szCs w:val="22"/>
                <w:lang w:val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73DEE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F970C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27B0E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347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79DCE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292</w:t>
            </w:r>
          </w:p>
        </w:tc>
      </w:tr>
      <w:tr w:rsidR="004C6A76" w:rsidRPr="0096317D" w14:paraId="77373397" w14:textId="77777777" w:rsidTr="002C4B0E">
        <w:trPr>
          <w:cantSplit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0E8F9" w14:textId="3D254250" w:rsidR="004C6A76" w:rsidRPr="0096317D" w:rsidRDefault="00E254AD" w:rsidP="00320FDF">
            <w:pPr>
              <w:keepNext/>
              <w:keepLines/>
              <w:spacing w:before="20" w:after="20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Moteurs, pompes, turbines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65213" w14:textId="77777777" w:rsidR="004C6A76" w:rsidRPr="0096317D" w:rsidRDefault="004C6A76" w:rsidP="00320FDF">
            <w:pPr>
              <w:keepNext/>
              <w:keepLines/>
              <w:spacing w:before="20" w:after="20"/>
              <w:rPr>
                <w:rFonts w:eastAsia="Times New Roman"/>
                <w:color w:val="000000" w:themeColor="text1"/>
                <w:szCs w:val="22"/>
                <w:lang w:val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796E5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241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48990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471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E1FE6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308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A7213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210</w:t>
            </w:r>
          </w:p>
        </w:tc>
      </w:tr>
      <w:tr w:rsidR="004C6A76" w:rsidRPr="0096317D" w14:paraId="26677372" w14:textId="77777777" w:rsidTr="002C4B0E">
        <w:trPr>
          <w:cantSplit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32F41" w14:textId="49E8E4FE" w:rsidR="004C6A76" w:rsidRPr="0096317D" w:rsidRDefault="00E254AD" w:rsidP="00320FDF">
            <w:pPr>
              <w:keepNext/>
              <w:keepLines/>
              <w:spacing w:before="20" w:after="20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Manutention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88CC8" w14:textId="77777777" w:rsidR="004C6A76" w:rsidRPr="0096317D" w:rsidRDefault="004C6A76" w:rsidP="00320FDF">
            <w:pPr>
              <w:keepNext/>
              <w:keepLines/>
              <w:spacing w:before="20" w:after="20"/>
              <w:rPr>
                <w:rFonts w:eastAsia="Times New Roman"/>
                <w:color w:val="000000" w:themeColor="text1"/>
                <w:szCs w:val="22"/>
                <w:lang w:val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DA907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508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A3940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31F92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490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EFD48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450</w:t>
            </w:r>
          </w:p>
        </w:tc>
      </w:tr>
      <w:tr w:rsidR="004C6A76" w:rsidRPr="0096317D" w14:paraId="4F90188C" w14:textId="77777777" w:rsidTr="002C4B0E">
        <w:trPr>
          <w:cantSplit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4B068" w14:textId="0D2CA068" w:rsidR="004C6A76" w:rsidRPr="0096317D" w:rsidRDefault="00F32F71" w:rsidP="00320FDF">
            <w:pPr>
              <w:keepNext/>
              <w:keepLines/>
              <w:spacing w:before="20" w:after="20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Machines</w:t>
            </w:r>
            <w:r w:rsidR="00B776A6">
              <w:rPr>
                <w:rFonts w:eastAsia="Times New Roman"/>
                <w:color w:val="000000" w:themeColor="text1"/>
                <w:szCs w:val="22"/>
                <w:lang w:val="fr-FR"/>
              </w:rPr>
              <w:noBreakHyphen/>
            </w: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outils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07760" w14:textId="77777777" w:rsidR="004C6A76" w:rsidRPr="0096317D" w:rsidRDefault="004C6A76" w:rsidP="00320FDF">
            <w:pPr>
              <w:keepNext/>
              <w:keepLines/>
              <w:spacing w:before="20" w:after="20"/>
              <w:rPr>
                <w:rFonts w:eastAsia="Times New Roman"/>
                <w:color w:val="000000" w:themeColor="text1"/>
                <w:szCs w:val="22"/>
                <w:lang w:val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05F70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341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A230E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FA1FC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262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6087B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331</w:t>
            </w:r>
          </w:p>
        </w:tc>
      </w:tr>
      <w:tr w:rsidR="004C6A76" w:rsidRPr="0096317D" w14:paraId="45255B01" w14:textId="77777777" w:rsidTr="002C4B0E">
        <w:trPr>
          <w:cantSplit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A7FBC" w14:textId="78BBD3E8" w:rsidR="004C6A76" w:rsidRPr="0096317D" w:rsidRDefault="00E254AD" w:rsidP="00320FDF">
            <w:pPr>
              <w:keepNext/>
              <w:keepLines/>
              <w:spacing w:before="20" w:after="20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Éléments mécaniques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33713" w14:textId="77777777" w:rsidR="004C6A76" w:rsidRPr="0096317D" w:rsidRDefault="004C6A76" w:rsidP="00320FDF">
            <w:pPr>
              <w:keepNext/>
              <w:keepLines/>
              <w:spacing w:before="20" w:after="20"/>
              <w:rPr>
                <w:rFonts w:eastAsia="Times New Roman"/>
                <w:color w:val="000000" w:themeColor="text1"/>
                <w:szCs w:val="22"/>
                <w:lang w:val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49D55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4A005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276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BA6FF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271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273E8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312</w:t>
            </w:r>
          </w:p>
        </w:tc>
      </w:tr>
      <w:tr w:rsidR="004C6A76" w:rsidRPr="0096317D" w14:paraId="0171D956" w14:textId="77777777" w:rsidTr="002C4B0E">
        <w:trPr>
          <w:cantSplit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11964" w14:textId="461561C3" w:rsidR="004C6A76" w:rsidRPr="0096317D" w:rsidRDefault="00E254AD" w:rsidP="00320FDF">
            <w:pPr>
              <w:keepNext/>
              <w:keepLines/>
              <w:spacing w:before="20" w:after="20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Autres machines spéciales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FDFA" w14:textId="77777777" w:rsidR="004C6A76" w:rsidRPr="0096317D" w:rsidRDefault="004C6A76" w:rsidP="00320FDF">
            <w:pPr>
              <w:keepNext/>
              <w:keepLines/>
              <w:spacing w:before="20" w:after="20"/>
              <w:rPr>
                <w:rFonts w:eastAsia="Times New Roman"/>
                <w:color w:val="000000" w:themeColor="text1"/>
                <w:szCs w:val="22"/>
                <w:lang w:val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721D4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478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9C331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471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20E56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451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CC36C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468</w:t>
            </w:r>
          </w:p>
        </w:tc>
      </w:tr>
      <w:tr w:rsidR="004C6A76" w:rsidRPr="0096317D" w14:paraId="05359BEE" w14:textId="77777777" w:rsidTr="002C4B0E">
        <w:trPr>
          <w:cantSplit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B5638" w14:textId="14892F7A" w:rsidR="004C6A76" w:rsidRPr="0096317D" w:rsidRDefault="00E254AD" w:rsidP="00320FDF">
            <w:pPr>
              <w:keepNext/>
              <w:keepLines/>
              <w:spacing w:before="20" w:after="20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Machines à fabriquer du papier et des textiles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748A2" w14:textId="77777777" w:rsidR="004C6A76" w:rsidRPr="0096317D" w:rsidRDefault="004C6A76" w:rsidP="00320FDF">
            <w:pPr>
              <w:keepNext/>
              <w:keepLines/>
              <w:spacing w:before="20" w:after="20"/>
              <w:rPr>
                <w:rFonts w:eastAsia="Times New Roman"/>
                <w:color w:val="000000" w:themeColor="text1"/>
                <w:szCs w:val="22"/>
                <w:lang w:val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A4D39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1681D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3E34C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96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3AE62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107</w:t>
            </w:r>
          </w:p>
        </w:tc>
      </w:tr>
      <w:tr w:rsidR="004C6A76" w:rsidRPr="0096317D" w14:paraId="3DD97A70" w14:textId="77777777" w:rsidTr="002C4B0E">
        <w:trPr>
          <w:cantSplit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BA105" w14:textId="68DC5749" w:rsidR="004C6A76" w:rsidRPr="0096317D" w:rsidRDefault="00E254AD" w:rsidP="00320FDF">
            <w:pPr>
              <w:keepNext/>
              <w:keepLines/>
              <w:spacing w:before="20" w:after="20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Procédés et appareils thermiques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D396B" w14:textId="77777777" w:rsidR="004C6A76" w:rsidRPr="0096317D" w:rsidRDefault="004C6A76" w:rsidP="00320FDF">
            <w:pPr>
              <w:keepNext/>
              <w:keepLines/>
              <w:spacing w:before="20" w:after="20"/>
              <w:rPr>
                <w:rFonts w:eastAsia="Times New Roman"/>
                <w:color w:val="000000" w:themeColor="text1"/>
                <w:szCs w:val="22"/>
                <w:lang w:val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0C0C5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02BFD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494BA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127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A7B4F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157</w:t>
            </w:r>
          </w:p>
        </w:tc>
      </w:tr>
      <w:tr w:rsidR="004C6A76" w:rsidRPr="0096317D" w14:paraId="26886953" w14:textId="77777777" w:rsidTr="002C4B0E">
        <w:trPr>
          <w:cantSplit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AF460" w14:textId="77777777" w:rsidR="004C6A76" w:rsidRPr="0096317D" w:rsidRDefault="004C6A76" w:rsidP="00320FDF">
            <w:pPr>
              <w:keepNext/>
              <w:keepLines/>
              <w:spacing w:before="20" w:after="20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Transport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DF0F8" w14:textId="77777777" w:rsidR="004C6A76" w:rsidRPr="0096317D" w:rsidRDefault="004C6A76" w:rsidP="00320FDF">
            <w:pPr>
              <w:keepNext/>
              <w:keepLines/>
              <w:spacing w:before="20" w:after="20"/>
              <w:rPr>
                <w:rFonts w:eastAsia="Times New Roman"/>
                <w:color w:val="000000" w:themeColor="text1"/>
                <w:szCs w:val="22"/>
                <w:lang w:val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26217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329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9D9E9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9730C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405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F5E0F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393</w:t>
            </w:r>
          </w:p>
        </w:tc>
      </w:tr>
      <w:tr w:rsidR="004C6A76" w:rsidRPr="0096317D" w14:paraId="71114E4E" w14:textId="77777777" w:rsidTr="002C4B0E">
        <w:trPr>
          <w:cantSplit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D6300" w14:textId="152C36E7" w:rsidR="004C6A76" w:rsidRPr="0096317D" w:rsidRDefault="00561A29" w:rsidP="00320FDF">
            <w:pPr>
              <w:keepNext/>
              <w:keepLines/>
              <w:spacing w:before="20" w:after="20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Génie civil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ECA4" w14:textId="77777777" w:rsidR="004C6A76" w:rsidRPr="0096317D" w:rsidRDefault="004C6A76" w:rsidP="00320FDF">
            <w:pPr>
              <w:keepNext/>
              <w:keepLines/>
              <w:spacing w:before="20" w:after="20"/>
              <w:rPr>
                <w:rFonts w:eastAsia="Times New Roman"/>
                <w:color w:val="000000" w:themeColor="text1"/>
                <w:szCs w:val="22"/>
                <w:lang w:val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209CC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784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EB61E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D90AA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788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395A9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782</w:t>
            </w:r>
          </w:p>
        </w:tc>
      </w:tr>
      <w:tr w:rsidR="004C6A76" w:rsidRPr="0096317D" w14:paraId="44F60C3B" w14:textId="77777777" w:rsidTr="002C4B0E">
        <w:trPr>
          <w:cantSplit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60557" w14:textId="58FA1BBC" w:rsidR="004C6A76" w:rsidRPr="0096317D" w:rsidRDefault="00F32F71" w:rsidP="00320FDF">
            <w:pPr>
              <w:keepNext/>
              <w:keepLines/>
              <w:spacing w:before="20" w:after="20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Meubles</w:t>
            </w:r>
            <w:r w:rsidR="004C6A76"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 xml:space="preserve">, </w:t>
            </w:r>
            <w:r w:rsidR="00561A29"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jeux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7AFF3" w14:textId="77777777" w:rsidR="004C6A76" w:rsidRPr="0096317D" w:rsidRDefault="004C6A76" w:rsidP="00320FDF">
            <w:pPr>
              <w:keepNext/>
              <w:keepLines/>
              <w:spacing w:before="20" w:after="20"/>
              <w:rPr>
                <w:rFonts w:eastAsia="Times New Roman"/>
                <w:color w:val="000000" w:themeColor="text1"/>
                <w:szCs w:val="22"/>
                <w:lang w:val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5D2D8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216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692F1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254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005A8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193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603A1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165</w:t>
            </w:r>
          </w:p>
        </w:tc>
      </w:tr>
      <w:tr w:rsidR="004C6A76" w:rsidRPr="0096317D" w14:paraId="1F4E9687" w14:textId="77777777" w:rsidTr="002C4B0E">
        <w:trPr>
          <w:cantSplit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01DFC" w14:textId="2F3E3790" w:rsidR="004C6A76" w:rsidRPr="0096317D" w:rsidRDefault="00561A29" w:rsidP="00320FDF">
            <w:pPr>
              <w:keepNext/>
              <w:keepLines/>
              <w:spacing w:before="20" w:after="20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Autres biens de consommation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B0B42" w14:textId="77777777" w:rsidR="004C6A76" w:rsidRPr="0096317D" w:rsidRDefault="004C6A76" w:rsidP="00320FDF">
            <w:pPr>
              <w:keepNext/>
              <w:keepLines/>
              <w:spacing w:before="20" w:after="20"/>
              <w:rPr>
                <w:rFonts w:eastAsia="Times New Roman"/>
                <w:color w:val="000000" w:themeColor="text1"/>
                <w:szCs w:val="22"/>
                <w:lang w:val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BE474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214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80B2F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282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1EA22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251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FEEF3" w14:textId="77777777" w:rsidR="004C6A76" w:rsidRPr="0096317D" w:rsidRDefault="004C6A76" w:rsidP="00320FDF">
            <w:pPr>
              <w:keepNext/>
              <w:keepLines/>
              <w:spacing w:before="20" w:after="20"/>
              <w:jc w:val="center"/>
              <w:rPr>
                <w:rFonts w:eastAsia="Times New Roman"/>
                <w:color w:val="000000" w:themeColor="text1"/>
                <w:szCs w:val="22"/>
                <w:lang w:val="fr-FR"/>
              </w:rPr>
            </w:pPr>
            <w:r w:rsidRPr="0096317D">
              <w:rPr>
                <w:rFonts w:eastAsia="Times New Roman"/>
                <w:color w:val="000000" w:themeColor="text1"/>
                <w:szCs w:val="22"/>
                <w:lang w:val="fr-FR"/>
              </w:rPr>
              <w:t>276</w:t>
            </w:r>
          </w:p>
        </w:tc>
      </w:tr>
    </w:tbl>
    <w:p w14:paraId="24F18001" w14:textId="45204A47" w:rsidR="004C6A76" w:rsidRPr="0096317D" w:rsidRDefault="00560D94" w:rsidP="00320FDF">
      <w:pPr>
        <w:keepNext/>
        <w:keepLines/>
        <w:jc w:val="both"/>
        <w:rPr>
          <w:rFonts w:eastAsia="Times New Roman"/>
          <w:i/>
          <w:iCs/>
          <w:sz w:val="20"/>
          <w:lang w:val="fr-FR"/>
        </w:rPr>
      </w:pPr>
      <w:r w:rsidRPr="0096317D">
        <w:rPr>
          <w:rFonts w:eastAsia="Times New Roman"/>
          <w:i/>
          <w:iCs/>
          <w:sz w:val="20"/>
          <w:lang w:val="fr-FR"/>
        </w:rPr>
        <w:t>Données extraites le</w:t>
      </w:r>
      <w:r w:rsidR="00F32F71" w:rsidRPr="0096317D">
        <w:rPr>
          <w:rFonts w:eastAsia="Times New Roman"/>
          <w:i/>
          <w:iCs/>
          <w:sz w:val="20"/>
          <w:lang w:val="fr-FR"/>
        </w:rPr>
        <w:t> </w:t>
      </w:r>
      <w:r w:rsidR="004C6A76" w:rsidRPr="0096317D">
        <w:rPr>
          <w:rFonts w:eastAsia="Times New Roman"/>
          <w:i/>
          <w:iCs/>
          <w:sz w:val="20"/>
          <w:lang w:val="fr-FR"/>
        </w:rPr>
        <w:t xml:space="preserve">10/02/2017 </w:t>
      </w:r>
      <w:r w:rsidRPr="0096317D">
        <w:rPr>
          <w:rFonts w:eastAsia="Times New Roman"/>
          <w:i/>
          <w:iCs/>
          <w:sz w:val="20"/>
          <w:lang w:val="fr-FR"/>
        </w:rPr>
        <w:t xml:space="preserve">sur la base de la date </w:t>
      </w:r>
      <w:r w:rsidR="00DA007A">
        <w:rPr>
          <w:rFonts w:eastAsia="Times New Roman"/>
          <w:i/>
          <w:iCs/>
          <w:sz w:val="20"/>
          <w:lang w:val="fr-FR"/>
        </w:rPr>
        <w:t>de présentation</w:t>
      </w:r>
      <w:r w:rsidR="004C6A76" w:rsidRPr="0096317D">
        <w:rPr>
          <w:rFonts w:eastAsia="Times New Roman"/>
          <w:i/>
          <w:iCs/>
          <w:sz w:val="20"/>
          <w:lang w:val="fr-FR"/>
        </w:rPr>
        <w:t xml:space="preserve"> </w:t>
      </w:r>
      <w:r w:rsidRPr="0096317D">
        <w:rPr>
          <w:rFonts w:eastAsia="Times New Roman"/>
          <w:i/>
          <w:iCs/>
          <w:sz w:val="20"/>
          <w:lang w:val="fr-FR"/>
        </w:rPr>
        <w:t>des demandes.</w:t>
      </w:r>
    </w:p>
    <w:p w14:paraId="5FC85A5D" w14:textId="1EE99B54" w:rsidR="004C6A76" w:rsidRPr="0096317D" w:rsidRDefault="004C6A76" w:rsidP="00320FDF">
      <w:pPr>
        <w:keepNext/>
        <w:keepLines/>
        <w:jc w:val="both"/>
        <w:rPr>
          <w:rFonts w:eastAsia="Times New Roman"/>
          <w:i/>
          <w:iCs/>
          <w:sz w:val="20"/>
          <w:lang w:val="fr-FR"/>
        </w:rPr>
      </w:pPr>
      <w:r w:rsidRPr="0096317D">
        <w:rPr>
          <w:rFonts w:eastAsia="Times New Roman"/>
          <w:i/>
          <w:iCs/>
          <w:sz w:val="20"/>
          <w:lang w:val="fr-FR"/>
        </w:rPr>
        <w:t>*</w:t>
      </w:r>
      <w:r w:rsidR="00EA2636" w:rsidRPr="0096317D">
        <w:rPr>
          <w:rFonts w:eastAsia="Times New Roman"/>
          <w:i/>
          <w:iCs/>
          <w:sz w:val="20"/>
          <w:lang w:val="fr-FR"/>
        </w:rPr>
        <w:t> Nombre de subventions par groupe de technologies.</w:t>
      </w:r>
    </w:p>
    <w:p w14:paraId="205B0B3D" w14:textId="5FCAF86D" w:rsidR="002C4B0E" w:rsidRDefault="004C6A76" w:rsidP="002C4B0E">
      <w:pPr>
        <w:keepNext/>
        <w:keepLines/>
        <w:jc w:val="both"/>
        <w:rPr>
          <w:bCs/>
          <w:iCs/>
          <w:caps/>
          <w:szCs w:val="28"/>
          <w:lang w:val="fr-FR"/>
        </w:rPr>
      </w:pPr>
      <w:r w:rsidRPr="0096317D">
        <w:rPr>
          <w:rFonts w:eastAsia="Times New Roman"/>
          <w:i/>
          <w:iCs/>
          <w:sz w:val="20"/>
          <w:lang w:val="fr-FR"/>
        </w:rPr>
        <w:t xml:space="preserve">* </w:t>
      </w:r>
      <w:r w:rsidR="00EA2636" w:rsidRPr="0096317D">
        <w:rPr>
          <w:rFonts w:eastAsia="Times New Roman"/>
          <w:i/>
          <w:iCs/>
          <w:sz w:val="20"/>
          <w:lang w:val="fr-FR"/>
        </w:rPr>
        <w:t>Une demande peut relever de plusieurs catégories de la classification internationale des brevets (CIB) et peut par conséquent être comptabilisée plusieurs fois dans les groupements.</w:t>
      </w:r>
      <w:r w:rsidR="002C4B0E">
        <w:rPr>
          <w:lang w:val="fr-FR"/>
        </w:rPr>
        <w:br w:type="page"/>
      </w:r>
    </w:p>
    <w:p w14:paraId="6BD10BCE" w14:textId="28FD816D" w:rsidR="004C6A76" w:rsidRPr="0096317D" w:rsidRDefault="00C67C18" w:rsidP="00320FDF">
      <w:pPr>
        <w:pStyle w:val="Heading2"/>
        <w:rPr>
          <w:lang w:val="fr-FR"/>
        </w:rPr>
      </w:pPr>
      <w:r w:rsidRPr="0096317D">
        <w:rPr>
          <w:lang w:val="fr-FR"/>
        </w:rPr>
        <w:t>6.2</w:t>
      </w:r>
      <w:r>
        <w:rPr>
          <w:lang w:val="fr-FR"/>
        </w:rPr>
        <w:tab/>
        <w:t>N</w:t>
      </w:r>
      <w:r w:rsidRPr="0096317D">
        <w:rPr>
          <w:lang w:val="fr-FR"/>
        </w:rPr>
        <w:t>ombre de demandes nationales reçues – par voie de dépôt :</w:t>
      </w:r>
    </w:p>
    <w:p w14:paraId="4DBED98B" w14:textId="77777777" w:rsidR="004C6A76" w:rsidRPr="00C67C18" w:rsidRDefault="004C6A76" w:rsidP="00320FDF">
      <w:pPr>
        <w:rPr>
          <w:szCs w:val="22"/>
          <w:lang w:val="fr-F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904"/>
        <w:gridCol w:w="1332"/>
        <w:gridCol w:w="1334"/>
        <w:gridCol w:w="1333"/>
        <w:gridCol w:w="1334"/>
        <w:gridCol w:w="1334"/>
      </w:tblGrid>
      <w:tr w:rsidR="004C6A76" w:rsidRPr="0096317D" w14:paraId="74EDA8D4" w14:textId="77777777" w:rsidTr="002C4B0E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2DAC7F24" w14:textId="77777777" w:rsidR="004C6A76" w:rsidRPr="0096317D" w:rsidRDefault="004C6A76" w:rsidP="00320FDF">
            <w:pPr>
              <w:jc w:val="right"/>
              <w:rPr>
                <w:rFonts w:eastAsia="Times New Roman"/>
                <w:b/>
                <w:bCs/>
                <w:szCs w:val="22"/>
                <w:lang w:val="fr-FR" w:eastAsia="en-US" w:bidi="he-IL"/>
              </w:rPr>
            </w:pPr>
          </w:p>
          <w:p w14:paraId="4D965328" w14:textId="023915B9" w:rsidR="004C6A76" w:rsidRPr="0096317D" w:rsidRDefault="0061447C" w:rsidP="00320FDF">
            <w:pPr>
              <w:jc w:val="right"/>
              <w:rPr>
                <w:b/>
                <w:bCs/>
                <w:szCs w:val="22"/>
                <w:lang w:val="fr-FR" w:eastAsia="en-US" w:bidi="he-IL"/>
              </w:rPr>
            </w:pPr>
            <w:r w:rsidRPr="0096317D">
              <w:rPr>
                <w:b/>
                <w:bCs/>
                <w:szCs w:val="22"/>
                <w:lang w:val="fr-FR" w:eastAsia="en-US" w:bidi="he-IL"/>
              </w:rPr>
              <w:t>Année</w:t>
            </w:r>
          </w:p>
          <w:p w14:paraId="1B00FF86" w14:textId="336C81F3" w:rsidR="004C6A76" w:rsidRPr="0096317D" w:rsidRDefault="0061447C" w:rsidP="00320FDF">
            <w:pPr>
              <w:suppressAutoHyphens/>
              <w:rPr>
                <w:rFonts w:eastAsia="Times New Roman"/>
                <w:b/>
                <w:bCs/>
                <w:szCs w:val="22"/>
                <w:lang w:val="fr-FR" w:eastAsia="en-US" w:bidi="he-IL"/>
              </w:rPr>
            </w:pPr>
            <w:r w:rsidRPr="0096317D">
              <w:rPr>
                <w:b/>
                <w:bCs/>
                <w:szCs w:val="22"/>
                <w:lang w:val="fr-FR" w:eastAsia="en-US" w:bidi="he-IL"/>
              </w:rPr>
              <w:t>Voie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770EE" w14:textId="77777777" w:rsidR="004C6A76" w:rsidRPr="0096317D" w:rsidRDefault="004C6A76" w:rsidP="00320FDF">
            <w:pPr>
              <w:jc w:val="center"/>
              <w:rPr>
                <w:b/>
                <w:szCs w:val="22"/>
                <w:lang w:val="fr-FR" w:eastAsia="en-US"/>
              </w:rPr>
            </w:pPr>
            <w:r w:rsidRPr="0096317D">
              <w:rPr>
                <w:b/>
                <w:szCs w:val="22"/>
                <w:lang w:val="fr-FR" w:eastAsia="en-US"/>
              </w:rPr>
              <w:t>2012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0540" w14:textId="77777777" w:rsidR="004C6A76" w:rsidRPr="0096317D" w:rsidRDefault="004C6A76" w:rsidP="00320FDF">
            <w:pPr>
              <w:jc w:val="center"/>
              <w:rPr>
                <w:b/>
                <w:szCs w:val="22"/>
                <w:lang w:val="fr-FR" w:eastAsia="en-US"/>
              </w:rPr>
            </w:pPr>
            <w:r w:rsidRPr="0096317D">
              <w:rPr>
                <w:b/>
                <w:szCs w:val="22"/>
                <w:lang w:val="fr-FR" w:eastAsia="en-US"/>
              </w:rPr>
              <w:t>2013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10DD" w14:textId="77777777" w:rsidR="004C6A76" w:rsidRPr="0096317D" w:rsidRDefault="004C6A76" w:rsidP="00320FDF">
            <w:pPr>
              <w:jc w:val="center"/>
              <w:rPr>
                <w:b/>
                <w:szCs w:val="22"/>
                <w:lang w:val="fr-FR" w:eastAsia="en-US"/>
              </w:rPr>
            </w:pPr>
            <w:r w:rsidRPr="0096317D">
              <w:rPr>
                <w:b/>
                <w:szCs w:val="22"/>
                <w:lang w:val="fr-FR" w:eastAsia="en-US"/>
              </w:rPr>
              <w:t>2014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B2FF" w14:textId="77777777" w:rsidR="004C6A76" w:rsidRPr="0096317D" w:rsidRDefault="004C6A76" w:rsidP="00320FDF">
            <w:pPr>
              <w:jc w:val="center"/>
              <w:rPr>
                <w:b/>
                <w:szCs w:val="22"/>
                <w:lang w:val="fr-FR" w:eastAsia="en-US"/>
              </w:rPr>
            </w:pPr>
            <w:r w:rsidRPr="0096317D">
              <w:rPr>
                <w:b/>
                <w:szCs w:val="22"/>
                <w:lang w:val="fr-FR" w:eastAsia="en-US"/>
              </w:rPr>
              <w:t>2015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A9C4" w14:textId="77777777" w:rsidR="004C6A76" w:rsidRPr="0096317D" w:rsidRDefault="004C6A76" w:rsidP="00320FDF">
            <w:pPr>
              <w:jc w:val="center"/>
              <w:rPr>
                <w:b/>
                <w:szCs w:val="22"/>
                <w:lang w:val="fr-FR" w:eastAsia="en-US"/>
              </w:rPr>
            </w:pPr>
            <w:r w:rsidRPr="0096317D">
              <w:rPr>
                <w:b/>
                <w:szCs w:val="22"/>
                <w:lang w:val="fr-FR" w:eastAsia="en-US"/>
              </w:rPr>
              <w:t>2016</w:t>
            </w:r>
          </w:p>
        </w:tc>
      </w:tr>
      <w:tr w:rsidR="004C6A76" w:rsidRPr="0096317D" w14:paraId="66123489" w14:textId="77777777" w:rsidTr="002C4B0E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CA231" w14:textId="77777777" w:rsidR="0061447C" w:rsidRPr="0096317D" w:rsidRDefault="0061447C" w:rsidP="00320FDF">
            <w:pPr>
              <w:suppressAutoHyphens/>
              <w:spacing w:before="20" w:after="20"/>
              <w:rPr>
                <w:lang w:val="fr-FR"/>
              </w:rPr>
            </w:pPr>
            <w:r w:rsidRPr="0096317D">
              <w:rPr>
                <w:lang w:val="fr-FR"/>
              </w:rPr>
              <w:t>Premier dépôt national/</w:t>
            </w:r>
          </w:p>
          <w:p w14:paraId="3AE452EB" w14:textId="063715C2" w:rsidR="004C6A76" w:rsidRPr="0096317D" w:rsidRDefault="0061447C" w:rsidP="00320FDF">
            <w:pPr>
              <w:suppressAutoHyphens/>
              <w:spacing w:before="20" w:after="20"/>
              <w:rPr>
                <w:rFonts w:eastAsia="Times New Roman"/>
                <w:szCs w:val="22"/>
                <w:lang w:val="fr-FR" w:eastAsia="en-US" w:bidi="he-IL"/>
              </w:rPr>
            </w:pPr>
            <w:r w:rsidRPr="0096317D">
              <w:rPr>
                <w:lang w:val="fr-FR"/>
              </w:rPr>
              <w:t>priorité interne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C6C1" w14:textId="77777777" w:rsidR="004C6A76" w:rsidRPr="0096317D" w:rsidRDefault="004C6A76" w:rsidP="00320FDF">
            <w:pPr>
              <w:spacing w:before="20" w:after="20"/>
              <w:jc w:val="center"/>
              <w:rPr>
                <w:szCs w:val="22"/>
                <w:lang w:val="fr-FR" w:eastAsia="en-US"/>
              </w:rPr>
            </w:pPr>
            <w:r w:rsidRPr="0096317D">
              <w:rPr>
                <w:szCs w:val="22"/>
                <w:lang w:val="fr-FR"/>
              </w:rPr>
              <w:t>627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BB99" w14:textId="77777777" w:rsidR="004C6A76" w:rsidRPr="0096317D" w:rsidRDefault="004C6A76" w:rsidP="00320FDF">
            <w:pPr>
              <w:spacing w:before="20" w:after="20"/>
              <w:jc w:val="center"/>
              <w:rPr>
                <w:szCs w:val="22"/>
                <w:lang w:val="fr-FR" w:eastAsia="en-US"/>
              </w:rPr>
            </w:pPr>
            <w:r w:rsidRPr="0096317D">
              <w:rPr>
                <w:szCs w:val="22"/>
                <w:lang w:val="fr-FR"/>
              </w:rPr>
              <w:t>641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9C20" w14:textId="77777777" w:rsidR="004C6A76" w:rsidRPr="0096317D" w:rsidRDefault="004C6A76" w:rsidP="00320FDF">
            <w:pPr>
              <w:spacing w:before="20" w:after="20"/>
              <w:jc w:val="center"/>
              <w:rPr>
                <w:szCs w:val="22"/>
                <w:lang w:val="fr-FR" w:eastAsia="en-US"/>
              </w:rPr>
            </w:pPr>
            <w:r w:rsidRPr="0096317D">
              <w:rPr>
                <w:szCs w:val="22"/>
                <w:lang w:val="fr-FR"/>
              </w:rPr>
              <w:t>837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2C4D" w14:textId="0DF29BA3" w:rsidR="004C6A76" w:rsidRPr="0096317D" w:rsidRDefault="004C6A76" w:rsidP="00320FDF">
            <w:pPr>
              <w:spacing w:before="20" w:after="20"/>
              <w:jc w:val="center"/>
              <w:rPr>
                <w:szCs w:val="22"/>
                <w:lang w:val="fr-FR" w:eastAsia="en-US"/>
              </w:rPr>
            </w:pPr>
            <w:r w:rsidRPr="0096317D">
              <w:rPr>
                <w:szCs w:val="22"/>
                <w:lang w:val="fr-FR"/>
              </w:rPr>
              <w:t>1</w:t>
            </w:r>
            <w:r w:rsidR="00EA2636" w:rsidRPr="0096317D">
              <w:rPr>
                <w:szCs w:val="22"/>
                <w:lang w:val="fr-FR"/>
              </w:rPr>
              <w:t> </w:t>
            </w:r>
            <w:r w:rsidRPr="0096317D">
              <w:rPr>
                <w:szCs w:val="22"/>
                <w:lang w:val="fr-FR"/>
              </w:rPr>
              <w:t>056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540C" w14:textId="03F5651B" w:rsidR="004C6A76" w:rsidRPr="0096317D" w:rsidRDefault="004C6A76" w:rsidP="00320FDF">
            <w:pPr>
              <w:spacing w:before="20" w:after="20"/>
              <w:jc w:val="center"/>
              <w:rPr>
                <w:szCs w:val="22"/>
                <w:lang w:val="fr-FR" w:eastAsia="en-US"/>
              </w:rPr>
            </w:pPr>
            <w:r w:rsidRPr="0096317D">
              <w:rPr>
                <w:szCs w:val="22"/>
                <w:lang w:val="fr-FR"/>
              </w:rPr>
              <w:t>1</w:t>
            </w:r>
            <w:r w:rsidR="00EA2636" w:rsidRPr="0096317D">
              <w:rPr>
                <w:szCs w:val="22"/>
                <w:lang w:val="fr-FR"/>
              </w:rPr>
              <w:t> </w:t>
            </w:r>
            <w:r w:rsidRPr="0096317D">
              <w:rPr>
                <w:szCs w:val="22"/>
                <w:lang w:val="fr-FR"/>
              </w:rPr>
              <w:t>180</w:t>
            </w:r>
          </w:p>
        </w:tc>
      </w:tr>
      <w:tr w:rsidR="004C6A76" w:rsidRPr="0096317D" w14:paraId="7DAFE1BC" w14:textId="77777777" w:rsidTr="002C4B0E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6665A" w14:textId="7E455E66" w:rsidR="004C6A76" w:rsidRPr="0096317D" w:rsidRDefault="0061447C" w:rsidP="00320FDF">
            <w:pPr>
              <w:suppressAutoHyphens/>
              <w:spacing w:before="20" w:after="20"/>
              <w:rPr>
                <w:rFonts w:eastAsia="Times New Roman"/>
                <w:szCs w:val="22"/>
                <w:lang w:val="fr-FR" w:eastAsia="en-US" w:bidi="he-IL"/>
              </w:rPr>
            </w:pPr>
            <w:r w:rsidRPr="0096317D">
              <w:rPr>
                <w:lang w:val="fr-FR"/>
              </w:rPr>
              <w:t>Priorité selon la Convention de Paris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16AD4" w14:textId="77777777" w:rsidR="004C6A76" w:rsidRPr="0096317D" w:rsidRDefault="004C6A76" w:rsidP="00320FDF">
            <w:pPr>
              <w:spacing w:before="20" w:after="20"/>
              <w:jc w:val="center"/>
              <w:rPr>
                <w:szCs w:val="22"/>
                <w:lang w:val="fr-FR" w:eastAsia="en-US"/>
              </w:rPr>
            </w:pPr>
            <w:r w:rsidRPr="0096317D">
              <w:rPr>
                <w:szCs w:val="22"/>
                <w:lang w:val="fr-FR"/>
              </w:rPr>
              <w:t>904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AC2293" w14:textId="77777777" w:rsidR="004C6A76" w:rsidRPr="0096317D" w:rsidRDefault="004C6A76" w:rsidP="00320FDF">
            <w:pPr>
              <w:spacing w:before="20" w:after="20"/>
              <w:jc w:val="center"/>
              <w:rPr>
                <w:szCs w:val="22"/>
                <w:lang w:val="fr-FR" w:eastAsia="en-US"/>
              </w:rPr>
            </w:pPr>
            <w:r w:rsidRPr="0096317D">
              <w:rPr>
                <w:szCs w:val="22"/>
                <w:lang w:val="fr-FR"/>
              </w:rPr>
              <w:t>902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B76041" w14:textId="77777777" w:rsidR="004C6A76" w:rsidRPr="0096317D" w:rsidRDefault="004C6A76" w:rsidP="00320FDF">
            <w:pPr>
              <w:spacing w:before="20" w:after="20"/>
              <w:jc w:val="center"/>
              <w:rPr>
                <w:szCs w:val="22"/>
                <w:lang w:val="fr-FR" w:eastAsia="en-US"/>
              </w:rPr>
            </w:pPr>
            <w:r w:rsidRPr="0096317D">
              <w:rPr>
                <w:szCs w:val="22"/>
                <w:lang w:val="fr-FR"/>
              </w:rPr>
              <w:t>864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F48B62" w14:textId="77777777" w:rsidR="004C6A76" w:rsidRPr="0096317D" w:rsidRDefault="004C6A76" w:rsidP="00320FDF">
            <w:pPr>
              <w:spacing w:before="20" w:after="20"/>
              <w:jc w:val="center"/>
              <w:rPr>
                <w:szCs w:val="22"/>
                <w:lang w:val="fr-FR" w:eastAsia="en-US"/>
              </w:rPr>
            </w:pPr>
            <w:r w:rsidRPr="0096317D">
              <w:rPr>
                <w:szCs w:val="22"/>
                <w:lang w:val="fr-FR"/>
              </w:rPr>
              <w:t>919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940C7C" w14:textId="77777777" w:rsidR="004C6A76" w:rsidRPr="0096317D" w:rsidRDefault="004C6A76" w:rsidP="00320FDF">
            <w:pPr>
              <w:spacing w:before="20" w:after="20"/>
              <w:jc w:val="center"/>
              <w:rPr>
                <w:szCs w:val="22"/>
                <w:lang w:val="fr-FR" w:eastAsia="en-US"/>
              </w:rPr>
            </w:pPr>
            <w:r w:rsidRPr="0096317D">
              <w:rPr>
                <w:szCs w:val="22"/>
                <w:lang w:val="fr-FR"/>
              </w:rPr>
              <w:t>888</w:t>
            </w:r>
          </w:p>
        </w:tc>
      </w:tr>
      <w:tr w:rsidR="004C6A76" w:rsidRPr="0096317D" w14:paraId="606A31C6" w14:textId="77777777" w:rsidTr="002C4B0E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3F0B1" w14:textId="2E577619" w:rsidR="004C6A76" w:rsidRPr="0096317D" w:rsidRDefault="00EA2636" w:rsidP="00320FDF">
            <w:pPr>
              <w:suppressAutoHyphens/>
              <w:spacing w:before="20" w:after="20"/>
              <w:rPr>
                <w:rFonts w:eastAsia="Times New Roman"/>
                <w:szCs w:val="22"/>
                <w:lang w:val="fr-FR" w:eastAsia="en-US" w:bidi="he-IL"/>
              </w:rPr>
            </w:pPr>
            <w:r w:rsidRPr="0096317D">
              <w:rPr>
                <w:szCs w:val="22"/>
                <w:lang w:val="fr-FR" w:eastAsia="en-US"/>
              </w:rPr>
              <w:t>Demandes divisionnaires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598D4" w14:textId="2135965E" w:rsidR="004C6A76" w:rsidRPr="0096317D" w:rsidRDefault="004C6A76" w:rsidP="00320FDF">
            <w:pPr>
              <w:spacing w:before="20" w:after="20"/>
              <w:jc w:val="center"/>
              <w:rPr>
                <w:szCs w:val="22"/>
                <w:lang w:val="fr-FR" w:eastAsia="en-US"/>
              </w:rPr>
            </w:pPr>
            <w:r w:rsidRPr="0096317D">
              <w:rPr>
                <w:szCs w:val="22"/>
                <w:lang w:val="fr-FR"/>
              </w:rPr>
              <w:t>1</w:t>
            </w:r>
            <w:r w:rsidR="00EA2636" w:rsidRPr="0096317D">
              <w:rPr>
                <w:szCs w:val="22"/>
                <w:lang w:val="fr-FR"/>
              </w:rPr>
              <w:t> </w:t>
            </w:r>
            <w:r w:rsidRPr="0096317D">
              <w:rPr>
                <w:szCs w:val="22"/>
                <w:lang w:val="fr-FR"/>
              </w:rPr>
              <w:t>484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4F7BF" w14:textId="2FC80B11" w:rsidR="004C6A76" w:rsidRPr="0096317D" w:rsidRDefault="004C6A76" w:rsidP="00320FDF">
            <w:pPr>
              <w:spacing w:before="20" w:after="20"/>
              <w:jc w:val="center"/>
              <w:rPr>
                <w:szCs w:val="22"/>
                <w:lang w:val="fr-FR" w:eastAsia="en-US"/>
              </w:rPr>
            </w:pPr>
            <w:r w:rsidRPr="0096317D">
              <w:rPr>
                <w:szCs w:val="22"/>
                <w:lang w:val="fr-FR"/>
              </w:rPr>
              <w:t>1</w:t>
            </w:r>
            <w:r w:rsidR="00EA2636" w:rsidRPr="0096317D">
              <w:rPr>
                <w:szCs w:val="22"/>
                <w:lang w:val="fr-FR"/>
              </w:rPr>
              <w:t> </w:t>
            </w:r>
            <w:r w:rsidRPr="0096317D">
              <w:rPr>
                <w:szCs w:val="22"/>
                <w:lang w:val="fr-FR"/>
              </w:rPr>
              <w:t>621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1489B" w14:textId="6B48321D" w:rsidR="004C6A76" w:rsidRPr="0096317D" w:rsidRDefault="004C6A76" w:rsidP="00320FDF">
            <w:pPr>
              <w:spacing w:before="20" w:after="20"/>
              <w:jc w:val="center"/>
              <w:rPr>
                <w:szCs w:val="22"/>
                <w:lang w:val="fr-FR" w:eastAsia="en-US"/>
              </w:rPr>
            </w:pPr>
            <w:r w:rsidRPr="0096317D">
              <w:rPr>
                <w:szCs w:val="22"/>
                <w:lang w:val="fr-FR"/>
              </w:rPr>
              <w:t>1</w:t>
            </w:r>
            <w:r w:rsidR="00EA2636" w:rsidRPr="0096317D">
              <w:rPr>
                <w:szCs w:val="22"/>
                <w:lang w:val="fr-FR"/>
              </w:rPr>
              <w:t> </w:t>
            </w:r>
            <w:r w:rsidRPr="0096317D">
              <w:rPr>
                <w:szCs w:val="22"/>
                <w:lang w:val="fr-FR"/>
              </w:rPr>
              <w:t>489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B43A5" w14:textId="59EE80AE" w:rsidR="004C6A76" w:rsidRPr="0096317D" w:rsidRDefault="004C6A76" w:rsidP="00320FDF">
            <w:pPr>
              <w:spacing w:before="20" w:after="20"/>
              <w:jc w:val="center"/>
              <w:rPr>
                <w:szCs w:val="22"/>
                <w:lang w:val="fr-FR" w:eastAsia="en-US"/>
              </w:rPr>
            </w:pPr>
            <w:r w:rsidRPr="0096317D">
              <w:rPr>
                <w:szCs w:val="22"/>
                <w:lang w:val="fr-FR"/>
              </w:rPr>
              <w:t>1</w:t>
            </w:r>
            <w:r w:rsidR="00EA2636" w:rsidRPr="0096317D">
              <w:rPr>
                <w:szCs w:val="22"/>
                <w:lang w:val="fr-FR"/>
              </w:rPr>
              <w:t> </w:t>
            </w:r>
            <w:r w:rsidRPr="0096317D">
              <w:rPr>
                <w:szCs w:val="22"/>
                <w:lang w:val="fr-FR"/>
              </w:rPr>
              <w:t>575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EC28C" w14:textId="70A2FB48" w:rsidR="004C6A76" w:rsidRPr="0096317D" w:rsidRDefault="004C6A76" w:rsidP="00320FDF">
            <w:pPr>
              <w:spacing w:before="20" w:after="20"/>
              <w:jc w:val="center"/>
              <w:rPr>
                <w:szCs w:val="22"/>
                <w:lang w:val="fr-FR" w:eastAsia="en-US"/>
              </w:rPr>
            </w:pPr>
            <w:r w:rsidRPr="0096317D">
              <w:rPr>
                <w:szCs w:val="22"/>
                <w:lang w:val="fr-FR"/>
              </w:rPr>
              <w:t>1</w:t>
            </w:r>
            <w:r w:rsidR="00EA2636" w:rsidRPr="0096317D">
              <w:rPr>
                <w:szCs w:val="22"/>
                <w:lang w:val="fr-FR"/>
              </w:rPr>
              <w:t> </w:t>
            </w:r>
            <w:r w:rsidRPr="0096317D">
              <w:rPr>
                <w:szCs w:val="22"/>
                <w:lang w:val="fr-FR"/>
              </w:rPr>
              <w:t>872</w:t>
            </w:r>
          </w:p>
        </w:tc>
      </w:tr>
      <w:tr w:rsidR="004C6A76" w:rsidRPr="0096317D" w14:paraId="6E67C340" w14:textId="77777777" w:rsidTr="002C4B0E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6C9E" w14:textId="5A221A7F" w:rsidR="004C6A76" w:rsidRPr="0096317D" w:rsidRDefault="0061447C" w:rsidP="00320FDF">
            <w:pPr>
              <w:suppressAutoHyphens/>
              <w:spacing w:before="20" w:after="20"/>
              <w:rPr>
                <w:szCs w:val="22"/>
                <w:lang w:val="fr-FR" w:eastAsia="en-US" w:bidi="he-IL"/>
              </w:rPr>
            </w:pPr>
            <w:r w:rsidRPr="0096317D">
              <w:rPr>
                <w:lang w:val="fr-FR"/>
              </w:rPr>
              <w:t>Phase nationale</w:t>
            </w:r>
            <w:r w:rsidR="00220660" w:rsidRPr="0096317D">
              <w:rPr>
                <w:lang w:val="fr-FR"/>
              </w:rPr>
              <w:t xml:space="preserve"> du PCT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C7D49E" w14:textId="7FC21A87" w:rsidR="004C6A76" w:rsidRPr="0096317D" w:rsidRDefault="004C6A76" w:rsidP="00320FDF">
            <w:pPr>
              <w:spacing w:before="20" w:after="20"/>
              <w:jc w:val="center"/>
              <w:rPr>
                <w:szCs w:val="22"/>
                <w:lang w:val="fr-FR" w:eastAsia="en-US"/>
              </w:rPr>
            </w:pPr>
            <w:r w:rsidRPr="0096317D">
              <w:rPr>
                <w:szCs w:val="22"/>
                <w:lang w:val="fr-FR"/>
              </w:rPr>
              <w:t>6</w:t>
            </w:r>
            <w:r w:rsidR="00EA2636" w:rsidRPr="0096317D">
              <w:rPr>
                <w:szCs w:val="22"/>
                <w:lang w:val="fr-FR"/>
              </w:rPr>
              <w:t> </w:t>
            </w:r>
            <w:r w:rsidRPr="0096317D">
              <w:rPr>
                <w:szCs w:val="22"/>
                <w:lang w:val="fr-FR"/>
              </w:rPr>
              <w:t>672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4AED5" w14:textId="3A81F86C" w:rsidR="004C6A76" w:rsidRPr="0096317D" w:rsidRDefault="004C6A76" w:rsidP="00320FDF">
            <w:pPr>
              <w:spacing w:before="20" w:after="20"/>
              <w:jc w:val="center"/>
              <w:rPr>
                <w:szCs w:val="22"/>
                <w:lang w:val="fr-FR" w:eastAsia="en-US"/>
              </w:rPr>
            </w:pPr>
            <w:r w:rsidRPr="0096317D">
              <w:rPr>
                <w:szCs w:val="22"/>
                <w:lang w:val="fr-FR"/>
              </w:rPr>
              <w:t>6</w:t>
            </w:r>
            <w:r w:rsidR="00EA2636" w:rsidRPr="0096317D">
              <w:rPr>
                <w:szCs w:val="22"/>
                <w:lang w:val="fr-FR"/>
              </w:rPr>
              <w:t> </w:t>
            </w:r>
            <w:r w:rsidRPr="0096317D">
              <w:rPr>
                <w:szCs w:val="22"/>
                <w:lang w:val="fr-FR"/>
              </w:rPr>
              <w:t>558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3D78E" w14:textId="5FF4840A" w:rsidR="004C6A76" w:rsidRPr="0096317D" w:rsidRDefault="004C6A76" w:rsidP="00320FDF">
            <w:pPr>
              <w:spacing w:before="20" w:after="20"/>
              <w:jc w:val="center"/>
              <w:rPr>
                <w:szCs w:val="22"/>
                <w:lang w:val="fr-FR" w:eastAsia="en-US"/>
              </w:rPr>
            </w:pPr>
            <w:r w:rsidRPr="0096317D">
              <w:rPr>
                <w:szCs w:val="22"/>
                <w:lang w:val="fr-FR"/>
              </w:rPr>
              <w:t>7</w:t>
            </w:r>
            <w:r w:rsidR="00EA2636" w:rsidRPr="0096317D">
              <w:rPr>
                <w:szCs w:val="22"/>
                <w:lang w:val="fr-FR"/>
              </w:rPr>
              <w:t> </w:t>
            </w:r>
            <w:r w:rsidRPr="0096317D">
              <w:rPr>
                <w:szCs w:val="22"/>
                <w:lang w:val="fr-FR"/>
              </w:rPr>
              <w:t>123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12292" w14:textId="7128F1A0" w:rsidR="004C6A76" w:rsidRPr="0096317D" w:rsidRDefault="004C6A76" w:rsidP="00320FDF">
            <w:pPr>
              <w:spacing w:before="20" w:after="20"/>
              <w:jc w:val="center"/>
              <w:rPr>
                <w:szCs w:val="22"/>
                <w:lang w:val="fr-FR" w:eastAsia="en-US"/>
              </w:rPr>
            </w:pPr>
            <w:r w:rsidRPr="0096317D">
              <w:rPr>
                <w:szCs w:val="22"/>
                <w:lang w:val="fr-FR"/>
              </w:rPr>
              <w:t>7</w:t>
            </w:r>
            <w:r w:rsidR="00EA2636" w:rsidRPr="0096317D">
              <w:rPr>
                <w:szCs w:val="22"/>
                <w:lang w:val="fr-FR"/>
              </w:rPr>
              <w:t> </w:t>
            </w:r>
            <w:r w:rsidRPr="0096317D">
              <w:rPr>
                <w:szCs w:val="22"/>
                <w:lang w:val="fr-FR"/>
              </w:rPr>
              <w:t>264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83FE3" w14:textId="4EF53E86" w:rsidR="004C6A76" w:rsidRPr="0096317D" w:rsidRDefault="004C6A76" w:rsidP="00320FDF">
            <w:pPr>
              <w:spacing w:before="20" w:after="20"/>
              <w:jc w:val="center"/>
              <w:rPr>
                <w:szCs w:val="22"/>
                <w:lang w:val="fr-FR" w:eastAsia="en-US"/>
              </w:rPr>
            </w:pPr>
            <w:r w:rsidRPr="0096317D">
              <w:rPr>
                <w:szCs w:val="22"/>
                <w:lang w:val="fr-FR"/>
              </w:rPr>
              <w:t>7</w:t>
            </w:r>
            <w:r w:rsidR="00EA2636" w:rsidRPr="0096317D">
              <w:rPr>
                <w:szCs w:val="22"/>
                <w:lang w:val="fr-FR"/>
              </w:rPr>
              <w:t> </w:t>
            </w:r>
            <w:r w:rsidRPr="0096317D">
              <w:rPr>
                <w:szCs w:val="22"/>
                <w:lang w:val="fr-FR"/>
              </w:rPr>
              <w:t>040</w:t>
            </w:r>
          </w:p>
        </w:tc>
      </w:tr>
      <w:tr w:rsidR="004C6A76" w:rsidRPr="0096317D" w14:paraId="31B1AACE" w14:textId="77777777" w:rsidTr="002C4B0E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5BA6" w14:textId="77777777" w:rsidR="004C6A76" w:rsidRPr="0096317D" w:rsidRDefault="004C6A76" w:rsidP="00320FDF">
            <w:pPr>
              <w:suppressAutoHyphens/>
              <w:spacing w:before="20" w:after="20"/>
              <w:rPr>
                <w:szCs w:val="22"/>
                <w:lang w:val="fr-FR" w:eastAsia="en-US" w:bidi="he-IL"/>
              </w:rPr>
            </w:pPr>
            <w:r w:rsidRPr="0096317D">
              <w:rPr>
                <w:szCs w:val="22"/>
                <w:lang w:val="fr-FR" w:eastAsia="en-US"/>
              </w:rPr>
              <w:t>Total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AAA47" w14:textId="671BA04A" w:rsidR="004C6A76" w:rsidRPr="0096317D" w:rsidRDefault="004C6A76" w:rsidP="00320FDF">
            <w:pPr>
              <w:spacing w:before="20" w:after="20"/>
              <w:jc w:val="center"/>
              <w:rPr>
                <w:szCs w:val="22"/>
                <w:lang w:val="fr-FR" w:eastAsia="en-US"/>
              </w:rPr>
            </w:pPr>
            <w:r w:rsidRPr="0096317D">
              <w:rPr>
                <w:szCs w:val="22"/>
                <w:lang w:val="fr-FR"/>
              </w:rPr>
              <w:t>9</w:t>
            </w:r>
            <w:r w:rsidR="00EA2636" w:rsidRPr="0096317D">
              <w:rPr>
                <w:szCs w:val="22"/>
                <w:lang w:val="fr-FR"/>
              </w:rPr>
              <w:t> </w:t>
            </w:r>
            <w:r w:rsidRPr="0096317D">
              <w:rPr>
                <w:szCs w:val="22"/>
                <w:lang w:val="fr-FR"/>
              </w:rPr>
              <w:t>687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31765" w14:textId="21554380" w:rsidR="004C6A76" w:rsidRPr="0096317D" w:rsidRDefault="004C6A76" w:rsidP="00320FDF">
            <w:pPr>
              <w:spacing w:before="20" w:after="20"/>
              <w:jc w:val="center"/>
              <w:rPr>
                <w:szCs w:val="22"/>
                <w:lang w:val="fr-FR" w:eastAsia="en-US"/>
              </w:rPr>
            </w:pPr>
            <w:r w:rsidRPr="0096317D">
              <w:rPr>
                <w:szCs w:val="22"/>
                <w:lang w:val="fr-FR"/>
              </w:rPr>
              <w:t>9</w:t>
            </w:r>
            <w:r w:rsidR="00EA2636" w:rsidRPr="0096317D">
              <w:rPr>
                <w:szCs w:val="22"/>
                <w:lang w:val="fr-FR"/>
              </w:rPr>
              <w:t> </w:t>
            </w:r>
            <w:r w:rsidRPr="0096317D">
              <w:rPr>
                <w:szCs w:val="22"/>
                <w:lang w:val="fr-FR"/>
              </w:rPr>
              <w:t>722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560F9" w14:textId="4D39791F" w:rsidR="004C6A76" w:rsidRPr="0096317D" w:rsidRDefault="004C6A76" w:rsidP="00320FDF">
            <w:pPr>
              <w:spacing w:before="20" w:after="20"/>
              <w:jc w:val="center"/>
              <w:rPr>
                <w:szCs w:val="22"/>
                <w:lang w:val="fr-FR" w:eastAsia="en-US"/>
              </w:rPr>
            </w:pPr>
            <w:r w:rsidRPr="0096317D">
              <w:rPr>
                <w:szCs w:val="22"/>
                <w:lang w:val="fr-FR"/>
              </w:rPr>
              <w:t>10</w:t>
            </w:r>
            <w:r w:rsidR="00EA2636" w:rsidRPr="0096317D">
              <w:rPr>
                <w:szCs w:val="22"/>
                <w:lang w:val="fr-FR"/>
              </w:rPr>
              <w:t> </w:t>
            </w:r>
            <w:r w:rsidRPr="0096317D">
              <w:rPr>
                <w:szCs w:val="22"/>
                <w:lang w:val="fr-FR"/>
              </w:rPr>
              <w:t>313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C5FDC8" w14:textId="5230074E" w:rsidR="004C6A76" w:rsidRPr="0096317D" w:rsidRDefault="004C6A76" w:rsidP="00320FDF">
            <w:pPr>
              <w:spacing w:before="20" w:after="20"/>
              <w:jc w:val="center"/>
              <w:rPr>
                <w:szCs w:val="22"/>
                <w:lang w:val="fr-FR" w:eastAsia="en-US"/>
              </w:rPr>
            </w:pPr>
            <w:r w:rsidRPr="0096317D">
              <w:rPr>
                <w:szCs w:val="22"/>
                <w:lang w:val="fr-FR"/>
              </w:rPr>
              <w:t>10</w:t>
            </w:r>
            <w:r w:rsidR="00EA2636" w:rsidRPr="0096317D">
              <w:rPr>
                <w:szCs w:val="22"/>
                <w:lang w:val="fr-FR"/>
              </w:rPr>
              <w:t> </w:t>
            </w:r>
            <w:r w:rsidRPr="0096317D">
              <w:rPr>
                <w:szCs w:val="22"/>
                <w:lang w:val="fr-FR"/>
              </w:rPr>
              <w:t>814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5CCE1" w14:textId="2C599A7A" w:rsidR="004C6A76" w:rsidRPr="0096317D" w:rsidRDefault="004C6A76" w:rsidP="00320FDF">
            <w:pPr>
              <w:spacing w:before="20" w:after="20"/>
              <w:jc w:val="center"/>
              <w:rPr>
                <w:szCs w:val="22"/>
                <w:lang w:val="fr-FR" w:eastAsia="en-US"/>
              </w:rPr>
            </w:pPr>
            <w:r w:rsidRPr="0096317D">
              <w:rPr>
                <w:szCs w:val="22"/>
                <w:lang w:val="fr-FR"/>
              </w:rPr>
              <w:t>10</w:t>
            </w:r>
            <w:r w:rsidR="00EA2636" w:rsidRPr="0096317D">
              <w:rPr>
                <w:szCs w:val="22"/>
                <w:lang w:val="fr-FR"/>
              </w:rPr>
              <w:t> </w:t>
            </w:r>
            <w:r w:rsidRPr="0096317D">
              <w:rPr>
                <w:szCs w:val="22"/>
                <w:lang w:val="fr-FR"/>
              </w:rPr>
              <w:t>980</w:t>
            </w:r>
          </w:p>
        </w:tc>
      </w:tr>
    </w:tbl>
    <w:p w14:paraId="07F27D3A" w14:textId="15B25620" w:rsidR="004C6A76" w:rsidRPr="0096317D" w:rsidRDefault="00EA2636" w:rsidP="00320FDF">
      <w:pPr>
        <w:rPr>
          <w:rFonts w:eastAsia="Times New Roman"/>
          <w:i/>
          <w:iCs/>
          <w:sz w:val="20"/>
          <w:lang w:val="fr-FR"/>
        </w:rPr>
      </w:pPr>
      <w:r w:rsidRPr="0096317D">
        <w:rPr>
          <w:rFonts w:eastAsia="Times New Roman"/>
          <w:i/>
          <w:iCs/>
          <w:sz w:val="20"/>
          <w:lang w:val="fr-FR"/>
        </w:rPr>
        <w:t xml:space="preserve">Données extraites sur la base de la date </w:t>
      </w:r>
      <w:r w:rsidR="00DA007A">
        <w:rPr>
          <w:rFonts w:eastAsia="Times New Roman"/>
          <w:i/>
          <w:iCs/>
          <w:sz w:val="20"/>
          <w:lang w:val="fr-FR"/>
        </w:rPr>
        <w:t>de présentation</w:t>
      </w:r>
      <w:r w:rsidRPr="0096317D">
        <w:rPr>
          <w:rFonts w:eastAsia="Times New Roman"/>
          <w:i/>
          <w:iCs/>
          <w:sz w:val="20"/>
          <w:lang w:val="fr-FR"/>
        </w:rPr>
        <w:t xml:space="preserve"> des demandes.</w:t>
      </w:r>
    </w:p>
    <w:p w14:paraId="7CBACC1E" w14:textId="77777777" w:rsidR="004C6A76" w:rsidRPr="0096317D" w:rsidRDefault="004C6A76" w:rsidP="00320FDF">
      <w:pPr>
        <w:rPr>
          <w:rFonts w:eastAsia="Times New Roman"/>
          <w:i/>
          <w:iCs/>
          <w:sz w:val="20"/>
          <w:lang w:val="fr-FR"/>
        </w:rPr>
      </w:pPr>
    </w:p>
    <w:p w14:paraId="2535A7FE" w14:textId="3E0DB3F9" w:rsidR="004C6A76" w:rsidRPr="0096317D" w:rsidRDefault="00C67C18" w:rsidP="00320FDF">
      <w:pPr>
        <w:pStyle w:val="Heading2"/>
        <w:rPr>
          <w:lang w:val="fr-FR"/>
        </w:rPr>
      </w:pPr>
      <w:r>
        <w:rPr>
          <w:lang w:val="fr-FR"/>
        </w:rPr>
        <w:t>6.3</w:t>
      </w:r>
      <w:r>
        <w:rPr>
          <w:lang w:val="fr-FR"/>
        </w:rPr>
        <w:tab/>
        <w:t>D</w:t>
      </w:r>
      <w:r w:rsidRPr="0096317D">
        <w:rPr>
          <w:lang w:val="fr-FR"/>
        </w:rPr>
        <w:t>élai moyen d’instruction des demandes de brevet nationales :</w:t>
      </w:r>
    </w:p>
    <w:p w14:paraId="167A6FF3" w14:textId="4DCEEA5B" w:rsidR="004C6A76" w:rsidRPr="0096317D" w:rsidRDefault="00FF1AC0" w:rsidP="00320FDF">
      <w:pPr>
        <w:rPr>
          <w:lang w:val="fr-FR"/>
        </w:rPr>
      </w:pPr>
      <w:r w:rsidRPr="0096317D">
        <w:rPr>
          <w:lang w:val="fr-FR"/>
        </w:rPr>
        <w:t xml:space="preserve">En moyenne, chaque notification de </w:t>
      </w:r>
      <w:r w:rsidR="00702CD2" w:rsidRPr="0096317D">
        <w:rPr>
          <w:lang w:val="fr-FR"/>
        </w:rPr>
        <w:t>l</w:t>
      </w:r>
      <w:r w:rsidR="00220660" w:rsidRPr="0096317D">
        <w:rPr>
          <w:lang w:val="fr-FR"/>
        </w:rPr>
        <w:t>’</w:t>
      </w:r>
      <w:r w:rsidR="00702CD2" w:rsidRPr="0096317D">
        <w:rPr>
          <w:lang w:val="fr-FR"/>
        </w:rPr>
        <w:t>IPOS</w:t>
      </w:r>
      <w:r w:rsidRPr="0096317D">
        <w:rPr>
          <w:lang w:val="fr-FR"/>
        </w:rPr>
        <w:t xml:space="preserve"> est </w:t>
      </w:r>
      <w:r w:rsidR="00702CD2" w:rsidRPr="0096317D">
        <w:rPr>
          <w:lang w:val="fr-FR"/>
        </w:rPr>
        <w:t>transmise</w:t>
      </w:r>
      <w:r w:rsidRPr="0096317D">
        <w:rPr>
          <w:lang w:val="fr-FR"/>
        </w:rPr>
        <w:t xml:space="preserve"> dans </w:t>
      </w:r>
      <w:r w:rsidR="00F25AB1" w:rsidRPr="0096317D">
        <w:rPr>
          <w:lang w:val="fr-FR"/>
        </w:rPr>
        <w:t>un délai de</w:t>
      </w:r>
      <w:r w:rsidRPr="0096317D">
        <w:rPr>
          <w:lang w:val="fr-FR"/>
        </w:rPr>
        <w:t xml:space="preserve"> six</w:t>
      </w:r>
      <w:r w:rsidR="00D8335B" w:rsidRPr="0096317D">
        <w:rPr>
          <w:lang w:val="fr-FR"/>
        </w:rPr>
        <w:t> </w:t>
      </w:r>
      <w:r w:rsidRPr="0096317D">
        <w:rPr>
          <w:lang w:val="fr-FR"/>
        </w:rPr>
        <w:t xml:space="preserve">mois, et </w:t>
      </w:r>
      <w:r w:rsidR="00F25AB1" w:rsidRPr="0096317D">
        <w:rPr>
          <w:lang w:val="fr-FR"/>
        </w:rPr>
        <w:t>le délai de satisfaction d</w:t>
      </w:r>
      <w:r w:rsidR="00220660" w:rsidRPr="0096317D">
        <w:rPr>
          <w:lang w:val="fr-FR"/>
        </w:rPr>
        <w:t>’</w:t>
      </w:r>
      <w:r w:rsidR="00F25AB1" w:rsidRPr="0096317D">
        <w:rPr>
          <w:lang w:val="fr-FR"/>
        </w:rPr>
        <w:t xml:space="preserve">une demande est de 30 mois à compter de </w:t>
      </w:r>
      <w:r w:rsidR="00DA007A">
        <w:rPr>
          <w:lang w:val="fr-FR"/>
        </w:rPr>
        <w:t>sa présentation</w:t>
      </w:r>
      <w:r w:rsidR="0096317D" w:rsidRPr="0096317D">
        <w:rPr>
          <w:lang w:val="fr-FR"/>
        </w:rPr>
        <w:t>.  To</w:t>
      </w:r>
      <w:r w:rsidR="00F25AB1" w:rsidRPr="0096317D">
        <w:rPr>
          <w:lang w:val="fr-FR"/>
        </w:rPr>
        <w:t>utefois, l</w:t>
      </w:r>
      <w:r w:rsidR="00220660" w:rsidRPr="0096317D">
        <w:rPr>
          <w:lang w:val="fr-FR"/>
        </w:rPr>
        <w:t>’</w:t>
      </w:r>
      <w:r w:rsidR="00F25AB1" w:rsidRPr="0096317D">
        <w:rPr>
          <w:lang w:val="fr-FR"/>
        </w:rPr>
        <w:t xml:space="preserve">IPOS propose une procédure accélérée qui permet aux demandes remplissant certaines conditions, comme les demandes déposées </w:t>
      </w:r>
      <w:r w:rsidR="001D2EA5" w:rsidRPr="0096317D">
        <w:rPr>
          <w:lang w:val="fr-FR"/>
        </w:rPr>
        <w:t>pour la première fois</w:t>
      </w:r>
      <w:r w:rsidR="00F25AB1" w:rsidRPr="0096317D">
        <w:rPr>
          <w:lang w:val="fr-FR"/>
        </w:rPr>
        <w:t xml:space="preserve"> à Singapour, </w:t>
      </w:r>
      <w:r w:rsidR="001C0822" w:rsidRPr="0096317D">
        <w:rPr>
          <w:lang w:val="fr-FR"/>
        </w:rPr>
        <w:t>d</w:t>
      </w:r>
      <w:r w:rsidR="00220660" w:rsidRPr="0096317D">
        <w:rPr>
          <w:lang w:val="fr-FR"/>
        </w:rPr>
        <w:t>’</w:t>
      </w:r>
      <w:r w:rsidR="001C0822" w:rsidRPr="0096317D">
        <w:rPr>
          <w:lang w:val="fr-FR"/>
        </w:rPr>
        <w:t>être satisfaites</w:t>
      </w:r>
      <w:r w:rsidR="00F25AB1" w:rsidRPr="0096317D">
        <w:rPr>
          <w:lang w:val="fr-FR"/>
        </w:rPr>
        <w:t xml:space="preserve"> dans un délai d</w:t>
      </w:r>
      <w:r w:rsidR="00220660" w:rsidRPr="0096317D">
        <w:rPr>
          <w:lang w:val="fr-FR"/>
        </w:rPr>
        <w:t>’</w:t>
      </w:r>
      <w:r w:rsidR="00F25AB1" w:rsidRPr="0096317D">
        <w:rPr>
          <w:lang w:val="fr-FR"/>
        </w:rPr>
        <w:t xml:space="preserve">un </w:t>
      </w:r>
      <w:r w:rsidR="0096317D" w:rsidRPr="0096317D">
        <w:rPr>
          <w:lang w:val="fr-FR"/>
        </w:rPr>
        <w:t>an.  Da</w:t>
      </w:r>
      <w:r w:rsidR="00F25AB1" w:rsidRPr="0096317D">
        <w:rPr>
          <w:lang w:val="fr-FR"/>
        </w:rPr>
        <w:t>ns le cadre de cette procédure accélérée, les demandes font généralement l</w:t>
      </w:r>
      <w:r w:rsidR="00220660" w:rsidRPr="0096317D">
        <w:rPr>
          <w:lang w:val="fr-FR"/>
        </w:rPr>
        <w:t>’</w:t>
      </w:r>
      <w:r w:rsidR="00F25AB1" w:rsidRPr="0096317D">
        <w:rPr>
          <w:lang w:val="fr-FR"/>
        </w:rPr>
        <w:t>objet d</w:t>
      </w:r>
      <w:r w:rsidR="00220660" w:rsidRPr="0096317D">
        <w:rPr>
          <w:lang w:val="fr-FR"/>
        </w:rPr>
        <w:t>’</w:t>
      </w:r>
      <w:r w:rsidR="00F25AB1" w:rsidRPr="0096317D">
        <w:rPr>
          <w:lang w:val="fr-FR"/>
        </w:rPr>
        <w:t xml:space="preserve">une première notification de </w:t>
      </w:r>
      <w:r w:rsidR="00702CD2" w:rsidRPr="0096317D">
        <w:rPr>
          <w:lang w:val="fr-FR"/>
        </w:rPr>
        <w:t>l</w:t>
      </w:r>
      <w:r w:rsidR="00220660" w:rsidRPr="0096317D">
        <w:rPr>
          <w:lang w:val="fr-FR"/>
        </w:rPr>
        <w:t>’</w:t>
      </w:r>
      <w:r w:rsidR="00702CD2" w:rsidRPr="0096317D">
        <w:rPr>
          <w:lang w:val="fr-FR"/>
        </w:rPr>
        <w:t>IPOS</w:t>
      </w:r>
      <w:r w:rsidR="00F25AB1" w:rsidRPr="0096317D">
        <w:rPr>
          <w:lang w:val="fr-FR"/>
        </w:rPr>
        <w:t xml:space="preserve"> dans un délai de 60 jours.</w:t>
      </w:r>
    </w:p>
    <w:p w14:paraId="72258B5A" w14:textId="08BBF0AD" w:rsidR="004C6A76" w:rsidRPr="0096317D" w:rsidRDefault="00C67C18" w:rsidP="00320FDF">
      <w:pPr>
        <w:pStyle w:val="Heading2"/>
        <w:rPr>
          <w:lang w:val="fr-FR"/>
        </w:rPr>
      </w:pPr>
      <w:r w:rsidRPr="0096317D">
        <w:rPr>
          <w:lang w:val="fr-FR"/>
        </w:rPr>
        <w:t>6.4</w:t>
      </w:r>
      <w:r>
        <w:rPr>
          <w:lang w:val="fr-FR"/>
        </w:rPr>
        <w:tab/>
        <w:t>D</w:t>
      </w:r>
      <w:r w:rsidRPr="0096317D">
        <w:rPr>
          <w:lang w:val="fr-FR"/>
        </w:rPr>
        <w:t>emandes nationales en attente de traitement :</w:t>
      </w:r>
    </w:p>
    <w:p w14:paraId="255FDFE0" w14:textId="3A424228" w:rsidR="004C6A76" w:rsidRPr="0096317D" w:rsidRDefault="001D2EA5" w:rsidP="00320FDF">
      <w:pPr>
        <w:rPr>
          <w:lang w:val="fr-FR"/>
        </w:rPr>
      </w:pPr>
      <w:r w:rsidRPr="0096317D">
        <w:rPr>
          <w:lang w:val="fr-FR"/>
        </w:rPr>
        <w:t xml:space="preserve">À Singapour, le </w:t>
      </w:r>
      <w:r w:rsidR="00DA007A">
        <w:rPr>
          <w:lang w:val="fr-FR"/>
        </w:rPr>
        <w:t>déposant</w:t>
      </w:r>
      <w:r w:rsidRPr="0096317D">
        <w:rPr>
          <w:lang w:val="fr-FR"/>
        </w:rPr>
        <w:t xml:space="preserve"> peut, en fonction de ses besoins, déposer une demande de recherche et d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 xml:space="preserve">examen selon différentes approches, </w:t>
      </w:r>
      <w:r w:rsidR="00220660" w:rsidRPr="0096317D">
        <w:rPr>
          <w:lang w:val="fr-FR"/>
        </w:rPr>
        <w:t>à savoir :</w:t>
      </w:r>
    </w:p>
    <w:p w14:paraId="6A1C68AB" w14:textId="77777777" w:rsidR="00FF68B7" w:rsidRPr="0096317D" w:rsidRDefault="00FF68B7" w:rsidP="00320FDF">
      <w:pPr>
        <w:rPr>
          <w:lang w:val="fr-FR"/>
        </w:rPr>
      </w:pPr>
    </w:p>
    <w:p w14:paraId="5EE84F39" w14:textId="605DA298" w:rsidR="004C6A76" w:rsidRPr="0096317D" w:rsidRDefault="001C0822" w:rsidP="00320FDF">
      <w:pPr>
        <w:pStyle w:val="ListParagraph"/>
        <w:numPr>
          <w:ilvl w:val="0"/>
          <w:numId w:val="8"/>
        </w:numPr>
        <w:ind w:left="1134" w:hanging="567"/>
        <w:rPr>
          <w:lang w:val="fr-FR"/>
        </w:rPr>
      </w:pPr>
      <w:r w:rsidRPr="0096317D">
        <w:rPr>
          <w:lang w:val="fr-FR"/>
        </w:rPr>
        <w:t>Demande de recherche à l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 xml:space="preserve">aide du </w:t>
      </w:r>
      <w:r w:rsidRPr="0096317D">
        <w:rPr>
          <w:b/>
          <w:lang w:val="fr-FR"/>
        </w:rPr>
        <w:t>Formulaire de brevet</w:t>
      </w:r>
      <w:r w:rsidR="00FF68B7" w:rsidRPr="0096317D">
        <w:rPr>
          <w:b/>
          <w:lang w:val="fr-FR"/>
        </w:rPr>
        <w:t xml:space="preserve"> </w:t>
      </w:r>
      <w:r w:rsidRPr="0096317D">
        <w:rPr>
          <w:b/>
          <w:lang w:val="fr-FR"/>
        </w:rPr>
        <w:t>n° </w:t>
      </w:r>
      <w:r w:rsidR="00FF68B7" w:rsidRPr="0096317D">
        <w:rPr>
          <w:b/>
          <w:lang w:val="fr-FR"/>
        </w:rPr>
        <w:t>10</w:t>
      </w:r>
    </w:p>
    <w:p w14:paraId="11341527" w14:textId="1FF4A6EF" w:rsidR="00FF68B7" w:rsidRPr="0096317D" w:rsidRDefault="00DE619F" w:rsidP="00320FDF">
      <w:pPr>
        <w:pStyle w:val="ListParagraph"/>
        <w:numPr>
          <w:ilvl w:val="1"/>
          <w:numId w:val="8"/>
        </w:numPr>
        <w:rPr>
          <w:lang w:val="fr-FR"/>
        </w:rPr>
      </w:pPr>
      <w:r w:rsidRPr="0096317D">
        <w:rPr>
          <w:lang w:val="fr-FR"/>
        </w:rPr>
        <w:t xml:space="preserve">Un </w:t>
      </w:r>
      <w:r w:rsidR="00DA007A">
        <w:rPr>
          <w:lang w:val="fr-FR"/>
        </w:rPr>
        <w:t>déposant</w:t>
      </w:r>
      <w:r w:rsidRPr="0096317D">
        <w:rPr>
          <w:lang w:val="fr-FR"/>
        </w:rPr>
        <w:t xml:space="preserve"> peut déposer une simple demande de recherche et décider si un examen est nécessaire après avoir étudié le rapport de recherche.</w:t>
      </w:r>
    </w:p>
    <w:p w14:paraId="161C2BAC" w14:textId="77777777" w:rsidR="00FF68B7" w:rsidRPr="0096317D" w:rsidRDefault="00FF68B7" w:rsidP="00320FDF">
      <w:pPr>
        <w:pStyle w:val="ListParagraph"/>
        <w:ind w:left="1440"/>
        <w:rPr>
          <w:lang w:val="fr-FR"/>
        </w:rPr>
      </w:pPr>
    </w:p>
    <w:p w14:paraId="51C4294B" w14:textId="55FA32BE" w:rsidR="00FF68B7" w:rsidRPr="0096317D" w:rsidRDefault="001C0822" w:rsidP="00320FDF">
      <w:pPr>
        <w:pStyle w:val="ListParagraph"/>
        <w:numPr>
          <w:ilvl w:val="0"/>
          <w:numId w:val="8"/>
        </w:numPr>
        <w:ind w:left="1134" w:hanging="567"/>
        <w:rPr>
          <w:lang w:val="fr-FR"/>
        </w:rPr>
      </w:pPr>
      <w:r w:rsidRPr="0096317D">
        <w:rPr>
          <w:lang w:val="fr-FR"/>
        </w:rPr>
        <w:t>Demande de recherche et d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>examen à l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 xml:space="preserve">aide du </w:t>
      </w:r>
      <w:r w:rsidR="00DE619F" w:rsidRPr="0096317D">
        <w:rPr>
          <w:b/>
          <w:lang w:val="fr-FR"/>
        </w:rPr>
        <w:t>Formulaire de brevet n° </w:t>
      </w:r>
      <w:r w:rsidR="00FF68B7" w:rsidRPr="0096317D">
        <w:rPr>
          <w:b/>
          <w:lang w:val="fr-FR"/>
        </w:rPr>
        <w:t>11</w:t>
      </w:r>
    </w:p>
    <w:p w14:paraId="6D710AD8" w14:textId="39F623A5" w:rsidR="00FF68B7" w:rsidRPr="0096317D" w:rsidRDefault="00DE619F" w:rsidP="00320FDF">
      <w:pPr>
        <w:pStyle w:val="ListParagraph"/>
        <w:numPr>
          <w:ilvl w:val="1"/>
          <w:numId w:val="8"/>
        </w:numPr>
        <w:rPr>
          <w:lang w:val="fr-FR"/>
        </w:rPr>
      </w:pPr>
      <w:r w:rsidRPr="0096317D">
        <w:rPr>
          <w:lang w:val="fr-FR"/>
        </w:rPr>
        <w:t xml:space="preserve">Un </w:t>
      </w:r>
      <w:r w:rsidR="00DA007A">
        <w:rPr>
          <w:lang w:val="fr-FR"/>
        </w:rPr>
        <w:t>déposant</w:t>
      </w:r>
      <w:r w:rsidRPr="0096317D">
        <w:rPr>
          <w:lang w:val="fr-FR"/>
        </w:rPr>
        <w:t xml:space="preserve"> peut déposer en même temps une demande de recherche et d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>examen.</w:t>
      </w:r>
    </w:p>
    <w:p w14:paraId="24B9F030" w14:textId="77777777" w:rsidR="00FF68B7" w:rsidRPr="0096317D" w:rsidRDefault="00FF68B7" w:rsidP="00320FDF">
      <w:pPr>
        <w:pStyle w:val="ListParagraph"/>
        <w:ind w:left="1440"/>
        <w:rPr>
          <w:lang w:val="fr-FR"/>
        </w:rPr>
      </w:pPr>
    </w:p>
    <w:p w14:paraId="0C4034B0" w14:textId="097D77A4" w:rsidR="00FF68B7" w:rsidRPr="0096317D" w:rsidRDefault="001C0822" w:rsidP="00320FDF">
      <w:pPr>
        <w:pStyle w:val="ListParagraph"/>
        <w:numPr>
          <w:ilvl w:val="0"/>
          <w:numId w:val="8"/>
        </w:numPr>
        <w:ind w:left="1134" w:hanging="567"/>
        <w:rPr>
          <w:lang w:val="fr-FR"/>
        </w:rPr>
      </w:pPr>
      <w:r w:rsidRPr="0096317D">
        <w:rPr>
          <w:lang w:val="fr-FR"/>
        </w:rPr>
        <w:t>Demande d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>examen à l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>aide du</w:t>
      </w:r>
      <w:r w:rsidRPr="0096317D">
        <w:rPr>
          <w:b/>
          <w:lang w:val="fr-FR"/>
        </w:rPr>
        <w:t xml:space="preserve"> </w:t>
      </w:r>
      <w:r w:rsidR="00DE619F" w:rsidRPr="0096317D">
        <w:rPr>
          <w:b/>
          <w:lang w:val="fr-FR"/>
        </w:rPr>
        <w:t>Formulaire de brevet n° </w:t>
      </w:r>
      <w:r w:rsidR="00FF68B7" w:rsidRPr="0096317D">
        <w:rPr>
          <w:b/>
          <w:lang w:val="fr-FR"/>
        </w:rPr>
        <w:t>12</w:t>
      </w:r>
    </w:p>
    <w:p w14:paraId="1631EFD9" w14:textId="0A1ACB58" w:rsidR="00FF68B7" w:rsidRPr="0096317D" w:rsidRDefault="00DE619F" w:rsidP="00320FDF">
      <w:pPr>
        <w:pStyle w:val="ListParagraph"/>
        <w:numPr>
          <w:ilvl w:val="1"/>
          <w:numId w:val="8"/>
        </w:numPr>
        <w:rPr>
          <w:lang w:val="fr-FR"/>
        </w:rPr>
      </w:pPr>
      <w:r w:rsidRPr="0096317D">
        <w:rPr>
          <w:lang w:val="fr-FR"/>
        </w:rPr>
        <w:t xml:space="preserve">Un </w:t>
      </w:r>
      <w:r w:rsidR="00DA007A">
        <w:rPr>
          <w:lang w:val="fr-FR"/>
        </w:rPr>
        <w:t>déposant</w:t>
      </w:r>
      <w:r w:rsidRPr="0096317D">
        <w:rPr>
          <w:lang w:val="fr-FR"/>
        </w:rPr>
        <w:t xml:space="preserve"> peut décider de procéder à un examen après avoir étudié le rapport de recherche.</w:t>
      </w:r>
    </w:p>
    <w:p w14:paraId="7986773F" w14:textId="77777777" w:rsidR="001C0822" w:rsidRPr="0096317D" w:rsidRDefault="001C0822" w:rsidP="00320FDF">
      <w:pPr>
        <w:pStyle w:val="ListParagraph"/>
        <w:ind w:left="1440"/>
        <w:rPr>
          <w:lang w:val="fr-FR"/>
        </w:rPr>
      </w:pPr>
    </w:p>
    <w:p w14:paraId="14CB1C3F" w14:textId="4ED80D65" w:rsidR="00FF68B7" w:rsidRPr="0096317D" w:rsidRDefault="00DE619F" w:rsidP="00320FDF">
      <w:pPr>
        <w:pStyle w:val="ListParagraph"/>
        <w:numPr>
          <w:ilvl w:val="0"/>
          <w:numId w:val="8"/>
        </w:numPr>
        <w:ind w:left="1134" w:hanging="567"/>
        <w:rPr>
          <w:lang w:val="fr-FR"/>
        </w:rPr>
      </w:pPr>
      <w:r w:rsidRPr="0096317D">
        <w:rPr>
          <w:lang w:val="fr-FR"/>
        </w:rPr>
        <w:t>Demande d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>examen supplémentaire à l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>aide du</w:t>
      </w:r>
      <w:r w:rsidRPr="0096317D">
        <w:rPr>
          <w:b/>
          <w:lang w:val="fr-FR"/>
        </w:rPr>
        <w:t xml:space="preserve"> Formulaire de brevet n° </w:t>
      </w:r>
      <w:r w:rsidR="00FF68B7" w:rsidRPr="0096317D">
        <w:rPr>
          <w:b/>
          <w:lang w:val="fr-FR"/>
        </w:rPr>
        <w:t>12A</w:t>
      </w:r>
    </w:p>
    <w:p w14:paraId="4F074A25" w14:textId="6AEC4A85" w:rsidR="00FF68B7" w:rsidRPr="0096317D" w:rsidRDefault="00DE619F" w:rsidP="00320FDF">
      <w:pPr>
        <w:pStyle w:val="ListParagraph"/>
        <w:numPr>
          <w:ilvl w:val="1"/>
          <w:numId w:val="8"/>
        </w:numPr>
        <w:rPr>
          <w:lang w:val="fr-FR"/>
        </w:rPr>
      </w:pPr>
      <w:r w:rsidRPr="0096317D">
        <w:rPr>
          <w:lang w:val="fr-FR"/>
        </w:rPr>
        <w:t xml:space="preserve">Un </w:t>
      </w:r>
      <w:r w:rsidR="00DA007A">
        <w:rPr>
          <w:lang w:val="fr-FR"/>
        </w:rPr>
        <w:t>déposant</w:t>
      </w:r>
      <w:r w:rsidRPr="0096317D">
        <w:rPr>
          <w:lang w:val="fr-FR"/>
        </w:rPr>
        <w:t xml:space="preserve"> peut se fonder sur une série de rapports étrangers positifs ou sur un brevet accordé pour déposer une demande d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>examen supplémentaire.</w:t>
      </w:r>
    </w:p>
    <w:p w14:paraId="65B43C30" w14:textId="77777777" w:rsidR="00FF68B7" w:rsidRPr="0096317D" w:rsidRDefault="00FF68B7" w:rsidP="00320FDF">
      <w:pPr>
        <w:rPr>
          <w:lang w:val="fr-FR"/>
        </w:rPr>
      </w:pPr>
    </w:p>
    <w:p w14:paraId="089D103C" w14:textId="77777777" w:rsidR="002C4B0E" w:rsidRDefault="002C4B0E">
      <w:pPr>
        <w:rPr>
          <w:lang w:val="fr-FR"/>
        </w:rPr>
      </w:pPr>
      <w:r>
        <w:rPr>
          <w:lang w:val="fr-FR"/>
        </w:rPr>
        <w:br w:type="page"/>
      </w:r>
    </w:p>
    <w:p w14:paraId="4E75F9F8" w14:textId="52EF488B" w:rsidR="00FF68B7" w:rsidRPr="0096317D" w:rsidRDefault="00DE619F" w:rsidP="00320FDF">
      <w:pPr>
        <w:rPr>
          <w:lang w:val="fr-FR"/>
        </w:rPr>
      </w:pPr>
      <w:r w:rsidRPr="0096317D">
        <w:rPr>
          <w:lang w:val="fr-FR"/>
        </w:rPr>
        <w:t>Le tableau ci</w:t>
      </w:r>
      <w:r w:rsidR="00B776A6">
        <w:rPr>
          <w:lang w:val="fr-FR"/>
        </w:rPr>
        <w:noBreakHyphen/>
      </w:r>
      <w:r w:rsidRPr="0096317D">
        <w:rPr>
          <w:lang w:val="fr-FR"/>
        </w:rPr>
        <w:t>dessous indique le volume de demandes nationales en attente de traitement par l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>IPOS, en fonction des différentes stratégies de recherche et d</w:t>
      </w:r>
      <w:r w:rsidR="00220660" w:rsidRPr="0096317D">
        <w:rPr>
          <w:lang w:val="fr-FR"/>
        </w:rPr>
        <w:t>’</w:t>
      </w:r>
      <w:r w:rsidRPr="0096317D">
        <w:rPr>
          <w:lang w:val="fr-FR"/>
        </w:rPr>
        <w:t xml:space="preserve">examen décrites </w:t>
      </w:r>
      <w:r w:rsidR="00702CD2" w:rsidRPr="0096317D">
        <w:rPr>
          <w:lang w:val="fr-FR"/>
        </w:rPr>
        <w:t>au</w:t>
      </w:r>
      <w:r w:rsidRPr="0096317D">
        <w:rPr>
          <w:lang w:val="fr-FR"/>
        </w:rPr>
        <w:t xml:space="preserve"> paragraphe précéde</w:t>
      </w:r>
      <w:r w:rsidR="0096317D" w:rsidRPr="0096317D">
        <w:rPr>
          <w:lang w:val="fr-FR"/>
        </w:rPr>
        <w:t>nt.  Le</w:t>
      </w:r>
      <w:r w:rsidRPr="0096317D">
        <w:rPr>
          <w:lang w:val="fr-FR"/>
        </w:rPr>
        <w:t xml:space="preserve">s </w:t>
      </w:r>
      <w:r w:rsidR="00702CD2" w:rsidRPr="0096317D">
        <w:rPr>
          <w:lang w:val="fr-FR"/>
        </w:rPr>
        <w:t>nombres</w:t>
      </w:r>
      <w:r w:rsidRPr="0096317D">
        <w:rPr>
          <w:lang w:val="fr-FR"/>
        </w:rPr>
        <w:t xml:space="preserve"> </w:t>
      </w:r>
      <w:r w:rsidR="00702CD2" w:rsidRPr="0096317D">
        <w:rPr>
          <w:lang w:val="fr-FR"/>
        </w:rPr>
        <w:t>indiqués</w:t>
      </w:r>
      <w:r w:rsidRPr="0096317D">
        <w:rPr>
          <w:lang w:val="fr-FR"/>
        </w:rPr>
        <w:t xml:space="preserve"> sont </w:t>
      </w:r>
      <w:r w:rsidR="00702CD2" w:rsidRPr="0096317D">
        <w:rPr>
          <w:lang w:val="fr-FR"/>
        </w:rPr>
        <w:t>corrects</w:t>
      </w:r>
      <w:r w:rsidRPr="0096317D">
        <w:rPr>
          <w:lang w:val="fr-FR"/>
        </w:rPr>
        <w:t xml:space="preserve"> en janvier 2017.</w:t>
      </w:r>
    </w:p>
    <w:p w14:paraId="1F037497" w14:textId="77777777" w:rsidR="00FF68B7" w:rsidRPr="0096317D" w:rsidRDefault="00FF68B7" w:rsidP="00320FDF">
      <w:pPr>
        <w:keepNext/>
        <w:keepLines/>
        <w:rPr>
          <w:szCs w:val="22"/>
          <w:lang w:val="fr-F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509"/>
        <w:gridCol w:w="4062"/>
      </w:tblGrid>
      <w:tr w:rsidR="00FF68B7" w:rsidRPr="0096317D" w14:paraId="496C2482" w14:textId="77777777" w:rsidTr="002C4B0E">
        <w:trPr>
          <w:cantSplit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C81FF" w14:textId="46345C34" w:rsidR="00FF68B7" w:rsidRPr="0096317D" w:rsidRDefault="0061447C" w:rsidP="00320FDF">
            <w:pPr>
              <w:keepNext/>
              <w:keepLines/>
              <w:suppressAutoHyphens/>
              <w:jc w:val="center"/>
              <w:rPr>
                <w:rFonts w:eastAsia="Times New Roman"/>
                <w:b/>
                <w:bCs/>
                <w:szCs w:val="22"/>
                <w:lang w:val="fr-FR" w:eastAsia="en-US" w:bidi="he-IL"/>
              </w:rPr>
            </w:pPr>
            <w:r w:rsidRPr="0096317D">
              <w:rPr>
                <w:b/>
                <w:bCs/>
                <w:szCs w:val="22"/>
                <w:lang w:val="fr-FR" w:eastAsia="en-US" w:bidi="he-IL"/>
              </w:rPr>
              <w:t>Me</w:t>
            </w:r>
            <w:r w:rsidR="00FF68B7" w:rsidRPr="0096317D">
              <w:rPr>
                <w:b/>
                <w:bCs/>
                <w:szCs w:val="22"/>
                <w:lang w:val="fr-FR" w:eastAsia="en-US" w:bidi="he-IL"/>
              </w:rPr>
              <w:t>sure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3F5DF" w14:textId="6BDDB50E" w:rsidR="00FF68B7" w:rsidRPr="0096317D" w:rsidRDefault="0061447C" w:rsidP="00320FDF">
            <w:pPr>
              <w:keepNext/>
              <w:keepLines/>
              <w:suppressAutoHyphens/>
              <w:jc w:val="center"/>
              <w:rPr>
                <w:rFonts w:eastAsia="Times New Roman"/>
                <w:b/>
                <w:bCs/>
                <w:szCs w:val="22"/>
                <w:lang w:val="fr-FR" w:eastAsia="en-US" w:bidi="he-IL"/>
              </w:rPr>
            </w:pPr>
            <w:r w:rsidRPr="0096317D">
              <w:rPr>
                <w:b/>
                <w:bCs/>
                <w:szCs w:val="22"/>
                <w:lang w:val="fr-FR" w:eastAsia="en-US"/>
              </w:rPr>
              <w:t>Nombre de demandes</w:t>
            </w:r>
          </w:p>
        </w:tc>
      </w:tr>
      <w:tr w:rsidR="00FF68B7" w:rsidRPr="0096317D" w14:paraId="347DAC79" w14:textId="77777777" w:rsidTr="002C4B0E">
        <w:trPr>
          <w:cantSplit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1676B" w14:textId="50B36E33" w:rsidR="00FF68B7" w:rsidRPr="0096317D" w:rsidRDefault="0061447C" w:rsidP="00320FDF">
            <w:pPr>
              <w:keepNext/>
              <w:keepLines/>
              <w:suppressAutoHyphens/>
              <w:spacing w:before="20" w:after="20"/>
              <w:jc w:val="center"/>
              <w:rPr>
                <w:szCs w:val="22"/>
                <w:lang w:val="fr-FR"/>
              </w:rPr>
            </w:pPr>
            <w:r w:rsidRPr="0096317D">
              <w:rPr>
                <w:lang w:val="fr-FR"/>
              </w:rPr>
              <w:t>Toutes les demandes en instance</w:t>
            </w:r>
            <w:r w:rsidR="00702CD2" w:rsidRPr="0096317D">
              <w:rPr>
                <w:szCs w:val="22"/>
                <w:lang w:val="fr-FR"/>
              </w:rPr>
              <w:t>,</w:t>
            </w:r>
            <w:r w:rsidR="001D2EA5" w:rsidRPr="0096317D">
              <w:rPr>
                <w:szCs w:val="22"/>
                <w:lang w:val="fr-FR"/>
              </w:rPr>
              <w:br/>
            </w:r>
            <w:r w:rsidR="00FF1AC0" w:rsidRPr="0096317D">
              <w:rPr>
                <w:lang w:val="fr-FR"/>
              </w:rPr>
              <w:t xml:space="preserve">en attente </w:t>
            </w:r>
            <w:r w:rsidR="00FF1AC0" w:rsidRPr="0096317D">
              <w:rPr>
                <w:szCs w:val="22"/>
                <w:lang w:val="fr-FR"/>
              </w:rPr>
              <w:t xml:space="preserve">du rapport </w:t>
            </w:r>
            <w:r w:rsidR="001D2EA5" w:rsidRPr="0096317D">
              <w:rPr>
                <w:szCs w:val="22"/>
                <w:lang w:val="fr-FR"/>
              </w:rPr>
              <w:t>final</w:t>
            </w:r>
          </w:p>
          <w:p w14:paraId="1AA945B2" w14:textId="5669D85A" w:rsidR="00FF68B7" w:rsidRPr="0096317D" w:rsidRDefault="00FF68B7" w:rsidP="00320FDF">
            <w:pPr>
              <w:keepNext/>
              <w:keepLines/>
              <w:suppressAutoHyphens/>
              <w:spacing w:before="20" w:after="20"/>
              <w:jc w:val="center"/>
              <w:rPr>
                <w:szCs w:val="22"/>
                <w:lang w:val="fr-FR"/>
              </w:rPr>
            </w:pPr>
            <w:r w:rsidRPr="0096317D">
              <w:rPr>
                <w:szCs w:val="22"/>
                <w:lang w:val="fr-FR"/>
              </w:rPr>
              <w:t>(</w:t>
            </w:r>
            <w:r w:rsidR="00C67C18">
              <w:rPr>
                <w:szCs w:val="22"/>
                <w:lang w:val="fr-FR"/>
              </w:rPr>
              <w:t>formulaires de brevet n</w:t>
            </w:r>
            <w:r w:rsidR="00C67C18" w:rsidRPr="00C67C18">
              <w:rPr>
                <w:szCs w:val="22"/>
                <w:vertAlign w:val="superscript"/>
                <w:lang w:val="fr-FR"/>
              </w:rPr>
              <w:t>os</w:t>
            </w:r>
            <w:r w:rsidR="00C67C18">
              <w:rPr>
                <w:szCs w:val="22"/>
                <w:lang w:val="fr-FR"/>
              </w:rPr>
              <w:t> </w:t>
            </w:r>
            <w:r w:rsidRPr="0096317D">
              <w:rPr>
                <w:szCs w:val="22"/>
                <w:lang w:val="fr-FR"/>
              </w:rPr>
              <w:t xml:space="preserve">10, 11, 12 </w:t>
            </w:r>
            <w:r w:rsidR="00DE619F" w:rsidRPr="0096317D">
              <w:rPr>
                <w:szCs w:val="22"/>
                <w:lang w:val="fr-FR"/>
              </w:rPr>
              <w:t>et</w:t>
            </w:r>
            <w:r w:rsidR="00C67C18">
              <w:rPr>
                <w:szCs w:val="22"/>
                <w:lang w:val="fr-FR"/>
              </w:rPr>
              <w:t> </w:t>
            </w:r>
            <w:r w:rsidRPr="0096317D">
              <w:rPr>
                <w:szCs w:val="22"/>
                <w:lang w:val="fr-FR"/>
              </w:rPr>
              <w:t>12A)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7EA0" w14:textId="795EB391" w:rsidR="00FF68B7" w:rsidRPr="0096317D" w:rsidRDefault="00FF68B7" w:rsidP="00320FDF">
            <w:pPr>
              <w:spacing w:before="20" w:after="20"/>
              <w:jc w:val="center"/>
              <w:rPr>
                <w:rFonts w:eastAsia="Times New Roman"/>
                <w:szCs w:val="22"/>
                <w:lang w:val="fr-FR" w:eastAsia="en-US" w:bidi="he-IL"/>
              </w:rPr>
            </w:pPr>
            <w:r w:rsidRPr="0096317D">
              <w:rPr>
                <w:szCs w:val="22"/>
                <w:lang w:val="fr-FR"/>
              </w:rPr>
              <w:t>5</w:t>
            </w:r>
            <w:r w:rsidR="00FF1AC0" w:rsidRPr="0096317D">
              <w:rPr>
                <w:szCs w:val="22"/>
                <w:lang w:val="fr-FR"/>
              </w:rPr>
              <w:t> </w:t>
            </w:r>
            <w:r w:rsidRPr="0096317D">
              <w:rPr>
                <w:szCs w:val="22"/>
                <w:lang w:val="fr-FR"/>
              </w:rPr>
              <w:t>488</w:t>
            </w:r>
          </w:p>
        </w:tc>
      </w:tr>
      <w:tr w:rsidR="00FF68B7" w:rsidRPr="0096317D" w14:paraId="51F9CEE6" w14:textId="77777777" w:rsidTr="002C4B0E">
        <w:trPr>
          <w:cantSplit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3DAA6" w14:textId="1AC7D91D" w:rsidR="0061447C" w:rsidRPr="0096317D" w:rsidRDefault="0061447C" w:rsidP="00320FDF">
            <w:pPr>
              <w:keepNext/>
              <w:keepLines/>
              <w:suppressAutoHyphens/>
              <w:spacing w:before="20" w:after="20"/>
              <w:jc w:val="center"/>
              <w:rPr>
                <w:lang w:val="fr-FR"/>
              </w:rPr>
            </w:pPr>
            <w:r w:rsidRPr="0096317D">
              <w:rPr>
                <w:lang w:val="fr-FR"/>
              </w:rPr>
              <w:t>Demandes en attente de la recherche</w:t>
            </w:r>
          </w:p>
          <w:p w14:paraId="5F5CB58A" w14:textId="03707F48" w:rsidR="00FF68B7" w:rsidRPr="0096317D" w:rsidRDefault="00FF68B7" w:rsidP="00320FDF">
            <w:pPr>
              <w:keepNext/>
              <w:keepLines/>
              <w:suppressAutoHyphens/>
              <w:spacing w:before="20" w:after="20"/>
              <w:jc w:val="center"/>
              <w:rPr>
                <w:szCs w:val="22"/>
                <w:lang w:val="fr-FR"/>
              </w:rPr>
            </w:pPr>
            <w:r w:rsidRPr="0096317D">
              <w:rPr>
                <w:szCs w:val="22"/>
                <w:lang w:val="fr-FR"/>
              </w:rPr>
              <w:t>(</w:t>
            </w:r>
            <w:r w:rsidR="00C67C18">
              <w:rPr>
                <w:szCs w:val="22"/>
                <w:lang w:val="fr-FR"/>
              </w:rPr>
              <w:t>formulaires de brevet n</w:t>
            </w:r>
            <w:r w:rsidR="00C67C18" w:rsidRPr="00C67C18">
              <w:rPr>
                <w:szCs w:val="22"/>
                <w:vertAlign w:val="superscript"/>
                <w:lang w:val="fr-FR"/>
              </w:rPr>
              <w:t>os</w:t>
            </w:r>
            <w:r w:rsidR="00C67C18">
              <w:rPr>
                <w:szCs w:val="22"/>
                <w:lang w:val="fr-FR"/>
              </w:rPr>
              <w:t> </w:t>
            </w:r>
            <w:r w:rsidRPr="0096317D">
              <w:rPr>
                <w:szCs w:val="22"/>
                <w:lang w:val="fr-FR"/>
              </w:rPr>
              <w:t xml:space="preserve">10 </w:t>
            </w:r>
            <w:r w:rsidR="00DE619F" w:rsidRPr="0096317D">
              <w:rPr>
                <w:szCs w:val="22"/>
                <w:lang w:val="fr-FR"/>
              </w:rPr>
              <w:t>et</w:t>
            </w:r>
            <w:r w:rsidR="00C67C18">
              <w:rPr>
                <w:szCs w:val="22"/>
                <w:lang w:val="fr-FR"/>
              </w:rPr>
              <w:t> </w:t>
            </w:r>
            <w:r w:rsidRPr="0096317D">
              <w:rPr>
                <w:szCs w:val="22"/>
                <w:lang w:val="fr-FR"/>
              </w:rPr>
              <w:t>11)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6B4B" w14:textId="77777777" w:rsidR="00FF68B7" w:rsidRPr="0096317D" w:rsidRDefault="00FF68B7" w:rsidP="00320FDF">
            <w:pPr>
              <w:spacing w:before="20" w:after="20"/>
              <w:jc w:val="center"/>
              <w:rPr>
                <w:rFonts w:eastAsia="Times New Roman"/>
                <w:szCs w:val="22"/>
                <w:lang w:val="fr-FR" w:eastAsia="en-US" w:bidi="he-IL"/>
              </w:rPr>
            </w:pPr>
            <w:r w:rsidRPr="0096317D">
              <w:rPr>
                <w:szCs w:val="22"/>
                <w:lang w:val="fr-FR"/>
              </w:rPr>
              <w:t>879</w:t>
            </w:r>
          </w:p>
        </w:tc>
      </w:tr>
      <w:tr w:rsidR="00FF68B7" w:rsidRPr="0096317D" w14:paraId="3104EF0E" w14:textId="77777777" w:rsidTr="002C4B0E">
        <w:trPr>
          <w:cantSplit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31F4D" w14:textId="0FAD9E39" w:rsidR="00FF68B7" w:rsidRPr="0096317D" w:rsidRDefault="00FF1AC0" w:rsidP="00320FDF">
            <w:pPr>
              <w:keepLines/>
              <w:suppressAutoHyphens/>
              <w:spacing w:before="20" w:after="20"/>
              <w:jc w:val="center"/>
              <w:rPr>
                <w:szCs w:val="22"/>
                <w:lang w:val="fr-FR"/>
              </w:rPr>
            </w:pPr>
            <w:r w:rsidRPr="0096317D">
              <w:rPr>
                <w:lang w:val="fr-FR"/>
              </w:rPr>
              <w:t xml:space="preserve">Demandes en attente </w:t>
            </w:r>
            <w:r w:rsidRPr="0096317D">
              <w:rPr>
                <w:szCs w:val="22"/>
                <w:lang w:val="fr-FR"/>
              </w:rPr>
              <w:t>du premier examen</w:t>
            </w:r>
          </w:p>
          <w:p w14:paraId="7C54C454" w14:textId="6ECB759F" w:rsidR="00FF68B7" w:rsidRPr="0096317D" w:rsidRDefault="00FF68B7" w:rsidP="00320FDF">
            <w:pPr>
              <w:keepLines/>
              <w:suppressAutoHyphens/>
              <w:spacing w:before="20" w:after="20"/>
              <w:jc w:val="center"/>
              <w:rPr>
                <w:szCs w:val="22"/>
                <w:lang w:val="fr-FR"/>
              </w:rPr>
            </w:pPr>
            <w:r w:rsidRPr="0096317D">
              <w:rPr>
                <w:szCs w:val="22"/>
                <w:lang w:val="fr-FR"/>
              </w:rPr>
              <w:t>(</w:t>
            </w:r>
            <w:r w:rsidR="00C67C18">
              <w:rPr>
                <w:szCs w:val="22"/>
                <w:lang w:val="fr-FR"/>
              </w:rPr>
              <w:t>formulaires de brevet n</w:t>
            </w:r>
            <w:r w:rsidR="00C67C18" w:rsidRPr="00C67C18">
              <w:rPr>
                <w:szCs w:val="22"/>
                <w:vertAlign w:val="superscript"/>
                <w:lang w:val="fr-FR"/>
              </w:rPr>
              <w:t>os</w:t>
            </w:r>
            <w:r w:rsidR="00C67C18">
              <w:rPr>
                <w:szCs w:val="22"/>
                <w:lang w:val="fr-FR"/>
              </w:rPr>
              <w:t> </w:t>
            </w:r>
            <w:r w:rsidRPr="0096317D">
              <w:rPr>
                <w:szCs w:val="22"/>
                <w:lang w:val="fr-FR"/>
              </w:rPr>
              <w:t xml:space="preserve">11, 12 </w:t>
            </w:r>
            <w:r w:rsidR="00DE619F" w:rsidRPr="0096317D">
              <w:rPr>
                <w:szCs w:val="22"/>
                <w:lang w:val="fr-FR"/>
              </w:rPr>
              <w:t>et</w:t>
            </w:r>
            <w:r w:rsidR="00C67C18">
              <w:rPr>
                <w:szCs w:val="22"/>
                <w:lang w:val="fr-FR"/>
              </w:rPr>
              <w:t> </w:t>
            </w:r>
            <w:r w:rsidRPr="0096317D">
              <w:rPr>
                <w:szCs w:val="22"/>
                <w:lang w:val="fr-FR"/>
              </w:rPr>
              <w:t>12A)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D85B" w14:textId="5F00FC78" w:rsidR="00FF68B7" w:rsidRPr="0096317D" w:rsidRDefault="00FF68B7" w:rsidP="00320FDF">
            <w:pPr>
              <w:spacing w:before="20" w:after="20"/>
              <w:jc w:val="center"/>
              <w:rPr>
                <w:rFonts w:eastAsia="Times New Roman"/>
                <w:szCs w:val="22"/>
                <w:lang w:val="fr-FR" w:eastAsia="en-US" w:bidi="he-IL"/>
              </w:rPr>
            </w:pPr>
            <w:r w:rsidRPr="0096317D">
              <w:rPr>
                <w:szCs w:val="22"/>
                <w:lang w:val="fr-FR"/>
              </w:rPr>
              <w:t>2</w:t>
            </w:r>
            <w:r w:rsidR="00FF1AC0" w:rsidRPr="0096317D">
              <w:rPr>
                <w:szCs w:val="22"/>
                <w:lang w:val="fr-FR"/>
              </w:rPr>
              <w:t> </w:t>
            </w:r>
            <w:r w:rsidRPr="0096317D">
              <w:rPr>
                <w:szCs w:val="22"/>
                <w:lang w:val="fr-FR"/>
              </w:rPr>
              <w:t>331</w:t>
            </w:r>
          </w:p>
        </w:tc>
      </w:tr>
    </w:tbl>
    <w:p w14:paraId="2553B751" w14:textId="77777777" w:rsidR="00FF68B7" w:rsidRDefault="00FF68B7" w:rsidP="00320FDF">
      <w:pPr>
        <w:rPr>
          <w:lang w:val="fr-FR"/>
        </w:rPr>
      </w:pPr>
    </w:p>
    <w:p w14:paraId="1C625A9E" w14:textId="77777777" w:rsidR="00C67C18" w:rsidRDefault="00C67C18" w:rsidP="00320FDF">
      <w:pPr>
        <w:rPr>
          <w:lang w:val="fr-FR"/>
        </w:rPr>
      </w:pPr>
    </w:p>
    <w:p w14:paraId="043B10EE" w14:textId="77777777" w:rsidR="00C67C18" w:rsidRPr="0096317D" w:rsidRDefault="00C67C18" w:rsidP="00320FDF">
      <w:pPr>
        <w:rPr>
          <w:lang w:val="fr-FR"/>
        </w:rPr>
      </w:pPr>
    </w:p>
    <w:p w14:paraId="17AC5FFE" w14:textId="4F84A240" w:rsidR="00AA5F79" w:rsidRPr="0096317D" w:rsidRDefault="00FA4CE0" w:rsidP="00320FDF">
      <w:pPr>
        <w:pStyle w:val="Endofdocument-Annex"/>
        <w:rPr>
          <w:lang w:val="fr-FR"/>
        </w:rPr>
      </w:pPr>
      <w:r w:rsidRPr="0096317D">
        <w:rPr>
          <w:lang w:val="fr-FR"/>
        </w:rPr>
        <w:t>[</w:t>
      </w:r>
      <w:r w:rsidR="0061447C" w:rsidRPr="0096317D">
        <w:rPr>
          <w:lang w:val="fr-FR"/>
        </w:rPr>
        <w:t>Fin de l</w:t>
      </w:r>
      <w:r w:rsidR="00220660" w:rsidRPr="0096317D">
        <w:rPr>
          <w:lang w:val="fr-FR"/>
        </w:rPr>
        <w:t>’</w:t>
      </w:r>
      <w:r w:rsidR="0061447C" w:rsidRPr="0096317D">
        <w:rPr>
          <w:lang w:val="fr-FR"/>
        </w:rPr>
        <w:t>a</w:t>
      </w:r>
      <w:r w:rsidRPr="0096317D">
        <w:rPr>
          <w:lang w:val="fr-FR"/>
        </w:rPr>
        <w:t>nnex</w:t>
      </w:r>
      <w:r w:rsidR="0061447C" w:rsidRPr="0096317D">
        <w:rPr>
          <w:lang w:val="fr-FR"/>
        </w:rPr>
        <w:t>e et du</w:t>
      </w:r>
      <w:r w:rsidRPr="0096317D">
        <w:rPr>
          <w:lang w:val="fr-FR"/>
        </w:rPr>
        <w:t xml:space="preserve"> document]</w:t>
      </w:r>
    </w:p>
    <w:sectPr w:rsidR="00AA5F79" w:rsidRPr="0096317D" w:rsidSect="00220660">
      <w:head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F76848" w14:textId="77777777" w:rsidR="00320FDF" w:rsidRDefault="00320FDF">
      <w:r>
        <w:separator/>
      </w:r>
    </w:p>
  </w:endnote>
  <w:endnote w:type="continuationSeparator" w:id="0">
    <w:p w14:paraId="0EFB7336" w14:textId="77777777" w:rsidR="00320FDF" w:rsidRDefault="00320FDF" w:rsidP="003B38C1">
      <w:r>
        <w:separator/>
      </w:r>
    </w:p>
    <w:p w14:paraId="5F7F8D25" w14:textId="77777777" w:rsidR="00320FDF" w:rsidRPr="003B38C1" w:rsidRDefault="00320FD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99AACF0" w14:textId="77777777" w:rsidR="00320FDF" w:rsidRPr="003B38C1" w:rsidRDefault="00320FD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EFF8E2" w14:textId="442BE7CE" w:rsidR="00320FDF" w:rsidRPr="00500A7B" w:rsidRDefault="00320FDF" w:rsidP="00500A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521743" w14:textId="77777777" w:rsidR="00320FDF" w:rsidRDefault="00320FDF">
      <w:r>
        <w:separator/>
      </w:r>
    </w:p>
  </w:footnote>
  <w:footnote w:type="continuationSeparator" w:id="0">
    <w:p w14:paraId="1C29E82F" w14:textId="77777777" w:rsidR="00320FDF" w:rsidRDefault="00320FDF" w:rsidP="008B60B2">
      <w:r>
        <w:separator/>
      </w:r>
    </w:p>
    <w:p w14:paraId="0EBD2174" w14:textId="77777777" w:rsidR="00320FDF" w:rsidRPr="00ED77FB" w:rsidRDefault="00320FD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F064954" w14:textId="77777777" w:rsidR="00320FDF" w:rsidRPr="00ED77FB" w:rsidRDefault="00320FD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52BCF2" w14:textId="46CA5E57" w:rsidR="00320FDF" w:rsidRDefault="00320FDF" w:rsidP="00477D6B">
    <w:pPr>
      <w:jc w:val="right"/>
    </w:pPr>
    <w:bookmarkStart w:id="6" w:name="Code2"/>
    <w:bookmarkEnd w:id="6"/>
    <w:r>
      <w:t>PCT/CTC/30/19</w:t>
    </w:r>
  </w:p>
  <w:p w14:paraId="4127555F" w14:textId="6C3BACA8" w:rsidR="00320FDF" w:rsidRDefault="00320FDF" w:rsidP="00477D6B">
    <w:pPr>
      <w:jc w:val="right"/>
    </w:pPr>
    <w:r>
      <w:t>page </w:t>
    </w:r>
    <w:r>
      <w:fldChar w:fldCharType="begin"/>
    </w:r>
    <w:r>
      <w:instrText xml:space="preserve"> PAGE  \* MERGEFORMAT </w:instrText>
    </w:r>
    <w:r>
      <w:fldChar w:fldCharType="separate"/>
    </w:r>
    <w:r w:rsidR="00F328E6">
      <w:rPr>
        <w:noProof/>
      </w:rPr>
      <w:t>1</w:t>
    </w:r>
    <w:r>
      <w:fldChar w:fldCharType="end"/>
    </w:r>
  </w:p>
  <w:p w14:paraId="1D0305F7" w14:textId="77777777" w:rsidR="00320FDF" w:rsidRDefault="00320FDF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8EDD38" w14:textId="77777777" w:rsidR="00320FDF" w:rsidRPr="00AA5F79" w:rsidRDefault="00320FDF" w:rsidP="00477D6B">
    <w:pPr>
      <w:jc w:val="right"/>
      <w:rPr>
        <w:lang w:val="fr-FR"/>
      </w:rPr>
    </w:pPr>
    <w:r w:rsidRPr="00AA5F79">
      <w:rPr>
        <w:lang w:val="fr-FR"/>
      </w:rPr>
      <w:t>PCT/CTC/30/</w:t>
    </w:r>
    <w:r>
      <w:rPr>
        <w:lang w:val="fr-FR"/>
      </w:rPr>
      <w:t>19</w:t>
    </w:r>
  </w:p>
  <w:p w14:paraId="52C977E6" w14:textId="29E2A727" w:rsidR="00320FDF" w:rsidRPr="00AA5F79" w:rsidRDefault="00320FDF" w:rsidP="00477D6B">
    <w:pPr>
      <w:jc w:val="right"/>
      <w:rPr>
        <w:lang w:val="fr-FR"/>
      </w:rPr>
    </w:pPr>
    <w:r w:rsidRPr="00AA5F79">
      <w:rPr>
        <w:lang w:val="fr-FR"/>
      </w:rPr>
      <w:t>Annex</w:t>
    </w:r>
    <w:r>
      <w:rPr>
        <w:lang w:val="fr-FR"/>
      </w:rPr>
      <w:t>e</w:t>
    </w:r>
    <w:r w:rsidRPr="00AA5F79">
      <w:rPr>
        <w:lang w:val="fr-FR"/>
      </w:rPr>
      <w:t>, page</w:t>
    </w:r>
    <w:r>
      <w:rPr>
        <w:lang w:val="fr-FR"/>
      </w:rPr>
      <w:t> </w:t>
    </w:r>
    <w:r>
      <w:fldChar w:fldCharType="begin"/>
    </w:r>
    <w:r w:rsidRPr="00AA5F79">
      <w:rPr>
        <w:lang w:val="fr-FR"/>
      </w:rPr>
      <w:instrText xml:space="preserve"> PAGE  \* MERGEFORMAT </w:instrText>
    </w:r>
    <w:r>
      <w:fldChar w:fldCharType="separate"/>
    </w:r>
    <w:r w:rsidR="001D1CDF">
      <w:rPr>
        <w:noProof/>
        <w:lang w:val="fr-FR"/>
      </w:rPr>
      <w:t>12</w:t>
    </w:r>
    <w:r>
      <w:fldChar w:fldCharType="end"/>
    </w:r>
  </w:p>
  <w:p w14:paraId="16098222" w14:textId="77777777" w:rsidR="00320FDF" w:rsidRPr="00AA5F79" w:rsidRDefault="00320FDF" w:rsidP="00477D6B">
    <w:pPr>
      <w:jc w:val="right"/>
      <w:rPr>
        <w:lang w:val="fr-F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6AE27" w14:textId="77777777" w:rsidR="00320FDF" w:rsidRDefault="00320FDF" w:rsidP="00320FDF">
    <w:pPr>
      <w:pStyle w:val="Header"/>
      <w:jc w:val="right"/>
    </w:pPr>
    <w:r>
      <w:t>PCT/CTC/30/19</w:t>
    </w:r>
  </w:p>
  <w:p w14:paraId="6973F5CB" w14:textId="1BC90F08" w:rsidR="00320FDF" w:rsidRDefault="00320FDF" w:rsidP="00320FDF">
    <w:pPr>
      <w:pStyle w:val="Header"/>
      <w:jc w:val="right"/>
    </w:pPr>
    <w:r>
      <w:t>ANNEXE</w:t>
    </w:r>
  </w:p>
  <w:p w14:paraId="20A94E9B" w14:textId="77777777" w:rsidR="00320FDF" w:rsidRDefault="00320FDF" w:rsidP="00320FD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1ED638F"/>
    <w:multiLevelType w:val="hybridMultilevel"/>
    <w:tmpl w:val="65C46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5441E30"/>
    <w:multiLevelType w:val="hybridMultilevel"/>
    <w:tmpl w:val="9F389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0A4"/>
    <w:rsid w:val="00011582"/>
    <w:rsid w:val="00031CD2"/>
    <w:rsid w:val="000420FD"/>
    <w:rsid w:val="00043CAA"/>
    <w:rsid w:val="00075432"/>
    <w:rsid w:val="0007792B"/>
    <w:rsid w:val="000968ED"/>
    <w:rsid w:val="000E64C9"/>
    <w:rsid w:val="000F1F00"/>
    <w:rsid w:val="000F5E56"/>
    <w:rsid w:val="00104EAE"/>
    <w:rsid w:val="001362EE"/>
    <w:rsid w:val="00176434"/>
    <w:rsid w:val="0018170C"/>
    <w:rsid w:val="001832A6"/>
    <w:rsid w:val="00184A94"/>
    <w:rsid w:val="001B1AB7"/>
    <w:rsid w:val="001C0822"/>
    <w:rsid w:val="001C1D90"/>
    <w:rsid w:val="001C388C"/>
    <w:rsid w:val="001C3BA2"/>
    <w:rsid w:val="001C7D44"/>
    <w:rsid w:val="001D1CDF"/>
    <w:rsid w:val="001D2EA5"/>
    <w:rsid w:val="00203433"/>
    <w:rsid w:val="0021217E"/>
    <w:rsid w:val="00220660"/>
    <w:rsid w:val="002232EC"/>
    <w:rsid w:val="0025028E"/>
    <w:rsid w:val="00253C3F"/>
    <w:rsid w:val="002634C4"/>
    <w:rsid w:val="00267A94"/>
    <w:rsid w:val="00270967"/>
    <w:rsid w:val="002928D3"/>
    <w:rsid w:val="002C4B0E"/>
    <w:rsid w:val="002F1FE6"/>
    <w:rsid w:val="002F4E68"/>
    <w:rsid w:val="00312F7F"/>
    <w:rsid w:val="00320FDF"/>
    <w:rsid w:val="00323F15"/>
    <w:rsid w:val="0035027E"/>
    <w:rsid w:val="00361450"/>
    <w:rsid w:val="0036250A"/>
    <w:rsid w:val="003673CF"/>
    <w:rsid w:val="003845C1"/>
    <w:rsid w:val="003A2B93"/>
    <w:rsid w:val="003A6F89"/>
    <w:rsid w:val="003B07BE"/>
    <w:rsid w:val="003B38C1"/>
    <w:rsid w:val="004010D7"/>
    <w:rsid w:val="00423E3E"/>
    <w:rsid w:val="00427AF4"/>
    <w:rsid w:val="004572B6"/>
    <w:rsid w:val="004647DA"/>
    <w:rsid w:val="00465C0F"/>
    <w:rsid w:val="00471CB6"/>
    <w:rsid w:val="00474062"/>
    <w:rsid w:val="00477D6B"/>
    <w:rsid w:val="00496DE4"/>
    <w:rsid w:val="004C6A76"/>
    <w:rsid w:val="004D7772"/>
    <w:rsid w:val="004E5C6F"/>
    <w:rsid w:val="004F74E6"/>
    <w:rsid w:val="00500A7B"/>
    <w:rsid w:val="005019FF"/>
    <w:rsid w:val="00517E06"/>
    <w:rsid w:val="0053057A"/>
    <w:rsid w:val="00560A29"/>
    <w:rsid w:val="00560D94"/>
    <w:rsid w:val="00561A29"/>
    <w:rsid w:val="0057403A"/>
    <w:rsid w:val="00584E85"/>
    <w:rsid w:val="005C40A3"/>
    <w:rsid w:val="005C6649"/>
    <w:rsid w:val="005E1524"/>
    <w:rsid w:val="005F0CF5"/>
    <w:rsid w:val="00605827"/>
    <w:rsid w:val="0061447C"/>
    <w:rsid w:val="00636647"/>
    <w:rsid w:val="00643D8C"/>
    <w:rsid w:val="00646050"/>
    <w:rsid w:val="00666C16"/>
    <w:rsid w:val="006713CA"/>
    <w:rsid w:val="00672C17"/>
    <w:rsid w:val="00676C5C"/>
    <w:rsid w:val="00692885"/>
    <w:rsid w:val="00696D71"/>
    <w:rsid w:val="006B6220"/>
    <w:rsid w:val="006B6544"/>
    <w:rsid w:val="006D2592"/>
    <w:rsid w:val="006F334B"/>
    <w:rsid w:val="00702CD2"/>
    <w:rsid w:val="00710036"/>
    <w:rsid w:val="00731550"/>
    <w:rsid w:val="00732AD3"/>
    <w:rsid w:val="00742FE9"/>
    <w:rsid w:val="00746B23"/>
    <w:rsid w:val="0074780E"/>
    <w:rsid w:val="00766901"/>
    <w:rsid w:val="0079276A"/>
    <w:rsid w:val="007B4DAB"/>
    <w:rsid w:val="007C29C2"/>
    <w:rsid w:val="007C6010"/>
    <w:rsid w:val="007D1613"/>
    <w:rsid w:val="007D7B6D"/>
    <w:rsid w:val="007E4C0E"/>
    <w:rsid w:val="007F72C2"/>
    <w:rsid w:val="00801875"/>
    <w:rsid w:val="00837953"/>
    <w:rsid w:val="00863512"/>
    <w:rsid w:val="00863E8F"/>
    <w:rsid w:val="00881123"/>
    <w:rsid w:val="00891362"/>
    <w:rsid w:val="008B2CC1"/>
    <w:rsid w:val="008B50A2"/>
    <w:rsid w:val="008B60B2"/>
    <w:rsid w:val="008F3648"/>
    <w:rsid w:val="0090731E"/>
    <w:rsid w:val="00916EE2"/>
    <w:rsid w:val="009246FF"/>
    <w:rsid w:val="009564E6"/>
    <w:rsid w:val="00957114"/>
    <w:rsid w:val="0096317D"/>
    <w:rsid w:val="00966A22"/>
    <w:rsid w:val="0096722F"/>
    <w:rsid w:val="00980843"/>
    <w:rsid w:val="009A73D6"/>
    <w:rsid w:val="009D0088"/>
    <w:rsid w:val="009E2791"/>
    <w:rsid w:val="009E3F6F"/>
    <w:rsid w:val="009F012E"/>
    <w:rsid w:val="009F499F"/>
    <w:rsid w:val="00A05905"/>
    <w:rsid w:val="00A40BFE"/>
    <w:rsid w:val="00A42DAF"/>
    <w:rsid w:val="00A45BD8"/>
    <w:rsid w:val="00A85E4C"/>
    <w:rsid w:val="00A869B7"/>
    <w:rsid w:val="00A93FC2"/>
    <w:rsid w:val="00AA5F79"/>
    <w:rsid w:val="00AB16E4"/>
    <w:rsid w:val="00AC205C"/>
    <w:rsid w:val="00AF0A6B"/>
    <w:rsid w:val="00AF6CF7"/>
    <w:rsid w:val="00B05A69"/>
    <w:rsid w:val="00B12AC2"/>
    <w:rsid w:val="00B229F5"/>
    <w:rsid w:val="00B718C6"/>
    <w:rsid w:val="00B776A6"/>
    <w:rsid w:val="00B90831"/>
    <w:rsid w:val="00B9734B"/>
    <w:rsid w:val="00BA30E2"/>
    <w:rsid w:val="00BD078D"/>
    <w:rsid w:val="00BE0CA1"/>
    <w:rsid w:val="00C11BFE"/>
    <w:rsid w:val="00C37C03"/>
    <w:rsid w:val="00C502DF"/>
    <w:rsid w:val="00C5068F"/>
    <w:rsid w:val="00C650A4"/>
    <w:rsid w:val="00C67C18"/>
    <w:rsid w:val="00C82A5F"/>
    <w:rsid w:val="00CB14DB"/>
    <w:rsid w:val="00CD04F1"/>
    <w:rsid w:val="00D45252"/>
    <w:rsid w:val="00D70349"/>
    <w:rsid w:val="00D71B4D"/>
    <w:rsid w:val="00D8335B"/>
    <w:rsid w:val="00D93D55"/>
    <w:rsid w:val="00DA007A"/>
    <w:rsid w:val="00DB0D94"/>
    <w:rsid w:val="00DC16F7"/>
    <w:rsid w:val="00DC371A"/>
    <w:rsid w:val="00DE619F"/>
    <w:rsid w:val="00DF148D"/>
    <w:rsid w:val="00E15015"/>
    <w:rsid w:val="00E24ADE"/>
    <w:rsid w:val="00E254AD"/>
    <w:rsid w:val="00E335FE"/>
    <w:rsid w:val="00E612F2"/>
    <w:rsid w:val="00E62AB7"/>
    <w:rsid w:val="00E82D0C"/>
    <w:rsid w:val="00E9783B"/>
    <w:rsid w:val="00EA2636"/>
    <w:rsid w:val="00EA401C"/>
    <w:rsid w:val="00EA71C4"/>
    <w:rsid w:val="00EC4E49"/>
    <w:rsid w:val="00ED77FB"/>
    <w:rsid w:val="00EE45FA"/>
    <w:rsid w:val="00F25AB1"/>
    <w:rsid w:val="00F31746"/>
    <w:rsid w:val="00F32235"/>
    <w:rsid w:val="00F328E6"/>
    <w:rsid w:val="00F32F71"/>
    <w:rsid w:val="00F37356"/>
    <w:rsid w:val="00F60878"/>
    <w:rsid w:val="00F64502"/>
    <w:rsid w:val="00F66152"/>
    <w:rsid w:val="00F67F60"/>
    <w:rsid w:val="00FA4CE0"/>
    <w:rsid w:val="00FC67E6"/>
    <w:rsid w:val="00FD06A7"/>
    <w:rsid w:val="00FE7E3B"/>
    <w:rsid w:val="00FF1AC0"/>
    <w:rsid w:val="00FF2C48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58E74D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650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50A4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basedOn w:val="DefaultParagraphFont"/>
    <w:link w:val="ONUME"/>
    <w:uiPriority w:val="99"/>
    <w:locked/>
    <w:rsid w:val="005C40A3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E24ADE"/>
    <w:pPr>
      <w:ind w:left="720"/>
      <w:contextualSpacing/>
    </w:pPr>
  </w:style>
  <w:style w:type="table" w:styleId="TableGrid">
    <w:name w:val="Table Grid"/>
    <w:basedOn w:val="TableNormal"/>
    <w:rsid w:val="00E24ADE"/>
    <w:rPr>
      <w:rFonts w:asciiTheme="minorHAnsi" w:eastAsiaTheme="minorEastAsia" w:hAnsiTheme="minorHAnsi" w:cstheme="minorBidi"/>
      <w:sz w:val="22"/>
      <w:szCs w:val="22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270967"/>
  </w:style>
  <w:style w:type="character" w:styleId="Hyperlink">
    <w:name w:val="Hyperlink"/>
    <w:basedOn w:val="DefaultParagraphFont"/>
    <w:rsid w:val="009631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650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50A4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basedOn w:val="DefaultParagraphFont"/>
    <w:link w:val="ONUME"/>
    <w:uiPriority w:val="99"/>
    <w:locked/>
    <w:rsid w:val="005C40A3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E24ADE"/>
    <w:pPr>
      <w:ind w:left="720"/>
      <w:contextualSpacing/>
    </w:pPr>
  </w:style>
  <w:style w:type="table" w:styleId="TableGrid">
    <w:name w:val="Table Grid"/>
    <w:basedOn w:val="TableNormal"/>
    <w:rsid w:val="00E24ADE"/>
    <w:rPr>
      <w:rFonts w:asciiTheme="minorHAnsi" w:eastAsiaTheme="minorEastAsia" w:hAnsiTheme="minorHAnsi" w:cstheme="minorBidi"/>
      <w:sz w:val="22"/>
      <w:szCs w:val="22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270967"/>
  </w:style>
  <w:style w:type="character" w:styleId="Hyperlink">
    <w:name w:val="Hyperlink"/>
    <w:basedOn w:val="DefaultParagraphFont"/>
    <w:rsid w:val="009631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8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9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3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6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7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9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9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D3EA0-EE76-4845-B347-E5B0D6B90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5081</Words>
  <Characters>27997</Characters>
  <Application>Microsoft Office Word</Application>
  <DocSecurity>0</DocSecurity>
  <Lines>903</Lines>
  <Paragraphs>312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PCT/CTC/30/19</vt:lpstr>
    </vt:vector>
  </TitlesOfParts>
  <Company>WIPO</Company>
  <LinksUpToDate>false</LinksUpToDate>
  <CharactersWithSpaces>32766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PCT/CTC/30/19</dc:title>
  <dc:subject>Extension of Appointment of the Intellectual Property Office of  Singapore as an International Searching and Preliminary Examining Authority Under the PCT</dc:subject>
  <dc:creator>MARLOW Thomas</dc:creator>
  <cp:keywords>CD/ko</cp:keywords>
  <cp:lastModifiedBy>MARLOW Thomas</cp:lastModifiedBy>
  <cp:revision>2</cp:revision>
  <cp:lastPrinted>2017-04-06T15:10:00Z</cp:lastPrinted>
  <dcterms:created xsi:type="dcterms:W3CDTF">2017-04-06T15:34:00Z</dcterms:created>
  <dcterms:modified xsi:type="dcterms:W3CDTF">2017-04-06T15:34:00Z</dcterms:modified>
</cp:coreProperties>
</file>