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05BC" w:rsidRPr="00365328" w:rsidTr="00CD642F">
        <w:tc>
          <w:tcPr>
            <w:tcW w:w="4513" w:type="dxa"/>
            <w:tcBorders>
              <w:bottom w:val="single" w:sz="4" w:space="0" w:color="auto"/>
            </w:tcBorders>
            <w:tcMar>
              <w:bottom w:w="170" w:type="dxa"/>
            </w:tcMar>
          </w:tcPr>
          <w:p w:rsidR="004205BC" w:rsidRPr="00365328" w:rsidRDefault="004205BC" w:rsidP="00CD642F">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4205BC" w:rsidRPr="00365328" w:rsidRDefault="004205BC" w:rsidP="00CD642F">
            <w:pPr>
              <w:rPr>
                <w:lang w:val="fr-FR"/>
              </w:rPr>
            </w:pPr>
            <w:r w:rsidRPr="00365328">
              <w:rPr>
                <w:noProof/>
                <w:lang w:eastAsia="en-US"/>
              </w:rPr>
              <w:drawing>
                <wp:inline distT="0" distB="0" distL="0" distR="0" wp14:anchorId="75C0E293" wp14:editId="03C1282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205BC" w:rsidRPr="00365328" w:rsidRDefault="004205BC" w:rsidP="00CD642F">
            <w:pPr>
              <w:jc w:val="right"/>
              <w:rPr>
                <w:lang w:val="fr-FR"/>
              </w:rPr>
            </w:pPr>
            <w:r w:rsidRPr="00365328">
              <w:rPr>
                <w:b/>
                <w:sz w:val="40"/>
                <w:szCs w:val="40"/>
                <w:lang w:val="fr-FR"/>
              </w:rPr>
              <w:t>F</w:t>
            </w:r>
          </w:p>
        </w:tc>
      </w:tr>
      <w:tr w:rsidR="004205BC" w:rsidRPr="00365328" w:rsidTr="00CD642F">
        <w:trPr>
          <w:trHeight w:hRule="exact" w:val="357"/>
        </w:trPr>
        <w:tc>
          <w:tcPr>
            <w:tcW w:w="9356" w:type="dxa"/>
            <w:gridSpan w:val="3"/>
            <w:tcBorders>
              <w:top w:val="single" w:sz="4" w:space="0" w:color="auto"/>
            </w:tcBorders>
            <w:tcMar>
              <w:top w:w="170" w:type="dxa"/>
              <w:left w:w="0" w:type="dxa"/>
              <w:right w:w="0" w:type="dxa"/>
            </w:tcMar>
            <w:vAlign w:val="bottom"/>
          </w:tcPr>
          <w:p w:rsidR="004205BC" w:rsidRPr="00365328" w:rsidRDefault="004205BC" w:rsidP="00CD642F">
            <w:pPr>
              <w:jc w:val="right"/>
              <w:rPr>
                <w:rFonts w:ascii="Arial Black" w:hAnsi="Arial Black"/>
                <w:caps/>
                <w:sz w:val="15"/>
                <w:lang w:val="fr-FR"/>
              </w:rPr>
            </w:pPr>
            <w:r w:rsidRPr="00365328">
              <w:rPr>
                <w:rFonts w:ascii="Arial Black" w:hAnsi="Arial Black"/>
                <w:caps/>
                <w:sz w:val="15"/>
                <w:lang w:val="fr-FR"/>
              </w:rPr>
              <w:t>PCT/CTC/30/</w:t>
            </w:r>
            <w:bookmarkStart w:id="2" w:name="Code"/>
            <w:bookmarkEnd w:id="2"/>
            <w:r w:rsidRPr="00365328">
              <w:rPr>
                <w:rFonts w:ascii="Arial Black" w:hAnsi="Arial Black"/>
                <w:caps/>
                <w:sz w:val="15"/>
                <w:lang w:val="fr-FR"/>
              </w:rPr>
              <w:t>17</w:t>
            </w:r>
          </w:p>
        </w:tc>
      </w:tr>
      <w:tr w:rsidR="004205BC" w:rsidRPr="00365328" w:rsidTr="00CD642F">
        <w:trPr>
          <w:trHeight w:hRule="exact" w:val="170"/>
        </w:trPr>
        <w:tc>
          <w:tcPr>
            <w:tcW w:w="9356" w:type="dxa"/>
            <w:gridSpan w:val="3"/>
            <w:noWrap/>
            <w:tcMar>
              <w:left w:w="0" w:type="dxa"/>
              <w:right w:w="0" w:type="dxa"/>
            </w:tcMar>
            <w:vAlign w:val="bottom"/>
          </w:tcPr>
          <w:p w:rsidR="004205BC" w:rsidRPr="00365328" w:rsidRDefault="004205BC" w:rsidP="00CD642F">
            <w:pPr>
              <w:jc w:val="right"/>
              <w:rPr>
                <w:rFonts w:ascii="Arial Black" w:hAnsi="Arial Black"/>
                <w:caps/>
                <w:sz w:val="15"/>
                <w:lang w:val="fr-FR"/>
              </w:rPr>
            </w:pPr>
            <w:r w:rsidRPr="00365328">
              <w:rPr>
                <w:rFonts w:ascii="Arial Black" w:hAnsi="Arial Black"/>
                <w:caps/>
                <w:sz w:val="15"/>
                <w:lang w:val="fr-FR"/>
              </w:rPr>
              <w:t xml:space="preserve">ORIGINAL : </w:t>
            </w:r>
            <w:bookmarkStart w:id="3" w:name="Original"/>
            <w:bookmarkEnd w:id="3"/>
            <w:r w:rsidRPr="00365328">
              <w:rPr>
                <w:rFonts w:ascii="Arial Black" w:hAnsi="Arial Black"/>
                <w:caps/>
                <w:sz w:val="15"/>
                <w:lang w:val="fr-FR"/>
              </w:rPr>
              <w:t>anglais</w:t>
            </w:r>
          </w:p>
        </w:tc>
      </w:tr>
      <w:tr w:rsidR="004205BC" w:rsidRPr="00365328" w:rsidTr="00CD642F">
        <w:trPr>
          <w:trHeight w:hRule="exact" w:val="198"/>
        </w:trPr>
        <w:tc>
          <w:tcPr>
            <w:tcW w:w="9356" w:type="dxa"/>
            <w:gridSpan w:val="3"/>
            <w:tcMar>
              <w:left w:w="0" w:type="dxa"/>
              <w:right w:w="0" w:type="dxa"/>
            </w:tcMar>
            <w:vAlign w:val="bottom"/>
          </w:tcPr>
          <w:p w:rsidR="004205BC" w:rsidRPr="00365328" w:rsidRDefault="004205BC" w:rsidP="00CD642F">
            <w:pPr>
              <w:jc w:val="right"/>
              <w:rPr>
                <w:rFonts w:ascii="Arial Black" w:hAnsi="Arial Black"/>
                <w:caps/>
                <w:sz w:val="15"/>
                <w:lang w:val="fr-FR"/>
              </w:rPr>
            </w:pPr>
            <w:r w:rsidRPr="00365328">
              <w:rPr>
                <w:rFonts w:ascii="Arial Black" w:hAnsi="Arial Black"/>
                <w:caps/>
                <w:sz w:val="15"/>
                <w:lang w:val="fr-FR"/>
              </w:rPr>
              <w:t xml:space="preserve">DATE : </w:t>
            </w:r>
            <w:bookmarkStart w:id="4" w:name="Date"/>
            <w:bookmarkEnd w:id="4"/>
            <w:r w:rsidRPr="00365328">
              <w:rPr>
                <w:rFonts w:ascii="Arial Black" w:hAnsi="Arial Black"/>
                <w:caps/>
                <w:sz w:val="15"/>
                <w:lang w:val="fr-FR"/>
              </w:rPr>
              <w:t>16 mars 2017</w:t>
            </w:r>
          </w:p>
        </w:tc>
      </w:tr>
    </w:tbl>
    <w:p w:rsidR="004205BC" w:rsidRPr="00365328" w:rsidRDefault="004205BC" w:rsidP="004205BC">
      <w:pPr>
        <w:rPr>
          <w:lang w:val="fr-FR"/>
        </w:rPr>
      </w:pPr>
    </w:p>
    <w:p w:rsidR="004205BC" w:rsidRPr="00365328" w:rsidRDefault="004205BC" w:rsidP="004205BC">
      <w:pPr>
        <w:rPr>
          <w:lang w:val="fr-FR"/>
        </w:rPr>
      </w:pPr>
    </w:p>
    <w:p w:rsidR="004205BC" w:rsidRPr="00365328" w:rsidRDefault="004205BC" w:rsidP="004205BC">
      <w:pPr>
        <w:rPr>
          <w:lang w:val="fr-FR"/>
        </w:rPr>
      </w:pPr>
    </w:p>
    <w:p w:rsidR="004205BC" w:rsidRPr="00365328" w:rsidRDefault="004205BC" w:rsidP="004205BC">
      <w:pPr>
        <w:rPr>
          <w:lang w:val="fr-FR"/>
        </w:rPr>
      </w:pPr>
    </w:p>
    <w:p w:rsidR="004205BC" w:rsidRPr="00365328" w:rsidRDefault="004205BC" w:rsidP="004205BC">
      <w:pPr>
        <w:rPr>
          <w:lang w:val="fr-FR"/>
        </w:rPr>
      </w:pPr>
    </w:p>
    <w:p w:rsidR="004205BC" w:rsidRPr="00365328" w:rsidRDefault="004205BC" w:rsidP="004205BC">
      <w:pPr>
        <w:rPr>
          <w:b/>
          <w:sz w:val="28"/>
          <w:szCs w:val="28"/>
          <w:lang w:val="fr-FR"/>
        </w:rPr>
      </w:pPr>
      <w:r w:rsidRPr="00365328">
        <w:rPr>
          <w:b/>
          <w:sz w:val="28"/>
          <w:szCs w:val="28"/>
          <w:lang w:val="fr-FR"/>
        </w:rPr>
        <w:t>Traité de coopération en matière de brevets (PCT)</w:t>
      </w:r>
    </w:p>
    <w:p w:rsidR="004205BC" w:rsidRPr="00365328" w:rsidRDefault="004205BC" w:rsidP="004205BC">
      <w:pPr>
        <w:rPr>
          <w:b/>
          <w:sz w:val="28"/>
          <w:szCs w:val="28"/>
          <w:lang w:val="fr-FR"/>
        </w:rPr>
      </w:pPr>
      <w:r w:rsidRPr="00365328">
        <w:rPr>
          <w:b/>
          <w:sz w:val="28"/>
          <w:szCs w:val="28"/>
          <w:lang w:val="fr-FR"/>
        </w:rPr>
        <w:t>Comité de coopération technique</w:t>
      </w:r>
    </w:p>
    <w:p w:rsidR="004205BC" w:rsidRPr="00365328" w:rsidRDefault="004205BC" w:rsidP="004205BC">
      <w:pPr>
        <w:rPr>
          <w:lang w:val="fr-FR"/>
        </w:rPr>
      </w:pPr>
    </w:p>
    <w:p w:rsidR="004205BC" w:rsidRPr="00365328" w:rsidRDefault="004205BC" w:rsidP="004205BC">
      <w:pPr>
        <w:rPr>
          <w:lang w:val="fr-FR"/>
        </w:rPr>
      </w:pPr>
    </w:p>
    <w:p w:rsidR="004205BC" w:rsidRPr="00365328" w:rsidRDefault="004205BC" w:rsidP="004205BC">
      <w:pPr>
        <w:rPr>
          <w:b/>
          <w:sz w:val="24"/>
          <w:szCs w:val="24"/>
          <w:lang w:val="fr-FR"/>
        </w:rPr>
      </w:pPr>
      <w:r w:rsidRPr="00365328">
        <w:rPr>
          <w:b/>
          <w:sz w:val="24"/>
          <w:szCs w:val="24"/>
          <w:lang w:val="fr-FR"/>
        </w:rPr>
        <w:t>Trentième session</w:t>
      </w:r>
    </w:p>
    <w:p w:rsidR="004205BC" w:rsidRPr="00365328" w:rsidRDefault="004205BC" w:rsidP="004205BC">
      <w:pPr>
        <w:rPr>
          <w:b/>
          <w:sz w:val="24"/>
          <w:szCs w:val="24"/>
          <w:lang w:val="fr-FR"/>
        </w:rPr>
      </w:pPr>
      <w:r w:rsidRPr="00365328">
        <w:rPr>
          <w:b/>
          <w:sz w:val="24"/>
          <w:szCs w:val="24"/>
          <w:lang w:val="fr-FR"/>
        </w:rPr>
        <w:t>Genève, 8 – 12 mai 2017</w:t>
      </w:r>
    </w:p>
    <w:p w:rsidR="004205BC" w:rsidRPr="00365328" w:rsidRDefault="004205BC" w:rsidP="004205BC">
      <w:pPr>
        <w:rPr>
          <w:lang w:val="fr-FR"/>
        </w:rPr>
      </w:pPr>
    </w:p>
    <w:p w:rsidR="004205BC" w:rsidRPr="00365328" w:rsidRDefault="004205BC" w:rsidP="004205BC">
      <w:pPr>
        <w:rPr>
          <w:lang w:val="fr-FR"/>
        </w:rPr>
      </w:pPr>
    </w:p>
    <w:p w:rsidR="004205BC" w:rsidRPr="00365328" w:rsidRDefault="004205BC" w:rsidP="004205BC">
      <w:pPr>
        <w:rPr>
          <w:lang w:val="fr-FR"/>
        </w:rPr>
      </w:pPr>
    </w:p>
    <w:p w:rsidR="00F00552" w:rsidRPr="00365328" w:rsidRDefault="001954E5" w:rsidP="00963B78">
      <w:pPr>
        <w:rPr>
          <w:caps/>
          <w:sz w:val="24"/>
          <w:lang w:val="fr-FR"/>
        </w:rPr>
      </w:pPr>
      <w:r w:rsidRPr="00365328">
        <w:rPr>
          <w:caps/>
          <w:sz w:val="24"/>
          <w:lang w:val="fr-FR"/>
        </w:rPr>
        <w:t xml:space="preserve">Prolongation de la nomination </w:t>
      </w:r>
      <w:r w:rsidR="004205BC" w:rsidRPr="00365328">
        <w:rPr>
          <w:caps/>
          <w:sz w:val="24"/>
          <w:lang w:val="fr-FR"/>
        </w:rPr>
        <w:t>du</w:t>
      </w:r>
      <w:r w:rsidRPr="00365328">
        <w:rPr>
          <w:caps/>
          <w:sz w:val="24"/>
          <w:lang w:val="fr-FR"/>
        </w:rPr>
        <w:t xml:space="preserve"> Service </w:t>
      </w:r>
      <w:r w:rsidR="004205BC" w:rsidRPr="00365328">
        <w:rPr>
          <w:caps/>
          <w:sz w:val="24"/>
          <w:lang w:val="fr-FR"/>
        </w:rPr>
        <w:t>f</w:t>
      </w:r>
      <w:r w:rsidRPr="00365328">
        <w:rPr>
          <w:caps/>
          <w:sz w:val="24"/>
          <w:lang w:val="fr-FR"/>
        </w:rPr>
        <w:t>édéra</w:t>
      </w:r>
      <w:r w:rsidR="001E0089" w:rsidRPr="00365328">
        <w:rPr>
          <w:caps/>
          <w:sz w:val="24"/>
          <w:lang w:val="fr-FR"/>
        </w:rPr>
        <w:t>l</w:t>
      </w:r>
      <w:r w:rsidRPr="00365328">
        <w:rPr>
          <w:caps/>
          <w:sz w:val="24"/>
          <w:lang w:val="fr-FR"/>
        </w:rPr>
        <w:t xml:space="preserve"> </w:t>
      </w:r>
      <w:r w:rsidR="001E0089" w:rsidRPr="00365328">
        <w:rPr>
          <w:caps/>
          <w:sz w:val="24"/>
          <w:lang w:val="fr-FR"/>
        </w:rPr>
        <w:t>de</w:t>
      </w:r>
      <w:r w:rsidRPr="00365328">
        <w:rPr>
          <w:caps/>
          <w:sz w:val="24"/>
          <w:lang w:val="fr-FR"/>
        </w:rPr>
        <w:t xml:space="preserve"> la propriété intellectuelle en qualité d</w:t>
      </w:r>
      <w:r w:rsidR="004205BC" w:rsidRPr="00365328">
        <w:rPr>
          <w:caps/>
          <w:sz w:val="24"/>
          <w:lang w:val="fr-FR"/>
        </w:rPr>
        <w:t>’</w:t>
      </w:r>
      <w:r w:rsidRPr="00365328">
        <w:rPr>
          <w:caps/>
          <w:sz w:val="24"/>
          <w:lang w:val="fr-FR"/>
        </w:rPr>
        <w:t>administration chargée de la recherche internationale et de l</w:t>
      </w:r>
      <w:r w:rsidR="004205BC" w:rsidRPr="00365328">
        <w:rPr>
          <w:caps/>
          <w:sz w:val="24"/>
          <w:lang w:val="fr-FR"/>
        </w:rPr>
        <w:t>’</w:t>
      </w:r>
      <w:r w:rsidRPr="00365328">
        <w:rPr>
          <w:caps/>
          <w:sz w:val="24"/>
          <w:lang w:val="fr-FR"/>
        </w:rPr>
        <w:t>examen préliminaire international selon</w:t>
      </w:r>
      <w:r w:rsidR="004205BC" w:rsidRPr="00365328">
        <w:rPr>
          <w:caps/>
          <w:sz w:val="24"/>
          <w:lang w:val="fr-FR"/>
        </w:rPr>
        <w:t xml:space="preserve"> le PCT</w:t>
      </w:r>
    </w:p>
    <w:p w:rsidR="00F00552" w:rsidRPr="00365328" w:rsidRDefault="00F00552" w:rsidP="00963B78">
      <w:pPr>
        <w:rPr>
          <w:lang w:val="fr-FR"/>
        </w:rPr>
      </w:pPr>
    </w:p>
    <w:p w:rsidR="00F00552" w:rsidRPr="00365328" w:rsidRDefault="001954E5" w:rsidP="00963B78">
      <w:pPr>
        <w:rPr>
          <w:i/>
          <w:lang w:val="fr-FR"/>
        </w:rPr>
      </w:pPr>
      <w:bookmarkStart w:id="5" w:name="Prepared"/>
      <w:bookmarkEnd w:id="5"/>
      <w:r w:rsidRPr="00365328">
        <w:rPr>
          <w:i/>
          <w:lang w:val="fr-FR"/>
        </w:rPr>
        <w:t>Document établi par le Bureau international</w:t>
      </w:r>
    </w:p>
    <w:p w:rsidR="00F00552" w:rsidRPr="00365328" w:rsidRDefault="00F00552" w:rsidP="00963B78">
      <w:pPr>
        <w:rPr>
          <w:lang w:val="fr-FR"/>
        </w:rPr>
      </w:pPr>
    </w:p>
    <w:p w:rsidR="00F00552" w:rsidRPr="00365328" w:rsidRDefault="00F00552" w:rsidP="00963B78">
      <w:pPr>
        <w:rPr>
          <w:lang w:val="fr-FR"/>
        </w:rPr>
      </w:pPr>
    </w:p>
    <w:p w:rsidR="00F00552" w:rsidRPr="00365328" w:rsidRDefault="00F00552" w:rsidP="00963B78">
      <w:pPr>
        <w:rPr>
          <w:lang w:val="fr-FR"/>
        </w:rPr>
      </w:pPr>
    </w:p>
    <w:p w:rsidR="004F36BB" w:rsidRPr="00CC5550" w:rsidRDefault="004F36BB" w:rsidP="004F36BB">
      <w:pPr>
        <w:pStyle w:val="ONUMFS"/>
        <w:rPr>
          <w:lang w:val="fr-FR"/>
        </w:rPr>
      </w:pPr>
      <w:bookmarkStart w:id="6" w:name="_Ref447032909"/>
      <w:r w:rsidRPr="00CC5550">
        <w:rPr>
          <w:lang w:val="fr-FR"/>
        </w:rPr>
        <w:t xml:space="preserve">Toutes les administrations internationales existantes ont été nommées par l’Assemblée de l’Union du PCT pour une période s’achevant le 31 décembre 2017.  </w:t>
      </w:r>
      <w:bookmarkEnd w:id="6"/>
      <w:r w:rsidRPr="00CC5550">
        <w:rPr>
          <w:lang w:val="fr-FR"/>
        </w:rPr>
        <w:t>En 2017, l’assemblée devra donc prendre une décision en ce qui concerne la prolongation de la nomination de chaque administration internationale existante qui souhaite demander une telle prolongation, après avoir sollicité l’avis du comité (voir les articles 16.3)e) et 32.3) du PCT).  On trouvera des informations concernant la procédure applicable et le rôle du comité dans le document PCT/CTC/30/INF/1.</w:t>
      </w:r>
    </w:p>
    <w:p w:rsidR="00F00552" w:rsidRPr="00365328" w:rsidRDefault="001954E5" w:rsidP="00963B78">
      <w:pPr>
        <w:pStyle w:val="ONUMFS"/>
        <w:rPr>
          <w:lang w:val="fr-FR"/>
        </w:rPr>
      </w:pPr>
      <w:r w:rsidRPr="00365328">
        <w:rPr>
          <w:lang w:val="fr-FR"/>
        </w:rPr>
        <w:t xml:space="preserve">Le </w:t>
      </w:r>
      <w:r w:rsidR="004205BC" w:rsidRPr="00365328">
        <w:rPr>
          <w:lang w:val="fr-FR"/>
        </w:rPr>
        <w:t>7 mars 20</w:t>
      </w:r>
      <w:r w:rsidRPr="00365328">
        <w:rPr>
          <w:lang w:val="fr-FR"/>
        </w:rPr>
        <w:t>17, l</w:t>
      </w:r>
      <w:r w:rsidR="005C40A3" w:rsidRPr="00365328">
        <w:rPr>
          <w:lang w:val="fr-FR"/>
        </w:rPr>
        <w:t xml:space="preserve">e </w:t>
      </w:r>
      <w:r w:rsidRPr="00365328">
        <w:rPr>
          <w:lang w:val="fr-FR"/>
        </w:rPr>
        <w:t xml:space="preserve">Service </w:t>
      </w:r>
      <w:r w:rsidR="001E0089" w:rsidRPr="00365328">
        <w:rPr>
          <w:lang w:val="fr-FR"/>
        </w:rPr>
        <w:t>f</w:t>
      </w:r>
      <w:r w:rsidRPr="00365328">
        <w:rPr>
          <w:lang w:val="fr-FR"/>
        </w:rPr>
        <w:t>édéra</w:t>
      </w:r>
      <w:r w:rsidR="001E0089" w:rsidRPr="00365328">
        <w:rPr>
          <w:lang w:val="fr-FR"/>
        </w:rPr>
        <w:t xml:space="preserve">l </w:t>
      </w:r>
      <w:r w:rsidRPr="00365328">
        <w:rPr>
          <w:lang w:val="fr-FR"/>
        </w:rPr>
        <w:t xml:space="preserve">de la propriété intellectuelle a présenté une demande </w:t>
      </w:r>
      <w:r w:rsidR="004F36BB">
        <w:rPr>
          <w:lang w:val="fr-FR"/>
        </w:rPr>
        <w:t xml:space="preserve">de prolongation de </w:t>
      </w:r>
      <w:r w:rsidRPr="00365328">
        <w:rPr>
          <w:lang w:val="fr-FR"/>
        </w:rPr>
        <w:t>sa nomination en qualité d</w:t>
      </w:r>
      <w:r w:rsidR="004205BC" w:rsidRPr="00365328">
        <w:rPr>
          <w:lang w:val="fr-FR"/>
        </w:rPr>
        <w:t>’</w:t>
      </w:r>
      <w:r w:rsidRPr="00365328">
        <w:rPr>
          <w:lang w:val="fr-FR"/>
        </w:rPr>
        <w:t xml:space="preserve">administration chargée de la recherche internationale et </w:t>
      </w:r>
      <w:r w:rsidR="00612F2E">
        <w:rPr>
          <w:lang w:val="fr-FR"/>
        </w:rPr>
        <w:t xml:space="preserve">d’administration chargée </w:t>
      </w:r>
      <w:r w:rsidRPr="00365328">
        <w:rPr>
          <w:lang w:val="fr-FR"/>
        </w:rPr>
        <w:t>de l</w:t>
      </w:r>
      <w:r w:rsidR="004205BC" w:rsidRPr="00365328">
        <w:rPr>
          <w:lang w:val="fr-FR"/>
        </w:rPr>
        <w:t>’</w:t>
      </w:r>
      <w:r w:rsidRPr="00365328">
        <w:rPr>
          <w:lang w:val="fr-FR"/>
        </w:rPr>
        <w:t>examen préliminaire international selon le </w:t>
      </w:r>
      <w:r w:rsidR="00365328" w:rsidRPr="00365328">
        <w:rPr>
          <w:lang w:val="fr-FR"/>
        </w:rPr>
        <w:t>PCT.  Ce</w:t>
      </w:r>
      <w:r w:rsidRPr="00365328">
        <w:rPr>
          <w:lang w:val="fr-FR"/>
        </w:rPr>
        <w:t xml:space="preserve">tte demande est reproduite </w:t>
      </w:r>
      <w:r w:rsidR="00612F2E">
        <w:rPr>
          <w:lang w:val="fr-FR"/>
        </w:rPr>
        <w:t>à</w:t>
      </w:r>
      <w:r w:rsidRPr="00365328">
        <w:rPr>
          <w:lang w:val="fr-FR"/>
        </w:rPr>
        <w:t xml:space="preserve"> l</w:t>
      </w:r>
      <w:r w:rsidR="004205BC" w:rsidRPr="00365328">
        <w:rPr>
          <w:lang w:val="fr-FR"/>
        </w:rPr>
        <w:t>’</w:t>
      </w:r>
      <w:r w:rsidRPr="00365328">
        <w:rPr>
          <w:lang w:val="fr-FR"/>
        </w:rPr>
        <w:t>annexe du présent document</w:t>
      </w:r>
      <w:r w:rsidR="00AA5F79" w:rsidRPr="00365328">
        <w:rPr>
          <w:lang w:val="fr-FR"/>
        </w:rPr>
        <w:t>.</w:t>
      </w:r>
    </w:p>
    <w:p w:rsidR="00F00552" w:rsidRPr="00365328" w:rsidRDefault="001954E5" w:rsidP="00963B78">
      <w:pPr>
        <w:pStyle w:val="ONUMFS"/>
        <w:ind w:left="5533"/>
        <w:rPr>
          <w:i/>
          <w:lang w:val="fr-FR"/>
        </w:rPr>
      </w:pPr>
      <w:r w:rsidRPr="00365328">
        <w:rPr>
          <w:i/>
          <w:lang w:val="fr-FR"/>
        </w:rPr>
        <w:t xml:space="preserve">Le comité est invité à </w:t>
      </w:r>
      <w:r w:rsidR="00612F2E">
        <w:rPr>
          <w:i/>
          <w:lang w:val="fr-FR"/>
        </w:rPr>
        <w:t>faire part de</w:t>
      </w:r>
      <w:r w:rsidRPr="00365328">
        <w:rPr>
          <w:i/>
          <w:lang w:val="fr-FR"/>
        </w:rPr>
        <w:t xml:space="preserve"> son avis sur cette question</w:t>
      </w:r>
      <w:r w:rsidR="00AA5F79" w:rsidRPr="00365328">
        <w:rPr>
          <w:i/>
          <w:lang w:val="fr-FR"/>
        </w:rPr>
        <w:t>.</w:t>
      </w:r>
    </w:p>
    <w:p w:rsidR="00F00552" w:rsidRPr="00365328" w:rsidRDefault="00F00552" w:rsidP="00963B78">
      <w:pPr>
        <w:rPr>
          <w:lang w:val="fr-FR"/>
        </w:rPr>
      </w:pPr>
    </w:p>
    <w:p w:rsidR="004205BC" w:rsidRPr="00365328" w:rsidRDefault="004205BC" w:rsidP="00963B78">
      <w:pPr>
        <w:rPr>
          <w:lang w:val="fr-FR"/>
        </w:rPr>
      </w:pPr>
    </w:p>
    <w:p w:rsidR="00AA5F79" w:rsidRPr="00365328" w:rsidRDefault="00AA5F79" w:rsidP="00963B78">
      <w:pPr>
        <w:pStyle w:val="ONUME"/>
        <w:numPr>
          <w:ilvl w:val="0"/>
          <w:numId w:val="0"/>
        </w:numPr>
        <w:ind w:left="5533"/>
        <w:rPr>
          <w:lang w:val="fr-FR"/>
        </w:rPr>
        <w:sectPr w:rsidR="00AA5F79" w:rsidRPr="00365328" w:rsidSect="004205BC">
          <w:headerReference w:type="default" r:id="rId10"/>
          <w:endnotePr>
            <w:numFmt w:val="decimal"/>
          </w:endnotePr>
          <w:pgSz w:w="11907" w:h="16840" w:code="9"/>
          <w:pgMar w:top="567" w:right="1134" w:bottom="1418" w:left="1418" w:header="510" w:footer="1021" w:gutter="0"/>
          <w:cols w:space="720"/>
          <w:titlePg/>
          <w:docGrid w:linePitch="299"/>
        </w:sectPr>
      </w:pPr>
      <w:r w:rsidRPr="00365328">
        <w:rPr>
          <w:lang w:val="fr-FR"/>
        </w:rPr>
        <w:t>[</w:t>
      </w:r>
      <w:r w:rsidR="001954E5" w:rsidRPr="00365328">
        <w:rPr>
          <w:lang w:val="fr-FR"/>
        </w:rPr>
        <w:t>L</w:t>
      </w:r>
      <w:r w:rsidR="004205BC" w:rsidRPr="00365328">
        <w:rPr>
          <w:lang w:val="fr-FR"/>
        </w:rPr>
        <w:t>’</w:t>
      </w:r>
      <w:r w:rsidR="001954E5" w:rsidRPr="00365328">
        <w:rPr>
          <w:lang w:val="fr-FR"/>
        </w:rPr>
        <w:t>annexe suit</w:t>
      </w:r>
      <w:r w:rsidRPr="00365328">
        <w:rPr>
          <w:lang w:val="fr-FR"/>
        </w:rPr>
        <w:t>]</w:t>
      </w:r>
    </w:p>
    <w:p w:rsidR="00F00552" w:rsidRPr="00365328" w:rsidRDefault="00612F2E" w:rsidP="00963B78">
      <w:pPr>
        <w:pStyle w:val="ONUME"/>
        <w:numPr>
          <w:ilvl w:val="0"/>
          <w:numId w:val="0"/>
        </w:numPr>
        <w:jc w:val="center"/>
        <w:rPr>
          <w:caps/>
          <w:szCs w:val="22"/>
          <w:lang w:val="fr-FR"/>
        </w:rPr>
      </w:pPr>
      <w:r w:rsidRPr="00612F2E">
        <w:rPr>
          <w:caps/>
          <w:color w:val="000000"/>
          <w:szCs w:val="22"/>
          <w:lang w:val="fr-FR"/>
        </w:rPr>
        <w:lastRenderedPageBreak/>
        <w:t>DEMANDE de prolongation de la nomination d</w:t>
      </w:r>
      <w:r>
        <w:rPr>
          <w:caps/>
          <w:color w:val="000000"/>
          <w:szCs w:val="22"/>
          <w:lang w:val="fr-FR"/>
        </w:rPr>
        <w:t>u</w:t>
      </w:r>
      <w:r w:rsidR="001954E5" w:rsidRPr="00365328">
        <w:rPr>
          <w:caps/>
          <w:color w:val="000000"/>
          <w:szCs w:val="22"/>
          <w:lang w:val="fr-FR"/>
        </w:rPr>
        <w:t xml:space="preserve"> </w:t>
      </w:r>
      <w:r w:rsidR="001954E5" w:rsidRPr="00365328">
        <w:rPr>
          <w:caps/>
          <w:szCs w:val="22"/>
          <w:lang w:val="fr-FR"/>
        </w:rPr>
        <w:t xml:space="preserve">Service </w:t>
      </w:r>
      <w:r w:rsidR="00365328" w:rsidRPr="00365328">
        <w:rPr>
          <w:caps/>
          <w:szCs w:val="22"/>
          <w:lang w:val="fr-FR"/>
        </w:rPr>
        <w:t>f</w:t>
      </w:r>
      <w:r w:rsidR="001954E5" w:rsidRPr="00365328">
        <w:rPr>
          <w:caps/>
          <w:szCs w:val="22"/>
          <w:lang w:val="fr-FR"/>
        </w:rPr>
        <w:t>édéra</w:t>
      </w:r>
      <w:r w:rsidR="001E0089" w:rsidRPr="00365328">
        <w:rPr>
          <w:caps/>
          <w:szCs w:val="22"/>
          <w:lang w:val="fr-FR"/>
        </w:rPr>
        <w:t>l</w:t>
      </w:r>
      <w:r w:rsidR="001954E5" w:rsidRPr="00365328">
        <w:rPr>
          <w:caps/>
          <w:szCs w:val="22"/>
          <w:lang w:val="fr-FR"/>
        </w:rPr>
        <w:t xml:space="preserve"> de la propriété intellectuelle </w:t>
      </w:r>
      <w:r w:rsidR="001954E5" w:rsidRPr="00365328">
        <w:rPr>
          <w:caps/>
          <w:color w:val="000000"/>
          <w:lang w:val="fr-FR"/>
        </w:rPr>
        <w:t>en qualité d</w:t>
      </w:r>
      <w:r w:rsidR="004205BC" w:rsidRPr="00365328">
        <w:rPr>
          <w:caps/>
          <w:color w:val="000000"/>
          <w:lang w:val="fr-FR"/>
        </w:rPr>
        <w:t>’</w:t>
      </w:r>
      <w:r w:rsidR="001954E5" w:rsidRPr="00365328">
        <w:rPr>
          <w:caps/>
          <w:color w:val="000000"/>
          <w:lang w:val="fr-FR"/>
        </w:rPr>
        <w:t>administration chargée de la recherche internationale et de l</w:t>
      </w:r>
      <w:r w:rsidR="004205BC" w:rsidRPr="00365328">
        <w:rPr>
          <w:caps/>
          <w:color w:val="000000"/>
          <w:lang w:val="fr-FR"/>
        </w:rPr>
        <w:t>’</w:t>
      </w:r>
      <w:r w:rsidR="001954E5" w:rsidRPr="00365328">
        <w:rPr>
          <w:caps/>
          <w:color w:val="000000"/>
          <w:lang w:val="fr-FR"/>
        </w:rPr>
        <w:t>examen préliminaire international selon</w:t>
      </w:r>
      <w:r w:rsidR="004205BC" w:rsidRPr="00365328">
        <w:rPr>
          <w:caps/>
          <w:color w:val="000000"/>
          <w:lang w:val="fr-FR"/>
        </w:rPr>
        <w:t xml:space="preserve"> le PCT</w:t>
      </w:r>
    </w:p>
    <w:p w:rsidR="00F00552" w:rsidRPr="00365328" w:rsidRDefault="00D202A4" w:rsidP="00963B78">
      <w:pPr>
        <w:pStyle w:val="SectionHeading"/>
        <w:rPr>
          <w:lang w:val="fr-FR"/>
        </w:rPr>
      </w:pPr>
      <w:r w:rsidRPr="00365328">
        <w:rPr>
          <w:lang w:val="fr-FR"/>
        </w:rPr>
        <w:t xml:space="preserve">1 – </w:t>
      </w:r>
      <w:r w:rsidR="00612F2E" w:rsidRPr="00612F2E">
        <w:t>Informations générales</w:t>
      </w:r>
    </w:p>
    <w:p w:rsidR="004205BC" w:rsidRPr="00365328" w:rsidRDefault="001954E5" w:rsidP="00963B78">
      <w:pPr>
        <w:rPr>
          <w:b/>
          <w:lang w:val="fr-FR"/>
        </w:rPr>
      </w:pPr>
      <w:r w:rsidRPr="00365328">
        <w:rPr>
          <w:b/>
          <w:lang w:val="fr-FR"/>
        </w:rPr>
        <w:t>Nom de l</w:t>
      </w:r>
      <w:r w:rsidR="004205BC" w:rsidRPr="00365328">
        <w:rPr>
          <w:b/>
          <w:lang w:val="fr-FR"/>
        </w:rPr>
        <w:t>’</w:t>
      </w:r>
      <w:r w:rsidRPr="00365328">
        <w:rPr>
          <w:b/>
          <w:lang w:val="fr-FR"/>
        </w:rPr>
        <w:t>office national ou de l</w:t>
      </w:r>
      <w:r w:rsidR="004205BC" w:rsidRPr="00365328">
        <w:rPr>
          <w:b/>
          <w:lang w:val="fr-FR"/>
        </w:rPr>
        <w:t>’</w:t>
      </w:r>
      <w:r w:rsidRPr="00365328">
        <w:rPr>
          <w:b/>
          <w:lang w:val="fr-FR"/>
        </w:rPr>
        <w:t>organisation intergouvernementale</w:t>
      </w:r>
      <w:r w:rsidR="004205BC" w:rsidRPr="00365328">
        <w:rPr>
          <w:b/>
          <w:lang w:val="fr-FR"/>
        </w:rPr>
        <w:t> :</w:t>
      </w:r>
    </w:p>
    <w:p w:rsidR="00F00552" w:rsidRPr="00365328" w:rsidRDefault="00D202A4" w:rsidP="00963B78">
      <w:pPr>
        <w:autoSpaceDE w:val="0"/>
        <w:autoSpaceDN w:val="0"/>
        <w:adjustRightInd w:val="0"/>
        <w:jc w:val="both"/>
        <w:rPr>
          <w:szCs w:val="22"/>
          <w:lang w:val="fr-FR" w:eastAsia="ru-RU"/>
        </w:rPr>
      </w:pPr>
      <w:r w:rsidRPr="00365328">
        <w:rPr>
          <w:szCs w:val="22"/>
          <w:lang w:val="fr-FR" w:eastAsia="ru-RU"/>
        </w:rPr>
        <w:t>Rospatent</w:t>
      </w:r>
      <w:r w:rsidR="004205BC" w:rsidRPr="00365328">
        <w:rPr>
          <w:szCs w:val="22"/>
          <w:lang w:val="fr-FR" w:eastAsia="ru-RU"/>
        </w:rPr>
        <w:t xml:space="preserve"> – </w:t>
      </w:r>
      <w:r w:rsidR="001954E5" w:rsidRPr="00365328">
        <w:rPr>
          <w:szCs w:val="22"/>
          <w:lang w:val="fr-FR" w:eastAsia="ru-RU"/>
        </w:rPr>
        <w:t>Service fédéral de la propriété intellectuelle</w:t>
      </w:r>
    </w:p>
    <w:p w:rsidR="00F00552" w:rsidRPr="00365328" w:rsidRDefault="00F00552" w:rsidP="00963B78">
      <w:pPr>
        <w:rPr>
          <w:szCs w:val="22"/>
          <w:lang w:val="fr-FR" w:eastAsia="en-US"/>
        </w:rPr>
      </w:pPr>
    </w:p>
    <w:p w:rsidR="004205BC" w:rsidRPr="00365328" w:rsidRDefault="001954E5" w:rsidP="00963B78">
      <w:pPr>
        <w:rPr>
          <w:b/>
          <w:szCs w:val="22"/>
          <w:lang w:val="fr-FR"/>
        </w:rPr>
      </w:pPr>
      <w:r w:rsidRPr="00365328">
        <w:rPr>
          <w:b/>
          <w:szCs w:val="22"/>
          <w:lang w:val="fr-FR"/>
        </w:rPr>
        <w:t>Session de l</w:t>
      </w:r>
      <w:r w:rsidR="004205BC" w:rsidRPr="00365328">
        <w:rPr>
          <w:b/>
          <w:szCs w:val="22"/>
          <w:lang w:val="fr-FR"/>
        </w:rPr>
        <w:t>’</w:t>
      </w:r>
      <w:r w:rsidRPr="00365328">
        <w:rPr>
          <w:b/>
          <w:szCs w:val="22"/>
          <w:lang w:val="fr-FR"/>
        </w:rPr>
        <w:t>assemblée à laquelle l</w:t>
      </w:r>
      <w:r w:rsidR="001E0089" w:rsidRPr="00365328">
        <w:rPr>
          <w:b/>
          <w:szCs w:val="22"/>
          <w:lang w:val="fr-FR"/>
        </w:rPr>
        <w:t xml:space="preserve">e renouvellement </w:t>
      </w:r>
      <w:r w:rsidRPr="00365328">
        <w:rPr>
          <w:b/>
          <w:szCs w:val="22"/>
          <w:lang w:val="fr-FR"/>
        </w:rPr>
        <w:t xml:space="preserve">sera </w:t>
      </w:r>
      <w:r w:rsidR="001E0089" w:rsidRPr="00365328">
        <w:rPr>
          <w:b/>
          <w:szCs w:val="22"/>
          <w:lang w:val="fr-FR"/>
        </w:rPr>
        <w:t>demandé</w:t>
      </w:r>
      <w:r w:rsidR="004205BC" w:rsidRPr="00365328">
        <w:rPr>
          <w:b/>
          <w:szCs w:val="22"/>
          <w:lang w:val="fr-FR"/>
        </w:rPr>
        <w:t> :</w:t>
      </w:r>
    </w:p>
    <w:p w:rsidR="00F00552" w:rsidRPr="00365328" w:rsidRDefault="00D202A4" w:rsidP="00963B78">
      <w:pPr>
        <w:rPr>
          <w:b/>
          <w:bCs/>
          <w:szCs w:val="22"/>
          <w:lang w:val="fr-FR"/>
        </w:rPr>
      </w:pPr>
      <w:r w:rsidRPr="00365328">
        <w:rPr>
          <w:rFonts w:eastAsia="Calibri"/>
          <w:szCs w:val="22"/>
          <w:lang w:val="fr-FR"/>
        </w:rPr>
        <w:t>PCT/A/49</w:t>
      </w:r>
    </w:p>
    <w:p w:rsidR="00F00552" w:rsidRPr="00365328" w:rsidRDefault="00F00552" w:rsidP="00963B78">
      <w:pPr>
        <w:rPr>
          <w:rFonts w:eastAsia="Calibri"/>
          <w:szCs w:val="22"/>
          <w:lang w:val="fr-FR"/>
        </w:rPr>
      </w:pPr>
    </w:p>
    <w:p w:rsidR="004205BC" w:rsidRPr="00365328" w:rsidRDefault="001E0089" w:rsidP="00963B78">
      <w:pPr>
        <w:rPr>
          <w:b/>
          <w:bCs/>
          <w:szCs w:val="22"/>
          <w:lang w:val="fr-FR"/>
        </w:rPr>
      </w:pPr>
      <w:r w:rsidRPr="00365328">
        <w:rPr>
          <w:b/>
          <w:bCs/>
          <w:szCs w:val="22"/>
          <w:lang w:val="fr-FR"/>
        </w:rPr>
        <w:t>Office agissant en qualité d</w:t>
      </w:r>
      <w:r w:rsidR="004205BC" w:rsidRPr="00365328">
        <w:rPr>
          <w:b/>
          <w:bCs/>
          <w:szCs w:val="22"/>
          <w:lang w:val="fr-FR"/>
        </w:rPr>
        <w:t>’</w:t>
      </w:r>
      <w:r w:rsidRPr="00365328">
        <w:rPr>
          <w:b/>
          <w:bCs/>
          <w:szCs w:val="22"/>
          <w:lang w:val="fr-FR"/>
        </w:rPr>
        <w:t>administration chargée de la recherche internationale et de l</w:t>
      </w:r>
      <w:r w:rsidR="004205BC" w:rsidRPr="00365328">
        <w:rPr>
          <w:b/>
          <w:bCs/>
          <w:szCs w:val="22"/>
          <w:lang w:val="fr-FR"/>
        </w:rPr>
        <w:t>’</w:t>
      </w:r>
      <w:r w:rsidRPr="00365328">
        <w:rPr>
          <w:b/>
          <w:bCs/>
          <w:szCs w:val="22"/>
          <w:lang w:val="fr-FR"/>
        </w:rPr>
        <w:t>examen préliminaire international depuis</w:t>
      </w:r>
      <w:r w:rsidR="004205BC" w:rsidRPr="00365328">
        <w:rPr>
          <w:b/>
          <w:bCs/>
          <w:szCs w:val="22"/>
          <w:lang w:val="fr-FR"/>
        </w:rPr>
        <w:t> :</w:t>
      </w:r>
    </w:p>
    <w:p w:rsidR="00F00552" w:rsidRPr="00365328" w:rsidRDefault="00D202A4" w:rsidP="00963B78">
      <w:pPr>
        <w:rPr>
          <w:bCs/>
          <w:szCs w:val="22"/>
          <w:lang w:val="fr-FR"/>
        </w:rPr>
      </w:pPr>
      <w:r w:rsidRPr="00365328">
        <w:rPr>
          <w:bCs/>
          <w:szCs w:val="22"/>
          <w:lang w:val="fr-FR"/>
        </w:rPr>
        <w:t>1978</w:t>
      </w:r>
    </w:p>
    <w:p w:rsidR="00F00552" w:rsidRPr="00365328" w:rsidRDefault="00D202A4" w:rsidP="00963B78">
      <w:pPr>
        <w:pStyle w:val="SectionHeading"/>
        <w:rPr>
          <w:lang w:val="fr-FR"/>
        </w:rPr>
      </w:pPr>
      <w:r w:rsidRPr="00365328">
        <w:rPr>
          <w:lang w:val="fr-FR"/>
        </w:rPr>
        <w:t xml:space="preserve">2 – </w:t>
      </w:r>
      <w:r w:rsidR="00365328" w:rsidRPr="00365328">
        <w:rPr>
          <w:lang w:val="fr-FR"/>
        </w:rPr>
        <w:t>C</w:t>
      </w:r>
      <w:r w:rsidR="001954E5" w:rsidRPr="00365328">
        <w:rPr>
          <w:lang w:val="fr-FR"/>
        </w:rPr>
        <w:t>ritères matériels</w:t>
      </w:r>
      <w:r w:rsidR="004205BC" w:rsidRPr="00365328">
        <w:rPr>
          <w:lang w:val="fr-FR"/>
        </w:rPr>
        <w:t> :</w:t>
      </w:r>
      <w:r w:rsidR="001954E5" w:rsidRPr="00365328">
        <w:rPr>
          <w:lang w:val="fr-FR"/>
        </w:rPr>
        <w:t xml:space="preserve"> exigences minimales applicables </w:t>
      </w:r>
      <w:r w:rsidR="00365328" w:rsidRPr="00365328">
        <w:rPr>
          <w:lang w:val="fr-FR"/>
        </w:rPr>
        <w:t>à</w:t>
      </w:r>
      <w:r w:rsidR="001954E5" w:rsidRPr="00365328">
        <w:rPr>
          <w:lang w:val="fr-FR"/>
        </w:rPr>
        <w:t xml:space="preserve"> la nomination</w:t>
      </w:r>
    </w:p>
    <w:p w:rsidR="00F00552" w:rsidRPr="00365328" w:rsidRDefault="00F00552" w:rsidP="00963B78">
      <w:pPr>
        <w:rPr>
          <w:lang w:val="fr-FR"/>
        </w:rPr>
      </w:pPr>
    </w:p>
    <w:p w:rsidR="00F00552" w:rsidRPr="00365328" w:rsidRDefault="00D202A4" w:rsidP="00963B78">
      <w:pPr>
        <w:pStyle w:val="SectionHeading"/>
        <w:rPr>
          <w:lang w:val="fr-FR"/>
        </w:rPr>
      </w:pPr>
      <w:r w:rsidRPr="00365328">
        <w:rPr>
          <w:lang w:val="fr-FR"/>
        </w:rPr>
        <w:t xml:space="preserve">2.1 – </w:t>
      </w:r>
      <w:r w:rsidR="00365328" w:rsidRPr="00365328">
        <w:rPr>
          <w:lang w:val="fr-FR"/>
        </w:rPr>
        <w:t>C</w:t>
      </w:r>
      <w:r w:rsidR="001954E5" w:rsidRPr="00365328">
        <w:rPr>
          <w:lang w:val="fr-FR"/>
        </w:rPr>
        <w:t>apacité en mati</w:t>
      </w:r>
      <w:r w:rsidR="00365328" w:rsidRPr="00365328">
        <w:rPr>
          <w:lang w:val="fr-FR"/>
        </w:rPr>
        <w:t>è</w:t>
      </w:r>
      <w:r w:rsidR="001954E5" w:rsidRPr="00365328">
        <w:rPr>
          <w:lang w:val="fr-FR"/>
        </w:rPr>
        <w:t>re de recherche et d</w:t>
      </w:r>
      <w:r w:rsidR="004205BC" w:rsidRPr="00365328">
        <w:rPr>
          <w:lang w:val="fr-FR"/>
        </w:rPr>
        <w:t>’</w:t>
      </w:r>
      <w:r w:rsidR="001954E5" w:rsidRPr="00365328">
        <w:rPr>
          <w:lang w:val="fr-FR"/>
        </w:rPr>
        <w:t>examen</w:t>
      </w:r>
    </w:p>
    <w:p w:rsidR="00612F2E" w:rsidRPr="00612F2E" w:rsidRDefault="00612F2E" w:rsidP="00612F2E">
      <w:pPr>
        <w:autoSpaceDE w:val="0"/>
        <w:autoSpaceDN w:val="0"/>
        <w:adjustRightInd w:val="0"/>
        <w:jc w:val="both"/>
        <w:rPr>
          <w:b/>
          <w:bCs/>
          <w:i/>
          <w:iCs/>
          <w:lang w:val="fr-FR"/>
        </w:rPr>
      </w:pPr>
      <w:r w:rsidRPr="00612F2E">
        <w:rPr>
          <w:b/>
          <w:bCs/>
          <w:i/>
          <w:iCs/>
          <w:lang w:val="fr-FR"/>
        </w:rPr>
        <w:t>Règles 36.1.i) et 63.1.i) : l’office national ou l’organisation intergouvernementale doit avoir au moins cent employés à plein temps possédant des qualifications techniques suffisantes pour procéder à la recherche et à l’examen.</w:t>
      </w:r>
    </w:p>
    <w:p w:rsidR="00F00552" w:rsidRPr="00365328" w:rsidRDefault="00F00552" w:rsidP="00963B78">
      <w:pPr>
        <w:autoSpaceDE w:val="0"/>
        <w:autoSpaceDN w:val="0"/>
        <w:adjustRightInd w:val="0"/>
        <w:jc w:val="both"/>
        <w:rPr>
          <w:rFonts w:ascii="Times New Roman" w:hAnsi="Times New Roman"/>
          <w:sz w:val="24"/>
          <w:szCs w:val="24"/>
          <w:highlight w:val="yellow"/>
          <w:lang w:val="fr-FR" w:eastAsia="ru-RU"/>
        </w:rPr>
      </w:pPr>
    </w:p>
    <w:p w:rsidR="004205BC" w:rsidRPr="00365328" w:rsidRDefault="00B92AB3" w:rsidP="00963B78">
      <w:pPr>
        <w:autoSpaceDE w:val="0"/>
        <w:autoSpaceDN w:val="0"/>
        <w:adjustRightInd w:val="0"/>
        <w:rPr>
          <w:szCs w:val="22"/>
          <w:lang w:val="fr-FR"/>
        </w:rPr>
      </w:pPr>
      <w:r w:rsidRPr="00365328">
        <w:rPr>
          <w:szCs w:val="22"/>
          <w:lang w:val="fr-FR"/>
        </w:rPr>
        <w:t>Rospatent compte suffisamment d</w:t>
      </w:r>
      <w:r w:rsidR="004205BC" w:rsidRPr="00365328">
        <w:rPr>
          <w:szCs w:val="22"/>
          <w:lang w:val="fr-FR"/>
        </w:rPr>
        <w:t>’</w:t>
      </w:r>
      <w:r w:rsidRPr="00365328">
        <w:rPr>
          <w:szCs w:val="22"/>
          <w:lang w:val="fr-FR"/>
        </w:rPr>
        <w:t>examinateurs qualifiés pour procéder aux recherches et aux examens, et suffisamment de postes vacants pour modifier le nombre d</w:t>
      </w:r>
      <w:r w:rsidR="004205BC" w:rsidRPr="00365328">
        <w:rPr>
          <w:szCs w:val="22"/>
          <w:lang w:val="fr-FR"/>
        </w:rPr>
        <w:t>’</w:t>
      </w:r>
      <w:r w:rsidRPr="00365328">
        <w:rPr>
          <w:szCs w:val="22"/>
          <w:lang w:val="fr-FR"/>
        </w:rPr>
        <w:t xml:space="preserve">examinateurs </w:t>
      </w:r>
      <w:r w:rsidR="001E0089" w:rsidRPr="00365328">
        <w:rPr>
          <w:szCs w:val="22"/>
          <w:lang w:val="fr-FR"/>
        </w:rPr>
        <w:t>en fonction de</w:t>
      </w:r>
      <w:r w:rsidRPr="00365328">
        <w:rPr>
          <w:szCs w:val="22"/>
          <w:lang w:val="fr-FR"/>
        </w:rPr>
        <w:t xml:space="preserve"> la variation de la charge de travail et </w:t>
      </w:r>
      <w:r w:rsidR="001E0089" w:rsidRPr="00365328">
        <w:rPr>
          <w:szCs w:val="22"/>
          <w:lang w:val="fr-FR"/>
        </w:rPr>
        <w:t xml:space="preserve">de </w:t>
      </w:r>
      <w:r w:rsidRPr="00365328">
        <w:rPr>
          <w:szCs w:val="22"/>
          <w:lang w:val="fr-FR"/>
        </w:rPr>
        <w:t>l</w:t>
      </w:r>
      <w:r w:rsidR="004205BC" w:rsidRPr="00365328">
        <w:rPr>
          <w:szCs w:val="22"/>
          <w:lang w:val="fr-FR"/>
        </w:rPr>
        <w:t>’</w:t>
      </w:r>
      <w:r w:rsidRPr="00365328">
        <w:rPr>
          <w:szCs w:val="22"/>
          <w:lang w:val="fr-FR"/>
        </w:rPr>
        <w:t>objet visé dans les demandes déposées.</w:t>
      </w:r>
    </w:p>
    <w:p w:rsidR="004205BC" w:rsidRPr="00365328" w:rsidRDefault="00977AAB" w:rsidP="00963B78">
      <w:pPr>
        <w:autoSpaceDE w:val="0"/>
        <w:autoSpaceDN w:val="0"/>
        <w:adjustRightInd w:val="0"/>
        <w:rPr>
          <w:bCs/>
          <w:szCs w:val="22"/>
          <w:lang w:val="fr-FR"/>
        </w:rPr>
      </w:pPr>
      <w:r w:rsidRPr="00365328">
        <w:rPr>
          <w:bCs/>
          <w:szCs w:val="22"/>
          <w:lang w:val="fr-FR"/>
        </w:rPr>
        <w:t>Tous les examinateurs sont diplômés de l</w:t>
      </w:r>
      <w:r w:rsidR="004205BC" w:rsidRPr="00365328">
        <w:rPr>
          <w:bCs/>
          <w:szCs w:val="22"/>
          <w:lang w:val="fr-FR"/>
        </w:rPr>
        <w:t>’</w:t>
      </w:r>
      <w:r w:rsidRPr="00365328">
        <w:rPr>
          <w:bCs/>
          <w:szCs w:val="22"/>
          <w:lang w:val="fr-FR"/>
        </w:rPr>
        <w:t>enseignement supérieur (un diplôme d</w:t>
      </w:r>
      <w:r w:rsidR="004205BC" w:rsidRPr="00365328">
        <w:rPr>
          <w:bCs/>
          <w:szCs w:val="22"/>
          <w:lang w:val="fr-FR"/>
        </w:rPr>
        <w:t>’</w:t>
      </w:r>
      <w:r w:rsidRPr="00365328">
        <w:rPr>
          <w:bCs/>
          <w:szCs w:val="22"/>
          <w:lang w:val="fr-FR"/>
        </w:rPr>
        <w:t>études universitaires du troisième cycle est un formidable atout).</w:t>
      </w:r>
    </w:p>
    <w:p w:rsidR="004205BC" w:rsidRPr="00365328" w:rsidRDefault="00D20AD5" w:rsidP="00963B78">
      <w:pPr>
        <w:autoSpaceDE w:val="0"/>
        <w:autoSpaceDN w:val="0"/>
        <w:adjustRightInd w:val="0"/>
        <w:rPr>
          <w:i/>
          <w:szCs w:val="22"/>
          <w:lang w:val="fr-FR"/>
        </w:rPr>
      </w:pPr>
      <w:r w:rsidRPr="00365328">
        <w:rPr>
          <w:szCs w:val="22"/>
          <w:lang w:val="fr-FR"/>
        </w:rPr>
        <w:t>À</w:t>
      </w:r>
      <w:r w:rsidR="00977AAB" w:rsidRPr="00365328">
        <w:rPr>
          <w:szCs w:val="22"/>
          <w:lang w:val="fr-FR"/>
        </w:rPr>
        <w:t xml:space="preserve"> la fin de 2016, 489</w:t>
      </w:r>
      <w:r w:rsidR="00016594">
        <w:rPr>
          <w:szCs w:val="22"/>
          <w:lang w:val="fr-FR"/>
        </w:rPr>
        <w:t> </w:t>
      </w:r>
      <w:r w:rsidR="001E0089" w:rsidRPr="00365328">
        <w:rPr>
          <w:szCs w:val="22"/>
          <w:lang w:val="fr-FR"/>
        </w:rPr>
        <w:t>examinateurs</w:t>
      </w:r>
      <w:r w:rsidR="00977AAB" w:rsidRPr="00365328">
        <w:rPr>
          <w:szCs w:val="22"/>
          <w:lang w:val="fr-FR"/>
        </w:rPr>
        <w:t xml:space="preserve"> étaient </w:t>
      </w:r>
      <w:r w:rsidR="001E0089" w:rsidRPr="00365328">
        <w:rPr>
          <w:szCs w:val="22"/>
          <w:lang w:val="fr-FR"/>
        </w:rPr>
        <w:t>chargé</w:t>
      </w:r>
      <w:r w:rsidR="00977AAB" w:rsidRPr="00365328">
        <w:rPr>
          <w:szCs w:val="22"/>
          <w:lang w:val="fr-FR"/>
        </w:rPr>
        <w:t>s de tâches liées à la recherche internationale et à l</w:t>
      </w:r>
      <w:r w:rsidR="004205BC" w:rsidRPr="00365328">
        <w:rPr>
          <w:szCs w:val="22"/>
          <w:lang w:val="fr-FR"/>
        </w:rPr>
        <w:t>’</w:t>
      </w:r>
      <w:r w:rsidR="00977AAB" w:rsidRPr="00365328">
        <w:rPr>
          <w:szCs w:val="22"/>
          <w:lang w:val="fr-FR"/>
        </w:rPr>
        <w:t>examen préliminaire international.</w:t>
      </w:r>
    </w:p>
    <w:p w:rsidR="00F00552" w:rsidRPr="00365328" w:rsidRDefault="00977AAB" w:rsidP="00963B78">
      <w:pPr>
        <w:autoSpaceDE w:val="0"/>
        <w:autoSpaceDN w:val="0"/>
        <w:adjustRightInd w:val="0"/>
        <w:rPr>
          <w:i/>
          <w:szCs w:val="22"/>
          <w:lang w:val="fr-FR"/>
        </w:rPr>
      </w:pPr>
      <w:r w:rsidRPr="00365328">
        <w:rPr>
          <w:szCs w:val="22"/>
          <w:lang w:val="fr-FR"/>
        </w:rPr>
        <w:t>Les tâches liées à la recherche internationale et à l</w:t>
      </w:r>
      <w:r w:rsidR="004205BC" w:rsidRPr="00365328">
        <w:rPr>
          <w:szCs w:val="22"/>
          <w:lang w:val="fr-FR"/>
        </w:rPr>
        <w:t>’</w:t>
      </w:r>
      <w:r w:rsidRPr="00365328">
        <w:rPr>
          <w:szCs w:val="22"/>
          <w:lang w:val="fr-FR"/>
        </w:rPr>
        <w:t xml:space="preserve">examen préliminaire international sont supervisées par des examinateurs de la division de la coopération </w:t>
      </w:r>
      <w:r w:rsidR="001E0089" w:rsidRPr="00365328">
        <w:rPr>
          <w:szCs w:val="22"/>
          <w:lang w:val="fr-FR"/>
        </w:rPr>
        <w:t xml:space="preserve">internationale </w:t>
      </w:r>
      <w:r w:rsidRPr="00365328">
        <w:rPr>
          <w:szCs w:val="22"/>
          <w:lang w:val="fr-FR"/>
        </w:rPr>
        <w:t>en matière de brevets (12 examinateurs), et la qualité des rapports est vérifiée par ces mêmes examinateurs.</w:t>
      </w:r>
    </w:p>
    <w:p w:rsidR="00F00552" w:rsidRPr="00365328" w:rsidRDefault="00F00552" w:rsidP="00963B78">
      <w:pPr>
        <w:rPr>
          <w:lang w:val="fr-FR"/>
        </w:rPr>
      </w:pPr>
    </w:p>
    <w:p w:rsidR="004205BC" w:rsidRPr="00365328" w:rsidRDefault="001954E5" w:rsidP="00963B78">
      <w:pPr>
        <w:keepNext/>
        <w:keepLines/>
        <w:rPr>
          <w:b/>
          <w:bCs/>
          <w:szCs w:val="22"/>
          <w:lang w:val="fr-FR"/>
        </w:rPr>
      </w:pPr>
      <w:r w:rsidRPr="00365328">
        <w:rPr>
          <w:b/>
          <w:bCs/>
          <w:szCs w:val="22"/>
          <w:lang w:val="fr-FR"/>
        </w:rPr>
        <w:t xml:space="preserve">Employés </w:t>
      </w:r>
      <w:r w:rsidRPr="00365328">
        <w:rPr>
          <w:b/>
          <w:lang w:val="fr-FR"/>
        </w:rPr>
        <w:t>qualifiés</w:t>
      </w:r>
      <w:r w:rsidRPr="00365328">
        <w:rPr>
          <w:b/>
          <w:i/>
          <w:lang w:val="fr-FR"/>
        </w:rPr>
        <w:t xml:space="preserve"> </w:t>
      </w:r>
      <w:r w:rsidRPr="00365328">
        <w:rPr>
          <w:b/>
          <w:bCs/>
          <w:szCs w:val="22"/>
          <w:lang w:val="fr-FR"/>
        </w:rPr>
        <w:t xml:space="preserve">pour procéder </w:t>
      </w:r>
      <w:r w:rsidR="00612F2E">
        <w:rPr>
          <w:b/>
          <w:bCs/>
          <w:szCs w:val="22"/>
          <w:lang w:val="fr-FR"/>
        </w:rPr>
        <w:t>à la</w:t>
      </w:r>
      <w:r w:rsidRPr="00365328">
        <w:rPr>
          <w:b/>
          <w:bCs/>
          <w:szCs w:val="22"/>
          <w:lang w:val="fr-FR"/>
        </w:rPr>
        <w:t xml:space="preserve"> recherche et </w:t>
      </w:r>
      <w:r w:rsidR="00612F2E">
        <w:rPr>
          <w:b/>
          <w:bCs/>
          <w:szCs w:val="22"/>
          <w:lang w:val="fr-FR"/>
        </w:rPr>
        <w:t>à l’examen</w:t>
      </w:r>
    </w:p>
    <w:p w:rsidR="001954E5" w:rsidRPr="00365328" w:rsidRDefault="001954E5" w:rsidP="00963B78">
      <w:pPr>
        <w:keepNext/>
        <w:keepLines/>
        <w:rPr>
          <w:rFonts w:ascii="Times New Roman" w:hAnsi="Times New Roman"/>
          <w:sz w:val="24"/>
          <w:szCs w:val="24"/>
          <w:lang w:val="fr-F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984"/>
      </w:tblGrid>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1954E5" w:rsidP="00963B78">
            <w:pPr>
              <w:keepNext/>
              <w:keepLines/>
              <w:rPr>
                <w:b/>
                <w:bCs/>
                <w:szCs w:val="22"/>
                <w:lang w:val="fr-FR"/>
              </w:rPr>
            </w:pPr>
            <w:r w:rsidRPr="00365328">
              <w:rPr>
                <w:b/>
                <w:lang w:val="fr-FR"/>
              </w:rPr>
              <w:t>Domaine technique</w:t>
            </w:r>
          </w:p>
        </w:tc>
        <w:tc>
          <w:tcPr>
            <w:tcW w:w="1984" w:type="dxa"/>
            <w:tcBorders>
              <w:top w:val="single" w:sz="4" w:space="0" w:color="auto"/>
              <w:left w:val="single" w:sz="4" w:space="0" w:color="auto"/>
              <w:bottom w:val="single" w:sz="4" w:space="0" w:color="auto"/>
              <w:right w:val="single" w:sz="4" w:space="0" w:color="auto"/>
            </w:tcBorders>
            <w:hideMark/>
          </w:tcPr>
          <w:p w:rsidR="00D202A4" w:rsidRPr="00365328" w:rsidRDefault="001954E5" w:rsidP="00963B78">
            <w:pPr>
              <w:keepNext/>
              <w:keepLines/>
              <w:jc w:val="center"/>
              <w:rPr>
                <w:b/>
                <w:bCs/>
                <w:szCs w:val="22"/>
                <w:lang w:val="fr-FR"/>
              </w:rPr>
            </w:pPr>
            <w:r w:rsidRPr="00365328">
              <w:rPr>
                <w:b/>
                <w:lang w:val="fr-FR"/>
              </w:rPr>
              <w:t>Nombre (équivalent plein temps)</w:t>
            </w:r>
          </w:p>
        </w:tc>
      </w:tr>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D20AD5" w:rsidP="00963B78">
            <w:pPr>
              <w:rPr>
                <w:szCs w:val="22"/>
                <w:highlight w:val="yellow"/>
                <w:lang w:val="fr-FR"/>
              </w:rPr>
            </w:pPr>
            <w:r w:rsidRPr="00365328">
              <w:rPr>
                <w:szCs w:val="22"/>
                <w:lang w:val="fr-FR"/>
              </w:rPr>
              <w:t>Mécanique (moteurs, machines</w:t>
            </w:r>
            <w:r w:rsidR="00963B78">
              <w:rPr>
                <w:szCs w:val="22"/>
                <w:lang w:val="fr-FR"/>
              </w:rPr>
              <w:noBreakHyphen/>
            </w:r>
            <w:r w:rsidRPr="00365328">
              <w:rPr>
                <w:szCs w:val="22"/>
                <w:lang w:val="fr-FR"/>
              </w:rPr>
              <w:t>outils, transport, génie civil, etc.)</w:t>
            </w:r>
            <w:r w:rsidR="00D202A4" w:rsidRPr="00365328">
              <w:rPr>
                <w:szCs w:val="22"/>
                <w:lang w:val="fr-FR"/>
              </w:rPr>
              <w:t xml:space="preserve"> </w:t>
            </w:r>
          </w:p>
        </w:tc>
        <w:tc>
          <w:tcPr>
            <w:tcW w:w="1984" w:type="dxa"/>
            <w:tcBorders>
              <w:top w:val="single" w:sz="4" w:space="0" w:color="auto"/>
              <w:left w:val="single" w:sz="4" w:space="0" w:color="auto"/>
              <w:bottom w:val="single" w:sz="4" w:space="0" w:color="auto"/>
              <w:right w:val="single" w:sz="4" w:space="0" w:color="auto"/>
            </w:tcBorders>
          </w:tcPr>
          <w:p w:rsidR="00D202A4" w:rsidRPr="00365328" w:rsidRDefault="00D202A4" w:rsidP="00963B78">
            <w:pPr>
              <w:keepNext/>
              <w:keepLines/>
              <w:jc w:val="center"/>
              <w:rPr>
                <w:szCs w:val="22"/>
                <w:lang w:val="fr-FR"/>
              </w:rPr>
            </w:pPr>
            <w:r w:rsidRPr="00365328">
              <w:rPr>
                <w:szCs w:val="22"/>
                <w:lang w:val="fr-FR"/>
              </w:rPr>
              <w:t>179</w:t>
            </w:r>
          </w:p>
        </w:tc>
      </w:tr>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D20AD5" w:rsidP="00963B78">
            <w:pPr>
              <w:rPr>
                <w:szCs w:val="22"/>
                <w:highlight w:val="yellow"/>
                <w:lang w:val="fr-FR"/>
              </w:rPr>
            </w:pPr>
            <w:r w:rsidRPr="00365328">
              <w:rPr>
                <w:szCs w:val="22"/>
                <w:lang w:val="fr-FR"/>
              </w:rPr>
              <w:t>Électricité, électronique, mesure</w:t>
            </w:r>
            <w:r w:rsidR="00D202A4" w:rsidRPr="00365328">
              <w:rPr>
                <w:szCs w:val="22"/>
                <w:lang w:val="fr-FR"/>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keepLines/>
              <w:jc w:val="center"/>
              <w:rPr>
                <w:szCs w:val="22"/>
                <w:lang w:val="fr-FR"/>
              </w:rPr>
            </w:pPr>
            <w:r w:rsidRPr="00365328">
              <w:rPr>
                <w:szCs w:val="22"/>
                <w:lang w:val="fr-FR"/>
              </w:rPr>
              <w:t>98</w:t>
            </w:r>
          </w:p>
        </w:tc>
      </w:tr>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D20AD5" w:rsidP="00963B78">
            <w:pPr>
              <w:rPr>
                <w:szCs w:val="22"/>
                <w:highlight w:val="yellow"/>
                <w:lang w:val="fr-FR"/>
              </w:rPr>
            </w:pPr>
            <w:r w:rsidRPr="00365328">
              <w:rPr>
                <w:szCs w:val="22"/>
                <w:lang w:val="fr-FR"/>
              </w:rPr>
              <w:t>Chimie, matériaux, métallurgie</w:t>
            </w:r>
            <w:r w:rsidR="00D202A4" w:rsidRPr="00365328">
              <w:rPr>
                <w:szCs w:val="22"/>
                <w:lang w:val="fr-FR"/>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keepLines/>
              <w:jc w:val="center"/>
              <w:rPr>
                <w:szCs w:val="22"/>
                <w:lang w:val="fr-FR"/>
              </w:rPr>
            </w:pPr>
            <w:r w:rsidRPr="00365328">
              <w:rPr>
                <w:szCs w:val="22"/>
                <w:lang w:val="fr-FR"/>
              </w:rPr>
              <w:t>122</w:t>
            </w:r>
          </w:p>
        </w:tc>
      </w:tr>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D20AD5" w:rsidP="00963B78">
            <w:pPr>
              <w:rPr>
                <w:szCs w:val="22"/>
                <w:lang w:val="fr-FR"/>
              </w:rPr>
            </w:pPr>
            <w:r w:rsidRPr="00365328">
              <w:rPr>
                <w:szCs w:val="22"/>
                <w:lang w:val="fr-FR"/>
              </w:rPr>
              <w:t>Technologie médicale, produits pharmaceutiques, biotechnologie</w:t>
            </w:r>
            <w:r w:rsidR="00D202A4" w:rsidRPr="00365328">
              <w:rPr>
                <w:szCs w:val="22"/>
                <w:lang w:val="fr-FR"/>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keepLines/>
              <w:jc w:val="center"/>
              <w:rPr>
                <w:szCs w:val="22"/>
                <w:lang w:val="fr-FR"/>
              </w:rPr>
            </w:pPr>
            <w:r w:rsidRPr="00365328">
              <w:rPr>
                <w:szCs w:val="22"/>
                <w:lang w:val="fr-FR"/>
              </w:rPr>
              <w:t>90</w:t>
            </w:r>
          </w:p>
        </w:tc>
      </w:tr>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D20AD5" w:rsidP="00963B78">
            <w:pPr>
              <w:rPr>
                <w:iCs/>
                <w:szCs w:val="22"/>
                <w:lang w:val="fr-FR"/>
              </w:rPr>
            </w:pPr>
            <w:r w:rsidRPr="00365328">
              <w:rPr>
                <w:iCs/>
                <w:szCs w:val="22"/>
                <w:lang w:val="fr-FR"/>
              </w:rPr>
              <w:t>Autres</w:t>
            </w:r>
            <w:r w:rsidR="00D202A4" w:rsidRPr="00365328">
              <w:rPr>
                <w:iCs/>
                <w:szCs w:val="22"/>
                <w:lang w:val="fr-FR"/>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keepLines/>
              <w:jc w:val="center"/>
              <w:rPr>
                <w:szCs w:val="22"/>
                <w:lang w:val="fr-FR"/>
              </w:rPr>
            </w:pPr>
            <w:r w:rsidRPr="00365328">
              <w:rPr>
                <w:szCs w:val="22"/>
                <w:lang w:val="fr-FR"/>
              </w:rPr>
              <w:t>12</w:t>
            </w:r>
          </w:p>
        </w:tc>
      </w:tr>
      <w:tr w:rsidR="00D202A4" w:rsidRPr="00365328"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rPr>
                <w:i/>
                <w:iCs/>
                <w:szCs w:val="22"/>
                <w:lang w:val="fr-FR"/>
              </w:rPr>
            </w:pPr>
            <w:r w:rsidRPr="00365328">
              <w:rPr>
                <w:i/>
                <w:iCs/>
                <w:szCs w:val="22"/>
                <w:lang w:val="fr-FR"/>
              </w:rPr>
              <w:t xml:space="preserve">Total </w:t>
            </w:r>
          </w:p>
        </w:tc>
        <w:tc>
          <w:tcPr>
            <w:tcW w:w="198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keepLines/>
              <w:jc w:val="center"/>
              <w:rPr>
                <w:szCs w:val="22"/>
                <w:lang w:val="fr-FR"/>
              </w:rPr>
            </w:pPr>
            <w:r w:rsidRPr="00365328">
              <w:rPr>
                <w:szCs w:val="22"/>
                <w:lang w:val="fr-FR"/>
              </w:rPr>
              <w:t>501</w:t>
            </w:r>
          </w:p>
        </w:tc>
      </w:tr>
    </w:tbl>
    <w:p w:rsidR="00F00552" w:rsidRPr="00365328" w:rsidRDefault="00F00552" w:rsidP="00963B78">
      <w:pPr>
        <w:rPr>
          <w:i/>
          <w:iCs/>
          <w:lang w:val="fr-FR"/>
        </w:rPr>
      </w:pPr>
    </w:p>
    <w:p w:rsidR="00F00552" w:rsidRPr="00365328" w:rsidRDefault="00F00552" w:rsidP="00963B78">
      <w:pPr>
        <w:rPr>
          <w:b/>
          <w:bCs/>
          <w:i/>
          <w:color w:val="1F497D"/>
          <w:lang w:val="fr-FR"/>
        </w:rPr>
      </w:pPr>
    </w:p>
    <w:p w:rsidR="00F00552" w:rsidRPr="00365328" w:rsidRDefault="004205BC" w:rsidP="00963B78">
      <w:pPr>
        <w:keepNext/>
        <w:keepLines/>
        <w:rPr>
          <w:b/>
          <w:bCs/>
          <w:i/>
          <w:lang w:val="fr-FR"/>
        </w:rPr>
      </w:pPr>
      <w:r w:rsidRPr="00365328">
        <w:rPr>
          <w:b/>
          <w:i/>
          <w:lang w:val="fr-FR"/>
        </w:rPr>
        <w:t>Règle 3</w:t>
      </w:r>
      <w:r w:rsidR="001954E5" w:rsidRPr="00365328">
        <w:rPr>
          <w:b/>
          <w:i/>
          <w:lang w:val="fr-FR"/>
        </w:rPr>
        <w:t>6.1.ii)</w:t>
      </w:r>
      <w:r w:rsidRPr="00365328">
        <w:rPr>
          <w:b/>
          <w:i/>
          <w:lang w:val="fr-FR"/>
        </w:rPr>
        <w:t> :</w:t>
      </w:r>
      <w:r w:rsidR="001954E5" w:rsidRPr="00365328">
        <w:rPr>
          <w:b/>
          <w:i/>
          <w:lang w:val="fr-FR"/>
        </w:rPr>
        <w:t xml:space="preserve"> cet office ou cette organisation doit avoir en sa possession au moins la documentation minimale de la </w:t>
      </w:r>
      <w:r w:rsidRPr="00365328">
        <w:rPr>
          <w:b/>
          <w:i/>
          <w:lang w:val="fr-FR"/>
        </w:rPr>
        <w:t>règle 3</w:t>
      </w:r>
      <w:r w:rsidR="001954E5" w:rsidRPr="00365328">
        <w:rPr>
          <w:b/>
          <w:i/>
          <w:lang w:val="fr-FR"/>
        </w:rPr>
        <w:t>4, ou avoir accès à cette documentation minimale, laquelle doit être disposée d</w:t>
      </w:r>
      <w:r w:rsidRPr="00365328">
        <w:rPr>
          <w:b/>
          <w:i/>
          <w:lang w:val="fr-FR"/>
        </w:rPr>
        <w:t>’</w:t>
      </w:r>
      <w:r w:rsidR="001954E5" w:rsidRPr="00365328">
        <w:rPr>
          <w:b/>
          <w:i/>
          <w:lang w:val="fr-FR"/>
        </w:rPr>
        <w:t>une manière adéquate aux fins de la recherche et se présenter sur papier, sur microforme ou sur un support électronique.</w:t>
      </w:r>
    </w:p>
    <w:p w:rsidR="00F00552" w:rsidRPr="00963B78" w:rsidRDefault="00F00552" w:rsidP="00963B78">
      <w:pPr>
        <w:keepNext/>
        <w:keepLines/>
        <w:rPr>
          <w:b/>
          <w:bCs/>
          <w:lang w:val="fr-FR"/>
        </w:rPr>
      </w:pPr>
    </w:p>
    <w:p w:rsidR="004205BC" w:rsidRPr="00365328" w:rsidRDefault="001954E5" w:rsidP="00963B78">
      <w:pPr>
        <w:keepNext/>
        <w:keepLines/>
        <w:rPr>
          <w:b/>
          <w:szCs w:val="22"/>
          <w:lang w:val="fr-FR"/>
        </w:rPr>
      </w:pPr>
      <w:r w:rsidRPr="00365328">
        <w:rPr>
          <w:b/>
          <w:szCs w:val="22"/>
          <w:lang w:val="fr-FR"/>
        </w:rPr>
        <w:t>Accès à la documentation minimale aux fins de la recherche</w:t>
      </w:r>
      <w:r w:rsidR="004205BC" w:rsidRPr="00365328">
        <w:rPr>
          <w:b/>
          <w:szCs w:val="22"/>
          <w:lang w:val="fr-FR"/>
        </w:rPr>
        <w:t> :</w:t>
      </w:r>
    </w:p>
    <w:p w:rsidR="00F00552" w:rsidRPr="00365328" w:rsidRDefault="00F00552" w:rsidP="00963B78">
      <w:pPr>
        <w:keepNext/>
        <w:keepLines/>
        <w:rPr>
          <w:szCs w:val="22"/>
          <w:lang w:val="fr-FR"/>
        </w:rPr>
      </w:pPr>
    </w:p>
    <w:p w:rsidR="00F00552" w:rsidRPr="00365328" w:rsidRDefault="00365328" w:rsidP="00963B78">
      <w:pPr>
        <w:rPr>
          <w:szCs w:val="22"/>
          <w:lang w:val="fr-FR"/>
        </w:rPr>
      </w:pPr>
      <w:r w:rsidRPr="00365328">
        <w:rPr>
          <w:szCs w:val="22"/>
          <w:lang w:val="fr-FR"/>
        </w:rPr>
        <w:t>(X</w:t>
      </w:r>
      <w:r w:rsidR="001954E5" w:rsidRPr="00365328">
        <w:rPr>
          <w:szCs w:val="22"/>
          <w:lang w:val="fr-FR"/>
        </w:rPr>
        <w:t xml:space="preserve">) </w:t>
      </w:r>
      <w:r w:rsidR="00612F2E">
        <w:rPr>
          <w:szCs w:val="22"/>
          <w:lang w:val="fr-FR"/>
        </w:rPr>
        <w:t>A</w:t>
      </w:r>
      <w:r w:rsidR="001954E5" w:rsidRPr="00365328">
        <w:rPr>
          <w:szCs w:val="22"/>
          <w:lang w:val="fr-FR"/>
        </w:rPr>
        <w:t>ccès</w:t>
      </w:r>
      <w:r w:rsidR="00612F2E">
        <w:rPr>
          <w:szCs w:val="22"/>
          <w:lang w:val="fr-FR"/>
        </w:rPr>
        <w:t xml:space="preserve"> complet</w:t>
      </w:r>
    </w:p>
    <w:p w:rsidR="00F00552" w:rsidRPr="00365328" w:rsidRDefault="00F00552" w:rsidP="00963B78">
      <w:pPr>
        <w:rPr>
          <w:b/>
          <w:bCs/>
          <w:lang w:val="fr-FR"/>
        </w:rPr>
      </w:pPr>
    </w:p>
    <w:p w:rsidR="004205BC" w:rsidRPr="00365328" w:rsidRDefault="001954E5" w:rsidP="00963B78">
      <w:pPr>
        <w:keepNext/>
        <w:rPr>
          <w:b/>
          <w:szCs w:val="22"/>
          <w:lang w:val="fr-FR"/>
        </w:rPr>
      </w:pPr>
      <w:r w:rsidRPr="00365328">
        <w:rPr>
          <w:b/>
          <w:szCs w:val="22"/>
          <w:lang w:val="fr-FR"/>
        </w:rPr>
        <w:t>Systèmes de recherche</w:t>
      </w:r>
      <w:r w:rsidR="004205BC" w:rsidRPr="00365328">
        <w:rPr>
          <w:b/>
          <w:szCs w:val="22"/>
          <w:lang w:val="fr-FR"/>
        </w:rPr>
        <w:t> :</w:t>
      </w:r>
    </w:p>
    <w:p w:rsidR="004205BC" w:rsidRPr="00365328" w:rsidRDefault="00DE7501" w:rsidP="00963B78">
      <w:pPr>
        <w:rPr>
          <w:i/>
          <w:iCs/>
          <w:lang w:val="fr-FR"/>
        </w:rPr>
      </w:pPr>
      <w:r w:rsidRPr="00365328">
        <w:rPr>
          <w:i/>
          <w:iCs/>
          <w:lang w:val="fr-FR"/>
        </w:rPr>
        <w:t>[Prière d</w:t>
      </w:r>
      <w:r w:rsidR="004205BC" w:rsidRPr="00365328">
        <w:rPr>
          <w:i/>
          <w:iCs/>
          <w:lang w:val="fr-FR"/>
        </w:rPr>
        <w:t>’</w:t>
      </w:r>
      <w:r w:rsidRPr="00365328">
        <w:rPr>
          <w:i/>
          <w:iCs/>
          <w:lang w:val="fr-FR"/>
        </w:rPr>
        <w:t>indiquer les systèmes informatiques ou collections papier utilisés pour les recherches sur l</w:t>
      </w:r>
      <w:r w:rsidR="004205BC" w:rsidRPr="00365328">
        <w:rPr>
          <w:i/>
          <w:iCs/>
          <w:lang w:val="fr-FR"/>
        </w:rPr>
        <w:t>’</w:t>
      </w:r>
      <w:r w:rsidRPr="00365328">
        <w:rPr>
          <w:i/>
          <w:iCs/>
          <w:lang w:val="fr-FR"/>
        </w:rPr>
        <w:t>état de la technique sous différentes formes</w:t>
      </w:r>
      <w:r w:rsidR="001E0089" w:rsidRPr="00365328">
        <w:rPr>
          <w:i/>
          <w:iCs/>
          <w:lang w:val="fr-FR"/>
        </w:rPr>
        <w:t>]</w:t>
      </w:r>
    </w:p>
    <w:p w:rsidR="00F00552" w:rsidRPr="00365328" w:rsidRDefault="00F00552" w:rsidP="00963B78">
      <w:pPr>
        <w:autoSpaceDE w:val="0"/>
        <w:autoSpaceDN w:val="0"/>
        <w:adjustRightInd w:val="0"/>
        <w:jc w:val="both"/>
        <w:rPr>
          <w:lang w:val="fr-FR"/>
        </w:rPr>
      </w:pPr>
    </w:p>
    <w:p w:rsidR="00F00552" w:rsidRPr="00365328" w:rsidRDefault="00DE7501" w:rsidP="00963B78">
      <w:pPr>
        <w:autoSpaceDE w:val="0"/>
        <w:autoSpaceDN w:val="0"/>
        <w:adjustRightInd w:val="0"/>
        <w:jc w:val="both"/>
        <w:rPr>
          <w:szCs w:val="22"/>
          <w:lang w:val="fr-FR"/>
        </w:rPr>
      </w:pPr>
      <w:r w:rsidRPr="00365328">
        <w:rPr>
          <w:szCs w:val="22"/>
          <w:lang w:val="fr-FR" w:eastAsia="ru-RU"/>
        </w:rPr>
        <w:t>Chaque examinateur bénéficie d</w:t>
      </w:r>
      <w:r w:rsidR="004205BC" w:rsidRPr="00365328">
        <w:rPr>
          <w:szCs w:val="22"/>
          <w:lang w:val="fr-FR" w:eastAsia="ru-RU"/>
        </w:rPr>
        <w:t>’</w:t>
      </w:r>
      <w:r w:rsidRPr="00365328">
        <w:rPr>
          <w:szCs w:val="22"/>
          <w:lang w:val="fr-FR" w:eastAsia="ru-RU"/>
        </w:rPr>
        <w:t>un accès illimité, depuis son poste de travail, au système de recherche interne PatSear</w:t>
      </w:r>
      <w:r w:rsidR="00365328" w:rsidRPr="00365328">
        <w:rPr>
          <w:szCs w:val="22"/>
          <w:lang w:val="fr-FR" w:eastAsia="ru-RU"/>
        </w:rPr>
        <w:t>ch.  Le</w:t>
      </w:r>
      <w:r w:rsidRPr="00365328">
        <w:rPr>
          <w:szCs w:val="22"/>
          <w:lang w:val="fr-FR" w:eastAsia="ru-RU"/>
        </w:rPr>
        <w:t xml:space="preserve"> texte intégral de tous les documents de brevet de l</w:t>
      </w:r>
      <w:r w:rsidR="004205BC" w:rsidRPr="00365328">
        <w:rPr>
          <w:szCs w:val="22"/>
          <w:lang w:val="fr-FR" w:eastAsia="ru-RU"/>
        </w:rPr>
        <w:t>’</w:t>
      </w:r>
      <w:r w:rsidRPr="00365328">
        <w:rPr>
          <w:szCs w:val="22"/>
          <w:lang w:val="fr-FR" w:eastAsia="ru-RU"/>
        </w:rPr>
        <w:t xml:space="preserve">URSS et de la Russie </w:t>
      </w:r>
      <w:r w:rsidR="004205BC" w:rsidRPr="00365328">
        <w:rPr>
          <w:szCs w:val="22"/>
          <w:lang w:val="fr-FR" w:eastAsia="ru-RU"/>
        </w:rPr>
        <w:t>depuis 1924</w:t>
      </w:r>
      <w:r w:rsidRPr="00365328">
        <w:rPr>
          <w:szCs w:val="22"/>
          <w:lang w:val="fr-FR" w:eastAsia="ru-RU"/>
        </w:rPr>
        <w:t>, des documents de brevet des pays de la CEI, des documents de brevet de pays étrangers et d</w:t>
      </w:r>
      <w:r w:rsidR="004205BC" w:rsidRPr="00365328">
        <w:rPr>
          <w:szCs w:val="22"/>
          <w:lang w:val="fr-FR" w:eastAsia="ru-RU"/>
        </w:rPr>
        <w:t>’</w:t>
      </w:r>
      <w:r w:rsidRPr="00365328">
        <w:rPr>
          <w:szCs w:val="22"/>
          <w:lang w:val="fr-FR" w:eastAsia="ru-RU"/>
        </w:rPr>
        <w:t xml:space="preserve">organisations internationales dont la documentation </w:t>
      </w:r>
      <w:r w:rsidR="00EC0252" w:rsidRPr="00365328">
        <w:rPr>
          <w:szCs w:val="22"/>
          <w:lang w:val="fr-FR" w:eastAsia="ru-RU"/>
        </w:rPr>
        <w:t>relève de</w:t>
      </w:r>
      <w:r w:rsidRPr="00365328">
        <w:rPr>
          <w:szCs w:val="22"/>
          <w:lang w:val="fr-FR" w:eastAsia="ru-RU"/>
        </w:rPr>
        <w:t xml:space="preserve"> la documentation minimale </w:t>
      </w:r>
      <w:r w:rsidR="00EC0252" w:rsidRPr="00365328">
        <w:rPr>
          <w:szCs w:val="22"/>
          <w:lang w:val="fr-FR" w:eastAsia="ru-RU"/>
        </w:rPr>
        <w:t>selon le</w:t>
      </w:r>
      <w:r w:rsidRPr="00365328">
        <w:rPr>
          <w:szCs w:val="22"/>
          <w:lang w:val="fr-FR" w:eastAsia="ru-RU"/>
        </w:rPr>
        <w:t> PCT, ainsi que la base de données DWPI, sont chargés dans le systè</w:t>
      </w:r>
      <w:r w:rsidR="00365328" w:rsidRPr="00365328">
        <w:rPr>
          <w:szCs w:val="22"/>
          <w:lang w:val="fr-FR" w:eastAsia="ru-RU"/>
        </w:rPr>
        <w:t>me.  Le</w:t>
      </w:r>
      <w:r w:rsidRPr="00365328">
        <w:rPr>
          <w:szCs w:val="22"/>
          <w:lang w:val="fr-FR" w:eastAsia="ru-RU"/>
        </w:rPr>
        <w:t>s examinateurs accèdent, via le système PatSearch, à la bibliothèque électronique scientifique eLibrary.ru., au système de recherche Espacenet de l</w:t>
      </w:r>
      <w:r w:rsidR="004205BC" w:rsidRPr="00365328">
        <w:rPr>
          <w:szCs w:val="22"/>
          <w:lang w:val="fr-FR" w:eastAsia="ru-RU"/>
        </w:rPr>
        <w:t>’</w:t>
      </w:r>
      <w:r w:rsidRPr="00365328">
        <w:rPr>
          <w:szCs w:val="22"/>
          <w:lang w:val="fr-FR" w:eastAsia="ru-RU"/>
        </w:rPr>
        <w:t>OEB et à la banque européenne de séquences génétiques EMBL.</w:t>
      </w:r>
    </w:p>
    <w:p w:rsidR="00F00552" w:rsidRPr="00365328" w:rsidRDefault="00F00552" w:rsidP="00963B78">
      <w:pPr>
        <w:autoSpaceDE w:val="0"/>
        <w:autoSpaceDN w:val="0"/>
        <w:adjustRightInd w:val="0"/>
        <w:jc w:val="both"/>
        <w:rPr>
          <w:szCs w:val="22"/>
          <w:lang w:val="fr-FR"/>
        </w:rPr>
      </w:pPr>
    </w:p>
    <w:p w:rsidR="004205BC" w:rsidRPr="00365328" w:rsidRDefault="00D028DE" w:rsidP="00963B78">
      <w:pPr>
        <w:autoSpaceDE w:val="0"/>
        <w:autoSpaceDN w:val="0"/>
        <w:adjustRightInd w:val="0"/>
        <w:jc w:val="both"/>
        <w:rPr>
          <w:szCs w:val="22"/>
          <w:lang w:val="fr-FR"/>
        </w:rPr>
      </w:pPr>
      <w:r w:rsidRPr="00365328">
        <w:rPr>
          <w:szCs w:val="22"/>
          <w:lang w:val="fr-FR"/>
        </w:rPr>
        <w:t xml:space="preserve">Les examinateurs ont un accès en ligne, via Internet, à </w:t>
      </w:r>
      <w:r w:rsidR="00EC0252" w:rsidRPr="00365328">
        <w:rPr>
          <w:szCs w:val="22"/>
          <w:lang w:val="fr-FR"/>
        </w:rPr>
        <w:t>des</w:t>
      </w:r>
      <w:r w:rsidRPr="00365328">
        <w:rPr>
          <w:szCs w:val="22"/>
          <w:lang w:val="fr-FR"/>
        </w:rPr>
        <w:t xml:space="preserve"> </w:t>
      </w:r>
      <w:r w:rsidR="00EC0252" w:rsidRPr="00365328">
        <w:rPr>
          <w:szCs w:val="22"/>
          <w:lang w:val="fr-FR"/>
        </w:rPr>
        <w:t xml:space="preserve">ressources </w:t>
      </w:r>
      <w:r w:rsidRPr="00365328">
        <w:rPr>
          <w:szCs w:val="22"/>
          <w:lang w:val="fr-FR"/>
        </w:rPr>
        <w:t>actualis</w:t>
      </w:r>
      <w:r w:rsidR="00EC0252" w:rsidRPr="00365328">
        <w:rPr>
          <w:szCs w:val="22"/>
          <w:lang w:val="fr-FR"/>
        </w:rPr>
        <w:t>ées en matière</w:t>
      </w:r>
      <w:r w:rsidRPr="00365328">
        <w:rPr>
          <w:szCs w:val="22"/>
          <w:lang w:val="fr-FR"/>
        </w:rPr>
        <w:t xml:space="preserve"> de recherche, notamment </w:t>
      </w:r>
      <w:r w:rsidR="001E0089" w:rsidRPr="00365328">
        <w:rPr>
          <w:szCs w:val="22"/>
          <w:lang w:val="fr-FR"/>
        </w:rPr>
        <w:t>aux</w:t>
      </w:r>
      <w:r w:rsidRPr="00365328">
        <w:rPr>
          <w:szCs w:val="22"/>
          <w:lang w:val="fr-FR"/>
        </w:rPr>
        <w:t xml:space="preserve"> sites Web des offices </w:t>
      </w:r>
      <w:r w:rsidR="00EC0252" w:rsidRPr="00365328">
        <w:rPr>
          <w:szCs w:val="22"/>
          <w:lang w:val="fr-FR"/>
        </w:rPr>
        <w:t>de brevets étrangers (</w:t>
      </w:r>
      <w:r w:rsidRPr="00365328">
        <w:rPr>
          <w:szCs w:val="22"/>
          <w:lang w:val="fr-FR"/>
        </w:rPr>
        <w:t>OEB, États</w:t>
      </w:r>
      <w:r w:rsidR="00963B78">
        <w:rPr>
          <w:szCs w:val="22"/>
          <w:lang w:val="fr-FR"/>
        </w:rPr>
        <w:noBreakHyphen/>
      </w:r>
      <w:r w:rsidRPr="00365328">
        <w:rPr>
          <w:szCs w:val="22"/>
          <w:lang w:val="fr-FR"/>
        </w:rPr>
        <w:t>Unis d</w:t>
      </w:r>
      <w:r w:rsidR="004205BC" w:rsidRPr="00365328">
        <w:rPr>
          <w:szCs w:val="22"/>
          <w:lang w:val="fr-FR"/>
        </w:rPr>
        <w:t>’</w:t>
      </w:r>
      <w:r w:rsidRPr="00365328">
        <w:rPr>
          <w:szCs w:val="22"/>
          <w:lang w:val="fr-FR"/>
        </w:rPr>
        <w:t xml:space="preserve">Amérique, Japon, </w:t>
      </w:r>
      <w:r w:rsidR="00EC0252" w:rsidRPr="00365328">
        <w:rPr>
          <w:szCs w:val="22"/>
          <w:lang w:val="fr-FR"/>
        </w:rPr>
        <w:t xml:space="preserve">République de Corée, </w:t>
      </w:r>
      <w:r w:rsidRPr="00365328">
        <w:rPr>
          <w:szCs w:val="22"/>
          <w:lang w:val="fr-FR"/>
        </w:rPr>
        <w:t>OMPI et Allemagne, entre autres).</w:t>
      </w:r>
    </w:p>
    <w:p w:rsidR="004205BC" w:rsidRPr="00365328" w:rsidRDefault="00357D6C" w:rsidP="00963B78">
      <w:pPr>
        <w:autoSpaceDE w:val="0"/>
        <w:autoSpaceDN w:val="0"/>
        <w:adjustRightInd w:val="0"/>
        <w:jc w:val="both"/>
        <w:rPr>
          <w:szCs w:val="22"/>
          <w:lang w:val="fr-FR" w:eastAsia="ru-RU"/>
        </w:rPr>
      </w:pPr>
      <w:r w:rsidRPr="00365328">
        <w:rPr>
          <w:szCs w:val="22"/>
          <w:lang w:val="fr-FR" w:eastAsia="ru-RU"/>
        </w:rPr>
        <w:t>Les sites contenant des informations non</w:t>
      </w:r>
      <w:r w:rsidR="00963B78">
        <w:rPr>
          <w:szCs w:val="22"/>
          <w:lang w:val="fr-FR" w:eastAsia="ru-RU"/>
        </w:rPr>
        <w:noBreakHyphen/>
      </w:r>
      <w:r w:rsidRPr="00365328">
        <w:rPr>
          <w:szCs w:val="22"/>
          <w:lang w:val="fr-FR" w:eastAsia="ru-RU"/>
        </w:rPr>
        <w:t xml:space="preserve">brevet, en particulier la base de données multidisciplinaire Science Direct, et </w:t>
      </w:r>
      <w:r w:rsidR="001E0089" w:rsidRPr="00365328">
        <w:rPr>
          <w:szCs w:val="22"/>
          <w:lang w:val="fr-FR" w:eastAsia="ru-RU"/>
        </w:rPr>
        <w:t>des données dans les domai</w:t>
      </w:r>
      <w:r w:rsidR="00016594">
        <w:rPr>
          <w:szCs w:val="22"/>
          <w:lang w:val="fr-FR" w:eastAsia="ru-RU"/>
        </w:rPr>
        <w:t>ne</w:t>
      </w:r>
      <w:r w:rsidR="001E0089" w:rsidRPr="00365328">
        <w:rPr>
          <w:szCs w:val="22"/>
          <w:lang w:val="fr-FR" w:eastAsia="ru-RU"/>
        </w:rPr>
        <w:t>s de</w:t>
      </w:r>
      <w:r w:rsidRPr="00365328">
        <w:rPr>
          <w:szCs w:val="22"/>
          <w:lang w:val="fr-FR" w:eastAsia="ru-RU"/>
        </w:rPr>
        <w:t xml:space="preserve"> la médecine, </w:t>
      </w:r>
      <w:r w:rsidR="001E0089" w:rsidRPr="00365328">
        <w:rPr>
          <w:szCs w:val="22"/>
          <w:lang w:val="fr-FR" w:eastAsia="ru-RU"/>
        </w:rPr>
        <w:t xml:space="preserve">de </w:t>
      </w:r>
      <w:r w:rsidRPr="00365328">
        <w:rPr>
          <w:szCs w:val="22"/>
          <w:lang w:val="fr-FR" w:eastAsia="ru-RU"/>
        </w:rPr>
        <w:t>l</w:t>
      </w:r>
      <w:r w:rsidR="004205BC" w:rsidRPr="00365328">
        <w:rPr>
          <w:szCs w:val="22"/>
          <w:lang w:val="fr-FR" w:eastAsia="ru-RU"/>
        </w:rPr>
        <w:t>’</w:t>
      </w:r>
      <w:r w:rsidRPr="00365328">
        <w:rPr>
          <w:szCs w:val="22"/>
          <w:lang w:val="fr-FR" w:eastAsia="ru-RU"/>
        </w:rPr>
        <w:t xml:space="preserve">industrie pharmaceutique, </w:t>
      </w:r>
      <w:r w:rsidR="001E0089" w:rsidRPr="00365328">
        <w:rPr>
          <w:szCs w:val="22"/>
          <w:lang w:val="fr-FR" w:eastAsia="ru-RU"/>
        </w:rPr>
        <w:t xml:space="preserve">de </w:t>
      </w:r>
      <w:r w:rsidRPr="00365328">
        <w:rPr>
          <w:szCs w:val="22"/>
          <w:lang w:val="fr-FR" w:eastAsia="ru-RU"/>
        </w:rPr>
        <w:t xml:space="preserve">la chimie et </w:t>
      </w:r>
      <w:r w:rsidR="001E0089" w:rsidRPr="00365328">
        <w:rPr>
          <w:szCs w:val="22"/>
          <w:lang w:val="fr-FR" w:eastAsia="ru-RU"/>
        </w:rPr>
        <w:t xml:space="preserve">de </w:t>
      </w:r>
      <w:r w:rsidRPr="00365328">
        <w:rPr>
          <w:szCs w:val="22"/>
          <w:lang w:val="fr-FR" w:eastAsia="ru-RU"/>
        </w:rPr>
        <w:t>la biotechnologie (par exemple, la base de données MEDLINE, l</w:t>
      </w:r>
      <w:r w:rsidR="00EC0252" w:rsidRPr="00365328">
        <w:rPr>
          <w:szCs w:val="22"/>
          <w:lang w:val="fr-FR" w:eastAsia="ru-RU"/>
        </w:rPr>
        <w:t>a</w:t>
      </w:r>
      <w:r w:rsidRPr="00365328">
        <w:rPr>
          <w:szCs w:val="22"/>
          <w:lang w:val="fr-FR" w:eastAsia="ru-RU"/>
        </w:rPr>
        <w:t xml:space="preserve"> base de données sur la biotechnologie de la United States National Library of Medicine et </w:t>
      </w:r>
      <w:r w:rsidR="00EC0252" w:rsidRPr="00365328">
        <w:rPr>
          <w:szCs w:val="22"/>
          <w:lang w:val="fr-FR" w:eastAsia="ru-RU"/>
        </w:rPr>
        <w:t xml:space="preserve">la base de données </w:t>
      </w:r>
      <w:r w:rsidRPr="00365328">
        <w:rPr>
          <w:szCs w:val="22"/>
          <w:lang w:val="fr-FR" w:eastAsia="ru-RU"/>
        </w:rPr>
        <w:t>de l</w:t>
      </w:r>
      <w:r w:rsidR="004205BC" w:rsidRPr="00365328">
        <w:rPr>
          <w:szCs w:val="22"/>
          <w:lang w:val="fr-FR" w:eastAsia="ru-RU"/>
        </w:rPr>
        <w:t>’</w:t>
      </w:r>
      <w:r w:rsidRPr="00365328">
        <w:rPr>
          <w:szCs w:val="22"/>
          <w:lang w:val="fr-FR" w:eastAsia="ru-RU"/>
        </w:rPr>
        <w:t>Institut européen de bio</w:t>
      </w:r>
      <w:r w:rsidR="00963B78">
        <w:rPr>
          <w:szCs w:val="22"/>
          <w:lang w:val="fr-FR" w:eastAsia="ru-RU"/>
        </w:rPr>
        <w:noBreakHyphen/>
      </w:r>
      <w:r w:rsidRPr="00365328">
        <w:rPr>
          <w:szCs w:val="22"/>
          <w:lang w:val="fr-FR" w:eastAsia="ru-RU"/>
        </w:rPr>
        <w:t xml:space="preserve">informatique) sont à la disposition des examinateurs. </w:t>
      </w:r>
      <w:r w:rsidR="00A7304E" w:rsidRPr="00365328">
        <w:rPr>
          <w:szCs w:val="22"/>
          <w:lang w:val="fr-FR" w:eastAsia="ru-RU"/>
        </w:rPr>
        <w:t xml:space="preserve"> </w:t>
      </w:r>
    </w:p>
    <w:p w:rsidR="00F00552" w:rsidRPr="00365328" w:rsidRDefault="00F00552" w:rsidP="00963B78">
      <w:pPr>
        <w:autoSpaceDE w:val="0"/>
        <w:autoSpaceDN w:val="0"/>
        <w:adjustRightInd w:val="0"/>
        <w:jc w:val="both"/>
        <w:rPr>
          <w:strike/>
          <w:szCs w:val="22"/>
          <w:lang w:val="fr-FR"/>
        </w:rPr>
      </w:pPr>
    </w:p>
    <w:p w:rsidR="004205BC" w:rsidRPr="00365328" w:rsidRDefault="00357D6C" w:rsidP="00963B78">
      <w:pPr>
        <w:autoSpaceDE w:val="0"/>
        <w:autoSpaceDN w:val="0"/>
        <w:adjustRightInd w:val="0"/>
        <w:jc w:val="both"/>
        <w:rPr>
          <w:szCs w:val="22"/>
          <w:lang w:val="fr-FR" w:eastAsia="ru-RU"/>
        </w:rPr>
      </w:pPr>
      <w:r w:rsidRPr="00365328">
        <w:rPr>
          <w:szCs w:val="22"/>
          <w:lang w:val="fr-FR" w:eastAsia="ru-RU"/>
        </w:rPr>
        <w:t xml:space="preserve">Outre les bases de données en ligne susmentionnées, disponibles en libre accès, les examinateurs ont accès aux bases de données commerciales mises à disposition par le réseau international STN, qui </w:t>
      </w:r>
      <w:r w:rsidR="001E0089" w:rsidRPr="00365328">
        <w:rPr>
          <w:szCs w:val="22"/>
          <w:lang w:val="fr-FR" w:eastAsia="ru-RU"/>
        </w:rPr>
        <w:t>regroupe</w:t>
      </w:r>
      <w:r w:rsidRPr="00365328">
        <w:rPr>
          <w:szCs w:val="22"/>
          <w:lang w:val="fr-FR" w:eastAsia="ru-RU"/>
        </w:rPr>
        <w:t xml:space="preserve"> </w:t>
      </w:r>
      <w:r w:rsidR="001E0089" w:rsidRPr="00365328">
        <w:rPr>
          <w:szCs w:val="22"/>
          <w:lang w:val="fr-FR" w:eastAsia="ru-RU"/>
        </w:rPr>
        <w:t>des</w:t>
      </w:r>
      <w:r w:rsidRPr="00365328">
        <w:rPr>
          <w:szCs w:val="22"/>
          <w:lang w:val="fr-FR" w:eastAsia="ru-RU"/>
        </w:rPr>
        <w:t xml:space="preserve"> documents de brevet et</w:t>
      </w:r>
      <w:r w:rsidR="001E0089" w:rsidRPr="00365328">
        <w:rPr>
          <w:szCs w:val="22"/>
          <w:lang w:val="fr-FR" w:eastAsia="ru-RU"/>
        </w:rPr>
        <w:t xml:space="preserve"> de</w:t>
      </w:r>
      <w:r w:rsidRPr="00365328">
        <w:rPr>
          <w:szCs w:val="22"/>
          <w:lang w:val="fr-FR" w:eastAsia="ru-RU"/>
        </w:rPr>
        <w:t xml:space="preserve"> la littérature non</w:t>
      </w:r>
      <w:r w:rsidR="00963B78">
        <w:rPr>
          <w:szCs w:val="22"/>
          <w:lang w:val="fr-FR" w:eastAsia="ru-RU"/>
        </w:rPr>
        <w:noBreakHyphen/>
      </w:r>
      <w:r w:rsidRPr="00365328">
        <w:rPr>
          <w:szCs w:val="22"/>
          <w:lang w:val="fr-FR" w:eastAsia="ru-RU"/>
        </w:rPr>
        <w:t xml:space="preserve">brevet, </w:t>
      </w:r>
      <w:r w:rsidR="001E0089" w:rsidRPr="00365328">
        <w:rPr>
          <w:szCs w:val="22"/>
          <w:lang w:val="fr-FR" w:eastAsia="ru-RU"/>
        </w:rPr>
        <w:t>ainsi qu</w:t>
      </w:r>
      <w:r w:rsidR="004205BC" w:rsidRPr="00365328">
        <w:rPr>
          <w:szCs w:val="22"/>
          <w:lang w:val="fr-FR" w:eastAsia="ru-RU"/>
        </w:rPr>
        <w:t>’</w:t>
      </w:r>
      <w:r w:rsidRPr="00365328">
        <w:rPr>
          <w:szCs w:val="22"/>
          <w:lang w:val="fr-FR" w:eastAsia="ru-RU"/>
        </w:rPr>
        <w:t xml:space="preserve">à la base de données VINITI qui </w:t>
      </w:r>
      <w:r w:rsidR="001E0089" w:rsidRPr="00365328">
        <w:rPr>
          <w:szCs w:val="22"/>
          <w:lang w:val="fr-FR" w:eastAsia="ru-RU"/>
        </w:rPr>
        <w:t>contient</w:t>
      </w:r>
      <w:r w:rsidRPr="00365328">
        <w:rPr>
          <w:szCs w:val="22"/>
          <w:lang w:val="fr-FR" w:eastAsia="ru-RU"/>
        </w:rPr>
        <w:t xml:space="preserve"> des abrégés.</w:t>
      </w:r>
    </w:p>
    <w:p w:rsidR="00F00552" w:rsidRPr="00365328" w:rsidRDefault="00F00552" w:rsidP="00963B78">
      <w:pPr>
        <w:autoSpaceDE w:val="0"/>
        <w:autoSpaceDN w:val="0"/>
        <w:adjustRightInd w:val="0"/>
        <w:jc w:val="both"/>
        <w:rPr>
          <w:szCs w:val="22"/>
          <w:lang w:val="fr-FR" w:eastAsia="ru-RU"/>
        </w:rPr>
      </w:pPr>
    </w:p>
    <w:p w:rsidR="004205BC" w:rsidRPr="00963B78" w:rsidRDefault="003721BE" w:rsidP="00963B78">
      <w:pPr>
        <w:autoSpaceDE w:val="0"/>
        <w:autoSpaceDN w:val="0"/>
        <w:adjustRightInd w:val="0"/>
        <w:jc w:val="both"/>
        <w:rPr>
          <w:szCs w:val="22"/>
          <w:lang w:val="fr-FR" w:eastAsia="ru-RU"/>
        </w:rPr>
      </w:pPr>
      <w:r w:rsidRPr="00365328">
        <w:rPr>
          <w:szCs w:val="22"/>
          <w:lang w:val="fr-FR" w:eastAsia="ru-RU"/>
        </w:rPr>
        <w:t xml:space="preserve">Si nécessaire, la recherche automatisée peut être complétée par des recherches traditionnelles dans les collections de brevets sur papier ou les disques optiques disponibles dans les collections de la Bibliothèque technique et de brevets </w:t>
      </w:r>
      <w:r w:rsidR="001E0089" w:rsidRPr="00365328">
        <w:rPr>
          <w:szCs w:val="22"/>
          <w:lang w:val="fr-FR" w:eastAsia="ru-RU"/>
        </w:rPr>
        <w:t>panrus</w:t>
      </w:r>
      <w:r w:rsidR="00365328" w:rsidRPr="00365328">
        <w:rPr>
          <w:szCs w:val="22"/>
          <w:lang w:val="fr-FR" w:eastAsia="ru-RU"/>
        </w:rPr>
        <w:t>se.  Gr</w:t>
      </w:r>
      <w:r w:rsidR="00EC0252" w:rsidRPr="00365328">
        <w:rPr>
          <w:szCs w:val="22"/>
          <w:lang w:val="fr-FR" w:eastAsia="ru-RU"/>
        </w:rPr>
        <w:t>âce à l</w:t>
      </w:r>
      <w:r w:rsidR="004205BC" w:rsidRPr="00365328">
        <w:rPr>
          <w:szCs w:val="22"/>
          <w:lang w:val="fr-FR" w:eastAsia="ru-RU"/>
        </w:rPr>
        <w:t>’</w:t>
      </w:r>
      <w:r w:rsidR="00EC0252" w:rsidRPr="00365328">
        <w:rPr>
          <w:szCs w:val="22"/>
          <w:lang w:val="fr-FR" w:eastAsia="ru-RU"/>
        </w:rPr>
        <w:t xml:space="preserve">abonnement interbibliothèques et à la diffusion électronique des documents, les examinateurs peuvent </w:t>
      </w:r>
      <w:r w:rsidR="00EC0252" w:rsidRPr="00963B78">
        <w:rPr>
          <w:szCs w:val="22"/>
          <w:lang w:val="fr-FR" w:eastAsia="ru-RU"/>
        </w:rPr>
        <w:t>recevoir les ressources nécessaires</w:t>
      </w:r>
      <w:r w:rsidR="00963B78">
        <w:rPr>
          <w:szCs w:val="22"/>
          <w:lang w:val="fr-FR" w:eastAsia="ru-RU"/>
        </w:rPr>
        <w:t>, en matière de</w:t>
      </w:r>
      <w:r w:rsidR="00EC0252" w:rsidRPr="00963B78">
        <w:rPr>
          <w:szCs w:val="22"/>
          <w:lang w:val="fr-FR" w:eastAsia="ru-RU"/>
        </w:rPr>
        <w:t xml:space="preserve"> littérature non</w:t>
      </w:r>
      <w:r w:rsidR="00963B78">
        <w:rPr>
          <w:szCs w:val="22"/>
          <w:lang w:val="fr-FR" w:eastAsia="ru-RU"/>
        </w:rPr>
        <w:noBreakHyphen/>
      </w:r>
      <w:r w:rsidR="00EC0252" w:rsidRPr="00963B78">
        <w:rPr>
          <w:szCs w:val="22"/>
          <w:lang w:val="fr-FR" w:eastAsia="ru-RU"/>
        </w:rPr>
        <w:t>brevet</w:t>
      </w:r>
      <w:r w:rsidR="00963B78">
        <w:rPr>
          <w:szCs w:val="22"/>
          <w:lang w:val="fr-FR" w:eastAsia="ru-RU"/>
        </w:rPr>
        <w:t>,</w:t>
      </w:r>
      <w:r w:rsidR="00EC0252" w:rsidRPr="00963B78">
        <w:rPr>
          <w:szCs w:val="22"/>
          <w:lang w:val="fr-FR" w:eastAsia="ru-RU"/>
        </w:rPr>
        <w:t xml:space="preserve"> de </w:t>
      </w:r>
      <w:r w:rsidR="00963B78">
        <w:rPr>
          <w:szCs w:val="22"/>
          <w:lang w:val="fr-FR" w:eastAsia="ru-RU"/>
        </w:rPr>
        <w:t xml:space="preserve">la part de </w:t>
      </w:r>
      <w:r w:rsidR="00EC0252" w:rsidRPr="00963B78">
        <w:rPr>
          <w:szCs w:val="22"/>
          <w:lang w:val="fr-FR" w:eastAsia="ru-RU"/>
        </w:rPr>
        <w:t>huit grandes bibliothèques moscovites.</w:t>
      </w:r>
    </w:p>
    <w:p w:rsidR="00F00552" w:rsidRPr="00963B78" w:rsidRDefault="00F00552" w:rsidP="00963B78">
      <w:pPr>
        <w:rPr>
          <w:b/>
          <w:bCs/>
          <w:lang w:val="fr-FR"/>
        </w:rPr>
      </w:pPr>
    </w:p>
    <w:p w:rsidR="00F00552" w:rsidRPr="00963B78" w:rsidRDefault="00F00552" w:rsidP="00963B78">
      <w:pPr>
        <w:rPr>
          <w:b/>
          <w:bCs/>
          <w:lang w:val="fr-FR"/>
        </w:rPr>
      </w:pPr>
    </w:p>
    <w:p w:rsidR="00F00552" w:rsidRPr="00963B78" w:rsidRDefault="004205BC" w:rsidP="00963B78">
      <w:pPr>
        <w:rPr>
          <w:b/>
          <w:i/>
          <w:lang w:val="fr-FR"/>
        </w:rPr>
      </w:pPr>
      <w:r w:rsidRPr="00963B78">
        <w:rPr>
          <w:b/>
          <w:i/>
          <w:lang w:val="fr-FR"/>
        </w:rPr>
        <w:t>Règle 3</w:t>
      </w:r>
      <w:r w:rsidR="001954E5" w:rsidRPr="00963B78">
        <w:rPr>
          <w:b/>
          <w:i/>
          <w:lang w:val="fr-FR"/>
        </w:rPr>
        <w:t>6.1.iii)</w:t>
      </w:r>
      <w:r w:rsidRPr="00963B78">
        <w:rPr>
          <w:b/>
          <w:i/>
          <w:lang w:val="fr-FR"/>
        </w:rPr>
        <w:t> :</w:t>
      </w:r>
      <w:r w:rsidR="00A7304E" w:rsidRPr="00963B78">
        <w:rPr>
          <w:b/>
          <w:i/>
          <w:lang w:val="fr-FR"/>
        </w:rPr>
        <w:t xml:space="preserve"> </w:t>
      </w:r>
      <w:r w:rsidR="001954E5" w:rsidRPr="00963B78">
        <w:rPr>
          <w:b/>
          <w:i/>
          <w:lang w:val="fr-FR"/>
        </w:rPr>
        <w:t>cet office ou cette organisation doit disposer d</w:t>
      </w:r>
      <w:r w:rsidRPr="00963B78">
        <w:rPr>
          <w:b/>
          <w:i/>
          <w:lang w:val="fr-FR"/>
        </w:rPr>
        <w:t>’</w:t>
      </w:r>
      <w:r w:rsidR="001954E5" w:rsidRPr="00963B78">
        <w:rPr>
          <w:b/>
          <w:i/>
          <w:lang w:val="fr-FR"/>
        </w:rPr>
        <w:t xml:space="preserve">un personnel capable de procéder à la recherche dans les domaines techniques sur lesquels la recherche doit porter et possédant les connaissances linguistiques nécessaires à la compréhension au moins des langues dans lesquelles la documentation minimale de la </w:t>
      </w:r>
      <w:r w:rsidRPr="00963B78">
        <w:rPr>
          <w:b/>
          <w:i/>
          <w:lang w:val="fr-FR"/>
        </w:rPr>
        <w:t>règle 3</w:t>
      </w:r>
      <w:r w:rsidR="001954E5" w:rsidRPr="00963B78">
        <w:rPr>
          <w:b/>
          <w:i/>
          <w:lang w:val="fr-FR"/>
        </w:rPr>
        <w:t>4 est rédigée ou traduite.</w:t>
      </w:r>
    </w:p>
    <w:p w:rsidR="00F00552" w:rsidRPr="00963B78" w:rsidRDefault="00F00552" w:rsidP="00963B78">
      <w:pPr>
        <w:rPr>
          <w:b/>
          <w:bCs/>
          <w:lang w:val="fr-FR"/>
        </w:rPr>
      </w:pPr>
    </w:p>
    <w:p w:rsidR="004205BC" w:rsidRPr="00365328" w:rsidRDefault="001954E5" w:rsidP="00963B78">
      <w:pPr>
        <w:rPr>
          <w:b/>
          <w:szCs w:val="22"/>
          <w:lang w:val="fr-FR"/>
        </w:rPr>
      </w:pPr>
      <w:r w:rsidRPr="00365328">
        <w:rPr>
          <w:b/>
          <w:color w:val="000000"/>
          <w:szCs w:val="22"/>
          <w:lang w:val="fr-FR"/>
        </w:rPr>
        <w:t>Langues dans lesquelles les demandes nationales peuvent être déposées et traitées</w:t>
      </w:r>
      <w:r w:rsidR="004205BC" w:rsidRPr="00365328">
        <w:rPr>
          <w:b/>
          <w:color w:val="000000"/>
          <w:szCs w:val="22"/>
          <w:lang w:val="fr-FR"/>
        </w:rPr>
        <w:t> :</w:t>
      </w:r>
    </w:p>
    <w:p w:rsidR="00F00552" w:rsidRPr="00365328" w:rsidRDefault="00F00552" w:rsidP="00963B78">
      <w:pPr>
        <w:rPr>
          <w:lang w:val="fr-FR"/>
        </w:rPr>
      </w:pPr>
    </w:p>
    <w:p w:rsidR="00F00552" w:rsidRPr="00365328" w:rsidRDefault="00D202A4" w:rsidP="00963B78">
      <w:pPr>
        <w:rPr>
          <w:szCs w:val="22"/>
          <w:lang w:val="fr-FR"/>
        </w:rPr>
      </w:pPr>
      <w:r w:rsidRPr="00365328">
        <w:rPr>
          <w:szCs w:val="22"/>
          <w:lang w:val="fr-FR"/>
        </w:rPr>
        <w:t>Russ</w:t>
      </w:r>
      <w:r w:rsidR="00EB11B9" w:rsidRPr="00365328">
        <w:rPr>
          <w:szCs w:val="22"/>
          <w:lang w:val="fr-FR"/>
        </w:rPr>
        <w:t>e</w:t>
      </w:r>
    </w:p>
    <w:p w:rsidR="00F00552" w:rsidRPr="00365328" w:rsidRDefault="00F00552" w:rsidP="00963B78">
      <w:pPr>
        <w:rPr>
          <w:lang w:val="fr-FR"/>
        </w:rPr>
      </w:pPr>
    </w:p>
    <w:p w:rsidR="00F00552" w:rsidRPr="00365328" w:rsidRDefault="001954E5" w:rsidP="00963B78">
      <w:pPr>
        <w:rPr>
          <w:b/>
          <w:bCs/>
          <w:szCs w:val="22"/>
          <w:lang w:val="fr-FR"/>
        </w:rPr>
      </w:pPr>
      <w:r w:rsidRPr="00365328">
        <w:rPr>
          <w:b/>
          <w:color w:val="000000"/>
          <w:szCs w:val="22"/>
          <w:lang w:val="fr-FR"/>
        </w:rPr>
        <w:t>Autres langues maîtrisées par un grand nombre d</w:t>
      </w:r>
      <w:r w:rsidR="004205BC" w:rsidRPr="00365328">
        <w:rPr>
          <w:b/>
          <w:color w:val="000000"/>
          <w:szCs w:val="22"/>
          <w:lang w:val="fr-FR"/>
        </w:rPr>
        <w:t>’</w:t>
      </w:r>
      <w:r w:rsidRPr="00365328">
        <w:rPr>
          <w:b/>
          <w:color w:val="000000"/>
          <w:szCs w:val="22"/>
          <w:lang w:val="fr-FR"/>
        </w:rPr>
        <w:t>examinateurs</w:t>
      </w:r>
      <w:r w:rsidR="00A12442">
        <w:rPr>
          <w:b/>
          <w:color w:val="000000"/>
          <w:szCs w:val="22"/>
          <w:lang w:val="fr-FR"/>
        </w:rPr>
        <w:t xml:space="preserve"> </w:t>
      </w:r>
      <w:r w:rsidR="00D202A4" w:rsidRPr="00365328">
        <w:rPr>
          <w:b/>
          <w:bCs/>
          <w:lang w:val="fr-FR"/>
        </w:rPr>
        <w:t>/</w:t>
      </w:r>
      <w:r w:rsidR="00A12442">
        <w:rPr>
          <w:b/>
          <w:bCs/>
          <w:lang w:val="fr-FR"/>
        </w:rPr>
        <w:t xml:space="preserve"> S</w:t>
      </w:r>
      <w:r w:rsidRPr="00365328">
        <w:rPr>
          <w:b/>
          <w:szCs w:val="22"/>
          <w:lang w:val="fr-FR"/>
        </w:rPr>
        <w:t>ervices proposés pour faciliter la recherche ou mieux comprendre l</w:t>
      </w:r>
      <w:r w:rsidR="004205BC" w:rsidRPr="00365328">
        <w:rPr>
          <w:b/>
          <w:szCs w:val="22"/>
          <w:lang w:val="fr-FR"/>
        </w:rPr>
        <w:t>’</w:t>
      </w:r>
      <w:r w:rsidRPr="00365328">
        <w:rPr>
          <w:b/>
          <w:szCs w:val="22"/>
          <w:lang w:val="fr-FR"/>
        </w:rPr>
        <w:t>état de la technique dans d</w:t>
      </w:r>
      <w:r w:rsidR="004205BC" w:rsidRPr="00365328">
        <w:rPr>
          <w:b/>
          <w:szCs w:val="22"/>
          <w:lang w:val="fr-FR"/>
        </w:rPr>
        <w:t>’</w:t>
      </w:r>
      <w:r w:rsidRPr="00365328">
        <w:rPr>
          <w:b/>
          <w:szCs w:val="22"/>
          <w:lang w:val="fr-FR"/>
        </w:rPr>
        <w:t>autres langues</w:t>
      </w:r>
      <w:r w:rsidR="004205BC" w:rsidRPr="00365328">
        <w:rPr>
          <w:b/>
          <w:szCs w:val="22"/>
          <w:lang w:val="fr-FR"/>
        </w:rPr>
        <w:t> :</w:t>
      </w:r>
    </w:p>
    <w:p w:rsidR="00F00552" w:rsidRPr="00365328" w:rsidRDefault="00F00552" w:rsidP="00963B78">
      <w:pPr>
        <w:keepNext/>
        <w:keepLines/>
        <w:rPr>
          <w:lang w:val="fr-FR"/>
        </w:rPr>
      </w:pPr>
    </w:p>
    <w:p w:rsidR="004205BC" w:rsidRPr="00365328" w:rsidRDefault="00EB11B9" w:rsidP="00963B78">
      <w:pPr>
        <w:keepNext/>
        <w:keepLines/>
        <w:autoSpaceDE w:val="0"/>
        <w:autoSpaceDN w:val="0"/>
        <w:adjustRightInd w:val="0"/>
        <w:jc w:val="both"/>
        <w:rPr>
          <w:szCs w:val="22"/>
          <w:lang w:val="fr-FR" w:eastAsia="ru-RU"/>
        </w:rPr>
      </w:pPr>
      <w:r w:rsidRPr="00365328">
        <w:rPr>
          <w:bCs/>
          <w:szCs w:val="22"/>
          <w:lang w:val="fr-FR"/>
        </w:rPr>
        <w:t>Les compétences linguistiques de tous les examinateurs</w:t>
      </w:r>
      <w:r w:rsidR="001E0089" w:rsidRPr="00365328">
        <w:rPr>
          <w:bCs/>
          <w:szCs w:val="22"/>
          <w:lang w:val="fr-FR"/>
        </w:rPr>
        <w:t>, essentiellement en anglais,</w:t>
      </w:r>
      <w:r w:rsidRPr="00365328">
        <w:rPr>
          <w:bCs/>
          <w:szCs w:val="22"/>
          <w:lang w:val="fr-FR"/>
        </w:rPr>
        <w:t xml:space="preserve"> sont suffisantes pour procéder </w:t>
      </w:r>
      <w:r w:rsidR="001E0089" w:rsidRPr="00365328">
        <w:rPr>
          <w:bCs/>
          <w:szCs w:val="22"/>
          <w:lang w:val="fr-FR"/>
        </w:rPr>
        <w:t>à des</w:t>
      </w:r>
      <w:r w:rsidRPr="00365328">
        <w:rPr>
          <w:bCs/>
          <w:szCs w:val="22"/>
          <w:lang w:val="fr-FR"/>
        </w:rPr>
        <w:t xml:space="preserve"> recherches et </w:t>
      </w:r>
      <w:r w:rsidR="001E0089" w:rsidRPr="00365328">
        <w:rPr>
          <w:bCs/>
          <w:szCs w:val="22"/>
          <w:lang w:val="fr-FR"/>
        </w:rPr>
        <w:t>des exame</w:t>
      </w:r>
      <w:r w:rsidR="00365328" w:rsidRPr="00365328">
        <w:rPr>
          <w:bCs/>
          <w:szCs w:val="22"/>
          <w:lang w:val="fr-FR"/>
        </w:rPr>
        <w:t>ns.  Le</w:t>
      </w:r>
      <w:r w:rsidRPr="00365328">
        <w:rPr>
          <w:bCs/>
          <w:szCs w:val="22"/>
          <w:lang w:val="fr-FR"/>
        </w:rPr>
        <w:t>s examinateurs ont accès au système de traduction automatique (PROMT Professional</w:t>
      </w:r>
      <w:r w:rsidR="00016594">
        <w:rPr>
          <w:bCs/>
          <w:szCs w:val="22"/>
          <w:lang w:val="fr-FR"/>
        </w:rPr>
        <w:t> </w:t>
      </w:r>
      <w:r w:rsidRPr="00365328">
        <w:rPr>
          <w:bCs/>
          <w:szCs w:val="22"/>
          <w:lang w:val="fr-FR"/>
        </w:rPr>
        <w:t>11.0).</w:t>
      </w:r>
      <w:r w:rsidR="00D202A4" w:rsidRPr="00365328">
        <w:rPr>
          <w:szCs w:val="22"/>
          <w:lang w:val="fr-FR" w:eastAsia="ru-RU"/>
        </w:rPr>
        <w:t xml:space="preserve"> </w:t>
      </w:r>
      <w:r w:rsidR="008F36ED" w:rsidRPr="00365328">
        <w:rPr>
          <w:szCs w:val="22"/>
          <w:lang w:val="fr-FR" w:eastAsia="ru-RU"/>
        </w:rPr>
        <w:t xml:space="preserve"> </w:t>
      </w:r>
      <w:r w:rsidRPr="00365328">
        <w:rPr>
          <w:szCs w:val="22"/>
          <w:lang w:val="fr-FR" w:eastAsia="ru-RU"/>
        </w:rPr>
        <w:t>L</w:t>
      </w:r>
      <w:r w:rsidR="004205BC" w:rsidRPr="00365328">
        <w:rPr>
          <w:szCs w:val="22"/>
          <w:lang w:val="fr-FR" w:eastAsia="ru-RU"/>
        </w:rPr>
        <w:t>’</w:t>
      </w:r>
      <w:r w:rsidRPr="00365328">
        <w:rPr>
          <w:szCs w:val="22"/>
          <w:lang w:val="fr-FR" w:eastAsia="ru-RU"/>
        </w:rPr>
        <w:t>office compte un groupe de traducteurs travaillant à partir des langues européennes, qui peuvent aider les examinateurs à comprendre les documents consultés aux fins de recherc</w:t>
      </w:r>
      <w:r w:rsidR="00365328" w:rsidRPr="00365328">
        <w:rPr>
          <w:szCs w:val="22"/>
          <w:lang w:val="fr-FR" w:eastAsia="ru-RU"/>
        </w:rPr>
        <w:t>he.  En</w:t>
      </w:r>
      <w:r w:rsidRPr="00365328">
        <w:rPr>
          <w:szCs w:val="22"/>
          <w:lang w:val="fr-FR" w:eastAsia="ru-RU"/>
        </w:rPr>
        <w:t xml:space="preserve"> outre, Rospatent a recours à la sous</w:t>
      </w:r>
      <w:r w:rsidR="00963B78">
        <w:rPr>
          <w:szCs w:val="22"/>
          <w:lang w:val="fr-FR" w:eastAsia="ru-RU"/>
        </w:rPr>
        <w:noBreakHyphen/>
      </w:r>
      <w:r w:rsidRPr="00365328">
        <w:rPr>
          <w:szCs w:val="22"/>
          <w:lang w:val="fr-FR" w:eastAsia="ru-RU"/>
        </w:rPr>
        <w:t>traitance pour la traduction des opinions écrites vers l</w:t>
      </w:r>
      <w:r w:rsidR="004205BC" w:rsidRPr="00365328">
        <w:rPr>
          <w:szCs w:val="22"/>
          <w:lang w:val="fr-FR" w:eastAsia="ru-RU"/>
        </w:rPr>
        <w:t>’</w:t>
      </w:r>
      <w:r w:rsidRPr="00365328">
        <w:rPr>
          <w:szCs w:val="22"/>
          <w:lang w:val="fr-FR" w:eastAsia="ru-RU"/>
        </w:rPr>
        <w:t>anglais.</w:t>
      </w:r>
    </w:p>
    <w:p w:rsidR="00F00552" w:rsidRPr="00365328" w:rsidRDefault="00F00552" w:rsidP="00963B78">
      <w:pPr>
        <w:rPr>
          <w:szCs w:val="22"/>
          <w:lang w:val="fr-FR"/>
        </w:rPr>
      </w:pPr>
    </w:p>
    <w:p w:rsidR="00F00552" w:rsidRPr="00365328" w:rsidRDefault="008F36ED" w:rsidP="00963B78">
      <w:pPr>
        <w:pStyle w:val="SectionHeading"/>
        <w:rPr>
          <w:lang w:val="fr-FR"/>
        </w:rPr>
      </w:pPr>
      <w:r w:rsidRPr="00365328">
        <w:rPr>
          <w:lang w:val="fr-FR"/>
        </w:rPr>
        <w:t xml:space="preserve">2.2 – </w:t>
      </w:r>
      <w:r w:rsidR="001954E5" w:rsidRPr="00365328">
        <w:rPr>
          <w:lang w:val="fr-FR"/>
        </w:rPr>
        <w:t>Gestion de la qualité</w:t>
      </w:r>
    </w:p>
    <w:p w:rsidR="00F00552" w:rsidRPr="00365328" w:rsidRDefault="004205BC" w:rsidP="00963B78">
      <w:pPr>
        <w:rPr>
          <w:b/>
          <w:bCs/>
          <w:lang w:val="fr-FR"/>
        </w:rPr>
      </w:pPr>
      <w:r w:rsidRPr="00365328">
        <w:rPr>
          <w:b/>
          <w:i/>
          <w:lang w:val="fr-FR"/>
        </w:rPr>
        <w:t>Règles 3</w:t>
      </w:r>
      <w:r w:rsidR="001954E5" w:rsidRPr="00365328">
        <w:rPr>
          <w:b/>
          <w:i/>
          <w:lang w:val="fr-FR"/>
        </w:rPr>
        <w:t>6.1.iv) et 63.1.iv)</w:t>
      </w:r>
      <w:r w:rsidRPr="00365328">
        <w:rPr>
          <w:b/>
          <w:i/>
          <w:lang w:val="fr-FR"/>
        </w:rPr>
        <w:t> :</w:t>
      </w:r>
      <w:r w:rsidR="00A7304E" w:rsidRPr="00365328">
        <w:rPr>
          <w:b/>
          <w:i/>
          <w:lang w:val="fr-FR"/>
        </w:rPr>
        <w:t xml:space="preserve"> </w:t>
      </w:r>
      <w:r w:rsidR="001954E5" w:rsidRPr="00365328">
        <w:rPr>
          <w:b/>
          <w:i/>
          <w:lang w:val="fr-FR"/>
        </w:rPr>
        <w:t>cet office ou cette organisation doit disposer d</w:t>
      </w:r>
      <w:r w:rsidRPr="00365328">
        <w:rPr>
          <w:b/>
          <w:i/>
          <w:lang w:val="fr-FR"/>
        </w:rPr>
        <w:t>’</w:t>
      </w:r>
      <w:r w:rsidR="001954E5" w:rsidRPr="00365328">
        <w:rPr>
          <w:b/>
          <w:i/>
          <w:lang w:val="fr-FR"/>
        </w:rPr>
        <w:t>un système de gestion de la qualité et de dispositions internes en matière d</w:t>
      </w:r>
      <w:r w:rsidRPr="00365328">
        <w:rPr>
          <w:b/>
          <w:i/>
          <w:lang w:val="fr-FR"/>
        </w:rPr>
        <w:t>’</w:t>
      </w:r>
      <w:r w:rsidR="001954E5" w:rsidRPr="00365328">
        <w:rPr>
          <w:b/>
          <w:i/>
          <w:lang w:val="fr-FR"/>
        </w:rPr>
        <w:t>évaluation conformément aux règles communes de la recherche internationale.</w:t>
      </w:r>
    </w:p>
    <w:p w:rsidR="00F00552" w:rsidRPr="00365328" w:rsidRDefault="00F00552" w:rsidP="00963B78">
      <w:pPr>
        <w:rPr>
          <w:i/>
          <w:iCs/>
          <w:lang w:val="fr-FR"/>
        </w:rPr>
      </w:pPr>
    </w:p>
    <w:p w:rsidR="004205BC" w:rsidRPr="00365328" w:rsidRDefault="00D701BE" w:rsidP="00963B78">
      <w:pPr>
        <w:rPr>
          <w:iCs/>
          <w:szCs w:val="22"/>
          <w:lang w:val="fr-FR"/>
        </w:rPr>
      </w:pPr>
      <w:r w:rsidRPr="00365328">
        <w:rPr>
          <w:iCs/>
          <w:szCs w:val="22"/>
          <w:lang w:val="fr-FR"/>
        </w:rPr>
        <w:t>Le rapport sur le système de gestion de la qualité de Rospatent pour 2016 a été communiqué à l</w:t>
      </w:r>
      <w:r w:rsidR="004205BC" w:rsidRPr="00365328">
        <w:rPr>
          <w:iCs/>
          <w:szCs w:val="22"/>
          <w:lang w:val="fr-FR"/>
        </w:rPr>
        <w:t>’</w:t>
      </w:r>
      <w:r w:rsidRPr="00365328">
        <w:rPr>
          <w:iCs/>
          <w:szCs w:val="22"/>
          <w:lang w:val="fr-FR"/>
        </w:rPr>
        <w:t>OMPI et il est disponible à l</w:t>
      </w:r>
      <w:r w:rsidR="004205BC" w:rsidRPr="00365328">
        <w:rPr>
          <w:iCs/>
          <w:szCs w:val="22"/>
          <w:lang w:val="fr-FR"/>
        </w:rPr>
        <w:t>’</w:t>
      </w:r>
      <w:r w:rsidRPr="00365328">
        <w:rPr>
          <w:iCs/>
          <w:szCs w:val="22"/>
          <w:lang w:val="fr-FR"/>
        </w:rPr>
        <w:t xml:space="preserve">adresse </w:t>
      </w:r>
      <w:hyperlink r:id="rId11" w:history="1">
        <w:r w:rsidRPr="00365328">
          <w:rPr>
            <w:rStyle w:val="Hyperlink"/>
            <w:color w:val="auto"/>
            <w:lang w:val="fr-FR"/>
          </w:rPr>
          <w:t>http://www.wipo.int/pct/en/quality/authorities.html</w:t>
        </w:r>
      </w:hyperlink>
      <w:r w:rsidRPr="00365328">
        <w:rPr>
          <w:iCs/>
          <w:szCs w:val="22"/>
          <w:lang w:val="fr-FR"/>
        </w:rPr>
        <w:t>.</w:t>
      </w:r>
    </w:p>
    <w:p w:rsidR="00F00552" w:rsidRPr="00365328" w:rsidRDefault="00D701BE" w:rsidP="00963B78">
      <w:pPr>
        <w:pStyle w:val="SectionHeading"/>
        <w:rPr>
          <w:lang w:val="fr-FR"/>
        </w:rPr>
      </w:pPr>
      <w:r w:rsidRPr="00365328">
        <w:rPr>
          <w:lang w:val="fr-FR"/>
        </w:rPr>
        <w:t>3 – Évaluation par d</w:t>
      </w:r>
      <w:r w:rsidR="004205BC" w:rsidRPr="00365328">
        <w:rPr>
          <w:lang w:val="fr-FR"/>
        </w:rPr>
        <w:t>’</w:t>
      </w:r>
      <w:r w:rsidRPr="00365328">
        <w:rPr>
          <w:lang w:val="fr-FR"/>
        </w:rPr>
        <w:t>autres administrations</w:t>
      </w:r>
    </w:p>
    <w:p w:rsidR="004205BC" w:rsidRPr="00365328" w:rsidRDefault="00D701BE" w:rsidP="00963B78">
      <w:pPr>
        <w:rPr>
          <w:rStyle w:val="alt-edited"/>
          <w:szCs w:val="22"/>
          <w:lang w:val="fr-FR"/>
        </w:rPr>
      </w:pPr>
      <w:r w:rsidRPr="00365328">
        <w:rPr>
          <w:rStyle w:val="alt-edited"/>
          <w:color w:val="000000"/>
          <w:szCs w:val="22"/>
          <w:lang w:val="fr-FR"/>
        </w:rPr>
        <w:t>La possibilité d</w:t>
      </w:r>
      <w:r w:rsidR="004205BC" w:rsidRPr="00365328">
        <w:rPr>
          <w:rStyle w:val="alt-edited"/>
          <w:color w:val="000000"/>
          <w:szCs w:val="22"/>
          <w:lang w:val="fr-FR"/>
        </w:rPr>
        <w:t>’</w:t>
      </w:r>
      <w:r w:rsidRPr="00365328">
        <w:rPr>
          <w:rStyle w:val="alt-edited"/>
          <w:color w:val="000000"/>
          <w:szCs w:val="22"/>
          <w:lang w:val="fr-FR"/>
        </w:rPr>
        <w:t>une évaluation par d</w:t>
      </w:r>
      <w:r w:rsidR="004205BC" w:rsidRPr="00365328">
        <w:rPr>
          <w:rStyle w:val="alt-edited"/>
          <w:color w:val="000000"/>
          <w:szCs w:val="22"/>
          <w:lang w:val="fr-FR"/>
        </w:rPr>
        <w:t>’</w:t>
      </w:r>
      <w:r w:rsidRPr="00365328">
        <w:rPr>
          <w:rStyle w:val="alt-edited"/>
          <w:color w:val="000000"/>
          <w:szCs w:val="22"/>
          <w:lang w:val="fr-FR"/>
        </w:rPr>
        <w:t>autres administrations est envisagée.</w:t>
      </w:r>
    </w:p>
    <w:p w:rsidR="00F00552" w:rsidRPr="00365328" w:rsidRDefault="008F36ED" w:rsidP="00963B78">
      <w:pPr>
        <w:pStyle w:val="SectionHeading"/>
        <w:rPr>
          <w:lang w:val="fr-FR"/>
        </w:rPr>
      </w:pPr>
      <w:r w:rsidRPr="00365328">
        <w:rPr>
          <w:lang w:val="fr-FR"/>
        </w:rPr>
        <w:t xml:space="preserve">4 – </w:t>
      </w:r>
      <w:r w:rsidR="001954E5" w:rsidRPr="00365328">
        <w:rPr>
          <w:rFonts w:cs="Arial Bold"/>
          <w:lang w:val="fr-FR"/>
        </w:rPr>
        <w:t>É</w:t>
      </w:r>
      <w:r w:rsidR="00365328" w:rsidRPr="00365328">
        <w:rPr>
          <w:rFonts w:cs="Arial Bold"/>
          <w:lang w:val="fr-FR"/>
        </w:rPr>
        <w:t>noncé des moti</w:t>
      </w:r>
      <w:r w:rsidR="00612F2E">
        <w:rPr>
          <w:rFonts w:cs="Arial Bold"/>
          <w:lang w:val="fr-FR"/>
        </w:rPr>
        <w:t>vations</w:t>
      </w:r>
    </w:p>
    <w:p w:rsidR="004205BC" w:rsidRPr="00365328" w:rsidRDefault="00D701BE" w:rsidP="00963B78">
      <w:pPr>
        <w:rPr>
          <w:szCs w:val="22"/>
          <w:lang w:val="fr-FR"/>
        </w:rPr>
      </w:pPr>
      <w:r w:rsidRPr="00365328">
        <w:rPr>
          <w:szCs w:val="22"/>
          <w:lang w:val="fr-FR"/>
        </w:rPr>
        <w:t xml:space="preserve">Rospatent a été désigné comme administration </w:t>
      </w:r>
      <w:r w:rsidR="001E0089" w:rsidRPr="00365328">
        <w:rPr>
          <w:szCs w:val="22"/>
          <w:lang w:val="fr-FR"/>
        </w:rPr>
        <w:t xml:space="preserve">compétente </w:t>
      </w:r>
      <w:r w:rsidRPr="00365328">
        <w:rPr>
          <w:szCs w:val="22"/>
          <w:lang w:val="fr-FR"/>
        </w:rPr>
        <w:t>chargée de la recherche internationale</w:t>
      </w:r>
      <w:r w:rsidR="001E0089" w:rsidRPr="00365328">
        <w:rPr>
          <w:szCs w:val="22"/>
          <w:lang w:val="fr-FR"/>
        </w:rPr>
        <w:t xml:space="preserve"> et de l</w:t>
      </w:r>
      <w:r w:rsidR="004205BC" w:rsidRPr="00365328">
        <w:rPr>
          <w:szCs w:val="22"/>
          <w:lang w:val="fr-FR"/>
        </w:rPr>
        <w:t>’</w:t>
      </w:r>
      <w:r w:rsidR="001E0089" w:rsidRPr="00365328">
        <w:rPr>
          <w:szCs w:val="22"/>
          <w:lang w:val="fr-FR"/>
        </w:rPr>
        <w:t>examen préliminaire international</w:t>
      </w:r>
      <w:r w:rsidRPr="00365328">
        <w:rPr>
          <w:szCs w:val="22"/>
          <w:lang w:val="fr-FR"/>
        </w:rPr>
        <w:t xml:space="preserve"> par 32 offices récepteurs d</w:t>
      </w:r>
      <w:r w:rsidR="004205BC" w:rsidRPr="00365328">
        <w:rPr>
          <w:szCs w:val="22"/>
          <w:lang w:val="fr-FR"/>
        </w:rPr>
        <w:t>’</w:t>
      </w:r>
      <w:r w:rsidRPr="00365328">
        <w:rPr>
          <w:szCs w:val="22"/>
          <w:lang w:val="fr-FR"/>
        </w:rPr>
        <w:t xml:space="preserve">États et organisations </w:t>
      </w:r>
      <w:r w:rsidR="005E05B8" w:rsidRPr="00365328">
        <w:rPr>
          <w:szCs w:val="22"/>
          <w:lang w:val="fr-FR"/>
        </w:rPr>
        <w:t xml:space="preserve">contractants </w:t>
      </w:r>
      <w:r w:rsidRPr="00365328">
        <w:rPr>
          <w:szCs w:val="22"/>
          <w:lang w:val="fr-FR"/>
        </w:rPr>
        <w:t>(l</w:t>
      </w:r>
      <w:r w:rsidR="004205BC" w:rsidRPr="00365328">
        <w:rPr>
          <w:szCs w:val="22"/>
          <w:lang w:val="fr-FR"/>
        </w:rPr>
        <w:t>’</w:t>
      </w:r>
      <w:r w:rsidRPr="00365328">
        <w:rPr>
          <w:szCs w:val="22"/>
          <w:lang w:val="fr-FR"/>
        </w:rPr>
        <w:t>un des résultats les plus élevés parmi les administrations chargées de la recherche internationale et de l</w:t>
      </w:r>
      <w:r w:rsidR="004205BC" w:rsidRPr="00365328">
        <w:rPr>
          <w:szCs w:val="22"/>
          <w:lang w:val="fr-FR"/>
        </w:rPr>
        <w:t>’</w:t>
      </w:r>
      <w:r w:rsidRPr="00365328">
        <w:rPr>
          <w:szCs w:val="22"/>
          <w:lang w:val="fr-FR"/>
        </w:rPr>
        <w:t>examen préliminaire international).</w:t>
      </w:r>
      <w:r w:rsidR="00D202A4" w:rsidRPr="00365328">
        <w:rPr>
          <w:szCs w:val="22"/>
          <w:lang w:val="fr-FR"/>
        </w:rPr>
        <w:t xml:space="preserve"> </w:t>
      </w:r>
      <w:r w:rsidR="008F36ED" w:rsidRPr="00365328">
        <w:rPr>
          <w:szCs w:val="22"/>
          <w:lang w:val="fr-FR"/>
        </w:rPr>
        <w:t xml:space="preserve"> </w:t>
      </w:r>
      <w:r w:rsidRPr="00365328">
        <w:rPr>
          <w:szCs w:val="22"/>
          <w:lang w:val="fr-FR"/>
        </w:rPr>
        <w:t>L</w:t>
      </w:r>
      <w:r w:rsidR="004205BC" w:rsidRPr="00365328">
        <w:rPr>
          <w:szCs w:val="22"/>
          <w:lang w:val="fr-FR"/>
        </w:rPr>
        <w:t>’</w:t>
      </w:r>
      <w:r w:rsidRPr="00365328">
        <w:rPr>
          <w:szCs w:val="22"/>
          <w:lang w:val="fr-FR"/>
        </w:rPr>
        <w:t>administration accepte deux langues</w:t>
      </w:r>
      <w:r w:rsidR="004205BC" w:rsidRPr="00365328">
        <w:rPr>
          <w:szCs w:val="22"/>
          <w:lang w:val="fr-FR"/>
        </w:rPr>
        <w:t> :</w:t>
      </w:r>
      <w:r w:rsidRPr="00365328">
        <w:rPr>
          <w:szCs w:val="22"/>
          <w:lang w:val="fr-FR"/>
        </w:rPr>
        <w:t xml:space="preserve"> </w:t>
      </w:r>
      <w:r w:rsidR="00963B78">
        <w:rPr>
          <w:szCs w:val="22"/>
          <w:lang w:val="fr-FR"/>
        </w:rPr>
        <w:t>l’</w:t>
      </w:r>
      <w:r w:rsidRPr="00365328">
        <w:rPr>
          <w:szCs w:val="22"/>
          <w:lang w:val="fr-FR"/>
        </w:rPr>
        <w:t>anglais et</w:t>
      </w:r>
      <w:r w:rsidR="00963B78">
        <w:rPr>
          <w:szCs w:val="22"/>
          <w:lang w:val="fr-FR"/>
        </w:rPr>
        <w:t xml:space="preserve"> le</w:t>
      </w:r>
      <w:r w:rsidRPr="00365328">
        <w:rPr>
          <w:szCs w:val="22"/>
          <w:lang w:val="fr-FR"/>
        </w:rPr>
        <w:t xml:space="preserve"> rus</w:t>
      </w:r>
      <w:r w:rsidR="00365328" w:rsidRPr="00365328">
        <w:rPr>
          <w:szCs w:val="22"/>
          <w:lang w:val="fr-FR"/>
        </w:rPr>
        <w:t>se.  Le</w:t>
      </w:r>
      <w:r w:rsidR="00F0717D" w:rsidRPr="00365328">
        <w:rPr>
          <w:szCs w:val="22"/>
          <w:lang w:val="fr-FR"/>
        </w:rPr>
        <w:t>s demandes internationales proviennent essentiellement des États</w:t>
      </w:r>
      <w:r w:rsidR="00963B78">
        <w:rPr>
          <w:szCs w:val="22"/>
          <w:lang w:val="fr-FR"/>
        </w:rPr>
        <w:noBreakHyphen/>
      </w:r>
      <w:r w:rsidR="00F0717D" w:rsidRPr="00365328">
        <w:rPr>
          <w:szCs w:val="22"/>
          <w:lang w:val="fr-FR"/>
        </w:rPr>
        <w:t>Unis d</w:t>
      </w:r>
      <w:r w:rsidR="004205BC" w:rsidRPr="00365328">
        <w:rPr>
          <w:szCs w:val="22"/>
          <w:lang w:val="fr-FR"/>
        </w:rPr>
        <w:t>’</w:t>
      </w:r>
      <w:r w:rsidR="00F0717D" w:rsidRPr="00365328">
        <w:rPr>
          <w:szCs w:val="22"/>
          <w:lang w:val="fr-FR"/>
        </w:rPr>
        <w:t>Amériqu</w:t>
      </w:r>
      <w:r w:rsidR="001E0089" w:rsidRPr="00365328">
        <w:rPr>
          <w:szCs w:val="22"/>
          <w:lang w:val="fr-FR"/>
        </w:rPr>
        <w:t>e (en an</w:t>
      </w:r>
      <w:r w:rsidR="00F0717D" w:rsidRPr="00365328">
        <w:rPr>
          <w:szCs w:val="22"/>
          <w:lang w:val="fr-FR"/>
        </w:rPr>
        <w:t>g</w:t>
      </w:r>
      <w:r w:rsidR="001E0089" w:rsidRPr="00365328">
        <w:rPr>
          <w:szCs w:val="22"/>
          <w:lang w:val="fr-FR"/>
        </w:rPr>
        <w:t>l</w:t>
      </w:r>
      <w:r w:rsidR="00F0717D" w:rsidRPr="00365328">
        <w:rPr>
          <w:szCs w:val="22"/>
          <w:lang w:val="fr-FR"/>
        </w:rPr>
        <w:t>ais) et de la Fédération de Russie (en russe).</w:t>
      </w:r>
    </w:p>
    <w:p w:rsidR="00F00552" w:rsidRPr="00365328" w:rsidRDefault="00F00552" w:rsidP="00963B78">
      <w:pPr>
        <w:rPr>
          <w:rFonts w:eastAsia="Calibri"/>
          <w:szCs w:val="22"/>
          <w:lang w:val="fr-FR"/>
        </w:rPr>
      </w:pPr>
    </w:p>
    <w:p w:rsidR="00F00552" w:rsidRPr="00365328" w:rsidRDefault="00F0717D" w:rsidP="00963B78">
      <w:pPr>
        <w:rPr>
          <w:szCs w:val="22"/>
          <w:lang w:val="fr-FR"/>
        </w:rPr>
      </w:pPr>
      <w:r w:rsidRPr="00365328">
        <w:rPr>
          <w:szCs w:val="22"/>
          <w:lang w:val="fr-FR"/>
        </w:rPr>
        <w:t xml:space="preserve">Le nombre total de demandes internationales pour lesquelles les rapports de recherche internationale ont été établis </w:t>
      </w:r>
      <w:r w:rsidR="001E0089" w:rsidRPr="00365328">
        <w:rPr>
          <w:szCs w:val="22"/>
          <w:lang w:val="fr-FR"/>
        </w:rPr>
        <w:t>pendant la période </w:t>
      </w:r>
      <w:r w:rsidRPr="00365328">
        <w:rPr>
          <w:szCs w:val="22"/>
          <w:lang w:val="fr-FR"/>
        </w:rPr>
        <w:t>201</w:t>
      </w:r>
      <w:r w:rsidR="001E0089" w:rsidRPr="00365328">
        <w:rPr>
          <w:szCs w:val="22"/>
          <w:lang w:val="fr-FR"/>
        </w:rPr>
        <w:t>2</w:t>
      </w:r>
      <w:r w:rsidR="004205BC" w:rsidRPr="00365328">
        <w:rPr>
          <w:szCs w:val="22"/>
          <w:lang w:val="fr-FR"/>
        </w:rPr>
        <w:t xml:space="preserve"> – </w:t>
      </w:r>
      <w:r w:rsidRPr="00365328">
        <w:rPr>
          <w:szCs w:val="22"/>
          <w:lang w:val="fr-FR"/>
        </w:rPr>
        <w:t xml:space="preserve">2016 </w:t>
      </w:r>
      <w:r w:rsidR="001E0089" w:rsidRPr="00365328">
        <w:rPr>
          <w:szCs w:val="22"/>
          <w:lang w:val="fr-FR"/>
        </w:rPr>
        <w:t>est indiqué</w:t>
      </w:r>
      <w:r w:rsidRPr="00365328">
        <w:rPr>
          <w:szCs w:val="22"/>
          <w:lang w:val="fr-FR"/>
        </w:rPr>
        <w:t xml:space="preserve"> dans le tableau ci</w:t>
      </w:r>
      <w:r w:rsidR="00963B78">
        <w:rPr>
          <w:szCs w:val="22"/>
          <w:lang w:val="fr-FR"/>
        </w:rPr>
        <w:noBreakHyphen/>
      </w:r>
      <w:r w:rsidRPr="00365328">
        <w:rPr>
          <w:szCs w:val="22"/>
          <w:lang w:val="fr-FR"/>
        </w:rPr>
        <w:t>dessous.</w:t>
      </w:r>
    </w:p>
    <w:p w:rsidR="00D202A4" w:rsidRPr="00365328" w:rsidRDefault="00D202A4" w:rsidP="00963B78">
      <w:pPr>
        <w:jc w:val="cente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134"/>
        <w:gridCol w:w="1134"/>
        <w:gridCol w:w="1134"/>
        <w:gridCol w:w="1134"/>
        <w:gridCol w:w="1099"/>
      </w:tblGrid>
      <w:tr w:rsidR="001E0089" w:rsidRPr="00365328" w:rsidTr="00D202A4">
        <w:tc>
          <w:tcPr>
            <w:tcW w:w="3652"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rPr>
                <w:szCs w:val="22"/>
                <w:lang w:val="fr-FR"/>
              </w:rPr>
            </w:pPr>
            <w:r w:rsidRPr="00365328">
              <w:rPr>
                <w:szCs w:val="22"/>
                <w:lang w:val="fr-FR"/>
              </w:rPr>
              <w:t>Année</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2012</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2013</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2014</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2015</w:t>
            </w:r>
          </w:p>
        </w:tc>
        <w:tc>
          <w:tcPr>
            <w:tcW w:w="1099"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2016</w:t>
            </w:r>
          </w:p>
        </w:tc>
      </w:tr>
      <w:tr w:rsidR="001E0089" w:rsidRPr="00365328" w:rsidTr="00D202A4">
        <w:tc>
          <w:tcPr>
            <w:tcW w:w="3652"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pStyle w:val="t-t-r"/>
              <w:rPr>
                <w:rFonts w:ascii="Arial" w:hAnsi="Arial" w:cs="Arial"/>
                <w:color w:val="auto"/>
                <w:sz w:val="22"/>
                <w:szCs w:val="22"/>
                <w:lang w:val="fr-FR"/>
              </w:rPr>
            </w:pPr>
            <w:r w:rsidRPr="00365328">
              <w:rPr>
                <w:rFonts w:ascii="Arial" w:hAnsi="Arial" w:cs="Arial"/>
                <w:color w:val="auto"/>
                <w:sz w:val="22"/>
                <w:szCs w:val="22"/>
                <w:lang w:val="fr-FR"/>
              </w:rPr>
              <w:t>Nombre de rapports de recherche internationale</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jc w:val="center"/>
              <w:rPr>
                <w:szCs w:val="22"/>
                <w:lang w:val="fr-FR"/>
              </w:rPr>
            </w:pPr>
            <w:r w:rsidRPr="00365328">
              <w:rPr>
                <w:szCs w:val="22"/>
                <w:lang w:val="fr-FR"/>
              </w:rPr>
              <w:t>1 904</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jc w:val="center"/>
              <w:rPr>
                <w:szCs w:val="22"/>
                <w:lang w:val="fr-FR"/>
              </w:rPr>
            </w:pPr>
            <w:r w:rsidRPr="00365328">
              <w:rPr>
                <w:szCs w:val="22"/>
                <w:lang w:val="fr-FR"/>
              </w:rPr>
              <w:t>2 980</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jc w:val="center"/>
              <w:rPr>
                <w:szCs w:val="22"/>
                <w:lang w:val="fr-FR"/>
              </w:rPr>
            </w:pPr>
            <w:r w:rsidRPr="00365328">
              <w:rPr>
                <w:szCs w:val="22"/>
                <w:lang w:val="fr-FR"/>
              </w:rPr>
              <w:t>3 006</w:t>
            </w:r>
          </w:p>
        </w:tc>
        <w:tc>
          <w:tcPr>
            <w:tcW w:w="1134"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jc w:val="center"/>
              <w:rPr>
                <w:szCs w:val="22"/>
                <w:lang w:val="fr-FR"/>
              </w:rPr>
            </w:pPr>
            <w:r w:rsidRPr="00365328">
              <w:rPr>
                <w:szCs w:val="22"/>
                <w:lang w:val="fr-FR"/>
              </w:rPr>
              <w:t>2 447</w:t>
            </w:r>
          </w:p>
        </w:tc>
        <w:tc>
          <w:tcPr>
            <w:tcW w:w="1099" w:type="dxa"/>
            <w:tcBorders>
              <w:top w:val="single" w:sz="4" w:space="0" w:color="auto"/>
              <w:left w:val="single" w:sz="4" w:space="0" w:color="auto"/>
              <w:bottom w:val="single" w:sz="4" w:space="0" w:color="auto"/>
              <w:right w:val="single" w:sz="4" w:space="0" w:color="auto"/>
            </w:tcBorders>
            <w:hideMark/>
          </w:tcPr>
          <w:p w:rsidR="00D202A4" w:rsidRPr="00365328" w:rsidRDefault="00F0717D" w:rsidP="00963B78">
            <w:pPr>
              <w:jc w:val="center"/>
              <w:rPr>
                <w:szCs w:val="22"/>
                <w:lang w:val="fr-FR"/>
              </w:rPr>
            </w:pPr>
            <w:r w:rsidRPr="00365328">
              <w:rPr>
                <w:szCs w:val="22"/>
                <w:lang w:val="fr-FR"/>
              </w:rPr>
              <w:t>2 903</w:t>
            </w:r>
          </w:p>
        </w:tc>
      </w:tr>
    </w:tbl>
    <w:p w:rsidR="00F00552" w:rsidRPr="00365328" w:rsidRDefault="00E5482A" w:rsidP="00963B78">
      <w:pPr>
        <w:pStyle w:val="SectionHeading"/>
        <w:rPr>
          <w:lang w:val="fr-FR"/>
        </w:rPr>
      </w:pPr>
      <w:r w:rsidRPr="00365328">
        <w:rPr>
          <w:lang w:val="fr-FR"/>
        </w:rPr>
        <w:t xml:space="preserve">5 – </w:t>
      </w:r>
      <w:r w:rsidR="00365328" w:rsidRPr="00365328">
        <w:rPr>
          <w:color w:val="000000"/>
          <w:lang w:val="fr-FR"/>
        </w:rPr>
        <w:t>É</w:t>
      </w:r>
      <w:r w:rsidR="001954E5" w:rsidRPr="00365328">
        <w:rPr>
          <w:color w:val="000000"/>
          <w:lang w:val="fr-FR"/>
        </w:rPr>
        <w:t>tat candidat</w:t>
      </w:r>
    </w:p>
    <w:p w:rsidR="00F00552" w:rsidRPr="00365328" w:rsidRDefault="00F0717D" w:rsidP="00963B78">
      <w:pPr>
        <w:rPr>
          <w:lang w:val="fr-FR"/>
        </w:rPr>
      </w:pPr>
      <w:r w:rsidRPr="00365328">
        <w:rPr>
          <w:lang w:val="fr-FR"/>
        </w:rPr>
        <w:t>Fédération de Russie</w:t>
      </w:r>
    </w:p>
    <w:p w:rsidR="00F00552" w:rsidRPr="00365328" w:rsidRDefault="00F00552" w:rsidP="00963B78">
      <w:pPr>
        <w:rPr>
          <w:lang w:val="fr-FR"/>
        </w:rPr>
      </w:pPr>
    </w:p>
    <w:p w:rsidR="00F00552" w:rsidRPr="00365328" w:rsidRDefault="00D202A4" w:rsidP="00963B78">
      <w:pPr>
        <w:rPr>
          <w:szCs w:val="22"/>
          <w:lang w:val="fr-FR"/>
        </w:rPr>
      </w:pPr>
      <w:r w:rsidRPr="00365328">
        <w:rPr>
          <w:b/>
          <w:bCs/>
          <w:szCs w:val="22"/>
          <w:lang w:val="fr-FR"/>
        </w:rPr>
        <w:t>Population</w:t>
      </w:r>
      <w:r w:rsidR="004205BC" w:rsidRPr="00365328">
        <w:rPr>
          <w:b/>
          <w:bCs/>
          <w:szCs w:val="22"/>
          <w:lang w:val="fr-FR"/>
        </w:rPr>
        <w:t> :</w:t>
      </w:r>
    </w:p>
    <w:p w:rsidR="00F00552" w:rsidRPr="00365328" w:rsidRDefault="00F0717D" w:rsidP="00963B78">
      <w:pPr>
        <w:rPr>
          <w:rStyle w:val="Strong"/>
          <w:b w:val="0"/>
          <w:szCs w:val="22"/>
          <w:lang w:val="fr-FR"/>
        </w:rPr>
      </w:pPr>
      <w:r w:rsidRPr="00365328">
        <w:rPr>
          <w:rStyle w:val="Strong"/>
          <w:b w:val="0"/>
          <w:color w:val="000000"/>
          <w:szCs w:val="22"/>
          <w:lang w:val="fr-FR"/>
        </w:rPr>
        <w:t>146 838 993 (en 2016)</w:t>
      </w:r>
    </w:p>
    <w:p w:rsidR="00F00552" w:rsidRPr="00365328" w:rsidRDefault="00F00552" w:rsidP="00963B78">
      <w:pPr>
        <w:rPr>
          <w:szCs w:val="22"/>
          <w:lang w:val="fr-FR"/>
        </w:rPr>
      </w:pPr>
    </w:p>
    <w:p w:rsidR="004205BC" w:rsidRPr="00365328" w:rsidRDefault="001954E5" w:rsidP="00963B78">
      <w:pPr>
        <w:rPr>
          <w:b/>
          <w:bCs/>
          <w:szCs w:val="22"/>
          <w:lang w:val="fr-FR"/>
        </w:rPr>
      </w:pPr>
      <w:r w:rsidRPr="00365328">
        <w:rPr>
          <w:b/>
          <w:bCs/>
          <w:szCs w:val="22"/>
          <w:lang w:val="fr-FR"/>
        </w:rPr>
        <w:t>PIB par habitant</w:t>
      </w:r>
      <w:r w:rsidR="004205BC" w:rsidRPr="00365328">
        <w:rPr>
          <w:b/>
          <w:bCs/>
          <w:szCs w:val="22"/>
          <w:lang w:val="fr-FR"/>
        </w:rPr>
        <w:t> :</w:t>
      </w:r>
    </w:p>
    <w:p w:rsidR="00F00552" w:rsidRPr="00365328" w:rsidRDefault="00F0717D" w:rsidP="00963B78">
      <w:pPr>
        <w:rPr>
          <w:rStyle w:val="Strong"/>
          <w:b w:val="0"/>
          <w:szCs w:val="22"/>
          <w:lang w:val="fr-FR"/>
        </w:rPr>
      </w:pPr>
      <w:r w:rsidRPr="00365328">
        <w:rPr>
          <w:rStyle w:val="Strong"/>
          <w:b w:val="0"/>
          <w:szCs w:val="22"/>
          <w:lang w:val="fr-FR"/>
        </w:rPr>
        <w:t>8058,2</w:t>
      </w:r>
      <w:r w:rsidR="004205BC" w:rsidRPr="00365328">
        <w:rPr>
          <w:rStyle w:val="Strong"/>
          <w:b w:val="0"/>
          <w:szCs w:val="22"/>
          <w:lang w:val="fr-FR"/>
        </w:rPr>
        <w:t>6 dollar</w:t>
      </w:r>
      <w:r w:rsidR="001E0089" w:rsidRPr="00365328">
        <w:rPr>
          <w:rStyle w:val="Strong"/>
          <w:b w:val="0"/>
          <w:szCs w:val="22"/>
          <w:lang w:val="fr-FR"/>
        </w:rPr>
        <w:t>s</w:t>
      </w:r>
      <w:r w:rsidR="00A7304E" w:rsidRPr="00365328">
        <w:rPr>
          <w:rStyle w:val="Strong"/>
          <w:b w:val="0"/>
          <w:szCs w:val="22"/>
          <w:lang w:val="fr-FR"/>
        </w:rPr>
        <w:t> </w:t>
      </w:r>
      <w:r w:rsidRPr="00365328">
        <w:rPr>
          <w:rStyle w:val="Strong"/>
          <w:b w:val="0"/>
          <w:szCs w:val="22"/>
          <w:lang w:val="fr-FR"/>
        </w:rPr>
        <w:t>É.</w:t>
      </w:r>
      <w:r w:rsidR="00963B78">
        <w:rPr>
          <w:rStyle w:val="Strong"/>
          <w:b w:val="0"/>
          <w:szCs w:val="22"/>
          <w:lang w:val="fr-FR"/>
        </w:rPr>
        <w:noBreakHyphen/>
      </w:r>
      <w:r w:rsidRPr="00365328">
        <w:rPr>
          <w:rStyle w:val="Strong"/>
          <w:b w:val="0"/>
          <w:szCs w:val="22"/>
          <w:lang w:val="fr-FR"/>
        </w:rPr>
        <w:t>U.</w:t>
      </w:r>
      <w:r w:rsidR="00A7304E" w:rsidRPr="00365328">
        <w:rPr>
          <w:rStyle w:val="Strong"/>
          <w:b w:val="0"/>
          <w:szCs w:val="22"/>
          <w:lang w:val="fr-FR"/>
        </w:rPr>
        <w:t> </w:t>
      </w:r>
      <w:r w:rsidRPr="00365328">
        <w:rPr>
          <w:rStyle w:val="Strong"/>
          <w:b w:val="0"/>
          <w:szCs w:val="22"/>
          <w:lang w:val="fr-FR"/>
        </w:rPr>
        <w:t xml:space="preserve">(en 2016); </w:t>
      </w:r>
      <w:r w:rsidR="00A7304E" w:rsidRPr="00365328">
        <w:rPr>
          <w:rStyle w:val="Strong"/>
          <w:b w:val="0"/>
          <w:szCs w:val="22"/>
          <w:lang w:val="fr-FR"/>
        </w:rPr>
        <w:t xml:space="preserve"> </w:t>
      </w:r>
      <w:r w:rsidRPr="00365328">
        <w:rPr>
          <w:rStyle w:val="Strong"/>
          <w:b w:val="0"/>
          <w:szCs w:val="22"/>
          <w:lang w:val="fr-FR"/>
        </w:rPr>
        <w:t>8447,4</w:t>
      </w:r>
      <w:r w:rsidR="004205BC" w:rsidRPr="00365328">
        <w:rPr>
          <w:rStyle w:val="Strong"/>
          <w:b w:val="0"/>
          <w:szCs w:val="22"/>
          <w:lang w:val="fr-FR"/>
        </w:rPr>
        <w:t>2 dollar</w:t>
      </w:r>
      <w:r w:rsidR="001E0089" w:rsidRPr="00365328">
        <w:rPr>
          <w:rStyle w:val="Strong"/>
          <w:b w:val="0"/>
          <w:szCs w:val="22"/>
          <w:lang w:val="fr-FR"/>
        </w:rPr>
        <w:t>s</w:t>
      </w:r>
      <w:r w:rsidR="00A7304E" w:rsidRPr="00365328">
        <w:rPr>
          <w:rStyle w:val="Strong"/>
          <w:b w:val="0"/>
          <w:szCs w:val="22"/>
          <w:lang w:val="fr-FR"/>
        </w:rPr>
        <w:t> </w:t>
      </w:r>
      <w:r w:rsidRPr="00365328">
        <w:rPr>
          <w:rStyle w:val="Strong"/>
          <w:b w:val="0"/>
          <w:szCs w:val="22"/>
          <w:lang w:val="fr-FR"/>
        </w:rPr>
        <w:t>É.</w:t>
      </w:r>
      <w:r w:rsidR="00963B78">
        <w:rPr>
          <w:rStyle w:val="Strong"/>
          <w:b w:val="0"/>
          <w:szCs w:val="22"/>
          <w:lang w:val="fr-FR"/>
        </w:rPr>
        <w:noBreakHyphen/>
      </w:r>
      <w:r w:rsidRPr="00365328">
        <w:rPr>
          <w:rStyle w:val="Strong"/>
          <w:b w:val="0"/>
          <w:szCs w:val="22"/>
          <w:lang w:val="fr-FR"/>
        </w:rPr>
        <w:t>U.</w:t>
      </w:r>
      <w:r w:rsidR="00A7304E" w:rsidRPr="00365328">
        <w:rPr>
          <w:rStyle w:val="Strong"/>
          <w:b w:val="0"/>
          <w:szCs w:val="22"/>
          <w:lang w:val="fr-FR"/>
        </w:rPr>
        <w:t> </w:t>
      </w:r>
      <w:r w:rsidRPr="00365328">
        <w:rPr>
          <w:rStyle w:val="Strong"/>
          <w:b w:val="0"/>
          <w:szCs w:val="22"/>
          <w:lang w:val="fr-FR"/>
        </w:rPr>
        <w:t>(en 2015)</w:t>
      </w:r>
    </w:p>
    <w:p w:rsidR="00F00552" w:rsidRPr="00365328" w:rsidRDefault="00F00552" w:rsidP="00963B78">
      <w:pPr>
        <w:rPr>
          <w:szCs w:val="22"/>
          <w:lang w:val="fr-FR"/>
        </w:rPr>
      </w:pPr>
    </w:p>
    <w:p w:rsidR="004205BC" w:rsidRPr="00365328" w:rsidRDefault="001954E5" w:rsidP="00963B78">
      <w:pPr>
        <w:keepNext/>
        <w:keepLines/>
        <w:rPr>
          <w:b/>
          <w:szCs w:val="22"/>
          <w:lang w:val="fr-FR"/>
        </w:rPr>
      </w:pPr>
      <w:r w:rsidRPr="00365328">
        <w:rPr>
          <w:b/>
          <w:szCs w:val="22"/>
          <w:lang w:val="fr-FR"/>
        </w:rPr>
        <w:t>Estimation des dépenses nationales en recherche</w:t>
      </w:r>
      <w:r w:rsidR="00963B78">
        <w:rPr>
          <w:b/>
          <w:szCs w:val="22"/>
          <w:lang w:val="fr-FR"/>
        </w:rPr>
        <w:noBreakHyphen/>
      </w:r>
      <w:r w:rsidRPr="00365328">
        <w:rPr>
          <w:b/>
          <w:szCs w:val="22"/>
          <w:lang w:val="fr-FR"/>
        </w:rPr>
        <w:t>développement (pourcentage du PIB)</w:t>
      </w:r>
      <w:r w:rsidR="004205BC" w:rsidRPr="00365328">
        <w:rPr>
          <w:b/>
          <w:szCs w:val="22"/>
          <w:lang w:val="fr-FR"/>
        </w:rPr>
        <w:t> :</w:t>
      </w:r>
    </w:p>
    <w:p w:rsidR="00F00552" w:rsidRPr="00365328" w:rsidRDefault="00F0717D" w:rsidP="00963B78">
      <w:pPr>
        <w:keepNext/>
        <w:keepLines/>
        <w:rPr>
          <w:bCs/>
          <w:szCs w:val="22"/>
          <w:lang w:val="fr-FR"/>
        </w:rPr>
      </w:pPr>
      <w:r w:rsidRPr="00365328">
        <w:rPr>
          <w:bCs/>
          <w:color w:val="000000"/>
          <w:szCs w:val="22"/>
          <w:lang w:val="fr-FR"/>
        </w:rPr>
        <w:t>0,54 (en 2015)</w:t>
      </w:r>
    </w:p>
    <w:p w:rsidR="00F00552" w:rsidRPr="00365328" w:rsidRDefault="00F00552" w:rsidP="00963B78">
      <w:pPr>
        <w:rPr>
          <w:szCs w:val="22"/>
          <w:lang w:val="fr-FR"/>
        </w:rPr>
      </w:pPr>
    </w:p>
    <w:p w:rsidR="004205BC" w:rsidRPr="00365328" w:rsidRDefault="001954E5" w:rsidP="00963B78">
      <w:pPr>
        <w:rPr>
          <w:b/>
          <w:bCs/>
          <w:szCs w:val="22"/>
          <w:lang w:val="fr-FR"/>
        </w:rPr>
      </w:pPr>
      <w:r w:rsidRPr="00365328">
        <w:rPr>
          <w:b/>
          <w:bCs/>
          <w:szCs w:val="22"/>
          <w:lang w:val="fr-FR"/>
        </w:rPr>
        <w:t>Nombre d</w:t>
      </w:r>
      <w:r w:rsidR="004205BC" w:rsidRPr="00365328">
        <w:rPr>
          <w:b/>
          <w:bCs/>
          <w:szCs w:val="22"/>
          <w:lang w:val="fr-FR"/>
        </w:rPr>
        <w:t>’</w:t>
      </w:r>
      <w:r w:rsidRPr="00365328">
        <w:rPr>
          <w:b/>
          <w:bCs/>
          <w:szCs w:val="22"/>
          <w:lang w:val="fr-FR"/>
        </w:rPr>
        <w:t>instituts universitaires de recherche</w:t>
      </w:r>
      <w:r w:rsidR="004205BC" w:rsidRPr="00365328">
        <w:rPr>
          <w:b/>
          <w:bCs/>
          <w:szCs w:val="22"/>
          <w:lang w:val="fr-FR"/>
        </w:rPr>
        <w:t> :</w:t>
      </w:r>
    </w:p>
    <w:p w:rsidR="004205BC" w:rsidRPr="00365328" w:rsidRDefault="00F0717D" w:rsidP="00963B78">
      <w:pPr>
        <w:rPr>
          <w:bCs/>
          <w:szCs w:val="22"/>
          <w:lang w:val="fr-FR"/>
        </w:rPr>
      </w:pPr>
      <w:r w:rsidRPr="00365328">
        <w:rPr>
          <w:bCs/>
          <w:color w:val="000000"/>
          <w:szCs w:val="22"/>
          <w:lang w:val="fr-FR"/>
        </w:rPr>
        <w:t>1 040</w:t>
      </w:r>
    </w:p>
    <w:p w:rsidR="00F00552" w:rsidRPr="00365328" w:rsidRDefault="00F00552" w:rsidP="00963B78">
      <w:pPr>
        <w:rPr>
          <w:szCs w:val="22"/>
          <w:lang w:val="fr-FR"/>
        </w:rPr>
      </w:pPr>
    </w:p>
    <w:p w:rsidR="004205BC" w:rsidRPr="00365328" w:rsidRDefault="001954E5" w:rsidP="00963B78">
      <w:pPr>
        <w:rPr>
          <w:b/>
          <w:bCs/>
          <w:szCs w:val="22"/>
          <w:lang w:val="fr-FR"/>
        </w:rPr>
      </w:pPr>
      <w:r w:rsidRPr="00365328">
        <w:rPr>
          <w:b/>
          <w:bCs/>
          <w:szCs w:val="22"/>
          <w:lang w:val="fr-FR"/>
        </w:rPr>
        <w:t xml:space="preserve">Présentation du réseau national </w:t>
      </w:r>
      <w:r w:rsidRPr="00365328">
        <w:rPr>
          <w:rStyle w:val="st1"/>
          <w:b/>
          <w:lang w:val="fr-FR"/>
        </w:rPr>
        <w:t>de centres</w:t>
      </w:r>
      <w:r w:rsidRPr="00365328">
        <w:rPr>
          <w:b/>
          <w:bCs/>
          <w:szCs w:val="22"/>
          <w:lang w:val="fr-FR"/>
        </w:rPr>
        <w:t xml:space="preserve"> d</w:t>
      </w:r>
      <w:r w:rsidR="004205BC" w:rsidRPr="00365328">
        <w:rPr>
          <w:b/>
          <w:bCs/>
          <w:szCs w:val="22"/>
          <w:lang w:val="fr-FR"/>
        </w:rPr>
        <w:t>’</w:t>
      </w:r>
      <w:r w:rsidRPr="00365328">
        <w:rPr>
          <w:b/>
          <w:bCs/>
          <w:szCs w:val="22"/>
          <w:lang w:val="fr-FR"/>
        </w:rPr>
        <w:t>information en matière de brevets (par exemple, bibliothèques de brevets et centres d</w:t>
      </w:r>
      <w:r w:rsidR="004205BC" w:rsidRPr="00365328">
        <w:rPr>
          <w:b/>
          <w:bCs/>
          <w:szCs w:val="22"/>
          <w:lang w:val="fr-FR"/>
        </w:rPr>
        <w:t>’</w:t>
      </w:r>
      <w:r w:rsidRPr="00365328">
        <w:rPr>
          <w:b/>
          <w:bCs/>
          <w:szCs w:val="22"/>
          <w:lang w:val="fr-FR"/>
        </w:rPr>
        <w:t>appui à la technologie et à l</w:t>
      </w:r>
      <w:r w:rsidR="004205BC" w:rsidRPr="00365328">
        <w:rPr>
          <w:b/>
          <w:bCs/>
          <w:szCs w:val="22"/>
          <w:lang w:val="fr-FR"/>
        </w:rPr>
        <w:t>’</w:t>
      </w:r>
      <w:r w:rsidRPr="00365328">
        <w:rPr>
          <w:b/>
          <w:bCs/>
          <w:szCs w:val="22"/>
          <w:lang w:val="fr-FR"/>
        </w:rPr>
        <w:t>innovation)</w:t>
      </w:r>
      <w:r w:rsidR="004205BC" w:rsidRPr="00365328">
        <w:rPr>
          <w:b/>
          <w:bCs/>
          <w:szCs w:val="22"/>
          <w:lang w:val="fr-FR"/>
        </w:rPr>
        <w:t> :</w:t>
      </w:r>
    </w:p>
    <w:p w:rsidR="00F00552" w:rsidRPr="00365328" w:rsidRDefault="00F00552" w:rsidP="00963B78">
      <w:pPr>
        <w:keepNext/>
        <w:rPr>
          <w:b/>
          <w:bCs/>
          <w:szCs w:val="22"/>
          <w:lang w:val="fr-FR"/>
        </w:rPr>
      </w:pPr>
    </w:p>
    <w:p w:rsidR="00F00552" w:rsidRPr="00365328" w:rsidRDefault="001E0089" w:rsidP="00963B78">
      <w:pPr>
        <w:keepNext/>
        <w:rPr>
          <w:bCs/>
          <w:szCs w:val="22"/>
          <w:lang w:val="fr-FR"/>
        </w:rPr>
      </w:pPr>
      <w:r w:rsidRPr="00365328">
        <w:rPr>
          <w:bCs/>
          <w:szCs w:val="22"/>
          <w:lang w:val="fr-FR"/>
        </w:rPr>
        <w:t>À</w:t>
      </w:r>
      <w:r w:rsidR="00F0717D" w:rsidRPr="00365328">
        <w:rPr>
          <w:bCs/>
          <w:szCs w:val="22"/>
          <w:lang w:val="fr-FR"/>
        </w:rPr>
        <w:t xml:space="preserve"> la fin de l</w:t>
      </w:r>
      <w:r w:rsidR="004205BC" w:rsidRPr="00365328">
        <w:rPr>
          <w:bCs/>
          <w:szCs w:val="22"/>
          <w:lang w:val="fr-FR"/>
        </w:rPr>
        <w:t>’</w:t>
      </w:r>
      <w:r w:rsidR="00365328" w:rsidRPr="00365328">
        <w:rPr>
          <w:bCs/>
          <w:szCs w:val="22"/>
          <w:lang w:val="fr-FR"/>
        </w:rPr>
        <w:t xml:space="preserve">année 2016, </w:t>
      </w:r>
      <w:r w:rsidR="00963B78">
        <w:rPr>
          <w:bCs/>
          <w:szCs w:val="22"/>
          <w:lang w:val="fr-FR"/>
        </w:rPr>
        <w:t xml:space="preserve">on comptait </w:t>
      </w:r>
      <w:r w:rsidR="00365328" w:rsidRPr="00365328">
        <w:rPr>
          <w:bCs/>
          <w:szCs w:val="22"/>
          <w:lang w:val="fr-FR"/>
        </w:rPr>
        <w:t>140 </w:t>
      </w:r>
      <w:r w:rsidR="00F0717D" w:rsidRPr="00365328">
        <w:rPr>
          <w:bCs/>
          <w:szCs w:val="22"/>
          <w:lang w:val="fr-FR"/>
        </w:rPr>
        <w:t>centres d</w:t>
      </w:r>
      <w:r w:rsidR="004205BC" w:rsidRPr="00365328">
        <w:rPr>
          <w:bCs/>
          <w:szCs w:val="22"/>
          <w:lang w:val="fr-FR"/>
        </w:rPr>
        <w:t>’</w:t>
      </w:r>
      <w:r w:rsidR="00F0717D" w:rsidRPr="00365328">
        <w:rPr>
          <w:bCs/>
          <w:szCs w:val="22"/>
          <w:lang w:val="fr-FR"/>
        </w:rPr>
        <w:t>appui à la technologie et à l</w:t>
      </w:r>
      <w:r w:rsidR="004205BC" w:rsidRPr="00365328">
        <w:rPr>
          <w:bCs/>
          <w:szCs w:val="22"/>
          <w:lang w:val="fr-FR"/>
        </w:rPr>
        <w:t>’</w:t>
      </w:r>
      <w:r w:rsidR="00F0717D" w:rsidRPr="00365328">
        <w:rPr>
          <w:bCs/>
          <w:szCs w:val="22"/>
          <w:lang w:val="fr-FR"/>
        </w:rPr>
        <w:t>innovation</w:t>
      </w:r>
      <w:r w:rsidR="00FA2CF8" w:rsidRPr="00365328">
        <w:rPr>
          <w:bCs/>
          <w:szCs w:val="22"/>
          <w:lang w:val="fr-FR"/>
        </w:rPr>
        <w:t xml:space="preserve"> </w:t>
      </w:r>
      <w:r w:rsidR="00F0717D" w:rsidRPr="00365328">
        <w:rPr>
          <w:bCs/>
          <w:szCs w:val="22"/>
          <w:lang w:val="fr-FR"/>
        </w:rPr>
        <w:t>dans 65 r</w:t>
      </w:r>
      <w:r w:rsidR="00B66A86" w:rsidRPr="00365328">
        <w:rPr>
          <w:bCs/>
          <w:szCs w:val="22"/>
          <w:lang w:val="fr-FR"/>
        </w:rPr>
        <w:t>é</w:t>
      </w:r>
      <w:r w:rsidR="00F0717D" w:rsidRPr="00365328">
        <w:rPr>
          <w:bCs/>
          <w:szCs w:val="22"/>
          <w:lang w:val="fr-FR"/>
        </w:rPr>
        <w:t>gions de la Fédération de Russie.</w:t>
      </w:r>
    </w:p>
    <w:p w:rsidR="00F00552" w:rsidRPr="00365328" w:rsidRDefault="00F00552" w:rsidP="00963B78">
      <w:pPr>
        <w:rPr>
          <w:b/>
          <w:bCs/>
          <w:szCs w:val="22"/>
          <w:lang w:val="fr-FR"/>
        </w:rPr>
      </w:pPr>
    </w:p>
    <w:p w:rsidR="004205BC" w:rsidRPr="00365328" w:rsidRDefault="001954E5" w:rsidP="00963B78">
      <w:pPr>
        <w:rPr>
          <w:b/>
          <w:szCs w:val="22"/>
          <w:lang w:val="fr-FR"/>
        </w:rPr>
      </w:pPr>
      <w:r w:rsidRPr="00365328">
        <w:rPr>
          <w:b/>
          <w:szCs w:val="22"/>
          <w:lang w:val="fr-FR"/>
        </w:rPr>
        <w:t>Principales industries locales</w:t>
      </w:r>
      <w:r w:rsidR="004205BC" w:rsidRPr="00365328">
        <w:rPr>
          <w:b/>
          <w:szCs w:val="22"/>
          <w:lang w:val="fr-FR"/>
        </w:rPr>
        <w:t> :</w:t>
      </w:r>
    </w:p>
    <w:p w:rsidR="00F00552" w:rsidRPr="00365328" w:rsidRDefault="00F00552" w:rsidP="00963B78">
      <w:pPr>
        <w:rPr>
          <w:b/>
          <w:bCs/>
          <w:szCs w:val="22"/>
          <w:lang w:val="fr-FR"/>
        </w:rPr>
      </w:pPr>
    </w:p>
    <w:p w:rsidR="00F00552" w:rsidRPr="00365328" w:rsidRDefault="001E0089" w:rsidP="00963B78">
      <w:pPr>
        <w:rPr>
          <w:szCs w:val="22"/>
          <w:lang w:val="fr-FR"/>
        </w:rPr>
      </w:pPr>
      <w:r w:rsidRPr="00365328">
        <w:rPr>
          <w:szCs w:val="22"/>
          <w:lang w:val="fr-FR"/>
        </w:rPr>
        <w:t>Actuellement, le secteur industriel russe regroupe les secteurs suivants</w:t>
      </w:r>
      <w:r w:rsidR="004205BC" w:rsidRPr="00365328">
        <w:rPr>
          <w:szCs w:val="22"/>
          <w:lang w:val="fr-FR"/>
        </w:rPr>
        <w:t> :</w:t>
      </w:r>
      <w:r w:rsidRPr="00365328">
        <w:rPr>
          <w:szCs w:val="22"/>
          <w:lang w:val="fr-FR"/>
        </w:rPr>
        <w:t xml:space="preserve"> industrie pétrolière et gazière, extraction et traitement de pierres précieuses et métaux, aéronautique, production de fusées et engins spa</w:t>
      </w:r>
      <w:r w:rsidR="00E430DC" w:rsidRPr="00365328">
        <w:rPr>
          <w:szCs w:val="22"/>
          <w:lang w:val="fr-FR"/>
        </w:rPr>
        <w:t>t</w:t>
      </w:r>
      <w:r w:rsidRPr="00365328">
        <w:rPr>
          <w:szCs w:val="22"/>
          <w:lang w:val="fr-FR"/>
        </w:rPr>
        <w:t>iaux, industrie nucléaire, production d</w:t>
      </w:r>
      <w:r w:rsidR="004205BC" w:rsidRPr="00365328">
        <w:rPr>
          <w:szCs w:val="22"/>
          <w:lang w:val="fr-FR"/>
        </w:rPr>
        <w:t>’</w:t>
      </w:r>
      <w:r w:rsidRPr="00365328">
        <w:rPr>
          <w:szCs w:val="22"/>
          <w:lang w:val="fr-FR"/>
        </w:rPr>
        <w:t>armes et d</w:t>
      </w:r>
      <w:r w:rsidR="004205BC" w:rsidRPr="00365328">
        <w:rPr>
          <w:szCs w:val="22"/>
          <w:lang w:val="fr-FR"/>
        </w:rPr>
        <w:t>’</w:t>
      </w:r>
      <w:r w:rsidRPr="00365328">
        <w:rPr>
          <w:szCs w:val="22"/>
          <w:lang w:val="fr-FR"/>
        </w:rPr>
        <w:t>équipements militaires, technologie électrique, fabrication de papier et de carton, industrie automobile, transport, engins routiers et machines agricoles, secteur de la consommation, industrie alimentaire, construction de machines, industrie chimique et pétrochimie, carburants et production énergétique, métallurgie, agriculture.</w:t>
      </w:r>
    </w:p>
    <w:p w:rsidR="00F00552" w:rsidRPr="00365328" w:rsidRDefault="00F00552" w:rsidP="00963B78">
      <w:pPr>
        <w:rPr>
          <w:szCs w:val="22"/>
          <w:lang w:val="fr-FR"/>
        </w:rPr>
      </w:pPr>
    </w:p>
    <w:p w:rsidR="004205BC" w:rsidRPr="00365328" w:rsidRDefault="001954E5" w:rsidP="00963B78">
      <w:pPr>
        <w:rPr>
          <w:b/>
          <w:szCs w:val="22"/>
          <w:lang w:val="fr-FR"/>
        </w:rPr>
      </w:pPr>
      <w:r w:rsidRPr="00365328">
        <w:rPr>
          <w:b/>
          <w:szCs w:val="22"/>
          <w:lang w:val="fr-FR"/>
        </w:rPr>
        <w:t>Principaux partenaires commerciaux</w:t>
      </w:r>
      <w:r w:rsidR="004205BC" w:rsidRPr="00365328">
        <w:rPr>
          <w:b/>
          <w:szCs w:val="22"/>
          <w:lang w:val="fr-FR"/>
        </w:rPr>
        <w:t> :</w:t>
      </w:r>
    </w:p>
    <w:p w:rsidR="00F00552" w:rsidRPr="00365328" w:rsidRDefault="00F00552" w:rsidP="00963B78">
      <w:pPr>
        <w:rPr>
          <w:b/>
          <w:bCs/>
          <w:szCs w:val="22"/>
          <w:highlight w:val="cyan"/>
          <w:lang w:val="fr-FR"/>
        </w:rPr>
      </w:pPr>
    </w:p>
    <w:p w:rsidR="00F00552" w:rsidRPr="00365328" w:rsidRDefault="001E0089" w:rsidP="00963B78">
      <w:pPr>
        <w:rPr>
          <w:bCs/>
          <w:szCs w:val="22"/>
          <w:lang w:val="fr-FR"/>
        </w:rPr>
      </w:pPr>
      <w:r w:rsidRPr="00365328">
        <w:rPr>
          <w:bCs/>
          <w:szCs w:val="22"/>
          <w:lang w:val="fr-FR"/>
        </w:rPr>
        <w:t>Depuis le 22 août 2013, la Fédération de Russie est membre de l</w:t>
      </w:r>
      <w:r w:rsidR="004205BC" w:rsidRPr="00365328">
        <w:rPr>
          <w:bCs/>
          <w:szCs w:val="22"/>
          <w:lang w:val="fr-FR"/>
        </w:rPr>
        <w:t>’</w:t>
      </w:r>
      <w:r w:rsidRPr="00365328">
        <w:rPr>
          <w:bCs/>
          <w:szCs w:val="22"/>
          <w:lang w:val="fr-FR"/>
        </w:rPr>
        <w:t>Organisation mondiale du commer</w:t>
      </w:r>
      <w:r w:rsidR="00365328" w:rsidRPr="00365328">
        <w:rPr>
          <w:bCs/>
          <w:szCs w:val="22"/>
          <w:lang w:val="fr-FR"/>
        </w:rPr>
        <w:t>ce.  La</w:t>
      </w:r>
      <w:r w:rsidR="00F00552" w:rsidRPr="00365328">
        <w:rPr>
          <w:bCs/>
          <w:szCs w:val="22"/>
          <w:lang w:val="fr-FR"/>
        </w:rPr>
        <w:t xml:space="preserve"> Fédération de Russie est également membre de l</w:t>
      </w:r>
      <w:r w:rsidR="004205BC" w:rsidRPr="00365328">
        <w:rPr>
          <w:bCs/>
          <w:szCs w:val="22"/>
          <w:lang w:val="fr-FR"/>
        </w:rPr>
        <w:t>’</w:t>
      </w:r>
      <w:r w:rsidR="00F00552" w:rsidRPr="00365328">
        <w:rPr>
          <w:bCs/>
          <w:szCs w:val="22"/>
          <w:lang w:val="fr-FR"/>
        </w:rPr>
        <w:t>accord de libre</w:t>
      </w:r>
      <w:r w:rsidR="00963B78">
        <w:rPr>
          <w:bCs/>
          <w:szCs w:val="22"/>
          <w:lang w:val="fr-FR"/>
        </w:rPr>
        <w:noBreakHyphen/>
      </w:r>
      <w:r w:rsidR="00F00552" w:rsidRPr="00365328">
        <w:rPr>
          <w:bCs/>
          <w:szCs w:val="22"/>
          <w:lang w:val="fr-FR"/>
        </w:rPr>
        <w:t>échange de la CEI, de l</w:t>
      </w:r>
      <w:r w:rsidR="004205BC" w:rsidRPr="00365328">
        <w:rPr>
          <w:bCs/>
          <w:szCs w:val="22"/>
          <w:lang w:val="fr-FR"/>
        </w:rPr>
        <w:t>’</w:t>
      </w:r>
      <w:r w:rsidR="00F00552" w:rsidRPr="00365328">
        <w:rPr>
          <w:bCs/>
          <w:szCs w:val="22"/>
          <w:lang w:val="fr-FR"/>
        </w:rPr>
        <w:t>Union douanière de l</w:t>
      </w:r>
      <w:r w:rsidR="004205BC" w:rsidRPr="00365328">
        <w:rPr>
          <w:bCs/>
          <w:szCs w:val="22"/>
          <w:lang w:val="fr-FR"/>
        </w:rPr>
        <w:t>’</w:t>
      </w:r>
      <w:r w:rsidR="00F00552" w:rsidRPr="00365328">
        <w:rPr>
          <w:bCs/>
          <w:szCs w:val="22"/>
          <w:lang w:val="fr-FR"/>
        </w:rPr>
        <w:t>Union économique eurasiatique et de l</w:t>
      </w:r>
      <w:r w:rsidR="004205BC" w:rsidRPr="00365328">
        <w:rPr>
          <w:bCs/>
          <w:szCs w:val="22"/>
          <w:lang w:val="fr-FR"/>
        </w:rPr>
        <w:t>’</w:t>
      </w:r>
      <w:r w:rsidR="00F00552" w:rsidRPr="00365328">
        <w:rPr>
          <w:bCs/>
          <w:szCs w:val="22"/>
          <w:lang w:val="fr-FR"/>
        </w:rPr>
        <w:t>Union économique eurasiatique.</w:t>
      </w:r>
    </w:p>
    <w:p w:rsidR="00F00552" w:rsidRPr="00365328" w:rsidRDefault="00F00552" w:rsidP="00963B78">
      <w:pPr>
        <w:rPr>
          <w:bCs/>
          <w:szCs w:val="22"/>
          <w:highlight w:val="cyan"/>
          <w:lang w:val="fr-FR"/>
        </w:rPr>
      </w:pPr>
    </w:p>
    <w:p w:rsidR="00F00552" w:rsidRPr="00365328" w:rsidRDefault="00F00552" w:rsidP="00963B78">
      <w:pPr>
        <w:rPr>
          <w:rFonts w:eastAsia="Arial Unicode MS"/>
          <w:szCs w:val="22"/>
          <w:lang w:val="fr-FR" w:eastAsia="en-US"/>
        </w:rPr>
      </w:pPr>
      <w:r w:rsidRPr="00365328">
        <w:rPr>
          <w:rFonts w:eastAsia="Arial Unicode MS"/>
          <w:szCs w:val="22"/>
          <w:lang w:val="fr-FR" w:eastAsia="en-US"/>
        </w:rPr>
        <w:t>Pays hors CEI</w:t>
      </w:r>
      <w:r w:rsidR="004205BC" w:rsidRPr="00365328">
        <w:rPr>
          <w:rFonts w:eastAsia="Arial Unicode MS"/>
          <w:szCs w:val="22"/>
          <w:lang w:val="fr-FR" w:eastAsia="en-US"/>
        </w:rPr>
        <w:t> :</w:t>
      </w:r>
      <w:r w:rsidRPr="00365328">
        <w:rPr>
          <w:rFonts w:eastAsia="Arial Unicode MS"/>
          <w:szCs w:val="22"/>
          <w:lang w:val="fr-FR" w:eastAsia="en-US"/>
        </w:rPr>
        <w:t xml:space="preserve"> Allemagne, Italie, Chine, Pays</w:t>
      </w:r>
      <w:r w:rsidR="00963B78">
        <w:rPr>
          <w:rFonts w:eastAsia="Arial Unicode MS"/>
          <w:szCs w:val="22"/>
          <w:lang w:val="fr-FR" w:eastAsia="en-US"/>
        </w:rPr>
        <w:noBreakHyphen/>
      </w:r>
      <w:r w:rsidRPr="00365328">
        <w:rPr>
          <w:rFonts w:eastAsia="Arial Unicode MS"/>
          <w:szCs w:val="22"/>
          <w:lang w:val="fr-FR" w:eastAsia="en-US"/>
        </w:rPr>
        <w:t>Bas, États</w:t>
      </w:r>
      <w:r w:rsidR="00963B78">
        <w:rPr>
          <w:rFonts w:eastAsia="Arial Unicode MS"/>
          <w:szCs w:val="22"/>
          <w:lang w:val="fr-FR" w:eastAsia="en-US"/>
        </w:rPr>
        <w:noBreakHyphen/>
      </w:r>
      <w:r w:rsidRPr="00365328">
        <w:rPr>
          <w:rFonts w:eastAsia="Arial Unicode MS"/>
          <w:szCs w:val="22"/>
          <w:lang w:val="fr-FR" w:eastAsia="en-US"/>
        </w:rPr>
        <w:t>Unis d</w:t>
      </w:r>
      <w:r w:rsidR="004205BC" w:rsidRPr="00365328">
        <w:rPr>
          <w:rFonts w:eastAsia="Arial Unicode MS"/>
          <w:szCs w:val="22"/>
          <w:lang w:val="fr-FR" w:eastAsia="en-US"/>
        </w:rPr>
        <w:t>’</w:t>
      </w:r>
      <w:r w:rsidRPr="00365328">
        <w:rPr>
          <w:rFonts w:eastAsia="Arial Unicode MS"/>
          <w:szCs w:val="22"/>
          <w:lang w:val="fr-FR" w:eastAsia="en-US"/>
        </w:rPr>
        <w:t>Amérique, Royaume</w:t>
      </w:r>
      <w:r w:rsidR="00963B78">
        <w:rPr>
          <w:rFonts w:eastAsia="Arial Unicode MS"/>
          <w:szCs w:val="22"/>
          <w:lang w:val="fr-FR" w:eastAsia="en-US"/>
        </w:rPr>
        <w:noBreakHyphen/>
      </w:r>
      <w:r w:rsidRPr="00365328">
        <w:rPr>
          <w:rFonts w:eastAsia="Arial Unicode MS"/>
          <w:szCs w:val="22"/>
          <w:lang w:val="fr-FR" w:eastAsia="en-US"/>
        </w:rPr>
        <w:t>Uni, Pologne, France, Finlande, Turquie, Japon, Brésil, Inde, Afrique du Sud</w:t>
      </w:r>
    </w:p>
    <w:p w:rsidR="00F00552" w:rsidRPr="00365328" w:rsidRDefault="00F00552" w:rsidP="00963B78">
      <w:pPr>
        <w:rPr>
          <w:bCs/>
          <w:szCs w:val="22"/>
          <w:highlight w:val="cyan"/>
          <w:lang w:val="fr-FR"/>
        </w:rPr>
      </w:pPr>
    </w:p>
    <w:p w:rsidR="00F00552" w:rsidRPr="00365328" w:rsidRDefault="00F00552" w:rsidP="00963B78">
      <w:pPr>
        <w:rPr>
          <w:bCs/>
          <w:szCs w:val="22"/>
          <w:lang w:val="fr-FR"/>
        </w:rPr>
      </w:pPr>
      <w:r w:rsidRPr="00365328">
        <w:rPr>
          <w:rFonts w:eastAsia="Arial Unicode MS"/>
          <w:szCs w:val="22"/>
          <w:lang w:val="fr-FR" w:eastAsia="en-US"/>
        </w:rPr>
        <w:t>Pays de la CEI</w:t>
      </w:r>
      <w:r w:rsidR="004205BC" w:rsidRPr="00365328">
        <w:rPr>
          <w:bCs/>
          <w:szCs w:val="22"/>
          <w:lang w:val="fr-FR"/>
        </w:rPr>
        <w:t> :</w:t>
      </w:r>
      <w:r w:rsidRPr="00365328">
        <w:rPr>
          <w:bCs/>
          <w:szCs w:val="22"/>
          <w:lang w:val="fr-FR"/>
        </w:rPr>
        <w:t xml:space="preserve"> Bélarus, Kazakhstan.</w:t>
      </w:r>
    </w:p>
    <w:p w:rsidR="004205BC" w:rsidRPr="00365328" w:rsidRDefault="00F00552" w:rsidP="00963B78">
      <w:pPr>
        <w:pStyle w:val="SectionHeading"/>
        <w:rPr>
          <w:lang w:val="fr-FR"/>
        </w:rPr>
      </w:pPr>
      <w:r w:rsidRPr="00365328">
        <w:rPr>
          <w:lang w:val="fr-FR"/>
        </w:rPr>
        <w:t>6 – Profil des demandes de brevet</w:t>
      </w:r>
    </w:p>
    <w:p w:rsidR="00F00552" w:rsidRPr="00365328" w:rsidRDefault="00F00552" w:rsidP="00963B78">
      <w:pPr>
        <w:rPr>
          <w:b/>
          <w:bCs/>
          <w:szCs w:val="22"/>
          <w:lang w:val="fr-FR"/>
        </w:rPr>
      </w:pPr>
      <w:r w:rsidRPr="00365328">
        <w:rPr>
          <w:b/>
          <w:bCs/>
          <w:szCs w:val="22"/>
          <w:lang w:val="fr-FR"/>
        </w:rPr>
        <w:t>Nombre de demandes nationales reçues – par voie de dépôt</w:t>
      </w:r>
    </w:p>
    <w:p w:rsidR="00D202A4" w:rsidRPr="00365328" w:rsidRDefault="00D202A4" w:rsidP="00963B78">
      <w:pPr>
        <w:rPr>
          <w:bCs/>
          <w:highlight w:val="green"/>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202A4" w:rsidRPr="00365328" w:rsidTr="00D202A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F00552" w:rsidRPr="00365328" w:rsidRDefault="00F00552" w:rsidP="00963B78">
            <w:pPr>
              <w:jc w:val="right"/>
              <w:rPr>
                <w:b/>
                <w:bCs/>
                <w:szCs w:val="22"/>
                <w:lang w:val="fr-FR"/>
              </w:rPr>
            </w:pPr>
          </w:p>
          <w:p w:rsidR="00F00552" w:rsidRPr="00365328" w:rsidRDefault="00365328" w:rsidP="00963B78">
            <w:pPr>
              <w:jc w:val="right"/>
              <w:rPr>
                <w:b/>
                <w:bCs/>
                <w:szCs w:val="22"/>
                <w:lang w:val="fr-FR"/>
              </w:rPr>
            </w:pPr>
            <w:r w:rsidRPr="00365328">
              <w:rPr>
                <w:b/>
                <w:bCs/>
                <w:szCs w:val="22"/>
                <w:lang w:val="fr-FR"/>
              </w:rPr>
              <w:t>A</w:t>
            </w:r>
            <w:r w:rsidR="00F00552" w:rsidRPr="00365328">
              <w:rPr>
                <w:b/>
                <w:bCs/>
                <w:szCs w:val="22"/>
                <w:lang w:val="fr-FR"/>
              </w:rPr>
              <w:t>nnée</w:t>
            </w:r>
          </w:p>
          <w:p w:rsidR="00D202A4" w:rsidRPr="00365328" w:rsidRDefault="00365328" w:rsidP="00963B78">
            <w:pPr>
              <w:rPr>
                <w:b/>
                <w:bCs/>
                <w:szCs w:val="22"/>
                <w:lang w:val="fr-FR"/>
              </w:rPr>
            </w:pPr>
            <w:r w:rsidRPr="00365328">
              <w:rPr>
                <w:b/>
                <w:bCs/>
                <w:szCs w:val="22"/>
                <w:lang w:val="fr-FR"/>
              </w:rPr>
              <w:t>V</w:t>
            </w:r>
            <w:r w:rsidR="00F00552" w:rsidRPr="00365328">
              <w:rPr>
                <w:b/>
                <w:bCs/>
                <w:szCs w:val="22"/>
                <w:lang w:val="fr-FR"/>
              </w:rPr>
              <w:t>oie</w:t>
            </w:r>
          </w:p>
        </w:tc>
        <w:tc>
          <w:tcPr>
            <w:tcW w:w="1360"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F00552" w:rsidP="00963B78">
            <w:pPr>
              <w:jc w:val="center"/>
              <w:rPr>
                <w:szCs w:val="22"/>
                <w:lang w:val="fr-FR"/>
              </w:rPr>
            </w:pPr>
            <w:r w:rsidRPr="00365328">
              <w:rPr>
                <w:szCs w:val="22"/>
                <w:lang w:val="fr-FR"/>
              </w:rPr>
              <w:t>2012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F00552" w:rsidP="00963B78">
            <w:pPr>
              <w:jc w:val="center"/>
              <w:rPr>
                <w:szCs w:val="22"/>
                <w:lang w:val="fr-FR"/>
              </w:rPr>
            </w:pPr>
            <w:r w:rsidRPr="00365328">
              <w:rPr>
                <w:szCs w:val="22"/>
                <w:lang w:val="fr-FR"/>
              </w:rPr>
              <w:t>2013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F00552" w:rsidP="00963B78">
            <w:pPr>
              <w:jc w:val="center"/>
              <w:rPr>
                <w:szCs w:val="22"/>
                <w:lang w:val="fr-FR"/>
              </w:rPr>
            </w:pPr>
            <w:r w:rsidRPr="00365328">
              <w:rPr>
                <w:szCs w:val="22"/>
                <w:lang w:val="fr-FR"/>
              </w:rPr>
              <w:t>2014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F00552" w:rsidP="00963B78">
            <w:pPr>
              <w:jc w:val="center"/>
              <w:rPr>
                <w:szCs w:val="22"/>
                <w:lang w:val="fr-FR"/>
              </w:rPr>
            </w:pPr>
            <w:r w:rsidRPr="00365328">
              <w:rPr>
                <w:szCs w:val="22"/>
                <w:lang w:val="fr-FR"/>
              </w:rPr>
              <w:t>2015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F00552" w:rsidP="00963B78">
            <w:pPr>
              <w:jc w:val="center"/>
              <w:rPr>
                <w:szCs w:val="22"/>
                <w:lang w:val="fr-FR"/>
              </w:rPr>
            </w:pPr>
            <w:r w:rsidRPr="00365328">
              <w:rPr>
                <w:szCs w:val="22"/>
                <w:lang w:val="fr-FR"/>
              </w:rPr>
              <w:t>2016</w:t>
            </w:r>
          </w:p>
        </w:tc>
      </w:tr>
      <w:tr w:rsidR="00D202A4" w:rsidRPr="00365328" w:rsidTr="00D202A4">
        <w:trPr>
          <w:cantSplit/>
        </w:trPr>
        <w:tc>
          <w:tcPr>
            <w:tcW w:w="2518" w:type="dxa"/>
            <w:tcBorders>
              <w:top w:val="single" w:sz="4" w:space="0" w:color="auto"/>
              <w:left w:val="single" w:sz="4" w:space="0" w:color="auto"/>
              <w:bottom w:val="single" w:sz="4" w:space="0" w:color="auto"/>
              <w:right w:val="single" w:sz="4" w:space="0" w:color="auto"/>
            </w:tcBorders>
            <w:hideMark/>
          </w:tcPr>
          <w:p w:rsidR="00D202A4" w:rsidRPr="00365328" w:rsidRDefault="001954E5" w:rsidP="00963B78">
            <w:pPr>
              <w:rPr>
                <w:szCs w:val="22"/>
                <w:lang w:val="fr-FR"/>
              </w:rPr>
            </w:pPr>
            <w:r w:rsidRPr="00365328">
              <w:rPr>
                <w:szCs w:val="22"/>
                <w:lang w:val="fr-FR"/>
              </w:rPr>
              <w:t>Premier dépôt national/priorité interne</w:t>
            </w:r>
          </w:p>
        </w:tc>
        <w:tc>
          <w:tcPr>
            <w:tcW w:w="1360"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28</w:t>
            </w:r>
            <w:r w:rsidR="00F00552" w:rsidRPr="00365328">
              <w:rPr>
                <w:szCs w:val="22"/>
                <w:lang w:val="fr-FR"/>
              </w:rPr>
              <w:t> </w:t>
            </w:r>
            <w:r w:rsidRPr="00365328">
              <w:rPr>
                <w:szCs w:val="22"/>
                <w:lang w:val="fr-FR"/>
              </w:rPr>
              <w:t>646</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28</w:t>
            </w:r>
            <w:r w:rsidR="00F00552" w:rsidRPr="00365328">
              <w:rPr>
                <w:szCs w:val="22"/>
                <w:lang w:val="fr-FR"/>
              </w:rPr>
              <w:t> </w:t>
            </w:r>
            <w:r w:rsidRPr="00365328">
              <w:rPr>
                <w:szCs w:val="22"/>
                <w:lang w:val="fr-FR"/>
              </w:rPr>
              <w:t>682</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23</w:t>
            </w:r>
            <w:r w:rsidR="00F00552" w:rsidRPr="00365328">
              <w:rPr>
                <w:szCs w:val="22"/>
                <w:lang w:val="fr-FR"/>
              </w:rPr>
              <w:t> </w:t>
            </w:r>
            <w:r w:rsidRPr="00365328">
              <w:rPr>
                <w:szCs w:val="22"/>
                <w:lang w:val="fr-FR"/>
              </w:rPr>
              <w:t>984</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29</w:t>
            </w:r>
            <w:r w:rsidR="00F00552" w:rsidRPr="00365328">
              <w:rPr>
                <w:szCs w:val="22"/>
                <w:lang w:val="fr-FR"/>
              </w:rPr>
              <w:t> </w:t>
            </w:r>
            <w:r w:rsidRPr="00365328">
              <w:rPr>
                <w:szCs w:val="22"/>
                <w:lang w:val="fr-FR"/>
              </w:rPr>
              <w:t>194</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26</w:t>
            </w:r>
            <w:r w:rsidR="00F00552" w:rsidRPr="00365328">
              <w:rPr>
                <w:szCs w:val="22"/>
                <w:lang w:val="fr-FR"/>
              </w:rPr>
              <w:t> </w:t>
            </w:r>
            <w:r w:rsidRPr="00365328">
              <w:rPr>
                <w:szCs w:val="22"/>
                <w:lang w:val="fr-FR"/>
              </w:rPr>
              <w:t>909</w:t>
            </w:r>
          </w:p>
        </w:tc>
      </w:tr>
      <w:tr w:rsidR="00D202A4" w:rsidRPr="00365328" w:rsidTr="00D202A4">
        <w:trPr>
          <w:cantSplit/>
        </w:trPr>
        <w:tc>
          <w:tcPr>
            <w:tcW w:w="2518"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rPr>
                <w:szCs w:val="22"/>
                <w:lang w:val="fr-FR"/>
              </w:rPr>
            </w:pPr>
          </w:p>
          <w:p w:rsidR="00D202A4" w:rsidRPr="00365328" w:rsidRDefault="001954E5" w:rsidP="00963B78">
            <w:pPr>
              <w:rPr>
                <w:szCs w:val="22"/>
                <w:lang w:val="fr-FR"/>
              </w:rPr>
            </w:pPr>
            <w:r w:rsidRPr="00365328">
              <w:rPr>
                <w:szCs w:val="22"/>
                <w:lang w:val="fr-FR"/>
              </w:rPr>
              <w:t>Priorité selon la Convention de Paris</w:t>
            </w:r>
          </w:p>
        </w:tc>
        <w:tc>
          <w:tcPr>
            <w:tcW w:w="1360"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2971</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3117</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2873</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3372</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2966</w:t>
            </w:r>
          </w:p>
        </w:tc>
      </w:tr>
      <w:tr w:rsidR="00D202A4" w:rsidRPr="00365328" w:rsidTr="00D202A4">
        <w:trPr>
          <w:cantSplit/>
        </w:trPr>
        <w:tc>
          <w:tcPr>
            <w:tcW w:w="2518" w:type="dxa"/>
            <w:tcBorders>
              <w:top w:val="single" w:sz="4" w:space="0" w:color="auto"/>
              <w:left w:val="single" w:sz="4" w:space="0" w:color="auto"/>
              <w:bottom w:val="single" w:sz="4" w:space="0" w:color="auto"/>
              <w:right w:val="single" w:sz="4" w:space="0" w:color="auto"/>
            </w:tcBorders>
            <w:hideMark/>
          </w:tcPr>
          <w:p w:rsidR="00D202A4" w:rsidRPr="00365328" w:rsidRDefault="001954E5" w:rsidP="00963B78">
            <w:pPr>
              <w:rPr>
                <w:szCs w:val="22"/>
                <w:lang w:val="fr-FR"/>
              </w:rPr>
            </w:pPr>
            <w:r w:rsidRPr="00365328">
              <w:rPr>
                <w:szCs w:val="22"/>
                <w:lang w:val="fr-FR"/>
              </w:rPr>
              <w:t>Entrée dans la phase nationale</w:t>
            </w:r>
            <w:r w:rsidR="004205BC" w:rsidRPr="00365328">
              <w:rPr>
                <w:szCs w:val="22"/>
                <w:lang w:val="fr-FR"/>
              </w:rPr>
              <w:t xml:space="preserve"> du PCT</w:t>
            </w:r>
          </w:p>
        </w:tc>
        <w:tc>
          <w:tcPr>
            <w:tcW w:w="1360"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12</w:t>
            </w:r>
            <w:r w:rsidR="00F00552" w:rsidRPr="00365328">
              <w:rPr>
                <w:szCs w:val="22"/>
                <w:lang w:val="fr-FR"/>
              </w:rPr>
              <w:t> </w:t>
            </w:r>
            <w:r w:rsidRPr="00365328">
              <w:rPr>
                <w:szCs w:val="22"/>
                <w:lang w:val="fr-FR"/>
              </w:rPr>
              <w:t>594</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13</w:t>
            </w:r>
            <w:r w:rsidR="00F00552" w:rsidRPr="00365328">
              <w:rPr>
                <w:szCs w:val="22"/>
                <w:lang w:val="fr-FR"/>
              </w:rPr>
              <w:t> </w:t>
            </w:r>
            <w:r w:rsidRPr="00365328">
              <w:rPr>
                <w:szCs w:val="22"/>
                <w:lang w:val="fr-FR"/>
              </w:rPr>
              <w:t>115</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13</w:t>
            </w:r>
            <w:r w:rsidR="00F00552" w:rsidRPr="00365328">
              <w:rPr>
                <w:szCs w:val="22"/>
                <w:lang w:val="fr-FR"/>
              </w:rPr>
              <w:t> </w:t>
            </w:r>
            <w:r w:rsidRPr="00365328">
              <w:rPr>
                <w:szCs w:val="22"/>
                <w:lang w:val="fr-FR"/>
              </w:rPr>
              <w:t>451</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12</w:t>
            </w:r>
            <w:r w:rsidR="00F00552" w:rsidRPr="00365328">
              <w:rPr>
                <w:szCs w:val="22"/>
                <w:lang w:val="fr-FR"/>
              </w:rPr>
              <w:t> </w:t>
            </w:r>
            <w:r w:rsidRPr="00365328">
              <w:rPr>
                <w:szCs w:val="22"/>
                <w:lang w:val="fr-FR"/>
              </w:rPr>
              <w:t>951</w:t>
            </w:r>
          </w:p>
        </w:tc>
        <w:tc>
          <w:tcPr>
            <w:tcW w:w="1361"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D202A4" w:rsidP="00963B78">
            <w:pPr>
              <w:jc w:val="center"/>
              <w:rPr>
                <w:szCs w:val="22"/>
                <w:lang w:val="fr-FR"/>
              </w:rPr>
            </w:pPr>
            <w:r w:rsidRPr="00365328">
              <w:rPr>
                <w:szCs w:val="22"/>
                <w:lang w:val="fr-FR"/>
              </w:rPr>
              <w:t>11</w:t>
            </w:r>
            <w:r w:rsidR="00F00552" w:rsidRPr="00365328">
              <w:rPr>
                <w:szCs w:val="22"/>
                <w:lang w:val="fr-FR"/>
              </w:rPr>
              <w:t> </w:t>
            </w:r>
            <w:r w:rsidRPr="00365328">
              <w:rPr>
                <w:szCs w:val="22"/>
                <w:lang w:val="fr-FR"/>
              </w:rPr>
              <w:t>712</w:t>
            </w:r>
          </w:p>
        </w:tc>
      </w:tr>
    </w:tbl>
    <w:p w:rsidR="00F00552" w:rsidRPr="00365328" w:rsidRDefault="00F00552" w:rsidP="00963B78">
      <w:pPr>
        <w:rPr>
          <w:b/>
          <w:bCs/>
          <w:lang w:val="fr-FR"/>
        </w:rPr>
      </w:pPr>
    </w:p>
    <w:p w:rsidR="00F00552" w:rsidRPr="00365328" w:rsidRDefault="001954E5" w:rsidP="00963B78">
      <w:pPr>
        <w:keepNext/>
        <w:keepLines/>
        <w:rPr>
          <w:b/>
          <w:bCs/>
          <w:szCs w:val="22"/>
          <w:lang w:val="fr-FR"/>
        </w:rPr>
      </w:pPr>
      <w:r w:rsidRPr="00365328">
        <w:rPr>
          <w:b/>
          <w:bCs/>
          <w:szCs w:val="22"/>
          <w:lang w:val="fr-FR"/>
        </w:rPr>
        <w:t>Nombre de demandes nationales reçues – par domaine technique</w:t>
      </w:r>
    </w:p>
    <w:p w:rsidR="00D202A4" w:rsidRPr="00365328" w:rsidRDefault="00D202A4" w:rsidP="00963B78">
      <w:pPr>
        <w:keepNext/>
        <w:keepLine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992"/>
        <w:gridCol w:w="993"/>
        <w:gridCol w:w="992"/>
        <w:gridCol w:w="957"/>
      </w:tblGrid>
      <w:tr w:rsidR="00D202A4" w:rsidRPr="00365328" w:rsidTr="00D202A4">
        <w:trPr>
          <w:trHeight w:val="563"/>
        </w:trPr>
        <w:tc>
          <w:tcPr>
            <w:tcW w:w="4361" w:type="dxa"/>
            <w:vMerge w:val="restart"/>
            <w:tcBorders>
              <w:top w:val="single" w:sz="4" w:space="0" w:color="auto"/>
              <w:left w:val="single" w:sz="4" w:space="0" w:color="auto"/>
              <w:bottom w:val="single" w:sz="4" w:space="0" w:color="auto"/>
              <w:right w:val="single" w:sz="4" w:space="0" w:color="auto"/>
            </w:tcBorders>
            <w:hideMark/>
          </w:tcPr>
          <w:p w:rsidR="00D202A4" w:rsidRPr="00365328" w:rsidRDefault="00F00552" w:rsidP="00963B78">
            <w:pPr>
              <w:keepNext/>
              <w:keepLines/>
              <w:rPr>
                <w:szCs w:val="22"/>
                <w:lang w:val="fr-FR"/>
              </w:rPr>
            </w:pPr>
            <w:r w:rsidRPr="00365328">
              <w:rPr>
                <w:szCs w:val="22"/>
                <w:lang w:val="fr-FR"/>
              </w:rPr>
              <w:t>Ventilation des demandes</w:t>
            </w:r>
            <w:r w:rsidR="00D202A4" w:rsidRPr="00365328">
              <w:rPr>
                <w:szCs w:val="22"/>
                <w:lang w:val="fr-FR"/>
              </w:rPr>
              <w:t xml:space="preserve"> national</w:t>
            </w:r>
            <w:r w:rsidRPr="00365328">
              <w:rPr>
                <w:szCs w:val="22"/>
                <w:lang w:val="fr-FR"/>
              </w:rPr>
              <w:t>es</w:t>
            </w:r>
            <w:r w:rsidR="00D202A4" w:rsidRPr="00365328">
              <w:rPr>
                <w:szCs w:val="22"/>
                <w:lang w:val="fr-FR"/>
              </w:rPr>
              <w:t xml:space="preserve"> </w:t>
            </w:r>
            <w:r w:rsidRPr="00365328">
              <w:rPr>
                <w:szCs w:val="22"/>
                <w:lang w:val="fr-FR"/>
              </w:rPr>
              <w:t>en fonction des</w:t>
            </w:r>
            <w:r w:rsidR="00D202A4" w:rsidRPr="00365328">
              <w:rPr>
                <w:szCs w:val="22"/>
                <w:lang w:val="fr-FR"/>
              </w:rPr>
              <w:t xml:space="preserve"> </w:t>
            </w:r>
            <w:r w:rsidRPr="00365328">
              <w:rPr>
                <w:szCs w:val="22"/>
                <w:lang w:val="fr-FR"/>
              </w:rPr>
              <w:t>huit sections de la CIB</w:t>
            </w:r>
            <w:r w:rsidR="00D202A4" w:rsidRPr="00365328">
              <w:rPr>
                <w:szCs w:val="22"/>
                <w:lang w:val="fr-FR"/>
              </w:rPr>
              <w:t xml:space="preserve"> (% </w:t>
            </w:r>
            <w:r w:rsidRPr="00365328">
              <w:rPr>
                <w:szCs w:val="22"/>
                <w:lang w:val="fr-FR"/>
              </w:rPr>
              <w:t>du nombre</w:t>
            </w:r>
            <w:r w:rsidR="00D202A4" w:rsidRPr="00365328">
              <w:rPr>
                <w:szCs w:val="22"/>
                <w:lang w:val="fr-FR"/>
              </w:rPr>
              <w:t xml:space="preserve"> total </w:t>
            </w:r>
            <w:r w:rsidRPr="00365328">
              <w:rPr>
                <w:szCs w:val="22"/>
                <w:lang w:val="fr-FR"/>
              </w:rPr>
              <w:t>de demandes</w:t>
            </w:r>
            <w:r w:rsidR="00D202A4" w:rsidRPr="00365328">
              <w:rPr>
                <w:szCs w:val="22"/>
                <w:lang w:val="fr-FR"/>
              </w:rPr>
              <w:t>)</w:t>
            </w:r>
          </w:p>
        </w:tc>
        <w:tc>
          <w:tcPr>
            <w:tcW w:w="4926" w:type="dxa"/>
            <w:gridSpan w:val="5"/>
            <w:tcBorders>
              <w:top w:val="single" w:sz="4" w:space="0" w:color="auto"/>
              <w:left w:val="single" w:sz="4" w:space="0" w:color="auto"/>
              <w:bottom w:val="single" w:sz="4" w:space="0" w:color="auto"/>
              <w:right w:val="single" w:sz="4" w:space="0" w:color="auto"/>
            </w:tcBorders>
            <w:hideMark/>
          </w:tcPr>
          <w:p w:rsidR="00D202A4" w:rsidRPr="00365328" w:rsidRDefault="001954E5" w:rsidP="00963B78">
            <w:pPr>
              <w:keepNext/>
              <w:keepLines/>
              <w:jc w:val="center"/>
              <w:rPr>
                <w:szCs w:val="22"/>
                <w:lang w:val="fr-FR"/>
              </w:rPr>
            </w:pPr>
            <w:r w:rsidRPr="00365328">
              <w:rPr>
                <w:szCs w:val="22"/>
                <w:lang w:val="fr-FR"/>
              </w:rPr>
              <w:t>Année</w:t>
            </w:r>
          </w:p>
        </w:tc>
      </w:tr>
      <w:tr w:rsidR="00D202A4" w:rsidRPr="00365328" w:rsidTr="00D202A4">
        <w:tc>
          <w:tcPr>
            <w:tcW w:w="0" w:type="auto"/>
            <w:vMerge/>
            <w:tcBorders>
              <w:top w:val="single" w:sz="4" w:space="0" w:color="auto"/>
              <w:left w:val="single" w:sz="4" w:space="0" w:color="auto"/>
              <w:bottom w:val="single" w:sz="4" w:space="0" w:color="auto"/>
              <w:right w:val="single" w:sz="4" w:space="0" w:color="auto"/>
            </w:tcBorders>
            <w:vAlign w:val="center"/>
            <w:hideMark/>
          </w:tcPr>
          <w:p w:rsidR="00D202A4" w:rsidRPr="00365328" w:rsidRDefault="00D202A4" w:rsidP="00963B78">
            <w:pPr>
              <w:keepNext/>
              <w:rPr>
                <w:szCs w:val="22"/>
                <w:lang w:val="fr-FR"/>
              </w:rPr>
            </w:pP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2012</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2013</w:t>
            </w:r>
          </w:p>
        </w:tc>
        <w:tc>
          <w:tcPr>
            <w:tcW w:w="993"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2014</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2015</w:t>
            </w:r>
          </w:p>
        </w:tc>
        <w:tc>
          <w:tcPr>
            <w:tcW w:w="957"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2016</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A – Nécessités courantes de la vie (agriculture, alimentation, objets personnels ou ménagers, santé, sauvegarde, amusements)</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24,5</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27,1</w:t>
            </w:r>
          </w:p>
        </w:tc>
        <w:tc>
          <w:tcPr>
            <w:tcW w:w="993"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22,1</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17,4</w:t>
            </w:r>
          </w:p>
        </w:tc>
        <w:tc>
          <w:tcPr>
            <w:tcW w:w="957"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22,1</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365328" w:rsidP="00963B78">
            <w:pPr>
              <w:keepNext/>
              <w:rPr>
                <w:szCs w:val="22"/>
                <w:lang w:val="fr-FR"/>
              </w:rPr>
            </w:pPr>
            <w:r w:rsidRPr="00365328">
              <w:rPr>
                <w:rFonts w:eastAsia="Times New Roman"/>
                <w:szCs w:val="22"/>
                <w:lang w:val="fr-FR" w:eastAsia="ru-RU"/>
              </w:rPr>
              <w:t>B – Techniques industrielles;  transports;  séparation;  mélange</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12,2</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13,2</w:t>
            </w:r>
          </w:p>
        </w:tc>
        <w:tc>
          <w:tcPr>
            <w:tcW w:w="993"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13,9</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11,1</w:t>
            </w:r>
          </w:p>
        </w:tc>
        <w:tc>
          <w:tcPr>
            <w:tcW w:w="957"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14,1</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 xml:space="preserve">C – Chimie; </w:t>
            </w:r>
            <w:r w:rsidR="00A7304E" w:rsidRPr="00365328">
              <w:rPr>
                <w:szCs w:val="22"/>
                <w:lang w:val="fr-FR"/>
              </w:rPr>
              <w:t xml:space="preserve"> </w:t>
            </w:r>
            <w:r w:rsidRPr="00365328">
              <w:rPr>
                <w:szCs w:val="22"/>
                <w:lang w:val="fr-FR"/>
              </w:rPr>
              <w:t>métallurgie</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15</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13,5</w:t>
            </w:r>
          </w:p>
        </w:tc>
        <w:tc>
          <w:tcPr>
            <w:tcW w:w="993"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14</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19,2</w:t>
            </w:r>
          </w:p>
        </w:tc>
        <w:tc>
          <w:tcPr>
            <w:tcW w:w="957"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16,5</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D – Textiles;  papier</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0,6</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0,7</w:t>
            </w:r>
          </w:p>
        </w:tc>
        <w:tc>
          <w:tcPr>
            <w:tcW w:w="993"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0,8</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0,5</w:t>
            </w:r>
          </w:p>
        </w:tc>
        <w:tc>
          <w:tcPr>
            <w:tcW w:w="957"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0,6</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 xml:space="preserve">E – Constructions fixes (travaux publics; </w:t>
            </w:r>
            <w:r w:rsidR="00A7304E" w:rsidRPr="00365328">
              <w:rPr>
                <w:szCs w:val="22"/>
                <w:lang w:val="fr-FR"/>
              </w:rPr>
              <w:t xml:space="preserve"> </w:t>
            </w:r>
            <w:r w:rsidRPr="00365328">
              <w:rPr>
                <w:szCs w:val="22"/>
                <w:lang w:val="fr-FR"/>
              </w:rPr>
              <w:t>bâtiment, forage du sol ou de la roche, exploitation minière)</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4,7</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4,9</w:t>
            </w:r>
          </w:p>
        </w:tc>
        <w:tc>
          <w:tcPr>
            <w:tcW w:w="993"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5,5</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4,7</w:t>
            </w:r>
          </w:p>
        </w:tc>
        <w:tc>
          <w:tcPr>
            <w:tcW w:w="957"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5,6</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F – Mécanique;  éclairage;  chauffage;  armement;  sautage</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9,4</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9,5</w:t>
            </w:r>
          </w:p>
        </w:tc>
        <w:tc>
          <w:tcPr>
            <w:tcW w:w="993"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10,1</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8,1</w:t>
            </w:r>
          </w:p>
        </w:tc>
        <w:tc>
          <w:tcPr>
            <w:tcW w:w="957"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10,4</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G – Physiques, instruments;  s</w:t>
            </w:r>
            <w:r w:rsidR="00016594">
              <w:rPr>
                <w:szCs w:val="22"/>
                <w:lang w:val="fr-FR"/>
              </w:rPr>
              <w:t>ci</w:t>
            </w:r>
            <w:r w:rsidRPr="00365328">
              <w:rPr>
                <w:szCs w:val="22"/>
                <w:lang w:val="fr-FR"/>
              </w:rPr>
              <w:t>ence nucléaire</w:t>
            </w:r>
            <w:r w:rsidR="00D202A4" w:rsidRPr="00365328">
              <w:rPr>
                <w:szCs w:val="22"/>
                <w:lang w:val="fr-FR"/>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11,7</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11,5</w:t>
            </w:r>
          </w:p>
        </w:tc>
        <w:tc>
          <w:tcPr>
            <w:tcW w:w="993"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keepNext/>
              <w:jc w:val="center"/>
              <w:rPr>
                <w:szCs w:val="22"/>
                <w:lang w:val="fr-FR"/>
              </w:rPr>
            </w:pPr>
            <w:r w:rsidRPr="00365328">
              <w:rPr>
                <w:szCs w:val="22"/>
                <w:lang w:val="fr-FR"/>
              </w:rPr>
              <w:t>13</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9,7</w:t>
            </w:r>
          </w:p>
        </w:tc>
        <w:tc>
          <w:tcPr>
            <w:tcW w:w="957"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13,6</w:t>
            </w:r>
          </w:p>
        </w:tc>
      </w:tr>
      <w:tr w:rsidR="00E430DC"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H</w:t>
            </w:r>
            <w:r w:rsidR="004205BC" w:rsidRPr="00365328">
              <w:rPr>
                <w:szCs w:val="22"/>
                <w:lang w:val="fr-FR"/>
              </w:rPr>
              <w:t xml:space="preserve"> – </w:t>
            </w:r>
            <w:r w:rsidRPr="00365328">
              <w:rPr>
                <w:szCs w:val="22"/>
                <w:lang w:val="fr-FR"/>
              </w:rPr>
              <w:t>Électricité</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8,5</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7,4</w:t>
            </w:r>
          </w:p>
        </w:tc>
        <w:tc>
          <w:tcPr>
            <w:tcW w:w="993"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8,1</w:t>
            </w:r>
          </w:p>
        </w:tc>
        <w:tc>
          <w:tcPr>
            <w:tcW w:w="992"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6,4</w:t>
            </w:r>
          </w:p>
        </w:tc>
        <w:tc>
          <w:tcPr>
            <w:tcW w:w="957"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jc w:val="center"/>
              <w:rPr>
                <w:szCs w:val="22"/>
                <w:lang w:val="fr-FR"/>
              </w:rPr>
            </w:pPr>
            <w:r w:rsidRPr="00365328">
              <w:rPr>
                <w:szCs w:val="22"/>
                <w:lang w:val="fr-FR"/>
              </w:rPr>
              <w:t>7,7</w:t>
            </w:r>
          </w:p>
        </w:tc>
      </w:tr>
      <w:tr w:rsidR="00D202A4" w:rsidRPr="00365328"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365328" w:rsidRDefault="00541E7C" w:rsidP="00963B78">
            <w:pPr>
              <w:keepNext/>
              <w:rPr>
                <w:szCs w:val="22"/>
                <w:lang w:val="fr-FR"/>
              </w:rPr>
            </w:pPr>
            <w:r w:rsidRPr="00365328">
              <w:rPr>
                <w:szCs w:val="22"/>
                <w:lang w:val="fr-FR"/>
              </w:rPr>
              <w:t>Autre (relevant de plusieurs domaines tech</w:t>
            </w:r>
            <w:r w:rsidR="00016594">
              <w:rPr>
                <w:szCs w:val="22"/>
                <w:lang w:val="fr-FR"/>
              </w:rPr>
              <w:t>ni</w:t>
            </w:r>
            <w:r w:rsidRPr="00365328">
              <w:rPr>
                <w:szCs w:val="22"/>
                <w:lang w:val="fr-FR"/>
              </w:rPr>
              <w:t>ques)</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13,4</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12,2</w:t>
            </w:r>
          </w:p>
        </w:tc>
        <w:tc>
          <w:tcPr>
            <w:tcW w:w="993"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12,5</w:t>
            </w:r>
          </w:p>
        </w:tc>
        <w:tc>
          <w:tcPr>
            <w:tcW w:w="992"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22,9</w:t>
            </w:r>
          </w:p>
        </w:tc>
        <w:tc>
          <w:tcPr>
            <w:tcW w:w="957"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keepNext/>
              <w:jc w:val="center"/>
              <w:rPr>
                <w:szCs w:val="22"/>
                <w:lang w:val="fr-FR"/>
              </w:rPr>
            </w:pPr>
          </w:p>
          <w:p w:rsidR="00D202A4" w:rsidRPr="00365328" w:rsidRDefault="00541E7C" w:rsidP="00963B78">
            <w:pPr>
              <w:keepNext/>
              <w:jc w:val="center"/>
              <w:rPr>
                <w:szCs w:val="22"/>
                <w:lang w:val="fr-FR"/>
              </w:rPr>
            </w:pPr>
            <w:r w:rsidRPr="00365328">
              <w:rPr>
                <w:szCs w:val="22"/>
                <w:lang w:val="fr-FR"/>
              </w:rPr>
              <w:t>9,4</w:t>
            </w:r>
          </w:p>
        </w:tc>
      </w:tr>
    </w:tbl>
    <w:p w:rsidR="00F00552" w:rsidRPr="00365328" w:rsidRDefault="00F00552" w:rsidP="00963B78">
      <w:pPr>
        <w:rPr>
          <w:lang w:val="fr-FR"/>
        </w:rPr>
      </w:pPr>
    </w:p>
    <w:p w:rsidR="00F00552" w:rsidRPr="00365328" w:rsidRDefault="00F00552" w:rsidP="00963B78">
      <w:pPr>
        <w:keepNext/>
        <w:rPr>
          <w:lang w:val="fr-FR"/>
        </w:rPr>
      </w:pPr>
    </w:p>
    <w:p w:rsidR="001729D9" w:rsidRPr="00365328" w:rsidRDefault="001954E5" w:rsidP="00963B78">
      <w:pPr>
        <w:rPr>
          <w:b/>
          <w:bCs/>
          <w:szCs w:val="22"/>
          <w:lang w:val="fr-FR"/>
        </w:rPr>
      </w:pPr>
      <w:r w:rsidRPr="00365328">
        <w:rPr>
          <w:b/>
          <w:bCs/>
          <w:szCs w:val="22"/>
          <w:lang w:val="fr-FR"/>
        </w:rPr>
        <w:t>Nombre de demandes internationales reçues en tant qu</w:t>
      </w:r>
      <w:r w:rsidR="004205BC" w:rsidRPr="00365328">
        <w:rPr>
          <w:b/>
          <w:bCs/>
          <w:szCs w:val="22"/>
          <w:lang w:val="fr-FR"/>
        </w:rPr>
        <w:t>’</w:t>
      </w:r>
      <w:r w:rsidRPr="00365328">
        <w:rPr>
          <w:b/>
          <w:bCs/>
          <w:szCs w:val="22"/>
          <w:lang w:val="fr-FR"/>
        </w:rPr>
        <w:t>office récepteur</w:t>
      </w:r>
      <w:r w:rsidR="004205BC" w:rsidRPr="00365328">
        <w:rPr>
          <w:b/>
          <w:bCs/>
          <w:szCs w:val="22"/>
          <w:lang w:val="fr-FR"/>
        </w:rPr>
        <w:t> :</w:t>
      </w:r>
      <w:r w:rsidRPr="00365328">
        <w:rPr>
          <w:b/>
          <w:bCs/>
          <w:szCs w:val="22"/>
          <w:lang w:val="fr-FR"/>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202A4" w:rsidRPr="00365328" w:rsidTr="00D202A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F00552" w:rsidRPr="00365328" w:rsidRDefault="00F00552" w:rsidP="00963B78">
            <w:pPr>
              <w:keepNext/>
              <w:jc w:val="right"/>
              <w:rPr>
                <w:b/>
                <w:bCs/>
                <w:szCs w:val="22"/>
                <w:lang w:val="fr-FR"/>
              </w:rPr>
            </w:pPr>
          </w:p>
          <w:p w:rsidR="004205BC" w:rsidRPr="00365328" w:rsidRDefault="00BE7B83" w:rsidP="00963B78">
            <w:pPr>
              <w:keepNext/>
              <w:jc w:val="right"/>
              <w:rPr>
                <w:b/>
                <w:bCs/>
                <w:szCs w:val="22"/>
                <w:lang w:val="fr-FR"/>
              </w:rPr>
            </w:pPr>
            <w:r w:rsidRPr="00365328">
              <w:rPr>
                <w:b/>
                <w:bCs/>
                <w:szCs w:val="22"/>
                <w:lang w:val="fr-FR"/>
              </w:rPr>
              <w:t>Année</w:t>
            </w:r>
          </w:p>
          <w:p w:rsidR="00D202A4" w:rsidRPr="00365328" w:rsidRDefault="00D202A4" w:rsidP="00963B78">
            <w:pPr>
              <w:keepNext/>
              <w:rPr>
                <w:b/>
                <w:bCs/>
                <w:szCs w:val="22"/>
                <w:lang w:val="fr-FR"/>
              </w:rPr>
            </w:pPr>
          </w:p>
        </w:tc>
        <w:tc>
          <w:tcPr>
            <w:tcW w:w="1360"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D202A4" w:rsidP="00963B78">
            <w:pPr>
              <w:keepNext/>
              <w:jc w:val="center"/>
              <w:rPr>
                <w:szCs w:val="22"/>
                <w:lang w:val="fr-FR"/>
              </w:rPr>
            </w:pPr>
            <w:r w:rsidRPr="00365328">
              <w:rPr>
                <w:szCs w:val="22"/>
                <w:lang w:val="fr-FR"/>
              </w:rPr>
              <w:t>2012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D202A4" w:rsidP="00963B78">
            <w:pPr>
              <w:keepNext/>
              <w:jc w:val="center"/>
              <w:rPr>
                <w:szCs w:val="22"/>
                <w:lang w:val="fr-FR"/>
              </w:rPr>
            </w:pPr>
            <w:r w:rsidRPr="00365328">
              <w:rPr>
                <w:szCs w:val="22"/>
                <w:lang w:val="fr-FR"/>
              </w:rPr>
              <w:t>2013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D202A4" w:rsidP="00963B78">
            <w:pPr>
              <w:keepNext/>
              <w:jc w:val="center"/>
              <w:rPr>
                <w:szCs w:val="22"/>
                <w:lang w:val="fr-FR"/>
              </w:rPr>
            </w:pPr>
            <w:r w:rsidRPr="00365328">
              <w:rPr>
                <w:szCs w:val="22"/>
                <w:lang w:val="fr-FR"/>
              </w:rPr>
              <w:t>2014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D202A4" w:rsidP="00963B78">
            <w:pPr>
              <w:keepNext/>
              <w:jc w:val="center"/>
              <w:rPr>
                <w:szCs w:val="22"/>
                <w:lang w:val="fr-FR"/>
              </w:rPr>
            </w:pPr>
            <w:r w:rsidRPr="00365328">
              <w:rPr>
                <w:szCs w:val="22"/>
                <w:lang w:val="fr-FR"/>
              </w:rPr>
              <w:t>2015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365328" w:rsidRDefault="00D202A4" w:rsidP="00963B78">
            <w:pPr>
              <w:keepNext/>
              <w:jc w:val="center"/>
              <w:rPr>
                <w:szCs w:val="22"/>
                <w:lang w:val="fr-FR"/>
              </w:rPr>
            </w:pPr>
            <w:r w:rsidRPr="00365328">
              <w:rPr>
                <w:szCs w:val="22"/>
                <w:lang w:val="fr-FR"/>
              </w:rPr>
              <w:t>2016</w:t>
            </w:r>
          </w:p>
        </w:tc>
      </w:tr>
      <w:tr w:rsidR="00D202A4" w:rsidRPr="00365328" w:rsidTr="00D202A4">
        <w:trPr>
          <w:cantSplit/>
        </w:trPr>
        <w:tc>
          <w:tcPr>
            <w:tcW w:w="2518"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rPr>
                <w:szCs w:val="22"/>
                <w:lang w:val="fr-FR"/>
              </w:rPr>
            </w:pPr>
            <w:r w:rsidRPr="00365328">
              <w:rPr>
                <w:b/>
                <w:bCs/>
                <w:szCs w:val="22"/>
                <w:lang w:val="fr-FR"/>
              </w:rPr>
              <w:t xml:space="preserve">Total </w:t>
            </w:r>
          </w:p>
        </w:tc>
        <w:tc>
          <w:tcPr>
            <w:tcW w:w="1360" w:type="dxa"/>
            <w:tcBorders>
              <w:top w:val="single" w:sz="4" w:space="0" w:color="auto"/>
              <w:left w:val="single" w:sz="4" w:space="0" w:color="auto"/>
              <w:bottom w:val="single" w:sz="4" w:space="0" w:color="auto"/>
              <w:right w:val="single" w:sz="4" w:space="0" w:color="auto"/>
            </w:tcBorders>
            <w:hideMark/>
          </w:tcPr>
          <w:p w:rsidR="00D202A4" w:rsidRPr="00365328" w:rsidRDefault="00BE7B83" w:rsidP="00963B78">
            <w:pPr>
              <w:jc w:val="center"/>
              <w:rPr>
                <w:szCs w:val="22"/>
                <w:lang w:val="fr-FR"/>
              </w:rPr>
            </w:pPr>
            <w:r w:rsidRPr="00365328">
              <w:rPr>
                <w:szCs w:val="22"/>
                <w:lang w:val="fr-FR"/>
              </w:rPr>
              <w:t>1 150</w:t>
            </w:r>
          </w:p>
        </w:tc>
        <w:tc>
          <w:tcPr>
            <w:tcW w:w="1361" w:type="dxa"/>
            <w:tcBorders>
              <w:top w:val="single" w:sz="4" w:space="0" w:color="auto"/>
              <w:left w:val="single" w:sz="4" w:space="0" w:color="auto"/>
              <w:bottom w:val="single" w:sz="4" w:space="0" w:color="auto"/>
              <w:right w:val="single" w:sz="4" w:space="0" w:color="auto"/>
            </w:tcBorders>
            <w:hideMark/>
          </w:tcPr>
          <w:p w:rsidR="00D202A4" w:rsidRPr="00365328" w:rsidRDefault="00BE7B83" w:rsidP="00963B78">
            <w:pPr>
              <w:jc w:val="center"/>
              <w:rPr>
                <w:szCs w:val="22"/>
                <w:lang w:val="fr-FR"/>
              </w:rPr>
            </w:pPr>
            <w:r w:rsidRPr="00365328">
              <w:rPr>
                <w:szCs w:val="22"/>
                <w:lang w:val="fr-FR"/>
              </w:rPr>
              <w:t>1 190</w:t>
            </w:r>
          </w:p>
        </w:tc>
        <w:tc>
          <w:tcPr>
            <w:tcW w:w="1361"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994</w:t>
            </w:r>
          </w:p>
        </w:tc>
        <w:tc>
          <w:tcPr>
            <w:tcW w:w="1361"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950</w:t>
            </w:r>
          </w:p>
        </w:tc>
        <w:tc>
          <w:tcPr>
            <w:tcW w:w="1361" w:type="dxa"/>
            <w:tcBorders>
              <w:top w:val="single" w:sz="4" w:space="0" w:color="auto"/>
              <w:left w:val="single" w:sz="4" w:space="0" w:color="auto"/>
              <w:bottom w:val="single" w:sz="4" w:space="0" w:color="auto"/>
              <w:right w:val="single" w:sz="4" w:space="0" w:color="auto"/>
            </w:tcBorders>
            <w:hideMark/>
          </w:tcPr>
          <w:p w:rsidR="00D202A4" w:rsidRPr="00365328" w:rsidRDefault="00D202A4" w:rsidP="00963B78">
            <w:pPr>
              <w:jc w:val="center"/>
              <w:rPr>
                <w:szCs w:val="22"/>
                <w:lang w:val="fr-FR"/>
              </w:rPr>
            </w:pPr>
            <w:r w:rsidRPr="00365328">
              <w:rPr>
                <w:szCs w:val="22"/>
                <w:lang w:val="fr-FR"/>
              </w:rPr>
              <w:t>996</w:t>
            </w:r>
          </w:p>
        </w:tc>
      </w:tr>
    </w:tbl>
    <w:p w:rsidR="00F00552" w:rsidRPr="00365328" w:rsidRDefault="00F00552" w:rsidP="00963B78">
      <w:pPr>
        <w:rPr>
          <w:lang w:val="fr-FR"/>
        </w:rPr>
      </w:pPr>
    </w:p>
    <w:p w:rsidR="00F00552" w:rsidRPr="00612F2E" w:rsidRDefault="00BE7B83" w:rsidP="00963B78">
      <w:pPr>
        <w:rPr>
          <w:b/>
          <w:lang w:val="fr-FR"/>
        </w:rPr>
      </w:pPr>
      <w:r w:rsidRPr="00612F2E">
        <w:rPr>
          <w:b/>
          <w:lang w:val="fr-FR"/>
        </w:rPr>
        <w:t>Principaux offices/</w:t>
      </w:r>
      <w:r w:rsidR="00E430DC" w:rsidRPr="00612F2E">
        <w:rPr>
          <w:b/>
          <w:lang w:val="fr-FR"/>
        </w:rPr>
        <w:t>É</w:t>
      </w:r>
      <w:r w:rsidRPr="00612F2E">
        <w:rPr>
          <w:b/>
          <w:lang w:val="fr-FR"/>
        </w:rPr>
        <w:t>tats faisant l</w:t>
      </w:r>
      <w:r w:rsidR="004205BC" w:rsidRPr="00612F2E">
        <w:rPr>
          <w:b/>
          <w:lang w:val="fr-FR"/>
        </w:rPr>
        <w:t>’</w:t>
      </w:r>
      <w:r w:rsidRPr="00612F2E">
        <w:rPr>
          <w:b/>
          <w:lang w:val="fr-FR"/>
        </w:rPr>
        <w:t>objet d</w:t>
      </w:r>
      <w:r w:rsidR="004205BC" w:rsidRPr="00612F2E">
        <w:rPr>
          <w:b/>
          <w:lang w:val="fr-FR"/>
        </w:rPr>
        <w:t>’</w:t>
      </w:r>
      <w:r w:rsidRPr="00612F2E">
        <w:rPr>
          <w:b/>
          <w:lang w:val="fr-FR"/>
        </w:rPr>
        <w:t>une revendication de priorité dans les demandes nationales</w:t>
      </w:r>
      <w:r w:rsidR="004205BC" w:rsidRPr="00612F2E">
        <w:rPr>
          <w:b/>
          <w:lang w:val="fr-FR"/>
        </w:rPr>
        <w:t> :</w:t>
      </w:r>
    </w:p>
    <w:p w:rsidR="00F00552" w:rsidRPr="00365328" w:rsidRDefault="00F00552" w:rsidP="00963B78">
      <w:pPr>
        <w:rPr>
          <w:lang w:val="fr-FR"/>
        </w:rPr>
      </w:pPr>
    </w:p>
    <w:p w:rsidR="00F00552" w:rsidRPr="00365328" w:rsidRDefault="00BE7B83" w:rsidP="00963B78">
      <w:pPr>
        <w:rPr>
          <w:szCs w:val="22"/>
          <w:lang w:val="fr-FR"/>
        </w:rPr>
      </w:pPr>
      <w:r w:rsidRPr="00365328">
        <w:rPr>
          <w:szCs w:val="22"/>
          <w:lang w:val="fr-FR"/>
        </w:rPr>
        <w:t>États</w:t>
      </w:r>
      <w:r w:rsidR="00963B78">
        <w:rPr>
          <w:szCs w:val="22"/>
          <w:lang w:val="fr-FR"/>
        </w:rPr>
        <w:noBreakHyphen/>
      </w:r>
      <w:r w:rsidRPr="00365328">
        <w:rPr>
          <w:szCs w:val="22"/>
          <w:lang w:val="fr-FR"/>
        </w:rPr>
        <w:t>Unis d</w:t>
      </w:r>
      <w:r w:rsidR="004205BC" w:rsidRPr="00365328">
        <w:rPr>
          <w:szCs w:val="22"/>
          <w:lang w:val="fr-FR"/>
        </w:rPr>
        <w:t>’</w:t>
      </w:r>
      <w:r w:rsidRPr="00365328">
        <w:rPr>
          <w:szCs w:val="22"/>
          <w:lang w:val="fr-FR"/>
        </w:rPr>
        <w:t>Amérique, Office européen des brevets, Japon, Chine, Allemagne</w:t>
      </w:r>
    </w:p>
    <w:p w:rsidR="00F00552" w:rsidRPr="00365328" w:rsidRDefault="00F00552" w:rsidP="00963B78">
      <w:pPr>
        <w:rPr>
          <w:b/>
          <w:bCs/>
          <w:lang w:val="fr-FR"/>
        </w:rPr>
      </w:pPr>
    </w:p>
    <w:p w:rsidR="00612F2E" w:rsidRPr="00612F2E" w:rsidRDefault="00612F2E" w:rsidP="00612F2E">
      <w:pPr>
        <w:rPr>
          <w:b/>
          <w:bCs/>
          <w:szCs w:val="22"/>
          <w:lang w:val="fr-FR"/>
        </w:rPr>
      </w:pPr>
      <w:r w:rsidRPr="00612F2E">
        <w:rPr>
          <w:b/>
          <w:bCs/>
          <w:szCs w:val="22"/>
          <w:lang w:val="fr-FR"/>
        </w:rPr>
        <w:t>Délai moyen d’instruction des demandes de brevet nationales</w:t>
      </w:r>
    </w:p>
    <w:p w:rsidR="00F00552" w:rsidRPr="00365328" w:rsidRDefault="00F00552" w:rsidP="00963B78">
      <w:pPr>
        <w:rPr>
          <w:lang w:val="fr-FR"/>
        </w:rPr>
      </w:pPr>
    </w:p>
    <w:p w:rsidR="004205BC" w:rsidRPr="00365328" w:rsidRDefault="00E430DC" w:rsidP="00963B78">
      <w:pPr>
        <w:rPr>
          <w:szCs w:val="22"/>
          <w:lang w:val="fr-FR"/>
        </w:rPr>
      </w:pPr>
      <w:r w:rsidRPr="00365328">
        <w:rPr>
          <w:szCs w:val="22"/>
          <w:lang w:val="fr-FR"/>
        </w:rPr>
        <w:t>10,3</w:t>
      </w:r>
      <w:r w:rsidR="00365328" w:rsidRPr="00365328">
        <w:rPr>
          <w:szCs w:val="22"/>
          <w:lang w:val="fr-FR"/>
        </w:rPr>
        <w:t> </w:t>
      </w:r>
      <w:r w:rsidRPr="00365328">
        <w:rPr>
          <w:szCs w:val="22"/>
          <w:lang w:val="fr-FR"/>
        </w:rPr>
        <w:t>mois</w:t>
      </w:r>
      <w:r w:rsidR="004205BC" w:rsidRPr="00365328">
        <w:rPr>
          <w:szCs w:val="22"/>
          <w:lang w:val="fr-FR"/>
        </w:rPr>
        <w:t xml:space="preserve"> – </w:t>
      </w:r>
      <w:r w:rsidRPr="00365328">
        <w:rPr>
          <w:szCs w:val="22"/>
          <w:lang w:val="fr-FR"/>
        </w:rPr>
        <w:t>à compter de la date de prise en considération de la demande de recherche et d</w:t>
      </w:r>
      <w:r w:rsidR="004205BC" w:rsidRPr="00365328">
        <w:rPr>
          <w:szCs w:val="22"/>
          <w:lang w:val="fr-FR"/>
        </w:rPr>
        <w:t>’</w:t>
      </w:r>
      <w:r w:rsidRPr="00365328">
        <w:rPr>
          <w:szCs w:val="22"/>
          <w:lang w:val="fr-FR"/>
        </w:rPr>
        <w:t>examen quant au fond et avant de prendre la décision finale sur la demande, sans tenir compte du délai accordé au déposant pour répondre aux demandes des examinateurs</w:t>
      </w:r>
      <w:r w:rsidR="00963B78">
        <w:rPr>
          <w:szCs w:val="22"/>
          <w:lang w:val="fr-FR"/>
        </w:rPr>
        <w:t>.</w:t>
      </w:r>
    </w:p>
    <w:p w:rsidR="00F00552" w:rsidRPr="00365328" w:rsidRDefault="00F00552" w:rsidP="00963B78">
      <w:pPr>
        <w:rPr>
          <w:lang w:val="fr-FR"/>
        </w:rPr>
      </w:pPr>
    </w:p>
    <w:p w:rsidR="00612F2E" w:rsidRPr="00612F2E" w:rsidRDefault="00612F2E" w:rsidP="00612F2E">
      <w:pPr>
        <w:keepNext/>
        <w:keepLines/>
        <w:rPr>
          <w:b/>
          <w:bCs/>
          <w:color w:val="000000"/>
          <w:lang w:val="fr-FR"/>
        </w:rPr>
      </w:pPr>
      <w:r w:rsidRPr="00612F2E">
        <w:rPr>
          <w:b/>
          <w:bCs/>
          <w:color w:val="000000"/>
          <w:lang w:val="fr-FR"/>
        </w:rPr>
        <w:t>Demandes nationales en attente de traitement</w:t>
      </w:r>
    </w:p>
    <w:p w:rsidR="00D202A4" w:rsidRPr="00365328" w:rsidRDefault="00D202A4" w:rsidP="00963B78">
      <w:pPr>
        <w:keepNext/>
        <w:keepLines/>
        <w:rPr>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418"/>
      </w:tblGrid>
      <w:tr w:rsidR="00D202A4" w:rsidRPr="00365328" w:rsidTr="00963B78">
        <w:trPr>
          <w:cantSplit/>
        </w:trPr>
        <w:tc>
          <w:tcPr>
            <w:tcW w:w="8188" w:type="dxa"/>
            <w:tcBorders>
              <w:top w:val="single" w:sz="4" w:space="0" w:color="auto"/>
              <w:left w:val="single" w:sz="4" w:space="0" w:color="auto"/>
              <w:bottom w:val="single" w:sz="4" w:space="0" w:color="auto"/>
              <w:right w:val="single" w:sz="4" w:space="0" w:color="auto"/>
            </w:tcBorders>
            <w:hideMark/>
          </w:tcPr>
          <w:p w:rsidR="00D202A4" w:rsidRPr="00365328" w:rsidRDefault="00612F2E" w:rsidP="00963B78">
            <w:pPr>
              <w:keepNext/>
              <w:keepLines/>
              <w:rPr>
                <w:b/>
                <w:bCs/>
                <w:lang w:val="fr-FR"/>
              </w:rPr>
            </w:pPr>
            <w:r>
              <w:rPr>
                <w:b/>
                <w:bCs/>
                <w:szCs w:val="22"/>
                <w:lang w:val="fr-FR"/>
              </w:rPr>
              <w:t>Mesure</w:t>
            </w:r>
          </w:p>
        </w:tc>
        <w:tc>
          <w:tcPr>
            <w:tcW w:w="1418" w:type="dxa"/>
            <w:tcBorders>
              <w:top w:val="single" w:sz="4" w:space="0" w:color="auto"/>
              <w:left w:val="single" w:sz="4" w:space="0" w:color="auto"/>
              <w:bottom w:val="single" w:sz="4" w:space="0" w:color="auto"/>
              <w:right w:val="single" w:sz="4" w:space="0" w:color="auto"/>
            </w:tcBorders>
            <w:hideMark/>
          </w:tcPr>
          <w:p w:rsidR="00D202A4" w:rsidRPr="00365328" w:rsidRDefault="001954E5" w:rsidP="00963B78">
            <w:pPr>
              <w:keepNext/>
              <w:keepLines/>
              <w:jc w:val="center"/>
              <w:rPr>
                <w:b/>
                <w:bCs/>
                <w:lang w:val="fr-FR"/>
              </w:rPr>
            </w:pPr>
            <w:r w:rsidRPr="00365328">
              <w:rPr>
                <w:b/>
                <w:bCs/>
                <w:szCs w:val="22"/>
                <w:lang w:val="fr-FR"/>
              </w:rPr>
              <w:t>Nombre de demandes</w:t>
            </w:r>
          </w:p>
        </w:tc>
      </w:tr>
      <w:tr w:rsidR="00D202A4" w:rsidRPr="00365328" w:rsidTr="00963B78">
        <w:trPr>
          <w:cantSplit/>
        </w:trPr>
        <w:tc>
          <w:tcPr>
            <w:tcW w:w="8188" w:type="dxa"/>
            <w:tcBorders>
              <w:top w:val="single" w:sz="4" w:space="0" w:color="auto"/>
              <w:left w:val="single" w:sz="4" w:space="0" w:color="auto"/>
              <w:bottom w:val="single" w:sz="4" w:space="0" w:color="auto"/>
              <w:right w:val="single" w:sz="4" w:space="0" w:color="auto"/>
            </w:tcBorders>
            <w:hideMark/>
          </w:tcPr>
          <w:p w:rsidR="00D202A4" w:rsidRDefault="00E430DC" w:rsidP="00963B78">
            <w:pPr>
              <w:keepLines/>
              <w:rPr>
                <w:color w:val="000000"/>
                <w:szCs w:val="22"/>
                <w:lang w:val="fr-FR"/>
              </w:rPr>
            </w:pPr>
            <w:r w:rsidRPr="00365328">
              <w:rPr>
                <w:color w:val="000000"/>
                <w:szCs w:val="22"/>
                <w:lang w:val="fr-FR"/>
              </w:rPr>
              <w:t xml:space="preserve">Nombre total de demandes en suspens </w:t>
            </w:r>
            <w:r w:rsidR="004205BC" w:rsidRPr="00365328">
              <w:rPr>
                <w:color w:val="000000"/>
                <w:szCs w:val="22"/>
                <w:lang w:val="fr-FR"/>
              </w:rPr>
              <w:t>à l’égard</w:t>
            </w:r>
            <w:r w:rsidRPr="00365328">
              <w:rPr>
                <w:color w:val="000000"/>
                <w:szCs w:val="22"/>
                <w:lang w:val="fr-FR"/>
              </w:rPr>
              <w:t xml:space="preserve"> desquelles une demande de recherche et d</w:t>
            </w:r>
            <w:r w:rsidR="004205BC" w:rsidRPr="00365328">
              <w:rPr>
                <w:color w:val="000000"/>
                <w:szCs w:val="22"/>
                <w:lang w:val="fr-FR"/>
              </w:rPr>
              <w:t>’</w:t>
            </w:r>
            <w:r w:rsidRPr="00365328">
              <w:rPr>
                <w:color w:val="000000"/>
                <w:szCs w:val="22"/>
                <w:lang w:val="fr-FR"/>
              </w:rPr>
              <w:t xml:space="preserve">examen quant au fond a été déposée à la fin de 2016, </w:t>
            </w:r>
            <w:r w:rsidR="004205BC" w:rsidRPr="00365328">
              <w:rPr>
                <w:color w:val="000000"/>
                <w:szCs w:val="22"/>
                <w:lang w:val="fr-FR"/>
              </w:rPr>
              <w:t>y compris :</w:t>
            </w:r>
          </w:p>
          <w:p w:rsidR="008F1E49" w:rsidRPr="008F1E49" w:rsidRDefault="008F1E49" w:rsidP="00963B78">
            <w:pPr>
              <w:keepLines/>
              <w:rPr>
                <w:sz w:val="4"/>
                <w:szCs w:val="22"/>
                <w:lang w:val="fr-FR"/>
              </w:rPr>
            </w:pPr>
          </w:p>
        </w:tc>
        <w:tc>
          <w:tcPr>
            <w:tcW w:w="1418" w:type="dxa"/>
            <w:tcBorders>
              <w:top w:val="single" w:sz="4" w:space="0" w:color="auto"/>
              <w:left w:val="single" w:sz="4" w:space="0" w:color="auto"/>
              <w:bottom w:val="single" w:sz="4" w:space="0" w:color="auto"/>
              <w:right w:val="single" w:sz="4" w:space="0" w:color="auto"/>
            </w:tcBorders>
          </w:tcPr>
          <w:p w:rsidR="00F00552" w:rsidRPr="00365328" w:rsidRDefault="00F00552" w:rsidP="00963B78">
            <w:pPr>
              <w:jc w:val="center"/>
              <w:rPr>
                <w:szCs w:val="22"/>
                <w:lang w:val="fr-FR"/>
              </w:rPr>
            </w:pPr>
          </w:p>
          <w:p w:rsidR="00D202A4" w:rsidRPr="00365328" w:rsidRDefault="00E430DC" w:rsidP="00963B78">
            <w:pPr>
              <w:jc w:val="center"/>
              <w:rPr>
                <w:szCs w:val="22"/>
                <w:lang w:val="fr-FR"/>
              </w:rPr>
            </w:pPr>
            <w:r w:rsidRPr="00365328">
              <w:rPr>
                <w:color w:val="000000"/>
                <w:szCs w:val="22"/>
                <w:lang w:val="fr-FR"/>
              </w:rPr>
              <w:t>45 941</w:t>
            </w:r>
          </w:p>
        </w:tc>
      </w:tr>
      <w:tr w:rsidR="00D202A4" w:rsidRPr="00365328" w:rsidTr="00963B78">
        <w:trPr>
          <w:cantSplit/>
        </w:trPr>
        <w:tc>
          <w:tcPr>
            <w:tcW w:w="8188" w:type="dxa"/>
            <w:tcBorders>
              <w:top w:val="single" w:sz="4" w:space="0" w:color="auto"/>
              <w:left w:val="single" w:sz="4" w:space="0" w:color="auto"/>
              <w:bottom w:val="single" w:sz="4" w:space="0" w:color="auto"/>
              <w:right w:val="single" w:sz="4" w:space="0" w:color="auto"/>
            </w:tcBorders>
            <w:hideMark/>
          </w:tcPr>
          <w:p w:rsidR="00D202A4" w:rsidRDefault="00963B78" w:rsidP="00963B78">
            <w:pPr>
              <w:keepLines/>
              <w:rPr>
                <w:color w:val="000000"/>
                <w:szCs w:val="22"/>
                <w:lang w:val="fr-FR"/>
              </w:rPr>
            </w:pPr>
            <w:r>
              <w:rPr>
                <w:color w:val="000000"/>
                <w:szCs w:val="22"/>
                <w:lang w:val="fr-FR"/>
              </w:rPr>
              <w:t xml:space="preserve">les </w:t>
            </w:r>
            <w:r w:rsidR="00E430DC" w:rsidRPr="00365328">
              <w:rPr>
                <w:color w:val="000000"/>
                <w:szCs w:val="22"/>
                <w:lang w:val="fr-FR"/>
              </w:rPr>
              <w:t>demande</w:t>
            </w:r>
            <w:r w:rsidR="00E430DC" w:rsidRPr="00963B78">
              <w:rPr>
                <w:color w:val="000000"/>
                <w:szCs w:val="22"/>
                <w:lang w:val="fr-FR"/>
              </w:rPr>
              <w:t xml:space="preserve">s </w:t>
            </w:r>
            <w:r w:rsidR="004205BC" w:rsidRPr="00963B78">
              <w:rPr>
                <w:color w:val="000000"/>
                <w:szCs w:val="22"/>
                <w:lang w:val="fr-FR"/>
              </w:rPr>
              <w:t>à l’égard</w:t>
            </w:r>
            <w:r w:rsidR="00E430DC" w:rsidRPr="00963B78">
              <w:rPr>
                <w:color w:val="000000"/>
                <w:szCs w:val="22"/>
                <w:lang w:val="fr-FR"/>
              </w:rPr>
              <w:t xml:space="preserve"> desquelles la première décision de l</w:t>
            </w:r>
            <w:r w:rsidR="004205BC" w:rsidRPr="00963B78">
              <w:rPr>
                <w:color w:val="000000"/>
                <w:szCs w:val="22"/>
                <w:lang w:val="fr-FR"/>
              </w:rPr>
              <w:t>’</w:t>
            </w:r>
            <w:r w:rsidR="00E430DC" w:rsidRPr="00963B78">
              <w:rPr>
                <w:color w:val="000000"/>
                <w:szCs w:val="22"/>
                <w:lang w:val="fr-FR"/>
              </w:rPr>
              <w:t xml:space="preserve">office a été </w:t>
            </w:r>
            <w:r w:rsidR="005E05B8" w:rsidRPr="00963B78">
              <w:rPr>
                <w:color w:val="000000"/>
                <w:szCs w:val="22"/>
                <w:lang w:val="fr-FR"/>
              </w:rPr>
              <w:t>d</w:t>
            </w:r>
            <w:r w:rsidR="005E05B8" w:rsidRPr="00365328">
              <w:rPr>
                <w:color w:val="000000"/>
                <w:szCs w:val="22"/>
                <w:lang w:val="fr-FR"/>
              </w:rPr>
              <w:t>iffusée</w:t>
            </w:r>
          </w:p>
          <w:p w:rsidR="008F1E49" w:rsidRPr="008F1E49" w:rsidRDefault="008F1E49" w:rsidP="00963B78">
            <w:pPr>
              <w:keepLines/>
              <w:rPr>
                <w:sz w:val="4"/>
                <w:szCs w:val="22"/>
                <w:lang w:val="fr-FR"/>
              </w:rPr>
            </w:pPr>
          </w:p>
        </w:tc>
        <w:tc>
          <w:tcPr>
            <w:tcW w:w="1418" w:type="dxa"/>
            <w:tcBorders>
              <w:top w:val="single" w:sz="4" w:space="0" w:color="auto"/>
              <w:left w:val="single" w:sz="4" w:space="0" w:color="auto"/>
              <w:bottom w:val="single" w:sz="4" w:space="0" w:color="auto"/>
              <w:right w:val="single" w:sz="4" w:space="0" w:color="auto"/>
            </w:tcBorders>
          </w:tcPr>
          <w:p w:rsidR="00D202A4" w:rsidRPr="00365328" w:rsidRDefault="00E430DC" w:rsidP="00963B78">
            <w:pPr>
              <w:jc w:val="center"/>
              <w:rPr>
                <w:szCs w:val="22"/>
                <w:lang w:val="fr-FR"/>
              </w:rPr>
            </w:pPr>
            <w:r w:rsidRPr="00365328">
              <w:rPr>
                <w:color w:val="000000"/>
                <w:szCs w:val="22"/>
                <w:lang w:val="fr-FR"/>
              </w:rPr>
              <w:t>10 085</w:t>
            </w:r>
          </w:p>
        </w:tc>
      </w:tr>
      <w:tr w:rsidR="00D202A4" w:rsidRPr="00365328" w:rsidTr="00963B78">
        <w:trPr>
          <w:cantSplit/>
        </w:trPr>
        <w:tc>
          <w:tcPr>
            <w:tcW w:w="8188" w:type="dxa"/>
            <w:tcBorders>
              <w:top w:val="single" w:sz="4" w:space="0" w:color="auto"/>
              <w:left w:val="single" w:sz="4" w:space="0" w:color="auto"/>
              <w:bottom w:val="single" w:sz="4" w:space="0" w:color="auto"/>
              <w:right w:val="single" w:sz="4" w:space="0" w:color="auto"/>
            </w:tcBorders>
            <w:hideMark/>
          </w:tcPr>
          <w:p w:rsidR="00D202A4" w:rsidRDefault="00963B78" w:rsidP="00963B78">
            <w:pPr>
              <w:keepLines/>
              <w:rPr>
                <w:color w:val="000000"/>
                <w:szCs w:val="22"/>
                <w:lang w:val="fr-FR"/>
              </w:rPr>
            </w:pPr>
            <w:r>
              <w:rPr>
                <w:color w:val="000000"/>
                <w:szCs w:val="22"/>
                <w:lang w:val="fr-FR"/>
              </w:rPr>
              <w:t xml:space="preserve">les </w:t>
            </w:r>
            <w:r w:rsidR="00E430DC" w:rsidRPr="00365328">
              <w:rPr>
                <w:color w:val="000000"/>
                <w:szCs w:val="22"/>
                <w:lang w:val="fr-FR"/>
              </w:rPr>
              <w:t>demandes en attente de la recherche et de l</w:t>
            </w:r>
            <w:r w:rsidR="004205BC" w:rsidRPr="00365328">
              <w:rPr>
                <w:color w:val="000000"/>
                <w:szCs w:val="22"/>
                <w:lang w:val="fr-FR"/>
              </w:rPr>
              <w:t>’</w:t>
            </w:r>
            <w:r w:rsidR="00E430DC" w:rsidRPr="00365328">
              <w:rPr>
                <w:color w:val="000000"/>
                <w:szCs w:val="22"/>
                <w:lang w:val="fr-FR"/>
              </w:rPr>
              <w:t>examen</w:t>
            </w:r>
          </w:p>
          <w:p w:rsidR="008F1E49" w:rsidRPr="008F1E49" w:rsidRDefault="008F1E49" w:rsidP="00963B78">
            <w:pPr>
              <w:keepLines/>
              <w:rPr>
                <w:sz w:val="4"/>
                <w:szCs w:val="22"/>
                <w:lang w:val="fr-FR"/>
              </w:rPr>
            </w:pPr>
          </w:p>
        </w:tc>
        <w:tc>
          <w:tcPr>
            <w:tcW w:w="1418" w:type="dxa"/>
            <w:tcBorders>
              <w:top w:val="single" w:sz="4" w:space="0" w:color="auto"/>
              <w:left w:val="single" w:sz="4" w:space="0" w:color="auto"/>
              <w:bottom w:val="single" w:sz="4" w:space="0" w:color="auto"/>
              <w:right w:val="single" w:sz="4" w:space="0" w:color="auto"/>
            </w:tcBorders>
          </w:tcPr>
          <w:p w:rsidR="00D202A4" w:rsidRPr="00365328" w:rsidRDefault="00E430DC" w:rsidP="00963B78">
            <w:pPr>
              <w:jc w:val="center"/>
              <w:rPr>
                <w:szCs w:val="22"/>
                <w:lang w:val="fr-FR"/>
              </w:rPr>
            </w:pPr>
            <w:r w:rsidRPr="00365328">
              <w:rPr>
                <w:color w:val="000000"/>
                <w:szCs w:val="22"/>
                <w:lang w:val="fr-FR"/>
              </w:rPr>
              <w:t>35 856</w:t>
            </w:r>
          </w:p>
        </w:tc>
      </w:tr>
    </w:tbl>
    <w:p w:rsidR="00F00552" w:rsidRDefault="00F00552" w:rsidP="00963B78">
      <w:pPr>
        <w:rPr>
          <w:lang w:val="fr-FR"/>
        </w:rPr>
      </w:pPr>
    </w:p>
    <w:p w:rsidR="00963B78" w:rsidRDefault="00963B78" w:rsidP="00963B78">
      <w:pPr>
        <w:rPr>
          <w:lang w:val="fr-FR"/>
        </w:rPr>
      </w:pPr>
    </w:p>
    <w:p w:rsidR="00963B78" w:rsidRDefault="00963B78" w:rsidP="00963B78">
      <w:pPr>
        <w:rPr>
          <w:lang w:val="fr-FR"/>
        </w:rPr>
      </w:pPr>
    </w:p>
    <w:p w:rsidR="00AA5F79" w:rsidRPr="00365328" w:rsidRDefault="00FA4CE0" w:rsidP="00963B78">
      <w:pPr>
        <w:pStyle w:val="Endofdocument-Annex"/>
        <w:rPr>
          <w:lang w:val="fr-FR"/>
        </w:rPr>
      </w:pPr>
      <w:r w:rsidRPr="00365328">
        <w:rPr>
          <w:lang w:val="fr-FR"/>
        </w:rPr>
        <w:t>[</w:t>
      </w:r>
      <w:r w:rsidR="001954E5" w:rsidRPr="00365328">
        <w:rPr>
          <w:lang w:val="fr-FR"/>
        </w:rPr>
        <w:t>Fin de l</w:t>
      </w:r>
      <w:r w:rsidR="004205BC" w:rsidRPr="00365328">
        <w:rPr>
          <w:lang w:val="fr-FR"/>
        </w:rPr>
        <w:t>’</w:t>
      </w:r>
      <w:r w:rsidR="001954E5" w:rsidRPr="00365328">
        <w:rPr>
          <w:lang w:val="fr-FR"/>
        </w:rPr>
        <w:t>annexe et du document</w:t>
      </w:r>
      <w:r w:rsidRPr="00365328">
        <w:rPr>
          <w:lang w:val="fr-FR"/>
        </w:rPr>
        <w:t>]</w:t>
      </w:r>
    </w:p>
    <w:sectPr w:rsidR="00AA5F79" w:rsidRPr="00365328" w:rsidSect="004205B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52" w:rsidRDefault="00F00552">
      <w:r>
        <w:separator/>
      </w:r>
    </w:p>
  </w:endnote>
  <w:endnote w:type="continuationSeparator" w:id="0">
    <w:p w:rsidR="00F00552" w:rsidRDefault="00F00552" w:rsidP="003B38C1">
      <w:r>
        <w:separator/>
      </w:r>
    </w:p>
    <w:p w:rsidR="00F00552" w:rsidRPr="003B38C1" w:rsidRDefault="00F00552" w:rsidP="003B38C1">
      <w:pPr>
        <w:spacing w:after="60"/>
        <w:rPr>
          <w:sz w:val="17"/>
        </w:rPr>
      </w:pPr>
      <w:r>
        <w:rPr>
          <w:sz w:val="17"/>
        </w:rPr>
        <w:t>[Endnote continued from previous page]</w:t>
      </w:r>
    </w:p>
  </w:endnote>
  <w:endnote w:type="continuationNotice" w:id="1">
    <w:p w:rsidR="00F00552" w:rsidRPr="003B38C1" w:rsidRDefault="00F005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variable"/>
    <w:sig w:usb0="00000000"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52" w:rsidRDefault="00F00552">
      <w:r>
        <w:separator/>
      </w:r>
    </w:p>
  </w:footnote>
  <w:footnote w:type="continuationSeparator" w:id="0">
    <w:p w:rsidR="00F00552" w:rsidRDefault="00F00552" w:rsidP="008B60B2">
      <w:r>
        <w:separator/>
      </w:r>
    </w:p>
    <w:p w:rsidR="00F00552" w:rsidRPr="00ED77FB" w:rsidRDefault="00F00552" w:rsidP="008B60B2">
      <w:pPr>
        <w:spacing w:after="60"/>
        <w:rPr>
          <w:sz w:val="17"/>
          <w:szCs w:val="17"/>
        </w:rPr>
      </w:pPr>
      <w:r w:rsidRPr="00ED77FB">
        <w:rPr>
          <w:sz w:val="17"/>
          <w:szCs w:val="17"/>
        </w:rPr>
        <w:t>[Footnote continued from previous page]</w:t>
      </w:r>
    </w:p>
  </w:footnote>
  <w:footnote w:type="continuationNotice" w:id="1">
    <w:p w:rsidR="00F00552" w:rsidRPr="00ED77FB" w:rsidRDefault="00F005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52" w:rsidRDefault="00F00552" w:rsidP="00477D6B">
    <w:pPr>
      <w:jc w:val="right"/>
    </w:pPr>
    <w:bookmarkStart w:id="7" w:name="Code2"/>
    <w:bookmarkEnd w:id="7"/>
    <w:r>
      <w:t>PCT/CTC/30/</w:t>
    </w:r>
    <w:r w:rsidR="00016594">
      <w:t>17</w:t>
    </w:r>
  </w:p>
  <w:p w:rsidR="00F00552" w:rsidRDefault="00F00552" w:rsidP="00477D6B">
    <w:pPr>
      <w:jc w:val="right"/>
    </w:pPr>
    <w:r>
      <w:t>page</w:t>
    </w:r>
    <w:r w:rsidR="00016594">
      <w:t> </w:t>
    </w:r>
    <w:r>
      <w:fldChar w:fldCharType="begin"/>
    </w:r>
    <w:r>
      <w:instrText xml:space="preserve"> PAGE  \* MERGEFORMAT </w:instrText>
    </w:r>
    <w:r>
      <w:fldChar w:fldCharType="separate"/>
    </w:r>
    <w:r w:rsidR="00963B78">
      <w:rPr>
        <w:noProof/>
      </w:rPr>
      <w:t>2</w:t>
    </w:r>
    <w:r>
      <w:fldChar w:fldCharType="end"/>
    </w:r>
  </w:p>
  <w:p w:rsidR="00F00552" w:rsidRDefault="00F0055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52" w:rsidRPr="00AA5F79" w:rsidRDefault="00F00552" w:rsidP="00477D6B">
    <w:pPr>
      <w:jc w:val="right"/>
      <w:rPr>
        <w:lang w:val="fr-FR"/>
      </w:rPr>
    </w:pPr>
    <w:r w:rsidRPr="00AA5F79">
      <w:rPr>
        <w:lang w:val="fr-FR"/>
      </w:rPr>
      <w:t>PCT/CTC/30/</w:t>
    </w:r>
    <w:r>
      <w:rPr>
        <w:lang w:val="fr-FR"/>
      </w:rPr>
      <w:t>17</w:t>
    </w:r>
  </w:p>
  <w:p w:rsidR="00F00552" w:rsidRPr="00AA5F79" w:rsidRDefault="00F00552" w:rsidP="00477D6B">
    <w:pPr>
      <w:jc w:val="right"/>
      <w:rPr>
        <w:lang w:val="fr-FR"/>
      </w:rPr>
    </w:pPr>
    <w:r w:rsidRPr="00AA5F79">
      <w:rPr>
        <w:lang w:val="fr-FR"/>
      </w:rPr>
      <w:t>Annex</w:t>
    </w:r>
    <w:r>
      <w:rPr>
        <w:lang w:val="fr-FR"/>
      </w:rPr>
      <w:t>e</w:t>
    </w:r>
    <w:r w:rsidR="004205BC">
      <w:rPr>
        <w:lang w:val="fr-FR"/>
      </w:rPr>
      <w:t>, page </w:t>
    </w:r>
    <w:r>
      <w:fldChar w:fldCharType="begin"/>
    </w:r>
    <w:r w:rsidRPr="00AA5F79">
      <w:rPr>
        <w:lang w:val="fr-FR"/>
      </w:rPr>
      <w:instrText xml:space="preserve"> PAGE  \* MERGEFORMAT </w:instrText>
    </w:r>
    <w:r>
      <w:fldChar w:fldCharType="separate"/>
    </w:r>
    <w:r w:rsidR="00112AA7">
      <w:rPr>
        <w:noProof/>
        <w:lang w:val="fr-FR"/>
      </w:rPr>
      <w:t>2</w:t>
    </w:r>
    <w:r>
      <w:fldChar w:fldCharType="end"/>
    </w:r>
  </w:p>
  <w:p w:rsidR="00F00552" w:rsidRPr="00AA5F79" w:rsidRDefault="00F00552"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52" w:rsidRDefault="00F00552" w:rsidP="00AA5F79">
    <w:pPr>
      <w:pStyle w:val="Header"/>
      <w:jc w:val="right"/>
    </w:pPr>
    <w:r>
      <w:t>PCT/CTC/30/17</w:t>
    </w:r>
  </w:p>
  <w:p w:rsidR="00F00552" w:rsidRDefault="00F00552" w:rsidP="00AA5F79">
    <w:pPr>
      <w:pStyle w:val="Header"/>
      <w:jc w:val="right"/>
    </w:pPr>
    <w:r>
      <w:t>ANNEXE</w:t>
    </w:r>
  </w:p>
  <w:p w:rsidR="00F00552" w:rsidRDefault="00F00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C650A4"/>
    <w:rsid w:val="00011582"/>
    <w:rsid w:val="00016594"/>
    <w:rsid w:val="00043CAA"/>
    <w:rsid w:val="00075432"/>
    <w:rsid w:val="000968ED"/>
    <w:rsid w:val="000D08F6"/>
    <w:rsid w:val="000F5E56"/>
    <w:rsid w:val="00112AA7"/>
    <w:rsid w:val="001362EE"/>
    <w:rsid w:val="00145EFA"/>
    <w:rsid w:val="001729D9"/>
    <w:rsid w:val="001832A6"/>
    <w:rsid w:val="001954E5"/>
    <w:rsid w:val="001E0089"/>
    <w:rsid w:val="0021217E"/>
    <w:rsid w:val="002634C4"/>
    <w:rsid w:val="00272516"/>
    <w:rsid w:val="002928D3"/>
    <w:rsid w:val="002F1FE6"/>
    <w:rsid w:val="002F4E68"/>
    <w:rsid w:val="00312F7F"/>
    <w:rsid w:val="0035027E"/>
    <w:rsid w:val="00357D6C"/>
    <w:rsid w:val="00361450"/>
    <w:rsid w:val="00365328"/>
    <w:rsid w:val="003673CF"/>
    <w:rsid w:val="003721BE"/>
    <w:rsid w:val="003845C1"/>
    <w:rsid w:val="003A6F89"/>
    <w:rsid w:val="003B38C1"/>
    <w:rsid w:val="004205BC"/>
    <w:rsid w:val="00423E3E"/>
    <w:rsid w:val="00427AF4"/>
    <w:rsid w:val="004647DA"/>
    <w:rsid w:val="00474062"/>
    <w:rsid w:val="00477D6B"/>
    <w:rsid w:val="004F36BB"/>
    <w:rsid w:val="004F74E6"/>
    <w:rsid w:val="005019FF"/>
    <w:rsid w:val="0053057A"/>
    <w:rsid w:val="00541E7C"/>
    <w:rsid w:val="00560A29"/>
    <w:rsid w:val="005C40A3"/>
    <w:rsid w:val="005C6649"/>
    <w:rsid w:val="005E05B8"/>
    <w:rsid w:val="00605827"/>
    <w:rsid w:val="00612F2E"/>
    <w:rsid w:val="00646050"/>
    <w:rsid w:val="006713CA"/>
    <w:rsid w:val="00676A7D"/>
    <w:rsid w:val="00676C5C"/>
    <w:rsid w:val="007D1613"/>
    <w:rsid w:val="007E4C0E"/>
    <w:rsid w:val="00837953"/>
    <w:rsid w:val="008510B2"/>
    <w:rsid w:val="00886845"/>
    <w:rsid w:val="00897A57"/>
    <w:rsid w:val="008B2CC1"/>
    <w:rsid w:val="008B50A2"/>
    <w:rsid w:val="008B60B2"/>
    <w:rsid w:val="008F1E49"/>
    <w:rsid w:val="008F36ED"/>
    <w:rsid w:val="009004E4"/>
    <w:rsid w:val="0090563A"/>
    <w:rsid w:val="0090731E"/>
    <w:rsid w:val="00916EE2"/>
    <w:rsid w:val="00963B78"/>
    <w:rsid w:val="00966187"/>
    <w:rsid w:val="00966A22"/>
    <w:rsid w:val="0096722F"/>
    <w:rsid w:val="00977AAB"/>
    <w:rsid w:val="00980843"/>
    <w:rsid w:val="009E2791"/>
    <w:rsid w:val="009E3F6F"/>
    <w:rsid w:val="009F2A05"/>
    <w:rsid w:val="009F499F"/>
    <w:rsid w:val="00A12442"/>
    <w:rsid w:val="00A31735"/>
    <w:rsid w:val="00A42DAF"/>
    <w:rsid w:val="00A45BD8"/>
    <w:rsid w:val="00A52E14"/>
    <w:rsid w:val="00A7304E"/>
    <w:rsid w:val="00A869B7"/>
    <w:rsid w:val="00A93FC2"/>
    <w:rsid w:val="00AA5F79"/>
    <w:rsid w:val="00AC205C"/>
    <w:rsid w:val="00AF0A6B"/>
    <w:rsid w:val="00B05A69"/>
    <w:rsid w:val="00B66A86"/>
    <w:rsid w:val="00B92AB3"/>
    <w:rsid w:val="00B9734B"/>
    <w:rsid w:val="00BA30E2"/>
    <w:rsid w:val="00BD078D"/>
    <w:rsid w:val="00BE7B83"/>
    <w:rsid w:val="00C11BFE"/>
    <w:rsid w:val="00C37C03"/>
    <w:rsid w:val="00C5068F"/>
    <w:rsid w:val="00C650A4"/>
    <w:rsid w:val="00C656E5"/>
    <w:rsid w:val="00CD04F1"/>
    <w:rsid w:val="00D028DE"/>
    <w:rsid w:val="00D202A4"/>
    <w:rsid w:val="00D20AD5"/>
    <w:rsid w:val="00D45252"/>
    <w:rsid w:val="00D701BE"/>
    <w:rsid w:val="00D71B4D"/>
    <w:rsid w:val="00D93D55"/>
    <w:rsid w:val="00DE7501"/>
    <w:rsid w:val="00E056C4"/>
    <w:rsid w:val="00E15015"/>
    <w:rsid w:val="00E335FE"/>
    <w:rsid w:val="00E430DC"/>
    <w:rsid w:val="00E5482A"/>
    <w:rsid w:val="00E82D0C"/>
    <w:rsid w:val="00EB11B9"/>
    <w:rsid w:val="00EC0252"/>
    <w:rsid w:val="00EC4E49"/>
    <w:rsid w:val="00ED77FB"/>
    <w:rsid w:val="00EE45FA"/>
    <w:rsid w:val="00F00552"/>
    <w:rsid w:val="00F0717D"/>
    <w:rsid w:val="00F241A3"/>
    <w:rsid w:val="00F66152"/>
    <w:rsid w:val="00FA2CF8"/>
    <w:rsid w:val="00FA4CE0"/>
    <w:rsid w:val="00FA55E7"/>
    <w:rsid w:val="00FD06A7"/>
    <w:rsid w:val="00FD35A7"/>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D202A4"/>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D202A4"/>
    <w:rPr>
      <w:rFonts w:ascii="Arial" w:eastAsia="SimSun" w:hAnsi="Arial" w:cs="Arial"/>
      <w:bCs/>
      <w:sz w:val="22"/>
      <w:szCs w:val="26"/>
      <w:u w:val="single"/>
      <w:lang w:eastAsia="zh-CN"/>
    </w:rPr>
  </w:style>
  <w:style w:type="paragraph" w:customStyle="1" w:styleId="t-t-r">
    <w:name w:val="t-t-r"/>
    <w:basedOn w:val="Normal"/>
    <w:rsid w:val="00D202A4"/>
    <w:rPr>
      <w:rFonts w:ascii="Verdana" w:eastAsia="Times New Roman" w:hAnsi="Verdana" w:cs="Times New Roman"/>
      <w:color w:val="1E1E1C"/>
      <w:sz w:val="8"/>
      <w:szCs w:val="8"/>
      <w:lang w:val="ru-RU" w:eastAsia="ru-RU"/>
    </w:rPr>
  </w:style>
  <w:style w:type="character" w:customStyle="1" w:styleId="shorttext">
    <w:name w:val="short_text"/>
    <w:basedOn w:val="DefaultParagraphFont"/>
    <w:rsid w:val="00D202A4"/>
  </w:style>
  <w:style w:type="character" w:customStyle="1" w:styleId="alt-edited">
    <w:name w:val="alt-edited"/>
    <w:basedOn w:val="DefaultParagraphFont"/>
    <w:rsid w:val="00D202A4"/>
  </w:style>
  <w:style w:type="character" w:styleId="Strong">
    <w:name w:val="Strong"/>
    <w:basedOn w:val="DefaultParagraphFont"/>
    <w:uiPriority w:val="22"/>
    <w:qFormat/>
    <w:rsid w:val="00D202A4"/>
    <w:rPr>
      <w:b/>
      <w:bCs/>
    </w:rPr>
  </w:style>
  <w:style w:type="character" w:customStyle="1" w:styleId="SectionHeadingChar">
    <w:name w:val="Section Heading Char"/>
    <w:link w:val="SectionHeading"/>
    <w:locked/>
    <w:rsid w:val="00D202A4"/>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202A4"/>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8F36ED"/>
    <w:rPr>
      <w:color w:val="0000FF" w:themeColor="hyperlink"/>
      <w:u w:val="single"/>
    </w:rPr>
  </w:style>
  <w:style w:type="character" w:customStyle="1" w:styleId="st1">
    <w:name w:val="st1"/>
    <w:basedOn w:val="DefaultParagraphFont"/>
    <w:rsid w:val="00195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D202A4"/>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D202A4"/>
    <w:rPr>
      <w:rFonts w:ascii="Arial" w:eastAsia="SimSun" w:hAnsi="Arial" w:cs="Arial"/>
      <w:bCs/>
      <w:sz w:val="22"/>
      <w:szCs w:val="26"/>
      <w:u w:val="single"/>
      <w:lang w:eastAsia="zh-CN"/>
    </w:rPr>
  </w:style>
  <w:style w:type="paragraph" w:customStyle="1" w:styleId="t-t-r">
    <w:name w:val="t-t-r"/>
    <w:basedOn w:val="Normal"/>
    <w:rsid w:val="00D202A4"/>
    <w:rPr>
      <w:rFonts w:ascii="Verdana" w:eastAsia="Times New Roman" w:hAnsi="Verdana" w:cs="Times New Roman"/>
      <w:color w:val="1E1E1C"/>
      <w:sz w:val="8"/>
      <w:szCs w:val="8"/>
      <w:lang w:val="ru-RU" w:eastAsia="ru-RU"/>
    </w:rPr>
  </w:style>
  <w:style w:type="character" w:customStyle="1" w:styleId="shorttext">
    <w:name w:val="short_text"/>
    <w:basedOn w:val="DefaultParagraphFont"/>
    <w:rsid w:val="00D202A4"/>
  </w:style>
  <w:style w:type="character" w:customStyle="1" w:styleId="alt-edited">
    <w:name w:val="alt-edited"/>
    <w:basedOn w:val="DefaultParagraphFont"/>
    <w:rsid w:val="00D202A4"/>
  </w:style>
  <w:style w:type="character" w:styleId="Strong">
    <w:name w:val="Strong"/>
    <w:basedOn w:val="DefaultParagraphFont"/>
    <w:uiPriority w:val="22"/>
    <w:qFormat/>
    <w:rsid w:val="00D202A4"/>
    <w:rPr>
      <w:b/>
      <w:bCs/>
    </w:rPr>
  </w:style>
  <w:style w:type="character" w:customStyle="1" w:styleId="SectionHeadingChar">
    <w:name w:val="Section Heading Char"/>
    <w:link w:val="SectionHeading"/>
    <w:locked/>
    <w:rsid w:val="00D202A4"/>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202A4"/>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8F36ED"/>
    <w:rPr>
      <w:color w:val="0000FF" w:themeColor="hyperlink"/>
      <w:u w:val="single"/>
    </w:rPr>
  </w:style>
  <w:style w:type="character" w:customStyle="1" w:styleId="st1">
    <w:name w:val="st1"/>
    <w:basedOn w:val="DefaultParagraphFont"/>
    <w:rsid w:val="0019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1464">
      <w:bodyDiv w:val="1"/>
      <w:marLeft w:val="0"/>
      <w:marRight w:val="0"/>
      <w:marTop w:val="0"/>
      <w:marBottom w:val="0"/>
      <w:divBdr>
        <w:top w:val="none" w:sz="0" w:space="0" w:color="auto"/>
        <w:left w:val="none" w:sz="0" w:space="0" w:color="auto"/>
        <w:bottom w:val="none" w:sz="0" w:space="0" w:color="auto"/>
        <w:right w:val="none" w:sz="0" w:space="0" w:color="auto"/>
      </w:divBdr>
    </w:div>
    <w:div w:id="19950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71529-4F7B-4A65-9210-711E1A38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0</TotalTime>
  <Pages>2</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PCT/CTC/30/17</vt:lpstr>
    </vt:vector>
  </TitlesOfParts>
  <Company>WIPO</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PCT/CTC/30/17</dc:title>
  <dc:subject>Extension of Appointment of Russian Federal Service for Intellectual Property as an International Searching and Preliminary Examining Authority Under the PCT</dc:subject>
  <dc:creator>MARLOW Thomas</dc:creator>
  <cp:keywords>NGG/ko</cp:keywords>
  <cp:lastModifiedBy>MARLOW Thomas</cp:lastModifiedBy>
  <cp:revision>2</cp:revision>
  <cp:lastPrinted>2017-03-27T13:53:00Z</cp:lastPrinted>
  <dcterms:created xsi:type="dcterms:W3CDTF">2017-03-29T08:03:00Z</dcterms:created>
  <dcterms:modified xsi:type="dcterms:W3CDTF">2017-03-29T08:03:00Z</dcterms:modified>
</cp:coreProperties>
</file>