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09165C" w:rsidTr="0088395E">
        <w:tc>
          <w:tcPr>
            <w:tcW w:w="4513" w:type="dxa"/>
            <w:tcBorders>
              <w:bottom w:val="single" w:sz="4" w:space="0" w:color="auto"/>
            </w:tcBorders>
            <w:tcMar>
              <w:bottom w:w="170" w:type="dxa"/>
            </w:tcMar>
          </w:tcPr>
          <w:p w:rsidR="00E504E5" w:rsidRPr="0009165C" w:rsidRDefault="00E504E5" w:rsidP="00AB613D">
            <w:bookmarkStart w:id="0" w:name="_GoBack"/>
            <w:bookmarkEnd w:id="0"/>
          </w:p>
        </w:tc>
        <w:tc>
          <w:tcPr>
            <w:tcW w:w="4337" w:type="dxa"/>
            <w:tcBorders>
              <w:bottom w:val="single" w:sz="4" w:space="0" w:color="auto"/>
            </w:tcBorders>
            <w:tcMar>
              <w:left w:w="0" w:type="dxa"/>
              <w:right w:w="0" w:type="dxa"/>
            </w:tcMar>
          </w:tcPr>
          <w:p w:rsidR="00E504E5" w:rsidRPr="0009165C" w:rsidRDefault="00E0488E" w:rsidP="00AB613D">
            <w:r w:rsidRPr="0009165C">
              <w:rPr>
                <w:noProof/>
                <w:lang w:val="en-US" w:eastAsia="en-US"/>
              </w:rPr>
              <w:drawing>
                <wp:inline distT="0" distB="0" distL="0" distR="0" wp14:anchorId="3C4C04F8" wp14:editId="4B67856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9165C" w:rsidRDefault="00E504E5" w:rsidP="00AB613D">
            <w:pPr>
              <w:jc w:val="right"/>
            </w:pPr>
            <w:r w:rsidRPr="0009165C">
              <w:rPr>
                <w:b/>
                <w:sz w:val="40"/>
                <w:szCs w:val="40"/>
              </w:rPr>
              <w:t>S</w:t>
            </w:r>
          </w:p>
        </w:tc>
      </w:tr>
      <w:tr w:rsidR="008B2CC1" w:rsidRPr="0009165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9165C" w:rsidRDefault="00E0488E" w:rsidP="000A0558">
            <w:pPr>
              <w:jc w:val="right"/>
              <w:rPr>
                <w:rFonts w:ascii="Arial Black" w:hAnsi="Arial Black"/>
                <w:caps/>
                <w:sz w:val="15"/>
              </w:rPr>
            </w:pPr>
            <w:r w:rsidRPr="0009165C">
              <w:rPr>
                <w:rFonts w:ascii="Arial Black" w:hAnsi="Arial Black"/>
                <w:caps/>
                <w:sz w:val="15"/>
              </w:rPr>
              <w:t>PCT/WG/9/</w:t>
            </w:r>
            <w:bookmarkStart w:id="1" w:name="Code"/>
            <w:bookmarkEnd w:id="1"/>
            <w:r w:rsidR="000A0558" w:rsidRPr="0009165C">
              <w:rPr>
                <w:rFonts w:ascii="Arial Black" w:hAnsi="Arial Black"/>
                <w:caps/>
                <w:sz w:val="15"/>
              </w:rPr>
              <w:t>22</w:t>
            </w:r>
          </w:p>
        </w:tc>
      </w:tr>
      <w:tr w:rsidR="008B2CC1" w:rsidRPr="0009165C" w:rsidTr="00AB613D">
        <w:trPr>
          <w:trHeight w:hRule="exact" w:val="170"/>
        </w:trPr>
        <w:tc>
          <w:tcPr>
            <w:tcW w:w="9356" w:type="dxa"/>
            <w:gridSpan w:val="3"/>
            <w:noWrap/>
            <w:tcMar>
              <w:left w:w="0" w:type="dxa"/>
              <w:right w:w="0" w:type="dxa"/>
            </w:tcMar>
            <w:vAlign w:val="bottom"/>
          </w:tcPr>
          <w:p w:rsidR="008B2CC1" w:rsidRPr="0009165C" w:rsidRDefault="008B2CC1" w:rsidP="001E70E6">
            <w:pPr>
              <w:jc w:val="right"/>
              <w:rPr>
                <w:rFonts w:ascii="Arial Black" w:hAnsi="Arial Black"/>
                <w:caps/>
                <w:sz w:val="15"/>
              </w:rPr>
            </w:pPr>
            <w:r w:rsidRPr="0009165C">
              <w:rPr>
                <w:rFonts w:ascii="Arial Black" w:hAnsi="Arial Black"/>
                <w:caps/>
                <w:sz w:val="15"/>
              </w:rPr>
              <w:t xml:space="preserve">ORIGINAL: </w:t>
            </w:r>
            <w:bookmarkStart w:id="2" w:name="Original"/>
            <w:bookmarkEnd w:id="2"/>
            <w:r w:rsidR="00190B18">
              <w:rPr>
                <w:rFonts w:ascii="Arial Black" w:hAnsi="Arial Black"/>
                <w:caps/>
                <w:sz w:val="15"/>
              </w:rPr>
              <w:t xml:space="preserve"> </w:t>
            </w:r>
            <w:r w:rsidR="00E57476" w:rsidRPr="0009165C">
              <w:rPr>
                <w:rFonts w:ascii="Arial Black" w:hAnsi="Arial Black"/>
                <w:caps/>
                <w:sz w:val="15"/>
              </w:rPr>
              <w:t>INGLÉS</w:t>
            </w:r>
          </w:p>
        </w:tc>
      </w:tr>
      <w:tr w:rsidR="008B2CC1" w:rsidRPr="0009165C" w:rsidTr="00AB613D">
        <w:trPr>
          <w:trHeight w:hRule="exact" w:val="198"/>
        </w:trPr>
        <w:tc>
          <w:tcPr>
            <w:tcW w:w="9356" w:type="dxa"/>
            <w:gridSpan w:val="3"/>
            <w:tcMar>
              <w:left w:w="0" w:type="dxa"/>
              <w:right w:w="0" w:type="dxa"/>
            </w:tcMar>
            <w:vAlign w:val="bottom"/>
          </w:tcPr>
          <w:p w:rsidR="008B2CC1" w:rsidRPr="0009165C" w:rsidRDefault="00675021" w:rsidP="001E70E6">
            <w:pPr>
              <w:jc w:val="right"/>
              <w:rPr>
                <w:rFonts w:ascii="Arial Black" w:hAnsi="Arial Black"/>
                <w:caps/>
                <w:sz w:val="15"/>
              </w:rPr>
            </w:pPr>
            <w:r w:rsidRPr="0009165C">
              <w:rPr>
                <w:rFonts w:ascii="Arial Black" w:hAnsi="Arial Black"/>
                <w:caps/>
                <w:sz w:val="15"/>
              </w:rPr>
              <w:t>fecha</w:t>
            </w:r>
            <w:r w:rsidR="008B2CC1" w:rsidRPr="0009165C">
              <w:rPr>
                <w:rFonts w:ascii="Arial Black" w:hAnsi="Arial Black"/>
                <w:caps/>
                <w:sz w:val="15"/>
              </w:rPr>
              <w:t>:</w:t>
            </w:r>
            <w:bookmarkStart w:id="3" w:name="Date"/>
            <w:bookmarkEnd w:id="3"/>
            <w:r w:rsidR="004B1FE7" w:rsidRPr="0009165C">
              <w:rPr>
                <w:rFonts w:ascii="Arial Black" w:hAnsi="Arial Black"/>
                <w:caps/>
                <w:sz w:val="15"/>
              </w:rPr>
              <w:t xml:space="preserve"> </w:t>
            </w:r>
            <w:r w:rsidR="00E57476" w:rsidRPr="0009165C">
              <w:rPr>
                <w:rFonts w:ascii="Arial Black" w:hAnsi="Arial Black"/>
                <w:caps/>
                <w:sz w:val="15"/>
              </w:rPr>
              <w:t>13 DE ABRIL DE 2016</w:t>
            </w:r>
          </w:p>
        </w:tc>
      </w:tr>
    </w:tbl>
    <w:p w:rsidR="008B2CC1" w:rsidRPr="0009165C" w:rsidRDefault="008B2CC1" w:rsidP="008B2CC1"/>
    <w:p w:rsidR="008B2CC1" w:rsidRPr="0009165C" w:rsidRDefault="008B2CC1" w:rsidP="008B2CC1"/>
    <w:p w:rsidR="008B2CC1" w:rsidRPr="0009165C" w:rsidRDefault="008B2CC1" w:rsidP="008B2CC1"/>
    <w:p w:rsidR="008B2CC1" w:rsidRPr="0009165C" w:rsidRDefault="008B2CC1" w:rsidP="008B2CC1"/>
    <w:p w:rsidR="008B2CC1" w:rsidRPr="0009165C" w:rsidRDefault="008B2CC1" w:rsidP="008B2CC1"/>
    <w:p w:rsidR="00B67CDC" w:rsidRPr="0009165C" w:rsidRDefault="00E0488E" w:rsidP="00B67CDC">
      <w:pPr>
        <w:rPr>
          <w:b/>
          <w:sz w:val="28"/>
          <w:szCs w:val="28"/>
        </w:rPr>
      </w:pPr>
      <w:r w:rsidRPr="0009165C">
        <w:rPr>
          <w:b/>
          <w:sz w:val="28"/>
          <w:szCs w:val="28"/>
        </w:rPr>
        <w:t>Grupo de Trabajo del Tratado de Cooperac</w:t>
      </w:r>
      <w:r w:rsidR="00992C4E">
        <w:rPr>
          <w:b/>
          <w:sz w:val="28"/>
          <w:szCs w:val="28"/>
        </w:rPr>
        <w:t>ión</w:t>
      </w:r>
      <w:r w:rsidRPr="0009165C">
        <w:rPr>
          <w:b/>
          <w:sz w:val="28"/>
          <w:szCs w:val="28"/>
        </w:rPr>
        <w:t xml:space="preserve"> en materia de Patentes (PCT)</w:t>
      </w:r>
    </w:p>
    <w:p w:rsidR="003845C1" w:rsidRPr="0009165C" w:rsidRDefault="003845C1" w:rsidP="003845C1"/>
    <w:p w:rsidR="003845C1" w:rsidRPr="0009165C" w:rsidRDefault="003845C1" w:rsidP="003845C1"/>
    <w:p w:rsidR="00B67CDC" w:rsidRPr="0009165C" w:rsidRDefault="00E0488E" w:rsidP="00B67CDC">
      <w:pPr>
        <w:rPr>
          <w:b/>
          <w:sz w:val="24"/>
          <w:szCs w:val="24"/>
        </w:rPr>
      </w:pPr>
      <w:r w:rsidRPr="0009165C">
        <w:rPr>
          <w:b/>
          <w:sz w:val="24"/>
          <w:szCs w:val="24"/>
        </w:rPr>
        <w:t>Novena reun</w:t>
      </w:r>
      <w:r w:rsidR="00B67CDC" w:rsidRPr="0009165C">
        <w:rPr>
          <w:b/>
          <w:sz w:val="24"/>
          <w:szCs w:val="24"/>
        </w:rPr>
        <w:t>ión</w:t>
      </w:r>
    </w:p>
    <w:p w:rsidR="00B67CDC" w:rsidRPr="0009165C" w:rsidRDefault="00E0488E" w:rsidP="00B67CDC">
      <w:pPr>
        <w:rPr>
          <w:b/>
          <w:sz w:val="24"/>
          <w:szCs w:val="24"/>
        </w:rPr>
      </w:pPr>
      <w:r w:rsidRPr="0009165C">
        <w:rPr>
          <w:b/>
          <w:sz w:val="24"/>
          <w:szCs w:val="24"/>
        </w:rPr>
        <w:t>Ginebra, 17 a 20 de mayo de 2016</w:t>
      </w:r>
    </w:p>
    <w:p w:rsidR="008B2CC1" w:rsidRPr="0009165C" w:rsidRDefault="008B2CC1" w:rsidP="008B2CC1"/>
    <w:p w:rsidR="008B2CC1" w:rsidRPr="0009165C" w:rsidRDefault="008B2CC1" w:rsidP="008B2CC1"/>
    <w:p w:rsidR="008B2CC1" w:rsidRPr="0009165C" w:rsidRDefault="008B2CC1" w:rsidP="008B2CC1"/>
    <w:p w:rsidR="000A0558" w:rsidRPr="0009165C" w:rsidRDefault="00B942D4" w:rsidP="00B942D4">
      <w:pPr>
        <w:rPr>
          <w:caps/>
          <w:sz w:val="24"/>
        </w:rPr>
      </w:pPr>
      <w:bookmarkStart w:id="4" w:name="TitleOfDoc"/>
      <w:bookmarkEnd w:id="4"/>
      <w:r w:rsidRPr="0009165C">
        <w:rPr>
          <w:caps/>
          <w:sz w:val="24"/>
        </w:rPr>
        <w:t>EQUIPO TÉCNICO SOBRE DOCUMENTACIÓN MÍNIMA DEL PCT</w:t>
      </w:r>
      <w:r w:rsidR="000A0558" w:rsidRPr="0009165C">
        <w:rPr>
          <w:caps/>
          <w:sz w:val="24"/>
        </w:rPr>
        <w:t xml:space="preserve">:  </w:t>
      </w:r>
      <w:r w:rsidRPr="0009165C">
        <w:rPr>
          <w:caps/>
          <w:sz w:val="24"/>
        </w:rPr>
        <w:t>INFORME DE SITUACIÓN</w:t>
      </w:r>
    </w:p>
    <w:p w:rsidR="000A0558" w:rsidRPr="0009165C" w:rsidRDefault="000A0558" w:rsidP="000A0558"/>
    <w:p w:rsidR="008326EF" w:rsidRPr="008326EF" w:rsidRDefault="008326EF" w:rsidP="000A0558">
      <w:pPr>
        <w:rPr>
          <w:i/>
        </w:rPr>
      </w:pPr>
      <w:bookmarkStart w:id="5" w:name="Prepared"/>
      <w:bookmarkEnd w:id="5"/>
      <w:r w:rsidRPr="008326EF">
        <w:rPr>
          <w:i/>
        </w:rPr>
        <w:t>Documento preparado por la Oficina Europea de Patentes</w:t>
      </w:r>
    </w:p>
    <w:p w:rsidR="004A55EE" w:rsidRPr="0009165C" w:rsidRDefault="004A55EE" w:rsidP="004A55EE"/>
    <w:p w:rsidR="004A55EE" w:rsidRPr="0009165C" w:rsidRDefault="004A55EE" w:rsidP="004A55EE"/>
    <w:p w:rsidR="004A55EE" w:rsidRPr="0009165C" w:rsidRDefault="004A55EE" w:rsidP="004A55EE"/>
    <w:p w:rsidR="004A55EE" w:rsidRPr="0009165C" w:rsidRDefault="004A55EE" w:rsidP="004A55EE"/>
    <w:p w:rsidR="000A0558" w:rsidRPr="00D10FCD" w:rsidRDefault="00B942D4" w:rsidP="000A0558">
      <w:pPr>
        <w:pStyle w:val="Heading1"/>
      </w:pPr>
      <w:r w:rsidRPr="00D10FCD">
        <w:t>RESUMEN</w:t>
      </w:r>
    </w:p>
    <w:p w:rsidR="000A0558" w:rsidRPr="00D10FCD" w:rsidRDefault="00480E69" w:rsidP="008326EF">
      <w:pPr>
        <w:pStyle w:val="ONUMFS"/>
      </w:pPr>
      <w:r w:rsidRPr="00D10FCD">
        <w:t xml:space="preserve">En el presente documento se informa acerca del </w:t>
      </w:r>
      <w:r w:rsidR="00FC48EB" w:rsidRPr="00D10FCD">
        <w:t>E</w:t>
      </w:r>
      <w:r w:rsidRPr="00D10FCD">
        <w:t xml:space="preserve">quipo </w:t>
      </w:r>
      <w:r w:rsidR="00FC48EB" w:rsidRPr="00D10FCD">
        <w:t>T</w:t>
      </w:r>
      <w:r w:rsidRPr="00D10FCD">
        <w:t xml:space="preserve">écnico sobre </w:t>
      </w:r>
      <w:r w:rsidR="00992C4E" w:rsidRPr="00D10FCD">
        <w:t>d</w:t>
      </w:r>
      <w:r w:rsidRPr="00D10FCD">
        <w:t xml:space="preserve">ocumentación </w:t>
      </w:r>
      <w:r w:rsidR="00992C4E" w:rsidRPr="00D10FCD">
        <w:t>m</w:t>
      </w:r>
      <w:r w:rsidRPr="00D10FCD">
        <w:t xml:space="preserve">ínima del PCT (en adelante “el </w:t>
      </w:r>
      <w:r w:rsidR="00FC48EB" w:rsidRPr="00D10FCD">
        <w:t>E</w:t>
      </w:r>
      <w:r w:rsidRPr="00D10FCD">
        <w:t xml:space="preserve">quipo </w:t>
      </w:r>
      <w:r w:rsidR="00FC48EB" w:rsidRPr="00D10FCD">
        <w:t>T</w:t>
      </w:r>
      <w:r w:rsidRPr="00D10FCD">
        <w:t xml:space="preserve">écnico”) y se resumen las medidas </w:t>
      </w:r>
      <w:r w:rsidR="00992C4E" w:rsidRPr="00D10FCD">
        <w:t xml:space="preserve">para reactivarlo </w:t>
      </w:r>
      <w:r w:rsidRPr="00D10FCD">
        <w:t>adoptadas desde la última sesión de la Reunión de las Administraciones Internacionales</w:t>
      </w:r>
      <w:r w:rsidR="00561651" w:rsidRPr="00D10FCD">
        <w:t xml:space="preserve"> </w:t>
      </w:r>
      <w:r w:rsidR="00992C4E" w:rsidRPr="00D10FCD">
        <w:t>(“la Reunión”)</w:t>
      </w:r>
      <w:r w:rsidRPr="00D10FCD">
        <w:t>, celebrada en Santiago (Chile) de</w:t>
      </w:r>
      <w:r w:rsidR="00D10FCD" w:rsidRPr="00D10FCD">
        <w:t>l 2</w:t>
      </w:r>
      <w:r w:rsidRPr="00D10FCD">
        <w:t>0 a</w:t>
      </w:r>
      <w:r w:rsidR="00D10FCD" w:rsidRPr="00D10FCD">
        <w:t>l 2</w:t>
      </w:r>
      <w:r w:rsidRPr="00D10FCD">
        <w:t>2 de enero d</w:t>
      </w:r>
      <w:r w:rsidR="00D10FCD" w:rsidRPr="00D10FCD">
        <w:t>e 2</w:t>
      </w:r>
      <w:r w:rsidRPr="00D10FCD">
        <w:t>016</w:t>
      </w:r>
      <w:r w:rsidR="000A0558" w:rsidRPr="00D10FCD">
        <w:t>.</w:t>
      </w:r>
      <w:bookmarkStart w:id="6" w:name="_Ref377712795"/>
    </w:p>
    <w:p w:rsidR="000A0558" w:rsidRPr="00D10FCD" w:rsidRDefault="00B942D4" w:rsidP="000A0558">
      <w:pPr>
        <w:pStyle w:val="Heading1"/>
      </w:pPr>
      <w:r w:rsidRPr="00D10FCD">
        <w:t>ANTECEDENTES</w:t>
      </w:r>
    </w:p>
    <w:p w:rsidR="00A96860" w:rsidRPr="00D10FCD" w:rsidRDefault="00480E69" w:rsidP="008326EF">
      <w:pPr>
        <w:pStyle w:val="ONUMFS"/>
      </w:pPr>
      <w:r w:rsidRPr="00D10FCD">
        <w:t>E</w:t>
      </w:r>
      <w:r w:rsidR="00D10FCD" w:rsidRPr="00D10FCD">
        <w:t>n 2</w:t>
      </w:r>
      <w:r w:rsidR="000A0558" w:rsidRPr="00D10FCD">
        <w:t xml:space="preserve">005, </w:t>
      </w:r>
      <w:r w:rsidR="00561651" w:rsidRPr="00D10FCD">
        <w:t xml:space="preserve">la </w:t>
      </w:r>
      <w:r w:rsidR="00BD3465" w:rsidRPr="00D10FCD">
        <w:t>Reunión</w:t>
      </w:r>
      <w:r w:rsidR="00561651" w:rsidRPr="00D10FCD">
        <w:t xml:space="preserve"> decidió crear un </w:t>
      </w:r>
      <w:r w:rsidR="00FC48EB" w:rsidRPr="00D10FCD">
        <w:t>E</w:t>
      </w:r>
      <w:r w:rsidR="00561651" w:rsidRPr="00D10FCD">
        <w:t xml:space="preserve">quipo </w:t>
      </w:r>
      <w:r w:rsidR="00FC48EB" w:rsidRPr="00D10FCD">
        <w:t>T</w:t>
      </w:r>
      <w:r w:rsidR="00561651" w:rsidRPr="00D10FCD">
        <w:t xml:space="preserve">écnico, dirigido por la Oficina Europea de Patentes (OEP), para efectuar un examen exhaustivo de la documentación mínima del PCT.  El </w:t>
      </w:r>
      <w:r w:rsidR="00FC48EB" w:rsidRPr="00D10FCD">
        <w:t>E</w:t>
      </w:r>
      <w:r w:rsidR="00561651" w:rsidRPr="00D10FCD">
        <w:t>quipo</w:t>
      </w:r>
      <w:r w:rsidR="00992C4E" w:rsidRPr="00D10FCD">
        <w:t xml:space="preserve"> </w:t>
      </w:r>
      <w:r w:rsidR="00FC48EB" w:rsidRPr="00D10FCD">
        <w:t>T</w:t>
      </w:r>
      <w:r w:rsidR="00992C4E" w:rsidRPr="00D10FCD">
        <w:t>écnico</w:t>
      </w:r>
      <w:r w:rsidR="00561651" w:rsidRPr="00D10FCD">
        <w:t xml:space="preserve"> tenía por mandato examinar las cuestiones relativas a la documentación de patentes y </w:t>
      </w:r>
      <w:r w:rsidR="00F55E1B" w:rsidRPr="00D10FCD">
        <w:t xml:space="preserve">a </w:t>
      </w:r>
      <w:r w:rsidR="00561651" w:rsidRPr="00D10FCD">
        <w:t>la literatura distinta de la de patentes, incluidas las bases</w:t>
      </w:r>
      <w:r w:rsidR="00992C4E" w:rsidRPr="00D10FCD">
        <w:t xml:space="preserve"> de datos</w:t>
      </w:r>
      <w:r w:rsidR="00561651" w:rsidRPr="00D10FCD">
        <w:t xml:space="preserve"> </w:t>
      </w:r>
      <w:r w:rsidR="00992C4E" w:rsidRPr="00D10FCD">
        <w:t>de</w:t>
      </w:r>
      <w:r w:rsidR="00561651" w:rsidRPr="00D10FCD">
        <w:t xml:space="preserve"> conocimientos tradicionales (véanse los párrafo</w:t>
      </w:r>
      <w:r w:rsidR="00D10FCD" w:rsidRPr="00D10FCD">
        <w:t>s 9</w:t>
      </w:r>
      <w:r w:rsidR="00561651" w:rsidRPr="00D10FCD">
        <w:t xml:space="preserve"> </w:t>
      </w:r>
      <w:r w:rsidR="00D10FCD" w:rsidRPr="00D10FCD">
        <w:t>a 1</w:t>
      </w:r>
      <w:r w:rsidR="00561651" w:rsidRPr="00D10FCD">
        <w:t xml:space="preserve">2 </w:t>
      </w:r>
      <w:r w:rsidR="00D10FCD" w:rsidRPr="00D10FCD">
        <w:t>y 1</w:t>
      </w:r>
      <w:r w:rsidR="00561651" w:rsidRPr="00D10FCD">
        <w:t xml:space="preserve">8 del documento PCT/MIA/11/14).  No obstante, el proceso se </w:t>
      </w:r>
      <w:r w:rsidR="00FD6711" w:rsidRPr="00D10FCD">
        <w:t>estancó</w:t>
      </w:r>
      <w:r w:rsidR="00561651" w:rsidRPr="00D10FCD">
        <w:t xml:space="preserve"> por falta de consenso en determinadas cuestiones (véase el documento </w:t>
      </w:r>
      <w:r w:rsidR="000A0558" w:rsidRPr="00D10FCD">
        <w:t>PCT/MIA/13/5)</w:t>
      </w:r>
      <w:r w:rsidR="00A96860" w:rsidRPr="00D10FCD">
        <w:t>.</w:t>
      </w:r>
    </w:p>
    <w:p w:rsidR="000A0558" w:rsidRPr="00D10FCD" w:rsidRDefault="00B911CE" w:rsidP="008326EF">
      <w:pPr>
        <w:pStyle w:val="ONUMFS"/>
      </w:pPr>
      <w:r w:rsidRPr="00D10FCD">
        <w:t>E</w:t>
      </w:r>
      <w:r w:rsidR="00D10FCD" w:rsidRPr="00D10FCD">
        <w:t>n 2</w:t>
      </w:r>
      <w:r w:rsidRPr="00D10FCD">
        <w:t xml:space="preserve">012, la </w:t>
      </w:r>
      <w:r w:rsidR="00BD3465" w:rsidRPr="00D10FCD">
        <w:t>Reunión</w:t>
      </w:r>
      <w:r w:rsidRPr="00D10FCD">
        <w:t xml:space="preserve"> decidió crear un </w:t>
      </w:r>
      <w:r w:rsidR="00FC48EB" w:rsidRPr="00D10FCD">
        <w:t>E</w:t>
      </w:r>
      <w:r w:rsidRPr="00D10FCD">
        <w:t xml:space="preserve">quipo </w:t>
      </w:r>
      <w:r w:rsidR="00FC48EB" w:rsidRPr="00D10FCD">
        <w:t>T</w:t>
      </w:r>
      <w:r w:rsidRPr="00D10FCD">
        <w:t xml:space="preserve">écnico a fin de ampliar y actualizar </w:t>
      </w:r>
      <w:r w:rsidR="00F55E1B" w:rsidRPr="00D10FCD">
        <w:t>el contenido</w:t>
      </w:r>
      <w:r w:rsidRPr="00D10FCD">
        <w:t xml:space="preserve"> de la parte </w:t>
      </w:r>
      <w:r w:rsidR="00C17BA1" w:rsidRPr="00D10FCD">
        <w:t>de la documentación mínima del PCT dedicada a la</w:t>
      </w:r>
      <w:r w:rsidRPr="00D10FCD">
        <w:t xml:space="preserve"> literatura de patentes (véanse los párrafo</w:t>
      </w:r>
      <w:r w:rsidR="00D10FCD" w:rsidRPr="00D10FCD">
        <w:t>s 7</w:t>
      </w:r>
      <w:r w:rsidRPr="00D10FCD">
        <w:t xml:space="preserve">9 </w:t>
      </w:r>
      <w:r w:rsidR="00D10FCD" w:rsidRPr="00D10FCD">
        <w:t>a 8</w:t>
      </w:r>
      <w:r w:rsidRPr="00D10FCD">
        <w:t>1</w:t>
      </w:r>
      <w:r w:rsidR="004B7189" w:rsidRPr="00D10FCD">
        <w:t xml:space="preserve"> del</w:t>
      </w:r>
      <w:r w:rsidRPr="00D10FCD">
        <w:t xml:space="preserve"> documento PCT/MIA/19/14 y </w:t>
      </w:r>
      <w:r w:rsidR="00435465" w:rsidRPr="00D10FCD">
        <w:t xml:space="preserve">la </w:t>
      </w:r>
      <w:r w:rsidRPr="00D10FCD">
        <w:t>circular C. PC</w:t>
      </w:r>
      <w:r w:rsidR="00D10FCD" w:rsidRPr="00D10FCD">
        <w:t>T 1</w:t>
      </w:r>
      <w:r w:rsidRPr="00D10FCD">
        <w:t>359, de fech</w:t>
      </w:r>
      <w:r w:rsidR="00D10FCD" w:rsidRPr="00D10FCD">
        <w:t>a 2</w:t>
      </w:r>
      <w:r w:rsidRPr="00D10FCD">
        <w:t>8 de septiembre d</w:t>
      </w:r>
      <w:r w:rsidR="00D10FCD" w:rsidRPr="00D10FCD">
        <w:t>e 2</w:t>
      </w:r>
      <w:r w:rsidRPr="00D10FCD">
        <w:t xml:space="preserve">012).  Desde entonces, el </w:t>
      </w:r>
      <w:r w:rsidR="00FC48EB" w:rsidRPr="00D10FCD">
        <w:t>E</w:t>
      </w:r>
      <w:r w:rsidRPr="00D10FCD">
        <w:t xml:space="preserve">quipo </w:t>
      </w:r>
      <w:r w:rsidR="00FC48EB" w:rsidRPr="00D10FCD">
        <w:t>T</w:t>
      </w:r>
      <w:r w:rsidRPr="00D10FCD">
        <w:t>écnico sobre documentación mínima del PCT utiliza un foro electrónico específico (en lo sucesivo denominado “</w:t>
      </w:r>
      <w:r w:rsidR="00435465" w:rsidRPr="00D10FCD">
        <w:t>w</w:t>
      </w:r>
      <w:r w:rsidRPr="00D10FCD">
        <w:t xml:space="preserve">iki”), facilitado por la </w:t>
      </w:r>
      <w:r w:rsidR="004B7189" w:rsidRPr="00D10FCD">
        <w:t>Oficina Internacional.  No obstante,</w:t>
      </w:r>
      <w:r w:rsidR="003E2A00" w:rsidRPr="00D10FCD">
        <w:t xml:space="preserve"> el proceso</w:t>
      </w:r>
      <w:r w:rsidR="004B7189" w:rsidRPr="00D10FCD">
        <w:t xml:space="preserve"> quedó en suspenso en espera del resultado de</w:t>
      </w:r>
      <w:r w:rsidR="003E2A00" w:rsidRPr="00D10FCD">
        <w:t xml:space="preserve"> la labor de </w:t>
      </w:r>
      <w:r w:rsidR="00C56E96" w:rsidRPr="00D10FCD">
        <w:t>establecimiento de normas sobre</w:t>
      </w:r>
      <w:r w:rsidR="003E2A00" w:rsidRPr="00D10FCD">
        <w:t xml:space="preserve"> </w:t>
      </w:r>
      <w:r w:rsidR="00A215CE" w:rsidRPr="00D10FCD">
        <w:t>la documentación</w:t>
      </w:r>
      <w:r w:rsidR="003E2A00" w:rsidRPr="00D10FCD">
        <w:t xml:space="preserve"> del</w:t>
      </w:r>
      <w:r w:rsidR="004B7189" w:rsidRPr="00D10FCD">
        <w:t xml:space="preserve"> estado de </w:t>
      </w:r>
      <w:r w:rsidR="004B7189" w:rsidRPr="00D10FCD">
        <w:lastRenderedPageBreak/>
        <w:t xml:space="preserve">la técnica que se está llevando a cabo en el marco del </w:t>
      </w:r>
      <w:r w:rsidR="00FC48EB" w:rsidRPr="00D10FCD">
        <w:t>proyecto</w:t>
      </w:r>
      <w:r w:rsidR="004B7189" w:rsidRPr="00D10FCD">
        <w:t xml:space="preserve"> de</w:t>
      </w:r>
      <w:r w:rsidR="00FC48EB" w:rsidRPr="00D10FCD">
        <w:t xml:space="preserve"> las oficinas de</w:t>
      </w:r>
      <w:r w:rsidR="004B7189" w:rsidRPr="00D10FCD">
        <w:t xml:space="preserve"> </w:t>
      </w:r>
      <w:r w:rsidR="00435465" w:rsidRPr="00D10FCD">
        <w:t xml:space="preserve">la </w:t>
      </w:r>
      <w:r w:rsidR="004B7189" w:rsidRPr="00D10FCD">
        <w:t xml:space="preserve">cooperación pentalateral </w:t>
      </w:r>
      <w:r w:rsidR="00435465" w:rsidRPr="00D10FCD">
        <w:t>(</w:t>
      </w:r>
      <w:r w:rsidR="004B7189" w:rsidRPr="00D10FCD">
        <w:t>oficinas de P.I. de China, Japón, la República de Corea y los Estados Unidos de América, además de la Oficina Europea de Patentes) (véase el documento PCT/MIA/21/12</w:t>
      </w:r>
      <w:r w:rsidR="00335C23" w:rsidRPr="00D10FCD">
        <w:t>)</w:t>
      </w:r>
      <w:r w:rsidR="000A0558" w:rsidRPr="00D10FCD">
        <w:t>.</w:t>
      </w:r>
    </w:p>
    <w:p w:rsidR="00A96860" w:rsidRPr="00D10FCD" w:rsidRDefault="00335C23" w:rsidP="008326EF">
      <w:pPr>
        <w:pStyle w:val="ONUMFS"/>
      </w:pPr>
      <w:r w:rsidRPr="00D10FCD">
        <w:t>E</w:t>
      </w:r>
      <w:r w:rsidR="00D10FCD" w:rsidRPr="00D10FCD">
        <w:t>n 2</w:t>
      </w:r>
      <w:r w:rsidRPr="00D10FCD">
        <w:t xml:space="preserve">015, tras la publicación de “ficheros de referencia” en el marco del </w:t>
      </w:r>
      <w:r w:rsidR="00FC48EB" w:rsidRPr="00D10FCD">
        <w:t>proyecto</w:t>
      </w:r>
      <w:r w:rsidRPr="00D10FCD">
        <w:t xml:space="preserve"> de</w:t>
      </w:r>
      <w:r w:rsidR="00FC48EB" w:rsidRPr="00D10FCD">
        <w:t xml:space="preserve"> las oficinas de</w:t>
      </w:r>
      <w:r w:rsidRPr="00D10FCD">
        <w:t xml:space="preserve"> </w:t>
      </w:r>
      <w:r w:rsidR="00435465" w:rsidRPr="00D10FCD">
        <w:t xml:space="preserve">la </w:t>
      </w:r>
      <w:r w:rsidRPr="00D10FCD">
        <w:t xml:space="preserve">cooperación pentalateral, la </w:t>
      </w:r>
      <w:r w:rsidR="00BD3465" w:rsidRPr="00D10FCD">
        <w:t>Reunión</w:t>
      </w:r>
      <w:r w:rsidRPr="00D10FCD">
        <w:t xml:space="preserve"> decidió reactivar el </w:t>
      </w:r>
      <w:r w:rsidR="00FC48EB" w:rsidRPr="00D10FCD">
        <w:t>E</w:t>
      </w:r>
      <w:r w:rsidRPr="00D10FCD">
        <w:t xml:space="preserve">quipo </w:t>
      </w:r>
      <w:r w:rsidR="00FC48EB" w:rsidRPr="00D10FCD">
        <w:t>T</w:t>
      </w:r>
      <w:r w:rsidRPr="00D10FCD">
        <w:t xml:space="preserve">écnico, dirigido por la Oficina Internacional, en espera de </w:t>
      </w:r>
      <w:r w:rsidR="00A215CE" w:rsidRPr="00D10FCD">
        <w:t xml:space="preserve">que se nombrase </w:t>
      </w:r>
      <w:r w:rsidR="00435465" w:rsidRPr="00D10FCD">
        <w:t xml:space="preserve">en su lugar </w:t>
      </w:r>
      <w:r w:rsidR="00A215CE" w:rsidRPr="00D10FCD">
        <w:t>a una</w:t>
      </w:r>
      <w:r w:rsidRPr="00D10FCD">
        <w:t xml:space="preserve"> Administración encargada de la búsqueda internacional (ISA)</w:t>
      </w:r>
      <w:r w:rsidR="00A215CE" w:rsidRPr="00D10FCD">
        <w:t xml:space="preserve"> (véanse los párrafo</w:t>
      </w:r>
      <w:r w:rsidR="00D10FCD" w:rsidRPr="00D10FCD">
        <w:t>s 6</w:t>
      </w:r>
      <w:r w:rsidR="00A215CE" w:rsidRPr="00D10FCD">
        <w:t xml:space="preserve">2 </w:t>
      </w:r>
      <w:r w:rsidR="00D10FCD" w:rsidRPr="00D10FCD">
        <w:t>a 6</w:t>
      </w:r>
      <w:r w:rsidR="00A215CE" w:rsidRPr="00D10FCD">
        <w:t xml:space="preserve">5 </w:t>
      </w:r>
      <w:r w:rsidR="00D10FCD" w:rsidRPr="00D10FCD">
        <w:t>y 7</w:t>
      </w:r>
      <w:r w:rsidR="00A215CE" w:rsidRPr="00D10FCD">
        <w:t>3 del documento PCT/MIA/22/22).  E</w:t>
      </w:r>
      <w:r w:rsidR="00D10FCD" w:rsidRPr="00D10FCD">
        <w:t>n 2</w:t>
      </w:r>
      <w:r w:rsidR="00A215CE" w:rsidRPr="00D10FCD">
        <w:t>015 se logró un escaso avance</w:t>
      </w:r>
      <w:r w:rsidR="00A96860" w:rsidRPr="00D10FCD">
        <w:t>.</w:t>
      </w:r>
    </w:p>
    <w:p w:rsidR="000A0558" w:rsidRPr="00D10FCD" w:rsidRDefault="00057D09" w:rsidP="008326EF">
      <w:pPr>
        <w:pStyle w:val="ONUMFS"/>
      </w:pPr>
      <w:r w:rsidRPr="00D10FCD">
        <w:t>En enero d</w:t>
      </w:r>
      <w:r w:rsidR="00D10FCD" w:rsidRPr="00D10FCD">
        <w:t>e 2</w:t>
      </w:r>
      <w:r w:rsidRPr="00D10FCD">
        <w:t xml:space="preserve">016, hubo de nuevo consenso entre los miembros de la </w:t>
      </w:r>
      <w:r w:rsidR="00BD3465" w:rsidRPr="00D10FCD">
        <w:t>Reunión</w:t>
      </w:r>
      <w:r w:rsidRPr="00D10FCD">
        <w:t xml:space="preserve"> para reactivar el </w:t>
      </w:r>
      <w:r w:rsidR="00FC48EB" w:rsidRPr="00D10FCD">
        <w:t>E</w:t>
      </w:r>
      <w:r w:rsidRPr="00D10FCD">
        <w:t xml:space="preserve">quipo </w:t>
      </w:r>
      <w:r w:rsidR="00FC48EB" w:rsidRPr="00D10FCD">
        <w:t>T</w:t>
      </w:r>
      <w:r w:rsidRPr="00D10FCD">
        <w:t xml:space="preserve">écnico sobre documentación mínima del PCT.  No obstante, la Oficina Internacional señaló que no tenía suficiente experiencia ni conocimientos en ese campo, e invitó a una ISA a que la sustituyera.  La </w:t>
      </w:r>
      <w:r w:rsidR="00BD3465" w:rsidRPr="00D10FCD">
        <w:t>Reunión</w:t>
      </w:r>
      <w:r w:rsidRPr="00D10FCD">
        <w:t xml:space="preserve"> invitó al Equipo Técnico a reanudar su labor sobre la base del documento PCT/MIA/23/5 (véase el párraf</w:t>
      </w:r>
      <w:r w:rsidR="00D10FCD" w:rsidRPr="00D10FCD">
        <w:t>o 6</w:t>
      </w:r>
      <w:r w:rsidRPr="00D10FCD">
        <w:t xml:space="preserve">3 del documento PCT/MIA/23/14) y reanudar los debates sobre la adición de bases de datos como parte de la documentación mínima del PCT, incluidas las bases de datos de conocimientos tradicionales, como se señala en el documento </w:t>
      </w:r>
      <w:r w:rsidR="000A0558" w:rsidRPr="00D10FCD">
        <w:t>PCT/MIA/12/6 (</w:t>
      </w:r>
      <w:r w:rsidRPr="00D10FCD">
        <w:t>véase el párraf</w:t>
      </w:r>
      <w:r w:rsidR="00D10FCD" w:rsidRPr="00D10FCD">
        <w:t>o 8</w:t>
      </w:r>
      <w:r w:rsidRPr="00D10FCD">
        <w:t>5.</w:t>
      </w:r>
      <w:r w:rsidR="000A0558" w:rsidRPr="00D10FCD">
        <w:t>a)</w:t>
      </w:r>
      <w:r w:rsidR="00F55E1B" w:rsidRPr="00D10FCD">
        <w:t xml:space="preserve"> del</w:t>
      </w:r>
      <w:r w:rsidR="000A0558" w:rsidRPr="00D10FCD">
        <w:t xml:space="preserve"> document</w:t>
      </w:r>
      <w:r w:rsidRPr="00D10FCD">
        <w:t>o</w:t>
      </w:r>
      <w:r w:rsidR="000A0558" w:rsidRPr="00D10FCD">
        <w:t xml:space="preserve"> PCT/MIA/23/14).</w:t>
      </w:r>
    </w:p>
    <w:p w:rsidR="000A0558" w:rsidRPr="00D10FCD" w:rsidRDefault="00BD3465" w:rsidP="008326EF">
      <w:pPr>
        <w:pStyle w:val="ONUMFS"/>
      </w:pPr>
      <w:r w:rsidRPr="00D10FCD">
        <w:t xml:space="preserve">En Santiago, la Reunión invitó asimismo a la Oficina de Patentes de la India a presentar al </w:t>
      </w:r>
      <w:r w:rsidR="00FC48EB" w:rsidRPr="00D10FCD">
        <w:t>E</w:t>
      </w:r>
      <w:r w:rsidRPr="00D10FCD">
        <w:t xml:space="preserve">quipo </w:t>
      </w:r>
      <w:r w:rsidR="00FC48EB" w:rsidRPr="00D10FCD">
        <w:t>T</w:t>
      </w:r>
      <w:r w:rsidRPr="00D10FCD">
        <w:t>écnico un documento de trabajo pormenorizado</w:t>
      </w:r>
      <w:r w:rsidR="00435465" w:rsidRPr="00D10FCD">
        <w:t xml:space="preserve">, </w:t>
      </w:r>
      <w:r w:rsidR="00F03E46" w:rsidRPr="00D10FCD">
        <w:t>comprendido</w:t>
      </w:r>
      <w:r w:rsidRPr="00D10FCD">
        <w:t xml:space="preserve"> un proyecto revisado del acuerdo de acceso</w:t>
      </w:r>
      <w:r w:rsidR="00435465" w:rsidRPr="00D10FCD">
        <w:t>, que contuviera</w:t>
      </w:r>
      <w:r w:rsidRPr="00D10FCD">
        <w:t xml:space="preserve"> sus propuestas acerca de la inclusión de la Biblioteca Digital sobre Conocimientos Tradicionales (TKDL) en la documentación mínima del PCT, teniendo en cuenta los debates previos mantenidos en la reuni</w:t>
      </w:r>
      <w:r w:rsidR="00435465" w:rsidRPr="00D10FCD">
        <w:t>ón,</w:t>
      </w:r>
      <w:r w:rsidR="00F55E1B" w:rsidRPr="00D10FCD">
        <w:t xml:space="preserve"> en</w:t>
      </w:r>
      <w:r w:rsidR="00435465" w:rsidRPr="00D10FCD">
        <w:t xml:space="preserve"> </w:t>
      </w:r>
      <w:r w:rsidRPr="00D10FCD">
        <w:t xml:space="preserve">el </w:t>
      </w:r>
      <w:r w:rsidR="00FC48EB" w:rsidRPr="00D10FCD">
        <w:t>E</w:t>
      </w:r>
      <w:r w:rsidRPr="00D10FCD">
        <w:t xml:space="preserve">quipo </w:t>
      </w:r>
      <w:r w:rsidR="00FC48EB" w:rsidRPr="00D10FCD">
        <w:t>T</w:t>
      </w:r>
      <w:r w:rsidR="00435465" w:rsidRPr="00D10FCD">
        <w:t xml:space="preserve">écnico y </w:t>
      </w:r>
      <w:r w:rsidR="00F55E1B" w:rsidRPr="00D10FCD">
        <w:t xml:space="preserve">en </w:t>
      </w:r>
      <w:r w:rsidRPr="00D10FCD">
        <w:t>el CIG, así como los celebrados en el transcurso de la presente sesión de la Reunión.  La Reunión invitó también a la Oficina Internacional a cooperar estrechamente, en los próximos meses, con la Oficina de Patentes de la India con miras a avanzar en ese tema, ya sea, cuando proceda, mediante la celebración de consultas informales y de comunicaciones por escrito, como puedan ser las circulares del PCT, a fin de garantizar que los debates que tendrán lugar en la próxima sesión de la Reunión, e</w:t>
      </w:r>
      <w:r w:rsidR="00D10FCD" w:rsidRPr="00D10FCD">
        <w:t>n 2</w:t>
      </w:r>
      <w:r w:rsidRPr="00D10FCD">
        <w:t>017, se preparen adecuadamente (véase el párraf</w:t>
      </w:r>
      <w:r w:rsidR="00D10FCD" w:rsidRPr="00D10FCD">
        <w:t>o 8</w:t>
      </w:r>
      <w:r w:rsidRPr="00D10FCD">
        <w:t>5.b) y c) del documento PCT/MIA/23/14).</w:t>
      </w:r>
    </w:p>
    <w:p w:rsidR="000A0558" w:rsidRPr="00D10FCD" w:rsidRDefault="00A134D4" w:rsidP="008326EF">
      <w:pPr>
        <w:pStyle w:val="ONUMFS"/>
      </w:pPr>
      <w:r w:rsidRPr="00D10FCD">
        <w:t>En febrero d</w:t>
      </w:r>
      <w:r w:rsidR="00D10FCD" w:rsidRPr="00D10FCD">
        <w:t>e 2</w:t>
      </w:r>
      <w:r w:rsidRPr="00D10FCD">
        <w:t xml:space="preserve">016, la OEP respondió positivamente a la invitación de la Oficina Internacional y convino (una vez más) en dirigir el </w:t>
      </w:r>
      <w:r w:rsidR="00FC48EB" w:rsidRPr="00D10FCD">
        <w:t>E</w:t>
      </w:r>
      <w:r w:rsidRPr="00D10FCD">
        <w:t xml:space="preserve">quipo </w:t>
      </w:r>
      <w:r w:rsidR="00FC48EB" w:rsidRPr="00D10FCD">
        <w:t>T</w:t>
      </w:r>
      <w:r w:rsidRPr="00D10FCD">
        <w:t xml:space="preserve">écnico sobre la documentación mínima del PCT basándose en el mandato </w:t>
      </w:r>
      <w:r w:rsidR="002624CB" w:rsidRPr="00D10FCD">
        <w:t>establecido por</w:t>
      </w:r>
      <w:r w:rsidRPr="00D10FCD">
        <w:t xml:space="preserve"> la Reunión.  En los párrafos que siguen se reseña la propuesta de labor del </w:t>
      </w:r>
      <w:r w:rsidR="00FC48EB" w:rsidRPr="00D10FCD">
        <w:t>E</w:t>
      </w:r>
      <w:r w:rsidRPr="00D10FCD">
        <w:t xml:space="preserve">quipo </w:t>
      </w:r>
      <w:r w:rsidR="00FC48EB" w:rsidRPr="00D10FCD">
        <w:t>T</w:t>
      </w:r>
      <w:r w:rsidRPr="00D10FCD">
        <w:t xml:space="preserve">écnico conforme </w:t>
      </w:r>
      <w:r w:rsidR="0009165C" w:rsidRPr="00D10FCD">
        <w:t>a lo dispuesto</w:t>
      </w:r>
      <w:r w:rsidRPr="00D10FCD">
        <w:t xml:space="preserve"> por la OEP.</w:t>
      </w:r>
    </w:p>
    <w:p w:rsidR="000A0558" w:rsidRPr="00D10FCD" w:rsidRDefault="00B942D4" w:rsidP="000A0558">
      <w:pPr>
        <w:pStyle w:val="Heading1"/>
      </w:pPr>
      <w:r w:rsidRPr="00D10FCD">
        <w:t>EVALUACIÓN Y OBJETIVOS</w:t>
      </w:r>
    </w:p>
    <w:p w:rsidR="000A0558" w:rsidRPr="00D10FCD" w:rsidRDefault="002B545F" w:rsidP="008326EF">
      <w:pPr>
        <w:pStyle w:val="ONUMFS"/>
      </w:pPr>
      <w:bookmarkStart w:id="7" w:name="_Ref448244111"/>
      <w:r w:rsidRPr="00D10FCD">
        <w:t xml:space="preserve">En primer lugar, el </w:t>
      </w:r>
      <w:r w:rsidR="00FC48EB" w:rsidRPr="00D10FCD">
        <w:t>E</w:t>
      </w:r>
      <w:r w:rsidRPr="00D10FCD">
        <w:t xml:space="preserve">quipo </w:t>
      </w:r>
      <w:r w:rsidR="00FC48EB" w:rsidRPr="00D10FCD">
        <w:t>T</w:t>
      </w:r>
      <w:r w:rsidRPr="00D10FCD">
        <w:t>écnico tendrá que evaluar</w:t>
      </w:r>
      <w:r w:rsidR="00F03E46" w:rsidRPr="00D10FCD">
        <w:t xml:space="preserve"> adecuadamente</w:t>
      </w:r>
      <w:r w:rsidRPr="00D10FCD">
        <w:t xml:space="preserve"> </w:t>
      </w:r>
      <w:r w:rsidR="00F55E1B" w:rsidRPr="00D10FCD">
        <w:t>el actual contenido</w:t>
      </w:r>
      <w:r w:rsidRPr="00D10FCD">
        <w:t xml:space="preserve"> de </w:t>
      </w:r>
      <w:r w:rsidR="00F55E1B" w:rsidRPr="00D10FCD">
        <w:t>la</w:t>
      </w:r>
      <w:r w:rsidRPr="00D10FCD">
        <w:t xml:space="preserve"> documentación mínima del PCT.  El inventario que figuraba en el Manual de la OMPI de Información y Documentación en materia de Propiedad Industrial no se actualiza desde noviembre d</w:t>
      </w:r>
      <w:r w:rsidR="00D10FCD" w:rsidRPr="00D10FCD">
        <w:t>e 2</w:t>
      </w:r>
      <w:r w:rsidRPr="00D10FCD">
        <w:t>001.  Desde entonces, la lista de las publicaciones de las oficinas representadas ha quedado obsoleta</w:t>
      </w:r>
      <w:r w:rsidR="00D10FCD" w:rsidRPr="00D10FCD">
        <w:t>, s</w:t>
      </w:r>
      <w:r w:rsidRPr="00D10FCD">
        <w:t>e han añadido dos nuevas colecciones a la lista de la Regl</w:t>
      </w:r>
      <w:r w:rsidR="00D10FCD" w:rsidRPr="00D10FCD">
        <w:t>a 3</w:t>
      </w:r>
      <w:r w:rsidRPr="00D10FCD">
        <w:t>4.1c)ii) (las de la República de Corea y las de la República Popular China) y otros Estados han podido poner a disposición las suyas con arreglo a lo dispuesto en la Regl</w:t>
      </w:r>
      <w:r w:rsidR="00D10FCD" w:rsidRPr="00D10FCD">
        <w:t>a 3</w:t>
      </w:r>
      <w:r w:rsidRPr="00D10FCD">
        <w:t>4.1c)vi)</w:t>
      </w:r>
      <w:r w:rsidR="000A0558" w:rsidRPr="00D10FCD">
        <w:t>.</w:t>
      </w:r>
      <w:bookmarkEnd w:id="7"/>
    </w:p>
    <w:p w:rsidR="000A0558" w:rsidRPr="00D10FCD" w:rsidRDefault="002B545F" w:rsidP="008326EF">
      <w:pPr>
        <w:pStyle w:val="ONUMFS"/>
      </w:pPr>
      <w:bookmarkStart w:id="8" w:name="_Ref448244117"/>
      <w:r w:rsidRPr="00D10FCD">
        <w:t>En segundo lugar</w:t>
      </w:r>
      <w:r w:rsidR="000A0558" w:rsidRPr="00D10FCD">
        <w:t xml:space="preserve">, </w:t>
      </w:r>
      <w:r w:rsidRPr="00D10FCD">
        <w:t>en consonancia con el mandato establecido por la Reunión</w:t>
      </w:r>
      <w:r w:rsidR="000A0558" w:rsidRPr="00D10FCD">
        <w:t xml:space="preserve">, </w:t>
      </w:r>
      <w:r w:rsidR="002624CB" w:rsidRPr="00D10FCD">
        <w:t xml:space="preserve">el </w:t>
      </w:r>
      <w:r w:rsidR="00FC48EB" w:rsidRPr="00D10FCD">
        <w:t>E</w:t>
      </w:r>
      <w:r w:rsidR="002624CB" w:rsidRPr="00D10FCD">
        <w:t xml:space="preserve">quipo </w:t>
      </w:r>
      <w:r w:rsidR="00FC48EB" w:rsidRPr="00D10FCD">
        <w:t>T</w:t>
      </w:r>
      <w:r w:rsidR="002624CB" w:rsidRPr="00D10FCD">
        <w:t>écnico tendrá que</w:t>
      </w:r>
      <w:r w:rsidR="000A0558" w:rsidRPr="00D10FCD">
        <w:t>:</w:t>
      </w:r>
      <w:bookmarkEnd w:id="8"/>
    </w:p>
    <w:p w:rsidR="00A96860" w:rsidRPr="00D10FCD" w:rsidRDefault="00754968" w:rsidP="00832671">
      <w:pPr>
        <w:pStyle w:val="ONUMFS"/>
        <w:numPr>
          <w:ilvl w:val="0"/>
          <w:numId w:val="8"/>
        </w:numPr>
        <w:ind w:left="567"/>
      </w:pPr>
      <w:r w:rsidRPr="00D10FCD">
        <w:t xml:space="preserve">Formular recomendaciones y redactar normas que las oficinas nacionales puedan cumplir a fin de que sus colecciones nacionales </w:t>
      </w:r>
      <w:r w:rsidR="00F03E46" w:rsidRPr="00D10FCD">
        <w:t>sean incluidas</w:t>
      </w:r>
      <w:r w:rsidRPr="00D10FCD">
        <w:t xml:space="preserve"> como parte de la documentación mínima del PCT y facilitar a las Administraciones Internacionales y los </w:t>
      </w:r>
      <w:r w:rsidRPr="00D10FCD">
        <w:lastRenderedPageBreak/>
        <w:t>proveedores de bases de datos el alojamiento de la información necesaria de forma oportuna y fidedigna</w:t>
      </w:r>
      <w:r w:rsidR="00A96860" w:rsidRPr="00D10FCD">
        <w:t>.</w:t>
      </w:r>
    </w:p>
    <w:p w:rsidR="000A0558" w:rsidRPr="00D10FCD" w:rsidRDefault="00754968" w:rsidP="00832671">
      <w:pPr>
        <w:pStyle w:val="ONUMFS"/>
        <w:numPr>
          <w:ilvl w:val="0"/>
          <w:numId w:val="8"/>
        </w:numPr>
        <w:ind w:left="567"/>
      </w:pPr>
      <w:r w:rsidRPr="00D10FCD">
        <w:t>Definir los criterios necesarios para que una colección de patentes sea incluida como parte de la documentación mínima del PCT y la medida en que se podría solicitar a las Administraciones que incluyan y busquen documentos cuando éstos existan en distintos idiomas o en ellos se divulgue información técnica equivalente que figure en otros documentos</w:t>
      </w:r>
      <w:r w:rsidR="00F03E46" w:rsidRPr="00D10FCD">
        <w:t xml:space="preserve"> de patente</w:t>
      </w:r>
      <w:r w:rsidR="00CE30E0" w:rsidRPr="00D10FCD">
        <w:t>s</w:t>
      </w:r>
      <w:r w:rsidRPr="00D10FCD">
        <w:t xml:space="preserve">.  Se pondrá también especial atención a los criterios necesarios para </w:t>
      </w:r>
      <w:r w:rsidR="00F03E46" w:rsidRPr="00D10FCD">
        <w:t>la inclusión de</w:t>
      </w:r>
      <w:r w:rsidRPr="00D10FCD">
        <w:t xml:space="preserve"> los modelos de utilidad que forman una parte importante del estado de la técnica</w:t>
      </w:r>
      <w:r w:rsidR="000A0558" w:rsidRPr="00D10FCD">
        <w:rPr>
          <w:spacing w:val="-2"/>
        </w:rPr>
        <w:t>.</w:t>
      </w:r>
    </w:p>
    <w:p w:rsidR="000A0558" w:rsidRPr="00D10FCD" w:rsidRDefault="00C17BA1" w:rsidP="00832671">
      <w:pPr>
        <w:pStyle w:val="ONUMFS"/>
        <w:numPr>
          <w:ilvl w:val="0"/>
          <w:numId w:val="8"/>
        </w:numPr>
        <w:ind w:left="567"/>
      </w:pPr>
      <w:r w:rsidRPr="00D10FCD">
        <w:t xml:space="preserve">Formular recomendaciones y proponer mecanismos de revisión y mantenimiento de la parte de la documentación mínima del PCT dedicada a la literatura distinta de la de patentes, teniendo en cuenta </w:t>
      </w:r>
      <w:r w:rsidR="005D4FCC" w:rsidRPr="00D10FCD">
        <w:t>los siguientes factores</w:t>
      </w:r>
      <w:r w:rsidR="000A0558" w:rsidRPr="00D10FCD">
        <w:t>:</w:t>
      </w:r>
    </w:p>
    <w:p w:rsidR="000A0558" w:rsidRPr="00D10FCD" w:rsidRDefault="005D4FCC" w:rsidP="00832671">
      <w:pPr>
        <w:pStyle w:val="ONUMFS"/>
        <w:numPr>
          <w:ilvl w:val="0"/>
          <w:numId w:val="9"/>
        </w:numPr>
        <w:ind w:left="1134"/>
      </w:pPr>
      <w:r w:rsidRPr="00D10FCD">
        <w:t xml:space="preserve">disponer de </w:t>
      </w:r>
      <w:r w:rsidR="000A0558" w:rsidRPr="00D10FCD">
        <w:t>acces</w:t>
      </w:r>
      <w:r w:rsidR="0035153A" w:rsidRPr="00D10FCD">
        <w:t>o a publicaciones periódicas, sin olvidar las disponibles en formato electrónico</w:t>
      </w:r>
      <w:r w:rsidR="000A0558" w:rsidRPr="00D10FCD">
        <w:t>;</w:t>
      </w:r>
    </w:p>
    <w:p w:rsidR="000A0558" w:rsidRPr="00D10FCD" w:rsidRDefault="005D4FCC" w:rsidP="00832671">
      <w:pPr>
        <w:pStyle w:val="ONUMFS"/>
        <w:numPr>
          <w:ilvl w:val="0"/>
          <w:numId w:val="9"/>
        </w:numPr>
        <w:ind w:left="1134"/>
      </w:pPr>
      <w:r w:rsidRPr="00D10FCD">
        <w:t xml:space="preserve">la </w:t>
      </w:r>
      <w:r w:rsidR="0035153A" w:rsidRPr="00D10FCD">
        <w:t>gama de campos de la tecnología que abarcan las publicaciones periódicas</w:t>
      </w:r>
      <w:r w:rsidR="000A0558" w:rsidRPr="00D10FCD">
        <w:t>;</w:t>
      </w:r>
    </w:p>
    <w:p w:rsidR="000A0558" w:rsidRPr="00D10FCD" w:rsidRDefault="005D4FCC" w:rsidP="00832671">
      <w:pPr>
        <w:pStyle w:val="ONUMFS"/>
        <w:numPr>
          <w:ilvl w:val="0"/>
          <w:numId w:val="9"/>
        </w:numPr>
        <w:ind w:left="1134"/>
      </w:pPr>
      <w:r w:rsidRPr="00D10FCD">
        <w:t xml:space="preserve">las </w:t>
      </w:r>
      <w:r w:rsidR="0035153A" w:rsidRPr="00D10FCD">
        <w:t>condiciones de acceso aplicables a las publicaciones, incluidos el costo y la facilidad de búsqueda</w:t>
      </w:r>
      <w:r w:rsidR="000A0558" w:rsidRPr="00D10FCD">
        <w:t>.</w:t>
      </w:r>
    </w:p>
    <w:p w:rsidR="000A0558" w:rsidRPr="00D10FCD" w:rsidRDefault="004119D7" w:rsidP="00832671">
      <w:pPr>
        <w:pStyle w:val="ONUMFS"/>
        <w:numPr>
          <w:ilvl w:val="0"/>
          <w:numId w:val="8"/>
        </w:numPr>
        <w:ind w:left="567"/>
      </w:pPr>
      <w:r w:rsidRPr="00D10FCD">
        <w:t>Proponer componentes claramente definidos de datos de patentes que deberían figurar en todas las colecciones de patentes contenidas en la lista de la documentación mínima del PCT (por ejemplo, datos bibliográficos, resúmenes, textos íntegros, imágenes en facsímil</w:t>
      </w:r>
      <w:r w:rsidR="00F03E46" w:rsidRPr="00D10FCD">
        <w:t xml:space="preserve">, </w:t>
      </w:r>
      <w:r w:rsidRPr="00D10FCD">
        <w:t xml:space="preserve">datos relativos a la clasificación), así como los criterios de calidad y de </w:t>
      </w:r>
      <w:r w:rsidR="00D319EE" w:rsidRPr="00D10FCD">
        <w:t>divulgación</w:t>
      </w:r>
      <w:r w:rsidRPr="00D10FCD">
        <w:t xml:space="preserve"> que deben cumplir dichos datos a fin de mejorar la </w:t>
      </w:r>
      <w:r w:rsidR="00D319EE" w:rsidRPr="00D10FCD">
        <w:t>facilidad</w:t>
      </w:r>
      <w:r w:rsidRPr="00D10FCD">
        <w:t xml:space="preserve"> de búsqueda y facilitar el intercambio de datos entre las oficinas de patentes y los proveedores de bases de datos comerciales.</w:t>
      </w:r>
    </w:p>
    <w:p w:rsidR="000A0558" w:rsidRPr="00D10FCD" w:rsidRDefault="00DE1B77" w:rsidP="00832671">
      <w:pPr>
        <w:pStyle w:val="ONUMFS"/>
        <w:numPr>
          <w:ilvl w:val="0"/>
          <w:numId w:val="8"/>
        </w:numPr>
        <w:ind w:left="567"/>
      </w:pPr>
      <w:r w:rsidRPr="00D10FCD">
        <w:t>Mejorar la disponibilidad de la información técnica que figura en los documentos de patentes, concretamente, la cobertura técnica y lingüística de los documentos y la facilidad de búsqueda de la información que contienen.  De esa forma se mejorará la calidad de las búsquedas internacionales</w:t>
      </w:r>
      <w:r w:rsidR="00CE30E0" w:rsidRPr="00D10FCD">
        <w:t xml:space="preserve"> y se facilitará</w:t>
      </w:r>
      <w:r w:rsidRPr="00D10FCD">
        <w:t xml:space="preserve"> el acceso de terceros a la información de patentes</w:t>
      </w:r>
      <w:r w:rsidR="000A0558" w:rsidRPr="00D10FCD">
        <w:t>.</w:t>
      </w:r>
    </w:p>
    <w:p w:rsidR="000A0558" w:rsidRPr="00D10FCD" w:rsidRDefault="00DE1B77" w:rsidP="00832671">
      <w:pPr>
        <w:pStyle w:val="ONUMFS"/>
        <w:numPr>
          <w:ilvl w:val="0"/>
          <w:numId w:val="8"/>
        </w:numPr>
        <w:ind w:left="567"/>
      </w:pPr>
      <w:r w:rsidRPr="00D10FCD">
        <w:t xml:space="preserve">Recomendar los criterios </w:t>
      </w:r>
      <w:r w:rsidR="00082C8E" w:rsidRPr="00D10FCD">
        <w:t>necesarios</w:t>
      </w:r>
      <w:r w:rsidRPr="00D10FCD">
        <w:t xml:space="preserve"> para que el estado de la técnica basado en </w:t>
      </w:r>
      <w:r w:rsidR="00CE30E0" w:rsidRPr="00D10FCD">
        <w:t xml:space="preserve">los </w:t>
      </w:r>
      <w:r w:rsidRPr="00D10FCD">
        <w:t xml:space="preserve">conocimientos tradicionales sea incluido en la parte de la documentación mínima del PCT dedicada a la literatura distinta de la de patentes, y, en particular, trabajar con las autoridades de la India </w:t>
      </w:r>
      <w:r w:rsidR="00CE30E0" w:rsidRPr="00D10FCD">
        <w:t>una vez que hayan vuelto a</w:t>
      </w:r>
      <w:r w:rsidRPr="00D10FCD">
        <w:t xml:space="preserve"> presentar las propuestas de inclusión de la base de datos de la TKDL en la documentación mínima del PCT (véase el párraf</w:t>
      </w:r>
      <w:r w:rsidR="00D10FCD" w:rsidRPr="00D10FCD">
        <w:t>o 8</w:t>
      </w:r>
      <w:r w:rsidRPr="00D10FCD">
        <w:t xml:space="preserve">5.b) del documento </w:t>
      </w:r>
      <w:r w:rsidR="000A0558" w:rsidRPr="00D10FCD">
        <w:t>PCT/MIA/23/14).</w:t>
      </w:r>
    </w:p>
    <w:p w:rsidR="000A0558" w:rsidRPr="00D10FCD" w:rsidRDefault="000A0558" w:rsidP="00B942D4">
      <w:pPr>
        <w:pStyle w:val="Heading1"/>
      </w:pPr>
      <w:r w:rsidRPr="00D10FCD">
        <w:t>METODOLOG</w:t>
      </w:r>
      <w:r w:rsidR="00B942D4" w:rsidRPr="00D10FCD">
        <w:t>ía y calendario</w:t>
      </w:r>
    </w:p>
    <w:p w:rsidR="000A0558" w:rsidRPr="00D10FCD" w:rsidRDefault="00082C8E" w:rsidP="008326EF">
      <w:pPr>
        <w:pStyle w:val="ONUMFS"/>
      </w:pPr>
      <w:r w:rsidRPr="00D10FCD">
        <w:t xml:space="preserve">El </w:t>
      </w:r>
      <w:r w:rsidR="00FC48EB" w:rsidRPr="00D10FCD">
        <w:t>E</w:t>
      </w:r>
      <w:r w:rsidRPr="00D10FCD">
        <w:t xml:space="preserve">quipo </w:t>
      </w:r>
      <w:r w:rsidR="00FC48EB" w:rsidRPr="00D10FCD">
        <w:t>T</w:t>
      </w:r>
      <w:r w:rsidRPr="00D10FCD">
        <w:t xml:space="preserve">écnico </w:t>
      </w:r>
      <w:r w:rsidR="00CE30E0" w:rsidRPr="00D10FCD">
        <w:t>celebrará</w:t>
      </w:r>
      <w:r w:rsidRPr="00D10FCD">
        <w:t xml:space="preserve"> sus debates </w:t>
      </w:r>
      <w:r w:rsidR="00CE30E0" w:rsidRPr="00D10FCD">
        <w:t>en el foro</w:t>
      </w:r>
      <w:r w:rsidRPr="00D10FCD">
        <w:t xml:space="preserve"> </w:t>
      </w:r>
      <w:r w:rsidR="00CE30E0" w:rsidRPr="00D10FCD">
        <w:t>w</w:t>
      </w:r>
      <w:r w:rsidRPr="00D10FCD">
        <w:t>iki.  Se invita a las distintas Administraciones Internacionales a que nombren representante</w:t>
      </w:r>
      <w:r w:rsidR="00C56E96" w:rsidRPr="00D10FCD">
        <w:t>s</w:t>
      </w:r>
      <w:r w:rsidR="00CE30E0" w:rsidRPr="00D10FCD">
        <w:t xml:space="preserve"> y</w:t>
      </w:r>
      <w:r w:rsidRPr="00D10FCD">
        <w:t xml:space="preserve"> al menos un experto en el </w:t>
      </w:r>
      <w:r w:rsidR="00C56E96" w:rsidRPr="00D10FCD">
        <w:t>ámbito</w:t>
      </w:r>
      <w:r w:rsidRPr="00D10FCD">
        <w:t xml:space="preserve"> de la documentación de patentes, en caso de que todavía no lo hayan hecho.  En su calidad de facilitador de </w:t>
      </w:r>
      <w:r w:rsidR="00C56E96" w:rsidRPr="00D10FCD">
        <w:t>w</w:t>
      </w:r>
      <w:r w:rsidRPr="00D10FCD">
        <w:t>iki, la Oficina Internacional se encargará de inscribir a dichos representantes</w:t>
      </w:r>
      <w:r w:rsidR="000A0558" w:rsidRPr="00D10FCD">
        <w:t>.</w:t>
      </w:r>
    </w:p>
    <w:p w:rsidR="000A0558" w:rsidRPr="00D10FCD" w:rsidRDefault="00082C8E" w:rsidP="008326EF">
      <w:pPr>
        <w:pStyle w:val="ONUMFS"/>
      </w:pPr>
      <w:r w:rsidRPr="00D10FCD">
        <w:t xml:space="preserve">En mayo, la OEP tiene previsto </w:t>
      </w:r>
      <w:r w:rsidR="00B40836" w:rsidRPr="00D10FCD">
        <w:t xml:space="preserve">publicar en </w:t>
      </w:r>
      <w:r w:rsidR="00C56E96" w:rsidRPr="00D10FCD">
        <w:t>w</w:t>
      </w:r>
      <w:r w:rsidR="00B40836" w:rsidRPr="00D10FCD">
        <w:t xml:space="preserve">iki un documento de alto nivel </w:t>
      </w:r>
      <w:r w:rsidR="003515F1" w:rsidRPr="00D10FCD">
        <w:t>en el que se presenten</w:t>
      </w:r>
      <w:r w:rsidR="00B40836" w:rsidRPr="00D10FCD">
        <w:t xml:space="preserve"> la evaluación y los objetivos que se señalan en los párrafo</w:t>
      </w:r>
      <w:r w:rsidR="00D10FCD" w:rsidRPr="00D10FCD">
        <w:t>s 8</w:t>
      </w:r>
      <w:r w:rsidR="00B40836" w:rsidRPr="00D10FCD">
        <w:t xml:space="preserve"> </w:t>
      </w:r>
      <w:r w:rsidR="00D10FCD" w:rsidRPr="00D10FCD">
        <w:t>y 9</w:t>
      </w:r>
      <w:r w:rsidR="00B40836" w:rsidRPr="00D10FCD">
        <w:t xml:space="preserve"> así como el plan de trabajo anual del Equipo </w:t>
      </w:r>
      <w:r w:rsidR="003515F1" w:rsidRPr="00D10FCD">
        <w:t>Técnico</w:t>
      </w:r>
      <w:r w:rsidR="00D10FCD" w:rsidRPr="00D10FCD">
        <w:t>.  U</w:t>
      </w:r>
      <w:r w:rsidR="00B40836" w:rsidRPr="00D10FCD">
        <w:t xml:space="preserve">na vez que se haya alcanzado un acuerdo acerca de dicho </w:t>
      </w:r>
      <w:r w:rsidR="00B40836" w:rsidRPr="00D10FCD">
        <w:lastRenderedPageBreak/>
        <w:t xml:space="preserve">documento, la OEP preparará una serie de documentos sobre los temas que deben examinarse.  Dicha tarea se llevará a cabo en rondas de debates que se celebrarán en </w:t>
      </w:r>
      <w:r w:rsidR="00C56E96" w:rsidRPr="00D10FCD">
        <w:t>w</w:t>
      </w:r>
      <w:r w:rsidR="00B40836" w:rsidRPr="00D10FCD">
        <w:t>iki en el segundo semestre d</w:t>
      </w:r>
      <w:r w:rsidR="00D10FCD" w:rsidRPr="00D10FCD">
        <w:t>e 2</w:t>
      </w:r>
      <w:r w:rsidR="00B40836" w:rsidRPr="00D10FCD">
        <w:t>016.</w:t>
      </w:r>
    </w:p>
    <w:p w:rsidR="000A0558" w:rsidRPr="00D10FCD" w:rsidRDefault="00B40836" w:rsidP="008326EF">
      <w:pPr>
        <w:pStyle w:val="ONUMFS"/>
      </w:pPr>
      <w:r w:rsidRPr="00D10FCD">
        <w:t xml:space="preserve">La finalidad de la OEP como </w:t>
      </w:r>
      <w:r w:rsidR="00C56E96" w:rsidRPr="00D10FCD">
        <w:t>responsable</w:t>
      </w:r>
      <w:r w:rsidRPr="00D10FCD">
        <w:t xml:space="preserve"> del </w:t>
      </w:r>
      <w:r w:rsidR="00FC48EB" w:rsidRPr="00D10FCD">
        <w:t>E</w:t>
      </w:r>
      <w:r w:rsidRPr="00D10FCD">
        <w:t xml:space="preserve">quipo </w:t>
      </w:r>
      <w:r w:rsidR="00FC48EB" w:rsidRPr="00D10FCD">
        <w:t>T</w:t>
      </w:r>
      <w:r w:rsidRPr="00D10FCD">
        <w:t xml:space="preserve">écnico es impulsar todos los temas que </w:t>
      </w:r>
      <w:r w:rsidR="001A721F" w:rsidRPr="00D10FCD">
        <w:t>se examinan en los párrafo</w:t>
      </w:r>
      <w:r w:rsidR="00D10FCD" w:rsidRPr="00D10FCD">
        <w:t>s 8</w:t>
      </w:r>
      <w:r w:rsidR="001A721F" w:rsidRPr="00D10FCD">
        <w:t xml:space="preserve"> </w:t>
      </w:r>
      <w:r w:rsidR="00D10FCD" w:rsidRPr="00D10FCD">
        <w:t>y 9</w:t>
      </w:r>
      <w:r w:rsidR="001A721F" w:rsidRPr="00D10FCD">
        <w:t xml:space="preserve"> y, de ser posible, lograr resultados concretos no más tarde del próximo año.  La OEP presentará un informe de situación en la próxima Reunión, que se celebrará e</w:t>
      </w:r>
      <w:r w:rsidR="00D10FCD" w:rsidRPr="00D10FCD">
        <w:t>n 2</w:t>
      </w:r>
      <w:r w:rsidR="000A0558" w:rsidRPr="00D10FCD">
        <w:t>017.</w:t>
      </w:r>
    </w:p>
    <w:bookmarkEnd w:id="6"/>
    <w:p w:rsidR="008326EF" w:rsidRPr="00D10FCD" w:rsidRDefault="008326EF" w:rsidP="008330BC">
      <w:pPr>
        <w:pStyle w:val="ONUMFS"/>
        <w:ind w:left="5534"/>
        <w:rPr>
          <w:i/>
        </w:rPr>
      </w:pPr>
      <w:r w:rsidRPr="00D10FCD">
        <w:rPr>
          <w:i/>
        </w:rPr>
        <w:t>Se invita al Grupo de Trabajo a tomar nota del contenido del presente documento.</w:t>
      </w:r>
    </w:p>
    <w:p w:rsidR="000A0558" w:rsidRPr="00D10FCD" w:rsidRDefault="000A0558" w:rsidP="000A0558">
      <w:pPr>
        <w:pStyle w:val="Endofdocument-Annex"/>
        <w:rPr>
          <w:lang w:val="es-ES"/>
        </w:rPr>
      </w:pPr>
    </w:p>
    <w:p w:rsidR="000A0558" w:rsidRPr="0009165C" w:rsidRDefault="000A0558" w:rsidP="00B942D4">
      <w:pPr>
        <w:pStyle w:val="Endofdocument-Annex"/>
        <w:rPr>
          <w:lang w:val="es-ES"/>
        </w:rPr>
      </w:pPr>
      <w:r w:rsidRPr="00D10FCD">
        <w:rPr>
          <w:lang w:val="es-ES"/>
        </w:rPr>
        <w:t>[</w:t>
      </w:r>
      <w:r w:rsidR="00B942D4" w:rsidRPr="00D10FCD">
        <w:rPr>
          <w:lang w:val="es-ES"/>
        </w:rPr>
        <w:t>Fin del documento</w:t>
      </w:r>
      <w:r w:rsidRPr="00D10FCD">
        <w:rPr>
          <w:lang w:val="es-ES"/>
        </w:rPr>
        <w:t>]</w:t>
      </w:r>
    </w:p>
    <w:p w:rsidR="00152CEA" w:rsidRPr="0009165C" w:rsidRDefault="00152CEA" w:rsidP="00654C63"/>
    <w:sectPr w:rsidR="00152CEA" w:rsidRPr="0009165C" w:rsidSect="000A055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476" w:rsidRDefault="00E57476">
      <w:r>
        <w:separator/>
      </w:r>
    </w:p>
  </w:endnote>
  <w:endnote w:type="continuationSeparator" w:id="0">
    <w:p w:rsidR="00E57476" w:rsidRPr="009D30E6" w:rsidRDefault="00E57476" w:rsidP="007E663E">
      <w:pPr>
        <w:rPr>
          <w:sz w:val="17"/>
          <w:szCs w:val="17"/>
        </w:rPr>
      </w:pPr>
      <w:r w:rsidRPr="009D30E6">
        <w:rPr>
          <w:sz w:val="17"/>
          <w:szCs w:val="17"/>
        </w:rPr>
        <w:separator/>
      </w:r>
    </w:p>
    <w:p w:rsidR="00E57476" w:rsidRPr="007E663E" w:rsidRDefault="00E57476" w:rsidP="007E663E">
      <w:pPr>
        <w:spacing w:after="60"/>
        <w:rPr>
          <w:sz w:val="17"/>
          <w:szCs w:val="17"/>
        </w:rPr>
      </w:pPr>
      <w:r>
        <w:rPr>
          <w:sz w:val="17"/>
        </w:rPr>
        <w:t>[Continuación de la nota de la página anterior]</w:t>
      </w:r>
    </w:p>
  </w:endnote>
  <w:endnote w:type="continuationNotice" w:id="1">
    <w:p w:rsidR="00E57476" w:rsidRPr="007E663E" w:rsidRDefault="00E574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476" w:rsidRDefault="00E57476">
      <w:r>
        <w:separator/>
      </w:r>
    </w:p>
  </w:footnote>
  <w:footnote w:type="continuationSeparator" w:id="0">
    <w:p w:rsidR="00E57476" w:rsidRPr="009D30E6" w:rsidRDefault="00E57476" w:rsidP="007E663E">
      <w:pPr>
        <w:rPr>
          <w:sz w:val="17"/>
          <w:szCs w:val="17"/>
        </w:rPr>
      </w:pPr>
      <w:r w:rsidRPr="009D30E6">
        <w:rPr>
          <w:sz w:val="17"/>
          <w:szCs w:val="17"/>
        </w:rPr>
        <w:separator/>
      </w:r>
    </w:p>
    <w:p w:rsidR="00E57476" w:rsidRPr="007E663E" w:rsidRDefault="00E57476" w:rsidP="007E663E">
      <w:pPr>
        <w:spacing w:after="60"/>
        <w:rPr>
          <w:sz w:val="17"/>
          <w:szCs w:val="17"/>
        </w:rPr>
      </w:pPr>
      <w:r>
        <w:rPr>
          <w:sz w:val="17"/>
        </w:rPr>
        <w:t>[Continuación de la nota de la página anterior]</w:t>
      </w:r>
    </w:p>
  </w:footnote>
  <w:footnote w:type="continuationNotice" w:id="1">
    <w:p w:rsidR="00E57476" w:rsidRPr="007E663E" w:rsidRDefault="00E5747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57476" w:rsidP="00477D6B">
    <w:pPr>
      <w:jc w:val="right"/>
    </w:pPr>
    <w:bookmarkStart w:id="9" w:name="Code2"/>
    <w:bookmarkEnd w:id="9"/>
    <w:r>
      <w:t>PCT/WG/9/</w:t>
    </w:r>
    <w:r w:rsidR="000A0558">
      <w:t>22</w:t>
    </w:r>
  </w:p>
  <w:p w:rsidR="00AE7F20" w:rsidRDefault="00AE7F20" w:rsidP="00477D6B">
    <w:pPr>
      <w:jc w:val="right"/>
    </w:pPr>
    <w:r>
      <w:t xml:space="preserve">página </w:t>
    </w:r>
    <w:r>
      <w:fldChar w:fldCharType="begin"/>
    </w:r>
    <w:r>
      <w:instrText xml:space="preserve"> PAGE  \* MERGEFORMAT </w:instrText>
    </w:r>
    <w:r>
      <w:fldChar w:fldCharType="separate"/>
    </w:r>
    <w:r w:rsidR="0086525E">
      <w:rPr>
        <w:noProof/>
      </w:rPr>
      <w:t>2</w:t>
    </w:r>
    <w:r>
      <w:fldChar w:fldCharType="end"/>
    </w:r>
  </w:p>
  <w:p w:rsidR="00AE7F20" w:rsidRDefault="00AE7F20" w:rsidP="00477D6B">
    <w:pPr>
      <w:jc w:val="right"/>
    </w:pPr>
  </w:p>
  <w:p w:rsidR="00D65090" w:rsidRDefault="00D650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9396717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A16F9"/>
    <w:multiLevelType w:val="hybridMultilevel"/>
    <w:tmpl w:val="19B46D66"/>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D1375E9"/>
    <w:multiLevelType w:val="multilevel"/>
    <w:tmpl w:val="8086F7CE"/>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4B5F0A"/>
    <w:multiLevelType w:val="multilevel"/>
    <w:tmpl w:val="7BACF4CA"/>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2"/>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76"/>
    <w:rsid w:val="00010686"/>
    <w:rsid w:val="000214FB"/>
    <w:rsid w:val="00041E3C"/>
    <w:rsid w:val="00052915"/>
    <w:rsid w:val="00057D09"/>
    <w:rsid w:val="000624EA"/>
    <w:rsid w:val="00082C8E"/>
    <w:rsid w:val="0009165C"/>
    <w:rsid w:val="000A0558"/>
    <w:rsid w:val="000C5BF6"/>
    <w:rsid w:val="000E3BB3"/>
    <w:rsid w:val="000E66AB"/>
    <w:rsid w:val="000F5E56"/>
    <w:rsid w:val="00101F6C"/>
    <w:rsid w:val="0011731A"/>
    <w:rsid w:val="001362EE"/>
    <w:rsid w:val="00152CEA"/>
    <w:rsid w:val="001742A8"/>
    <w:rsid w:val="001832A6"/>
    <w:rsid w:val="00190B18"/>
    <w:rsid w:val="001A721F"/>
    <w:rsid w:val="001B2CF0"/>
    <w:rsid w:val="001B6E99"/>
    <w:rsid w:val="001B7EB7"/>
    <w:rsid w:val="001C03B8"/>
    <w:rsid w:val="001E70E6"/>
    <w:rsid w:val="002374BC"/>
    <w:rsid w:val="002624CB"/>
    <w:rsid w:val="002634C4"/>
    <w:rsid w:val="002B545F"/>
    <w:rsid w:val="002E0F47"/>
    <w:rsid w:val="002F4E68"/>
    <w:rsid w:val="00323E96"/>
    <w:rsid w:val="00333AE9"/>
    <w:rsid w:val="00335C23"/>
    <w:rsid w:val="0035153A"/>
    <w:rsid w:val="003515F1"/>
    <w:rsid w:val="00354647"/>
    <w:rsid w:val="00377273"/>
    <w:rsid w:val="00377AA2"/>
    <w:rsid w:val="003845C1"/>
    <w:rsid w:val="00385E47"/>
    <w:rsid w:val="00387287"/>
    <w:rsid w:val="003A1462"/>
    <w:rsid w:val="003A21C2"/>
    <w:rsid w:val="003A6AAD"/>
    <w:rsid w:val="003B7EE8"/>
    <w:rsid w:val="003E2A00"/>
    <w:rsid w:val="003E48F1"/>
    <w:rsid w:val="003F347A"/>
    <w:rsid w:val="004119D7"/>
    <w:rsid w:val="0041212C"/>
    <w:rsid w:val="00423E3E"/>
    <w:rsid w:val="00427AF4"/>
    <w:rsid w:val="00435465"/>
    <w:rsid w:val="0045231F"/>
    <w:rsid w:val="004647DA"/>
    <w:rsid w:val="00477808"/>
    <w:rsid w:val="00477D6B"/>
    <w:rsid w:val="00480E69"/>
    <w:rsid w:val="00496702"/>
    <w:rsid w:val="004A55EE"/>
    <w:rsid w:val="004A6C37"/>
    <w:rsid w:val="004B1FE7"/>
    <w:rsid w:val="004B7189"/>
    <w:rsid w:val="004C066E"/>
    <w:rsid w:val="004C7647"/>
    <w:rsid w:val="004E297D"/>
    <w:rsid w:val="004F3B5B"/>
    <w:rsid w:val="00503A91"/>
    <w:rsid w:val="0052046F"/>
    <w:rsid w:val="005332F0"/>
    <w:rsid w:val="00542DEC"/>
    <w:rsid w:val="0055013B"/>
    <w:rsid w:val="00561651"/>
    <w:rsid w:val="00571B99"/>
    <w:rsid w:val="00577697"/>
    <w:rsid w:val="005923B7"/>
    <w:rsid w:val="005A0E43"/>
    <w:rsid w:val="005D4FCC"/>
    <w:rsid w:val="005E0DC5"/>
    <w:rsid w:val="005E1D21"/>
    <w:rsid w:val="00605827"/>
    <w:rsid w:val="006067CD"/>
    <w:rsid w:val="006122AC"/>
    <w:rsid w:val="00631796"/>
    <w:rsid w:val="00654C63"/>
    <w:rsid w:val="00675021"/>
    <w:rsid w:val="006A06C6"/>
    <w:rsid w:val="006A2F81"/>
    <w:rsid w:val="006D1851"/>
    <w:rsid w:val="006D3E52"/>
    <w:rsid w:val="006E28EA"/>
    <w:rsid w:val="00703C70"/>
    <w:rsid w:val="00705D73"/>
    <w:rsid w:val="00706600"/>
    <w:rsid w:val="007224C8"/>
    <w:rsid w:val="0073110A"/>
    <w:rsid w:val="00754968"/>
    <w:rsid w:val="00762AB6"/>
    <w:rsid w:val="007702E5"/>
    <w:rsid w:val="00774F06"/>
    <w:rsid w:val="00794BE2"/>
    <w:rsid w:val="007B71FE"/>
    <w:rsid w:val="007D781E"/>
    <w:rsid w:val="007E663E"/>
    <w:rsid w:val="00815082"/>
    <w:rsid w:val="00832671"/>
    <w:rsid w:val="008326EF"/>
    <w:rsid w:val="008330BC"/>
    <w:rsid w:val="008440FC"/>
    <w:rsid w:val="00863E76"/>
    <w:rsid w:val="0086525E"/>
    <w:rsid w:val="0088395E"/>
    <w:rsid w:val="008A0BBE"/>
    <w:rsid w:val="008B2CC1"/>
    <w:rsid w:val="008D6CCA"/>
    <w:rsid w:val="008E6BD6"/>
    <w:rsid w:val="0090731E"/>
    <w:rsid w:val="00966A22"/>
    <w:rsid w:val="00972F03"/>
    <w:rsid w:val="00977BC3"/>
    <w:rsid w:val="00992C4E"/>
    <w:rsid w:val="009A0C8B"/>
    <w:rsid w:val="009B6241"/>
    <w:rsid w:val="009C153A"/>
    <w:rsid w:val="00A134D4"/>
    <w:rsid w:val="00A16FC0"/>
    <w:rsid w:val="00A215CE"/>
    <w:rsid w:val="00A32C9E"/>
    <w:rsid w:val="00A82B11"/>
    <w:rsid w:val="00A96860"/>
    <w:rsid w:val="00AB613D"/>
    <w:rsid w:val="00AC2DB3"/>
    <w:rsid w:val="00AE2248"/>
    <w:rsid w:val="00AE7F20"/>
    <w:rsid w:val="00AF10B6"/>
    <w:rsid w:val="00B02AE4"/>
    <w:rsid w:val="00B40836"/>
    <w:rsid w:val="00B53BDB"/>
    <w:rsid w:val="00B65A0A"/>
    <w:rsid w:val="00B67CDC"/>
    <w:rsid w:val="00B72D36"/>
    <w:rsid w:val="00B7518A"/>
    <w:rsid w:val="00B911CE"/>
    <w:rsid w:val="00B942D4"/>
    <w:rsid w:val="00BC4164"/>
    <w:rsid w:val="00BD2DCC"/>
    <w:rsid w:val="00BD3465"/>
    <w:rsid w:val="00C10303"/>
    <w:rsid w:val="00C17BA1"/>
    <w:rsid w:val="00C21898"/>
    <w:rsid w:val="00C26CCC"/>
    <w:rsid w:val="00C354BC"/>
    <w:rsid w:val="00C56E96"/>
    <w:rsid w:val="00C66998"/>
    <w:rsid w:val="00C872A2"/>
    <w:rsid w:val="00C90559"/>
    <w:rsid w:val="00C93575"/>
    <w:rsid w:val="00CA2251"/>
    <w:rsid w:val="00CB250A"/>
    <w:rsid w:val="00CB717A"/>
    <w:rsid w:val="00CE30E0"/>
    <w:rsid w:val="00CF3F2F"/>
    <w:rsid w:val="00D07680"/>
    <w:rsid w:val="00D10FCD"/>
    <w:rsid w:val="00D319EE"/>
    <w:rsid w:val="00D43A85"/>
    <w:rsid w:val="00D446A3"/>
    <w:rsid w:val="00D56C7C"/>
    <w:rsid w:val="00D623AF"/>
    <w:rsid w:val="00D65090"/>
    <w:rsid w:val="00D7051A"/>
    <w:rsid w:val="00D71B4D"/>
    <w:rsid w:val="00D807B2"/>
    <w:rsid w:val="00D8356E"/>
    <w:rsid w:val="00D90289"/>
    <w:rsid w:val="00D93D55"/>
    <w:rsid w:val="00DB3F4B"/>
    <w:rsid w:val="00DC4C60"/>
    <w:rsid w:val="00DE1B77"/>
    <w:rsid w:val="00E0079A"/>
    <w:rsid w:val="00E0488E"/>
    <w:rsid w:val="00E444DA"/>
    <w:rsid w:val="00E45C84"/>
    <w:rsid w:val="00E504E5"/>
    <w:rsid w:val="00E57476"/>
    <w:rsid w:val="00E81D8E"/>
    <w:rsid w:val="00EA6ECB"/>
    <w:rsid w:val="00EB7A3E"/>
    <w:rsid w:val="00EC401A"/>
    <w:rsid w:val="00EE7569"/>
    <w:rsid w:val="00EF530A"/>
    <w:rsid w:val="00EF6622"/>
    <w:rsid w:val="00F03E46"/>
    <w:rsid w:val="00F054DE"/>
    <w:rsid w:val="00F520BA"/>
    <w:rsid w:val="00F55408"/>
    <w:rsid w:val="00F55E1B"/>
    <w:rsid w:val="00F6023C"/>
    <w:rsid w:val="00F61E03"/>
    <w:rsid w:val="00F66152"/>
    <w:rsid w:val="00F80845"/>
    <w:rsid w:val="00F84474"/>
    <w:rsid w:val="00F873BA"/>
    <w:rsid w:val="00FA0F0D"/>
    <w:rsid w:val="00FC48EB"/>
    <w:rsid w:val="00FD59D1"/>
    <w:rsid w:val="00FD6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Heading2Char">
    <w:name w:val="Heading 2 Char"/>
    <w:basedOn w:val="DefaultParagraphFont"/>
    <w:link w:val="Heading2"/>
    <w:rsid w:val="004A55EE"/>
    <w:rPr>
      <w:rFonts w:ascii="Arial" w:eastAsia="SimSun" w:hAnsi="Arial" w:cs="Arial"/>
      <w:bCs/>
      <w:iCs/>
      <w:caps/>
      <w:sz w:val="22"/>
      <w:szCs w:val="28"/>
      <w:lang w:val="es-ES" w:eastAsia="zh-CN"/>
    </w:rPr>
  </w:style>
  <w:style w:type="character" w:customStyle="1" w:styleId="ONUMEChar">
    <w:name w:val="ONUM E Char"/>
    <w:link w:val="ONUME"/>
    <w:locked/>
    <w:rsid w:val="004A55EE"/>
    <w:rPr>
      <w:rFonts w:ascii="Arial" w:eastAsia="SimSun" w:hAnsi="Arial" w:cs="Arial"/>
      <w:sz w:val="22"/>
      <w:lang w:val="es-ES" w:eastAsia="zh-CN"/>
    </w:rPr>
  </w:style>
  <w:style w:type="character" w:customStyle="1" w:styleId="Heading1Char">
    <w:name w:val="Heading 1 Char"/>
    <w:basedOn w:val="DefaultParagraphFont"/>
    <w:link w:val="Heading1"/>
    <w:uiPriority w:val="99"/>
    <w:rsid w:val="004A55EE"/>
    <w:rPr>
      <w:rFonts w:ascii="Arial" w:eastAsia="SimSun" w:hAnsi="Arial" w:cs="Arial"/>
      <w:b/>
      <w:bCs/>
      <w:caps/>
      <w:kern w:val="32"/>
      <w:sz w:val="22"/>
      <w:szCs w:val="32"/>
      <w:lang w:val="es-ES" w:eastAsia="zh-CN"/>
    </w:rPr>
  </w:style>
  <w:style w:type="character" w:styleId="Emphasis">
    <w:name w:val="Emphasis"/>
    <w:basedOn w:val="DefaultParagraphFont"/>
    <w:qFormat/>
    <w:rsid w:val="004A55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customStyle="1" w:styleId="Heading2Char">
    <w:name w:val="Heading 2 Char"/>
    <w:basedOn w:val="DefaultParagraphFont"/>
    <w:link w:val="Heading2"/>
    <w:rsid w:val="004A55EE"/>
    <w:rPr>
      <w:rFonts w:ascii="Arial" w:eastAsia="SimSun" w:hAnsi="Arial" w:cs="Arial"/>
      <w:bCs/>
      <w:iCs/>
      <w:caps/>
      <w:sz w:val="22"/>
      <w:szCs w:val="28"/>
      <w:lang w:val="es-ES" w:eastAsia="zh-CN"/>
    </w:rPr>
  </w:style>
  <w:style w:type="character" w:customStyle="1" w:styleId="ONUMEChar">
    <w:name w:val="ONUM E Char"/>
    <w:link w:val="ONUME"/>
    <w:locked/>
    <w:rsid w:val="004A55EE"/>
    <w:rPr>
      <w:rFonts w:ascii="Arial" w:eastAsia="SimSun" w:hAnsi="Arial" w:cs="Arial"/>
      <w:sz w:val="22"/>
      <w:lang w:val="es-ES" w:eastAsia="zh-CN"/>
    </w:rPr>
  </w:style>
  <w:style w:type="character" w:customStyle="1" w:styleId="Heading1Char">
    <w:name w:val="Heading 1 Char"/>
    <w:basedOn w:val="DefaultParagraphFont"/>
    <w:link w:val="Heading1"/>
    <w:uiPriority w:val="99"/>
    <w:rsid w:val="004A55EE"/>
    <w:rPr>
      <w:rFonts w:ascii="Arial" w:eastAsia="SimSun" w:hAnsi="Arial" w:cs="Arial"/>
      <w:b/>
      <w:bCs/>
      <w:caps/>
      <w:kern w:val="32"/>
      <w:sz w:val="22"/>
      <w:szCs w:val="32"/>
      <w:lang w:val="es-ES" w:eastAsia="zh-CN"/>
    </w:rPr>
  </w:style>
  <w:style w:type="character" w:styleId="Emphasis">
    <w:name w:val="Emphasis"/>
    <w:basedOn w:val="DefaultParagraphFont"/>
    <w:qFormat/>
    <w:rsid w:val="004A55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75A89-850A-40D3-91DD-3EB304EE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(S)</Template>
  <TotalTime>1</TotalTime>
  <Pages>4</Pages>
  <Words>1549</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PCT/WG/9/23</vt:lpstr>
    </vt:vector>
  </TitlesOfParts>
  <Company>WIPO</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PCT/WG/9/23</dc:title>
  <dc:subject>PCT Minimum Documentation Task Force:  Status Report</dc:subject>
  <dc:creator>CEVALLOS DUQUE Nilo</dc:creator>
  <cp:lastModifiedBy>MARLOW Thomas</cp:lastModifiedBy>
  <cp:revision>3</cp:revision>
  <cp:lastPrinted>2016-04-19T13:16:00Z</cp:lastPrinted>
  <dcterms:created xsi:type="dcterms:W3CDTF">2016-04-20T08:28:00Z</dcterms:created>
  <dcterms:modified xsi:type="dcterms:W3CDTF">2016-04-20T08:28:00Z</dcterms:modified>
</cp:coreProperties>
</file>