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DF1269" w:rsidTr="00361450">
        <w:tc>
          <w:tcPr>
            <w:tcW w:w="4513" w:type="dxa"/>
            <w:tcBorders>
              <w:bottom w:val="single" w:sz="4" w:space="0" w:color="auto"/>
            </w:tcBorders>
            <w:tcMar>
              <w:bottom w:w="170" w:type="dxa"/>
            </w:tcMar>
          </w:tcPr>
          <w:p w:rsidR="00EC4E49" w:rsidRPr="00DF1269"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DF1269" w:rsidRDefault="00037C97" w:rsidP="00916EE2">
            <w:pPr>
              <w:rPr>
                <w:lang w:val="es-ES"/>
              </w:rPr>
            </w:pPr>
            <w:r w:rsidRPr="00DF1269">
              <w:rPr>
                <w:noProof/>
                <w:color w:val="808080"/>
                <w:lang w:eastAsia="en-US" w:bidi="he-IL"/>
              </w:rPr>
              <w:drawing>
                <wp:inline distT="0" distB="0" distL="0" distR="0" wp14:anchorId="360A6F8B" wp14:editId="49660AC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DF1269" w:rsidRDefault="00037C97" w:rsidP="00916EE2">
            <w:pPr>
              <w:jc w:val="right"/>
              <w:rPr>
                <w:lang w:val="es-ES"/>
              </w:rPr>
            </w:pPr>
            <w:r w:rsidRPr="00DF1269">
              <w:rPr>
                <w:b/>
                <w:sz w:val="40"/>
                <w:szCs w:val="40"/>
                <w:lang w:val="es-ES"/>
              </w:rPr>
              <w:t>S</w:t>
            </w:r>
          </w:p>
        </w:tc>
      </w:tr>
      <w:tr w:rsidR="008B2CC1" w:rsidRPr="00DF1269"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DF1269" w:rsidRDefault="00505EE8" w:rsidP="00916EE2">
            <w:pPr>
              <w:jc w:val="right"/>
              <w:rPr>
                <w:rFonts w:ascii="Arial Black" w:hAnsi="Arial Black"/>
                <w:caps/>
                <w:sz w:val="15"/>
                <w:lang w:val="es-ES"/>
              </w:rPr>
            </w:pPr>
            <w:r w:rsidRPr="00DF1269">
              <w:rPr>
                <w:rFonts w:ascii="Arial Black" w:hAnsi="Arial Black"/>
                <w:caps/>
                <w:sz w:val="15"/>
                <w:lang w:val="es-ES"/>
              </w:rPr>
              <w:t>PCT/WG/9/</w:t>
            </w:r>
            <w:bookmarkStart w:id="1" w:name="Code"/>
            <w:bookmarkEnd w:id="1"/>
            <w:r w:rsidR="007A7B08" w:rsidRPr="00DF1269">
              <w:rPr>
                <w:rFonts w:ascii="Arial Black" w:hAnsi="Arial Black"/>
                <w:caps/>
                <w:sz w:val="15"/>
                <w:lang w:val="es-ES"/>
              </w:rPr>
              <w:t>12</w:t>
            </w:r>
            <w:r w:rsidR="00A42DAF" w:rsidRPr="00DF1269">
              <w:rPr>
                <w:rFonts w:ascii="Arial Black" w:hAnsi="Arial Black"/>
                <w:caps/>
                <w:sz w:val="15"/>
                <w:lang w:val="es-ES"/>
              </w:rPr>
              <w:t xml:space="preserve"> </w:t>
            </w:r>
            <w:r w:rsidR="008B2CC1" w:rsidRPr="00DF1269">
              <w:rPr>
                <w:rFonts w:ascii="Arial Black" w:hAnsi="Arial Black"/>
                <w:caps/>
                <w:sz w:val="15"/>
                <w:lang w:val="es-ES"/>
              </w:rPr>
              <w:t xml:space="preserve">   </w:t>
            </w:r>
          </w:p>
        </w:tc>
      </w:tr>
      <w:tr w:rsidR="008B2CC1" w:rsidRPr="00DF1269" w:rsidTr="00916EE2">
        <w:trPr>
          <w:trHeight w:hRule="exact" w:val="170"/>
        </w:trPr>
        <w:tc>
          <w:tcPr>
            <w:tcW w:w="9356" w:type="dxa"/>
            <w:gridSpan w:val="3"/>
            <w:noWrap/>
            <w:tcMar>
              <w:left w:w="0" w:type="dxa"/>
              <w:right w:w="0" w:type="dxa"/>
            </w:tcMar>
            <w:vAlign w:val="bottom"/>
          </w:tcPr>
          <w:p w:rsidR="008B2CC1" w:rsidRPr="00DF1269" w:rsidRDefault="008B2CC1" w:rsidP="00037C97">
            <w:pPr>
              <w:jc w:val="right"/>
              <w:rPr>
                <w:rFonts w:ascii="Arial Black" w:hAnsi="Arial Black"/>
                <w:caps/>
                <w:sz w:val="15"/>
                <w:lang w:val="es-ES"/>
              </w:rPr>
            </w:pPr>
            <w:r w:rsidRPr="00DF1269">
              <w:rPr>
                <w:rFonts w:ascii="Arial Black" w:hAnsi="Arial Black"/>
                <w:caps/>
                <w:sz w:val="15"/>
                <w:lang w:val="es-ES"/>
              </w:rPr>
              <w:t xml:space="preserve">ORIGINAL: </w:t>
            </w:r>
            <w:bookmarkStart w:id="2" w:name="Original"/>
            <w:bookmarkEnd w:id="2"/>
            <w:r w:rsidR="00037C97" w:rsidRPr="00DF1269">
              <w:rPr>
                <w:rFonts w:ascii="Arial Black" w:hAnsi="Arial Black"/>
                <w:caps/>
                <w:sz w:val="15"/>
                <w:lang w:val="es-ES"/>
              </w:rPr>
              <w:t>INGLÉS</w:t>
            </w:r>
          </w:p>
        </w:tc>
      </w:tr>
      <w:tr w:rsidR="008B2CC1" w:rsidRPr="00DF1269" w:rsidTr="00916EE2">
        <w:trPr>
          <w:trHeight w:hRule="exact" w:val="198"/>
        </w:trPr>
        <w:tc>
          <w:tcPr>
            <w:tcW w:w="9356" w:type="dxa"/>
            <w:gridSpan w:val="3"/>
            <w:tcMar>
              <w:left w:w="0" w:type="dxa"/>
              <w:right w:w="0" w:type="dxa"/>
            </w:tcMar>
            <w:vAlign w:val="bottom"/>
          </w:tcPr>
          <w:p w:rsidR="008B2CC1" w:rsidRPr="00DF1269" w:rsidRDefault="004320B4" w:rsidP="00037C97">
            <w:pPr>
              <w:jc w:val="right"/>
              <w:rPr>
                <w:rFonts w:ascii="Arial Black" w:hAnsi="Arial Black"/>
                <w:caps/>
                <w:sz w:val="15"/>
                <w:lang w:val="es-ES"/>
              </w:rPr>
            </w:pPr>
            <w:r w:rsidRPr="00DF1269">
              <w:rPr>
                <w:rFonts w:ascii="Arial Black" w:hAnsi="Arial Black"/>
                <w:caps/>
                <w:sz w:val="15"/>
                <w:lang w:val="es-ES"/>
              </w:rPr>
              <w:t>FECHA</w:t>
            </w:r>
            <w:r w:rsidR="008B2CC1" w:rsidRPr="00DF1269">
              <w:rPr>
                <w:rFonts w:ascii="Arial Black" w:hAnsi="Arial Black"/>
                <w:caps/>
                <w:sz w:val="15"/>
                <w:lang w:val="es-ES"/>
              </w:rPr>
              <w:t>:</w:t>
            </w:r>
            <w:r w:rsidR="00037C97" w:rsidRPr="00DF1269">
              <w:rPr>
                <w:rFonts w:ascii="Arial Black" w:hAnsi="Arial Black"/>
                <w:caps/>
                <w:sz w:val="15"/>
                <w:lang w:val="es-ES"/>
              </w:rPr>
              <w:t xml:space="preserve"> </w:t>
            </w:r>
            <w:r w:rsidR="008B2CC1" w:rsidRPr="00DF1269">
              <w:rPr>
                <w:rFonts w:ascii="Arial Black" w:hAnsi="Arial Black"/>
                <w:caps/>
                <w:sz w:val="15"/>
                <w:lang w:val="es-ES"/>
              </w:rPr>
              <w:t xml:space="preserve"> </w:t>
            </w:r>
            <w:bookmarkStart w:id="3" w:name="Date"/>
            <w:bookmarkEnd w:id="3"/>
            <w:r w:rsidR="007A7B08" w:rsidRPr="00DF1269">
              <w:rPr>
                <w:rFonts w:ascii="Arial Black" w:hAnsi="Arial Black"/>
                <w:caps/>
                <w:sz w:val="15"/>
                <w:lang w:val="es-ES"/>
              </w:rPr>
              <w:t>23</w:t>
            </w:r>
            <w:r w:rsidR="00037C97" w:rsidRPr="00DF1269">
              <w:rPr>
                <w:rFonts w:ascii="Arial Black" w:hAnsi="Arial Black"/>
                <w:caps/>
                <w:sz w:val="15"/>
                <w:lang w:val="es-ES"/>
              </w:rPr>
              <w:t xml:space="preserve"> DE MARZO DE</w:t>
            </w:r>
            <w:r w:rsidR="00DE6F0A" w:rsidRPr="00DF1269">
              <w:rPr>
                <w:rFonts w:ascii="Arial Black" w:hAnsi="Arial Black"/>
                <w:caps/>
                <w:sz w:val="15"/>
                <w:lang w:val="es-ES"/>
              </w:rPr>
              <w:t xml:space="preserve"> 2016</w:t>
            </w:r>
          </w:p>
        </w:tc>
      </w:tr>
    </w:tbl>
    <w:p w:rsidR="008B2CC1" w:rsidRPr="00DF1269" w:rsidRDefault="008B2CC1" w:rsidP="008B2CC1">
      <w:pPr>
        <w:rPr>
          <w:lang w:val="es-ES"/>
        </w:rPr>
      </w:pPr>
    </w:p>
    <w:p w:rsidR="008B2CC1" w:rsidRPr="00DF1269" w:rsidRDefault="008B2CC1" w:rsidP="008B2CC1">
      <w:pPr>
        <w:rPr>
          <w:lang w:val="es-ES"/>
        </w:rPr>
      </w:pPr>
    </w:p>
    <w:p w:rsidR="008B2CC1" w:rsidRPr="00DF1269" w:rsidRDefault="008B2CC1" w:rsidP="008B2CC1">
      <w:pPr>
        <w:rPr>
          <w:lang w:val="es-ES"/>
        </w:rPr>
      </w:pPr>
    </w:p>
    <w:p w:rsidR="008B2CC1" w:rsidRPr="00DF1269" w:rsidRDefault="008B2CC1" w:rsidP="008B2CC1">
      <w:pPr>
        <w:rPr>
          <w:lang w:val="es-ES"/>
        </w:rPr>
      </w:pPr>
    </w:p>
    <w:p w:rsidR="008B2CC1" w:rsidRPr="00DF1269" w:rsidRDefault="008B2CC1" w:rsidP="008B2CC1">
      <w:pPr>
        <w:rPr>
          <w:lang w:val="es-ES"/>
        </w:rPr>
      </w:pPr>
    </w:p>
    <w:p w:rsidR="00EB2831" w:rsidRPr="00DF1269" w:rsidRDefault="00EB2831" w:rsidP="00EB2831">
      <w:pPr>
        <w:rPr>
          <w:b/>
          <w:sz w:val="28"/>
          <w:szCs w:val="28"/>
          <w:lang w:val="es-ES"/>
        </w:rPr>
      </w:pPr>
      <w:r w:rsidRPr="00DF1269">
        <w:rPr>
          <w:b/>
          <w:sz w:val="28"/>
          <w:szCs w:val="28"/>
          <w:lang w:val="es-ES"/>
        </w:rPr>
        <w:t>Grupo de Trabajo del Tratado de Cooperación en materia de Patentes (PCT)</w:t>
      </w:r>
    </w:p>
    <w:p w:rsidR="00EB2831" w:rsidRPr="00DF1269" w:rsidRDefault="00EB2831" w:rsidP="00EB2831">
      <w:pPr>
        <w:rPr>
          <w:b/>
          <w:sz w:val="28"/>
          <w:szCs w:val="28"/>
          <w:lang w:val="es-ES"/>
        </w:rPr>
      </w:pPr>
    </w:p>
    <w:p w:rsidR="00EB2831" w:rsidRPr="00DF1269" w:rsidRDefault="00EB2831" w:rsidP="00EB2831">
      <w:pPr>
        <w:rPr>
          <w:b/>
          <w:sz w:val="28"/>
          <w:szCs w:val="28"/>
          <w:lang w:val="es-ES"/>
        </w:rPr>
      </w:pPr>
    </w:p>
    <w:p w:rsidR="00EB2831" w:rsidRPr="00DF1269" w:rsidRDefault="00EB2831" w:rsidP="00EB2831">
      <w:pPr>
        <w:rPr>
          <w:b/>
          <w:sz w:val="28"/>
          <w:szCs w:val="28"/>
          <w:lang w:val="es-ES"/>
        </w:rPr>
      </w:pPr>
      <w:r w:rsidRPr="00DF1269">
        <w:rPr>
          <w:b/>
          <w:sz w:val="28"/>
          <w:szCs w:val="28"/>
          <w:lang w:val="es-ES"/>
        </w:rPr>
        <w:t>Novena reunión</w:t>
      </w:r>
    </w:p>
    <w:p w:rsidR="008B2CC1" w:rsidRPr="00DF1269" w:rsidRDefault="00EB2831" w:rsidP="00EB2831">
      <w:pPr>
        <w:rPr>
          <w:b/>
          <w:sz w:val="24"/>
          <w:szCs w:val="24"/>
          <w:lang w:val="es-ES"/>
        </w:rPr>
      </w:pPr>
      <w:r w:rsidRPr="00DF1269">
        <w:rPr>
          <w:b/>
          <w:sz w:val="28"/>
          <w:szCs w:val="28"/>
          <w:lang w:val="es-ES"/>
        </w:rPr>
        <w:t>Ginebra, 17 a 20 de mayo de 2016</w:t>
      </w:r>
    </w:p>
    <w:p w:rsidR="008B2CC1" w:rsidRPr="00DF1269" w:rsidRDefault="008B2CC1" w:rsidP="008B2CC1">
      <w:pPr>
        <w:rPr>
          <w:lang w:val="es-ES"/>
        </w:rPr>
      </w:pPr>
    </w:p>
    <w:p w:rsidR="008B2CC1" w:rsidRPr="00DF1269" w:rsidRDefault="008B2CC1" w:rsidP="008B2CC1">
      <w:pPr>
        <w:rPr>
          <w:lang w:val="es-ES"/>
        </w:rPr>
      </w:pPr>
    </w:p>
    <w:p w:rsidR="008B2CC1" w:rsidRPr="00DF1269" w:rsidRDefault="008B2CC1" w:rsidP="008B2CC1">
      <w:pPr>
        <w:rPr>
          <w:lang w:val="es-ES"/>
        </w:rPr>
      </w:pPr>
    </w:p>
    <w:p w:rsidR="008B2CC1" w:rsidRPr="00DF1269" w:rsidRDefault="00EB2831" w:rsidP="008B2CC1">
      <w:pPr>
        <w:rPr>
          <w:caps/>
          <w:sz w:val="24"/>
          <w:lang w:val="es-ES"/>
        </w:rPr>
      </w:pPr>
      <w:bookmarkStart w:id="4" w:name="TitleOfDoc"/>
      <w:bookmarkEnd w:id="4"/>
      <w:r w:rsidRPr="00DF1269">
        <w:rPr>
          <w:caps/>
          <w:sz w:val="24"/>
          <w:lang w:val="es-ES"/>
        </w:rPr>
        <w:t>SUPRESIÓN DE LAS</w:t>
      </w:r>
      <w:r w:rsidR="00F55E17" w:rsidRPr="00DF1269">
        <w:rPr>
          <w:caps/>
          <w:sz w:val="24"/>
          <w:lang w:val="es-ES"/>
        </w:rPr>
        <w:t xml:space="preserve"> </w:t>
      </w:r>
      <w:r w:rsidR="00086B9F" w:rsidRPr="00DF1269">
        <w:rPr>
          <w:caps/>
          <w:sz w:val="24"/>
          <w:lang w:val="es-ES"/>
        </w:rPr>
        <w:t>“</w:t>
      </w:r>
      <w:r w:rsidRPr="00DF1269">
        <w:rPr>
          <w:caps/>
          <w:sz w:val="24"/>
          <w:lang w:val="es-ES"/>
        </w:rPr>
        <w:t xml:space="preserve">DISPOSICIONES SOBRE </w:t>
      </w:r>
      <w:r w:rsidR="00F55E17" w:rsidRPr="00DF1269">
        <w:rPr>
          <w:caps/>
          <w:sz w:val="24"/>
          <w:lang w:val="es-ES"/>
        </w:rPr>
        <w:t>Incompatibili</w:t>
      </w:r>
      <w:r w:rsidRPr="00DF1269">
        <w:rPr>
          <w:caps/>
          <w:sz w:val="24"/>
          <w:lang w:val="es-ES"/>
        </w:rPr>
        <w:t>DAD</w:t>
      </w:r>
      <w:r w:rsidR="00086B9F" w:rsidRPr="00DF1269">
        <w:rPr>
          <w:caps/>
          <w:sz w:val="24"/>
          <w:lang w:val="es-ES"/>
        </w:rPr>
        <w:t>”</w:t>
      </w:r>
      <w:r w:rsidR="00F55E17" w:rsidRPr="00DF1269">
        <w:rPr>
          <w:caps/>
          <w:sz w:val="24"/>
          <w:lang w:val="es-ES"/>
        </w:rPr>
        <w:t xml:space="preserve"> </w:t>
      </w:r>
      <w:r w:rsidRPr="00DF1269">
        <w:rPr>
          <w:caps/>
          <w:sz w:val="24"/>
          <w:lang w:val="es-ES"/>
        </w:rPr>
        <w:t>E</w:t>
      </w:r>
      <w:r w:rsidR="00F55E17" w:rsidRPr="00DF1269">
        <w:rPr>
          <w:caps/>
          <w:sz w:val="24"/>
          <w:lang w:val="es-ES"/>
        </w:rPr>
        <w:t>n</w:t>
      </w:r>
      <w:r w:rsidR="00DE6F0A" w:rsidRPr="00DF1269">
        <w:rPr>
          <w:caps/>
          <w:sz w:val="24"/>
          <w:lang w:val="es-ES"/>
        </w:rPr>
        <w:t xml:space="preserve"> </w:t>
      </w:r>
      <w:r w:rsidRPr="00DF1269">
        <w:rPr>
          <w:caps/>
          <w:sz w:val="24"/>
          <w:lang w:val="es-ES"/>
        </w:rPr>
        <w:t>EL REGLAMENTO DEL PCT</w:t>
      </w:r>
    </w:p>
    <w:p w:rsidR="008B2CC1" w:rsidRPr="00DF1269" w:rsidRDefault="008B2CC1" w:rsidP="008B2CC1">
      <w:pPr>
        <w:rPr>
          <w:lang w:val="es-ES"/>
        </w:rPr>
      </w:pPr>
    </w:p>
    <w:p w:rsidR="008B2CC1" w:rsidRPr="00DF1269" w:rsidRDefault="00DE6F0A" w:rsidP="008B2CC1">
      <w:pPr>
        <w:rPr>
          <w:i/>
          <w:lang w:val="es-ES"/>
        </w:rPr>
      </w:pPr>
      <w:bookmarkStart w:id="5" w:name="Prepared"/>
      <w:bookmarkEnd w:id="5"/>
      <w:r w:rsidRPr="00DF1269">
        <w:rPr>
          <w:i/>
          <w:lang w:val="es-ES"/>
        </w:rPr>
        <w:t>Document</w:t>
      </w:r>
      <w:r w:rsidR="00AF7BC6" w:rsidRPr="00DF1269">
        <w:rPr>
          <w:i/>
          <w:lang w:val="es-ES"/>
        </w:rPr>
        <w:t>o</w:t>
      </w:r>
      <w:r w:rsidRPr="00DF1269">
        <w:rPr>
          <w:i/>
          <w:lang w:val="es-ES"/>
        </w:rPr>
        <w:t xml:space="preserve"> </w:t>
      </w:r>
      <w:r w:rsidR="004320B4" w:rsidRPr="00DF1269">
        <w:rPr>
          <w:i/>
          <w:lang w:val="es-ES"/>
        </w:rPr>
        <w:t>preparado</w:t>
      </w:r>
      <w:r w:rsidR="00AF7BC6" w:rsidRPr="00DF1269">
        <w:rPr>
          <w:i/>
          <w:lang w:val="es-ES"/>
        </w:rPr>
        <w:t xml:space="preserve"> por la Oficina Internacional</w:t>
      </w:r>
    </w:p>
    <w:p w:rsidR="00AC205C" w:rsidRPr="00DF1269" w:rsidRDefault="00AC205C">
      <w:pPr>
        <w:rPr>
          <w:lang w:val="es-ES"/>
        </w:rPr>
      </w:pPr>
    </w:p>
    <w:p w:rsidR="000F5E56" w:rsidRPr="00DF1269" w:rsidRDefault="000F5E56">
      <w:pPr>
        <w:rPr>
          <w:lang w:val="es-ES"/>
        </w:rPr>
      </w:pPr>
    </w:p>
    <w:p w:rsidR="002928D3" w:rsidRPr="00DF1269" w:rsidRDefault="002928D3">
      <w:pPr>
        <w:rPr>
          <w:lang w:val="es-ES"/>
        </w:rPr>
      </w:pPr>
    </w:p>
    <w:p w:rsidR="002928D3" w:rsidRPr="00DF1269" w:rsidRDefault="002928D3" w:rsidP="0053057A">
      <w:pPr>
        <w:rPr>
          <w:lang w:val="es-ES"/>
        </w:rPr>
      </w:pPr>
    </w:p>
    <w:p w:rsidR="003961C1" w:rsidRPr="00DF1269" w:rsidRDefault="00AF7BC6" w:rsidP="004224EB">
      <w:pPr>
        <w:pStyle w:val="Heading1"/>
        <w:rPr>
          <w:lang w:val="es-ES"/>
        </w:rPr>
      </w:pPr>
      <w:r w:rsidRPr="00DF1269">
        <w:rPr>
          <w:lang w:val="es-ES"/>
        </w:rPr>
        <w:t>RESUMEN</w:t>
      </w:r>
    </w:p>
    <w:p w:rsidR="00AF7BC6" w:rsidRPr="00DF1269" w:rsidRDefault="00AF7BC6" w:rsidP="003E3E7B">
      <w:pPr>
        <w:pStyle w:val="ONUME"/>
        <w:rPr>
          <w:lang w:val="es-ES"/>
        </w:rPr>
      </w:pPr>
      <w:r w:rsidRPr="00DF1269">
        <w:rPr>
          <w:lang w:val="es-ES"/>
        </w:rPr>
        <w:t>En el presente documento se propone la supresión de dos “disposiciones sobre incompatibilidad”, a saber, las Reglas 4.10.d) y 51</w:t>
      </w:r>
      <w:r w:rsidRPr="00DF1269">
        <w:rPr>
          <w:i/>
          <w:lang w:val="es-ES"/>
        </w:rPr>
        <w:t>bis</w:t>
      </w:r>
      <w:r w:rsidRPr="00DF1269">
        <w:rPr>
          <w:lang w:val="es-ES"/>
        </w:rPr>
        <w:t xml:space="preserve">.1.f), tras </w:t>
      </w:r>
      <w:r w:rsidR="004320B4" w:rsidRPr="00DF1269">
        <w:rPr>
          <w:lang w:val="es-ES"/>
        </w:rPr>
        <w:t>la retirada</w:t>
      </w:r>
      <w:r w:rsidRPr="00DF1269">
        <w:rPr>
          <w:lang w:val="es-ES"/>
        </w:rPr>
        <w:t xml:space="preserve"> </w:t>
      </w:r>
      <w:r w:rsidR="004320B4" w:rsidRPr="00DF1269">
        <w:rPr>
          <w:lang w:val="es-ES"/>
        </w:rPr>
        <w:t xml:space="preserve">por las Oficinas designadas </w:t>
      </w:r>
      <w:r w:rsidRPr="00DF1269">
        <w:rPr>
          <w:lang w:val="es-ES"/>
        </w:rPr>
        <w:t>de las últimas notificaciones de incompatibilidad pendientes en el marco de ese Reglamento.</w:t>
      </w:r>
    </w:p>
    <w:p w:rsidR="00B54C10" w:rsidRPr="00DF1269" w:rsidRDefault="00AF7BC6" w:rsidP="00D809C1">
      <w:pPr>
        <w:pStyle w:val="Heading1"/>
        <w:rPr>
          <w:lang w:val="es-ES"/>
        </w:rPr>
      </w:pPr>
      <w:bookmarkStart w:id="6" w:name="_Toc446433427"/>
      <w:r w:rsidRPr="00DF1269">
        <w:rPr>
          <w:lang w:val="es-ES"/>
        </w:rPr>
        <w:t xml:space="preserve">LA </w:t>
      </w:r>
      <w:r w:rsidR="00CB1E2E" w:rsidRPr="00DF1269">
        <w:rPr>
          <w:lang w:val="es-ES"/>
        </w:rPr>
        <w:t>REIVINDICACIÓN</w:t>
      </w:r>
      <w:r w:rsidRPr="00DF1269">
        <w:rPr>
          <w:lang w:val="es-ES"/>
        </w:rPr>
        <w:t xml:space="preserve"> DE LA PrioriDAD EN EL MARCO DEL</w:t>
      </w:r>
      <w:r w:rsidR="004224EB" w:rsidRPr="00DF1269">
        <w:rPr>
          <w:lang w:val="es-ES"/>
        </w:rPr>
        <w:t xml:space="preserve"> PCT</w:t>
      </w:r>
      <w:bookmarkEnd w:id="6"/>
    </w:p>
    <w:p w:rsidR="00AF7BC6" w:rsidRPr="00DF1269" w:rsidRDefault="00AF7BC6" w:rsidP="005D77CD">
      <w:pPr>
        <w:pStyle w:val="ONUME"/>
        <w:rPr>
          <w:lang w:val="es-ES"/>
        </w:rPr>
      </w:pPr>
      <w:r w:rsidRPr="00DF1269">
        <w:rPr>
          <w:lang w:val="es-ES"/>
        </w:rPr>
        <w:t>En su vig</w:t>
      </w:r>
      <w:r w:rsidR="003B41EE" w:rsidRPr="00DF1269">
        <w:rPr>
          <w:lang w:val="es-ES"/>
        </w:rPr>
        <w:t>e</w:t>
      </w:r>
      <w:r w:rsidRPr="00DF1269">
        <w:rPr>
          <w:lang w:val="es-ES"/>
        </w:rPr>
        <w:t>simo</w:t>
      </w:r>
      <w:r w:rsidR="003B41EE" w:rsidRPr="00DF1269">
        <w:rPr>
          <w:lang w:val="es-ES"/>
        </w:rPr>
        <w:t>s</w:t>
      </w:r>
      <w:r w:rsidRPr="00DF1269">
        <w:rPr>
          <w:lang w:val="es-ES"/>
        </w:rPr>
        <w:t xml:space="preserve">éptimo período de sesiones, celebrado en septiembre de 1999, la Asamblea </w:t>
      </w:r>
      <w:r w:rsidR="004320B4" w:rsidRPr="00DF1269">
        <w:rPr>
          <w:lang w:val="es-ES"/>
        </w:rPr>
        <w:t xml:space="preserve">de la Unión </w:t>
      </w:r>
      <w:r w:rsidRPr="00DF1269">
        <w:rPr>
          <w:lang w:val="es-ES"/>
        </w:rPr>
        <w:t>del PCT aprobó la introducción de modificaciones en la Regla 4.10 para permitir a los solicitantes incluir en las solicitudes internacio</w:t>
      </w:r>
      <w:r w:rsidR="004320B4" w:rsidRPr="00DF1269">
        <w:rPr>
          <w:lang w:val="es-ES"/>
        </w:rPr>
        <w:t>nales presentadas a partir del 1 enero de </w:t>
      </w:r>
      <w:r w:rsidRPr="00DF1269">
        <w:rPr>
          <w:lang w:val="es-ES"/>
        </w:rPr>
        <w:t>2000</w:t>
      </w:r>
      <w:r w:rsidR="004320B4" w:rsidRPr="00DF1269">
        <w:rPr>
          <w:lang w:val="es-ES"/>
        </w:rPr>
        <w:t>,</w:t>
      </w:r>
      <w:r w:rsidRPr="00DF1269">
        <w:rPr>
          <w:lang w:val="es-ES"/>
        </w:rPr>
        <w:t xml:space="preserve"> </w:t>
      </w:r>
      <w:r w:rsidR="004320B4" w:rsidRPr="00DF1269">
        <w:rPr>
          <w:lang w:val="es-ES"/>
        </w:rPr>
        <w:t xml:space="preserve">inclusive, </w:t>
      </w:r>
      <w:r w:rsidRPr="00DF1269">
        <w:rPr>
          <w:lang w:val="es-ES"/>
        </w:rPr>
        <w:t xml:space="preserve">las reivindicaciones basadas en una solicitud anterior presentada en un Miembro de la Organización Mundial del Comercio (OMC) que no se parte en el Convenio de París (véase el documento PCT/A/27/3 y los párrafos 12 a 17 del documento PCT/A/27/4).  Esas modificaciones incluían una disposición transitoria en virtud de la cual una Oficina </w:t>
      </w:r>
      <w:r w:rsidR="004320B4" w:rsidRPr="00DF1269">
        <w:rPr>
          <w:lang w:val="es-ES"/>
        </w:rPr>
        <w:t xml:space="preserve">designada </w:t>
      </w:r>
      <w:r w:rsidRPr="00DF1269">
        <w:rPr>
          <w:lang w:val="es-ES"/>
        </w:rPr>
        <w:t xml:space="preserve">podía notificar a la Oficina Internacional la incompatibilidad de las disposiciones modificadas con la legislación nacional en vigor </w:t>
      </w:r>
      <w:r w:rsidR="004320B4" w:rsidRPr="00DF1269">
        <w:rPr>
          <w:lang w:val="es-ES"/>
        </w:rPr>
        <w:t>aplicada por la Oficina</w:t>
      </w:r>
      <w:r w:rsidRPr="00DF1269">
        <w:rPr>
          <w:lang w:val="es-ES"/>
        </w:rPr>
        <w:t xml:space="preserve"> </w:t>
      </w:r>
      <w:r w:rsidR="004320B4" w:rsidRPr="00DF1269">
        <w:rPr>
          <w:lang w:val="es-ES"/>
        </w:rPr>
        <w:t xml:space="preserve">designada en cuestión </w:t>
      </w:r>
      <w:r w:rsidRPr="00DF1269">
        <w:rPr>
          <w:lang w:val="es-ES"/>
        </w:rPr>
        <w:t>(véase la Regla 4.10.d</w:t>
      </w:r>
      <w:r w:rsidR="004320B4" w:rsidRPr="00DF1269">
        <w:rPr>
          <w:lang w:val="es-ES"/>
        </w:rPr>
        <w:t>)</w:t>
      </w:r>
      <w:r w:rsidRPr="00DF1269">
        <w:rPr>
          <w:lang w:val="es-ES"/>
        </w:rPr>
        <w:t>).</w:t>
      </w:r>
    </w:p>
    <w:p w:rsidR="00AF7BC6" w:rsidRPr="00DF1269" w:rsidRDefault="00AF7BC6" w:rsidP="005D77CD">
      <w:pPr>
        <w:pStyle w:val="ONUME"/>
        <w:rPr>
          <w:lang w:val="es-ES"/>
        </w:rPr>
      </w:pPr>
      <w:r w:rsidRPr="00DF1269">
        <w:rPr>
          <w:lang w:val="es-ES"/>
        </w:rPr>
        <w:t xml:space="preserve">Originalmente, dos Oficinas designadas habían notificado a la Oficina Internacional esa incompatibilidad dentro del plazo del 31 octubre 1999 fijado en la Regla 4.10d) (véase </w:t>
      </w:r>
      <w:r w:rsidRPr="00DF1269">
        <w:rPr>
          <w:i/>
          <w:lang w:val="es-ES"/>
        </w:rPr>
        <w:t>O</w:t>
      </w:r>
      <w:r w:rsidR="004320B4" w:rsidRPr="00DF1269">
        <w:rPr>
          <w:i/>
          <w:lang w:val="es-ES"/>
        </w:rPr>
        <w:t>f</w:t>
      </w:r>
      <w:r w:rsidRPr="00DF1269">
        <w:rPr>
          <w:i/>
          <w:lang w:val="es-ES"/>
        </w:rPr>
        <w:t>ficial Notices</w:t>
      </w:r>
      <w:r w:rsidRPr="00DF1269">
        <w:rPr>
          <w:lang w:val="es-ES"/>
        </w:rPr>
        <w:t xml:space="preserve"> </w:t>
      </w:r>
      <w:r w:rsidRPr="00DF1269">
        <w:rPr>
          <w:i/>
          <w:lang w:val="es-ES"/>
        </w:rPr>
        <w:t>(Gaceta del PCT)</w:t>
      </w:r>
      <w:r w:rsidRPr="00DF1269">
        <w:rPr>
          <w:lang w:val="es-ES"/>
        </w:rPr>
        <w:t xml:space="preserve"> – 2 de diciembre de 1999).  Tras el retiro de la notificación de </w:t>
      </w:r>
      <w:r w:rsidRPr="00DF1269">
        <w:rPr>
          <w:lang w:val="es-ES"/>
        </w:rPr>
        <w:lastRenderedPageBreak/>
        <w:t xml:space="preserve">incompatibilidad en virtud de la Regla 4.10.d) por la Oficina Europea de Patentes en </w:t>
      </w:r>
      <w:r w:rsidR="00CB1E2E" w:rsidRPr="00DF1269">
        <w:rPr>
          <w:lang w:val="es-ES"/>
        </w:rPr>
        <w:t>calidad</w:t>
      </w:r>
      <w:r w:rsidRPr="00DF1269">
        <w:rPr>
          <w:lang w:val="es-ES"/>
        </w:rPr>
        <w:t xml:space="preserve"> de Oficina designada, con efecto a partir del 13 diciembre 2007 (véase </w:t>
      </w:r>
      <w:r w:rsidRPr="00DF1269">
        <w:rPr>
          <w:i/>
          <w:lang w:val="es-ES"/>
        </w:rPr>
        <w:t>O</w:t>
      </w:r>
      <w:r w:rsidR="00CB1E2E" w:rsidRPr="00DF1269">
        <w:rPr>
          <w:i/>
          <w:lang w:val="es-ES"/>
        </w:rPr>
        <w:t>f</w:t>
      </w:r>
      <w:r w:rsidRPr="00DF1269">
        <w:rPr>
          <w:i/>
          <w:lang w:val="es-ES"/>
        </w:rPr>
        <w:t>ficial Notices</w:t>
      </w:r>
      <w:r w:rsidRPr="00DF1269">
        <w:rPr>
          <w:lang w:val="es-ES"/>
        </w:rPr>
        <w:t xml:space="preserve"> </w:t>
      </w:r>
      <w:r w:rsidRPr="00DF1269">
        <w:rPr>
          <w:i/>
          <w:lang w:val="es-ES"/>
        </w:rPr>
        <w:t>(Gaceta del PCT)</w:t>
      </w:r>
      <w:r w:rsidRPr="00DF1269">
        <w:rPr>
          <w:lang w:val="es-ES"/>
        </w:rPr>
        <w:t xml:space="preserve"> – 22 de noviembre de 2007), </w:t>
      </w:r>
      <w:r w:rsidR="00CB1E2E" w:rsidRPr="00DF1269">
        <w:rPr>
          <w:lang w:val="es-ES"/>
        </w:rPr>
        <w:t>n</w:t>
      </w:r>
      <w:r w:rsidR="004320B4" w:rsidRPr="00DF1269">
        <w:rPr>
          <w:lang w:val="es-ES"/>
        </w:rPr>
        <w:t>o permanece en vigor n</w:t>
      </w:r>
      <w:r w:rsidR="00CB1E2E" w:rsidRPr="00DF1269">
        <w:rPr>
          <w:lang w:val="es-ES"/>
        </w:rPr>
        <w:t xml:space="preserve">inguna </w:t>
      </w:r>
      <w:r w:rsidR="004320B4" w:rsidRPr="00DF1269">
        <w:rPr>
          <w:lang w:val="es-ES"/>
        </w:rPr>
        <w:t>notificación</w:t>
      </w:r>
      <w:r w:rsidR="00CB1E2E" w:rsidRPr="00DF1269">
        <w:rPr>
          <w:lang w:val="es-ES"/>
        </w:rPr>
        <w:t xml:space="preserve"> de incompatibilidad en virtud de</w:t>
      </w:r>
      <w:r w:rsidRPr="00DF1269">
        <w:rPr>
          <w:lang w:val="es-ES"/>
        </w:rPr>
        <w:t xml:space="preserve"> la Regla 4.10.d).</w:t>
      </w:r>
      <w:r w:rsidRPr="00DF1269">
        <w:rPr>
          <w:rFonts w:eastAsia="Times New Roman"/>
          <w:color w:val="000000"/>
          <w:szCs w:val="22"/>
          <w:lang w:val="es-ES" w:eastAsia="en-US"/>
        </w:rPr>
        <w:t xml:space="preserve">  Por lo tant</w:t>
      </w:r>
      <w:r w:rsidR="004320B4" w:rsidRPr="00DF1269">
        <w:rPr>
          <w:rFonts w:eastAsia="Times New Roman"/>
          <w:color w:val="000000"/>
          <w:szCs w:val="22"/>
          <w:lang w:val="es-ES" w:eastAsia="en-US"/>
        </w:rPr>
        <w:t>o, se propone suprimir la Regla </w:t>
      </w:r>
      <w:r w:rsidRPr="00DF1269">
        <w:rPr>
          <w:rFonts w:eastAsia="Times New Roman"/>
          <w:color w:val="000000"/>
          <w:szCs w:val="22"/>
          <w:lang w:val="es-ES" w:eastAsia="en-US"/>
        </w:rPr>
        <w:t>4.10.d), según se expone en el Anexo del presente documento.</w:t>
      </w:r>
    </w:p>
    <w:p w:rsidR="00B55A7F" w:rsidRPr="00DF1269" w:rsidRDefault="002F006A" w:rsidP="00D809C1">
      <w:pPr>
        <w:pStyle w:val="Heading1"/>
        <w:rPr>
          <w:lang w:val="es-ES"/>
        </w:rPr>
      </w:pPr>
      <w:bookmarkStart w:id="7" w:name="_Toc446433428"/>
      <w:r w:rsidRPr="00DF1269">
        <w:rPr>
          <w:lang w:val="es-ES"/>
        </w:rPr>
        <w:t>Tra</w:t>
      </w:r>
      <w:r w:rsidR="00AF7BC6" w:rsidRPr="00DF1269">
        <w:rPr>
          <w:lang w:val="es-ES"/>
        </w:rPr>
        <w:t>DUCCIONES</w:t>
      </w:r>
      <w:r w:rsidRPr="00DF1269">
        <w:rPr>
          <w:lang w:val="es-ES"/>
        </w:rPr>
        <w:t xml:space="preserve"> </w:t>
      </w:r>
      <w:r w:rsidR="00AF7BC6" w:rsidRPr="00DF1269">
        <w:rPr>
          <w:lang w:val="es-ES"/>
        </w:rPr>
        <w:t xml:space="preserve">DE LOS </w:t>
      </w:r>
      <w:bookmarkEnd w:id="7"/>
      <w:r w:rsidR="00AF7BC6" w:rsidRPr="00DF1269">
        <w:rPr>
          <w:lang w:val="es-ES"/>
        </w:rPr>
        <w:t>DOCUMENTOS DE PRIORIDAD</w:t>
      </w:r>
    </w:p>
    <w:p w:rsidR="00CB1E2E" w:rsidRPr="00DF1269" w:rsidRDefault="00AF7BC6" w:rsidP="004320B4">
      <w:pPr>
        <w:pStyle w:val="ONUME"/>
        <w:rPr>
          <w:lang w:val="es-ES"/>
        </w:rPr>
      </w:pPr>
      <w:r w:rsidRPr="00DF1269">
        <w:rPr>
          <w:lang w:val="es-ES"/>
        </w:rPr>
        <w:t>En su vig</w:t>
      </w:r>
      <w:r w:rsidR="003B41EE" w:rsidRPr="00DF1269">
        <w:rPr>
          <w:lang w:val="es-ES"/>
        </w:rPr>
        <w:t>e</w:t>
      </w:r>
      <w:r w:rsidRPr="00DF1269">
        <w:rPr>
          <w:lang w:val="es-ES"/>
        </w:rPr>
        <w:t xml:space="preserve">simoctavo período de sesiones, celebrado en marzo de 2000, la Asamblea </w:t>
      </w:r>
      <w:r w:rsidR="004320B4" w:rsidRPr="00DF1269">
        <w:rPr>
          <w:lang w:val="es-ES"/>
        </w:rPr>
        <w:t xml:space="preserve">de la Unión </w:t>
      </w:r>
      <w:r w:rsidRPr="00DF1269">
        <w:rPr>
          <w:lang w:val="es-ES"/>
        </w:rPr>
        <w:t>del PCT adoptó la nueva Regla 51</w:t>
      </w:r>
      <w:r w:rsidRPr="00DF1269">
        <w:rPr>
          <w:i/>
          <w:lang w:val="es-ES"/>
        </w:rPr>
        <w:t>bis</w:t>
      </w:r>
      <w:r w:rsidRPr="00DF1269">
        <w:rPr>
          <w:lang w:val="es-ES"/>
        </w:rPr>
        <w:t>.1.e)</w:t>
      </w:r>
      <w:r w:rsidR="002759B1" w:rsidRPr="00DF1269">
        <w:rPr>
          <w:lang w:val="es-ES"/>
        </w:rPr>
        <w:t xml:space="preserve"> para</w:t>
      </w:r>
      <w:r w:rsidRPr="00DF1269">
        <w:rPr>
          <w:lang w:val="es-ES"/>
        </w:rPr>
        <w:t xml:space="preserve"> limitar la capacidad de las Oficinas designadas </w:t>
      </w:r>
      <w:r w:rsidR="002759B1" w:rsidRPr="00DF1269">
        <w:rPr>
          <w:lang w:val="es-ES"/>
        </w:rPr>
        <w:t>de</w:t>
      </w:r>
      <w:r w:rsidRPr="00DF1269">
        <w:rPr>
          <w:lang w:val="es-ES"/>
        </w:rPr>
        <w:t xml:space="preserve"> exigir al solicitante que proporcione una traducción de un documento de prioridad</w:t>
      </w:r>
      <w:r w:rsidR="002759B1" w:rsidRPr="00DF1269">
        <w:rPr>
          <w:lang w:val="es-ES"/>
        </w:rPr>
        <w:t xml:space="preserve"> a los casos en que la validez de la reivindicación de prioridad </w:t>
      </w:r>
      <w:r w:rsidR="00B854EE" w:rsidRPr="00DF1269">
        <w:rPr>
          <w:lang w:val="es-ES"/>
        </w:rPr>
        <w:t>sea importante para determinar</w:t>
      </w:r>
      <w:r w:rsidR="002759B1" w:rsidRPr="00DF1269">
        <w:rPr>
          <w:lang w:val="es-ES"/>
        </w:rPr>
        <w:t xml:space="preserve"> si la invención en cuestión es patentable, en sintonía con el enfoque adoptado en el marco del entonces proyecto de Tratado sobre el Derecho de Patentes.  Al mismo tiempo, la Asamblea adoptó la nueva Regla 51</w:t>
      </w:r>
      <w:r w:rsidR="002759B1" w:rsidRPr="00DF1269">
        <w:rPr>
          <w:i/>
          <w:lang w:val="es-ES"/>
        </w:rPr>
        <w:t>bis</w:t>
      </w:r>
      <w:r w:rsidR="002759B1" w:rsidRPr="00DF1269">
        <w:rPr>
          <w:lang w:val="es-ES"/>
        </w:rPr>
        <w:t>.1.f), para permitir a una Oficina designada notificar a la Oficina Internacional la incompatibilidad de esa limitación en virtud de la nueva Regla 51</w:t>
      </w:r>
      <w:r w:rsidR="002759B1" w:rsidRPr="00DF1269">
        <w:rPr>
          <w:i/>
          <w:lang w:val="es-ES"/>
        </w:rPr>
        <w:t>bis</w:t>
      </w:r>
      <w:r w:rsidR="002759B1" w:rsidRPr="00DF1269">
        <w:rPr>
          <w:lang w:val="es-ES"/>
        </w:rPr>
        <w:t xml:space="preserve">.1.e) con la legislación nacional aplicada por </w:t>
      </w:r>
      <w:r w:rsidR="004320B4" w:rsidRPr="00DF1269">
        <w:rPr>
          <w:lang w:val="es-ES"/>
        </w:rPr>
        <w:t>la</w:t>
      </w:r>
      <w:r w:rsidR="002759B1" w:rsidRPr="00DF1269">
        <w:rPr>
          <w:lang w:val="es-ES"/>
        </w:rPr>
        <w:t xml:space="preserve"> Oficina designada </w:t>
      </w:r>
      <w:r w:rsidR="004320B4" w:rsidRPr="00DF1269">
        <w:rPr>
          <w:lang w:val="es-ES"/>
        </w:rPr>
        <w:t xml:space="preserve">en cuestión </w:t>
      </w:r>
      <w:r w:rsidR="002759B1" w:rsidRPr="00DF1269">
        <w:rPr>
          <w:lang w:val="es-ES"/>
        </w:rPr>
        <w:t xml:space="preserve">(véanse los párrafos 35 a 39 del </w:t>
      </w:r>
      <w:r w:rsidR="004320B4" w:rsidRPr="00DF1269">
        <w:rPr>
          <w:lang w:val="es-ES"/>
        </w:rPr>
        <w:t>documento</w:t>
      </w:r>
      <w:r w:rsidR="002759B1" w:rsidRPr="00DF1269">
        <w:rPr>
          <w:lang w:val="es-ES"/>
        </w:rPr>
        <w:t xml:space="preserve"> PCT/A/28/2, el </w:t>
      </w:r>
      <w:r w:rsidR="004320B4" w:rsidRPr="00DF1269">
        <w:rPr>
          <w:lang w:val="es-ES"/>
        </w:rPr>
        <w:t>documento</w:t>
      </w:r>
      <w:r w:rsidR="002759B1" w:rsidRPr="00DF1269">
        <w:rPr>
          <w:lang w:val="es-ES"/>
        </w:rPr>
        <w:t xml:space="preserve"> PCT/A/28/2 Add. 1 y los párrafos 10 a 13 y el Anexo II del </w:t>
      </w:r>
      <w:r w:rsidR="004320B4" w:rsidRPr="00DF1269">
        <w:rPr>
          <w:lang w:val="es-ES"/>
        </w:rPr>
        <w:t>documento</w:t>
      </w:r>
      <w:r w:rsidR="002759B1" w:rsidRPr="00DF1269">
        <w:rPr>
          <w:lang w:val="es-ES"/>
        </w:rPr>
        <w:t xml:space="preserve"> PCT/A/28/5).</w:t>
      </w:r>
    </w:p>
    <w:p w:rsidR="004E3B54" w:rsidRPr="00DF1269" w:rsidRDefault="00086B9F" w:rsidP="005D77CD">
      <w:pPr>
        <w:pStyle w:val="ONUME"/>
        <w:rPr>
          <w:lang w:val="es-ES"/>
        </w:rPr>
      </w:pPr>
      <w:r w:rsidRPr="00DF1269">
        <w:rPr>
          <w:lang w:val="es-ES"/>
        </w:rPr>
        <w:t>Original</w:t>
      </w:r>
      <w:r w:rsidR="00CB1E2E" w:rsidRPr="00DF1269">
        <w:rPr>
          <w:lang w:val="es-ES"/>
        </w:rPr>
        <w:t>mente</w:t>
      </w:r>
      <w:r w:rsidRPr="00DF1269">
        <w:rPr>
          <w:lang w:val="es-ES"/>
        </w:rPr>
        <w:t xml:space="preserve">, </w:t>
      </w:r>
      <w:r w:rsidR="00CB1E2E" w:rsidRPr="00DF1269">
        <w:rPr>
          <w:lang w:val="es-ES"/>
        </w:rPr>
        <w:t>siete Oficinas designadas habían notificado a la Oficina Internacional esa incompatibilidad dentro del plazo del</w:t>
      </w:r>
      <w:r w:rsidRPr="00DF1269">
        <w:rPr>
          <w:lang w:val="es-ES"/>
        </w:rPr>
        <w:t xml:space="preserve"> 30</w:t>
      </w:r>
      <w:r w:rsidR="00CB1E2E" w:rsidRPr="00DF1269">
        <w:rPr>
          <w:lang w:val="es-ES"/>
        </w:rPr>
        <w:t xml:space="preserve"> de noviembre de</w:t>
      </w:r>
      <w:r w:rsidRPr="00DF1269">
        <w:rPr>
          <w:lang w:val="es-ES"/>
        </w:rPr>
        <w:t xml:space="preserve"> 2000, </w:t>
      </w:r>
      <w:r w:rsidR="00CB1E2E" w:rsidRPr="00DF1269">
        <w:rPr>
          <w:lang w:val="es-ES"/>
        </w:rPr>
        <w:t>fijado en la Regla</w:t>
      </w:r>
      <w:r w:rsidRPr="00DF1269">
        <w:rPr>
          <w:lang w:val="es-ES"/>
        </w:rPr>
        <w:t> 51</w:t>
      </w:r>
      <w:r w:rsidRPr="00DF1269">
        <w:rPr>
          <w:i/>
          <w:lang w:val="es-ES"/>
        </w:rPr>
        <w:t>bis</w:t>
      </w:r>
      <w:r w:rsidRPr="00DF1269">
        <w:rPr>
          <w:lang w:val="es-ES"/>
        </w:rPr>
        <w:t>.1</w:t>
      </w:r>
      <w:r w:rsidR="00CB1E2E" w:rsidRPr="00DF1269">
        <w:rPr>
          <w:lang w:val="es-ES"/>
        </w:rPr>
        <w:t>.</w:t>
      </w:r>
      <w:r w:rsidRPr="00DF1269">
        <w:rPr>
          <w:lang w:val="es-ES"/>
        </w:rPr>
        <w:t>f)</w:t>
      </w:r>
      <w:r w:rsidR="00624B5A" w:rsidRPr="00DF1269">
        <w:rPr>
          <w:lang w:val="es-ES"/>
        </w:rPr>
        <w:t xml:space="preserve"> </w:t>
      </w:r>
      <w:r w:rsidR="00CB1E2E" w:rsidRPr="00DF1269">
        <w:rPr>
          <w:lang w:val="es-ES"/>
        </w:rPr>
        <w:t xml:space="preserve">(véase </w:t>
      </w:r>
      <w:r w:rsidR="00CB1E2E" w:rsidRPr="00DF1269">
        <w:rPr>
          <w:i/>
          <w:lang w:val="es-ES"/>
        </w:rPr>
        <w:t>Official Notices</w:t>
      </w:r>
      <w:r w:rsidR="00CB1E2E" w:rsidRPr="00DF1269">
        <w:rPr>
          <w:lang w:val="es-ES"/>
        </w:rPr>
        <w:t xml:space="preserve"> </w:t>
      </w:r>
      <w:r w:rsidR="00CB1E2E" w:rsidRPr="00DF1269">
        <w:rPr>
          <w:i/>
          <w:lang w:val="es-ES"/>
        </w:rPr>
        <w:t>(Gaceta del PCT)</w:t>
      </w:r>
      <w:r w:rsidR="00CB1E2E" w:rsidRPr="00DF1269">
        <w:rPr>
          <w:lang w:val="es-ES"/>
        </w:rPr>
        <w:t xml:space="preserve"> – 1 de febrero de</w:t>
      </w:r>
      <w:r w:rsidR="00624B5A" w:rsidRPr="00DF1269">
        <w:rPr>
          <w:lang w:val="es-ES"/>
        </w:rPr>
        <w:t> 2001)</w:t>
      </w:r>
      <w:r w:rsidRPr="00DF1269">
        <w:rPr>
          <w:lang w:val="es-ES"/>
        </w:rPr>
        <w:t xml:space="preserve">.  </w:t>
      </w:r>
      <w:r w:rsidR="00CB1E2E" w:rsidRPr="00DF1269">
        <w:rPr>
          <w:lang w:val="es-ES"/>
        </w:rPr>
        <w:t xml:space="preserve">Tras </w:t>
      </w:r>
      <w:r w:rsidR="004320B4" w:rsidRPr="00DF1269">
        <w:rPr>
          <w:lang w:val="es-ES"/>
        </w:rPr>
        <w:t>el retiro</w:t>
      </w:r>
      <w:r w:rsidR="00CB1E2E" w:rsidRPr="00DF1269">
        <w:rPr>
          <w:lang w:val="es-ES"/>
        </w:rPr>
        <w:t xml:space="preserve"> de la notificación de incompatibilidad en virtud de la Regla</w:t>
      </w:r>
      <w:r w:rsidR="004E3B54" w:rsidRPr="00DF1269">
        <w:rPr>
          <w:lang w:val="es-ES"/>
        </w:rPr>
        <w:t> </w:t>
      </w:r>
      <w:r w:rsidR="00827AD2" w:rsidRPr="00DF1269">
        <w:rPr>
          <w:lang w:val="es-ES"/>
        </w:rPr>
        <w:t>51</w:t>
      </w:r>
      <w:r w:rsidR="00827AD2" w:rsidRPr="00DF1269">
        <w:rPr>
          <w:i/>
          <w:lang w:val="es-ES"/>
        </w:rPr>
        <w:t>bis</w:t>
      </w:r>
      <w:r w:rsidR="00827AD2" w:rsidRPr="00DF1269">
        <w:rPr>
          <w:lang w:val="es-ES"/>
        </w:rPr>
        <w:t>.1</w:t>
      </w:r>
      <w:r w:rsidR="00CB1E2E" w:rsidRPr="00DF1269">
        <w:rPr>
          <w:lang w:val="es-ES"/>
        </w:rPr>
        <w:t>.</w:t>
      </w:r>
      <w:r w:rsidR="00827AD2" w:rsidRPr="00DF1269">
        <w:rPr>
          <w:lang w:val="es-ES"/>
        </w:rPr>
        <w:t xml:space="preserve">f) </w:t>
      </w:r>
      <w:r w:rsidR="00CB1E2E" w:rsidRPr="00DF1269">
        <w:rPr>
          <w:lang w:val="es-ES"/>
        </w:rPr>
        <w:t>por la Oficina Española de Patentes y Marcas</w:t>
      </w:r>
      <w:r w:rsidR="00827AD2" w:rsidRPr="00DF1269">
        <w:rPr>
          <w:lang w:val="es-ES"/>
        </w:rPr>
        <w:t xml:space="preserve">, </w:t>
      </w:r>
      <w:r w:rsidR="00CB1E2E" w:rsidRPr="00DF1269">
        <w:rPr>
          <w:lang w:val="es-ES"/>
        </w:rPr>
        <w:t>en calidad de Oficina designada, con efecto a partir del 6 de noviembre de </w:t>
      </w:r>
      <w:r w:rsidR="00827AD2" w:rsidRPr="00DF1269">
        <w:rPr>
          <w:lang w:val="es-ES"/>
        </w:rPr>
        <w:t>2013 (</w:t>
      </w:r>
      <w:r w:rsidR="00CB1E2E" w:rsidRPr="00DF1269">
        <w:rPr>
          <w:lang w:val="es-ES"/>
        </w:rPr>
        <w:t xml:space="preserve">véase </w:t>
      </w:r>
      <w:r w:rsidR="00CB1E2E" w:rsidRPr="00DF1269">
        <w:rPr>
          <w:i/>
          <w:lang w:val="es-ES"/>
        </w:rPr>
        <w:t>Official Notices</w:t>
      </w:r>
      <w:r w:rsidR="00CB1E2E" w:rsidRPr="00DF1269">
        <w:rPr>
          <w:lang w:val="es-ES"/>
        </w:rPr>
        <w:t xml:space="preserve"> </w:t>
      </w:r>
      <w:r w:rsidR="00CB1E2E" w:rsidRPr="00DF1269">
        <w:rPr>
          <w:i/>
          <w:lang w:val="es-ES"/>
        </w:rPr>
        <w:t>(Gaceta del PCT)</w:t>
      </w:r>
      <w:r w:rsidR="00CB1E2E" w:rsidRPr="00DF1269">
        <w:rPr>
          <w:lang w:val="es-ES"/>
        </w:rPr>
        <w:t xml:space="preserve"> – 31 de octubre de</w:t>
      </w:r>
      <w:r w:rsidR="00827AD2" w:rsidRPr="00DF1269">
        <w:rPr>
          <w:lang w:val="es-ES"/>
        </w:rPr>
        <w:t xml:space="preserve"> 2013), </w:t>
      </w:r>
      <w:r w:rsidR="004320B4" w:rsidRPr="00DF1269">
        <w:rPr>
          <w:lang w:val="es-ES"/>
        </w:rPr>
        <w:t xml:space="preserve">no permanece en vigor </w:t>
      </w:r>
      <w:r w:rsidR="00827AD2" w:rsidRPr="00DF1269">
        <w:rPr>
          <w:lang w:val="es-ES"/>
        </w:rPr>
        <w:t>n</w:t>
      </w:r>
      <w:r w:rsidR="00CB1E2E" w:rsidRPr="00DF1269">
        <w:rPr>
          <w:lang w:val="es-ES"/>
        </w:rPr>
        <w:t>inguna</w:t>
      </w:r>
      <w:r w:rsidR="00827AD2" w:rsidRPr="00DF1269">
        <w:rPr>
          <w:lang w:val="es-ES"/>
        </w:rPr>
        <w:t xml:space="preserve"> </w:t>
      </w:r>
      <w:r w:rsidR="004320B4" w:rsidRPr="00DF1269">
        <w:rPr>
          <w:lang w:val="es-ES"/>
        </w:rPr>
        <w:t>notificación</w:t>
      </w:r>
      <w:r w:rsidR="00827AD2" w:rsidRPr="00DF1269">
        <w:rPr>
          <w:lang w:val="es-ES"/>
        </w:rPr>
        <w:t xml:space="preserve"> </w:t>
      </w:r>
      <w:r w:rsidR="00CB1E2E" w:rsidRPr="00DF1269">
        <w:rPr>
          <w:lang w:val="es-ES"/>
        </w:rPr>
        <w:t>de incompatibilidad en virtud de la Regla </w:t>
      </w:r>
      <w:r w:rsidR="00827AD2" w:rsidRPr="00DF1269">
        <w:rPr>
          <w:lang w:val="es-ES"/>
        </w:rPr>
        <w:t>51</w:t>
      </w:r>
      <w:r w:rsidR="00827AD2" w:rsidRPr="00DF1269">
        <w:rPr>
          <w:i/>
          <w:lang w:val="es-ES"/>
        </w:rPr>
        <w:t>bis</w:t>
      </w:r>
      <w:r w:rsidR="00CB1E2E" w:rsidRPr="00DF1269">
        <w:rPr>
          <w:lang w:val="es-ES"/>
        </w:rPr>
        <w:t>.1.</w:t>
      </w:r>
      <w:r w:rsidR="00827AD2" w:rsidRPr="00DF1269">
        <w:rPr>
          <w:lang w:val="es-ES"/>
        </w:rPr>
        <w:t xml:space="preserve">f).  </w:t>
      </w:r>
      <w:r w:rsidR="00CB1E2E" w:rsidRPr="00DF1269">
        <w:rPr>
          <w:rFonts w:eastAsia="Times New Roman"/>
          <w:color w:val="000000"/>
          <w:szCs w:val="22"/>
          <w:lang w:val="es-ES" w:eastAsia="en-US"/>
        </w:rPr>
        <w:t>Por lo tanto, se propone suprimir la Regla</w:t>
      </w:r>
      <w:r w:rsidR="00827AD2" w:rsidRPr="00DF1269">
        <w:rPr>
          <w:lang w:val="es-ES"/>
        </w:rPr>
        <w:t> 51</w:t>
      </w:r>
      <w:r w:rsidR="00827AD2" w:rsidRPr="00DF1269">
        <w:rPr>
          <w:i/>
          <w:lang w:val="es-ES"/>
        </w:rPr>
        <w:t>bis</w:t>
      </w:r>
      <w:r w:rsidR="00CB1E2E" w:rsidRPr="00DF1269">
        <w:rPr>
          <w:lang w:val="es-ES"/>
        </w:rPr>
        <w:t>.1.</w:t>
      </w:r>
      <w:r w:rsidR="00827AD2" w:rsidRPr="00DF1269">
        <w:rPr>
          <w:lang w:val="es-ES"/>
        </w:rPr>
        <w:t xml:space="preserve">f) </w:t>
      </w:r>
      <w:r w:rsidR="00CB1E2E" w:rsidRPr="00DF1269">
        <w:rPr>
          <w:lang w:val="es-ES"/>
        </w:rPr>
        <w:t xml:space="preserve">según se expone en el </w:t>
      </w:r>
      <w:r w:rsidR="004320B4" w:rsidRPr="00DF1269">
        <w:rPr>
          <w:lang w:val="es-ES"/>
        </w:rPr>
        <w:t>Anexo</w:t>
      </w:r>
      <w:r w:rsidR="00827AD2" w:rsidRPr="00DF1269">
        <w:rPr>
          <w:lang w:val="es-ES"/>
        </w:rPr>
        <w:t xml:space="preserve"> </w:t>
      </w:r>
      <w:r w:rsidR="00CB1E2E" w:rsidRPr="00DF1269">
        <w:rPr>
          <w:lang w:val="es-ES"/>
        </w:rPr>
        <w:t>del presente</w:t>
      </w:r>
      <w:r w:rsidR="00827AD2" w:rsidRPr="00DF1269">
        <w:rPr>
          <w:lang w:val="es-ES"/>
        </w:rPr>
        <w:t xml:space="preserve"> </w:t>
      </w:r>
      <w:r w:rsidR="004320B4" w:rsidRPr="00DF1269">
        <w:rPr>
          <w:lang w:val="es-ES"/>
        </w:rPr>
        <w:t>documento</w:t>
      </w:r>
      <w:r w:rsidR="00827AD2" w:rsidRPr="00DF1269">
        <w:rPr>
          <w:lang w:val="es-ES"/>
        </w:rPr>
        <w:t>.</w:t>
      </w:r>
    </w:p>
    <w:p w:rsidR="00827AD2" w:rsidRPr="00DF1269" w:rsidRDefault="00CB1E2E" w:rsidP="00827AD2">
      <w:pPr>
        <w:pStyle w:val="ONUME"/>
        <w:ind w:left="5533"/>
        <w:rPr>
          <w:i/>
          <w:lang w:val="es-ES"/>
        </w:rPr>
      </w:pPr>
      <w:r w:rsidRPr="00DF1269">
        <w:rPr>
          <w:i/>
          <w:lang w:val="es-ES"/>
        </w:rPr>
        <w:t xml:space="preserve">Se invita al Grupo de Trabajo a examinar las modificaciones que se propone introducir en el Reglamento, que figuran en el </w:t>
      </w:r>
      <w:r w:rsidR="004320B4" w:rsidRPr="00DF1269">
        <w:rPr>
          <w:i/>
          <w:lang w:val="es-ES"/>
        </w:rPr>
        <w:t>Anexo</w:t>
      </w:r>
      <w:r w:rsidR="00827AD2" w:rsidRPr="00DF1269">
        <w:rPr>
          <w:i/>
          <w:lang w:val="es-ES"/>
        </w:rPr>
        <w:t xml:space="preserve"> </w:t>
      </w:r>
      <w:r w:rsidRPr="00DF1269">
        <w:rPr>
          <w:i/>
          <w:lang w:val="es-ES"/>
        </w:rPr>
        <w:t>del presente</w:t>
      </w:r>
      <w:r w:rsidR="00827AD2" w:rsidRPr="00DF1269">
        <w:rPr>
          <w:i/>
          <w:lang w:val="es-ES"/>
        </w:rPr>
        <w:t xml:space="preserve"> </w:t>
      </w:r>
      <w:r w:rsidR="004320B4" w:rsidRPr="00DF1269">
        <w:rPr>
          <w:i/>
          <w:lang w:val="es-ES"/>
        </w:rPr>
        <w:t>documento</w:t>
      </w:r>
      <w:r w:rsidR="00827AD2" w:rsidRPr="00DF1269">
        <w:rPr>
          <w:i/>
          <w:lang w:val="es-ES"/>
        </w:rPr>
        <w:t>.</w:t>
      </w:r>
    </w:p>
    <w:p w:rsidR="00827AD2" w:rsidRPr="00DF1269" w:rsidRDefault="00827AD2" w:rsidP="00827AD2">
      <w:pPr>
        <w:pStyle w:val="ONUME"/>
        <w:numPr>
          <w:ilvl w:val="0"/>
          <w:numId w:val="0"/>
        </w:numPr>
        <w:ind w:left="5533"/>
        <w:rPr>
          <w:i/>
          <w:lang w:val="es-ES"/>
        </w:rPr>
      </w:pPr>
    </w:p>
    <w:p w:rsidR="00827AD2" w:rsidRPr="00DF1269" w:rsidRDefault="00827AD2" w:rsidP="00827AD2">
      <w:pPr>
        <w:pStyle w:val="Endofdocument-Annex"/>
        <w:rPr>
          <w:lang w:val="es-ES"/>
        </w:rPr>
      </w:pPr>
      <w:r w:rsidRPr="00DF1269">
        <w:rPr>
          <w:lang w:val="es-ES"/>
        </w:rPr>
        <w:t>[</w:t>
      </w:r>
      <w:r w:rsidR="00CB1E2E" w:rsidRPr="00DF1269">
        <w:rPr>
          <w:lang w:val="es-ES"/>
        </w:rPr>
        <w:t xml:space="preserve">Sigue el </w:t>
      </w:r>
      <w:r w:rsidR="004320B4" w:rsidRPr="00DF1269">
        <w:rPr>
          <w:lang w:val="es-ES"/>
        </w:rPr>
        <w:t>Anexo</w:t>
      </w:r>
      <w:r w:rsidRPr="00DF1269">
        <w:rPr>
          <w:lang w:val="es-ES"/>
        </w:rPr>
        <w:t>]</w:t>
      </w:r>
    </w:p>
    <w:p w:rsidR="001F68E2" w:rsidRPr="00DF1269" w:rsidRDefault="001F68E2" w:rsidP="00827AD2">
      <w:pPr>
        <w:pStyle w:val="Endofdocument-Annex"/>
        <w:rPr>
          <w:lang w:val="es-ES"/>
        </w:rPr>
      </w:pPr>
    </w:p>
    <w:p w:rsidR="001F68E2" w:rsidRPr="00DF1269" w:rsidRDefault="001F68E2" w:rsidP="00827AD2">
      <w:pPr>
        <w:pStyle w:val="Endofdocument-Annex"/>
        <w:rPr>
          <w:lang w:val="es-ES"/>
        </w:rPr>
        <w:sectPr w:rsidR="001F68E2" w:rsidRPr="00DF1269" w:rsidSect="00DE6F0A">
          <w:headerReference w:type="default" r:id="rId10"/>
          <w:endnotePr>
            <w:numFmt w:val="decimal"/>
          </w:endnotePr>
          <w:pgSz w:w="11907" w:h="16840" w:code="9"/>
          <w:pgMar w:top="567" w:right="1134" w:bottom="1418" w:left="1418" w:header="510" w:footer="1021" w:gutter="0"/>
          <w:cols w:space="720"/>
          <w:titlePg/>
          <w:docGrid w:linePitch="299"/>
        </w:sectPr>
      </w:pPr>
    </w:p>
    <w:p w:rsidR="00827AD2" w:rsidRPr="00DF1269" w:rsidRDefault="00827AD2" w:rsidP="00827AD2">
      <w:pPr>
        <w:jc w:val="center"/>
        <w:rPr>
          <w:lang w:val="es-ES"/>
        </w:rPr>
      </w:pPr>
    </w:p>
    <w:p w:rsidR="007B4035" w:rsidRPr="00DF1269" w:rsidRDefault="007B4035" w:rsidP="00827AD2">
      <w:pPr>
        <w:jc w:val="center"/>
        <w:rPr>
          <w:lang w:val="es-ES"/>
        </w:rPr>
      </w:pPr>
    </w:p>
    <w:p w:rsidR="00827AD2" w:rsidRPr="00DF1269" w:rsidRDefault="00B854EE" w:rsidP="00827AD2">
      <w:pPr>
        <w:jc w:val="center"/>
        <w:rPr>
          <w:lang w:val="es-ES"/>
        </w:rPr>
      </w:pPr>
      <w:r w:rsidRPr="00DF1269">
        <w:rPr>
          <w:lang w:val="es-ES"/>
        </w:rPr>
        <w:t xml:space="preserve">MODIFICACIONES </w:t>
      </w:r>
      <w:r w:rsidR="004320B4" w:rsidRPr="00DF1269">
        <w:rPr>
          <w:lang w:val="es-ES"/>
        </w:rPr>
        <w:t>PROPUESTAS</w:t>
      </w:r>
      <w:r w:rsidRPr="00DF1269">
        <w:rPr>
          <w:lang w:val="es-ES"/>
        </w:rPr>
        <w:t xml:space="preserve"> RESPECTO DEL REGLAMENTO DEL</w:t>
      </w:r>
      <w:r w:rsidR="00827AD2" w:rsidRPr="00DF1269">
        <w:rPr>
          <w:lang w:val="es-ES"/>
        </w:rPr>
        <w:t xml:space="preserve"> PCT</w:t>
      </w:r>
      <w:r w:rsidR="00827AD2" w:rsidRPr="00DF1269">
        <w:rPr>
          <w:rStyle w:val="FootnoteReference"/>
          <w:lang w:val="es-ES"/>
        </w:rPr>
        <w:footnoteReference w:id="2"/>
      </w:r>
    </w:p>
    <w:p w:rsidR="00827AD2" w:rsidRPr="00DF1269" w:rsidRDefault="00827AD2" w:rsidP="00827AD2">
      <w:pPr>
        <w:jc w:val="center"/>
        <w:rPr>
          <w:lang w:val="es-ES"/>
        </w:rPr>
      </w:pPr>
    </w:p>
    <w:p w:rsidR="00827AD2" w:rsidRPr="00DF1269" w:rsidRDefault="00827AD2" w:rsidP="00827AD2">
      <w:pPr>
        <w:jc w:val="center"/>
        <w:rPr>
          <w:lang w:val="es-ES"/>
        </w:rPr>
      </w:pPr>
    </w:p>
    <w:p w:rsidR="00827AD2" w:rsidRPr="00DF1269" w:rsidRDefault="00B854EE" w:rsidP="00827AD2">
      <w:pPr>
        <w:jc w:val="center"/>
        <w:rPr>
          <w:lang w:val="es-ES"/>
        </w:rPr>
      </w:pPr>
      <w:r w:rsidRPr="00DF1269">
        <w:rPr>
          <w:lang w:val="es-ES"/>
        </w:rPr>
        <w:t>ÍNDICE</w:t>
      </w:r>
    </w:p>
    <w:p w:rsidR="00827AD2" w:rsidRPr="00DF1269" w:rsidRDefault="00827AD2" w:rsidP="00827AD2">
      <w:pPr>
        <w:pStyle w:val="ONUME"/>
        <w:numPr>
          <w:ilvl w:val="0"/>
          <w:numId w:val="0"/>
        </w:numPr>
        <w:rPr>
          <w:lang w:val="es-ES"/>
        </w:rPr>
      </w:pPr>
    </w:p>
    <w:p w:rsidR="00344CFF" w:rsidRPr="00DF1269" w:rsidRDefault="00344CFF" w:rsidP="00827AD2">
      <w:pPr>
        <w:pStyle w:val="ONUME"/>
        <w:numPr>
          <w:ilvl w:val="0"/>
          <w:numId w:val="0"/>
        </w:numPr>
        <w:rPr>
          <w:lang w:val="es-ES"/>
        </w:rPr>
      </w:pPr>
    </w:p>
    <w:p w:rsidR="003B41EE" w:rsidRPr="00DF1269" w:rsidRDefault="00344CFF" w:rsidP="00DF1269">
      <w:pPr>
        <w:pStyle w:val="TOC1"/>
        <w:rPr>
          <w:rFonts w:asciiTheme="minorHAnsi" w:eastAsiaTheme="minorEastAsia" w:hAnsiTheme="minorHAnsi" w:cstheme="minorBidi"/>
          <w:noProof/>
          <w:szCs w:val="22"/>
          <w:lang w:val="es-ES" w:eastAsia="en-US"/>
        </w:rPr>
      </w:pPr>
      <w:r w:rsidRPr="00DF1269">
        <w:rPr>
          <w:lang w:val="es-ES"/>
        </w:rPr>
        <w:fldChar w:fldCharType="begin"/>
      </w:r>
      <w:r w:rsidRPr="00DF1269">
        <w:rPr>
          <w:lang w:val="es-ES"/>
        </w:rPr>
        <w:instrText xml:space="preserve"> TOC \h \z \t "Leg SubRule #,2,Leg Rule #,1" </w:instrText>
      </w:r>
      <w:r w:rsidRPr="00DF1269">
        <w:rPr>
          <w:lang w:val="es-ES"/>
        </w:rPr>
        <w:fldChar w:fldCharType="separate"/>
      </w:r>
      <w:hyperlink w:anchor="_Toc447031672" w:history="1">
        <w:r w:rsidR="003B41EE" w:rsidRPr="00DF1269">
          <w:rPr>
            <w:rStyle w:val="Hyperlink"/>
            <w:noProof/>
            <w:lang w:val="es-ES"/>
          </w:rPr>
          <w:t>Regla 4  Petitorio (contenido)</w:t>
        </w:r>
        <w:r w:rsidR="003B41EE" w:rsidRPr="00DF1269">
          <w:rPr>
            <w:noProof/>
            <w:webHidden/>
            <w:lang w:val="es-ES"/>
          </w:rPr>
          <w:tab/>
        </w:r>
        <w:r w:rsidR="003B41EE" w:rsidRPr="00DF1269">
          <w:rPr>
            <w:noProof/>
            <w:webHidden/>
            <w:lang w:val="es-ES"/>
          </w:rPr>
          <w:fldChar w:fldCharType="begin"/>
        </w:r>
        <w:r w:rsidR="003B41EE" w:rsidRPr="00DF1269">
          <w:rPr>
            <w:noProof/>
            <w:webHidden/>
            <w:lang w:val="es-ES"/>
          </w:rPr>
          <w:instrText xml:space="preserve"> PAGEREF _Toc447031672 \h </w:instrText>
        </w:r>
        <w:r w:rsidR="003B41EE" w:rsidRPr="00DF1269">
          <w:rPr>
            <w:noProof/>
            <w:webHidden/>
            <w:lang w:val="es-ES"/>
          </w:rPr>
        </w:r>
        <w:r w:rsidR="003B41EE" w:rsidRPr="00DF1269">
          <w:rPr>
            <w:noProof/>
            <w:webHidden/>
            <w:lang w:val="es-ES"/>
          </w:rPr>
          <w:fldChar w:fldCharType="separate"/>
        </w:r>
        <w:r w:rsidR="00811FEC">
          <w:rPr>
            <w:noProof/>
            <w:webHidden/>
            <w:lang w:val="es-ES"/>
          </w:rPr>
          <w:t>2</w:t>
        </w:r>
        <w:r w:rsidR="003B41EE" w:rsidRPr="00DF1269">
          <w:rPr>
            <w:noProof/>
            <w:webHidden/>
            <w:lang w:val="es-ES"/>
          </w:rPr>
          <w:fldChar w:fldCharType="end"/>
        </w:r>
      </w:hyperlink>
    </w:p>
    <w:p w:rsidR="003B41EE" w:rsidRPr="00DF1269" w:rsidRDefault="00811FEC">
      <w:pPr>
        <w:pStyle w:val="TOC2"/>
        <w:rPr>
          <w:rFonts w:asciiTheme="minorHAnsi" w:eastAsiaTheme="minorEastAsia" w:hAnsiTheme="minorHAnsi" w:cstheme="minorBidi"/>
          <w:noProof/>
          <w:szCs w:val="22"/>
          <w:lang w:val="es-ES" w:eastAsia="en-US"/>
        </w:rPr>
      </w:pPr>
      <w:hyperlink w:anchor="_Toc447031673" w:history="1">
        <w:r w:rsidR="003B41EE" w:rsidRPr="00DF1269">
          <w:rPr>
            <w:rStyle w:val="Hyperlink"/>
            <w:noProof/>
            <w:lang w:val="es-ES"/>
          </w:rPr>
          <w:t>4.1 a 4.9</w:t>
        </w:r>
        <w:r w:rsidR="003B41EE" w:rsidRPr="00DF1269">
          <w:rPr>
            <w:rStyle w:val="Hyperlink"/>
            <w:i/>
            <w:iCs/>
            <w:noProof/>
            <w:lang w:val="es-ES"/>
          </w:rPr>
          <w:t>   </w:t>
        </w:r>
        <w:r w:rsidR="003B41EE" w:rsidRPr="00DF1269">
          <w:rPr>
            <w:rStyle w:val="Hyperlink"/>
            <w:noProof/>
            <w:lang w:val="es-ES"/>
          </w:rPr>
          <w:t>[Sin modificación]</w:t>
        </w:r>
        <w:r w:rsidR="003B41EE" w:rsidRPr="00DF1269">
          <w:rPr>
            <w:noProof/>
            <w:webHidden/>
            <w:lang w:val="es-ES"/>
          </w:rPr>
          <w:tab/>
        </w:r>
        <w:r w:rsidR="003B41EE" w:rsidRPr="00DF1269">
          <w:rPr>
            <w:noProof/>
            <w:webHidden/>
            <w:lang w:val="es-ES"/>
          </w:rPr>
          <w:fldChar w:fldCharType="begin"/>
        </w:r>
        <w:r w:rsidR="003B41EE" w:rsidRPr="00DF1269">
          <w:rPr>
            <w:noProof/>
            <w:webHidden/>
            <w:lang w:val="es-ES"/>
          </w:rPr>
          <w:instrText xml:space="preserve"> PAGEREF _Toc447031673 \h </w:instrText>
        </w:r>
        <w:r w:rsidR="003B41EE" w:rsidRPr="00DF1269">
          <w:rPr>
            <w:noProof/>
            <w:webHidden/>
            <w:lang w:val="es-ES"/>
          </w:rPr>
        </w:r>
        <w:r w:rsidR="003B41EE" w:rsidRPr="00DF1269">
          <w:rPr>
            <w:noProof/>
            <w:webHidden/>
            <w:lang w:val="es-ES"/>
          </w:rPr>
          <w:fldChar w:fldCharType="separate"/>
        </w:r>
        <w:r>
          <w:rPr>
            <w:noProof/>
            <w:webHidden/>
            <w:lang w:val="es-ES"/>
          </w:rPr>
          <w:t>2</w:t>
        </w:r>
        <w:r w:rsidR="003B41EE" w:rsidRPr="00DF1269">
          <w:rPr>
            <w:noProof/>
            <w:webHidden/>
            <w:lang w:val="es-ES"/>
          </w:rPr>
          <w:fldChar w:fldCharType="end"/>
        </w:r>
      </w:hyperlink>
    </w:p>
    <w:p w:rsidR="003B41EE" w:rsidRPr="00DF1269" w:rsidRDefault="00811FEC">
      <w:pPr>
        <w:pStyle w:val="TOC2"/>
        <w:rPr>
          <w:rFonts w:asciiTheme="minorHAnsi" w:eastAsiaTheme="minorEastAsia" w:hAnsiTheme="minorHAnsi" w:cstheme="minorBidi"/>
          <w:noProof/>
          <w:szCs w:val="22"/>
          <w:lang w:val="es-ES" w:eastAsia="en-US"/>
        </w:rPr>
      </w:pPr>
      <w:hyperlink w:anchor="_Toc447031674" w:history="1">
        <w:r w:rsidR="003B41EE" w:rsidRPr="00DF1269">
          <w:rPr>
            <w:rStyle w:val="Hyperlink"/>
            <w:noProof/>
            <w:lang w:val="es-ES"/>
          </w:rPr>
          <w:t>4.10   </w:t>
        </w:r>
        <w:r w:rsidR="003B41EE" w:rsidRPr="00DF1269">
          <w:rPr>
            <w:rStyle w:val="Hyperlink"/>
            <w:i/>
            <w:noProof/>
            <w:lang w:val="es-ES"/>
          </w:rPr>
          <w:t>Reivindicación de prioridad</w:t>
        </w:r>
        <w:r w:rsidR="003B41EE" w:rsidRPr="00DF1269">
          <w:rPr>
            <w:noProof/>
            <w:webHidden/>
            <w:lang w:val="es-ES"/>
          </w:rPr>
          <w:tab/>
        </w:r>
        <w:r w:rsidR="003B41EE" w:rsidRPr="00DF1269">
          <w:rPr>
            <w:noProof/>
            <w:webHidden/>
            <w:lang w:val="es-ES"/>
          </w:rPr>
          <w:fldChar w:fldCharType="begin"/>
        </w:r>
        <w:r w:rsidR="003B41EE" w:rsidRPr="00DF1269">
          <w:rPr>
            <w:noProof/>
            <w:webHidden/>
            <w:lang w:val="es-ES"/>
          </w:rPr>
          <w:instrText xml:space="preserve"> PAGEREF _Toc447031674 \h </w:instrText>
        </w:r>
        <w:r w:rsidR="003B41EE" w:rsidRPr="00DF1269">
          <w:rPr>
            <w:noProof/>
            <w:webHidden/>
            <w:lang w:val="es-ES"/>
          </w:rPr>
        </w:r>
        <w:r w:rsidR="003B41EE" w:rsidRPr="00DF1269">
          <w:rPr>
            <w:noProof/>
            <w:webHidden/>
            <w:lang w:val="es-ES"/>
          </w:rPr>
          <w:fldChar w:fldCharType="separate"/>
        </w:r>
        <w:r>
          <w:rPr>
            <w:noProof/>
            <w:webHidden/>
            <w:lang w:val="es-ES"/>
          </w:rPr>
          <w:t>2</w:t>
        </w:r>
        <w:r w:rsidR="003B41EE" w:rsidRPr="00DF1269">
          <w:rPr>
            <w:noProof/>
            <w:webHidden/>
            <w:lang w:val="es-ES"/>
          </w:rPr>
          <w:fldChar w:fldCharType="end"/>
        </w:r>
      </w:hyperlink>
    </w:p>
    <w:p w:rsidR="003B41EE" w:rsidRPr="00DF1269" w:rsidRDefault="00811FEC">
      <w:pPr>
        <w:pStyle w:val="TOC2"/>
        <w:rPr>
          <w:rFonts w:asciiTheme="minorHAnsi" w:eastAsiaTheme="minorEastAsia" w:hAnsiTheme="minorHAnsi" w:cstheme="minorBidi"/>
          <w:noProof/>
          <w:szCs w:val="22"/>
          <w:lang w:val="es-ES" w:eastAsia="en-US"/>
        </w:rPr>
      </w:pPr>
      <w:hyperlink w:anchor="_Toc447031675" w:history="1">
        <w:r w:rsidR="003B41EE" w:rsidRPr="00DF1269">
          <w:rPr>
            <w:rStyle w:val="Hyperlink"/>
            <w:noProof/>
            <w:lang w:val="es-ES"/>
          </w:rPr>
          <w:t>4.11 a 4.19</w:t>
        </w:r>
        <w:r w:rsidR="003B41EE" w:rsidRPr="00DF1269">
          <w:rPr>
            <w:rStyle w:val="Hyperlink"/>
            <w:i/>
            <w:iCs/>
            <w:noProof/>
            <w:lang w:val="es-ES"/>
          </w:rPr>
          <w:t>   </w:t>
        </w:r>
        <w:r w:rsidR="003B41EE" w:rsidRPr="00DF1269">
          <w:rPr>
            <w:rStyle w:val="Hyperlink"/>
            <w:noProof/>
            <w:lang w:val="es-ES"/>
          </w:rPr>
          <w:t>[Sin modificación]</w:t>
        </w:r>
        <w:r w:rsidR="003B41EE" w:rsidRPr="00DF1269">
          <w:rPr>
            <w:noProof/>
            <w:webHidden/>
            <w:lang w:val="es-ES"/>
          </w:rPr>
          <w:tab/>
        </w:r>
        <w:r w:rsidR="003B41EE" w:rsidRPr="00DF1269">
          <w:rPr>
            <w:noProof/>
            <w:webHidden/>
            <w:lang w:val="es-ES"/>
          </w:rPr>
          <w:fldChar w:fldCharType="begin"/>
        </w:r>
        <w:r w:rsidR="003B41EE" w:rsidRPr="00DF1269">
          <w:rPr>
            <w:noProof/>
            <w:webHidden/>
            <w:lang w:val="es-ES"/>
          </w:rPr>
          <w:instrText xml:space="preserve"> PAGEREF _Toc447031675 \h </w:instrText>
        </w:r>
        <w:r w:rsidR="003B41EE" w:rsidRPr="00DF1269">
          <w:rPr>
            <w:noProof/>
            <w:webHidden/>
            <w:lang w:val="es-ES"/>
          </w:rPr>
        </w:r>
        <w:r w:rsidR="003B41EE" w:rsidRPr="00DF1269">
          <w:rPr>
            <w:noProof/>
            <w:webHidden/>
            <w:lang w:val="es-ES"/>
          </w:rPr>
          <w:fldChar w:fldCharType="separate"/>
        </w:r>
        <w:r>
          <w:rPr>
            <w:noProof/>
            <w:webHidden/>
            <w:lang w:val="es-ES"/>
          </w:rPr>
          <w:t>2</w:t>
        </w:r>
        <w:r w:rsidR="003B41EE" w:rsidRPr="00DF1269">
          <w:rPr>
            <w:noProof/>
            <w:webHidden/>
            <w:lang w:val="es-ES"/>
          </w:rPr>
          <w:fldChar w:fldCharType="end"/>
        </w:r>
      </w:hyperlink>
    </w:p>
    <w:p w:rsidR="003B41EE" w:rsidRPr="00DF1269" w:rsidRDefault="00811FEC" w:rsidP="00DF1269">
      <w:pPr>
        <w:pStyle w:val="TOC1"/>
        <w:rPr>
          <w:rFonts w:asciiTheme="minorHAnsi" w:eastAsiaTheme="minorEastAsia" w:hAnsiTheme="minorHAnsi" w:cstheme="minorBidi"/>
          <w:noProof/>
          <w:szCs w:val="22"/>
          <w:lang w:val="es-ES" w:eastAsia="en-US"/>
        </w:rPr>
      </w:pPr>
      <w:hyperlink w:anchor="_Toc447031676" w:history="1">
        <w:r w:rsidR="003B41EE" w:rsidRPr="00DF1269">
          <w:rPr>
            <w:rStyle w:val="Hyperlink"/>
            <w:noProof/>
            <w:lang w:val="es-ES"/>
          </w:rPr>
          <w:t>Regla 51</w:t>
        </w:r>
        <w:r w:rsidR="003B41EE" w:rsidRPr="00DF1269">
          <w:rPr>
            <w:rStyle w:val="Hyperlink"/>
            <w:i/>
            <w:noProof/>
            <w:lang w:val="es-ES"/>
          </w:rPr>
          <w:t xml:space="preserve">bis </w:t>
        </w:r>
        <w:r w:rsidR="003B41EE" w:rsidRPr="00DF1269">
          <w:rPr>
            <w:rStyle w:val="Hyperlink"/>
            <w:noProof/>
            <w:lang w:val="es-ES"/>
          </w:rPr>
          <w:t xml:space="preserve"> Ciertas exigencias nacionales admitidas en virtud de lo dispuesto en </w:t>
        </w:r>
        <w:r w:rsidR="003B41EE" w:rsidRPr="00DF1269">
          <w:rPr>
            <w:rStyle w:val="Hyperlink"/>
            <w:noProof/>
            <w:lang w:val="es-ES"/>
          </w:rPr>
          <w:br/>
          <w:t>el Artículo 27</w:t>
        </w:r>
        <w:r w:rsidR="003B41EE" w:rsidRPr="00DF1269">
          <w:rPr>
            <w:noProof/>
            <w:webHidden/>
            <w:lang w:val="es-ES"/>
          </w:rPr>
          <w:tab/>
        </w:r>
        <w:r w:rsidR="003B41EE" w:rsidRPr="00DF1269">
          <w:rPr>
            <w:noProof/>
            <w:webHidden/>
            <w:lang w:val="es-ES"/>
          </w:rPr>
          <w:fldChar w:fldCharType="begin"/>
        </w:r>
        <w:r w:rsidR="003B41EE" w:rsidRPr="00DF1269">
          <w:rPr>
            <w:noProof/>
            <w:webHidden/>
            <w:lang w:val="es-ES"/>
          </w:rPr>
          <w:instrText xml:space="preserve"> PAGEREF _Toc447031676 \h </w:instrText>
        </w:r>
        <w:r w:rsidR="003B41EE" w:rsidRPr="00DF1269">
          <w:rPr>
            <w:noProof/>
            <w:webHidden/>
            <w:lang w:val="es-ES"/>
          </w:rPr>
        </w:r>
        <w:r w:rsidR="003B41EE" w:rsidRPr="00DF1269">
          <w:rPr>
            <w:noProof/>
            <w:webHidden/>
            <w:lang w:val="es-ES"/>
          </w:rPr>
          <w:fldChar w:fldCharType="separate"/>
        </w:r>
        <w:r>
          <w:rPr>
            <w:noProof/>
            <w:webHidden/>
            <w:lang w:val="es-ES"/>
          </w:rPr>
          <w:t>3</w:t>
        </w:r>
        <w:r w:rsidR="003B41EE" w:rsidRPr="00DF1269">
          <w:rPr>
            <w:noProof/>
            <w:webHidden/>
            <w:lang w:val="es-ES"/>
          </w:rPr>
          <w:fldChar w:fldCharType="end"/>
        </w:r>
      </w:hyperlink>
    </w:p>
    <w:p w:rsidR="003B41EE" w:rsidRPr="00DF1269" w:rsidRDefault="00811FEC">
      <w:pPr>
        <w:pStyle w:val="TOC2"/>
        <w:rPr>
          <w:rFonts w:asciiTheme="minorHAnsi" w:eastAsiaTheme="minorEastAsia" w:hAnsiTheme="minorHAnsi" w:cstheme="minorBidi"/>
          <w:noProof/>
          <w:szCs w:val="22"/>
          <w:lang w:val="es-ES" w:eastAsia="en-US"/>
        </w:rPr>
      </w:pPr>
      <w:hyperlink w:anchor="_Toc447031677" w:history="1">
        <w:r w:rsidR="003B41EE" w:rsidRPr="00DF1269">
          <w:rPr>
            <w:rStyle w:val="Hyperlink"/>
            <w:noProof/>
            <w:lang w:val="es-ES"/>
          </w:rPr>
          <w:t>51</w:t>
        </w:r>
        <w:r w:rsidR="003B41EE" w:rsidRPr="00DF1269">
          <w:rPr>
            <w:rStyle w:val="Hyperlink"/>
            <w:i/>
            <w:noProof/>
            <w:lang w:val="es-ES"/>
          </w:rPr>
          <w:t>bis</w:t>
        </w:r>
        <w:r w:rsidR="003B41EE" w:rsidRPr="00DF1269">
          <w:rPr>
            <w:rStyle w:val="Hyperlink"/>
            <w:noProof/>
            <w:lang w:val="es-ES"/>
          </w:rPr>
          <w:t>.1   </w:t>
        </w:r>
        <w:r w:rsidR="003B41EE" w:rsidRPr="00DF1269">
          <w:rPr>
            <w:rStyle w:val="Hyperlink"/>
            <w:i/>
            <w:noProof/>
            <w:lang w:val="es-ES"/>
          </w:rPr>
          <w:t>Ciertas exigencias nacionales admitidas</w:t>
        </w:r>
        <w:r w:rsidR="003B41EE" w:rsidRPr="00DF1269">
          <w:rPr>
            <w:noProof/>
            <w:webHidden/>
            <w:lang w:val="es-ES"/>
          </w:rPr>
          <w:tab/>
        </w:r>
        <w:r w:rsidR="003B41EE" w:rsidRPr="00DF1269">
          <w:rPr>
            <w:noProof/>
            <w:webHidden/>
            <w:lang w:val="es-ES"/>
          </w:rPr>
          <w:fldChar w:fldCharType="begin"/>
        </w:r>
        <w:r w:rsidR="003B41EE" w:rsidRPr="00DF1269">
          <w:rPr>
            <w:noProof/>
            <w:webHidden/>
            <w:lang w:val="es-ES"/>
          </w:rPr>
          <w:instrText xml:space="preserve"> PAGEREF _Toc447031677 \h </w:instrText>
        </w:r>
        <w:r w:rsidR="003B41EE" w:rsidRPr="00DF1269">
          <w:rPr>
            <w:noProof/>
            <w:webHidden/>
            <w:lang w:val="es-ES"/>
          </w:rPr>
        </w:r>
        <w:r w:rsidR="003B41EE" w:rsidRPr="00DF1269">
          <w:rPr>
            <w:noProof/>
            <w:webHidden/>
            <w:lang w:val="es-ES"/>
          </w:rPr>
          <w:fldChar w:fldCharType="separate"/>
        </w:r>
        <w:r>
          <w:rPr>
            <w:noProof/>
            <w:webHidden/>
            <w:lang w:val="es-ES"/>
          </w:rPr>
          <w:t>3</w:t>
        </w:r>
        <w:r w:rsidR="003B41EE" w:rsidRPr="00DF1269">
          <w:rPr>
            <w:noProof/>
            <w:webHidden/>
            <w:lang w:val="es-ES"/>
          </w:rPr>
          <w:fldChar w:fldCharType="end"/>
        </w:r>
      </w:hyperlink>
    </w:p>
    <w:p w:rsidR="003B41EE" w:rsidRPr="00DF1269" w:rsidRDefault="00811FEC">
      <w:pPr>
        <w:pStyle w:val="TOC2"/>
        <w:rPr>
          <w:rFonts w:asciiTheme="minorHAnsi" w:eastAsiaTheme="minorEastAsia" w:hAnsiTheme="minorHAnsi" w:cstheme="minorBidi"/>
          <w:noProof/>
          <w:szCs w:val="22"/>
          <w:lang w:val="es-ES" w:eastAsia="en-US"/>
        </w:rPr>
      </w:pPr>
      <w:hyperlink w:anchor="_Toc447031678" w:history="1">
        <w:r w:rsidR="003B41EE" w:rsidRPr="00DF1269">
          <w:rPr>
            <w:rStyle w:val="Hyperlink"/>
            <w:noProof/>
            <w:lang w:val="es-ES"/>
          </w:rPr>
          <w:t>51</w:t>
        </w:r>
        <w:r w:rsidR="003B41EE" w:rsidRPr="00DF1269">
          <w:rPr>
            <w:rStyle w:val="Hyperlink"/>
            <w:i/>
            <w:noProof/>
            <w:lang w:val="es-ES"/>
          </w:rPr>
          <w:t>bis</w:t>
        </w:r>
        <w:r w:rsidR="003B41EE" w:rsidRPr="00DF1269">
          <w:rPr>
            <w:rStyle w:val="Hyperlink"/>
            <w:noProof/>
            <w:lang w:val="es-ES"/>
          </w:rPr>
          <w:t>.2 y 51</w:t>
        </w:r>
        <w:r w:rsidR="003B41EE" w:rsidRPr="00DF1269">
          <w:rPr>
            <w:rStyle w:val="Hyperlink"/>
            <w:i/>
            <w:noProof/>
            <w:lang w:val="es-ES"/>
          </w:rPr>
          <w:t>bis.</w:t>
        </w:r>
        <w:r w:rsidR="003B41EE" w:rsidRPr="00DF1269">
          <w:rPr>
            <w:rStyle w:val="Hyperlink"/>
            <w:noProof/>
            <w:lang w:val="es-ES"/>
          </w:rPr>
          <w:t>3   [Sin modificación]</w:t>
        </w:r>
        <w:r w:rsidR="003B41EE" w:rsidRPr="00DF1269">
          <w:rPr>
            <w:noProof/>
            <w:webHidden/>
            <w:lang w:val="es-ES"/>
          </w:rPr>
          <w:tab/>
        </w:r>
        <w:r w:rsidR="003B41EE" w:rsidRPr="00DF1269">
          <w:rPr>
            <w:noProof/>
            <w:webHidden/>
            <w:lang w:val="es-ES"/>
          </w:rPr>
          <w:fldChar w:fldCharType="begin"/>
        </w:r>
        <w:r w:rsidR="003B41EE" w:rsidRPr="00DF1269">
          <w:rPr>
            <w:noProof/>
            <w:webHidden/>
            <w:lang w:val="es-ES"/>
          </w:rPr>
          <w:instrText xml:space="preserve"> PAGEREF _Toc447031678 \h </w:instrText>
        </w:r>
        <w:r w:rsidR="003B41EE" w:rsidRPr="00DF1269">
          <w:rPr>
            <w:noProof/>
            <w:webHidden/>
            <w:lang w:val="es-ES"/>
          </w:rPr>
        </w:r>
        <w:r w:rsidR="003B41EE" w:rsidRPr="00DF1269">
          <w:rPr>
            <w:noProof/>
            <w:webHidden/>
            <w:lang w:val="es-ES"/>
          </w:rPr>
          <w:fldChar w:fldCharType="separate"/>
        </w:r>
        <w:r>
          <w:rPr>
            <w:noProof/>
            <w:webHidden/>
            <w:lang w:val="es-ES"/>
          </w:rPr>
          <w:t>3</w:t>
        </w:r>
        <w:r w:rsidR="003B41EE" w:rsidRPr="00DF1269">
          <w:rPr>
            <w:noProof/>
            <w:webHidden/>
            <w:lang w:val="es-ES"/>
          </w:rPr>
          <w:fldChar w:fldCharType="end"/>
        </w:r>
      </w:hyperlink>
    </w:p>
    <w:p w:rsidR="00344CFF" w:rsidRPr="00DF1269" w:rsidRDefault="00344CFF" w:rsidP="00344CFF">
      <w:pPr>
        <w:pStyle w:val="ONUME"/>
        <w:numPr>
          <w:ilvl w:val="0"/>
          <w:numId w:val="0"/>
        </w:numPr>
        <w:rPr>
          <w:lang w:val="es-ES"/>
        </w:rPr>
      </w:pPr>
      <w:r w:rsidRPr="00DF1269">
        <w:rPr>
          <w:lang w:val="es-ES"/>
        </w:rPr>
        <w:fldChar w:fldCharType="end"/>
      </w:r>
    </w:p>
    <w:p w:rsidR="00827AD2" w:rsidRPr="00DF1269" w:rsidRDefault="00B854EE" w:rsidP="00810570">
      <w:pPr>
        <w:pStyle w:val="LegRule"/>
        <w:spacing w:line="480" w:lineRule="auto"/>
        <w:rPr>
          <w:lang w:val="es-ES"/>
        </w:rPr>
      </w:pPr>
      <w:bookmarkStart w:id="9" w:name="_Toc429384164"/>
      <w:bookmarkStart w:id="10" w:name="_Toc447031672"/>
      <w:r w:rsidRPr="00DF1269">
        <w:rPr>
          <w:lang w:val="es-ES"/>
        </w:rPr>
        <w:lastRenderedPageBreak/>
        <w:t>Regla</w:t>
      </w:r>
      <w:r w:rsidR="00810570" w:rsidRPr="00DF1269">
        <w:rPr>
          <w:lang w:val="es-ES"/>
        </w:rPr>
        <w:t xml:space="preserve"> 4 </w:t>
      </w:r>
      <w:r w:rsidR="00810570" w:rsidRPr="00DF1269">
        <w:rPr>
          <w:lang w:val="es-ES"/>
        </w:rPr>
        <w:br/>
      </w:r>
      <w:bookmarkEnd w:id="9"/>
      <w:r w:rsidRPr="00DF1269">
        <w:rPr>
          <w:lang w:val="es-ES"/>
        </w:rPr>
        <w:t>Petitorio (contenido)</w:t>
      </w:r>
      <w:bookmarkEnd w:id="10"/>
    </w:p>
    <w:p w:rsidR="00810570" w:rsidRPr="00DF1269" w:rsidRDefault="00810570" w:rsidP="00810570">
      <w:pPr>
        <w:pStyle w:val="LegSubRule"/>
        <w:spacing w:line="480" w:lineRule="auto"/>
        <w:rPr>
          <w:rFonts w:eastAsia="SimSun"/>
          <w:lang w:val="es-ES"/>
        </w:rPr>
      </w:pPr>
      <w:bookmarkStart w:id="11" w:name="_Toc429384227"/>
      <w:bookmarkStart w:id="12" w:name="_Toc447031673"/>
      <w:r w:rsidRPr="00DF1269">
        <w:rPr>
          <w:lang w:val="es-ES"/>
        </w:rPr>
        <w:t xml:space="preserve">4.1 </w:t>
      </w:r>
      <w:r w:rsidR="00B854EE" w:rsidRPr="00DF1269">
        <w:rPr>
          <w:lang w:val="es-ES"/>
        </w:rPr>
        <w:t>a</w:t>
      </w:r>
      <w:r w:rsidRPr="00DF1269">
        <w:rPr>
          <w:lang w:val="es-ES"/>
        </w:rPr>
        <w:t xml:space="preserve"> 4.9</w:t>
      </w:r>
      <w:r w:rsidRPr="00DF1269">
        <w:rPr>
          <w:i/>
          <w:iCs/>
          <w:lang w:val="es-ES"/>
        </w:rPr>
        <w:t>   </w:t>
      </w:r>
      <w:r w:rsidRPr="00DF1269">
        <w:rPr>
          <w:lang w:val="es-ES"/>
        </w:rPr>
        <w:t>[</w:t>
      </w:r>
      <w:r w:rsidR="00B854EE" w:rsidRPr="00DF1269">
        <w:rPr>
          <w:lang w:val="es-ES"/>
        </w:rPr>
        <w:t>Sin modificación</w:t>
      </w:r>
      <w:r w:rsidRPr="00DF1269">
        <w:rPr>
          <w:lang w:val="es-ES"/>
        </w:rPr>
        <w:t>]</w:t>
      </w:r>
      <w:bookmarkEnd w:id="11"/>
      <w:bookmarkEnd w:id="12"/>
    </w:p>
    <w:p w:rsidR="00810570" w:rsidRPr="00DF1269" w:rsidRDefault="00810570" w:rsidP="00810570">
      <w:pPr>
        <w:pStyle w:val="LegSubRule"/>
        <w:spacing w:line="480" w:lineRule="auto"/>
        <w:rPr>
          <w:rFonts w:eastAsia="SimSun"/>
          <w:i/>
          <w:iCs/>
          <w:lang w:val="es-ES"/>
        </w:rPr>
      </w:pPr>
      <w:bookmarkStart w:id="13" w:name="_Toc447031674"/>
      <w:r w:rsidRPr="00DF1269">
        <w:rPr>
          <w:lang w:val="es-ES"/>
        </w:rPr>
        <w:t>4.10   </w:t>
      </w:r>
      <w:r w:rsidR="00B854EE" w:rsidRPr="00DF1269">
        <w:rPr>
          <w:i/>
          <w:lang w:val="es-ES"/>
        </w:rPr>
        <w:t>Reivindicación de prioridad</w:t>
      </w:r>
      <w:bookmarkEnd w:id="13"/>
    </w:p>
    <w:p w:rsidR="00810570" w:rsidRPr="00DF1269" w:rsidRDefault="00810570" w:rsidP="00810570">
      <w:pPr>
        <w:pStyle w:val="Lega"/>
        <w:spacing w:line="480" w:lineRule="auto"/>
        <w:rPr>
          <w:rFonts w:eastAsia="SimSun"/>
          <w:lang w:val="es-ES"/>
        </w:rPr>
      </w:pPr>
      <w:r w:rsidRPr="00DF1269">
        <w:rPr>
          <w:lang w:val="es-ES"/>
        </w:rPr>
        <w:tab/>
      </w:r>
      <w:r w:rsidRPr="00DF1269">
        <w:rPr>
          <w:rFonts w:eastAsia="SimSun"/>
          <w:lang w:val="es-ES"/>
        </w:rPr>
        <w:t>a) </w:t>
      </w:r>
      <w:r w:rsidR="00B854EE" w:rsidRPr="00DF1269">
        <w:rPr>
          <w:rFonts w:eastAsia="SimSun"/>
          <w:lang w:val="es-ES"/>
        </w:rPr>
        <w:t xml:space="preserve">a </w:t>
      </w:r>
      <w:r w:rsidRPr="00DF1269">
        <w:rPr>
          <w:rFonts w:eastAsia="SimSun"/>
          <w:lang w:val="es-ES"/>
        </w:rPr>
        <w:t>c) </w:t>
      </w:r>
      <w:r w:rsidR="0089743C" w:rsidRPr="00DF1269">
        <w:rPr>
          <w:rFonts w:eastAsia="SimSun"/>
          <w:lang w:val="es-ES"/>
        </w:rPr>
        <w:t> </w:t>
      </w:r>
      <w:r w:rsidRPr="00DF1269">
        <w:rPr>
          <w:rFonts w:eastAsia="SimSun"/>
          <w:lang w:val="es-ES"/>
        </w:rPr>
        <w:t> [</w:t>
      </w:r>
      <w:r w:rsidR="00B854EE" w:rsidRPr="00DF1269">
        <w:rPr>
          <w:rFonts w:eastAsia="SimSun"/>
          <w:lang w:val="es-ES"/>
        </w:rPr>
        <w:t>Sin modificación</w:t>
      </w:r>
      <w:r w:rsidRPr="00DF1269">
        <w:rPr>
          <w:rFonts w:eastAsia="SimSun"/>
          <w:lang w:val="es-ES"/>
        </w:rPr>
        <w:t>]</w:t>
      </w:r>
    </w:p>
    <w:p w:rsidR="00810570" w:rsidRPr="00DF1269" w:rsidRDefault="00810570" w:rsidP="00810570">
      <w:pPr>
        <w:pStyle w:val="Lega"/>
        <w:spacing w:line="480" w:lineRule="auto"/>
        <w:rPr>
          <w:rFonts w:eastAsia="SimSun"/>
          <w:lang w:val="es-ES"/>
        </w:rPr>
      </w:pPr>
      <w:r w:rsidRPr="00DF1269">
        <w:rPr>
          <w:lang w:val="es-ES"/>
        </w:rPr>
        <w:tab/>
      </w:r>
      <w:r w:rsidR="00B854EE" w:rsidRPr="00DF1269">
        <w:rPr>
          <w:rStyle w:val="RDeletedText"/>
          <w:rFonts w:eastAsia="SimSun"/>
          <w:lang w:val="es-ES"/>
        </w:rPr>
        <w:t>d)  Si, al 29 de septiembre de 1999, los párrafos a) y b), en su forma modificada con efectos a partir del 1 de enero de 2000, no fueran compatibles con la legislación nacional aplicada por una Oficina designada, esos párrafos, tal como estaban en vigor hasta el 31 de diciembre de 1999, continuarán aplicándose después de esa fecha en lo que respecta a esa Oficina designada mientras que en su forma modificada sigan siendo incompatibles con esa legislación, a condición de que dicha Oficina informe en consecuencia a la Oficina Internacional hasta el 31 de octubre de 1999. La Oficina Internacional publicará lo antes posible en la Gaceta las informaciones recibidas.</w:t>
      </w:r>
    </w:p>
    <w:p w:rsidR="0089743C" w:rsidRPr="00DF1269" w:rsidRDefault="0089743C" w:rsidP="0089743C">
      <w:pPr>
        <w:pStyle w:val="LegSubRule"/>
        <w:spacing w:line="480" w:lineRule="auto"/>
        <w:rPr>
          <w:rFonts w:eastAsia="SimSun"/>
          <w:lang w:val="es-ES"/>
        </w:rPr>
      </w:pPr>
      <w:bookmarkStart w:id="14" w:name="_Toc447031675"/>
      <w:r w:rsidRPr="00DF1269">
        <w:rPr>
          <w:lang w:val="es-ES"/>
        </w:rPr>
        <w:t xml:space="preserve">4.11 </w:t>
      </w:r>
      <w:r w:rsidR="00B854EE" w:rsidRPr="00DF1269">
        <w:rPr>
          <w:lang w:val="es-ES"/>
        </w:rPr>
        <w:t>a</w:t>
      </w:r>
      <w:r w:rsidRPr="00DF1269">
        <w:rPr>
          <w:lang w:val="es-ES"/>
        </w:rPr>
        <w:t xml:space="preserve"> 4.19</w:t>
      </w:r>
      <w:r w:rsidRPr="00DF1269">
        <w:rPr>
          <w:i/>
          <w:iCs/>
          <w:lang w:val="es-ES"/>
        </w:rPr>
        <w:t>   </w:t>
      </w:r>
      <w:r w:rsidRPr="00DF1269">
        <w:rPr>
          <w:lang w:val="es-ES"/>
        </w:rPr>
        <w:t>[</w:t>
      </w:r>
      <w:r w:rsidR="00B854EE" w:rsidRPr="00DF1269">
        <w:rPr>
          <w:lang w:val="es-ES"/>
        </w:rPr>
        <w:t>Sin modificación</w:t>
      </w:r>
      <w:r w:rsidRPr="00DF1269">
        <w:rPr>
          <w:lang w:val="es-ES"/>
        </w:rPr>
        <w:t>]</w:t>
      </w:r>
      <w:bookmarkEnd w:id="14"/>
    </w:p>
    <w:p w:rsidR="0089743C" w:rsidRPr="00DF1269" w:rsidRDefault="00B854EE" w:rsidP="0089743C">
      <w:pPr>
        <w:pStyle w:val="LegRule"/>
        <w:spacing w:line="480" w:lineRule="auto"/>
        <w:rPr>
          <w:lang w:val="es-ES"/>
        </w:rPr>
      </w:pPr>
      <w:bookmarkStart w:id="15" w:name="_Toc447031676"/>
      <w:r w:rsidRPr="00DF1269">
        <w:rPr>
          <w:lang w:val="es-ES"/>
        </w:rPr>
        <w:lastRenderedPageBreak/>
        <w:t>Regla</w:t>
      </w:r>
      <w:r w:rsidR="0089743C" w:rsidRPr="00DF1269">
        <w:rPr>
          <w:lang w:val="es-ES"/>
        </w:rPr>
        <w:t xml:space="preserve"> 51</w:t>
      </w:r>
      <w:r w:rsidR="0089743C" w:rsidRPr="00DF1269">
        <w:rPr>
          <w:i/>
          <w:lang w:val="es-ES"/>
        </w:rPr>
        <w:t xml:space="preserve">bis </w:t>
      </w:r>
      <w:r w:rsidR="0089743C" w:rsidRPr="00DF1269">
        <w:rPr>
          <w:lang w:val="es-ES"/>
        </w:rPr>
        <w:br/>
      </w:r>
      <w:r w:rsidRPr="00DF1269">
        <w:rPr>
          <w:lang w:val="es-ES"/>
        </w:rPr>
        <w:t>Ciertas exigencias nacionales admitidas en virtud de lo dispuesto en el Artículo 27</w:t>
      </w:r>
      <w:bookmarkEnd w:id="15"/>
    </w:p>
    <w:p w:rsidR="0089743C" w:rsidRPr="00DF1269" w:rsidRDefault="0089743C" w:rsidP="0089743C">
      <w:pPr>
        <w:pStyle w:val="LegSubRule"/>
        <w:spacing w:line="480" w:lineRule="auto"/>
        <w:rPr>
          <w:rFonts w:eastAsia="SimSun"/>
          <w:i/>
          <w:iCs/>
          <w:lang w:val="es-ES"/>
        </w:rPr>
      </w:pPr>
      <w:bookmarkStart w:id="16" w:name="_Toc447031677"/>
      <w:r w:rsidRPr="00DF1269">
        <w:rPr>
          <w:lang w:val="es-ES"/>
        </w:rPr>
        <w:t>51</w:t>
      </w:r>
      <w:r w:rsidRPr="00DF1269">
        <w:rPr>
          <w:i/>
          <w:lang w:val="es-ES"/>
        </w:rPr>
        <w:t>bis</w:t>
      </w:r>
      <w:r w:rsidRPr="00DF1269">
        <w:rPr>
          <w:lang w:val="es-ES"/>
        </w:rPr>
        <w:t>.1   </w:t>
      </w:r>
      <w:r w:rsidR="00B854EE" w:rsidRPr="00DF1269">
        <w:rPr>
          <w:i/>
          <w:lang w:val="es-ES"/>
        </w:rPr>
        <w:t>Ciertas exigencias nacionales admitidas</w:t>
      </w:r>
      <w:bookmarkEnd w:id="16"/>
    </w:p>
    <w:p w:rsidR="0089743C" w:rsidRPr="00DF1269" w:rsidRDefault="0089743C" w:rsidP="0089743C">
      <w:pPr>
        <w:pStyle w:val="Lega"/>
        <w:spacing w:line="480" w:lineRule="auto"/>
        <w:rPr>
          <w:rFonts w:eastAsia="SimSun"/>
          <w:lang w:val="es-ES"/>
        </w:rPr>
      </w:pPr>
      <w:r w:rsidRPr="00DF1269">
        <w:rPr>
          <w:lang w:val="es-ES"/>
        </w:rPr>
        <w:tab/>
      </w:r>
      <w:r w:rsidRPr="00DF1269">
        <w:rPr>
          <w:rFonts w:eastAsia="SimSun"/>
          <w:lang w:val="es-ES"/>
        </w:rPr>
        <w:t>a) </w:t>
      </w:r>
      <w:r w:rsidR="00B854EE" w:rsidRPr="00DF1269">
        <w:rPr>
          <w:rFonts w:eastAsia="SimSun"/>
          <w:lang w:val="es-ES"/>
        </w:rPr>
        <w:t xml:space="preserve">a </w:t>
      </w:r>
      <w:r w:rsidRPr="00DF1269">
        <w:rPr>
          <w:rFonts w:eastAsia="SimSun"/>
          <w:lang w:val="es-ES"/>
        </w:rPr>
        <w:t>d)   [</w:t>
      </w:r>
      <w:r w:rsidR="00B854EE" w:rsidRPr="00DF1269">
        <w:rPr>
          <w:rFonts w:eastAsia="SimSun"/>
          <w:lang w:val="es-ES"/>
        </w:rPr>
        <w:t>Sin modificación</w:t>
      </w:r>
      <w:r w:rsidRPr="00DF1269">
        <w:rPr>
          <w:rFonts w:eastAsia="SimSun"/>
          <w:lang w:val="es-ES"/>
        </w:rPr>
        <w:t>]</w:t>
      </w:r>
    </w:p>
    <w:p w:rsidR="002042C0" w:rsidRPr="00DF1269" w:rsidRDefault="0089743C" w:rsidP="002042C0">
      <w:pPr>
        <w:pStyle w:val="Lega"/>
        <w:spacing w:line="480" w:lineRule="auto"/>
        <w:rPr>
          <w:lang w:val="es-ES"/>
        </w:rPr>
      </w:pPr>
      <w:r w:rsidRPr="00DF1269">
        <w:rPr>
          <w:lang w:val="es-ES"/>
        </w:rPr>
        <w:tab/>
      </w:r>
      <w:r w:rsidRPr="00DF1269">
        <w:rPr>
          <w:rFonts w:eastAsia="SimSun"/>
          <w:lang w:val="es-ES"/>
        </w:rPr>
        <w:t>e)   </w:t>
      </w:r>
      <w:r w:rsidRPr="00DF1269">
        <w:rPr>
          <w:rFonts w:eastAsia="SimSun"/>
          <w:i/>
          <w:lang w:val="es-ES"/>
        </w:rPr>
        <w:t>[</w:t>
      </w:r>
      <w:r w:rsidR="00B854EE" w:rsidRPr="00DF1269">
        <w:rPr>
          <w:rFonts w:eastAsia="SimSun"/>
          <w:i/>
          <w:lang w:val="es-ES"/>
        </w:rPr>
        <w:t>Sin modificación</w:t>
      </w:r>
      <w:r w:rsidRPr="00DF1269">
        <w:rPr>
          <w:rFonts w:eastAsia="SimSun"/>
          <w:i/>
          <w:lang w:val="es-ES"/>
        </w:rPr>
        <w:t>]</w:t>
      </w:r>
      <w:r w:rsidRPr="00DF1269">
        <w:rPr>
          <w:lang w:val="es-ES"/>
        </w:rPr>
        <w:t xml:space="preserve"> </w:t>
      </w:r>
      <w:r w:rsidR="00B854EE" w:rsidRPr="00DF1269">
        <w:rPr>
          <w:lang w:val="es-ES"/>
        </w:rPr>
        <w:t>De conformidad con lo dispuesto en el Artículo 27, la legislación nacional aplicable por la Oficina designada podrá exigir que el solicitante entregue una traducción del documento de prioridad, con la salvedad de que sólo podrá exigirse tal traducción cuando</w:t>
      </w:r>
      <w:r w:rsidR="002042C0" w:rsidRPr="00DF1269">
        <w:rPr>
          <w:lang w:val="es-ES"/>
        </w:rPr>
        <w:t>:</w:t>
      </w:r>
    </w:p>
    <w:p w:rsidR="002042C0" w:rsidRPr="00DF1269" w:rsidRDefault="002042C0" w:rsidP="000052A2">
      <w:pPr>
        <w:pStyle w:val="Lega"/>
        <w:tabs>
          <w:tab w:val="clear" w:pos="454"/>
        </w:tabs>
        <w:spacing w:line="480" w:lineRule="auto"/>
        <w:rPr>
          <w:lang w:val="es-ES"/>
        </w:rPr>
      </w:pPr>
      <w:r w:rsidRPr="00DF1269">
        <w:rPr>
          <w:lang w:val="es-ES"/>
        </w:rPr>
        <w:tab/>
        <w:t>i)</w:t>
      </w:r>
      <w:r w:rsidRPr="00DF1269">
        <w:rPr>
          <w:lang w:val="es-ES"/>
        </w:rPr>
        <w:tab/>
      </w:r>
      <w:r w:rsidR="00B854EE" w:rsidRPr="00DF1269">
        <w:rPr>
          <w:lang w:val="es-ES"/>
        </w:rPr>
        <w:t>sea importante la validez de la reivindicación de prioridad para determinar si la invención en cuestión es patentable, o</w:t>
      </w:r>
    </w:p>
    <w:p w:rsidR="0089743C" w:rsidRPr="00DF1269" w:rsidRDefault="00522FA0" w:rsidP="000052A2">
      <w:pPr>
        <w:pStyle w:val="Lega"/>
        <w:tabs>
          <w:tab w:val="clear" w:pos="454"/>
        </w:tabs>
        <w:spacing w:line="480" w:lineRule="auto"/>
        <w:rPr>
          <w:rFonts w:eastAsia="SimSun"/>
          <w:lang w:val="es-ES"/>
        </w:rPr>
      </w:pPr>
      <w:r w:rsidRPr="00DF1269">
        <w:rPr>
          <w:lang w:val="es-ES"/>
        </w:rPr>
        <w:tab/>
      </w:r>
      <w:r w:rsidR="002042C0" w:rsidRPr="00DF1269">
        <w:rPr>
          <w:lang w:val="es-ES"/>
        </w:rPr>
        <w:t>ii)</w:t>
      </w:r>
      <w:r w:rsidR="002042C0" w:rsidRPr="00DF1269">
        <w:rPr>
          <w:lang w:val="es-ES"/>
        </w:rPr>
        <w:tab/>
      </w:r>
      <w:r w:rsidR="006024B9" w:rsidRPr="00DF1269">
        <w:rPr>
          <w:lang w:val="es-ES"/>
        </w:rPr>
        <w:t>la Oficina receptora haya otorgado la fecha de presentación inte</w:t>
      </w:r>
      <w:r w:rsidR="003B41EE" w:rsidRPr="00DF1269">
        <w:rPr>
          <w:lang w:val="es-ES"/>
        </w:rPr>
        <w:t>rnacional en virtud de la Regla </w:t>
      </w:r>
      <w:r w:rsidR="006024B9" w:rsidRPr="00DF1269">
        <w:rPr>
          <w:lang w:val="es-ES"/>
        </w:rPr>
        <w:t xml:space="preserve">20.3.b)ii) o 20.5.d) sobre la base de la incorporación por referencia según las Reglas 4.18 y 20.6 de un elemento o de una parte, para </w:t>
      </w:r>
      <w:r w:rsidR="003B41EE" w:rsidRPr="00DF1269">
        <w:rPr>
          <w:lang w:val="es-ES"/>
        </w:rPr>
        <w:t>determinar, conforme a la Regla </w:t>
      </w:r>
      <w:r w:rsidR="006024B9" w:rsidRPr="00DF1269">
        <w:rPr>
          <w:lang w:val="es-ES"/>
        </w:rPr>
        <w:t>82ter.1.b), si ese elemento o esa parte está contenido íntegramente en el documento de prioridad en cuestión, en cuyo caso la legislación nacional aplicable por la Oficina designada también podrá exigir al solicitante que, en el caso de una parte de la descripción, de las reivindicaciones o de los dibujos, indique el lugar del documento de prioridad en el que figure esa parte.</w:t>
      </w:r>
    </w:p>
    <w:p w:rsidR="002042C0" w:rsidRPr="00DF1269" w:rsidRDefault="002042C0" w:rsidP="002042C0">
      <w:pPr>
        <w:pStyle w:val="Lega"/>
        <w:spacing w:line="480" w:lineRule="auto"/>
        <w:rPr>
          <w:rFonts w:eastAsia="SimSun"/>
          <w:lang w:val="es-ES"/>
        </w:rPr>
      </w:pPr>
      <w:r w:rsidRPr="00DF1269">
        <w:rPr>
          <w:lang w:val="es-ES"/>
        </w:rPr>
        <w:tab/>
      </w:r>
      <w:r w:rsidRPr="00DF1269">
        <w:rPr>
          <w:rStyle w:val="RDeletedText"/>
          <w:rFonts w:eastAsia="SimSun"/>
          <w:lang w:val="es-ES"/>
        </w:rPr>
        <w:t>(f)   </w:t>
      </w:r>
      <w:r w:rsidR="006024B9" w:rsidRPr="00DF1269">
        <w:rPr>
          <w:rStyle w:val="RDeletedText"/>
          <w:lang w:val="es-ES"/>
        </w:rPr>
        <w:t>Si el 17 de marzo de 2000 lo dispuesto en el párrafo e) no fuese compatible con la legislación nacional aplicable por la Oficina designada, no se aplicará esa disposición respecto de esa Oficina mientras dicha disposición siga siendo incompatible con esa legislación, a condición de que dicha Oficina informe en consecuencia a la Oficina Internacional hasta el 30 de noviembre de 2000. La Oficina Internacional publicará lo antes posible en la Gaceta la información recibida</w:t>
      </w:r>
      <w:r w:rsidR="004320B4" w:rsidRPr="00DF1269">
        <w:rPr>
          <w:rStyle w:val="RDeletedText"/>
          <w:lang w:val="es-ES"/>
        </w:rPr>
        <w:t>.</w:t>
      </w:r>
    </w:p>
    <w:p w:rsidR="00E63A77" w:rsidRPr="00DF1269" w:rsidRDefault="00E63A77" w:rsidP="00E63A77">
      <w:pPr>
        <w:pStyle w:val="LegSubRule"/>
        <w:spacing w:line="480" w:lineRule="auto"/>
        <w:rPr>
          <w:rFonts w:eastAsia="SimSun"/>
          <w:i/>
          <w:iCs/>
          <w:lang w:val="es-ES"/>
        </w:rPr>
      </w:pPr>
      <w:bookmarkStart w:id="17" w:name="_Toc447031678"/>
      <w:r w:rsidRPr="00DF1269">
        <w:rPr>
          <w:lang w:val="es-ES"/>
        </w:rPr>
        <w:t>51</w:t>
      </w:r>
      <w:r w:rsidRPr="00DF1269">
        <w:rPr>
          <w:i/>
          <w:lang w:val="es-ES"/>
        </w:rPr>
        <w:t>bis</w:t>
      </w:r>
      <w:r w:rsidRPr="00DF1269">
        <w:rPr>
          <w:lang w:val="es-ES"/>
        </w:rPr>
        <w:t xml:space="preserve">.2 </w:t>
      </w:r>
      <w:r w:rsidR="006024B9" w:rsidRPr="00DF1269">
        <w:rPr>
          <w:lang w:val="es-ES"/>
        </w:rPr>
        <w:t>y</w:t>
      </w:r>
      <w:r w:rsidRPr="00DF1269">
        <w:rPr>
          <w:lang w:val="es-ES"/>
        </w:rPr>
        <w:t xml:space="preserve"> 51</w:t>
      </w:r>
      <w:r w:rsidRPr="00DF1269">
        <w:rPr>
          <w:i/>
          <w:lang w:val="es-ES"/>
        </w:rPr>
        <w:t>bis.</w:t>
      </w:r>
      <w:r w:rsidRPr="00DF1269">
        <w:rPr>
          <w:lang w:val="es-ES"/>
        </w:rPr>
        <w:t>3   [</w:t>
      </w:r>
      <w:r w:rsidR="00B854EE" w:rsidRPr="00DF1269">
        <w:rPr>
          <w:lang w:val="es-ES"/>
        </w:rPr>
        <w:t>Sin modificación</w:t>
      </w:r>
      <w:r w:rsidRPr="00DF1269">
        <w:rPr>
          <w:lang w:val="es-ES"/>
        </w:rPr>
        <w:t>]</w:t>
      </w:r>
      <w:bookmarkEnd w:id="17"/>
    </w:p>
    <w:p w:rsidR="00433EF4" w:rsidRPr="00DF1269" w:rsidRDefault="00433EF4" w:rsidP="001F68E2">
      <w:pPr>
        <w:pStyle w:val="Endofdocument-Annex"/>
        <w:ind w:left="0"/>
        <w:rPr>
          <w:lang w:val="es-ES"/>
        </w:rPr>
      </w:pPr>
    </w:p>
    <w:p w:rsidR="00810570" w:rsidRPr="00DF1269" w:rsidRDefault="00433EF4" w:rsidP="00433EF4">
      <w:pPr>
        <w:pStyle w:val="Endofdocument-Annex"/>
        <w:rPr>
          <w:lang w:val="es-ES"/>
        </w:rPr>
      </w:pPr>
      <w:r w:rsidRPr="00DF1269">
        <w:rPr>
          <w:lang w:val="es-ES"/>
        </w:rPr>
        <w:t>[</w:t>
      </w:r>
      <w:r w:rsidR="006024B9" w:rsidRPr="00DF1269">
        <w:rPr>
          <w:lang w:val="es-ES"/>
        </w:rPr>
        <w:t xml:space="preserve">Fin del </w:t>
      </w:r>
      <w:r w:rsidRPr="00DF1269">
        <w:rPr>
          <w:lang w:val="es-ES"/>
        </w:rPr>
        <w:t>Anexo</w:t>
      </w:r>
      <w:r w:rsidR="006024B9" w:rsidRPr="00DF1269">
        <w:rPr>
          <w:lang w:val="es-ES"/>
        </w:rPr>
        <w:t xml:space="preserve"> y del</w:t>
      </w:r>
      <w:r w:rsidRPr="00DF1269">
        <w:rPr>
          <w:lang w:val="es-ES"/>
        </w:rPr>
        <w:t xml:space="preserve"> document</w:t>
      </w:r>
      <w:r w:rsidR="006024B9" w:rsidRPr="00DF1269">
        <w:rPr>
          <w:lang w:val="es-ES"/>
        </w:rPr>
        <w:t>o</w:t>
      </w:r>
      <w:r w:rsidRPr="00DF1269">
        <w:rPr>
          <w:lang w:val="es-ES"/>
        </w:rPr>
        <w:t>]</w:t>
      </w:r>
    </w:p>
    <w:sectPr w:rsidR="00810570" w:rsidRPr="00DF1269" w:rsidSect="001F68E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F0A" w:rsidRDefault="00DE6F0A">
      <w:r>
        <w:separator/>
      </w:r>
    </w:p>
  </w:endnote>
  <w:endnote w:type="continuationSeparator" w:id="0">
    <w:p w:rsidR="00DE6F0A" w:rsidRDefault="00DE6F0A" w:rsidP="003B38C1">
      <w:r>
        <w:separator/>
      </w:r>
    </w:p>
    <w:p w:rsidR="00DE6F0A" w:rsidRPr="003B38C1" w:rsidRDefault="00DE6F0A" w:rsidP="003B38C1">
      <w:pPr>
        <w:spacing w:after="60"/>
        <w:rPr>
          <w:sz w:val="17"/>
        </w:rPr>
      </w:pPr>
      <w:r>
        <w:rPr>
          <w:sz w:val="17"/>
        </w:rPr>
        <w:t>[Endnote continued from previous page]</w:t>
      </w:r>
    </w:p>
  </w:endnote>
  <w:endnote w:type="continuationNotice" w:id="1">
    <w:p w:rsidR="00DE6F0A" w:rsidRPr="003B38C1" w:rsidRDefault="00DE6F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F0A" w:rsidRDefault="00DE6F0A">
      <w:r>
        <w:separator/>
      </w:r>
    </w:p>
  </w:footnote>
  <w:footnote w:type="continuationSeparator" w:id="0">
    <w:p w:rsidR="00DE6F0A" w:rsidRDefault="00DE6F0A" w:rsidP="008B60B2">
      <w:r>
        <w:separator/>
      </w:r>
    </w:p>
    <w:p w:rsidR="00DE6F0A" w:rsidRPr="00ED77FB" w:rsidRDefault="00DE6F0A" w:rsidP="008B60B2">
      <w:pPr>
        <w:spacing w:after="60"/>
        <w:rPr>
          <w:sz w:val="17"/>
          <w:szCs w:val="17"/>
        </w:rPr>
      </w:pPr>
      <w:r w:rsidRPr="00ED77FB">
        <w:rPr>
          <w:sz w:val="17"/>
          <w:szCs w:val="17"/>
        </w:rPr>
        <w:t>[Footnote continued from previous page]</w:t>
      </w:r>
    </w:p>
  </w:footnote>
  <w:footnote w:type="continuationNotice" w:id="1">
    <w:p w:rsidR="00DE6F0A" w:rsidRPr="00ED77FB" w:rsidRDefault="00DE6F0A" w:rsidP="008B60B2">
      <w:pPr>
        <w:spacing w:before="60"/>
        <w:jc w:val="right"/>
        <w:rPr>
          <w:sz w:val="17"/>
          <w:szCs w:val="17"/>
        </w:rPr>
      </w:pPr>
      <w:r w:rsidRPr="00ED77FB">
        <w:rPr>
          <w:sz w:val="17"/>
          <w:szCs w:val="17"/>
        </w:rPr>
        <w:t>[Footnote continued on next page]</w:t>
      </w:r>
    </w:p>
  </w:footnote>
  <w:footnote w:id="2">
    <w:p w:rsidR="00827AD2" w:rsidRPr="00B854EE" w:rsidRDefault="00827AD2" w:rsidP="00827AD2">
      <w:pPr>
        <w:pStyle w:val="FootnoteText"/>
        <w:tabs>
          <w:tab w:val="left" w:pos="567"/>
        </w:tabs>
        <w:rPr>
          <w:lang w:val="es-ES"/>
        </w:rPr>
      </w:pPr>
      <w:r>
        <w:rPr>
          <w:rStyle w:val="FootnoteReference"/>
        </w:rPr>
        <w:footnoteRef/>
      </w:r>
      <w:r w:rsidRPr="00B854EE">
        <w:rPr>
          <w:lang w:val="es-ES"/>
        </w:rPr>
        <w:t xml:space="preserve"> </w:t>
      </w:r>
      <w:r w:rsidRPr="00B854EE">
        <w:rPr>
          <w:lang w:val="es-ES"/>
        </w:rPr>
        <w:tab/>
      </w:r>
      <w:r w:rsidR="00B854EE" w:rsidRPr="00B854EE">
        <w:rPr>
          <w:lang w:val="es-ES"/>
        </w:rPr>
        <w:t>Las propuestas de adición y supresión se indican subrayando y tachando, respectivamente, el texto correspondiente</w:t>
      </w:r>
      <w:r w:rsidRPr="00B854EE">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810570" w:rsidRDefault="00DE6F0A" w:rsidP="00477D6B">
    <w:pPr>
      <w:jc w:val="right"/>
      <w:rPr>
        <w:lang w:val="fr-FR"/>
      </w:rPr>
    </w:pPr>
    <w:bookmarkStart w:id="8" w:name="Code2"/>
    <w:bookmarkEnd w:id="8"/>
    <w:r w:rsidRPr="00810570">
      <w:rPr>
        <w:lang w:val="fr-FR"/>
      </w:rPr>
      <w:t>PCT/WG/9/</w:t>
    </w:r>
    <w:r w:rsidR="007A7B08">
      <w:rPr>
        <w:lang w:val="fr-FR"/>
      </w:rPr>
      <w:t>12</w:t>
    </w:r>
  </w:p>
  <w:p w:rsidR="00EC4E49" w:rsidRPr="00810570" w:rsidRDefault="00B854EE" w:rsidP="00477D6B">
    <w:pPr>
      <w:jc w:val="right"/>
      <w:rPr>
        <w:lang w:val="fr-FR"/>
      </w:rPr>
    </w:pPr>
    <w:r>
      <w:rPr>
        <w:lang w:val="fr-FR"/>
      </w:rPr>
      <w:t>página</w:t>
    </w:r>
    <w:r w:rsidR="00EC4E49" w:rsidRPr="00810570">
      <w:rPr>
        <w:lang w:val="fr-FR"/>
      </w:rPr>
      <w:t xml:space="preserve"> </w:t>
    </w:r>
    <w:r w:rsidR="00EC4E49">
      <w:fldChar w:fldCharType="begin"/>
    </w:r>
    <w:r w:rsidR="00EC4E49" w:rsidRPr="00810570">
      <w:rPr>
        <w:lang w:val="fr-FR"/>
      </w:rPr>
      <w:instrText xml:space="preserve"> PAGE  \* MERGEFORMAT </w:instrText>
    </w:r>
    <w:r w:rsidR="00EC4E49">
      <w:fldChar w:fldCharType="separate"/>
    </w:r>
    <w:r w:rsidR="00811FEC">
      <w:rPr>
        <w:noProof/>
        <w:lang w:val="fr-FR"/>
      </w:rPr>
      <w:t>2</w:t>
    </w:r>
    <w:r w:rsidR="00EC4E49">
      <w:fldChar w:fldCharType="end"/>
    </w:r>
  </w:p>
  <w:p w:rsidR="00EC4E49" w:rsidRPr="00810570" w:rsidRDefault="00EC4E49" w:rsidP="00477D6B">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570" w:rsidRPr="00B854EE" w:rsidRDefault="00810570" w:rsidP="00477D6B">
    <w:pPr>
      <w:jc w:val="right"/>
      <w:rPr>
        <w:lang w:val="es-ES"/>
      </w:rPr>
    </w:pPr>
    <w:r w:rsidRPr="00B854EE">
      <w:rPr>
        <w:lang w:val="es-ES"/>
      </w:rPr>
      <w:t>PCT/WG/9/</w:t>
    </w:r>
    <w:r w:rsidR="00A34710" w:rsidRPr="00B854EE">
      <w:rPr>
        <w:lang w:val="es-ES"/>
      </w:rPr>
      <w:t>12</w:t>
    </w:r>
  </w:p>
  <w:p w:rsidR="00810570" w:rsidRPr="00B854EE" w:rsidRDefault="00810570" w:rsidP="00477D6B">
    <w:pPr>
      <w:jc w:val="right"/>
      <w:rPr>
        <w:lang w:val="es-ES"/>
      </w:rPr>
    </w:pPr>
    <w:r w:rsidRPr="00B854EE">
      <w:rPr>
        <w:lang w:val="es-ES"/>
      </w:rPr>
      <w:t>Anex</w:t>
    </w:r>
    <w:r w:rsidR="00B854EE" w:rsidRPr="00B854EE">
      <w:rPr>
        <w:lang w:val="es-ES"/>
      </w:rPr>
      <w:t>o</w:t>
    </w:r>
    <w:r w:rsidRPr="00B854EE">
      <w:rPr>
        <w:lang w:val="es-ES"/>
      </w:rPr>
      <w:t>, p</w:t>
    </w:r>
    <w:r w:rsidR="00B854EE" w:rsidRPr="00B854EE">
      <w:rPr>
        <w:lang w:val="es-ES"/>
      </w:rPr>
      <w:t>ágina</w:t>
    </w:r>
    <w:r w:rsidRPr="00B854EE">
      <w:rPr>
        <w:lang w:val="es-ES"/>
      </w:rPr>
      <w:t xml:space="preserve"> </w:t>
    </w:r>
    <w:r w:rsidRPr="00B854EE">
      <w:rPr>
        <w:lang w:val="es-ES"/>
      </w:rPr>
      <w:fldChar w:fldCharType="begin"/>
    </w:r>
    <w:r w:rsidRPr="00B854EE">
      <w:rPr>
        <w:lang w:val="es-ES"/>
      </w:rPr>
      <w:instrText xml:space="preserve"> PAGE  \* MERGEFORMAT </w:instrText>
    </w:r>
    <w:r w:rsidRPr="00B854EE">
      <w:rPr>
        <w:lang w:val="es-ES"/>
      </w:rPr>
      <w:fldChar w:fldCharType="separate"/>
    </w:r>
    <w:r w:rsidR="00811FEC">
      <w:rPr>
        <w:noProof/>
        <w:lang w:val="es-ES"/>
      </w:rPr>
      <w:t>3</w:t>
    </w:r>
    <w:r w:rsidRPr="00B854EE">
      <w:rPr>
        <w:lang w:val="es-ES"/>
      </w:rPr>
      <w:fldChar w:fldCharType="end"/>
    </w:r>
  </w:p>
  <w:p w:rsidR="00810570" w:rsidRPr="00B854EE" w:rsidRDefault="00810570"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AD2" w:rsidRDefault="00827AD2" w:rsidP="00827AD2">
    <w:pPr>
      <w:pStyle w:val="Header"/>
      <w:jc w:val="right"/>
    </w:pPr>
    <w:r>
      <w:t>PCT/WG/9/</w:t>
    </w:r>
    <w:r w:rsidR="00A34710">
      <w:t>12</w:t>
    </w:r>
  </w:p>
  <w:p w:rsidR="00827AD2" w:rsidRDefault="00827AD2" w:rsidP="00827AD2">
    <w:pPr>
      <w:pStyle w:val="Header"/>
      <w:jc w:val="right"/>
    </w:pPr>
    <w:r>
      <w:t>ANEX</w:t>
    </w:r>
    <w:r w:rsidR="00B854EE">
      <w:t>O</w:t>
    </w:r>
  </w:p>
  <w:p w:rsidR="00827AD2" w:rsidRDefault="00827A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460E9B6-8792-425D-A1A1-DE957FFCF35B}"/>
    <w:docVar w:name="dgnword-eventsink" w:val="364865000"/>
  </w:docVars>
  <w:rsids>
    <w:rsidRoot w:val="00DE6F0A"/>
    <w:rsid w:val="000052A2"/>
    <w:rsid w:val="000276D2"/>
    <w:rsid w:val="00037C97"/>
    <w:rsid w:val="00043CAA"/>
    <w:rsid w:val="00060016"/>
    <w:rsid w:val="00075432"/>
    <w:rsid w:val="00086B9F"/>
    <w:rsid w:val="000968ED"/>
    <w:rsid w:val="000F5E56"/>
    <w:rsid w:val="001362EE"/>
    <w:rsid w:val="001420A5"/>
    <w:rsid w:val="00173E75"/>
    <w:rsid w:val="001832A6"/>
    <w:rsid w:val="001E30D4"/>
    <w:rsid w:val="001F68E2"/>
    <w:rsid w:val="002042C0"/>
    <w:rsid w:val="002634C4"/>
    <w:rsid w:val="002759B1"/>
    <w:rsid w:val="002928D3"/>
    <w:rsid w:val="002C2819"/>
    <w:rsid w:val="002F006A"/>
    <w:rsid w:val="002F1FE6"/>
    <w:rsid w:val="002F4E68"/>
    <w:rsid w:val="00312F7F"/>
    <w:rsid w:val="00344CFF"/>
    <w:rsid w:val="00361450"/>
    <w:rsid w:val="003673CF"/>
    <w:rsid w:val="0037364E"/>
    <w:rsid w:val="003845C1"/>
    <w:rsid w:val="003961C1"/>
    <w:rsid w:val="003A6F89"/>
    <w:rsid w:val="003B38C1"/>
    <w:rsid w:val="003B41EE"/>
    <w:rsid w:val="003E3E7B"/>
    <w:rsid w:val="004224EB"/>
    <w:rsid w:val="00423E3E"/>
    <w:rsid w:val="00427AF4"/>
    <w:rsid w:val="004320B4"/>
    <w:rsid w:val="00433EF4"/>
    <w:rsid w:val="004647DA"/>
    <w:rsid w:val="00474062"/>
    <w:rsid w:val="00477D6B"/>
    <w:rsid w:val="004E3B54"/>
    <w:rsid w:val="005019FF"/>
    <w:rsid w:val="00505EE8"/>
    <w:rsid w:val="00522FA0"/>
    <w:rsid w:val="0053057A"/>
    <w:rsid w:val="00560A29"/>
    <w:rsid w:val="005B60E1"/>
    <w:rsid w:val="005C6649"/>
    <w:rsid w:val="005D77CD"/>
    <w:rsid w:val="006024B9"/>
    <w:rsid w:val="006033AC"/>
    <w:rsid w:val="00605827"/>
    <w:rsid w:val="00624B5A"/>
    <w:rsid w:val="00646050"/>
    <w:rsid w:val="006713CA"/>
    <w:rsid w:val="00676C5C"/>
    <w:rsid w:val="00697793"/>
    <w:rsid w:val="007A7B08"/>
    <w:rsid w:val="007B4035"/>
    <w:rsid w:val="007D1613"/>
    <w:rsid w:val="00806E7D"/>
    <w:rsid w:val="00810570"/>
    <w:rsid w:val="00811FEC"/>
    <w:rsid w:val="00827AD2"/>
    <w:rsid w:val="0089743C"/>
    <w:rsid w:val="008B2CC1"/>
    <w:rsid w:val="008B60B2"/>
    <w:rsid w:val="0090731E"/>
    <w:rsid w:val="00916EE2"/>
    <w:rsid w:val="00966A22"/>
    <w:rsid w:val="0096722F"/>
    <w:rsid w:val="009720B8"/>
    <w:rsid w:val="00980843"/>
    <w:rsid w:val="00980D9E"/>
    <w:rsid w:val="009E2791"/>
    <w:rsid w:val="009E3F6F"/>
    <w:rsid w:val="009F499F"/>
    <w:rsid w:val="00A34710"/>
    <w:rsid w:val="00A42DAF"/>
    <w:rsid w:val="00A45BD8"/>
    <w:rsid w:val="00A869B7"/>
    <w:rsid w:val="00AC205C"/>
    <w:rsid w:val="00AF0A6B"/>
    <w:rsid w:val="00AF7BC6"/>
    <w:rsid w:val="00B05A69"/>
    <w:rsid w:val="00B54C10"/>
    <w:rsid w:val="00B55A7F"/>
    <w:rsid w:val="00B854EE"/>
    <w:rsid w:val="00B9734B"/>
    <w:rsid w:val="00BD3406"/>
    <w:rsid w:val="00C11BFE"/>
    <w:rsid w:val="00CB1E2E"/>
    <w:rsid w:val="00D45252"/>
    <w:rsid w:val="00D71B4D"/>
    <w:rsid w:val="00D809C1"/>
    <w:rsid w:val="00D935FA"/>
    <w:rsid w:val="00D93D55"/>
    <w:rsid w:val="00DE6F0A"/>
    <w:rsid w:val="00DF1269"/>
    <w:rsid w:val="00E018DC"/>
    <w:rsid w:val="00E335FE"/>
    <w:rsid w:val="00E63A77"/>
    <w:rsid w:val="00EB2831"/>
    <w:rsid w:val="00EC4E49"/>
    <w:rsid w:val="00ED77FB"/>
    <w:rsid w:val="00EE45FA"/>
    <w:rsid w:val="00F55E17"/>
    <w:rsid w:val="00F661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styleId="FootnoteReference">
    <w:name w:val="footnote reference"/>
    <w:basedOn w:val="DefaultParagraphFont"/>
    <w:rsid w:val="00827AD2"/>
    <w:rPr>
      <w:vertAlign w:val="superscript"/>
    </w:rPr>
  </w:style>
  <w:style w:type="character" w:customStyle="1" w:styleId="FootnoteTextChar">
    <w:name w:val="Footnote Text Char"/>
    <w:basedOn w:val="DefaultParagraphFont"/>
    <w:link w:val="FootnoteText"/>
    <w:semiHidden/>
    <w:rsid w:val="00827AD2"/>
    <w:rPr>
      <w:rFonts w:ascii="Arial" w:eastAsia="SimSun" w:hAnsi="Arial" w:cs="Arial"/>
      <w:sz w:val="18"/>
      <w:lang w:eastAsia="zh-CN"/>
    </w:rPr>
  </w:style>
  <w:style w:type="character" w:customStyle="1" w:styleId="ONUMEChar">
    <w:name w:val="ONUM E Char"/>
    <w:basedOn w:val="DefaultParagraphFont"/>
    <w:link w:val="ONUME"/>
    <w:uiPriority w:val="99"/>
    <w:rsid w:val="00827AD2"/>
    <w:rPr>
      <w:rFonts w:ascii="Arial" w:eastAsia="SimSun" w:hAnsi="Arial" w:cs="Arial"/>
      <w:sz w:val="22"/>
      <w:lang w:eastAsia="zh-CN"/>
    </w:rPr>
  </w:style>
  <w:style w:type="paragraph" w:customStyle="1" w:styleId="LegRule">
    <w:name w:val="Leg Rule #"/>
    <w:basedOn w:val="Normal"/>
    <w:next w:val="Normal"/>
    <w:qFormat/>
    <w:rsid w:val="00810570"/>
    <w:pPr>
      <w:pageBreakBefore/>
      <w:spacing w:line="360" w:lineRule="auto"/>
      <w:jc w:val="center"/>
    </w:pPr>
    <w:rPr>
      <w:b/>
    </w:rPr>
  </w:style>
  <w:style w:type="paragraph" w:customStyle="1" w:styleId="LegSubRule">
    <w:name w:val="Leg SubRule #"/>
    <w:basedOn w:val="Normal"/>
    <w:rsid w:val="00810570"/>
    <w:pPr>
      <w:keepNext/>
      <w:keepLines/>
      <w:tabs>
        <w:tab w:val="left" w:pos="510"/>
      </w:tabs>
      <w:spacing w:before="119"/>
      <w:ind w:left="533" w:hanging="533"/>
      <w:jc w:val="both"/>
    </w:pPr>
    <w:rPr>
      <w:rFonts w:eastAsia="Times New Roman" w:cs="Times New Roman"/>
      <w:snapToGrid w:val="0"/>
      <w:lang w:eastAsia="ja-JP"/>
    </w:rPr>
  </w:style>
  <w:style w:type="paragraph" w:customStyle="1" w:styleId="Lega">
    <w:name w:val="Leg (a)"/>
    <w:basedOn w:val="Normal"/>
    <w:rsid w:val="00810570"/>
    <w:pPr>
      <w:tabs>
        <w:tab w:val="left" w:pos="454"/>
      </w:tabs>
      <w:spacing w:before="119"/>
    </w:pPr>
    <w:rPr>
      <w:rFonts w:eastAsia="Times New Roman" w:cs="Times New Roman"/>
      <w:snapToGrid w:val="0"/>
      <w:lang w:eastAsia="ja-JP"/>
    </w:rPr>
  </w:style>
  <w:style w:type="character" w:customStyle="1" w:styleId="RDeletedText">
    <w:name w:val="RDeletedText"/>
    <w:basedOn w:val="DefaultParagraphFont"/>
    <w:rsid w:val="0089743C"/>
    <w:rPr>
      <w:strike/>
      <w:color w:val="FF0000"/>
    </w:rPr>
  </w:style>
  <w:style w:type="paragraph" w:styleId="TOCHeading">
    <w:name w:val="TOC Heading"/>
    <w:basedOn w:val="Heading1"/>
    <w:next w:val="Normal"/>
    <w:uiPriority w:val="39"/>
    <w:semiHidden/>
    <w:unhideWhenUsed/>
    <w:qFormat/>
    <w:rsid w:val="00344CFF"/>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DF1269"/>
    <w:pPr>
      <w:tabs>
        <w:tab w:val="right" w:leader="dot" w:pos="9345"/>
      </w:tabs>
      <w:spacing w:after="100"/>
      <w:ind w:left="1276" w:hanging="1276"/>
    </w:pPr>
  </w:style>
  <w:style w:type="character" w:styleId="Hyperlink">
    <w:name w:val="Hyperlink"/>
    <w:basedOn w:val="DefaultParagraphFont"/>
    <w:uiPriority w:val="99"/>
    <w:unhideWhenUsed/>
    <w:rsid w:val="00344CFF"/>
    <w:rPr>
      <w:color w:val="0000FF" w:themeColor="hyperlink"/>
      <w:u w:val="single"/>
    </w:rPr>
  </w:style>
  <w:style w:type="paragraph" w:styleId="TOC2">
    <w:name w:val="toc 2"/>
    <w:basedOn w:val="Normal"/>
    <w:next w:val="Normal"/>
    <w:autoRedefine/>
    <w:uiPriority w:val="39"/>
    <w:rsid w:val="00344CFF"/>
    <w:pPr>
      <w:tabs>
        <w:tab w:val="right" w:leader="dot" w:pos="9345"/>
      </w:tabs>
      <w:spacing w:after="100"/>
      <w:ind w:left="22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styleId="FootnoteReference">
    <w:name w:val="footnote reference"/>
    <w:basedOn w:val="DefaultParagraphFont"/>
    <w:rsid w:val="00827AD2"/>
    <w:rPr>
      <w:vertAlign w:val="superscript"/>
    </w:rPr>
  </w:style>
  <w:style w:type="character" w:customStyle="1" w:styleId="FootnoteTextChar">
    <w:name w:val="Footnote Text Char"/>
    <w:basedOn w:val="DefaultParagraphFont"/>
    <w:link w:val="FootnoteText"/>
    <w:semiHidden/>
    <w:rsid w:val="00827AD2"/>
    <w:rPr>
      <w:rFonts w:ascii="Arial" w:eastAsia="SimSun" w:hAnsi="Arial" w:cs="Arial"/>
      <w:sz w:val="18"/>
      <w:lang w:eastAsia="zh-CN"/>
    </w:rPr>
  </w:style>
  <w:style w:type="character" w:customStyle="1" w:styleId="ONUMEChar">
    <w:name w:val="ONUM E Char"/>
    <w:basedOn w:val="DefaultParagraphFont"/>
    <w:link w:val="ONUME"/>
    <w:uiPriority w:val="99"/>
    <w:rsid w:val="00827AD2"/>
    <w:rPr>
      <w:rFonts w:ascii="Arial" w:eastAsia="SimSun" w:hAnsi="Arial" w:cs="Arial"/>
      <w:sz w:val="22"/>
      <w:lang w:eastAsia="zh-CN"/>
    </w:rPr>
  </w:style>
  <w:style w:type="paragraph" w:customStyle="1" w:styleId="LegRule">
    <w:name w:val="Leg Rule #"/>
    <w:basedOn w:val="Normal"/>
    <w:next w:val="Normal"/>
    <w:qFormat/>
    <w:rsid w:val="00810570"/>
    <w:pPr>
      <w:pageBreakBefore/>
      <w:spacing w:line="360" w:lineRule="auto"/>
      <w:jc w:val="center"/>
    </w:pPr>
    <w:rPr>
      <w:b/>
    </w:rPr>
  </w:style>
  <w:style w:type="paragraph" w:customStyle="1" w:styleId="LegSubRule">
    <w:name w:val="Leg SubRule #"/>
    <w:basedOn w:val="Normal"/>
    <w:rsid w:val="00810570"/>
    <w:pPr>
      <w:keepNext/>
      <w:keepLines/>
      <w:tabs>
        <w:tab w:val="left" w:pos="510"/>
      </w:tabs>
      <w:spacing w:before="119"/>
      <w:ind w:left="533" w:hanging="533"/>
      <w:jc w:val="both"/>
    </w:pPr>
    <w:rPr>
      <w:rFonts w:eastAsia="Times New Roman" w:cs="Times New Roman"/>
      <w:snapToGrid w:val="0"/>
      <w:lang w:eastAsia="ja-JP"/>
    </w:rPr>
  </w:style>
  <w:style w:type="paragraph" w:customStyle="1" w:styleId="Lega">
    <w:name w:val="Leg (a)"/>
    <w:basedOn w:val="Normal"/>
    <w:rsid w:val="00810570"/>
    <w:pPr>
      <w:tabs>
        <w:tab w:val="left" w:pos="454"/>
      </w:tabs>
      <w:spacing w:before="119"/>
    </w:pPr>
    <w:rPr>
      <w:rFonts w:eastAsia="Times New Roman" w:cs="Times New Roman"/>
      <w:snapToGrid w:val="0"/>
      <w:lang w:eastAsia="ja-JP"/>
    </w:rPr>
  </w:style>
  <w:style w:type="character" w:customStyle="1" w:styleId="RDeletedText">
    <w:name w:val="RDeletedText"/>
    <w:basedOn w:val="DefaultParagraphFont"/>
    <w:rsid w:val="0089743C"/>
    <w:rPr>
      <w:strike/>
      <w:color w:val="FF0000"/>
    </w:rPr>
  </w:style>
  <w:style w:type="paragraph" w:styleId="TOCHeading">
    <w:name w:val="TOC Heading"/>
    <w:basedOn w:val="Heading1"/>
    <w:next w:val="Normal"/>
    <w:uiPriority w:val="39"/>
    <w:semiHidden/>
    <w:unhideWhenUsed/>
    <w:qFormat/>
    <w:rsid w:val="00344CFF"/>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DF1269"/>
    <w:pPr>
      <w:tabs>
        <w:tab w:val="right" w:leader="dot" w:pos="9345"/>
      </w:tabs>
      <w:spacing w:after="100"/>
      <w:ind w:left="1276" w:hanging="1276"/>
    </w:pPr>
  </w:style>
  <w:style w:type="character" w:styleId="Hyperlink">
    <w:name w:val="Hyperlink"/>
    <w:basedOn w:val="DefaultParagraphFont"/>
    <w:uiPriority w:val="99"/>
    <w:unhideWhenUsed/>
    <w:rsid w:val="00344CFF"/>
    <w:rPr>
      <w:color w:val="0000FF" w:themeColor="hyperlink"/>
      <w:u w:val="single"/>
    </w:rPr>
  </w:style>
  <w:style w:type="paragraph" w:styleId="TOC2">
    <w:name w:val="toc 2"/>
    <w:basedOn w:val="Normal"/>
    <w:next w:val="Normal"/>
    <w:autoRedefine/>
    <w:uiPriority w:val="39"/>
    <w:rsid w:val="00344CFF"/>
    <w:pPr>
      <w:tabs>
        <w:tab w:val="right" w:leader="dot" w:pos="9345"/>
      </w:tabs>
      <w:spacing w:after="100"/>
      <w:ind w:left="2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57278-1459-4D4F-A4DB-A75D7D69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(E).dotm</Template>
  <TotalTime>268</TotalTime>
  <Pages>5</Pages>
  <Words>1132</Words>
  <Characters>6520</Characters>
  <Application>Microsoft Office Word</Application>
  <DocSecurity>0</DocSecurity>
  <Lines>155</Lines>
  <Paragraphs>55</Paragraphs>
  <ScaleCrop>false</ScaleCrop>
  <HeadingPairs>
    <vt:vector size="2" baseType="variant">
      <vt:variant>
        <vt:lpstr>Title</vt:lpstr>
      </vt:variant>
      <vt:variant>
        <vt:i4>1</vt:i4>
      </vt:variant>
    </vt:vector>
  </HeadingPairs>
  <TitlesOfParts>
    <vt:vector size="1" baseType="lpstr">
      <vt:lpstr>PCT/WG/9/12 - Supresión de las “disposiciones sobre incompatibilidad” en el Reglamento del PCT</vt:lpstr>
    </vt:vector>
  </TitlesOfParts>
  <Company>WIPO</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PCT/WG/9/12 - Supresión de las “disposiciones sobre incompatibilidad” en el Reglamento del PCT</dc:title>
  <dc:subject>Deletion of "Incompatibility Provisions" in the PCT Regulations</dc:subject>
  <dc:creator/>
  <dc:description/>
  <cp:lastModifiedBy>RICHARDSON Michael</cp:lastModifiedBy>
  <cp:revision>19</cp:revision>
  <cp:lastPrinted>2016-03-23T12:51:00Z</cp:lastPrinted>
  <dcterms:created xsi:type="dcterms:W3CDTF">2016-03-29T08:25:00Z</dcterms:created>
  <dcterms:modified xsi:type="dcterms:W3CDTF">2016-03-30T06:50:00Z</dcterms:modified>
</cp:coreProperties>
</file>