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60181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0181F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PCT/WG/8/</w:t>
            </w:r>
            <w:r w:rsidR="006D1F05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6D1F05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D1F05">
              <w:rPr>
                <w:rFonts w:ascii="Arial Black" w:hAnsi="Arial Black"/>
                <w:caps/>
                <w:sz w:val="15"/>
              </w:rPr>
              <w:t>26 DE MARZO DE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60181F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Grupo de Trabajo del Tratado de Cooperaci</w:t>
      </w:r>
      <w:r w:rsidRPr="00B67CDC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n en materia de Patentes (PCT)</w:t>
      </w:r>
      <w:r w:rsidR="00B67CDC" w:rsidRPr="00B67CDC">
        <w:rPr>
          <w:b/>
          <w:sz w:val="28"/>
          <w:szCs w:val="28"/>
        </w:rPr>
        <w:t xml:space="preserve"> </w:t>
      </w:r>
    </w:p>
    <w:p w:rsidR="003845C1" w:rsidRDefault="003845C1" w:rsidP="003845C1"/>
    <w:p w:rsidR="003845C1" w:rsidRDefault="003845C1" w:rsidP="003845C1"/>
    <w:p w:rsidR="00B67CDC" w:rsidRPr="00B67CDC" w:rsidRDefault="0060181F" w:rsidP="00B67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Octava r</w:t>
      </w:r>
      <w:r w:rsidR="00B67CDC" w:rsidRPr="00B67CD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un</w:t>
      </w:r>
      <w:r w:rsidR="00B67CDC" w:rsidRPr="00B67CDC">
        <w:rPr>
          <w:b/>
          <w:sz w:val="24"/>
          <w:szCs w:val="24"/>
        </w:rPr>
        <w:t>ión</w:t>
      </w:r>
    </w:p>
    <w:p w:rsidR="00B67CDC" w:rsidRPr="00B67CDC" w:rsidRDefault="001C66DC" w:rsidP="00B67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</w:t>
      </w:r>
      <w:r w:rsidR="0060181F">
        <w:rPr>
          <w:b/>
          <w:sz w:val="24"/>
          <w:szCs w:val="24"/>
        </w:rPr>
        <w:t>ra, 26 a 29 de mayo de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D1F05" w:rsidRPr="00CC561C" w:rsidRDefault="00CC561C" w:rsidP="00076DD1">
      <w:pPr>
        <w:rPr>
          <w:caps/>
          <w:sz w:val="24"/>
        </w:rPr>
      </w:pPr>
      <w:bookmarkStart w:id="4" w:name="TitleOfDoc"/>
      <w:bookmarkEnd w:id="4"/>
      <w:r w:rsidRPr="00CC561C">
        <w:rPr>
          <w:caps/>
          <w:sz w:val="24"/>
        </w:rPr>
        <w:t>DOCUMENTACIÓN MÍNIMA DEL PCT</w:t>
      </w:r>
      <w:r w:rsidR="00076DD1">
        <w:rPr>
          <w:caps/>
          <w:sz w:val="24"/>
        </w:rPr>
        <w:t xml:space="preserve">:  </w:t>
      </w:r>
      <w:r w:rsidRPr="00CC561C">
        <w:rPr>
          <w:caps/>
          <w:sz w:val="24"/>
        </w:rPr>
        <w:t xml:space="preserve">definición y </w:t>
      </w:r>
      <w:r w:rsidR="00E57964">
        <w:rPr>
          <w:caps/>
          <w:sz w:val="24"/>
        </w:rPr>
        <w:t>ALCANCe</w:t>
      </w:r>
      <w:r w:rsidRPr="00CC561C">
        <w:rPr>
          <w:caps/>
          <w:sz w:val="24"/>
        </w:rPr>
        <w:t xml:space="preserve"> de la literatura de patentes</w:t>
      </w:r>
    </w:p>
    <w:p w:rsidR="006D1F05" w:rsidRPr="00CC561C" w:rsidRDefault="006D1F05" w:rsidP="006D1F05"/>
    <w:p w:rsidR="006D1F05" w:rsidRPr="00CC561C" w:rsidRDefault="00CC561C" w:rsidP="00076DD1">
      <w:pPr>
        <w:rPr>
          <w:i/>
        </w:rPr>
      </w:pPr>
      <w:bookmarkStart w:id="5" w:name="Prepared"/>
      <w:bookmarkEnd w:id="5"/>
      <w:r w:rsidRPr="00CC561C">
        <w:rPr>
          <w:i/>
        </w:rPr>
        <w:t>Documento preparado por la Oficina Internacional</w:t>
      </w:r>
    </w:p>
    <w:p w:rsidR="006D1F05" w:rsidRPr="00CC561C" w:rsidRDefault="006D1F05" w:rsidP="006D1F05"/>
    <w:p w:rsidR="006D1F05" w:rsidRPr="00CC561C" w:rsidRDefault="006D1F05" w:rsidP="006D1F05"/>
    <w:p w:rsidR="006D1F05" w:rsidRPr="00CC561C" w:rsidRDefault="006D1F05" w:rsidP="006D1F05"/>
    <w:p w:rsidR="006D1F05" w:rsidRDefault="00CC561C" w:rsidP="006D1F05">
      <w:pPr>
        <w:pStyle w:val="Heading1"/>
      </w:pPr>
      <w:r>
        <w:t>RESUMEN</w:t>
      </w:r>
    </w:p>
    <w:p w:rsidR="006D1F05" w:rsidRPr="005D2A63" w:rsidRDefault="005D2A63" w:rsidP="005D2A63">
      <w:pPr>
        <w:pStyle w:val="ONUMFS"/>
      </w:pPr>
      <w:r w:rsidRPr="00DC0111">
        <w:t>La Oficina Internacional está reactivando el equipo técnico sobre documentación mínima del PCT</w:t>
      </w:r>
      <w:r>
        <w:t xml:space="preserve"> para proseguir</w:t>
      </w:r>
      <w:r w:rsidRPr="00DC0111">
        <w:t xml:space="preserve"> la labor encaminada a actualizar </w:t>
      </w:r>
      <w:r w:rsidRPr="005D2A63">
        <w:t>la literatura de patentes incluida en la documentación mínima del PCT</w:t>
      </w:r>
      <w:r>
        <w:t xml:space="preserve">.  Las primeras tareas serán: i) determinar la utilidad del formato </w:t>
      </w:r>
      <w:r w:rsidRPr="00E57964">
        <w:t>del “</w:t>
      </w:r>
      <w:r w:rsidR="00E57964" w:rsidRPr="00E57964">
        <w:t>fichero de referencia</w:t>
      </w:r>
      <w:r w:rsidRPr="00E57964">
        <w:t>”</w:t>
      </w:r>
      <w:r w:rsidR="004833EF">
        <w:t xml:space="preserve"> (“</w:t>
      </w:r>
      <w:r w:rsidR="004833EF">
        <w:rPr>
          <w:i/>
        </w:rPr>
        <w:t>Authority file</w:t>
      </w:r>
      <w:r w:rsidR="004833EF">
        <w:t>”)</w:t>
      </w:r>
      <w:r w:rsidR="004833EF">
        <w:rPr>
          <w:i/>
        </w:rPr>
        <w:t xml:space="preserve"> </w:t>
      </w:r>
      <w:r>
        <w:t>elaborado por las</w:t>
      </w:r>
      <w:r w:rsidRPr="005D2A63">
        <w:t xml:space="preserve"> Oficinas de la Cooperación Pentalateral</w:t>
      </w:r>
      <w:r w:rsidR="006D1F05" w:rsidRPr="005D2A63">
        <w:rPr>
          <w:rStyle w:val="FootnoteReference"/>
        </w:rPr>
        <w:footnoteReference w:id="2"/>
      </w:r>
      <w:r w:rsidR="006D1F05" w:rsidRPr="005D2A63">
        <w:t xml:space="preserve"> </w:t>
      </w:r>
      <w:r w:rsidR="009B612E" w:rsidRPr="005D2A63">
        <w:t xml:space="preserve">y ii) </w:t>
      </w:r>
      <w:r w:rsidR="00BE3B66" w:rsidRPr="005D2A63">
        <w:t>la idoneidad de</w:t>
      </w:r>
      <w:r w:rsidR="009B612E" w:rsidRPr="005D2A63">
        <w:t xml:space="preserve"> los formatos y los medios de distribución utilizados actualmente </w:t>
      </w:r>
      <w:r w:rsidR="00BE3B66" w:rsidRPr="005D2A63">
        <w:t>para poner a disposición las colecciones nacionales de documentos de patentes.</w:t>
      </w:r>
    </w:p>
    <w:p w:rsidR="006D1F05" w:rsidRDefault="00BE3B66" w:rsidP="005D2A63">
      <w:pPr>
        <w:pStyle w:val="Heading1"/>
      </w:pPr>
      <w:r>
        <w:t>ANTECEDENTES</w:t>
      </w:r>
    </w:p>
    <w:p w:rsidR="006D1F05" w:rsidRPr="00625E36" w:rsidRDefault="00625E36" w:rsidP="00044E51">
      <w:pPr>
        <w:pStyle w:val="ONUMFS"/>
      </w:pPr>
      <w:r w:rsidRPr="00625E36">
        <w:t>En la decimonovena sesión de la Reunión de las Administraciones Internacionales</w:t>
      </w:r>
      <w:r>
        <w:t xml:space="preserve"> y en la</w:t>
      </w:r>
      <w:r w:rsidRPr="00625E36">
        <w:t xml:space="preserve"> quinta reunión del Grupo de Trabajo del PCT</w:t>
      </w:r>
      <w:r>
        <w:t>, la Oficina Internacional</w:t>
      </w:r>
      <w:r w:rsidR="00727D8F">
        <w:t xml:space="preserve"> </w:t>
      </w:r>
      <w:r>
        <w:t>present</w:t>
      </w:r>
      <w:r w:rsidR="00B83D9D">
        <w:t>ó</w:t>
      </w:r>
      <w:r>
        <w:t xml:space="preserve"> dos documentos </w:t>
      </w:r>
      <w:r w:rsidRPr="00625E36">
        <w:t>(PCT/MIA/19/</w:t>
      </w:r>
      <w:r>
        <w:t>13 y PCT/WG/5/16, respectivamente</w:t>
      </w:r>
      <w:r w:rsidRPr="00625E36">
        <w:t>)</w:t>
      </w:r>
      <w:r w:rsidR="00485072">
        <w:t xml:space="preserve"> en los que</w:t>
      </w:r>
      <w:r w:rsidR="00727D8F">
        <w:t xml:space="preserve"> se</w:t>
      </w:r>
      <w:r w:rsidR="00485072">
        <w:t xml:space="preserve"> sugiere que se modifique la Regla 34 con el fin de que se incluya automáticamente </w:t>
      </w:r>
      <w:r w:rsidR="00485072" w:rsidRPr="00485072">
        <w:t>la documentación nacional sobre patentes</w:t>
      </w:r>
      <w:r w:rsidR="00485072">
        <w:t xml:space="preserve"> de cualquier Estado contratante del PCT</w:t>
      </w:r>
      <w:r w:rsidR="00727D8F">
        <w:t xml:space="preserve"> en</w:t>
      </w:r>
      <w:r w:rsidR="00485072">
        <w:t xml:space="preserve"> la documentación mínima del PCT, siempre que </w:t>
      </w:r>
      <w:r w:rsidR="00FF12B3">
        <w:t>haya sido suministrada de manera fiable en un formato electrónico adecuado que resulte fácil de cargar en la bases de datos de las Administraciones Internacionales.  Sin embargo, c</w:t>
      </w:r>
      <w:r w:rsidR="005D2A63">
        <w:t xml:space="preserve">iertas limitaciones técnicas </w:t>
      </w:r>
      <w:r w:rsidR="00FF12B3">
        <w:t xml:space="preserve">seguirían </w:t>
      </w:r>
      <w:r w:rsidR="00B83D9D">
        <w:t>en vigor</w:t>
      </w:r>
      <w:r w:rsidR="00FF12B3">
        <w:t xml:space="preserve"> para evitar la duplicación de documentos</w:t>
      </w:r>
      <w:r w:rsidR="003A6024">
        <w:t xml:space="preserve"> y</w:t>
      </w:r>
      <w:r w:rsidR="00FF12B3">
        <w:t xml:space="preserve"> la búsqueda de documentos en idiomas</w:t>
      </w:r>
      <w:r w:rsidR="00373699">
        <w:t xml:space="preserve"> </w:t>
      </w:r>
      <w:r w:rsidR="003A6024">
        <w:t xml:space="preserve">desconocidos para </w:t>
      </w:r>
      <w:r w:rsidR="00373699">
        <w:t>el examinador.</w:t>
      </w:r>
    </w:p>
    <w:p w:rsidR="006D1F05" w:rsidRPr="003A6024" w:rsidRDefault="003A6024" w:rsidP="00006AD3">
      <w:pPr>
        <w:pStyle w:val="ONUMFS"/>
      </w:pPr>
      <w:r w:rsidRPr="003A6024">
        <w:lastRenderedPageBreak/>
        <w:t>El objetivo de esta inici</w:t>
      </w:r>
      <w:r w:rsidR="00276403">
        <w:t>ativa es</w:t>
      </w:r>
      <w:r w:rsidRPr="003A6024">
        <w:t xml:space="preserve"> mejorar la disponibilidad de la informaci</w:t>
      </w:r>
      <w:r>
        <w:t xml:space="preserve">ón técnica en los documentos de patentes, </w:t>
      </w:r>
      <w:r w:rsidR="00E57964">
        <w:t>concretamente,</w:t>
      </w:r>
      <w:r>
        <w:t xml:space="preserve"> la </w:t>
      </w:r>
      <w:r w:rsidR="00276403">
        <w:t xml:space="preserve">cobertura técnica y lingüística de los documentos, </w:t>
      </w:r>
      <w:r w:rsidR="00E57964">
        <w:t>y facilitar las</w:t>
      </w:r>
      <w:r w:rsidR="00276403" w:rsidRPr="00276403">
        <w:t xml:space="preserve"> búsqueda</w:t>
      </w:r>
      <w:r w:rsidR="00E57964">
        <w:t>s</w:t>
      </w:r>
      <w:r w:rsidR="00276403">
        <w:t xml:space="preserve"> de la información que contienen.  Esto resulta importante para mejorar la calidad de la búsqueda internacional, así como para ofrecer un mejor acceso a las informaciones de patentes a terceros. </w:t>
      </w:r>
    </w:p>
    <w:p w:rsidR="006D1F05" w:rsidRPr="0091135D" w:rsidRDefault="007967A5" w:rsidP="006E6446">
      <w:pPr>
        <w:pStyle w:val="ONUMFS"/>
      </w:pPr>
      <w:r w:rsidRPr="0091135D">
        <w:t>Una etapa inicial fundamental</w:t>
      </w:r>
      <w:r w:rsidR="0091135D" w:rsidRPr="0091135D">
        <w:t xml:space="preserve"> fue evaluar debidamente el alcance de la documentaci</w:t>
      </w:r>
      <w:r w:rsidR="0091135D">
        <w:t xml:space="preserve">ón mínima existente.  El inventario que figuraba en el </w:t>
      </w:r>
      <w:r w:rsidR="0091135D" w:rsidRPr="0091135D">
        <w:t>Manual de Información y Documentación en materia de Propiedad Industrial</w:t>
      </w:r>
      <w:r w:rsidR="0091135D">
        <w:t xml:space="preserve"> no había sido actualizado desde noviembre de 2001.  </w:t>
      </w:r>
      <w:r w:rsidR="00E97174">
        <w:t>Desde entonces, además de</w:t>
      </w:r>
      <w:r w:rsidR="0091135D">
        <w:t xml:space="preserve"> que la lista de las publicaciones de la oficinas representadas se estaban</w:t>
      </w:r>
      <w:r w:rsidR="003D511B">
        <w:t xml:space="preserve"> volviendo obsoletas, </w:t>
      </w:r>
      <w:r w:rsidR="00E97174">
        <w:t xml:space="preserve">se añadieron </w:t>
      </w:r>
      <w:r w:rsidR="003D511B">
        <w:t xml:space="preserve">dos nuevas colecciones </w:t>
      </w:r>
      <w:r w:rsidR="00F66D9A">
        <w:t>a la lista de</w:t>
      </w:r>
      <w:r w:rsidR="003D511B">
        <w:t xml:space="preserve"> la Regla 34 .1 c) </w:t>
      </w:r>
      <w:r w:rsidR="003D511B" w:rsidRPr="003D511B">
        <w:t>ii)</w:t>
      </w:r>
      <w:r w:rsidR="003D511B">
        <w:t xml:space="preserve"> (las de </w:t>
      </w:r>
      <w:r w:rsidR="00F66D9A">
        <w:t xml:space="preserve">la República de Corea y las de la </w:t>
      </w:r>
      <w:r w:rsidR="00F66D9A" w:rsidRPr="00F66D9A">
        <w:t>República Popular China</w:t>
      </w:r>
      <w:r w:rsidR="00E97174">
        <w:t>) y otros Estados habrían podido poner a disposición las suyas de conformidad con la con la Regla 34.1 c) vi).</w:t>
      </w:r>
    </w:p>
    <w:p w:rsidR="006D1F05" w:rsidRPr="007819E4" w:rsidRDefault="007819E4" w:rsidP="002A7028">
      <w:pPr>
        <w:pStyle w:val="ONUMFS"/>
      </w:pPr>
      <w:r w:rsidRPr="007819E4">
        <w:t>Dado que un</w:t>
      </w:r>
      <w:r w:rsidR="00E57964">
        <w:t>a</w:t>
      </w:r>
      <w:r w:rsidRPr="007819E4">
        <w:t xml:space="preserve"> </w:t>
      </w:r>
      <w:r w:rsidR="00E57964">
        <w:t>iniciativa similar</w:t>
      </w:r>
      <w:r>
        <w:t xml:space="preserve"> para evaluar el </w:t>
      </w:r>
      <w:r w:rsidRPr="007819E4">
        <w:t>alcance de las colecciones de patentes estaba en curso en las</w:t>
      </w:r>
      <w:r>
        <w:t xml:space="preserve"> </w:t>
      </w:r>
      <w:r w:rsidRPr="009B612E">
        <w:t>Oficinas de la Cooperación Pentalateral</w:t>
      </w:r>
      <w:r>
        <w:t>, se convino</w:t>
      </w:r>
      <w:r w:rsidR="004D594B">
        <w:t xml:space="preserve">, durante la </w:t>
      </w:r>
      <w:r w:rsidR="004D594B" w:rsidRPr="004D594B">
        <w:t>decimonovena sesión de la Reunión de las Administraciones Internacionales</w:t>
      </w:r>
      <w:r w:rsidR="004D594B">
        <w:t>, en esperar</w:t>
      </w:r>
      <w:r>
        <w:t xml:space="preserve"> que</w:t>
      </w:r>
      <w:r w:rsidR="004D594B">
        <w:t xml:space="preserve"> </w:t>
      </w:r>
      <w:r w:rsidR="004D594B" w:rsidRPr="00E57964">
        <w:t xml:space="preserve">las </w:t>
      </w:r>
      <w:r w:rsidR="00E57964" w:rsidRPr="00E57964">
        <w:t>especificaciones de los ficheros</w:t>
      </w:r>
      <w:r w:rsidR="004D594B" w:rsidRPr="00E57964">
        <w:t xml:space="preserve"> </w:t>
      </w:r>
      <w:r w:rsidR="00DD4A9B" w:rsidRPr="00E57964">
        <w:t>y los “</w:t>
      </w:r>
      <w:r w:rsidR="00E57964" w:rsidRPr="00E57964">
        <w:t>ficheros de referencia</w:t>
      </w:r>
      <w:r w:rsidR="00DD4A9B" w:rsidRPr="002B2685">
        <w:t>” p</w:t>
      </w:r>
      <w:r w:rsidR="00DD4A9B">
        <w:t>roducidos por dichas oficinas estuvieran disponibles con el fin de determinar si el mismo proceso sería adecuado para documentar la documentación mínima del PCT.</w:t>
      </w:r>
    </w:p>
    <w:p w:rsidR="006D1F05" w:rsidRPr="004A2B7E" w:rsidRDefault="007E5BAD" w:rsidP="002A7028">
      <w:pPr>
        <w:pStyle w:val="Heading1"/>
      </w:pPr>
      <w:r w:rsidRPr="004A2B7E">
        <w:t>fase actual de la labor</w:t>
      </w:r>
    </w:p>
    <w:p w:rsidR="006D1F05" w:rsidRPr="00593D4B" w:rsidRDefault="00BA7D9D" w:rsidP="00190B89">
      <w:pPr>
        <w:pStyle w:val="ONUMFS"/>
      </w:pPr>
      <w:bookmarkStart w:id="6" w:name="_Ref414442071"/>
      <w:r w:rsidRPr="004A2B7E">
        <w:t xml:space="preserve">Los </w:t>
      </w:r>
      <w:r w:rsidRPr="00190B89">
        <w:t xml:space="preserve">primeros </w:t>
      </w:r>
      <w:r w:rsidR="00E57964" w:rsidRPr="00E57964">
        <w:t>ficheros de referencia</w:t>
      </w:r>
      <w:r w:rsidR="00190B89" w:rsidRPr="00190B89">
        <w:t xml:space="preserve"> </w:t>
      </w:r>
      <w:r w:rsidRPr="00190B89">
        <w:t>ya están disponibles</w:t>
      </w:r>
      <w:r w:rsidRPr="004A2B7E">
        <w:t xml:space="preserve">.  </w:t>
      </w:r>
      <w:r w:rsidR="00593D4B">
        <w:t>En consecuencia,</w:t>
      </w:r>
      <w:r w:rsidR="00593D4B" w:rsidRPr="00593D4B">
        <w:t xml:space="preserve"> </w:t>
      </w:r>
      <w:r w:rsidR="00593D4B">
        <w:t xml:space="preserve">durante </w:t>
      </w:r>
      <w:r w:rsidR="00593D4B" w:rsidRPr="00593D4B">
        <w:t>la vigésima segunda sesión de la Reunión de las Administraciones Internacionales del PCT</w:t>
      </w:r>
      <w:r w:rsidR="00593D4B">
        <w:t xml:space="preserve"> se consideró que este es el momento apropiado para reactivar</w:t>
      </w:r>
      <w:r w:rsidRPr="00593D4B">
        <w:t xml:space="preserve"> </w:t>
      </w:r>
      <w:r w:rsidR="00593D4B" w:rsidRPr="00593D4B">
        <w:t>el equipo técnico sobre documentación mínima del PCT</w:t>
      </w:r>
      <w:r w:rsidR="00593D4B">
        <w:t xml:space="preserve"> cuya tarea inicial será investigar y formular recomendaciones en los siguientes ámbitos: (véanse los párrafos 62 a 65 del documento </w:t>
      </w:r>
      <w:r w:rsidR="00593D4B" w:rsidRPr="00593D4B">
        <w:t>PCT/MIA/22/2</w:t>
      </w:r>
      <w:r w:rsidR="00593D4B">
        <w:t xml:space="preserve"> </w:t>
      </w:r>
      <w:r w:rsidR="00593D4B" w:rsidRPr="00593D4B">
        <w:t>que figura en el Anexo del documento PCT/WG/8/2</w:t>
      </w:r>
      <w:r w:rsidR="00593D4B">
        <w:t>)</w:t>
      </w:r>
      <w:r w:rsidRPr="00593D4B">
        <w:t xml:space="preserve">  </w:t>
      </w:r>
      <w:r w:rsidR="006D1F05" w:rsidRPr="00593D4B">
        <w:t>:</w:t>
      </w:r>
      <w:bookmarkEnd w:id="6"/>
    </w:p>
    <w:p w:rsidR="006D1F05" w:rsidRPr="00222070" w:rsidRDefault="0083178E" w:rsidP="009A0D0E">
      <w:pPr>
        <w:pStyle w:val="ONUMFS"/>
        <w:numPr>
          <w:ilvl w:val="1"/>
          <w:numId w:val="6"/>
        </w:numPr>
        <w:rPr>
          <w:i/>
        </w:rPr>
      </w:pPr>
      <w:r>
        <w:rPr>
          <w:i/>
        </w:rPr>
        <w:t>Documentación de</w:t>
      </w:r>
      <w:r w:rsidR="00005688" w:rsidRPr="00222070">
        <w:rPr>
          <w:i/>
        </w:rPr>
        <w:t xml:space="preserve"> las colecciones nacionales</w:t>
      </w:r>
    </w:p>
    <w:p w:rsidR="006D1F05" w:rsidRPr="001642EC" w:rsidRDefault="00005688" w:rsidP="00A067C2">
      <w:pPr>
        <w:pStyle w:val="ONUMFS"/>
        <w:numPr>
          <w:ilvl w:val="2"/>
          <w:numId w:val="6"/>
        </w:numPr>
      </w:pPr>
      <w:r w:rsidRPr="004F717B">
        <w:t>¿</w:t>
      </w:r>
      <w:r w:rsidR="004F717B" w:rsidRPr="004F717B">
        <w:t xml:space="preserve">El </w:t>
      </w:r>
      <w:r w:rsidR="00E57964" w:rsidRPr="00E57964">
        <w:t>fichero de referencia</w:t>
      </w:r>
      <w:r w:rsidR="004F717B" w:rsidRPr="004F717B">
        <w:t xml:space="preserve"> elaborado por las Oficinas de la Cooperación Pentalateral  </w:t>
      </w:r>
      <w:r w:rsidR="004F717B">
        <w:t xml:space="preserve">constituye una base adecuada para la formulación de una recomendación sobre la manera en que otras oficinas nacionales deberían documentar sus colecciones nacionales de patentes si </w:t>
      </w:r>
      <w:r w:rsidR="00D357D4">
        <w:t xml:space="preserve">éstas </w:t>
      </w:r>
      <w:r w:rsidR="004F717B">
        <w:t xml:space="preserve">desean que las </w:t>
      </w:r>
      <w:r w:rsidR="004F717B" w:rsidRPr="001642EC">
        <w:t>mismas se incluyan</w:t>
      </w:r>
      <w:r w:rsidR="00D357D4" w:rsidRPr="001642EC">
        <w:t xml:space="preserve"> en</w:t>
      </w:r>
      <w:r w:rsidR="004F717B" w:rsidRPr="001642EC">
        <w:t xml:space="preserve"> la documentación mínima del PCT?</w:t>
      </w:r>
    </w:p>
    <w:p w:rsidR="006D1F05" w:rsidRPr="008C395E" w:rsidRDefault="001642EC" w:rsidP="001642EC">
      <w:pPr>
        <w:pStyle w:val="ONUMFS"/>
        <w:numPr>
          <w:ilvl w:val="0"/>
          <w:numId w:val="0"/>
        </w:numPr>
        <w:ind w:left="1134"/>
        <w:rPr>
          <w:highlight w:val="cyan"/>
        </w:rPr>
      </w:pPr>
      <w:r w:rsidRPr="001642EC">
        <w:t>ii)</w:t>
      </w:r>
      <w:r w:rsidRPr="001642EC">
        <w:tab/>
      </w:r>
      <w:r w:rsidR="008C395E" w:rsidRPr="008C395E">
        <w:t>¿</w:t>
      </w:r>
      <w:r w:rsidR="00E57964">
        <w:t>Cuáles</w:t>
      </w:r>
      <w:r w:rsidR="008C395E" w:rsidRPr="008C395E">
        <w:t xml:space="preserve"> de los formatos específicos utilizados po</w:t>
      </w:r>
      <w:r w:rsidR="00E57964">
        <w:t>r</w:t>
      </w:r>
      <w:r w:rsidR="008C395E" w:rsidRPr="008C395E">
        <w:t xml:space="preserve"> las </w:t>
      </w:r>
      <w:r w:rsidR="008C395E" w:rsidRPr="004F717B">
        <w:t>Oficinas de la Cooperación Pentalateral</w:t>
      </w:r>
      <w:r w:rsidR="008C395E">
        <w:t xml:space="preserve"> son particularmente ade</w:t>
      </w:r>
      <w:r w:rsidR="004459C4">
        <w:t>cuado</w:t>
      </w:r>
      <w:r w:rsidR="008C395E">
        <w:t xml:space="preserve">s para constituir la base de una recomendación más específica con el fin de garantizar que </w:t>
      </w:r>
      <w:r w:rsidR="008C395E" w:rsidRPr="00E57964">
        <w:t xml:space="preserve">los </w:t>
      </w:r>
      <w:r w:rsidR="00E57964" w:rsidRPr="00E57964">
        <w:t>ficheros de referencia</w:t>
      </w:r>
      <w:r w:rsidR="008C395E">
        <w:t xml:space="preserve"> de una amplia variedad de oficinas puedan procesarse de manera fiable?  </w:t>
      </w:r>
    </w:p>
    <w:p w:rsidR="006D1F05" w:rsidRPr="001642EC" w:rsidRDefault="004475EF" w:rsidP="001642EC">
      <w:pPr>
        <w:pStyle w:val="ONUMFS"/>
        <w:numPr>
          <w:ilvl w:val="2"/>
          <w:numId w:val="6"/>
        </w:numPr>
      </w:pPr>
      <w:r w:rsidRPr="004475EF">
        <w:t>¿</w:t>
      </w:r>
      <w:r>
        <w:t>Constituye un problema e</w:t>
      </w:r>
      <w:r w:rsidRPr="004475EF">
        <w:t xml:space="preserve">l hecho de que el formato tenga como </w:t>
      </w:r>
      <w:r>
        <w:t>funció</w:t>
      </w:r>
      <w:r w:rsidRPr="004475EF">
        <w:t>n espec</w:t>
      </w:r>
      <w:r>
        <w:t>ífica e</w:t>
      </w:r>
      <w:r w:rsidRPr="004475EF">
        <w:t>valuar</w:t>
      </w:r>
      <w:r>
        <w:t xml:space="preserve"> la integridad </w:t>
      </w:r>
      <w:r w:rsidR="00312471">
        <w:t>de las cole</w:t>
      </w:r>
      <w:r w:rsidR="008E0B98">
        <w:t>cciones de documentos y no contribuya</w:t>
      </w:r>
      <w:r w:rsidR="00312471">
        <w:t xml:space="preserve"> a abordar la cuestión de la identificación de publicaciones equivalentes con el fin de </w:t>
      </w:r>
      <w:r w:rsidR="00312471" w:rsidRPr="001642EC">
        <w:t>reducir la duplicación de documentos (</w:t>
      </w:r>
      <w:r w:rsidR="008E0B98" w:rsidRPr="001642EC">
        <w:t>según la Regla 34.1 d) vigente)?</w:t>
      </w:r>
    </w:p>
    <w:p w:rsidR="006D1F05" w:rsidRPr="001642EC" w:rsidRDefault="00DA599A" w:rsidP="001642EC">
      <w:pPr>
        <w:pStyle w:val="ONUMFS"/>
        <w:numPr>
          <w:ilvl w:val="1"/>
          <w:numId w:val="6"/>
        </w:numPr>
        <w:rPr>
          <w:i/>
        </w:rPr>
      </w:pPr>
      <w:r w:rsidRPr="001642EC">
        <w:rPr>
          <w:i/>
        </w:rPr>
        <w:t>Puesta a disposición de las colecciones nacionales</w:t>
      </w:r>
    </w:p>
    <w:p w:rsidR="006D1F05" w:rsidRPr="00B65688" w:rsidRDefault="004A4056" w:rsidP="001642EC">
      <w:pPr>
        <w:pStyle w:val="ONUMFS"/>
        <w:numPr>
          <w:ilvl w:val="2"/>
          <w:numId w:val="6"/>
        </w:numPr>
      </w:pPr>
      <w:r w:rsidRPr="00B65688">
        <w:t xml:space="preserve">¿Cuáles formatos y medios de distribución </w:t>
      </w:r>
      <w:r w:rsidR="00B65688" w:rsidRPr="00B65688">
        <w:t xml:space="preserve">utilizan actualmente las oficinas nacionales para poner </w:t>
      </w:r>
      <w:r w:rsidR="00B65688">
        <w:t xml:space="preserve">sus colecciones nacionales </w:t>
      </w:r>
      <w:r w:rsidR="005E4B30" w:rsidRPr="00B65688">
        <w:t>a disposici</w:t>
      </w:r>
      <w:r w:rsidR="005E4B30">
        <w:t>ón de</w:t>
      </w:r>
      <w:r w:rsidR="00B65688">
        <w:t xml:space="preserve"> las </w:t>
      </w:r>
      <w:r w:rsidR="00E57964">
        <w:t>Administraciones</w:t>
      </w:r>
      <w:r w:rsidR="00B65688">
        <w:t xml:space="preserve"> Internacionales de búsque</w:t>
      </w:r>
      <w:r w:rsidR="005E4B30">
        <w:t>da, la Oficina Internacional y</w:t>
      </w:r>
      <w:r w:rsidR="00B65688">
        <w:t xml:space="preserve"> </w:t>
      </w:r>
      <w:r w:rsidR="005E4B30">
        <w:t>los proveedores de bases de datos?</w:t>
      </w:r>
    </w:p>
    <w:p w:rsidR="006D1F05" w:rsidRPr="001D24CA" w:rsidRDefault="00B84C8D" w:rsidP="001D24CA">
      <w:pPr>
        <w:pStyle w:val="ONUMFS"/>
        <w:numPr>
          <w:ilvl w:val="2"/>
          <w:numId w:val="6"/>
        </w:numPr>
      </w:pPr>
      <w:r w:rsidRPr="00B84C8D">
        <w:lastRenderedPageBreak/>
        <w:t xml:space="preserve">¿Alguno </w:t>
      </w:r>
      <w:r>
        <w:t>de los formatos resulta particu</w:t>
      </w:r>
      <w:r w:rsidRPr="00B84C8D">
        <w:t>l</w:t>
      </w:r>
      <w:r>
        <w:t>a</w:t>
      </w:r>
      <w:r w:rsidRPr="00B84C8D">
        <w:t>rmente útil para cargar</w:t>
      </w:r>
      <w:r>
        <w:t xml:space="preserve"> en las bases de datos</w:t>
      </w:r>
      <w:r w:rsidRPr="00B84C8D">
        <w:t xml:space="preserve"> </w:t>
      </w:r>
      <w:r>
        <w:t xml:space="preserve">los </w:t>
      </w:r>
      <w:r w:rsidRPr="001D24CA">
        <w:t>documentos y sus datos asociados de manera sencilla y eficaz con fines de búsqueda?</w:t>
      </w:r>
    </w:p>
    <w:p w:rsidR="006D1F05" w:rsidRPr="00C52ACB" w:rsidRDefault="001D24CA" w:rsidP="001D24CA">
      <w:pPr>
        <w:pStyle w:val="ONUMFS"/>
        <w:numPr>
          <w:ilvl w:val="0"/>
          <w:numId w:val="0"/>
        </w:numPr>
        <w:ind w:left="1134"/>
        <w:rPr>
          <w:highlight w:val="cyan"/>
        </w:rPr>
      </w:pPr>
      <w:r w:rsidRPr="001D24CA">
        <w:t xml:space="preserve">iii) </w:t>
      </w:r>
      <w:r w:rsidRPr="001D24CA">
        <w:tab/>
      </w:r>
      <w:r>
        <w:t>¿Existe alguna dificultad significativa</w:t>
      </w:r>
      <w:r w:rsidR="0016727B" w:rsidRPr="00C52ACB">
        <w:t xml:space="preserve"> con</w:t>
      </w:r>
      <w:r w:rsidR="003B28B2">
        <w:t xml:space="preserve"> alguna norma</w:t>
      </w:r>
      <w:r>
        <w:t xml:space="preserve"> que debería ser señalada</w:t>
      </w:r>
      <w:r w:rsidR="0016727B" w:rsidRPr="00C52ACB">
        <w:t xml:space="preserve"> </w:t>
      </w:r>
      <w:r w:rsidR="00C52ACB" w:rsidRPr="00C52ACB">
        <w:t>a otros organismos para su consideraci</w:t>
      </w:r>
      <w:r w:rsidR="00C52ACB">
        <w:t>ón lo antes posible?</w:t>
      </w:r>
    </w:p>
    <w:p w:rsidR="006D1F05" w:rsidRPr="00742068" w:rsidRDefault="001D24CA" w:rsidP="001D24CA">
      <w:pPr>
        <w:pStyle w:val="ONUMFS"/>
      </w:pPr>
      <w:r w:rsidRPr="00742068">
        <w:t>Asimismo, en la Reunión de las Administraciones Internacionales del PCT</w:t>
      </w:r>
      <w:r>
        <w:t xml:space="preserve"> se señalaron cuestiones que deberán ser examinadas y que guardan relación con la parte b) de las tareas descritas anteriormente (véase el párrafo 64 del documento</w:t>
      </w:r>
      <w:r w:rsidR="006D1F05" w:rsidRPr="001D24CA">
        <w:t xml:space="preserve"> PCT/MIA/22/22</w:t>
      </w:r>
      <w:r w:rsidR="006D1F05" w:rsidRPr="001D24CA">
        <w:rPr>
          <w:rStyle w:val="FootnoteReference"/>
        </w:rPr>
        <w:footnoteReference w:id="3"/>
      </w:r>
      <w:r w:rsidR="006D1F05" w:rsidRPr="001D24CA">
        <w:t xml:space="preserve">) </w:t>
      </w:r>
      <w:r w:rsidR="00742068" w:rsidRPr="00742068">
        <w:t xml:space="preserve"> </w:t>
      </w:r>
      <w:r w:rsidR="003B28B2">
        <w:t>y se</w:t>
      </w:r>
      <w:r w:rsidR="00742068">
        <w:t xml:space="preserve"> invit</w:t>
      </w:r>
      <w:r w:rsidR="009907C4">
        <w:t>ó a</w:t>
      </w:r>
      <w:r w:rsidR="009907C4" w:rsidRPr="009907C4">
        <w:t xml:space="preserve">l equipo técnico </w:t>
      </w:r>
      <w:r w:rsidR="009907C4">
        <w:t>a examinar</w:t>
      </w:r>
      <w:r w:rsidR="003B28B2">
        <w:t xml:space="preserve"> las cuestiones relativas a</w:t>
      </w:r>
      <w:r w:rsidR="00384B0D">
        <w:t>l formato de la literatura distinta de l</w:t>
      </w:r>
      <w:r>
        <w:t>a de patentes incluida en</w:t>
      </w:r>
      <w:r w:rsidR="00384B0D">
        <w:t xml:space="preserve"> la documentación mínima del PCT (véa</w:t>
      </w:r>
      <w:r w:rsidR="004A376C">
        <w:t>n</w:t>
      </w:r>
      <w:r w:rsidR="00384B0D">
        <w:t xml:space="preserve">se </w:t>
      </w:r>
      <w:r w:rsidR="004A376C">
        <w:t xml:space="preserve">los </w:t>
      </w:r>
      <w:r w:rsidR="00384B0D">
        <w:t xml:space="preserve">párrafos 70 a 73 del documento </w:t>
      </w:r>
      <w:r w:rsidR="00384B0D" w:rsidRPr="001D24CA">
        <w:t>PCT/MIA/22/22)</w:t>
      </w:r>
      <w:r w:rsidR="00384B0D">
        <w:t>.</w:t>
      </w:r>
    </w:p>
    <w:p w:rsidR="006D1F05" w:rsidRDefault="003B28B2" w:rsidP="006D1F05">
      <w:pPr>
        <w:pStyle w:val="Heading1"/>
      </w:pPr>
      <w:r>
        <w:t>labor futura</w:t>
      </w:r>
    </w:p>
    <w:p w:rsidR="006D1F05" w:rsidRPr="00686A43" w:rsidRDefault="00686A43" w:rsidP="00EC4FC7">
      <w:pPr>
        <w:pStyle w:val="ONUMFS"/>
      </w:pPr>
      <w:r w:rsidRPr="00686A43">
        <w:t>La finalidad de la fase de t</w:t>
      </w:r>
      <w:r w:rsidR="004A376C">
        <w:t>rabajo descrita en el párrafo 6 del presente documento</w:t>
      </w:r>
      <w:r w:rsidRPr="00686A43">
        <w:t xml:space="preserve"> es recabar suficiente información </w:t>
      </w:r>
      <w:r w:rsidR="004A376C">
        <w:t>que sea el punto de partida para</w:t>
      </w:r>
      <w:r w:rsidRPr="00686A43">
        <w:t xml:space="preserve"> la labor </w:t>
      </w:r>
      <w:r>
        <w:t>futura</w:t>
      </w:r>
      <w:r w:rsidR="004A376C">
        <w:t xml:space="preserve"> de</w:t>
      </w:r>
      <w:r w:rsidR="002B2685">
        <w:t xml:space="preserve"> </w:t>
      </w:r>
      <w:r w:rsidRPr="00686A43">
        <w:t xml:space="preserve"> </w:t>
      </w:r>
      <w:r w:rsidR="004A376C">
        <w:t>formular</w:t>
      </w:r>
      <w:r>
        <w:t>:</w:t>
      </w:r>
      <w:r w:rsidRPr="00686A43">
        <w:t xml:space="preserve"> </w:t>
      </w:r>
    </w:p>
    <w:p w:rsidR="006D1F05" w:rsidRPr="00800F7E" w:rsidRDefault="00800F7E" w:rsidP="005A7DCD">
      <w:pPr>
        <w:pStyle w:val="ONUMFS"/>
        <w:numPr>
          <w:ilvl w:val="1"/>
          <w:numId w:val="6"/>
        </w:numPr>
      </w:pPr>
      <w:r w:rsidRPr="00800F7E">
        <w:t>recomendacion</w:t>
      </w:r>
      <w:r w:rsidR="003B28B2">
        <w:t>es y normas eficaces que sean r</w:t>
      </w:r>
      <w:r w:rsidRPr="00800F7E">
        <w:t xml:space="preserve">azonables para que las oficinas nacionales las utilicen con el fin de que sus colecciones nacionales sean incluidas en la documentación </w:t>
      </w:r>
      <w:r w:rsidR="00D72B6B">
        <w:t>mí</w:t>
      </w:r>
      <w:r w:rsidRPr="00800F7E">
        <w:t xml:space="preserve">nima del PCT y </w:t>
      </w:r>
      <w:r>
        <w:t xml:space="preserve">para que </w:t>
      </w:r>
      <w:r w:rsidRPr="00800F7E">
        <w:t xml:space="preserve">de este modo se </w:t>
      </w:r>
      <w:r>
        <w:t xml:space="preserve">permita a las </w:t>
      </w:r>
      <w:r w:rsidR="00E57964">
        <w:t>Administraciones</w:t>
      </w:r>
      <w:r>
        <w:t xml:space="preserve"> nacionales y a los proveedores de bases de datos cargar fácilmente la información necesaria de</w:t>
      </w:r>
      <w:r w:rsidR="00D72B6B">
        <w:t xml:space="preserve"> manera</w:t>
      </w:r>
      <w:r w:rsidR="006F7B01">
        <w:t xml:space="preserve"> oportuna y fiable; y</w:t>
      </w:r>
      <w:r>
        <w:t xml:space="preserve"> </w:t>
      </w:r>
      <w:r w:rsidRPr="00800F7E">
        <w:t xml:space="preserve"> </w:t>
      </w:r>
    </w:p>
    <w:p w:rsidR="006D1F05" w:rsidRPr="00396B8E" w:rsidRDefault="00396B8E" w:rsidP="00AC6B52">
      <w:pPr>
        <w:pStyle w:val="ONUMFS"/>
        <w:numPr>
          <w:ilvl w:val="1"/>
          <w:numId w:val="6"/>
        </w:numPr>
      </w:pPr>
      <w:r w:rsidRPr="00396B8E">
        <w:t>nuevos proyectos de textos jurídicos para definir las condiciones necesarias para que una colecci</w:t>
      </w:r>
      <w:r>
        <w:t>ón de patentes</w:t>
      </w:r>
      <w:r w:rsidR="00AC6B52">
        <w:t xml:space="preserve"> sea incluida</w:t>
      </w:r>
      <w:r>
        <w:t xml:space="preserve"> </w:t>
      </w:r>
      <w:r w:rsidR="00AC6B52">
        <w:t>en</w:t>
      </w:r>
      <w:r>
        <w:t xml:space="preserve"> la documentación mínima del PCT, así como</w:t>
      </w:r>
      <w:r w:rsidR="001C4EE7">
        <w:t xml:space="preserve"> hasta qué</w:t>
      </w:r>
      <w:r>
        <w:t xml:space="preserve"> punto</w:t>
      </w:r>
      <w:r w:rsidR="002378E6">
        <w:t xml:space="preserve"> se podrá solicitar a</w:t>
      </w:r>
      <w:r>
        <w:t xml:space="preserve"> </w:t>
      </w:r>
      <w:r w:rsidR="002378E6">
        <w:t>las Administraciones</w:t>
      </w:r>
      <w:r w:rsidR="00BF3BEF">
        <w:t xml:space="preserve"> que</w:t>
      </w:r>
      <w:r w:rsidR="002378E6">
        <w:t xml:space="preserve"> incluyan</w:t>
      </w:r>
      <w:r>
        <w:t xml:space="preserve"> </w:t>
      </w:r>
      <w:r w:rsidR="002378E6">
        <w:t>y busquen</w:t>
      </w:r>
      <w:r>
        <w:t xml:space="preserve"> documentos </w:t>
      </w:r>
      <w:r w:rsidR="002378E6">
        <w:t>cuando</w:t>
      </w:r>
      <w:r>
        <w:t xml:space="preserve"> éstos existan </w:t>
      </w:r>
      <w:r w:rsidR="00AE06F3">
        <w:t>en distintos idiomas o en ellos se</w:t>
      </w:r>
      <w:r>
        <w:t xml:space="preserve"> d</w:t>
      </w:r>
      <w:r w:rsidR="00AE06F3">
        <w:t>ivulgue información técnica equivalente que figura</w:t>
      </w:r>
      <w:r>
        <w:t xml:space="preserve"> </w:t>
      </w:r>
      <w:r w:rsidR="00AE06F3">
        <w:t>en</w:t>
      </w:r>
      <w:r>
        <w:t xml:space="preserve"> otros documentos.</w:t>
      </w:r>
      <w:r w:rsidRPr="00396B8E">
        <w:t xml:space="preserve"> </w:t>
      </w:r>
    </w:p>
    <w:p w:rsidR="006D1F05" w:rsidRPr="00190ACE" w:rsidRDefault="00190ACE" w:rsidP="001D0153">
      <w:pPr>
        <w:pStyle w:val="ONUMFS"/>
      </w:pPr>
      <w:r w:rsidRPr="00190ACE">
        <w:t>Algunas de las propuestas planteadas ser</w:t>
      </w:r>
      <w:r>
        <w:t>á</w:t>
      </w:r>
      <w:r w:rsidRPr="00190ACE">
        <w:t>n sometidas a la consideraci</w:t>
      </w:r>
      <w:r>
        <w:t>ón de todos los Estados contratantes del PCT</w:t>
      </w:r>
      <w:r w:rsidR="007D1106">
        <w:t xml:space="preserve">, ya sea mediante circulares del PCT o como documentos dirigidos al Grupo de Trabajo del PCT, </w:t>
      </w:r>
      <w:r w:rsidR="007D1106" w:rsidRPr="007D1106">
        <w:t>según proceda</w:t>
      </w:r>
      <w:r w:rsidR="007D1106">
        <w:t>.</w:t>
      </w:r>
    </w:p>
    <w:p w:rsidR="006D1F05" w:rsidRPr="002F246A" w:rsidRDefault="002F246A" w:rsidP="00B82326">
      <w:pPr>
        <w:pStyle w:val="ONUMFS"/>
        <w:tabs>
          <w:tab w:val="clear" w:pos="567"/>
        </w:tabs>
        <w:ind w:left="5529"/>
        <w:rPr>
          <w:iCs/>
        </w:rPr>
      </w:pPr>
      <w:r w:rsidRPr="002F246A">
        <w:rPr>
          <w:i/>
        </w:rPr>
        <w:t>Se invita al Grupo de Trabajo a tomar nota de las tareas</w:t>
      </w:r>
      <w:r w:rsidR="00BF3BEF">
        <w:rPr>
          <w:i/>
        </w:rPr>
        <w:t xml:space="preserve"> </w:t>
      </w:r>
      <w:r w:rsidR="00BF3BEF" w:rsidRPr="002F246A">
        <w:rPr>
          <w:i/>
        </w:rPr>
        <w:t>actuales</w:t>
      </w:r>
      <w:r w:rsidRPr="002F246A">
        <w:rPr>
          <w:i/>
        </w:rPr>
        <w:t xml:space="preserve"> del equipo técnico</w:t>
      </w:r>
      <w:r w:rsidR="00BF3BEF">
        <w:rPr>
          <w:i/>
        </w:rPr>
        <w:t xml:space="preserve"> sobre documentación mínima del PCT</w:t>
      </w:r>
      <w:r w:rsidRPr="002F246A">
        <w:rPr>
          <w:i/>
        </w:rPr>
        <w:t xml:space="preserve"> y a formular observaciones </w:t>
      </w:r>
      <w:r>
        <w:rPr>
          <w:i/>
        </w:rPr>
        <w:t>acerca de</w:t>
      </w:r>
      <w:r w:rsidRPr="002F246A">
        <w:rPr>
          <w:i/>
        </w:rPr>
        <w:t xml:space="preserve"> otras cuestiones que quizás sea necesario tener en cuenta</w:t>
      </w:r>
      <w:r w:rsidR="00BF3BEF">
        <w:rPr>
          <w:i/>
        </w:rPr>
        <w:t xml:space="preserve"> con el fin de</w:t>
      </w:r>
      <w:r w:rsidRPr="002F246A">
        <w:rPr>
          <w:i/>
        </w:rPr>
        <w:t xml:space="preserve"> mejorar la</w:t>
      </w:r>
      <w:r w:rsidR="00BF3BEF">
        <w:rPr>
          <w:i/>
        </w:rPr>
        <w:t xml:space="preserve"> literatura de patentes incluida en la documentación mínima </w:t>
      </w:r>
      <w:r w:rsidR="004E178F">
        <w:rPr>
          <w:i/>
        </w:rPr>
        <w:t>del PCT</w:t>
      </w:r>
      <w:r w:rsidR="00BF3BEF">
        <w:rPr>
          <w:i/>
        </w:rPr>
        <w:t>.</w:t>
      </w:r>
      <w:r>
        <w:rPr>
          <w:i/>
        </w:rPr>
        <w:t xml:space="preserve"> </w:t>
      </w:r>
      <w:r w:rsidR="00044E51">
        <w:rPr>
          <w:i/>
        </w:rPr>
        <w:t xml:space="preserve"> </w:t>
      </w:r>
    </w:p>
    <w:p w:rsidR="006D1F05" w:rsidRPr="002F246A" w:rsidRDefault="006D1F05" w:rsidP="009A0D0E">
      <w:pPr>
        <w:pStyle w:val="ONUMFS"/>
        <w:numPr>
          <w:ilvl w:val="0"/>
          <w:numId w:val="0"/>
        </w:numPr>
      </w:pPr>
    </w:p>
    <w:p w:rsidR="00152CEA" w:rsidRPr="00B82326" w:rsidRDefault="007F7678" w:rsidP="00B82326">
      <w:pPr>
        <w:pStyle w:val="Endofdocument-Annex"/>
        <w:rPr>
          <w:lang w:val="es-ES"/>
        </w:rPr>
      </w:pPr>
      <w:r w:rsidRPr="00B82326">
        <w:rPr>
          <w:lang w:val="es-ES"/>
        </w:rPr>
        <w:t>[Fin del documento</w:t>
      </w:r>
      <w:r w:rsidR="006D1F05" w:rsidRPr="00B82326">
        <w:rPr>
          <w:lang w:val="es-ES"/>
        </w:rPr>
        <w:t>]</w:t>
      </w:r>
    </w:p>
    <w:sectPr w:rsidR="00152CEA" w:rsidRPr="00B82326" w:rsidSect="006D1F05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72" w:rsidRDefault="00EF1472">
      <w:r>
        <w:separator/>
      </w:r>
    </w:p>
  </w:endnote>
  <w:endnote w:type="continuationSeparator" w:id="0">
    <w:p w:rsidR="00EF1472" w:rsidRPr="009D30E6" w:rsidRDefault="00EF147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F1472" w:rsidRPr="007E663E" w:rsidRDefault="00EF147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F1472" w:rsidRPr="007E663E" w:rsidRDefault="00EF147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72" w:rsidRDefault="00EF1472">
      <w:r>
        <w:separator/>
      </w:r>
    </w:p>
  </w:footnote>
  <w:footnote w:type="continuationSeparator" w:id="0">
    <w:p w:rsidR="00EF1472" w:rsidRPr="009D30E6" w:rsidRDefault="00EF147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F1472" w:rsidRPr="007E663E" w:rsidRDefault="00EF147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F1472" w:rsidRPr="007E663E" w:rsidRDefault="00EF147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6D1F05" w:rsidRPr="000F0B36" w:rsidRDefault="006D1F05" w:rsidP="003C0D8A">
      <w:pPr>
        <w:pStyle w:val="FootnoteText"/>
      </w:pPr>
      <w:r>
        <w:rPr>
          <w:rStyle w:val="FootnoteReference"/>
        </w:rPr>
        <w:footnoteRef/>
      </w:r>
      <w:r w:rsidRPr="003C0D8A">
        <w:t xml:space="preserve"> </w:t>
      </w:r>
      <w:r w:rsidRPr="003C0D8A">
        <w:tab/>
      </w:r>
      <w:r w:rsidR="000F0B36" w:rsidRPr="000F0B36">
        <w:t>Las Oficinas</w:t>
      </w:r>
      <w:r w:rsidR="000F0B36">
        <w:t xml:space="preserve"> que conforman</w:t>
      </w:r>
      <w:r w:rsidR="000F0B36" w:rsidRPr="000F0B36">
        <w:t xml:space="preserve">  la Cooperación Pentalateral</w:t>
      </w:r>
      <w:r w:rsidR="000F0B36">
        <w:t xml:space="preserve"> son las siguientes:</w:t>
      </w:r>
      <w:r w:rsidR="000F0B36" w:rsidRPr="000F0B36">
        <w:t xml:space="preserve">  Oficina Europea de Patentes (OEP), Oficina Japonesa de Patentes (JPO), Oficina Coreana de Propiedad Intelectual (KIPO), Oficina Estatal de Propiedad Intelectual de China</w:t>
      </w:r>
      <w:r w:rsidR="000F0B36">
        <w:t xml:space="preserve"> de la República Popular China</w:t>
      </w:r>
      <w:r w:rsidR="000F0B36" w:rsidRPr="000F0B36">
        <w:t xml:space="preserve"> (SIPO) y Oficina de Patentes y Marcas de los Estados Unidos de América (USPTO) </w:t>
      </w:r>
    </w:p>
  </w:footnote>
  <w:footnote w:id="3">
    <w:p w:rsidR="006D1F05" w:rsidRPr="000E7EDB" w:rsidRDefault="006D1F05" w:rsidP="001D0153">
      <w:pPr>
        <w:pStyle w:val="FootnoteText"/>
        <w:rPr>
          <w:sz w:val="20"/>
        </w:rPr>
      </w:pPr>
      <w:r w:rsidRPr="00B74845">
        <w:rPr>
          <w:rStyle w:val="FootnoteReference"/>
          <w:sz w:val="20"/>
        </w:rPr>
        <w:footnoteRef/>
      </w:r>
      <w:r w:rsidRPr="001D0153">
        <w:rPr>
          <w:sz w:val="20"/>
        </w:rPr>
        <w:t xml:space="preserve"> </w:t>
      </w:r>
      <w:r w:rsidRPr="001D0153">
        <w:rPr>
          <w:sz w:val="20"/>
        </w:rPr>
        <w:tab/>
        <w:t>“64.</w:t>
      </w:r>
      <w:r w:rsidRPr="001D0153">
        <w:rPr>
          <w:sz w:val="20"/>
        </w:rPr>
        <w:tab/>
      </w:r>
      <w:r w:rsidR="000E7EDB" w:rsidRPr="000E7EDB">
        <w:rPr>
          <w:sz w:val="20"/>
        </w:rPr>
        <w:t>Una Administración pone de relieve la necesidad de que los datos bibliográficos estén en un formato de texto conforme a las Normas ST.36 y ST.96 de la OMPI. Otra Administración subraya que las oficinas de P.I. tienen que disponer de acceso libre a la documentación mínima para descargarla en una sola vez, y que los datos bibliográficos, el resumen y la información relativa a las citas se tienen que facilitar en inglés. Otra Administración sugiere que el equipo técnico aborde asimismo las siguientes cuestiones, además de las enumeradas en el párrafo 10 del documento: el intercambio de documentos sin necesidad de utilizar soportes físicos, la libre distribución de la información sobre patentes y la posible inclusión de las colecciones de modelos de utilidad en la documentación mínima del PCT</w:t>
      </w:r>
      <w:r w:rsidRPr="000E7EDB">
        <w:rPr>
          <w:sz w:val="20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6D1F05" w:rsidP="00477D6B">
    <w:pPr>
      <w:jc w:val="right"/>
    </w:pPr>
    <w:bookmarkStart w:id="7" w:name="Code2"/>
    <w:bookmarkEnd w:id="7"/>
    <w:r>
      <w:t>PCT/WG/8/9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D64860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93FC9E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A6CEDD1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  <w:lang w:val="es-ES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8B5F7C"/>
    <w:multiLevelType w:val="hybridMultilevel"/>
    <w:tmpl w:val="797ACDE0"/>
    <w:lvl w:ilvl="0" w:tplc="DDFA5716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05"/>
    <w:rsid w:val="00005688"/>
    <w:rsid w:val="00006AD3"/>
    <w:rsid w:val="00010686"/>
    <w:rsid w:val="00044E51"/>
    <w:rsid w:val="00052915"/>
    <w:rsid w:val="00076DD1"/>
    <w:rsid w:val="000E3BB3"/>
    <w:rsid w:val="000E7EDB"/>
    <w:rsid w:val="000F0B36"/>
    <w:rsid w:val="000F5E56"/>
    <w:rsid w:val="001362EE"/>
    <w:rsid w:val="00152CEA"/>
    <w:rsid w:val="001642EC"/>
    <w:rsid w:val="0016727B"/>
    <w:rsid w:val="001832A6"/>
    <w:rsid w:val="00190ACE"/>
    <w:rsid w:val="00190B89"/>
    <w:rsid w:val="001C4EE7"/>
    <w:rsid w:val="001C66DC"/>
    <w:rsid w:val="001D0153"/>
    <w:rsid w:val="001D24CA"/>
    <w:rsid w:val="00222070"/>
    <w:rsid w:val="002378E6"/>
    <w:rsid w:val="002634C4"/>
    <w:rsid w:val="00276403"/>
    <w:rsid w:val="002A7028"/>
    <w:rsid w:val="002B2685"/>
    <w:rsid w:val="002E0F47"/>
    <w:rsid w:val="002F246A"/>
    <w:rsid w:val="002F4E68"/>
    <w:rsid w:val="00312471"/>
    <w:rsid w:val="00354647"/>
    <w:rsid w:val="00373699"/>
    <w:rsid w:val="00377273"/>
    <w:rsid w:val="003845C1"/>
    <w:rsid w:val="00384B0D"/>
    <w:rsid w:val="00387287"/>
    <w:rsid w:val="00396B8E"/>
    <w:rsid w:val="003A6024"/>
    <w:rsid w:val="003B28B2"/>
    <w:rsid w:val="003C0D8A"/>
    <w:rsid w:val="003D511B"/>
    <w:rsid w:val="003E48F1"/>
    <w:rsid w:val="003F347A"/>
    <w:rsid w:val="00423E3E"/>
    <w:rsid w:val="00427AF4"/>
    <w:rsid w:val="004459C4"/>
    <w:rsid w:val="004475EF"/>
    <w:rsid w:val="0045231F"/>
    <w:rsid w:val="004647DA"/>
    <w:rsid w:val="00477808"/>
    <w:rsid w:val="00477D6B"/>
    <w:rsid w:val="004833EF"/>
    <w:rsid w:val="00485072"/>
    <w:rsid w:val="004A2B7E"/>
    <w:rsid w:val="004A376C"/>
    <w:rsid w:val="004A4056"/>
    <w:rsid w:val="004A6C37"/>
    <w:rsid w:val="004D594B"/>
    <w:rsid w:val="004E178F"/>
    <w:rsid w:val="004E297D"/>
    <w:rsid w:val="004F717B"/>
    <w:rsid w:val="00504D2D"/>
    <w:rsid w:val="005332F0"/>
    <w:rsid w:val="0055013B"/>
    <w:rsid w:val="00571B99"/>
    <w:rsid w:val="00593D4B"/>
    <w:rsid w:val="005A7DCD"/>
    <w:rsid w:val="005D2A63"/>
    <w:rsid w:val="005E4B30"/>
    <w:rsid w:val="0060181F"/>
    <w:rsid w:val="00605827"/>
    <w:rsid w:val="00625E36"/>
    <w:rsid w:val="00675021"/>
    <w:rsid w:val="00686A43"/>
    <w:rsid w:val="006A06C6"/>
    <w:rsid w:val="006B7949"/>
    <w:rsid w:val="006D1F05"/>
    <w:rsid w:val="006E6446"/>
    <w:rsid w:val="006F7B01"/>
    <w:rsid w:val="007224C8"/>
    <w:rsid w:val="00727D8F"/>
    <w:rsid w:val="00742068"/>
    <w:rsid w:val="007819E4"/>
    <w:rsid w:val="00794BE2"/>
    <w:rsid w:val="007967A5"/>
    <w:rsid w:val="007B1F34"/>
    <w:rsid w:val="007B71FE"/>
    <w:rsid w:val="007D1106"/>
    <w:rsid w:val="007D2E37"/>
    <w:rsid w:val="007D781E"/>
    <w:rsid w:val="007E4889"/>
    <w:rsid w:val="007E5BAD"/>
    <w:rsid w:val="007E663E"/>
    <w:rsid w:val="007F7678"/>
    <w:rsid w:val="00800F7E"/>
    <w:rsid w:val="00815082"/>
    <w:rsid w:val="008307C4"/>
    <w:rsid w:val="0083178E"/>
    <w:rsid w:val="008429F1"/>
    <w:rsid w:val="0088395E"/>
    <w:rsid w:val="008A0348"/>
    <w:rsid w:val="008B2CC1"/>
    <w:rsid w:val="008C395E"/>
    <w:rsid w:val="008E0B98"/>
    <w:rsid w:val="008E6BD6"/>
    <w:rsid w:val="0090731E"/>
    <w:rsid w:val="0091135D"/>
    <w:rsid w:val="00966A22"/>
    <w:rsid w:val="00972F03"/>
    <w:rsid w:val="009907C4"/>
    <w:rsid w:val="009A0C8B"/>
    <w:rsid w:val="009A0D0E"/>
    <w:rsid w:val="009B612E"/>
    <w:rsid w:val="009B6241"/>
    <w:rsid w:val="009C2521"/>
    <w:rsid w:val="00A067C2"/>
    <w:rsid w:val="00A16FC0"/>
    <w:rsid w:val="00A32C9E"/>
    <w:rsid w:val="00A46AFD"/>
    <w:rsid w:val="00A569BB"/>
    <w:rsid w:val="00AB613D"/>
    <w:rsid w:val="00AC6B52"/>
    <w:rsid w:val="00AE06F3"/>
    <w:rsid w:val="00AE7F20"/>
    <w:rsid w:val="00B40E67"/>
    <w:rsid w:val="00B65688"/>
    <w:rsid w:val="00B65A0A"/>
    <w:rsid w:val="00B67CDC"/>
    <w:rsid w:val="00B72D36"/>
    <w:rsid w:val="00B82326"/>
    <w:rsid w:val="00B83D9D"/>
    <w:rsid w:val="00B84C8D"/>
    <w:rsid w:val="00BA7D9D"/>
    <w:rsid w:val="00BB0159"/>
    <w:rsid w:val="00BC4164"/>
    <w:rsid w:val="00BD2DCC"/>
    <w:rsid w:val="00BE3B66"/>
    <w:rsid w:val="00BF3BEF"/>
    <w:rsid w:val="00C52ACB"/>
    <w:rsid w:val="00C90559"/>
    <w:rsid w:val="00CA1947"/>
    <w:rsid w:val="00CA2251"/>
    <w:rsid w:val="00CB1AB7"/>
    <w:rsid w:val="00CC561C"/>
    <w:rsid w:val="00CD68F4"/>
    <w:rsid w:val="00D357D4"/>
    <w:rsid w:val="00D56C7C"/>
    <w:rsid w:val="00D64860"/>
    <w:rsid w:val="00D71B4D"/>
    <w:rsid w:val="00D72B6B"/>
    <w:rsid w:val="00D90289"/>
    <w:rsid w:val="00D93D55"/>
    <w:rsid w:val="00DA599A"/>
    <w:rsid w:val="00DC0111"/>
    <w:rsid w:val="00DC4C60"/>
    <w:rsid w:val="00DC6666"/>
    <w:rsid w:val="00DD4A9B"/>
    <w:rsid w:val="00E0079A"/>
    <w:rsid w:val="00E444DA"/>
    <w:rsid w:val="00E45C84"/>
    <w:rsid w:val="00E504E5"/>
    <w:rsid w:val="00E56AEC"/>
    <w:rsid w:val="00E57964"/>
    <w:rsid w:val="00E97174"/>
    <w:rsid w:val="00EB7A3E"/>
    <w:rsid w:val="00EC401A"/>
    <w:rsid w:val="00EC4FC7"/>
    <w:rsid w:val="00EF1472"/>
    <w:rsid w:val="00EF530A"/>
    <w:rsid w:val="00EF6622"/>
    <w:rsid w:val="00F55408"/>
    <w:rsid w:val="00F66152"/>
    <w:rsid w:val="00F66D9A"/>
    <w:rsid w:val="00F80845"/>
    <w:rsid w:val="00F84474"/>
    <w:rsid w:val="00FA0F0D"/>
    <w:rsid w:val="00FD59D1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C6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66DC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6D1F0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6D1F05"/>
    <w:rPr>
      <w:vertAlign w:val="superscript"/>
    </w:rPr>
  </w:style>
  <w:style w:type="character" w:styleId="FollowedHyperlink">
    <w:name w:val="FollowedHyperlink"/>
    <w:basedOn w:val="DefaultParagraphFont"/>
    <w:rsid w:val="000E7E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C6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66DC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6D1F0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6D1F05"/>
    <w:rPr>
      <w:vertAlign w:val="superscript"/>
    </w:rPr>
  </w:style>
  <w:style w:type="character" w:styleId="FollowedHyperlink">
    <w:name w:val="FollowedHyperlink"/>
    <w:basedOn w:val="DefaultParagraphFont"/>
    <w:rsid w:val="000E7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8 (S)</Template>
  <TotalTime>2</TotalTime>
  <Pages>3</Pages>
  <Words>1147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PCT/WG/8/9</vt:lpstr>
      <vt:lpstr>PCT/WG/8/9</vt:lpstr>
    </vt:vector>
  </TitlesOfParts>
  <Company>WIPO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PCT/WG/8/9</dc:title>
  <dc:subject>PCT Minimum Documentation:  Definition and Extent of Patent Literature</dc:subject>
  <dc:creator>BOU LLORET Amparo</dc:creator>
  <dc:description>JM - 1/4/2015
KP rev 2/4/2015</dc:description>
  <cp:lastModifiedBy>MARLOW Thomas</cp:lastModifiedBy>
  <cp:revision>3</cp:revision>
  <cp:lastPrinted>2015-04-02T10:22:00Z</cp:lastPrinted>
  <dcterms:created xsi:type="dcterms:W3CDTF">2015-04-07T14:53:00Z</dcterms:created>
  <dcterms:modified xsi:type="dcterms:W3CDTF">2015-04-07T14:55:00Z</dcterms:modified>
</cp:coreProperties>
</file>