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32235B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175C24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32235B" w:rsidRDefault="0060181F" w:rsidP="00AB613D">
            <w:r w:rsidRPr="0032235B">
              <w:rPr>
                <w:noProof/>
                <w:lang w:val="en-US" w:eastAsia="en-US"/>
              </w:rPr>
              <w:drawing>
                <wp:inline distT="0" distB="0" distL="0" distR="0" wp14:anchorId="49858AFD" wp14:editId="2331EC7F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32235B" w:rsidRDefault="00E504E5" w:rsidP="00AB613D">
            <w:pPr>
              <w:jc w:val="right"/>
            </w:pPr>
            <w:r w:rsidRPr="0032235B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32235B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2235B" w:rsidRDefault="0040490C" w:rsidP="0040490C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32235B">
              <w:rPr>
                <w:rFonts w:ascii="Arial Black" w:hAnsi="Arial Black"/>
                <w:caps/>
                <w:sz w:val="15"/>
              </w:rPr>
              <w:t>PCT/WG/8/5</w:t>
            </w:r>
          </w:p>
        </w:tc>
      </w:tr>
      <w:tr w:rsidR="008B2CC1" w:rsidRPr="0032235B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2235B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2235B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32235B">
              <w:rPr>
                <w:rFonts w:ascii="Arial Black" w:hAnsi="Arial Black"/>
                <w:caps/>
                <w:sz w:val="15"/>
              </w:rPr>
              <w:t xml:space="preserve"> </w:t>
            </w:r>
            <w:r w:rsidRPr="0032235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0490C" w:rsidRPr="0032235B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32235B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2235B" w:rsidRDefault="00675021" w:rsidP="0040490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2235B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32235B">
              <w:rPr>
                <w:rFonts w:ascii="Arial Black" w:hAnsi="Arial Black"/>
                <w:caps/>
                <w:sz w:val="15"/>
              </w:rPr>
              <w:t>:</w:t>
            </w:r>
            <w:r w:rsidR="00F84474" w:rsidRPr="0032235B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32235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40490C" w:rsidRPr="0032235B">
              <w:rPr>
                <w:rFonts w:ascii="Arial Black" w:hAnsi="Arial Black"/>
                <w:caps/>
                <w:sz w:val="15"/>
              </w:rPr>
              <w:t>12 DE MARZO DE 2015</w:t>
            </w:r>
          </w:p>
        </w:tc>
      </w:tr>
    </w:tbl>
    <w:p w:rsidR="008B2CC1" w:rsidRPr="0032235B" w:rsidRDefault="008B2CC1" w:rsidP="008B2CC1"/>
    <w:p w:rsidR="008B2CC1" w:rsidRPr="0032235B" w:rsidRDefault="008B2CC1" w:rsidP="008B2CC1"/>
    <w:p w:rsidR="008B2CC1" w:rsidRPr="0032235B" w:rsidRDefault="008B2CC1" w:rsidP="008B2CC1"/>
    <w:p w:rsidR="008B2CC1" w:rsidRPr="0032235B" w:rsidRDefault="008B2CC1" w:rsidP="008B2CC1"/>
    <w:p w:rsidR="008B2CC1" w:rsidRPr="0032235B" w:rsidRDefault="008B2CC1" w:rsidP="008B2CC1"/>
    <w:p w:rsidR="00B67CDC" w:rsidRPr="0032235B" w:rsidRDefault="0060181F" w:rsidP="00B67CDC">
      <w:pPr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Grupo de Trabajo del Tratado de Cooperación en materia de Patentes (PCT)</w:t>
      </w:r>
      <w:r w:rsidR="00B67CDC" w:rsidRPr="0032235B">
        <w:rPr>
          <w:b/>
          <w:sz w:val="28"/>
          <w:szCs w:val="28"/>
        </w:rPr>
        <w:t xml:space="preserve"> </w:t>
      </w:r>
    </w:p>
    <w:p w:rsidR="003845C1" w:rsidRPr="0032235B" w:rsidRDefault="003845C1" w:rsidP="003845C1"/>
    <w:p w:rsidR="003845C1" w:rsidRPr="0032235B" w:rsidRDefault="003845C1" w:rsidP="003845C1"/>
    <w:p w:rsidR="00B67CDC" w:rsidRPr="0032235B" w:rsidRDefault="0060181F" w:rsidP="00B67CDC">
      <w:pPr>
        <w:rPr>
          <w:b/>
          <w:sz w:val="24"/>
          <w:szCs w:val="24"/>
        </w:rPr>
      </w:pPr>
      <w:r w:rsidRPr="0032235B">
        <w:rPr>
          <w:b/>
          <w:sz w:val="24"/>
          <w:szCs w:val="24"/>
        </w:rPr>
        <w:t>Octava r</w:t>
      </w:r>
      <w:r w:rsidR="00B67CDC" w:rsidRPr="0032235B">
        <w:rPr>
          <w:b/>
          <w:sz w:val="24"/>
          <w:szCs w:val="24"/>
        </w:rPr>
        <w:t>e</w:t>
      </w:r>
      <w:r w:rsidRPr="0032235B">
        <w:rPr>
          <w:b/>
          <w:sz w:val="24"/>
          <w:szCs w:val="24"/>
        </w:rPr>
        <w:t>un</w:t>
      </w:r>
      <w:r w:rsidR="00B67CDC" w:rsidRPr="0032235B">
        <w:rPr>
          <w:b/>
          <w:sz w:val="24"/>
          <w:szCs w:val="24"/>
        </w:rPr>
        <w:t>ión</w:t>
      </w:r>
    </w:p>
    <w:p w:rsidR="00B67CDC" w:rsidRPr="0032235B" w:rsidRDefault="001C66DC" w:rsidP="00B67CDC">
      <w:pPr>
        <w:rPr>
          <w:b/>
          <w:sz w:val="24"/>
          <w:szCs w:val="24"/>
        </w:rPr>
      </w:pPr>
      <w:r w:rsidRPr="0032235B">
        <w:rPr>
          <w:b/>
          <w:sz w:val="24"/>
          <w:szCs w:val="24"/>
        </w:rPr>
        <w:t>Gineb</w:t>
      </w:r>
      <w:r w:rsidR="0060181F" w:rsidRPr="0032235B">
        <w:rPr>
          <w:b/>
          <w:sz w:val="24"/>
          <w:szCs w:val="24"/>
        </w:rPr>
        <w:t>ra, 26 a 29 de mayo de 2015</w:t>
      </w:r>
    </w:p>
    <w:p w:rsidR="008B2CC1" w:rsidRPr="0032235B" w:rsidRDefault="008B2CC1" w:rsidP="008B2CC1"/>
    <w:p w:rsidR="008B2CC1" w:rsidRPr="0032235B" w:rsidRDefault="008B2CC1" w:rsidP="008B2CC1"/>
    <w:p w:rsidR="008B2CC1" w:rsidRPr="0032235B" w:rsidRDefault="008B2CC1" w:rsidP="008B2CC1"/>
    <w:p w:rsidR="0040490C" w:rsidRPr="0032235B" w:rsidRDefault="00801996" w:rsidP="0040490C">
      <w:pPr>
        <w:rPr>
          <w:caps/>
          <w:sz w:val="24"/>
        </w:rPr>
      </w:pPr>
      <w:bookmarkStart w:id="3" w:name="TitleOfDoc"/>
      <w:bookmarkEnd w:id="3"/>
      <w:r w:rsidRPr="0032235B">
        <w:rPr>
          <w:caps/>
          <w:sz w:val="24"/>
        </w:rPr>
        <w:t>REIVINDICACIONES DE PRIORIDAD PRESENTADAS EL MISMO DÍA</w:t>
      </w:r>
    </w:p>
    <w:p w:rsidR="0040490C" w:rsidRPr="0032235B" w:rsidRDefault="0040490C" w:rsidP="0040490C"/>
    <w:p w:rsidR="0040490C" w:rsidRPr="0032235B" w:rsidRDefault="0040490C" w:rsidP="0040490C">
      <w:pPr>
        <w:rPr>
          <w:i/>
        </w:rPr>
      </w:pPr>
      <w:bookmarkStart w:id="4" w:name="Prepared"/>
      <w:bookmarkStart w:id="5" w:name="_GoBack"/>
      <w:bookmarkEnd w:id="4"/>
      <w:r w:rsidRPr="0032235B">
        <w:rPr>
          <w:i/>
        </w:rPr>
        <w:t>Document</w:t>
      </w:r>
      <w:r w:rsidR="00801996" w:rsidRPr="0032235B">
        <w:rPr>
          <w:i/>
        </w:rPr>
        <w:t>o preparado por la Oficina Internacional</w:t>
      </w:r>
    </w:p>
    <w:bookmarkEnd w:id="5"/>
    <w:p w:rsidR="0040490C" w:rsidRPr="0032235B" w:rsidRDefault="0040490C" w:rsidP="0040490C"/>
    <w:p w:rsidR="0040490C" w:rsidRPr="0032235B" w:rsidRDefault="0040490C" w:rsidP="0040490C"/>
    <w:p w:rsidR="0040490C" w:rsidRPr="0032235B" w:rsidRDefault="0040490C" w:rsidP="0040490C"/>
    <w:p w:rsidR="0040490C" w:rsidRPr="0032235B" w:rsidRDefault="0040490C" w:rsidP="0040490C"/>
    <w:p w:rsidR="0040490C" w:rsidRPr="0032235B" w:rsidRDefault="00801996" w:rsidP="0040490C">
      <w:pPr>
        <w:pStyle w:val="Heading1"/>
      </w:pPr>
      <w:r w:rsidRPr="0032235B">
        <w:t>Resumen</w:t>
      </w:r>
    </w:p>
    <w:p w:rsidR="0040490C" w:rsidRPr="0032235B" w:rsidRDefault="00722825" w:rsidP="00FD6897">
      <w:pPr>
        <w:pStyle w:val="ONUME"/>
      </w:pPr>
      <w:r w:rsidRPr="0032235B">
        <w:t xml:space="preserve">En el </w:t>
      </w:r>
      <w:r w:rsidR="00AC59E1" w:rsidRPr="0032235B">
        <w:t>marco</w:t>
      </w:r>
      <w:r w:rsidRPr="0032235B">
        <w:t xml:space="preserve"> de los debates </w:t>
      </w:r>
      <w:r w:rsidR="00AC59E1" w:rsidRPr="0032235B">
        <w:t xml:space="preserve">sobre </w:t>
      </w:r>
      <w:r w:rsidRPr="0032235B">
        <w:t>la incorporación por referencia de partes omitidas</w:t>
      </w:r>
      <w:r w:rsidR="0040490C" w:rsidRPr="0032235B">
        <w:t xml:space="preserve">, </w:t>
      </w:r>
      <w:r w:rsidRPr="0032235B">
        <w:t xml:space="preserve">se ha planteado la </w:t>
      </w:r>
      <w:r w:rsidR="00FD6897" w:rsidRPr="0032235B">
        <w:t>cuestión</w:t>
      </w:r>
      <w:r w:rsidRPr="0032235B">
        <w:t xml:space="preserve"> de </w:t>
      </w:r>
      <w:r w:rsidR="00FD6897" w:rsidRPr="0032235B">
        <w:t xml:space="preserve">si una reivindicación de prioridad contenida en la solicitud internacional y basada en una solicitud anterior que tiene la misma fecha que la solicitud internacional </w:t>
      </w:r>
      <w:r w:rsidR="0040490C" w:rsidRPr="0032235B">
        <w:t>(“</w:t>
      </w:r>
      <w:r w:rsidRPr="0032235B">
        <w:t>reivindicación de prioridad presentada el mismo día</w:t>
      </w:r>
      <w:r w:rsidR="0040490C" w:rsidRPr="0032235B">
        <w:t xml:space="preserve">”) </w:t>
      </w:r>
      <w:r w:rsidR="00FD6897" w:rsidRPr="0032235B">
        <w:t>constituye una reivindicación de prioridad válida</w:t>
      </w:r>
      <w:r w:rsidR="0040490C" w:rsidRPr="0032235B">
        <w:t xml:space="preserve"> </w:t>
      </w:r>
      <w:r w:rsidR="00FD6897" w:rsidRPr="0032235B">
        <w:t xml:space="preserve">en virtud del Convenio de París y, por </w:t>
      </w:r>
      <w:r w:rsidR="00BA00D0" w:rsidRPr="0032235B">
        <w:t>ende</w:t>
      </w:r>
      <w:r w:rsidR="00FD6897" w:rsidRPr="0032235B">
        <w:t>, del PCT</w:t>
      </w:r>
      <w:r w:rsidR="0040490C" w:rsidRPr="0032235B">
        <w:t xml:space="preserve">.  </w:t>
      </w:r>
      <w:r w:rsidR="00FD6897" w:rsidRPr="0032235B">
        <w:t xml:space="preserve">En el presente </w:t>
      </w:r>
      <w:r w:rsidR="0040490C" w:rsidRPr="0032235B">
        <w:t>document</w:t>
      </w:r>
      <w:r w:rsidR="00FD6897" w:rsidRPr="0032235B">
        <w:t xml:space="preserve">o </w:t>
      </w:r>
      <w:r w:rsidR="00881725" w:rsidRPr="0032235B">
        <w:t xml:space="preserve">se </w:t>
      </w:r>
      <w:r w:rsidR="00AC59E1" w:rsidRPr="0032235B">
        <w:t xml:space="preserve">reseñan </w:t>
      </w:r>
      <w:r w:rsidR="00BB2835" w:rsidRPr="0032235B">
        <w:t>varias</w:t>
      </w:r>
      <w:r w:rsidR="00881725" w:rsidRPr="0032235B">
        <w:t xml:space="preserve"> opciones posibles </w:t>
      </w:r>
      <w:r w:rsidR="00AC59E1" w:rsidRPr="0032235B">
        <w:t xml:space="preserve">sobre cómo </w:t>
      </w:r>
      <w:r w:rsidR="00A3413D" w:rsidRPr="0032235B">
        <w:t>resolver</w:t>
      </w:r>
      <w:r w:rsidR="00881725" w:rsidRPr="0032235B">
        <w:t xml:space="preserve"> </w:t>
      </w:r>
      <w:r w:rsidR="00F9512A" w:rsidRPr="0032235B">
        <w:t>las manifiestas</w:t>
      </w:r>
      <w:r w:rsidR="00BB2835" w:rsidRPr="0032235B">
        <w:t xml:space="preserve"> diferencias de interpretación </w:t>
      </w:r>
      <w:r w:rsidR="00881725" w:rsidRPr="0032235B">
        <w:t xml:space="preserve">del Convenio de París por lo que se refiere a </w:t>
      </w:r>
      <w:r w:rsidR="00F107C6" w:rsidRPr="0032235B">
        <w:t>a</w:t>
      </w:r>
      <w:r w:rsidR="00BA00D0" w:rsidRPr="0032235B">
        <w:t>d</w:t>
      </w:r>
      <w:r w:rsidR="00881725" w:rsidRPr="0032235B">
        <w:t>mitir las reivindicaciones de prioridad presentadas el mismo día</w:t>
      </w:r>
      <w:r w:rsidR="0040490C" w:rsidRPr="0032235B">
        <w:t>.</w:t>
      </w:r>
    </w:p>
    <w:p w:rsidR="0040490C" w:rsidRPr="0032235B" w:rsidRDefault="00DA7DDA" w:rsidP="0040490C">
      <w:pPr>
        <w:pStyle w:val="ONUME"/>
      </w:pPr>
      <w:r w:rsidRPr="0032235B">
        <w:t>La Reunión de las Administraciones Internacionales del PCT</w:t>
      </w:r>
      <w:r w:rsidR="0040490C" w:rsidRPr="0032235B">
        <w:t xml:space="preserve"> (PCT/MIA) </w:t>
      </w:r>
      <w:r w:rsidRPr="0032235B">
        <w:t xml:space="preserve">debatió la cuestión de las reivindicaciones de prioridad presentadas el mismo día en su vigésima segunda sesión, celebrada en Tokio del 4 al 6 de febrero de </w:t>
      </w:r>
      <w:r w:rsidR="0040490C" w:rsidRPr="0032235B">
        <w:t xml:space="preserve">2015.  </w:t>
      </w:r>
      <w:r w:rsidR="0060724F" w:rsidRPr="0032235B">
        <w:t>Dichos debates se sintetizan en el Resumen de la Presidencia</w:t>
      </w:r>
      <w:r w:rsidR="0040490C" w:rsidRPr="0032235B">
        <w:t xml:space="preserve"> (</w:t>
      </w:r>
      <w:r w:rsidR="0060724F" w:rsidRPr="0032235B">
        <w:t>párrafos </w:t>
      </w:r>
      <w:r w:rsidR="0040490C" w:rsidRPr="0032235B">
        <w:t xml:space="preserve">92 </w:t>
      </w:r>
      <w:r w:rsidR="0060724F" w:rsidRPr="0032235B">
        <w:t>a </w:t>
      </w:r>
      <w:r w:rsidR="0040490C" w:rsidRPr="0032235B">
        <w:t xml:space="preserve">97 </w:t>
      </w:r>
      <w:r w:rsidR="0060724F" w:rsidRPr="0032235B">
        <w:t>del documento </w:t>
      </w:r>
      <w:r w:rsidR="0040490C" w:rsidRPr="0032235B">
        <w:t xml:space="preserve">PCT/MIA/22/22, </w:t>
      </w:r>
      <w:r w:rsidR="0060724F" w:rsidRPr="0032235B">
        <w:t>reproducidos en el Anexo del documento </w:t>
      </w:r>
      <w:r w:rsidR="0040490C" w:rsidRPr="0032235B">
        <w:t>PCT/WG/8/2).</w:t>
      </w:r>
    </w:p>
    <w:p w:rsidR="0040490C" w:rsidRPr="0032235B" w:rsidRDefault="00BC364B" w:rsidP="0040490C">
      <w:pPr>
        <w:pStyle w:val="Heading1"/>
        <w:keepNext w:val="0"/>
      </w:pPr>
      <w:r w:rsidRPr="0032235B">
        <w:t>antecedentes</w:t>
      </w:r>
    </w:p>
    <w:p w:rsidR="0038347F" w:rsidRDefault="0060724F" w:rsidP="0040490C">
      <w:pPr>
        <w:pStyle w:val="ONUME"/>
      </w:pPr>
      <w:bookmarkStart w:id="6" w:name="_Ref403727918"/>
      <w:r w:rsidRPr="0032235B">
        <w:t>El Grupo de Trabajo</w:t>
      </w:r>
      <w:r w:rsidR="0040490C" w:rsidRPr="0032235B">
        <w:t xml:space="preserve">, </w:t>
      </w:r>
      <w:r w:rsidRPr="0032235B">
        <w:t>en su sexta y séptima reuniones</w:t>
      </w:r>
      <w:r w:rsidR="0040490C" w:rsidRPr="0032235B">
        <w:t xml:space="preserve">, </w:t>
      </w:r>
      <w:r w:rsidRPr="0032235B">
        <w:t xml:space="preserve">debatió </w:t>
      </w:r>
      <w:r w:rsidR="002A79EF" w:rsidRPr="0032235B">
        <w:t xml:space="preserve">la </w:t>
      </w:r>
      <w:r w:rsidR="00D163C2" w:rsidRPr="0032235B">
        <w:t>forma</w:t>
      </w:r>
      <w:r w:rsidR="002A79EF" w:rsidRPr="0032235B">
        <w:t xml:space="preserve"> de resolver</w:t>
      </w:r>
      <w:r w:rsidRPr="0032235B">
        <w:t xml:space="preserve"> l</w:t>
      </w:r>
      <w:r w:rsidR="00F9512A" w:rsidRPr="0032235B">
        <w:t>as manifiestas</w:t>
      </w:r>
      <w:r w:rsidR="007F15CA" w:rsidRPr="0032235B">
        <w:t xml:space="preserve"> diferencias de interpretación por las Oficinas receptoras y las Oficinas designadas</w:t>
      </w:r>
      <w:r w:rsidR="00BB2835" w:rsidRPr="0032235B">
        <w:t>/</w:t>
      </w:r>
      <w:r w:rsidR="007F15CA" w:rsidRPr="0032235B">
        <w:t>elegidas acerca de las disposiciones de las Reglas</w:t>
      </w:r>
      <w:r w:rsidR="002A79EF" w:rsidRPr="0032235B">
        <w:t> </w:t>
      </w:r>
      <w:r w:rsidR="007F15CA" w:rsidRPr="0032235B">
        <w:t xml:space="preserve">4.18, </w:t>
      </w:r>
      <w:r w:rsidR="0040490C" w:rsidRPr="0032235B">
        <w:t xml:space="preserve">20.5 </w:t>
      </w:r>
      <w:r w:rsidR="007F15CA" w:rsidRPr="0032235B">
        <w:t>y </w:t>
      </w:r>
      <w:r w:rsidR="0040490C" w:rsidRPr="0032235B">
        <w:t xml:space="preserve">20.6 </w:t>
      </w:r>
      <w:r w:rsidR="007F15CA" w:rsidRPr="0032235B">
        <w:t xml:space="preserve">con respecto a la incorporación por referencia de partes omitidas </w:t>
      </w:r>
      <w:r w:rsidR="0040490C" w:rsidRPr="0032235B">
        <w:t>(</w:t>
      </w:r>
      <w:r w:rsidR="007F15CA" w:rsidRPr="0032235B">
        <w:t>véanse los documentos </w:t>
      </w:r>
      <w:r w:rsidR="0040490C" w:rsidRPr="0032235B">
        <w:t xml:space="preserve">PCT/WG/6/20 </w:t>
      </w:r>
    </w:p>
    <w:p w:rsidR="0040490C" w:rsidRPr="0032235B" w:rsidRDefault="007F15CA" w:rsidP="0038347F">
      <w:pPr>
        <w:pStyle w:val="ONUME"/>
        <w:numPr>
          <w:ilvl w:val="0"/>
          <w:numId w:val="0"/>
        </w:numPr>
      </w:pPr>
      <w:proofErr w:type="gramStart"/>
      <w:r w:rsidRPr="0032235B">
        <w:lastRenderedPageBreak/>
        <w:t>y</w:t>
      </w:r>
      <w:proofErr w:type="gramEnd"/>
      <w:r w:rsidRPr="0032235B">
        <w:t xml:space="preserve"> </w:t>
      </w:r>
      <w:r w:rsidR="0040490C" w:rsidRPr="0032235B">
        <w:t>PCT/WG/7/19).</w:t>
      </w:r>
      <w:bookmarkEnd w:id="6"/>
      <w:r w:rsidR="0040490C" w:rsidRPr="0032235B">
        <w:t xml:space="preserve">  </w:t>
      </w:r>
      <w:r w:rsidR="00BB2835" w:rsidRPr="0032235B">
        <w:t xml:space="preserve">En el </w:t>
      </w:r>
      <w:r w:rsidR="002A79EF" w:rsidRPr="0032235B">
        <w:t xml:space="preserve">marco </w:t>
      </w:r>
      <w:r w:rsidR="00BB2835" w:rsidRPr="0032235B">
        <w:t xml:space="preserve">de esos debates, se planteó la </w:t>
      </w:r>
      <w:r w:rsidR="0014770C" w:rsidRPr="0032235B">
        <w:t>duda</w:t>
      </w:r>
      <w:r w:rsidR="00BB2835" w:rsidRPr="0032235B">
        <w:t xml:space="preserve"> de si una reivindicación presentada el mismo día constituye una reivindicación de prioridad válida en virtud del Convenio de París y, por </w:t>
      </w:r>
      <w:r w:rsidR="00BA00D0" w:rsidRPr="0032235B">
        <w:t>ende</w:t>
      </w:r>
      <w:r w:rsidR="00BB2835" w:rsidRPr="0032235B">
        <w:t>, del PCT</w:t>
      </w:r>
      <w:r w:rsidR="0040490C" w:rsidRPr="0032235B">
        <w:t>.</w:t>
      </w:r>
    </w:p>
    <w:p w:rsidR="0040490C" w:rsidRPr="0032235B" w:rsidRDefault="002D0C3D" w:rsidP="0040490C">
      <w:pPr>
        <w:pStyle w:val="ONUME"/>
        <w:keepLines/>
      </w:pPr>
      <w:bookmarkStart w:id="7" w:name="_Ref404608231"/>
      <w:r w:rsidRPr="0032235B">
        <w:t xml:space="preserve">En las respuestas a un cuestionario enviado por la Oficina Internacional a todos los Estados miembros </w:t>
      </w:r>
      <w:r w:rsidR="00645809" w:rsidRPr="0032235B">
        <w:t xml:space="preserve">sobre </w:t>
      </w:r>
      <w:r w:rsidRPr="0032235B">
        <w:t>la incorporación por referencia de partes omitidas</w:t>
      </w:r>
      <w:r w:rsidR="0040490C" w:rsidRPr="0032235B">
        <w:t xml:space="preserve">, </w:t>
      </w:r>
      <w:r w:rsidRPr="0032235B">
        <w:t xml:space="preserve">que también </w:t>
      </w:r>
      <w:r w:rsidR="00645809" w:rsidRPr="0032235B">
        <w:t xml:space="preserve">trataba de </w:t>
      </w:r>
      <w:r w:rsidRPr="0032235B">
        <w:t xml:space="preserve">las reivindicaciones de prioridad presentadas el mismo día, se apreció que no existe consenso entre los Estados miembros </w:t>
      </w:r>
      <w:r w:rsidR="00645809" w:rsidRPr="0032235B">
        <w:t xml:space="preserve">en relación con </w:t>
      </w:r>
      <w:r w:rsidRPr="0032235B">
        <w:t>esta cuestión</w:t>
      </w:r>
      <w:r w:rsidR="0040490C" w:rsidRPr="0032235B">
        <w:t xml:space="preserve">.  </w:t>
      </w:r>
      <w:r w:rsidR="00F54BD4" w:rsidRPr="0032235B">
        <w:t>El Grupo de Trabajo, a</w:t>
      </w:r>
      <w:r w:rsidR="00645809" w:rsidRPr="0032235B">
        <w:t>unque</w:t>
      </w:r>
      <w:r w:rsidRPr="0032235B">
        <w:t xml:space="preserve"> </w:t>
      </w:r>
      <w:r w:rsidR="00F54BD4" w:rsidRPr="0032235B">
        <w:t>reconoc</w:t>
      </w:r>
      <w:r w:rsidR="00A3413D" w:rsidRPr="0032235B">
        <w:t>e</w:t>
      </w:r>
      <w:r w:rsidRPr="0032235B">
        <w:t xml:space="preserve"> que </w:t>
      </w:r>
      <w:r w:rsidR="00645809" w:rsidRPr="0032235B">
        <w:t xml:space="preserve">la instancia decisoria de la OMPI </w:t>
      </w:r>
      <w:r w:rsidR="00052D60" w:rsidRPr="0032235B">
        <w:t xml:space="preserve">en relación con </w:t>
      </w:r>
      <w:r w:rsidR="00645809" w:rsidRPr="0032235B">
        <w:t xml:space="preserve">este asunto </w:t>
      </w:r>
      <w:r w:rsidRPr="0032235B">
        <w:t>sería la Asamblea de la Unión de París</w:t>
      </w:r>
      <w:r w:rsidR="0040490C" w:rsidRPr="0032235B">
        <w:t xml:space="preserve">, </w:t>
      </w:r>
      <w:r w:rsidR="00F54BD4" w:rsidRPr="0032235B">
        <w:t xml:space="preserve">solicitó </w:t>
      </w:r>
      <w:r w:rsidR="00800DA8" w:rsidRPr="0032235B">
        <w:t xml:space="preserve">en su séptima reunión </w:t>
      </w:r>
      <w:r w:rsidRPr="0032235B">
        <w:t>a la Oficina Internacional que preparara un documento de trabajo sobre las reivindicaciones de prioridad presentadas el mismo día para someter a</w:t>
      </w:r>
      <w:r w:rsidR="00414916" w:rsidRPr="0032235B">
        <w:t>l</w:t>
      </w:r>
      <w:r w:rsidRPr="0032235B">
        <w:t xml:space="preserve"> examen del Grupo de Trabajo en su presente reunión</w:t>
      </w:r>
      <w:r w:rsidR="0040490C" w:rsidRPr="0032235B">
        <w:t>.</w:t>
      </w:r>
      <w:bookmarkEnd w:id="7"/>
    </w:p>
    <w:p w:rsidR="0040490C" w:rsidRPr="0032235B" w:rsidRDefault="00F9512A" w:rsidP="0040490C">
      <w:pPr>
        <w:pStyle w:val="Heading1"/>
      </w:pPr>
      <w:r w:rsidRPr="0032235B">
        <w:t>REIVINDICACIONES DE PRIORIDAD PRESENTADAS EL MISMO DÍA</w:t>
      </w:r>
    </w:p>
    <w:p w:rsidR="0040490C" w:rsidRPr="0032235B" w:rsidRDefault="006F74F8" w:rsidP="0040490C">
      <w:pPr>
        <w:pStyle w:val="Heading2"/>
      </w:pPr>
      <w:bookmarkStart w:id="8" w:name="_Ref402961320"/>
      <w:r w:rsidRPr="0032235B">
        <w:t>DEBATE ANTERIOR DE LA ASAMBLEA DE LA UNIÓN DEL PCT</w:t>
      </w:r>
    </w:p>
    <w:p w:rsidR="0040490C" w:rsidRPr="0032235B" w:rsidRDefault="004C6A78" w:rsidP="0040490C">
      <w:pPr>
        <w:pStyle w:val="ONUME"/>
      </w:pPr>
      <w:bookmarkStart w:id="9" w:name="_Ref403996118"/>
      <w:r w:rsidRPr="0032235B">
        <w:t xml:space="preserve">La cuestión de las reivindicaciones de prioridad presentadas el mismo día </w:t>
      </w:r>
      <w:r w:rsidR="009079A0" w:rsidRPr="0032235B">
        <w:t>fue</w:t>
      </w:r>
      <w:r w:rsidRPr="0032235B">
        <w:t xml:space="preserve"> objeto de debate</w:t>
      </w:r>
      <w:r w:rsidR="004D65D4" w:rsidRPr="0032235B">
        <w:t xml:space="preserve"> </w:t>
      </w:r>
      <w:r w:rsidR="00A3413D" w:rsidRPr="0032235B">
        <w:t xml:space="preserve">anteriormente </w:t>
      </w:r>
      <w:r w:rsidR="004D65D4" w:rsidRPr="0032235B">
        <w:t xml:space="preserve">(aunque </w:t>
      </w:r>
      <w:r w:rsidR="00F83E65" w:rsidRPr="0032235B">
        <w:t>sin arrojar resultados</w:t>
      </w:r>
      <w:r w:rsidR="004D65D4" w:rsidRPr="0032235B">
        <w:t xml:space="preserve"> concluyente</w:t>
      </w:r>
      <w:r w:rsidR="00F83E65" w:rsidRPr="0032235B">
        <w:t>s</w:t>
      </w:r>
      <w:r w:rsidR="004D65D4" w:rsidRPr="0032235B">
        <w:t xml:space="preserve">) </w:t>
      </w:r>
      <w:r w:rsidRPr="0032235B">
        <w:t xml:space="preserve">por parte de </w:t>
      </w:r>
      <w:r w:rsidR="006F74F8" w:rsidRPr="0032235B">
        <w:t xml:space="preserve">los Estados </w:t>
      </w:r>
      <w:r w:rsidRPr="0032235B">
        <w:t>miembros</w:t>
      </w:r>
      <w:r w:rsidR="00170245" w:rsidRPr="0032235B">
        <w:t xml:space="preserve"> </w:t>
      </w:r>
      <w:r w:rsidR="006F74F8" w:rsidRPr="0032235B">
        <w:t xml:space="preserve">del PCT </w:t>
      </w:r>
      <w:r w:rsidRPr="0032235B">
        <w:t xml:space="preserve">durante el decimoctavo período de sesiones de la Asamblea de la Unión del PCT, celebrado en Ginebra en julio de 1991, sobre la base </w:t>
      </w:r>
      <w:r w:rsidR="006F74F8" w:rsidRPr="0032235B">
        <w:t xml:space="preserve">de un documento </w:t>
      </w:r>
      <w:r w:rsidR="0014770C" w:rsidRPr="0032235B">
        <w:t>elaborado</w:t>
      </w:r>
      <w:r w:rsidR="006F74F8" w:rsidRPr="0032235B">
        <w:t xml:space="preserve"> por la Oficina Internacional (documento </w:t>
      </w:r>
      <w:r w:rsidR="0040490C" w:rsidRPr="0032235B">
        <w:t xml:space="preserve">PCT/A/XVIII/4).  </w:t>
      </w:r>
      <w:r w:rsidR="00603E33" w:rsidRPr="0032235B">
        <w:t xml:space="preserve">Lamentablemente, </w:t>
      </w:r>
      <w:r w:rsidR="00735C49" w:rsidRPr="0032235B">
        <w:t xml:space="preserve">debido a la falta de tiempo, </w:t>
      </w:r>
      <w:r w:rsidR="00603E33" w:rsidRPr="0032235B">
        <w:t xml:space="preserve">la Asamblea de la Unión del PCT no tomó </w:t>
      </w:r>
      <w:r w:rsidR="004D65D4" w:rsidRPr="0032235B">
        <w:t>ning</w:t>
      </w:r>
      <w:r w:rsidR="00603E33" w:rsidRPr="0032235B">
        <w:t xml:space="preserve">una decisión </w:t>
      </w:r>
      <w:r w:rsidR="004D65D4" w:rsidRPr="0032235B">
        <w:t>al respecto</w:t>
      </w:r>
      <w:r w:rsidR="00735C49" w:rsidRPr="0032235B">
        <w:t xml:space="preserve"> en su decimoctavo período de sesiones, celebrado en julio de 1991</w:t>
      </w:r>
      <w:r w:rsidR="0040490C" w:rsidRPr="0032235B">
        <w:t xml:space="preserve">.  </w:t>
      </w:r>
      <w:r w:rsidR="00735C49" w:rsidRPr="0032235B">
        <w:t>Al objeto de facilitar su consulta, e</w:t>
      </w:r>
      <w:r w:rsidR="00603E33" w:rsidRPr="0032235B">
        <w:t>l documento se pondrá a disposición del Grupo de Trabajo en forma de documento oficioso</w:t>
      </w:r>
      <w:r w:rsidR="0040490C" w:rsidRPr="0032235B">
        <w:t xml:space="preserve">;  </w:t>
      </w:r>
      <w:r w:rsidR="00CC47E5" w:rsidRPr="0032235B">
        <w:t>también se puede consultar en el sitio web de la OMPI, en la dirección</w:t>
      </w:r>
      <w:r w:rsidR="0040490C" w:rsidRPr="0032235B">
        <w:t xml:space="preserve"> </w:t>
      </w:r>
      <w:r w:rsidR="0040490C" w:rsidRPr="0032235B">
        <w:rPr>
          <w:i/>
        </w:rPr>
        <w:t>http://www.wipo.int/meetings/en/details.jsp?meeting_id=35593</w:t>
      </w:r>
      <w:r w:rsidR="0040490C" w:rsidRPr="0032235B">
        <w:t>.</w:t>
      </w:r>
      <w:bookmarkEnd w:id="8"/>
      <w:bookmarkEnd w:id="9"/>
    </w:p>
    <w:p w:rsidR="0040490C" w:rsidRPr="0032235B" w:rsidRDefault="006F74F8" w:rsidP="0040490C">
      <w:pPr>
        <w:pStyle w:val="Heading2"/>
      </w:pPr>
      <w:r w:rsidRPr="0032235B">
        <w:t>situación actual</w:t>
      </w:r>
    </w:p>
    <w:p w:rsidR="0040490C" w:rsidRPr="0032235B" w:rsidRDefault="00A11645" w:rsidP="0040490C">
      <w:pPr>
        <w:pStyle w:val="ONUME"/>
      </w:pPr>
      <w:r w:rsidRPr="0032235B">
        <w:t xml:space="preserve">A juicio </w:t>
      </w:r>
      <w:r w:rsidR="00D55D4A" w:rsidRPr="0032235B">
        <w:t>de la Oficina Internacional</w:t>
      </w:r>
      <w:r w:rsidR="0040490C" w:rsidRPr="0032235B">
        <w:t xml:space="preserve">, </w:t>
      </w:r>
      <w:r w:rsidRPr="0032235B">
        <w:t xml:space="preserve">en </w:t>
      </w:r>
      <w:r w:rsidR="00D55D4A" w:rsidRPr="0032235B">
        <w:t>general</w:t>
      </w:r>
      <w:r w:rsidR="0040490C" w:rsidRPr="0032235B">
        <w:t xml:space="preserve">, </w:t>
      </w:r>
      <w:r w:rsidR="00D55D4A" w:rsidRPr="0032235B">
        <w:t>las consideraciones establecidas</w:t>
      </w:r>
      <w:r w:rsidR="0040490C" w:rsidRPr="0032235B">
        <w:t xml:space="preserve"> </w:t>
      </w:r>
      <w:r w:rsidR="00D55D4A" w:rsidRPr="0032235B">
        <w:t>en el documento</w:t>
      </w:r>
      <w:r w:rsidR="0040490C" w:rsidRPr="0032235B">
        <w:t> PCT/A/XVIII/4</w:t>
      </w:r>
      <w:r w:rsidR="00F107C6" w:rsidRPr="0032235B">
        <w:t xml:space="preserve"> deben orientar los debates presentes sobre esta cuestión</w:t>
      </w:r>
      <w:r w:rsidR="0040490C" w:rsidRPr="0032235B">
        <w:t>.</w:t>
      </w:r>
    </w:p>
    <w:p w:rsidR="0040490C" w:rsidRPr="0032235B" w:rsidRDefault="004D24A9" w:rsidP="0040490C">
      <w:pPr>
        <w:pStyle w:val="ONUME"/>
      </w:pPr>
      <w:r w:rsidRPr="0032235B">
        <w:t xml:space="preserve">No obstante, en comparación con la situación </w:t>
      </w:r>
      <w:r w:rsidR="00F107C6" w:rsidRPr="0032235B">
        <w:t xml:space="preserve">existente </w:t>
      </w:r>
      <w:r w:rsidRPr="0032235B">
        <w:t>en 1991</w:t>
      </w:r>
      <w:r w:rsidR="0040490C" w:rsidRPr="0032235B">
        <w:t xml:space="preserve">, </w:t>
      </w:r>
      <w:r w:rsidRPr="0032235B">
        <w:t xml:space="preserve">ha cambiado uno de los supuestos </w:t>
      </w:r>
      <w:r w:rsidR="00A11645" w:rsidRPr="0032235B">
        <w:t xml:space="preserve">específicos en los que </w:t>
      </w:r>
      <w:r w:rsidR="00F107C6" w:rsidRPr="0032235B">
        <w:t>se basaro</w:t>
      </w:r>
      <w:r w:rsidR="00A11645" w:rsidRPr="0032235B">
        <w:t xml:space="preserve">n </w:t>
      </w:r>
      <w:r w:rsidRPr="0032235B">
        <w:t xml:space="preserve">las consideraciones </w:t>
      </w:r>
      <w:r w:rsidR="00F107C6" w:rsidRPr="0032235B">
        <w:t>establecidas</w:t>
      </w:r>
      <w:r w:rsidR="00A11645" w:rsidRPr="0032235B">
        <w:t xml:space="preserve"> </w:t>
      </w:r>
      <w:r w:rsidRPr="0032235B">
        <w:t>en los párrafos</w:t>
      </w:r>
      <w:r w:rsidR="0040490C" w:rsidRPr="0032235B">
        <w:t xml:space="preserve"> 5 </w:t>
      </w:r>
      <w:r w:rsidRPr="0032235B">
        <w:t>y </w:t>
      </w:r>
      <w:r w:rsidR="0040490C" w:rsidRPr="0032235B">
        <w:t xml:space="preserve">8 </w:t>
      </w:r>
      <w:r w:rsidRPr="0032235B">
        <w:t>del documento</w:t>
      </w:r>
      <w:r w:rsidR="0040490C" w:rsidRPr="0032235B">
        <w:t xml:space="preserve"> PCT/A/XVIII/4.  </w:t>
      </w:r>
      <w:r w:rsidR="008820BD" w:rsidRPr="0032235B">
        <w:t>En concreto</w:t>
      </w:r>
      <w:r w:rsidRPr="0032235B">
        <w:t xml:space="preserve">, </w:t>
      </w:r>
      <w:r w:rsidR="004E2FB2" w:rsidRPr="0032235B">
        <w:t xml:space="preserve">según </w:t>
      </w:r>
      <w:r w:rsidRPr="0032235B">
        <w:t xml:space="preserve">han puesto de manifiesto los debates </w:t>
      </w:r>
      <w:r w:rsidR="00AC59E1" w:rsidRPr="0032235B">
        <w:t>sobre</w:t>
      </w:r>
      <w:r w:rsidRPr="0032235B">
        <w:t xml:space="preserve"> la incorporación por referencia de partes omitidas, </w:t>
      </w:r>
      <w:r w:rsidR="00F107C6" w:rsidRPr="0032235B">
        <w:t xml:space="preserve">en la actualidad </w:t>
      </w:r>
      <w:r w:rsidRPr="0032235B">
        <w:t>varias Oficinas de lo</w:t>
      </w:r>
      <w:r w:rsidR="00A11645" w:rsidRPr="0032235B">
        <w:t>s Estados c</w:t>
      </w:r>
      <w:r w:rsidRPr="0032235B">
        <w:t>ontratantes del PCT, en su calidad de Oficinas receptoras y Oficinas designadas</w:t>
      </w:r>
      <w:r w:rsidR="0040490C" w:rsidRPr="0032235B">
        <w:t xml:space="preserve">, </w:t>
      </w:r>
      <w:r w:rsidR="009079A0" w:rsidRPr="0032235B">
        <w:t>optan por</w:t>
      </w:r>
      <w:r w:rsidRPr="0032235B">
        <w:t xml:space="preserve"> interpreta</w:t>
      </w:r>
      <w:r w:rsidR="009079A0" w:rsidRPr="0032235B">
        <w:t>r</w:t>
      </w:r>
      <w:r w:rsidRPr="0032235B">
        <w:t xml:space="preserve"> que</w:t>
      </w:r>
      <w:r w:rsidR="004E2FB2" w:rsidRPr="0032235B">
        <w:t xml:space="preserve"> </w:t>
      </w:r>
      <w:r w:rsidRPr="0032235B">
        <w:t xml:space="preserve">las reivindicaciones de prioridad presentadas el mismo día </w:t>
      </w:r>
      <w:r w:rsidR="00D26AF9">
        <w:t>deben ser</w:t>
      </w:r>
      <w:r w:rsidR="004E2FB2" w:rsidRPr="0032235B">
        <w:t xml:space="preserve"> admit</w:t>
      </w:r>
      <w:r w:rsidR="004D372C" w:rsidRPr="0032235B">
        <w:t>idas</w:t>
      </w:r>
      <w:r w:rsidR="004E2FB2" w:rsidRPr="0032235B">
        <w:t xml:space="preserve"> </w:t>
      </w:r>
      <w:r w:rsidRPr="0032235B">
        <w:t xml:space="preserve">en virtud del Convenio de París y, por </w:t>
      </w:r>
      <w:r w:rsidR="004D372C" w:rsidRPr="0032235B">
        <w:t>ende</w:t>
      </w:r>
      <w:r w:rsidRPr="0032235B">
        <w:t>, del PCT</w:t>
      </w:r>
      <w:r w:rsidR="0040490C" w:rsidRPr="0032235B">
        <w:t>.</w:t>
      </w:r>
    </w:p>
    <w:p w:rsidR="0040490C" w:rsidRPr="0032235B" w:rsidRDefault="00EB42AA" w:rsidP="0040490C">
      <w:pPr>
        <w:pStyle w:val="ONUME"/>
      </w:pPr>
      <w:bookmarkStart w:id="10" w:name="_Ref404004242"/>
      <w:r w:rsidRPr="0032235B">
        <w:t xml:space="preserve">En consecuencia, </w:t>
      </w:r>
      <w:r w:rsidR="00F107C6" w:rsidRPr="0032235B">
        <w:t xml:space="preserve">hoy en día </w:t>
      </w:r>
      <w:r w:rsidRPr="0032235B">
        <w:t>los solicitantes</w:t>
      </w:r>
      <w:r w:rsidR="008820BD" w:rsidRPr="0032235B">
        <w:t xml:space="preserve"> del</w:t>
      </w:r>
      <w:r w:rsidR="0040490C" w:rsidRPr="0032235B">
        <w:t xml:space="preserve"> PCT </w:t>
      </w:r>
      <w:r w:rsidRPr="0032235B">
        <w:t xml:space="preserve">que dependen de </w:t>
      </w:r>
      <w:r w:rsidR="008820BD" w:rsidRPr="0032235B">
        <w:t>la</w:t>
      </w:r>
      <w:r w:rsidRPr="0032235B">
        <w:t xml:space="preserve"> interpretación </w:t>
      </w:r>
      <w:r w:rsidR="008820BD" w:rsidRPr="0032235B">
        <w:t xml:space="preserve">que haga una </w:t>
      </w:r>
      <w:r w:rsidRPr="0032235B">
        <w:t>Oficina receptora se benefician de dicha interpretación</w:t>
      </w:r>
      <w:r w:rsidR="008820BD" w:rsidRPr="0032235B">
        <w:t xml:space="preserve"> en la práctica</w:t>
      </w:r>
      <w:r w:rsidRPr="0032235B">
        <w:t xml:space="preserve">, puesto que </w:t>
      </w:r>
      <w:r w:rsidR="008820BD" w:rsidRPr="0032235B">
        <w:t>los faculta a</w:t>
      </w:r>
      <w:r w:rsidRPr="0032235B">
        <w:t xml:space="preserve"> incorporar por referencia elementos o partes omitidos </w:t>
      </w:r>
      <w:r w:rsidR="005D4B30" w:rsidRPr="0032235B">
        <w:t>que figuran en</w:t>
      </w:r>
      <w:r w:rsidR="008820BD" w:rsidRPr="0032235B">
        <w:t xml:space="preserve"> </w:t>
      </w:r>
      <w:r w:rsidRPr="0032235B">
        <w:t>una solicitud “anterior” presentada el mismo día que la solicitud internacional</w:t>
      </w:r>
      <w:r w:rsidR="0040490C" w:rsidRPr="0032235B">
        <w:t xml:space="preserve"> (</w:t>
      </w:r>
      <w:r w:rsidRPr="0032235B">
        <w:t xml:space="preserve">téngase en cuenta que la inclusión </w:t>
      </w:r>
      <w:r w:rsidR="005D4B30" w:rsidRPr="0032235B">
        <w:t xml:space="preserve">en la solicitud internacional </w:t>
      </w:r>
      <w:r w:rsidRPr="0032235B">
        <w:t>de</w:t>
      </w:r>
      <w:r w:rsidR="00493152" w:rsidRPr="0032235B">
        <w:t xml:space="preserve"> la</w:t>
      </w:r>
      <w:r w:rsidRPr="0032235B">
        <w:t xml:space="preserve"> </w:t>
      </w:r>
      <w:r w:rsidR="00175C24" w:rsidRPr="0032235B">
        <w:t>reivindicación</w:t>
      </w:r>
      <w:r w:rsidRPr="0032235B">
        <w:t xml:space="preserve"> de prioridad </w:t>
      </w:r>
      <w:r w:rsidR="00493152" w:rsidRPr="0032235B">
        <w:t xml:space="preserve">de </w:t>
      </w:r>
      <w:r w:rsidR="008820BD" w:rsidRPr="0032235B">
        <w:t>una</w:t>
      </w:r>
      <w:r w:rsidR="00493152" w:rsidRPr="0032235B">
        <w:t xml:space="preserve"> solicitud anterior </w:t>
      </w:r>
      <w:r w:rsidR="008820BD" w:rsidRPr="0032235B">
        <w:t xml:space="preserve">constituye </w:t>
      </w:r>
      <w:r w:rsidR="00493152" w:rsidRPr="0032235B">
        <w:t xml:space="preserve">un requisito para </w:t>
      </w:r>
      <w:r w:rsidR="00F107C6" w:rsidRPr="0032235B">
        <w:t>pedir</w:t>
      </w:r>
      <w:r w:rsidR="00493152" w:rsidRPr="0032235B">
        <w:t xml:space="preserve"> </w:t>
      </w:r>
      <w:r w:rsidR="008820BD" w:rsidRPr="0032235B">
        <w:t>debidamente</w:t>
      </w:r>
      <w:r w:rsidR="00493152" w:rsidRPr="0032235B">
        <w:t xml:space="preserve"> la incorporación por referencia de elementos o partes omitidos</w:t>
      </w:r>
      <w:r w:rsidR="0040490C" w:rsidRPr="0032235B">
        <w:t>).</w:t>
      </w:r>
    </w:p>
    <w:p w:rsidR="0040490C" w:rsidRPr="0032235B" w:rsidRDefault="00493152" w:rsidP="0040490C">
      <w:pPr>
        <w:pStyle w:val="ONUME"/>
      </w:pPr>
      <w:bookmarkStart w:id="11" w:name="_Ref404083784"/>
      <w:r w:rsidRPr="0032235B">
        <w:t>Por otro lado, las respuestas de los Estados miembros al cuestionario pusieron claramente de manifiesto que no todas las Oficinas comparten la interpretación del Convenio de París</w:t>
      </w:r>
      <w:r w:rsidR="00FE5BFF">
        <w:t>,</w:t>
      </w:r>
      <w:r w:rsidRPr="0032235B">
        <w:t xml:space="preserve"> </w:t>
      </w:r>
      <w:r w:rsidR="002803A9" w:rsidRPr="0032235B">
        <w:t xml:space="preserve">a tenor de la cual </w:t>
      </w:r>
      <w:r w:rsidRPr="0032235B">
        <w:t xml:space="preserve">las reivindicaciones de prioridad presentadas el mismo día </w:t>
      </w:r>
      <w:r w:rsidR="00FE5BFF">
        <w:t>deben ser</w:t>
      </w:r>
      <w:r w:rsidR="002803A9" w:rsidRPr="0032235B">
        <w:t xml:space="preserve"> admitidas </w:t>
      </w:r>
      <w:r w:rsidRPr="0032235B">
        <w:t xml:space="preserve">en virtud </w:t>
      </w:r>
      <w:r w:rsidR="002803A9" w:rsidRPr="0032235B">
        <w:t xml:space="preserve">del </w:t>
      </w:r>
      <w:r w:rsidR="009079A0" w:rsidRPr="0032235B">
        <w:t xml:space="preserve">propio </w:t>
      </w:r>
      <w:r w:rsidR="002803A9" w:rsidRPr="0032235B">
        <w:t xml:space="preserve">Convenio </w:t>
      </w:r>
      <w:r w:rsidRPr="0032235B">
        <w:t>(y, por</w:t>
      </w:r>
      <w:r w:rsidR="002803A9" w:rsidRPr="0032235B">
        <w:t xml:space="preserve"> ende</w:t>
      </w:r>
      <w:r w:rsidRPr="0032235B">
        <w:t>, del PCT)</w:t>
      </w:r>
      <w:r w:rsidR="0040490C" w:rsidRPr="0032235B">
        <w:t xml:space="preserve">.  </w:t>
      </w:r>
      <w:r w:rsidR="006A3C31" w:rsidRPr="0032235B">
        <w:t>En consecuencia</w:t>
      </w:r>
      <w:r w:rsidRPr="0032235B">
        <w:t xml:space="preserve">, </w:t>
      </w:r>
      <w:r w:rsidR="006A3C31" w:rsidRPr="0032235B">
        <w:t xml:space="preserve">por lo que se refiere a la “suerte” de las reivindicaciones de prioridad presentadas el mismo día contenidas en la solicitud internacional, </w:t>
      </w:r>
      <w:r w:rsidRPr="0032235B">
        <w:t xml:space="preserve">los solicitantes dependen actualmente de la interpretación </w:t>
      </w:r>
      <w:r w:rsidR="002803A9" w:rsidRPr="0032235B">
        <w:t xml:space="preserve">de </w:t>
      </w:r>
      <w:r w:rsidRPr="0032235B">
        <w:t xml:space="preserve">la Oficina receptora en la que </w:t>
      </w:r>
      <w:r w:rsidR="002803A9" w:rsidRPr="0032235B">
        <w:t>presentan</w:t>
      </w:r>
      <w:r w:rsidRPr="0032235B">
        <w:t xml:space="preserve"> la solicitud</w:t>
      </w:r>
      <w:r w:rsidR="002803A9" w:rsidRPr="0032235B">
        <w:t xml:space="preserve"> y de la que hagan </w:t>
      </w:r>
      <w:r w:rsidRPr="0032235B">
        <w:t>las Oficinas designadas</w:t>
      </w:r>
      <w:r w:rsidR="002803A9" w:rsidRPr="0032235B">
        <w:t>, así como de</w:t>
      </w:r>
      <w:r w:rsidRPr="0032235B">
        <w:t xml:space="preserve"> </w:t>
      </w:r>
      <w:r w:rsidR="00F107C6" w:rsidRPr="0032235B">
        <w:t>su</w:t>
      </w:r>
      <w:r w:rsidRPr="0032235B">
        <w:t xml:space="preserve"> legislación nacional aplicable</w:t>
      </w:r>
      <w:r w:rsidR="002268F4" w:rsidRPr="0032235B">
        <w:t>. Los resultados se pueden resumir del siguiente modo</w:t>
      </w:r>
      <w:r w:rsidR="0040490C" w:rsidRPr="0032235B">
        <w:t>: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0490C" w:rsidRPr="0032235B" w:rsidTr="004643F1">
        <w:trPr>
          <w:cantSplit/>
        </w:trPr>
        <w:tc>
          <w:tcPr>
            <w:tcW w:w="3190" w:type="dxa"/>
            <w:vMerge w:val="restart"/>
            <w:tcBorders>
              <w:top w:val="nil"/>
              <w:left w:val="nil"/>
            </w:tcBorders>
          </w:tcPr>
          <w:p w:rsidR="0040490C" w:rsidRPr="0032235B" w:rsidRDefault="0040490C" w:rsidP="004643F1">
            <w:pPr>
              <w:keepNext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6381" w:type="dxa"/>
            <w:gridSpan w:val="2"/>
            <w:tcBorders>
              <w:bottom w:val="single" w:sz="4" w:space="0" w:color="auto"/>
            </w:tcBorders>
          </w:tcPr>
          <w:p w:rsidR="0040490C" w:rsidRPr="0032235B" w:rsidRDefault="002268F4" w:rsidP="002268F4">
            <w:pPr>
              <w:keepNext/>
              <w:spacing w:before="120" w:after="120"/>
              <w:jc w:val="center"/>
              <w:rPr>
                <w:b/>
                <w:bCs/>
              </w:rPr>
            </w:pPr>
            <w:r w:rsidRPr="0032235B">
              <w:rPr>
                <w:b/>
                <w:bCs/>
              </w:rPr>
              <w:t>Postura de la Oficina receptora</w:t>
            </w:r>
          </w:p>
        </w:tc>
      </w:tr>
      <w:tr w:rsidR="0040490C" w:rsidRPr="0032235B" w:rsidTr="004643F1">
        <w:trPr>
          <w:cantSplit/>
        </w:trPr>
        <w:tc>
          <w:tcPr>
            <w:tcW w:w="3190" w:type="dxa"/>
            <w:vMerge/>
            <w:tcBorders>
              <w:left w:val="nil"/>
              <w:bottom w:val="single" w:sz="4" w:space="0" w:color="auto"/>
            </w:tcBorders>
          </w:tcPr>
          <w:p w:rsidR="0040490C" w:rsidRPr="0032235B" w:rsidRDefault="0040490C" w:rsidP="004643F1">
            <w:pPr>
              <w:keepNext/>
              <w:spacing w:before="120" w:after="120"/>
              <w:jc w:val="center"/>
              <w:rPr>
                <w:b/>
                <w:bCs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40490C" w:rsidRPr="0032235B" w:rsidRDefault="009044F0" w:rsidP="002268F4">
            <w:pPr>
              <w:keepNext/>
              <w:spacing w:before="120" w:after="120"/>
              <w:jc w:val="center"/>
              <w:rPr>
                <w:b/>
                <w:bCs/>
              </w:rPr>
            </w:pPr>
            <w:r w:rsidRPr="0032235B">
              <w:rPr>
                <w:b/>
                <w:bCs/>
              </w:rPr>
              <w:t>Admite</w:t>
            </w:r>
            <w:r w:rsidR="0040490C" w:rsidRPr="0032235B">
              <w:rPr>
                <w:b/>
                <w:bCs/>
              </w:rPr>
              <w:t xml:space="preserve"> </w:t>
            </w:r>
            <w:r w:rsidR="0040490C" w:rsidRPr="0032235B">
              <w:rPr>
                <w:b/>
                <w:bCs/>
              </w:rPr>
              <w:br/>
            </w:r>
            <w:r w:rsidR="002268F4" w:rsidRPr="0032235B">
              <w:rPr>
                <w:b/>
                <w:bCs/>
              </w:rPr>
              <w:t>las reivindicaciones</w:t>
            </w:r>
            <w:r w:rsidR="002268F4" w:rsidRPr="0032235B">
              <w:rPr>
                <w:b/>
                <w:bCs/>
              </w:rPr>
              <w:br/>
              <w:t>de prioridad presentadas</w:t>
            </w:r>
            <w:r w:rsidR="002268F4" w:rsidRPr="0032235B">
              <w:rPr>
                <w:b/>
                <w:bCs/>
              </w:rPr>
              <w:br/>
              <w:t>el mismo día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40490C" w:rsidRPr="0032235B" w:rsidRDefault="002268F4" w:rsidP="009044F0">
            <w:pPr>
              <w:keepNext/>
              <w:spacing w:before="120" w:after="120"/>
              <w:jc w:val="center"/>
              <w:rPr>
                <w:b/>
                <w:bCs/>
              </w:rPr>
            </w:pPr>
            <w:r w:rsidRPr="0032235B">
              <w:rPr>
                <w:b/>
                <w:bCs/>
              </w:rPr>
              <w:t xml:space="preserve">No </w:t>
            </w:r>
            <w:r w:rsidR="009044F0" w:rsidRPr="0032235B">
              <w:rPr>
                <w:b/>
                <w:bCs/>
              </w:rPr>
              <w:t>admi</w:t>
            </w:r>
            <w:r w:rsidRPr="0032235B">
              <w:rPr>
                <w:b/>
                <w:bCs/>
              </w:rPr>
              <w:t xml:space="preserve">te </w:t>
            </w:r>
            <w:r w:rsidRPr="0032235B">
              <w:rPr>
                <w:b/>
                <w:bCs/>
              </w:rPr>
              <w:br/>
              <w:t>las reivindicaciones</w:t>
            </w:r>
            <w:r w:rsidRPr="0032235B">
              <w:rPr>
                <w:b/>
                <w:bCs/>
              </w:rPr>
              <w:br/>
              <w:t>de prioridad presentadas</w:t>
            </w:r>
            <w:r w:rsidRPr="0032235B">
              <w:rPr>
                <w:b/>
                <w:bCs/>
              </w:rPr>
              <w:br/>
              <w:t>el mismo día</w:t>
            </w:r>
          </w:p>
        </w:tc>
      </w:tr>
      <w:tr w:rsidR="0040490C" w:rsidRPr="0032235B" w:rsidTr="004643F1">
        <w:trPr>
          <w:cantSplit/>
        </w:trPr>
        <w:tc>
          <w:tcPr>
            <w:tcW w:w="3190" w:type="dxa"/>
            <w:tcBorders>
              <w:bottom w:val="nil"/>
            </w:tcBorders>
          </w:tcPr>
          <w:p w:rsidR="0040490C" w:rsidRPr="0032235B" w:rsidRDefault="00AA25A3" w:rsidP="00AA25A3">
            <w:pPr>
              <w:keepNext/>
              <w:spacing w:before="60" w:after="60"/>
              <w:rPr>
                <w:b/>
                <w:bCs/>
              </w:rPr>
            </w:pPr>
            <w:r w:rsidRPr="0032235B">
              <w:rPr>
                <w:b/>
                <w:bCs/>
              </w:rPr>
              <w:t>Efe</w:t>
            </w:r>
            <w:r w:rsidR="0040490C" w:rsidRPr="0032235B">
              <w:rPr>
                <w:b/>
                <w:bCs/>
              </w:rPr>
              <w:t>ct</w:t>
            </w:r>
            <w:r w:rsidRPr="0032235B">
              <w:rPr>
                <w:b/>
                <w:bCs/>
              </w:rPr>
              <w:t>o</w:t>
            </w:r>
            <w:r w:rsidR="0040490C" w:rsidRPr="0032235B">
              <w:rPr>
                <w:b/>
                <w:bCs/>
              </w:rPr>
              <w:t xml:space="preserve"> </w:t>
            </w:r>
            <w:r w:rsidRPr="0032235B">
              <w:rPr>
                <w:b/>
                <w:bCs/>
              </w:rPr>
              <w:t>en la fase internacional</w:t>
            </w:r>
          </w:p>
        </w:tc>
        <w:tc>
          <w:tcPr>
            <w:tcW w:w="3190" w:type="dxa"/>
            <w:tcBorders>
              <w:bottom w:val="nil"/>
            </w:tcBorders>
          </w:tcPr>
          <w:p w:rsidR="0040490C" w:rsidRPr="0032235B" w:rsidRDefault="0040490C" w:rsidP="004643F1">
            <w:pPr>
              <w:keepNext/>
              <w:spacing w:before="60" w:after="60"/>
            </w:pPr>
          </w:p>
        </w:tc>
        <w:tc>
          <w:tcPr>
            <w:tcW w:w="3191" w:type="dxa"/>
            <w:tcBorders>
              <w:bottom w:val="nil"/>
            </w:tcBorders>
          </w:tcPr>
          <w:p w:rsidR="0040490C" w:rsidRPr="0032235B" w:rsidRDefault="0040490C" w:rsidP="004643F1">
            <w:pPr>
              <w:keepNext/>
              <w:spacing w:before="60" w:after="60"/>
            </w:pPr>
          </w:p>
        </w:tc>
      </w:tr>
      <w:tr w:rsidR="0040490C" w:rsidRPr="0032235B" w:rsidTr="004643F1">
        <w:trPr>
          <w:cantSplit/>
        </w:trPr>
        <w:tc>
          <w:tcPr>
            <w:tcW w:w="3190" w:type="dxa"/>
            <w:tcBorders>
              <w:top w:val="nil"/>
              <w:bottom w:val="nil"/>
            </w:tcBorders>
          </w:tcPr>
          <w:p w:rsidR="0040490C" w:rsidRPr="0032235B" w:rsidRDefault="0040490C" w:rsidP="004643F1">
            <w:pPr>
              <w:keepNext/>
              <w:spacing w:before="60" w:after="60"/>
              <w:rPr>
                <w:i/>
                <w:iCs/>
              </w:rPr>
            </w:pPr>
            <w:r w:rsidRPr="0032235B">
              <w:rPr>
                <w:i/>
                <w:iCs/>
              </w:rPr>
              <w:t>   </w:t>
            </w:r>
            <w:r w:rsidR="00AA25A3" w:rsidRPr="0032235B">
              <w:rPr>
                <w:i/>
                <w:iCs/>
              </w:rPr>
              <w:t>reivindicaci</w:t>
            </w:r>
            <w:r w:rsidR="005550FC" w:rsidRPr="0032235B">
              <w:rPr>
                <w:i/>
                <w:iCs/>
              </w:rPr>
              <w:t>o</w:t>
            </w:r>
            <w:r w:rsidR="00AA25A3" w:rsidRPr="0032235B">
              <w:rPr>
                <w:i/>
                <w:iCs/>
              </w:rPr>
              <w:t>n</w:t>
            </w:r>
            <w:r w:rsidR="005550FC" w:rsidRPr="0032235B">
              <w:rPr>
                <w:i/>
                <w:iCs/>
              </w:rPr>
              <w:t>es</w:t>
            </w:r>
            <w:r w:rsidR="00AA25A3" w:rsidRPr="0032235B">
              <w:rPr>
                <w:i/>
                <w:iCs/>
              </w:rPr>
              <w:t xml:space="preserve"> de prioridad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40490C" w:rsidRPr="0032235B" w:rsidRDefault="002268F4" w:rsidP="00CC3E99">
            <w:pPr>
              <w:keepNext/>
              <w:spacing w:before="60" w:after="60"/>
            </w:pPr>
            <w:r w:rsidRPr="0032235B">
              <w:t xml:space="preserve">Se </w:t>
            </w:r>
            <w:r w:rsidR="00CC3E99" w:rsidRPr="0032235B">
              <w:t>conservan en el expediente</w:t>
            </w:r>
            <w:r w:rsidR="0040490C" w:rsidRPr="0032235B">
              <w:t>.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40490C" w:rsidRPr="0032235B" w:rsidRDefault="002268F4" w:rsidP="002268F4">
            <w:pPr>
              <w:keepNext/>
              <w:spacing w:before="60" w:after="60"/>
            </w:pPr>
            <w:r w:rsidRPr="0032235B">
              <w:t>Se declara</w:t>
            </w:r>
            <w:r w:rsidR="005550FC" w:rsidRPr="0032235B">
              <w:t>n</w:t>
            </w:r>
            <w:r w:rsidRPr="0032235B">
              <w:t xml:space="preserve"> nula</w:t>
            </w:r>
            <w:r w:rsidR="005550FC" w:rsidRPr="0032235B">
              <w:t>s</w:t>
            </w:r>
            <w:r w:rsidR="0040490C" w:rsidRPr="0032235B">
              <w:t>.</w:t>
            </w:r>
          </w:p>
        </w:tc>
      </w:tr>
      <w:tr w:rsidR="0040490C" w:rsidRPr="0032235B" w:rsidTr="004643F1">
        <w:trPr>
          <w:cantSplit/>
        </w:trPr>
        <w:tc>
          <w:tcPr>
            <w:tcW w:w="3190" w:type="dxa"/>
            <w:tcBorders>
              <w:top w:val="nil"/>
              <w:bottom w:val="nil"/>
            </w:tcBorders>
          </w:tcPr>
          <w:p w:rsidR="0040490C" w:rsidRPr="0032235B" w:rsidRDefault="0040490C" w:rsidP="004643F1">
            <w:pPr>
              <w:keepNext/>
              <w:spacing w:before="60" w:after="60"/>
              <w:rPr>
                <w:i/>
                <w:iCs/>
              </w:rPr>
            </w:pPr>
            <w:r w:rsidRPr="0032235B">
              <w:rPr>
                <w:i/>
                <w:iCs/>
              </w:rPr>
              <w:t>   </w:t>
            </w:r>
            <w:r w:rsidR="00AA25A3" w:rsidRPr="0032235B">
              <w:rPr>
                <w:i/>
                <w:iCs/>
              </w:rPr>
              <w:t>incorporación por referencia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40490C" w:rsidRPr="0032235B" w:rsidRDefault="0039711D" w:rsidP="0039711D">
            <w:pPr>
              <w:keepNext/>
              <w:spacing w:before="60" w:after="60"/>
            </w:pPr>
            <w:r w:rsidRPr="0032235B">
              <w:t>Se admite</w:t>
            </w:r>
            <w:r w:rsidR="002268F4" w:rsidRPr="0032235B">
              <w:t xml:space="preserve"> (</w:t>
            </w:r>
            <w:r w:rsidR="00865897" w:rsidRPr="0032235B">
              <w:t>excepto si</w:t>
            </w:r>
            <w:r w:rsidR="002268F4" w:rsidRPr="0032235B">
              <w:t xml:space="preserve"> la Oficina receptora ha </w:t>
            </w:r>
            <w:r w:rsidR="00865897" w:rsidRPr="0032235B">
              <w:t>notificado lo contrario</w:t>
            </w:r>
            <w:r w:rsidR="002268F4" w:rsidRPr="0032235B">
              <w:t xml:space="preserve"> en virtud de la Regla 20.8.</w:t>
            </w:r>
            <w:r w:rsidR="0040490C" w:rsidRPr="0032235B">
              <w:t>a)).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40490C" w:rsidRPr="0032235B" w:rsidRDefault="002268F4" w:rsidP="0039711D">
            <w:pPr>
              <w:keepNext/>
              <w:spacing w:before="60" w:after="60"/>
            </w:pPr>
            <w:r w:rsidRPr="0032235B">
              <w:t xml:space="preserve">No </w:t>
            </w:r>
            <w:r w:rsidR="0039711D" w:rsidRPr="0032235B">
              <w:t>se admite</w:t>
            </w:r>
            <w:r w:rsidR="0040490C" w:rsidRPr="0032235B">
              <w:t>.</w:t>
            </w:r>
          </w:p>
        </w:tc>
      </w:tr>
      <w:tr w:rsidR="0040490C" w:rsidRPr="0032235B" w:rsidTr="004643F1">
        <w:trPr>
          <w:cantSplit/>
        </w:trPr>
        <w:tc>
          <w:tcPr>
            <w:tcW w:w="3190" w:type="dxa"/>
            <w:tcBorders>
              <w:top w:val="nil"/>
              <w:bottom w:val="single" w:sz="4" w:space="0" w:color="auto"/>
            </w:tcBorders>
          </w:tcPr>
          <w:p w:rsidR="0040490C" w:rsidRPr="0032235B" w:rsidRDefault="0040490C" w:rsidP="00AA25A3">
            <w:pPr>
              <w:keepNext/>
              <w:spacing w:before="60" w:after="60"/>
              <w:rPr>
                <w:i/>
                <w:iCs/>
              </w:rPr>
            </w:pPr>
            <w:r w:rsidRPr="0032235B">
              <w:rPr>
                <w:i/>
                <w:iCs/>
              </w:rPr>
              <w:t>   </w:t>
            </w:r>
            <w:r w:rsidR="00AA25A3" w:rsidRPr="0032235B">
              <w:rPr>
                <w:i/>
                <w:iCs/>
              </w:rPr>
              <w:t>búsqueda internacional</w:t>
            </w:r>
          </w:p>
        </w:tc>
        <w:tc>
          <w:tcPr>
            <w:tcW w:w="3190" w:type="dxa"/>
            <w:tcBorders>
              <w:top w:val="nil"/>
              <w:bottom w:val="single" w:sz="4" w:space="0" w:color="auto"/>
            </w:tcBorders>
          </w:tcPr>
          <w:p w:rsidR="0040490C" w:rsidRPr="0032235B" w:rsidRDefault="0039711D" w:rsidP="0039711D">
            <w:pPr>
              <w:keepNext/>
              <w:spacing w:before="60" w:after="60"/>
            </w:pPr>
            <w:r w:rsidRPr="0032235B">
              <w:t xml:space="preserve">Se tienen </w:t>
            </w:r>
            <w:r w:rsidR="002268F4" w:rsidRPr="0032235B">
              <w:t>en cuenta todas las incorporaciones por referencia</w:t>
            </w:r>
            <w:r w:rsidR="0040490C" w:rsidRPr="0032235B">
              <w:t>.</w:t>
            </w:r>
          </w:p>
        </w:tc>
        <w:tc>
          <w:tcPr>
            <w:tcW w:w="3191" w:type="dxa"/>
            <w:tcBorders>
              <w:top w:val="nil"/>
              <w:bottom w:val="single" w:sz="4" w:space="0" w:color="auto"/>
            </w:tcBorders>
          </w:tcPr>
          <w:p w:rsidR="0040490C" w:rsidRPr="0032235B" w:rsidRDefault="0039711D" w:rsidP="002268F4">
            <w:pPr>
              <w:keepNext/>
              <w:spacing w:before="60" w:after="60"/>
            </w:pPr>
            <w:r w:rsidRPr="0032235B">
              <w:t>Se lleva a cabo</w:t>
            </w:r>
            <w:r w:rsidR="002268F4" w:rsidRPr="0032235B">
              <w:t xml:space="preserve"> según la solicitud internacional efectivamente presentada</w:t>
            </w:r>
            <w:r w:rsidR="0040490C" w:rsidRPr="0032235B">
              <w:t>.</w:t>
            </w:r>
          </w:p>
        </w:tc>
      </w:tr>
      <w:tr w:rsidR="0040490C" w:rsidRPr="0032235B" w:rsidTr="004643F1">
        <w:trPr>
          <w:cantSplit/>
        </w:trPr>
        <w:tc>
          <w:tcPr>
            <w:tcW w:w="3190" w:type="dxa"/>
            <w:tcBorders>
              <w:bottom w:val="nil"/>
            </w:tcBorders>
          </w:tcPr>
          <w:p w:rsidR="0040490C" w:rsidRPr="0032235B" w:rsidRDefault="0040490C" w:rsidP="00AA25A3">
            <w:pPr>
              <w:keepNext/>
              <w:spacing w:before="60" w:after="60"/>
              <w:rPr>
                <w:b/>
                <w:bCs/>
              </w:rPr>
            </w:pPr>
            <w:r w:rsidRPr="0032235B">
              <w:rPr>
                <w:b/>
                <w:bCs/>
              </w:rPr>
              <w:t>Ri</w:t>
            </w:r>
            <w:r w:rsidR="00AA25A3" w:rsidRPr="0032235B">
              <w:rPr>
                <w:b/>
                <w:bCs/>
              </w:rPr>
              <w:t>e</w:t>
            </w:r>
            <w:r w:rsidR="00865897" w:rsidRPr="0032235B">
              <w:rPr>
                <w:b/>
                <w:bCs/>
              </w:rPr>
              <w:t>s</w:t>
            </w:r>
            <w:r w:rsidR="00AA25A3" w:rsidRPr="0032235B">
              <w:rPr>
                <w:b/>
                <w:bCs/>
              </w:rPr>
              <w:t>gos para los solicitantes en la fase nacional</w:t>
            </w:r>
          </w:p>
        </w:tc>
        <w:tc>
          <w:tcPr>
            <w:tcW w:w="3190" w:type="dxa"/>
            <w:tcBorders>
              <w:bottom w:val="nil"/>
            </w:tcBorders>
          </w:tcPr>
          <w:p w:rsidR="0040490C" w:rsidRPr="0032235B" w:rsidRDefault="0040490C" w:rsidP="004643F1">
            <w:pPr>
              <w:keepNext/>
              <w:spacing w:before="60" w:after="60"/>
            </w:pPr>
          </w:p>
        </w:tc>
        <w:tc>
          <w:tcPr>
            <w:tcW w:w="3191" w:type="dxa"/>
            <w:tcBorders>
              <w:bottom w:val="nil"/>
            </w:tcBorders>
          </w:tcPr>
          <w:p w:rsidR="0040490C" w:rsidRPr="0032235B" w:rsidRDefault="0040490C" w:rsidP="004643F1">
            <w:pPr>
              <w:keepNext/>
              <w:spacing w:before="60" w:after="60"/>
            </w:pPr>
          </w:p>
        </w:tc>
      </w:tr>
      <w:tr w:rsidR="0040490C" w:rsidRPr="0032235B" w:rsidTr="004643F1">
        <w:trPr>
          <w:cantSplit/>
        </w:trPr>
        <w:tc>
          <w:tcPr>
            <w:tcW w:w="3190" w:type="dxa"/>
            <w:tcBorders>
              <w:top w:val="nil"/>
              <w:bottom w:val="nil"/>
            </w:tcBorders>
          </w:tcPr>
          <w:p w:rsidR="0040490C" w:rsidRPr="0032235B" w:rsidRDefault="0040490C" w:rsidP="00D55D4A">
            <w:pPr>
              <w:keepNext/>
              <w:spacing w:before="60" w:after="60"/>
              <w:rPr>
                <w:i/>
                <w:iCs/>
              </w:rPr>
            </w:pPr>
            <w:r w:rsidRPr="0032235B">
              <w:rPr>
                <w:i/>
                <w:iCs/>
              </w:rPr>
              <w:t>   </w:t>
            </w:r>
            <w:r w:rsidR="005550FC" w:rsidRPr="0032235B">
              <w:rPr>
                <w:i/>
                <w:iCs/>
              </w:rPr>
              <w:t xml:space="preserve">reivindicaciones </w:t>
            </w:r>
            <w:r w:rsidR="00D55D4A" w:rsidRPr="0032235B">
              <w:rPr>
                <w:i/>
                <w:iCs/>
              </w:rPr>
              <w:t>de prioridad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40490C" w:rsidRPr="0032235B" w:rsidRDefault="00143154" w:rsidP="00AB6819">
            <w:pPr>
              <w:keepNext/>
              <w:spacing w:before="60" w:after="60"/>
            </w:pPr>
            <w:r w:rsidRPr="0032235B">
              <w:t>Algunas Oficinas designadas pueden declararlas inválidas (</w:t>
            </w:r>
            <w:r w:rsidR="0039711D" w:rsidRPr="0032235B">
              <w:t>lo que acarrearía</w:t>
            </w:r>
            <w:r w:rsidRPr="0032235B">
              <w:t xml:space="preserve"> trabajo administrativo </w:t>
            </w:r>
            <w:r w:rsidR="0039711D" w:rsidRPr="0032235B">
              <w:t xml:space="preserve">sin valor práctico </w:t>
            </w:r>
            <w:r w:rsidRPr="0032235B">
              <w:t>a la Oficina y el solicitante</w:t>
            </w:r>
            <w:r w:rsidR="0040490C" w:rsidRPr="0032235B">
              <w:rPr>
                <w:szCs w:val="22"/>
              </w:rPr>
              <w:t xml:space="preserve">), </w:t>
            </w:r>
            <w:r w:rsidRPr="0032235B">
              <w:rPr>
                <w:szCs w:val="22"/>
              </w:rPr>
              <w:t xml:space="preserve">pero </w:t>
            </w:r>
            <w:r w:rsidR="00AB6819" w:rsidRPr="0032235B">
              <w:rPr>
                <w:szCs w:val="22"/>
              </w:rPr>
              <w:t>este</w:t>
            </w:r>
            <w:r w:rsidR="00CC3E99" w:rsidRPr="0032235B">
              <w:rPr>
                <w:szCs w:val="22"/>
              </w:rPr>
              <w:t xml:space="preserve"> dictamen </w:t>
            </w:r>
            <w:r w:rsidR="0039711D" w:rsidRPr="0032235B">
              <w:rPr>
                <w:szCs w:val="22"/>
              </w:rPr>
              <w:t xml:space="preserve">no </w:t>
            </w:r>
            <w:r w:rsidR="00CC3E99" w:rsidRPr="0032235B">
              <w:rPr>
                <w:szCs w:val="22"/>
              </w:rPr>
              <w:t xml:space="preserve">influye significativamente </w:t>
            </w:r>
            <w:r w:rsidRPr="0032235B">
              <w:rPr>
                <w:szCs w:val="22"/>
              </w:rPr>
              <w:t xml:space="preserve">si no </w:t>
            </w:r>
            <w:r w:rsidR="0039711D" w:rsidRPr="0032235B">
              <w:rPr>
                <w:szCs w:val="22"/>
              </w:rPr>
              <w:t xml:space="preserve">se solicita </w:t>
            </w:r>
            <w:r w:rsidR="00BD3AFC" w:rsidRPr="0032235B">
              <w:rPr>
                <w:szCs w:val="22"/>
              </w:rPr>
              <w:t>la</w:t>
            </w:r>
            <w:r w:rsidR="0039711D" w:rsidRPr="0032235B">
              <w:rPr>
                <w:szCs w:val="22"/>
              </w:rPr>
              <w:t xml:space="preserve"> </w:t>
            </w:r>
            <w:r w:rsidRPr="0032235B">
              <w:rPr>
                <w:szCs w:val="22"/>
              </w:rPr>
              <w:t>incorporación por referencia</w:t>
            </w:r>
            <w:r w:rsidR="0040490C" w:rsidRPr="0032235B">
              <w:t>.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40490C" w:rsidRPr="0032235B" w:rsidRDefault="0035760E" w:rsidP="00AB6819">
            <w:pPr>
              <w:keepNext/>
              <w:spacing w:before="60" w:after="60"/>
            </w:pPr>
            <w:r w:rsidRPr="0032235B">
              <w:t xml:space="preserve">Debe realizarse un seguimiento de las opciones </w:t>
            </w:r>
            <w:r w:rsidR="00CC3E99" w:rsidRPr="0032235B">
              <w:t>de</w:t>
            </w:r>
            <w:r w:rsidRPr="0032235B">
              <w:t xml:space="preserve"> restaurar la reivindicación de prioridad e</w:t>
            </w:r>
            <w:r w:rsidR="0039711D" w:rsidRPr="0032235B">
              <w:t>n cada Oficina designada (</w:t>
            </w:r>
            <w:r w:rsidR="00CC3E99" w:rsidRPr="0032235B">
              <w:t xml:space="preserve">no </w:t>
            </w:r>
            <w:r w:rsidR="00AB6819" w:rsidRPr="0032235B">
              <w:t>resulta significativo</w:t>
            </w:r>
            <w:r w:rsidRPr="0032235B">
              <w:t>; solo es necesario en caso de que se requiera la inco</w:t>
            </w:r>
            <w:r w:rsidR="009079A0" w:rsidRPr="0032235B">
              <w:t>r</w:t>
            </w:r>
            <w:r w:rsidRPr="0032235B">
              <w:t>poración por referencia para corregir errores</w:t>
            </w:r>
            <w:r w:rsidR="0040490C" w:rsidRPr="0032235B">
              <w:t>).</w:t>
            </w:r>
          </w:p>
        </w:tc>
      </w:tr>
      <w:tr w:rsidR="0040490C" w:rsidRPr="0032235B" w:rsidTr="004643F1">
        <w:trPr>
          <w:cantSplit/>
        </w:trPr>
        <w:tc>
          <w:tcPr>
            <w:tcW w:w="3190" w:type="dxa"/>
            <w:tcBorders>
              <w:top w:val="nil"/>
            </w:tcBorders>
          </w:tcPr>
          <w:p w:rsidR="0040490C" w:rsidRPr="0032235B" w:rsidRDefault="0040490C" w:rsidP="00D55D4A">
            <w:pPr>
              <w:spacing w:before="60" w:after="60"/>
              <w:ind w:left="-86"/>
              <w:rPr>
                <w:i/>
                <w:iCs/>
              </w:rPr>
            </w:pPr>
            <w:r w:rsidRPr="0032235B">
              <w:rPr>
                <w:i/>
                <w:iCs/>
              </w:rPr>
              <w:t>   incorpora</w:t>
            </w:r>
            <w:r w:rsidR="00D55D4A" w:rsidRPr="0032235B">
              <w:rPr>
                <w:i/>
                <w:iCs/>
              </w:rPr>
              <w:t>ción por referencia</w:t>
            </w:r>
          </w:p>
        </w:tc>
        <w:tc>
          <w:tcPr>
            <w:tcW w:w="3190" w:type="dxa"/>
            <w:tcBorders>
              <w:top w:val="nil"/>
            </w:tcBorders>
          </w:tcPr>
          <w:p w:rsidR="0040490C" w:rsidRPr="0032235B" w:rsidRDefault="005550FC" w:rsidP="00CC3E99">
            <w:pPr>
              <w:spacing w:before="60" w:after="60"/>
            </w:pPr>
            <w:r w:rsidRPr="0032235B">
              <w:t>Puede declararse inválida</w:t>
            </w:r>
            <w:r w:rsidR="00143154" w:rsidRPr="0032235B">
              <w:t xml:space="preserve">, incluso en Oficinas que </w:t>
            </w:r>
            <w:r w:rsidR="0039711D" w:rsidRPr="0032235B">
              <w:t>habitualmente ad</w:t>
            </w:r>
            <w:r w:rsidR="00143154" w:rsidRPr="0032235B">
              <w:t>miten la incorporación</w:t>
            </w:r>
            <w:r w:rsidR="00CC3E99" w:rsidRPr="0032235B">
              <w:t>;</w:t>
            </w:r>
            <w:r w:rsidR="00F71FFA" w:rsidRPr="0032235B">
              <w:t xml:space="preserve"> </w:t>
            </w:r>
            <w:r w:rsidR="00CC3E99" w:rsidRPr="0032235B">
              <w:t>en dicho caso, se cambiaría</w:t>
            </w:r>
            <w:r w:rsidR="00F71FFA" w:rsidRPr="0032235B">
              <w:t xml:space="preserve"> la fecha de p</w:t>
            </w:r>
            <w:r w:rsidR="00CC3E99" w:rsidRPr="0032235B">
              <w:t>resentación efectiva o se pasaría</w:t>
            </w:r>
            <w:r w:rsidR="00F71FFA" w:rsidRPr="0032235B">
              <w:t xml:space="preserve"> por alto el material incorporado por referencia</w:t>
            </w:r>
            <w:r w:rsidR="0040490C" w:rsidRPr="0032235B">
              <w:t>.</w:t>
            </w:r>
          </w:p>
        </w:tc>
        <w:tc>
          <w:tcPr>
            <w:tcW w:w="3191" w:type="dxa"/>
            <w:tcBorders>
              <w:top w:val="nil"/>
            </w:tcBorders>
          </w:tcPr>
          <w:p w:rsidR="0040490C" w:rsidRPr="0032235B" w:rsidRDefault="0035760E" w:rsidP="005550FC">
            <w:pPr>
              <w:spacing w:before="60" w:after="60"/>
            </w:pPr>
            <w:r w:rsidRPr="0032235B">
              <w:t>Debería</w:t>
            </w:r>
            <w:r w:rsidR="0040490C" w:rsidRPr="0032235B">
              <w:t xml:space="preserve"> </w:t>
            </w:r>
            <w:r w:rsidR="0039711D" w:rsidRPr="0032235B">
              <w:t>abordarse</w:t>
            </w:r>
            <w:r w:rsidRPr="0032235B">
              <w:t xml:space="preserve"> aparte en cada Oficina designada que </w:t>
            </w:r>
            <w:r w:rsidR="0039711D" w:rsidRPr="0032235B">
              <w:t>ad</w:t>
            </w:r>
            <w:r w:rsidRPr="0032235B">
              <w:t>mita la restauración de la reivindicación de prioridad presentada el mismo día y la incorporación por referencia</w:t>
            </w:r>
            <w:r w:rsidR="0040490C" w:rsidRPr="0032235B">
              <w:t>.</w:t>
            </w:r>
          </w:p>
        </w:tc>
      </w:tr>
    </w:tbl>
    <w:p w:rsidR="0040490C" w:rsidRPr="0032235B" w:rsidRDefault="0040490C" w:rsidP="0040490C">
      <w:pPr>
        <w:pStyle w:val="ONUME"/>
        <w:numPr>
          <w:ilvl w:val="0"/>
          <w:numId w:val="0"/>
        </w:numPr>
      </w:pPr>
    </w:p>
    <w:p w:rsidR="0040490C" w:rsidRPr="0032235B" w:rsidRDefault="00005448" w:rsidP="0040490C">
      <w:pPr>
        <w:pStyle w:val="ONUME"/>
      </w:pPr>
      <w:r w:rsidRPr="0032235B">
        <w:t xml:space="preserve">El número de </w:t>
      </w:r>
      <w:r w:rsidR="009079A0" w:rsidRPr="0032235B">
        <w:t>reivindicaciones</w:t>
      </w:r>
      <w:r w:rsidRPr="0032235B">
        <w:t xml:space="preserve"> de prioridad presentadas el mismo día es relativamente </w:t>
      </w:r>
      <w:r w:rsidR="00227C83" w:rsidRPr="0032235B">
        <w:t>bajo</w:t>
      </w:r>
      <w:r w:rsidR="007058DD" w:rsidRPr="0032235B">
        <w:t xml:space="preserve"> </w:t>
      </w:r>
      <w:r w:rsidRPr="0032235B">
        <w:t>(</w:t>
      </w:r>
      <w:r w:rsidR="00227C83" w:rsidRPr="0032235B">
        <w:t xml:space="preserve">en 2013 ascendió a poco más de </w:t>
      </w:r>
      <w:r w:rsidR="007058DD" w:rsidRPr="0032235B">
        <w:t xml:space="preserve">200) y la mayor parte </w:t>
      </w:r>
      <w:r w:rsidR="0038557E">
        <w:t>proviene</w:t>
      </w:r>
      <w:r w:rsidRPr="0032235B">
        <w:t xml:space="preserve"> (por orden descendente) de las Oficinas de la República de Corea, los Estados Unidos de América y </w:t>
      </w:r>
      <w:r w:rsidR="0040490C" w:rsidRPr="0032235B">
        <w:t xml:space="preserve">China.  </w:t>
      </w:r>
      <w:r w:rsidR="007058DD" w:rsidRPr="0032235B">
        <w:t>Entre ellas</w:t>
      </w:r>
      <w:r w:rsidRPr="0032235B">
        <w:t xml:space="preserve">, en 2013 solo </w:t>
      </w:r>
      <w:r w:rsidR="00AB0D95" w:rsidRPr="0032235B">
        <w:t>hubo</w:t>
      </w:r>
      <w:r w:rsidRPr="0032235B">
        <w:t xml:space="preserve"> dos casos </w:t>
      </w:r>
      <w:r w:rsidR="007058DD" w:rsidRPr="0032235B">
        <w:t xml:space="preserve">en los que se </w:t>
      </w:r>
      <w:r w:rsidR="008C334A" w:rsidRPr="0032235B">
        <w:t xml:space="preserve">procedió a </w:t>
      </w:r>
      <w:r w:rsidR="007058DD" w:rsidRPr="0032235B">
        <w:t xml:space="preserve">la </w:t>
      </w:r>
      <w:r w:rsidRPr="0032235B">
        <w:t>incorporación por referencia</w:t>
      </w:r>
      <w:r w:rsidR="0040490C" w:rsidRPr="0032235B">
        <w:t xml:space="preserve">.  </w:t>
      </w:r>
      <w:r w:rsidR="007058DD" w:rsidRPr="0032235B">
        <w:t>Por consiguiente</w:t>
      </w:r>
      <w:r w:rsidRPr="0032235B">
        <w:t xml:space="preserve">, se puede observar que la escala del problema es reducida y no debe </w:t>
      </w:r>
      <w:r w:rsidR="007058DD" w:rsidRPr="0032235B">
        <w:t xml:space="preserve">entrañar </w:t>
      </w:r>
      <w:r w:rsidRPr="0032235B">
        <w:t>una carga importante de trabajo para las Oficinas receptoras o las Oficinas designadas</w:t>
      </w:r>
      <w:r w:rsidR="0040490C" w:rsidRPr="0032235B">
        <w:t xml:space="preserve">.  </w:t>
      </w:r>
      <w:r w:rsidRPr="0032235B">
        <w:t xml:space="preserve">No obstante, el instrumento de </w:t>
      </w:r>
      <w:r w:rsidR="0040490C" w:rsidRPr="0032235B">
        <w:t>“</w:t>
      </w:r>
      <w:r w:rsidRPr="0032235B">
        <w:t>incorporación por referencia</w:t>
      </w:r>
      <w:r w:rsidR="0040490C" w:rsidRPr="0032235B">
        <w:t xml:space="preserve">” </w:t>
      </w:r>
      <w:r w:rsidRPr="0032235B">
        <w:t xml:space="preserve">se utiliza </w:t>
      </w:r>
      <w:r w:rsidR="00767C7D" w:rsidRPr="0032235B">
        <w:t>y</w:t>
      </w:r>
      <w:r w:rsidRPr="0032235B">
        <w:t xml:space="preserve"> </w:t>
      </w:r>
      <w:r w:rsidR="00AB6819" w:rsidRPr="0032235B">
        <w:t>tiene</w:t>
      </w:r>
      <w:r w:rsidR="007058DD" w:rsidRPr="0032235B">
        <w:t xml:space="preserve"> importancia </w:t>
      </w:r>
      <w:r w:rsidRPr="0032235B">
        <w:t>para algunos solicitantes</w:t>
      </w:r>
      <w:r w:rsidR="0040490C" w:rsidRPr="0032235B">
        <w:t>.</w:t>
      </w:r>
    </w:p>
    <w:bookmarkEnd w:id="10"/>
    <w:p w:rsidR="0040490C" w:rsidRPr="0032235B" w:rsidRDefault="00865897" w:rsidP="0040490C">
      <w:pPr>
        <w:pStyle w:val="Heading2"/>
      </w:pPr>
      <w:r w:rsidRPr="0032235B">
        <w:lastRenderedPageBreak/>
        <w:t>opC</w:t>
      </w:r>
      <w:r w:rsidR="0040490C" w:rsidRPr="0032235B">
        <w:t>ion</w:t>
      </w:r>
      <w:r w:rsidRPr="0032235B">
        <w:t>E</w:t>
      </w:r>
      <w:r w:rsidR="0040490C" w:rsidRPr="0032235B">
        <w:t>s</w:t>
      </w:r>
    </w:p>
    <w:p w:rsidR="0040490C" w:rsidRPr="0032235B" w:rsidRDefault="00170245" w:rsidP="0040490C">
      <w:pPr>
        <w:pStyle w:val="ONUME"/>
      </w:pPr>
      <w:r w:rsidRPr="0032235B">
        <w:t xml:space="preserve">En los párrafos </w:t>
      </w:r>
      <w:r w:rsidR="002345BA" w:rsidRPr="0032235B">
        <w:t xml:space="preserve">siguientes </w:t>
      </w:r>
      <w:r w:rsidRPr="0032235B">
        <w:t xml:space="preserve">se presentan las cuatro </w:t>
      </w:r>
      <w:r w:rsidR="002345BA" w:rsidRPr="0032235B">
        <w:t xml:space="preserve">principales </w:t>
      </w:r>
      <w:r w:rsidRPr="0032235B">
        <w:t xml:space="preserve">opciones </w:t>
      </w:r>
      <w:r w:rsidR="002345BA" w:rsidRPr="0032235B">
        <w:t>posibles</w:t>
      </w:r>
      <w:r w:rsidRPr="0032235B">
        <w:t xml:space="preserve"> que parecen existir para </w:t>
      </w:r>
      <w:r w:rsidR="002345BA" w:rsidRPr="0032235B">
        <w:t xml:space="preserve">resolver </w:t>
      </w:r>
      <w:r w:rsidRPr="0032235B">
        <w:t>las manifiestas diferencias de interpretación del Convenio de Par</w:t>
      </w:r>
      <w:r w:rsidR="002345BA" w:rsidRPr="0032235B">
        <w:t>í</w:t>
      </w:r>
      <w:r w:rsidRPr="0032235B">
        <w:t xml:space="preserve">s </w:t>
      </w:r>
      <w:r w:rsidR="002345BA" w:rsidRPr="0032235B">
        <w:t xml:space="preserve">de </w:t>
      </w:r>
      <w:r w:rsidRPr="0032235B">
        <w:t>las Oficinas de los Estados miembros del PCT</w:t>
      </w:r>
      <w:r w:rsidR="0040490C" w:rsidRPr="0032235B">
        <w:t xml:space="preserve"> </w:t>
      </w:r>
      <w:r w:rsidR="002345BA" w:rsidRPr="0032235B">
        <w:t xml:space="preserve">por lo que se refiere </w:t>
      </w:r>
      <w:r w:rsidRPr="0032235B">
        <w:t xml:space="preserve">a </w:t>
      </w:r>
      <w:r w:rsidR="002345BA" w:rsidRPr="0032235B">
        <w:t>ad</w:t>
      </w:r>
      <w:r w:rsidRPr="0032235B">
        <w:t>mitir las reivindicaciones de prioridad presentadas el mismo día</w:t>
      </w:r>
      <w:r w:rsidR="0040490C" w:rsidRPr="0032235B">
        <w:t>.</w:t>
      </w:r>
    </w:p>
    <w:p w:rsidR="0040490C" w:rsidRPr="0032235B" w:rsidRDefault="00865897" w:rsidP="0040490C">
      <w:pPr>
        <w:pStyle w:val="Heading3"/>
        <w:keepLines/>
      </w:pPr>
      <w:r w:rsidRPr="0032235B">
        <w:t>Opción </w:t>
      </w:r>
      <w:r w:rsidR="0040490C" w:rsidRPr="0032235B">
        <w:t>1:  Re</w:t>
      </w:r>
      <w:r w:rsidR="00170245" w:rsidRPr="0032235B">
        <w:t>mitir el asunto a la Asamblea de la Unión de París</w:t>
      </w:r>
      <w:r w:rsidR="0040490C" w:rsidRPr="0032235B">
        <w:t xml:space="preserve"> </w:t>
      </w:r>
    </w:p>
    <w:p w:rsidR="0040490C" w:rsidRPr="0032235B" w:rsidRDefault="00170245" w:rsidP="0040490C">
      <w:pPr>
        <w:pStyle w:val="ONUME"/>
      </w:pPr>
      <w:bookmarkStart w:id="12" w:name="_Ref406486876"/>
      <w:r w:rsidRPr="0032235B">
        <w:t xml:space="preserve">La primera opción </w:t>
      </w:r>
      <w:r w:rsidR="005956AF" w:rsidRPr="0032235B">
        <w:t xml:space="preserve">para </w:t>
      </w:r>
      <w:r w:rsidRPr="0032235B">
        <w:t>los Estados miembros del PCT</w:t>
      </w:r>
      <w:r w:rsidR="005956AF" w:rsidRPr="0032235B">
        <w:t xml:space="preserve"> sería remitir el asunto a la Asamblea de la Unión de París a fin de procurar una interpretación común del Artículo</w:t>
      </w:r>
      <w:r w:rsidR="0040490C" w:rsidRPr="0032235B">
        <w:t xml:space="preserve"> 4 </w:t>
      </w:r>
      <w:r w:rsidR="005956AF" w:rsidRPr="0032235B">
        <w:t>del Convenio de París. Al remitirlo, la Asamblea de la Unión del PCT</w:t>
      </w:r>
      <w:r w:rsidR="0040490C" w:rsidRPr="0032235B">
        <w:t xml:space="preserve"> </w:t>
      </w:r>
      <w:r w:rsidR="005956AF" w:rsidRPr="0032235B">
        <w:t>podría</w:t>
      </w:r>
      <w:r w:rsidR="00175C24" w:rsidRPr="0032235B">
        <w:t>,</w:t>
      </w:r>
      <w:r w:rsidR="005956AF" w:rsidRPr="0032235B">
        <w:t xml:space="preserve"> de forma facultativa</w:t>
      </w:r>
      <w:r w:rsidR="00175C24" w:rsidRPr="0032235B">
        <w:t>,</w:t>
      </w:r>
      <w:r w:rsidR="005956AF" w:rsidRPr="0032235B">
        <w:t xml:space="preserve"> </w:t>
      </w:r>
      <w:r w:rsidR="002345BA" w:rsidRPr="0032235B">
        <w:t xml:space="preserve">formular </w:t>
      </w:r>
      <w:r w:rsidR="005956AF" w:rsidRPr="0032235B">
        <w:t>una recomendación a la Asamblea de la Unión de París sobre este asunto</w:t>
      </w:r>
      <w:r w:rsidR="0040490C" w:rsidRPr="0032235B">
        <w:t xml:space="preserve">.  </w:t>
      </w:r>
      <w:r w:rsidR="00052D60" w:rsidRPr="0032235B">
        <w:t>Sin embargo</w:t>
      </w:r>
      <w:r w:rsidR="002345BA" w:rsidRPr="0032235B">
        <w:t>, d</w:t>
      </w:r>
      <w:r w:rsidR="005956AF" w:rsidRPr="0032235B">
        <w:t xml:space="preserve">ebe </w:t>
      </w:r>
      <w:r w:rsidR="002345BA" w:rsidRPr="0032235B">
        <w:t xml:space="preserve">tenerse en cuenta </w:t>
      </w:r>
      <w:r w:rsidR="005956AF" w:rsidRPr="0032235B">
        <w:t>que</w:t>
      </w:r>
      <w:r w:rsidR="002345BA" w:rsidRPr="0032235B">
        <w:t>,</w:t>
      </w:r>
      <w:r w:rsidR="005956AF" w:rsidRPr="0032235B">
        <w:t xml:space="preserve"> </w:t>
      </w:r>
      <w:r w:rsidR="002345BA" w:rsidRPr="0032235B">
        <w:t xml:space="preserve">a tenor de </w:t>
      </w:r>
      <w:r w:rsidR="005956AF" w:rsidRPr="0032235B">
        <w:t>las opiniones divergen</w:t>
      </w:r>
      <w:r w:rsidR="002345BA" w:rsidRPr="0032235B">
        <w:t>tes manifestadas por los Estados c</w:t>
      </w:r>
      <w:r w:rsidR="005956AF" w:rsidRPr="0032235B">
        <w:t>ontratantes del PCT en respuesta al cuestionario</w:t>
      </w:r>
      <w:r w:rsidR="002345BA" w:rsidRPr="0032235B">
        <w:t>,</w:t>
      </w:r>
      <w:r w:rsidR="005956AF" w:rsidRPr="0032235B">
        <w:t xml:space="preserve"> </w:t>
      </w:r>
      <w:r w:rsidR="002345BA" w:rsidRPr="0032235B">
        <w:t>har</w:t>
      </w:r>
      <w:r w:rsidR="00414916" w:rsidRPr="0032235B">
        <w:t>ía</w:t>
      </w:r>
      <w:r w:rsidR="002345BA" w:rsidRPr="0032235B">
        <w:t>n</w:t>
      </w:r>
      <w:r w:rsidR="005956AF" w:rsidRPr="0032235B">
        <w:t xml:space="preserve"> falta más aclaraciones y debates</w:t>
      </w:r>
      <w:r w:rsidR="002345BA" w:rsidRPr="0032235B">
        <w:t xml:space="preserve"> para llegar a un acuerdo al respecto</w:t>
      </w:r>
      <w:r w:rsidR="0040490C" w:rsidRPr="0032235B">
        <w:t>.</w:t>
      </w:r>
      <w:bookmarkEnd w:id="12"/>
    </w:p>
    <w:p w:rsidR="0040490C" w:rsidRPr="0032235B" w:rsidRDefault="005956AF" w:rsidP="0040490C">
      <w:pPr>
        <w:pStyle w:val="ONUME"/>
        <w:keepLines/>
      </w:pPr>
      <w:r w:rsidRPr="0032235B">
        <w:t xml:space="preserve">Si el asunto se remitiera </w:t>
      </w:r>
      <w:r w:rsidR="00D55B83" w:rsidRPr="0032235B">
        <w:t xml:space="preserve">a la </w:t>
      </w:r>
      <w:r w:rsidRPr="0032235B">
        <w:t>Asamblea de la Unión de París</w:t>
      </w:r>
      <w:r w:rsidR="0040490C" w:rsidRPr="0032235B">
        <w:t xml:space="preserve">, </w:t>
      </w:r>
      <w:r w:rsidR="00175C24" w:rsidRPr="0032235B">
        <w:t>cabría la</w:t>
      </w:r>
      <w:r w:rsidR="00D55B83" w:rsidRPr="0032235B">
        <w:t xml:space="preserve"> posibilidad </w:t>
      </w:r>
      <w:r w:rsidR="00175C24" w:rsidRPr="0032235B">
        <w:t xml:space="preserve">de </w:t>
      </w:r>
      <w:r w:rsidR="00D55B83" w:rsidRPr="0032235B">
        <w:t xml:space="preserve">que </w:t>
      </w:r>
      <w:r w:rsidR="00414916" w:rsidRPr="0032235B">
        <w:t>la Asamblea</w:t>
      </w:r>
      <w:r w:rsidR="00D55B83" w:rsidRPr="0032235B">
        <w:t xml:space="preserve"> </w:t>
      </w:r>
      <w:r w:rsidR="00414916" w:rsidRPr="0032235B">
        <w:t>alcanzar</w:t>
      </w:r>
      <w:r w:rsidR="00175C24" w:rsidRPr="0032235B">
        <w:t>a</w:t>
      </w:r>
      <w:r w:rsidR="00414916" w:rsidRPr="0032235B">
        <w:t xml:space="preserve"> un entendimiento</w:t>
      </w:r>
      <w:r w:rsidR="003E4D92" w:rsidRPr="0032235B">
        <w:t xml:space="preserve"> común </w:t>
      </w:r>
      <w:r w:rsidR="00414916" w:rsidRPr="0032235B">
        <w:t>sobre la interpretación d</w:t>
      </w:r>
      <w:r w:rsidRPr="0032235B">
        <w:t xml:space="preserve">el Convenio de </w:t>
      </w:r>
      <w:r w:rsidR="00D55B83" w:rsidRPr="0032235B">
        <w:t>París con respecto a las reivindicaciones de prioridad presentadas el mismo día</w:t>
      </w:r>
      <w:r w:rsidR="0040490C" w:rsidRPr="0032235B">
        <w:t xml:space="preserve">.  </w:t>
      </w:r>
    </w:p>
    <w:p w:rsidR="0040490C" w:rsidRPr="0032235B" w:rsidRDefault="003E4D92" w:rsidP="0040490C">
      <w:pPr>
        <w:pStyle w:val="ONUME"/>
        <w:keepLines/>
      </w:pPr>
      <w:r w:rsidRPr="0032235B">
        <w:t xml:space="preserve">La alternativa a </w:t>
      </w:r>
      <w:r w:rsidR="00414916" w:rsidRPr="0032235B">
        <w:t>alcanzar un entendimiento común</w:t>
      </w:r>
      <w:r w:rsidRPr="0032235B">
        <w:t xml:space="preserve"> </w:t>
      </w:r>
      <w:r w:rsidR="00175C24" w:rsidRPr="0032235B">
        <w:t>consistiría en</w:t>
      </w:r>
      <w:r w:rsidRPr="0032235B">
        <w:t xml:space="preserve"> que la Unión de París </w:t>
      </w:r>
      <w:r w:rsidR="00737442" w:rsidRPr="0032235B">
        <w:t>modificara</w:t>
      </w:r>
      <w:r w:rsidRPr="0032235B">
        <w:t xml:space="preserve"> </w:t>
      </w:r>
      <w:r w:rsidR="00414916" w:rsidRPr="0032235B">
        <w:t>formalmente</w:t>
      </w:r>
      <w:r w:rsidRPr="0032235B">
        <w:t xml:space="preserve"> </w:t>
      </w:r>
      <w:r w:rsidR="00737442" w:rsidRPr="0032235B">
        <w:t>el Artículo</w:t>
      </w:r>
      <w:r w:rsidR="0040490C" w:rsidRPr="0032235B">
        <w:t xml:space="preserve"> 4 </w:t>
      </w:r>
      <w:r w:rsidR="00737442" w:rsidRPr="0032235B">
        <w:t xml:space="preserve">del Convenio de París. Para introducir </w:t>
      </w:r>
      <w:r w:rsidR="00414916" w:rsidRPr="0032235B">
        <w:t>modificaciones</w:t>
      </w:r>
      <w:r w:rsidR="00737442" w:rsidRPr="0032235B">
        <w:t xml:space="preserve"> </w:t>
      </w:r>
      <w:r w:rsidR="00414916" w:rsidRPr="0032235B">
        <w:t>formales</w:t>
      </w:r>
      <w:r w:rsidR="00737442" w:rsidRPr="0032235B">
        <w:t xml:space="preserve"> en el Convenio de París, </w:t>
      </w:r>
      <w:r w:rsidR="006524B3" w:rsidRPr="0032235B">
        <w:t xml:space="preserve">debería </w:t>
      </w:r>
      <w:r w:rsidR="00737442" w:rsidRPr="0032235B">
        <w:t>celebrar</w:t>
      </w:r>
      <w:r w:rsidR="006524B3" w:rsidRPr="0032235B">
        <w:t>se</w:t>
      </w:r>
      <w:r w:rsidR="00737442" w:rsidRPr="0032235B">
        <w:t xml:space="preserve"> una </w:t>
      </w:r>
      <w:bookmarkStart w:id="13" w:name="_Ref406422373"/>
      <w:r w:rsidR="00737442" w:rsidRPr="0032235B">
        <w:t>conferencia de revisión</w:t>
      </w:r>
      <w:r w:rsidR="006524B3" w:rsidRPr="0032235B">
        <w:t xml:space="preserve"> y sería necesario</w:t>
      </w:r>
      <w:r w:rsidR="00737442" w:rsidRPr="0032235B">
        <w:t xml:space="preserve"> </w:t>
      </w:r>
      <w:r w:rsidR="006524B3" w:rsidRPr="0032235B">
        <w:t xml:space="preserve">el voto unánime </w:t>
      </w:r>
      <w:r w:rsidR="00737442" w:rsidRPr="0032235B">
        <w:t>de todos los Estados que participaran en dicha conferencia</w:t>
      </w:r>
      <w:r w:rsidR="0040490C" w:rsidRPr="0032235B">
        <w:rPr>
          <w:rStyle w:val="FootnoteReference"/>
        </w:rPr>
        <w:footnoteReference w:id="2"/>
      </w:r>
      <w:r w:rsidR="0040490C" w:rsidRPr="0032235B">
        <w:t>.</w:t>
      </w:r>
      <w:bookmarkEnd w:id="13"/>
      <w:r w:rsidR="0040490C" w:rsidRPr="0032235B">
        <w:t xml:space="preserve">  </w:t>
      </w:r>
      <w:r w:rsidR="00737442" w:rsidRPr="0032235B">
        <w:t xml:space="preserve">Asimismo, </w:t>
      </w:r>
      <w:r w:rsidR="00175C24" w:rsidRPr="0032235B">
        <w:t>en vista de</w:t>
      </w:r>
      <w:r w:rsidR="00737442" w:rsidRPr="0032235B">
        <w:t xml:space="preserve"> </w:t>
      </w:r>
      <w:r w:rsidR="006524B3" w:rsidRPr="0032235B">
        <w:t xml:space="preserve">que </w:t>
      </w:r>
      <w:r w:rsidR="00737442" w:rsidRPr="0032235B">
        <w:t xml:space="preserve">la cuestión relativa a la interpretación del </w:t>
      </w:r>
      <w:bookmarkStart w:id="14" w:name="_Ref406421621"/>
      <w:r w:rsidR="00737442" w:rsidRPr="0032235B">
        <w:t>Artículo</w:t>
      </w:r>
      <w:r w:rsidR="0040490C" w:rsidRPr="0032235B">
        <w:t xml:space="preserve"> 4 </w:t>
      </w:r>
      <w:r w:rsidR="00737442" w:rsidRPr="0032235B">
        <w:t xml:space="preserve">del Convenio de París, en particular sus disposiciones sobre el </w:t>
      </w:r>
      <w:r w:rsidR="0040490C" w:rsidRPr="0032235B">
        <w:t>“</w:t>
      </w:r>
      <w:r w:rsidR="00737442" w:rsidRPr="0032235B">
        <w:t>plazo de prioridad</w:t>
      </w:r>
      <w:r w:rsidR="0040490C" w:rsidRPr="0032235B">
        <w:t xml:space="preserve">” </w:t>
      </w:r>
      <w:r w:rsidR="006524B3" w:rsidRPr="0032235B">
        <w:t xml:space="preserve">establecidas </w:t>
      </w:r>
      <w:r w:rsidR="00737442" w:rsidRPr="0032235B">
        <w:t>en el Artículo </w:t>
      </w:r>
      <w:r w:rsidR="0040490C" w:rsidRPr="0032235B">
        <w:t>4</w:t>
      </w:r>
      <w:r w:rsidR="00737442" w:rsidRPr="0032235B">
        <w:t>.</w:t>
      </w:r>
      <w:r w:rsidR="0040490C" w:rsidRPr="0032235B">
        <w:t xml:space="preserve">C), </w:t>
      </w:r>
      <w:r w:rsidR="00737442" w:rsidRPr="0032235B">
        <w:t>también afecta a los dibujos o modelos industriales y las marcas</w:t>
      </w:r>
      <w:r w:rsidR="0040490C" w:rsidRPr="0032235B">
        <w:t xml:space="preserve">, </w:t>
      </w:r>
      <w:r w:rsidR="00737442" w:rsidRPr="0032235B">
        <w:t>conforme al Artículo </w:t>
      </w:r>
      <w:r w:rsidR="0040490C" w:rsidRPr="0032235B">
        <w:t>13</w:t>
      </w:r>
      <w:r w:rsidR="00737442" w:rsidRPr="0032235B">
        <w:t>.</w:t>
      </w:r>
      <w:r w:rsidR="0040490C" w:rsidRPr="0032235B">
        <w:t xml:space="preserve">2)b) </w:t>
      </w:r>
      <w:r w:rsidR="00737442" w:rsidRPr="0032235B">
        <w:t>del Conve</w:t>
      </w:r>
      <w:r w:rsidR="002667A0" w:rsidRPr="0032235B">
        <w:t>n</w:t>
      </w:r>
      <w:r w:rsidR="00737442" w:rsidRPr="0032235B">
        <w:t>io de París</w:t>
      </w:r>
      <w:r w:rsidR="0040490C" w:rsidRPr="0032235B">
        <w:rPr>
          <w:rStyle w:val="FootnoteReference"/>
        </w:rPr>
        <w:footnoteReference w:id="3"/>
      </w:r>
      <w:r w:rsidR="0040490C" w:rsidRPr="0032235B">
        <w:t xml:space="preserve">, </w:t>
      </w:r>
      <w:r w:rsidR="00737442" w:rsidRPr="0032235B">
        <w:t xml:space="preserve">la Asamblea de la Unión de París </w:t>
      </w:r>
      <w:r w:rsidR="006524B3" w:rsidRPr="0032235B">
        <w:t xml:space="preserve">solo podría </w:t>
      </w:r>
      <w:r w:rsidR="002667A0" w:rsidRPr="0032235B">
        <w:t xml:space="preserve">adoptar sus decisiones teniendo en cuenta el dictamen </w:t>
      </w:r>
      <w:r w:rsidR="00737442" w:rsidRPr="0032235B">
        <w:t>del Comité de Coordinación</w:t>
      </w:r>
      <w:r w:rsidR="0040490C" w:rsidRPr="0032235B">
        <w:t xml:space="preserve">, </w:t>
      </w:r>
      <w:r w:rsidR="00737442" w:rsidRPr="0032235B">
        <w:t xml:space="preserve">dado que </w:t>
      </w:r>
      <w:r w:rsidR="006524B3" w:rsidRPr="0032235B">
        <w:t xml:space="preserve">a todas luces </w:t>
      </w:r>
      <w:r w:rsidR="00737442" w:rsidRPr="0032235B">
        <w:t xml:space="preserve">esta cuestión también </w:t>
      </w:r>
      <w:r w:rsidR="00175C24" w:rsidRPr="0032235B">
        <w:t>revestiría</w:t>
      </w:r>
      <w:r w:rsidR="00737442" w:rsidRPr="0032235B">
        <w:t xml:space="preserve"> interés para la Unión de La Haya y la Unión de Madrid, respectivamente</w:t>
      </w:r>
      <w:bookmarkEnd w:id="14"/>
      <w:r w:rsidR="00737442" w:rsidRPr="0032235B">
        <w:t>.</w:t>
      </w:r>
    </w:p>
    <w:p w:rsidR="0040490C" w:rsidRPr="0032235B" w:rsidRDefault="004F6765" w:rsidP="004F6765">
      <w:pPr>
        <w:pStyle w:val="ONUME"/>
        <w:tabs>
          <w:tab w:val="left" w:pos="3150"/>
        </w:tabs>
      </w:pPr>
      <w:r w:rsidRPr="0032235B">
        <w:t>Antes de la entrada de vigor de un a</w:t>
      </w:r>
      <w:r w:rsidR="00175C24" w:rsidRPr="0032235B">
        <w:t>cta revisada del Convenio, cuando así se acordara</w:t>
      </w:r>
      <w:r w:rsidRPr="0032235B">
        <w:t>, varios Estados que ya fueran miembros de un acta anterior del Convenio de París —la conferencia de revisión determinará el número exacto—deberían ratificarla o adherirse a ella</w:t>
      </w:r>
      <w:r w:rsidR="005A38A6" w:rsidRPr="0032235B">
        <w:t>.</w:t>
      </w:r>
      <w:r w:rsidR="0040490C" w:rsidRPr="0032235B">
        <w:t xml:space="preserve">  </w:t>
      </w:r>
    </w:p>
    <w:p w:rsidR="0040490C" w:rsidRPr="0032235B" w:rsidRDefault="004643F1" w:rsidP="0040490C">
      <w:pPr>
        <w:pStyle w:val="ONUME"/>
      </w:pPr>
      <w:bookmarkStart w:id="15" w:name="_Ref406422404"/>
      <w:bookmarkStart w:id="16" w:name="_Ref406486878"/>
      <w:r w:rsidRPr="0032235B">
        <w:t xml:space="preserve">Por tanto, </w:t>
      </w:r>
      <w:r w:rsidR="004F6765" w:rsidRPr="0032235B">
        <w:t xml:space="preserve">resulta palmario que </w:t>
      </w:r>
      <w:r w:rsidRPr="0032235B">
        <w:t>una revisión formal del Convenio de París constituiría un procedimiento engorroso y prolongado, y se podría estimar desproporcionada con respecto a la magnitud del problema</w:t>
      </w:r>
      <w:bookmarkEnd w:id="15"/>
      <w:r w:rsidR="0040490C" w:rsidRPr="0032235B">
        <w:t>.</w:t>
      </w:r>
      <w:bookmarkEnd w:id="16"/>
    </w:p>
    <w:p w:rsidR="0040490C" w:rsidRPr="0032235B" w:rsidRDefault="00327689" w:rsidP="0040490C">
      <w:pPr>
        <w:pStyle w:val="Heading3"/>
      </w:pPr>
      <w:r w:rsidRPr="0032235B">
        <w:t>Opción</w:t>
      </w:r>
      <w:r w:rsidR="0040490C" w:rsidRPr="0032235B">
        <w:t xml:space="preserve"> 2:  </w:t>
      </w:r>
      <w:r w:rsidRPr="0032235B">
        <w:t>Confiar</w:t>
      </w:r>
      <w:r w:rsidR="00891658" w:rsidRPr="0032235B">
        <w:t xml:space="preserve"> </w:t>
      </w:r>
      <w:r w:rsidRPr="0032235B">
        <w:t>a</w:t>
      </w:r>
      <w:r w:rsidR="00891658" w:rsidRPr="0032235B">
        <w:t xml:space="preserve"> la Asamblea de la Unión del PCT la decisión sobre el </w:t>
      </w:r>
      <w:r w:rsidR="00FB18D8" w:rsidRPr="0032235B">
        <w:t>asunto</w:t>
      </w:r>
    </w:p>
    <w:p w:rsidR="0040490C" w:rsidRPr="0032235B" w:rsidRDefault="00891658" w:rsidP="0040490C">
      <w:pPr>
        <w:pStyle w:val="ONUME"/>
        <w:keepLines/>
      </w:pPr>
      <w:r w:rsidRPr="0032235B">
        <w:t xml:space="preserve">Una segunda opción posible sería </w:t>
      </w:r>
      <w:r w:rsidR="005443A3" w:rsidRPr="0032235B">
        <w:t xml:space="preserve">que los Estados </w:t>
      </w:r>
      <w:r w:rsidR="00AB0D95" w:rsidRPr="0032235B">
        <w:t>m</w:t>
      </w:r>
      <w:r w:rsidR="005443A3" w:rsidRPr="0032235B">
        <w:t xml:space="preserve">iembros del PCT llegaran a un acuerdo </w:t>
      </w:r>
      <w:r w:rsidR="00DA566A" w:rsidRPr="0032235B">
        <w:t>sobre</w:t>
      </w:r>
      <w:r w:rsidR="005443A3" w:rsidRPr="0032235B">
        <w:t xml:space="preserve"> la interpretación del Convenio de París con respecto a las reivindicaciones de prioridad presentadas el mismo día, con efecto en las solicitudes inter</w:t>
      </w:r>
      <w:r w:rsidR="00142DC2" w:rsidRPr="0032235B">
        <w:t xml:space="preserve">nacionales. </w:t>
      </w:r>
      <w:r w:rsidR="00AA5CDB" w:rsidRPr="0032235B">
        <w:t>En este sentido</w:t>
      </w:r>
      <w:r w:rsidR="00142DC2" w:rsidRPr="0032235B">
        <w:t xml:space="preserve">, </w:t>
      </w:r>
      <w:r w:rsidR="0055034E" w:rsidRPr="0032235B">
        <w:t>se plantean</w:t>
      </w:r>
      <w:r w:rsidR="00142DC2" w:rsidRPr="0032235B">
        <w:t xml:space="preserve"> varias</w:t>
      </w:r>
      <w:r w:rsidR="005443A3" w:rsidRPr="0032235B">
        <w:t xml:space="preserve"> </w:t>
      </w:r>
      <w:r w:rsidR="00327689" w:rsidRPr="0032235B">
        <w:t>preguntas</w:t>
      </w:r>
      <w:r w:rsidR="0040490C" w:rsidRPr="0032235B">
        <w:t>.</w:t>
      </w:r>
    </w:p>
    <w:p w:rsidR="0040490C" w:rsidRPr="0032235B" w:rsidRDefault="0040490C" w:rsidP="0040490C">
      <w:pPr>
        <w:pStyle w:val="Heading4"/>
      </w:pPr>
      <w:r w:rsidRPr="0032235B">
        <w:lastRenderedPageBreak/>
        <w:t>Competenc</w:t>
      </w:r>
      <w:r w:rsidR="00327689" w:rsidRPr="0032235B">
        <w:t>ia de la Asamblea del PCT</w:t>
      </w:r>
    </w:p>
    <w:p w:rsidR="0040490C" w:rsidRPr="0032235B" w:rsidRDefault="00327689" w:rsidP="0040490C">
      <w:pPr>
        <w:pStyle w:val="ONUME"/>
      </w:pPr>
      <w:r w:rsidRPr="0032235B">
        <w:t xml:space="preserve">La primera pregunta que </w:t>
      </w:r>
      <w:r w:rsidR="0055034E" w:rsidRPr="0032235B">
        <w:t xml:space="preserve">surge </w:t>
      </w:r>
      <w:r w:rsidRPr="0032235B">
        <w:t xml:space="preserve">es si la Asamblea de la Unión del PCT </w:t>
      </w:r>
      <w:r w:rsidR="008A0642" w:rsidRPr="0032235B">
        <w:t xml:space="preserve">tendría competencia </w:t>
      </w:r>
      <w:r w:rsidRPr="0032235B">
        <w:t xml:space="preserve">para </w:t>
      </w:r>
      <w:r w:rsidR="0055034E" w:rsidRPr="0032235B">
        <w:t>ocuparse de</w:t>
      </w:r>
      <w:r w:rsidRPr="0032235B">
        <w:t xml:space="preserve"> este tema</w:t>
      </w:r>
      <w:r w:rsidR="0040490C" w:rsidRPr="0032235B">
        <w:t xml:space="preserve">.  </w:t>
      </w:r>
      <w:r w:rsidRPr="0032235B">
        <w:t xml:space="preserve">La respuesta </w:t>
      </w:r>
      <w:r w:rsidR="008A0642" w:rsidRPr="0032235B">
        <w:t xml:space="preserve">depende </w:t>
      </w:r>
      <w:r w:rsidRPr="0032235B">
        <w:t xml:space="preserve">en gran medida </w:t>
      </w:r>
      <w:r w:rsidR="008A0642" w:rsidRPr="0032235B">
        <w:t xml:space="preserve">de </w:t>
      </w:r>
      <w:r w:rsidRPr="0032235B">
        <w:t>una cuestión de interpretación</w:t>
      </w:r>
      <w:r w:rsidR="0040490C" w:rsidRPr="0032235B">
        <w:rPr>
          <w:szCs w:val="22"/>
        </w:rPr>
        <w:t xml:space="preserve">.  </w:t>
      </w:r>
      <w:r w:rsidRPr="0032235B">
        <w:rPr>
          <w:szCs w:val="22"/>
        </w:rPr>
        <w:t>Por una parte, el Artículo </w:t>
      </w:r>
      <w:r w:rsidRPr="0032235B">
        <w:t>53.2)a)</w:t>
      </w:r>
      <w:r w:rsidR="0040490C" w:rsidRPr="0032235B">
        <w:t>i)</w:t>
      </w:r>
      <w:r w:rsidRPr="0032235B">
        <w:t xml:space="preserve"> del PCT</w:t>
      </w:r>
      <w:r w:rsidR="0040490C" w:rsidRPr="0032235B">
        <w:t xml:space="preserve">, </w:t>
      </w:r>
      <w:r w:rsidRPr="0032235B">
        <w:t>en virtud del cual la Asamblea del PCT</w:t>
      </w:r>
      <w:r w:rsidR="0040490C" w:rsidRPr="0032235B">
        <w:t xml:space="preserve"> “</w:t>
      </w:r>
      <w:r w:rsidRPr="0032235B">
        <w:t xml:space="preserve">tratará todas las cuestiones relativas </w:t>
      </w:r>
      <w:r w:rsidR="008A0642" w:rsidRPr="0032235B">
        <w:t>[</w:t>
      </w:r>
      <w:r w:rsidR="0040490C" w:rsidRPr="0032235B">
        <w:t>…</w:t>
      </w:r>
      <w:r w:rsidR="008A0642" w:rsidRPr="0032235B">
        <w:t>]</w:t>
      </w:r>
      <w:r w:rsidR="0040490C" w:rsidRPr="0032235B">
        <w:t xml:space="preserve"> </w:t>
      </w:r>
      <w:r w:rsidRPr="0032235B">
        <w:t>a la aplicación del presente Tratado</w:t>
      </w:r>
      <w:r w:rsidR="0040490C" w:rsidRPr="0032235B">
        <w:t xml:space="preserve">”, </w:t>
      </w:r>
      <w:r w:rsidRPr="0032235B">
        <w:t>se podría interpretar</w:t>
      </w:r>
      <w:r w:rsidR="008C334A" w:rsidRPr="0032235B">
        <w:t xml:space="preserve"> que incumbe a la Asamblea del PCT tomar </w:t>
      </w:r>
      <w:r w:rsidR="008A0642" w:rsidRPr="0032235B">
        <w:t xml:space="preserve">las decisiones </w:t>
      </w:r>
      <w:r w:rsidR="008179C7" w:rsidRPr="0032235B">
        <w:t xml:space="preserve">en relación con </w:t>
      </w:r>
      <w:r w:rsidRPr="0032235B">
        <w:t xml:space="preserve">este tema, </w:t>
      </w:r>
      <w:r w:rsidR="00C4250B" w:rsidRPr="0032235B">
        <w:t>habida cuenta de q</w:t>
      </w:r>
      <w:r w:rsidRPr="0032235B">
        <w:t xml:space="preserve">ue el Tratado y el Reglamento del PCT </w:t>
      </w:r>
      <w:r w:rsidR="008A0642" w:rsidRPr="0032235B">
        <w:t xml:space="preserve">contienen </w:t>
      </w:r>
      <w:r w:rsidRPr="0032235B">
        <w:t xml:space="preserve">determinadas disposiciones </w:t>
      </w:r>
      <w:r w:rsidR="00257B17" w:rsidRPr="0032235B">
        <w:t>en materia de prioridad</w:t>
      </w:r>
      <w:r w:rsidR="0040490C" w:rsidRPr="0032235B">
        <w:t>.</w:t>
      </w:r>
    </w:p>
    <w:p w:rsidR="0040490C" w:rsidRPr="0032235B" w:rsidRDefault="00257B17" w:rsidP="0040490C">
      <w:pPr>
        <w:pStyle w:val="ONUME"/>
        <w:keepLines/>
      </w:pPr>
      <w:r w:rsidRPr="0032235B">
        <w:t xml:space="preserve">Por </w:t>
      </w:r>
      <w:r w:rsidR="00C83325" w:rsidRPr="0032235B">
        <w:t>otra parte</w:t>
      </w:r>
      <w:r w:rsidRPr="0032235B">
        <w:t xml:space="preserve">, con respecto a las principales </w:t>
      </w:r>
      <w:r w:rsidR="00C83325" w:rsidRPr="0032235B">
        <w:t>cuestiones relativas al</w:t>
      </w:r>
      <w:r w:rsidRPr="0032235B">
        <w:t xml:space="preserve"> derecho de prioridad, a saber</w:t>
      </w:r>
      <w:r w:rsidR="0040490C" w:rsidRPr="0032235B">
        <w:t xml:space="preserve">, </w:t>
      </w:r>
      <w:r w:rsidRPr="0032235B">
        <w:t>los requisitos y los efectos de una reivindicación de prio</w:t>
      </w:r>
      <w:r w:rsidR="00C83325" w:rsidRPr="0032235B">
        <w:t>r</w:t>
      </w:r>
      <w:r w:rsidRPr="0032235B">
        <w:t>idad contenida en una solicitud internacional</w:t>
      </w:r>
      <w:r w:rsidR="0040490C" w:rsidRPr="0032235B">
        <w:rPr>
          <w:szCs w:val="22"/>
        </w:rPr>
        <w:t>,</w:t>
      </w:r>
      <w:r w:rsidR="0040490C" w:rsidRPr="0032235B">
        <w:t xml:space="preserve"> </w:t>
      </w:r>
      <w:r w:rsidRPr="0032235B">
        <w:t>el Artículo </w:t>
      </w:r>
      <w:r w:rsidR="0040490C" w:rsidRPr="0032235B">
        <w:t>8</w:t>
      </w:r>
      <w:r w:rsidRPr="0032235B">
        <w:t>.</w:t>
      </w:r>
      <w:r w:rsidR="0040490C" w:rsidRPr="0032235B">
        <w:t xml:space="preserve">2)a) </w:t>
      </w:r>
      <w:r w:rsidRPr="0032235B">
        <w:t xml:space="preserve">del PCT simplemente </w:t>
      </w:r>
      <w:r w:rsidR="00C83325" w:rsidRPr="0032235B">
        <w:t xml:space="preserve">remite </w:t>
      </w:r>
      <w:r w:rsidRPr="0032235B">
        <w:t>al Artículo </w:t>
      </w:r>
      <w:r w:rsidR="0040490C" w:rsidRPr="0032235B">
        <w:t xml:space="preserve">4 </w:t>
      </w:r>
      <w:r w:rsidRPr="0032235B">
        <w:t>del Convenio de París</w:t>
      </w:r>
      <w:r w:rsidR="0040490C" w:rsidRPr="0032235B">
        <w:t xml:space="preserve">.  </w:t>
      </w:r>
      <w:r w:rsidR="0021333B" w:rsidRPr="0032235B">
        <w:t xml:space="preserve">Por </w:t>
      </w:r>
      <w:r w:rsidR="00175C24" w:rsidRPr="0032235B">
        <w:t>tanto</w:t>
      </w:r>
      <w:r w:rsidR="0021333B" w:rsidRPr="0032235B">
        <w:t xml:space="preserve">, se podría aducir que </w:t>
      </w:r>
      <w:r w:rsidR="00C83325" w:rsidRPr="0032235B">
        <w:t>est</w:t>
      </w:r>
      <w:r w:rsidR="0021333B" w:rsidRPr="0032235B">
        <w:t xml:space="preserve">a cuestión </w:t>
      </w:r>
      <w:r w:rsidR="002C501C" w:rsidRPr="0032235B">
        <w:t xml:space="preserve">no afecta a la aplicación del PCT, sino a la del Convenio de París, y por </w:t>
      </w:r>
      <w:r w:rsidR="00175C24" w:rsidRPr="0032235B">
        <w:t xml:space="preserve">consiguiente </w:t>
      </w:r>
      <w:r w:rsidR="002C501C" w:rsidRPr="0032235B">
        <w:t xml:space="preserve">solo debe tratar de ella la Asamblea de la Unión de París </w:t>
      </w:r>
      <w:r w:rsidR="0040490C" w:rsidRPr="0032235B">
        <w:t>(</w:t>
      </w:r>
      <w:r w:rsidR="002C501C" w:rsidRPr="0032235B">
        <w:t>véase el</w:t>
      </w:r>
      <w:r w:rsidR="0040490C" w:rsidRPr="0032235B">
        <w:t xml:space="preserve"> Art</w:t>
      </w:r>
      <w:r w:rsidR="002C501C" w:rsidRPr="0032235B">
        <w:t>ículo</w:t>
      </w:r>
      <w:r w:rsidR="0040490C" w:rsidRPr="0032235B">
        <w:t> 13</w:t>
      </w:r>
      <w:r w:rsidR="002C501C" w:rsidRPr="0032235B">
        <w:t>.</w:t>
      </w:r>
      <w:r w:rsidR="0040490C" w:rsidRPr="0032235B">
        <w:t xml:space="preserve">2)a)i) </w:t>
      </w:r>
      <w:r w:rsidR="002C501C" w:rsidRPr="0032235B">
        <w:t>del Convenio de París</w:t>
      </w:r>
      <w:r w:rsidR="0040490C" w:rsidRPr="0032235B">
        <w:t xml:space="preserve">).  </w:t>
      </w:r>
      <w:r w:rsidR="002C501C" w:rsidRPr="0032235B">
        <w:t xml:space="preserve">Dicho argumento </w:t>
      </w:r>
      <w:r w:rsidR="00FC6F67" w:rsidRPr="0032235B">
        <w:t xml:space="preserve">también se sustenta </w:t>
      </w:r>
      <w:r w:rsidR="00D568C4" w:rsidRPr="0032235B">
        <w:t xml:space="preserve">en </w:t>
      </w:r>
      <w:r w:rsidR="000E63BF" w:rsidRPr="0032235B">
        <w:t xml:space="preserve">que no parece que </w:t>
      </w:r>
      <w:r w:rsidR="002667A0" w:rsidRPr="0032235B">
        <w:t xml:space="preserve">el </w:t>
      </w:r>
      <w:r w:rsidR="002C501C" w:rsidRPr="0032235B">
        <w:t xml:space="preserve">requisito de que todos los Estados </w:t>
      </w:r>
      <w:r w:rsidR="00C83325" w:rsidRPr="0032235B">
        <w:t>m</w:t>
      </w:r>
      <w:r w:rsidR="002C501C" w:rsidRPr="0032235B">
        <w:t>iembros del PCT respeten y apliquen las disposiciones del Convenio de París</w:t>
      </w:r>
      <w:r w:rsidR="00D568C4" w:rsidRPr="0032235B">
        <w:t xml:space="preserve"> </w:t>
      </w:r>
      <w:r w:rsidR="000E63BF" w:rsidRPr="0032235B">
        <w:t xml:space="preserve">se </w:t>
      </w:r>
      <w:r w:rsidR="00612D00" w:rsidRPr="0032235B">
        <w:t>bas</w:t>
      </w:r>
      <w:r w:rsidR="000E63BF" w:rsidRPr="0032235B">
        <w:t>e</w:t>
      </w:r>
      <w:r w:rsidR="00C83325" w:rsidRPr="0032235B">
        <w:t xml:space="preserve"> </w:t>
      </w:r>
      <w:r w:rsidR="002C501C" w:rsidRPr="0032235B">
        <w:t xml:space="preserve">en </w:t>
      </w:r>
      <w:r w:rsidR="000E63BF" w:rsidRPr="0032235B">
        <w:t xml:space="preserve">el hecho de </w:t>
      </w:r>
      <w:r w:rsidR="002C501C" w:rsidRPr="0032235B">
        <w:t xml:space="preserve">que sean Estados </w:t>
      </w:r>
      <w:r w:rsidR="00C83325" w:rsidRPr="0032235B">
        <w:t>m</w:t>
      </w:r>
      <w:r w:rsidR="002C501C" w:rsidRPr="0032235B">
        <w:t>iembros del PCT, sino en que son (y deben ser, véase el Artículo </w:t>
      </w:r>
      <w:r w:rsidR="0040490C" w:rsidRPr="0032235B">
        <w:t>62</w:t>
      </w:r>
      <w:r w:rsidR="002C501C" w:rsidRPr="0032235B">
        <w:t>.1</w:t>
      </w:r>
      <w:r w:rsidR="0040490C" w:rsidRPr="0032235B">
        <w:t>)</w:t>
      </w:r>
      <w:r w:rsidR="002C501C" w:rsidRPr="0032235B">
        <w:t xml:space="preserve"> del PCT</w:t>
      </w:r>
      <w:r w:rsidR="0040490C" w:rsidRPr="0032235B">
        <w:t xml:space="preserve">) </w:t>
      </w:r>
      <w:r w:rsidR="00C83325" w:rsidRPr="0032235B">
        <w:t xml:space="preserve">Estados </w:t>
      </w:r>
      <w:r w:rsidR="002C501C" w:rsidRPr="0032235B">
        <w:t>miembros de la Unión de París</w:t>
      </w:r>
      <w:r w:rsidR="0040490C" w:rsidRPr="0032235B">
        <w:t>.</w:t>
      </w:r>
    </w:p>
    <w:p w:rsidR="0040490C" w:rsidRPr="0032235B" w:rsidRDefault="00BB096E" w:rsidP="0040490C">
      <w:pPr>
        <w:pStyle w:val="ONUME"/>
        <w:keepLines/>
      </w:pPr>
      <w:r w:rsidRPr="0032235B">
        <w:t>De nuevo</w:t>
      </w:r>
      <w:r w:rsidR="002667A0" w:rsidRPr="0032235B">
        <w:t xml:space="preserve">, la Asamblea del PCT solo </w:t>
      </w:r>
      <w:r w:rsidR="00612D00" w:rsidRPr="0032235B">
        <w:t>podría</w:t>
      </w:r>
      <w:r w:rsidR="002667A0" w:rsidRPr="0032235B">
        <w:t xml:space="preserve"> adoptar sus decisiones teniendo en cuenta el dictamen del Comité de Coordinación</w:t>
      </w:r>
      <w:r w:rsidR="0040490C" w:rsidRPr="0032235B">
        <w:t>.</w:t>
      </w:r>
    </w:p>
    <w:p w:rsidR="0040490C" w:rsidRPr="0032235B" w:rsidRDefault="00DA566A" w:rsidP="0040490C">
      <w:pPr>
        <w:pStyle w:val="Heading4"/>
        <w:keepNext w:val="0"/>
      </w:pPr>
      <w:r w:rsidRPr="0032235B">
        <w:t>Alcance de la decisión de la Asamblea del PCT</w:t>
      </w:r>
    </w:p>
    <w:p w:rsidR="0040490C" w:rsidRPr="0032235B" w:rsidRDefault="00784F05" w:rsidP="0040490C">
      <w:pPr>
        <w:pStyle w:val="ONUME"/>
      </w:pPr>
      <w:r w:rsidRPr="0032235B">
        <w:t>La segunda pregunta que surge</w:t>
      </w:r>
      <w:r w:rsidR="00DA566A" w:rsidRPr="0032235B">
        <w:t xml:space="preserve"> en este contexto —si la Asamblea de la Unión del PCT es competente para abordar la cuestión </w:t>
      </w:r>
      <w:r w:rsidRPr="0032235B">
        <w:t xml:space="preserve">relativa a </w:t>
      </w:r>
      <w:r w:rsidR="00DA566A" w:rsidRPr="0032235B">
        <w:t>la interpretación del Artículo </w:t>
      </w:r>
      <w:r w:rsidR="0040490C" w:rsidRPr="0032235B">
        <w:t xml:space="preserve">4 </w:t>
      </w:r>
      <w:r w:rsidR="00DA566A" w:rsidRPr="0032235B">
        <w:t xml:space="preserve">del Convenio de París con respecto a las reivindicaciones de prioridad presentadas el mismo día en el ámbito del PCT— es si la Asamblea de la Unión del PCT </w:t>
      </w:r>
      <w:r w:rsidRPr="0032235B">
        <w:t xml:space="preserve">podría </w:t>
      </w:r>
      <w:r w:rsidR="00DA566A" w:rsidRPr="0032235B">
        <w:t xml:space="preserve">abordar </w:t>
      </w:r>
      <w:r w:rsidRPr="0032235B">
        <w:t>dicha</w:t>
      </w:r>
      <w:r w:rsidR="00DA566A" w:rsidRPr="0032235B">
        <w:t xml:space="preserve"> cuestión con efecto en las fases internacional y nacional del procedimiento del PCT</w:t>
      </w:r>
      <w:r w:rsidR="0040490C" w:rsidRPr="0032235B">
        <w:t xml:space="preserve">, </w:t>
      </w:r>
      <w:r w:rsidR="00DA566A" w:rsidRPr="0032235B">
        <w:t>o si se limitaría a ab</w:t>
      </w:r>
      <w:r w:rsidR="00142DC2" w:rsidRPr="0032235B">
        <w:t>ordar dicha cuestión con efecto</w:t>
      </w:r>
      <w:r w:rsidR="00DA566A" w:rsidRPr="0032235B">
        <w:t xml:space="preserve"> únicamente en la fase internacional</w:t>
      </w:r>
      <w:r w:rsidR="0040490C" w:rsidRPr="0032235B">
        <w:t>.</w:t>
      </w:r>
    </w:p>
    <w:p w:rsidR="0040490C" w:rsidRPr="0032235B" w:rsidRDefault="00DA566A" w:rsidP="0040490C">
      <w:pPr>
        <w:pStyle w:val="ONUME"/>
        <w:keepLines/>
      </w:pPr>
      <w:r w:rsidRPr="0032235B">
        <w:rPr>
          <w:szCs w:val="22"/>
        </w:rPr>
        <w:t>Es</w:t>
      </w:r>
      <w:r w:rsidR="00784F05" w:rsidRPr="0032235B">
        <w:rPr>
          <w:szCs w:val="22"/>
        </w:rPr>
        <w:t>t</w:t>
      </w:r>
      <w:r w:rsidRPr="0032235B">
        <w:rPr>
          <w:szCs w:val="22"/>
        </w:rPr>
        <w:t xml:space="preserve">a pregunta parece reducirse a </w:t>
      </w:r>
      <w:r w:rsidR="00784F05" w:rsidRPr="0032235B">
        <w:rPr>
          <w:szCs w:val="22"/>
        </w:rPr>
        <w:t xml:space="preserve">dirimir </w:t>
      </w:r>
      <w:r w:rsidRPr="0032235B">
        <w:rPr>
          <w:szCs w:val="22"/>
        </w:rPr>
        <w:t xml:space="preserve">si las disposiciones en </w:t>
      </w:r>
      <w:r w:rsidR="00784F05" w:rsidRPr="0032235B">
        <w:rPr>
          <w:szCs w:val="22"/>
        </w:rPr>
        <w:t>materia de prioridad d</w:t>
      </w:r>
      <w:r w:rsidRPr="0032235B">
        <w:rPr>
          <w:szCs w:val="22"/>
        </w:rPr>
        <w:t>el Tratado y el Reglamento del PCT, en particular las disposiciones del Artículo 8.</w:t>
      </w:r>
      <w:r w:rsidR="0040490C" w:rsidRPr="0032235B">
        <w:rPr>
          <w:szCs w:val="22"/>
        </w:rPr>
        <w:t>2)a)</w:t>
      </w:r>
      <w:r w:rsidRPr="0032235B">
        <w:rPr>
          <w:szCs w:val="22"/>
        </w:rPr>
        <w:t xml:space="preserve"> del PCT</w:t>
      </w:r>
      <w:r w:rsidR="0040490C" w:rsidRPr="0032235B">
        <w:rPr>
          <w:szCs w:val="22"/>
        </w:rPr>
        <w:t xml:space="preserve">, </w:t>
      </w:r>
      <w:r w:rsidR="00784F05" w:rsidRPr="0032235B">
        <w:rPr>
          <w:szCs w:val="22"/>
        </w:rPr>
        <w:t xml:space="preserve">establecen </w:t>
      </w:r>
      <w:r w:rsidR="0040490C" w:rsidRPr="0032235B">
        <w:rPr>
          <w:szCs w:val="22"/>
        </w:rPr>
        <w:t>“</w:t>
      </w:r>
      <w:r w:rsidR="00784F05" w:rsidRPr="0032235B">
        <w:rPr>
          <w:szCs w:val="22"/>
        </w:rPr>
        <w:t>que la solicitud internacional cumpla, en cuanto a su forma o contenido, [determinados] requisitos</w:t>
      </w:r>
      <w:r w:rsidR="0040490C" w:rsidRPr="0032235B">
        <w:rPr>
          <w:szCs w:val="22"/>
        </w:rPr>
        <w:t>” (</w:t>
      </w:r>
      <w:r w:rsidR="00B7549D" w:rsidRPr="0032235B">
        <w:rPr>
          <w:szCs w:val="22"/>
        </w:rPr>
        <w:t>Artículo</w:t>
      </w:r>
      <w:r w:rsidR="0040490C" w:rsidRPr="0032235B">
        <w:rPr>
          <w:szCs w:val="22"/>
        </w:rPr>
        <w:t> 27</w:t>
      </w:r>
      <w:r w:rsidR="00B7549D" w:rsidRPr="0032235B">
        <w:rPr>
          <w:szCs w:val="22"/>
        </w:rPr>
        <w:t>.</w:t>
      </w:r>
      <w:r w:rsidR="0040490C" w:rsidRPr="0032235B">
        <w:rPr>
          <w:szCs w:val="22"/>
        </w:rPr>
        <w:t>1)</w:t>
      </w:r>
      <w:r w:rsidR="00B7549D" w:rsidRPr="0032235B">
        <w:rPr>
          <w:szCs w:val="22"/>
        </w:rPr>
        <w:t xml:space="preserve"> del PCT</w:t>
      </w:r>
      <w:r w:rsidR="0040490C" w:rsidRPr="0032235B">
        <w:rPr>
          <w:szCs w:val="22"/>
        </w:rPr>
        <w:t xml:space="preserve">), </w:t>
      </w:r>
      <w:r w:rsidR="00B7549D" w:rsidRPr="0032235B">
        <w:rPr>
          <w:szCs w:val="22"/>
        </w:rPr>
        <w:t xml:space="preserve">o si son disposiciones </w:t>
      </w:r>
      <w:r w:rsidR="009E3420" w:rsidRPr="0032235B">
        <w:rPr>
          <w:szCs w:val="22"/>
        </w:rPr>
        <w:t xml:space="preserve">relativas a </w:t>
      </w:r>
      <w:r w:rsidR="0040490C" w:rsidRPr="0032235B">
        <w:rPr>
          <w:szCs w:val="22"/>
        </w:rPr>
        <w:t>“</w:t>
      </w:r>
      <w:r w:rsidR="00B7549D" w:rsidRPr="0032235B">
        <w:rPr>
          <w:szCs w:val="22"/>
        </w:rPr>
        <w:t>las condiciones substantivas […] relativa[s] a la definición del estado anterior de la técnica</w:t>
      </w:r>
      <w:r w:rsidR="0040490C" w:rsidRPr="0032235B">
        <w:rPr>
          <w:szCs w:val="22"/>
        </w:rPr>
        <w:t>” (</w:t>
      </w:r>
      <w:r w:rsidR="00B7549D" w:rsidRPr="0032235B">
        <w:rPr>
          <w:szCs w:val="22"/>
        </w:rPr>
        <w:t>Artículo</w:t>
      </w:r>
      <w:r w:rsidR="0040490C" w:rsidRPr="0032235B">
        <w:rPr>
          <w:szCs w:val="22"/>
        </w:rPr>
        <w:t> 27</w:t>
      </w:r>
      <w:r w:rsidR="00B7549D" w:rsidRPr="0032235B">
        <w:rPr>
          <w:szCs w:val="22"/>
        </w:rPr>
        <w:t>.</w:t>
      </w:r>
      <w:r w:rsidR="0040490C" w:rsidRPr="0032235B">
        <w:rPr>
          <w:szCs w:val="22"/>
        </w:rPr>
        <w:t>5)</w:t>
      </w:r>
      <w:r w:rsidR="00B7549D" w:rsidRPr="0032235B">
        <w:rPr>
          <w:szCs w:val="22"/>
        </w:rPr>
        <w:t xml:space="preserve"> del PCT</w:t>
      </w:r>
      <w:r w:rsidR="0040490C" w:rsidRPr="0032235B">
        <w:rPr>
          <w:szCs w:val="22"/>
        </w:rPr>
        <w:t xml:space="preserve">).  </w:t>
      </w:r>
      <w:r w:rsidR="00B7549D" w:rsidRPr="0032235B">
        <w:rPr>
          <w:szCs w:val="22"/>
        </w:rPr>
        <w:t xml:space="preserve">En el primero de los casos </w:t>
      </w:r>
      <w:r w:rsidR="0040490C" w:rsidRPr="0032235B">
        <w:rPr>
          <w:szCs w:val="22"/>
        </w:rPr>
        <w:t>(“</w:t>
      </w:r>
      <w:r w:rsidR="008C334A" w:rsidRPr="0032235B">
        <w:rPr>
          <w:szCs w:val="22"/>
        </w:rPr>
        <w:t xml:space="preserve">la </w:t>
      </w:r>
      <w:r w:rsidR="00B7549D" w:rsidRPr="0032235B">
        <w:rPr>
          <w:szCs w:val="22"/>
        </w:rPr>
        <w:t xml:space="preserve">forma o </w:t>
      </w:r>
      <w:r w:rsidR="008C334A" w:rsidRPr="0032235B">
        <w:rPr>
          <w:szCs w:val="22"/>
        </w:rPr>
        <w:t xml:space="preserve">el </w:t>
      </w:r>
      <w:r w:rsidR="00B7549D" w:rsidRPr="0032235B">
        <w:rPr>
          <w:szCs w:val="22"/>
        </w:rPr>
        <w:t>contenido</w:t>
      </w:r>
      <w:r w:rsidR="0040490C" w:rsidRPr="0032235B">
        <w:rPr>
          <w:szCs w:val="22"/>
        </w:rPr>
        <w:t xml:space="preserve">”), </w:t>
      </w:r>
      <w:r w:rsidR="00B7549D" w:rsidRPr="0032235B">
        <w:rPr>
          <w:szCs w:val="22"/>
        </w:rPr>
        <w:t xml:space="preserve">la Asamblea de la Unión del PCT </w:t>
      </w:r>
      <w:r w:rsidR="0040490C" w:rsidRPr="0032235B">
        <w:rPr>
          <w:szCs w:val="22"/>
        </w:rPr>
        <w:t>—</w:t>
      </w:r>
      <w:r w:rsidR="00B7549D" w:rsidRPr="0032235B">
        <w:rPr>
          <w:szCs w:val="22"/>
        </w:rPr>
        <w:t xml:space="preserve">si </w:t>
      </w:r>
      <w:r w:rsidR="00784F05" w:rsidRPr="0032235B">
        <w:rPr>
          <w:szCs w:val="22"/>
        </w:rPr>
        <w:t>es</w:t>
      </w:r>
      <w:r w:rsidR="00B7549D" w:rsidRPr="0032235B">
        <w:rPr>
          <w:szCs w:val="22"/>
        </w:rPr>
        <w:t xml:space="preserve"> considera</w:t>
      </w:r>
      <w:r w:rsidR="00784F05" w:rsidRPr="0032235B">
        <w:rPr>
          <w:szCs w:val="22"/>
        </w:rPr>
        <w:t>da</w:t>
      </w:r>
      <w:r w:rsidR="00B7549D" w:rsidRPr="0032235B">
        <w:rPr>
          <w:szCs w:val="22"/>
        </w:rPr>
        <w:t xml:space="preserve"> competente</w:t>
      </w:r>
      <w:r w:rsidR="0040490C" w:rsidRPr="0032235B">
        <w:rPr>
          <w:szCs w:val="22"/>
        </w:rPr>
        <w:t>—</w:t>
      </w:r>
      <w:r w:rsidR="00B7549D" w:rsidRPr="0032235B">
        <w:rPr>
          <w:szCs w:val="22"/>
        </w:rPr>
        <w:t xml:space="preserve"> podría adoptar una interpretación común d</w:t>
      </w:r>
      <w:r w:rsidR="00142DC2" w:rsidRPr="0032235B">
        <w:rPr>
          <w:szCs w:val="22"/>
        </w:rPr>
        <w:t>el Convenio de París con efecto</w:t>
      </w:r>
      <w:r w:rsidR="00B7549D" w:rsidRPr="0032235B">
        <w:rPr>
          <w:szCs w:val="22"/>
        </w:rPr>
        <w:t xml:space="preserve"> en las fases internacional y nacional del procedimiento del PCT, en consonancia con el Artículo</w:t>
      </w:r>
      <w:r w:rsidR="0040490C" w:rsidRPr="0032235B">
        <w:rPr>
          <w:szCs w:val="22"/>
        </w:rPr>
        <w:t> 27</w:t>
      </w:r>
      <w:r w:rsidR="00B7549D" w:rsidRPr="0032235B">
        <w:rPr>
          <w:szCs w:val="22"/>
        </w:rPr>
        <w:t>.</w:t>
      </w:r>
      <w:r w:rsidR="0040490C" w:rsidRPr="0032235B">
        <w:rPr>
          <w:szCs w:val="22"/>
        </w:rPr>
        <w:t>1)</w:t>
      </w:r>
      <w:r w:rsidR="00B7549D" w:rsidRPr="0032235B">
        <w:rPr>
          <w:szCs w:val="22"/>
        </w:rPr>
        <w:t xml:space="preserve"> del PCT</w:t>
      </w:r>
      <w:r w:rsidR="0040490C" w:rsidRPr="0032235B">
        <w:rPr>
          <w:szCs w:val="22"/>
        </w:rPr>
        <w:t xml:space="preserve">.  </w:t>
      </w:r>
      <w:r w:rsidR="00052D60" w:rsidRPr="0032235B">
        <w:rPr>
          <w:szCs w:val="22"/>
        </w:rPr>
        <w:t>No obstante, e</w:t>
      </w:r>
      <w:r w:rsidR="00B7549D" w:rsidRPr="0032235B">
        <w:rPr>
          <w:szCs w:val="22"/>
        </w:rPr>
        <w:t xml:space="preserve">n </w:t>
      </w:r>
      <w:r w:rsidR="00052D60" w:rsidRPr="0032235B">
        <w:rPr>
          <w:szCs w:val="22"/>
        </w:rPr>
        <w:t>cuanto al</w:t>
      </w:r>
      <w:r w:rsidR="00B7549D" w:rsidRPr="0032235B">
        <w:rPr>
          <w:szCs w:val="22"/>
        </w:rPr>
        <w:t xml:space="preserve"> segundo caso </w:t>
      </w:r>
      <w:r w:rsidR="0040490C" w:rsidRPr="0032235B">
        <w:rPr>
          <w:szCs w:val="22"/>
        </w:rPr>
        <w:t>(“</w:t>
      </w:r>
      <w:r w:rsidR="00CB7361" w:rsidRPr="0032235B">
        <w:rPr>
          <w:szCs w:val="22"/>
        </w:rPr>
        <w:t>condiciones sustantivas</w:t>
      </w:r>
      <w:r w:rsidR="0040490C" w:rsidRPr="0032235B">
        <w:rPr>
          <w:szCs w:val="22"/>
        </w:rPr>
        <w:t xml:space="preserve">”), </w:t>
      </w:r>
      <w:r w:rsidR="00B7549D" w:rsidRPr="0032235B">
        <w:rPr>
          <w:szCs w:val="22"/>
        </w:rPr>
        <w:t xml:space="preserve">la Asamblea de la Unión del </w:t>
      </w:r>
      <w:r w:rsidR="0040490C" w:rsidRPr="0032235B">
        <w:rPr>
          <w:szCs w:val="22"/>
        </w:rPr>
        <w:t xml:space="preserve">PCT </w:t>
      </w:r>
      <w:r w:rsidR="00784F05" w:rsidRPr="0032235B">
        <w:rPr>
          <w:szCs w:val="22"/>
        </w:rPr>
        <w:t xml:space="preserve">solo </w:t>
      </w:r>
      <w:r w:rsidR="00B7549D" w:rsidRPr="0032235B">
        <w:rPr>
          <w:szCs w:val="22"/>
        </w:rPr>
        <w:t xml:space="preserve">podría adoptar una interpretación con respecto a la fase internacional del procedimiento del </w:t>
      </w:r>
      <w:r w:rsidR="0040490C" w:rsidRPr="0032235B">
        <w:rPr>
          <w:szCs w:val="22"/>
        </w:rPr>
        <w:t>PCT</w:t>
      </w:r>
      <w:r w:rsidR="00784F05" w:rsidRPr="0032235B">
        <w:rPr>
          <w:szCs w:val="22"/>
        </w:rPr>
        <w:t>;</w:t>
      </w:r>
      <w:r w:rsidR="00B7549D" w:rsidRPr="0032235B">
        <w:rPr>
          <w:szCs w:val="22"/>
        </w:rPr>
        <w:t xml:space="preserve"> en lo tocante a la fase nacional, la cuestión debería resolverse en virtud de la legislación nacional aplicable por las Oficinas designadas correspondientes</w:t>
      </w:r>
      <w:r w:rsidR="0040490C" w:rsidRPr="0032235B">
        <w:rPr>
          <w:szCs w:val="22"/>
        </w:rPr>
        <w:t xml:space="preserve">, </w:t>
      </w:r>
      <w:r w:rsidR="00B7549D" w:rsidRPr="0032235B">
        <w:rPr>
          <w:szCs w:val="22"/>
        </w:rPr>
        <w:t xml:space="preserve">teniendo en cuenta </w:t>
      </w:r>
      <w:r w:rsidR="00DB1422" w:rsidRPr="0032235B">
        <w:rPr>
          <w:szCs w:val="22"/>
        </w:rPr>
        <w:t>el tenor inequívoco del Artículo  27.</w:t>
      </w:r>
      <w:r w:rsidR="0040490C" w:rsidRPr="0032235B">
        <w:rPr>
          <w:szCs w:val="22"/>
        </w:rPr>
        <w:t>5)</w:t>
      </w:r>
      <w:r w:rsidR="00DB1422" w:rsidRPr="0032235B">
        <w:rPr>
          <w:szCs w:val="22"/>
        </w:rPr>
        <w:t xml:space="preserve"> del PCT</w:t>
      </w:r>
      <w:r w:rsidR="0040490C" w:rsidRPr="0032235B">
        <w:rPr>
          <w:szCs w:val="22"/>
        </w:rPr>
        <w:t xml:space="preserve">.  </w:t>
      </w:r>
    </w:p>
    <w:p w:rsidR="0040490C" w:rsidRPr="0032235B" w:rsidRDefault="00097A3B" w:rsidP="0040490C">
      <w:pPr>
        <w:pStyle w:val="ONUME"/>
        <w:keepLines/>
      </w:pPr>
      <w:r w:rsidRPr="0032235B">
        <w:rPr>
          <w:szCs w:val="22"/>
        </w:rPr>
        <w:t>A pesar de que la respuesta a la pregunta anterior</w:t>
      </w:r>
      <w:r w:rsidR="009E3420" w:rsidRPr="0032235B">
        <w:rPr>
          <w:szCs w:val="22"/>
        </w:rPr>
        <w:t xml:space="preserve"> nuevamente</w:t>
      </w:r>
      <w:r w:rsidRPr="0032235B">
        <w:rPr>
          <w:szCs w:val="22"/>
        </w:rPr>
        <w:t xml:space="preserve"> </w:t>
      </w:r>
      <w:r w:rsidR="00EA1805" w:rsidRPr="0032235B">
        <w:rPr>
          <w:szCs w:val="22"/>
        </w:rPr>
        <w:t xml:space="preserve">depende </w:t>
      </w:r>
      <w:r w:rsidR="009E3420" w:rsidRPr="0032235B">
        <w:rPr>
          <w:szCs w:val="22"/>
        </w:rPr>
        <w:t>en gran medida</w:t>
      </w:r>
      <w:r w:rsidR="00EA1805" w:rsidRPr="0032235B">
        <w:rPr>
          <w:szCs w:val="22"/>
        </w:rPr>
        <w:t xml:space="preserve"> de </w:t>
      </w:r>
      <w:r w:rsidRPr="0032235B">
        <w:rPr>
          <w:szCs w:val="22"/>
        </w:rPr>
        <w:t>una cuestión de interpretación</w:t>
      </w:r>
      <w:r w:rsidR="0040490C" w:rsidRPr="0032235B">
        <w:rPr>
          <w:szCs w:val="22"/>
        </w:rPr>
        <w:t xml:space="preserve">, </w:t>
      </w:r>
      <w:r w:rsidR="008C334A" w:rsidRPr="0032235B">
        <w:rPr>
          <w:szCs w:val="22"/>
        </w:rPr>
        <w:t xml:space="preserve">cabría </w:t>
      </w:r>
      <w:r w:rsidRPr="0032235B">
        <w:rPr>
          <w:szCs w:val="22"/>
        </w:rPr>
        <w:t>aducir que</w:t>
      </w:r>
      <w:r w:rsidR="008C334A" w:rsidRPr="0032235B">
        <w:rPr>
          <w:szCs w:val="22"/>
        </w:rPr>
        <w:t>,</w:t>
      </w:r>
      <w:r w:rsidRPr="0032235B">
        <w:rPr>
          <w:szCs w:val="22"/>
        </w:rPr>
        <w:t xml:space="preserve"> </w:t>
      </w:r>
      <w:r w:rsidR="008C334A" w:rsidRPr="0032235B">
        <w:t xml:space="preserve">por ejemplo, </w:t>
      </w:r>
      <w:r w:rsidR="008C334A" w:rsidRPr="0032235B">
        <w:rPr>
          <w:szCs w:val="22"/>
        </w:rPr>
        <w:t xml:space="preserve">determinar </w:t>
      </w:r>
      <w:r w:rsidR="00A23AF9" w:rsidRPr="0032235B">
        <w:rPr>
          <w:szCs w:val="22"/>
        </w:rPr>
        <w:t xml:space="preserve">lo </w:t>
      </w:r>
      <w:r w:rsidRPr="0032235B">
        <w:rPr>
          <w:szCs w:val="22"/>
        </w:rPr>
        <w:t>qu</w:t>
      </w:r>
      <w:r w:rsidR="00A23AF9" w:rsidRPr="0032235B">
        <w:rPr>
          <w:szCs w:val="22"/>
        </w:rPr>
        <w:t>e</w:t>
      </w:r>
      <w:r w:rsidRPr="0032235B">
        <w:rPr>
          <w:szCs w:val="22"/>
        </w:rPr>
        <w:t xml:space="preserve"> constituye </w:t>
      </w:r>
      <w:r w:rsidRPr="0032235B">
        <w:t xml:space="preserve">divulgación del estado de la técnica a los fines de </w:t>
      </w:r>
      <w:r w:rsidR="00D07EE7" w:rsidRPr="0032235B">
        <w:t xml:space="preserve">la </w:t>
      </w:r>
      <w:r w:rsidRPr="0032235B">
        <w:t>novedad</w:t>
      </w:r>
      <w:r w:rsidR="0040490C" w:rsidRPr="0032235B">
        <w:t xml:space="preserve"> </w:t>
      </w:r>
      <w:r w:rsidR="008C334A" w:rsidRPr="0032235B">
        <w:t xml:space="preserve">es </w:t>
      </w:r>
      <w:r w:rsidR="003A71A8" w:rsidRPr="0032235B">
        <w:t>una condición sustantiva de la patentabilidad</w:t>
      </w:r>
      <w:r w:rsidR="008C334A" w:rsidRPr="0032235B">
        <w:t>, y</w:t>
      </w:r>
      <w:r w:rsidR="0040490C" w:rsidRPr="0032235B">
        <w:t xml:space="preserve"> </w:t>
      </w:r>
      <w:r w:rsidR="003A71A8" w:rsidRPr="0032235B">
        <w:t xml:space="preserve">que una divulgación anterior realizada el mismo día </w:t>
      </w:r>
      <w:r w:rsidR="005C2EBC" w:rsidRPr="0032235B">
        <w:t xml:space="preserve">en que se presenta </w:t>
      </w:r>
      <w:r w:rsidR="003A71A8" w:rsidRPr="0032235B">
        <w:t>la solicitud de patente podría considerar</w:t>
      </w:r>
      <w:r w:rsidR="008C334A" w:rsidRPr="0032235B">
        <w:t>se</w:t>
      </w:r>
      <w:r w:rsidR="003A71A8" w:rsidRPr="0032235B">
        <w:t xml:space="preserve"> estado de la técnica </w:t>
      </w:r>
      <w:r w:rsidR="0040490C" w:rsidRPr="0032235B">
        <w:t>(</w:t>
      </w:r>
      <w:r w:rsidR="003A71A8" w:rsidRPr="0032235B">
        <w:t>conforme a lo sostenido en el párrafo </w:t>
      </w:r>
      <w:r w:rsidR="0040490C" w:rsidRPr="0032235B">
        <w:t xml:space="preserve">8 </w:t>
      </w:r>
      <w:r w:rsidR="003A71A8" w:rsidRPr="0032235B">
        <w:t>del documento </w:t>
      </w:r>
      <w:r w:rsidR="0040490C" w:rsidRPr="0032235B">
        <w:t>PCT/A/XVIII/4)</w:t>
      </w:r>
      <w:r w:rsidR="008C334A" w:rsidRPr="0032235B">
        <w:t>;</w:t>
      </w:r>
      <w:r w:rsidR="003A71A8" w:rsidRPr="0032235B">
        <w:t xml:space="preserve"> por tanto</w:t>
      </w:r>
      <w:r w:rsidR="00A23AF9" w:rsidRPr="0032235B">
        <w:t>,</w:t>
      </w:r>
      <w:r w:rsidR="003A71A8" w:rsidRPr="0032235B">
        <w:t xml:space="preserve"> las disposiciones sobre los </w:t>
      </w:r>
      <w:r w:rsidR="0040490C" w:rsidRPr="0032235B">
        <w:t>“</w:t>
      </w:r>
      <w:r w:rsidR="003A71A8" w:rsidRPr="0032235B">
        <w:t>plazos de prioridad</w:t>
      </w:r>
      <w:r w:rsidR="0040490C" w:rsidRPr="0032235B">
        <w:t xml:space="preserve">” </w:t>
      </w:r>
      <w:r w:rsidR="005C2EBC" w:rsidRPr="0032235B">
        <w:t>establecidas</w:t>
      </w:r>
      <w:r w:rsidR="003A71A8" w:rsidRPr="0032235B">
        <w:t xml:space="preserve"> en el Artículo </w:t>
      </w:r>
      <w:r w:rsidR="0040490C" w:rsidRPr="0032235B">
        <w:t>4</w:t>
      </w:r>
      <w:r w:rsidR="003A71A8" w:rsidRPr="0032235B">
        <w:t>.</w:t>
      </w:r>
      <w:r w:rsidR="0040490C" w:rsidRPr="0032235B">
        <w:t xml:space="preserve">C) </w:t>
      </w:r>
      <w:r w:rsidR="003A71A8" w:rsidRPr="0032235B">
        <w:t>del Convenio de París, incorporadas por referencia al PCT en virtud del Artículo </w:t>
      </w:r>
      <w:r w:rsidR="0040490C" w:rsidRPr="0032235B">
        <w:t>8</w:t>
      </w:r>
      <w:r w:rsidR="003A71A8" w:rsidRPr="0032235B">
        <w:t>.</w:t>
      </w:r>
      <w:r w:rsidR="0040490C" w:rsidRPr="0032235B">
        <w:t xml:space="preserve">2)a), </w:t>
      </w:r>
      <w:r w:rsidR="003A71A8" w:rsidRPr="0032235B">
        <w:t xml:space="preserve">son efectivamente disposiciones que estipulan las </w:t>
      </w:r>
      <w:r w:rsidR="0040490C" w:rsidRPr="0032235B">
        <w:t>“</w:t>
      </w:r>
      <w:r w:rsidR="003A71A8" w:rsidRPr="0032235B">
        <w:rPr>
          <w:szCs w:val="22"/>
        </w:rPr>
        <w:t>condiciones substantivas […] relativa[s] a la definición del estado anterior de la técnica</w:t>
      </w:r>
      <w:r w:rsidR="0040490C" w:rsidRPr="0032235B">
        <w:t xml:space="preserve">” </w:t>
      </w:r>
      <w:r w:rsidR="003A71A8" w:rsidRPr="0032235B">
        <w:t>en el sentido del Artículo</w:t>
      </w:r>
      <w:r w:rsidR="0040490C" w:rsidRPr="0032235B">
        <w:t> 27</w:t>
      </w:r>
      <w:r w:rsidR="003A71A8" w:rsidRPr="0032235B">
        <w:t>.</w:t>
      </w:r>
      <w:r w:rsidR="0040490C" w:rsidRPr="0032235B">
        <w:t>5)</w:t>
      </w:r>
      <w:r w:rsidR="003A71A8" w:rsidRPr="0032235B">
        <w:t xml:space="preserve"> del PCT</w:t>
      </w:r>
      <w:r w:rsidR="0040490C" w:rsidRPr="0032235B">
        <w:t>.</w:t>
      </w:r>
    </w:p>
    <w:p w:rsidR="0040490C" w:rsidRPr="0032235B" w:rsidRDefault="007D3C65" w:rsidP="0040490C">
      <w:pPr>
        <w:pStyle w:val="ONUME"/>
      </w:pPr>
      <w:r w:rsidRPr="0032235B">
        <w:lastRenderedPageBreak/>
        <w:t xml:space="preserve">De ser así, la Asamblea de la Unión del PCT no debería abordar la interpretación </w:t>
      </w:r>
      <w:r w:rsidR="00C457EB" w:rsidRPr="0032235B">
        <w:t>del Artículo</w:t>
      </w:r>
      <w:r w:rsidR="0040490C" w:rsidRPr="0032235B">
        <w:t> </w:t>
      </w:r>
      <w:r w:rsidR="00A23AF9" w:rsidRPr="0032235B">
        <w:t>4</w:t>
      </w:r>
      <w:r w:rsidR="00C457EB" w:rsidRPr="0032235B">
        <w:t xml:space="preserve"> del Convenio de París con efecto </w:t>
      </w:r>
      <w:r w:rsidR="00C457EB" w:rsidRPr="0032235B">
        <w:rPr>
          <w:szCs w:val="22"/>
        </w:rPr>
        <w:t>en las fases internacional y nacional del procedimiento del PCT</w:t>
      </w:r>
      <w:r w:rsidR="0040490C" w:rsidRPr="0032235B">
        <w:t xml:space="preserve">.  </w:t>
      </w:r>
      <w:r w:rsidR="00C457EB" w:rsidRPr="0032235B">
        <w:t xml:space="preserve">Propiamente —de conformidad con el Artículo 27.5)— correspondería </w:t>
      </w:r>
      <w:r w:rsidR="008C334A" w:rsidRPr="0032235B">
        <w:t>a</w:t>
      </w:r>
      <w:r w:rsidR="004C4AF4" w:rsidRPr="0032235B">
        <w:t xml:space="preserve"> cada Estado c</w:t>
      </w:r>
      <w:r w:rsidR="00C457EB" w:rsidRPr="0032235B">
        <w:t>ontratante del PCT</w:t>
      </w:r>
      <w:r w:rsidR="0040490C" w:rsidRPr="0032235B">
        <w:t xml:space="preserve"> </w:t>
      </w:r>
      <w:r w:rsidR="008C334A" w:rsidRPr="0032235B">
        <w:t>establecer</w:t>
      </w:r>
      <w:r w:rsidR="00C457EB" w:rsidRPr="0032235B">
        <w:t>, a</w:t>
      </w:r>
      <w:r w:rsidR="00806A01" w:rsidRPr="0032235B">
        <w:t xml:space="preserve"> la hora de</w:t>
      </w:r>
      <w:r w:rsidR="00C457EB" w:rsidRPr="0032235B">
        <w:t xml:space="preserve"> determinar la patentabilidad de una invención reivindicada en una solicitud internacional</w:t>
      </w:r>
      <w:r w:rsidR="0040490C" w:rsidRPr="0032235B">
        <w:t xml:space="preserve">, </w:t>
      </w:r>
      <w:r w:rsidR="00C457EB" w:rsidRPr="0032235B">
        <w:t xml:space="preserve">los criterios de su legislación nacional para definir el término </w:t>
      </w:r>
      <w:r w:rsidR="0040490C" w:rsidRPr="0032235B">
        <w:t>“</w:t>
      </w:r>
      <w:r w:rsidR="00C457EB" w:rsidRPr="0032235B">
        <w:t>plazo de prioridad</w:t>
      </w:r>
      <w:r w:rsidR="0040490C" w:rsidRPr="0032235B">
        <w:t xml:space="preserve">” </w:t>
      </w:r>
      <w:r w:rsidR="00C457EB" w:rsidRPr="0032235B">
        <w:t xml:space="preserve">y, por consiguiente, la </w:t>
      </w:r>
      <w:r w:rsidR="0040490C" w:rsidRPr="0032235B">
        <w:t>“</w:t>
      </w:r>
      <w:r w:rsidR="00C457EB" w:rsidRPr="0032235B">
        <w:t>suert</w:t>
      </w:r>
      <w:r w:rsidR="0040490C" w:rsidRPr="0032235B">
        <w:t xml:space="preserve">e” </w:t>
      </w:r>
      <w:r w:rsidR="00C457EB" w:rsidRPr="0032235B">
        <w:t>de las reivindicaciones de prioridad presentadas el mismo día.</w:t>
      </w:r>
    </w:p>
    <w:p w:rsidR="0040490C" w:rsidRPr="0032235B" w:rsidRDefault="00E77B99" w:rsidP="0040490C">
      <w:pPr>
        <w:pStyle w:val="ONUME"/>
        <w:keepLines/>
        <w:rPr>
          <w:szCs w:val="22"/>
        </w:rPr>
      </w:pPr>
      <w:r w:rsidRPr="0032235B">
        <w:t xml:space="preserve">Otra forma de </w:t>
      </w:r>
      <w:r w:rsidR="004C4AF4" w:rsidRPr="0032235B">
        <w:t>abordar esta</w:t>
      </w:r>
      <w:r w:rsidRPr="0032235B">
        <w:t xml:space="preserve"> cuestión </w:t>
      </w:r>
      <w:r w:rsidR="004C4AF4" w:rsidRPr="0032235B">
        <w:t xml:space="preserve">consistiría en alegar </w:t>
      </w:r>
      <w:r w:rsidRPr="0032235B">
        <w:t>que las disposiciones del Artículo 8.</w:t>
      </w:r>
      <w:r w:rsidR="0040490C" w:rsidRPr="0032235B">
        <w:t xml:space="preserve">2)a) </w:t>
      </w:r>
      <w:r w:rsidRPr="0032235B">
        <w:t xml:space="preserve">del PCT no encajan </w:t>
      </w:r>
      <w:r w:rsidR="004C4AF4" w:rsidRPr="0032235B">
        <w:t xml:space="preserve">realmente </w:t>
      </w:r>
      <w:r w:rsidRPr="0032235B">
        <w:t xml:space="preserve">en las categorías de </w:t>
      </w:r>
      <w:r w:rsidR="0040490C" w:rsidRPr="0032235B">
        <w:rPr>
          <w:szCs w:val="22"/>
        </w:rPr>
        <w:t>“form</w:t>
      </w:r>
      <w:r w:rsidRPr="0032235B">
        <w:rPr>
          <w:szCs w:val="22"/>
        </w:rPr>
        <w:t>a</w:t>
      </w:r>
      <w:r w:rsidR="0040490C" w:rsidRPr="0032235B">
        <w:rPr>
          <w:szCs w:val="22"/>
        </w:rPr>
        <w:t xml:space="preserve"> o</w:t>
      </w:r>
      <w:r w:rsidRPr="0032235B">
        <w:rPr>
          <w:szCs w:val="22"/>
        </w:rPr>
        <w:t xml:space="preserve"> contenido</w:t>
      </w:r>
      <w:r w:rsidR="0040490C" w:rsidRPr="0032235B">
        <w:rPr>
          <w:szCs w:val="22"/>
        </w:rPr>
        <w:t>” o</w:t>
      </w:r>
      <w:r w:rsidR="008C334A" w:rsidRPr="0032235B">
        <w:rPr>
          <w:szCs w:val="22"/>
        </w:rPr>
        <w:t xml:space="preserve"> “su</w:t>
      </w:r>
      <w:r w:rsidRPr="0032235B">
        <w:rPr>
          <w:szCs w:val="22"/>
        </w:rPr>
        <w:t>stancia</w:t>
      </w:r>
      <w:r w:rsidR="0040490C" w:rsidRPr="0032235B">
        <w:rPr>
          <w:szCs w:val="22"/>
        </w:rPr>
        <w:t xml:space="preserve">” </w:t>
      </w:r>
      <w:r w:rsidRPr="0032235B">
        <w:rPr>
          <w:szCs w:val="22"/>
        </w:rPr>
        <w:t>en el sentido de los Artículos</w:t>
      </w:r>
      <w:r w:rsidR="00A23AF9" w:rsidRPr="0032235B">
        <w:rPr>
          <w:szCs w:val="22"/>
        </w:rPr>
        <w:t> </w:t>
      </w:r>
      <w:r w:rsidR="0040490C" w:rsidRPr="0032235B">
        <w:rPr>
          <w:szCs w:val="22"/>
        </w:rPr>
        <w:t>27</w:t>
      </w:r>
      <w:r w:rsidRPr="0032235B">
        <w:rPr>
          <w:szCs w:val="22"/>
        </w:rPr>
        <w:t>.</w:t>
      </w:r>
      <w:r w:rsidR="0040490C" w:rsidRPr="0032235B">
        <w:rPr>
          <w:szCs w:val="22"/>
        </w:rPr>
        <w:t xml:space="preserve">1) </w:t>
      </w:r>
      <w:r w:rsidR="00A23AF9" w:rsidRPr="0032235B">
        <w:rPr>
          <w:szCs w:val="22"/>
        </w:rPr>
        <w:t>y </w:t>
      </w:r>
      <w:r w:rsidRPr="0032235B">
        <w:rPr>
          <w:szCs w:val="22"/>
        </w:rPr>
        <w:t>27.</w:t>
      </w:r>
      <w:r w:rsidR="0040490C" w:rsidRPr="0032235B">
        <w:rPr>
          <w:szCs w:val="22"/>
        </w:rPr>
        <w:t>5)</w:t>
      </w:r>
      <w:r w:rsidRPr="0032235B">
        <w:rPr>
          <w:szCs w:val="22"/>
        </w:rPr>
        <w:t xml:space="preserve"> del PCT, respectivamente</w:t>
      </w:r>
      <w:r w:rsidR="0040490C" w:rsidRPr="0032235B">
        <w:rPr>
          <w:szCs w:val="22"/>
        </w:rPr>
        <w:t xml:space="preserve">, </w:t>
      </w:r>
      <w:r w:rsidR="000F51C0" w:rsidRPr="0032235B">
        <w:rPr>
          <w:szCs w:val="22"/>
        </w:rPr>
        <w:t>y que el Artículo</w:t>
      </w:r>
      <w:r w:rsidR="0040490C" w:rsidRPr="0032235B">
        <w:t> 8</w:t>
      </w:r>
      <w:r w:rsidR="000F51C0" w:rsidRPr="0032235B">
        <w:t>.</w:t>
      </w:r>
      <w:r w:rsidR="0040490C" w:rsidRPr="0032235B">
        <w:t>2)</w:t>
      </w:r>
      <w:r w:rsidR="000F51C0" w:rsidRPr="0032235B">
        <w:t>.</w:t>
      </w:r>
      <w:r w:rsidR="0040490C" w:rsidRPr="0032235B">
        <w:t>a)</w:t>
      </w:r>
      <w:r w:rsidR="0040490C" w:rsidRPr="0032235B">
        <w:rPr>
          <w:szCs w:val="22"/>
        </w:rPr>
        <w:t xml:space="preserve"> </w:t>
      </w:r>
      <w:r w:rsidR="000F51C0" w:rsidRPr="0032235B">
        <w:rPr>
          <w:szCs w:val="22"/>
        </w:rPr>
        <w:t xml:space="preserve">del PCT </w:t>
      </w:r>
      <w:r w:rsidR="004C4AF4" w:rsidRPr="0032235B">
        <w:rPr>
          <w:szCs w:val="22"/>
        </w:rPr>
        <w:t>solo se</w:t>
      </w:r>
      <w:r w:rsidR="000F51C0" w:rsidRPr="0032235B">
        <w:rPr>
          <w:szCs w:val="22"/>
        </w:rPr>
        <w:t xml:space="preserve"> debería </w:t>
      </w:r>
      <w:r w:rsidR="004C4AF4" w:rsidRPr="0032235B">
        <w:rPr>
          <w:szCs w:val="22"/>
        </w:rPr>
        <w:t>entender como</w:t>
      </w:r>
      <w:r w:rsidR="000F51C0" w:rsidRPr="0032235B">
        <w:rPr>
          <w:szCs w:val="22"/>
        </w:rPr>
        <w:t xml:space="preserve"> lo que es, a saber, una mera referencia a las disposiciones del Convenio de París</w:t>
      </w:r>
      <w:r w:rsidR="0040490C" w:rsidRPr="0032235B">
        <w:rPr>
          <w:szCs w:val="22"/>
        </w:rPr>
        <w:t xml:space="preserve">.  </w:t>
      </w:r>
      <w:r w:rsidR="000F51C0" w:rsidRPr="0032235B">
        <w:rPr>
          <w:szCs w:val="22"/>
        </w:rPr>
        <w:t>Si se siguiera esta línea de argumentación en caso de duda sobre la aplicación efectiva de una disposición del Convenio de París</w:t>
      </w:r>
      <w:r w:rsidR="00A23AF9" w:rsidRPr="0032235B">
        <w:rPr>
          <w:szCs w:val="22"/>
        </w:rPr>
        <w:t>,</w:t>
      </w:r>
      <w:r w:rsidR="000F51C0" w:rsidRPr="0032235B">
        <w:rPr>
          <w:szCs w:val="22"/>
        </w:rPr>
        <w:t xml:space="preserve"> </w:t>
      </w:r>
      <w:r w:rsidR="004C4AF4" w:rsidRPr="0032235B">
        <w:rPr>
          <w:szCs w:val="22"/>
        </w:rPr>
        <w:t xml:space="preserve">se consideraría como medida más plausible </w:t>
      </w:r>
      <w:r w:rsidR="000F51C0" w:rsidRPr="0032235B">
        <w:rPr>
          <w:szCs w:val="22"/>
        </w:rPr>
        <w:t xml:space="preserve">remitir dicha cuestión a la Asamblea de la Unión de </w:t>
      </w:r>
      <w:r w:rsidR="00161043" w:rsidRPr="0032235B">
        <w:rPr>
          <w:szCs w:val="22"/>
        </w:rPr>
        <w:t xml:space="preserve">París </w:t>
      </w:r>
      <w:r w:rsidR="000F51C0" w:rsidRPr="0032235B">
        <w:rPr>
          <w:szCs w:val="22"/>
        </w:rPr>
        <w:t xml:space="preserve">en su calidad de (única) instancia decisoria </w:t>
      </w:r>
      <w:r w:rsidR="0040490C" w:rsidRPr="0032235B">
        <w:rPr>
          <w:szCs w:val="22"/>
        </w:rPr>
        <w:t>competent</w:t>
      </w:r>
      <w:r w:rsidR="000F51C0" w:rsidRPr="0032235B">
        <w:rPr>
          <w:szCs w:val="22"/>
        </w:rPr>
        <w:t>e</w:t>
      </w:r>
      <w:r w:rsidR="0040490C" w:rsidRPr="0032235B">
        <w:rPr>
          <w:szCs w:val="22"/>
        </w:rPr>
        <w:t>.</w:t>
      </w:r>
    </w:p>
    <w:p w:rsidR="0040490C" w:rsidRPr="0032235B" w:rsidRDefault="00161043" w:rsidP="0040490C">
      <w:pPr>
        <w:pStyle w:val="Heading4"/>
        <w:keepNext w:val="0"/>
      </w:pPr>
      <w:r w:rsidRPr="0032235B">
        <w:t>Conveniencia de la decisión de la Asamblea del PCT</w:t>
      </w:r>
    </w:p>
    <w:p w:rsidR="0040490C" w:rsidRPr="0032235B" w:rsidRDefault="00616CA0" w:rsidP="0040490C">
      <w:pPr>
        <w:pStyle w:val="ONUME"/>
      </w:pPr>
      <w:r w:rsidRPr="0032235B">
        <w:t xml:space="preserve">La tercera y última pregunta que </w:t>
      </w:r>
      <w:r w:rsidR="00A05D03" w:rsidRPr="0032235B">
        <w:t>surge</w:t>
      </w:r>
      <w:r w:rsidRPr="0032235B">
        <w:t xml:space="preserve"> en este contexto es si resultaría conveniente perseguir un acuerdo que concierna en exclusiva a los Estados </w:t>
      </w:r>
      <w:r w:rsidR="00A05D03" w:rsidRPr="0032235B">
        <w:t>m</w:t>
      </w:r>
      <w:r w:rsidRPr="0032235B">
        <w:t xml:space="preserve">iembros del PCT, esto es, solo a un </w:t>
      </w:r>
      <w:r w:rsidR="0040490C" w:rsidRPr="0032235B">
        <w:t>“</w:t>
      </w:r>
      <w:r w:rsidRPr="0032235B">
        <w:t>subconjunto</w:t>
      </w:r>
      <w:r w:rsidR="0040490C" w:rsidRPr="0032235B">
        <w:t xml:space="preserve">” </w:t>
      </w:r>
      <w:r w:rsidRPr="0032235B">
        <w:t>de l</w:t>
      </w:r>
      <w:r w:rsidR="00A05D03" w:rsidRPr="0032235B">
        <w:t>os Estados miembro</w:t>
      </w:r>
      <w:r w:rsidRPr="0032235B">
        <w:t>s de la Asamblea de la Unión de París</w:t>
      </w:r>
      <w:r w:rsidR="0040490C" w:rsidRPr="0032235B">
        <w:t>.</w:t>
      </w:r>
    </w:p>
    <w:p w:rsidR="0040490C" w:rsidRPr="0032235B" w:rsidRDefault="0083285D" w:rsidP="0040490C">
      <w:pPr>
        <w:pStyle w:val="ONUME"/>
        <w:keepLines/>
      </w:pPr>
      <w:r w:rsidRPr="0032235B">
        <w:t xml:space="preserve">Teniendo en cuenta la importancia de la consideración </w:t>
      </w:r>
      <w:r w:rsidR="00F66A87" w:rsidRPr="0032235B">
        <w:t xml:space="preserve">expuesta </w:t>
      </w:r>
      <w:r w:rsidRPr="0032235B">
        <w:t>en el párrafo</w:t>
      </w:r>
      <w:r w:rsidR="0040490C" w:rsidRPr="0032235B">
        <w:t xml:space="preserve"> 9 </w:t>
      </w:r>
      <w:r w:rsidRPr="0032235B">
        <w:t>del documento </w:t>
      </w:r>
      <w:r w:rsidR="0040490C" w:rsidRPr="0032235B">
        <w:t xml:space="preserve">PCT/A/XVIII/4 </w:t>
      </w:r>
      <w:r w:rsidR="00240AB6" w:rsidRPr="0032235B">
        <w:t>según la cual</w:t>
      </w:r>
      <w:r w:rsidRPr="0032235B">
        <w:t xml:space="preserve"> </w:t>
      </w:r>
      <w:r w:rsidR="0040490C" w:rsidRPr="0032235B">
        <w:t>“</w:t>
      </w:r>
      <w:r w:rsidRPr="0032235B">
        <w:t>no debe</w:t>
      </w:r>
      <w:r w:rsidR="00F66A87" w:rsidRPr="0032235B">
        <w:t>n existir</w:t>
      </w:r>
      <w:r w:rsidRPr="0032235B">
        <w:t xml:space="preserve"> conflictos </w:t>
      </w:r>
      <w:r w:rsidR="0085203E" w:rsidRPr="0032235B">
        <w:t>manifiestos</w:t>
      </w:r>
      <w:r w:rsidRPr="0032235B">
        <w:t xml:space="preserve"> con el Convenio de París y </w:t>
      </w:r>
      <w:r w:rsidR="0085203E" w:rsidRPr="0032235B">
        <w:t>asimismo debe</w:t>
      </w:r>
      <w:r w:rsidR="00A23AF9" w:rsidRPr="0032235B">
        <w:t xml:space="preserve"> haber </w:t>
      </w:r>
      <w:r w:rsidR="0085203E" w:rsidRPr="0032235B">
        <w:t xml:space="preserve">las mínimas </w:t>
      </w:r>
      <w:r w:rsidR="00F66A87" w:rsidRPr="0032235B">
        <w:t xml:space="preserve">incertidumbres </w:t>
      </w:r>
      <w:r w:rsidR="0085203E" w:rsidRPr="0032235B">
        <w:t>posibles</w:t>
      </w:r>
      <w:r w:rsidR="0040490C" w:rsidRPr="0032235B">
        <w:t xml:space="preserve">”, </w:t>
      </w:r>
      <w:r w:rsidR="00F66A87" w:rsidRPr="0032235B">
        <w:t>el hecho de que</w:t>
      </w:r>
      <w:r w:rsidR="0085203E" w:rsidRPr="0032235B">
        <w:t xml:space="preserve"> tan solo un subgrupo de los miembros de la Asamblea de la Unión de París </w:t>
      </w:r>
      <w:r w:rsidR="00240AB6" w:rsidRPr="0032235B">
        <w:t xml:space="preserve">conviniera </w:t>
      </w:r>
      <w:r w:rsidR="0085203E" w:rsidRPr="0032235B">
        <w:t>una interpretación común del Convenio de París apenas contribuir</w:t>
      </w:r>
      <w:r w:rsidR="00435F95" w:rsidRPr="0032235B">
        <w:t xml:space="preserve">ía a </w:t>
      </w:r>
      <w:r w:rsidR="00F66A87" w:rsidRPr="0032235B">
        <w:t xml:space="preserve">despejar </w:t>
      </w:r>
      <w:r w:rsidR="0085203E" w:rsidRPr="0032235B">
        <w:t>la incertidumbre sobre la interpretación del Convenio de París con respecto a las reivindicaciones de prioridad presentadas el mismo día</w:t>
      </w:r>
      <w:r w:rsidR="0040490C" w:rsidRPr="0032235B">
        <w:t>.</w:t>
      </w:r>
    </w:p>
    <w:p w:rsidR="0040490C" w:rsidRPr="0032235B" w:rsidRDefault="00435F95" w:rsidP="0040490C">
      <w:pPr>
        <w:pStyle w:val="ONUME"/>
      </w:pPr>
      <w:r w:rsidRPr="0032235B">
        <w:t>Asimismo</w:t>
      </w:r>
      <w:r w:rsidR="0040490C" w:rsidRPr="0032235B">
        <w:t xml:space="preserve">, </w:t>
      </w:r>
      <w:r w:rsidR="00F66A87" w:rsidRPr="0032235B">
        <w:t xml:space="preserve">el hecho de que </w:t>
      </w:r>
      <w:r w:rsidRPr="0032235B">
        <w:t xml:space="preserve">tan solo un subgrupo de todos los miembros de la Asamblea de la Unión de París </w:t>
      </w:r>
      <w:r w:rsidR="00963674" w:rsidRPr="0032235B">
        <w:t>convenga</w:t>
      </w:r>
      <w:r w:rsidRPr="0032235B">
        <w:t xml:space="preserve"> una interpretación común del Convenio de París, aun </w:t>
      </w:r>
      <w:r w:rsidR="00963674" w:rsidRPr="0032235B">
        <w:t xml:space="preserve">surtiendo </w:t>
      </w:r>
      <w:r w:rsidRPr="0032235B">
        <w:t>efecto en las fases internacional y nacional del procedimiento del PCT</w:t>
      </w:r>
      <w:r w:rsidR="0040490C" w:rsidRPr="0032235B">
        <w:t xml:space="preserve">, </w:t>
      </w:r>
      <w:r w:rsidR="00240AB6" w:rsidRPr="0032235B">
        <w:t>apenas</w:t>
      </w:r>
      <w:r w:rsidRPr="0032235B">
        <w:t xml:space="preserve"> contribuiría a reducir la complejidad </w:t>
      </w:r>
      <w:r w:rsidR="00963674" w:rsidRPr="0032235B">
        <w:t xml:space="preserve">del sistema internacional de patentes </w:t>
      </w:r>
      <w:r w:rsidRPr="0032235B">
        <w:t xml:space="preserve">para los solicitantes y las Oficinas, puesto que no se abordaría </w:t>
      </w:r>
      <w:r w:rsidR="00F66A87" w:rsidRPr="0032235B">
        <w:t xml:space="preserve">exhaustivamente </w:t>
      </w:r>
      <w:r w:rsidRPr="0032235B">
        <w:t xml:space="preserve">la cuestión </w:t>
      </w:r>
      <w:r w:rsidR="00F66A87" w:rsidRPr="0032235B">
        <w:t xml:space="preserve">relativa </w:t>
      </w:r>
      <w:r w:rsidRPr="0032235B">
        <w:t>a las solicitudes nacionales (Convenio de París) e internacionales (PCT</w:t>
      </w:r>
      <w:r w:rsidR="0040490C" w:rsidRPr="0032235B">
        <w:t xml:space="preserve">), </w:t>
      </w:r>
      <w:r w:rsidR="00963674" w:rsidRPr="0032235B">
        <w:t>sea cual sea</w:t>
      </w:r>
      <w:r w:rsidR="00F66A87" w:rsidRPr="0032235B">
        <w:t xml:space="preserve"> </w:t>
      </w:r>
      <w:r w:rsidR="00B03F72" w:rsidRPr="0032235B">
        <w:t xml:space="preserve">la calidad </w:t>
      </w:r>
      <w:r w:rsidR="0040490C" w:rsidRPr="0032235B">
        <w:t>(</w:t>
      </w:r>
      <w:r w:rsidR="00B03F72" w:rsidRPr="0032235B">
        <w:t>nacional o internacional</w:t>
      </w:r>
      <w:r w:rsidR="0040490C" w:rsidRPr="0032235B">
        <w:t xml:space="preserve">) </w:t>
      </w:r>
      <w:r w:rsidR="00B03F72" w:rsidRPr="0032235B">
        <w:t xml:space="preserve">en la que </w:t>
      </w:r>
      <w:r w:rsidR="00963674" w:rsidRPr="0032235B">
        <w:t>actúe</w:t>
      </w:r>
      <w:r w:rsidR="00B03F72" w:rsidRPr="0032235B">
        <w:t xml:space="preserve"> la Oficina</w:t>
      </w:r>
      <w:r w:rsidR="0040490C" w:rsidRPr="0032235B">
        <w:t xml:space="preserve">.  </w:t>
      </w:r>
      <w:r w:rsidR="00B03F72" w:rsidRPr="0032235B">
        <w:t>Solo se lograría una solución integral por medio de una interpretación común del Convenio de París convenida por la Asamblea de la Unión de París</w:t>
      </w:r>
      <w:r w:rsidR="0040490C" w:rsidRPr="0032235B">
        <w:t>.</w:t>
      </w:r>
    </w:p>
    <w:p w:rsidR="0040490C" w:rsidRPr="0032235B" w:rsidRDefault="0054265A" w:rsidP="0040490C">
      <w:pPr>
        <w:pStyle w:val="Heading3"/>
        <w:keepNext w:val="0"/>
      </w:pPr>
      <w:r w:rsidRPr="0032235B">
        <w:t>Opción </w:t>
      </w:r>
      <w:r w:rsidR="0040490C" w:rsidRPr="0032235B">
        <w:t>3:  </w:t>
      </w:r>
      <w:r w:rsidRPr="0032235B">
        <w:t xml:space="preserve">Modificar el Reglamento del PCT para facilitar que las Oficinas designadas adopten decisiones sobre este </w:t>
      </w:r>
      <w:r w:rsidR="00F66A87" w:rsidRPr="0032235B">
        <w:t>asunto</w:t>
      </w:r>
      <w:r w:rsidRPr="0032235B">
        <w:t xml:space="preserve"> en la fase nacional</w:t>
      </w:r>
    </w:p>
    <w:p w:rsidR="0040490C" w:rsidRPr="0032235B" w:rsidRDefault="0054265A" w:rsidP="0040490C">
      <w:pPr>
        <w:pStyle w:val="ONUME"/>
      </w:pPr>
      <w:r w:rsidRPr="0032235B">
        <w:t xml:space="preserve">Una tercera opción posible </w:t>
      </w:r>
      <w:r w:rsidR="0040490C" w:rsidRPr="0032235B">
        <w:t>—</w:t>
      </w:r>
      <w:r w:rsidRPr="0032235B">
        <w:t xml:space="preserve">en consonancia con las consideraciones </w:t>
      </w:r>
      <w:r w:rsidR="00F66A87" w:rsidRPr="0032235B">
        <w:t>expuestas</w:t>
      </w:r>
      <w:r w:rsidRPr="0032235B">
        <w:t xml:space="preserve"> en el párrafo</w:t>
      </w:r>
      <w:r w:rsidR="0040490C" w:rsidRPr="0032235B">
        <w:t xml:space="preserve"> 9 </w:t>
      </w:r>
      <w:r w:rsidRPr="0032235B">
        <w:t>del documento </w:t>
      </w:r>
      <w:r w:rsidR="0040490C" w:rsidRPr="0032235B">
        <w:t xml:space="preserve">PCT/A/XVIII/4 </w:t>
      </w:r>
      <w:r w:rsidR="00F66A87" w:rsidRPr="0032235B">
        <w:t>en cuanto</w:t>
      </w:r>
      <w:r w:rsidRPr="0032235B">
        <w:t xml:space="preserve"> a la</w:t>
      </w:r>
      <w:r w:rsidR="00F66A87" w:rsidRPr="0032235B">
        <w:t xml:space="preserve"> necesidad de una evaluación sus</w:t>
      </w:r>
      <w:r w:rsidRPr="0032235B">
        <w:t>tantiva en la fase internacional de la validez de la reivindicación de prioridad</w:t>
      </w:r>
      <w:r w:rsidR="0040490C" w:rsidRPr="0032235B">
        <w:t>—</w:t>
      </w:r>
      <w:r w:rsidRPr="0032235B">
        <w:t xml:space="preserve"> </w:t>
      </w:r>
      <w:r w:rsidR="00B87DA8" w:rsidRPr="0032235B">
        <w:t xml:space="preserve">consistiría en poner fin al menos a las prácticas </w:t>
      </w:r>
      <w:r w:rsidR="00240AB6" w:rsidRPr="0032235B">
        <w:t xml:space="preserve">diferentes </w:t>
      </w:r>
      <w:r w:rsidR="00B87DA8" w:rsidRPr="0032235B">
        <w:t>de las Oficinas receptoras con respecto a las reivindicaciones de prioridad presentadas el mismo día</w:t>
      </w:r>
      <w:r w:rsidR="0040490C" w:rsidRPr="0032235B">
        <w:t xml:space="preserve">.  </w:t>
      </w:r>
      <w:r w:rsidR="00B87DA8" w:rsidRPr="0032235B">
        <w:t xml:space="preserve">Se podría modificar el Reglamento del </w:t>
      </w:r>
      <w:r w:rsidR="0040490C" w:rsidRPr="0032235B">
        <w:t xml:space="preserve">PCT </w:t>
      </w:r>
      <w:r w:rsidR="00240AB6" w:rsidRPr="0032235B">
        <w:t>con e</w:t>
      </w:r>
      <w:r w:rsidR="00B87DA8" w:rsidRPr="0032235B">
        <w:t xml:space="preserve">l objeto de exigir expresamente a las Oficinas receptoras que </w:t>
      </w:r>
      <w:r w:rsidR="0040490C" w:rsidRPr="0032235B">
        <w:rPr>
          <w:i/>
        </w:rPr>
        <w:t>no</w:t>
      </w:r>
      <w:r w:rsidR="0040490C" w:rsidRPr="0032235B">
        <w:t xml:space="preserve"> </w:t>
      </w:r>
      <w:r w:rsidR="00B87DA8" w:rsidRPr="0032235B">
        <w:t>anularan ninguna reivindicación de prioridad presentada el mismo día para facilitar que las Oficinas designadas adoptaran decisiones al respecto en la fase nacional del procedimiento del PCT, con arreglo a sus legislaciones nacionales</w:t>
      </w:r>
      <w:r w:rsidR="0040490C" w:rsidRPr="0032235B">
        <w:t xml:space="preserve">, </w:t>
      </w:r>
      <w:r w:rsidR="00B87DA8" w:rsidRPr="0032235B">
        <w:t>solución similar a la que se había propuesto y debatido en</w:t>
      </w:r>
      <w:r w:rsidR="0040490C" w:rsidRPr="0032235B">
        <w:t xml:space="preserve"> 1991.  </w:t>
      </w:r>
      <w:r w:rsidR="00454211" w:rsidRPr="0032235B">
        <w:t>Como resultado</w:t>
      </w:r>
      <w:r w:rsidR="00B87DA8" w:rsidRPr="0032235B">
        <w:t xml:space="preserve">, todos los solicitantes </w:t>
      </w:r>
      <w:r w:rsidR="00454211" w:rsidRPr="0032235B">
        <w:t xml:space="preserve">estarían </w:t>
      </w:r>
      <w:r w:rsidR="00B87DA8" w:rsidRPr="0032235B">
        <w:t xml:space="preserve">en igualdad de condiciones con relación a la validez de las reivindicaciones de prioridad presentadas el mismo día a los fines de la fase internacional, </w:t>
      </w:r>
      <w:r w:rsidR="00454211" w:rsidRPr="0032235B">
        <w:t xml:space="preserve">sea cual </w:t>
      </w:r>
      <w:r w:rsidR="007628C4" w:rsidRPr="0032235B">
        <w:t>sea</w:t>
      </w:r>
      <w:r w:rsidR="00B87DA8" w:rsidRPr="0032235B">
        <w:t xml:space="preserve"> la Oficina receptora en la que </w:t>
      </w:r>
      <w:r w:rsidR="00454211" w:rsidRPr="0032235B">
        <w:t>hubieran</w:t>
      </w:r>
      <w:r w:rsidR="00B87DA8" w:rsidRPr="0032235B">
        <w:t xml:space="preserve"> presentado la solicitud internacional</w:t>
      </w:r>
      <w:r w:rsidR="0040490C" w:rsidRPr="0032235B">
        <w:t>.</w:t>
      </w:r>
    </w:p>
    <w:p w:rsidR="0040490C" w:rsidRPr="0032235B" w:rsidRDefault="00240AB6" w:rsidP="0040490C">
      <w:pPr>
        <w:pStyle w:val="ONUME"/>
      </w:pPr>
      <w:r w:rsidRPr="0032235B">
        <w:lastRenderedPageBreak/>
        <w:t>De acuerdo con</w:t>
      </w:r>
      <w:r w:rsidR="000E34B3" w:rsidRPr="0032235B">
        <w:t xml:space="preserve"> esta opción, ante la ausencia de una revisión formal del Convenio de París</w:t>
      </w:r>
      <w:r w:rsidR="0040490C" w:rsidRPr="0032235B">
        <w:t xml:space="preserve"> </w:t>
      </w:r>
      <w:r w:rsidR="000E34B3" w:rsidRPr="0032235B">
        <w:t>(véase la opción</w:t>
      </w:r>
      <w:r w:rsidR="0040490C" w:rsidRPr="0032235B">
        <w:t xml:space="preserve"> 1), </w:t>
      </w:r>
      <w:r w:rsidR="00251E72" w:rsidRPr="0032235B">
        <w:t xml:space="preserve">la decisión final </w:t>
      </w:r>
      <w:r w:rsidR="005C730A" w:rsidRPr="0032235B">
        <w:t>de</w:t>
      </w:r>
      <w:r w:rsidR="00251E72" w:rsidRPr="0032235B">
        <w:t xml:space="preserve"> admitir las reivindicaciones</w:t>
      </w:r>
      <w:r w:rsidR="005C730A" w:rsidRPr="0032235B">
        <w:t xml:space="preserve"> de prioridad presentadas el mis</w:t>
      </w:r>
      <w:r w:rsidR="00251E72" w:rsidRPr="0032235B">
        <w:t>mo día en virtud del Convenio de París</w:t>
      </w:r>
      <w:r w:rsidR="0040490C" w:rsidRPr="0032235B">
        <w:t xml:space="preserve"> </w:t>
      </w:r>
      <w:r w:rsidR="00251E72" w:rsidRPr="0032235B">
        <w:t>seguiría dependiendo de la legislación nacional de cada Estado designado</w:t>
      </w:r>
      <w:r w:rsidR="0040490C" w:rsidRPr="0032235B">
        <w:t xml:space="preserve">.  </w:t>
      </w:r>
      <w:r w:rsidR="005C730A" w:rsidRPr="0032235B">
        <w:t>Por tanto, c</w:t>
      </w:r>
      <w:r w:rsidR="00251E72" w:rsidRPr="0032235B">
        <w:t xml:space="preserve">on esta opción </w:t>
      </w:r>
      <w:r w:rsidR="005C730A" w:rsidRPr="0032235B">
        <w:t xml:space="preserve">se mantendría </w:t>
      </w:r>
      <w:r w:rsidR="00251E72" w:rsidRPr="0032235B">
        <w:t>toda la complejidad para los solicitantes y las Oficinas</w:t>
      </w:r>
      <w:r w:rsidR="005C730A" w:rsidRPr="0032235B">
        <w:t xml:space="preserve"> mencionada en el párrafo </w:t>
      </w:r>
      <w:r w:rsidR="005C730A" w:rsidRPr="0032235B">
        <w:fldChar w:fldCharType="begin"/>
      </w:r>
      <w:r w:rsidR="005C730A" w:rsidRPr="0032235B">
        <w:instrText xml:space="preserve"> REF _Ref404083784 \r \h </w:instrText>
      </w:r>
      <w:r w:rsidR="0032235B">
        <w:instrText xml:space="preserve"> \* MERGEFORMAT </w:instrText>
      </w:r>
      <w:r w:rsidR="005C730A" w:rsidRPr="0032235B">
        <w:fldChar w:fldCharType="separate"/>
      </w:r>
      <w:r w:rsidR="00EA4E0A">
        <w:t>9</w:t>
      </w:r>
      <w:r w:rsidR="005C730A" w:rsidRPr="0032235B">
        <w:fldChar w:fldCharType="end"/>
      </w:r>
      <w:r w:rsidR="005C730A" w:rsidRPr="0032235B">
        <w:t xml:space="preserve"> </w:t>
      </w:r>
      <w:r w:rsidR="005C730A" w:rsidRPr="0032235B">
        <w:rPr>
          <w:i/>
        </w:rPr>
        <w:t>supra</w:t>
      </w:r>
      <w:r w:rsidR="00251E72" w:rsidRPr="0032235B">
        <w:t xml:space="preserve">, dado que no se abordaría la cuestión de las reivindicaciones de prioridad presentadas el mismo día de una forma integral </w:t>
      </w:r>
      <w:r w:rsidR="00142DC2" w:rsidRPr="0032235B">
        <w:t>con efecto</w:t>
      </w:r>
      <w:r w:rsidR="00251E72" w:rsidRPr="0032235B">
        <w:t xml:space="preserve"> en las fases internacional y nacional del procedimiento del </w:t>
      </w:r>
      <w:r w:rsidR="0040490C" w:rsidRPr="0032235B">
        <w:t xml:space="preserve">PCT;  </w:t>
      </w:r>
      <w:r w:rsidR="00251E72" w:rsidRPr="0032235B">
        <w:t>tampoco se abordaría la cuesti</w:t>
      </w:r>
      <w:r w:rsidR="00142DC2" w:rsidRPr="0032235B">
        <w:t>ón con efecto</w:t>
      </w:r>
      <w:r w:rsidR="00251E72" w:rsidRPr="0032235B">
        <w:t xml:space="preserve"> en las solicitudes nacionales (Convenio de París)</w:t>
      </w:r>
      <w:r w:rsidR="00B94869">
        <w:t>.</w:t>
      </w:r>
    </w:p>
    <w:p w:rsidR="0040490C" w:rsidRPr="0032235B" w:rsidRDefault="00251E72" w:rsidP="0040490C">
      <w:pPr>
        <w:pStyle w:val="ONUME"/>
      </w:pPr>
      <w:r w:rsidRPr="0032235B">
        <w:t>Por otro lado, teniendo en cuenta las consideraciones de los párrafos</w:t>
      </w:r>
      <w:r w:rsidR="0040490C" w:rsidRPr="0032235B">
        <w:t> </w:t>
      </w:r>
      <w:r w:rsidR="0040490C" w:rsidRPr="0032235B">
        <w:fldChar w:fldCharType="begin"/>
      </w:r>
      <w:r w:rsidR="0040490C" w:rsidRPr="0032235B">
        <w:instrText xml:space="preserve"> REF _Ref406486876 \r \h </w:instrText>
      </w:r>
      <w:r w:rsidR="0032235B">
        <w:instrText xml:space="preserve"> \* MERGEFORMAT </w:instrText>
      </w:r>
      <w:r w:rsidR="0040490C" w:rsidRPr="0032235B">
        <w:fldChar w:fldCharType="separate"/>
      </w:r>
      <w:r w:rsidR="00EA4E0A">
        <w:t>12</w:t>
      </w:r>
      <w:r w:rsidR="0040490C" w:rsidRPr="0032235B">
        <w:fldChar w:fldCharType="end"/>
      </w:r>
      <w:r w:rsidR="0040490C" w:rsidRPr="0032235B">
        <w:t xml:space="preserve"> </w:t>
      </w:r>
      <w:r w:rsidRPr="0032235B">
        <w:t xml:space="preserve">y </w:t>
      </w:r>
      <w:r w:rsidR="0040490C" w:rsidRPr="0032235B">
        <w:fldChar w:fldCharType="begin"/>
      </w:r>
      <w:r w:rsidR="0040490C" w:rsidRPr="0032235B">
        <w:instrText xml:space="preserve"> REF _Ref406486878 \r \h </w:instrText>
      </w:r>
      <w:r w:rsidR="0032235B">
        <w:instrText xml:space="preserve"> \* MERGEFORMAT </w:instrText>
      </w:r>
      <w:r w:rsidR="0040490C" w:rsidRPr="0032235B">
        <w:fldChar w:fldCharType="separate"/>
      </w:r>
      <w:r w:rsidR="00EA4E0A">
        <w:t>16</w:t>
      </w:r>
      <w:r w:rsidR="0040490C" w:rsidRPr="0032235B">
        <w:fldChar w:fldCharType="end"/>
      </w:r>
      <w:r w:rsidRPr="0032235B">
        <w:t xml:space="preserve"> </w:t>
      </w:r>
      <w:r w:rsidRPr="0032235B">
        <w:rPr>
          <w:i/>
        </w:rPr>
        <w:t>supra</w:t>
      </w:r>
      <w:r w:rsidR="0040490C" w:rsidRPr="0032235B">
        <w:t xml:space="preserve">, </w:t>
      </w:r>
      <w:r w:rsidR="00D23AD8" w:rsidRPr="0032235B">
        <w:t>parece</w:t>
      </w:r>
      <w:r w:rsidR="005112D6" w:rsidRPr="0032235B">
        <w:t xml:space="preserve"> que esta opción, a pesar de </w:t>
      </w:r>
      <w:r w:rsidR="00240AB6" w:rsidRPr="0032235B">
        <w:t>esos</w:t>
      </w:r>
      <w:r w:rsidR="00D23AD8" w:rsidRPr="0032235B">
        <w:t xml:space="preserve"> </w:t>
      </w:r>
      <w:r w:rsidR="005112D6" w:rsidRPr="0032235B">
        <w:t>defecto</w:t>
      </w:r>
      <w:r w:rsidR="0040490C" w:rsidRPr="0032235B">
        <w:t xml:space="preserve">s, </w:t>
      </w:r>
      <w:r w:rsidR="005112D6" w:rsidRPr="0032235B">
        <w:t>se podría considerar la forma más realista de proceder, al menos a corto plazo</w:t>
      </w:r>
      <w:r w:rsidR="0040490C" w:rsidRPr="0032235B">
        <w:t>.</w:t>
      </w:r>
    </w:p>
    <w:p w:rsidR="0040490C" w:rsidRPr="0032235B" w:rsidRDefault="00AE6E00" w:rsidP="0040490C">
      <w:pPr>
        <w:pStyle w:val="Heading3"/>
      </w:pPr>
      <w:r w:rsidRPr="0032235B">
        <w:t>Opción </w:t>
      </w:r>
      <w:r w:rsidR="0040490C" w:rsidRPr="0032235B">
        <w:t xml:space="preserve">4:  </w:t>
      </w:r>
      <w:r w:rsidR="00A83E7E" w:rsidRPr="0032235B">
        <w:t>Ceder</w:t>
      </w:r>
      <w:r w:rsidRPr="0032235B">
        <w:t xml:space="preserve"> la interpretación a las distintas Oficinas receptoras</w:t>
      </w:r>
    </w:p>
    <w:p w:rsidR="0040490C" w:rsidRPr="0032235B" w:rsidRDefault="00AE6E00" w:rsidP="00AE6E00">
      <w:pPr>
        <w:pStyle w:val="ONUME"/>
      </w:pPr>
      <w:r w:rsidRPr="0032235B">
        <w:t>Una cuarta y última opción consistiría en no hacer nada y mantener la situación actual descrita en el párrafo</w:t>
      </w:r>
      <w:r w:rsidR="0040490C" w:rsidRPr="0032235B">
        <w:t> </w:t>
      </w:r>
      <w:r w:rsidR="0040490C" w:rsidRPr="0032235B">
        <w:fldChar w:fldCharType="begin"/>
      </w:r>
      <w:r w:rsidR="0040490C" w:rsidRPr="0032235B">
        <w:instrText xml:space="preserve"> REF _Ref404083784 \r \h </w:instrText>
      </w:r>
      <w:r w:rsidR="0032235B">
        <w:instrText xml:space="preserve"> \* MERGEFORMAT </w:instrText>
      </w:r>
      <w:r w:rsidR="0040490C" w:rsidRPr="0032235B">
        <w:fldChar w:fldCharType="separate"/>
      </w:r>
      <w:r w:rsidR="00EA4E0A">
        <w:t>9</w:t>
      </w:r>
      <w:r w:rsidR="0040490C" w:rsidRPr="0032235B">
        <w:fldChar w:fldCharType="end"/>
      </w:r>
      <w:r w:rsidRPr="0032235B">
        <w:t xml:space="preserve"> supra</w:t>
      </w:r>
      <w:r w:rsidR="0040490C" w:rsidRPr="0032235B">
        <w:t>, “</w:t>
      </w:r>
      <w:r w:rsidRPr="0032235B">
        <w:t>tal cual</w:t>
      </w:r>
      <w:r w:rsidR="0040490C" w:rsidRPr="0032235B">
        <w:t xml:space="preserve">”, </w:t>
      </w:r>
      <w:r w:rsidRPr="0032235B">
        <w:t xml:space="preserve">dejando la </w:t>
      </w:r>
      <w:r w:rsidR="0040490C" w:rsidRPr="0032235B">
        <w:t>“</w:t>
      </w:r>
      <w:r w:rsidRPr="0032235B">
        <w:t>suerte</w:t>
      </w:r>
      <w:r w:rsidR="0040490C" w:rsidRPr="0032235B">
        <w:t xml:space="preserve">” </w:t>
      </w:r>
      <w:r w:rsidRPr="0032235B">
        <w:t>de las reivindicaciones de prioridad presentadas el mismo día</w:t>
      </w:r>
      <w:r w:rsidR="00AF1500" w:rsidRPr="0032235B">
        <w:t xml:space="preserve"> </w:t>
      </w:r>
      <w:r w:rsidRPr="0032235B">
        <w:rPr>
          <w:szCs w:val="22"/>
        </w:rPr>
        <w:t>a expensas de la interpretación de la Oficina receptora en la que se presenta la solicitud internacional</w:t>
      </w:r>
      <w:r w:rsidR="00AF1500" w:rsidRPr="0032235B">
        <w:t xml:space="preserve">, </w:t>
      </w:r>
      <w:r w:rsidR="00AF1500" w:rsidRPr="0032235B">
        <w:rPr>
          <w:szCs w:val="22"/>
        </w:rPr>
        <w:t xml:space="preserve">en el caso de la fase internacional, </w:t>
      </w:r>
      <w:r w:rsidRPr="0032235B">
        <w:rPr>
          <w:szCs w:val="22"/>
        </w:rPr>
        <w:t>y</w:t>
      </w:r>
      <w:r w:rsidR="00AF1500" w:rsidRPr="0032235B">
        <w:rPr>
          <w:szCs w:val="22"/>
        </w:rPr>
        <w:t xml:space="preserve"> </w:t>
      </w:r>
      <w:r w:rsidR="00195020" w:rsidRPr="0032235B">
        <w:rPr>
          <w:szCs w:val="22"/>
        </w:rPr>
        <w:t>de</w:t>
      </w:r>
      <w:r w:rsidRPr="0032235B">
        <w:rPr>
          <w:szCs w:val="22"/>
        </w:rPr>
        <w:t xml:space="preserve"> las distintas interpretaciones de las Oficinas designadas en virtud de su legislación nacional aplicable</w:t>
      </w:r>
      <w:r w:rsidR="00AF1500" w:rsidRPr="0032235B">
        <w:rPr>
          <w:szCs w:val="22"/>
        </w:rPr>
        <w:t xml:space="preserve">, </w:t>
      </w:r>
      <w:r w:rsidR="009820E3" w:rsidRPr="0032235B">
        <w:rPr>
          <w:szCs w:val="22"/>
        </w:rPr>
        <w:t>en</w:t>
      </w:r>
      <w:r w:rsidR="00D4719C" w:rsidRPr="0032235B">
        <w:rPr>
          <w:szCs w:val="22"/>
        </w:rPr>
        <w:t xml:space="preserve"> el caso de</w:t>
      </w:r>
      <w:r w:rsidR="009820E3" w:rsidRPr="0032235B">
        <w:rPr>
          <w:szCs w:val="22"/>
        </w:rPr>
        <w:t xml:space="preserve"> </w:t>
      </w:r>
      <w:r w:rsidR="00AF1500" w:rsidRPr="0032235B">
        <w:rPr>
          <w:szCs w:val="22"/>
        </w:rPr>
        <w:t>la fase nacional</w:t>
      </w:r>
      <w:r w:rsidR="0040490C" w:rsidRPr="0032235B">
        <w:t xml:space="preserve">.  </w:t>
      </w:r>
      <w:r w:rsidRPr="0032235B">
        <w:t xml:space="preserve">Si se decide adoptar este enfoque, </w:t>
      </w:r>
      <w:r w:rsidR="00195020" w:rsidRPr="0032235B">
        <w:t>puede</w:t>
      </w:r>
      <w:r w:rsidRPr="0032235B">
        <w:t xml:space="preserve"> resultar conveniente modificar las Directrices para las Oficinas receptoras del PCT y la Guía del solicitante del PCT para indicar que se trata de una esfera en la que las Oficinas receptoras</w:t>
      </w:r>
      <w:r w:rsidR="00A91159" w:rsidRPr="0032235B">
        <w:t xml:space="preserve"> </w:t>
      </w:r>
      <w:r w:rsidR="009820E3" w:rsidRPr="0032235B">
        <w:t>siguen prácticas distintas</w:t>
      </w:r>
      <w:r w:rsidR="0040490C" w:rsidRPr="0032235B">
        <w:t>.</w:t>
      </w:r>
    </w:p>
    <w:p w:rsidR="0040490C" w:rsidRPr="0032235B" w:rsidRDefault="00705099" w:rsidP="0040490C">
      <w:pPr>
        <w:pStyle w:val="ONUME"/>
        <w:ind w:left="5533"/>
        <w:rPr>
          <w:i/>
        </w:rPr>
      </w:pPr>
      <w:r w:rsidRPr="0032235B">
        <w:rPr>
          <w:i/>
        </w:rPr>
        <w:t>Se invita a</w:t>
      </w:r>
      <w:r w:rsidR="00966E99" w:rsidRPr="0032235B">
        <w:rPr>
          <w:i/>
        </w:rPr>
        <w:t>l Grupo de Trabajo</w:t>
      </w:r>
      <w:r w:rsidRPr="0032235B">
        <w:rPr>
          <w:i/>
        </w:rPr>
        <w:t xml:space="preserve"> a formular comentarios sobre los temas tratados en el presente documento</w:t>
      </w:r>
      <w:r w:rsidR="0040490C" w:rsidRPr="0032235B">
        <w:rPr>
          <w:i/>
        </w:rPr>
        <w:t>.</w:t>
      </w:r>
      <w:r w:rsidR="0040490C" w:rsidRPr="0032235B">
        <w:rPr>
          <w:i/>
        </w:rPr>
        <w:br/>
      </w:r>
    </w:p>
    <w:p w:rsidR="00152CEA" w:rsidRPr="00175C24" w:rsidRDefault="0040490C" w:rsidP="0040490C">
      <w:pPr>
        <w:pStyle w:val="Endofdocument-Annex"/>
        <w:rPr>
          <w:lang w:val="es-ES"/>
        </w:rPr>
      </w:pPr>
      <w:r w:rsidRPr="0032235B">
        <w:rPr>
          <w:lang w:val="es-ES"/>
        </w:rPr>
        <w:t>[</w:t>
      </w:r>
      <w:r w:rsidR="007D3C65" w:rsidRPr="0032235B">
        <w:rPr>
          <w:lang w:val="es-ES"/>
        </w:rPr>
        <w:t xml:space="preserve">Fin del </w:t>
      </w:r>
      <w:r w:rsidRPr="0032235B">
        <w:rPr>
          <w:lang w:val="es-ES"/>
        </w:rPr>
        <w:t>document</w:t>
      </w:r>
      <w:r w:rsidR="007D3C65" w:rsidRPr="0032235B">
        <w:rPr>
          <w:lang w:val="es-ES"/>
        </w:rPr>
        <w:t>o</w:t>
      </w:r>
      <w:r w:rsidRPr="0032235B">
        <w:rPr>
          <w:lang w:val="es-ES"/>
        </w:rPr>
        <w:t>]</w:t>
      </w:r>
    </w:p>
    <w:sectPr w:rsidR="00152CEA" w:rsidRPr="00175C24" w:rsidSect="0040490C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805" w:rsidRDefault="00EA1805">
      <w:r>
        <w:separator/>
      </w:r>
    </w:p>
  </w:endnote>
  <w:endnote w:type="continuationSeparator" w:id="0">
    <w:p w:rsidR="00EA1805" w:rsidRPr="009D30E6" w:rsidRDefault="00EA180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A1805" w:rsidRPr="007E663E" w:rsidRDefault="00EA180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EA1805" w:rsidRPr="007E663E" w:rsidRDefault="00EA1805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805" w:rsidRDefault="00EA1805">
      <w:r>
        <w:separator/>
      </w:r>
    </w:p>
  </w:footnote>
  <w:footnote w:type="continuationSeparator" w:id="0">
    <w:p w:rsidR="00EA1805" w:rsidRPr="009D30E6" w:rsidRDefault="00EA180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A1805" w:rsidRPr="007E663E" w:rsidRDefault="00EA180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EA1805" w:rsidRPr="007E663E" w:rsidRDefault="00EA1805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EA1805" w:rsidRPr="00306C93" w:rsidRDefault="00EA1805" w:rsidP="0040490C">
      <w:pPr>
        <w:pStyle w:val="FootnoteText"/>
        <w:tabs>
          <w:tab w:val="left" w:pos="540"/>
        </w:tabs>
      </w:pPr>
      <w:r>
        <w:rPr>
          <w:rStyle w:val="FootnoteReference"/>
        </w:rPr>
        <w:footnoteRef/>
      </w:r>
      <w:r w:rsidRPr="002126D7">
        <w:t xml:space="preserve"> </w:t>
      </w:r>
      <w:r w:rsidRPr="002126D7">
        <w:tab/>
      </w:r>
      <w:r w:rsidRPr="00306C93">
        <w:t xml:space="preserve">Aunque en el Artículo 18 del Convenio de París no se menciona la cuestión relativa a la mayoría necesaria para modificar los artículos del Convenio de París distintos a los Artículos 13 a 17 (con respecto a estos artículos, véase el Artículo 17 del Convenio de París), </w:t>
      </w:r>
      <w:proofErr w:type="spellStart"/>
      <w:r w:rsidRPr="00306C93">
        <w:t>Bodenhausen</w:t>
      </w:r>
      <w:proofErr w:type="spellEnd"/>
      <w:r w:rsidRPr="00306C93">
        <w:t xml:space="preserve">, en su </w:t>
      </w:r>
      <w:r w:rsidRPr="00306C93">
        <w:rPr>
          <w:i/>
        </w:rPr>
        <w:t xml:space="preserve">Guide to </w:t>
      </w:r>
      <w:proofErr w:type="spellStart"/>
      <w:r w:rsidRPr="00306C93">
        <w:rPr>
          <w:i/>
        </w:rPr>
        <w:t>the</w:t>
      </w:r>
      <w:proofErr w:type="spellEnd"/>
      <w:r w:rsidRPr="00306C93">
        <w:rPr>
          <w:i/>
        </w:rPr>
        <w:t xml:space="preserve"> </w:t>
      </w:r>
      <w:proofErr w:type="spellStart"/>
      <w:r w:rsidRPr="00306C93">
        <w:rPr>
          <w:i/>
        </w:rPr>
        <w:t>Application</w:t>
      </w:r>
      <w:proofErr w:type="spellEnd"/>
      <w:r w:rsidRPr="00306C93">
        <w:rPr>
          <w:i/>
        </w:rPr>
        <w:t xml:space="preserve"> of </w:t>
      </w:r>
      <w:proofErr w:type="spellStart"/>
      <w:r w:rsidRPr="00306C93">
        <w:rPr>
          <w:i/>
        </w:rPr>
        <w:t>the</w:t>
      </w:r>
      <w:proofErr w:type="spellEnd"/>
      <w:r w:rsidRPr="00306C93">
        <w:rPr>
          <w:i/>
        </w:rPr>
        <w:t xml:space="preserve"> Paris </w:t>
      </w:r>
      <w:proofErr w:type="spellStart"/>
      <w:r w:rsidRPr="00306C93">
        <w:rPr>
          <w:i/>
        </w:rPr>
        <w:t>Convention</w:t>
      </w:r>
      <w:proofErr w:type="spellEnd"/>
      <w:r w:rsidRPr="00306C93">
        <w:rPr>
          <w:i/>
        </w:rPr>
        <w:t xml:space="preserve"> </w:t>
      </w:r>
      <w:proofErr w:type="spellStart"/>
      <w:r w:rsidRPr="00306C93">
        <w:rPr>
          <w:i/>
        </w:rPr>
        <w:t>for</w:t>
      </w:r>
      <w:proofErr w:type="spellEnd"/>
      <w:r w:rsidRPr="00306C93">
        <w:rPr>
          <w:i/>
        </w:rPr>
        <w:t xml:space="preserve"> </w:t>
      </w:r>
      <w:proofErr w:type="spellStart"/>
      <w:r w:rsidRPr="00306C93">
        <w:rPr>
          <w:i/>
        </w:rPr>
        <w:t>the</w:t>
      </w:r>
      <w:proofErr w:type="spellEnd"/>
      <w:r w:rsidRPr="00306C93">
        <w:rPr>
          <w:i/>
        </w:rPr>
        <w:t xml:space="preserve"> </w:t>
      </w:r>
      <w:proofErr w:type="spellStart"/>
      <w:r w:rsidRPr="00306C93">
        <w:rPr>
          <w:i/>
        </w:rPr>
        <w:t>Protection</w:t>
      </w:r>
      <w:proofErr w:type="spellEnd"/>
      <w:r w:rsidRPr="00306C93">
        <w:rPr>
          <w:i/>
        </w:rPr>
        <w:t xml:space="preserve"> of Industrial </w:t>
      </w:r>
      <w:proofErr w:type="spellStart"/>
      <w:r w:rsidRPr="00306C93">
        <w:rPr>
          <w:i/>
        </w:rPr>
        <w:t>Property</w:t>
      </w:r>
      <w:proofErr w:type="spellEnd"/>
      <w:r w:rsidRPr="00306C93">
        <w:t xml:space="preserve"> (Publicación de la OMPI Nº 611), se refiere a la “norma arraigada que se contempla en las distintas conferencias de revisión, conforme a la cual es necesario el voto unánime de todos los Estados participantes en dichas conferencias para revisar todas las disposiciones del Convenio (en virtud del texto de Estocolmo, a excepción de los Artículos 13 a 17;  véase el Artículo 17).  La Unión debe contemplar esta norma arraigada como vinculante hasta que sea modificada por una disposición contraria aprobada de conformidad con la misma regla.”</w:t>
      </w:r>
    </w:p>
  </w:footnote>
  <w:footnote w:id="3">
    <w:p w:rsidR="00EA1805" w:rsidRPr="002126D7" w:rsidRDefault="00EA1805" w:rsidP="004643F1">
      <w:pPr>
        <w:pStyle w:val="FootnoteText"/>
        <w:tabs>
          <w:tab w:val="left" w:pos="540"/>
        </w:tabs>
      </w:pPr>
      <w:r w:rsidRPr="00306C93">
        <w:rPr>
          <w:rStyle w:val="FootnoteReference"/>
        </w:rPr>
        <w:footnoteRef/>
      </w:r>
      <w:r w:rsidRPr="00306C93">
        <w:t xml:space="preserve"> </w:t>
      </w:r>
      <w:r w:rsidRPr="00306C93">
        <w:tab/>
        <w:t xml:space="preserve">Artículo 13.2)b) del Convenio de </w:t>
      </w:r>
      <w:r w:rsidRPr="00B4705E">
        <w:t>París</w:t>
      </w:r>
      <w:proofErr w:type="gramStart"/>
      <w:r w:rsidRPr="00B4705E">
        <w:t>:  “</w:t>
      </w:r>
      <w:proofErr w:type="gramEnd"/>
      <w:r w:rsidRPr="00D26AF9">
        <w:t>En cuestiones que interesen igualmente a otras Uniones administradas por la Organización, la Asamblea tomará sus decisiones teniendo en cuenta el dictamen del Comité de Coordinación de la Organización”.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805" w:rsidRDefault="00EA1805" w:rsidP="00477D6B">
    <w:pPr>
      <w:jc w:val="right"/>
    </w:pPr>
    <w:bookmarkStart w:id="17" w:name="Code2"/>
    <w:bookmarkEnd w:id="17"/>
    <w:r>
      <w:t>PCT/WG/8/5</w:t>
    </w:r>
  </w:p>
  <w:p w:rsidR="00EA1805" w:rsidRDefault="00EA1805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A4E0A">
      <w:rPr>
        <w:noProof/>
      </w:rPr>
      <w:t>2</w:t>
    </w:r>
    <w:r>
      <w:fldChar w:fldCharType="end"/>
    </w:r>
  </w:p>
  <w:p w:rsidR="00EA1805" w:rsidRDefault="00EA180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90C"/>
    <w:rsid w:val="00005448"/>
    <w:rsid w:val="00010686"/>
    <w:rsid w:val="00052915"/>
    <w:rsid w:val="00052D60"/>
    <w:rsid w:val="00097A3B"/>
    <w:rsid w:val="000E34B3"/>
    <w:rsid w:val="000E3BB3"/>
    <w:rsid w:val="000E63BF"/>
    <w:rsid w:val="000F51C0"/>
    <w:rsid w:val="000F5E56"/>
    <w:rsid w:val="001362EE"/>
    <w:rsid w:val="00142DC2"/>
    <w:rsid w:val="00143154"/>
    <w:rsid w:val="0014770C"/>
    <w:rsid w:val="00152CEA"/>
    <w:rsid w:val="00161043"/>
    <w:rsid w:val="00170245"/>
    <w:rsid w:val="00175C24"/>
    <w:rsid w:val="001832A6"/>
    <w:rsid w:val="00195020"/>
    <w:rsid w:val="001C22AF"/>
    <w:rsid w:val="001C66DC"/>
    <w:rsid w:val="002126D7"/>
    <w:rsid w:val="0021333B"/>
    <w:rsid w:val="002268F4"/>
    <w:rsid w:val="00227C83"/>
    <w:rsid w:val="002345BA"/>
    <w:rsid w:val="0023788D"/>
    <w:rsid w:val="00240AB6"/>
    <w:rsid w:val="002479EA"/>
    <w:rsid w:val="00251E72"/>
    <w:rsid w:val="00257B17"/>
    <w:rsid w:val="002634C4"/>
    <w:rsid w:val="002667A0"/>
    <w:rsid w:val="002803A9"/>
    <w:rsid w:val="002A721B"/>
    <w:rsid w:val="002A79EF"/>
    <w:rsid w:val="002C501C"/>
    <w:rsid w:val="002D0C3D"/>
    <w:rsid w:val="002E0F47"/>
    <w:rsid w:val="002F4E68"/>
    <w:rsid w:val="00306C93"/>
    <w:rsid w:val="0032235B"/>
    <w:rsid w:val="00327689"/>
    <w:rsid w:val="00354647"/>
    <w:rsid w:val="0035760E"/>
    <w:rsid w:val="00377273"/>
    <w:rsid w:val="0038347F"/>
    <w:rsid w:val="003845C1"/>
    <w:rsid w:val="0038557E"/>
    <w:rsid w:val="00387287"/>
    <w:rsid w:val="0039711D"/>
    <w:rsid w:val="003A71A8"/>
    <w:rsid w:val="003E48F1"/>
    <w:rsid w:val="003E4D92"/>
    <w:rsid w:val="003F347A"/>
    <w:rsid w:val="0040490C"/>
    <w:rsid w:val="00405D8C"/>
    <w:rsid w:val="00414916"/>
    <w:rsid w:val="00423E3E"/>
    <w:rsid w:val="00427AF4"/>
    <w:rsid w:val="00435F95"/>
    <w:rsid w:val="0045231F"/>
    <w:rsid w:val="00454211"/>
    <w:rsid w:val="004643F1"/>
    <w:rsid w:val="004647DA"/>
    <w:rsid w:val="004771D2"/>
    <w:rsid w:val="00477808"/>
    <w:rsid w:val="00477D6B"/>
    <w:rsid w:val="00480677"/>
    <w:rsid w:val="00491FAA"/>
    <w:rsid w:val="00493152"/>
    <w:rsid w:val="004A6C37"/>
    <w:rsid w:val="004B4258"/>
    <w:rsid w:val="004C4AF4"/>
    <w:rsid w:val="004C6A78"/>
    <w:rsid w:val="004D24A9"/>
    <w:rsid w:val="004D372C"/>
    <w:rsid w:val="004D42F6"/>
    <w:rsid w:val="004D65D4"/>
    <w:rsid w:val="004E297D"/>
    <w:rsid w:val="004E2FB2"/>
    <w:rsid w:val="004F6765"/>
    <w:rsid w:val="00500D6B"/>
    <w:rsid w:val="005112D6"/>
    <w:rsid w:val="005332F0"/>
    <w:rsid w:val="0054265A"/>
    <w:rsid w:val="005443A3"/>
    <w:rsid w:val="0055013B"/>
    <w:rsid w:val="0055034E"/>
    <w:rsid w:val="005550FC"/>
    <w:rsid w:val="00571B99"/>
    <w:rsid w:val="005956AF"/>
    <w:rsid w:val="005A38A6"/>
    <w:rsid w:val="005C2EBC"/>
    <w:rsid w:val="005C730A"/>
    <w:rsid w:val="005D4B30"/>
    <w:rsid w:val="005E18D0"/>
    <w:rsid w:val="0060181F"/>
    <w:rsid w:val="00603E33"/>
    <w:rsid w:val="00605827"/>
    <w:rsid w:val="0060724F"/>
    <w:rsid w:val="00611BD7"/>
    <w:rsid w:val="006126BB"/>
    <w:rsid w:val="00612D00"/>
    <w:rsid w:val="00616CA0"/>
    <w:rsid w:val="00645809"/>
    <w:rsid w:val="006524B3"/>
    <w:rsid w:val="00675021"/>
    <w:rsid w:val="006A06C6"/>
    <w:rsid w:val="006A3C31"/>
    <w:rsid w:val="006F74F8"/>
    <w:rsid w:val="00705099"/>
    <w:rsid w:val="007058DD"/>
    <w:rsid w:val="007224C8"/>
    <w:rsid w:val="00722825"/>
    <w:rsid w:val="00735C49"/>
    <w:rsid w:val="00737442"/>
    <w:rsid w:val="007628C4"/>
    <w:rsid w:val="00767C7D"/>
    <w:rsid w:val="00784F05"/>
    <w:rsid w:val="00794BE2"/>
    <w:rsid w:val="007B71FE"/>
    <w:rsid w:val="007D3C65"/>
    <w:rsid w:val="007D781E"/>
    <w:rsid w:val="007E663E"/>
    <w:rsid w:val="007F15CA"/>
    <w:rsid w:val="00800DA8"/>
    <w:rsid w:val="00801996"/>
    <w:rsid w:val="00806A01"/>
    <w:rsid w:val="00815082"/>
    <w:rsid w:val="008179C7"/>
    <w:rsid w:val="0083285D"/>
    <w:rsid w:val="0085203E"/>
    <w:rsid w:val="00865897"/>
    <w:rsid w:val="00881725"/>
    <w:rsid w:val="008820BD"/>
    <w:rsid w:val="0088395E"/>
    <w:rsid w:val="00891658"/>
    <w:rsid w:val="008A0642"/>
    <w:rsid w:val="008B2CC1"/>
    <w:rsid w:val="008B4190"/>
    <w:rsid w:val="008C334A"/>
    <w:rsid w:val="008E6BD6"/>
    <w:rsid w:val="009044F0"/>
    <w:rsid w:val="0090731E"/>
    <w:rsid w:val="009079A0"/>
    <w:rsid w:val="00953177"/>
    <w:rsid w:val="009562A6"/>
    <w:rsid w:val="00963674"/>
    <w:rsid w:val="00966A22"/>
    <w:rsid w:val="00966E99"/>
    <w:rsid w:val="00972F03"/>
    <w:rsid w:val="009820E3"/>
    <w:rsid w:val="009A0C8B"/>
    <w:rsid w:val="009B6241"/>
    <w:rsid w:val="009E3420"/>
    <w:rsid w:val="009F7F92"/>
    <w:rsid w:val="00A05D03"/>
    <w:rsid w:val="00A11645"/>
    <w:rsid w:val="00A16FC0"/>
    <w:rsid w:val="00A23AF9"/>
    <w:rsid w:val="00A25544"/>
    <w:rsid w:val="00A32C9E"/>
    <w:rsid w:val="00A3413D"/>
    <w:rsid w:val="00A74DCE"/>
    <w:rsid w:val="00A83E7E"/>
    <w:rsid w:val="00A91159"/>
    <w:rsid w:val="00AA25A3"/>
    <w:rsid w:val="00AA5CDB"/>
    <w:rsid w:val="00AB0D95"/>
    <w:rsid w:val="00AB613D"/>
    <w:rsid w:val="00AB6819"/>
    <w:rsid w:val="00AC59E1"/>
    <w:rsid w:val="00AE6E00"/>
    <w:rsid w:val="00AE7F20"/>
    <w:rsid w:val="00AF1500"/>
    <w:rsid w:val="00AF590F"/>
    <w:rsid w:val="00B03F72"/>
    <w:rsid w:val="00B4705E"/>
    <w:rsid w:val="00B65A0A"/>
    <w:rsid w:val="00B67CDC"/>
    <w:rsid w:val="00B72D36"/>
    <w:rsid w:val="00B7549D"/>
    <w:rsid w:val="00B87DA8"/>
    <w:rsid w:val="00B94869"/>
    <w:rsid w:val="00BA00D0"/>
    <w:rsid w:val="00BB096E"/>
    <w:rsid w:val="00BB2835"/>
    <w:rsid w:val="00BC364B"/>
    <w:rsid w:val="00BC4164"/>
    <w:rsid w:val="00BD2DCC"/>
    <w:rsid w:val="00BD3AFC"/>
    <w:rsid w:val="00C4250B"/>
    <w:rsid w:val="00C457EB"/>
    <w:rsid w:val="00C73EA3"/>
    <w:rsid w:val="00C83325"/>
    <w:rsid w:val="00C90559"/>
    <w:rsid w:val="00CA1987"/>
    <w:rsid w:val="00CA2251"/>
    <w:rsid w:val="00CB7361"/>
    <w:rsid w:val="00CC3E99"/>
    <w:rsid w:val="00CC47E5"/>
    <w:rsid w:val="00CE7A79"/>
    <w:rsid w:val="00D07EE7"/>
    <w:rsid w:val="00D163C2"/>
    <w:rsid w:val="00D22105"/>
    <w:rsid w:val="00D23AD8"/>
    <w:rsid w:val="00D26AF9"/>
    <w:rsid w:val="00D4719C"/>
    <w:rsid w:val="00D55B83"/>
    <w:rsid w:val="00D55D4A"/>
    <w:rsid w:val="00D568C4"/>
    <w:rsid w:val="00D56C7C"/>
    <w:rsid w:val="00D70BAA"/>
    <w:rsid w:val="00D71B4D"/>
    <w:rsid w:val="00D90289"/>
    <w:rsid w:val="00D93D55"/>
    <w:rsid w:val="00DA566A"/>
    <w:rsid w:val="00DA7DDA"/>
    <w:rsid w:val="00DB1422"/>
    <w:rsid w:val="00DC4C60"/>
    <w:rsid w:val="00DD5C2C"/>
    <w:rsid w:val="00E0079A"/>
    <w:rsid w:val="00E444DA"/>
    <w:rsid w:val="00E45C84"/>
    <w:rsid w:val="00E504E5"/>
    <w:rsid w:val="00E654E1"/>
    <w:rsid w:val="00E77B99"/>
    <w:rsid w:val="00EA1805"/>
    <w:rsid w:val="00EA4E0A"/>
    <w:rsid w:val="00EB42AA"/>
    <w:rsid w:val="00EB7A3E"/>
    <w:rsid w:val="00EC401A"/>
    <w:rsid w:val="00EF530A"/>
    <w:rsid w:val="00EF622C"/>
    <w:rsid w:val="00EF6622"/>
    <w:rsid w:val="00F107C6"/>
    <w:rsid w:val="00F348B4"/>
    <w:rsid w:val="00F54BD4"/>
    <w:rsid w:val="00F55408"/>
    <w:rsid w:val="00F66152"/>
    <w:rsid w:val="00F66A87"/>
    <w:rsid w:val="00F71FFA"/>
    <w:rsid w:val="00F80845"/>
    <w:rsid w:val="00F83E65"/>
    <w:rsid w:val="00F84474"/>
    <w:rsid w:val="00F9512A"/>
    <w:rsid w:val="00FA0F0D"/>
    <w:rsid w:val="00FB18D8"/>
    <w:rsid w:val="00FB4E5A"/>
    <w:rsid w:val="00FC03B8"/>
    <w:rsid w:val="00FC6F67"/>
    <w:rsid w:val="00FD59D1"/>
    <w:rsid w:val="00FD6897"/>
    <w:rsid w:val="00FE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1C66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66DC"/>
    <w:rPr>
      <w:rFonts w:ascii="Tahoma" w:eastAsia="SimSun" w:hAnsi="Tahoma" w:cs="Tahoma"/>
      <w:sz w:val="16"/>
      <w:szCs w:val="16"/>
      <w:lang w:val="es-ES" w:eastAsia="zh-CN"/>
    </w:rPr>
  </w:style>
  <w:style w:type="character" w:styleId="FootnoteReference">
    <w:name w:val="footnote reference"/>
    <w:basedOn w:val="DefaultParagraphFont"/>
    <w:rsid w:val="0040490C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40490C"/>
    <w:rPr>
      <w:rFonts w:ascii="Arial" w:eastAsia="SimSun" w:hAnsi="Arial" w:cs="Arial"/>
      <w:sz w:val="22"/>
      <w:lang w:val="es-ES" w:eastAsia="zh-CN"/>
    </w:rPr>
  </w:style>
  <w:style w:type="table" w:styleId="TableGrid">
    <w:name w:val="Table Grid"/>
    <w:basedOn w:val="TableNormal"/>
    <w:rsid w:val="00404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1C66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66DC"/>
    <w:rPr>
      <w:rFonts w:ascii="Tahoma" w:eastAsia="SimSun" w:hAnsi="Tahoma" w:cs="Tahoma"/>
      <w:sz w:val="16"/>
      <w:szCs w:val="16"/>
      <w:lang w:val="es-ES" w:eastAsia="zh-CN"/>
    </w:rPr>
  </w:style>
  <w:style w:type="character" w:styleId="FootnoteReference">
    <w:name w:val="footnote reference"/>
    <w:basedOn w:val="DefaultParagraphFont"/>
    <w:rsid w:val="0040490C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40490C"/>
    <w:rPr>
      <w:rFonts w:ascii="Arial" w:eastAsia="SimSun" w:hAnsi="Arial" w:cs="Arial"/>
      <w:sz w:val="22"/>
      <w:lang w:val="es-ES" w:eastAsia="zh-CN"/>
    </w:rPr>
  </w:style>
  <w:style w:type="table" w:styleId="TableGrid">
    <w:name w:val="Table Grid"/>
    <w:basedOn w:val="TableNormal"/>
    <w:rsid w:val="00404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WG 8 (S)</Template>
  <TotalTime>4</TotalTime>
  <Pages>7</Pages>
  <Words>3406</Words>
  <Characters>18172</Characters>
  <Application>Microsoft Office Word</Application>
  <DocSecurity>0</DocSecurity>
  <Lines>151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Same Day Priority  Claims</dc:subject>
  <dc:creator>CEVALLOS DUQUE Nilo</dc:creator>
  <cp:lastModifiedBy>MARLOW Thomas</cp:lastModifiedBy>
  <cp:revision>6</cp:revision>
  <cp:lastPrinted>2015-03-18T08:59:00Z</cp:lastPrinted>
  <dcterms:created xsi:type="dcterms:W3CDTF">2015-03-18T08:57:00Z</dcterms:created>
  <dcterms:modified xsi:type="dcterms:W3CDTF">2015-03-18T09:01:00Z</dcterms:modified>
</cp:coreProperties>
</file>