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7F5333" w:rsidTr="00361450">
        <w:tc>
          <w:tcPr>
            <w:tcW w:w="4513" w:type="dxa"/>
            <w:tcBorders>
              <w:bottom w:val="single" w:sz="4" w:space="0" w:color="auto"/>
            </w:tcBorders>
            <w:tcMar>
              <w:bottom w:w="170" w:type="dxa"/>
            </w:tcMar>
          </w:tcPr>
          <w:p w:rsidR="00EC4E49" w:rsidRPr="007F5333" w:rsidRDefault="00EC4E49" w:rsidP="00916EE2">
            <w:pPr>
              <w:rPr>
                <w:lang w:val="es-ES"/>
              </w:rPr>
            </w:pPr>
          </w:p>
        </w:tc>
        <w:tc>
          <w:tcPr>
            <w:tcW w:w="4337" w:type="dxa"/>
            <w:tcBorders>
              <w:bottom w:val="single" w:sz="4" w:space="0" w:color="auto"/>
            </w:tcBorders>
            <w:tcMar>
              <w:left w:w="0" w:type="dxa"/>
              <w:right w:w="0" w:type="dxa"/>
            </w:tcMar>
          </w:tcPr>
          <w:p w:rsidR="00EC4E49" w:rsidRPr="007F5333" w:rsidRDefault="00F01D5C" w:rsidP="00916EE2">
            <w:pPr>
              <w:rPr>
                <w:lang w:val="es-ES"/>
              </w:rPr>
            </w:pPr>
            <w:r w:rsidRPr="007F5333">
              <w:rPr>
                <w:noProof/>
                <w:lang w:eastAsia="en-US"/>
              </w:rPr>
              <w:drawing>
                <wp:inline distT="0" distB="0" distL="0" distR="0" wp14:anchorId="71C9817C" wp14:editId="5A7970AD">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7F5333" w:rsidRDefault="00F01D5C" w:rsidP="00F01D5C">
            <w:pPr>
              <w:jc w:val="right"/>
              <w:rPr>
                <w:lang w:val="es-ES"/>
              </w:rPr>
            </w:pPr>
            <w:r w:rsidRPr="007F5333">
              <w:rPr>
                <w:b/>
                <w:sz w:val="40"/>
                <w:szCs w:val="40"/>
                <w:lang w:val="es-ES"/>
              </w:rPr>
              <w:t>S</w:t>
            </w:r>
          </w:p>
        </w:tc>
      </w:tr>
      <w:tr w:rsidR="008B2CC1" w:rsidRPr="007F5333"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7F5333" w:rsidRDefault="003A2A01" w:rsidP="00916EE2">
            <w:pPr>
              <w:jc w:val="right"/>
              <w:rPr>
                <w:rFonts w:ascii="Arial Black" w:hAnsi="Arial Black"/>
                <w:caps/>
                <w:sz w:val="15"/>
                <w:lang w:val="es-ES"/>
              </w:rPr>
            </w:pPr>
            <w:r w:rsidRPr="007F5333">
              <w:rPr>
                <w:rFonts w:ascii="Arial Black" w:hAnsi="Arial Black"/>
                <w:caps/>
                <w:sz w:val="15"/>
                <w:lang w:val="es-ES"/>
              </w:rPr>
              <w:t>PCT/WG/8/</w:t>
            </w:r>
            <w:bookmarkStart w:id="0" w:name="Code"/>
            <w:bookmarkEnd w:id="0"/>
            <w:r w:rsidR="008363AA" w:rsidRPr="007F5333">
              <w:rPr>
                <w:rFonts w:ascii="Arial Black" w:hAnsi="Arial Black"/>
                <w:caps/>
                <w:sz w:val="15"/>
                <w:lang w:val="es-ES"/>
              </w:rPr>
              <w:t>20</w:t>
            </w:r>
            <w:r w:rsidR="008B2CC1" w:rsidRPr="007F5333">
              <w:rPr>
                <w:rFonts w:ascii="Arial Black" w:hAnsi="Arial Black"/>
                <w:caps/>
                <w:sz w:val="15"/>
                <w:lang w:val="es-ES"/>
              </w:rPr>
              <w:t xml:space="preserve">  </w:t>
            </w:r>
          </w:p>
        </w:tc>
      </w:tr>
      <w:tr w:rsidR="008B2CC1" w:rsidRPr="007F5333" w:rsidTr="00916EE2">
        <w:trPr>
          <w:trHeight w:hRule="exact" w:val="170"/>
        </w:trPr>
        <w:tc>
          <w:tcPr>
            <w:tcW w:w="9356" w:type="dxa"/>
            <w:gridSpan w:val="3"/>
            <w:noWrap/>
            <w:tcMar>
              <w:left w:w="0" w:type="dxa"/>
              <w:right w:w="0" w:type="dxa"/>
            </w:tcMar>
            <w:vAlign w:val="bottom"/>
          </w:tcPr>
          <w:p w:rsidR="008B2CC1" w:rsidRPr="007F5333" w:rsidRDefault="008B2CC1" w:rsidP="00F01D5C">
            <w:pPr>
              <w:jc w:val="right"/>
              <w:rPr>
                <w:rFonts w:ascii="Arial Black" w:hAnsi="Arial Black"/>
                <w:caps/>
                <w:sz w:val="15"/>
                <w:lang w:val="es-ES"/>
              </w:rPr>
            </w:pPr>
            <w:r w:rsidRPr="007F5333">
              <w:rPr>
                <w:rFonts w:ascii="Arial Black" w:hAnsi="Arial Black"/>
                <w:caps/>
                <w:sz w:val="15"/>
                <w:lang w:val="es-ES"/>
              </w:rPr>
              <w:t>ORIGINAL:</w:t>
            </w:r>
            <w:r w:rsidR="00A42DAF" w:rsidRPr="007F5333">
              <w:rPr>
                <w:rFonts w:ascii="Arial Black" w:hAnsi="Arial Black"/>
                <w:caps/>
                <w:sz w:val="15"/>
                <w:lang w:val="es-ES"/>
              </w:rPr>
              <w:t xml:space="preserve"> </w:t>
            </w:r>
            <w:r w:rsidRPr="007F5333">
              <w:rPr>
                <w:rFonts w:ascii="Arial Black" w:hAnsi="Arial Black"/>
                <w:caps/>
                <w:sz w:val="15"/>
                <w:lang w:val="es-ES"/>
              </w:rPr>
              <w:t xml:space="preserve"> </w:t>
            </w:r>
            <w:bookmarkStart w:id="1" w:name="Original"/>
            <w:bookmarkEnd w:id="1"/>
            <w:r w:rsidR="00F01D5C" w:rsidRPr="007F5333">
              <w:rPr>
                <w:rFonts w:ascii="Arial Black" w:hAnsi="Arial Black"/>
                <w:caps/>
                <w:sz w:val="15"/>
                <w:lang w:val="es-ES"/>
              </w:rPr>
              <w:t>inglés</w:t>
            </w:r>
          </w:p>
        </w:tc>
      </w:tr>
      <w:tr w:rsidR="008B2CC1" w:rsidRPr="007F5333" w:rsidTr="00916EE2">
        <w:trPr>
          <w:trHeight w:hRule="exact" w:val="198"/>
        </w:trPr>
        <w:tc>
          <w:tcPr>
            <w:tcW w:w="9356" w:type="dxa"/>
            <w:gridSpan w:val="3"/>
            <w:tcMar>
              <w:left w:w="0" w:type="dxa"/>
              <w:right w:w="0" w:type="dxa"/>
            </w:tcMar>
            <w:vAlign w:val="bottom"/>
          </w:tcPr>
          <w:p w:rsidR="008B2CC1" w:rsidRPr="007F5333" w:rsidRDefault="00F01D5C" w:rsidP="00F01D5C">
            <w:pPr>
              <w:jc w:val="right"/>
              <w:rPr>
                <w:rFonts w:ascii="Arial Black" w:hAnsi="Arial Black"/>
                <w:caps/>
                <w:sz w:val="15"/>
                <w:lang w:val="es-ES"/>
              </w:rPr>
            </w:pPr>
            <w:r w:rsidRPr="007F5333">
              <w:rPr>
                <w:rFonts w:ascii="Arial Black" w:hAnsi="Arial Black"/>
                <w:caps/>
                <w:sz w:val="15"/>
                <w:lang w:val="es-ES"/>
              </w:rPr>
              <w:t>fecha</w:t>
            </w:r>
            <w:r w:rsidR="008B2CC1" w:rsidRPr="007F5333">
              <w:rPr>
                <w:rFonts w:ascii="Arial Black" w:hAnsi="Arial Black"/>
                <w:caps/>
                <w:sz w:val="15"/>
                <w:lang w:val="es-ES"/>
              </w:rPr>
              <w:t>:</w:t>
            </w:r>
            <w:r w:rsidR="00A42DAF" w:rsidRPr="007F5333">
              <w:rPr>
                <w:rFonts w:ascii="Arial Black" w:hAnsi="Arial Black"/>
                <w:caps/>
                <w:sz w:val="15"/>
                <w:lang w:val="es-ES"/>
              </w:rPr>
              <w:t xml:space="preserve"> </w:t>
            </w:r>
            <w:r w:rsidR="008B2CC1" w:rsidRPr="007F5333">
              <w:rPr>
                <w:rFonts w:ascii="Arial Black" w:hAnsi="Arial Black"/>
                <w:caps/>
                <w:sz w:val="15"/>
                <w:lang w:val="es-ES"/>
              </w:rPr>
              <w:t xml:space="preserve"> </w:t>
            </w:r>
            <w:bookmarkStart w:id="2" w:name="Date"/>
            <w:bookmarkEnd w:id="2"/>
            <w:r w:rsidRPr="007F5333">
              <w:rPr>
                <w:rFonts w:ascii="Arial Black" w:hAnsi="Arial Black"/>
                <w:caps/>
                <w:sz w:val="15"/>
                <w:lang w:val="es-ES"/>
              </w:rPr>
              <w:t xml:space="preserve">5 de </w:t>
            </w:r>
            <w:r w:rsidR="00347F2A" w:rsidRPr="007F5333">
              <w:rPr>
                <w:rFonts w:ascii="Arial Black" w:hAnsi="Arial Black"/>
                <w:caps/>
                <w:sz w:val="15"/>
                <w:lang w:val="es-ES"/>
              </w:rPr>
              <w:t>May</w:t>
            </w:r>
            <w:r w:rsidRPr="007F5333">
              <w:rPr>
                <w:rFonts w:ascii="Arial Black" w:hAnsi="Arial Black"/>
                <w:caps/>
                <w:sz w:val="15"/>
                <w:lang w:val="es-ES"/>
              </w:rPr>
              <w:t>o de</w:t>
            </w:r>
            <w:r w:rsidR="008363AA" w:rsidRPr="007F5333">
              <w:rPr>
                <w:rFonts w:ascii="Arial Black" w:hAnsi="Arial Black"/>
                <w:caps/>
                <w:sz w:val="15"/>
                <w:lang w:val="es-ES"/>
              </w:rPr>
              <w:t xml:space="preserve"> 2015</w:t>
            </w:r>
          </w:p>
        </w:tc>
      </w:tr>
    </w:tbl>
    <w:p w:rsidR="008B2CC1" w:rsidRPr="007F5333" w:rsidRDefault="008B2CC1" w:rsidP="008B2CC1">
      <w:pPr>
        <w:rPr>
          <w:lang w:val="es-ES"/>
        </w:rPr>
      </w:pPr>
    </w:p>
    <w:p w:rsidR="008B2CC1" w:rsidRPr="007F5333" w:rsidRDefault="008B2CC1" w:rsidP="008B2CC1">
      <w:pPr>
        <w:rPr>
          <w:lang w:val="es-ES"/>
        </w:rPr>
      </w:pPr>
    </w:p>
    <w:p w:rsidR="008B2CC1" w:rsidRPr="007F5333" w:rsidRDefault="008B2CC1" w:rsidP="008B2CC1">
      <w:pPr>
        <w:rPr>
          <w:lang w:val="es-ES"/>
        </w:rPr>
      </w:pPr>
    </w:p>
    <w:p w:rsidR="008B2CC1" w:rsidRPr="007F5333" w:rsidRDefault="008B2CC1" w:rsidP="008B2CC1">
      <w:pPr>
        <w:rPr>
          <w:lang w:val="es-ES"/>
        </w:rPr>
      </w:pPr>
    </w:p>
    <w:p w:rsidR="008B2CC1" w:rsidRPr="007F5333" w:rsidRDefault="008B2CC1" w:rsidP="008B2CC1">
      <w:pPr>
        <w:rPr>
          <w:lang w:val="es-ES"/>
        </w:rPr>
      </w:pPr>
    </w:p>
    <w:p w:rsidR="00F01D5C" w:rsidRPr="007F5333" w:rsidRDefault="00F01D5C" w:rsidP="00F01D5C">
      <w:pPr>
        <w:rPr>
          <w:b/>
          <w:sz w:val="28"/>
          <w:szCs w:val="28"/>
          <w:lang w:val="es-ES"/>
        </w:rPr>
      </w:pPr>
      <w:r w:rsidRPr="007F5333">
        <w:rPr>
          <w:b/>
          <w:sz w:val="28"/>
          <w:szCs w:val="28"/>
          <w:lang w:val="es-ES"/>
        </w:rPr>
        <w:t xml:space="preserve">Grupo de Trabajo del Tratado de Cooperación en materia de Patentes (PCT) </w:t>
      </w:r>
    </w:p>
    <w:p w:rsidR="00F01D5C" w:rsidRPr="007F5333" w:rsidRDefault="00F01D5C" w:rsidP="00F01D5C">
      <w:pPr>
        <w:rPr>
          <w:lang w:val="es-ES"/>
        </w:rPr>
      </w:pPr>
    </w:p>
    <w:p w:rsidR="00F01D5C" w:rsidRPr="007F5333" w:rsidRDefault="00F01D5C" w:rsidP="00F01D5C">
      <w:pPr>
        <w:rPr>
          <w:lang w:val="es-ES"/>
        </w:rPr>
      </w:pPr>
    </w:p>
    <w:p w:rsidR="00F01D5C" w:rsidRPr="007F5333" w:rsidRDefault="00F01D5C" w:rsidP="00F01D5C">
      <w:pPr>
        <w:rPr>
          <w:b/>
          <w:sz w:val="24"/>
          <w:szCs w:val="24"/>
          <w:lang w:val="es-ES"/>
        </w:rPr>
      </w:pPr>
      <w:r w:rsidRPr="007F5333">
        <w:rPr>
          <w:b/>
          <w:sz w:val="24"/>
          <w:szCs w:val="24"/>
          <w:lang w:val="es-ES"/>
        </w:rPr>
        <w:t>Octava reunión</w:t>
      </w:r>
    </w:p>
    <w:p w:rsidR="00F01D5C" w:rsidRPr="007F5333" w:rsidRDefault="00F01D5C" w:rsidP="00F01D5C">
      <w:pPr>
        <w:rPr>
          <w:b/>
          <w:sz w:val="24"/>
          <w:szCs w:val="24"/>
          <w:lang w:val="es-ES"/>
        </w:rPr>
      </w:pPr>
      <w:r w:rsidRPr="007F5333">
        <w:rPr>
          <w:b/>
          <w:sz w:val="24"/>
          <w:szCs w:val="24"/>
          <w:lang w:val="es-ES"/>
        </w:rPr>
        <w:t>Ginebra, 26 a 29 de mayo de 2015</w:t>
      </w:r>
    </w:p>
    <w:p w:rsidR="008B2CC1" w:rsidRPr="007F5333" w:rsidRDefault="008B2CC1" w:rsidP="008B2CC1">
      <w:pPr>
        <w:rPr>
          <w:lang w:val="es-ES"/>
        </w:rPr>
      </w:pPr>
    </w:p>
    <w:p w:rsidR="008B2CC1" w:rsidRPr="007F5333" w:rsidRDefault="008B2CC1" w:rsidP="008B2CC1">
      <w:pPr>
        <w:rPr>
          <w:lang w:val="es-ES"/>
        </w:rPr>
      </w:pPr>
    </w:p>
    <w:p w:rsidR="008B2CC1" w:rsidRPr="007F5333" w:rsidRDefault="008B2CC1" w:rsidP="008B2CC1">
      <w:pPr>
        <w:rPr>
          <w:lang w:val="es-ES"/>
        </w:rPr>
      </w:pPr>
    </w:p>
    <w:p w:rsidR="00AE7FE4" w:rsidRPr="007F5333" w:rsidRDefault="00AE7FE4" w:rsidP="00AE7FE4">
      <w:pPr>
        <w:rPr>
          <w:caps/>
          <w:sz w:val="24"/>
          <w:lang w:val="es-ES"/>
        </w:rPr>
      </w:pPr>
      <w:bookmarkStart w:id="3" w:name="TitleOfDoc"/>
      <w:bookmarkEnd w:id="3"/>
      <w:r w:rsidRPr="007F5333">
        <w:rPr>
          <w:caps/>
          <w:sz w:val="24"/>
          <w:lang w:val="es-ES"/>
        </w:rPr>
        <w:t>Servicios en línea del PCT</w:t>
      </w:r>
    </w:p>
    <w:p w:rsidR="008B2CC1" w:rsidRPr="007F5333" w:rsidRDefault="008B2CC1" w:rsidP="008B2CC1">
      <w:pPr>
        <w:rPr>
          <w:lang w:val="es-ES"/>
        </w:rPr>
      </w:pPr>
    </w:p>
    <w:p w:rsidR="00AE7FE4" w:rsidRPr="007F5333" w:rsidRDefault="00AE7FE4" w:rsidP="00AE7FE4">
      <w:pPr>
        <w:rPr>
          <w:i/>
          <w:lang w:val="es-ES"/>
        </w:rPr>
      </w:pPr>
      <w:bookmarkStart w:id="4" w:name="Prepared"/>
      <w:bookmarkEnd w:id="4"/>
      <w:r w:rsidRPr="007F5333">
        <w:rPr>
          <w:i/>
          <w:lang w:val="es-ES"/>
        </w:rPr>
        <w:t>Documento preparado por la Oficina Internacional</w:t>
      </w:r>
    </w:p>
    <w:p w:rsidR="00AC205C" w:rsidRPr="007F5333" w:rsidRDefault="00AC205C">
      <w:pPr>
        <w:rPr>
          <w:lang w:val="es-ES"/>
        </w:rPr>
      </w:pPr>
    </w:p>
    <w:p w:rsidR="000F5E56" w:rsidRPr="007F5333" w:rsidRDefault="000F5E56">
      <w:pPr>
        <w:rPr>
          <w:lang w:val="es-ES"/>
        </w:rPr>
      </w:pPr>
    </w:p>
    <w:p w:rsidR="002928D3" w:rsidRPr="007F5333" w:rsidRDefault="002928D3">
      <w:pPr>
        <w:rPr>
          <w:lang w:val="es-ES"/>
        </w:rPr>
      </w:pPr>
    </w:p>
    <w:p w:rsidR="002928D3" w:rsidRPr="007F5333" w:rsidRDefault="002928D3" w:rsidP="0053057A">
      <w:pPr>
        <w:rPr>
          <w:lang w:val="es-ES"/>
        </w:rPr>
      </w:pPr>
    </w:p>
    <w:p w:rsidR="00320457" w:rsidRPr="007F5333" w:rsidRDefault="00320457" w:rsidP="00320457">
      <w:pPr>
        <w:pStyle w:val="Heading1"/>
        <w:rPr>
          <w:lang w:val="es-ES"/>
        </w:rPr>
      </w:pPr>
      <w:r w:rsidRPr="007F5333">
        <w:rPr>
          <w:lang w:val="es-ES"/>
        </w:rPr>
        <w:t>resumen</w:t>
      </w:r>
    </w:p>
    <w:p w:rsidR="00F51D1A" w:rsidRPr="007F5333" w:rsidRDefault="00F51D1A" w:rsidP="00F15E8D">
      <w:pPr>
        <w:pStyle w:val="ONUME"/>
        <w:rPr>
          <w:lang w:val="es-ES"/>
        </w:rPr>
      </w:pPr>
      <w:r w:rsidRPr="007F5333">
        <w:rPr>
          <w:lang w:val="es-ES"/>
        </w:rPr>
        <w:t xml:space="preserve">El 16 de abril de </w:t>
      </w:r>
      <w:r w:rsidR="00125606" w:rsidRPr="007F5333">
        <w:rPr>
          <w:lang w:val="es-ES"/>
        </w:rPr>
        <w:t>2015</w:t>
      </w:r>
      <w:r w:rsidR="00C97079" w:rsidRPr="007F5333">
        <w:rPr>
          <w:lang w:val="es-ES"/>
        </w:rPr>
        <w:t xml:space="preserve"> </w:t>
      </w:r>
      <w:r w:rsidRPr="007F5333">
        <w:rPr>
          <w:lang w:val="es-ES"/>
        </w:rPr>
        <w:t xml:space="preserve">finalizó la fase de pruebas del sistema </w:t>
      </w:r>
      <w:r w:rsidR="00C97079" w:rsidRPr="007F5333">
        <w:rPr>
          <w:lang w:val="es-ES"/>
        </w:rPr>
        <w:t>ePCT</w:t>
      </w:r>
      <w:r w:rsidRPr="007F5333">
        <w:rPr>
          <w:lang w:val="es-ES"/>
        </w:rPr>
        <w:t>,</w:t>
      </w:r>
      <w:r w:rsidR="009612CC" w:rsidRPr="007F5333">
        <w:rPr>
          <w:lang w:val="es-ES"/>
        </w:rPr>
        <w:t xml:space="preserve"> </w:t>
      </w:r>
      <w:r w:rsidRPr="007F5333">
        <w:rPr>
          <w:lang w:val="es-ES"/>
        </w:rPr>
        <w:t>durante la cual la interfaz funcionaba únicamente en inglés, al poner</w:t>
      </w:r>
      <w:r w:rsidR="0019257A" w:rsidRPr="007F5333">
        <w:rPr>
          <w:lang w:val="es-ES"/>
        </w:rPr>
        <w:t>se</w:t>
      </w:r>
      <w:r w:rsidRPr="007F5333">
        <w:rPr>
          <w:lang w:val="es-ES"/>
        </w:rPr>
        <w:t xml:space="preserve"> en marcha una versión plurilingüe que ofrece la interfaz y la mayoría de funciones técnicas en los 10 idiomas de publicación.   Actualmente, el </w:t>
      </w:r>
      <w:r w:rsidR="009612CC" w:rsidRPr="007F5333">
        <w:rPr>
          <w:lang w:val="es-ES"/>
        </w:rPr>
        <w:t xml:space="preserve">ePCT </w:t>
      </w:r>
      <w:r w:rsidRPr="007F5333">
        <w:rPr>
          <w:lang w:val="es-ES"/>
        </w:rPr>
        <w:t>ofrece servicios de presentación en línea a 16 Oficinas receptoras (varias otras se hallan en diversas fases de prueba) y proporciona apoyo a una gama cada vez mayor de funciones de las Oficinas, especialmente en el caso de las Oficinas receptoras.</w:t>
      </w:r>
    </w:p>
    <w:p w:rsidR="00F51D1A" w:rsidRPr="007F5333" w:rsidRDefault="00F51D1A" w:rsidP="00E00ECB">
      <w:pPr>
        <w:pStyle w:val="ONUME"/>
        <w:rPr>
          <w:lang w:val="es-ES"/>
        </w:rPr>
      </w:pPr>
      <w:r w:rsidRPr="007F5333">
        <w:rPr>
          <w:lang w:val="es-ES"/>
        </w:rPr>
        <w:t xml:space="preserve">El sistema </w:t>
      </w:r>
      <w:r w:rsidR="00E00ECB" w:rsidRPr="007F5333">
        <w:rPr>
          <w:lang w:val="es-ES"/>
        </w:rPr>
        <w:t xml:space="preserve">ePCT </w:t>
      </w:r>
      <w:r w:rsidRPr="007F5333">
        <w:rPr>
          <w:lang w:val="es-ES"/>
        </w:rPr>
        <w:t xml:space="preserve">y los adelantos que han tenido lugar en otros servicios electrónicos albergados por la Oficina Internacional ofrecen la posibilidad de mejorar con creces los servicios que </w:t>
      </w:r>
      <w:r w:rsidR="00125606" w:rsidRPr="007F5333">
        <w:rPr>
          <w:lang w:val="es-ES"/>
        </w:rPr>
        <w:t xml:space="preserve">se </w:t>
      </w:r>
      <w:r w:rsidRPr="007F5333">
        <w:rPr>
          <w:lang w:val="es-ES"/>
        </w:rPr>
        <w:t>ofrecen a los solicitantes PCT</w:t>
      </w:r>
      <w:r w:rsidR="0019257A" w:rsidRPr="007F5333">
        <w:rPr>
          <w:lang w:val="es-ES"/>
        </w:rPr>
        <w:t xml:space="preserve"> de</w:t>
      </w:r>
      <w:r w:rsidRPr="007F5333">
        <w:rPr>
          <w:lang w:val="es-ES"/>
        </w:rPr>
        <w:t xml:space="preserve"> todos los Estados Contratantes.  Para ello, es necesaria una mayor participación de las Oficinas nacionales, sin que haya que aumentar notablemente los costos:  de hecho, muchas Oficinas tienen ante sí la oportunidad de lograr ahorros en cuanto al tiempo de tramitación, los costos de correo y el grado de apoyo necesario del sistema local de T.I.</w:t>
      </w:r>
    </w:p>
    <w:p w:rsidR="00F51D1A" w:rsidRPr="007F5333" w:rsidRDefault="00F51D1A">
      <w:pPr>
        <w:pStyle w:val="ONUME"/>
        <w:rPr>
          <w:lang w:val="es-ES"/>
        </w:rPr>
      </w:pPr>
      <w:r w:rsidRPr="007F5333">
        <w:rPr>
          <w:lang w:val="es-ES"/>
        </w:rPr>
        <w:t>La Oficina Internac</w:t>
      </w:r>
      <w:r w:rsidR="00B01101" w:rsidRPr="007F5333">
        <w:rPr>
          <w:lang w:val="es-ES"/>
        </w:rPr>
        <w:t xml:space="preserve">ional </w:t>
      </w:r>
      <w:r w:rsidR="001A4E2F" w:rsidRPr="007F5333">
        <w:rPr>
          <w:lang w:val="es-ES"/>
        </w:rPr>
        <w:t xml:space="preserve">considera prioritarias varias esferas de la labor durante 2015 y </w:t>
      </w:r>
      <w:r w:rsidR="00004C9D" w:rsidRPr="007F5333">
        <w:rPr>
          <w:lang w:val="es-ES"/>
        </w:rPr>
        <w:t>2016, que tienen que ver igualmente con las Oficinas receptoras y las Administraciones Internacionales, a saber:</w:t>
      </w:r>
    </w:p>
    <w:p w:rsidR="00B01101" w:rsidRPr="007F5333" w:rsidRDefault="00C03E9E" w:rsidP="00C03E9E">
      <w:pPr>
        <w:pStyle w:val="ONUME"/>
        <w:numPr>
          <w:ilvl w:val="1"/>
          <w:numId w:val="5"/>
        </w:numPr>
        <w:rPr>
          <w:lang w:val="es-ES"/>
        </w:rPr>
      </w:pPr>
      <w:r w:rsidRPr="007F5333">
        <w:rPr>
          <w:lang w:val="es-ES"/>
        </w:rPr>
        <w:t xml:space="preserve">el aumento del número de Oficinas receptoras capaces de recibir solicitudes internacionales preparadas y presentadas mediante el </w:t>
      </w:r>
      <w:r w:rsidR="00B01101" w:rsidRPr="007F5333">
        <w:rPr>
          <w:lang w:val="es-ES"/>
        </w:rPr>
        <w:t>ePCT;</w:t>
      </w:r>
    </w:p>
    <w:p w:rsidR="00E00ECB" w:rsidRPr="007F5333" w:rsidRDefault="00C03E9E" w:rsidP="00C03E9E">
      <w:pPr>
        <w:pStyle w:val="ONUME"/>
        <w:numPr>
          <w:ilvl w:val="1"/>
          <w:numId w:val="5"/>
        </w:numPr>
        <w:rPr>
          <w:lang w:val="es-ES"/>
        </w:rPr>
      </w:pPr>
      <w:r w:rsidRPr="007F5333">
        <w:rPr>
          <w:lang w:val="es-ES"/>
        </w:rPr>
        <w:lastRenderedPageBreak/>
        <w:t>que las Oficinas</w:t>
      </w:r>
      <w:r w:rsidR="00B05F21" w:rsidRPr="007F5333">
        <w:rPr>
          <w:lang w:val="es-ES"/>
        </w:rPr>
        <w:t xml:space="preserve"> receptoras</w:t>
      </w:r>
      <w:r w:rsidRPr="007F5333">
        <w:rPr>
          <w:lang w:val="es-ES"/>
        </w:rPr>
        <w:t xml:space="preserve"> y las Administraciones Internacionales acepten documentos posteriores a la presentación cargados por el solicitante mediante el </w:t>
      </w:r>
      <w:r w:rsidR="00E00ECB" w:rsidRPr="007F5333">
        <w:rPr>
          <w:lang w:val="es-ES"/>
        </w:rPr>
        <w:t>ePCT;</w:t>
      </w:r>
    </w:p>
    <w:p w:rsidR="00E00ECB" w:rsidRPr="007F5333" w:rsidRDefault="00B05F21" w:rsidP="00B05F21">
      <w:pPr>
        <w:pStyle w:val="ONUME"/>
        <w:numPr>
          <w:ilvl w:val="1"/>
          <w:numId w:val="5"/>
        </w:numPr>
        <w:rPr>
          <w:lang w:val="es-ES"/>
        </w:rPr>
      </w:pPr>
      <w:r w:rsidRPr="007F5333">
        <w:rPr>
          <w:lang w:val="es-ES"/>
        </w:rPr>
        <w:t xml:space="preserve">que las Oficinas receptoras y las Administraciones Internacionales proporcionen documentos adicionales a la Oficina Internacional para que los ponga a disposición de los solicitantes mediante el </w:t>
      </w:r>
      <w:r w:rsidR="00E00ECB" w:rsidRPr="007F5333">
        <w:rPr>
          <w:lang w:val="es-ES"/>
        </w:rPr>
        <w:t>ePCT;</w:t>
      </w:r>
    </w:p>
    <w:p w:rsidR="00FD3881" w:rsidRPr="007F5333" w:rsidRDefault="00B05F21" w:rsidP="00B05F21">
      <w:pPr>
        <w:pStyle w:val="ONUME"/>
        <w:numPr>
          <w:ilvl w:val="1"/>
          <w:numId w:val="5"/>
        </w:numPr>
        <w:rPr>
          <w:lang w:val="es-ES"/>
        </w:rPr>
      </w:pPr>
      <w:r w:rsidRPr="007F5333">
        <w:rPr>
          <w:lang w:val="es-ES"/>
        </w:rPr>
        <w:t xml:space="preserve">que las Administraciones Internacionales hagan posible la recepción de copias </w:t>
      </w:r>
      <w:r w:rsidR="00A95F4D" w:rsidRPr="007F5333">
        <w:rPr>
          <w:lang w:val="es-ES"/>
        </w:rPr>
        <w:t>para la</w:t>
      </w:r>
      <w:r w:rsidRPr="007F5333">
        <w:rPr>
          <w:lang w:val="es-ES"/>
        </w:rPr>
        <w:t xml:space="preserve"> búsqueda de otras Oficinas en calidad de Oficina</w:t>
      </w:r>
      <w:r w:rsidR="0019257A" w:rsidRPr="007F5333">
        <w:rPr>
          <w:lang w:val="es-ES"/>
        </w:rPr>
        <w:t>s</w:t>
      </w:r>
      <w:r w:rsidRPr="007F5333">
        <w:rPr>
          <w:lang w:val="es-ES"/>
        </w:rPr>
        <w:t xml:space="preserve"> receptora</w:t>
      </w:r>
      <w:r w:rsidR="0019257A" w:rsidRPr="007F5333">
        <w:rPr>
          <w:lang w:val="es-ES"/>
        </w:rPr>
        <w:t>s</w:t>
      </w:r>
      <w:r w:rsidRPr="007F5333">
        <w:rPr>
          <w:lang w:val="es-ES"/>
        </w:rPr>
        <w:t xml:space="preserve"> por medio de los sistemas electrónicos de la Oficina Internacional utilizando </w:t>
      </w:r>
      <w:r w:rsidR="00E00ECB" w:rsidRPr="007F5333">
        <w:rPr>
          <w:lang w:val="es-ES"/>
        </w:rPr>
        <w:t>eSearchCopy</w:t>
      </w:r>
      <w:r w:rsidR="00FD3881" w:rsidRPr="007F5333">
        <w:rPr>
          <w:lang w:val="es-ES"/>
        </w:rPr>
        <w:t>;</w:t>
      </w:r>
    </w:p>
    <w:p w:rsidR="00720BD4" w:rsidRPr="007F5333" w:rsidRDefault="00A95F4D" w:rsidP="00720BD4">
      <w:pPr>
        <w:pStyle w:val="ONUME"/>
        <w:numPr>
          <w:ilvl w:val="1"/>
          <w:numId w:val="5"/>
        </w:numPr>
        <w:rPr>
          <w:lang w:val="es-ES"/>
        </w:rPr>
      </w:pPr>
      <w:r w:rsidRPr="007F5333">
        <w:rPr>
          <w:lang w:val="es-ES"/>
        </w:rPr>
        <w:t xml:space="preserve">el intercambio de datos utilizables directamente en lugar de formatos basados en imágenes, especialmente en el caso de los informes de búsqueda internacional y la información </w:t>
      </w:r>
      <w:r w:rsidR="00125606" w:rsidRPr="007F5333">
        <w:rPr>
          <w:lang w:val="es-ES"/>
        </w:rPr>
        <w:t xml:space="preserve">importante </w:t>
      </w:r>
      <w:r w:rsidRPr="007F5333">
        <w:rPr>
          <w:lang w:val="es-ES"/>
        </w:rPr>
        <w:t xml:space="preserve">relativa a la situación, como el recibo de la copia para la búsqueda;  y </w:t>
      </w:r>
    </w:p>
    <w:p w:rsidR="00FD3881" w:rsidRPr="007F5333" w:rsidRDefault="002E326D" w:rsidP="00720BD4">
      <w:pPr>
        <w:pStyle w:val="ONUME"/>
        <w:numPr>
          <w:ilvl w:val="1"/>
          <w:numId w:val="5"/>
        </w:numPr>
        <w:rPr>
          <w:lang w:val="es-ES"/>
        </w:rPr>
      </w:pPr>
      <w:r w:rsidRPr="007F5333">
        <w:rPr>
          <w:lang w:val="es-ES"/>
        </w:rPr>
        <w:t xml:space="preserve">señalar las oportunidades de mejorar la eficacia o utilidad de todo el Sistema del PCT haciendo posible las interacciones </w:t>
      </w:r>
      <w:r w:rsidR="00B354DF" w:rsidRPr="007F5333">
        <w:rPr>
          <w:lang w:val="es-ES"/>
        </w:rPr>
        <w:t xml:space="preserve">casi </w:t>
      </w:r>
      <w:r w:rsidRPr="007F5333">
        <w:rPr>
          <w:lang w:val="es-ES"/>
        </w:rPr>
        <w:t>en tiempo real entre las Oficinas o entre los solicitantes y las Oficinas por medio de los servicios de Internet.</w:t>
      </w:r>
    </w:p>
    <w:p w:rsidR="00FD3881" w:rsidRPr="007F5333" w:rsidRDefault="0069768E" w:rsidP="00FD3881">
      <w:pPr>
        <w:pStyle w:val="Heading1"/>
        <w:rPr>
          <w:lang w:val="es-ES"/>
        </w:rPr>
      </w:pPr>
      <w:r w:rsidRPr="007F5333">
        <w:rPr>
          <w:lang w:val="es-ES"/>
        </w:rPr>
        <w:t xml:space="preserve">CONSIDERACIONES </w:t>
      </w:r>
      <w:r w:rsidR="00FD3881" w:rsidRPr="007F5333">
        <w:rPr>
          <w:lang w:val="es-ES"/>
        </w:rPr>
        <w:t>General</w:t>
      </w:r>
      <w:r w:rsidR="00320457" w:rsidRPr="007F5333">
        <w:rPr>
          <w:lang w:val="es-ES"/>
        </w:rPr>
        <w:t>ES</w:t>
      </w:r>
    </w:p>
    <w:p w:rsidR="00B227A5" w:rsidRPr="007F5333" w:rsidRDefault="00B227A5" w:rsidP="00B227A5">
      <w:pPr>
        <w:pStyle w:val="ONUME"/>
        <w:rPr>
          <w:lang w:val="es-ES"/>
        </w:rPr>
      </w:pPr>
      <w:r w:rsidRPr="007F5333">
        <w:rPr>
          <w:lang w:val="es-ES"/>
        </w:rPr>
        <w:t xml:space="preserve">Durante muchos años, la Oficina Internacional ha dado cabida a diversos servicios electrónicos que le sirven para ejecutar sus propias tareas y las de las Oficinas receptoras, las Administraciones encargadas de la búsqueda internacional y del examen preliminar internacional (“Administraciones Internacionales”) y las Oficinas designadas y elegidas (“Oficinas designadas”).  Por lo general, esos servicios han dado muy buenos resultados, y en los últimos seis meses aproximadamente </w:t>
      </w:r>
      <w:r w:rsidR="0069768E" w:rsidRPr="007F5333">
        <w:rPr>
          <w:lang w:val="es-ES"/>
        </w:rPr>
        <w:t>se ha</w:t>
      </w:r>
      <w:r w:rsidRPr="007F5333">
        <w:rPr>
          <w:lang w:val="es-ES"/>
        </w:rPr>
        <w:t xml:space="preserve"> recibido en forma completamente electrónica </w:t>
      </w:r>
      <w:r w:rsidR="0069768E" w:rsidRPr="007F5333">
        <w:rPr>
          <w:lang w:val="es-ES"/>
        </w:rPr>
        <w:t xml:space="preserve">el 92% de las solicitudes internacionales </w:t>
      </w:r>
      <w:r w:rsidRPr="007F5333">
        <w:rPr>
          <w:lang w:val="es-ES"/>
        </w:rPr>
        <w:t xml:space="preserve">y </w:t>
      </w:r>
      <w:r w:rsidR="0069768E" w:rsidRPr="007F5333">
        <w:rPr>
          <w:lang w:val="es-ES"/>
        </w:rPr>
        <w:t>se ha</w:t>
      </w:r>
      <w:r w:rsidRPr="007F5333">
        <w:rPr>
          <w:lang w:val="es-ES"/>
        </w:rPr>
        <w:t xml:space="preserve"> transmitido en formato electrónico</w:t>
      </w:r>
      <w:r w:rsidR="0069768E" w:rsidRPr="007F5333">
        <w:rPr>
          <w:lang w:val="es-ES"/>
        </w:rPr>
        <w:t xml:space="preserve"> la gran mayoría de documentos intercambiados entre la Oficina Internacional y las Oficinas nacionales en sus diversas capacidades del PCT</w:t>
      </w:r>
      <w:r w:rsidRPr="007F5333">
        <w:rPr>
          <w:lang w:val="es-ES"/>
        </w:rPr>
        <w:t xml:space="preserve">.  Estos avances han permitido fomentar notablemente la eficiencia en los costos de correo, </w:t>
      </w:r>
      <w:r w:rsidR="0019257A" w:rsidRPr="007F5333">
        <w:rPr>
          <w:lang w:val="es-ES"/>
        </w:rPr>
        <w:t xml:space="preserve">reducir </w:t>
      </w:r>
      <w:r w:rsidRPr="007F5333">
        <w:rPr>
          <w:lang w:val="es-ES"/>
        </w:rPr>
        <w:t xml:space="preserve">los atrasos en los envíos postales y </w:t>
      </w:r>
      <w:r w:rsidR="0019257A" w:rsidRPr="007F5333">
        <w:rPr>
          <w:lang w:val="es-ES"/>
        </w:rPr>
        <w:t xml:space="preserve">efectuar </w:t>
      </w:r>
      <w:r w:rsidRPr="007F5333">
        <w:rPr>
          <w:lang w:val="es-ES"/>
        </w:rPr>
        <w:t xml:space="preserve">la asignación rápida y precisa de la labor al expediente de la solicitud internacional de que se trate y </w:t>
      </w:r>
      <w:r w:rsidR="0019257A" w:rsidRPr="007F5333">
        <w:rPr>
          <w:lang w:val="es-ES"/>
        </w:rPr>
        <w:t>a</w:t>
      </w:r>
      <w:r w:rsidRPr="007F5333">
        <w:rPr>
          <w:lang w:val="es-ES"/>
        </w:rPr>
        <w:t>l personal adecuado para tramitar el tipo concreto de documento.</w:t>
      </w:r>
    </w:p>
    <w:p w:rsidR="00DB0C65" w:rsidRPr="007F5333" w:rsidRDefault="00B227A5">
      <w:pPr>
        <w:pStyle w:val="ONUME"/>
        <w:rPr>
          <w:lang w:val="es-ES"/>
        </w:rPr>
      </w:pPr>
      <w:r w:rsidRPr="007F5333">
        <w:rPr>
          <w:lang w:val="es-ES"/>
        </w:rPr>
        <w:t xml:space="preserve">Sin embargo, con el tiempo cambian las expectativas de los usuarios, los problemas que afrontan las Oficinas y las posibilidades técnicas.  Cada vez es mayor el deseo de disponer de mejor información en relación con las solicitudes internacionales, tanto en el caso de los solicitantes </w:t>
      </w:r>
      <w:r w:rsidR="00014A34" w:rsidRPr="007F5333">
        <w:rPr>
          <w:lang w:val="es-ES"/>
        </w:rPr>
        <w:t xml:space="preserve">interesados en administrar eficazmente sus solicitudes como en el de terceros que desean supervisar los avances de la tecnología y seguir de cerca a sus competidores.  </w:t>
      </w:r>
      <w:r w:rsidR="00DB0C65" w:rsidRPr="007F5333">
        <w:rPr>
          <w:lang w:val="es-ES"/>
        </w:rPr>
        <w:t xml:space="preserve">Existe una diversidad cada vez mayor en las solicitudes internacionales, en lo que atañe al origen geográfico y a los idiomas usados para la presentación, la búsqueda y la publicación.  Varias Administraciones Internacionales reciben un porcentaje importante de </w:t>
      </w:r>
      <w:r w:rsidR="0019257A" w:rsidRPr="007F5333">
        <w:rPr>
          <w:lang w:val="es-ES"/>
        </w:rPr>
        <w:t>documentos</w:t>
      </w:r>
      <w:r w:rsidR="00DB0C65" w:rsidRPr="007F5333">
        <w:rPr>
          <w:lang w:val="es-ES"/>
        </w:rPr>
        <w:t xml:space="preserve"> de Oficinas receptoras ubicadas en muy distintas regiones geográficas del mundo.  Las Oficinas han puesto en marcha servicios electrónicos en distintas épocas, teniendo en cuenta la tecnología disponible en ese momento:  el mantenimiento de varios sistemas al mismo tiempo es una carga cada vez más compleja que menoscaba la puesta</w:t>
      </w:r>
      <w:r w:rsidR="00641512" w:rsidRPr="007F5333">
        <w:rPr>
          <w:lang w:val="es-ES"/>
        </w:rPr>
        <w:t xml:space="preserve"> en marcha de nuevos servicios </w:t>
      </w:r>
      <w:r w:rsidR="00DB0C65" w:rsidRPr="007F5333">
        <w:rPr>
          <w:lang w:val="es-ES"/>
        </w:rPr>
        <w:t xml:space="preserve">que satisfagan </w:t>
      </w:r>
      <w:r w:rsidR="00641512" w:rsidRPr="007F5333">
        <w:rPr>
          <w:lang w:val="es-ES"/>
        </w:rPr>
        <w:t xml:space="preserve">más eficazmente </w:t>
      </w:r>
      <w:r w:rsidR="00DB0C65" w:rsidRPr="007F5333">
        <w:rPr>
          <w:lang w:val="es-ES"/>
        </w:rPr>
        <w:t>las expectativas.</w:t>
      </w:r>
    </w:p>
    <w:p w:rsidR="00DB0C65" w:rsidRPr="007F5333" w:rsidRDefault="00DB0C65" w:rsidP="00FD3881">
      <w:pPr>
        <w:pStyle w:val="ONUME"/>
        <w:rPr>
          <w:lang w:val="es-ES"/>
        </w:rPr>
      </w:pPr>
      <w:r w:rsidRPr="007F5333">
        <w:rPr>
          <w:lang w:val="es-ES"/>
        </w:rPr>
        <w:t>La Oficina Internacional no solo desea mejorar sus servicios en línea, sino también consolidarlos y prestar apoyo a la adopción de nuevas tecnologías por las Oficinas nacionales</w:t>
      </w:r>
      <w:r w:rsidR="00641512" w:rsidRPr="007F5333">
        <w:rPr>
          <w:lang w:val="es-ES"/>
        </w:rPr>
        <w:t>, de manera</w:t>
      </w:r>
      <w:r w:rsidRPr="007F5333">
        <w:rPr>
          <w:lang w:val="es-ES"/>
        </w:rPr>
        <w:t xml:space="preserve"> que las Oficinas </w:t>
      </w:r>
      <w:r w:rsidR="00641512" w:rsidRPr="007F5333">
        <w:rPr>
          <w:lang w:val="es-ES"/>
        </w:rPr>
        <w:t xml:space="preserve">puedan </w:t>
      </w:r>
      <w:r w:rsidRPr="007F5333">
        <w:rPr>
          <w:lang w:val="es-ES"/>
        </w:rPr>
        <w:t>colaborar más eficazmente para hacer que el Sistema del PCT en su conjunto sea mucho más útil para los solicitantes, las Oficinas y terceros.</w:t>
      </w:r>
    </w:p>
    <w:p w:rsidR="002450C0" w:rsidRPr="007F5333" w:rsidRDefault="00FD3881">
      <w:pPr>
        <w:pStyle w:val="ONUME"/>
        <w:rPr>
          <w:lang w:val="es-ES"/>
        </w:rPr>
      </w:pPr>
      <w:r w:rsidRPr="007F5333">
        <w:rPr>
          <w:lang w:val="es-ES"/>
        </w:rPr>
        <w:t>Se</w:t>
      </w:r>
      <w:r w:rsidR="00DB0C65" w:rsidRPr="007F5333">
        <w:rPr>
          <w:lang w:val="es-ES"/>
        </w:rPr>
        <w:t xml:space="preserve"> han tomado algunas medidas importantes, como la decisión de </w:t>
      </w:r>
      <w:r w:rsidR="00261906" w:rsidRPr="007F5333">
        <w:rPr>
          <w:lang w:val="es-ES"/>
        </w:rPr>
        <w:t xml:space="preserve">clausurar la vía de presentación del </w:t>
      </w:r>
      <w:r w:rsidRPr="007F5333">
        <w:rPr>
          <w:lang w:val="es-ES"/>
        </w:rPr>
        <w:t>PCT</w:t>
      </w:r>
      <w:r w:rsidRPr="007F5333">
        <w:rPr>
          <w:lang w:val="es-ES"/>
        </w:rPr>
        <w:noBreakHyphen/>
        <w:t xml:space="preserve">EASY </w:t>
      </w:r>
      <w:r w:rsidR="00261906" w:rsidRPr="007F5333">
        <w:rPr>
          <w:lang w:val="es-ES"/>
        </w:rPr>
        <w:t xml:space="preserve">a partir de julio de 2015 y concentrarse en fomentar la </w:t>
      </w:r>
      <w:r w:rsidR="00261906" w:rsidRPr="007F5333">
        <w:rPr>
          <w:lang w:val="es-ES"/>
        </w:rPr>
        <w:lastRenderedPageBreak/>
        <w:t xml:space="preserve">disponibilidad y el uso de la presentación electrónica a todos los efectos en todas las Oficinas receptoras.  La Oficina Internacional sigue fomentando los servicios que ofrece directamente.  Sin embargo, las mejoras más importantes que se sigan haciendo en el sistema </w:t>
      </w:r>
      <w:r w:rsidR="0019257A" w:rsidRPr="007F5333">
        <w:rPr>
          <w:lang w:val="es-ES"/>
        </w:rPr>
        <w:t>tendrán</w:t>
      </w:r>
      <w:r w:rsidR="00261906" w:rsidRPr="007F5333">
        <w:rPr>
          <w:lang w:val="es-ES"/>
        </w:rPr>
        <w:t xml:space="preserve"> que ver con la participación de las Oficinas nacionales, ya sea directamente mediante los servicios basados en navegadores </w:t>
      </w:r>
      <w:r w:rsidR="0019257A" w:rsidRPr="007F5333">
        <w:rPr>
          <w:lang w:val="es-ES"/>
        </w:rPr>
        <w:t xml:space="preserve">de Internet </w:t>
      </w:r>
      <w:r w:rsidR="00261906" w:rsidRPr="007F5333">
        <w:rPr>
          <w:lang w:val="es-ES"/>
        </w:rPr>
        <w:t>u optimizando los sistemas locales de T.I. para aprovechar los nuevos servicios ofrecidos, en beneficio propio o en el de los solicitantes que los usen en calidad de Oficina receptora o Administración Internacional.</w:t>
      </w:r>
    </w:p>
    <w:p w:rsidR="004E5A30" w:rsidRPr="007F5333" w:rsidRDefault="00695D1A" w:rsidP="004E5A30">
      <w:pPr>
        <w:pStyle w:val="Heading1"/>
        <w:rPr>
          <w:lang w:val="es-ES"/>
        </w:rPr>
      </w:pPr>
      <w:r w:rsidRPr="007F5333">
        <w:rPr>
          <w:lang w:val="es-ES"/>
        </w:rPr>
        <w:t>SITUACIÓN DE LOS SERVICIOS</w:t>
      </w:r>
    </w:p>
    <w:p w:rsidR="00E00ECB" w:rsidRPr="007F5333" w:rsidRDefault="00E00ECB" w:rsidP="00CF6CA7">
      <w:pPr>
        <w:pStyle w:val="Heading2"/>
        <w:rPr>
          <w:lang w:val="es-ES"/>
        </w:rPr>
      </w:pPr>
      <w:r w:rsidRPr="007F5333">
        <w:rPr>
          <w:caps w:val="0"/>
          <w:lang w:val="es-ES"/>
        </w:rPr>
        <w:t>e</w:t>
      </w:r>
      <w:r w:rsidRPr="007F5333">
        <w:rPr>
          <w:lang w:val="es-ES"/>
        </w:rPr>
        <w:t>PCT</w:t>
      </w:r>
    </w:p>
    <w:p w:rsidR="007C1A4A" w:rsidRPr="007F5333" w:rsidRDefault="007C1A4A" w:rsidP="007C1A4A">
      <w:pPr>
        <w:pStyle w:val="ONUME"/>
        <w:rPr>
          <w:lang w:val="es-ES"/>
        </w:rPr>
      </w:pPr>
      <w:r w:rsidRPr="007F5333">
        <w:rPr>
          <w:lang w:val="es-ES"/>
        </w:rPr>
        <w:t xml:space="preserve">El ePCT ofrece una amplia gama de servicios a los solicitantes y a las Oficinas a través de una interfaz de navegador de Internet.  Desde el 16 de abril de </w:t>
      </w:r>
      <w:r w:rsidR="00096AF0" w:rsidRPr="007F5333">
        <w:rPr>
          <w:lang w:val="es-ES"/>
        </w:rPr>
        <w:t xml:space="preserve">2015, </w:t>
      </w:r>
      <w:r w:rsidRPr="007F5333">
        <w:rPr>
          <w:lang w:val="es-ES"/>
        </w:rPr>
        <w:t>esa interfaz está disponible en los 10 idiomas de publicación, con lo que se ofrece un acceso más fácil a las funciones de presentación, supervisión y tramitación en la fase internacional de las solicitudes PCT para los solicitantes y las Oficinas de todo el mundo.</w:t>
      </w:r>
    </w:p>
    <w:p w:rsidR="00E1257B" w:rsidRPr="007F5333" w:rsidRDefault="0036347F" w:rsidP="00E1257B">
      <w:pPr>
        <w:pStyle w:val="ONUME"/>
        <w:rPr>
          <w:lang w:val="es-ES"/>
        </w:rPr>
      </w:pPr>
      <w:r w:rsidRPr="007F5333">
        <w:rPr>
          <w:lang w:val="es-ES"/>
        </w:rPr>
        <w:t>En el momento de redactar el</w:t>
      </w:r>
      <w:r w:rsidR="0019257A" w:rsidRPr="007F5333">
        <w:rPr>
          <w:lang w:val="es-ES"/>
        </w:rPr>
        <w:t xml:space="preserve"> presente</w:t>
      </w:r>
      <w:r w:rsidRPr="007F5333">
        <w:rPr>
          <w:lang w:val="es-ES"/>
        </w:rPr>
        <w:t xml:space="preserve"> documento, el servicio de presentación electrónica</w:t>
      </w:r>
      <w:r w:rsidR="00270E5E" w:rsidRPr="007F5333">
        <w:rPr>
          <w:lang w:val="es-ES"/>
        </w:rPr>
        <w:t xml:space="preserve"> ePCT</w:t>
      </w:r>
      <w:r w:rsidRPr="007F5333">
        <w:rPr>
          <w:lang w:val="es-ES"/>
        </w:rPr>
        <w:t xml:space="preserve"> ofrece la posibilidad de preparar y presentar solicitudes internacionales a 16 Oficinas receptoras, y hay más Oficinas en diversas fases de pruebas. Diez de esas Oficinas gozan de la posibilidad de albergar su servidor de presentación electrónica en la Oficina Internacional, lo que les permite ofrecer servicios de presentación electrónica directa a partir del </w:t>
      </w:r>
      <w:r w:rsidR="00F27A64" w:rsidRPr="007F5333">
        <w:rPr>
          <w:lang w:val="es-ES"/>
        </w:rPr>
        <w:t xml:space="preserve">ePCT, </w:t>
      </w:r>
      <w:r w:rsidRPr="007F5333">
        <w:rPr>
          <w:lang w:val="es-ES"/>
        </w:rPr>
        <w:t xml:space="preserve">cuando antes ofrecían solamente la presentación por medios físicos, mediante la descarga manual de un paquete que se </w:t>
      </w:r>
      <w:r w:rsidR="0019257A" w:rsidRPr="007F5333">
        <w:rPr>
          <w:lang w:val="es-ES"/>
        </w:rPr>
        <w:t>volvía</w:t>
      </w:r>
      <w:r w:rsidRPr="007F5333">
        <w:rPr>
          <w:lang w:val="es-ES"/>
        </w:rPr>
        <w:t xml:space="preserve"> a cargar en otro servidor, o bien en papel o solo en papel y en el disquete del </w:t>
      </w:r>
      <w:r w:rsidR="009612CC" w:rsidRPr="007F5333">
        <w:rPr>
          <w:lang w:val="es-ES"/>
        </w:rPr>
        <w:t>PCT</w:t>
      </w:r>
      <w:r w:rsidR="009612CC" w:rsidRPr="007F5333">
        <w:rPr>
          <w:lang w:val="es-ES"/>
        </w:rPr>
        <w:noBreakHyphen/>
        <w:t>EASY</w:t>
      </w:r>
      <w:r w:rsidR="00270E5E" w:rsidRPr="007F5333">
        <w:rPr>
          <w:lang w:val="es-ES"/>
        </w:rPr>
        <w:t>.</w:t>
      </w:r>
      <w:r w:rsidR="00E41F61" w:rsidRPr="007F5333">
        <w:rPr>
          <w:lang w:val="es-ES"/>
        </w:rPr>
        <w:t xml:space="preserve">  </w:t>
      </w:r>
      <w:r w:rsidR="00E1257B" w:rsidRPr="007F5333">
        <w:rPr>
          <w:lang w:val="es-ES"/>
        </w:rPr>
        <w:t xml:space="preserve">Cincuenta Oficinas nacionales y regionales que desempeñan la función de Oficina receptora, Administración Internacional u Oficina designada </w:t>
      </w:r>
      <w:r w:rsidR="0019257A" w:rsidRPr="007F5333">
        <w:rPr>
          <w:lang w:val="es-ES"/>
        </w:rPr>
        <w:t>tienen</w:t>
      </w:r>
      <w:r w:rsidR="00E1257B" w:rsidRPr="007F5333">
        <w:rPr>
          <w:lang w:val="es-ES"/>
        </w:rPr>
        <w:t xml:space="preserve"> acceso al </w:t>
      </w:r>
      <w:r w:rsidR="00E41F61" w:rsidRPr="007F5333">
        <w:rPr>
          <w:lang w:val="es-ES"/>
        </w:rPr>
        <w:t xml:space="preserve">ePCT, </w:t>
      </w:r>
      <w:r w:rsidR="00E1257B" w:rsidRPr="007F5333">
        <w:rPr>
          <w:lang w:val="es-ES"/>
        </w:rPr>
        <w:t>utilizándolo de diversas maneras como principal herramienta de tramitación, herramienta de apoyo o sencillamente con el fin de evaluar sus posibilidades.</w:t>
      </w:r>
    </w:p>
    <w:p w:rsidR="00FD3881" w:rsidRPr="007F5333" w:rsidRDefault="00FD3881" w:rsidP="00CF6CA7">
      <w:pPr>
        <w:pStyle w:val="Heading2"/>
        <w:rPr>
          <w:lang w:val="es-ES"/>
        </w:rPr>
      </w:pPr>
      <w:r w:rsidRPr="007F5333">
        <w:rPr>
          <w:caps w:val="0"/>
          <w:lang w:val="es-ES"/>
        </w:rPr>
        <w:t>e</w:t>
      </w:r>
      <w:r w:rsidRPr="007F5333">
        <w:rPr>
          <w:lang w:val="es-ES"/>
        </w:rPr>
        <w:t>SearchCopy</w:t>
      </w:r>
    </w:p>
    <w:p w:rsidR="00E1257B" w:rsidRPr="007F5333" w:rsidRDefault="00E1257B" w:rsidP="00FD3881">
      <w:pPr>
        <w:pStyle w:val="ONUME"/>
        <w:rPr>
          <w:lang w:val="es-ES"/>
        </w:rPr>
      </w:pPr>
      <w:r w:rsidRPr="007F5333">
        <w:rPr>
          <w:lang w:val="es-ES"/>
        </w:rPr>
        <w:t>El servicio</w:t>
      </w:r>
      <w:r w:rsidR="00FD3881" w:rsidRPr="007F5333">
        <w:rPr>
          <w:lang w:val="es-ES"/>
        </w:rPr>
        <w:t xml:space="preserve"> eSearchCopy </w:t>
      </w:r>
      <w:r w:rsidRPr="007F5333">
        <w:rPr>
          <w:lang w:val="es-ES"/>
        </w:rPr>
        <w:t>está en funcionamiento respecto de un reducido número de pares de Oficinas receptoras y Administraciones Internacio</w:t>
      </w:r>
      <w:r w:rsidR="00C71957" w:rsidRPr="007F5333">
        <w:rPr>
          <w:lang w:val="es-ES"/>
        </w:rPr>
        <w:t>n</w:t>
      </w:r>
      <w:r w:rsidRPr="007F5333">
        <w:rPr>
          <w:lang w:val="es-ES"/>
        </w:rPr>
        <w:t>ales, a saber:</w:t>
      </w:r>
    </w:p>
    <w:p w:rsidR="00FD3881" w:rsidRPr="007F5333" w:rsidRDefault="00E41F61" w:rsidP="00E41F61">
      <w:pPr>
        <w:pStyle w:val="ONUME"/>
        <w:numPr>
          <w:ilvl w:val="0"/>
          <w:numId w:val="0"/>
        </w:numPr>
        <w:tabs>
          <w:tab w:val="left" w:pos="3969"/>
        </w:tabs>
        <w:ind w:left="567"/>
        <w:rPr>
          <w:lang w:val="es-ES"/>
        </w:rPr>
      </w:pPr>
      <w:r w:rsidRPr="007F5333">
        <w:rPr>
          <w:lang w:val="es-ES"/>
        </w:rPr>
        <w:t>RO/SG</w:t>
      </w:r>
      <w:r w:rsidRPr="007F5333">
        <w:rPr>
          <w:lang w:val="es-ES"/>
        </w:rPr>
        <w:tab/>
        <w:t>→</w:t>
      </w:r>
      <w:r w:rsidRPr="007F5333">
        <w:rPr>
          <w:lang w:val="es-ES"/>
        </w:rPr>
        <w:tab/>
        <w:t>ISA/AT</w:t>
      </w:r>
      <w:r w:rsidRPr="007F5333">
        <w:rPr>
          <w:lang w:val="es-ES"/>
        </w:rPr>
        <w:br/>
      </w:r>
      <w:r w:rsidR="00FD3881" w:rsidRPr="007F5333">
        <w:rPr>
          <w:lang w:val="es-ES"/>
        </w:rPr>
        <w:t xml:space="preserve">RO/MY, RO/NZ, </w:t>
      </w:r>
      <w:r w:rsidRPr="007F5333">
        <w:rPr>
          <w:lang w:val="es-ES"/>
        </w:rPr>
        <w:t xml:space="preserve">RO/PH, </w:t>
      </w:r>
      <w:r w:rsidR="00FD3881" w:rsidRPr="007F5333">
        <w:rPr>
          <w:lang w:val="es-ES"/>
        </w:rPr>
        <w:t>RO/SG</w:t>
      </w:r>
      <w:r w:rsidR="00FD3881" w:rsidRPr="007F5333">
        <w:rPr>
          <w:lang w:val="es-ES"/>
        </w:rPr>
        <w:tab/>
        <w:t>→</w:t>
      </w:r>
      <w:r w:rsidR="00FD3881" w:rsidRPr="007F5333">
        <w:rPr>
          <w:lang w:val="es-ES"/>
        </w:rPr>
        <w:tab/>
        <w:t>ISA/AU</w:t>
      </w:r>
      <w:r w:rsidR="00FD3881" w:rsidRPr="007F5333">
        <w:rPr>
          <w:lang w:val="es-ES"/>
        </w:rPr>
        <w:br/>
        <w:t>RO/US</w:t>
      </w:r>
      <w:r w:rsidR="00FD3881" w:rsidRPr="007F5333">
        <w:rPr>
          <w:lang w:val="es-ES"/>
        </w:rPr>
        <w:tab/>
        <w:t>→</w:t>
      </w:r>
      <w:r w:rsidR="00FD3881" w:rsidRPr="007F5333">
        <w:rPr>
          <w:lang w:val="es-ES"/>
        </w:rPr>
        <w:tab/>
        <w:t>ISA/IL</w:t>
      </w:r>
      <w:r w:rsidRPr="007F5333">
        <w:rPr>
          <w:lang w:val="es-ES"/>
        </w:rPr>
        <w:br/>
        <w:t>RO/MY, RO/PH, RO/SG</w:t>
      </w:r>
      <w:r w:rsidRPr="007F5333">
        <w:rPr>
          <w:lang w:val="es-ES"/>
        </w:rPr>
        <w:tab/>
        <w:t>→</w:t>
      </w:r>
      <w:r w:rsidRPr="007F5333">
        <w:rPr>
          <w:lang w:val="es-ES"/>
        </w:rPr>
        <w:tab/>
        <w:t>ISA/JP</w:t>
      </w:r>
      <w:r w:rsidRPr="007F5333">
        <w:rPr>
          <w:lang w:val="es-ES"/>
        </w:rPr>
        <w:br/>
        <w:t>RO/EA</w:t>
      </w:r>
      <w:r w:rsidRPr="007F5333">
        <w:rPr>
          <w:lang w:val="es-ES"/>
        </w:rPr>
        <w:tab/>
        <w:t>→</w:t>
      </w:r>
      <w:r w:rsidRPr="007F5333">
        <w:rPr>
          <w:lang w:val="es-ES"/>
        </w:rPr>
        <w:tab/>
        <w:t>ISA/RU</w:t>
      </w:r>
      <w:r w:rsidR="00FD3881" w:rsidRPr="007F5333">
        <w:rPr>
          <w:lang w:val="es-ES"/>
        </w:rPr>
        <w:br/>
        <w:t>RO/FI</w:t>
      </w:r>
      <w:r w:rsidR="00FD3881" w:rsidRPr="007F5333">
        <w:rPr>
          <w:lang w:val="es-ES"/>
        </w:rPr>
        <w:tab/>
        <w:t>→</w:t>
      </w:r>
      <w:r w:rsidR="00FD3881" w:rsidRPr="007F5333">
        <w:rPr>
          <w:lang w:val="es-ES"/>
        </w:rPr>
        <w:tab/>
        <w:t>ISA/SE</w:t>
      </w:r>
    </w:p>
    <w:p w:rsidR="00432113" w:rsidRPr="007F5333" w:rsidRDefault="00432113" w:rsidP="00432113">
      <w:pPr>
        <w:pStyle w:val="ONUME"/>
        <w:keepLines/>
        <w:rPr>
          <w:lang w:val="es-ES"/>
        </w:rPr>
      </w:pPr>
      <w:r w:rsidRPr="007F5333">
        <w:rPr>
          <w:lang w:val="es-ES"/>
        </w:rPr>
        <w:t xml:space="preserve">Estos pares abarcan los principales usos previstos del servicio, en los que los ejemplares originales se transmiten en lotes mediante el </w:t>
      </w:r>
      <w:r w:rsidR="002450C0" w:rsidRPr="007F5333">
        <w:rPr>
          <w:lang w:val="es-ES"/>
        </w:rPr>
        <w:t>PCT</w:t>
      </w:r>
      <w:r w:rsidR="002450C0" w:rsidRPr="007F5333">
        <w:rPr>
          <w:lang w:val="es-ES"/>
        </w:rPr>
        <w:noBreakHyphen/>
        <w:t>EDI</w:t>
      </w:r>
      <w:r w:rsidR="002450C0" w:rsidRPr="007F5333">
        <w:rPr>
          <w:rStyle w:val="FootnoteReference"/>
          <w:lang w:val="es-ES"/>
        </w:rPr>
        <w:footnoteReference w:id="2"/>
      </w:r>
      <w:r w:rsidR="002450C0" w:rsidRPr="007F5333">
        <w:rPr>
          <w:lang w:val="es-ES"/>
        </w:rPr>
        <w:t xml:space="preserve"> </w:t>
      </w:r>
      <w:r w:rsidRPr="007F5333">
        <w:rPr>
          <w:lang w:val="es-ES"/>
        </w:rPr>
        <w:t xml:space="preserve">e individualmente por medio de cargas del </w:t>
      </w:r>
      <w:r w:rsidR="002450C0" w:rsidRPr="007F5333">
        <w:rPr>
          <w:lang w:val="es-ES"/>
        </w:rPr>
        <w:t xml:space="preserve">ePCT, </w:t>
      </w:r>
      <w:r w:rsidRPr="007F5333">
        <w:rPr>
          <w:lang w:val="es-ES"/>
        </w:rPr>
        <w:t xml:space="preserve">y con la confirmación de los pagos de </w:t>
      </w:r>
      <w:r w:rsidR="00E5192A" w:rsidRPr="007F5333">
        <w:rPr>
          <w:lang w:val="es-ES"/>
        </w:rPr>
        <w:t xml:space="preserve">las </w:t>
      </w:r>
      <w:r w:rsidRPr="007F5333">
        <w:rPr>
          <w:lang w:val="es-ES"/>
        </w:rPr>
        <w:t xml:space="preserve">tasas de la búsqueda mediante la transmisión de listas que abarcan múltiples solicitudes internacionales o la selección del recuadro pertinente en el </w:t>
      </w:r>
      <w:r w:rsidR="002450C0" w:rsidRPr="007F5333">
        <w:rPr>
          <w:lang w:val="es-ES"/>
        </w:rPr>
        <w:t xml:space="preserve">ePCT, </w:t>
      </w:r>
      <w:r w:rsidRPr="007F5333">
        <w:rPr>
          <w:lang w:val="es-ES"/>
        </w:rPr>
        <w:t>de modo que se pueda verificar la mayor parte de las funciones esenciales.</w:t>
      </w:r>
    </w:p>
    <w:p w:rsidR="00FD3881" w:rsidRPr="007F5333" w:rsidRDefault="00A92CEF" w:rsidP="00A92CEF">
      <w:pPr>
        <w:pStyle w:val="ONUME"/>
        <w:keepLines/>
        <w:rPr>
          <w:lang w:val="es-ES"/>
        </w:rPr>
      </w:pPr>
      <w:r w:rsidRPr="007F5333">
        <w:rPr>
          <w:lang w:val="es-ES"/>
        </w:rPr>
        <w:lastRenderedPageBreak/>
        <w:t xml:space="preserve">Se están haciendo los preparativos para añadir varios pares más.  Cabe destacar que la </w:t>
      </w:r>
      <w:r w:rsidR="00FD3881" w:rsidRPr="007F5333">
        <w:rPr>
          <w:lang w:val="es-ES"/>
        </w:rPr>
        <w:t>ISA/EP</w:t>
      </w:r>
      <w:r w:rsidR="00F1524A" w:rsidRPr="007F5333">
        <w:rPr>
          <w:lang w:val="es-ES"/>
        </w:rPr>
        <w:t xml:space="preserve"> </w:t>
      </w:r>
      <w:r w:rsidRPr="007F5333">
        <w:rPr>
          <w:lang w:val="es-ES"/>
        </w:rPr>
        <w:t xml:space="preserve">está poniendo en marcha una iniciativa piloto con solo tres Oficinas receptoras, si bien un resultado satisfactorio tendría importancia especial en ese caso dado que la Oficina Europea de Patentes ejerce de Administración encargada de la búsqueda internacional para </w:t>
      </w:r>
      <w:r w:rsidR="00E41F61" w:rsidRPr="007F5333">
        <w:rPr>
          <w:lang w:val="es-ES"/>
        </w:rPr>
        <w:t xml:space="preserve">105 </w:t>
      </w:r>
      <w:r w:rsidRPr="007F5333">
        <w:rPr>
          <w:lang w:val="es-ES"/>
        </w:rPr>
        <w:t>Oficinas receptoras de todo el mundo</w:t>
      </w:r>
      <w:r w:rsidR="00FD3881" w:rsidRPr="007F5333">
        <w:rPr>
          <w:lang w:val="es-ES"/>
        </w:rPr>
        <w:t>.</w:t>
      </w:r>
    </w:p>
    <w:p w:rsidR="00883FD2" w:rsidRPr="007F5333" w:rsidRDefault="00A92CEF" w:rsidP="00883FD2">
      <w:pPr>
        <w:pStyle w:val="Heading1"/>
        <w:rPr>
          <w:lang w:val="es-ES"/>
        </w:rPr>
      </w:pPr>
      <w:r w:rsidRPr="007F5333">
        <w:rPr>
          <w:lang w:val="es-ES"/>
        </w:rPr>
        <w:t xml:space="preserve">ESFERAS PRIORITARIAS </w:t>
      </w:r>
    </w:p>
    <w:p w:rsidR="00112B2B" w:rsidRPr="007F5333" w:rsidRDefault="00112B2B">
      <w:pPr>
        <w:pStyle w:val="ONUME"/>
        <w:rPr>
          <w:lang w:val="es-ES"/>
        </w:rPr>
      </w:pPr>
      <w:r w:rsidRPr="007F5333">
        <w:rPr>
          <w:lang w:val="es-ES"/>
        </w:rPr>
        <w:t>La Oficina Internac</w:t>
      </w:r>
      <w:r w:rsidR="00710C56" w:rsidRPr="007F5333">
        <w:rPr>
          <w:lang w:val="es-ES"/>
        </w:rPr>
        <w:t xml:space="preserve">ional </w:t>
      </w:r>
      <w:r w:rsidRPr="007F5333">
        <w:rPr>
          <w:lang w:val="es-ES"/>
        </w:rPr>
        <w:t>seguirá mejorando la calidad, alcance y facilidad de uso de las herramientas en línea disponibles para los solicitantes y las Oficinas, pero es necesaria la participación de las Oficinas nacionales para cosechar los beneficios más esperados en los años venideros.  Varias esferas de la labor, según se expone más adelante, ofrecen la posibilidad de arrojar ventajas esp</w:t>
      </w:r>
      <w:r w:rsidR="001B6F7B" w:rsidRPr="007F5333">
        <w:rPr>
          <w:lang w:val="es-ES"/>
        </w:rPr>
        <w:t xml:space="preserve">ecíficas para los solicitantes y </w:t>
      </w:r>
      <w:r w:rsidRPr="007F5333">
        <w:rPr>
          <w:lang w:val="es-ES"/>
        </w:rPr>
        <w:t>las oficinas o para fomentar la calidad de la información contenida en las patentes disponible a partir del sistema en su conjunto.</w:t>
      </w:r>
    </w:p>
    <w:p w:rsidR="00320457" w:rsidRPr="007F5333" w:rsidRDefault="00320457" w:rsidP="00320457">
      <w:pPr>
        <w:pStyle w:val="Heading2"/>
        <w:rPr>
          <w:lang w:val="es-ES"/>
        </w:rPr>
      </w:pPr>
      <w:r w:rsidRPr="007F5333">
        <w:rPr>
          <w:lang w:val="es-ES"/>
        </w:rPr>
        <w:t xml:space="preserve">Presentación electrónica a través del </w:t>
      </w:r>
      <w:r w:rsidR="001B6F7B" w:rsidRPr="007F5333">
        <w:rPr>
          <w:lang w:val="es-ES"/>
        </w:rPr>
        <w:t>e</w:t>
      </w:r>
      <w:r w:rsidRPr="007F5333">
        <w:rPr>
          <w:lang w:val="es-ES"/>
        </w:rPr>
        <w:t>PCT</w:t>
      </w:r>
    </w:p>
    <w:p w:rsidR="005F3285" w:rsidRPr="007F5333" w:rsidRDefault="00F0317F" w:rsidP="005F3285">
      <w:pPr>
        <w:pStyle w:val="ONUME"/>
        <w:rPr>
          <w:lang w:val="es-ES"/>
        </w:rPr>
      </w:pPr>
      <w:r w:rsidRPr="007F5333">
        <w:rPr>
          <w:lang w:val="es-ES"/>
        </w:rPr>
        <w:t>La Oficina Internac</w:t>
      </w:r>
      <w:r w:rsidR="008071BA" w:rsidRPr="007F5333">
        <w:rPr>
          <w:lang w:val="es-ES"/>
        </w:rPr>
        <w:t xml:space="preserve">ional </w:t>
      </w:r>
      <w:r w:rsidRPr="007F5333">
        <w:rPr>
          <w:lang w:val="es-ES"/>
        </w:rPr>
        <w:t>invita a las Oficinas que no hayan recibido solicitudes electrónicas por medio del ePCT, o que no estén haciendo los preparativos necesarios para ello, a colaborar con la Oficina Internacional para poner en marcha el servicio en su Oficina, albergado por la Oficina Internacional, si lo prefieren.  Si bien todos los solicitantes tienen la posibilidad de elegir la Oficina Internacional en calidad de Oficina receptora, ya no es necesario que una Oficina haga importantes inversiones para ofrecer servicios en línea si desea actuar como Oficina receptora para sus solicitantes nacionales.</w:t>
      </w:r>
    </w:p>
    <w:p w:rsidR="00647A6F" w:rsidRPr="007F5333" w:rsidRDefault="00F0317F" w:rsidP="00647A6F">
      <w:pPr>
        <w:pStyle w:val="ONUME"/>
        <w:rPr>
          <w:lang w:val="es-ES"/>
        </w:rPr>
      </w:pPr>
      <w:r w:rsidRPr="007F5333">
        <w:rPr>
          <w:lang w:val="es-ES"/>
        </w:rPr>
        <w:t>La Asamblea del PCT acordó suprimir la reducción de tasas para las solicitudes presentadas mediante el sistema PCT</w:t>
      </w:r>
      <w:r w:rsidRPr="007F5333">
        <w:rPr>
          <w:lang w:val="es-ES"/>
        </w:rPr>
        <w:noBreakHyphen/>
        <w:t xml:space="preserve">EASY a partir del 1 de julio de 2015, </w:t>
      </w:r>
      <w:r w:rsidR="009A7E75" w:rsidRPr="007F5333">
        <w:rPr>
          <w:lang w:val="es-ES"/>
        </w:rPr>
        <w:t xml:space="preserve">sobre todo </w:t>
      </w:r>
      <w:r w:rsidRPr="007F5333">
        <w:rPr>
          <w:lang w:val="es-ES"/>
        </w:rPr>
        <w:t xml:space="preserve">teniendo en cuenta que </w:t>
      </w:r>
      <w:r w:rsidR="009A7E75" w:rsidRPr="007F5333">
        <w:rPr>
          <w:lang w:val="es-ES"/>
        </w:rPr>
        <w:t xml:space="preserve">dicho sistema </w:t>
      </w:r>
      <w:r w:rsidRPr="007F5333">
        <w:rPr>
          <w:lang w:val="es-ES"/>
        </w:rPr>
        <w:t xml:space="preserve">apenas se utiliza en la mayoría de Oficinas receptoras que ofrecen servicios de presentación electrónica.  Además, la Oficina Internacional </w:t>
      </w:r>
      <w:r w:rsidR="009A7E75" w:rsidRPr="007F5333">
        <w:rPr>
          <w:lang w:val="es-ES"/>
        </w:rPr>
        <w:t>se ofrecía a albergar los servicios de presentación electrónica de solicitudes, permitiendo a las Oficinas receptoras ofrecer un servicio que era más eficaz para los solicitantes y las Oficinas nacionales que usa</w:t>
      </w:r>
      <w:r w:rsidR="00F56113" w:rsidRPr="007F5333">
        <w:rPr>
          <w:lang w:val="es-ES"/>
        </w:rPr>
        <w:t>ba</w:t>
      </w:r>
      <w:r w:rsidR="009A7E75" w:rsidRPr="007F5333">
        <w:rPr>
          <w:lang w:val="es-ES"/>
        </w:rPr>
        <w:t xml:space="preserve">n los documentos y los datos presentados en las solicitudes (véanse los párrafos 2 a 6 del documento </w:t>
      </w:r>
      <w:r w:rsidR="00647A6F" w:rsidRPr="007F5333">
        <w:rPr>
          <w:lang w:val="es-ES"/>
        </w:rPr>
        <w:t xml:space="preserve">PCT/WG/7/15 </w:t>
      </w:r>
      <w:r w:rsidR="009A7E75" w:rsidRPr="007F5333">
        <w:rPr>
          <w:lang w:val="es-ES"/>
        </w:rPr>
        <w:t xml:space="preserve">y los párrafos 16 y </w:t>
      </w:r>
      <w:r w:rsidR="00647A6F" w:rsidRPr="007F5333">
        <w:rPr>
          <w:lang w:val="es-ES"/>
        </w:rPr>
        <w:t xml:space="preserve">17 </w:t>
      </w:r>
      <w:r w:rsidR="009A7E75" w:rsidRPr="007F5333">
        <w:rPr>
          <w:lang w:val="es-ES"/>
        </w:rPr>
        <w:t xml:space="preserve">del </w:t>
      </w:r>
      <w:r w:rsidR="00647A6F" w:rsidRPr="007F5333">
        <w:rPr>
          <w:lang w:val="es-ES"/>
        </w:rPr>
        <w:t>document</w:t>
      </w:r>
      <w:r w:rsidR="009A7E75" w:rsidRPr="007F5333">
        <w:rPr>
          <w:lang w:val="es-ES"/>
        </w:rPr>
        <w:t>o</w:t>
      </w:r>
      <w:r w:rsidR="00647A6F" w:rsidRPr="007F5333">
        <w:rPr>
          <w:lang w:val="es-ES"/>
        </w:rPr>
        <w:t xml:space="preserve"> PCT/A/46/3).</w:t>
      </w:r>
    </w:p>
    <w:p w:rsidR="00EA4129" w:rsidRPr="007F5333" w:rsidRDefault="00F56113" w:rsidP="00203053">
      <w:pPr>
        <w:pStyle w:val="ONUME"/>
        <w:rPr>
          <w:lang w:val="es-ES"/>
        </w:rPr>
      </w:pPr>
      <w:r w:rsidRPr="007F5333">
        <w:rPr>
          <w:lang w:val="es-ES"/>
        </w:rPr>
        <w:t xml:space="preserve">La presentación electrónica mediante el </w:t>
      </w:r>
      <w:r w:rsidR="00030450" w:rsidRPr="007F5333">
        <w:rPr>
          <w:lang w:val="es-ES"/>
        </w:rPr>
        <w:t>ePCT</w:t>
      </w:r>
      <w:r w:rsidRPr="007F5333">
        <w:rPr>
          <w:lang w:val="es-ES"/>
        </w:rPr>
        <w:t xml:space="preserve"> permite a los solicitantes preparar y presentar las solicitudes internacionales en un servidor albergado directamente por una Oficina receptora o en el albergado por la Oficina Internacional en nombre de la Oficina receptora, usando los mismos formatos de archivo y </w:t>
      </w:r>
      <w:r w:rsidR="00EE3351" w:rsidRPr="007F5333">
        <w:rPr>
          <w:lang w:val="es-ES"/>
        </w:rPr>
        <w:t>protocolos</w:t>
      </w:r>
      <w:r w:rsidRPr="007F5333">
        <w:rPr>
          <w:lang w:val="es-ES"/>
        </w:rPr>
        <w:t xml:space="preserve"> de presentación que han sido utilizados satisfactoriamente por muchas Oficinas receptoras durante algunos años. </w:t>
      </w:r>
      <w:r w:rsidR="00203053" w:rsidRPr="007F5333">
        <w:rPr>
          <w:lang w:val="es-ES"/>
        </w:rPr>
        <w:t xml:space="preserve"> Cuando el servidor esté albergado por la Oficina Internacional, la Oficina receptora podrá tramitar las solicitudes internacionales presentadas mediante la interfaz ePCT basada en un navegador</w:t>
      </w:r>
      <w:r w:rsidR="001B6F7B" w:rsidRPr="007F5333">
        <w:rPr>
          <w:lang w:val="es-ES"/>
        </w:rPr>
        <w:t xml:space="preserve"> de Internet</w:t>
      </w:r>
      <w:r w:rsidR="00203053" w:rsidRPr="007F5333">
        <w:rPr>
          <w:lang w:val="es-ES"/>
        </w:rPr>
        <w:t xml:space="preserve"> para las Oficinas o se podrá importar dichas solicitudes mediante el sistema </w:t>
      </w:r>
      <w:r w:rsidR="00030450" w:rsidRPr="007F5333">
        <w:rPr>
          <w:lang w:val="es-ES"/>
        </w:rPr>
        <w:t>PCT</w:t>
      </w:r>
      <w:r w:rsidR="00030450" w:rsidRPr="007F5333">
        <w:rPr>
          <w:lang w:val="es-ES"/>
        </w:rPr>
        <w:noBreakHyphen/>
        <w:t xml:space="preserve">EDI </w:t>
      </w:r>
      <w:r w:rsidR="00203053" w:rsidRPr="007F5333">
        <w:rPr>
          <w:lang w:val="es-ES"/>
        </w:rPr>
        <w:t xml:space="preserve">para su tramitación en un sistema local.  En consecuencia, las Oficinas receptoras estarán en condiciones de ofrecer un sistema accesible de presentación </w:t>
      </w:r>
      <w:r w:rsidR="001B6F7B" w:rsidRPr="007F5333">
        <w:rPr>
          <w:lang w:val="es-ES"/>
        </w:rPr>
        <w:t xml:space="preserve">electrónica </w:t>
      </w:r>
      <w:r w:rsidR="00203053" w:rsidRPr="007F5333">
        <w:rPr>
          <w:lang w:val="es-ES"/>
        </w:rPr>
        <w:t xml:space="preserve">o de dar acceso a su sistema existente para presentar solicitudes a partir del </w:t>
      </w:r>
      <w:r w:rsidR="00EA4129" w:rsidRPr="007F5333">
        <w:rPr>
          <w:lang w:val="es-ES"/>
        </w:rPr>
        <w:t xml:space="preserve">ePCT, </w:t>
      </w:r>
      <w:r w:rsidR="00203053" w:rsidRPr="007F5333">
        <w:rPr>
          <w:lang w:val="es-ES"/>
        </w:rPr>
        <w:t>sin costos adicionales de desarrollo y mantenimiento de la infraestructura local de T.I</w:t>
      </w:r>
      <w:r w:rsidR="008071BA" w:rsidRPr="007F5333">
        <w:rPr>
          <w:lang w:val="es-ES"/>
        </w:rPr>
        <w:t>.</w:t>
      </w:r>
    </w:p>
    <w:p w:rsidR="00EA4129" w:rsidRPr="007F5333" w:rsidRDefault="005B6333" w:rsidP="005B6333">
      <w:pPr>
        <w:pStyle w:val="ONUME"/>
        <w:rPr>
          <w:lang w:val="es-ES"/>
        </w:rPr>
      </w:pPr>
      <w:r w:rsidRPr="007F5333">
        <w:rPr>
          <w:lang w:val="es-ES"/>
        </w:rPr>
        <w:t xml:space="preserve">La </w:t>
      </w:r>
      <w:r w:rsidR="00EE3351" w:rsidRPr="007F5333">
        <w:rPr>
          <w:lang w:val="es-ES"/>
        </w:rPr>
        <w:t>presentación</w:t>
      </w:r>
      <w:r w:rsidRPr="007F5333">
        <w:rPr>
          <w:lang w:val="es-ES"/>
        </w:rPr>
        <w:t xml:space="preserve"> electrónica a través del </w:t>
      </w:r>
      <w:r w:rsidR="00EA4129" w:rsidRPr="007F5333">
        <w:rPr>
          <w:lang w:val="es-ES"/>
        </w:rPr>
        <w:t>ePCT</w:t>
      </w:r>
      <w:r w:rsidRPr="007F5333">
        <w:rPr>
          <w:lang w:val="es-ES"/>
        </w:rPr>
        <w:t xml:space="preserve"> tiene varias ventajas en relación con el anterior programa de presentación electrónica</w:t>
      </w:r>
      <w:r w:rsidR="00FB275D" w:rsidRPr="007F5333">
        <w:rPr>
          <w:lang w:val="es-ES"/>
        </w:rPr>
        <w:t>:</w:t>
      </w:r>
      <w:r w:rsidRPr="007F5333">
        <w:rPr>
          <w:lang w:val="es-ES"/>
        </w:rPr>
        <w:t xml:space="preserve">  el solicitante no tiene que instalar programa especial alguno, los datos de referencia y los servicios para verificar el cumplimiento de los requisitos del PCT están siempre actualizados y disponibles para todos los usuarios, y el sistema es capaz de ofrecer controles y funciones de pre</w:t>
      </w:r>
      <w:r w:rsidR="00EE3351" w:rsidRPr="007F5333">
        <w:rPr>
          <w:lang w:val="es-ES"/>
        </w:rPr>
        <w:t>-</w:t>
      </w:r>
      <w:r w:rsidRPr="007F5333">
        <w:rPr>
          <w:lang w:val="es-ES"/>
        </w:rPr>
        <w:t xml:space="preserve">visualización, de la mano de los sistemas usados por la Oficina Internacional para su labor de tramitación, a fin de velar por que el solicitante no se lleve sorpresas en forma de incoherencias en las etapas posteriores.  La amplia disponibilidad y aceptación del ePCT hará posible que finalmente se deje de utilizar el </w:t>
      </w:r>
      <w:r w:rsidRPr="007F5333">
        <w:rPr>
          <w:lang w:val="es-ES"/>
        </w:rPr>
        <w:lastRenderedPageBreak/>
        <w:t xml:space="preserve">programa </w:t>
      </w:r>
      <w:r w:rsidR="00A360B0" w:rsidRPr="007F5333">
        <w:rPr>
          <w:lang w:val="es-ES"/>
        </w:rPr>
        <w:t>PCT</w:t>
      </w:r>
      <w:r w:rsidR="00A360B0" w:rsidRPr="007F5333">
        <w:rPr>
          <w:lang w:val="es-ES"/>
        </w:rPr>
        <w:noBreakHyphen/>
        <w:t xml:space="preserve">SAFE, </w:t>
      </w:r>
      <w:r w:rsidRPr="007F5333">
        <w:rPr>
          <w:lang w:val="es-ES"/>
        </w:rPr>
        <w:t>liberando los recursos utilizados para mantener dicho programa, que se podrán emplear en otros lugares</w:t>
      </w:r>
      <w:r w:rsidR="00A360B0" w:rsidRPr="007F5333">
        <w:rPr>
          <w:lang w:val="es-ES"/>
        </w:rPr>
        <w:t>.</w:t>
      </w:r>
    </w:p>
    <w:p w:rsidR="006B5071" w:rsidRPr="007F5333" w:rsidRDefault="006B5071" w:rsidP="00CF6CA7">
      <w:pPr>
        <w:pStyle w:val="Heading2"/>
        <w:rPr>
          <w:lang w:val="es-ES"/>
        </w:rPr>
      </w:pPr>
      <w:r w:rsidRPr="007F5333">
        <w:rPr>
          <w:lang w:val="es-ES"/>
        </w:rPr>
        <w:t>TransmisIÓN</w:t>
      </w:r>
      <w:r w:rsidR="00883FD2" w:rsidRPr="007F5333">
        <w:rPr>
          <w:lang w:val="es-ES"/>
        </w:rPr>
        <w:t xml:space="preserve"> </w:t>
      </w:r>
      <w:r w:rsidRPr="007F5333">
        <w:rPr>
          <w:lang w:val="es-ES"/>
        </w:rPr>
        <w:t xml:space="preserve">ElectrÓnicA de documentos DE LOS SOLICITANTES presentados posteriormente </w:t>
      </w:r>
    </w:p>
    <w:p w:rsidR="00883FD2" w:rsidRPr="007F5333" w:rsidRDefault="006B5071" w:rsidP="006B5071">
      <w:pPr>
        <w:pStyle w:val="ONUME"/>
        <w:rPr>
          <w:lang w:val="es-ES"/>
        </w:rPr>
      </w:pPr>
      <w:r w:rsidRPr="007F5333">
        <w:rPr>
          <w:lang w:val="es-ES"/>
        </w:rPr>
        <w:t xml:space="preserve">El </w:t>
      </w:r>
      <w:r w:rsidR="00030450" w:rsidRPr="007F5333">
        <w:rPr>
          <w:lang w:val="es-ES"/>
        </w:rPr>
        <w:t xml:space="preserve">ePCT </w:t>
      </w:r>
      <w:r w:rsidRPr="007F5333">
        <w:rPr>
          <w:lang w:val="es-ES"/>
        </w:rPr>
        <w:t xml:space="preserve">no solo ofrece la posibilidad de cargar documentos </w:t>
      </w:r>
      <w:r w:rsidR="001B6F7B" w:rsidRPr="007F5333">
        <w:rPr>
          <w:lang w:val="es-ES"/>
        </w:rPr>
        <w:t xml:space="preserve">para enviarlos </w:t>
      </w:r>
      <w:r w:rsidRPr="007F5333">
        <w:rPr>
          <w:lang w:val="es-ES"/>
        </w:rPr>
        <w:t xml:space="preserve">a la Oficina Internacional, sino </w:t>
      </w:r>
      <w:r w:rsidR="001B6F7B" w:rsidRPr="007F5333">
        <w:rPr>
          <w:lang w:val="es-ES"/>
        </w:rPr>
        <w:t xml:space="preserve">también </w:t>
      </w:r>
      <w:r w:rsidRPr="007F5333">
        <w:rPr>
          <w:lang w:val="es-ES"/>
        </w:rPr>
        <w:t>a las Oficinas receptoras y Administraciones Internacionales que estén dispuestas a recibirlos de esa fuente.  Dependiendo de las necesidades locales en materia de automatización, la Oficina podrá optar por recibir los documentos mediante transferencia en lotes a través del PCT</w:t>
      </w:r>
      <w:r w:rsidRPr="007F5333">
        <w:rPr>
          <w:lang w:val="es-ES"/>
        </w:rPr>
        <w:noBreakHyphen/>
        <w:t>EDI o</w:t>
      </w:r>
      <w:r w:rsidR="008071BA" w:rsidRPr="007F5333">
        <w:rPr>
          <w:lang w:val="es-ES"/>
        </w:rPr>
        <w:t xml:space="preserve"> </w:t>
      </w:r>
      <w:r w:rsidRPr="007F5333">
        <w:rPr>
          <w:lang w:val="es-ES"/>
        </w:rPr>
        <w:t>recibir una notificación de que está disponible un nuevo documento para ser visto y descargado en el servicio de</w:t>
      </w:r>
      <w:r w:rsidR="00E45B51" w:rsidRPr="007F5333">
        <w:rPr>
          <w:lang w:val="es-ES"/>
        </w:rPr>
        <w:t>l</w:t>
      </w:r>
      <w:r w:rsidRPr="007F5333">
        <w:rPr>
          <w:lang w:val="es-ES"/>
        </w:rPr>
        <w:t xml:space="preserve"> ePCT basado en un navegador </w:t>
      </w:r>
      <w:r w:rsidR="001B6F7B" w:rsidRPr="007F5333">
        <w:rPr>
          <w:lang w:val="es-ES"/>
        </w:rPr>
        <w:t xml:space="preserve">de Internet </w:t>
      </w:r>
      <w:r w:rsidRPr="007F5333">
        <w:rPr>
          <w:lang w:val="es-ES"/>
        </w:rPr>
        <w:t>para la Oficinas.</w:t>
      </w:r>
    </w:p>
    <w:p w:rsidR="008071BA" w:rsidRPr="007F5333" w:rsidRDefault="00A107C9" w:rsidP="008071BA">
      <w:pPr>
        <w:pStyle w:val="ONUME"/>
        <w:rPr>
          <w:lang w:val="es-ES"/>
        </w:rPr>
      </w:pPr>
      <w:r w:rsidRPr="007F5333">
        <w:rPr>
          <w:lang w:val="es-ES"/>
        </w:rPr>
        <w:t xml:space="preserve">La puesta en marcha de este servicio por todas las Oficinas receptoras y Administraciones Internacionales fomentaría enormemente la eficiencia del sistema, especialmente en el caso de los solicitantes que mantengan correspondencia con la </w:t>
      </w:r>
      <w:r w:rsidR="001B6F7B" w:rsidRPr="007F5333">
        <w:rPr>
          <w:lang w:val="es-ES"/>
        </w:rPr>
        <w:t>Administración</w:t>
      </w:r>
      <w:r w:rsidRPr="007F5333">
        <w:rPr>
          <w:lang w:val="es-ES"/>
        </w:rPr>
        <w:t xml:space="preserve"> Internacional </w:t>
      </w:r>
      <w:r w:rsidR="001B6F7B" w:rsidRPr="007F5333">
        <w:rPr>
          <w:lang w:val="es-ES"/>
        </w:rPr>
        <w:t>d</w:t>
      </w:r>
      <w:r w:rsidRPr="007F5333">
        <w:rPr>
          <w:lang w:val="es-ES"/>
        </w:rPr>
        <w:t xml:space="preserve">e otro país, donde puede haber importantes retrasos en los servicios postales.  Las Oficinas tendrán la ventaja de recibir documentos que ya están en formato electrónico, codificados con el número de solicitud internacional y </w:t>
      </w:r>
      <w:r w:rsidR="00E45B51" w:rsidRPr="007F5333">
        <w:rPr>
          <w:lang w:val="es-ES"/>
        </w:rPr>
        <w:t xml:space="preserve">el </w:t>
      </w:r>
      <w:r w:rsidRPr="007F5333">
        <w:rPr>
          <w:lang w:val="es-ES"/>
        </w:rPr>
        <w:t>tipo de documento, con lo que se reducirá la labor necesaria para importar y encaminar adecuadamente la correspondencia entrante</w:t>
      </w:r>
      <w:r w:rsidR="008071BA" w:rsidRPr="007F5333">
        <w:rPr>
          <w:lang w:val="es-ES"/>
        </w:rPr>
        <w:t>.</w:t>
      </w:r>
    </w:p>
    <w:p w:rsidR="00A107C9" w:rsidRPr="007F5333" w:rsidRDefault="00A107C9" w:rsidP="00CF6CA7">
      <w:pPr>
        <w:pStyle w:val="Heading2"/>
        <w:rPr>
          <w:lang w:val="es-ES"/>
        </w:rPr>
      </w:pPr>
      <w:r w:rsidRPr="007F5333">
        <w:rPr>
          <w:lang w:val="es-ES"/>
        </w:rPr>
        <w:t>TransmisIÓ</w:t>
      </w:r>
      <w:r w:rsidR="008071BA" w:rsidRPr="007F5333">
        <w:rPr>
          <w:lang w:val="es-ES"/>
        </w:rPr>
        <w:t xml:space="preserve">n </w:t>
      </w:r>
      <w:r w:rsidRPr="007F5333">
        <w:rPr>
          <w:lang w:val="es-ES"/>
        </w:rPr>
        <w:t xml:space="preserve">a la oficina internacional DE </w:t>
      </w:r>
      <w:r w:rsidR="00BA4378" w:rsidRPr="007F5333">
        <w:rPr>
          <w:lang w:val="es-ES"/>
        </w:rPr>
        <w:t>OTRO tipo</w:t>
      </w:r>
      <w:r w:rsidRPr="007F5333">
        <w:rPr>
          <w:lang w:val="es-ES"/>
        </w:rPr>
        <w:t xml:space="preserve"> de documentos </w:t>
      </w:r>
    </w:p>
    <w:p w:rsidR="00170E66" w:rsidRPr="007F5333" w:rsidRDefault="00BA4378" w:rsidP="007067B9">
      <w:pPr>
        <w:pStyle w:val="ONUME"/>
        <w:keepLines/>
        <w:rPr>
          <w:lang w:val="es-ES"/>
        </w:rPr>
      </w:pPr>
      <w:r w:rsidRPr="007F5333">
        <w:rPr>
          <w:lang w:val="es-ES"/>
        </w:rPr>
        <w:t xml:space="preserve">Actualmente, las Oficinas receptoras y las Administraciones Internacionales </w:t>
      </w:r>
      <w:r w:rsidR="00170E66" w:rsidRPr="007F5333">
        <w:rPr>
          <w:lang w:val="es-ES"/>
        </w:rPr>
        <w:t xml:space="preserve">envían </w:t>
      </w:r>
      <w:r w:rsidRPr="007F5333">
        <w:rPr>
          <w:lang w:val="es-ES"/>
        </w:rPr>
        <w:t>copi</w:t>
      </w:r>
      <w:r w:rsidR="00170E66" w:rsidRPr="007F5333">
        <w:rPr>
          <w:lang w:val="es-ES"/>
        </w:rPr>
        <w:t xml:space="preserve">a a la Oficina Internacional de la mayoría de los documentos en los que se expone el resultado final de un </w:t>
      </w:r>
      <w:r w:rsidR="001B6F7B" w:rsidRPr="007F5333">
        <w:rPr>
          <w:lang w:val="es-ES"/>
        </w:rPr>
        <w:t>trámite</w:t>
      </w:r>
      <w:r w:rsidR="00170E66" w:rsidRPr="007F5333">
        <w:rPr>
          <w:lang w:val="es-ES"/>
        </w:rPr>
        <w:t xml:space="preserve"> ejecutado ante esa Oficina o Administración.  Los solicitantes pueden ver dichos documentos en el expediente del </w:t>
      </w:r>
      <w:r w:rsidR="00BE7A33" w:rsidRPr="007F5333">
        <w:rPr>
          <w:lang w:val="es-ES"/>
        </w:rPr>
        <w:t xml:space="preserve">ePCT </w:t>
      </w:r>
      <w:r w:rsidR="00170E66" w:rsidRPr="007F5333">
        <w:rPr>
          <w:lang w:val="es-ES"/>
        </w:rPr>
        <w:t xml:space="preserve">y la mayoría de ellos se publican en </w:t>
      </w:r>
      <w:r w:rsidR="00BE7A33" w:rsidRPr="007F5333">
        <w:rPr>
          <w:lang w:val="es-ES"/>
        </w:rPr>
        <w:t xml:space="preserve">PATENTSCOPE.  </w:t>
      </w:r>
      <w:r w:rsidR="00170E66" w:rsidRPr="007F5333">
        <w:rPr>
          <w:lang w:val="es-ES"/>
        </w:rPr>
        <w:t>Sin embargo</w:t>
      </w:r>
      <w:r w:rsidR="00BE7A33" w:rsidRPr="007F5333">
        <w:rPr>
          <w:lang w:val="es-ES"/>
        </w:rPr>
        <w:t xml:space="preserve">, </w:t>
      </w:r>
      <w:r w:rsidR="00170E66" w:rsidRPr="007F5333">
        <w:rPr>
          <w:lang w:val="es-ES"/>
        </w:rPr>
        <w:t xml:space="preserve">no se envía copia a la Oficina Internacional de la mayor parte de la correspondencia que tiene lugar entre tanto, correspondencia que solo se envía al solicitante por correo ordinario.  Los retrasos en la entrega pueden ocasionar importantes dificultades a los solicitantes a la hora de cumplir </w:t>
      </w:r>
      <w:r w:rsidR="001B6F7B" w:rsidRPr="007F5333">
        <w:rPr>
          <w:lang w:val="es-ES"/>
        </w:rPr>
        <w:t xml:space="preserve">con </w:t>
      </w:r>
      <w:r w:rsidR="00170E66" w:rsidRPr="007F5333">
        <w:rPr>
          <w:lang w:val="es-ES"/>
        </w:rPr>
        <w:t>los plazos indicados;  a su vez, esta circunstancia da lugar a que se produzcan retrasos en las Oficinas, lo que hace difícil completar puntualmente los trámites pertinentes.</w:t>
      </w:r>
    </w:p>
    <w:p w:rsidR="00170E66" w:rsidRPr="007F5333" w:rsidRDefault="00170E66" w:rsidP="00170E66">
      <w:pPr>
        <w:pStyle w:val="ONUME"/>
        <w:rPr>
          <w:lang w:val="es-ES"/>
        </w:rPr>
      </w:pPr>
      <w:r w:rsidRPr="007F5333">
        <w:rPr>
          <w:lang w:val="es-ES"/>
        </w:rPr>
        <w:t xml:space="preserve">Cuando las Oficinas nacionales gestionan su correspondencia por medio del </w:t>
      </w:r>
      <w:r w:rsidR="00BE7A33" w:rsidRPr="007F5333">
        <w:rPr>
          <w:lang w:val="es-ES"/>
        </w:rPr>
        <w:t>ePCT,</w:t>
      </w:r>
      <w:r w:rsidRPr="007F5333">
        <w:rPr>
          <w:lang w:val="es-ES"/>
        </w:rPr>
        <w:t xml:space="preserve"> puede que el solicitante llegue a ver esos documentos mediante el </w:t>
      </w:r>
      <w:r w:rsidR="00BE7A33" w:rsidRPr="007F5333">
        <w:rPr>
          <w:lang w:val="es-ES"/>
        </w:rPr>
        <w:t xml:space="preserve">ePCT, </w:t>
      </w:r>
      <w:r w:rsidRPr="007F5333">
        <w:rPr>
          <w:lang w:val="es-ES"/>
        </w:rPr>
        <w:t xml:space="preserve">aun cuando no se transmitan normalmente a la Oficina Internacional.  Sin embargo, de manera más general, convendría que las Oficinas transmitieran una gama más amplia de documentos a la Oficina Internacional </w:t>
      </w:r>
      <w:r w:rsidR="001B6F7B" w:rsidRPr="007F5333">
        <w:rPr>
          <w:lang w:val="es-ES"/>
        </w:rPr>
        <w:t xml:space="preserve">para </w:t>
      </w:r>
      <w:r w:rsidR="00E45B51" w:rsidRPr="007F5333">
        <w:rPr>
          <w:lang w:val="es-ES"/>
        </w:rPr>
        <w:t>que se pu</w:t>
      </w:r>
      <w:r w:rsidRPr="007F5333">
        <w:rPr>
          <w:lang w:val="es-ES"/>
        </w:rPr>
        <w:t>d</w:t>
      </w:r>
      <w:r w:rsidR="00E45B51" w:rsidRPr="007F5333">
        <w:rPr>
          <w:lang w:val="es-ES"/>
        </w:rPr>
        <w:t>ier</w:t>
      </w:r>
      <w:r w:rsidRPr="007F5333">
        <w:rPr>
          <w:lang w:val="es-ES"/>
        </w:rPr>
        <w:t xml:space="preserve">an poner automáticamente a disposición del solicitante mediante el </w:t>
      </w:r>
      <w:r w:rsidR="00BE7A33" w:rsidRPr="007F5333">
        <w:rPr>
          <w:lang w:val="es-ES"/>
        </w:rPr>
        <w:t xml:space="preserve">ePCT </w:t>
      </w:r>
      <w:r w:rsidRPr="007F5333">
        <w:rPr>
          <w:lang w:val="es-ES"/>
        </w:rPr>
        <w:t>sin necesidad de que la Oficina Internacional intervenga manualmente.</w:t>
      </w:r>
    </w:p>
    <w:p w:rsidR="00B15B4F" w:rsidRPr="007F5333" w:rsidRDefault="00E765C6" w:rsidP="00B15B4F">
      <w:pPr>
        <w:pStyle w:val="ONUME"/>
        <w:rPr>
          <w:lang w:val="es-ES"/>
        </w:rPr>
      </w:pPr>
      <w:r w:rsidRPr="007F5333">
        <w:rPr>
          <w:lang w:val="es-ES"/>
        </w:rPr>
        <w:t xml:space="preserve">Entre los </w:t>
      </w:r>
      <w:r w:rsidR="001B6F7B" w:rsidRPr="007F5333">
        <w:rPr>
          <w:lang w:val="es-ES"/>
        </w:rPr>
        <w:t xml:space="preserve">documentos </w:t>
      </w:r>
      <w:r w:rsidRPr="007F5333">
        <w:rPr>
          <w:lang w:val="es-ES"/>
        </w:rPr>
        <w:t>más</w:t>
      </w:r>
      <w:r w:rsidR="00BE7A33" w:rsidRPr="007F5333">
        <w:rPr>
          <w:lang w:val="es-ES"/>
        </w:rPr>
        <w:t xml:space="preserve"> important</w:t>
      </w:r>
      <w:r w:rsidRPr="007F5333">
        <w:rPr>
          <w:lang w:val="es-ES"/>
        </w:rPr>
        <w:t>es</w:t>
      </w:r>
      <w:r w:rsidR="00BE7A33" w:rsidRPr="007F5333">
        <w:rPr>
          <w:lang w:val="es-ES"/>
        </w:rPr>
        <w:t xml:space="preserve"> </w:t>
      </w:r>
      <w:r w:rsidRPr="007F5333">
        <w:rPr>
          <w:lang w:val="es-ES"/>
        </w:rPr>
        <w:t>que podrían tratarse de esa manera figuran:</w:t>
      </w:r>
    </w:p>
    <w:p w:rsidR="00B15B4F" w:rsidRPr="007F5333" w:rsidRDefault="00E765C6" w:rsidP="00E765C6">
      <w:pPr>
        <w:pStyle w:val="ONUME"/>
        <w:numPr>
          <w:ilvl w:val="1"/>
          <w:numId w:val="5"/>
        </w:numPr>
        <w:rPr>
          <w:lang w:val="es-ES"/>
        </w:rPr>
      </w:pPr>
      <w:r w:rsidRPr="007F5333">
        <w:rPr>
          <w:lang w:val="es-ES"/>
        </w:rPr>
        <w:t xml:space="preserve">Las opiniones escritas de la Administración encargada del examen preliminar internacional </w:t>
      </w:r>
      <w:r w:rsidR="00B15B4F" w:rsidRPr="007F5333">
        <w:rPr>
          <w:lang w:val="es-ES"/>
        </w:rPr>
        <w:t>(PCT/IPEA/408);</w:t>
      </w:r>
    </w:p>
    <w:p w:rsidR="00B15B4F" w:rsidRPr="007F5333" w:rsidRDefault="00E765C6" w:rsidP="00E765C6">
      <w:pPr>
        <w:pStyle w:val="ONUME"/>
        <w:numPr>
          <w:ilvl w:val="1"/>
          <w:numId w:val="5"/>
        </w:numPr>
        <w:rPr>
          <w:lang w:val="es-ES"/>
        </w:rPr>
      </w:pPr>
      <w:r w:rsidRPr="007F5333">
        <w:rPr>
          <w:lang w:val="es-ES"/>
        </w:rPr>
        <w:t xml:space="preserve">los requerimientos de pago de tasas adicionales debido a la falta de unidad de la invención </w:t>
      </w:r>
      <w:r w:rsidR="00B15B4F" w:rsidRPr="007F5333">
        <w:rPr>
          <w:lang w:val="es-ES"/>
        </w:rPr>
        <w:t>(PCT/ISA/206 o PCT/IPEA/405);</w:t>
      </w:r>
    </w:p>
    <w:p w:rsidR="00E765C6" w:rsidRPr="007F5333" w:rsidRDefault="00E765C6" w:rsidP="00E765C6">
      <w:pPr>
        <w:pStyle w:val="ONUME"/>
        <w:numPr>
          <w:ilvl w:val="1"/>
          <w:numId w:val="5"/>
        </w:numPr>
        <w:rPr>
          <w:lang w:val="es-ES"/>
        </w:rPr>
      </w:pPr>
      <w:r w:rsidRPr="007F5333">
        <w:rPr>
          <w:lang w:val="es-ES"/>
        </w:rPr>
        <w:t xml:space="preserve">los documentos citados en el curso de la búsqueda internacional o del examen preliminar internacional </w:t>
      </w:r>
      <w:r w:rsidR="00B15B4F" w:rsidRPr="007F5333">
        <w:rPr>
          <w:lang w:val="es-ES"/>
        </w:rPr>
        <w:t>(</w:t>
      </w:r>
      <w:r w:rsidRPr="007F5333">
        <w:rPr>
          <w:lang w:val="es-ES"/>
        </w:rPr>
        <w:t xml:space="preserve">que no estarían disponibles en </w:t>
      </w:r>
      <w:r w:rsidR="00B15B4F" w:rsidRPr="007F5333">
        <w:rPr>
          <w:lang w:val="es-ES"/>
        </w:rPr>
        <w:t xml:space="preserve">PATENTSCOPE, </w:t>
      </w:r>
      <w:r w:rsidRPr="007F5333">
        <w:rPr>
          <w:lang w:val="es-ES"/>
        </w:rPr>
        <w:t xml:space="preserve">sino que se pondrían a disposición del solicitante o de la Oficina designada de conformidad con lo dispuesto en el Artículo </w:t>
      </w:r>
      <w:r w:rsidR="00B15B4F" w:rsidRPr="007F5333">
        <w:rPr>
          <w:lang w:val="es-ES"/>
        </w:rPr>
        <w:t>20</w:t>
      </w:r>
      <w:r w:rsidRPr="007F5333">
        <w:rPr>
          <w:lang w:val="es-ES"/>
        </w:rPr>
        <w:t>.</w:t>
      </w:r>
      <w:r w:rsidR="00B15B4F" w:rsidRPr="007F5333">
        <w:rPr>
          <w:lang w:val="es-ES"/>
        </w:rPr>
        <w:t xml:space="preserve">3) </w:t>
      </w:r>
      <w:r w:rsidRPr="007F5333">
        <w:rPr>
          <w:lang w:val="es-ES"/>
        </w:rPr>
        <w:t xml:space="preserve">sin que la Administración Internacional </w:t>
      </w:r>
      <w:r w:rsidR="00B837B8" w:rsidRPr="007F5333">
        <w:rPr>
          <w:lang w:val="es-ES"/>
        </w:rPr>
        <w:t xml:space="preserve">tenga que efectuar </w:t>
      </w:r>
      <w:r w:rsidR="00B038BD" w:rsidRPr="007F5333">
        <w:rPr>
          <w:lang w:val="es-ES"/>
        </w:rPr>
        <w:t>otros trámites</w:t>
      </w:r>
      <w:r w:rsidR="00B837B8" w:rsidRPr="007F5333">
        <w:rPr>
          <w:lang w:val="es-ES"/>
        </w:rPr>
        <w:t xml:space="preserve"> </w:t>
      </w:r>
      <w:r w:rsidR="00B038BD" w:rsidRPr="007F5333">
        <w:rPr>
          <w:lang w:val="es-ES"/>
        </w:rPr>
        <w:t>o</w:t>
      </w:r>
      <w:r w:rsidR="00B837B8" w:rsidRPr="007F5333">
        <w:rPr>
          <w:lang w:val="es-ES"/>
        </w:rPr>
        <w:t xml:space="preserve"> incurrir en costos de correo)</w:t>
      </w:r>
      <w:r w:rsidR="00C96FDF" w:rsidRPr="007F5333">
        <w:rPr>
          <w:lang w:val="es-ES"/>
        </w:rPr>
        <w:t>;</w:t>
      </w:r>
    </w:p>
    <w:p w:rsidR="00C96FDF" w:rsidRPr="007F5333" w:rsidRDefault="00C96FDF">
      <w:pPr>
        <w:pStyle w:val="ONUME"/>
        <w:numPr>
          <w:ilvl w:val="1"/>
          <w:numId w:val="5"/>
        </w:numPr>
        <w:rPr>
          <w:lang w:val="es-ES"/>
        </w:rPr>
      </w:pPr>
      <w:r w:rsidRPr="007F5333">
        <w:rPr>
          <w:lang w:val="es-ES"/>
        </w:rPr>
        <w:lastRenderedPageBreak/>
        <w:t>otros requerimientos de pago de tasas, peticiones de rectificación, presentación de documentos, corrección de defectos o indicación de Administración Internacional competente.</w:t>
      </w:r>
    </w:p>
    <w:p w:rsidR="00883FD2" w:rsidRPr="007F5333" w:rsidRDefault="00FC49B5" w:rsidP="00CF6CA7">
      <w:pPr>
        <w:pStyle w:val="Heading2"/>
        <w:rPr>
          <w:lang w:val="es-ES"/>
        </w:rPr>
      </w:pPr>
      <w:r w:rsidRPr="007F5333">
        <w:rPr>
          <w:caps w:val="0"/>
          <w:lang w:val="es-ES"/>
        </w:rPr>
        <w:t>e</w:t>
      </w:r>
      <w:r w:rsidRPr="007F5333">
        <w:rPr>
          <w:lang w:val="es-ES"/>
        </w:rPr>
        <w:t>SearchCopy</w:t>
      </w:r>
    </w:p>
    <w:p w:rsidR="00FC49B5" w:rsidRPr="007F5333" w:rsidRDefault="00433F9F" w:rsidP="00433F9F">
      <w:pPr>
        <w:pStyle w:val="ONUME"/>
        <w:rPr>
          <w:lang w:val="es-ES"/>
        </w:rPr>
      </w:pPr>
      <w:r w:rsidRPr="007F5333">
        <w:rPr>
          <w:lang w:val="es-ES"/>
        </w:rPr>
        <w:t xml:space="preserve">La mayoría de las Administraciones encargadas de la búsqueda internacional están facultadas para </w:t>
      </w:r>
      <w:r w:rsidR="0005221E" w:rsidRPr="007F5333">
        <w:rPr>
          <w:lang w:val="es-ES"/>
        </w:rPr>
        <w:t>actuar en el caso de</w:t>
      </w:r>
      <w:r w:rsidRPr="007F5333">
        <w:rPr>
          <w:lang w:val="es-ES"/>
        </w:rPr>
        <w:t xml:space="preserve"> las solicitudes presentadas en otras Oficinas receptoras además de las solicitudes presentadas ante esas Administraciones en calidad de Oficinas receptoras, como se indica en el cuadro que figura a continuación.</w:t>
      </w:r>
    </w:p>
    <w:tbl>
      <w:tblPr>
        <w:tblStyle w:val="TableGrid"/>
        <w:tblW w:w="0" w:type="auto"/>
        <w:tblLayout w:type="fixed"/>
        <w:tblLook w:val="04A0" w:firstRow="1" w:lastRow="0" w:firstColumn="1" w:lastColumn="0" w:noHBand="0" w:noVBand="1"/>
      </w:tblPr>
      <w:tblGrid>
        <w:gridCol w:w="1653"/>
        <w:gridCol w:w="435"/>
        <w:gridCol w:w="435"/>
        <w:gridCol w:w="436"/>
        <w:gridCol w:w="435"/>
        <w:gridCol w:w="436"/>
        <w:gridCol w:w="435"/>
        <w:gridCol w:w="436"/>
        <w:gridCol w:w="435"/>
        <w:gridCol w:w="436"/>
        <w:gridCol w:w="435"/>
        <w:gridCol w:w="435"/>
        <w:gridCol w:w="436"/>
        <w:gridCol w:w="435"/>
        <w:gridCol w:w="436"/>
        <w:gridCol w:w="435"/>
        <w:gridCol w:w="436"/>
        <w:gridCol w:w="435"/>
        <w:gridCol w:w="436"/>
      </w:tblGrid>
      <w:tr w:rsidR="00FC49B5" w:rsidRPr="007F5333" w:rsidTr="00E765C6">
        <w:trPr>
          <w:trHeight w:val="300"/>
        </w:trPr>
        <w:tc>
          <w:tcPr>
            <w:tcW w:w="1653" w:type="dxa"/>
            <w:vAlign w:val="center"/>
          </w:tcPr>
          <w:p w:rsidR="00FC49B5" w:rsidRPr="007F5333" w:rsidRDefault="00FC49B5" w:rsidP="00E765C6">
            <w:pPr>
              <w:rPr>
                <w:b/>
                <w:bCs/>
                <w:sz w:val="18"/>
                <w:szCs w:val="18"/>
                <w:lang w:val="es-ES"/>
              </w:rPr>
            </w:pPr>
            <w:r w:rsidRPr="007F5333">
              <w:rPr>
                <w:b/>
                <w:bCs/>
                <w:sz w:val="18"/>
                <w:szCs w:val="18"/>
                <w:lang w:val="es-ES"/>
              </w:rPr>
              <w:t>ISA</w:t>
            </w:r>
          </w:p>
        </w:tc>
        <w:tc>
          <w:tcPr>
            <w:tcW w:w="435" w:type="dxa"/>
            <w:noWrap/>
            <w:tcMar>
              <w:left w:w="57" w:type="dxa"/>
              <w:right w:w="57" w:type="dxa"/>
            </w:tcMar>
            <w:vAlign w:val="center"/>
            <w:hideMark/>
          </w:tcPr>
          <w:p w:rsidR="00FC49B5" w:rsidRPr="007F5333" w:rsidRDefault="00FC49B5" w:rsidP="00E765C6">
            <w:pPr>
              <w:jc w:val="center"/>
              <w:rPr>
                <w:b/>
                <w:bCs/>
                <w:sz w:val="18"/>
                <w:szCs w:val="18"/>
                <w:lang w:val="es-ES"/>
              </w:rPr>
            </w:pPr>
            <w:r w:rsidRPr="007F5333">
              <w:rPr>
                <w:b/>
                <w:bCs/>
                <w:sz w:val="18"/>
                <w:szCs w:val="18"/>
                <w:lang w:val="es-ES"/>
              </w:rPr>
              <w:t>AT</w:t>
            </w:r>
          </w:p>
        </w:tc>
        <w:tc>
          <w:tcPr>
            <w:tcW w:w="435" w:type="dxa"/>
            <w:noWrap/>
            <w:tcMar>
              <w:left w:w="57" w:type="dxa"/>
              <w:right w:w="57" w:type="dxa"/>
            </w:tcMar>
            <w:vAlign w:val="center"/>
            <w:hideMark/>
          </w:tcPr>
          <w:p w:rsidR="00FC49B5" w:rsidRPr="007F5333" w:rsidRDefault="00FC49B5" w:rsidP="00E765C6">
            <w:pPr>
              <w:jc w:val="center"/>
              <w:rPr>
                <w:b/>
                <w:bCs/>
                <w:sz w:val="18"/>
                <w:szCs w:val="18"/>
                <w:lang w:val="es-ES"/>
              </w:rPr>
            </w:pPr>
            <w:r w:rsidRPr="007F5333">
              <w:rPr>
                <w:b/>
                <w:bCs/>
                <w:sz w:val="18"/>
                <w:szCs w:val="18"/>
                <w:lang w:val="es-ES"/>
              </w:rPr>
              <w:t>AU</w:t>
            </w:r>
          </w:p>
        </w:tc>
        <w:tc>
          <w:tcPr>
            <w:tcW w:w="436" w:type="dxa"/>
            <w:noWrap/>
            <w:tcMar>
              <w:left w:w="57" w:type="dxa"/>
              <w:right w:w="57" w:type="dxa"/>
            </w:tcMar>
            <w:vAlign w:val="center"/>
            <w:hideMark/>
          </w:tcPr>
          <w:p w:rsidR="00FC49B5" w:rsidRPr="007F5333" w:rsidRDefault="00FC49B5" w:rsidP="00E765C6">
            <w:pPr>
              <w:jc w:val="center"/>
              <w:rPr>
                <w:b/>
                <w:bCs/>
                <w:sz w:val="18"/>
                <w:szCs w:val="18"/>
                <w:lang w:val="es-ES"/>
              </w:rPr>
            </w:pPr>
            <w:r w:rsidRPr="007F5333">
              <w:rPr>
                <w:b/>
                <w:bCs/>
                <w:sz w:val="18"/>
                <w:szCs w:val="18"/>
                <w:lang w:val="es-ES"/>
              </w:rPr>
              <w:t>BR</w:t>
            </w:r>
          </w:p>
        </w:tc>
        <w:tc>
          <w:tcPr>
            <w:tcW w:w="435" w:type="dxa"/>
            <w:noWrap/>
            <w:tcMar>
              <w:left w:w="57" w:type="dxa"/>
              <w:right w:w="57" w:type="dxa"/>
            </w:tcMar>
            <w:vAlign w:val="center"/>
            <w:hideMark/>
          </w:tcPr>
          <w:p w:rsidR="00FC49B5" w:rsidRPr="007F5333" w:rsidRDefault="00FC49B5" w:rsidP="00E765C6">
            <w:pPr>
              <w:jc w:val="center"/>
              <w:rPr>
                <w:b/>
                <w:bCs/>
                <w:sz w:val="18"/>
                <w:szCs w:val="18"/>
                <w:lang w:val="es-ES"/>
              </w:rPr>
            </w:pPr>
            <w:r w:rsidRPr="007F5333">
              <w:rPr>
                <w:b/>
                <w:bCs/>
                <w:sz w:val="18"/>
                <w:szCs w:val="18"/>
                <w:lang w:val="es-ES"/>
              </w:rPr>
              <w:t>CA</w:t>
            </w:r>
          </w:p>
        </w:tc>
        <w:tc>
          <w:tcPr>
            <w:tcW w:w="436" w:type="dxa"/>
            <w:noWrap/>
            <w:tcMar>
              <w:left w:w="57" w:type="dxa"/>
              <w:right w:w="57" w:type="dxa"/>
            </w:tcMar>
            <w:vAlign w:val="center"/>
            <w:hideMark/>
          </w:tcPr>
          <w:p w:rsidR="00FC49B5" w:rsidRPr="007F5333" w:rsidRDefault="00FC49B5" w:rsidP="00E765C6">
            <w:pPr>
              <w:jc w:val="center"/>
              <w:rPr>
                <w:b/>
                <w:bCs/>
                <w:sz w:val="18"/>
                <w:szCs w:val="18"/>
                <w:lang w:val="es-ES"/>
              </w:rPr>
            </w:pPr>
            <w:r w:rsidRPr="007F5333">
              <w:rPr>
                <w:b/>
                <w:bCs/>
                <w:sz w:val="18"/>
                <w:szCs w:val="18"/>
                <w:lang w:val="es-ES"/>
              </w:rPr>
              <w:t>CL</w:t>
            </w:r>
          </w:p>
        </w:tc>
        <w:tc>
          <w:tcPr>
            <w:tcW w:w="435" w:type="dxa"/>
            <w:noWrap/>
            <w:tcMar>
              <w:left w:w="57" w:type="dxa"/>
              <w:right w:w="57" w:type="dxa"/>
            </w:tcMar>
            <w:vAlign w:val="center"/>
            <w:hideMark/>
          </w:tcPr>
          <w:p w:rsidR="00FC49B5" w:rsidRPr="007F5333" w:rsidRDefault="00FC49B5" w:rsidP="00E765C6">
            <w:pPr>
              <w:jc w:val="center"/>
              <w:rPr>
                <w:b/>
                <w:bCs/>
                <w:sz w:val="18"/>
                <w:szCs w:val="18"/>
                <w:lang w:val="es-ES"/>
              </w:rPr>
            </w:pPr>
            <w:r w:rsidRPr="007F5333">
              <w:rPr>
                <w:b/>
                <w:bCs/>
                <w:sz w:val="18"/>
                <w:szCs w:val="18"/>
                <w:lang w:val="es-ES"/>
              </w:rPr>
              <w:t>CN</w:t>
            </w:r>
          </w:p>
        </w:tc>
        <w:tc>
          <w:tcPr>
            <w:tcW w:w="436" w:type="dxa"/>
            <w:noWrap/>
            <w:tcMar>
              <w:left w:w="57" w:type="dxa"/>
              <w:right w:w="57" w:type="dxa"/>
            </w:tcMar>
            <w:vAlign w:val="center"/>
            <w:hideMark/>
          </w:tcPr>
          <w:p w:rsidR="00FC49B5" w:rsidRPr="007F5333" w:rsidRDefault="00FC49B5" w:rsidP="00E765C6">
            <w:pPr>
              <w:jc w:val="center"/>
              <w:rPr>
                <w:b/>
                <w:bCs/>
                <w:sz w:val="18"/>
                <w:szCs w:val="18"/>
                <w:lang w:val="es-ES"/>
              </w:rPr>
            </w:pPr>
            <w:r w:rsidRPr="007F5333">
              <w:rPr>
                <w:b/>
                <w:bCs/>
                <w:sz w:val="18"/>
                <w:szCs w:val="18"/>
                <w:lang w:val="es-ES"/>
              </w:rPr>
              <w:t>EG</w:t>
            </w:r>
          </w:p>
        </w:tc>
        <w:tc>
          <w:tcPr>
            <w:tcW w:w="435" w:type="dxa"/>
            <w:noWrap/>
            <w:tcMar>
              <w:left w:w="57" w:type="dxa"/>
              <w:right w:w="57" w:type="dxa"/>
            </w:tcMar>
            <w:vAlign w:val="center"/>
            <w:hideMark/>
          </w:tcPr>
          <w:p w:rsidR="00FC49B5" w:rsidRPr="007F5333" w:rsidRDefault="00FC49B5" w:rsidP="00E765C6">
            <w:pPr>
              <w:jc w:val="center"/>
              <w:rPr>
                <w:b/>
                <w:bCs/>
                <w:sz w:val="18"/>
                <w:szCs w:val="18"/>
                <w:lang w:val="es-ES"/>
              </w:rPr>
            </w:pPr>
            <w:r w:rsidRPr="007F5333">
              <w:rPr>
                <w:b/>
                <w:bCs/>
                <w:sz w:val="18"/>
                <w:szCs w:val="18"/>
                <w:lang w:val="es-ES"/>
              </w:rPr>
              <w:t>EP</w:t>
            </w:r>
          </w:p>
        </w:tc>
        <w:tc>
          <w:tcPr>
            <w:tcW w:w="436" w:type="dxa"/>
            <w:noWrap/>
            <w:tcMar>
              <w:left w:w="57" w:type="dxa"/>
              <w:right w:w="57" w:type="dxa"/>
            </w:tcMar>
            <w:vAlign w:val="center"/>
            <w:hideMark/>
          </w:tcPr>
          <w:p w:rsidR="00FC49B5" w:rsidRPr="007F5333" w:rsidRDefault="00FC49B5" w:rsidP="00E765C6">
            <w:pPr>
              <w:jc w:val="center"/>
              <w:rPr>
                <w:b/>
                <w:bCs/>
                <w:sz w:val="18"/>
                <w:szCs w:val="18"/>
                <w:lang w:val="es-ES"/>
              </w:rPr>
            </w:pPr>
            <w:r w:rsidRPr="007F5333">
              <w:rPr>
                <w:b/>
                <w:bCs/>
                <w:sz w:val="18"/>
                <w:szCs w:val="18"/>
                <w:lang w:val="es-ES"/>
              </w:rPr>
              <w:t>ES</w:t>
            </w:r>
          </w:p>
        </w:tc>
        <w:tc>
          <w:tcPr>
            <w:tcW w:w="435" w:type="dxa"/>
            <w:noWrap/>
            <w:tcMar>
              <w:left w:w="57" w:type="dxa"/>
              <w:right w:w="57" w:type="dxa"/>
            </w:tcMar>
            <w:vAlign w:val="center"/>
            <w:hideMark/>
          </w:tcPr>
          <w:p w:rsidR="00FC49B5" w:rsidRPr="007F5333" w:rsidRDefault="00FC49B5" w:rsidP="00E765C6">
            <w:pPr>
              <w:jc w:val="center"/>
              <w:rPr>
                <w:b/>
                <w:bCs/>
                <w:sz w:val="18"/>
                <w:szCs w:val="18"/>
                <w:lang w:val="es-ES"/>
              </w:rPr>
            </w:pPr>
            <w:r w:rsidRPr="007F5333">
              <w:rPr>
                <w:b/>
                <w:bCs/>
                <w:sz w:val="18"/>
                <w:szCs w:val="18"/>
                <w:lang w:val="es-ES"/>
              </w:rPr>
              <w:t>FI</w:t>
            </w:r>
          </w:p>
        </w:tc>
        <w:tc>
          <w:tcPr>
            <w:tcW w:w="435" w:type="dxa"/>
            <w:noWrap/>
            <w:tcMar>
              <w:left w:w="57" w:type="dxa"/>
              <w:right w:w="57" w:type="dxa"/>
            </w:tcMar>
            <w:vAlign w:val="center"/>
            <w:hideMark/>
          </w:tcPr>
          <w:p w:rsidR="00FC49B5" w:rsidRPr="007F5333" w:rsidRDefault="00FC49B5" w:rsidP="00E765C6">
            <w:pPr>
              <w:jc w:val="center"/>
              <w:rPr>
                <w:b/>
                <w:bCs/>
                <w:sz w:val="18"/>
                <w:szCs w:val="18"/>
                <w:lang w:val="es-ES"/>
              </w:rPr>
            </w:pPr>
            <w:r w:rsidRPr="007F5333">
              <w:rPr>
                <w:b/>
                <w:bCs/>
                <w:sz w:val="18"/>
                <w:szCs w:val="18"/>
                <w:lang w:val="es-ES"/>
              </w:rPr>
              <w:t>IL</w:t>
            </w:r>
          </w:p>
        </w:tc>
        <w:tc>
          <w:tcPr>
            <w:tcW w:w="436" w:type="dxa"/>
            <w:noWrap/>
            <w:tcMar>
              <w:left w:w="57" w:type="dxa"/>
              <w:right w:w="57" w:type="dxa"/>
            </w:tcMar>
            <w:vAlign w:val="center"/>
            <w:hideMark/>
          </w:tcPr>
          <w:p w:rsidR="00FC49B5" w:rsidRPr="007F5333" w:rsidRDefault="00FC49B5" w:rsidP="00E765C6">
            <w:pPr>
              <w:jc w:val="center"/>
              <w:rPr>
                <w:b/>
                <w:bCs/>
                <w:sz w:val="18"/>
                <w:szCs w:val="18"/>
                <w:lang w:val="es-ES"/>
              </w:rPr>
            </w:pPr>
            <w:r w:rsidRPr="007F5333">
              <w:rPr>
                <w:b/>
                <w:bCs/>
                <w:sz w:val="18"/>
                <w:szCs w:val="18"/>
                <w:lang w:val="es-ES"/>
              </w:rPr>
              <w:t>IN</w:t>
            </w:r>
          </w:p>
        </w:tc>
        <w:tc>
          <w:tcPr>
            <w:tcW w:w="435" w:type="dxa"/>
            <w:noWrap/>
            <w:tcMar>
              <w:left w:w="57" w:type="dxa"/>
              <w:right w:w="57" w:type="dxa"/>
            </w:tcMar>
            <w:vAlign w:val="center"/>
            <w:hideMark/>
          </w:tcPr>
          <w:p w:rsidR="00FC49B5" w:rsidRPr="007F5333" w:rsidRDefault="00FC49B5" w:rsidP="00E765C6">
            <w:pPr>
              <w:jc w:val="center"/>
              <w:rPr>
                <w:b/>
                <w:bCs/>
                <w:sz w:val="18"/>
                <w:szCs w:val="18"/>
                <w:lang w:val="es-ES"/>
              </w:rPr>
            </w:pPr>
            <w:r w:rsidRPr="007F5333">
              <w:rPr>
                <w:b/>
                <w:bCs/>
                <w:sz w:val="18"/>
                <w:szCs w:val="18"/>
                <w:lang w:val="es-ES"/>
              </w:rPr>
              <w:t>JP</w:t>
            </w:r>
          </w:p>
        </w:tc>
        <w:tc>
          <w:tcPr>
            <w:tcW w:w="436" w:type="dxa"/>
            <w:noWrap/>
            <w:tcMar>
              <w:left w:w="57" w:type="dxa"/>
              <w:right w:w="57" w:type="dxa"/>
            </w:tcMar>
            <w:vAlign w:val="center"/>
            <w:hideMark/>
          </w:tcPr>
          <w:p w:rsidR="00FC49B5" w:rsidRPr="007F5333" w:rsidRDefault="00FC49B5" w:rsidP="00E765C6">
            <w:pPr>
              <w:jc w:val="center"/>
              <w:rPr>
                <w:b/>
                <w:bCs/>
                <w:sz w:val="18"/>
                <w:szCs w:val="18"/>
                <w:lang w:val="es-ES"/>
              </w:rPr>
            </w:pPr>
            <w:r w:rsidRPr="007F5333">
              <w:rPr>
                <w:b/>
                <w:bCs/>
                <w:sz w:val="18"/>
                <w:szCs w:val="18"/>
                <w:lang w:val="es-ES"/>
              </w:rPr>
              <w:t>KR</w:t>
            </w:r>
          </w:p>
        </w:tc>
        <w:tc>
          <w:tcPr>
            <w:tcW w:w="435" w:type="dxa"/>
            <w:noWrap/>
            <w:tcMar>
              <w:left w:w="57" w:type="dxa"/>
              <w:right w:w="57" w:type="dxa"/>
            </w:tcMar>
            <w:vAlign w:val="center"/>
            <w:hideMark/>
          </w:tcPr>
          <w:p w:rsidR="00FC49B5" w:rsidRPr="007F5333" w:rsidRDefault="00FC49B5" w:rsidP="00E765C6">
            <w:pPr>
              <w:jc w:val="center"/>
              <w:rPr>
                <w:b/>
                <w:bCs/>
                <w:sz w:val="18"/>
                <w:szCs w:val="18"/>
                <w:lang w:val="es-ES"/>
              </w:rPr>
            </w:pPr>
            <w:r w:rsidRPr="007F5333">
              <w:rPr>
                <w:b/>
                <w:bCs/>
                <w:sz w:val="18"/>
                <w:szCs w:val="18"/>
                <w:lang w:val="es-ES"/>
              </w:rPr>
              <w:t>RU</w:t>
            </w:r>
          </w:p>
        </w:tc>
        <w:tc>
          <w:tcPr>
            <w:tcW w:w="436" w:type="dxa"/>
            <w:noWrap/>
            <w:tcMar>
              <w:left w:w="57" w:type="dxa"/>
              <w:right w:w="57" w:type="dxa"/>
            </w:tcMar>
            <w:vAlign w:val="center"/>
            <w:hideMark/>
          </w:tcPr>
          <w:p w:rsidR="00FC49B5" w:rsidRPr="007F5333" w:rsidRDefault="00FC49B5" w:rsidP="00E765C6">
            <w:pPr>
              <w:jc w:val="center"/>
              <w:rPr>
                <w:b/>
                <w:bCs/>
                <w:sz w:val="18"/>
                <w:szCs w:val="18"/>
                <w:lang w:val="es-ES"/>
              </w:rPr>
            </w:pPr>
            <w:r w:rsidRPr="007F5333">
              <w:rPr>
                <w:b/>
                <w:bCs/>
                <w:sz w:val="18"/>
                <w:szCs w:val="18"/>
                <w:lang w:val="es-ES"/>
              </w:rPr>
              <w:t>SE</w:t>
            </w:r>
          </w:p>
        </w:tc>
        <w:tc>
          <w:tcPr>
            <w:tcW w:w="435" w:type="dxa"/>
            <w:noWrap/>
            <w:tcMar>
              <w:left w:w="57" w:type="dxa"/>
              <w:right w:w="57" w:type="dxa"/>
            </w:tcMar>
            <w:vAlign w:val="center"/>
            <w:hideMark/>
          </w:tcPr>
          <w:p w:rsidR="00FC49B5" w:rsidRPr="007F5333" w:rsidRDefault="00FC49B5" w:rsidP="00E765C6">
            <w:pPr>
              <w:jc w:val="center"/>
              <w:rPr>
                <w:b/>
                <w:bCs/>
                <w:sz w:val="18"/>
                <w:szCs w:val="18"/>
                <w:lang w:val="es-ES"/>
              </w:rPr>
            </w:pPr>
            <w:r w:rsidRPr="007F5333">
              <w:rPr>
                <w:b/>
                <w:bCs/>
                <w:sz w:val="18"/>
                <w:szCs w:val="18"/>
                <w:lang w:val="es-ES"/>
              </w:rPr>
              <w:t>US</w:t>
            </w:r>
          </w:p>
        </w:tc>
        <w:tc>
          <w:tcPr>
            <w:tcW w:w="436" w:type="dxa"/>
            <w:noWrap/>
            <w:tcMar>
              <w:left w:w="57" w:type="dxa"/>
              <w:right w:w="57" w:type="dxa"/>
            </w:tcMar>
            <w:vAlign w:val="center"/>
            <w:hideMark/>
          </w:tcPr>
          <w:p w:rsidR="00FC49B5" w:rsidRPr="007F5333" w:rsidRDefault="00FC49B5" w:rsidP="00E765C6">
            <w:pPr>
              <w:jc w:val="center"/>
              <w:rPr>
                <w:b/>
                <w:bCs/>
                <w:sz w:val="18"/>
                <w:szCs w:val="18"/>
                <w:lang w:val="es-ES"/>
              </w:rPr>
            </w:pPr>
            <w:r w:rsidRPr="007F5333">
              <w:rPr>
                <w:b/>
                <w:bCs/>
                <w:sz w:val="18"/>
                <w:szCs w:val="18"/>
                <w:lang w:val="es-ES"/>
              </w:rPr>
              <w:t>XN</w:t>
            </w:r>
          </w:p>
        </w:tc>
      </w:tr>
      <w:tr w:rsidR="00FC49B5" w:rsidRPr="007F5333" w:rsidTr="00E765C6">
        <w:trPr>
          <w:trHeight w:val="300"/>
        </w:trPr>
        <w:tc>
          <w:tcPr>
            <w:tcW w:w="1653" w:type="dxa"/>
            <w:vAlign w:val="center"/>
          </w:tcPr>
          <w:p w:rsidR="00FC49B5" w:rsidRPr="007F5333" w:rsidRDefault="00433F9F" w:rsidP="00433F9F">
            <w:pPr>
              <w:rPr>
                <w:b/>
                <w:bCs/>
                <w:sz w:val="18"/>
                <w:szCs w:val="18"/>
                <w:lang w:val="es-ES"/>
              </w:rPr>
            </w:pPr>
            <w:r w:rsidRPr="007F5333">
              <w:rPr>
                <w:b/>
                <w:bCs/>
                <w:sz w:val="18"/>
                <w:szCs w:val="18"/>
                <w:lang w:val="es-ES"/>
              </w:rPr>
              <w:t>Número de OR</w:t>
            </w:r>
          </w:p>
        </w:tc>
        <w:tc>
          <w:tcPr>
            <w:tcW w:w="435" w:type="dxa"/>
            <w:noWrap/>
            <w:tcMar>
              <w:left w:w="57" w:type="dxa"/>
              <w:right w:w="57" w:type="dxa"/>
            </w:tcMar>
            <w:vAlign w:val="center"/>
            <w:hideMark/>
          </w:tcPr>
          <w:p w:rsidR="00FC49B5" w:rsidRPr="007F5333" w:rsidRDefault="00FC49B5" w:rsidP="00E765C6">
            <w:pPr>
              <w:jc w:val="center"/>
              <w:rPr>
                <w:b/>
                <w:bCs/>
                <w:sz w:val="18"/>
                <w:szCs w:val="18"/>
                <w:lang w:val="es-ES"/>
              </w:rPr>
            </w:pPr>
            <w:r w:rsidRPr="007F5333">
              <w:rPr>
                <w:b/>
                <w:bCs/>
                <w:sz w:val="18"/>
                <w:szCs w:val="18"/>
                <w:lang w:val="es-ES"/>
              </w:rPr>
              <w:t>30</w:t>
            </w:r>
          </w:p>
        </w:tc>
        <w:tc>
          <w:tcPr>
            <w:tcW w:w="435" w:type="dxa"/>
            <w:noWrap/>
            <w:tcMar>
              <w:left w:w="57" w:type="dxa"/>
              <w:right w:w="57" w:type="dxa"/>
            </w:tcMar>
            <w:vAlign w:val="center"/>
            <w:hideMark/>
          </w:tcPr>
          <w:p w:rsidR="00FC49B5" w:rsidRPr="007F5333" w:rsidRDefault="00FC49B5" w:rsidP="00E765C6">
            <w:pPr>
              <w:jc w:val="center"/>
              <w:rPr>
                <w:b/>
                <w:bCs/>
                <w:sz w:val="18"/>
                <w:szCs w:val="18"/>
                <w:lang w:val="es-ES"/>
              </w:rPr>
            </w:pPr>
            <w:r w:rsidRPr="007F5333">
              <w:rPr>
                <w:b/>
                <w:bCs/>
                <w:sz w:val="18"/>
                <w:szCs w:val="18"/>
                <w:lang w:val="es-ES"/>
              </w:rPr>
              <w:t>19</w:t>
            </w:r>
          </w:p>
        </w:tc>
        <w:tc>
          <w:tcPr>
            <w:tcW w:w="436" w:type="dxa"/>
            <w:noWrap/>
            <w:tcMar>
              <w:left w:w="57" w:type="dxa"/>
              <w:right w:w="57" w:type="dxa"/>
            </w:tcMar>
            <w:vAlign w:val="center"/>
            <w:hideMark/>
          </w:tcPr>
          <w:p w:rsidR="00FC49B5" w:rsidRPr="007F5333" w:rsidRDefault="00FC49B5" w:rsidP="00E765C6">
            <w:pPr>
              <w:jc w:val="center"/>
              <w:rPr>
                <w:b/>
                <w:bCs/>
                <w:sz w:val="18"/>
                <w:szCs w:val="18"/>
                <w:lang w:val="es-ES"/>
              </w:rPr>
            </w:pPr>
            <w:r w:rsidRPr="007F5333">
              <w:rPr>
                <w:b/>
                <w:bCs/>
                <w:sz w:val="18"/>
                <w:szCs w:val="18"/>
                <w:lang w:val="es-ES"/>
              </w:rPr>
              <w:t>6</w:t>
            </w:r>
          </w:p>
        </w:tc>
        <w:tc>
          <w:tcPr>
            <w:tcW w:w="435" w:type="dxa"/>
            <w:noWrap/>
            <w:tcMar>
              <w:left w:w="57" w:type="dxa"/>
              <w:right w:w="57" w:type="dxa"/>
            </w:tcMar>
            <w:vAlign w:val="center"/>
            <w:hideMark/>
          </w:tcPr>
          <w:p w:rsidR="00FC49B5" w:rsidRPr="007F5333" w:rsidRDefault="00FC49B5" w:rsidP="00E765C6">
            <w:pPr>
              <w:jc w:val="center"/>
              <w:rPr>
                <w:b/>
                <w:bCs/>
                <w:sz w:val="18"/>
                <w:szCs w:val="18"/>
                <w:lang w:val="es-ES"/>
              </w:rPr>
            </w:pPr>
            <w:r w:rsidRPr="007F5333">
              <w:rPr>
                <w:b/>
                <w:bCs/>
                <w:sz w:val="18"/>
                <w:szCs w:val="18"/>
                <w:lang w:val="es-ES"/>
              </w:rPr>
              <w:t>4</w:t>
            </w:r>
          </w:p>
        </w:tc>
        <w:tc>
          <w:tcPr>
            <w:tcW w:w="436" w:type="dxa"/>
            <w:noWrap/>
            <w:tcMar>
              <w:left w:w="57" w:type="dxa"/>
              <w:right w:w="57" w:type="dxa"/>
            </w:tcMar>
            <w:vAlign w:val="center"/>
            <w:hideMark/>
          </w:tcPr>
          <w:p w:rsidR="00FC49B5" w:rsidRPr="007F5333" w:rsidRDefault="00FC49B5" w:rsidP="00E765C6">
            <w:pPr>
              <w:jc w:val="center"/>
              <w:rPr>
                <w:b/>
                <w:bCs/>
                <w:sz w:val="18"/>
                <w:szCs w:val="18"/>
                <w:lang w:val="es-ES"/>
              </w:rPr>
            </w:pPr>
            <w:r w:rsidRPr="007F5333">
              <w:rPr>
                <w:b/>
                <w:bCs/>
                <w:sz w:val="18"/>
                <w:szCs w:val="18"/>
                <w:lang w:val="es-ES"/>
              </w:rPr>
              <w:t>8</w:t>
            </w:r>
          </w:p>
        </w:tc>
        <w:tc>
          <w:tcPr>
            <w:tcW w:w="435" w:type="dxa"/>
            <w:noWrap/>
            <w:tcMar>
              <w:left w:w="57" w:type="dxa"/>
              <w:right w:w="57" w:type="dxa"/>
            </w:tcMar>
            <w:vAlign w:val="center"/>
            <w:hideMark/>
          </w:tcPr>
          <w:p w:rsidR="00FC49B5" w:rsidRPr="007F5333" w:rsidRDefault="00FC49B5" w:rsidP="00E765C6">
            <w:pPr>
              <w:jc w:val="center"/>
              <w:rPr>
                <w:b/>
                <w:bCs/>
                <w:sz w:val="18"/>
                <w:szCs w:val="18"/>
                <w:lang w:val="es-ES"/>
              </w:rPr>
            </w:pPr>
            <w:r w:rsidRPr="007F5333">
              <w:rPr>
                <w:b/>
                <w:bCs/>
                <w:sz w:val="18"/>
                <w:szCs w:val="18"/>
                <w:lang w:val="es-ES"/>
              </w:rPr>
              <w:t>10</w:t>
            </w:r>
          </w:p>
        </w:tc>
        <w:tc>
          <w:tcPr>
            <w:tcW w:w="436" w:type="dxa"/>
            <w:noWrap/>
            <w:tcMar>
              <w:left w:w="57" w:type="dxa"/>
              <w:right w:w="57" w:type="dxa"/>
            </w:tcMar>
            <w:vAlign w:val="center"/>
            <w:hideMark/>
          </w:tcPr>
          <w:p w:rsidR="00FC49B5" w:rsidRPr="007F5333" w:rsidRDefault="00FC49B5" w:rsidP="00E765C6">
            <w:pPr>
              <w:jc w:val="center"/>
              <w:rPr>
                <w:b/>
                <w:bCs/>
                <w:sz w:val="18"/>
                <w:szCs w:val="18"/>
                <w:lang w:val="es-ES"/>
              </w:rPr>
            </w:pPr>
            <w:r w:rsidRPr="007F5333">
              <w:rPr>
                <w:b/>
                <w:bCs/>
                <w:sz w:val="18"/>
                <w:szCs w:val="18"/>
                <w:lang w:val="es-ES"/>
              </w:rPr>
              <w:t>3</w:t>
            </w:r>
          </w:p>
        </w:tc>
        <w:tc>
          <w:tcPr>
            <w:tcW w:w="435" w:type="dxa"/>
            <w:noWrap/>
            <w:tcMar>
              <w:left w:w="57" w:type="dxa"/>
              <w:right w:w="57" w:type="dxa"/>
            </w:tcMar>
            <w:vAlign w:val="center"/>
            <w:hideMark/>
          </w:tcPr>
          <w:p w:rsidR="00FC49B5" w:rsidRPr="007F5333" w:rsidRDefault="00FC49B5" w:rsidP="00E765C6">
            <w:pPr>
              <w:jc w:val="center"/>
              <w:rPr>
                <w:b/>
                <w:bCs/>
                <w:sz w:val="18"/>
                <w:szCs w:val="18"/>
                <w:lang w:val="es-ES"/>
              </w:rPr>
            </w:pPr>
            <w:r w:rsidRPr="007F5333">
              <w:rPr>
                <w:b/>
                <w:bCs/>
                <w:sz w:val="18"/>
                <w:szCs w:val="18"/>
                <w:lang w:val="es-ES"/>
              </w:rPr>
              <w:t>105</w:t>
            </w:r>
          </w:p>
        </w:tc>
        <w:tc>
          <w:tcPr>
            <w:tcW w:w="436" w:type="dxa"/>
            <w:noWrap/>
            <w:tcMar>
              <w:left w:w="57" w:type="dxa"/>
              <w:right w:w="57" w:type="dxa"/>
            </w:tcMar>
            <w:vAlign w:val="center"/>
            <w:hideMark/>
          </w:tcPr>
          <w:p w:rsidR="00FC49B5" w:rsidRPr="007F5333" w:rsidRDefault="00FC49B5" w:rsidP="00E765C6">
            <w:pPr>
              <w:jc w:val="center"/>
              <w:rPr>
                <w:b/>
                <w:bCs/>
                <w:sz w:val="18"/>
                <w:szCs w:val="18"/>
                <w:lang w:val="es-ES"/>
              </w:rPr>
            </w:pPr>
            <w:r w:rsidRPr="007F5333">
              <w:rPr>
                <w:b/>
                <w:bCs/>
                <w:sz w:val="18"/>
                <w:szCs w:val="18"/>
                <w:lang w:val="es-ES"/>
              </w:rPr>
              <w:t>15</w:t>
            </w:r>
          </w:p>
        </w:tc>
        <w:tc>
          <w:tcPr>
            <w:tcW w:w="435" w:type="dxa"/>
            <w:noWrap/>
            <w:tcMar>
              <w:left w:w="57" w:type="dxa"/>
              <w:right w:w="57" w:type="dxa"/>
            </w:tcMar>
            <w:vAlign w:val="center"/>
            <w:hideMark/>
          </w:tcPr>
          <w:p w:rsidR="00FC49B5" w:rsidRPr="007F5333" w:rsidRDefault="00FC49B5" w:rsidP="00E765C6">
            <w:pPr>
              <w:jc w:val="center"/>
              <w:rPr>
                <w:b/>
                <w:bCs/>
                <w:sz w:val="18"/>
                <w:szCs w:val="18"/>
                <w:lang w:val="es-ES"/>
              </w:rPr>
            </w:pPr>
            <w:r w:rsidRPr="007F5333">
              <w:rPr>
                <w:b/>
                <w:bCs/>
                <w:sz w:val="18"/>
                <w:szCs w:val="18"/>
                <w:lang w:val="es-ES"/>
              </w:rPr>
              <w:t>2</w:t>
            </w:r>
          </w:p>
        </w:tc>
        <w:tc>
          <w:tcPr>
            <w:tcW w:w="435" w:type="dxa"/>
            <w:noWrap/>
            <w:tcMar>
              <w:left w:w="57" w:type="dxa"/>
              <w:right w:w="57" w:type="dxa"/>
            </w:tcMar>
            <w:vAlign w:val="center"/>
            <w:hideMark/>
          </w:tcPr>
          <w:p w:rsidR="00FC49B5" w:rsidRPr="007F5333" w:rsidRDefault="00FC49B5" w:rsidP="00E765C6">
            <w:pPr>
              <w:jc w:val="center"/>
              <w:rPr>
                <w:b/>
                <w:bCs/>
                <w:sz w:val="18"/>
                <w:szCs w:val="18"/>
                <w:lang w:val="es-ES"/>
              </w:rPr>
            </w:pPr>
            <w:r w:rsidRPr="007F5333">
              <w:rPr>
                <w:b/>
                <w:bCs/>
                <w:sz w:val="18"/>
                <w:szCs w:val="18"/>
                <w:lang w:val="es-ES"/>
              </w:rPr>
              <w:t>4</w:t>
            </w:r>
          </w:p>
        </w:tc>
        <w:tc>
          <w:tcPr>
            <w:tcW w:w="436" w:type="dxa"/>
            <w:noWrap/>
            <w:tcMar>
              <w:left w:w="57" w:type="dxa"/>
              <w:right w:w="57" w:type="dxa"/>
            </w:tcMar>
            <w:vAlign w:val="center"/>
            <w:hideMark/>
          </w:tcPr>
          <w:p w:rsidR="00FC49B5" w:rsidRPr="007F5333" w:rsidRDefault="00FC49B5" w:rsidP="00E765C6">
            <w:pPr>
              <w:jc w:val="center"/>
              <w:rPr>
                <w:b/>
                <w:bCs/>
                <w:sz w:val="18"/>
                <w:szCs w:val="18"/>
                <w:lang w:val="es-ES"/>
              </w:rPr>
            </w:pPr>
            <w:r w:rsidRPr="007F5333">
              <w:rPr>
                <w:b/>
                <w:bCs/>
                <w:sz w:val="18"/>
                <w:szCs w:val="18"/>
                <w:lang w:val="es-ES"/>
              </w:rPr>
              <w:t>3</w:t>
            </w:r>
          </w:p>
        </w:tc>
        <w:tc>
          <w:tcPr>
            <w:tcW w:w="435" w:type="dxa"/>
            <w:noWrap/>
            <w:tcMar>
              <w:left w:w="57" w:type="dxa"/>
              <w:right w:w="57" w:type="dxa"/>
            </w:tcMar>
            <w:vAlign w:val="center"/>
            <w:hideMark/>
          </w:tcPr>
          <w:p w:rsidR="00FC49B5" w:rsidRPr="007F5333" w:rsidRDefault="00FC49B5" w:rsidP="00E765C6">
            <w:pPr>
              <w:jc w:val="center"/>
              <w:rPr>
                <w:b/>
                <w:bCs/>
                <w:sz w:val="18"/>
                <w:szCs w:val="18"/>
                <w:lang w:val="es-ES"/>
              </w:rPr>
            </w:pPr>
            <w:r w:rsidRPr="007F5333">
              <w:rPr>
                <w:b/>
                <w:bCs/>
                <w:sz w:val="18"/>
                <w:szCs w:val="18"/>
                <w:lang w:val="es-ES"/>
              </w:rPr>
              <w:t>9</w:t>
            </w:r>
          </w:p>
        </w:tc>
        <w:tc>
          <w:tcPr>
            <w:tcW w:w="436" w:type="dxa"/>
            <w:noWrap/>
            <w:tcMar>
              <w:left w:w="57" w:type="dxa"/>
              <w:right w:w="57" w:type="dxa"/>
            </w:tcMar>
            <w:vAlign w:val="center"/>
            <w:hideMark/>
          </w:tcPr>
          <w:p w:rsidR="00FC49B5" w:rsidRPr="007F5333" w:rsidRDefault="00FC49B5" w:rsidP="00E765C6">
            <w:pPr>
              <w:jc w:val="center"/>
              <w:rPr>
                <w:b/>
                <w:bCs/>
                <w:sz w:val="18"/>
                <w:szCs w:val="18"/>
                <w:lang w:val="es-ES"/>
              </w:rPr>
            </w:pPr>
            <w:r w:rsidRPr="007F5333">
              <w:rPr>
                <w:b/>
                <w:bCs/>
                <w:sz w:val="18"/>
                <w:szCs w:val="18"/>
                <w:lang w:val="es-ES"/>
              </w:rPr>
              <w:t>17</w:t>
            </w:r>
          </w:p>
        </w:tc>
        <w:tc>
          <w:tcPr>
            <w:tcW w:w="435" w:type="dxa"/>
            <w:noWrap/>
            <w:tcMar>
              <w:left w:w="57" w:type="dxa"/>
              <w:right w:w="57" w:type="dxa"/>
            </w:tcMar>
            <w:vAlign w:val="center"/>
            <w:hideMark/>
          </w:tcPr>
          <w:p w:rsidR="00FC49B5" w:rsidRPr="007F5333" w:rsidRDefault="00FC49B5" w:rsidP="00E765C6">
            <w:pPr>
              <w:jc w:val="center"/>
              <w:rPr>
                <w:b/>
                <w:bCs/>
                <w:sz w:val="18"/>
                <w:szCs w:val="18"/>
                <w:lang w:val="es-ES"/>
              </w:rPr>
            </w:pPr>
            <w:r w:rsidRPr="007F5333">
              <w:rPr>
                <w:b/>
                <w:bCs/>
                <w:sz w:val="18"/>
                <w:szCs w:val="18"/>
                <w:lang w:val="es-ES"/>
              </w:rPr>
              <w:t>32</w:t>
            </w:r>
          </w:p>
        </w:tc>
        <w:tc>
          <w:tcPr>
            <w:tcW w:w="436" w:type="dxa"/>
            <w:noWrap/>
            <w:tcMar>
              <w:left w:w="57" w:type="dxa"/>
              <w:right w:w="57" w:type="dxa"/>
            </w:tcMar>
            <w:vAlign w:val="center"/>
            <w:hideMark/>
          </w:tcPr>
          <w:p w:rsidR="00FC49B5" w:rsidRPr="007F5333" w:rsidRDefault="00FC49B5" w:rsidP="00E765C6">
            <w:pPr>
              <w:jc w:val="center"/>
              <w:rPr>
                <w:b/>
                <w:bCs/>
                <w:sz w:val="18"/>
                <w:szCs w:val="18"/>
                <w:lang w:val="es-ES"/>
              </w:rPr>
            </w:pPr>
            <w:r w:rsidRPr="007F5333">
              <w:rPr>
                <w:b/>
                <w:bCs/>
                <w:sz w:val="18"/>
                <w:szCs w:val="18"/>
                <w:lang w:val="es-ES"/>
              </w:rPr>
              <w:t>18</w:t>
            </w:r>
          </w:p>
        </w:tc>
        <w:tc>
          <w:tcPr>
            <w:tcW w:w="435" w:type="dxa"/>
            <w:noWrap/>
            <w:tcMar>
              <w:left w:w="57" w:type="dxa"/>
              <w:right w:w="57" w:type="dxa"/>
            </w:tcMar>
            <w:vAlign w:val="center"/>
            <w:hideMark/>
          </w:tcPr>
          <w:p w:rsidR="00FC49B5" w:rsidRPr="007F5333" w:rsidRDefault="00FC49B5" w:rsidP="00E765C6">
            <w:pPr>
              <w:jc w:val="center"/>
              <w:rPr>
                <w:b/>
                <w:bCs/>
                <w:sz w:val="18"/>
                <w:szCs w:val="18"/>
                <w:lang w:val="es-ES"/>
              </w:rPr>
            </w:pPr>
            <w:r w:rsidRPr="007F5333">
              <w:rPr>
                <w:b/>
                <w:bCs/>
                <w:sz w:val="18"/>
                <w:szCs w:val="18"/>
                <w:lang w:val="es-ES"/>
              </w:rPr>
              <w:t>20</w:t>
            </w:r>
          </w:p>
        </w:tc>
        <w:tc>
          <w:tcPr>
            <w:tcW w:w="436" w:type="dxa"/>
            <w:noWrap/>
            <w:tcMar>
              <w:left w:w="57" w:type="dxa"/>
              <w:right w:w="57" w:type="dxa"/>
            </w:tcMar>
            <w:vAlign w:val="center"/>
            <w:hideMark/>
          </w:tcPr>
          <w:p w:rsidR="00FC49B5" w:rsidRPr="007F5333" w:rsidRDefault="00FC49B5" w:rsidP="00E765C6">
            <w:pPr>
              <w:jc w:val="center"/>
              <w:rPr>
                <w:b/>
                <w:bCs/>
                <w:sz w:val="18"/>
                <w:szCs w:val="18"/>
                <w:lang w:val="es-ES"/>
              </w:rPr>
            </w:pPr>
            <w:r w:rsidRPr="007F5333">
              <w:rPr>
                <w:b/>
                <w:bCs/>
                <w:sz w:val="18"/>
                <w:szCs w:val="18"/>
                <w:lang w:val="es-ES"/>
              </w:rPr>
              <w:t>5</w:t>
            </w:r>
          </w:p>
        </w:tc>
      </w:tr>
    </w:tbl>
    <w:p w:rsidR="00883FD2" w:rsidRPr="007F5333" w:rsidRDefault="00883FD2" w:rsidP="00FC49B5">
      <w:pPr>
        <w:rPr>
          <w:lang w:val="es-ES"/>
        </w:rPr>
      </w:pPr>
    </w:p>
    <w:p w:rsidR="0005221E" w:rsidRPr="007F5333" w:rsidRDefault="0005221E" w:rsidP="00CF6CA7">
      <w:pPr>
        <w:pStyle w:val="ONUME"/>
        <w:rPr>
          <w:lang w:val="es-ES"/>
        </w:rPr>
      </w:pPr>
      <w:r w:rsidRPr="007F5333">
        <w:rPr>
          <w:lang w:val="es-ES"/>
        </w:rPr>
        <w:t xml:space="preserve">El servicio </w:t>
      </w:r>
      <w:r w:rsidR="00CF6CA7" w:rsidRPr="007F5333">
        <w:rPr>
          <w:lang w:val="es-ES"/>
        </w:rPr>
        <w:t xml:space="preserve">eSearchCopy </w:t>
      </w:r>
      <w:r w:rsidRPr="007F5333">
        <w:rPr>
          <w:lang w:val="es-ES"/>
        </w:rPr>
        <w:t xml:space="preserve">ofrece la posibilidad de reducir los costos administrativos de la Administraciones encargadas de la búsqueda internacional, entregando copias para la búsqueda en un formato electrónico de manera coherente, independientemente de qué Oficina </w:t>
      </w:r>
      <w:r w:rsidR="003A1ACE" w:rsidRPr="007F5333">
        <w:rPr>
          <w:lang w:val="es-ES"/>
        </w:rPr>
        <w:t xml:space="preserve">haya </w:t>
      </w:r>
      <w:r w:rsidRPr="007F5333">
        <w:rPr>
          <w:lang w:val="es-ES"/>
        </w:rPr>
        <w:t>act</w:t>
      </w:r>
      <w:r w:rsidR="003A1ACE" w:rsidRPr="007F5333">
        <w:rPr>
          <w:lang w:val="es-ES"/>
        </w:rPr>
        <w:t>uado</w:t>
      </w:r>
      <w:r w:rsidRPr="007F5333">
        <w:rPr>
          <w:lang w:val="es-ES"/>
        </w:rPr>
        <w:t xml:space="preserve"> en calidad de Oficina receptora, así como eliminando retrasos en los envíos postales y en la importación de copias para la búsqueda en papel.  El proyecto tiene que evaluarse para determinar si satisface de hecho las expectativas y, en función de los resultados,</w:t>
      </w:r>
      <w:r w:rsidR="001B6F7B" w:rsidRPr="007F5333">
        <w:rPr>
          <w:lang w:val="es-ES"/>
        </w:rPr>
        <w:t xml:space="preserve"> perfeccionarse o aplicarse</w:t>
      </w:r>
      <w:r w:rsidRPr="007F5333">
        <w:rPr>
          <w:lang w:val="es-ES"/>
        </w:rPr>
        <w:t xml:space="preserve"> a una serie más amplia de pares de Oficinas.</w:t>
      </w:r>
    </w:p>
    <w:p w:rsidR="00883FD2" w:rsidRPr="007F5333" w:rsidRDefault="00531C93" w:rsidP="00CF6CA7">
      <w:pPr>
        <w:pStyle w:val="Heading2"/>
        <w:rPr>
          <w:lang w:val="es-ES"/>
        </w:rPr>
      </w:pPr>
      <w:r w:rsidRPr="007F5333">
        <w:rPr>
          <w:lang w:val="es-ES"/>
        </w:rPr>
        <w:t>USO EFICAZ DE LOS DATOS LEGIBLES POR MÁQUINA</w:t>
      </w:r>
      <w:r w:rsidR="00CF6CA7" w:rsidRPr="007F5333">
        <w:rPr>
          <w:lang w:val="es-ES"/>
        </w:rPr>
        <w:t xml:space="preserve"> </w:t>
      </w:r>
    </w:p>
    <w:p w:rsidR="00531C93" w:rsidRPr="007F5333" w:rsidRDefault="00531C93" w:rsidP="00531C93">
      <w:pPr>
        <w:pStyle w:val="ONUME"/>
        <w:rPr>
          <w:lang w:val="es-ES"/>
        </w:rPr>
      </w:pPr>
      <w:r w:rsidRPr="007F5333">
        <w:rPr>
          <w:lang w:val="es-ES"/>
        </w:rPr>
        <w:t xml:space="preserve">El </w:t>
      </w:r>
      <w:r w:rsidR="00C70AF9" w:rsidRPr="007F5333">
        <w:rPr>
          <w:lang w:val="es-ES"/>
        </w:rPr>
        <w:t xml:space="preserve">ePCT </w:t>
      </w:r>
      <w:r w:rsidRPr="007F5333">
        <w:rPr>
          <w:lang w:val="es-ES"/>
        </w:rPr>
        <w:t xml:space="preserve">ofrece varias “acciones”, que permiten a los solicitantes introducir información que es usada directamente en la tramitación, en lugar de establecer las instrucciones en una carta.  Este mecanismo permite efectuar una tramitación más eficaz y reduce en gran medida el riesgo de errores al transcribir la información de la carta.  Actualmente, estas acciones guardan relación con los trámites que se efectúan ante la Oficina Internacional, como la petición de cambios en los nombres y direcciones en virtud de la Regla </w:t>
      </w:r>
      <w:r w:rsidR="00C70AF9" w:rsidRPr="007F5333">
        <w:rPr>
          <w:lang w:val="es-ES"/>
        </w:rPr>
        <w:t>92</w:t>
      </w:r>
      <w:r w:rsidR="00C70AF9" w:rsidRPr="007F5333">
        <w:rPr>
          <w:i/>
          <w:iCs/>
          <w:lang w:val="es-ES"/>
        </w:rPr>
        <w:t>bis</w:t>
      </w:r>
      <w:r w:rsidR="00C70AF9" w:rsidRPr="007F5333">
        <w:rPr>
          <w:lang w:val="es-ES"/>
        </w:rPr>
        <w:t xml:space="preserve">, </w:t>
      </w:r>
      <w:r w:rsidRPr="007F5333">
        <w:rPr>
          <w:lang w:val="es-ES"/>
        </w:rPr>
        <w:t>la retirada de la solicitud internacional o de designaciones específicas, o la obtención de una copia del documento de prioridad a partir del Servicio de la OMPI de acceso digital a los documentos de prioridad.  Sin embargo, la Oficina Internacional está dispuesta a preparar sistemas equivalentes para las Oficinas receptoras y las Administraciones Internacionales, siempre y cuando haya un número suficiente de Oficinas que apliquen eficazmente los sistemas de procesamiento de la información resultante o</w:t>
      </w:r>
      <w:r w:rsidR="00E45B51" w:rsidRPr="007F5333">
        <w:rPr>
          <w:lang w:val="es-ES"/>
        </w:rPr>
        <w:t xml:space="preserve"> procesen</w:t>
      </w:r>
      <w:r w:rsidRPr="007F5333">
        <w:rPr>
          <w:lang w:val="es-ES"/>
        </w:rPr>
        <w:t xml:space="preserve"> la información mediante sistemas proporcionados directamente por la Oficina Internacional.</w:t>
      </w:r>
    </w:p>
    <w:p w:rsidR="00C70AF9" w:rsidRPr="007F5333" w:rsidRDefault="0090654B" w:rsidP="0090654B">
      <w:pPr>
        <w:pStyle w:val="ONUME"/>
        <w:rPr>
          <w:lang w:val="es-ES"/>
        </w:rPr>
      </w:pPr>
      <w:r w:rsidRPr="007F5333">
        <w:rPr>
          <w:lang w:val="es-ES"/>
        </w:rPr>
        <w:t xml:space="preserve">Aparte del </w:t>
      </w:r>
      <w:r w:rsidR="00C70AF9" w:rsidRPr="007F5333">
        <w:rPr>
          <w:lang w:val="es-ES"/>
        </w:rPr>
        <w:t xml:space="preserve">ePCT, </w:t>
      </w:r>
      <w:r w:rsidRPr="007F5333">
        <w:rPr>
          <w:lang w:val="es-ES"/>
        </w:rPr>
        <w:t xml:space="preserve">hay otras oportunidades de transmitir de manera útil información estructurada en lugar de recurrir a los formatos en papel.  Por ejemplo, a nivel administrativo, las notificaciones de recepción de la copia para la búsqueda (que figuran tradicionalmente en el Formulario </w:t>
      </w:r>
      <w:r w:rsidR="00084A69" w:rsidRPr="007F5333">
        <w:rPr>
          <w:lang w:val="es-ES"/>
        </w:rPr>
        <w:t xml:space="preserve">PCT/ISA/202) </w:t>
      </w:r>
      <w:r w:rsidRPr="007F5333">
        <w:rPr>
          <w:lang w:val="es-ES"/>
        </w:rPr>
        <w:t>pueden automatizarse en su totalidad mediante un flujo de datos.  A nivel más sustantivo, varias Administraciones Internacionales han comenzado a enviar informes de búsqueda internacional e informes preliminares internacionales sobre la patentabilidad en formato XML (ya están en marcha los de la Oficina Estatal de Propiedad Intelectual de la República Popular China;  está previsto que se pongan en funcionamiento en el transcurso del presente año los de la Oficina Europea de Patentes y de la Oficina Surcoreana de Propiedad Intelectual</w:t>
      </w:r>
      <w:r w:rsidR="001B6F7B" w:rsidRPr="007F5333">
        <w:rPr>
          <w:lang w:val="es-ES"/>
        </w:rPr>
        <w:t>)</w:t>
      </w:r>
      <w:r w:rsidRPr="007F5333">
        <w:rPr>
          <w:lang w:val="es-ES"/>
        </w:rPr>
        <w:t>.  Al recibir esos datos es posible reducir los costos de traducción y mejorar los servicios que se ofrecen a los usuarios, con la posibilidad de introducir la traducción automática previa petición en una serie de idiomas</w:t>
      </w:r>
      <w:r w:rsidR="00084A69" w:rsidRPr="007F5333">
        <w:rPr>
          <w:lang w:val="es-ES"/>
        </w:rPr>
        <w:t>.</w:t>
      </w:r>
    </w:p>
    <w:p w:rsidR="0090654B" w:rsidRPr="007F5333" w:rsidRDefault="0090654B" w:rsidP="00084A69">
      <w:pPr>
        <w:pStyle w:val="ONUME"/>
        <w:rPr>
          <w:lang w:val="es-ES"/>
        </w:rPr>
      </w:pPr>
      <w:r w:rsidRPr="007F5333">
        <w:rPr>
          <w:lang w:val="es-ES"/>
        </w:rPr>
        <w:t>La Oficina Internacional acogerá con agrado los debates con las Oficinas interesadas en intercambiar datos en forma legible por máquina en los casos en que pueda servir para reducir costos o mejorar la calidad de los servicios prestados.</w:t>
      </w:r>
    </w:p>
    <w:p w:rsidR="00FD3881" w:rsidRPr="007F5333" w:rsidRDefault="00FD3881" w:rsidP="00CF6CA7">
      <w:pPr>
        <w:pStyle w:val="Heading2"/>
        <w:rPr>
          <w:lang w:val="es-ES"/>
        </w:rPr>
      </w:pPr>
      <w:r w:rsidRPr="007F5333">
        <w:rPr>
          <w:lang w:val="es-ES"/>
        </w:rPr>
        <w:lastRenderedPageBreak/>
        <w:t>Transmision</w:t>
      </w:r>
      <w:r w:rsidR="00E920A7" w:rsidRPr="007F5333">
        <w:rPr>
          <w:lang w:val="es-ES"/>
        </w:rPr>
        <w:t>E</w:t>
      </w:r>
      <w:r w:rsidRPr="007F5333">
        <w:rPr>
          <w:lang w:val="es-ES"/>
        </w:rPr>
        <w:t>s</w:t>
      </w:r>
      <w:r w:rsidR="00E920A7" w:rsidRPr="007F5333">
        <w:rPr>
          <w:lang w:val="es-ES"/>
        </w:rPr>
        <w:t xml:space="preserve"> AUTOMÁTICAS ENTRE MÁQUINAS</w:t>
      </w:r>
    </w:p>
    <w:p w:rsidR="00E920A7" w:rsidRPr="007F5333" w:rsidRDefault="00FD3881" w:rsidP="00E920A7">
      <w:pPr>
        <w:pStyle w:val="ONUME"/>
        <w:rPr>
          <w:lang w:val="es-ES"/>
        </w:rPr>
      </w:pPr>
      <w:r w:rsidRPr="007F5333">
        <w:rPr>
          <w:lang w:val="es-ES"/>
        </w:rPr>
        <w:t>A</w:t>
      </w:r>
      <w:r w:rsidR="00E920A7" w:rsidRPr="007F5333">
        <w:rPr>
          <w:lang w:val="es-ES"/>
        </w:rPr>
        <w:t>ctualmente</w:t>
      </w:r>
      <w:r w:rsidRPr="007F5333">
        <w:rPr>
          <w:lang w:val="es-ES"/>
        </w:rPr>
        <w:t xml:space="preserve">, </w:t>
      </w:r>
      <w:r w:rsidR="00E920A7" w:rsidRPr="007F5333">
        <w:rPr>
          <w:lang w:val="es-ES"/>
        </w:rPr>
        <w:t>la única posibilidad de automatizar enteramente los trámites entre la Oficina Internacional y las Oficinas receptoras, las Administraciones Internacionales y las Oficinas designadas consiste en el intercambio de documentos y datos por medio de</w:t>
      </w:r>
      <w:r w:rsidR="001B6F7B" w:rsidRPr="007F5333">
        <w:rPr>
          <w:lang w:val="es-ES"/>
        </w:rPr>
        <w:t>l</w:t>
      </w:r>
      <w:r w:rsidR="00E920A7" w:rsidRPr="007F5333">
        <w:rPr>
          <w:lang w:val="es-ES"/>
        </w:rPr>
        <w:t xml:space="preserve"> </w:t>
      </w:r>
      <w:r w:rsidRPr="007F5333">
        <w:rPr>
          <w:lang w:val="es-ES"/>
        </w:rPr>
        <w:t>PCT</w:t>
      </w:r>
      <w:r w:rsidRPr="007F5333">
        <w:rPr>
          <w:lang w:val="es-ES"/>
        </w:rPr>
        <w:noBreakHyphen/>
        <w:t xml:space="preserve">EDI.  </w:t>
      </w:r>
      <w:r w:rsidR="00E920A7" w:rsidRPr="007F5333">
        <w:rPr>
          <w:lang w:val="es-ES"/>
        </w:rPr>
        <w:t xml:space="preserve">Este sistema tiene la ventaja de ser </w:t>
      </w:r>
      <w:r w:rsidR="001B6F7B" w:rsidRPr="007F5333">
        <w:rPr>
          <w:lang w:val="es-ES"/>
        </w:rPr>
        <w:t xml:space="preserve">muy fiable y </w:t>
      </w:r>
      <w:r w:rsidR="00E920A7" w:rsidRPr="007F5333">
        <w:rPr>
          <w:lang w:val="es-ES"/>
        </w:rPr>
        <w:t xml:space="preserve">fácil de aplicar, puesto que una interrupción temporal en cualquiera de los dos extremos del sistema no hará sino retrasar la tramitación, sin que exista el riesgo de la pérdida de datos o de documentos.  Sin embargo, </w:t>
      </w:r>
      <w:r w:rsidR="007E57F3" w:rsidRPr="007F5333">
        <w:rPr>
          <w:lang w:val="es-ES"/>
        </w:rPr>
        <w:t xml:space="preserve">el tratamiento por lotes suele tener lugar solo una vez al día y, en algunos casos, únicamente una vez por semana. En consecuencia, no es posible </w:t>
      </w:r>
      <w:r w:rsidR="001B6F7B" w:rsidRPr="007F5333">
        <w:rPr>
          <w:lang w:val="es-ES"/>
        </w:rPr>
        <w:t>ejecutar</w:t>
      </w:r>
      <w:r w:rsidR="007E57F3" w:rsidRPr="007F5333">
        <w:rPr>
          <w:lang w:val="es-ES"/>
        </w:rPr>
        <w:t xml:space="preserve"> fiablemente los servicios en tiempo real mediante este sistema.</w:t>
      </w:r>
    </w:p>
    <w:p w:rsidR="00FD3881" w:rsidRPr="007F5333" w:rsidRDefault="007E57F3" w:rsidP="00E920A7">
      <w:pPr>
        <w:pStyle w:val="ONUME"/>
        <w:rPr>
          <w:lang w:val="es-ES"/>
        </w:rPr>
      </w:pPr>
      <w:r w:rsidRPr="007F5333">
        <w:rPr>
          <w:lang w:val="es-ES"/>
        </w:rPr>
        <w:t>Ha</w:t>
      </w:r>
      <w:r w:rsidR="006246BF" w:rsidRPr="007F5333">
        <w:rPr>
          <w:lang w:val="es-ES"/>
        </w:rPr>
        <w:t xml:space="preserve"> comenzado la labor preparatoria</w:t>
      </w:r>
      <w:r w:rsidRPr="007F5333">
        <w:rPr>
          <w:lang w:val="es-ES"/>
        </w:rPr>
        <w:t xml:space="preserve"> sobre los servicios </w:t>
      </w:r>
      <w:r w:rsidR="00902D65" w:rsidRPr="007F5333">
        <w:rPr>
          <w:lang w:val="es-ES"/>
        </w:rPr>
        <w:t xml:space="preserve">seguros </w:t>
      </w:r>
      <w:r w:rsidR="006246BF" w:rsidRPr="007F5333">
        <w:rPr>
          <w:lang w:val="es-ES"/>
        </w:rPr>
        <w:t>de</w:t>
      </w:r>
      <w:r w:rsidR="001B6F7B" w:rsidRPr="007F5333">
        <w:rPr>
          <w:lang w:val="es-ES"/>
        </w:rPr>
        <w:t>l</w:t>
      </w:r>
      <w:r w:rsidR="006246BF" w:rsidRPr="007F5333">
        <w:rPr>
          <w:lang w:val="es-ES"/>
        </w:rPr>
        <w:t xml:space="preserve"> ePCT en Internet, lo que podría permitir ofrecer servicios automatizados casi en tiempo real, entre ellos, la prestación de los principales servicios comunes o la obtención previa petición de documentos solicitados en los casos en que se prefiera recurrir a esta opción en lugar de la transmisión de series de documentos completos.  La puesta en marcha de esos servicios depende de la implantación de un nuevo sistema de gestión de la identidad (IDM, por sus siglas en inglés) en la Oficina Internacional, que se adapte más adecuadamente a la autenticación de sistemas automatizados.  La Oficina Internacional efectuará consultas sobre estas cuestiones una vez que estén disponibles informaciones detalladas sobre el nuevo sistema de IDM, pero mientras tanto aceptará gustosamente los comentarios generales sobre qué tipo de servicios podrían ser útiles.</w:t>
      </w:r>
    </w:p>
    <w:p w:rsidR="00320457" w:rsidRPr="007F5333" w:rsidRDefault="00320457" w:rsidP="00320457">
      <w:pPr>
        <w:pStyle w:val="Heading1"/>
        <w:rPr>
          <w:lang w:val="es-ES"/>
        </w:rPr>
      </w:pPr>
      <w:r w:rsidRPr="007F5333">
        <w:rPr>
          <w:lang w:val="es-ES"/>
        </w:rPr>
        <w:t>Otras cuestiones</w:t>
      </w:r>
    </w:p>
    <w:p w:rsidR="002A33C8" w:rsidRPr="007F5333" w:rsidRDefault="00164198" w:rsidP="007067B9">
      <w:pPr>
        <w:pStyle w:val="ONUME"/>
        <w:rPr>
          <w:lang w:val="es-ES"/>
        </w:rPr>
      </w:pPr>
      <w:r w:rsidRPr="007F5333">
        <w:rPr>
          <w:lang w:val="es-ES"/>
        </w:rPr>
        <w:t xml:space="preserve">Varias cuestiones que tienen que ver con los servicios en línea son el tema de otros documentos del presente Grupo de Trabajo, entre ellas, la entrada en la fase nacional mediante el </w:t>
      </w:r>
      <w:r w:rsidR="003E0F03" w:rsidRPr="007F5333">
        <w:rPr>
          <w:lang w:val="es-ES"/>
        </w:rPr>
        <w:t>ePCT (document</w:t>
      </w:r>
      <w:r w:rsidRPr="007F5333">
        <w:rPr>
          <w:lang w:val="es-ES"/>
        </w:rPr>
        <w:t>o</w:t>
      </w:r>
      <w:r w:rsidR="003E0F03" w:rsidRPr="007F5333">
        <w:rPr>
          <w:lang w:val="es-ES"/>
        </w:rPr>
        <w:t xml:space="preserve"> PCT/WG/8/</w:t>
      </w:r>
      <w:r w:rsidR="001756BA">
        <w:rPr>
          <w:lang w:val="es-ES"/>
        </w:rPr>
        <w:t>19</w:t>
      </w:r>
      <w:bookmarkStart w:id="5" w:name="_GoBack"/>
      <w:bookmarkEnd w:id="5"/>
      <w:r w:rsidR="003E0F03" w:rsidRPr="007F5333">
        <w:rPr>
          <w:lang w:val="es-ES"/>
        </w:rPr>
        <w:t>),</w:t>
      </w:r>
      <w:r w:rsidRPr="007F5333">
        <w:rPr>
          <w:lang w:val="es-ES"/>
        </w:rPr>
        <w:t xml:space="preserve"> </w:t>
      </w:r>
      <w:r w:rsidR="002A33C8" w:rsidRPr="007F5333">
        <w:rPr>
          <w:lang w:val="es-ES"/>
        </w:rPr>
        <w:t xml:space="preserve">los dibujos en color </w:t>
      </w:r>
      <w:r w:rsidR="00A360B0" w:rsidRPr="007F5333">
        <w:rPr>
          <w:lang w:val="es-ES"/>
        </w:rPr>
        <w:t>(document</w:t>
      </w:r>
      <w:r w:rsidR="002A33C8" w:rsidRPr="007F5333">
        <w:rPr>
          <w:lang w:val="es-ES"/>
        </w:rPr>
        <w:t>o</w:t>
      </w:r>
      <w:r w:rsidR="00A360B0" w:rsidRPr="007F5333">
        <w:rPr>
          <w:lang w:val="es-ES"/>
        </w:rPr>
        <w:t xml:space="preserve"> PCT/WG/8/21)</w:t>
      </w:r>
      <w:r w:rsidR="003E0F03" w:rsidRPr="007F5333">
        <w:rPr>
          <w:lang w:val="es-ES"/>
        </w:rPr>
        <w:t>,</w:t>
      </w:r>
      <w:r w:rsidR="002A33C8" w:rsidRPr="007F5333">
        <w:rPr>
          <w:lang w:val="es-ES"/>
        </w:rPr>
        <w:t xml:space="preserve"> las</w:t>
      </w:r>
      <w:r w:rsidR="003E0F03" w:rsidRPr="007F5333">
        <w:rPr>
          <w:lang w:val="es-ES"/>
        </w:rPr>
        <w:t xml:space="preserve"> </w:t>
      </w:r>
      <w:r w:rsidR="002A33C8" w:rsidRPr="007F5333">
        <w:rPr>
          <w:lang w:val="es-ES"/>
        </w:rPr>
        <w:t xml:space="preserve">demoras y casos de fuerza mayor relativos a las comunicaciones electrónicas </w:t>
      </w:r>
      <w:r w:rsidR="003E0F03" w:rsidRPr="007F5333">
        <w:rPr>
          <w:lang w:val="es-ES"/>
        </w:rPr>
        <w:t>(document</w:t>
      </w:r>
      <w:r w:rsidR="002A33C8" w:rsidRPr="007F5333">
        <w:rPr>
          <w:lang w:val="es-ES"/>
        </w:rPr>
        <w:t>o</w:t>
      </w:r>
      <w:r w:rsidR="003E0F03" w:rsidRPr="007F5333">
        <w:rPr>
          <w:lang w:val="es-ES"/>
        </w:rPr>
        <w:t xml:space="preserve"> PCT/WG/8/22) </w:t>
      </w:r>
      <w:r w:rsidR="002A33C8" w:rsidRPr="007F5333">
        <w:rPr>
          <w:lang w:val="es-ES"/>
        </w:rPr>
        <w:t xml:space="preserve">y los idiomas </w:t>
      </w:r>
      <w:r w:rsidR="00811700" w:rsidRPr="007F5333">
        <w:rPr>
          <w:lang w:val="es-ES"/>
        </w:rPr>
        <w:t>para comunicarse</w:t>
      </w:r>
      <w:r w:rsidR="002A33C8" w:rsidRPr="007F5333">
        <w:rPr>
          <w:lang w:val="es-ES"/>
        </w:rPr>
        <w:t xml:space="preserve"> con la Oficina Internacional </w:t>
      </w:r>
      <w:r w:rsidR="003E0F03" w:rsidRPr="007F5333">
        <w:rPr>
          <w:lang w:val="es-ES"/>
        </w:rPr>
        <w:t>(document</w:t>
      </w:r>
      <w:r w:rsidR="002A33C8" w:rsidRPr="007F5333">
        <w:rPr>
          <w:lang w:val="es-ES"/>
        </w:rPr>
        <w:t>o</w:t>
      </w:r>
      <w:r w:rsidR="003E0F03" w:rsidRPr="007F5333">
        <w:rPr>
          <w:lang w:val="es-ES"/>
        </w:rPr>
        <w:t xml:space="preserve"> PCT/WG/8/23)</w:t>
      </w:r>
      <w:r w:rsidR="00A360B0" w:rsidRPr="007F5333">
        <w:rPr>
          <w:lang w:val="es-ES"/>
        </w:rPr>
        <w:t>.</w:t>
      </w:r>
      <w:r w:rsidR="003E0F03" w:rsidRPr="007F5333">
        <w:rPr>
          <w:lang w:val="es-ES"/>
        </w:rPr>
        <w:t xml:space="preserve">  </w:t>
      </w:r>
      <w:r w:rsidR="002A33C8" w:rsidRPr="007F5333">
        <w:rPr>
          <w:lang w:val="es-ES"/>
        </w:rPr>
        <w:t>Además</w:t>
      </w:r>
      <w:r w:rsidR="003E0F03" w:rsidRPr="007F5333">
        <w:rPr>
          <w:lang w:val="es-ES"/>
        </w:rPr>
        <w:t xml:space="preserve">, </w:t>
      </w:r>
      <w:r w:rsidR="00811700" w:rsidRPr="007F5333">
        <w:rPr>
          <w:lang w:val="es-ES"/>
        </w:rPr>
        <w:t>las Oficinas nacionales deberían estar al tanto de las cuestiones siguientes, aunque de momento no figuren entre las cuestiones prioritarias.</w:t>
      </w:r>
    </w:p>
    <w:p w:rsidR="00A063DD" w:rsidRPr="007F5333" w:rsidRDefault="00C73A23" w:rsidP="007067B9">
      <w:pPr>
        <w:pStyle w:val="Heading2"/>
        <w:rPr>
          <w:lang w:val="es-ES"/>
        </w:rPr>
      </w:pPr>
      <w:r w:rsidRPr="007F5333">
        <w:rPr>
          <w:lang w:val="es-ES"/>
        </w:rPr>
        <w:t xml:space="preserve">TRAMITACIÓN EN TEXTO COMPLETO DEL CUERPO DE LA SOLICITUD </w:t>
      </w:r>
    </w:p>
    <w:p w:rsidR="00A063DD" w:rsidRPr="007F5333" w:rsidRDefault="00C73A23" w:rsidP="001D326E">
      <w:pPr>
        <w:pStyle w:val="ONUME"/>
        <w:rPr>
          <w:lang w:val="es-ES"/>
        </w:rPr>
      </w:pPr>
      <w:r w:rsidRPr="007F5333">
        <w:rPr>
          <w:lang w:val="es-ES"/>
        </w:rPr>
        <w:t xml:space="preserve">La Oficina Internacional insta a presentar y tramitar las solicitudes internacionales en formato de texto completo.  Sin embargo, la adopción de la presentación tradicional en XML se ha limitado a las Oficinas que ofrecen la opción del formato PDF como alternativa.  Existen varias razones para ello, pero una de ellas consiste en que los solicitantes han considerado que resulta más práctico usar la conversión directa a PDF desde un programa de tratamiento de texto, o incluso escanear en PDF los documentos impresos, que recurrir a las herramientas de conversión o autoría de XML.  Actualmente, la presentación electrónica del ePCT ofrece la posibilidad de cargar un documento en formato Office Open XML (.docx) directamente de </w:t>
      </w:r>
      <w:r w:rsidR="00A063DD" w:rsidRPr="007F5333">
        <w:rPr>
          <w:lang w:val="es-ES"/>
        </w:rPr>
        <w:t xml:space="preserve">Microsoft Word </w:t>
      </w:r>
      <w:r w:rsidRPr="007F5333">
        <w:rPr>
          <w:lang w:val="es-ES"/>
        </w:rPr>
        <w:t xml:space="preserve">u otros programas de tratamiento de texto.  </w:t>
      </w:r>
      <w:r w:rsidR="00AC34F7" w:rsidRPr="007F5333">
        <w:rPr>
          <w:lang w:val="es-ES"/>
        </w:rPr>
        <w:t xml:space="preserve">Este archivo se transforma automáticamente en el formato XML especificado en el Anexo F de la Instrucciones Administrativas del PCT.  </w:t>
      </w:r>
      <w:r w:rsidR="001D326E" w:rsidRPr="007F5333">
        <w:rPr>
          <w:lang w:val="es-ES"/>
        </w:rPr>
        <w:t>Los mensajes de advertencia indican los elementos que quizá no se hayan convertido con fiabilidad y las funciones de pre-visualización permiten ver la manera en que aparecerá la solicitud en los sistemas electrónicos de la Oficina Internacional y, en último término, cuando sea publicada.  El documento original del programa de tratamiento de texto se conserva en un archivo de “formato de preconversión” de conformidad con la Instrucción 706 de las Instrucciones Administrativas del PCT, lo que permite corregir los errores de conversión que se descubran posteriormente.</w:t>
      </w:r>
    </w:p>
    <w:p w:rsidR="00A063DD" w:rsidRPr="007F5333" w:rsidRDefault="00AC34F7" w:rsidP="00D5183B">
      <w:pPr>
        <w:pStyle w:val="ONUME"/>
        <w:rPr>
          <w:lang w:val="es-ES"/>
        </w:rPr>
      </w:pPr>
      <w:r w:rsidRPr="007F5333">
        <w:rPr>
          <w:lang w:val="es-ES"/>
        </w:rPr>
        <w:lastRenderedPageBreak/>
        <w:t>Se invita a las Oficinas nacionales y a los grupos de usuarios a evaluar esta herramienta y a examinar de qué manera pueden contribuir este u otros instrumentos y servicios a establecer un sistema basado en el tratamiento de texto completo del cuerpo de la solicitud.</w:t>
      </w:r>
    </w:p>
    <w:p w:rsidR="00FD3881" w:rsidRPr="007F5333" w:rsidRDefault="001D326E" w:rsidP="007067B9">
      <w:pPr>
        <w:pStyle w:val="Heading2"/>
        <w:rPr>
          <w:lang w:val="es-ES"/>
        </w:rPr>
      </w:pPr>
      <w:r w:rsidRPr="007F5333">
        <w:rPr>
          <w:lang w:val="es-ES"/>
        </w:rPr>
        <w:t>PAGO CENTRALIZADO DE LAS TASAS</w:t>
      </w:r>
    </w:p>
    <w:p w:rsidR="001D326E" w:rsidRPr="007F5333" w:rsidRDefault="001D326E" w:rsidP="00267479">
      <w:pPr>
        <w:pStyle w:val="ONUME"/>
        <w:rPr>
          <w:lang w:val="es-ES"/>
        </w:rPr>
      </w:pPr>
      <w:r w:rsidRPr="007F5333">
        <w:rPr>
          <w:lang w:val="es-ES"/>
        </w:rPr>
        <w:t xml:space="preserve">Actualmente, el </w:t>
      </w:r>
      <w:r w:rsidR="00FD3881" w:rsidRPr="007F5333">
        <w:rPr>
          <w:lang w:val="es-ES"/>
        </w:rPr>
        <w:t xml:space="preserve">ePCT </w:t>
      </w:r>
      <w:r w:rsidRPr="007F5333">
        <w:rPr>
          <w:lang w:val="es-ES"/>
        </w:rPr>
        <w:t xml:space="preserve">ofrece la posibilidad de efectuar pagos en línea de las tasas adeudadas a la Oficina Internacional, utilizando tarjetas de crédito o una cuenta corriente en la OMPI.  Es posible que se amplíen los mismos servicios a fin de establecer la posibilidad de efectuar el pago de manera centralizada en alguna etapa futura, pero de momento seguirá siendo necesario que las Oficinas receptoras que acepten las solicitudes presentadas electrónicamente mediante el ePCT o las Administraciones Internacionales </w:t>
      </w:r>
      <w:r w:rsidR="00DA1A17" w:rsidRPr="007F5333">
        <w:rPr>
          <w:lang w:val="es-ES"/>
        </w:rPr>
        <w:t>que actúen en relación con los solicitantes de fuera de su propio país sigan velando por que existan sistemas de pago eficaces que puedan usar esos solicitantes.</w:t>
      </w:r>
    </w:p>
    <w:p w:rsidR="00221CA7" w:rsidRPr="007F5333" w:rsidRDefault="00DA1A17" w:rsidP="00221CA7">
      <w:pPr>
        <w:pStyle w:val="ONUME"/>
        <w:rPr>
          <w:lang w:val="es-ES"/>
        </w:rPr>
      </w:pPr>
      <w:r w:rsidRPr="007F5333">
        <w:rPr>
          <w:lang w:val="es-ES"/>
        </w:rPr>
        <w:t xml:space="preserve">Cabe formular una propuesta detallada en este ámbito a raíz de los nuevos debates sobre la estructura de compensación que se menciona en el documento </w:t>
      </w:r>
      <w:r w:rsidR="00E15710" w:rsidRPr="007F5333">
        <w:rPr>
          <w:lang w:val="es-ES"/>
        </w:rPr>
        <w:t>PCT/WG/8/15</w:t>
      </w:r>
      <w:r w:rsidR="00FD3881" w:rsidRPr="007F5333">
        <w:rPr>
          <w:lang w:val="es-ES"/>
        </w:rPr>
        <w:t xml:space="preserve"> </w:t>
      </w:r>
      <w:r w:rsidRPr="007F5333">
        <w:rPr>
          <w:lang w:val="es-ES"/>
        </w:rPr>
        <w:t xml:space="preserve">y en la </w:t>
      </w:r>
      <w:r w:rsidR="00FD3881" w:rsidRPr="007F5333">
        <w:rPr>
          <w:lang w:val="es-ES"/>
        </w:rPr>
        <w:t xml:space="preserve">Circular C. PCT 1440.  </w:t>
      </w:r>
      <w:r w:rsidRPr="007F5333">
        <w:rPr>
          <w:lang w:val="es-ES"/>
        </w:rPr>
        <w:t xml:space="preserve">Sin embargo, la Oficina Internacional acogerá con agrado las indicaciones de las Oficinas receptoras y las Administraciones Internacionales en el sentido de si dicho mecanismo sería útil en caso de que se considere práctico, y </w:t>
      </w:r>
      <w:r w:rsidR="005946D6" w:rsidRPr="007F5333">
        <w:rPr>
          <w:lang w:val="es-ES"/>
        </w:rPr>
        <w:t>a fin de indicar las cuestiones que se debería</w:t>
      </w:r>
      <w:r w:rsidR="007F77AD" w:rsidRPr="007F5333">
        <w:rPr>
          <w:lang w:val="es-ES"/>
        </w:rPr>
        <w:t>n</w:t>
      </w:r>
      <w:r w:rsidR="005946D6" w:rsidRPr="007F5333">
        <w:rPr>
          <w:lang w:val="es-ES"/>
        </w:rPr>
        <w:t xml:space="preserve"> tener en cuenta en la evaluación.</w:t>
      </w:r>
    </w:p>
    <w:p w:rsidR="00EE3351" w:rsidRPr="007F5333" w:rsidRDefault="00EE3351" w:rsidP="009C3976">
      <w:pPr>
        <w:pStyle w:val="Heading1"/>
        <w:rPr>
          <w:lang w:val="es-ES"/>
        </w:rPr>
      </w:pPr>
      <w:r w:rsidRPr="007F5333">
        <w:rPr>
          <w:lang w:val="es-ES"/>
        </w:rPr>
        <w:t>EXAMEN DEL USO DE LOS SERVICIOS POR LAS OFICINAS NACIONALES</w:t>
      </w:r>
    </w:p>
    <w:p w:rsidR="00FD3881" w:rsidRPr="007F5333" w:rsidRDefault="00EE3351" w:rsidP="00EE3351">
      <w:pPr>
        <w:pStyle w:val="ONUME"/>
        <w:keepLines/>
        <w:rPr>
          <w:lang w:val="es-ES"/>
        </w:rPr>
      </w:pPr>
      <w:r w:rsidRPr="007F5333">
        <w:rPr>
          <w:lang w:val="es-ES"/>
        </w:rPr>
        <w:t xml:space="preserve">Además de los comentarios formulados en el Grupo de Trabajo, se invita a las Oficinas nacionales y a los miembros y observadores del Grupo de Trabajo a formular comentarios en todo momento a la Division de Desarrollo de Operaciones del PCT sobre la puesta a punto de nuevos servicios, en </w:t>
      </w:r>
      <w:r w:rsidR="00FD3881" w:rsidRPr="007F5333">
        <w:rPr>
          <w:lang w:val="es-ES"/>
        </w:rPr>
        <w:t xml:space="preserve">pctbdd@wipo.int.  </w:t>
      </w:r>
      <w:r w:rsidRPr="007F5333">
        <w:rPr>
          <w:lang w:val="es-ES"/>
        </w:rPr>
        <w:t xml:space="preserve">Además, </w:t>
      </w:r>
      <w:r w:rsidR="00794338" w:rsidRPr="007F5333">
        <w:rPr>
          <w:lang w:val="es-ES"/>
        </w:rPr>
        <w:t>cabe iniciar</w:t>
      </w:r>
      <w:r w:rsidRPr="007F5333">
        <w:rPr>
          <w:lang w:val="es-ES"/>
        </w:rPr>
        <w:t xml:space="preserve"> debates bilaterales sobre requisitos técnicos, calendarios, requisitos de examen y puesta a punto para el uso de nuevos servicios, poniéndose en contacto con la División de Cooperación Internacional del PCT en </w:t>
      </w:r>
      <w:r w:rsidR="00FD3881" w:rsidRPr="007F5333">
        <w:rPr>
          <w:lang w:val="es-ES"/>
        </w:rPr>
        <w:t>pcticd@wipo.int.</w:t>
      </w:r>
    </w:p>
    <w:p w:rsidR="00AE7FE4" w:rsidRPr="007F5333" w:rsidRDefault="00AE7FE4" w:rsidP="00AE7FE4">
      <w:pPr>
        <w:pStyle w:val="ONUME"/>
        <w:ind w:left="5533"/>
        <w:rPr>
          <w:i/>
          <w:iCs/>
          <w:lang w:val="es-ES"/>
        </w:rPr>
      </w:pPr>
      <w:r w:rsidRPr="007F5333">
        <w:rPr>
          <w:i/>
          <w:iCs/>
          <w:lang w:val="es-ES"/>
        </w:rPr>
        <w:t>Se invita al Grupo de Trabajo a formular comentarios sobre los temas tratados en el presente documento.</w:t>
      </w:r>
    </w:p>
    <w:p w:rsidR="00E15710" w:rsidRPr="007F5333" w:rsidRDefault="00E15710" w:rsidP="00E15710">
      <w:pPr>
        <w:rPr>
          <w:lang w:val="es-ES"/>
        </w:rPr>
      </w:pPr>
    </w:p>
    <w:p w:rsidR="000D0199" w:rsidRPr="007F5333" w:rsidRDefault="00E15710" w:rsidP="00E15710">
      <w:pPr>
        <w:pStyle w:val="Endofdocument-Annex"/>
        <w:rPr>
          <w:lang w:val="es-ES"/>
        </w:rPr>
      </w:pPr>
      <w:r w:rsidRPr="007F5333">
        <w:rPr>
          <w:lang w:val="es-ES"/>
        </w:rPr>
        <w:t>[</w:t>
      </w:r>
      <w:r w:rsidR="00AE7FE4" w:rsidRPr="007F5333">
        <w:rPr>
          <w:lang w:val="es-ES"/>
        </w:rPr>
        <w:t>Fin del</w:t>
      </w:r>
      <w:r w:rsidRPr="007F5333">
        <w:rPr>
          <w:lang w:val="es-ES"/>
        </w:rPr>
        <w:t xml:space="preserve"> document</w:t>
      </w:r>
      <w:r w:rsidR="00AE7FE4" w:rsidRPr="007F5333">
        <w:rPr>
          <w:lang w:val="es-ES"/>
        </w:rPr>
        <w:t>o</w:t>
      </w:r>
      <w:r w:rsidRPr="007F5333">
        <w:rPr>
          <w:lang w:val="es-ES"/>
        </w:rPr>
        <w:t>]</w:t>
      </w:r>
    </w:p>
    <w:sectPr w:rsidR="000D0199" w:rsidRPr="007F5333" w:rsidSect="008363AA">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5C6" w:rsidRDefault="00E765C6">
      <w:r>
        <w:separator/>
      </w:r>
    </w:p>
  </w:endnote>
  <w:endnote w:type="continuationSeparator" w:id="0">
    <w:p w:rsidR="00E765C6" w:rsidRDefault="00E765C6" w:rsidP="003B38C1">
      <w:r>
        <w:separator/>
      </w:r>
    </w:p>
    <w:p w:rsidR="00E765C6" w:rsidRPr="003B38C1" w:rsidRDefault="00E765C6" w:rsidP="003B38C1">
      <w:pPr>
        <w:spacing w:after="60"/>
        <w:rPr>
          <w:sz w:val="17"/>
        </w:rPr>
      </w:pPr>
      <w:r>
        <w:rPr>
          <w:sz w:val="17"/>
        </w:rPr>
        <w:t>[Endnote continued from previous page]</w:t>
      </w:r>
    </w:p>
  </w:endnote>
  <w:endnote w:type="continuationNotice" w:id="1">
    <w:p w:rsidR="00E765C6" w:rsidRPr="003B38C1" w:rsidRDefault="00E765C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5C6" w:rsidRDefault="00E765C6">
      <w:r>
        <w:separator/>
      </w:r>
    </w:p>
  </w:footnote>
  <w:footnote w:type="continuationSeparator" w:id="0">
    <w:p w:rsidR="00E765C6" w:rsidRDefault="00E765C6" w:rsidP="008B60B2">
      <w:r>
        <w:separator/>
      </w:r>
    </w:p>
    <w:p w:rsidR="00E765C6" w:rsidRPr="00ED77FB" w:rsidRDefault="00E765C6" w:rsidP="008B60B2">
      <w:pPr>
        <w:spacing w:after="60"/>
        <w:rPr>
          <w:sz w:val="17"/>
          <w:szCs w:val="17"/>
        </w:rPr>
      </w:pPr>
      <w:r w:rsidRPr="00ED77FB">
        <w:rPr>
          <w:sz w:val="17"/>
          <w:szCs w:val="17"/>
        </w:rPr>
        <w:t>[Footnote continued from previous page]</w:t>
      </w:r>
    </w:p>
  </w:footnote>
  <w:footnote w:type="continuationNotice" w:id="1">
    <w:p w:rsidR="00E765C6" w:rsidRPr="00ED77FB" w:rsidRDefault="00E765C6" w:rsidP="008B60B2">
      <w:pPr>
        <w:spacing w:before="60"/>
        <w:jc w:val="right"/>
        <w:rPr>
          <w:sz w:val="17"/>
          <w:szCs w:val="17"/>
        </w:rPr>
      </w:pPr>
      <w:r w:rsidRPr="00ED77FB">
        <w:rPr>
          <w:sz w:val="17"/>
          <w:szCs w:val="17"/>
        </w:rPr>
        <w:t>[Footnote continued on next page]</w:t>
      </w:r>
    </w:p>
  </w:footnote>
  <w:footnote w:id="2">
    <w:p w:rsidR="00E765C6" w:rsidRPr="008A746F" w:rsidRDefault="00E765C6" w:rsidP="002450C0">
      <w:pPr>
        <w:pStyle w:val="FootnoteText"/>
        <w:rPr>
          <w:lang w:val="es-ES"/>
        </w:rPr>
      </w:pPr>
      <w:r w:rsidRPr="008A746F">
        <w:rPr>
          <w:rStyle w:val="FootnoteReference"/>
          <w:lang w:val="es-ES"/>
        </w:rPr>
        <w:footnoteRef/>
      </w:r>
      <w:r w:rsidRPr="008A746F">
        <w:rPr>
          <w:lang w:val="es-ES"/>
        </w:rPr>
        <w:t xml:space="preserve"> </w:t>
      </w:r>
      <w:r w:rsidRPr="008A746F">
        <w:rPr>
          <w:lang w:val="es-ES"/>
        </w:rPr>
        <w:tab/>
        <w:t>PCT</w:t>
      </w:r>
      <w:r w:rsidRPr="008A746F">
        <w:rPr>
          <w:lang w:val="es-ES"/>
        </w:rPr>
        <w:noBreakHyphen/>
        <w:t xml:space="preserve">EDI es un servicio basado en </w:t>
      </w:r>
      <w:r>
        <w:rPr>
          <w:lang w:val="es-ES"/>
        </w:rPr>
        <w:t>el protocolo seguro de transferencia de archivos (</w:t>
      </w:r>
      <w:r w:rsidRPr="008A746F">
        <w:rPr>
          <w:lang w:val="es-ES"/>
        </w:rPr>
        <w:t>SFTP</w:t>
      </w:r>
      <w:r>
        <w:rPr>
          <w:lang w:val="es-ES"/>
        </w:rPr>
        <w:t>)</w:t>
      </w:r>
      <w:r w:rsidRPr="008A746F">
        <w:rPr>
          <w:lang w:val="es-ES"/>
        </w:rPr>
        <w:t xml:space="preserve"> utilizado para la mayoría de las comunicaciones electrónicas de la fase internacional entre la Oficina Internacional y las Oficinas 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C6" w:rsidRDefault="00E765C6" w:rsidP="00270E5E">
    <w:pPr>
      <w:jc w:val="right"/>
    </w:pPr>
    <w:bookmarkStart w:id="6" w:name="Code2"/>
    <w:bookmarkEnd w:id="6"/>
    <w:r>
      <w:t>PCT/WG/8/20</w:t>
    </w:r>
  </w:p>
  <w:p w:rsidR="00E765C6" w:rsidRDefault="00E765C6" w:rsidP="00477D6B">
    <w:pPr>
      <w:jc w:val="right"/>
    </w:pPr>
    <w:r>
      <w:t xml:space="preserve">página </w:t>
    </w:r>
    <w:r>
      <w:fldChar w:fldCharType="begin"/>
    </w:r>
    <w:r>
      <w:instrText xml:space="preserve"> PAGE  \* MERGEFORMAT </w:instrText>
    </w:r>
    <w:r>
      <w:fldChar w:fldCharType="separate"/>
    </w:r>
    <w:r w:rsidR="001756BA">
      <w:rPr>
        <w:noProof/>
      </w:rPr>
      <w:t>7</w:t>
    </w:r>
    <w:r>
      <w:fldChar w:fldCharType="end"/>
    </w:r>
  </w:p>
  <w:p w:rsidR="00E765C6" w:rsidRDefault="00E765C6"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79B46D3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ascii="Arial" w:eastAsia="SimSun" w:hAnsi="Arial" w:cs="Arial"/>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3AA"/>
    <w:rsid w:val="00004C9D"/>
    <w:rsid w:val="000120CE"/>
    <w:rsid w:val="00014A34"/>
    <w:rsid w:val="00025678"/>
    <w:rsid w:val="00030450"/>
    <w:rsid w:val="00043CAA"/>
    <w:rsid w:val="0005221E"/>
    <w:rsid w:val="000563A6"/>
    <w:rsid w:val="00075432"/>
    <w:rsid w:val="00084A69"/>
    <w:rsid w:val="000968ED"/>
    <w:rsid w:val="00096AF0"/>
    <w:rsid w:val="000D0199"/>
    <w:rsid w:val="000D1BEC"/>
    <w:rsid w:val="000D448C"/>
    <w:rsid w:val="000F5E56"/>
    <w:rsid w:val="000F60C0"/>
    <w:rsid w:val="0010507A"/>
    <w:rsid w:val="00112B2B"/>
    <w:rsid w:val="00125606"/>
    <w:rsid w:val="001362EE"/>
    <w:rsid w:val="00164198"/>
    <w:rsid w:val="00170E66"/>
    <w:rsid w:val="001756BA"/>
    <w:rsid w:val="001832A6"/>
    <w:rsid w:val="0019257A"/>
    <w:rsid w:val="001A4E2F"/>
    <w:rsid w:val="001B6F7B"/>
    <w:rsid w:val="001D326E"/>
    <w:rsid w:val="00203053"/>
    <w:rsid w:val="00221CA7"/>
    <w:rsid w:val="00222956"/>
    <w:rsid w:val="002450C0"/>
    <w:rsid w:val="00261906"/>
    <w:rsid w:val="002634C4"/>
    <w:rsid w:val="00267479"/>
    <w:rsid w:val="00270E5E"/>
    <w:rsid w:val="0029262B"/>
    <w:rsid w:val="002928D3"/>
    <w:rsid w:val="00295129"/>
    <w:rsid w:val="002A33C8"/>
    <w:rsid w:val="002E326D"/>
    <w:rsid w:val="002F1FE6"/>
    <w:rsid w:val="002F4E68"/>
    <w:rsid w:val="00300514"/>
    <w:rsid w:val="00312F7F"/>
    <w:rsid w:val="00320457"/>
    <w:rsid w:val="00347F2A"/>
    <w:rsid w:val="00361450"/>
    <w:rsid w:val="0036347F"/>
    <w:rsid w:val="003673CF"/>
    <w:rsid w:val="003845C1"/>
    <w:rsid w:val="003A1ACE"/>
    <w:rsid w:val="003A2A01"/>
    <w:rsid w:val="003A6F89"/>
    <w:rsid w:val="003B38C1"/>
    <w:rsid w:val="003D6B0C"/>
    <w:rsid w:val="003E0F03"/>
    <w:rsid w:val="00401AFD"/>
    <w:rsid w:val="00412DAE"/>
    <w:rsid w:val="00423E3E"/>
    <w:rsid w:val="00424263"/>
    <w:rsid w:val="00427AF4"/>
    <w:rsid w:val="00432113"/>
    <w:rsid w:val="00433F9F"/>
    <w:rsid w:val="004647DA"/>
    <w:rsid w:val="00473415"/>
    <w:rsid w:val="00474062"/>
    <w:rsid w:val="00477D6B"/>
    <w:rsid w:val="004A0501"/>
    <w:rsid w:val="004E5A30"/>
    <w:rsid w:val="005019FF"/>
    <w:rsid w:val="0053057A"/>
    <w:rsid w:val="00531C93"/>
    <w:rsid w:val="00560A29"/>
    <w:rsid w:val="005946D6"/>
    <w:rsid w:val="005B6333"/>
    <w:rsid w:val="005C347B"/>
    <w:rsid w:val="005C6649"/>
    <w:rsid w:val="005F3285"/>
    <w:rsid w:val="00605827"/>
    <w:rsid w:val="006246BF"/>
    <w:rsid w:val="0063059C"/>
    <w:rsid w:val="00641512"/>
    <w:rsid w:val="00642636"/>
    <w:rsid w:val="00646050"/>
    <w:rsid w:val="00647A6F"/>
    <w:rsid w:val="00660D24"/>
    <w:rsid w:val="0066130B"/>
    <w:rsid w:val="006713CA"/>
    <w:rsid w:val="00676C5C"/>
    <w:rsid w:val="00695D1A"/>
    <w:rsid w:val="0069768E"/>
    <w:rsid w:val="006B2211"/>
    <w:rsid w:val="006B5071"/>
    <w:rsid w:val="007067B9"/>
    <w:rsid w:val="00710C56"/>
    <w:rsid w:val="00720BD4"/>
    <w:rsid w:val="007228FE"/>
    <w:rsid w:val="00754A9D"/>
    <w:rsid w:val="00757A61"/>
    <w:rsid w:val="00794338"/>
    <w:rsid w:val="007C1A4A"/>
    <w:rsid w:val="007D1613"/>
    <w:rsid w:val="007E57F3"/>
    <w:rsid w:val="007F5333"/>
    <w:rsid w:val="007F77AD"/>
    <w:rsid w:val="0080588E"/>
    <w:rsid w:val="008071BA"/>
    <w:rsid w:val="00811700"/>
    <w:rsid w:val="00825662"/>
    <w:rsid w:val="008363AA"/>
    <w:rsid w:val="00852545"/>
    <w:rsid w:val="0085705D"/>
    <w:rsid w:val="00883FD2"/>
    <w:rsid w:val="008A746F"/>
    <w:rsid w:val="008B2CC1"/>
    <w:rsid w:val="008B60B2"/>
    <w:rsid w:val="00902D65"/>
    <w:rsid w:val="0090654B"/>
    <w:rsid w:val="0090731E"/>
    <w:rsid w:val="00916EE2"/>
    <w:rsid w:val="00943676"/>
    <w:rsid w:val="009612CC"/>
    <w:rsid w:val="00966A22"/>
    <w:rsid w:val="0096722F"/>
    <w:rsid w:val="00980843"/>
    <w:rsid w:val="009A7E75"/>
    <w:rsid w:val="009C3976"/>
    <w:rsid w:val="009E2791"/>
    <w:rsid w:val="009E3F6F"/>
    <w:rsid w:val="009F499F"/>
    <w:rsid w:val="00A063DD"/>
    <w:rsid w:val="00A107C9"/>
    <w:rsid w:val="00A360B0"/>
    <w:rsid w:val="00A42DAF"/>
    <w:rsid w:val="00A45BD8"/>
    <w:rsid w:val="00A65C28"/>
    <w:rsid w:val="00A869B7"/>
    <w:rsid w:val="00A92CEF"/>
    <w:rsid w:val="00A95F4D"/>
    <w:rsid w:val="00A97CCB"/>
    <w:rsid w:val="00AB43F6"/>
    <w:rsid w:val="00AC205C"/>
    <w:rsid w:val="00AC34F7"/>
    <w:rsid w:val="00AE7FE4"/>
    <w:rsid w:val="00AF03A0"/>
    <w:rsid w:val="00AF0A6B"/>
    <w:rsid w:val="00AF384D"/>
    <w:rsid w:val="00B01101"/>
    <w:rsid w:val="00B038BD"/>
    <w:rsid w:val="00B05A69"/>
    <w:rsid w:val="00B05F21"/>
    <w:rsid w:val="00B15B4F"/>
    <w:rsid w:val="00B227A5"/>
    <w:rsid w:val="00B354DF"/>
    <w:rsid w:val="00B837B8"/>
    <w:rsid w:val="00B9734B"/>
    <w:rsid w:val="00BA4378"/>
    <w:rsid w:val="00BE7A33"/>
    <w:rsid w:val="00C03590"/>
    <w:rsid w:val="00C03E9E"/>
    <w:rsid w:val="00C041E9"/>
    <w:rsid w:val="00C11BFE"/>
    <w:rsid w:val="00C27EB3"/>
    <w:rsid w:val="00C4205A"/>
    <w:rsid w:val="00C544DA"/>
    <w:rsid w:val="00C66F0C"/>
    <w:rsid w:val="00C70AF9"/>
    <w:rsid w:val="00C71957"/>
    <w:rsid w:val="00C73A23"/>
    <w:rsid w:val="00C96FDF"/>
    <w:rsid w:val="00C97079"/>
    <w:rsid w:val="00CA616C"/>
    <w:rsid w:val="00CB6310"/>
    <w:rsid w:val="00CC5A1F"/>
    <w:rsid w:val="00CC7E28"/>
    <w:rsid w:val="00CF6CA7"/>
    <w:rsid w:val="00D04AA7"/>
    <w:rsid w:val="00D45252"/>
    <w:rsid w:val="00D5183B"/>
    <w:rsid w:val="00D71B4D"/>
    <w:rsid w:val="00D93D55"/>
    <w:rsid w:val="00D97E38"/>
    <w:rsid w:val="00DA0636"/>
    <w:rsid w:val="00DA1A17"/>
    <w:rsid w:val="00DB0C65"/>
    <w:rsid w:val="00E00ECB"/>
    <w:rsid w:val="00E1257B"/>
    <w:rsid w:val="00E15710"/>
    <w:rsid w:val="00E32A34"/>
    <w:rsid w:val="00E335FE"/>
    <w:rsid w:val="00E34979"/>
    <w:rsid w:val="00E41F61"/>
    <w:rsid w:val="00E45B51"/>
    <w:rsid w:val="00E5192A"/>
    <w:rsid w:val="00E57228"/>
    <w:rsid w:val="00E765C6"/>
    <w:rsid w:val="00E920A7"/>
    <w:rsid w:val="00EA4129"/>
    <w:rsid w:val="00EC4E49"/>
    <w:rsid w:val="00ED77FB"/>
    <w:rsid w:val="00EE3351"/>
    <w:rsid w:val="00EE45FA"/>
    <w:rsid w:val="00EF67BB"/>
    <w:rsid w:val="00F01D5C"/>
    <w:rsid w:val="00F0317F"/>
    <w:rsid w:val="00F1524A"/>
    <w:rsid w:val="00F15E8D"/>
    <w:rsid w:val="00F27A64"/>
    <w:rsid w:val="00F44E9B"/>
    <w:rsid w:val="00F51D1A"/>
    <w:rsid w:val="00F56113"/>
    <w:rsid w:val="00F66152"/>
    <w:rsid w:val="00FB275D"/>
    <w:rsid w:val="00FC49B5"/>
    <w:rsid w:val="00FD3881"/>
    <w:rsid w:val="00FF1B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0D0199"/>
    <w:pPr>
      <w:keepNext/>
      <w:spacing w:before="360" w:after="180"/>
      <w:outlineLvl w:val="0"/>
    </w:pPr>
    <w:rPr>
      <w:b/>
      <w:bCs/>
      <w:caps/>
      <w:kern w:val="32"/>
      <w:szCs w:val="32"/>
    </w:rPr>
  </w:style>
  <w:style w:type="paragraph" w:styleId="Heading2">
    <w:name w:val="heading 2"/>
    <w:basedOn w:val="Normal"/>
    <w:next w:val="Normal"/>
    <w:link w:val="Heading2Char"/>
    <w:qFormat/>
    <w:rsid w:val="00CF6CA7"/>
    <w:pPr>
      <w:keepNext/>
      <w:spacing w:before="240" w:after="18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rsid w:val="00FD3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FD3881"/>
    <w:rPr>
      <w:vertAlign w:val="superscript"/>
    </w:rPr>
  </w:style>
  <w:style w:type="paragraph" w:styleId="BalloonText">
    <w:name w:val="Balloon Text"/>
    <w:basedOn w:val="Normal"/>
    <w:link w:val="BalloonTextChar"/>
    <w:rsid w:val="000D448C"/>
    <w:rPr>
      <w:rFonts w:ascii="Tahoma" w:hAnsi="Tahoma" w:cs="Tahoma"/>
      <w:sz w:val="16"/>
      <w:szCs w:val="16"/>
    </w:rPr>
  </w:style>
  <w:style w:type="character" w:customStyle="1" w:styleId="BalloonTextChar">
    <w:name w:val="Balloon Text Char"/>
    <w:basedOn w:val="DefaultParagraphFont"/>
    <w:link w:val="BalloonText"/>
    <w:rsid w:val="000D448C"/>
    <w:rPr>
      <w:rFonts w:ascii="Tahoma" w:eastAsia="SimSun" w:hAnsi="Tahoma" w:cs="Tahoma"/>
      <w:sz w:val="16"/>
      <w:szCs w:val="16"/>
      <w:lang w:eastAsia="zh-CN"/>
    </w:rPr>
  </w:style>
  <w:style w:type="character" w:styleId="CommentReference">
    <w:name w:val="annotation reference"/>
    <w:basedOn w:val="DefaultParagraphFont"/>
    <w:rsid w:val="005C347B"/>
    <w:rPr>
      <w:sz w:val="16"/>
      <w:szCs w:val="16"/>
    </w:rPr>
  </w:style>
  <w:style w:type="paragraph" w:styleId="CommentSubject">
    <w:name w:val="annotation subject"/>
    <w:basedOn w:val="CommentText"/>
    <w:next w:val="CommentText"/>
    <w:link w:val="CommentSubjectChar"/>
    <w:rsid w:val="005C347B"/>
    <w:rPr>
      <w:b/>
      <w:bCs/>
      <w:sz w:val="20"/>
    </w:rPr>
  </w:style>
  <w:style w:type="character" w:customStyle="1" w:styleId="CommentTextChar">
    <w:name w:val="Comment Text Char"/>
    <w:basedOn w:val="DefaultParagraphFont"/>
    <w:link w:val="CommentText"/>
    <w:semiHidden/>
    <w:rsid w:val="005C347B"/>
    <w:rPr>
      <w:rFonts w:ascii="Arial" w:eastAsia="SimSun" w:hAnsi="Arial" w:cs="Arial"/>
      <w:sz w:val="18"/>
      <w:lang w:eastAsia="zh-CN"/>
    </w:rPr>
  </w:style>
  <w:style w:type="character" w:customStyle="1" w:styleId="CommentSubjectChar">
    <w:name w:val="Comment Subject Char"/>
    <w:basedOn w:val="CommentTextChar"/>
    <w:link w:val="CommentSubject"/>
    <w:rsid w:val="005C347B"/>
    <w:rPr>
      <w:rFonts w:ascii="Arial" w:eastAsia="SimSun" w:hAnsi="Arial" w:cs="Arial"/>
      <w:b/>
      <w:bCs/>
      <w:sz w:val="18"/>
      <w:lang w:eastAsia="zh-CN"/>
    </w:rPr>
  </w:style>
  <w:style w:type="character" w:customStyle="1" w:styleId="Heading1Char">
    <w:name w:val="Heading 1 Char"/>
    <w:basedOn w:val="DefaultParagraphFont"/>
    <w:link w:val="Heading1"/>
    <w:rsid w:val="00320457"/>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320457"/>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0D0199"/>
    <w:pPr>
      <w:keepNext/>
      <w:spacing w:before="360" w:after="180"/>
      <w:outlineLvl w:val="0"/>
    </w:pPr>
    <w:rPr>
      <w:b/>
      <w:bCs/>
      <w:caps/>
      <w:kern w:val="32"/>
      <w:szCs w:val="32"/>
    </w:rPr>
  </w:style>
  <w:style w:type="paragraph" w:styleId="Heading2">
    <w:name w:val="heading 2"/>
    <w:basedOn w:val="Normal"/>
    <w:next w:val="Normal"/>
    <w:link w:val="Heading2Char"/>
    <w:qFormat/>
    <w:rsid w:val="00CF6CA7"/>
    <w:pPr>
      <w:keepNext/>
      <w:spacing w:before="240" w:after="18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rsid w:val="00FD3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FD3881"/>
    <w:rPr>
      <w:vertAlign w:val="superscript"/>
    </w:rPr>
  </w:style>
  <w:style w:type="paragraph" w:styleId="BalloonText">
    <w:name w:val="Balloon Text"/>
    <w:basedOn w:val="Normal"/>
    <w:link w:val="BalloonTextChar"/>
    <w:rsid w:val="000D448C"/>
    <w:rPr>
      <w:rFonts w:ascii="Tahoma" w:hAnsi="Tahoma" w:cs="Tahoma"/>
      <w:sz w:val="16"/>
      <w:szCs w:val="16"/>
    </w:rPr>
  </w:style>
  <w:style w:type="character" w:customStyle="1" w:styleId="BalloonTextChar">
    <w:name w:val="Balloon Text Char"/>
    <w:basedOn w:val="DefaultParagraphFont"/>
    <w:link w:val="BalloonText"/>
    <w:rsid w:val="000D448C"/>
    <w:rPr>
      <w:rFonts w:ascii="Tahoma" w:eastAsia="SimSun" w:hAnsi="Tahoma" w:cs="Tahoma"/>
      <w:sz w:val="16"/>
      <w:szCs w:val="16"/>
      <w:lang w:eastAsia="zh-CN"/>
    </w:rPr>
  </w:style>
  <w:style w:type="character" w:styleId="CommentReference">
    <w:name w:val="annotation reference"/>
    <w:basedOn w:val="DefaultParagraphFont"/>
    <w:rsid w:val="005C347B"/>
    <w:rPr>
      <w:sz w:val="16"/>
      <w:szCs w:val="16"/>
    </w:rPr>
  </w:style>
  <w:style w:type="paragraph" w:styleId="CommentSubject">
    <w:name w:val="annotation subject"/>
    <w:basedOn w:val="CommentText"/>
    <w:next w:val="CommentText"/>
    <w:link w:val="CommentSubjectChar"/>
    <w:rsid w:val="005C347B"/>
    <w:rPr>
      <w:b/>
      <w:bCs/>
      <w:sz w:val="20"/>
    </w:rPr>
  </w:style>
  <w:style w:type="character" w:customStyle="1" w:styleId="CommentTextChar">
    <w:name w:val="Comment Text Char"/>
    <w:basedOn w:val="DefaultParagraphFont"/>
    <w:link w:val="CommentText"/>
    <w:semiHidden/>
    <w:rsid w:val="005C347B"/>
    <w:rPr>
      <w:rFonts w:ascii="Arial" w:eastAsia="SimSun" w:hAnsi="Arial" w:cs="Arial"/>
      <w:sz w:val="18"/>
      <w:lang w:eastAsia="zh-CN"/>
    </w:rPr>
  </w:style>
  <w:style w:type="character" w:customStyle="1" w:styleId="CommentSubjectChar">
    <w:name w:val="Comment Subject Char"/>
    <w:basedOn w:val="CommentTextChar"/>
    <w:link w:val="CommentSubject"/>
    <w:rsid w:val="005C347B"/>
    <w:rPr>
      <w:rFonts w:ascii="Arial" w:eastAsia="SimSun" w:hAnsi="Arial" w:cs="Arial"/>
      <w:b/>
      <w:bCs/>
      <w:sz w:val="18"/>
      <w:lang w:eastAsia="zh-CN"/>
    </w:rPr>
  </w:style>
  <w:style w:type="character" w:customStyle="1" w:styleId="Heading1Char">
    <w:name w:val="Heading 1 Char"/>
    <w:basedOn w:val="DefaultParagraphFont"/>
    <w:link w:val="Heading1"/>
    <w:rsid w:val="00320457"/>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320457"/>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8 (E)</Template>
  <TotalTime>2</TotalTime>
  <Pages>8</Pages>
  <Words>4332</Words>
  <Characters>21663</Characters>
  <Application>Microsoft Office Word</Application>
  <DocSecurity>0</DocSecurity>
  <Lines>367</Lines>
  <Paragraphs>107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PCT Online Services</dc:subject>
  <dc:creator>RICHARDSON Michael</dc:creator>
  <cp:lastModifiedBy>MARLOW Thomas</cp:lastModifiedBy>
  <cp:revision>3</cp:revision>
  <cp:lastPrinted>2015-05-08T08:51:00Z</cp:lastPrinted>
  <dcterms:created xsi:type="dcterms:W3CDTF">2015-05-08T14:57:00Z</dcterms:created>
  <dcterms:modified xsi:type="dcterms:W3CDTF">2015-05-12T11:41:00Z</dcterms:modified>
</cp:coreProperties>
</file>