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B0290" w:rsidRPr="001B0290" w:rsidTr="0088395E">
        <w:tc>
          <w:tcPr>
            <w:tcW w:w="4513" w:type="dxa"/>
            <w:tcBorders>
              <w:bottom w:val="single" w:sz="4" w:space="0" w:color="auto"/>
            </w:tcBorders>
            <w:tcMar>
              <w:bottom w:w="170" w:type="dxa"/>
            </w:tcMar>
          </w:tcPr>
          <w:p w:rsidR="00E504E5" w:rsidRPr="001B0290" w:rsidRDefault="00E504E5" w:rsidP="00AB613D"/>
        </w:tc>
        <w:tc>
          <w:tcPr>
            <w:tcW w:w="4337" w:type="dxa"/>
            <w:tcBorders>
              <w:bottom w:val="single" w:sz="4" w:space="0" w:color="auto"/>
            </w:tcBorders>
            <w:tcMar>
              <w:left w:w="0" w:type="dxa"/>
              <w:right w:w="0" w:type="dxa"/>
            </w:tcMar>
          </w:tcPr>
          <w:p w:rsidR="00E504E5" w:rsidRPr="001B0290" w:rsidRDefault="003E1936" w:rsidP="00AB613D">
            <w:r w:rsidRPr="001B0290">
              <w:rPr>
                <w:noProof/>
                <w:lang w:val="en-US" w:eastAsia="en-US"/>
              </w:rPr>
              <w:drawing>
                <wp:inline distT="0" distB="0" distL="0" distR="0" wp14:anchorId="2B6AB992" wp14:editId="385DF34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B0290" w:rsidRDefault="00E504E5" w:rsidP="00AB613D">
            <w:pPr>
              <w:jc w:val="right"/>
            </w:pPr>
            <w:r w:rsidRPr="001B0290">
              <w:rPr>
                <w:b/>
                <w:sz w:val="40"/>
                <w:szCs w:val="40"/>
              </w:rPr>
              <w:t>S</w:t>
            </w:r>
          </w:p>
        </w:tc>
      </w:tr>
      <w:tr w:rsidR="001B0290" w:rsidRPr="001B029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B0290" w:rsidRDefault="008D4E17" w:rsidP="008D4E17">
            <w:pPr>
              <w:jc w:val="right"/>
              <w:rPr>
                <w:rFonts w:ascii="Arial Black" w:hAnsi="Arial Black"/>
                <w:caps/>
                <w:sz w:val="15"/>
              </w:rPr>
            </w:pPr>
            <w:r>
              <w:rPr>
                <w:rFonts w:ascii="Arial Black" w:hAnsi="Arial Black"/>
                <w:caps/>
                <w:sz w:val="15"/>
              </w:rPr>
              <w:t>PCT/WG/8</w:t>
            </w:r>
            <w:r w:rsidR="00074058" w:rsidRPr="001B0290">
              <w:rPr>
                <w:rFonts w:ascii="Arial Black" w:hAnsi="Arial Black"/>
                <w:caps/>
                <w:sz w:val="15"/>
              </w:rPr>
              <w:t>/</w:t>
            </w:r>
            <w:bookmarkStart w:id="0" w:name="Code"/>
            <w:bookmarkEnd w:id="0"/>
            <w:r>
              <w:rPr>
                <w:rFonts w:ascii="Arial Black" w:hAnsi="Arial Black"/>
                <w:caps/>
                <w:sz w:val="15"/>
              </w:rPr>
              <w:t>13</w:t>
            </w:r>
          </w:p>
        </w:tc>
      </w:tr>
      <w:tr w:rsidR="001B0290" w:rsidRPr="001B0290" w:rsidTr="00AB613D">
        <w:trPr>
          <w:trHeight w:hRule="exact" w:val="170"/>
        </w:trPr>
        <w:tc>
          <w:tcPr>
            <w:tcW w:w="9356" w:type="dxa"/>
            <w:gridSpan w:val="3"/>
            <w:noWrap/>
            <w:tcMar>
              <w:left w:w="0" w:type="dxa"/>
              <w:right w:w="0" w:type="dxa"/>
            </w:tcMar>
            <w:vAlign w:val="bottom"/>
          </w:tcPr>
          <w:p w:rsidR="008B2CC1" w:rsidRPr="001B0290" w:rsidRDefault="008B2CC1" w:rsidP="00AB613D">
            <w:pPr>
              <w:jc w:val="right"/>
              <w:rPr>
                <w:rFonts w:ascii="Arial Black" w:hAnsi="Arial Black"/>
                <w:caps/>
                <w:sz w:val="15"/>
              </w:rPr>
            </w:pPr>
            <w:r w:rsidRPr="001B0290">
              <w:rPr>
                <w:rFonts w:ascii="Arial Black" w:hAnsi="Arial Black"/>
                <w:caps/>
                <w:sz w:val="15"/>
              </w:rPr>
              <w:t>ORIGINAL:</w:t>
            </w:r>
            <w:r w:rsidR="00F84474" w:rsidRPr="001B0290">
              <w:rPr>
                <w:rFonts w:ascii="Arial Black" w:hAnsi="Arial Black"/>
                <w:caps/>
                <w:sz w:val="15"/>
              </w:rPr>
              <w:t xml:space="preserve"> </w:t>
            </w:r>
            <w:r w:rsidRPr="001B0290">
              <w:rPr>
                <w:rFonts w:ascii="Arial Black" w:hAnsi="Arial Black"/>
                <w:caps/>
                <w:sz w:val="15"/>
              </w:rPr>
              <w:t xml:space="preserve"> </w:t>
            </w:r>
            <w:bookmarkStart w:id="1" w:name="Original"/>
            <w:bookmarkEnd w:id="1"/>
            <w:r w:rsidR="009128FA" w:rsidRPr="001B0290">
              <w:rPr>
                <w:rFonts w:ascii="Arial Black" w:hAnsi="Arial Black"/>
                <w:caps/>
                <w:sz w:val="15"/>
              </w:rPr>
              <w:t>inglés</w:t>
            </w:r>
          </w:p>
        </w:tc>
      </w:tr>
      <w:tr w:rsidR="001B0290" w:rsidRPr="001B0290" w:rsidTr="00AB613D">
        <w:trPr>
          <w:trHeight w:hRule="exact" w:val="198"/>
        </w:trPr>
        <w:tc>
          <w:tcPr>
            <w:tcW w:w="9356" w:type="dxa"/>
            <w:gridSpan w:val="3"/>
            <w:tcMar>
              <w:left w:w="0" w:type="dxa"/>
              <w:right w:w="0" w:type="dxa"/>
            </w:tcMar>
            <w:vAlign w:val="bottom"/>
          </w:tcPr>
          <w:p w:rsidR="008B2CC1" w:rsidRPr="001B0290" w:rsidRDefault="00675021" w:rsidP="008D4E17">
            <w:pPr>
              <w:jc w:val="right"/>
              <w:rPr>
                <w:rFonts w:ascii="Arial Black" w:hAnsi="Arial Black"/>
                <w:caps/>
                <w:sz w:val="15"/>
              </w:rPr>
            </w:pPr>
            <w:r w:rsidRPr="001B0290">
              <w:rPr>
                <w:rFonts w:ascii="Arial Black" w:hAnsi="Arial Black"/>
                <w:caps/>
                <w:sz w:val="15"/>
              </w:rPr>
              <w:t>fecha</w:t>
            </w:r>
            <w:r w:rsidR="008B2CC1" w:rsidRPr="001B0290">
              <w:rPr>
                <w:rFonts w:ascii="Arial Black" w:hAnsi="Arial Black"/>
                <w:caps/>
                <w:sz w:val="15"/>
              </w:rPr>
              <w:t>:</w:t>
            </w:r>
            <w:r w:rsidR="00F84474" w:rsidRPr="001B0290">
              <w:rPr>
                <w:rFonts w:ascii="Arial Black" w:hAnsi="Arial Black"/>
                <w:caps/>
                <w:sz w:val="15"/>
              </w:rPr>
              <w:t xml:space="preserve"> </w:t>
            </w:r>
            <w:r w:rsidR="008B2CC1" w:rsidRPr="001B0290">
              <w:rPr>
                <w:rFonts w:ascii="Arial Black" w:hAnsi="Arial Black"/>
                <w:caps/>
                <w:sz w:val="15"/>
              </w:rPr>
              <w:t xml:space="preserve"> </w:t>
            </w:r>
            <w:bookmarkStart w:id="2" w:name="Date"/>
            <w:bookmarkEnd w:id="2"/>
            <w:r w:rsidR="00F00322" w:rsidRPr="001B0290">
              <w:rPr>
                <w:rFonts w:ascii="Arial Black" w:hAnsi="Arial Black"/>
                <w:caps/>
                <w:sz w:val="15"/>
              </w:rPr>
              <w:t>2</w:t>
            </w:r>
            <w:r w:rsidR="009128FA" w:rsidRPr="001B0290">
              <w:rPr>
                <w:rFonts w:ascii="Arial Black" w:hAnsi="Arial Black"/>
                <w:caps/>
                <w:sz w:val="15"/>
              </w:rPr>
              <w:t xml:space="preserve"> de </w:t>
            </w:r>
            <w:r w:rsidR="005E459D" w:rsidRPr="001B0290">
              <w:rPr>
                <w:rFonts w:ascii="Arial Black" w:hAnsi="Arial Black"/>
                <w:caps/>
                <w:sz w:val="15"/>
              </w:rPr>
              <w:t>abril</w:t>
            </w:r>
            <w:r w:rsidR="009128FA" w:rsidRPr="001B0290">
              <w:rPr>
                <w:rFonts w:ascii="Arial Black" w:hAnsi="Arial Black"/>
                <w:caps/>
                <w:sz w:val="15"/>
              </w:rPr>
              <w:t xml:space="preserve"> de 201</w:t>
            </w:r>
            <w:r w:rsidR="008D4E17">
              <w:rPr>
                <w:rFonts w:ascii="Arial Black" w:hAnsi="Arial Black"/>
                <w:caps/>
                <w:sz w:val="15"/>
              </w:rPr>
              <w:t>5</w:t>
            </w:r>
          </w:p>
        </w:tc>
      </w:tr>
    </w:tbl>
    <w:p w:rsidR="008B2CC1" w:rsidRPr="001B0290" w:rsidRDefault="008B2CC1" w:rsidP="008B2CC1"/>
    <w:p w:rsidR="008B2CC1" w:rsidRPr="001B0290" w:rsidRDefault="008B2CC1" w:rsidP="008B2CC1"/>
    <w:p w:rsidR="008B2CC1" w:rsidRPr="001B0290" w:rsidRDefault="008B2CC1" w:rsidP="008B2CC1"/>
    <w:p w:rsidR="008B2CC1" w:rsidRPr="001B0290" w:rsidRDefault="008B2CC1" w:rsidP="008B2CC1"/>
    <w:p w:rsidR="008B2CC1" w:rsidRPr="001B0290" w:rsidRDefault="008B2CC1" w:rsidP="008B2CC1"/>
    <w:p w:rsidR="003D3FF6" w:rsidRPr="001B0290" w:rsidRDefault="003D3FF6" w:rsidP="003D3FF6">
      <w:pPr>
        <w:rPr>
          <w:b/>
          <w:sz w:val="28"/>
          <w:szCs w:val="28"/>
        </w:rPr>
      </w:pPr>
      <w:r w:rsidRPr="001B0290">
        <w:rPr>
          <w:b/>
          <w:sz w:val="28"/>
          <w:szCs w:val="28"/>
        </w:rPr>
        <w:t>Tratado de Cooperación en materia de Patentes (PCT)</w:t>
      </w:r>
    </w:p>
    <w:p w:rsidR="00B67CDC" w:rsidRPr="001B0290" w:rsidRDefault="003D3FF6" w:rsidP="003D3FF6">
      <w:pPr>
        <w:rPr>
          <w:b/>
          <w:sz w:val="28"/>
          <w:szCs w:val="28"/>
        </w:rPr>
      </w:pPr>
      <w:r w:rsidRPr="001B0290">
        <w:rPr>
          <w:b/>
          <w:sz w:val="28"/>
          <w:szCs w:val="28"/>
        </w:rPr>
        <w:t>Grupo de Trabajo</w:t>
      </w:r>
    </w:p>
    <w:p w:rsidR="003845C1" w:rsidRPr="001B0290" w:rsidRDefault="003845C1" w:rsidP="003845C1"/>
    <w:p w:rsidR="003845C1" w:rsidRPr="001B0290" w:rsidRDefault="003845C1" w:rsidP="003845C1"/>
    <w:p w:rsidR="00B67CDC" w:rsidRPr="001B0290" w:rsidRDefault="008D4E17" w:rsidP="00B67CDC">
      <w:pPr>
        <w:rPr>
          <w:b/>
          <w:sz w:val="24"/>
          <w:szCs w:val="24"/>
        </w:rPr>
      </w:pPr>
      <w:r>
        <w:rPr>
          <w:b/>
          <w:sz w:val="24"/>
          <w:szCs w:val="24"/>
        </w:rPr>
        <w:t>Octav</w:t>
      </w:r>
      <w:r w:rsidR="003D3FF6" w:rsidRPr="001B0290">
        <w:rPr>
          <w:b/>
          <w:sz w:val="24"/>
          <w:szCs w:val="24"/>
        </w:rPr>
        <w:t xml:space="preserve">a </w:t>
      </w:r>
      <w:r w:rsidR="00CF637F" w:rsidRPr="001B0290">
        <w:rPr>
          <w:b/>
          <w:sz w:val="24"/>
          <w:szCs w:val="24"/>
        </w:rPr>
        <w:t>reunión</w:t>
      </w:r>
    </w:p>
    <w:p w:rsidR="00B67CDC" w:rsidRPr="001B0290" w:rsidRDefault="003D3FF6" w:rsidP="00B67CDC">
      <w:pPr>
        <w:rPr>
          <w:b/>
          <w:sz w:val="24"/>
          <w:szCs w:val="24"/>
        </w:rPr>
      </w:pPr>
      <w:r w:rsidRPr="001B0290">
        <w:rPr>
          <w:b/>
          <w:sz w:val="24"/>
          <w:szCs w:val="24"/>
        </w:rPr>
        <w:t xml:space="preserve">Ginebra, </w:t>
      </w:r>
      <w:r w:rsidR="008D4E17">
        <w:rPr>
          <w:b/>
          <w:sz w:val="24"/>
          <w:szCs w:val="24"/>
        </w:rPr>
        <w:t>26 a 29 de mayo</w:t>
      </w:r>
      <w:r w:rsidRPr="001B0290">
        <w:rPr>
          <w:b/>
          <w:sz w:val="24"/>
          <w:szCs w:val="24"/>
        </w:rPr>
        <w:t xml:space="preserve"> de 201</w:t>
      </w:r>
      <w:r w:rsidR="008D4E17">
        <w:rPr>
          <w:b/>
          <w:sz w:val="24"/>
          <w:szCs w:val="24"/>
        </w:rPr>
        <w:t>5</w:t>
      </w:r>
    </w:p>
    <w:p w:rsidR="008B2CC1" w:rsidRPr="001B0290" w:rsidRDefault="008B2CC1" w:rsidP="008B2CC1"/>
    <w:p w:rsidR="008B2CC1" w:rsidRPr="001B0290" w:rsidRDefault="008B2CC1" w:rsidP="008B2CC1"/>
    <w:p w:rsidR="008B2CC1" w:rsidRPr="001B0290" w:rsidRDefault="008B2CC1" w:rsidP="008B2CC1"/>
    <w:p w:rsidR="000D3D2F" w:rsidRPr="001B0290" w:rsidRDefault="000D3D2F" w:rsidP="008B2CC1"/>
    <w:p w:rsidR="00F00322" w:rsidRPr="001B0290" w:rsidRDefault="00F00322" w:rsidP="00F00322">
      <w:pPr>
        <w:rPr>
          <w:caps/>
          <w:sz w:val="24"/>
        </w:rPr>
      </w:pPr>
      <w:r w:rsidRPr="001B0290">
        <w:rPr>
          <w:sz w:val="24"/>
        </w:rPr>
        <w:t>NORMA</w:t>
      </w:r>
      <w:r w:rsidR="00CC261D">
        <w:rPr>
          <w:sz w:val="24"/>
        </w:rPr>
        <w:t xml:space="preserve"> TÉCNICA </w:t>
      </w:r>
      <w:r w:rsidRPr="001B0290">
        <w:rPr>
          <w:sz w:val="24"/>
        </w:rPr>
        <w:t>SOBRE LISTAS DE SECUENCIAS</w:t>
      </w:r>
      <w:r w:rsidR="00BC114A">
        <w:rPr>
          <w:sz w:val="24"/>
        </w:rPr>
        <w:t xml:space="preserve"> EN VIRTUD DEL PCT</w:t>
      </w:r>
    </w:p>
    <w:p w:rsidR="00F00322" w:rsidRPr="001B0290" w:rsidRDefault="00F00322" w:rsidP="00F00322"/>
    <w:p w:rsidR="00F00322" w:rsidRPr="001B0290" w:rsidRDefault="00F00322" w:rsidP="00F00322">
      <w:pPr>
        <w:rPr>
          <w:i/>
        </w:rPr>
      </w:pPr>
      <w:bookmarkStart w:id="3" w:name="Prepared"/>
      <w:bookmarkEnd w:id="3"/>
      <w:r w:rsidRPr="001B0290">
        <w:rPr>
          <w:i/>
        </w:rPr>
        <w:t>Documento preparado por la Oficina</w:t>
      </w:r>
      <w:r w:rsidR="00DA1CBD">
        <w:rPr>
          <w:i/>
        </w:rPr>
        <w:t xml:space="preserve"> Europea de Patentes</w:t>
      </w:r>
    </w:p>
    <w:p w:rsidR="00F00322" w:rsidRPr="001B0290" w:rsidRDefault="00F00322" w:rsidP="00F00322"/>
    <w:p w:rsidR="00F00322" w:rsidRPr="001B0290" w:rsidRDefault="00F00322" w:rsidP="00F00322"/>
    <w:p w:rsidR="00F00322" w:rsidRPr="001B0290" w:rsidRDefault="00F00322" w:rsidP="00F00322"/>
    <w:p w:rsidR="00F00322" w:rsidRPr="001B0290" w:rsidRDefault="00F00322" w:rsidP="00F00322"/>
    <w:p w:rsidR="00F00322" w:rsidRPr="001B0290" w:rsidRDefault="00DA1CBD" w:rsidP="00F00322">
      <w:pPr>
        <w:pStyle w:val="ONUME"/>
      </w:pPr>
      <w:r>
        <w:t>En e</w:t>
      </w:r>
      <w:r w:rsidR="00505AAB" w:rsidRPr="001B0290">
        <w:t xml:space="preserve">l Anexo del presente documento </w:t>
      </w:r>
      <w:r>
        <w:t xml:space="preserve">consta un informe preparado por la Oficina Europea de Patentes (OEP) sobre la labor del Equipo </w:t>
      </w:r>
      <w:r w:rsidR="00E86D91">
        <w:t xml:space="preserve">Técnico </w:t>
      </w:r>
      <w:r>
        <w:t>sobre listas de secuencia</w:t>
      </w:r>
      <w:r w:rsidR="00E86D91">
        <w:t>s</w:t>
      </w:r>
      <w:r>
        <w:t>, creado por el Comité de la OMPI de Normas Técnicas (CWS) en su primera sesión</w:t>
      </w:r>
      <w:r w:rsidR="00E86D91">
        <w:t>,</w:t>
      </w:r>
      <w:r>
        <w:t xml:space="preserve"> en octubre de 2010.</w:t>
      </w:r>
    </w:p>
    <w:p w:rsidR="00F00322" w:rsidRPr="001B0290" w:rsidRDefault="00F00322" w:rsidP="00DA1CBD">
      <w:pPr>
        <w:pStyle w:val="ONUME"/>
        <w:widowControl w:val="0"/>
        <w:tabs>
          <w:tab w:val="left" w:pos="6096"/>
        </w:tabs>
        <w:ind w:left="5533"/>
        <w:rPr>
          <w:i/>
        </w:rPr>
      </w:pPr>
      <w:r w:rsidRPr="001B0290">
        <w:rPr>
          <w:i/>
        </w:rPr>
        <w:t xml:space="preserve">Se invita al Grupo de Trabajo a tomar nota del contenido del </w:t>
      </w:r>
      <w:r w:rsidR="00DA1CBD">
        <w:rPr>
          <w:i/>
        </w:rPr>
        <w:t xml:space="preserve">Anexo del </w:t>
      </w:r>
      <w:r w:rsidRPr="001B0290">
        <w:rPr>
          <w:i/>
        </w:rPr>
        <w:t>presente documento.</w:t>
      </w:r>
    </w:p>
    <w:p w:rsidR="00F00322" w:rsidRPr="001B0290" w:rsidRDefault="00F00322" w:rsidP="004A1D52">
      <w:pPr>
        <w:pStyle w:val="ONUME"/>
        <w:widowControl w:val="0"/>
        <w:numPr>
          <w:ilvl w:val="0"/>
          <w:numId w:val="0"/>
        </w:numPr>
        <w:ind w:left="5533"/>
        <w:rPr>
          <w:i/>
        </w:rPr>
      </w:pPr>
    </w:p>
    <w:p w:rsidR="00F00322" w:rsidRPr="001B0290" w:rsidRDefault="00F00322" w:rsidP="004A1D52">
      <w:pPr>
        <w:pStyle w:val="Endofdocument-Annex"/>
        <w:widowControl w:val="0"/>
        <w:rPr>
          <w:lang w:val="es-ES"/>
        </w:rPr>
        <w:sectPr w:rsidR="00F00322" w:rsidRPr="001B0290" w:rsidSect="009B53EE">
          <w:headerReference w:type="default" r:id="rId10"/>
          <w:endnotePr>
            <w:numFmt w:val="decimal"/>
          </w:endnotePr>
          <w:pgSz w:w="11907" w:h="16840" w:code="9"/>
          <w:pgMar w:top="567" w:right="1134" w:bottom="1418" w:left="1418" w:header="510" w:footer="1021" w:gutter="0"/>
          <w:cols w:space="720"/>
          <w:titlePg/>
          <w:docGrid w:linePitch="299"/>
        </w:sectPr>
      </w:pPr>
      <w:r w:rsidRPr="001B0290">
        <w:rPr>
          <w:lang w:val="es-ES"/>
        </w:rPr>
        <w:t>[Sigue el Anexo]</w:t>
      </w:r>
    </w:p>
    <w:p w:rsidR="00F00322" w:rsidRPr="001B0290" w:rsidRDefault="00DA1CBD" w:rsidP="00DA1CBD">
      <w:pPr>
        <w:jc w:val="center"/>
        <w:rPr>
          <w:caps/>
          <w:sz w:val="24"/>
        </w:rPr>
      </w:pPr>
      <w:r>
        <w:rPr>
          <w:sz w:val="24"/>
        </w:rPr>
        <w:lastRenderedPageBreak/>
        <w:t>INFORME SOBRE LA PREPARACIÓN DE UNA N</w:t>
      </w:r>
      <w:r w:rsidR="00D75281" w:rsidRPr="001B0290">
        <w:rPr>
          <w:sz w:val="24"/>
        </w:rPr>
        <w:t xml:space="preserve">UEVA NORMA </w:t>
      </w:r>
      <w:r w:rsidR="00AA789B">
        <w:rPr>
          <w:sz w:val="24"/>
        </w:rPr>
        <w:t xml:space="preserve">TÉCNICA </w:t>
      </w:r>
      <w:r>
        <w:rPr>
          <w:sz w:val="24"/>
        </w:rPr>
        <w:br/>
      </w:r>
      <w:r w:rsidR="00D75281" w:rsidRPr="001B0290">
        <w:rPr>
          <w:sz w:val="24"/>
        </w:rPr>
        <w:t xml:space="preserve">DE LA OMPI SOBRE LA PRESENTACIÓN DE LISTAS DE SECUENCIAS </w:t>
      </w:r>
      <w:r>
        <w:rPr>
          <w:sz w:val="24"/>
        </w:rPr>
        <w:br/>
      </w:r>
      <w:r w:rsidR="00D75281" w:rsidRPr="001B0290">
        <w:rPr>
          <w:sz w:val="24"/>
        </w:rPr>
        <w:t xml:space="preserve">DE NUCLEÓTIDOS Y AMINOÁCIDOS EN LENGUAJE EXTENSIBLE </w:t>
      </w:r>
      <w:r>
        <w:rPr>
          <w:sz w:val="24"/>
        </w:rPr>
        <w:br/>
      </w:r>
      <w:r w:rsidR="00D75281" w:rsidRPr="001B0290">
        <w:rPr>
          <w:sz w:val="24"/>
        </w:rPr>
        <w:t>DE MARCADO (XML)</w:t>
      </w:r>
    </w:p>
    <w:p w:rsidR="00F00322" w:rsidRPr="001B0290" w:rsidRDefault="00F00322" w:rsidP="00F00322"/>
    <w:p w:rsidR="00DA1CBD" w:rsidRPr="005A4977" w:rsidRDefault="00DA1CBD" w:rsidP="00F00322">
      <w:pPr>
        <w:rPr>
          <w:b/>
        </w:rPr>
      </w:pPr>
      <w:r w:rsidRPr="00DA1CBD">
        <w:rPr>
          <w:b/>
        </w:rPr>
        <w:t>ANTECEDENTES</w:t>
      </w:r>
    </w:p>
    <w:p w:rsidR="009B53EE" w:rsidRDefault="00F00322" w:rsidP="00F00322">
      <w:pPr>
        <w:pStyle w:val="ONUME"/>
        <w:numPr>
          <w:ilvl w:val="0"/>
          <w:numId w:val="10"/>
        </w:numPr>
      </w:pPr>
      <w:r w:rsidRPr="001B0290">
        <w:t xml:space="preserve">El </w:t>
      </w:r>
      <w:r w:rsidR="009B53EE">
        <w:t xml:space="preserve">Equipo </w:t>
      </w:r>
      <w:r w:rsidR="00E86D91">
        <w:t xml:space="preserve">Técnico </w:t>
      </w:r>
      <w:r w:rsidR="009B53EE">
        <w:t xml:space="preserve">sobre listas de secuencias fue creado por el </w:t>
      </w:r>
      <w:r w:rsidRPr="001B0290">
        <w:t>Comité</w:t>
      </w:r>
      <w:r w:rsidR="009B53EE">
        <w:t xml:space="preserve"> de la OMPI</w:t>
      </w:r>
      <w:r w:rsidRPr="001B0290">
        <w:t xml:space="preserve"> de Normas Técnicas </w:t>
      </w:r>
      <w:r w:rsidR="009B53EE">
        <w:t>(CWS)</w:t>
      </w:r>
      <w:r w:rsidRPr="001B0290">
        <w:t xml:space="preserve"> en su primera sesión</w:t>
      </w:r>
      <w:r w:rsidR="009B53EE">
        <w:t xml:space="preserve"> (25 a 29 de</w:t>
      </w:r>
      <w:r w:rsidRPr="001B0290">
        <w:t xml:space="preserve"> octubre de 2010</w:t>
      </w:r>
      <w:r w:rsidR="009B53EE">
        <w:t>)</w:t>
      </w:r>
      <w:r w:rsidRPr="001B0290">
        <w:t>,</w:t>
      </w:r>
      <w:r w:rsidR="009B53EE">
        <w:t xml:space="preserve"> para ocuparse de</w:t>
      </w:r>
      <w:r w:rsidRPr="001B0290">
        <w:t xml:space="preserve"> la Tarea Nº 44</w:t>
      </w:r>
      <w:r w:rsidR="009B53EE">
        <w:t xml:space="preserve"> (véase el párrafo 29 del documento CWS/1/10):</w:t>
      </w:r>
    </w:p>
    <w:p w:rsidR="009B53EE" w:rsidRDefault="00833D0E" w:rsidP="00833D0E">
      <w:pPr>
        <w:pStyle w:val="ONUME"/>
        <w:numPr>
          <w:ilvl w:val="0"/>
          <w:numId w:val="0"/>
        </w:numPr>
        <w:ind w:left="567"/>
      </w:pPr>
      <w:r>
        <w:t>“</w:t>
      </w:r>
      <w:r w:rsidRPr="00855161">
        <w:t>Preparar una recomendación sobre la presentación de listas de secuencias de nucleótidos y aminoácidos en lenguaje extensible de marcado (XML) para su adopción como norma técnica de la OMPI.  La propuesta de nueva norma técnica de la OMPI se presentará junto con un informe sobre la incidencia de dicha norma en la actual Norma ST.25 de la OMPI, incluyendo propuestas de los cambios que sea necesario introducir en la Norma ST.25”</w:t>
      </w:r>
      <w:r>
        <w:t>.</w:t>
      </w:r>
    </w:p>
    <w:p w:rsidR="00833D0E" w:rsidRDefault="00F00322" w:rsidP="00F00322">
      <w:pPr>
        <w:pStyle w:val="ONUME"/>
        <w:numPr>
          <w:ilvl w:val="0"/>
          <w:numId w:val="10"/>
        </w:numPr>
      </w:pPr>
      <w:r w:rsidRPr="001B0290">
        <w:t xml:space="preserve"> </w:t>
      </w:r>
      <w:r w:rsidR="00833D0E">
        <w:t xml:space="preserve">Al Equipo </w:t>
      </w:r>
      <w:r w:rsidR="00E86D91">
        <w:t xml:space="preserve">Técnico </w:t>
      </w:r>
      <w:r w:rsidR="00833D0E">
        <w:t>también se le encomendó:</w:t>
      </w:r>
    </w:p>
    <w:p w:rsidR="00833D0E" w:rsidRDefault="00833D0E" w:rsidP="00833D0E">
      <w:pPr>
        <w:pStyle w:val="ONUME"/>
        <w:numPr>
          <w:ilvl w:val="0"/>
          <w:numId w:val="0"/>
        </w:numPr>
        <w:ind w:left="567"/>
      </w:pPr>
      <w:r>
        <w:t>“</w:t>
      </w:r>
      <w:r w:rsidR="00B824E0">
        <w:t xml:space="preserve">… </w:t>
      </w:r>
      <w:r>
        <w:t xml:space="preserve">que </w:t>
      </w:r>
      <w:r w:rsidRPr="00855161">
        <w:t>establezca contacto con el órgano pertinente del PCT teniendo en cuenta la posible incidencia de la nueva norma en el Anexo C de las Instrucciones Administrativas del PCT</w:t>
      </w:r>
      <w:r>
        <w:t>”.</w:t>
      </w:r>
    </w:p>
    <w:p w:rsidR="00B824E0" w:rsidRDefault="00E86D91" w:rsidP="00F00322">
      <w:pPr>
        <w:pStyle w:val="ONUME"/>
        <w:numPr>
          <w:ilvl w:val="0"/>
          <w:numId w:val="10"/>
        </w:numPr>
      </w:pPr>
      <w:r w:rsidRPr="001B0290">
        <w:t xml:space="preserve">Se asignó a la Oficina Europea de Patentes (OEP) la función de responsable del Equipo Técnico </w:t>
      </w:r>
      <w:r w:rsidR="00B824E0">
        <w:t xml:space="preserve">y, desde entonces, ha mantenido siete rondas de debates en el foro electrónico del Equipo técnico, y ha sometido a consulta pública un proyecto de texto definitivo.  </w:t>
      </w:r>
      <w:r w:rsidRPr="001B0290">
        <w:t>Se llegó a un acuerdo sobre el principio de diferenciar los aspectos técnicos de la Norma ST.25 del Anexo C (Instrucciones Administrativas del PCT) en la decimoctava Reunión de las Administraciones Internacionales del PCT en febrero de 2011 (véanse los párrafos 88 a 92 del documento PCT/MIA/18/16) y en la cuarta reunión del Grupo de Trabajo del PCT en junio de 2011 (véanse los párrafos 180 a 188 del documento PCT/WG/4/17).</w:t>
      </w:r>
      <w:r w:rsidR="00B824E0">
        <w:t xml:space="preserve"> </w:t>
      </w:r>
    </w:p>
    <w:p w:rsidR="00E86D91" w:rsidRPr="00E86D91" w:rsidRDefault="00E86D91" w:rsidP="00E86D91">
      <w:pPr>
        <w:rPr>
          <w:b/>
        </w:rPr>
      </w:pPr>
      <w:r w:rsidRPr="00E86D91">
        <w:rPr>
          <w:b/>
        </w:rPr>
        <w:t>INFORME SOBRE LA MARCHA DE LA LABOR</w:t>
      </w:r>
    </w:p>
    <w:p w:rsidR="00E86D91" w:rsidRPr="001B0290" w:rsidRDefault="00E86D91" w:rsidP="00E86D91">
      <w:pPr>
        <w:pStyle w:val="ONUME"/>
        <w:numPr>
          <w:ilvl w:val="0"/>
          <w:numId w:val="10"/>
        </w:numPr>
      </w:pPr>
      <w:r w:rsidRPr="001B0290">
        <w:t xml:space="preserve">El Equipo Técnico inició su </w:t>
      </w:r>
      <w:r>
        <w:t>labor</w:t>
      </w:r>
      <w:r w:rsidRPr="001B0290">
        <w:t xml:space="preserve"> en febrero de 2011 basándose en los borradores preparados por la OEP.  Muchas Oficinas participaron en el proceso publicando útiles comentarios en el </w:t>
      </w:r>
      <w:r>
        <w:t>foro electrónico del Equipo Técnico</w:t>
      </w:r>
      <w:r w:rsidRPr="001B0290">
        <w:t>.</w:t>
      </w:r>
    </w:p>
    <w:p w:rsidR="00E86D91" w:rsidRPr="001B0290" w:rsidRDefault="00E86D91" w:rsidP="00E86D91">
      <w:pPr>
        <w:pStyle w:val="ONUME"/>
        <w:numPr>
          <w:ilvl w:val="0"/>
          <w:numId w:val="10"/>
        </w:numPr>
      </w:pPr>
      <w:r w:rsidRPr="001B0290">
        <w:t xml:space="preserve">En marzo de 2012, el Equipo Técnico finalizó un proyecto de norma </w:t>
      </w:r>
      <w:r>
        <w:t xml:space="preserve">para </w:t>
      </w:r>
      <w:r w:rsidRPr="001B0290">
        <w:t xml:space="preserve">que las oficinas </w:t>
      </w:r>
      <w:r>
        <w:t>lo utilizaran en las</w:t>
      </w:r>
      <w:r w:rsidRPr="001B0290">
        <w:t xml:space="preserve"> consultas con sus usuarios respectivos.  Se plantearon varias cuestiones importantes en los comentarios públicos </w:t>
      </w:r>
      <w:r>
        <w:t>que fueron abordadas</w:t>
      </w:r>
      <w:r w:rsidRPr="001B0290">
        <w:t xml:space="preserve"> en cooperación con los proveedores de bases de datos DDBJ, EBI, NCBI.</w:t>
      </w:r>
    </w:p>
    <w:p w:rsidR="00F846DD" w:rsidRDefault="00F00322" w:rsidP="00996CCA">
      <w:pPr>
        <w:pStyle w:val="ONUME"/>
      </w:pPr>
      <w:r w:rsidRPr="001B0290">
        <w:t xml:space="preserve">La sexta ronda de debates </w:t>
      </w:r>
      <w:r w:rsidR="002B5F82">
        <w:t>culmin</w:t>
      </w:r>
      <w:r w:rsidRPr="001B0290">
        <w:t xml:space="preserve">ó en septiembre de 2013 </w:t>
      </w:r>
      <w:r w:rsidR="002B5F82">
        <w:t>con la versión definitiva de la norma técnica para la “Presentación de listas de secuencias de nucleótidos y aminoácidos en lenguaje extensible de marcado (XML)”, bautizada como Norma ST.26, la que fue sometida a examen y aprobación en la cuarta sesión del CWS, celebrada en mayo de 2014.</w:t>
      </w:r>
    </w:p>
    <w:p w:rsidR="00F846DD" w:rsidRDefault="00F846DD" w:rsidP="00996CCA">
      <w:pPr>
        <w:pStyle w:val="ONUME"/>
      </w:pPr>
      <w:r>
        <w:t>La Norma ST.26 de la OMPI fue aprobada oficiosamente por el CWS en su cuarta sesión, pero dicha sesión tuvo que ser aplazada al no haberse alcanzado un acuerdo sobre el orden del día.  Cabe esperar que se logre la aprobación oficial de la norma técnica cuando se reanude la cuarta sesión.</w:t>
      </w:r>
    </w:p>
    <w:p w:rsidR="00F846DD" w:rsidRDefault="00F846DD" w:rsidP="00996CCA">
      <w:pPr>
        <w:pStyle w:val="ONUME"/>
      </w:pPr>
      <w:r>
        <w:t>En 2014 el Equipo Técnico mantuvo la séptima ronda de debates, centrándose en cuestiones de transición (ST.25 y ST.26).</w:t>
      </w:r>
    </w:p>
    <w:p w:rsidR="00F846DD" w:rsidRPr="00F846DD" w:rsidRDefault="00F846DD" w:rsidP="005A4977">
      <w:pPr>
        <w:pStyle w:val="Heading1"/>
      </w:pPr>
      <w:r w:rsidRPr="00F846DD">
        <w:lastRenderedPageBreak/>
        <w:t>HOJA DE RUTA</w:t>
      </w:r>
    </w:p>
    <w:p w:rsidR="00F846DD" w:rsidRDefault="00F846DD" w:rsidP="00996CCA">
      <w:pPr>
        <w:pStyle w:val="ONUME"/>
      </w:pPr>
      <w:r>
        <w:t>Lograr la aprobación oficial de la Nor</w:t>
      </w:r>
      <w:bookmarkStart w:id="4" w:name="_GoBack"/>
      <w:bookmarkEnd w:id="4"/>
      <w:r>
        <w:t>ma ST.26 cuando se reanude la cuarta sesión del CWS.</w:t>
      </w:r>
    </w:p>
    <w:p w:rsidR="00F00322" w:rsidRDefault="00F846DD" w:rsidP="00F846DD">
      <w:pPr>
        <w:pStyle w:val="ONUME"/>
      </w:pPr>
      <w:r>
        <w:t>Proseguir con la séptima ronda de debates con miras a finalizar la evaluación técnica de la transición de</w:t>
      </w:r>
      <w:r w:rsidR="00F00322" w:rsidRPr="001B0290">
        <w:t xml:space="preserve"> la Norma ST.25 a la Norma ST.26.</w:t>
      </w:r>
    </w:p>
    <w:p w:rsidR="00F846DD" w:rsidRPr="001B0290" w:rsidRDefault="00F846DD" w:rsidP="00F846DD">
      <w:pPr>
        <w:pStyle w:val="ONUME"/>
      </w:pPr>
      <w:r>
        <w:t>Completar la evaluación técnica de la transición de la Norma ST. 25 a la Norma ST.26 y someterla al CWS en 2016/17 para su examen y aprobación.</w:t>
      </w:r>
    </w:p>
    <w:p w:rsidR="00F00322" w:rsidRPr="001B0290" w:rsidRDefault="00F00322" w:rsidP="00F00322"/>
    <w:p w:rsidR="00F00322" w:rsidRPr="001B0290" w:rsidRDefault="00F00322" w:rsidP="00F00322"/>
    <w:p w:rsidR="00F00322" w:rsidRPr="001B0290" w:rsidRDefault="00F00322" w:rsidP="00F00322">
      <w:pPr>
        <w:pStyle w:val="Endofdocument-Annex"/>
        <w:rPr>
          <w:szCs w:val="22"/>
          <w:lang w:val="es-ES"/>
        </w:rPr>
      </w:pPr>
      <w:r w:rsidRPr="001B0290">
        <w:rPr>
          <w:szCs w:val="22"/>
          <w:lang w:val="es-ES"/>
        </w:rPr>
        <w:t>[Fin del Anexo y del documento]</w:t>
      </w:r>
    </w:p>
    <w:p w:rsidR="00F00322" w:rsidRPr="001B0290" w:rsidRDefault="00F00322" w:rsidP="00F00322">
      <w:pPr>
        <w:pStyle w:val="Endofdocument-Annex"/>
        <w:ind w:left="0"/>
        <w:rPr>
          <w:lang w:val="es-ES"/>
        </w:rPr>
      </w:pPr>
    </w:p>
    <w:p w:rsidR="00F00322" w:rsidRPr="001B0290" w:rsidRDefault="00F00322" w:rsidP="00F00322"/>
    <w:p w:rsidR="000D3D2F" w:rsidRPr="001B0290" w:rsidRDefault="000D3D2F" w:rsidP="008B2CC1"/>
    <w:sectPr w:rsidR="000D3D2F" w:rsidRPr="001B0290" w:rsidSect="00EE209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63" w:rsidRDefault="00AD0263">
      <w:r>
        <w:separator/>
      </w:r>
    </w:p>
  </w:endnote>
  <w:endnote w:type="continuationSeparator" w:id="0">
    <w:p w:rsidR="00AD0263" w:rsidRPr="009D30E6" w:rsidRDefault="00AD0263" w:rsidP="007E663E">
      <w:pPr>
        <w:rPr>
          <w:sz w:val="17"/>
          <w:szCs w:val="17"/>
        </w:rPr>
      </w:pPr>
      <w:r w:rsidRPr="009D30E6">
        <w:rPr>
          <w:sz w:val="17"/>
          <w:szCs w:val="17"/>
        </w:rPr>
        <w:separator/>
      </w:r>
    </w:p>
    <w:p w:rsidR="00AD0263" w:rsidRPr="007E663E" w:rsidRDefault="00AD0263" w:rsidP="007E663E">
      <w:pPr>
        <w:spacing w:after="60"/>
        <w:rPr>
          <w:sz w:val="17"/>
          <w:szCs w:val="17"/>
        </w:rPr>
      </w:pPr>
      <w:r>
        <w:rPr>
          <w:sz w:val="17"/>
        </w:rPr>
        <w:t>[Continuación de la nota de la página anterior]</w:t>
      </w:r>
    </w:p>
  </w:endnote>
  <w:endnote w:type="continuationNotice" w:id="1">
    <w:p w:rsidR="00AD0263" w:rsidRPr="007E663E" w:rsidRDefault="00AD026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63" w:rsidRDefault="00AD0263">
      <w:r>
        <w:separator/>
      </w:r>
    </w:p>
  </w:footnote>
  <w:footnote w:type="continuationSeparator" w:id="0">
    <w:p w:rsidR="00AD0263" w:rsidRPr="009D30E6" w:rsidRDefault="00AD0263" w:rsidP="007E663E">
      <w:pPr>
        <w:rPr>
          <w:sz w:val="17"/>
          <w:szCs w:val="17"/>
        </w:rPr>
      </w:pPr>
      <w:r w:rsidRPr="009D30E6">
        <w:rPr>
          <w:sz w:val="17"/>
          <w:szCs w:val="17"/>
        </w:rPr>
        <w:separator/>
      </w:r>
    </w:p>
    <w:p w:rsidR="00AD0263" w:rsidRPr="007E663E" w:rsidRDefault="00AD0263" w:rsidP="007E663E">
      <w:pPr>
        <w:spacing w:after="60"/>
        <w:rPr>
          <w:sz w:val="17"/>
          <w:szCs w:val="17"/>
        </w:rPr>
      </w:pPr>
      <w:r>
        <w:rPr>
          <w:sz w:val="17"/>
        </w:rPr>
        <w:t>[Continuación de la nota de la página anterior]</w:t>
      </w:r>
    </w:p>
  </w:footnote>
  <w:footnote w:type="continuationNotice" w:id="1">
    <w:p w:rsidR="00AD0263" w:rsidRPr="007E663E" w:rsidRDefault="00AD026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D" w:rsidRPr="00D75281" w:rsidRDefault="00F846DD" w:rsidP="009B53EE">
    <w:pPr>
      <w:jc w:val="right"/>
    </w:pPr>
    <w:r w:rsidRPr="00D75281">
      <w:rPr>
        <w:lang w:val="es-ES_tradnl"/>
      </w:rPr>
      <w:t>PCT/WG/7/9</w:t>
    </w:r>
  </w:p>
  <w:p w:rsidR="00F846DD" w:rsidRDefault="00F846DD" w:rsidP="009B53EE">
    <w:pPr>
      <w:jc w:val="right"/>
    </w:pPr>
    <w:r w:rsidRPr="00D75281">
      <w:rPr>
        <w:lang w:val="es-ES_tradnl"/>
      </w:rPr>
      <w:t xml:space="preserve">página </w:t>
    </w:r>
    <w:r>
      <w:fldChar w:fldCharType="begin"/>
    </w:r>
    <w:r>
      <w:instrText xml:space="preserve"> PAGE  \* MERGEFORMAT </w:instrText>
    </w:r>
    <w:r>
      <w:fldChar w:fldCharType="separate"/>
    </w:r>
    <w:r>
      <w:rPr>
        <w:noProof/>
      </w:rPr>
      <w:t>2</w:t>
    </w:r>
    <w:r>
      <w:fldChar w:fldCharType="end"/>
    </w:r>
  </w:p>
  <w:p w:rsidR="00F846DD" w:rsidRDefault="00F846D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D" w:rsidRDefault="00F846DD" w:rsidP="00477D6B">
    <w:pPr>
      <w:jc w:val="right"/>
    </w:pPr>
    <w:bookmarkStart w:id="5" w:name="Code2"/>
    <w:bookmarkEnd w:id="5"/>
    <w:r>
      <w:t>PCT/WG/</w:t>
    </w:r>
    <w:r w:rsidR="00EE209F">
      <w:t>8</w:t>
    </w:r>
    <w:r>
      <w:t>/</w:t>
    </w:r>
    <w:r w:rsidR="00EE209F">
      <w:t>13</w:t>
    </w:r>
  </w:p>
  <w:p w:rsidR="00F846DD" w:rsidRDefault="00F846DD" w:rsidP="00477D6B">
    <w:pPr>
      <w:jc w:val="right"/>
    </w:pPr>
    <w:r>
      <w:t xml:space="preserve">Anexo, página </w:t>
    </w:r>
    <w:r>
      <w:fldChar w:fldCharType="begin"/>
    </w:r>
    <w:r>
      <w:instrText xml:space="preserve"> PAGE  \* MERGEFORMAT </w:instrText>
    </w:r>
    <w:r>
      <w:fldChar w:fldCharType="separate"/>
    </w:r>
    <w:r w:rsidR="005A4977">
      <w:rPr>
        <w:noProof/>
      </w:rPr>
      <w:t>2</w:t>
    </w:r>
    <w:r>
      <w:fldChar w:fldCharType="end"/>
    </w:r>
  </w:p>
  <w:p w:rsidR="00F846DD" w:rsidRDefault="00F846DD" w:rsidP="00477D6B">
    <w:pPr>
      <w:jc w:val="right"/>
    </w:pPr>
  </w:p>
  <w:p w:rsidR="00F846DD" w:rsidRDefault="00F846D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DD" w:rsidRDefault="00F846DD" w:rsidP="009B53EE">
    <w:pPr>
      <w:pStyle w:val="Header"/>
      <w:jc w:val="right"/>
    </w:pPr>
    <w:r>
      <w:t>PCT/WG/</w:t>
    </w:r>
    <w:r w:rsidR="00EE209F">
      <w:t>8</w:t>
    </w:r>
    <w:r>
      <w:t>/</w:t>
    </w:r>
    <w:r w:rsidR="00EE209F">
      <w:t>13</w:t>
    </w:r>
  </w:p>
  <w:p w:rsidR="00F846DD" w:rsidRDefault="00EE209F" w:rsidP="009B53EE">
    <w:pPr>
      <w:pStyle w:val="Header"/>
      <w:jc w:val="right"/>
      <w:rPr>
        <w:noProof/>
      </w:rPr>
    </w:pPr>
    <w:r>
      <w:t>ANEXO</w:t>
    </w:r>
  </w:p>
  <w:p w:rsidR="00F846DD" w:rsidRDefault="00F846DD" w:rsidP="009B53EE">
    <w:pPr>
      <w:pStyle w:val="Header"/>
      <w:jc w:val="right"/>
      <w:rPr>
        <w:noProof/>
      </w:rPr>
    </w:pPr>
  </w:p>
  <w:p w:rsidR="00F846DD" w:rsidRDefault="00F846DD" w:rsidP="009B53E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CF96598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D11C28"/>
    <w:multiLevelType w:val="multilevel"/>
    <w:tmpl w:val="C8EEED6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9AD2465"/>
    <w:multiLevelType w:val="hybridMultilevel"/>
    <w:tmpl w:val="080ACE0A"/>
    <w:lvl w:ilvl="0" w:tplc="B2B080DC">
      <w:start w:val="1"/>
      <w:numFmt w:val="lowerRoman"/>
      <w:lvlText w:val="%1)"/>
      <w:lvlJc w:val="left"/>
      <w:pPr>
        <w:ind w:left="6532" w:hanging="720"/>
      </w:pPr>
      <w:rPr>
        <w:rFonts w:hint="default"/>
      </w:rPr>
    </w:lvl>
    <w:lvl w:ilvl="1" w:tplc="0C0A0019" w:tentative="1">
      <w:start w:val="1"/>
      <w:numFmt w:val="lowerLetter"/>
      <w:lvlText w:val="%2."/>
      <w:lvlJc w:val="left"/>
      <w:pPr>
        <w:ind w:left="6892" w:hanging="360"/>
      </w:pPr>
    </w:lvl>
    <w:lvl w:ilvl="2" w:tplc="0C0A001B" w:tentative="1">
      <w:start w:val="1"/>
      <w:numFmt w:val="lowerRoman"/>
      <w:lvlText w:val="%3."/>
      <w:lvlJc w:val="right"/>
      <w:pPr>
        <w:ind w:left="7612" w:hanging="180"/>
      </w:pPr>
    </w:lvl>
    <w:lvl w:ilvl="3" w:tplc="0C0A000F" w:tentative="1">
      <w:start w:val="1"/>
      <w:numFmt w:val="decimal"/>
      <w:lvlText w:val="%4."/>
      <w:lvlJc w:val="left"/>
      <w:pPr>
        <w:ind w:left="8332" w:hanging="360"/>
      </w:pPr>
    </w:lvl>
    <w:lvl w:ilvl="4" w:tplc="0C0A0019" w:tentative="1">
      <w:start w:val="1"/>
      <w:numFmt w:val="lowerLetter"/>
      <w:lvlText w:val="%5."/>
      <w:lvlJc w:val="left"/>
      <w:pPr>
        <w:ind w:left="9052" w:hanging="360"/>
      </w:pPr>
    </w:lvl>
    <w:lvl w:ilvl="5" w:tplc="0C0A001B" w:tentative="1">
      <w:start w:val="1"/>
      <w:numFmt w:val="lowerRoman"/>
      <w:lvlText w:val="%6."/>
      <w:lvlJc w:val="right"/>
      <w:pPr>
        <w:ind w:left="9772" w:hanging="180"/>
      </w:pPr>
    </w:lvl>
    <w:lvl w:ilvl="6" w:tplc="0C0A000F" w:tentative="1">
      <w:start w:val="1"/>
      <w:numFmt w:val="decimal"/>
      <w:lvlText w:val="%7."/>
      <w:lvlJc w:val="left"/>
      <w:pPr>
        <w:ind w:left="10492" w:hanging="360"/>
      </w:pPr>
    </w:lvl>
    <w:lvl w:ilvl="7" w:tplc="0C0A0019" w:tentative="1">
      <w:start w:val="1"/>
      <w:numFmt w:val="lowerLetter"/>
      <w:lvlText w:val="%8."/>
      <w:lvlJc w:val="left"/>
      <w:pPr>
        <w:ind w:left="11212" w:hanging="360"/>
      </w:pPr>
    </w:lvl>
    <w:lvl w:ilvl="8" w:tplc="0C0A001B" w:tentative="1">
      <w:start w:val="1"/>
      <w:numFmt w:val="lowerRoman"/>
      <w:lvlText w:val="%9."/>
      <w:lvlJc w:val="right"/>
      <w:pPr>
        <w:ind w:left="11932"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FA"/>
    <w:rsid w:val="00003DA6"/>
    <w:rsid w:val="00010686"/>
    <w:rsid w:val="00024CDC"/>
    <w:rsid w:val="00026495"/>
    <w:rsid w:val="0004374E"/>
    <w:rsid w:val="000500E2"/>
    <w:rsid w:val="00052915"/>
    <w:rsid w:val="00073E0C"/>
    <w:rsid w:val="00074058"/>
    <w:rsid w:val="00081121"/>
    <w:rsid w:val="000A1308"/>
    <w:rsid w:val="000D3D2F"/>
    <w:rsid w:val="000E3BB3"/>
    <w:rsid w:val="000E402B"/>
    <w:rsid w:val="000F3B45"/>
    <w:rsid w:val="000F5E56"/>
    <w:rsid w:val="001362EE"/>
    <w:rsid w:val="00145ECA"/>
    <w:rsid w:val="00151116"/>
    <w:rsid w:val="00152CEA"/>
    <w:rsid w:val="00166BE0"/>
    <w:rsid w:val="00171328"/>
    <w:rsid w:val="00177FCF"/>
    <w:rsid w:val="001832A6"/>
    <w:rsid w:val="001845B6"/>
    <w:rsid w:val="001B0290"/>
    <w:rsid w:val="001D37EC"/>
    <w:rsid w:val="001F1D3B"/>
    <w:rsid w:val="001F3480"/>
    <w:rsid w:val="001F72A6"/>
    <w:rsid w:val="00206DBD"/>
    <w:rsid w:val="002111B4"/>
    <w:rsid w:val="00237FD8"/>
    <w:rsid w:val="002445DC"/>
    <w:rsid w:val="00247747"/>
    <w:rsid w:val="00253023"/>
    <w:rsid w:val="00253B16"/>
    <w:rsid w:val="0026328F"/>
    <w:rsid w:val="002634C4"/>
    <w:rsid w:val="00282869"/>
    <w:rsid w:val="00294909"/>
    <w:rsid w:val="002A20EA"/>
    <w:rsid w:val="002A64AB"/>
    <w:rsid w:val="002B0356"/>
    <w:rsid w:val="002B39F8"/>
    <w:rsid w:val="002B5F82"/>
    <w:rsid w:val="002C536A"/>
    <w:rsid w:val="002E0F47"/>
    <w:rsid w:val="002E7DDE"/>
    <w:rsid w:val="002F11EE"/>
    <w:rsid w:val="002F4E68"/>
    <w:rsid w:val="002F5313"/>
    <w:rsid w:val="00303933"/>
    <w:rsid w:val="00305107"/>
    <w:rsid w:val="00316AA4"/>
    <w:rsid w:val="00327419"/>
    <w:rsid w:val="00335DAC"/>
    <w:rsid w:val="00336776"/>
    <w:rsid w:val="00352DB0"/>
    <w:rsid w:val="003544FA"/>
    <w:rsid w:val="00354647"/>
    <w:rsid w:val="0035623E"/>
    <w:rsid w:val="00360BB6"/>
    <w:rsid w:val="00362087"/>
    <w:rsid w:val="00377273"/>
    <w:rsid w:val="003805EC"/>
    <w:rsid w:val="003845C1"/>
    <w:rsid w:val="00387287"/>
    <w:rsid w:val="003879F9"/>
    <w:rsid w:val="00394D7F"/>
    <w:rsid w:val="003C139A"/>
    <w:rsid w:val="003D3FF6"/>
    <w:rsid w:val="003E1569"/>
    <w:rsid w:val="003E1936"/>
    <w:rsid w:val="003E1E7A"/>
    <w:rsid w:val="003E48F1"/>
    <w:rsid w:val="003E5382"/>
    <w:rsid w:val="003E7505"/>
    <w:rsid w:val="003F347A"/>
    <w:rsid w:val="003F42E9"/>
    <w:rsid w:val="00404B1F"/>
    <w:rsid w:val="00407175"/>
    <w:rsid w:val="0042259E"/>
    <w:rsid w:val="00423E3E"/>
    <w:rsid w:val="00427AF4"/>
    <w:rsid w:val="00431614"/>
    <w:rsid w:val="00432101"/>
    <w:rsid w:val="0045231F"/>
    <w:rsid w:val="004647DA"/>
    <w:rsid w:val="00477808"/>
    <w:rsid w:val="00477D6B"/>
    <w:rsid w:val="00494A2F"/>
    <w:rsid w:val="00494F60"/>
    <w:rsid w:val="004A1D52"/>
    <w:rsid w:val="004A6C37"/>
    <w:rsid w:val="004C4F80"/>
    <w:rsid w:val="004D6668"/>
    <w:rsid w:val="004E297D"/>
    <w:rsid w:val="004E5062"/>
    <w:rsid w:val="004F55B6"/>
    <w:rsid w:val="00505AAB"/>
    <w:rsid w:val="00507E27"/>
    <w:rsid w:val="005332F0"/>
    <w:rsid w:val="00536829"/>
    <w:rsid w:val="0055013B"/>
    <w:rsid w:val="00571B99"/>
    <w:rsid w:val="005947AF"/>
    <w:rsid w:val="005A4977"/>
    <w:rsid w:val="005B56F3"/>
    <w:rsid w:val="005C26DC"/>
    <w:rsid w:val="005D3E24"/>
    <w:rsid w:val="005E459D"/>
    <w:rsid w:val="005E764C"/>
    <w:rsid w:val="006043FA"/>
    <w:rsid w:val="00605827"/>
    <w:rsid w:val="006176B3"/>
    <w:rsid w:val="00627775"/>
    <w:rsid w:val="00642780"/>
    <w:rsid w:val="00651D4D"/>
    <w:rsid w:val="00662878"/>
    <w:rsid w:val="00671F97"/>
    <w:rsid w:val="00675021"/>
    <w:rsid w:val="006838D3"/>
    <w:rsid w:val="00684784"/>
    <w:rsid w:val="006A06C6"/>
    <w:rsid w:val="006D25B3"/>
    <w:rsid w:val="006D555D"/>
    <w:rsid w:val="006F0BAF"/>
    <w:rsid w:val="006F65A8"/>
    <w:rsid w:val="00702CDD"/>
    <w:rsid w:val="007053E8"/>
    <w:rsid w:val="00721F44"/>
    <w:rsid w:val="007224C8"/>
    <w:rsid w:val="00760D72"/>
    <w:rsid w:val="00794BE2"/>
    <w:rsid w:val="007B71FE"/>
    <w:rsid w:val="007D070A"/>
    <w:rsid w:val="007D781E"/>
    <w:rsid w:val="007E0A36"/>
    <w:rsid w:val="007E0EF0"/>
    <w:rsid w:val="007E663E"/>
    <w:rsid w:val="007F6EF0"/>
    <w:rsid w:val="007F702E"/>
    <w:rsid w:val="00812302"/>
    <w:rsid w:val="00815082"/>
    <w:rsid w:val="00817C1E"/>
    <w:rsid w:val="00827D0C"/>
    <w:rsid w:val="00833D0E"/>
    <w:rsid w:val="008373CC"/>
    <w:rsid w:val="008418DF"/>
    <w:rsid w:val="00842390"/>
    <w:rsid w:val="00842BBC"/>
    <w:rsid w:val="00856E14"/>
    <w:rsid w:val="00864942"/>
    <w:rsid w:val="00872D42"/>
    <w:rsid w:val="00877CB6"/>
    <w:rsid w:val="0088395E"/>
    <w:rsid w:val="008B2CC1"/>
    <w:rsid w:val="008B30E1"/>
    <w:rsid w:val="008C56E7"/>
    <w:rsid w:val="008C65AE"/>
    <w:rsid w:val="008D4E17"/>
    <w:rsid w:val="008E6BD6"/>
    <w:rsid w:val="0090731E"/>
    <w:rsid w:val="009128FA"/>
    <w:rsid w:val="0092453C"/>
    <w:rsid w:val="009272BD"/>
    <w:rsid w:val="009372BD"/>
    <w:rsid w:val="00942337"/>
    <w:rsid w:val="009514A7"/>
    <w:rsid w:val="00961B7A"/>
    <w:rsid w:val="009621CE"/>
    <w:rsid w:val="00966A22"/>
    <w:rsid w:val="00967D63"/>
    <w:rsid w:val="00972F03"/>
    <w:rsid w:val="009816CE"/>
    <w:rsid w:val="00983899"/>
    <w:rsid w:val="009849A6"/>
    <w:rsid w:val="00996CCA"/>
    <w:rsid w:val="009A0C8B"/>
    <w:rsid w:val="009A25CF"/>
    <w:rsid w:val="009B53EE"/>
    <w:rsid w:val="009B6241"/>
    <w:rsid w:val="009B7652"/>
    <w:rsid w:val="009E4BEC"/>
    <w:rsid w:val="009E670A"/>
    <w:rsid w:val="009F36AE"/>
    <w:rsid w:val="009F52CE"/>
    <w:rsid w:val="009F69D3"/>
    <w:rsid w:val="00A025C4"/>
    <w:rsid w:val="00A16FC0"/>
    <w:rsid w:val="00A21FA8"/>
    <w:rsid w:val="00A2338B"/>
    <w:rsid w:val="00A233FA"/>
    <w:rsid w:val="00A2460E"/>
    <w:rsid w:val="00A32C9E"/>
    <w:rsid w:val="00A33518"/>
    <w:rsid w:val="00A44364"/>
    <w:rsid w:val="00A504F0"/>
    <w:rsid w:val="00A5371B"/>
    <w:rsid w:val="00A8741E"/>
    <w:rsid w:val="00A9544F"/>
    <w:rsid w:val="00AA52A1"/>
    <w:rsid w:val="00AA789B"/>
    <w:rsid w:val="00AB022C"/>
    <w:rsid w:val="00AB613D"/>
    <w:rsid w:val="00AD0263"/>
    <w:rsid w:val="00AE1014"/>
    <w:rsid w:val="00AE7F20"/>
    <w:rsid w:val="00B111CB"/>
    <w:rsid w:val="00B162E5"/>
    <w:rsid w:val="00B17CE1"/>
    <w:rsid w:val="00B20873"/>
    <w:rsid w:val="00B3470B"/>
    <w:rsid w:val="00B538AF"/>
    <w:rsid w:val="00B5770C"/>
    <w:rsid w:val="00B65A0A"/>
    <w:rsid w:val="00B67CDC"/>
    <w:rsid w:val="00B72D36"/>
    <w:rsid w:val="00B802F8"/>
    <w:rsid w:val="00B81F76"/>
    <w:rsid w:val="00B824E0"/>
    <w:rsid w:val="00B92141"/>
    <w:rsid w:val="00BC114A"/>
    <w:rsid w:val="00BC4164"/>
    <w:rsid w:val="00BC50EA"/>
    <w:rsid w:val="00BC67B9"/>
    <w:rsid w:val="00BD2DCC"/>
    <w:rsid w:val="00BF2DE4"/>
    <w:rsid w:val="00C07547"/>
    <w:rsid w:val="00C130A1"/>
    <w:rsid w:val="00C155E9"/>
    <w:rsid w:val="00C168C0"/>
    <w:rsid w:val="00C22793"/>
    <w:rsid w:val="00C238C8"/>
    <w:rsid w:val="00C5488A"/>
    <w:rsid w:val="00C85BAB"/>
    <w:rsid w:val="00C90559"/>
    <w:rsid w:val="00C97017"/>
    <w:rsid w:val="00CA2251"/>
    <w:rsid w:val="00CA2388"/>
    <w:rsid w:val="00CC261D"/>
    <w:rsid w:val="00CC6C3D"/>
    <w:rsid w:val="00CD03C9"/>
    <w:rsid w:val="00CD19DF"/>
    <w:rsid w:val="00CE0998"/>
    <w:rsid w:val="00CE6AD4"/>
    <w:rsid w:val="00CF298C"/>
    <w:rsid w:val="00CF637F"/>
    <w:rsid w:val="00D16B83"/>
    <w:rsid w:val="00D221D9"/>
    <w:rsid w:val="00D56C7C"/>
    <w:rsid w:val="00D62DA5"/>
    <w:rsid w:val="00D673C1"/>
    <w:rsid w:val="00D71B4D"/>
    <w:rsid w:val="00D73EA9"/>
    <w:rsid w:val="00D75281"/>
    <w:rsid w:val="00D82CDB"/>
    <w:rsid w:val="00D90289"/>
    <w:rsid w:val="00D93D55"/>
    <w:rsid w:val="00DA1CBD"/>
    <w:rsid w:val="00DB5179"/>
    <w:rsid w:val="00DC4C60"/>
    <w:rsid w:val="00DC7F57"/>
    <w:rsid w:val="00DD2C06"/>
    <w:rsid w:val="00DD31EF"/>
    <w:rsid w:val="00DE61AC"/>
    <w:rsid w:val="00E0079A"/>
    <w:rsid w:val="00E06E24"/>
    <w:rsid w:val="00E07269"/>
    <w:rsid w:val="00E30821"/>
    <w:rsid w:val="00E31A60"/>
    <w:rsid w:val="00E329E9"/>
    <w:rsid w:val="00E444DA"/>
    <w:rsid w:val="00E45C84"/>
    <w:rsid w:val="00E504E5"/>
    <w:rsid w:val="00E6512B"/>
    <w:rsid w:val="00E71C11"/>
    <w:rsid w:val="00E81FB4"/>
    <w:rsid w:val="00E86D91"/>
    <w:rsid w:val="00EB4C08"/>
    <w:rsid w:val="00EB7A3E"/>
    <w:rsid w:val="00EC2013"/>
    <w:rsid w:val="00EC401A"/>
    <w:rsid w:val="00ED0149"/>
    <w:rsid w:val="00ED28CA"/>
    <w:rsid w:val="00ED759C"/>
    <w:rsid w:val="00EE209F"/>
    <w:rsid w:val="00EF530A"/>
    <w:rsid w:val="00EF6622"/>
    <w:rsid w:val="00F00322"/>
    <w:rsid w:val="00F066C3"/>
    <w:rsid w:val="00F22769"/>
    <w:rsid w:val="00F55408"/>
    <w:rsid w:val="00F66152"/>
    <w:rsid w:val="00F80845"/>
    <w:rsid w:val="00F81CD7"/>
    <w:rsid w:val="00F826FB"/>
    <w:rsid w:val="00F84474"/>
    <w:rsid w:val="00F846DD"/>
    <w:rsid w:val="00F872F3"/>
    <w:rsid w:val="00F91C4C"/>
    <w:rsid w:val="00F922AF"/>
    <w:rsid w:val="00F93CE2"/>
    <w:rsid w:val="00FA0F0D"/>
    <w:rsid w:val="00FB4E52"/>
    <w:rsid w:val="00FB6986"/>
    <w:rsid w:val="00FC1ACB"/>
    <w:rsid w:val="00FD59D1"/>
    <w:rsid w:val="00FF1F7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 w:type="character" w:customStyle="1" w:styleId="Heading2Char">
    <w:name w:val="Heading 2 Char"/>
    <w:basedOn w:val="DefaultParagraphFont"/>
    <w:link w:val="Heading2"/>
    <w:rsid w:val="00F00322"/>
    <w:rPr>
      <w:rFonts w:ascii="Arial" w:eastAsia="SimSun" w:hAnsi="Arial" w:cs="Arial"/>
      <w:bCs/>
      <w:iCs/>
      <w:caps/>
      <w:sz w:val="22"/>
      <w:szCs w:val="28"/>
      <w:lang w:val="es-ES" w:eastAsia="zh-CN"/>
    </w:rPr>
  </w:style>
  <w:style w:type="paragraph" w:styleId="ListParagraph">
    <w:name w:val="List Paragraph"/>
    <w:basedOn w:val="Normal"/>
    <w:uiPriority w:val="34"/>
    <w:qFormat/>
    <w:rsid w:val="00A21F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 w:type="character" w:customStyle="1" w:styleId="Heading2Char">
    <w:name w:val="Heading 2 Char"/>
    <w:basedOn w:val="DefaultParagraphFont"/>
    <w:link w:val="Heading2"/>
    <w:rsid w:val="00F00322"/>
    <w:rPr>
      <w:rFonts w:ascii="Arial" w:eastAsia="SimSun" w:hAnsi="Arial" w:cs="Arial"/>
      <w:bCs/>
      <w:iCs/>
      <w:caps/>
      <w:sz w:val="22"/>
      <w:szCs w:val="28"/>
      <w:lang w:val="es-ES" w:eastAsia="zh-CN"/>
    </w:rPr>
  </w:style>
  <w:style w:type="paragraph" w:styleId="ListParagraph">
    <w:name w:val="List Paragraph"/>
    <w:basedOn w:val="Normal"/>
    <w:uiPriority w:val="34"/>
    <w:qFormat/>
    <w:rsid w:val="00A21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22A1-02F2-4311-A2BA-204FAC92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628</Words>
  <Characters>3585</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Nueva norma de la OMPI sobre la presentación de listas de secuencias de nucleótidos y aminoácidos en lenguaje extensible de marcado (XML)</vt:lpstr>
      <vt:lpstr>PCT/WG/7/4 - Designación de las administraciones internacionales</vt:lpstr>
    </vt:vector>
  </TitlesOfParts>
  <Company>WIPO</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norma de la OMPI sobre la presentación de listas de secuencias de nucleótidos y aminoácidos en lenguaje extensible de marcado (XML)</dc:title>
  <dc:subject>PCT Sequence Listing Standard</dc:subject>
  <dc:creator>FIGUERA</dc:creator>
  <dc:description/>
  <cp:lastModifiedBy>MARLOW Thomas</cp:lastModifiedBy>
  <cp:revision>4</cp:revision>
  <cp:lastPrinted>2014-05-12T08:05:00Z</cp:lastPrinted>
  <dcterms:created xsi:type="dcterms:W3CDTF">2015-04-09T09:36:00Z</dcterms:created>
  <dcterms:modified xsi:type="dcterms:W3CDTF">2015-04-09T09:38:00Z</dcterms:modified>
</cp:coreProperties>
</file>