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3E1936"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74058" w:rsidP="00AB613D">
            <w:pPr>
              <w:jc w:val="right"/>
              <w:rPr>
                <w:rFonts w:ascii="Arial Black" w:hAnsi="Arial Black"/>
                <w:caps/>
                <w:sz w:val="15"/>
              </w:rPr>
            </w:pPr>
            <w:r w:rsidRPr="00074058">
              <w:rPr>
                <w:rFonts w:ascii="Arial Black" w:hAnsi="Arial Black"/>
                <w:caps/>
                <w:sz w:val="15"/>
              </w:rPr>
              <w:t>PCT/WG/7/</w:t>
            </w:r>
            <w:bookmarkStart w:id="0" w:name="Code"/>
            <w:bookmarkEnd w:id="0"/>
            <w:r w:rsidR="00B51D75">
              <w:rPr>
                <w:rFonts w:ascii="Arial Black" w:hAnsi="Arial Black"/>
                <w:caps/>
                <w:sz w:val="15"/>
              </w:rPr>
              <w:t>28</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B51D75">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B51D75">
              <w:rPr>
                <w:rFonts w:ascii="Arial Black" w:hAnsi="Arial Black"/>
                <w:caps/>
                <w:sz w:val="15"/>
              </w:rPr>
              <w:t>3 DE JUNIO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D3FF6" w:rsidRPr="005C62E0" w:rsidRDefault="003D3FF6" w:rsidP="003D3FF6">
      <w:pPr>
        <w:rPr>
          <w:b/>
          <w:sz w:val="28"/>
          <w:szCs w:val="28"/>
        </w:rPr>
      </w:pPr>
      <w:r w:rsidRPr="005C62E0">
        <w:rPr>
          <w:b/>
          <w:sz w:val="28"/>
          <w:szCs w:val="28"/>
        </w:rPr>
        <w:t>Tratado de Cooperación en materia de Patentes (PCT)</w:t>
      </w:r>
    </w:p>
    <w:p w:rsidR="00B67CDC" w:rsidRPr="005C62E0" w:rsidRDefault="003D3FF6" w:rsidP="003D3FF6">
      <w:pPr>
        <w:rPr>
          <w:b/>
          <w:sz w:val="28"/>
          <w:szCs w:val="28"/>
        </w:rPr>
      </w:pPr>
      <w:r w:rsidRPr="005C62E0">
        <w:rPr>
          <w:b/>
          <w:sz w:val="28"/>
          <w:szCs w:val="28"/>
        </w:rPr>
        <w:t>Grupo de Trabajo</w:t>
      </w:r>
    </w:p>
    <w:p w:rsidR="003845C1" w:rsidRPr="005C62E0" w:rsidRDefault="003845C1" w:rsidP="003845C1"/>
    <w:p w:rsidR="003845C1" w:rsidRPr="005C62E0" w:rsidRDefault="003845C1" w:rsidP="003845C1"/>
    <w:p w:rsidR="00B67CDC" w:rsidRPr="005C62E0" w:rsidRDefault="003D3FF6" w:rsidP="00B67CDC">
      <w:pPr>
        <w:rPr>
          <w:b/>
          <w:sz w:val="24"/>
          <w:szCs w:val="24"/>
        </w:rPr>
      </w:pPr>
      <w:r w:rsidRPr="005C62E0">
        <w:rPr>
          <w:b/>
          <w:sz w:val="24"/>
          <w:szCs w:val="24"/>
        </w:rPr>
        <w:t xml:space="preserve">Séptima </w:t>
      </w:r>
      <w:r w:rsidR="00CF637F" w:rsidRPr="005C62E0">
        <w:rPr>
          <w:b/>
          <w:sz w:val="24"/>
          <w:szCs w:val="24"/>
        </w:rPr>
        <w:t>reunión</w:t>
      </w:r>
    </w:p>
    <w:p w:rsidR="00B67CDC" w:rsidRPr="005C62E0" w:rsidRDefault="003D3FF6" w:rsidP="00B67CDC">
      <w:pPr>
        <w:rPr>
          <w:b/>
          <w:sz w:val="24"/>
          <w:szCs w:val="24"/>
        </w:rPr>
      </w:pPr>
      <w:r w:rsidRPr="005C62E0">
        <w:rPr>
          <w:b/>
          <w:sz w:val="24"/>
          <w:szCs w:val="24"/>
        </w:rPr>
        <w:t>Ginebra, 10 a 13 de junio de 2014</w:t>
      </w:r>
    </w:p>
    <w:p w:rsidR="008B2CC1" w:rsidRPr="005C62E0" w:rsidRDefault="008B2CC1" w:rsidP="008B2CC1"/>
    <w:p w:rsidR="008B2CC1" w:rsidRPr="005C62E0" w:rsidRDefault="008B2CC1" w:rsidP="008B2CC1"/>
    <w:p w:rsidR="008B2CC1" w:rsidRPr="005C62E0" w:rsidRDefault="008B2CC1" w:rsidP="008B2CC1"/>
    <w:p w:rsidR="00AC2324" w:rsidRPr="005C62E0" w:rsidRDefault="007454F5" w:rsidP="005521FD">
      <w:pPr>
        <w:rPr>
          <w:caps/>
          <w:sz w:val="24"/>
        </w:rPr>
      </w:pPr>
      <w:bookmarkStart w:id="3" w:name="TitleOfDoc"/>
      <w:bookmarkEnd w:id="3"/>
      <w:r w:rsidRPr="005C62E0">
        <w:rPr>
          <w:caps/>
          <w:sz w:val="24"/>
        </w:rPr>
        <w:t xml:space="preserve">LITERATURA DISTINTA DE LA DE PATENTES </w:t>
      </w:r>
      <w:r w:rsidR="005521FD" w:rsidRPr="005C62E0">
        <w:rPr>
          <w:caps/>
          <w:sz w:val="24"/>
        </w:rPr>
        <w:t xml:space="preserve">EN </w:t>
      </w:r>
      <w:r w:rsidR="00F67AC9">
        <w:rPr>
          <w:caps/>
          <w:sz w:val="24"/>
        </w:rPr>
        <w:t xml:space="preserve">la </w:t>
      </w:r>
      <w:r w:rsidR="005521FD" w:rsidRPr="005C62E0">
        <w:rPr>
          <w:caps/>
          <w:sz w:val="24"/>
        </w:rPr>
        <w:t>DOCUMENTACI</w:t>
      </w:r>
      <w:r w:rsidR="00F67AC9">
        <w:rPr>
          <w:caps/>
          <w:sz w:val="24"/>
        </w:rPr>
        <w:t>ÓN MÍNIMA DEL PCT</w:t>
      </w:r>
    </w:p>
    <w:p w:rsidR="00AC2324" w:rsidRPr="005C62E0" w:rsidRDefault="00AC2324" w:rsidP="00AC2324"/>
    <w:p w:rsidR="00AC2324" w:rsidRPr="005C62E0" w:rsidRDefault="007454F5" w:rsidP="00AC2324">
      <w:pPr>
        <w:rPr>
          <w:i/>
        </w:rPr>
      </w:pPr>
      <w:bookmarkStart w:id="4" w:name="Prepared"/>
      <w:bookmarkEnd w:id="4"/>
      <w:r w:rsidRPr="005C62E0">
        <w:rPr>
          <w:i/>
        </w:rPr>
        <w:t>Documento presentado por la India</w:t>
      </w:r>
    </w:p>
    <w:p w:rsidR="00AC2324" w:rsidRPr="005C62E0" w:rsidRDefault="00AC2324" w:rsidP="00AC2324"/>
    <w:p w:rsidR="00AC2324" w:rsidRPr="005C62E0" w:rsidRDefault="00AC2324" w:rsidP="00AC2324"/>
    <w:p w:rsidR="00AC2324" w:rsidRPr="005C62E0" w:rsidRDefault="00AC2324" w:rsidP="00AC2324"/>
    <w:p w:rsidR="00AC2324" w:rsidRPr="005C62E0" w:rsidRDefault="00AC2324" w:rsidP="00AC2324"/>
    <w:p w:rsidR="00AC2324" w:rsidRPr="005C62E0" w:rsidRDefault="00AC2324" w:rsidP="00AC2324">
      <w:pPr>
        <w:pStyle w:val="Heading1"/>
      </w:pPr>
      <w:r w:rsidRPr="005C62E0">
        <w:t>a</w:t>
      </w:r>
      <w:r w:rsidR="00DB65BA" w:rsidRPr="005C62E0">
        <w:t>NTECEDENTES</w:t>
      </w:r>
    </w:p>
    <w:p w:rsidR="00AC2324" w:rsidRPr="005C62E0" w:rsidRDefault="005521FD" w:rsidP="00AC2324">
      <w:pPr>
        <w:pStyle w:val="ONUME"/>
      </w:pPr>
      <w:r w:rsidRPr="005C62E0">
        <w:t xml:space="preserve">En el artículo 15.4) del </w:t>
      </w:r>
      <w:r w:rsidR="00731A00" w:rsidRPr="005C62E0">
        <w:t>Tratado de Cooperación en materia de Patentes (</w:t>
      </w:r>
      <w:r w:rsidRPr="005C62E0">
        <w:t>PCT</w:t>
      </w:r>
      <w:r w:rsidR="00731A00" w:rsidRPr="005C62E0">
        <w:t>)</w:t>
      </w:r>
      <w:r w:rsidR="00B21C55">
        <w:t xml:space="preserve"> se establece que “[l]</w:t>
      </w:r>
      <w:r w:rsidRPr="005C62E0">
        <w:t xml:space="preserve">a Administración encargada de la búsqueda internacional […] se esforzará por descubrir el estado de la técnica pertinente en la medida en que se lo permitan sus posibilidades y, en cualquier caso, deberá consultar la documentación especificada en el Reglamento”.  </w:t>
      </w:r>
      <w:r w:rsidR="004F3C88">
        <w:t>En la</w:t>
      </w:r>
      <w:r w:rsidRPr="005C62E0">
        <w:t xml:space="preserve"> Regla 34 </w:t>
      </w:r>
      <w:r w:rsidR="004F3C88">
        <w:t>del Reglamento del PCT se define el término</w:t>
      </w:r>
      <w:r w:rsidRPr="005C62E0">
        <w:t xml:space="preserve"> </w:t>
      </w:r>
      <w:r w:rsidR="004F3C88">
        <w:t>“</w:t>
      </w:r>
      <w:r w:rsidRPr="005C62E0">
        <w:t>documentación</w:t>
      </w:r>
      <w:r w:rsidR="004F3C88">
        <w:t>”</w:t>
      </w:r>
      <w:r w:rsidRPr="005C62E0">
        <w:t xml:space="preserve"> </w:t>
      </w:r>
      <w:r w:rsidR="004F3C88">
        <w:t xml:space="preserve">al que se alude en el </w:t>
      </w:r>
      <w:r w:rsidRPr="005C62E0">
        <w:t xml:space="preserve">artículo 15.4).  En lo que atañe a la literatura distinta de la de patentes, la documentación mínima del PCT está constituida por 145 </w:t>
      </w:r>
      <w:r w:rsidR="004F3C88">
        <w:t>publicaciones</w:t>
      </w:r>
      <w:r w:rsidRPr="005C62E0">
        <w:t>.</w:t>
      </w:r>
    </w:p>
    <w:p w:rsidR="00AC2324" w:rsidRPr="005C62E0" w:rsidRDefault="00731A00" w:rsidP="00AC2324">
      <w:pPr>
        <w:pStyle w:val="ONUME"/>
      </w:pPr>
      <w:r w:rsidRPr="005C62E0">
        <w:t>En el artículo</w:t>
      </w:r>
      <w:r w:rsidR="00AC2324" w:rsidRPr="005C62E0">
        <w:t xml:space="preserve"> 56</w:t>
      </w:r>
      <w:r w:rsidRPr="005C62E0">
        <w:t>.</w:t>
      </w:r>
      <w:r w:rsidR="00AC2324" w:rsidRPr="005C62E0">
        <w:t xml:space="preserve">3) </w:t>
      </w:r>
      <w:r w:rsidRPr="005C62E0">
        <w:t xml:space="preserve">del </w:t>
      </w:r>
      <w:r w:rsidR="00AC2324" w:rsidRPr="005C62E0">
        <w:t>PCT</w:t>
      </w:r>
      <w:r w:rsidRPr="005C62E0">
        <w:t xml:space="preserve"> se establece, entre otras cosas,</w:t>
      </w:r>
      <w:r w:rsidR="004F3C88">
        <w:t xml:space="preserve"> que</w:t>
      </w:r>
      <w:r w:rsidRPr="005C62E0">
        <w:t xml:space="preserve"> “</w:t>
      </w:r>
      <w:r w:rsidR="00DA3CE5">
        <w:t>[l]</w:t>
      </w:r>
      <w:r w:rsidRPr="005C62E0">
        <w:t>a finalidad del</w:t>
      </w:r>
      <w:r w:rsidR="00AC2324" w:rsidRPr="005C62E0">
        <w:t xml:space="preserve"> [Com</w:t>
      </w:r>
      <w:r w:rsidRPr="005C62E0">
        <w:t>ité de Cooperación Técnica</w:t>
      </w:r>
      <w:r w:rsidR="00AC2324" w:rsidRPr="005C62E0">
        <w:t xml:space="preserve">] </w:t>
      </w:r>
      <w:r w:rsidRPr="005C62E0">
        <w:t>consistirá, mediante sus dictámenes y recomendaciones, en contribuir</w:t>
      </w:r>
      <w:proofErr w:type="gramStart"/>
      <w:r w:rsidR="00AC2324" w:rsidRPr="005C62E0">
        <w:t>:  [</w:t>
      </w:r>
      <w:proofErr w:type="gramEnd"/>
      <w:r w:rsidR="00AC2324" w:rsidRPr="005C62E0">
        <w:t xml:space="preserve">…] ii) </w:t>
      </w:r>
      <w:r w:rsidRPr="005C62E0">
        <w:t>mientras haya varias Administraciones encargadas de la búsqueda internacional y diversas Administraciones encargadas del examen preliminar internacional, a asegurar la máxima uniformidad posible en su documentación y métodos de trabajo y en la elevada calidad de sus informes</w:t>
      </w:r>
      <w:r w:rsidR="00AC2324" w:rsidRPr="005C62E0">
        <w:t>”</w:t>
      </w:r>
      <w:r w:rsidRPr="005C62E0">
        <w:t>.</w:t>
      </w:r>
    </w:p>
    <w:p w:rsidR="00AC2324" w:rsidRPr="005C62E0" w:rsidRDefault="00731A00" w:rsidP="00AC2324">
      <w:pPr>
        <w:pStyle w:val="ONUME"/>
      </w:pPr>
      <w:r w:rsidRPr="005C62E0">
        <w:t xml:space="preserve">De las 45 recomendaciones aprobadas en el marco de la Agenda de la OMPI para el Desarrollo, en dos </w:t>
      </w:r>
      <w:r w:rsidR="007E2B69">
        <w:t>de ellas</w:t>
      </w:r>
      <w:r w:rsidRPr="005C62E0">
        <w:t xml:space="preserve"> se formula lo siguiente</w:t>
      </w:r>
      <w:r w:rsidR="00AC2324" w:rsidRPr="005C62E0">
        <w:t>:</w:t>
      </w:r>
    </w:p>
    <w:p w:rsidR="00AC2324" w:rsidRPr="005C62E0" w:rsidRDefault="00AC2324" w:rsidP="00B928C1">
      <w:pPr>
        <w:pStyle w:val="ONUME"/>
        <w:numPr>
          <w:ilvl w:val="2"/>
          <w:numId w:val="5"/>
        </w:numPr>
        <w:tabs>
          <w:tab w:val="left" w:pos="1134"/>
        </w:tabs>
        <w:ind w:left="567"/>
      </w:pPr>
      <w:r w:rsidRPr="005C62E0">
        <w:t>“8.</w:t>
      </w:r>
      <w:r w:rsidRPr="005C62E0">
        <w:tab/>
      </w:r>
      <w:r w:rsidR="00DB65BA" w:rsidRPr="005C62E0">
        <w:t xml:space="preserve">Solicitar a la OMPI que celebre acuerdos con instituciones de investigación y empresas privadas, con miras a facilitar el acceso de las oficinas nacionales de los países en desarrollo, especialmente los PMA, y sus organizaciones regionales y </w:t>
      </w:r>
      <w:r w:rsidR="00DB65BA" w:rsidRPr="005C62E0">
        <w:lastRenderedPageBreak/>
        <w:t>subregionales de P.I., a las bases de datos especializadas para realizar búsquedas en materia de patentes</w:t>
      </w:r>
      <w:r w:rsidRPr="005C62E0">
        <w:t>”</w:t>
      </w:r>
      <w:r w:rsidR="00731A00" w:rsidRPr="005C62E0">
        <w:t>.</w:t>
      </w:r>
    </w:p>
    <w:p w:rsidR="00AC2324" w:rsidRDefault="00AC2324" w:rsidP="00AC2324">
      <w:pPr>
        <w:pStyle w:val="ONUME"/>
        <w:numPr>
          <w:ilvl w:val="2"/>
          <w:numId w:val="5"/>
        </w:numPr>
        <w:tabs>
          <w:tab w:val="left" w:pos="1134"/>
        </w:tabs>
        <w:ind w:left="567"/>
      </w:pPr>
      <w:r w:rsidRPr="005C62E0">
        <w:t>“</w:t>
      </w:r>
      <w:r w:rsidR="00DB65BA" w:rsidRPr="005C62E0">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w:t>
      </w:r>
      <w:bookmarkStart w:id="5" w:name="_GoBack"/>
      <w:bookmarkEnd w:id="5"/>
      <w:r w:rsidR="00DB65BA" w:rsidRPr="005C62E0">
        <w:t>zaciones regionales y subregionales de P.I.</w:t>
      </w:r>
      <w:r w:rsidRPr="005C62E0">
        <w:t>”</w:t>
      </w:r>
    </w:p>
    <w:p w:rsidR="007B08D0" w:rsidRPr="005C62E0" w:rsidRDefault="007B08D0" w:rsidP="007B08D0">
      <w:pPr>
        <w:pStyle w:val="ONUME"/>
        <w:numPr>
          <w:ilvl w:val="0"/>
          <w:numId w:val="0"/>
        </w:numPr>
        <w:tabs>
          <w:tab w:val="left" w:pos="1134"/>
        </w:tabs>
        <w:ind w:left="567"/>
      </w:pPr>
    </w:p>
    <w:p w:rsidR="00AC2324" w:rsidRPr="005C62E0" w:rsidRDefault="007E3A19" w:rsidP="005C62E0">
      <w:pPr>
        <w:pStyle w:val="Heading1"/>
        <w:tabs>
          <w:tab w:val="left" w:pos="8414"/>
        </w:tabs>
      </w:pPr>
      <w:r>
        <w:t>dificultades</w:t>
      </w:r>
      <w:r w:rsidR="003151D2">
        <w:t xml:space="preserve"> que se plantean en relación con la </w:t>
      </w:r>
      <w:r w:rsidR="0082057B" w:rsidRPr="005C62E0">
        <w:t>literatura distinta de la de patentes</w:t>
      </w:r>
    </w:p>
    <w:p w:rsidR="00AC2324" w:rsidRPr="005C62E0" w:rsidRDefault="00E94633" w:rsidP="00AC2324">
      <w:pPr>
        <w:pStyle w:val="ONUME"/>
      </w:pPr>
      <w:r w:rsidRPr="005C62E0">
        <w:t>Gracias al acceso a las bases de datos electrónicas, la literatura de patentes que forma parte de la documentación mínima del PCT está disponible en formatos que permiten efectuar una búsqueda eficaz.  Por ejemplo, los proveedores de servicios privado</w:t>
      </w:r>
      <w:r w:rsidR="007E2B69">
        <w:t>s</w:t>
      </w:r>
      <w:r w:rsidRPr="005C62E0">
        <w:t xml:space="preserve"> ponen a disposición </w:t>
      </w:r>
      <w:r w:rsidR="0007306A" w:rsidRPr="005C62E0">
        <w:t>datos sin procesar</w:t>
      </w:r>
      <w:r w:rsidR="00A63911" w:rsidRPr="005C62E0">
        <w:t xml:space="preserve"> </w:t>
      </w:r>
      <w:r w:rsidR="0007306A" w:rsidRPr="005C62E0">
        <w:t xml:space="preserve">así como repertorios </w:t>
      </w:r>
      <w:r w:rsidR="007E2B69">
        <w:t>con</w:t>
      </w:r>
      <w:r w:rsidR="00A63911" w:rsidRPr="005C62E0">
        <w:t xml:space="preserve"> valor añadido</w:t>
      </w:r>
      <w:r w:rsidR="0007306A" w:rsidRPr="005C62E0">
        <w:t>,</w:t>
      </w:r>
      <w:r w:rsidR="00A63911" w:rsidRPr="005C62E0">
        <w:t xml:space="preserve"> </w:t>
      </w:r>
      <w:r w:rsidR="0007306A" w:rsidRPr="005C62E0">
        <w:t>de</w:t>
      </w:r>
      <w:r w:rsidR="00A63911" w:rsidRPr="005C62E0">
        <w:t xml:space="preserve"> estructura uniforme en un formato compatible </w:t>
      </w:r>
      <w:r w:rsidR="00A63911" w:rsidRPr="000D4161">
        <w:t xml:space="preserve">con </w:t>
      </w:r>
      <w:r w:rsidR="003151D2" w:rsidRPr="000D4161">
        <w:t xml:space="preserve">las normas </w:t>
      </w:r>
      <w:r w:rsidR="000D4161" w:rsidRPr="000D4161">
        <w:t xml:space="preserve">técnicas </w:t>
      </w:r>
      <w:r w:rsidR="003151D2" w:rsidRPr="000D4161">
        <w:t>de la</w:t>
      </w:r>
      <w:r w:rsidR="00A63911" w:rsidRPr="000D4161">
        <w:t xml:space="preserve"> OMPI, </w:t>
      </w:r>
      <w:r w:rsidR="0007306A" w:rsidRPr="000D4161">
        <w:t>que</w:t>
      </w:r>
      <w:r w:rsidR="00A63911" w:rsidRPr="000D4161">
        <w:t xml:space="preserve"> contienen</w:t>
      </w:r>
      <w:r w:rsidR="00A63911" w:rsidRPr="005C62E0">
        <w:t xml:space="preserve"> documentos de </w:t>
      </w:r>
      <w:r w:rsidR="0007306A" w:rsidRPr="005C62E0">
        <w:t>distintas</w:t>
      </w:r>
      <w:r w:rsidR="00A63911" w:rsidRPr="005C62E0">
        <w:t xml:space="preserve"> oficinas.  Así, las oficinas de P.I. han emprendido, por propia iniciativa, la labor de armonización de los contenidos de los documentos de patentes en el formato que establece la OMPI, lo que aumenta la eficacia de los datos a los fines de la búsqueda.</w:t>
      </w:r>
    </w:p>
    <w:p w:rsidR="00AC2324" w:rsidRPr="005C62E0" w:rsidRDefault="001E1B60" w:rsidP="00AC2324">
      <w:pPr>
        <w:pStyle w:val="ONUME"/>
      </w:pPr>
      <w:r w:rsidRPr="005C62E0">
        <w:t>La literatura distinta de la de patentes que forma parte de la documentación mínima del PCT comprende también material que reviste especial importancia no solo para las Administraciones internacionales, sino también para las oficinas nacionales</w:t>
      </w:r>
      <w:r w:rsidR="00AC2324" w:rsidRPr="005C62E0">
        <w:t>.</w:t>
      </w:r>
      <w:r w:rsidRPr="005C62E0">
        <w:t xml:space="preserve">  En algunos ámbitos, como el de la biotecnología, la literatura distinta de la de patentes tiene una importancia aún </w:t>
      </w:r>
      <w:r w:rsidRPr="00BC1005">
        <w:t xml:space="preserve">mayor, debido </w:t>
      </w:r>
      <w:r w:rsidR="000D4161" w:rsidRPr="00BC1005">
        <w:t>a la</w:t>
      </w:r>
      <w:r w:rsidR="000D4161">
        <w:t xml:space="preserve"> disponibilidad de un porcentaje mucho </w:t>
      </w:r>
      <w:r w:rsidR="00694989">
        <w:t>más elevado</w:t>
      </w:r>
      <w:r w:rsidR="000D4161">
        <w:t xml:space="preserve"> de </w:t>
      </w:r>
      <w:r w:rsidR="00BC1005">
        <w:t>publicaciones que pueden formar parte del estado</w:t>
      </w:r>
      <w:r w:rsidR="000D4161">
        <w:t xml:space="preserve"> de la técnica</w:t>
      </w:r>
      <w:r w:rsidR="006A4D72" w:rsidRPr="005C62E0">
        <w:t xml:space="preserve">.  La consulta de </w:t>
      </w:r>
      <w:r w:rsidR="00CF3214" w:rsidRPr="005C62E0">
        <w:t>literatura</w:t>
      </w:r>
      <w:r w:rsidR="006A4D72" w:rsidRPr="005C62E0">
        <w:t xml:space="preserve"> distinta de la de patentes a los fines de efectuar búsquedas del estado de la técnica plantea </w:t>
      </w:r>
      <w:r w:rsidR="00CF3214" w:rsidRPr="005C62E0">
        <w:t>ciertas dificultades</w:t>
      </w:r>
      <w:r w:rsidR="006A4D72" w:rsidRPr="005C62E0">
        <w:t xml:space="preserve"> que incid</w:t>
      </w:r>
      <w:r w:rsidR="007E3A19">
        <w:t>en</w:t>
      </w:r>
      <w:r w:rsidR="006A4D72" w:rsidRPr="005C62E0">
        <w:t xml:space="preserve"> en la eficiencia de </w:t>
      </w:r>
      <w:r w:rsidR="008A6B7E" w:rsidRPr="005C62E0">
        <w:t xml:space="preserve">la labor de </w:t>
      </w:r>
      <w:r w:rsidR="006A4D72" w:rsidRPr="005C62E0">
        <w:t xml:space="preserve">los examinadores.  Los editores utilizan diferentes modelos o formatos para dar acceso a sus recursos y utilizan </w:t>
      </w:r>
      <w:r w:rsidR="00A769BE" w:rsidRPr="005C62E0">
        <w:t xml:space="preserve">distintas </w:t>
      </w:r>
      <w:r w:rsidR="00CF3214" w:rsidRPr="005C62E0">
        <w:t>estructuras</w:t>
      </w:r>
      <w:r w:rsidR="006A4D72" w:rsidRPr="005C62E0">
        <w:t xml:space="preserve"> para clasificar la información.  La mayor parte de la literatura distinta de la de patentes no se estructura conforme a sistemas de clasificación como el de </w:t>
      </w:r>
      <w:r w:rsidR="00A769BE">
        <w:t xml:space="preserve">la </w:t>
      </w:r>
      <w:r w:rsidR="006A4D72" w:rsidRPr="005C62E0">
        <w:t xml:space="preserve">Clasificación Internacional de Patentes (CIP).  </w:t>
      </w:r>
      <w:r w:rsidR="00A554F4" w:rsidRPr="005C62E0">
        <w:t xml:space="preserve">El hecho de </w:t>
      </w:r>
      <w:r w:rsidR="007E3A19">
        <w:t xml:space="preserve">que se disponga de </w:t>
      </w:r>
      <w:r w:rsidR="00A769BE">
        <w:t>los mecanismos</w:t>
      </w:r>
      <w:r w:rsidR="007E3A19">
        <w:t xml:space="preserve"> que </w:t>
      </w:r>
      <w:r w:rsidR="00A769BE">
        <w:t xml:space="preserve">ponen a </w:t>
      </w:r>
      <w:proofErr w:type="gramStart"/>
      <w:r w:rsidR="00A769BE">
        <w:t xml:space="preserve">disposición </w:t>
      </w:r>
      <w:r w:rsidR="007E3A19">
        <w:t>editores</w:t>
      </w:r>
      <w:r w:rsidR="00A554F4" w:rsidRPr="005C62E0">
        <w:t xml:space="preserve"> </w:t>
      </w:r>
      <w:r w:rsidR="007E3A19">
        <w:t>y terceros</w:t>
      </w:r>
      <w:proofErr w:type="gramEnd"/>
      <w:r w:rsidR="007E3A19">
        <w:t xml:space="preserve">, que permiten efectuar </w:t>
      </w:r>
      <w:r w:rsidR="004A4046" w:rsidRPr="005C62E0">
        <w:t>una única búsqueda</w:t>
      </w:r>
      <w:r w:rsidR="00A554F4" w:rsidRPr="005C62E0">
        <w:t xml:space="preserve"> </w:t>
      </w:r>
      <w:r w:rsidR="007E3A19">
        <w:t>con respecto a determinados títulos,</w:t>
      </w:r>
      <w:r w:rsidR="00A554F4" w:rsidRPr="005C62E0">
        <w:t xml:space="preserve"> ha reducido en cierta medida la dificultad que entrañaba la </w:t>
      </w:r>
      <w:r w:rsidR="002327E5">
        <w:t>ejecución de búsquedas en la</w:t>
      </w:r>
      <w:r w:rsidR="00A554F4" w:rsidRPr="005C62E0">
        <w:t xml:space="preserve"> literatura distinta de la de patentes.</w:t>
      </w:r>
    </w:p>
    <w:p w:rsidR="00AC2324" w:rsidRPr="005C62E0" w:rsidRDefault="001A39D3" w:rsidP="00AC2324">
      <w:pPr>
        <w:pStyle w:val="ONUME"/>
      </w:pPr>
      <w:r w:rsidRPr="005C62E0">
        <w:t>Para mejorar aún más l</w:t>
      </w:r>
      <w:r w:rsidR="00A769BE">
        <w:t>o</w:t>
      </w:r>
      <w:r w:rsidRPr="005C62E0">
        <w:t xml:space="preserve">s </w:t>
      </w:r>
      <w:r w:rsidR="00A769BE">
        <w:t xml:space="preserve">mecanismos </w:t>
      </w:r>
      <w:r w:rsidRPr="005C62E0">
        <w:t xml:space="preserve">de búsqueda </w:t>
      </w:r>
      <w:r w:rsidR="002327E5">
        <w:t>en relación con</w:t>
      </w:r>
      <w:r w:rsidRPr="005C62E0">
        <w:t xml:space="preserve"> la literatura distinta de la de patentes, algunas oficinas </w:t>
      </w:r>
      <w:r w:rsidR="00694989">
        <w:t>adquieren</w:t>
      </w:r>
      <w:r w:rsidR="00FD6612">
        <w:t xml:space="preserve">, por conducto de </w:t>
      </w:r>
      <w:r w:rsidR="002327E5">
        <w:t>los editores</w:t>
      </w:r>
      <w:r w:rsidR="00FD6612">
        <w:t>,</w:t>
      </w:r>
      <w:r w:rsidR="002327E5">
        <w:t xml:space="preserve"> </w:t>
      </w:r>
      <w:r w:rsidRPr="005C62E0">
        <w:t xml:space="preserve">información </w:t>
      </w:r>
      <w:r w:rsidR="002327E5">
        <w:t>constituida por</w:t>
      </w:r>
      <w:r w:rsidRPr="005C62E0">
        <w:t xml:space="preserve"> gran número </w:t>
      </w:r>
      <w:r w:rsidRPr="00BC1005">
        <w:t xml:space="preserve">de </w:t>
      </w:r>
      <w:r w:rsidR="002327E5" w:rsidRPr="00BC1005">
        <w:t>títulos</w:t>
      </w:r>
      <w:r w:rsidRPr="00BC1005">
        <w:t xml:space="preserve"> </w:t>
      </w:r>
      <w:r w:rsidR="00BC1005">
        <w:t xml:space="preserve">de </w:t>
      </w:r>
      <w:r w:rsidR="00A769BE">
        <w:t>esas</w:t>
      </w:r>
      <w:r w:rsidR="00D33812">
        <w:t xml:space="preserve"> publicaciones</w:t>
      </w:r>
      <w:r w:rsidRPr="005C62E0">
        <w:t xml:space="preserve"> y la alojan en sus propios servidores</w:t>
      </w:r>
      <w:r w:rsidR="00694989">
        <w:t>,</w:t>
      </w:r>
      <w:r w:rsidRPr="005C62E0">
        <w:t xml:space="preserve"> </w:t>
      </w:r>
      <w:r w:rsidR="004A4046" w:rsidRPr="005C62E0">
        <w:t>o</w:t>
      </w:r>
      <w:r w:rsidR="00694989">
        <w:t xml:space="preserve"> bien</w:t>
      </w:r>
      <w:r w:rsidR="004A4046" w:rsidRPr="005C62E0">
        <w:t xml:space="preserve"> acceden directamente </w:t>
      </w:r>
      <w:r w:rsidR="008A6B7E" w:rsidRPr="005C62E0">
        <w:t>a la información alojada en</w:t>
      </w:r>
      <w:r w:rsidR="004A4046" w:rsidRPr="005C62E0">
        <w:t xml:space="preserve"> los serv</w:t>
      </w:r>
      <w:r w:rsidR="008A6B7E" w:rsidRPr="005C62E0">
        <w:t>idores de los editores mediante</w:t>
      </w:r>
      <w:r w:rsidR="004A4046" w:rsidRPr="005C62E0">
        <w:t xml:space="preserve"> </w:t>
      </w:r>
      <w:r w:rsidR="00396CB2">
        <w:t>los</w:t>
      </w:r>
      <w:r w:rsidR="004A4046" w:rsidRPr="005C62E0">
        <w:t xml:space="preserve"> sistemas electrónicos </w:t>
      </w:r>
      <w:r w:rsidR="008A6B7E" w:rsidRPr="005C62E0">
        <w:t xml:space="preserve">internos, </w:t>
      </w:r>
      <w:r w:rsidR="00694989">
        <w:t xml:space="preserve">que están </w:t>
      </w:r>
      <w:r w:rsidR="004A4046" w:rsidRPr="005C62E0">
        <w:t>adaptados</w:t>
      </w:r>
      <w:r w:rsidR="008A6B7E" w:rsidRPr="005C62E0">
        <w:t xml:space="preserve"> a </w:t>
      </w:r>
      <w:r w:rsidR="00694989">
        <w:t>sus</w:t>
      </w:r>
      <w:r w:rsidR="008A6B7E" w:rsidRPr="005C62E0">
        <w:t xml:space="preserve"> </w:t>
      </w:r>
      <w:r w:rsidR="00694989" w:rsidRPr="005C62E0">
        <w:t xml:space="preserve">necesidades </w:t>
      </w:r>
      <w:r w:rsidR="008A6B7E" w:rsidRPr="005C62E0">
        <w:t>particulares</w:t>
      </w:r>
      <w:r w:rsidR="004A4046" w:rsidRPr="005C62E0">
        <w:t xml:space="preserve">.  Esto permite a los examinadores extraer la información a partir de un repertorio de datos mucho más amplio mediante la ejecución de una única búsqueda </w:t>
      </w:r>
      <w:r w:rsidR="00D33812">
        <w:t xml:space="preserve">y </w:t>
      </w:r>
      <w:r w:rsidR="002327E5">
        <w:t>utilizando</w:t>
      </w:r>
      <w:r w:rsidR="004A4046" w:rsidRPr="005C62E0">
        <w:t xml:space="preserve"> sus propios sistemas de búsqueda, si bien dicha búsqueda </w:t>
      </w:r>
      <w:r w:rsidR="00D33812" w:rsidRPr="005C62E0">
        <w:t xml:space="preserve">única </w:t>
      </w:r>
      <w:r w:rsidR="004A4046" w:rsidRPr="005C62E0">
        <w:t xml:space="preserve">presenta sus limitaciones, por ejemplo, que la capacidad de búsqueda queda limitada por los campos comunes disponibles en tales datos.  Se ha observado que </w:t>
      </w:r>
      <w:r w:rsidR="00AB5068" w:rsidRPr="005C62E0">
        <w:t>la ejecución de búsquedas relacionadas con la literatura distinta de la de patentes alojada en los servidores de las oficinas</w:t>
      </w:r>
      <w:r w:rsidR="00D33812">
        <w:t xml:space="preserve"> y utilizando</w:t>
      </w:r>
      <w:r w:rsidR="00AB5068" w:rsidRPr="005C62E0">
        <w:t xml:space="preserve"> s</w:t>
      </w:r>
      <w:r w:rsidR="00D33812">
        <w:t>us propios sistemas de búsqueda</w:t>
      </w:r>
      <w:r w:rsidR="00AB5068" w:rsidRPr="005C62E0">
        <w:t xml:space="preserve"> resulta ventajosa en comparación con la</w:t>
      </w:r>
      <w:r w:rsidR="008A6B7E" w:rsidRPr="005C62E0">
        <w:t xml:space="preserve"> ejecución de</w:t>
      </w:r>
      <w:r w:rsidR="00AB5068" w:rsidRPr="005C62E0">
        <w:t xml:space="preserve"> búsqueda</w:t>
      </w:r>
      <w:r w:rsidR="008A6B7E" w:rsidRPr="005C62E0">
        <w:t>s</w:t>
      </w:r>
      <w:r w:rsidR="00AB5068" w:rsidRPr="005C62E0">
        <w:t xml:space="preserve"> </w:t>
      </w:r>
      <w:r w:rsidR="008A6B7E" w:rsidRPr="005C62E0">
        <w:t>utilizando</w:t>
      </w:r>
      <w:r w:rsidR="00AB5068" w:rsidRPr="005C62E0">
        <w:t xml:space="preserve"> las herramientas facilitadas por los editores o por terceros</w:t>
      </w:r>
      <w:r w:rsidR="008A6B7E" w:rsidRPr="005C62E0">
        <w:t xml:space="preserve">.  </w:t>
      </w:r>
      <w:r w:rsidR="00D33812">
        <w:t>Alojar la</w:t>
      </w:r>
      <w:r w:rsidR="008A6B7E" w:rsidRPr="005C62E0">
        <w:t xml:space="preserve"> información en los propios sistemas permite a las Administraciones o a las oficinas adaptar sus sistemas de búsqueda a las necesidades de sus examinadores en un grado mucho mayor, mejorando, así, la eficiencia de </w:t>
      </w:r>
      <w:r w:rsidR="002327E5">
        <w:t>su labor</w:t>
      </w:r>
      <w:r w:rsidR="008A6B7E" w:rsidRPr="005C62E0">
        <w:t>.</w:t>
      </w:r>
    </w:p>
    <w:p w:rsidR="00AC2324" w:rsidRPr="005C62E0" w:rsidRDefault="008A6B7E" w:rsidP="00AC2324">
      <w:pPr>
        <w:pStyle w:val="Heading1"/>
      </w:pPr>
      <w:r w:rsidRPr="005C62E0">
        <w:lastRenderedPageBreak/>
        <w:t>experiencia de la oficina de patentes de la india</w:t>
      </w:r>
    </w:p>
    <w:p w:rsidR="00AC2324" w:rsidRPr="00F50E43" w:rsidRDefault="0090021D" w:rsidP="00AC2324">
      <w:pPr>
        <w:pStyle w:val="ONUME"/>
      </w:pPr>
      <w:r w:rsidRPr="005C62E0">
        <w:t xml:space="preserve">La </w:t>
      </w:r>
      <w:r w:rsidR="008C7C19">
        <w:t>Oficina de patentes</w:t>
      </w:r>
      <w:r w:rsidRPr="005C62E0">
        <w:t xml:space="preserve"> de la India </w:t>
      </w:r>
      <w:r w:rsidR="00B3124A">
        <w:t>dedicó</w:t>
      </w:r>
      <w:r w:rsidR="00796117">
        <w:t xml:space="preserve"> especial </w:t>
      </w:r>
      <w:r w:rsidR="00B3124A">
        <w:t xml:space="preserve">empeño </w:t>
      </w:r>
      <w:r w:rsidR="00A769BE">
        <w:t>a</w:t>
      </w:r>
      <w:r w:rsidRPr="005C62E0">
        <w:t xml:space="preserve"> obtener datos en formato de texto completo</w:t>
      </w:r>
      <w:r w:rsidR="00AC2324" w:rsidRPr="005C62E0">
        <w:t>.</w:t>
      </w:r>
      <w:r w:rsidRPr="005C62E0">
        <w:t xml:space="preserve">  Al principio, los editores se mostraron </w:t>
      </w:r>
      <w:r w:rsidR="00B3124A">
        <w:t>reacios</w:t>
      </w:r>
      <w:r w:rsidRPr="005C62E0">
        <w:t xml:space="preserve"> a proporcionar texto completo para su alojamiento en lo</w:t>
      </w:r>
      <w:r w:rsidR="002C249E">
        <w:t>s servidores internos de dicha O</w:t>
      </w:r>
      <w:r w:rsidRPr="005C62E0">
        <w:t xml:space="preserve">ficina.  </w:t>
      </w:r>
      <w:r w:rsidR="00B3124A">
        <w:t>Pero tras las continua</w:t>
      </w:r>
      <w:r w:rsidR="00D33812">
        <w:t xml:space="preserve">s </w:t>
      </w:r>
      <w:r w:rsidR="00B3124A">
        <w:t>diligencias</w:t>
      </w:r>
      <w:r w:rsidR="00D33812">
        <w:t xml:space="preserve"> de la Oficina</w:t>
      </w:r>
      <w:r w:rsidRPr="005C62E0">
        <w:t xml:space="preserve">, los editores </w:t>
      </w:r>
      <w:r w:rsidR="00B3124A">
        <w:t>ofrecieron</w:t>
      </w:r>
      <w:r w:rsidRPr="005C62E0">
        <w:t xml:space="preserve"> acceso a sus repertorios de literatura distinta de la de patentes </w:t>
      </w:r>
      <w:r w:rsidR="002C249E">
        <w:t>por</w:t>
      </w:r>
      <w:r w:rsidR="001457C1">
        <w:t xml:space="preserve"> </w:t>
      </w:r>
      <w:r w:rsidR="000B114E">
        <w:t>varios</w:t>
      </w:r>
      <w:r w:rsidR="00B3124A">
        <w:t xml:space="preserve"> </w:t>
      </w:r>
      <w:r w:rsidR="002C249E">
        <w:t>métodos</w:t>
      </w:r>
      <w:r w:rsidRPr="005C62E0">
        <w:t xml:space="preserve">:  </w:t>
      </w:r>
      <w:r w:rsidR="000B114E" w:rsidRPr="00FA491C">
        <w:rPr>
          <w:lang w:val="es-ES_tradnl"/>
        </w:rPr>
        <w:t xml:space="preserve">i) acceso exclusivamente por Internet a través de sus respectivos portales web, ii) introducción de datos XML </w:t>
      </w:r>
      <w:r w:rsidR="000B114E">
        <w:rPr>
          <w:lang w:val="es-ES_tradnl"/>
        </w:rPr>
        <w:t xml:space="preserve">solo respecto de los resúmenes, siendo posible </w:t>
      </w:r>
      <w:r w:rsidR="000B114E" w:rsidRPr="00FA491C">
        <w:rPr>
          <w:lang w:val="es-ES_tradnl"/>
        </w:rPr>
        <w:t>exclusivamente por Internet</w:t>
      </w:r>
      <w:r w:rsidR="000B114E">
        <w:rPr>
          <w:lang w:val="es-ES_tradnl"/>
        </w:rPr>
        <w:t xml:space="preserve"> el </w:t>
      </w:r>
      <w:r w:rsidR="000B114E" w:rsidRPr="00FA491C">
        <w:rPr>
          <w:lang w:val="es-ES_tradnl"/>
        </w:rPr>
        <w:t xml:space="preserve">acceso a las versiones en HTML y PDF del texto completo, y iii) </w:t>
      </w:r>
      <w:r w:rsidR="000B114E">
        <w:rPr>
          <w:lang w:val="es-ES_tradnl"/>
        </w:rPr>
        <w:t xml:space="preserve">posibilidad de almacenamiento de datos de texto completo en los </w:t>
      </w:r>
      <w:r w:rsidR="000B114E" w:rsidRPr="00FA491C">
        <w:rPr>
          <w:lang w:val="es-ES_tradnl"/>
        </w:rPr>
        <w:t>servidores internos de la O</w:t>
      </w:r>
      <w:r w:rsidR="000B114E">
        <w:rPr>
          <w:lang w:val="es-ES_tradnl"/>
        </w:rPr>
        <w:t>ficina.</w:t>
      </w:r>
      <w:r w:rsidR="00200577" w:rsidRPr="00C730BC">
        <w:t xml:space="preserve">  </w:t>
      </w:r>
      <w:r w:rsidR="002C249E">
        <w:t xml:space="preserve">Las </w:t>
      </w:r>
      <w:r w:rsidR="000B114E">
        <w:t>conversaciones</w:t>
      </w:r>
      <w:r w:rsidR="002C249E">
        <w:t xml:space="preserve"> sobre</w:t>
      </w:r>
      <w:r w:rsidR="00200577" w:rsidRPr="00C730BC">
        <w:t xml:space="preserve"> la posibilidad de alojar datos </w:t>
      </w:r>
      <w:r w:rsidR="004055E6">
        <w:t>d</w:t>
      </w:r>
      <w:r w:rsidR="00200577" w:rsidRPr="00C730BC">
        <w:t xml:space="preserve">e texto completo en los servidores internos </w:t>
      </w:r>
      <w:r w:rsidR="002C249E">
        <w:t>exigieron</w:t>
      </w:r>
      <w:r w:rsidR="00200577" w:rsidRPr="00C730BC">
        <w:t xml:space="preserve"> un gran esfuerzo, pero los resultados fueron alentadores.  Se </w:t>
      </w:r>
      <w:r w:rsidR="00B3124A">
        <w:t>cree</w:t>
      </w:r>
      <w:r w:rsidR="00200577" w:rsidRPr="00C730BC">
        <w:t xml:space="preserve"> que a partir de ahora serán más los editores que accedan a facilitar</w:t>
      </w:r>
      <w:r w:rsidR="005C47C5">
        <w:t>, cuando corresponda,</w:t>
      </w:r>
      <w:r w:rsidR="00200577" w:rsidRPr="00C730BC">
        <w:t xml:space="preserve"> datos</w:t>
      </w:r>
      <w:r w:rsidR="002C249E">
        <w:t xml:space="preserve"> </w:t>
      </w:r>
      <w:r w:rsidR="00200577" w:rsidRPr="00C730BC">
        <w:t xml:space="preserve">en el formato </w:t>
      </w:r>
      <w:r w:rsidR="001D43BB" w:rsidRPr="00F50E43">
        <w:t xml:space="preserve">que requiera la </w:t>
      </w:r>
      <w:r w:rsidR="008C7C19">
        <w:t>Oficina de patentes</w:t>
      </w:r>
      <w:r w:rsidR="001D43BB" w:rsidRPr="00F50E43">
        <w:t xml:space="preserve"> de la India.</w:t>
      </w:r>
      <w:r w:rsidR="00DD1235" w:rsidRPr="00F50E43">
        <w:t xml:space="preserve">  Se entiende que algunas Administ</w:t>
      </w:r>
      <w:r w:rsidR="00694989">
        <w:t xml:space="preserve">raciones </w:t>
      </w:r>
      <w:r w:rsidR="00B3124A">
        <w:t>mantienen acuerdos concluidos</w:t>
      </w:r>
      <w:r w:rsidR="00694989">
        <w:t xml:space="preserve"> </w:t>
      </w:r>
      <w:r w:rsidR="00DD1235" w:rsidRPr="00F50E43">
        <w:t>con los editores con arreglo a sus necesidades</w:t>
      </w:r>
      <w:r w:rsidR="002C249E">
        <w:t xml:space="preserve"> particulares</w:t>
      </w:r>
      <w:r w:rsidR="00DD1235" w:rsidRPr="00F50E43">
        <w:t>.</w:t>
      </w:r>
    </w:p>
    <w:p w:rsidR="00AC2324" w:rsidRPr="00F50E43" w:rsidRDefault="00B004DF" w:rsidP="00AC2324">
      <w:pPr>
        <w:pStyle w:val="ONUME"/>
        <w:keepLines/>
      </w:pPr>
      <w:r w:rsidRPr="00F50E43">
        <w:t xml:space="preserve">La </w:t>
      </w:r>
      <w:r w:rsidR="008C7C19">
        <w:t>Oficina de patentes</w:t>
      </w:r>
      <w:r w:rsidRPr="00F50E43">
        <w:t xml:space="preserve"> de la India estima que, al menos en lo que respecta a los títulos que constituyen la parte de la literatura distinta de la de patentes de </w:t>
      </w:r>
      <w:r w:rsidR="002C249E">
        <w:t>la documentación mínima del PCT</w:t>
      </w:r>
      <w:r w:rsidR="001430BB">
        <w:t>,</w:t>
      </w:r>
      <w:r w:rsidRPr="00F50E43">
        <w:t xml:space="preserve"> así</w:t>
      </w:r>
      <w:r w:rsidRPr="00C730BC">
        <w:t xml:space="preserve"> como a los métodos que han adoptado actualmente los editores para facilitar</w:t>
      </w:r>
      <w:r w:rsidR="00AE42FB" w:rsidRPr="00C730BC">
        <w:t xml:space="preserve"> acceso a tales</w:t>
      </w:r>
      <w:r w:rsidR="00AE42FB" w:rsidRPr="005C62E0">
        <w:t xml:space="preserve"> publicaciones</w:t>
      </w:r>
      <w:r w:rsidRPr="005C62E0">
        <w:t xml:space="preserve">, </w:t>
      </w:r>
      <w:r w:rsidR="00C730BC">
        <w:t>también debería exigirse</w:t>
      </w:r>
      <w:r w:rsidRPr="005C62E0">
        <w:t xml:space="preserve"> a los editores que faciliten datos </w:t>
      </w:r>
      <w:r w:rsidR="00AE42FB" w:rsidRPr="005C62E0">
        <w:t>de</w:t>
      </w:r>
      <w:r w:rsidRPr="005C62E0">
        <w:t xml:space="preserve"> texto completo </w:t>
      </w:r>
      <w:r w:rsidR="00AE42FB" w:rsidRPr="005C62E0">
        <w:t xml:space="preserve">de tales publicaciones en un formato predeterminado.  De este modo, las Administraciones y las oficinas nacionales podrán utilizar con mayor eficiencia la información contenida en la literatura distinta de la de patentes y también solucionar </w:t>
      </w:r>
      <w:r w:rsidR="00694989">
        <w:t>más eficazmente</w:t>
      </w:r>
      <w:r w:rsidR="00AE42FB" w:rsidRPr="005C62E0">
        <w:t xml:space="preserve"> problemas como la ineficiencia y la </w:t>
      </w:r>
      <w:r w:rsidR="00493A8B">
        <w:t>falta de uniformidad en</w:t>
      </w:r>
      <w:r w:rsidR="00AE42FB" w:rsidRPr="005C62E0">
        <w:t xml:space="preserve"> la estructura de las diferentes bases de datos de literatura distinta de la de patentes que forma parte de la documentación mínima del PCT.  Basándose en su </w:t>
      </w:r>
      <w:r w:rsidR="00AE42FB" w:rsidRPr="00F50E43">
        <w:t xml:space="preserve">experiencia reciente, la </w:t>
      </w:r>
      <w:r w:rsidR="008C7C19">
        <w:t>Oficina de patentes</w:t>
      </w:r>
      <w:r w:rsidR="00AE42FB" w:rsidRPr="00F50E43">
        <w:t xml:space="preserve"> de la India tiene gran confianza en que </w:t>
      </w:r>
      <w:r w:rsidR="00BC1005" w:rsidRPr="00F50E43">
        <w:t>los intereses</w:t>
      </w:r>
      <w:r w:rsidR="00AE42FB" w:rsidRPr="00F50E43">
        <w:t xml:space="preserve"> </w:t>
      </w:r>
      <w:r w:rsidR="00BC1005" w:rsidRPr="00F50E43">
        <w:t xml:space="preserve">de los editores, </w:t>
      </w:r>
      <w:r w:rsidR="001430BB">
        <w:t>a tenor de los</w:t>
      </w:r>
      <w:r w:rsidR="00493A8B">
        <w:t xml:space="preserve"> cuales éstos se abstienen de facilitar</w:t>
      </w:r>
      <w:r w:rsidR="00AE42FB" w:rsidRPr="00F50E43">
        <w:t xml:space="preserve"> datos en un determinado formato</w:t>
      </w:r>
      <w:r w:rsidR="00BC1005" w:rsidRPr="00F50E43">
        <w:t>,</w:t>
      </w:r>
      <w:r w:rsidR="00AE42FB" w:rsidRPr="00F50E43">
        <w:t xml:space="preserve"> </w:t>
      </w:r>
      <w:r w:rsidR="005F2045" w:rsidRPr="00F50E43">
        <w:t>pueda</w:t>
      </w:r>
      <w:r w:rsidR="00F50E43" w:rsidRPr="00F50E43">
        <w:t>n</w:t>
      </w:r>
      <w:r w:rsidR="005F2045" w:rsidRPr="00F50E43">
        <w:t xml:space="preserve"> </w:t>
      </w:r>
      <w:r w:rsidR="00F50E43" w:rsidRPr="00F50E43">
        <w:t xml:space="preserve">también atenderse </w:t>
      </w:r>
      <w:r w:rsidR="00493A8B">
        <w:t>mediante</w:t>
      </w:r>
      <w:r w:rsidR="00F50E43" w:rsidRPr="00F50E43">
        <w:t xml:space="preserve"> el esfuerzo de todas las partes</w:t>
      </w:r>
      <w:r w:rsidR="00913009" w:rsidRPr="00F50E43">
        <w:t>.</w:t>
      </w:r>
    </w:p>
    <w:p w:rsidR="00AC2324" w:rsidRPr="005C62E0" w:rsidRDefault="00066C9F" w:rsidP="00AC2324">
      <w:pPr>
        <w:pStyle w:val="Heading1"/>
      </w:pPr>
      <w:r w:rsidRPr="005C62E0">
        <w:t xml:space="preserve">propuesta </w:t>
      </w:r>
      <w:r w:rsidR="003534E8">
        <w:t>para el</w:t>
      </w:r>
      <w:r w:rsidRPr="005C62E0">
        <w:t xml:space="preserve"> grupo de trabajo del pct</w:t>
      </w:r>
    </w:p>
    <w:p w:rsidR="00AC2324" w:rsidRPr="005C62E0" w:rsidRDefault="003A2D49" w:rsidP="00AC2324">
      <w:pPr>
        <w:pStyle w:val="ONUME"/>
      </w:pPr>
      <w:r w:rsidRPr="005C62E0">
        <w:t xml:space="preserve">Como las Administraciones y las oficinas nacionales pueden tener necesidades distintas, se propone que </w:t>
      </w:r>
      <w:r w:rsidR="001739EE">
        <w:t>el</w:t>
      </w:r>
      <w:r w:rsidRPr="005C62E0">
        <w:t xml:space="preserve"> Grupo de Trabajo</w:t>
      </w:r>
      <w:r w:rsidR="005F2AB9">
        <w:t xml:space="preserve"> del PCT</w:t>
      </w:r>
      <w:r w:rsidRPr="005C62E0">
        <w:t xml:space="preserve"> recomiende a la Asamblea de la Unión PCT que, en sus próximas sesiones, el Comité de Cooperación Técnica examine esta cuestión, si procede en coordinación con la Reunión de las Administraciones Internacionales, teniendo en cuenta las necesidades de las Administraciones o de las oficinas y las limitaciones de los editores, y formule propuestas</w:t>
      </w:r>
      <w:r w:rsidR="00493A8B">
        <w:t>,</w:t>
      </w:r>
      <w:r w:rsidRPr="005C62E0">
        <w:t xml:space="preserve"> que el Grupo de Trabajo </w:t>
      </w:r>
      <w:r w:rsidR="00493A8B">
        <w:t>examinar</w:t>
      </w:r>
      <w:r w:rsidR="00396CB2">
        <w:t>á</w:t>
      </w:r>
      <w:r w:rsidRPr="005C62E0">
        <w:t xml:space="preserve"> en su</w:t>
      </w:r>
      <w:r w:rsidR="00396CB2">
        <w:t>s</w:t>
      </w:r>
      <w:r w:rsidRPr="005C62E0">
        <w:t xml:space="preserve"> próximas reuniones, en relación con el formato o formatos </w:t>
      </w:r>
      <w:r w:rsidR="005F2AB9">
        <w:t>normalizados</w:t>
      </w:r>
      <w:r w:rsidRPr="005C62E0">
        <w:t xml:space="preserve"> en que el editor </w:t>
      </w:r>
      <w:r w:rsidR="00F50E43">
        <w:t>debería</w:t>
      </w:r>
      <w:r w:rsidRPr="005C62E0">
        <w:t xml:space="preserve"> facilitar los datos a las Administraciones Internacionales o </w:t>
      </w:r>
      <w:r w:rsidR="007C7E0C">
        <w:t xml:space="preserve">a </w:t>
      </w:r>
      <w:r w:rsidRPr="005C62E0">
        <w:t>las oficinas nacionales</w:t>
      </w:r>
      <w:r w:rsidR="000D4161">
        <w:t xml:space="preserve">, </w:t>
      </w:r>
      <w:r w:rsidRPr="00F50E43">
        <w:t xml:space="preserve">antes </w:t>
      </w:r>
      <w:r w:rsidR="00BE31F3" w:rsidRPr="00F50E43">
        <w:t xml:space="preserve">de que se considere la posible inclusión de un título en la documentación mínima del PCT.  Asimismo, el Comité podrá identificar a los editores </w:t>
      </w:r>
      <w:r w:rsidR="003534E8">
        <w:t>que muestren disposición a</w:t>
      </w:r>
      <w:r w:rsidR="00BE31F3" w:rsidRPr="00F50E43">
        <w:t xml:space="preserve"> facilitar datos en los forma</w:t>
      </w:r>
      <w:r w:rsidR="005F2AB9" w:rsidRPr="00F50E43">
        <w:t>t</w:t>
      </w:r>
      <w:r w:rsidR="00BE31F3" w:rsidRPr="00F50E43">
        <w:t>os</w:t>
      </w:r>
      <w:r w:rsidR="00BE31F3" w:rsidRPr="005C62E0">
        <w:t xml:space="preserve"> propuestos.  Un cierto grado de armonización permitirá a las Administraciones internacionales y </w:t>
      </w:r>
      <w:r w:rsidR="003534E8">
        <w:t xml:space="preserve">a </w:t>
      </w:r>
      <w:r w:rsidR="00BE31F3" w:rsidRPr="005C62E0">
        <w:t xml:space="preserve">las oficinas nacionales invertir </w:t>
      </w:r>
      <w:r w:rsidR="003534E8">
        <w:t>a su vez</w:t>
      </w:r>
      <w:r w:rsidR="00BE31F3" w:rsidRPr="005C62E0">
        <w:t xml:space="preserve"> en sus sistemas electrónicos</w:t>
      </w:r>
      <w:r w:rsidR="003534E8">
        <w:t>,</w:t>
      </w:r>
      <w:r w:rsidR="005F2AB9">
        <w:t xml:space="preserve"> y</w:t>
      </w:r>
      <w:r w:rsidR="00BE31F3" w:rsidRPr="005C62E0">
        <w:t xml:space="preserve"> </w:t>
      </w:r>
      <w:r w:rsidR="00502032" w:rsidRPr="005C62E0">
        <w:t>contribuirá a mejorar la calidad del examen.</w:t>
      </w:r>
    </w:p>
    <w:p w:rsidR="00AC2324" w:rsidRPr="005C62E0" w:rsidRDefault="00502032" w:rsidP="00AC2324">
      <w:pPr>
        <w:pStyle w:val="ONUME"/>
      </w:pPr>
      <w:r w:rsidRPr="005C62E0">
        <w:t xml:space="preserve">Otra posibilidad es que dicha cuestión se </w:t>
      </w:r>
      <w:r w:rsidR="005C62E0" w:rsidRPr="005C62E0">
        <w:t>remita</w:t>
      </w:r>
      <w:r w:rsidRPr="005C62E0">
        <w:t xml:space="preserve"> al equipo técnico establecido con el fin de preparar un proyecto detallado de todas las especificaciones técnicas relativas a la propuesta de modificación de la Regla 34 del Reglamento del PCT</w:t>
      </w:r>
      <w:r w:rsidR="00AC2324" w:rsidRPr="005C62E0">
        <w:t>.</w:t>
      </w:r>
    </w:p>
    <w:p w:rsidR="00AC2324" w:rsidRPr="005C62E0" w:rsidRDefault="008C7C19" w:rsidP="00AC2324">
      <w:pPr>
        <w:pStyle w:val="ONUME"/>
        <w:ind w:left="5533"/>
        <w:rPr>
          <w:i/>
        </w:rPr>
      </w:pPr>
      <w:r>
        <w:rPr>
          <w:i/>
        </w:rPr>
        <w:t>S</w:t>
      </w:r>
      <w:r w:rsidR="005C62E0" w:rsidRPr="005C62E0">
        <w:rPr>
          <w:i/>
        </w:rPr>
        <w:t xml:space="preserve">e invita al Grupo de Trabajo del PCT a tomar nota del contenido del presente documento y a considerar las recomendaciones propuestas </w:t>
      </w:r>
      <w:r>
        <w:rPr>
          <w:i/>
        </w:rPr>
        <w:t>que se formulan</w:t>
      </w:r>
      <w:r w:rsidR="005C62E0" w:rsidRPr="005C62E0">
        <w:rPr>
          <w:i/>
        </w:rPr>
        <w:t xml:space="preserve"> en los párrafos </w:t>
      </w:r>
      <w:r w:rsidR="00C552BC">
        <w:rPr>
          <w:i/>
        </w:rPr>
        <w:t>9</w:t>
      </w:r>
      <w:r w:rsidR="005C62E0" w:rsidRPr="005C62E0">
        <w:rPr>
          <w:i/>
        </w:rPr>
        <w:t xml:space="preserve"> y 1</w:t>
      </w:r>
      <w:r w:rsidR="00C552BC">
        <w:rPr>
          <w:i/>
        </w:rPr>
        <w:t>0</w:t>
      </w:r>
      <w:r w:rsidR="005C62E0" w:rsidRPr="005C62E0">
        <w:rPr>
          <w:i/>
        </w:rPr>
        <w:t>.</w:t>
      </w:r>
    </w:p>
    <w:p w:rsidR="00152CEA" w:rsidRPr="005C62E0" w:rsidRDefault="00AC2324" w:rsidP="00C94DBC">
      <w:pPr>
        <w:pStyle w:val="Endofdocument-Annex"/>
        <w:spacing w:before="200"/>
        <w:rPr>
          <w:lang w:val="es-ES"/>
        </w:rPr>
      </w:pPr>
      <w:r w:rsidRPr="005C62E0">
        <w:rPr>
          <w:lang w:val="es-ES"/>
        </w:rPr>
        <w:t>[</w:t>
      </w:r>
      <w:r w:rsidR="00DB65BA" w:rsidRPr="005C62E0">
        <w:rPr>
          <w:lang w:val="es-ES"/>
        </w:rPr>
        <w:t>Fin del documento</w:t>
      </w:r>
      <w:r w:rsidRPr="005C62E0">
        <w:rPr>
          <w:lang w:val="es-ES"/>
        </w:rPr>
        <w:t>]</w:t>
      </w:r>
    </w:p>
    <w:sectPr w:rsidR="00152CEA" w:rsidRPr="005C62E0" w:rsidSect="00B51D7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D75" w:rsidRDefault="00B51D75">
      <w:r>
        <w:separator/>
      </w:r>
    </w:p>
  </w:endnote>
  <w:endnote w:type="continuationSeparator" w:id="0">
    <w:p w:rsidR="00B51D75" w:rsidRPr="009D30E6" w:rsidRDefault="00B51D75" w:rsidP="007E663E">
      <w:pPr>
        <w:rPr>
          <w:sz w:val="17"/>
          <w:szCs w:val="17"/>
        </w:rPr>
      </w:pPr>
      <w:r w:rsidRPr="009D30E6">
        <w:rPr>
          <w:sz w:val="17"/>
          <w:szCs w:val="17"/>
        </w:rPr>
        <w:separator/>
      </w:r>
    </w:p>
    <w:p w:rsidR="00B51D75" w:rsidRPr="007E663E" w:rsidRDefault="00B51D75" w:rsidP="007E663E">
      <w:pPr>
        <w:spacing w:after="60"/>
        <w:rPr>
          <w:sz w:val="17"/>
          <w:szCs w:val="17"/>
        </w:rPr>
      </w:pPr>
      <w:r>
        <w:rPr>
          <w:sz w:val="17"/>
        </w:rPr>
        <w:t>[Continuación de la nota de la página anterior]</w:t>
      </w:r>
    </w:p>
  </w:endnote>
  <w:endnote w:type="continuationNotice" w:id="1">
    <w:p w:rsidR="00B51D75" w:rsidRPr="007E663E" w:rsidRDefault="00B51D7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D75" w:rsidRDefault="00B51D75">
      <w:r>
        <w:separator/>
      </w:r>
    </w:p>
  </w:footnote>
  <w:footnote w:type="continuationSeparator" w:id="0">
    <w:p w:rsidR="00B51D75" w:rsidRPr="009D30E6" w:rsidRDefault="00B51D75" w:rsidP="007E663E">
      <w:pPr>
        <w:rPr>
          <w:sz w:val="17"/>
          <w:szCs w:val="17"/>
        </w:rPr>
      </w:pPr>
      <w:r w:rsidRPr="009D30E6">
        <w:rPr>
          <w:sz w:val="17"/>
          <w:szCs w:val="17"/>
        </w:rPr>
        <w:separator/>
      </w:r>
    </w:p>
    <w:p w:rsidR="00B51D75" w:rsidRPr="007E663E" w:rsidRDefault="00B51D75" w:rsidP="007E663E">
      <w:pPr>
        <w:spacing w:after="60"/>
        <w:rPr>
          <w:sz w:val="17"/>
          <w:szCs w:val="17"/>
        </w:rPr>
      </w:pPr>
      <w:r>
        <w:rPr>
          <w:sz w:val="17"/>
        </w:rPr>
        <w:t>[Continuación de la nota de la página anterior]</w:t>
      </w:r>
    </w:p>
  </w:footnote>
  <w:footnote w:type="continuationNotice" w:id="1">
    <w:p w:rsidR="00B51D75" w:rsidRPr="007E663E" w:rsidRDefault="00B51D7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B51D75" w:rsidP="00477D6B">
    <w:pPr>
      <w:jc w:val="right"/>
    </w:pPr>
    <w:bookmarkStart w:id="6" w:name="Code2"/>
    <w:bookmarkEnd w:id="6"/>
    <w:r>
      <w:t>PCT/WG/7/28</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FD1293">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6D109E1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Arial" w:eastAsiaTheme="minorHAnsi" w:hAnsi="Arial" w:cs="Aria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75"/>
    <w:rsid w:val="00010686"/>
    <w:rsid w:val="00052915"/>
    <w:rsid w:val="00066C9F"/>
    <w:rsid w:val="0007306A"/>
    <w:rsid w:val="00074058"/>
    <w:rsid w:val="000A42DF"/>
    <w:rsid w:val="000B114E"/>
    <w:rsid w:val="000D4161"/>
    <w:rsid w:val="000E3BB3"/>
    <w:rsid w:val="000F5E56"/>
    <w:rsid w:val="001362EE"/>
    <w:rsid w:val="001430BB"/>
    <w:rsid w:val="001457C1"/>
    <w:rsid w:val="00152CEA"/>
    <w:rsid w:val="001739EE"/>
    <w:rsid w:val="001832A6"/>
    <w:rsid w:val="001A39D3"/>
    <w:rsid w:val="001D43BB"/>
    <w:rsid w:val="001E1B60"/>
    <w:rsid w:val="00200577"/>
    <w:rsid w:val="002327E5"/>
    <w:rsid w:val="00262B0E"/>
    <w:rsid w:val="002634C4"/>
    <w:rsid w:val="002C249E"/>
    <w:rsid w:val="002E0F47"/>
    <w:rsid w:val="002F4E68"/>
    <w:rsid w:val="003151D2"/>
    <w:rsid w:val="003534E8"/>
    <w:rsid w:val="00354647"/>
    <w:rsid w:val="00377273"/>
    <w:rsid w:val="003845C1"/>
    <w:rsid w:val="00387287"/>
    <w:rsid w:val="00396CB2"/>
    <w:rsid w:val="003A2D49"/>
    <w:rsid w:val="003D3FF6"/>
    <w:rsid w:val="003E1936"/>
    <w:rsid w:val="003E48F1"/>
    <w:rsid w:val="003F347A"/>
    <w:rsid w:val="004055E6"/>
    <w:rsid w:val="00423E3E"/>
    <w:rsid w:val="00427AF4"/>
    <w:rsid w:val="0045231F"/>
    <w:rsid w:val="004647DA"/>
    <w:rsid w:val="00477808"/>
    <w:rsid w:val="00477D6B"/>
    <w:rsid w:val="00493A8B"/>
    <w:rsid w:val="004A4046"/>
    <w:rsid w:val="004A6C37"/>
    <w:rsid w:val="004E297D"/>
    <w:rsid w:val="004F3C88"/>
    <w:rsid w:val="0050002E"/>
    <w:rsid w:val="00502032"/>
    <w:rsid w:val="005060A7"/>
    <w:rsid w:val="005332F0"/>
    <w:rsid w:val="0055013B"/>
    <w:rsid w:val="005521FD"/>
    <w:rsid w:val="00571B99"/>
    <w:rsid w:val="005C47C5"/>
    <w:rsid w:val="005C62E0"/>
    <w:rsid w:val="005F2045"/>
    <w:rsid w:val="005F2AB9"/>
    <w:rsid w:val="00605827"/>
    <w:rsid w:val="0067491F"/>
    <w:rsid w:val="00675021"/>
    <w:rsid w:val="00694989"/>
    <w:rsid w:val="006A06C6"/>
    <w:rsid w:val="006A4D72"/>
    <w:rsid w:val="007224C8"/>
    <w:rsid w:val="00730697"/>
    <w:rsid w:val="00731A00"/>
    <w:rsid w:val="007454F5"/>
    <w:rsid w:val="00794BE2"/>
    <w:rsid w:val="00796117"/>
    <w:rsid w:val="007B08D0"/>
    <w:rsid w:val="007B71FE"/>
    <w:rsid w:val="007C0A94"/>
    <w:rsid w:val="007C7E0C"/>
    <w:rsid w:val="007D781E"/>
    <w:rsid w:val="007E2B69"/>
    <w:rsid w:val="007E3A19"/>
    <w:rsid w:val="007E663E"/>
    <w:rsid w:val="00815082"/>
    <w:rsid w:val="0082057B"/>
    <w:rsid w:val="0088395E"/>
    <w:rsid w:val="008A6B7E"/>
    <w:rsid w:val="008B2CC1"/>
    <w:rsid w:val="008C7C19"/>
    <w:rsid w:val="008E6BD6"/>
    <w:rsid w:val="0090021D"/>
    <w:rsid w:val="0090731E"/>
    <w:rsid w:val="00913009"/>
    <w:rsid w:val="00966A22"/>
    <w:rsid w:val="00972F03"/>
    <w:rsid w:val="009A0C8B"/>
    <w:rsid w:val="009B6241"/>
    <w:rsid w:val="00A16FC0"/>
    <w:rsid w:val="00A32C9E"/>
    <w:rsid w:val="00A5367A"/>
    <w:rsid w:val="00A554F4"/>
    <w:rsid w:val="00A63911"/>
    <w:rsid w:val="00A769BE"/>
    <w:rsid w:val="00A846AD"/>
    <w:rsid w:val="00AB5068"/>
    <w:rsid w:val="00AB613D"/>
    <w:rsid w:val="00AC2324"/>
    <w:rsid w:val="00AE42FB"/>
    <w:rsid w:val="00AE7F20"/>
    <w:rsid w:val="00B004DF"/>
    <w:rsid w:val="00B21C55"/>
    <w:rsid w:val="00B3124A"/>
    <w:rsid w:val="00B51D75"/>
    <w:rsid w:val="00B65A0A"/>
    <w:rsid w:val="00B67CDC"/>
    <w:rsid w:val="00B72D36"/>
    <w:rsid w:val="00B77AF4"/>
    <w:rsid w:val="00B928C1"/>
    <w:rsid w:val="00BA0FAF"/>
    <w:rsid w:val="00BC1005"/>
    <w:rsid w:val="00BC4164"/>
    <w:rsid w:val="00BD2DCC"/>
    <w:rsid w:val="00BE31F3"/>
    <w:rsid w:val="00C552BC"/>
    <w:rsid w:val="00C57BD2"/>
    <w:rsid w:val="00C61A5A"/>
    <w:rsid w:val="00C730BC"/>
    <w:rsid w:val="00C90559"/>
    <w:rsid w:val="00C94DBC"/>
    <w:rsid w:val="00CA2251"/>
    <w:rsid w:val="00CB46C2"/>
    <w:rsid w:val="00CF3214"/>
    <w:rsid w:val="00CF637F"/>
    <w:rsid w:val="00D33812"/>
    <w:rsid w:val="00D56C7C"/>
    <w:rsid w:val="00D71B4D"/>
    <w:rsid w:val="00D90289"/>
    <w:rsid w:val="00D93D55"/>
    <w:rsid w:val="00DA3CE5"/>
    <w:rsid w:val="00DB65BA"/>
    <w:rsid w:val="00DC4C60"/>
    <w:rsid w:val="00DD1235"/>
    <w:rsid w:val="00E0079A"/>
    <w:rsid w:val="00E444DA"/>
    <w:rsid w:val="00E45C84"/>
    <w:rsid w:val="00E504E5"/>
    <w:rsid w:val="00E94633"/>
    <w:rsid w:val="00EB7A3E"/>
    <w:rsid w:val="00EC401A"/>
    <w:rsid w:val="00EF530A"/>
    <w:rsid w:val="00EF6622"/>
    <w:rsid w:val="00F50E43"/>
    <w:rsid w:val="00F55408"/>
    <w:rsid w:val="00F66152"/>
    <w:rsid w:val="00F67AC9"/>
    <w:rsid w:val="00F80845"/>
    <w:rsid w:val="00F808B1"/>
    <w:rsid w:val="00F84474"/>
    <w:rsid w:val="00FA0F0D"/>
    <w:rsid w:val="00FD1293"/>
    <w:rsid w:val="00FD59D1"/>
    <w:rsid w:val="00FD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3817-D2DC-44A7-AB6D-114DD407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(S)</Template>
  <TotalTime>14</TotalTime>
  <Pages>3</Pages>
  <Words>1559</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Literatura distinta de la de patentes en la documentación mínima del PCT</vt:lpstr>
    </vt:vector>
  </TitlesOfParts>
  <Company>WIPO</Company>
  <LinksUpToDate>false</LinksUpToDate>
  <CharactersWithSpaces>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Literatura distinta de la de patentes en la documentación mínima del PCT</dc:title>
  <dc:subject>PCT/WG/7/28</dc:subject>
  <dc:creator>BOU LLORET Amparo</dc:creator>
  <dc:description>ID/LM (QC)
03/06/2014</dc:description>
  <cp:lastModifiedBy>MARLOW Thomas</cp:lastModifiedBy>
  <cp:revision>3</cp:revision>
  <cp:lastPrinted>2014-06-05T08:57:00Z</cp:lastPrinted>
  <dcterms:created xsi:type="dcterms:W3CDTF">2014-06-06T07:29:00Z</dcterms:created>
  <dcterms:modified xsi:type="dcterms:W3CDTF">2014-06-06T07:42:00Z</dcterms:modified>
</cp:coreProperties>
</file>