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463CE" w:rsidRPr="00C463CE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463CE" w:rsidRDefault="00E504E5" w:rsidP="00E05026">
            <w:pPr>
              <w:widowControl w:val="0"/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63CE" w:rsidRDefault="003E1936" w:rsidP="00E05026">
            <w:pPr>
              <w:widowControl w:val="0"/>
              <w:rPr>
                <w:lang w:val="es-ES_tradnl"/>
              </w:rPr>
            </w:pPr>
            <w:r w:rsidRPr="00C463CE">
              <w:rPr>
                <w:noProof/>
                <w:lang w:val="en-US" w:eastAsia="en-US"/>
              </w:rPr>
              <w:drawing>
                <wp:inline distT="0" distB="0" distL="0" distR="0" wp14:anchorId="1A6B4C15" wp14:editId="2152841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63CE" w:rsidRDefault="00E504E5" w:rsidP="00E05026">
            <w:pPr>
              <w:widowControl w:val="0"/>
              <w:jc w:val="right"/>
              <w:rPr>
                <w:lang w:val="es-ES_tradnl"/>
              </w:rPr>
            </w:pPr>
            <w:r w:rsidRPr="00C463CE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C463CE" w:rsidRPr="00C463CE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463CE" w:rsidRDefault="00074058" w:rsidP="00E05026">
            <w:pPr>
              <w:widowControl w:val="0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463CE">
              <w:rPr>
                <w:rFonts w:ascii="Arial Black" w:hAnsi="Arial Black"/>
                <w:caps/>
                <w:sz w:val="15"/>
                <w:lang w:val="es-ES_tradnl"/>
              </w:rPr>
              <w:t>PCT/WG/7/</w:t>
            </w:r>
            <w:bookmarkStart w:id="0" w:name="Code"/>
            <w:bookmarkEnd w:id="0"/>
            <w:r w:rsidR="00482FBC" w:rsidRPr="00C463CE">
              <w:rPr>
                <w:rFonts w:ascii="Arial Black" w:hAnsi="Arial Black"/>
                <w:caps/>
                <w:sz w:val="15"/>
                <w:lang w:val="es-ES_tradnl"/>
              </w:rPr>
              <w:t>20</w:t>
            </w:r>
          </w:p>
        </w:tc>
      </w:tr>
      <w:tr w:rsidR="00C463CE" w:rsidRPr="00C463CE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463CE" w:rsidRDefault="008B2CC1" w:rsidP="00E05026">
            <w:pPr>
              <w:widowControl w:val="0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463CE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0B0A91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1" w:name="Original"/>
            <w:bookmarkEnd w:id="1"/>
            <w:r w:rsidR="00482FBC" w:rsidRPr="00C463CE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C463CE" w:rsidRPr="00C463CE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463CE" w:rsidRDefault="00675021" w:rsidP="00E05026">
            <w:pPr>
              <w:widowControl w:val="0"/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463CE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C463CE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0B0A91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2" w:name="Date"/>
            <w:bookmarkEnd w:id="2"/>
            <w:r w:rsidR="00482FBC" w:rsidRPr="00C463CE">
              <w:rPr>
                <w:rFonts w:ascii="Arial Black" w:hAnsi="Arial Black"/>
                <w:caps/>
                <w:sz w:val="15"/>
                <w:lang w:val="es-ES_tradnl"/>
              </w:rPr>
              <w:t>23</w:t>
            </w:r>
            <w:r w:rsidR="000B0A91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82FBC" w:rsidRPr="00C463CE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0B0A91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82FBC" w:rsidRPr="00C463CE">
              <w:rPr>
                <w:rFonts w:ascii="Arial Black" w:hAnsi="Arial Black"/>
                <w:caps/>
                <w:sz w:val="15"/>
                <w:lang w:val="es-ES_tradnl"/>
              </w:rPr>
              <w:t>mayo</w:t>
            </w:r>
            <w:r w:rsidR="000B0A91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82FBC" w:rsidRPr="00C463CE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0B0A91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82FBC" w:rsidRPr="00C463CE">
              <w:rPr>
                <w:rFonts w:ascii="Arial Black" w:hAnsi="Arial Black"/>
                <w:caps/>
                <w:sz w:val="15"/>
                <w:lang w:val="es-ES_tradnl"/>
              </w:rPr>
              <w:t>2014</w:t>
            </w:r>
          </w:p>
        </w:tc>
      </w:tr>
    </w:tbl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8B2CC1" w:rsidP="00E05026">
      <w:pPr>
        <w:widowControl w:val="0"/>
        <w:rPr>
          <w:lang w:val="es-ES_tradnl"/>
        </w:rPr>
      </w:pPr>
    </w:p>
    <w:p w:rsidR="003D3FF6" w:rsidRPr="00C463CE" w:rsidRDefault="003D3FF6" w:rsidP="00E05026">
      <w:pPr>
        <w:widowControl w:val="0"/>
        <w:rPr>
          <w:b/>
          <w:sz w:val="28"/>
          <w:szCs w:val="28"/>
          <w:lang w:val="es-ES_tradnl"/>
        </w:rPr>
      </w:pPr>
      <w:r w:rsidRPr="00C463CE">
        <w:rPr>
          <w:b/>
          <w:sz w:val="28"/>
          <w:szCs w:val="28"/>
          <w:lang w:val="es-ES_tradnl"/>
        </w:rPr>
        <w:t>Tratado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de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Cooperación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en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materia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de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Patentes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(PCT)</w:t>
      </w:r>
    </w:p>
    <w:p w:rsidR="00B67CDC" w:rsidRPr="00C463CE" w:rsidRDefault="003D3FF6" w:rsidP="00E05026">
      <w:pPr>
        <w:widowControl w:val="0"/>
        <w:rPr>
          <w:b/>
          <w:sz w:val="28"/>
          <w:szCs w:val="28"/>
          <w:lang w:val="es-ES_tradnl"/>
        </w:rPr>
      </w:pPr>
      <w:r w:rsidRPr="00C463CE">
        <w:rPr>
          <w:b/>
          <w:sz w:val="28"/>
          <w:szCs w:val="28"/>
          <w:lang w:val="es-ES_tradnl"/>
        </w:rPr>
        <w:t>Grupo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de</w:t>
      </w:r>
      <w:r w:rsidR="000B0A91">
        <w:rPr>
          <w:b/>
          <w:sz w:val="28"/>
          <w:szCs w:val="28"/>
          <w:lang w:val="es-ES_tradnl"/>
        </w:rPr>
        <w:t xml:space="preserve"> </w:t>
      </w:r>
      <w:r w:rsidRPr="00C463CE">
        <w:rPr>
          <w:b/>
          <w:sz w:val="28"/>
          <w:szCs w:val="28"/>
          <w:lang w:val="es-ES_tradnl"/>
        </w:rPr>
        <w:t>Trabajo</w:t>
      </w:r>
    </w:p>
    <w:p w:rsidR="003845C1" w:rsidRPr="00C463CE" w:rsidRDefault="003845C1" w:rsidP="00E05026">
      <w:pPr>
        <w:widowControl w:val="0"/>
        <w:rPr>
          <w:lang w:val="es-ES_tradnl"/>
        </w:rPr>
      </w:pPr>
    </w:p>
    <w:p w:rsidR="003845C1" w:rsidRPr="00C463CE" w:rsidRDefault="003845C1" w:rsidP="00E05026">
      <w:pPr>
        <w:widowControl w:val="0"/>
        <w:rPr>
          <w:lang w:val="es-ES_tradnl"/>
        </w:rPr>
      </w:pPr>
    </w:p>
    <w:p w:rsidR="00B67CDC" w:rsidRPr="00C463CE" w:rsidRDefault="003D3FF6" w:rsidP="00E05026">
      <w:pPr>
        <w:widowControl w:val="0"/>
        <w:rPr>
          <w:b/>
          <w:sz w:val="24"/>
          <w:szCs w:val="24"/>
          <w:lang w:val="es-ES_tradnl"/>
        </w:rPr>
      </w:pPr>
      <w:r w:rsidRPr="00C463CE">
        <w:rPr>
          <w:b/>
          <w:sz w:val="24"/>
          <w:szCs w:val="24"/>
          <w:lang w:val="es-ES_tradnl"/>
        </w:rPr>
        <w:t>Séptima</w:t>
      </w:r>
      <w:r w:rsidR="000B0A91">
        <w:rPr>
          <w:b/>
          <w:sz w:val="24"/>
          <w:szCs w:val="24"/>
          <w:lang w:val="es-ES_tradnl"/>
        </w:rPr>
        <w:t xml:space="preserve"> </w:t>
      </w:r>
      <w:r w:rsidR="00CF637F" w:rsidRPr="00C463CE">
        <w:rPr>
          <w:b/>
          <w:sz w:val="24"/>
          <w:szCs w:val="24"/>
          <w:lang w:val="es-ES_tradnl"/>
        </w:rPr>
        <w:t>reunión</w:t>
      </w:r>
    </w:p>
    <w:p w:rsidR="00B67CDC" w:rsidRPr="00C463CE" w:rsidRDefault="003D3FF6" w:rsidP="00E05026">
      <w:pPr>
        <w:widowControl w:val="0"/>
        <w:rPr>
          <w:b/>
          <w:sz w:val="24"/>
          <w:szCs w:val="24"/>
          <w:lang w:val="es-ES_tradnl"/>
        </w:rPr>
      </w:pPr>
      <w:r w:rsidRPr="00C463CE">
        <w:rPr>
          <w:b/>
          <w:sz w:val="24"/>
          <w:szCs w:val="24"/>
          <w:lang w:val="es-ES_tradnl"/>
        </w:rPr>
        <w:t>Ginebra,</w:t>
      </w:r>
      <w:r w:rsidR="000B0A91">
        <w:rPr>
          <w:b/>
          <w:sz w:val="24"/>
          <w:szCs w:val="24"/>
          <w:lang w:val="es-ES_tradnl"/>
        </w:rPr>
        <w:t xml:space="preserve"> </w:t>
      </w:r>
      <w:r w:rsidRPr="00C463CE">
        <w:rPr>
          <w:b/>
          <w:sz w:val="24"/>
          <w:szCs w:val="24"/>
          <w:lang w:val="es-ES_tradnl"/>
        </w:rPr>
        <w:t>10</w:t>
      </w:r>
      <w:r w:rsidR="000B0A91">
        <w:rPr>
          <w:b/>
          <w:sz w:val="24"/>
          <w:szCs w:val="24"/>
          <w:lang w:val="es-ES_tradnl"/>
        </w:rPr>
        <w:t xml:space="preserve"> </w:t>
      </w:r>
      <w:r w:rsidRPr="00C463CE">
        <w:rPr>
          <w:b/>
          <w:sz w:val="24"/>
          <w:szCs w:val="24"/>
          <w:lang w:val="es-ES_tradnl"/>
        </w:rPr>
        <w:t>a</w:t>
      </w:r>
      <w:r w:rsidR="000B0A91">
        <w:rPr>
          <w:b/>
          <w:sz w:val="24"/>
          <w:szCs w:val="24"/>
          <w:lang w:val="es-ES_tradnl"/>
        </w:rPr>
        <w:t xml:space="preserve"> </w:t>
      </w:r>
      <w:r w:rsidRPr="00C463CE">
        <w:rPr>
          <w:b/>
          <w:sz w:val="24"/>
          <w:szCs w:val="24"/>
          <w:lang w:val="es-ES_tradnl"/>
        </w:rPr>
        <w:t>13</w:t>
      </w:r>
      <w:r w:rsidR="000B0A91">
        <w:rPr>
          <w:b/>
          <w:sz w:val="24"/>
          <w:szCs w:val="24"/>
          <w:lang w:val="es-ES_tradnl"/>
        </w:rPr>
        <w:t xml:space="preserve"> </w:t>
      </w:r>
      <w:r w:rsidRPr="00C463CE">
        <w:rPr>
          <w:b/>
          <w:sz w:val="24"/>
          <w:szCs w:val="24"/>
          <w:lang w:val="es-ES_tradnl"/>
        </w:rPr>
        <w:t>de</w:t>
      </w:r>
      <w:r w:rsidR="000B0A91">
        <w:rPr>
          <w:b/>
          <w:sz w:val="24"/>
          <w:szCs w:val="24"/>
          <w:lang w:val="es-ES_tradnl"/>
        </w:rPr>
        <w:t xml:space="preserve"> </w:t>
      </w:r>
      <w:r w:rsidRPr="00C463CE">
        <w:rPr>
          <w:b/>
          <w:sz w:val="24"/>
          <w:szCs w:val="24"/>
          <w:lang w:val="es-ES_tradnl"/>
        </w:rPr>
        <w:t>junio</w:t>
      </w:r>
      <w:r w:rsidR="000B0A91">
        <w:rPr>
          <w:b/>
          <w:sz w:val="24"/>
          <w:szCs w:val="24"/>
          <w:lang w:val="es-ES_tradnl"/>
        </w:rPr>
        <w:t xml:space="preserve"> </w:t>
      </w:r>
      <w:r w:rsidRPr="00C463CE">
        <w:rPr>
          <w:b/>
          <w:sz w:val="24"/>
          <w:szCs w:val="24"/>
          <w:lang w:val="es-ES_tradnl"/>
        </w:rPr>
        <w:t>de</w:t>
      </w:r>
      <w:r w:rsidR="000B0A91">
        <w:rPr>
          <w:b/>
          <w:sz w:val="24"/>
          <w:szCs w:val="24"/>
          <w:lang w:val="es-ES_tradnl"/>
        </w:rPr>
        <w:t xml:space="preserve"> </w:t>
      </w:r>
      <w:r w:rsidRPr="00C463CE">
        <w:rPr>
          <w:b/>
          <w:sz w:val="24"/>
          <w:szCs w:val="24"/>
          <w:lang w:val="es-ES_tradnl"/>
        </w:rPr>
        <w:t>2014</w:t>
      </w:r>
    </w:p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482FBC" w:rsidP="00E05026">
      <w:pPr>
        <w:widowControl w:val="0"/>
        <w:rPr>
          <w:caps/>
          <w:sz w:val="24"/>
          <w:lang w:val="es-ES_tradnl"/>
        </w:rPr>
      </w:pPr>
      <w:bookmarkStart w:id="3" w:name="TitleOfDoc"/>
      <w:bookmarkEnd w:id="3"/>
      <w:r w:rsidRPr="00C463CE">
        <w:rPr>
          <w:caps/>
          <w:sz w:val="24"/>
          <w:lang w:val="es-ES_tradnl"/>
        </w:rPr>
        <w:t>debate</w:t>
      </w:r>
      <w:r w:rsidR="000B0A91">
        <w:rPr>
          <w:caps/>
          <w:sz w:val="24"/>
          <w:lang w:val="es-ES_tradnl"/>
        </w:rPr>
        <w:t xml:space="preserve"> </w:t>
      </w:r>
      <w:r w:rsidRPr="00C463CE">
        <w:rPr>
          <w:caps/>
          <w:sz w:val="24"/>
          <w:lang w:val="es-ES_tradnl"/>
        </w:rPr>
        <w:t>general</w:t>
      </w:r>
      <w:r w:rsidR="000B0A91">
        <w:rPr>
          <w:caps/>
          <w:sz w:val="24"/>
          <w:lang w:val="es-ES_tradnl"/>
        </w:rPr>
        <w:t xml:space="preserve"> </w:t>
      </w:r>
      <w:r w:rsidRPr="00C463CE">
        <w:rPr>
          <w:caps/>
          <w:sz w:val="24"/>
          <w:lang w:val="es-ES_tradnl"/>
        </w:rPr>
        <w:t>de</w:t>
      </w:r>
      <w:r w:rsidR="000B0A91">
        <w:rPr>
          <w:caps/>
          <w:sz w:val="24"/>
          <w:lang w:val="es-ES_tradnl"/>
        </w:rPr>
        <w:t xml:space="preserve"> </w:t>
      </w:r>
      <w:r w:rsidRPr="00C463CE">
        <w:rPr>
          <w:caps/>
          <w:sz w:val="24"/>
          <w:lang w:val="es-ES_tradnl"/>
        </w:rPr>
        <w:t>las</w:t>
      </w:r>
      <w:r w:rsidR="000B0A91">
        <w:rPr>
          <w:caps/>
          <w:sz w:val="24"/>
          <w:lang w:val="es-ES_tradnl"/>
        </w:rPr>
        <w:t xml:space="preserve"> </w:t>
      </w:r>
      <w:r w:rsidRPr="00C463CE">
        <w:rPr>
          <w:caps/>
          <w:sz w:val="24"/>
          <w:lang w:val="es-ES_tradnl"/>
        </w:rPr>
        <w:t>propuestas</w:t>
      </w:r>
      <w:r w:rsidR="000B0A91">
        <w:rPr>
          <w:caps/>
          <w:sz w:val="24"/>
          <w:lang w:val="es-ES_tradnl"/>
        </w:rPr>
        <w:t xml:space="preserve"> </w:t>
      </w:r>
      <w:r w:rsidRPr="00C463CE">
        <w:rPr>
          <w:caps/>
          <w:sz w:val="24"/>
          <w:lang w:val="es-ES_tradnl"/>
        </w:rPr>
        <w:t>del</w:t>
      </w:r>
      <w:r w:rsidR="000B0A91">
        <w:rPr>
          <w:caps/>
          <w:sz w:val="24"/>
          <w:lang w:val="es-ES_tradnl"/>
        </w:rPr>
        <w:t xml:space="preserve"> </w:t>
      </w:r>
      <w:r w:rsidRPr="00C463CE">
        <w:rPr>
          <w:caps/>
          <w:sz w:val="24"/>
          <w:lang w:val="es-ES_tradnl"/>
        </w:rPr>
        <w:t>pct</w:t>
      </w:r>
      <w:r w:rsidR="000B0A91">
        <w:rPr>
          <w:caps/>
          <w:sz w:val="24"/>
          <w:lang w:val="es-ES_tradnl"/>
        </w:rPr>
        <w:t xml:space="preserve"> </w:t>
      </w:r>
      <w:r w:rsidRPr="00C463CE">
        <w:rPr>
          <w:caps/>
          <w:sz w:val="24"/>
          <w:lang w:val="es-ES_tradnl"/>
        </w:rPr>
        <w:t>20/20</w:t>
      </w:r>
    </w:p>
    <w:p w:rsidR="008B2CC1" w:rsidRPr="00C463CE" w:rsidRDefault="008B2CC1" w:rsidP="00E05026">
      <w:pPr>
        <w:widowControl w:val="0"/>
        <w:rPr>
          <w:lang w:val="es-ES_tradnl"/>
        </w:rPr>
      </w:pPr>
    </w:p>
    <w:p w:rsidR="008B2CC1" w:rsidRPr="00C463CE" w:rsidRDefault="00482FBC" w:rsidP="00E05026">
      <w:pPr>
        <w:widowControl w:val="0"/>
        <w:rPr>
          <w:i/>
          <w:lang w:val="es-ES_tradnl"/>
        </w:rPr>
      </w:pPr>
      <w:bookmarkStart w:id="4" w:name="Prepared"/>
      <w:bookmarkEnd w:id="4"/>
      <w:r w:rsidRPr="00C463CE">
        <w:rPr>
          <w:i/>
          <w:lang w:val="es-ES_tradnl"/>
        </w:rPr>
        <w:t>Documento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presentado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por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los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Estados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Unidos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de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América</w:t>
      </w:r>
      <w:r w:rsidR="000B0A91">
        <w:rPr>
          <w:i/>
          <w:lang w:val="es-ES_tradnl"/>
        </w:rPr>
        <w:t xml:space="preserve"> </w:t>
      </w:r>
      <w:r w:rsidR="00585BCA">
        <w:rPr>
          <w:i/>
          <w:lang w:val="es-ES_tradnl"/>
        </w:rPr>
        <w:t>y</w:t>
      </w:r>
      <w:r w:rsidR="000B0A91">
        <w:rPr>
          <w:i/>
          <w:lang w:val="es-ES_tradnl"/>
        </w:rPr>
        <w:t xml:space="preserve"> </w:t>
      </w:r>
      <w:r w:rsidR="00585BCA">
        <w:rPr>
          <w:i/>
          <w:lang w:val="es-ES_tradnl"/>
        </w:rPr>
        <w:t>el</w:t>
      </w:r>
      <w:r w:rsidR="000B0A91">
        <w:rPr>
          <w:i/>
          <w:lang w:val="es-ES_tradnl"/>
        </w:rPr>
        <w:t xml:space="preserve"> </w:t>
      </w:r>
      <w:r w:rsidR="00585BCA">
        <w:rPr>
          <w:i/>
          <w:lang w:val="es-ES_tradnl"/>
        </w:rPr>
        <w:t>Reino</w:t>
      </w:r>
      <w:r w:rsidR="000B0A91">
        <w:rPr>
          <w:i/>
          <w:lang w:val="es-ES_tradnl"/>
        </w:rPr>
        <w:t xml:space="preserve"> </w:t>
      </w:r>
      <w:r w:rsidR="00585BCA">
        <w:rPr>
          <w:i/>
          <w:lang w:val="es-ES_tradnl"/>
        </w:rPr>
        <w:t>Unido</w:t>
      </w:r>
    </w:p>
    <w:p w:rsidR="008B2CC1" w:rsidRPr="00C463CE" w:rsidRDefault="008B2CC1" w:rsidP="00E05026">
      <w:pPr>
        <w:widowControl w:val="0"/>
        <w:rPr>
          <w:lang w:val="es-ES_tradnl"/>
        </w:rPr>
      </w:pPr>
    </w:p>
    <w:p w:rsidR="000F5E56" w:rsidRPr="00C463CE" w:rsidRDefault="000F5E56" w:rsidP="00E05026">
      <w:pPr>
        <w:widowControl w:val="0"/>
        <w:rPr>
          <w:lang w:val="es-ES_tradnl"/>
        </w:rPr>
      </w:pPr>
    </w:p>
    <w:p w:rsidR="00F84474" w:rsidRPr="00C463CE" w:rsidRDefault="00F84474" w:rsidP="00E05026">
      <w:pPr>
        <w:widowControl w:val="0"/>
        <w:rPr>
          <w:lang w:val="es-ES_tradnl"/>
        </w:rPr>
      </w:pPr>
    </w:p>
    <w:p w:rsidR="00F84474" w:rsidRPr="00C463CE" w:rsidRDefault="00F84474" w:rsidP="00E05026">
      <w:pPr>
        <w:widowControl w:val="0"/>
        <w:rPr>
          <w:lang w:val="es-ES_tradnl"/>
        </w:rPr>
      </w:pPr>
    </w:p>
    <w:p w:rsidR="00170477" w:rsidRPr="00C463CE" w:rsidRDefault="00170477" w:rsidP="00170477">
      <w:pPr>
        <w:pStyle w:val="Heading1"/>
      </w:pPr>
      <w:r w:rsidRPr="00C463CE">
        <w:t>Resumen</w:t>
      </w:r>
    </w:p>
    <w:p w:rsidR="00170477" w:rsidRPr="00C463CE" w:rsidRDefault="00170477" w:rsidP="00170477">
      <w:pPr>
        <w:pStyle w:val="ONUMFS"/>
      </w:pPr>
      <w:r w:rsidRPr="00C463CE">
        <w:t>El</w:t>
      </w:r>
      <w:r w:rsidR="000B0A91">
        <w:t xml:space="preserve"> </w:t>
      </w:r>
      <w:r w:rsidRPr="00C463CE">
        <w:t>presente</w:t>
      </w:r>
      <w:r w:rsidR="000B0A91">
        <w:t xml:space="preserve"> </w:t>
      </w:r>
      <w:r w:rsidRPr="00C463CE">
        <w:t>documento</w:t>
      </w:r>
      <w:r w:rsidR="000B0A91">
        <w:t xml:space="preserve"> </w:t>
      </w:r>
      <w:r w:rsidRPr="00C463CE">
        <w:t>se</w:t>
      </w:r>
      <w:r w:rsidR="000B0A91">
        <w:t xml:space="preserve"> </w:t>
      </w:r>
      <w:r w:rsidRPr="00C463CE">
        <w:t>relaciona</w:t>
      </w:r>
      <w:r w:rsidR="000B0A91">
        <w:t xml:space="preserve"> </w:t>
      </w:r>
      <w:r w:rsidRPr="00C463CE">
        <w:t>con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diversas</w:t>
      </w:r>
      <w:r w:rsidR="000B0A91">
        <w:t xml:space="preserve"> </w:t>
      </w:r>
      <w:r w:rsidRPr="00C463CE">
        <w:t>propuestas</w:t>
      </w:r>
      <w:r w:rsidR="000B0A91">
        <w:t xml:space="preserve"> </w:t>
      </w:r>
      <w:r w:rsidRPr="00C463CE">
        <w:t>descritas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propuesta</w:t>
      </w:r>
      <w:r w:rsidR="000B0A91">
        <w:t xml:space="preserve"> </w:t>
      </w:r>
      <w:r w:rsidRPr="00C463CE">
        <w:t>conjunta</w:t>
      </w:r>
      <w:r w:rsidR="000B0A91">
        <w:t xml:space="preserve"> </w:t>
      </w:r>
      <w:r w:rsidRPr="00C463CE">
        <w:t>titulada</w:t>
      </w:r>
      <w:r w:rsidR="000B0A91">
        <w:t xml:space="preserve"> </w:t>
      </w:r>
      <w:r w:rsidRPr="00C463CE">
        <w:t>“PCT</w:t>
      </w:r>
      <w:r w:rsidR="000B0A91">
        <w:t xml:space="preserve"> </w:t>
      </w:r>
      <w:r w:rsidRPr="00C463CE">
        <w:t>20/20”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reunía</w:t>
      </w:r>
      <w:r w:rsidR="000B0A91">
        <w:t xml:space="preserve"> </w:t>
      </w:r>
      <w:r w:rsidRPr="00C463CE">
        <w:t>12</w:t>
      </w:r>
      <w:r w:rsidR="000B0A91">
        <w:t xml:space="preserve"> </w:t>
      </w:r>
      <w:r w:rsidRPr="00C463CE">
        <w:t>propuestas</w:t>
      </w:r>
      <w:r w:rsidR="000B0A91">
        <w:t xml:space="preserve"> </w:t>
      </w:r>
      <w:r w:rsidRPr="00C463CE">
        <w:t>relativas</w:t>
      </w:r>
      <w:r w:rsidR="000B0A91">
        <w:t xml:space="preserve"> </w:t>
      </w:r>
      <w:r w:rsidR="00F05DC6">
        <w:t>a</w:t>
      </w:r>
      <w:r w:rsidR="000B0A91">
        <w:t xml:space="preserve"> </w:t>
      </w:r>
      <w:r w:rsidRPr="00C463CE">
        <w:t>futuras</w:t>
      </w:r>
      <w:r w:rsidR="000B0A91">
        <w:t xml:space="preserve"> </w:t>
      </w:r>
      <w:r w:rsidRPr="00C463CE">
        <w:t>mejoras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S</w:t>
      </w:r>
      <w:r w:rsidRPr="00C463CE">
        <w:rPr>
          <w:snapToGrid w:val="0"/>
        </w:rPr>
        <w:t>istema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PCT.</w:t>
      </w:r>
      <w:r w:rsidR="000B0A91">
        <w:rPr>
          <w:snapToGrid w:val="0"/>
        </w:rPr>
        <w:t xml:space="preserve">  </w:t>
      </w:r>
      <w:r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concreto,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documento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examina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situación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actual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distintas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relativas</w:t>
      </w:r>
      <w:r w:rsidR="000B0A91">
        <w:rPr>
          <w:snapToGrid w:val="0"/>
        </w:rPr>
        <w:t xml:space="preserve"> </w:t>
      </w:r>
      <w:r w:rsidR="00F05DC6">
        <w:rPr>
          <w:snapToGrid w:val="0"/>
        </w:rPr>
        <w:t>al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concepto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20/20,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así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como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próxima</w:t>
      </w:r>
      <w:r w:rsidR="00FA238B" w:rsidRPr="00C463CE">
        <w:rPr>
          <w:snapToGrid w:val="0"/>
        </w:rPr>
        <w:t>s</w:t>
      </w:r>
      <w:r w:rsidR="000B0A91">
        <w:rPr>
          <w:snapToGrid w:val="0"/>
        </w:rPr>
        <w:t xml:space="preserve"> </w:t>
      </w:r>
      <w:r w:rsidR="00FA238B" w:rsidRPr="00C463CE">
        <w:rPr>
          <w:snapToGrid w:val="0"/>
        </w:rPr>
        <w:t>etapas</w:t>
      </w:r>
      <w:r w:rsidR="000B0A91">
        <w:rPr>
          <w:snapToGrid w:val="0"/>
        </w:rPr>
        <w:t xml:space="preserve"> </w:t>
      </w:r>
      <w:r w:rsidR="00FA238B" w:rsidRPr="00C463CE">
        <w:rPr>
          <w:snapToGrid w:val="0"/>
        </w:rPr>
        <w:t>contempladas</w:t>
      </w:r>
      <w:r w:rsidR="000B0A91">
        <w:rPr>
          <w:snapToGrid w:val="0"/>
        </w:rPr>
        <w:t xml:space="preserve"> </w:t>
      </w:r>
      <w:r w:rsidR="00FA238B" w:rsidRPr="00C463CE">
        <w:rPr>
          <w:snapToGrid w:val="0"/>
        </w:rPr>
        <w:t>respecto</w:t>
      </w:r>
      <w:r w:rsidR="000B0A91">
        <w:rPr>
          <w:snapToGrid w:val="0"/>
        </w:rPr>
        <w:t xml:space="preserve"> </w:t>
      </w:r>
      <w:r w:rsidR="00FA238B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otras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mejora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Sistema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PCT.</w:t>
      </w:r>
    </w:p>
    <w:p w:rsidR="00170477" w:rsidRPr="00C463CE" w:rsidRDefault="00170477" w:rsidP="00170477">
      <w:pPr>
        <w:pStyle w:val="Heading1"/>
      </w:pPr>
      <w:r w:rsidRPr="00C463CE">
        <w:t>Antecedentes</w:t>
      </w:r>
    </w:p>
    <w:p w:rsidR="00170477" w:rsidRPr="00C463CE" w:rsidRDefault="00170477" w:rsidP="00170477">
      <w:pPr>
        <w:pStyle w:val="ONUMFS"/>
      </w:pPr>
      <w:r w:rsidRPr="00C463CE">
        <w:t>En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quinta</w:t>
      </w:r>
      <w:r w:rsidR="000B0A91">
        <w:t xml:space="preserve"> </w:t>
      </w:r>
      <w:r w:rsidRPr="00C463CE">
        <w:t>reunión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Grupo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Trabajo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PCT,</w:t>
      </w:r>
      <w:r w:rsidR="000B0A91">
        <w:t xml:space="preserve"> </w:t>
      </w:r>
      <w:r w:rsidRPr="00C463CE">
        <w:t>celebrada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Ginebra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29</w:t>
      </w:r>
      <w:r w:rsidR="000B0A91">
        <w:t xml:space="preserve"> </w:t>
      </w:r>
      <w:r w:rsidRPr="00C463CE">
        <w:t>al</w:t>
      </w:r>
      <w:r w:rsidR="000B0A91">
        <w:t xml:space="preserve"> </w:t>
      </w:r>
      <w:r w:rsidRPr="00C463CE">
        <w:t>1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junio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2012,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Estados</w:t>
      </w:r>
      <w:r w:rsidR="000B0A91">
        <w:t xml:space="preserve"> </w:t>
      </w:r>
      <w:r w:rsidRPr="00C463CE">
        <w:t>Unidos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América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Reino</w:t>
      </w:r>
      <w:r w:rsidR="000B0A91">
        <w:t xml:space="preserve"> </w:t>
      </w:r>
      <w:r w:rsidRPr="00C463CE">
        <w:t>Unido</w:t>
      </w:r>
      <w:r w:rsidR="000B0A91">
        <w:t xml:space="preserve"> </w:t>
      </w:r>
      <w:r w:rsidRPr="00C463CE">
        <w:t>presentaron</w:t>
      </w:r>
      <w:r w:rsidR="000B0A91">
        <w:t xml:space="preserve"> </w:t>
      </w:r>
      <w:r w:rsidRPr="00C463CE">
        <w:t>una</w:t>
      </w:r>
      <w:r w:rsidR="000B0A91">
        <w:t xml:space="preserve"> </w:t>
      </w:r>
      <w:r w:rsidRPr="00C463CE">
        <w:t>propuesta</w:t>
      </w:r>
      <w:r w:rsidR="000B0A91">
        <w:t xml:space="preserve"> </w:t>
      </w:r>
      <w:r w:rsidRPr="00C463CE">
        <w:t>conjunta</w:t>
      </w:r>
      <w:r w:rsidR="000B0A91">
        <w:t xml:space="preserve"> </w:t>
      </w:r>
      <w:r w:rsidRPr="00C463CE">
        <w:t>titulada</w:t>
      </w:r>
      <w:r w:rsidR="000B0A91">
        <w:t xml:space="preserve"> </w:t>
      </w:r>
      <w:r w:rsidRPr="00C463CE">
        <w:t>“PCT</w:t>
      </w:r>
      <w:r w:rsidR="000B0A91">
        <w:t xml:space="preserve"> </w:t>
      </w:r>
      <w:r w:rsidRPr="00C463CE">
        <w:t>20/20”,</w:t>
      </w:r>
      <w:r w:rsidR="000B0A91">
        <w:t xml:space="preserve"> </w:t>
      </w:r>
      <w:r w:rsidRPr="00C463CE">
        <w:t>que</w:t>
      </w:r>
      <w:r w:rsidR="000B0A91">
        <w:t xml:space="preserve"> </w:t>
      </w:r>
      <w:r w:rsidR="00CF302E" w:rsidRPr="00C463CE">
        <w:t>reunía</w:t>
      </w:r>
      <w:r w:rsidR="000B0A91">
        <w:t xml:space="preserve"> </w:t>
      </w:r>
      <w:r w:rsidRPr="00C463CE">
        <w:t>12</w:t>
      </w:r>
      <w:r w:rsidR="000B0A91">
        <w:t xml:space="preserve"> </w:t>
      </w:r>
      <w:r w:rsidRPr="00C463CE">
        <w:t>propuestas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futuras</w:t>
      </w:r>
      <w:r w:rsidR="000B0A91">
        <w:t xml:space="preserve"> </w:t>
      </w:r>
      <w:r w:rsidRPr="00C463CE">
        <w:t>mejoras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S</w:t>
      </w:r>
      <w:r w:rsidRPr="00C463CE">
        <w:rPr>
          <w:snapToGrid w:val="0"/>
        </w:rPr>
        <w:t>istema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PCT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(documento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PCT/WG/5/18).</w:t>
      </w:r>
      <w:r w:rsidR="000B0A91">
        <w:rPr>
          <w:snapToGrid w:val="0"/>
        </w:rPr>
        <w:t xml:space="preserve"> 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beneficiaron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distintos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niveles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apoyo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por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parte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Grupo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Trabajo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(véase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Resumen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Presidencia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quinta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reunión,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párrafos</w:t>
      </w:r>
      <w:r w:rsidR="000B0A91">
        <w:rPr>
          <w:snapToGrid w:val="0"/>
        </w:rPr>
        <w:t xml:space="preserve"> 27 a </w:t>
      </w:r>
      <w:r w:rsidRPr="00C463CE">
        <w:rPr>
          <w:snapToGrid w:val="0"/>
        </w:rPr>
        <w:t>29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documento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PCT/WG/5/21).</w:t>
      </w:r>
      <w:r w:rsidR="000B0A91">
        <w:rPr>
          <w:snapToGrid w:val="0"/>
        </w:rPr>
        <w:t xml:space="preserve"> 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raíz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debates,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delegaciones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Pr="00C463CE">
        <w:t>Estados</w:t>
      </w:r>
      <w:r w:rsidR="000B0A91">
        <w:t xml:space="preserve"> </w:t>
      </w:r>
      <w:r w:rsidRPr="00C463CE">
        <w:t>Unidos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América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Reino</w:t>
      </w:r>
      <w:r w:rsidR="000B0A91">
        <w:t xml:space="preserve"> </w:t>
      </w:r>
      <w:r w:rsidRPr="00C463CE">
        <w:t>Unido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acordaron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puntualizar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</w:t>
      </w:r>
      <w:r w:rsidR="00F6261E" w:rsidRPr="00C463CE">
        <w:rPr>
          <w:snapToGrid w:val="0"/>
        </w:rPr>
        <w:t>stas</w:t>
      </w:r>
      <w:r w:rsidR="000B0A91">
        <w:rPr>
          <w:snapToGrid w:val="0"/>
        </w:rPr>
        <w:t xml:space="preserve"> </w:t>
      </w:r>
      <w:r w:rsidR="00F6261E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F6261E" w:rsidRPr="00C463CE">
        <w:rPr>
          <w:snapToGrid w:val="0"/>
        </w:rPr>
        <w:t>explicar</w:t>
      </w:r>
      <w:r w:rsidR="000B0A91">
        <w:rPr>
          <w:snapToGrid w:val="0"/>
        </w:rPr>
        <w:t xml:space="preserve"> </w:t>
      </w:r>
      <w:r w:rsidR="00F6261E" w:rsidRPr="00C463CE">
        <w:rPr>
          <w:snapToGrid w:val="0"/>
        </w:rPr>
        <w:t>con</w:t>
      </w:r>
      <w:r w:rsidR="000B0A91">
        <w:rPr>
          <w:snapToGrid w:val="0"/>
        </w:rPr>
        <w:t xml:space="preserve"> </w:t>
      </w:r>
      <w:r w:rsidR="00F6261E"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="00F6261E" w:rsidRPr="00C463CE">
        <w:rPr>
          <w:snapToGrid w:val="0"/>
        </w:rPr>
        <w:t>detalle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manera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hacer</w:t>
      </w:r>
      <w:r w:rsidR="00F6261E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avanzar</w:t>
      </w:r>
      <w:r w:rsidR="005140EE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5140EE" w:rsidRPr="00C463CE">
        <w:rPr>
          <w:snapToGrid w:val="0"/>
        </w:rPr>
        <w:t>con</w:t>
      </w:r>
      <w:r w:rsidR="000B0A91">
        <w:rPr>
          <w:snapToGrid w:val="0"/>
        </w:rPr>
        <w:t xml:space="preserve"> </w:t>
      </w:r>
      <w:r w:rsidR="005140EE" w:rsidRPr="00C463CE">
        <w:rPr>
          <w:snapToGrid w:val="0"/>
        </w:rPr>
        <w:t>miras</w:t>
      </w:r>
      <w:r w:rsidR="000B0A91">
        <w:rPr>
          <w:snapToGrid w:val="0"/>
        </w:rPr>
        <w:t xml:space="preserve"> </w:t>
      </w:r>
      <w:r w:rsidR="005140EE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5140EE" w:rsidRPr="00C463CE">
        <w:rPr>
          <w:snapToGrid w:val="0"/>
        </w:rPr>
        <w:t>su</w:t>
      </w:r>
      <w:r w:rsidR="000B0A91">
        <w:rPr>
          <w:snapToGrid w:val="0"/>
        </w:rPr>
        <w:t xml:space="preserve"> </w:t>
      </w:r>
      <w:r w:rsidR="005140EE" w:rsidRPr="00C463CE">
        <w:rPr>
          <w:snapToGrid w:val="0"/>
        </w:rPr>
        <w:t>examen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próxima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reunión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Grupo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Trabajo.</w:t>
      </w:r>
    </w:p>
    <w:p w:rsidR="00170477" w:rsidRPr="00C463CE" w:rsidRDefault="005140EE" w:rsidP="00170477">
      <w:pPr>
        <w:pStyle w:val="ONUMFS"/>
      </w:pPr>
      <w:r w:rsidRPr="00C463CE">
        <w:t>Teniendo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cuenta</w:t>
      </w:r>
      <w:r w:rsidR="000B0A91">
        <w:t xml:space="preserve"> </w:t>
      </w:r>
      <w:r w:rsidR="00170477" w:rsidRPr="00C463CE">
        <w:t>los</w:t>
      </w:r>
      <w:r w:rsidR="000B0A91">
        <w:t xml:space="preserve"> </w:t>
      </w:r>
      <w:r w:rsidR="00170477" w:rsidRPr="00C463CE">
        <w:t>debates</w:t>
      </w:r>
      <w:r w:rsidR="000B0A91">
        <w:t xml:space="preserve"> </w:t>
      </w:r>
      <w:r w:rsidRPr="00C463CE">
        <w:t>mantenidos</w:t>
      </w:r>
      <w:r w:rsidR="000B0A91">
        <w:t xml:space="preserve"> </w:t>
      </w:r>
      <w:r w:rsidR="00170477" w:rsidRPr="00C463CE">
        <w:t>y</w:t>
      </w:r>
      <w:r w:rsidR="000B0A91">
        <w:t xml:space="preserve"> </w:t>
      </w:r>
      <w:r w:rsidRPr="00C463CE">
        <w:t>los</w:t>
      </w:r>
      <w:r w:rsidR="000B0A91">
        <w:t xml:space="preserve"> </w:t>
      </w:r>
      <w:r w:rsidR="00170477" w:rsidRPr="00C463CE">
        <w:t>comentarios</w:t>
      </w:r>
      <w:r w:rsidR="000B0A91">
        <w:t xml:space="preserve"> </w:t>
      </w:r>
      <w:r w:rsidR="00170477" w:rsidRPr="00C463CE">
        <w:t>recibidos</w:t>
      </w:r>
      <w:r w:rsidR="000B0A91">
        <w:t xml:space="preserve"> </w:t>
      </w:r>
      <w:r w:rsidR="00170477" w:rsidRPr="00C463CE">
        <w:t>durante</w:t>
      </w:r>
      <w:r w:rsidR="000B0A91">
        <w:t xml:space="preserve"> </w:t>
      </w:r>
      <w:r w:rsidR="00170477" w:rsidRPr="00C463CE">
        <w:t>la</w:t>
      </w:r>
      <w:r w:rsidR="000B0A91">
        <w:t xml:space="preserve"> </w:t>
      </w:r>
      <w:r w:rsidR="00170477" w:rsidRPr="00C463CE">
        <w:t>quinta</w:t>
      </w:r>
      <w:r w:rsidR="000B0A91">
        <w:t xml:space="preserve"> </w:t>
      </w:r>
      <w:r w:rsidR="00170477" w:rsidRPr="00C463CE">
        <w:t>reunión</w:t>
      </w:r>
      <w:r w:rsidR="000B0A91">
        <w:t xml:space="preserve"> </w:t>
      </w:r>
      <w:r w:rsidR="00170477" w:rsidRPr="00C463CE">
        <w:t>del</w:t>
      </w:r>
      <w:r w:rsidR="000B0A91">
        <w:t xml:space="preserve"> </w:t>
      </w:r>
      <w:r w:rsidR="00170477" w:rsidRPr="00C463CE">
        <w:t>Grupo</w:t>
      </w:r>
      <w:r w:rsidR="000B0A91">
        <w:t xml:space="preserve"> </w:t>
      </w:r>
      <w:r w:rsidR="00170477" w:rsidRPr="00C463CE">
        <w:t>de</w:t>
      </w:r>
      <w:r w:rsidR="000B0A91">
        <w:t xml:space="preserve"> </w:t>
      </w:r>
      <w:r w:rsidR="00170477" w:rsidRPr="00C463CE">
        <w:t>Trabajo,</w:t>
      </w:r>
      <w:r w:rsidR="000B0A91">
        <w:t xml:space="preserve"> </w:t>
      </w:r>
      <w:r w:rsidR="00170477" w:rsidRPr="00C463CE">
        <w:t>los</w:t>
      </w:r>
      <w:r w:rsidR="000B0A91">
        <w:t xml:space="preserve"> </w:t>
      </w:r>
      <w:r w:rsidR="00170477" w:rsidRPr="00C463CE">
        <w:t>Estados</w:t>
      </w:r>
      <w:r w:rsidR="000B0A91">
        <w:t xml:space="preserve"> </w:t>
      </w:r>
      <w:r w:rsidR="00170477" w:rsidRPr="00C463CE">
        <w:t>Unidos</w:t>
      </w:r>
      <w:r w:rsidR="000B0A91">
        <w:t xml:space="preserve"> </w:t>
      </w:r>
      <w:r w:rsidR="00170477" w:rsidRPr="00C463CE">
        <w:t>de</w:t>
      </w:r>
      <w:r w:rsidR="000B0A91">
        <w:t xml:space="preserve"> </w:t>
      </w:r>
      <w:r w:rsidR="00170477" w:rsidRPr="00C463CE">
        <w:t>América</w:t>
      </w:r>
      <w:r w:rsidR="000B0A91">
        <w:t xml:space="preserve"> </w:t>
      </w:r>
      <w:r w:rsidR="00170477" w:rsidRPr="00C463CE">
        <w:t>y</w:t>
      </w:r>
      <w:r w:rsidR="000B0A91">
        <w:t xml:space="preserve"> </w:t>
      </w:r>
      <w:r w:rsidR="00170477" w:rsidRPr="00C463CE">
        <w:t>el</w:t>
      </w:r>
      <w:r w:rsidR="000B0A91">
        <w:t xml:space="preserve"> </w:t>
      </w:r>
      <w:r w:rsidR="00170477" w:rsidRPr="00C463CE">
        <w:t>Reino</w:t>
      </w:r>
      <w:r w:rsidR="000B0A91">
        <w:t xml:space="preserve"> </w:t>
      </w:r>
      <w:r w:rsidR="00170477" w:rsidRPr="00C463CE">
        <w:t>Unido</w:t>
      </w:r>
      <w:r w:rsidR="000B0A91">
        <w:t xml:space="preserve"> </w:t>
      </w:r>
      <w:r w:rsidR="00170477" w:rsidRPr="00C463CE">
        <w:t>prepararon</w:t>
      </w:r>
      <w:r w:rsidR="000B0A91">
        <w:t xml:space="preserve"> </w:t>
      </w:r>
      <w:r w:rsidR="00170477" w:rsidRPr="00C463CE">
        <w:t>versiones</w:t>
      </w:r>
      <w:r w:rsidR="000B0A91">
        <w:t xml:space="preserve"> </w:t>
      </w:r>
      <w:r w:rsidR="00170477" w:rsidRPr="00C463CE">
        <w:t>revisadas</w:t>
      </w:r>
      <w:r w:rsidR="000B0A91">
        <w:t xml:space="preserve"> </w:t>
      </w:r>
      <w:r w:rsidR="00170477" w:rsidRPr="00C463CE">
        <w:t>de</w:t>
      </w:r>
      <w:r w:rsidR="000B0A91">
        <w:t xml:space="preserve"> </w:t>
      </w:r>
      <w:r w:rsidR="00170477" w:rsidRPr="00C463CE">
        <w:t>las</w:t>
      </w:r>
      <w:r w:rsidR="000B0A91">
        <w:t xml:space="preserve"> </w:t>
      </w:r>
      <w:r w:rsidR="00170477" w:rsidRPr="00C463CE">
        <w:t>propuestas</w:t>
      </w:r>
      <w:r w:rsidR="000B0A91">
        <w:t xml:space="preserve"> </w:t>
      </w:r>
      <w:r w:rsidR="00170477" w:rsidRPr="00C463CE">
        <w:t>originales</w:t>
      </w:r>
      <w:r w:rsidR="000B0A91">
        <w:t xml:space="preserve"> </w:t>
      </w:r>
      <w:r w:rsidRPr="00C463CE">
        <w:t>sobre</w:t>
      </w:r>
      <w:r w:rsidR="000B0A91">
        <w:t xml:space="preserve"> </w:t>
      </w:r>
      <w:r w:rsidR="00170477" w:rsidRPr="00C463CE">
        <w:t>futuras</w:t>
      </w:r>
      <w:r w:rsidR="000B0A91">
        <w:t xml:space="preserve"> </w:t>
      </w:r>
      <w:r w:rsidR="00170477" w:rsidRPr="00C463CE">
        <w:t>mejoras</w:t>
      </w:r>
      <w:r w:rsidR="000B0A91">
        <w:t xml:space="preserve"> </w:t>
      </w:r>
      <w:r w:rsidR="00170477" w:rsidRPr="00C463CE">
        <w:t>del</w:t>
      </w:r>
      <w:r w:rsidR="000B0A91">
        <w:t xml:space="preserve"> </w:t>
      </w:r>
      <w:r w:rsidR="00170477" w:rsidRPr="00C463CE">
        <w:t>S</w:t>
      </w:r>
      <w:r w:rsidR="00170477" w:rsidRPr="00C463CE">
        <w:rPr>
          <w:snapToGrid w:val="0"/>
        </w:rPr>
        <w:t>istema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PCT.</w:t>
      </w:r>
      <w:r w:rsidR="000B0A91">
        <w:rPr>
          <w:snapToGrid w:val="0"/>
        </w:rPr>
        <w:t xml:space="preserve">  </w:t>
      </w:r>
      <w:r w:rsidRPr="00C463CE">
        <w:rPr>
          <w:snapToGrid w:val="0"/>
        </w:rPr>
        <w:t>L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Oficina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Internacional</w:t>
      </w:r>
      <w:r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mediante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una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circular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(</w:t>
      </w:r>
      <w:r w:rsidRPr="00C463CE">
        <w:rPr>
          <w:snapToGrid w:val="0"/>
        </w:rPr>
        <w:t>Anexo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</w:t>
      </w:r>
      <w:r w:rsidR="000B0A91">
        <w:rPr>
          <w:snapToGrid w:val="0"/>
        </w:rPr>
        <w:t>ircular C. PCT 1364, con fecha </w:t>
      </w:r>
      <w:r w:rsidR="00170477" w:rsidRPr="00C463CE">
        <w:rPr>
          <w:snapToGrid w:val="0"/>
        </w:rPr>
        <w:t>20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diciembre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2012),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comunicó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revisadas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lastRenderedPageBreak/>
        <w:t>oficinas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todos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Estados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contratantes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t>S</w:t>
      </w:r>
      <w:r w:rsidR="00170477" w:rsidRPr="00C463CE">
        <w:rPr>
          <w:snapToGrid w:val="0"/>
        </w:rPr>
        <w:t>istema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PCT</w:t>
      </w:r>
      <w:r w:rsidR="00E51FC7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así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como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otras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partes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interesadas.</w:t>
      </w:r>
      <w:r w:rsidR="000B0A91">
        <w:rPr>
          <w:snapToGrid w:val="0"/>
        </w:rPr>
        <w:t xml:space="preserve">  </w:t>
      </w:r>
      <w:r w:rsidR="00E51FC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finalidad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expresa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esa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circular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era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dar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oficinas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posibilidad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examinar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detenidamente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propuestas</w:t>
      </w:r>
      <w:r w:rsidR="00E51FC7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5503A3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establecer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contacto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con</w:t>
      </w:r>
      <w:r w:rsidR="000B0A91">
        <w:rPr>
          <w:snapToGrid w:val="0"/>
        </w:rPr>
        <w:t xml:space="preserve"> </w:t>
      </w:r>
      <w:r w:rsidR="006A19F4"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usuarios</w:t>
      </w:r>
      <w:r w:rsidR="000B0A91">
        <w:rPr>
          <w:snapToGrid w:val="0"/>
        </w:rPr>
        <w:t xml:space="preserve"> </w:t>
      </w:r>
      <w:r w:rsidR="00662A84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662A84" w:rsidRPr="00C463CE">
        <w:rPr>
          <w:snapToGrid w:val="0"/>
        </w:rPr>
        <w:t>fin</w:t>
      </w:r>
      <w:r w:rsidR="000B0A91">
        <w:rPr>
          <w:snapToGrid w:val="0"/>
        </w:rPr>
        <w:t xml:space="preserve"> </w:t>
      </w:r>
      <w:r w:rsidR="00662A84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recabar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sus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comentarios.</w:t>
      </w:r>
      <w:r w:rsidR="000B0A91">
        <w:rPr>
          <w:snapToGrid w:val="0"/>
        </w:rPr>
        <w:t xml:space="preserve"> 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circular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invitaba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destinatarios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examinar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formular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comentarios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sobre</w:t>
      </w:r>
      <w:r w:rsidR="000B0A91">
        <w:rPr>
          <w:snapToGrid w:val="0"/>
        </w:rPr>
        <w:t xml:space="preserve"> </w:t>
      </w:r>
      <w:r w:rsidR="00E51FC7" w:rsidRPr="00C463CE">
        <w:rPr>
          <w:snapToGrid w:val="0"/>
        </w:rPr>
        <w:t>la</w:t>
      </w:r>
      <w:r w:rsidR="00B1797C">
        <w:rPr>
          <w:snapToGrid w:val="0"/>
        </w:rPr>
        <w:t>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propuesta</w:t>
      </w:r>
      <w:r w:rsidR="00B1797C">
        <w:rPr>
          <w:snapToGrid w:val="0"/>
        </w:rPr>
        <w:t>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revisada</w:t>
      </w:r>
      <w:r w:rsidR="00B1797C">
        <w:rPr>
          <w:snapToGrid w:val="0"/>
        </w:rPr>
        <w:t>s</w:t>
      </w:r>
      <w:r w:rsidR="00170477" w:rsidRPr="00C463CE">
        <w:rPr>
          <w:snapToGrid w:val="0"/>
        </w:rPr>
        <w:t>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recibieron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31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respuestas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circular,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incluidos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comentarios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procedentes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24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oficinas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nacionales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regionales</w:t>
      </w:r>
      <w:r w:rsidR="00C7736D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C7736D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siete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grupos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usuarios.</w:t>
      </w:r>
    </w:p>
    <w:p w:rsidR="00170477" w:rsidRPr="00C463CE" w:rsidRDefault="006A19F4" w:rsidP="00170477">
      <w:pPr>
        <w:pStyle w:val="ONUMFS"/>
      </w:pPr>
      <w:r w:rsidRPr="00C463CE">
        <w:rPr>
          <w:snapToGrid w:val="0"/>
        </w:rPr>
        <w:t>L</w:t>
      </w:r>
      <w:r w:rsidR="00170477" w:rsidRPr="00C463CE">
        <w:rPr>
          <w:snapToGrid w:val="0"/>
        </w:rPr>
        <w:t>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examinaron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también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065817" w:rsidRPr="00C463CE">
        <w:rPr>
          <w:bCs/>
          <w:lang w:val="es-ES_tradnl"/>
        </w:rPr>
        <w:t>20ª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065817" w:rsidRPr="00C463CE">
        <w:rPr>
          <w:bCs/>
          <w:lang w:val="es-ES_tradnl"/>
        </w:rPr>
        <w:t>21ª</w:t>
      </w:r>
      <w:r w:rsidR="000B0A91">
        <w:rPr>
          <w:snapToGrid w:val="0"/>
        </w:rPr>
        <w:t xml:space="preserve"> </w:t>
      </w:r>
      <w:r w:rsidR="006F30D2" w:rsidRPr="00C463CE">
        <w:rPr>
          <w:snapToGrid w:val="0"/>
        </w:rPr>
        <w:t>sesi</w:t>
      </w:r>
      <w:r w:rsidRPr="00C463CE">
        <w:rPr>
          <w:snapToGrid w:val="0"/>
        </w:rPr>
        <w:t>ones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Reunión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Administraciones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Internacionales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según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Tratado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Cooperación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materia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Patentes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(P</w:t>
      </w:r>
      <w:r w:rsidR="006F30D2" w:rsidRPr="00C463CE">
        <w:rPr>
          <w:snapToGrid w:val="0"/>
        </w:rPr>
        <w:t>CT/MIA)</w:t>
      </w:r>
      <w:r w:rsidR="00170477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celebradas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4B5C48" w:rsidRPr="00C463CE">
        <w:rPr>
          <w:snapToGrid w:val="0"/>
        </w:rPr>
        <w:t>Múnich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6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8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febrero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2013</w:t>
      </w:r>
      <w:r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Tel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Aviv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> </w:t>
      </w:r>
      <w:r w:rsidR="00170477" w:rsidRPr="00C463CE">
        <w:rPr>
          <w:snapToGrid w:val="0"/>
        </w:rPr>
        <w:t>11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13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febrero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2014</w:t>
      </w:r>
      <w:r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respectivamente</w:t>
      </w:r>
      <w:r w:rsidR="00170477" w:rsidRPr="00C463CE">
        <w:rPr>
          <w:snapToGrid w:val="0"/>
        </w:rPr>
        <w:t>.</w:t>
      </w:r>
      <w:r w:rsidR="000B0A91">
        <w:rPr>
          <w:snapToGrid w:val="0"/>
        </w:rPr>
        <w:t xml:space="preserve">  </w:t>
      </w:r>
      <w:r w:rsidR="00170477" w:rsidRPr="00C463CE">
        <w:rPr>
          <w:snapToGrid w:val="0"/>
        </w:rPr>
        <w:t>Un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resumen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esos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debates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figura</w:t>
      </w:r>
      <w:r w:rsidR="000B0A91">
        <w:rPr>
          <w:snapToGrid w:val="0"/>
        </w:rPr>
        <w:t xml:space="preserve"> en los párrafos 52 a </w:t>
      </w:r>
      <w:r w:rsidR="00170477" w:rsidRPr="00C463CE">
        <w:rPr>
          <w:snapToGrid w:val="0"/>
        </w:rPr>
        <w:t>102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Anexo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documento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PCT/WG/6/3</w:t>
      </w:r>
      <w:r w:rsidR="00DB1B21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párrafos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22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35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Anexo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documento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PCT/WG/7/3</w:t>
      </w:r>
      <w:r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respectivamente</w:t>
      </w:r>
      <w:r w:rsidR="00170477" w:rsidRPr="00C463CE">
        <w:rPr>
          <w:snapToGrid w:val="0"/>
        </w:rPr>
        <w:t>.</w:t>
      </w:r>
    </w:p>
    <w:p w:rsidR="00170477" w:rsidRPr="00C463CE" w:rsidRDefault="00170477" w:rsidP="00170477">
      <w:pPr>
        <w:pStyle w:val="ONUMFS"/>
      </w:pPr>
      <w:r w:rsidRPr="00C463CE">
        <w:t>Las</w:t>
      </w:r>
      <w:r w:rsidR="000B0A91">
        <w:t xml:space="preserve"> </w:t>
      </w:r>
      <w:r w:rsidRPr="00C463CE">
        <w:t>propuestas</w:t>
      </w:r>
      <w:r w:rsidR="000B0A91">
        <w:t xml:space="preserve"> </w:t>
      </w:r>
      <w:r w:rsidR="000C235E" w:rsidRPr="00C463CE">
        <w:t>del</w:t>
      </w:r>
      <w:r w:rsidR="000B0A91">
        <w:t xml:space="preserve"> </w:t>
      </w:r>
      <w:r w:rsidR="000C235E" w:rsidRPr="00C463CE">
        <w:t>PCT</w:t>
      </w:r>
      <w:r w:rsidR="000B0A91">
        <w:t xml:space="preserve"> </w:t>
      </w:r>
      <w:r w:rsidRPr="00C463CE">
        <w:t>20/20</w:t>
      </w:r>
      <w:r w:rsidR="000B0A91">
        <w:t xml:space="preserve"> </w:t>
      </w:r>
      <w:r w:rsidRPr="00C463CE">
        <w:t>revisadas</w:t>
      </w:r>
      <w:r w:rsidR="000B0A91">
        <w:t xml:space="preserve"> </w:t>
      </w:r>
      <w:r w:rsidRPr="00C463CE">
        <w:t>y</w:t>
      </w:r>
      <w:r w:rsidR="000B0A91">
        <w:t xml:space="preserve"> </w:t>
      </w:r>
      <w:r w:rsidR="009B3A2B" w:rsidRPr="00C463CE">
        <w:t>más</w:t>
      </w:r>
      <w:r w:rsidR="000B0A91">
        <w:t xml:space="preserve"> </w:t>
      </w:r>
      <w:r w:rsidR="009B3A2B" w:rsidRPr="00C463CE">
        <w:t>detalladas</w:t>
      </w:r>
      <w:r w:rsidR="000B0A91">
        <w:t xml:space="preserve"> </w:t>
      </w:r>
      <w:r w:rsidR="006A19F4" w:rsidRPr="00C463CE">
        <w:t>que</w:t>
      </w:r>
      <w:r w:rsidR="000B0A91">
        <w:t xml:space="preserve"> </w:t>
      </w:r>
      <w:r w:rsidR="006A19F4" w:rsidRPr="00C463CE">
        <w:t>figuraban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circular</w:t>
      </w:r>
      <w:r w:rsidR="000B0A91">
        <w:t xml:space="preserve"> </w:t>
      </w:r>
      <w:r w:rsidR="006A19F4" w:rsidRPr="00C463CE">
        <w:t>se</w:t>
      </w:r>
      <w:r w:rsidR="000B0A91">
        <w:t xml:space="preserve"> </w:t>
      </w:r>
      <w:r w:rsidR="006A19F4" w:rsidRPr="00C463CE">
        <w:t>incluyeron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Anexo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documento</w:t>
      </w:r>
      <w:r w:rsidR="000B0A91">
        <w:t xml:space="preserve"> </w:t>
      </w:r>
      <w:r w:rsidRPr="00C463CE">
        <w:t>PCT/WG/6/15.</w:t>
      </w:r>
    </w:p>
    <w:p w:rsidR="00170477" w:rsidRPr="003E5DB0" w:rsidRDefault="00170477" w:rsidP="00170477">
      <w:pPr>
        <w:pStyle w:val="Heading1"/>
        <w:rPr>
          <w:b w:val="0"/>
        </w:rPr>
      </w:pPr>
      <w:r w:rsidRPr="003E5DB0">
        <w:rPr>
          <w:b w:val="0"/>
        </w:rPr>
        <w:t>Examen</w:t>
      </w:r>
      <w:r w:rsidR="000B0A91">
        <w:rPr>
          <w:b w:val="0"/>
        </w:rPr>
        <w:t xml:space="preserve"> </w:t>
      </w:r>
      <w:r w:rsidRPr="003E5DB0">
        <w:rPr>
          <w:b w:val="0"/>
        </w:rPr>
        <w:t>de</w:t>
      </w:r>
      <w:r w:rsidR="000B0A91">
        <w:rPr>
          <w:b w:val="0"/>
        </w:rPr>
        <w:t xml:space="preserve"> </w:t>
      </w:r>
      <w:r w:rsidRPr="003E5DB0">
        <w:rPr>
          <w:b w:val="0"/>
        </w:rPr>
        <w:t>la</w:t>
      </w:r>
      <w:r w:rsidR="000B0A91">
        <w:rPr>
          <w:b w:val="0"/>
        </w:rPr>
        <w:t xml:space="preserve"> </w:t>
      </w:r>
      <w:r w:rsidRPr="003E5DB0">
        <w:rPr>
          <w:b w:val="0"/>
        </w:rPr>
        <w:t>situación</w:t>
      </w:r>
      <w:r w:rsidR="000B0A91">
        <w:rPr>
          <w:b w:val="0"/>
        </w:rPr>
        <w:t xml:space="preserve"> </w:t>
      </w:r>
      <w:r w:rsidRPr="003E5DB0">
        <w:rPr>
          <w:b w:val="0"/>
        </w:rPr>
        <w:t>actual</w:t>
      </w:r>
      <w:r w:rsidR="000B0A91">
        <w:rPr>
          <w:b w:val="0"/>
        </w:rPr>
        <w:t xml:space="preserve"> </w:t>
      </w:r>
      <w:r w:rsidRPr="003E5DB0">
        <w:rPr>
          <w:b w:val="0"/>
        </w:rPr>
        <w:t>de</w:t>
      </w:r>
      <w:r w:rsidR="000B0A91">
        <w:rPr>
          <w:b w:val="0"/>
        </w:rPr>
        <w:t xml:space="preserve"> </w:t>
      </w:r>
      <w:r w:rsidRPr="003E5DB0">
        <w:rPr>
          <w:b w:val="0"/>
        </w:rPr>
        <w:t>las</w:t>
      </w:r>
      <w:r w:rsidR="000B0A91">
        <w:rPr>
          <w:b w:val="0"/>
        </w:rPr>
        <w:t xml:space="preserve"> </w:t>
      </w:r>
      <w:r w:rsidRPr="003E5DB0">
        <w:rPr>
          <w:b w:val="0"/>
        </w:rPr>
        <w:t>distintas</w:t>
      </w:r>
      <w:r w:rsidR="000B0A91">
        <w:rPr>
          <w:b w:val="0"/>
        </w:rPr>
        <w:t xml:space="preserve"> </w:t>
      </w:r>
      <w:r w:rsidRPr="003E5DB0">
        <w:rPr>
          <w:b w:val="0"/>
        </w:rPr>
        <w:t>propuestas</w:t>
      </w:r>
      <w:r w:rsidR="000B0A91">
        <w:rPr>
          <w:b w:val="0"/>
        </w:rPr>
        <w:t xml:space="preserve"> </w:t>
      </w:r>
      <w:r w:rsidR="000C235E" w:rsidRPr="003E5DB0">
        <w:rPr>
          <w:b w:val="0"/>
        </w:rPr>
        <w:t>DEL</w:t>
      </w:r>
      <w:r w:rsidR="000B0A91">
        <w:rPr>
          <w:b w:val="0"/>
        </w:rPr>
        <w:t xml:space="preserve"> </w:t>
      </w:r>
      <w:r w:rsidR="000C235E" w:rsidRPr="003E5DB0">
        <w:rPr>
          <w:b w:val="0"/>
        </w:rPr>
        <w:t>PCT</w:t>
      </w:r>
      <w:r w:rsidR="000B0A91">
        <w:rPr>
          <w:b w:val="0"/>
        </w:rPr>
        <w:t xml:space="preserve"> </w:t>
      </w:r>
      <w:r w:rsidRPr="003E5DB0">
        <w:rPr>
          <w:b w:val="0"/>
        </w:rPr>
        <w:t>20/20</w:t>
      </w:r>
    </w:p>
    <w:p w:rsidR="00170477" w:rsidRPr="00C463CE" w:rsidRDefault="00170477" w:rsidP="00170477">
      <w:pPr>
        <w:pStyle w:val="ONUMFS"/>
      </w:pPr>
      <w:r w:rsidRPr="00C463CE">
        <w:t>A</w:t>
      </w:r>
      <w:r w:rsidR="000B0A91">
        <w:t xml:space="preserve"> </w:t>
      </w:r>
      <w:r w:rsidRPr="00C463CE">
        <w:t>continuación</w:t>
      </w:r>
      <w:r w:rsidR="000B0A91">
        <w:t xml:space="preserve"> </w:t>
      </w:r>
      <w:r w:rsidRPr="00C463CE">
        <w:t>se</w:t>
      </w:r>
      <w:r w:rsidR="000B0A91">
        <w:t xml:space="preserve"> </w:t>
      </w:r>
      <w:r w:rsidRPr="00C463CE">
        <w:t>presenta</w:t>
      </w:r>
      <w:r w:rsidR="000B0A91">
        <w:t xml:space="preserve"> </w:t>
      </w:r>
      <w:r w:rsidRPr="00C463CE">
        <w:t>un</w:t>
      </w:r>
      <w:r w:rsidR="000B0A91">
        <w:t xml:space="preserve"> </w:t>
      </w:r>
      <w:r w:rsidRPr="00C463CE">
        <w:t>breve</w:t>
      </w:r>
      <w:r w:rsidR="000B0A91">
        <w:t xml:space="preserve"> </w:t>
      </w:r>
      <w:r w:rsidR="006A19F4" w:rsidRPr="00C463CE">
        <w:t>recapitulación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cada</w:t>
      </w:r>
      <w:r w:rsidR="000B0A91">
        <w:t xml:space="preserve"> </w:t>
      </w:r>
      <w:r w:rsidRPr="00C463CE">
        <w:t>una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propuestas,</w:t>
      </w:r>
      <w:r w:rsidR="000B0A91">
        <w:t xml:space="preserve"> </w:t>
      </w:r>
      <w:r w:rsidRPr="00C463CE">
        <w:t>así</w:t>
      </w:r>
      <w:r w:rsidR="000B0A91">
        <w:t xml:space="preserve"> </w:t>
      </w:r>
      <w:r w:rsidRPr="00C463CE">
        <w:t>como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comentarios</w:t>
      </w:r>
      <w:r w:rsidR="000B0A91">
        <w:t xml:space="preserve"> </w:t>
      </w:r>
      <w:r w:rsidRPr="00C463CE">
        <w:t>recibidos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respuesta</w:t>
      </w:r>
      <w:r w:rsidR="000B0A91">
        <w:t xml:space="preserve"> </w:t>
      </w:r>
      <w:r w:rsidRPr="00C463CE">
        <w:t>a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circular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debates</w:t>
      </w:r>
      <w:r w:rsidR="000B0A91">
        <w:t xml:space="preserve"> </w:t>
      </w:r>
      <w:r w:rsidRPr="00C463CE">
        <w:t>mantenidos</w:t>
      </w:r>
      <w:r w:rsidR="000B0A91">
        <w:t xml:space="preserve"> </w:t>
      </w:r>
      <w:r w:rsidR="006A19F4" w:rsidRPr="00C463CE">
        <w:t>tanto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la</w:t>
      </w:r>
      <w:r w:rsidR="000B0A91">
        <w:t xml:space="preserve"> </w:t>
      </w:r>
      <w:r w:rsidR="00065817" w:rsidRPr="00C463CE">
        <w:rPr>
          <w:bCs/>
          <w:lang w:val="es-ES_tradnl"/>
        </w:rPr>
        <w:t>20ª</w:t>
      </w:r>
      <w:r w:rsidR="000B0A91">
        <w:t xml:space="preserve"> </w:t>
      </w:r>
      <w:r w:rsidR="006F30D2" w:rsidRPr="00C463CE">
        <w:t>sesión</w:t>
      </w:r>
      <w:r w:rsidR="000B0A91">
        <w:t xml:space="preserve"> </w:t>
      </w:r>
      <w:r w:rsidRPr="00C463CE">
        <w:t>de</w:t>
      </w:r>
      <w:r w:rsidR="006F30D2" w:rsidRPr="00C463CE">
        <w:t>l</w:t>
      </w:r>
      <w:r w:rsidR="000B0A91">
        <w:t xml:space="preserve"> </w:t>
      </w:r>
      <w:r w:rsidR="006F30D2" w:rsidRPr="00C463CE">
        <w:rPr>
          <w:snapToGrid w:val="0"/>
        </w:rPr>
        <w:t>PCT/MIA</w:t>
      </w:r>
      <w:r w:rsidR="000B0A91">
        <w:t xml:space="preserve"> </w:t>
      </w:r>
      <w:r w:rsidR="006A19F4" w:rsidRPr="00C463CE">
        <w:t>como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sexta</w:t>
      </w:r>
      <w:r w:rsidR="000B0A91">
        <w:t xml:space="preserve"> </w:t>
      </w:r>
      <w:r w:rsidRPr="00C463CE">
        <w:t>reunión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Grupo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Trabajo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PCT.</w:t>
      </w:r>
    </w:p>
    <w:p w:rsidR="00170477" w:rsidRPr="003E5DB0" w:rsidRDefault="00170477" w:rsidP="00170477">
      <w:pPr>
        <w:pStyle w:val="Heading1"/>
        <w:rPr>
          <w:b w:val="0"/>
        </w:rPr>
      </w:pPr>
      <w:r w:rsidRPr="003E5DB0">
        <w:rPr>
          <w:b w:val="0"/>
        </w:rPr>
        <w:t>REALIZAR</w:t>
      </w:r>
      <w:r w:rsidR="000B0A91">
        <w:rPr>
          <w:b w:val="0"/>
        </w:rPr>
        <w:t xml:space="preserve"> </w:t>
      </w:r>
      <w:r w:rsidRPr="003E5DB0">
        <w:rPr>
          <w:b w:val="0"/>
        </w:rPr>
        <w:t>cambios</w:t>
      </w:r>
      <w:r w:rsidR="000B0A91">
        <w:rPr>
          <w:b w:val="0"/>
        </w:rPr>
        <w:t xml:space="preserve"> </w:t>
      </w:r>
      <w:r w:rsidRPr="003E5DB0">
        <w:rPr>
          <w:b w:val="0"/>
        </w:rPr>
        <w:t>EN</w:t>
      </w:r>
      <w:r w:rsidR="000B0A91">
        <w:rPr>
          <w:b w:val="0"/>
        </w:rPr>
        <w:t xml:space="preserve"> </w:t>
      </w:r>
      <w:r w:rsidRPr="003E5DB0">
        <w:rPr>
          <w:b w:val="0"/>
        </w:rPr>
        <w:t>autoservicio</w:t>
      </w:r>
      <w:r w:rsidR="000B0A91">
        <w:rPr>
          <w:b w:val="0"/>
        </w:rPr>
        <w:t xml:space="preserve"> </w:t>
      </w:r>
      <w:r w:rsidRPr="003E5DB0">
        <w:rPr>
          <w:b w:val="0"/>
        </w:rPr>
        <w:t>(92</w:t>
      </w:r>
      <w:r w:rsidRPr="003E5DB0">
        <w:rPr>
          <w:b w:val="0"/>
          <w:i/>
        </w:rPr>
        <w:t>bis</w:t>
      </w:r>
      <w:r w:rsidRPr="003E5DB0">
        <w:rPr>
          <w:b w:val="0"/>
        </w:rPr>
        <w:t>/reivindicaciones</w:t>
      </w:r>
      <w:r w:rsidR="000B0A91">
        <w:rPr>
          <w:b w:val="0"/>
        </w:rPr>
        <w:t xml:space="preserve"> </w:t>
      </w:r>
      <w:r w:rsidRPr="003E5DB0">
        <w:rPr>
          <w:b w:val="0"/>
        </w:rPr>
        <w:t>de</w:t>
      </w:r>
      <w:r w:rsidR="000B0A91">
        <w:rPr>
          <w:b w:val="0"/>
        </w:rPr>
        <w:t xml:space="preserve"> </w:t>
      </w:r>
      <w:r w:rsidRPr="003E5DB0">
        <w:rPr>
          <w:b w:val="0"/>
        </w:rPr>
        <w:t>prioridad</w:t>
      </w:r>
      <w:r w:rsidR="003E5DB0" w:rsidRPr="003E5DB0">
        <w:rPr>
          <w:b w:val="0"/>
        </w:rPr>
        <w:t>)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PCT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20/20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comprenden</w:t>
      </w:r>
      <w:r w:rsidR="000B0A91">
        <w:rPr>
          <w:snapToGrid w:val="0"/>
        </w:rPr>
        <w:t xml:space="preserve"> </w:t>
      </w:r>
      <w:r w:rsidRPr="00C463CE">
        <w:t>propuestas</w:t>
      </w:r>
      <w:r w:rsidR="000B0A91">
        <w:t xml:space="preserve"> </w:t>
      </w:r>
      <w:r w:rsidRPr="00C463CE">
        <w:t>específicas</w:t>
      </w:r>
      <w:r w:rsidR="000B0A91">
        <w:t xml:space="preserve"> </w:t>
      </w:r>
      <w:r w:rsidRPr="00C463CE">
        <w:t>para</w:t>
      </w:r>
      <w:r w:rsidR="000B0A91">
        <w:t xml:space="preserve"> </w:t>
      </w:r>
      <w:r w:rsidRPr="00C463CE">
        <w:t>dotar</w:t>
      </w:r>
      <w:r w:rsidR="000B0A91">
        <w:t xml:space="preserve"> </w:t>
      </w:r>
      <w:r w:rsidRPr="00C463CE">
        <w:t>al</w:t>
      </w:r>
      <w:r w:rsidR="000B0A91">
        <w:t xml:space="preserve"> </w:t>
      </w:r>
      <w:r w:rsidRPr="00C463CE">
        <w:rPr>
          <w:snapToGrid w:val="0"/>
        </w:rPr>
        <w:t>sistema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ePCT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OMPI</w:t>
      </w:r>
      <w:r w:rsidR="000B0A91">
        <w:rPr>
          <w:snapToGrid w:val="0"/>
        </w:rPr>
        <w:t xml:space="preserve"> </w:t>
      </w:r>
      <w:r w:rsidR="006A19F4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diversas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funciones</w:t>
      </w:r>
      <w:r w:rsidR="006A19F4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entre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otras,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eliminación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gran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parte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verificaciones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validaciones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efectuadas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manualmente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por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personal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Oficina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Internacional,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capacidad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enviar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automáticamente</w:t>
      </w:r>
      <w:r w:rsidR="000B0A91">
        <w:rPr>
          <w:snapToGrid w:val="0"/>
        </w:rPr>
        <w:t xml:space="preserve"> </w:t>
      </w:r>
      <w:r w:rsidR="006A19F4" w:rsidRPr="00C463CE">
        <w:rPr>
          <w:snapToGrid w:val="0"/>
        </w:rPr>
        <w:t>notificaciones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todos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solicitantes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cuando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realizan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determinados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cambios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6A19F4"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establecimiento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un</w:t>
      </w:r>
      <w:r w:rsidR="000B0A91">
        <w:rPr>
          <w:snapToGrid w:val="0"/>
        </w:rPr>
        <w:t xml:space="preserve"> </w:t>
      </w:r>
      <w:r w:rsidR="006A19F4" w:rsidRPr="00C463CE">
        <w:rPr>
          <w:snapToGrid w:val="0"/>
        </w:rPr>
        <w:t>tipo</w:t>
      </w:r>
      <w:r w:rsidR="000B0A91">
        <w:rPr>
          <w:snapToGrid w:val="0"/>
        </w:rPr>
        <w:t xml:space="preserve"> </w:t>
      </w:r>
      <w:r w:rsidR="006A19F4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usuario</w:t>
      </w:r>
      <w:r w:rsidR="000B0A91">
        <w:rPr>
          <w:snapToGrid w:val="0"/>
        </w:rPr>
        <w:t xml:space="preserve"> </w:t>
      </w:r>
      <w:r w:rsidR="006A19F4" w:rsidRPr="00C463CE">
        <w:rPr>
          <w:snapToGrid w:val="0"/>
        </w:rPr>
        <w:t>denominad</w:t>
      </w:r>
      <w:r w:rsidR="006B6D88">
        <w:rPr>
          <w:snapToGrid w:val="0"/>
        </w:rPr>
        <w:t>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propietario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autorizado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que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tendría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facultad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realizar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todo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tipo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cambios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solicitud,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incluida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retirada,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sin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necesidad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intervención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parte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Oficina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Internacional.</w:t>
      </w:r>
    </w:p>
    <w:p w:rsidR="00170477" w:rsidRPr="00C463CE" w:rsidRDefault="00DC25C7" w:rsidP="00170477">
      <w:pPr>
        <w:pStyle w:val="ONUMFS"/>
      </w:pPr>
      <w:r>
        <w:rPr>
          <w:snapToGrid w:val="0"/>
        </w:rPr>
        <w:t>E</w:t>
      </w:r>
      <w:r w:rsidR="00BB31D0">
        <w:rPr>
          <w:snapToGrid w:val="0"/>
        </w:rPr>
        <w:t>n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respuesta</w:t>
      </w:r>
      <w:r w:rsidR="00695027" w:rsidRPr="00C463CE">
        <w:rPr>
          <w:snapToGrid w:val="0"/>
        </w:rPr>
        <w:t>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circular</w:t>
      </w:r>
      <w:r w:rsidR="00695027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así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como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curso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debates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mantenidos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última</w:t>
      </w:r>
      <w:r w:rsidR="000B0A91">
        <w:rPr>
          <w:snapToGrid w:val="0"/>
        </w:rPr>
        <w:t xml:space="preserve"> </w:t>
      </w:r>
      <w:r w:rsidR="00567B6F" w:rsidRPr="00C463CE">
        <w:rPr>
          <w:snapToGrid w:val="0"/>
        </w:rPr>
        <w:t>reunión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Grupo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Trabajo</w:t>
      </w:r>
      <w:r w:rsidR="000B0A91">
        <w:rPr>
          <w:snapToGrid w:val="0"/>
        </w:rPr>
        <w:t xml:space="preserve"> </w:t>
      </w:r>
      <w:r w:rsidR="00567B6F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567B6F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567B6F" w:rsidRPr="00C463CE">
        <w:rPr>
          <w:snapToGrid w:val="0"/>
        </w:rPr>
        <w:t>última</w:t>
      </w:r>
      <w:r w:rsidR="000B0A91">
        <w:rPr>
          <w:snapToGrid w:val="0"/>
        </w:rPr>
        <w:t xml:space="preserve"> </w:t>
      </w:r>
      <w:r w:rsidR="00567B6F" w:rsidRPr="00C463CE">
        <w:rPr>
          <w:snapToGrid w:val="0"/>
        </w:rPr>
        <w:t>sesión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6F30D2" w:rsidRPr="00C463CE">
        <w:rPr>
          <w:snapToGrid w:val="0"/>
        </w:rPr>
        <w:t>PCT/MIA</w:t>
      </w:r>
      <w:r>
        <w:rPr>
          <w:snapToGrid w:val="0"/>
        </w:rPr>
        <w:t>,</w:t>
      </w:r>
      <w:r w:rsidR="000B0A91">
        <w:rPr>
          <w:snapToGrid w:val="0"/>
        </w:rPr>
        <w:t xml:space="preserve"> </w:t>
      </w:r>
      <w:r>
        <w:rPr>
          <w:snapToGrid w:val="0"/>
        </w:rPr>
        <w:t>se</w:t>
      </w:r>
      <w:r w:rsidR="000B0A91">
        <w:rPr>
          <w:snapToGrid w:val="0"/>
        </w:rPr>
        <w:t xml:space="preserve"> </w:t>
      </w:r>
      <w:r>
        <w:rPr>
          <w:snapToGrid w:val="0"/>
        </w:rPr>
        <w:t>observó</w:t>
      </w:r>
      <w:r w:rsidR="000B0A91">
        <w:rPr>
          <w:snapToGrid w:val="0"/>
        </w:rPr>
        <w:t xml:space="preserve"> </w:t>
      </w:r>
      <w:r>
        <w:rPr>
          <w:snapToGrid w:val="0"/>
        </w:rPr>
        <w:t>un</w:t>
      </w:r>
      <w:r w:rsidR="000B0A91">
        <w:rPr>
          <w:snapToGrid w:val="0"/>
        </w:rPr>
        <w:t xml:space="preserve"> </w:t>
      </w:r>
      <w:r>
        <w:rPr>
          <w:snapToGrid w:val="0"/>
        </w:rPr>
        <w:t>apoyo</w:t>
      </w:r>
      <w:r w:rsidR="000B0A91">
        <w:rPr>
          <w:snapToGrid w:val="0"/>
        </w:rPr>
        <w:t xml:space="preserve"> </w:t>
      </w:r>
      <w:r>
        <w:rPr>
          <w:snapToGrid w:val="0"/>
        </w:rPr>
        <w:t>bastante</w:t>
      </w:r>
      <w:r w:rsidR="000B0A91">
        <w:rPr>
          <w:snapToGrid w:val="0"/>
        </w:rPr>
        <w:t xml:space="preserve"> </w:t>
      </w:r>
      <w:r>
        <w:rPr>
          <w:snapToGrid w:val="0"/>
        </w:rPr>
        <w:t>amplio</w:t>
      </w:r>
      <w:r w:rsidR="000B0A91">
        <w:rPr>
          <w:snapToGrid w:val="0"/>
        </w:rPr>
        <w:t xml:space="preserve"> </w:t>
      </w:r>
      <w:r>
        <w:rPr>
          <w:snapToGrid w:val="0"/>
        </w:rPr>
        <w:t>a</w:t>
      </w:r>
      <w:r w:rsidR="000B0A91">
        <w:rPr>
          <w:snapToGrid w:val="0"/>
        </w:rPr>
        <w:t xml:space="preserve"> </w:t>
      </w:r>
      <w:r>
        <w:rPr>
          <w:snapToGrid w:val="0"/>
        </w:rPr>
        <w:t>l</w:t>
      </w:r>
      <w:r w:rsidRPr="00C463CE">
        <w:rPr>
          <w:snapToGrid w:val="0"/>
        </w:rPr>
        <w:t>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específicas</w:t>
      </w:r>
      <w:r w:rsidR="00170477" w:rsidRPr="00C463CE">
        <w:rPr>
          <w:snapToGrid w:val="0"/>
        </w:rPr>
        <w:t>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consecuencia,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han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transmitido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Oficina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Internacional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para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su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futura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incorporación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sistema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ePCT</w:t>
      </w:r>
      <w:r w:rsidR="00695027" w:rsidRPr="00C463CE">
        <w:rPr>
          <w:snapToGrid w:val="0"/>
        </w:rPr>
        <w:t>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según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proceda</w:t>
      </w:r>
      <w:r w:rsidRPr="00C463CE">
        <w:rPr>
          <w:snapToGrid w:val="0"/>
        </w:rPr>
        <w:t>.</w:t>
      </w:r>
    </w:p>
    <w:p w:rsidR="00170477" w:rsidRPr="003E5DB0" w:rsidRDefault="00170477" w:rsidP="00170477">
      <w:pPr>
        <w:pStyle w:val="Heading1"/>
        <w:rPr>
          <w:b w:val="0"/>
        </w:rPr>
      </w:pPr>
      <w:r w:rsidRPr="003E5DB0">
        <w:rPr>
          <w:b w:val="0"/>
          <w:snapToGrid w:val="0"/>
        </w:rPr>
        <w:t>Modificaciones</w:t>
      </w:r>
      <w:r w:rsidR="000B0A91">
        <w:rPr>
          <w:b w:val="0"/>
          <w:snapToGrid w:val="0"/>
        </w:rPr>
        <w:t xml:space="preserve"> </w:t>
      </w:r>
      <w:r w:rsidR="00695027" w:rsidRPr="003E5DB0">
        <w:rPr>
          <w:b w:val="0"/>
          <w:snapToGrid w:val="0"/>
        </w:rPr>
        <w:t>limitadas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DEL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capítulo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i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PCT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20/20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comprenden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específicas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destinadas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modificar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Reglas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20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91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fin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prever,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respectivamente,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i)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sustitución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series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enteras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descripciones,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reivindicaciones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dibujos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ii)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nueva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numeración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reivindicaciones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que,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manera</w:t>
      </w:r>
      <w:r w:rsidR="000B0A91">
        <w:rPr>
          <w:snapToGrid w:val="0"/>
        </w:rPr>
        <w:t xml:space="preserve"> </w:t>
      </w:r>
      <w:r w:rsidR="00695027" w:rsidRPr="00C463CE">
        <w:rPr>
          <w:snapToGrid w:val="0"/>
        </w:rPr>
        <w:t>evidente,</w:t>
      </w:r>
      <w:r w:rsidR="000B0A91">
        <w:rPr>
          <w:snapToGrid w:val="0"/>
        </w:rPr>
        <w:t xml:space="preserve"> </w:t>
      </w:r>
      <w:r w:rsidR="00EB7008">
        <w:rPr>
          <w:snapToGrid w:val="0"/>
        </w:rPr>
        <w:t>hubieran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sido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mal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numeradas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durante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presentación.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respuestas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circular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indicaron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un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apoyo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bastante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amplio.</w:t>
      </w:r>
      <w:r w:rsidR="000B0A91">
        <w:rPr>
          <w:snapToGrid w:val="0"/>
        </w:rPr>
        <w:t xml:space="preserve">  </w:t>
      </w:r>
      <w:r w:rsidRPr="00C463CE">
        <w:rPr>
          <w:snapToGrid w:val="0"/>
        </w:rPr>
        <w:t>Asimismo,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624873" w:rsidRPr="00C463CE">
        <w:rPr>
          <w:snapToGrid w:val="0"/>
        </w:rPr>
        <w:t>Administraciones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manera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general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mostraron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favorables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principios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basan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propuestas.</w:t>
      </w:r>
      <w:r w:rsidR="000B0A91">
        <w:rPr>
          <w:snapToGrid w:val="0"/>
        </w:rPr>
        <w:t xml:space="preserve">  </w:t>
      </w:r>
      <w:r w:rsidRPr="00C463CE">
        <w:rPr>
          <w:snapToGrid w:val="0"/>
        </w:rPr>
        <w:t>Sin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embargo,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el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marco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PCT/MIA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llegó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un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acuerdo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sobre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necesidad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establecer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un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marco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jurídico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procedimientos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adecuados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antes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aplicación.</w:t>
      </w:r>
    </w:p>
    <w:p w:rsidR="00170477" w:rsidRPr="00C463CE" w:rsidRDefault="00FA238B" w:rsidP="00170477">
      <w:pPr>
        <w:pStyle w:val="ONUMFS"/>
      </w:pPr>
      <w:r w:rsidRPr="00C463CE">
        <w:rPr>
          <w:snapToGrid w:val="0"/>
        </w:rPr>
        <w:t>Con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respecto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propuesta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modificación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Regla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20,</w:t>
      </w:r>
      <w:r w:rsidR="000B0A91">
        <w:rPr>
          <w:snapToGrid w:val="0"/>
        </w:rPr>
        <w:t xml:space="preserve"> </w:t>
      </w:r>
      <w:r w:rsidR="00546D34">
        <w:rPr>
          <w:snapToGrid w:val="0"/>
        </w:rPr>
        <w:t>es</w:t>
      </w:r>
      <w:r w:rsidR="00F03495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F03495">
        <w:rPr>
          <w:snapToGrid w:val="0"/>
        </w:rPr>
        <w:t>propuesta</w:t>
      </w:r>
      <w:r w:rsidR="000B0A91">
        <w:rPr>
          <w:snapToGrid w:val="0"/>
        </w:rPr>
        <w:t xml:space="preserve"> </w:t>
      </w:r>
      <w:r w:rsidR="00F03495">
        <w:rPr>
          <w:snapToGrid w:val="0"/>
        </w:rPr>
        <w:t>está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directamente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vinculada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principal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preocupación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expresada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por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Oficina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Europea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Patentes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(OEP)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respecto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incorporación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por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referencia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todas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descripciones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o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lastRenderedPageBreak/>
        <w:t>serie</w:t>
      </w:r>
      <w:r w:rsidR="001B6A45" w:rsidRPr="00C463CE">
        <w:rPr>
          <w:snapToGrid w:val="0"/>
        </w:rPr>
        <w:t>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reivindicaciones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completas</w:t>
      </w:r>
      <w:r w:rsidR="00170477" w:rsidRPr="00C463CE">
        <w:rPr>
          <w:snapToGrid w:val="0"/>
        </w:rPr>
        <w:t>.</w:t>
      </w:r>
      <w:r w:rsidR="000B0A91">
        <w:rPr>
          <w:snapToGrid w:val="0"/>
        </w:rPr>
        <w:t xml:space="preserve">  </w:t>
      </w:r>
      <w:r w:rsidR="00170477" w:rsidRPr="00C463CE">
        <w:rPr>
          <w:snapToGrid w:val="0"/>
        </w:rPr>
        <w:t>Dada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relación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entre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propuestas,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estimamos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que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esta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etapa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necesario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llegar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un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acuerdo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sobre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interpretación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reglas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relati</w:t>
      </w:r>
      <w:r w:rsidR="001B6A45" w:rsidRPr="00C463CE">
        <w:rPr>
          <w:snapToGrid w:val="0"/>
        </w:rPr>
        <w:t>vas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incorporación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antes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seguir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adelante</w:t>
      </w:r>
      <w:r w:rsidR="000B0A91">
        <w:rPr>
          <w:snapToGrid w:val="0"/>
        </w:rPr>
        <w:t xml:space="preserve"> </w:t>
      </w:r>
      <w:r w:rsidR="001B6A45" w:rsidRPr="00C463CE">
        <w:rPr>
          <w:snapToGrid w:val="0"/>
        </w:rPr>
        <w:t>con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esa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propuesta,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y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una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vez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que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se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logre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tal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acuerdo,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s</w:t>
      </w:r>
      <w:r w:rsidR="004D3531" w:rsidRPr="00C463CE">
        <w:rPr>
          <w:snapToGrid w:val="0"/>
        </w:rPr>
        <w:t>ometeremos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nuevamente</w:t>
      </w:r>
      <w:r w:rsidR="000B0A91">
        <w:rPr>
          <w:snapToGrid w:val="0"/>
        </w:rPr>
        <w:t xml:space="preserve"> </w:t>
      </w:r>
      <w:r w:rsidR="00002F13">
        <w:rPr>
          <w:snapToGrid w:val="0"/>
        </w:rPr>
        <w:t>l</w:t>
      </w:r>
      <w:r w:rsidR="00170477"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propuesta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al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Grupo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Trabajo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para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su</w:t>
      </w:r>
      <w:r w:rsidR="000B0A91">
        <w:rPr>
          <w:snapToGrid w:val="0"/>
        </w:rPr>
        <w:t xml:space="preserve"> </w:t>
      </w:r>
      <w:r w:rsidR="00170477" w:rsidRPr="00C463CE">
        <w:rPr>
          <w:snapToGrid w:val="0"/>
        </w:rPr>
        <w:t>examen.</w:t>
      </w:r>
    </w:p>
    <w:p w:rsidR="00170477" w:rsidRPr="003E5DB0" w:rsidRDefault="00170477" w:rsidP="00170477">
      <w:pPr>
        <w:pStyle w:val="Heading1"/>
        <w:rPr>
          <w:b w:val="0"/>
        </w:rPr>
      </w:pPr>
      <w:r w:rsidRPr="003E5DB0">
        <w:rPr>
          <w:b w:val="0"/>
          <w:snapToGrid w:val="0"/>
        </w:rPr>
        <w:t>Simplificación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de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la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retirada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de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las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solicitudes</w:t>
      </w:r>
      <w:r w:rsidR="000B0A91">
        <w:rPr>
          <w:b w:val="0"/>
          <w:snapToGrid w:val="0"/>
        </w:rPr>
        <w:t xml:space="preserve"> </w:t>
      </w:r>
      <w:r w:rsidRPr="003E5DB0">
        <w:rPr>
          <w:b w:val="0"/>
          <w:snapToGrid w:val="0"/>
        </w:rPr>
        <w:t>internacionales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PCT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20/20</w:t>
      </w:r>
      <w:r w:rsidR="000B0A91">
        <w:rPr>
          <w:snapToGrid w:val="0"/>
        </w:rPr>
        <w:t xml:space="preserve"> </w:t>
      </w:r>
      <w:r w:rsidR="001551EE">
        <w:rPr>
          <w:snapToGrid w:val="0"/>
        </w:rPr>
        <w:t>comprenden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propuestas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específicas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destinadas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permitir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que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solicitudes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internacionales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puedan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ser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retiradas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sin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firma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los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s</w:t>
      </w:r>
      <w:r w:rsidR="00A97DBD" w:rsidRPr="00C463CE">
        <w:rPr>
          <w:snapToGrid w:val="0"/>
        </w:rPr>
        <w:t>olicitantes</w:t>
      </w:r>
      <w:r w:rsidR="000B0A91">
        <w:rPr>
          <w:snapToGrid w:val="0"/>
        </w:rPr>
        <w:t xml:space="preserve"> </w:t>
      </w:r>
      <w:r w:rsidR="00A97DBD" w:rsidRPr="00C463CE">
        <w:rPr>
          <w:snapToGrid w:val="0"/>
        </w:rPr>
        <w:t>en</w:t>
      </w:r>
      <w:r w:rsidR="000B0A91">
        <w:rPr>
          <w:snapToGrid w:val="0"/>
        </w:rPr>
        <w:t xml:space="preserve"> </w:t>
      </w:r>
      <w:r w:rsidR="00A97DBD" w:rsidRPr="00C463CE">
        <w:rPr>
          <w:snapToGrid w:val="0"/>
        </w:rPr>
        <w:t>ciertos</w:t>
      </w:r>
      <w:r w:rsidR="000B0A91">
        <w:rPr>
          <w:snapToGrid w:val="0"/>
        </w:rPr>
        <w:t xml:space="preserve"> </w:t>
      </w:r>
      <w:r w:rsidR="00A97DBD" w:rsidRPr="00C463CE">
        <w:rPr>
          <w:snapToGrid w:val="0"/>
        </w:rPr>
        <w:t>casos</w:t>
      </w:r>
      <w:r w:rsidR="000B0A91">
        <w:rPr>
          <w:snapToGrid w:val="0"/>
        </w:rPr>
        <w:t xml:space="preserve"> </w:t>
      </w:r>
      <w:r w:rsidR="00A97DBD" w:rsidRPr="00C463CE">
        <w:rPr>
          <w:snapToGrid w:val="0"/>
        </w:rPr>
        <w:t>estrictamente</w:t>
      </w:r>
      <w:r w:rsidR="000B0A91">
        <w:rPr>
          <w:snapToGrid w:val="0"/>
        </w:rPr>
        <w:t xml:space="preserve"> </w:t>
      </w:r>
      <w:r w:rsidR="00A97DBD" w:rsidRPr="00C463CE">
        <w:rPr>
          <w:snapToGrid w:val="0"/>
        </w:rPr>
        <w:t>delimitados</w:t>
      </w:r>
      <w:r w:rsidRPr="00C463CE">
        <w:rPr>
          <w:snapToGrid w:val="0"/>
        </w:rPr>
        <w:t>.</w:t>
      </w:r>
    </w:p>
    <w:p w:rsidR="00170477" w:rsidRPr="00C463CE" w:rsidRDefault="00170477" w:rsidP="00170477">
      <w:pPr>
        <w:pStyle w:val="ONUMFS"/>
      </w:pPr>
      <w:r w:rsidRPr="00C463CE">
        <w:t>La</w:t>
      </w:r>
      <w:r w:rsidR="000B0A91">
        <w:t xml:space="preserve"> </w:t>
      </w:r>
      <w:r w:rsidRPr="00C463CE">
        <w:t>propuesta,</w:t>
      </w:r>
      <w:r w:rsidR="000B0A91">
        <w:t xml:space="preserve"> </w:t>
      </w:r>
      <w:r w:rsidRPr="00C463CE">
        <w:t>si</w:t>
      </w:r>
      <w:r w:rsidR="000B0A91">
        <w:t xml:space="preserve"> </w:t>
      </w:r>
      <w:r w:rsidRPr="00C463CE">
        <w:t>bien</w:t>
      </w:r>
      <w:r w:rsidR="000B0A91">
        <w:t xml:space="preserve"> </w:t>
      </w:r>
      <w:r w:rsidRPr="00C463CE">
        <w:t>ha</w:t>
      </w:r>
      <w:r w:rsidR="000B0A91">
        <w:t xml:space="preserve"> </w:t>
      </w:r>
      <w:r w:rsidRPr="00C463CE">
        <w:t>beneficiado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un</w:t>
      </w:r>
      <w:r w:rsidR="000B0A91">
        <w:t xml:space="preserve"> </w:t>
      </w:r>
      <w:r w:rsidRPr="00C463CE">
        <w:t>importante</w:t>
      </w:r>
      <w:r w:rsidR="000B0A91">
        <w:t xml:space="preserve"> </w:t>
      </w:r>
      <w:r w:rsidRPr="00C463CE">
        <w:t>apoyo</w:t>
      </w:r>
      <w:r w:rsidR="000B0A91">
        <w:t xml:space="preserve"> </w:t>
      </w:r>
      <w:r w:rsidRPr="00C463CE">
        <w:t>por</w:t>
      </w:r>
      <w:r w:rsidR="000B0A91">
        <w:t xml:space="preserve"> </w:t>
      </w:r>
      <w:r w:rsidRPr="00C463CE">
        <w:t>parte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grupos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usuarios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respondieron</w:t>
      </w:r>
      <w:r w:rsidR="000B0A91">
        <w:t xml:space="preserve"> </w:t>
      </w:r>
      <w:r w:rsidRPr="00C463CE">
        <w:t>a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circular,</w:t>
      </w:r>
      <w:r w:rsidR="000B0A91">
        <w:t xml:space="preserve"> </w:t>
      </w:r>
      <w:r w:rsidRPr="00C463CE">
        <w:t>recibió</w:t>
      </w:r>
      <w:r w:rsidR="000B0A91">
        <w:t xml:space="preserve"> </w:t>
      </w:r>
      <w:r w:rsidRPr="00C463CE">
        <w:t>un</w:t>
      </w:r>
      <w:r w:rsidR="000B0A91">
        <w:t xml:space="preserve"> </w:t>
      </w:r>
      <w:r w:rsidRPr="00C463CE">
        <w:t>apoyo</w:t>
      </w:r>
      <w:r w:rsidR="000B0A91">
        <w:t xml:space="preserve"> </w:t>
      </w:r>
      <w:r w:rsidRPr="00C463CE">
        <w:t>mitigado</w:t>
      </w:r>
      <w:r w:rsidR="000B0A91">
        <w:t xml:space="preserve"> </w:t>
      </w:r>
      <w:r w:rsidRPr="00C463CE">
        <w:t>por</w:t>
      </w:r>
      <w:r w:rsidR="000B0A91">
        <w:t xml:space="preserve"> </w:t>
      </w:r>
      <w:r w:rsidRPr="00C463CE">
        <w:t>parte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Estados</w:t>
      </w:r>
      <w:r w:rsidR="000B0A91">
        <w:t xml:space="preserve"> </w:t>
      </w:r>
      <w:r w:rsidRPr="00C463CE">
        <w:t>miembros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las</w:t>
      </w:r>
      <w:r w:rsidR="000B0A91">
        <w:t xml:space="preserve"> </w:t>
      </w:r>
      <w:r w:rsidR="00624873" w:rsidRPr="00C463CE">
        <w:t>Administraciones</w:t>
      </w:r>
      <w:r w:rsidRPr="00C463CE">
        <w:t>.</w:t>
      </w:r>
      <w:r w:rsidR="000B0A91">
        <w:t xml:space="preserve">  </w:t>
      </w:r>
      <w:r w:rsidRPr="00C463CE">
        <w:t>En</w:t>
      </w:r>
      <w:r w:rsidR="000B0A91">
        <w:t xml:space="preserve"> </w:t>
      </w:r>
      <w:r w:rsidRPr="00C463CE">
        <w:t>concreto,</w:t>
      </w:r>
      <w:r w:rsidR="000B0A91">
        <w:t xml:space="preserve"> </w:t>
      </w:r>
      <w:r w:rsidRPr="00C463CE">
        <w:t>se</w:t>
      </w:r>
      <w:r w:rsidR="000B0A91">
        <w:t xml:space="preserve"> </w:t>
      </w:r>
      <w:r w:rsidRPr="00C463CE">
        <w:t>expresaron</w:t>
      </w:r>
      <w:r w:rsidR="000B0A91">
        <w:t xml:space="preserve"> </w:t>
      </w:r>
      <w:r w:rsidRPr="00C463CE">
        <w:t>preocupaciones</w:t>
      </w:r>
      <w:r w:rsidR="000B0A91">
        <w:t xml:space="preserve"> </w:t>
      </w:r>
      <w:r w:rsidRPr="00C463CE">
        <w:t>acerca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medidas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salvaguardia</w:t>
      </w:r>
      <w:r w:rsidR="000B0A91">
        <w:t xml:space="preserve"> </w:t>
      </w:r>
      <w:r w:rsidRPr="00C463CE">
        <w:t>adecuadas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se</w:t>
      </w:r>
      <w:r w:rsidR="000B0A91">
        <w:t xml:space="preserve"> </w:t>
      </w:r>
      <w:r w:rsidRPr="00C463CE">
        <w:t>están</w:t>
      </w:r>
      <w:r w:rsidR="000B0A91">
        <w:t xml:space="preserve"> </w:t>
      </w:r>
      <w:r w:rsidRPr="00C463CE">
        <w:t>estableciendo.</w:t>
      </w:r>
    </w:p>
    <w:p w:rsidR="00170477" w:rsidRPr="00C463CE" w:rsidRDefault="00170477" w:rsidP="00170477">
      <w:pPr>
        <w:pStyle w:val="ONUMFS"/>
      </w:pPr>
      <w:r w:rsidRPr="00C463CE">
        <w:t>Asimismo</w:t>
      </w:r>
      <w:r w:rsidR="00851E0B">
        <w:t>,</w:t>
      </w:r>
      <w:r w:rsidR="000B0A91">
        <w:t xml:space="preserve"> </w:t>
      </w:r>
      <w:r w:rsidRPr="00C463CE">
        <w:t>cabe</w:t>
      </w:r>
      <w:r w:rsidR="000B0A91">
        <w:t xml:space="preserve"> </w:t>
      </w:r>
      <w:r w:rsidRPr="00C463CE">
        <w:t>mencionar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modificaciones</w:t>
      </w:r>
      <w:r w:rsidR="000B0A91">
        <w:t xml:space="preserve"> </w:t>
      </w:r>
      <w:r w:rsidRPr="00C463CE">
        <w:t>aportadas</w:t>
      </w:r>
      <w:r w:rsidR="000B0A91">
        <w:t xml:space="preserve"> </w:t>
      </w:r>
      <w:r w:rsidRPr="00C463CE">
        <w:t>a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legislación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Estados</w:t>
      </w:r>
      <w:r w:rsidR="000B0A91">
        <w:t xml:space="preserve"> </w:t>
      </w:r>
      <w:r w:rsidRPr="00C463CE">
        <w:t>Uni</w:t>
      </w:r>
      <w:r w:rsidR="00717070">
        <w:t>dos</w:t>
      </w:r>
      <w:r w:rsidR="000B0A91">
        <w:t xml:space="preserve"> </w:t>
      </w:r>
      <w:r w:rsidR="00717070">
        <w:t>de</w:t>
      </w:r>
      <w:r w:rsidR="000B0A91">
        <w:t xml:space="preserve"> </w:t>
      </w:r>
      <w:r w:rsidR="00717070">
        <w:t>América</w:t>
      </w:r>
      <w:r w:rsidR="000B0A91">
        <w:t xml:space="preserve"> </w:t>
      </w:r>
      <w:r w:rsidR="00717070">
        <w:t>en</w:t>
      </w:r>
      <w:r w:rsidR="000B0A91">
        <w:t xml:space="preserve"> </w:t>
      </w:r>
      <w:r w:rsidR="00717070">
        <w:t>virtud</w:t>
      </w:r>
      <w:r w:rsidR="000B0A91">
        <w:t xml:space="preserve"> </w:t>
      </w:r>
      <w:r w:rsidR="00717070">
        <w:t>de</w:t>
      </w:r>
      <w:r w:rsidR="000B0A91">
        <w:t xml:space="preserve"> </w:t>
      </w:r>
      <w:r w:rsidR="00717070">
        <w:t>la</w:t>
      </w:r>
      <w:r w:rsidR="000B0A91">
        <w:t xml:space="preserve"> </w:t>
      </w:r>
      <w:r w:rsidR="00717070">
        <w:t>L</w:t>
      </w:r>
      <w:r w:rsidRPr="00C463CE">
        <w:t>ey</w:t>
      </w:r>
      <w:r w:rsidR="000B0A91">
        <w:t xml:space="preserve"> </w:t>
      </w:r>
      <w:r w:rsidR="002650C0" w:rsidRPr="00C463CE">
        <w:t>sobre</w:t>
      </w:r>
      <w:r w:rsidR="000B0A91">
        <w:t xml:space="preserve"> </w:t>
      </w:r>
      <w:r w:rsidR="002650C0" w:rsidRPr="00C463CE">
        <w:t>la</w:t>
      </w:r>
      <w:r w:rsidR="000B0A91">
        <w:t xml:space="preserve"> </w:t>
      </w:r>
      <w:r w:rsidR="002650C0" w:rsidRPr="00C463CE">
        <w:t>promoción</w:t>
      </w:r>
      <w:r w:rsidR="000B0A91">
        <w:t xml:space="preserve"> </w:t>
      </w:r>
      <w:r w:rsidR="002650C0" w:rsidRPr="00C463CE">
        <w:t>de</w:t>
      </w:r>
      <w:r w:rsidR="000B0A91">
        <w:t xml:space="preserve"> </w:t>
      </w:r>
      <w:r w:rsidR="002650C0" w:rsidRPr="00C463CE">
        <w:t>las</w:t>
      </w:r>
      <w:r w:rsidR="000B0A91">
        <w:t xml:space="preserve"> </w:t>
      </w:r>
      <w:r w:rsidR="002650C0" w:rsidRPr="00C463CE">
        <w:t>invenciones</w:t>
      </w:r>
      <w:r w:rsidR="000B0A91">
        <w:t xml:space="preserve"> </w:t>
      </w:r>
      <w:r w:rsidR="002650C0" w:rsidRPr="00C463CE">
        <w:t>(</w:t>
      </w:r>
      <w:r w:rsidR="004B5C48" w:rsidRPr="00C463CE">
        <w:t>América</w:t>
      </w:r>
      <w:r w:rsidR="000B0A91">
        <w:t xml:space="preserve"> </w:t>
      </w:r>
      <w:r w:rsidR="002650C0" w:rsidRPr="00C463CE">
        <w:t>Invents</w:t>
      </w:r>
      <w:r w:rsidR="000B0A91">
        <w:t xml:space="preserve"> </w:t>
      </w:r>
      <w:r w:rsidR="002650C0" w:rsidRPr="00C463CE">
        <w:t>Act)</w:t>
      </w:r>
      <w:r w:rsidR="000B0A91">
        <w:t xml:space="preserve"> </w:t>
      </w:r>
      <w:r w:rsidR="002650C0" w:rsidRPr="00C463CE">
        <w:t>respecto</w:t>
      </w:r>
      <w:r w:rsidR="000B0A91">
        <w:t xml:space="preserve"> </w:t>
      </w:r>
      <w:r w:rsidR="002650C0" w:rsidRPr="00C463CE">
        <w:t>de</w:t>
      </w:r>
      <w:r w:rsidR="000B0A91">
        <w:t xml:space="preserve"> </w:t>
      </w:r>
      <w:r w:rsidR="002650C0" w:rsidRPr="00C463CE">
        <w:t>las</w:t>
      </w:r>
      <w:r w:rsidR="000B0A91">
        <w:t xml:space="preserve"> </w:t>
      </w:r>
      <w:r w:rsidR="002650C0" w:rsidRPr="00C463CE">
        <w:t>condiciones</w:t>
      </w:r>
      <w:r w:rsidR="000B0A91">
        <w:t xml:space="preserve"> </w:t>
      </w:r>
      <w:r w:rsidR="002650C0" w:rsidRPr="00C463CE">
        <w:t>que</w:t>
      </w:r>
      <w:r w:rsidR="000B0A91">
        <w:t xml:space="preserve"> </w:t>
      </w:r>
      <w:r w:rsidR="002650C0" w:rsidRPr="00C463CE">
        <w:t>debe</w:t>
      </w:r>
      <w:r w:rsidR="000B0A91">
        <w:t xml:space="preserve"> </w:t>
      </w:r>
      <w:r w:rsidR="002650C0" w:rsidRPr="00C463CE">
        <w:t>reunir</w:t>
      </w:r>
      <w:r w:rsidR="000B0A91">
        <w:t xml:space="preserve"> </w:t>
      </w:r>
      <w:r w:rsidR="002650C0" w:rsidRPr="00C463CE">
        <w:t>el</w:t>
      </w:r>
      <w:r w:rsidR="000B0A91">
        <w:t xml:space="preserve"> </w:t>
      </w:r>
      <w:r w:rsidRPr="00C463CE">
        <w:t>solicitante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Estados</w:t>
      </w:r>
      <w:r w:rsidR="000B0A91">
        <w:t xml:space="preserve"> </w:t>
      </w:r>
      <w:r w:rsidRPr="00C463CE">
        <w:t>Unidos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América</w:t>
      </w:r>
      <w:r w:rsidR="000B0A91">
        <w:t xml:space="preserve"> </w:t>
      </w:r>
      <w:r w:rsidRPr="00C463CE">
        <w:t>y</w:t>
      </w:r>
      <w:r w:rsidR="002650C0" w:rsidRPr="00C463CE">
        <w:t>,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particular</w:t>
      </w:r>
      <w:r w:rsidR="002650C0" w:rsidRPr="00C463CE">
        <w:t>,</w:t>
      </w:r>
      <w:r w:rsidR="000B0A91">
        <w:t xml:space="preserve"> </w:t>
      </w:r>
      <w:r w:rsidR="00717070">
        <w:t>sobre</w:t>
      </w:r>
      <w:r w:rsidR="000B0A91">
        <w:t xml:space="preserve"> </w:t>
      </w:r>
      <w:r w:rsidR="00717070">
        <w:t>el</w:t>
      </w:r>
      <w:r w:rsidR="000B0A91">
        <w:t xml:space="preserve"> </w:t>
      </w:r>
      <w:r w:rsidR="00717070">
        <w:t>hecho</w:t>
      </w:r>
      <w:r w:rsidR="000B0A91">
        <w:t xml:space="preserve"> </w:t>
      </w:r>
      <w:r w:rsidR="00717070">
        <w:t>de</w:t>
      </w:r>
      <w:r w:rsidR="000B0A91">
        <w:t xml:space="preserve"> </w:t>
      </w:r>
      <w:r w:rsidRPr="00C463CE">
        <w:t>que</w:t>
      </w:r>
      <w:r w:rsidR="000B0A91">
        <w:t xml:space="preserve"> </w:t>
      </w:r>
      <w:r w:rsidR="002650C0" w:rsidRPr="00C463CE">
        <w:t>ya</w:t>
      </w:r>
      <w:r w:rsidR="000B0A91">
        <w:t xml:space="preserve"> </w:t>
      </w:r>
      <w:r w:rsidR="002650C0" w:rsidRPr="00C463CE">
        <w:t>no</w:t>
      </w:r>
      <w:r w:rsidR="000B0A91">
        <w:t xml:space="preserve"> </w:t>
      </w:r>
      <w:r w:rsidR="002650C0" w:rsidRPr="00C463CE">
        <w:t>es</w:t>
      </w:r>
      <w:r w:rsidR="000B0A91">
        <w:t xml:space="preserve"> </w:t>
      </w:r>
      <w:r w:rsidR="002650C0" w:rsidRPr="00C463CE">
        <w:t>necesario</w:t>
      </w:r>
      <w:r w:rsidR="000B0A91">
        <w:t xml:space="preserve"> </w:t>
      </w:r>
      <w:r w:rsidR="002650C0" w:rsidRPr="00C463CE">
        <w:t>que</w:t>
      </w:r>
      <w:r w:rsidR="000B0A91">
        <w:t xml:space="preserve"> </w:t>
      </w:r>
      <w:r w:rsidR="002650C0" w:rsidRPr="00C463CE">
        <w:t>el</w:t>
      </w:r>
      <w:r w:rsidR="000B0A91">
        <w:t xml:space="preserve"> </w:t>
      </w:r>
      <w:r w:rsidR="002650C0" w:rsidRPr="00C463CE">
        <w:t>solicitante</w:t>
      </w:r>
      <w:r w:rsidR="000B0A91">
        <w:t xml:space="preserve"> </w:t>
      </w:r>
      <w:r w:rsidR="002650C0" w:rsidRPr="00C463CE">
        <w:t>sea</w:t>
      </w:r>
      <w:r w:rsidR="000B0A91">
        <w:t xml:space="preserve"> </w:t>
      </w:r>
      <w:r w:rsidR="002650C0" w:rsidRPr="00C463CE">
        <w:t>el</w:t>
      </w:r>
      <w:r w:rsidR="000B0A91">
        <w:t xml:space="preserve"> </w:t>
      </w:r>
      <w:r w:rsidRPr="00C463CE">
        <w:t>inventor,</w:t>
      </w:r>
      <w:r w:rsidR="000B0A91">
        <w:t xml:space="preserve"> </w:t>
      </w:r>
      <w:r w:rsidRPr="00C463CE">
        <w:t>probablemente</w:t>
      </w:r>
      <w:r w:rsidR="000B0A91">
        <w:t xml:space="preserve"> </w:t>
      </w:r>
      <w:r w:rsidRPr="00C463CE">
        <w:t>han</w:t>
      </w:r>
      <w:r w:rsidR="000B0A91">
        <w:t xml:space="preserve"> </w:t>
      </w:r>
      <w:r w:rsidRPr="00C463CE">
        <w:t>simplificado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situación</w:t>
      </w:r>
      <w:r w:rsidR="000B0A91">
        <w:t xml:space="preserve"> </w:t>
      </w:r>
      <w:r w:rsidRPr="00C463CE">
        <w:t>ya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mayoría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solicitudes</w:t>
      </w:r>
      <w:r w:rsidR="000B0A91">
        <w:t xml:space="preserve"> </w:t>
      </w:r>
      <w:r w:rsidRPr="00C463CE">
        <w:t>se</w:t>
      </w:r>
      <w:r w:rsidR="000B0A91">
        <w:t xml:space="preserve"> </w:t>
      </w:r>
      <w:r w:rsidRPr="00C463CE">
        <w:t>presentan</w:t>
      </w:r>
      <w:r w:rsidR="000B0A91">
        <w:t xml:space="preserve"> </w:t>
      </w:r>
      <w:r w:rsidRPr="00C463CE">
        <w:t>ahora</w:t>
      </w:r>
      <w:r w:rsidR="000B0A91">
        <w:t xml:space="preserve"> </w:t>
      </w:r>
      <w:r w:rsidRPr="00C463CE">
        <w:t>mencionando</w:t>
      </w:r>
      <w:r w:rsidR="000B0A91">
        <w:t xml:space="preserve"> </w:t>
      </w:r>
      <w:r w:rsidRPr="00C463CE">
        <w:t>únicamente</w:t>
      </w:r>
      <w:r w:rsidR="000B0A91">
        <w:t xml:space="preserve"> </w:t>
      </w:r>
      <w:r w:rsidRPr="00C463CE">
        <w:t>al</w:t>
      </w:r>
      <w:r w:rsidR="000B0A91">
        <w:t xml:space="preserve"> </w:t>
      </w:r>
      <w:r w:rsidR="00E506C6" w:rsidRPr="00C463CE">
        <w:t>cesionario</w:t>
      </w:r>
      <w:r w:rsidR="000B0A91">
        <w:t xml:space="preserve"> </w:t>
      </w:r>
      <w:r w:rsidR="00E506C6" w:rsidRPr="00C463CE">
        <w:t>en</w:t>
      </w:r>
      <w:r w:rsidR="000B0A91">
        <w:t xml:space="preserve"> </w:t>
      </w:r>
      <w:r w:rsidR="00E506C6" w:rsidRPr="00C463CE">
        <w:t>calidad</w:t>
      </w:r>
      <w:r w:rsidR="000B0A91">
        <w:t xml:space="preserve"> </w:t>
      </w:r>
      <w:r w:rsidR="00E506C6" w:rsidRPr="00C463CE">
        <w:t>de</w:t>
      </w:r>
      <w:r w:rsidR="000B0A91">
        <w:t xml:space="preserve"> </w:t>
      </w:r>
      <w:r w:rsidR="00E506C6" w:rsidRPr="00C463CE">
        <w:t>solicitante</w:t>
      </w:r>
      <w:r w:rsidRPr="00C463CE">
        <w:t>.</w:t>
      </w:r>
      <w:r w:rsidR="000B0A91">
        <w:t xml:space="preserve">  </w:t>
      </w:r>
      <w:r w:rsidRPr="00C463CE">
        <w:t>Por</w:t>
      </w:r>
      <w:r w:rsidR="000B0A91">
        <w:t xml:space="preserve"> </w:t>
      </w:r>
      <w:r w:rsidRPr="00C463CE">
        <w:t>consiguiente,</w:t>
      </w:r>
      <w:r w:rsidR="000B0A91">
        <w:t xml:space="preserve"> </w:t>
      </w:r>
      <w:r w:rsidR="00847611">
        <w:t>se</w:t>
      </w:r>
      <w:r w:rsidR="000B0A91">
        <w:t xml:space="preserve"> </w:t>
      </w:r>
      <w:r w:rsidR="00847611">
        <w:t>necesita</w:t>
      </w:r>
      <w:r w:rsidR="000B0A91">
        <w:t xml:space="preserve"> </w:t>
      </w:r>
      <w:r w:rsidRPr="00C463CE">
        <w:t>una</w:t>
      </w:r>
      <w:r w:rsidR="000B0A91">
        <w:t xml:space="preserve"> </w:t>
      </w:r>
      <w:r w:rsidR="00E506C6" w:rsidRPr="00C463CE">
        <w:t>s</w:t>
      </w:r>
      <w:r w:rsidR="004E0E26">
        <w:t>ola</w:t>
      </w:r>
      <w:r w:rsidR="000B0A91">
        <w:t xml:space="preserve"> </w:t>
      </w:r>
      <w:r w:rsidRPr="00C463CE">
        <w:t>firma</w:t>
      </w:r>
      <w:r w:rsidR="000B0A91">
        <w:t xml:space="preserve"> </w:t>
      </w:r>
      <w:r w:rsidRPr="00C463CE">
        <w:t>para</w:t>
      </w:r>
      <w:r w:rsidR="000B0A91">
        <w:t xml:space="preserve"> </w:t>
      </w:r>
      <w:r w:rsidR="002E4AF0" w:rsidRPr="00C463CE">
        <w:t>realizar</w:t>
      </w:r>
      <w:r w:rsidR="000B0A91">
        <w:t xml:space="preserve"> </w:t>
      </w:r>
      <w:r w:rsidRPr="00C463CE">
        <w:t>una</w:t>
      </w:r>
      <w:r w:rsidR="000B0A91">
        <w:t xml:space="preserve"> </w:t>
      </w:r>
      <w:r w:rsidRPr="00C463CE">
        <w:t>retirada.</w:t>
      </w:r>
    </w:p>
    <w:p w:rsidR="00170477" w:rsidRPr="00C463CE" w:rsidRDefault="00170477" w:rsidP="00170477">
      <w:pPr>
        <w:pStyle w:val="ONUMFS"/>
      </w:pPr>
      <w:r w:rsidRPr="00C463CE">
        <w:t>Los</w:t>
      </w:r>
      <w:r w:rsidR="000B0A91">
        <w:t xml:space="preserve"> </w:t>
      </w:r>
      <w:r w:rsidRPr="00C463CE">
        <w:t>Estados</w:t>
      </w:r>
      <w:r w:rsidR="000B0A91">
        <w:t xml:space="preserve"> </w:t>
      </w:r>
      <w:r w:rsidRPr="00C463CE">
        <w:t>Unidos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América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Reino</w:t>
      </w:r>
      <w:r w:rsidR="000B0A91">
        <w:t xml:space="preserve"> </w:t>
      </w:r>
      <w:r w:rsidRPr="00C463CE">
        <w:t>Unido</w:t>
      </w:r>
      <w:r w:rsidR="000B0A91">
        <w:t xml:space="preserve"> </w:t>
      </w:r>
      <w:r w:rsidRPr="00C463CE">
        <w:t>seguirán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cerca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situación</w:t>
      </w:r>
      <w:r w:rsidR="000B0A91">
        <w:t xml:space="preserve"> </w:t>
      </w:r>
      <w:r w:rsidRPr="00C463CE">
        <w:t>para</w:t>
      </w:r>
      <w:r w:rsidR="000B0A91">
        <w:t xml:space="preserve"> </w:t>
      </w:r>
      <w:r w:rsidRPr="00C463CE">
        <w:t>determinar</w:t>
      </w:r>
      <w:r w:rsidR="000B0A91">
        <w:t xml:space="preserve"> </w:t>
      </w:r>
      <w:r w:rsidRPr="00C463CE">
        <w:t>si</w:t>
      </w:r>
      <w:r w:rsidR="000B0A91">
        <w:t xml:space="preserve"> </w:t>
      </w:r>
      <w:r w:rsidRPr="00C463CE">
        <w:t>sigue</w:t>
      </w:r>
      <w:r w:rsidR="000B0A91">
        <w:t xml:space="preserve"> </w:t>
      </w:r>
      <w:r w:rsidRPr="00C463CE">
        <w:t>siendo</w:t>
      </w:r>
      <w:r w:rsidR="000B0A91">
        <w:t xml:space="preserve"> </w:t>
      </w:r>
      <w:r w:rsidRPr="00C463CE">
        <w:t>necesario</w:t>
      </w:r>
      <w:r w:rsidR="000B0A91">
        <w:t xml:space="preserve"> </w:t>
      </w:r>
      <w:r w:rsidRPr="00C463CE">
        <w:t>reducir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exigencias</w:t>
      </w:r>
      <w:r w:rsidR="000B0A91">
        <w:t xml:space="preserve"> </w:t>
      </w:r>
      <w:r w:rsidRPr="00C463CE">
        <w:t>y</w:t>
      </w:r>
      <w:r w:rsidR="002E4AF0" w:rsidRPr="00C463CE">
        <w:t>,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tal</w:t>
      </w:r>
      <w:r w:rsidR="000B0A91">
        <w:t xml:space="preserve"> </w:t>
      </w:r>
      <w:r w:rsidRPr="00C463CE">
        <w:t>caso,</w:t>
      </w:r>
      <w:r w:rsidR="000B0A91">
        <w:t xml:space="preserve"> </w:t>
      </w:r>
      <w:r w:rsidRPr="00C463CE">
        <w:t>tener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cuenta</w:t>
      </w:r>
      <w:r w:rsidR="000B0A91">
        <w:t xml:space="preserve"> </w:t>
      </w:r>
      <w:r w:rsidRPr="00C463CE">
        <w:t>todos</w:t>
      </w:r>
      <w:r w:rsidR="000B0A91">
        <w:t xml:space="preserve"> </w:t>
      </w:r>
      <w:r w:rsidRPr="00C463CE">
        <w:t>los</w:t>
      </w:r>
      <w:r w:rsidR="000B0A91">
        <w:t xml:space="preserve"> </w:t>
      </w:r>
      <w:r w:rsidRPr="00C463CE">
        <w:t>comentarios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preocupaciones</w:t>
      </w:r>
      <w:r w:rsidR="000B0A91">
        <w:t xml:space="preserve"> </w:t>
      </w:r>
      <w:r w:rsidRPr="00C463CE">
        <w:t>expresados</w:t>
      </w:r>
      <w:r w:rsidR="000B0A91">
        <w:t xml:space="preserve"> </w:t>
      </w:r>
      <w:r w:rsidR="002E4AF0" w:rsidRPr="00C463CE">
        <w:t>con</w:t>
      </w:r>
      <w:r w:rsidR="000B0A91">
        <w:t xml:space="preserve"> </w:t>
      </w:r>
      <w:r w:rsidR="002E4AF0" w:rsidRPr="00C463CE">
        <w:t>miras</w:t>
      </w:r>
      <w:r w:rsidR="000B0A91">
        <w:t xml:space="preserve"> </w:t>
      </w:r>
      <w:r w:rsidR="002E4AF0" w:rsidRPr="00C463CE">
        <w:t>a</w:t>
      </w:r>
      <w:r w:rsidR="000B0A91">
        <w:t xml:space="preserve"> </w:t>
      </w:r>
      <w:r w:rsidR="002E4AF0" w:rsidRPr="00C463CE">
        <w:t>proseguir</w:t>
      </w:r>
      <w:r w:rsidR="000B0A91">
        <w:t xml:space="preserve"> </w:t>
      </w:r>
      <w:r w:rsidR="002E4AF0" w:rsidRPr="00C463CE">
        <w:t>los</w:t>
      </w:r>
      <w:r w:rsidR="000B0A91">
        <w:t xml:space="preserve"> </w:t>
      </w:r>
      <w:r w:rsidRPr="00C463CE">
        <w:t>debates</w:t>
      </w:r>
      <w:r w:rsidR="000B0A91">
        <w:t xml:space="preserve"> </w:t>
      </w:r>
      <w:r w:rsidRPr="00C463CE">
        <w:t>sobre</w:t>
      </w:r>
      <w:r w:rsidR="000B0A91">
        <w:t xml:space="preserve"> </w:t>
      </w:r>
      <w:r w:rsidR="00931FAE">
        <w:t>la</w:t>
      </w:r>
      <w:r w:rsidR="000B0A91">
        <w:t xml:space="preserve"> </w:t>
      </w:r>
      <w:r w:rsidRPr="00C463CE">
        <w:t>materia.</w:t>
      </w:r>
    </w:p>
    <w:p w:rsidR="00170477" w:rsidRPr="003E5DB0" w:rsidRDefault="00170477" w:rsidP="00170477">
      <w:pPr>
        <w:pStyle w:val="Heading1"/>
        <w:rPr>
          <w:b w:val="0"/>
        </w:rPr>
      </w:pPr>
      <w:r w:rsidRPr="003E5DB0">
        <w:rPr>
          <w:b w:val="0"/>
        </w:rPr>
        <w:t>Armonización</w:t>
      </w:r>
      <w:r w:rsidR="000B0A91">
        <w:rPr>
          <w:b w:val="0"/>
        </w:rPr>
        <w:t xml:space="preserve"> </w:t>
      </w:r>
      <w:r w:rsidRPr="003E5DB0">
        <w:rPr>
          <w:b w:val="0"/>
        </w:rPr>
        <w:t>de</w:t>
      </w:r>
      <w:r w:rsidR="000B0A91">
        <w:rPr>
          <w:b w:val="0"/>
        </w:rPr>
        <w:t xml:space="preserve"> </w:t>
      </w:r>
      <w:r w:rsidRPr="003E5DB0">
        <w:rPr>
          <w:b w:val="0"/>
        </w:rPr>
        <w:t>las</w:t>
      </w:r>
      <w:r w:rsidR="000B0A91">
        <w:rPr>
          <w:b w:val="0"/>
        </w:rPr>
        <w:t xml:space="preserve"> </w:t>
      </w:r>
      <w:r w:rsidRPr="003E5DB0">
        <w:rPr>
          <w:b w:val="0"/>
        </w:rPr>
        <w:t>reducciones</w:t>
      </w:r>
      <w:r w:rsidR="000B0A91">
        <w:rPr>
          <w:b w:val="0"/>
        </w:rPr>
        <w:t xml:space="preserve"> </w:t>
      </w:r>
      <w:r w:rsidRPr="003E5DB0">
        <w:rPr>
          <w:b w:val="0"/>
        </w:rPr>
        <w:t>de</w:t>
      </w:r>
      <w:r w:rsidR="000B0A91">
        <w:rPr>
          <w:b w:val="0"/>
        </w:rPr>
        <w:t xml:space="preserve"> </w:t>
      </w:r>
      <w:r w:rsidRPr="003E5DB0">
        <w:rPr>
          <w:b w:val="0"/>
        </w:rPr>
        <w:t>las</w:t>
      </w:r>
      <w:r w:rsidR="000B0A91">
        <w:rPr>
          <w:b w:val="0"/>
        </w:rPr>
        <w:t xml:space="preserve"> </w:t>
      </w:r>
      <w:r w:rsidRPr="003E5DB0">
        <w:rPr>
          <w:b w:val="0"/>
        </w:rPr>
        <w:t>tasas</w:t>
      </w:r>
      <w:r w:rsidR="000B0A91">
        <w:rPr>
          <w:b w:val="0"/>
        </w:rPr>
        <w:t xml:space="preserve"> </w:t>
      </w:r>
      <w:r w:rsidRPr="003E5DB0">
        <w:rPr>
          <w:b w:val="0"/>
        </w:rPr>
        <w:t>para</w:t>
      </w:r>
      <w:r w:rsidR="000B0A91">
        <w:rPr>
          <w:b w:val="0"/>
        </w:rPr>
        <w:t xml:space="preserve"> </w:t>
      </w:r>
      <w:r w:rsidRPr="003E5DB0">
        <w:rPr>
          <w:b w:val="0"/>
        </w:rPr>
        <w:t>las</w:t>
      </w:r>
      <w:r w:rsidR="000B0A91">
        <w:rPr>
          <w:b w:val="0"/>
        </w:rPr>
        <w:t xml:space="preserve"> </w:t>
      </w:r>
      <w:r w:rsidRPr="003E5DB0">
        <w:rPr>
          <w:b w:val="0"/>
        </w:rPr>
        <w:t>solicitudes</w:t>
      </w:r>
      <w:r w:rsidR="000B0A91">
        <w:rPr>
          <w:b w:val="0"/>
        </w:rPr>
        <w:t xml:space="preserve"> </w:t>
      </w:r>
      <w:r w:rsidR="002E4AF0" w:rsidRPr="003E5DB0">
        <w:rPr>
          <w:b w:val="0"/>
        </w:rPr>
        <w:t>QUE</w:t>
      </w:r>
      <w:r w:rsidR="000B0A91">
        <w:rPr>
          <w:b w:val="0"/>
        </w:rPr>
        <w:t xml:space="preserve"> </w:t>
      </w:r>
      <w:r w:rsidR="002E4AF0" w:rsidRPr="003E5DB0">
        <w:rPr>
          <w:b w:val="0"/>
        </w:rPr>
        <w:t>ENTRAN</w:t>
      </w:r>
      <w:r w:rsidR="000B0A91">
        <w:rPr>
          <w:b w:val="0"/>
        </w:rPr>
        <w:t xml:space="preserve"> </w:t>
      </w:r>
      <w:r w:rsidRPr="003E5DB0">
        <w:rPr>
          <w:b w:val="0"/>
        </w:rPr>
        <w:t>en</w:t>
      </w:r>
      <w:r w:rsidR="000B0A91">
        <w:rPr>
          <w:b w:val="0"/>
        </w:rPr>
        <w:t xml:space="preserve"> </w:t>
      </w:r>
      <w:r w:rsidRPr="003E5DB0">
        <w:rPr>
          <w:b w:val="0"/>
        </w:rPr>
        <w:t>la</w:t>
      </w:r>
      <w:r w:rsidR="000B0A91">
        <w:rPr>
          <w:b w:val="0"/>
        </w:rPr>
        <w:t xml:space="preserve"> </w:t>
      </w:r>
      <w:r w:rsidRPr="003E5DB0">
        <w:rPr>
          <w:b w:val="0"/>
        </w:rPr>
        <w:t>fase</w:t>
      </w:r>
      <w:r w:rsidR="000B0A91">
        <w:rPr>
          <w:b w:val="0"/>
        </w:rPr>
        <w:t xml:space="preserve"> </w:t>
      </w:r>
      <w:r w:rsidRPr="003E5DB0">
        <w:rPr>
          <w:b w:val="0"/>
        </w:rPr>
        <w:t>nacional</w:t>
      </w:r>
    </w:p>
    <w:p w:rsidR="00170477" w:rsidRPr="00C463CE" w:rsidRDefault="00170477" w:rsidP="00170477">
      <w:pPr>
        <w:pStyle w:val="ONUMFS"/>
      </w:pPr>
      <w:r w:rsidRPr="00C463CE">
        <w:t>Las</w:t>
      </w:r>
      <w:r w:rsidR="000B0A91">
        <w:t xml:space="preserve"> </w:t>
      </w:r>
      <w:r w:rsidRPr="00C463CE">
        <w:t>propuestas</w:t>
      </w:r>
      <w:r w:rsidR="000B0A91"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t xml:space="preserve"> </w:t>
      </w:r>
      <w:r w:rsidR="001551EE">
        <w:t>PCT</w:t>
      </w:r>
      <w:r w:rsidR="000B0A91">
        <w:t xml:space="preserve"> </w:t>
      </w:r>
      <w:r w:rsidR="001551EE">
        <w:t>20/20</w:t>
      </w:r>
      <w:r w:rsidR="000B0A91">
        <w:t xml:space="preserve"> </w:t>
      </w:r>
      <w:r w:rsidR="001551EE">
        <w:t>comprenden</w:t>
      </w:r>
      <w:r w:rsidR="000B0A91">
        <w:t xml:space="preserve"> </w:t>
      </w:r>
      <w:r w:rsidRPr="00C463CE">
        <w:t>propuestas</w:t>
      </w:r>
      <w:r w:rsidR="000B0A91">
        <w:t xml:space="preserve"> </w:t>
      </w:r>
      <w:r w:rsidRPr="00C463CE">
        <w:t>específicas</w:t>
      </w:r>
      <w:r w:rsidR="000B0A91">
        <w:t xml:space="preserve"> </w:t>
      </w:r>
      <w:r w:rsidRPr="00C463CE">
        <w:t>destinadas</w:t>
      </w:r>
      <w:r w:rsidR="000B0A91">
        <w:t xml:space="preserve"> </w:t>
      </w:r>
      <w:r w:rsidRPr="00C463CE">
        <w:t>a</w:t>
      </w:r>
      <w:r w:rsidR="000B0A91">
        <w:t xml:space="preserve"> </w:t>
      </w:r>
      <w:r w:rsidRPr="00C463CE">
        <w:t>modificar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Regla</w:t>
      </w:r>
      <w:r w:rsidR="000B0A91">
        <w:t xml:space="preserve"> </w:t>
      </w:r>
      <w:r w:rsidRPr="00C463CE">
        <w:t>49</w:t>
      </w:r>
      <w:r w:rsidR="000B0A91">
        <w:t xml:space="preserve"> </w:t>
      </w:r>
      <w:r w:rsidRPr="00C463CE">
        <w:t>con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fin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prever</w:t>
      </w:r>
      <w:r w:rsidR="000B0A91">
        <w:t xml:space="preserve"> </w:t>
      </w:r>
      <w:r w:rsidRPr="00C463CE">
        <w:t>una</w:t>
      </w:r>
      <w:r w:rsidR="000B0A91">
        <w:t xml:space="preserve"> </w:t>
      </w:r>
      <w:r w:rsidRPr="00C463CE">
        <w:t>reducción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tasas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50%</w:t>
      </w:r>
      <w:r w:rsidR="000B0A91">
        <w:t xml:space="preserve"> </w:t>
      </w:r>
      <w:r w:rsidRPr="00C463CE">
        <w:t>para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solicitudes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entran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fase</w:t>
      </w:r>
      <w:r w:rsidR="000B0A91">
        <w:t xml:space="preserve"> </w:t>
      </w:r>
      <w:r w:rsidRPr="00C463CE">
        <w:t>nacional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contienen</w:t>
      </w:r>
      <w:r w:rsidR="000B0A91">
        <w:t xml:space="preserve"> </w:t>
      </w:r>
      <w:r w:rsidRPr="00C463CE">
        <w:t>únicamente</w:t>
      </w:r>
      <w:r w:rsidR="000B0A91">
        <w:t xml:space="preserve"> </w:t>
      </w:r>
      <w:r w:rsidRPr="00C463CE">
        <w:t>reivindicaciones</w:t>
      </w:r>
      <w:r w:rsidR="000B0A91">
        <w:t xml:space="preserve"> </w:t>
      </w:r>
      <w:r w:rsidRPr="00C463CE">
        <w:t>respecto</w:t>
      </w:r>
      <w:r w:rsidR="000B0A91">
        <w:t xml:space="preserve"> </w:t>
      </w:r>
      <w:r w:rsidR="002E4AF0" w:rsidRPr="00C463CE">
        <w:t>de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cuales</w:t>
      </w:r>
      <w:r w:rsidR="000B0A91">
        <w:t xml:space="preserve"> </w:t>
      </w:r>
      <w:r w:rsidRPr="00C463CE">
        <w:rPr>
          <w:snapToGrid w:val="0"/>
          <w:szCs w:val="24"/>
          <w:lang w:val="es-ES_tradnl"/>
        </w:rPr>
        <w:t>una</w:t>
      </w:r>
      <w:r w:rsidR="000B0A91">
        <w:rPr>
          <w:snapToGrid w:val="0"/>
          <w:szCs w:val="24"/>
          <w:lang w:val="es-ES_tradnl"/>
        </w:rPr>
        <w:t xml:space="preserve"> </w:t>
      </w:r>
      <w:r w:rsidRPr="00C463CE">
        <w:rPr>
          <w:snapToGrid w:val="0"/>
          <w:szCs w:val="24"/>
          <w:lang w:val="es-ES_tradnl"/>
        </w:rPr>
        <w:t>Administración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encargada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de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la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búsqueda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  <w:lang w:val="es-ES_tradnl"/>
        </w:rPr>
        <w:t>Administración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encargada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del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examen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  <w:lang w:val="es-ES_tradnl"/>
        </w:rPr>
        <w:t>preliminar</w:t>
      </w:r>
      <w:r w:rsidR="000B0A91">
        <w:rPr>
          <w:snapToGrid w:val="0"/>
          <w:szCs w:val="24"/>
          <w:lang w:val="es-ES_tradnl"/>
        </w:rPr>
        <w:t xml:space="preserve"> </w:t>
      </w:r>
      <w:r w:rsidR="00531867"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="00A45E6B" w:rsidRPr="00C463CE">
        <w:t>indica</w:t>
      </w:r>
      <w:r w:rsidR="000B0A91">
        <w:t xml:space="preserve"> </w:t>
      </w:r>
      <w:r w:rsidR="00A45E6B" w:rsidRPr="00C463CE">
        <w:t>que</w:t>
      </w:r>
      <w:r w:rsidR="000B0A91">
        <w:t xml:space="preserve"> </w:t>
      </w:r>
      <w:r w:rsidR="00A45E6B" w:rsidRPr="00C463CE">
        <w:t>cumplen</w:t>
      </w:r>
      <w:r w:rsidR="000B0A91">
        <w:t xml:space="preserve"> </w:t>
      </w:r>
      <w:r w:rsidR="00A45E6B" w:rsidRPr="00C463CE">
        <w:t>con</w:t>
      </w:r>
      <w:r w:rsidR="000B0A91">
        <w:t xml:space="preserve"> </w:t>
      </w:r>
      <w:r w:rsidR="00A45E6B" w:rsidRPr="00C463CE">
        <w:t>los</w:t>
      </w:r>
      <w:r w:rsidR="000B0A91">
        <w:t xml:space="preserve"> </w:t>
      </w:r>
      <w:r w:rsidR="00A45E6B" w:rsidRPr="00C463CE">
        <w:t>criterios</w:t>
      </w:r>
      <w:r w:rsidR="000B0A91">
        <w:t xml:space="preserve"> </w:t>
      </w:r>
      <w:r w:rsidR="00A45E6B" w:rsidRPr="00C463CE">
        <w:t>establecidos</w:t>
      </w:r>
      <w:r w:rsidR="000B0A91">
        <w:t xml:space="preserve"> </w:t>
      </w:r>
      <w:r w:rsidR="00A45E6B" w:rsidRPr="00C463CE">
        <w:t>en</w:t>
      </w:r>
      <w:r w:rsidR="000B0A91">
        <w:t xml:space="preserve"> </w:t>
      </w:r>
      <w:r w:rsidR="00A45E6B" w:rsidRPr="00C463CE">
        <w:t>el</w:t>
      </w:r>
      <w:r w:rsidR="000B0A91">
        <w:t xml:space="preserve"> </w:t>
      </w:r>
      <w:r w:rsidR="00A45E6B" w:rsidRPr="00C463CE">
        <w:rPr>
          <w:snapToGrid w:val="0"/>
          <w:szCs w:val="24"/>
          <w:lang w:val="es-ES_tradnl"/>
        </w:rPr>
        <w:t>artículo</w:t>
      </w:r>
      <w:r w:rsidR="000B0A91">
        <w:rPr>
          <w:snapToGrid w:val="0"/>
          <w:szCs w:val="24"/>
          <w:lang w:val="es-ES_tradnl"/>
        </w:rPr>
        <w:t xml:space="preserve"> </w:t>
      </w:r>
      <w:r w:rsidR="00A45E6B" w:rsidRPr="00C463CE">
        <w:rPr>
          <w:snapToGrid w:val="0"/>
          <w:szCs w:val="24"/>
          <w:lang w:val="es-ES_tradnl"/>
        </w:rPr>
        <w:t>32.2</w:t>
      </w:r>
      <w:r w:rsidR="000B0A91">
        <w:rPr>
          <w:snapToGrid w:val="0"/>
          <w:szCs w:val="24"/>
          <w:lang w:val="es-ES_tradnl"/>
        </w:rPr>
        <w:t xml:space="preserve"> </w:t>
      </w:r>
      <w:r w:rsidR="00A45E6B" w:rsidRPr="00C463CE">
        <w:rPr>
          <w:snapToGrid w:val="0"/>
          <w:szCs w:val="24"/>
          <w:lang w:val="es-ES_tradnl"/>
        </w:rPr>
        <w:t>a</w:t>
      </w:r>
      <w:r w:rsidR="000B0A91">
        <w:rPr>
          <w:snapToGrid w:val="0"/>
          <w:szCs w:val="24"/>
          <w:lang w:val="es-ES_tradnl"/>
        </w:rPr>
        <w:t xml:space="preserve"> </w:t>
      </w:r>
      <w:r w:rsidR="00A45E6B" w:rsidRPr="00C463CE">
        <w:rPr>
          <w:snapToGrid w:val="0"/>
          <w:szCs w:val="24"/>
          <w:lang w:val="es-ES_tradnl"/>
        </w:rPr>
        <w:t>4</w:t>
      </w:r>
      <w:r w:rsidRPr="00C463CE">
        <w:rPr>
          <w:snapToGrid w:val="0"/>
          <w:szCs w:val="24"/>
        </w:rPr>
        <w:t>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Si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bien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beneficiado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apoyo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considerable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grupos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usuarios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respondieron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circular,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apoyo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recibieron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manifestaron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muy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limitado.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reunión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internacionales,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expresaron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impor</w:t>
      </w:r>
      <w:r w:rsidR="00FA238B" w:rsidRPr="00C463CE">
        <w:rPr>
          <w:snapToGrid w:val="0"/>
          <w:szCs w:val="24"/>
        </w:rPr>
        <w:t>tantes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preocupaciones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respecto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de</w:t>
      </w:r>
      <w:r w:rsidRPr="00C463CE">
        <w:rPr>
          <w:snapToGrid w:val="0"/>
          <w:szCs w:val="24"/>
        </w:rPr>
        <w:t>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posible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efecto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sobre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ingresos</w:t>
      </w:r>
      <w:r w:rsidR="0060573C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así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como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respecto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posición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según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cual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relativas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eran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íntegramente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esfera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competencia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nacionales.</w:t>
      </w:r>
    </w:p>
    <w:p w:rsidR="001D5232" w:rsidRPr="001D5232" w:rsidRDefault="00170477" w:rsidP="00170477">
      <w:pPr>
        <w:pStyle w:val="ONUMFS"/>
      </w:pPr>
      <w:r w:rsidRPr="00C463CE">
        <w:rPr>
          <w:snapToGrid w:val="0"/>
          <w:szCs w:val="24"/>
        </w:rPr>
        <w:t>Dadas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profundas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preocupaciones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expresadas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="00624873" w:rsidRPr="00C463CE">
        <w:rPr>
          <w:snapToGrid w:val="0"/>
          <w:szCs w:val="24"/>
        </w:rPr>
        <w:t>Administraciones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respecto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de</w:t>
      </w:r>
      <w:r w:rsidRPr="00C463CE">
        <w:rPr>
          <w:snapToGrid w:val="0"/>
          <w:szCs w:val="24"/>
        </w:rPr>
        <w:t>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efecto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tendría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propuesta,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parece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muy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poco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probable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pueda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lograrse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un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consenso</w:t>
      </w:r>
      <w:r w:rsidR="0060573C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lo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tanto,</w:t>
      </w:r>
      <w:r w:rsidR="000B0A91">
        <w:rPr>
          <w:snapToGrid w:val="0"/>
          <w:szCs w:val="24"/>
        </w:rPr>
        <w:t xml:space="preserve"> </w:t>
      </w:r>
      <w:r w:rsidRPr="00C463CE">
        <w:t>los</w:t>
      </w:r>
      <w:r w:rsidR="000B0A91">
        <w:t xml:space="preserve"> </w:t>
      </w:r>
      <w:r w:rsidRPr="00C463CE">
        <w:t>Estados</w:t>
      </w:r>
      <w:r w:rsidR="000B0A91">
        <w:t xml:space="preserve"> </w:t>
      </w:r>
      <w:r w:rsidRPr="00C463CE">
        <w:t>Unidos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América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Reino</w:t>
      </w:r>
      <w:r w:rsidR="000B0A91">
        <w:t xml:space="preserve"> </w:t>
      </w:r>
      <w:r w:rsidRPr="00C463CE">
        <w:t>Unido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tienen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intención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seguir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adelante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con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etapa.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Sin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embargo,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seguimos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convencidos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tipo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sería</w:t>
      </w:r>
      <w:r w:rsidR="0060573C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="007A0185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="007A0185">
        <w:rPr>
          <w:snapToGrid w:val="0"/>
          <w:szCs w:val="24"/>
        </w:rPr>
        <w:t>conjunto</w:t>
      </w:r>
      <w:r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suficientemente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sustancial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incitar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solicitantes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presentar,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sus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solicitudes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="0060573C" w:rsidRPr="00C463CE">
        <w:rPr>
          <w:snapToGrid w:val="0"/>
          <w:szCs w:val="24"/>
        </w:rPr>
        <w:t>entran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nacional,</w:t>
      </w:r>
      <w:r w:rsidR="000B0A91">
        <w:rPr>
          <w:snapToGrid w:val="0"/>
          <w:szCs w:val="24"/>
        </w:rPr>
        <w:t xml:space="preserve"> </w:t>
      </w:r>
      <w:r w:rsidR="00CC4B24" w:rsidRPr="00C463CE">
        <w:rPr>
          <w:snapToGrid w:val="0"/>
          <w:szCs w:val="24"/>
        </w:rPr>
        <w:t>únicamente</w:t>
      </w:r>
      <w:r w:rsidR="000B0A91">
        <w:rPr>
          <w:snapToGrid w:val="0"/>
          <w:szCs w:val="24"/>
        </w:rPr>
        <w:t xml:space="preserve"> </w:t>
      </w:r>
      <w:r w:rsidR="00CC4B24"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reivindicaciones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satisfagan</w:t>
      </w:r>
      <w:r w:rsidR="000B0A91">
        <w:rPr>
          <w:snapToGrid w:val="0"/>
          <w:szCs w:val="24"/>
        </w:rPr>
        <w:t xml:space="preserve"> </w:t>
      </w:r>
      <w:r w:rsidR="00B147E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requisitos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novedad,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actividad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inventiva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aplicabilidad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industrial.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Ello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reduciría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eficazmente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costo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procedimiento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protección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patente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virtud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ofrecer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ventajas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constatan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actualmente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procedimiento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acelerado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examen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solicitudes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patente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(PPH),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ejemplo,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disminución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número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actos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cesión,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aceptación</w:t>
      </w:r>
      <w:r w:rsidR="000B0A91">
        <w:rPr>
          <w:snapToGrid w:val="0"/>
          <w:szCs w:val="24"/>
        </w:rPr>
        <w:t xml:space="preserve"> </w:t>
      </w:r>
    </w:p>
    <w:p w:rsidR="00170477" w:rsidRPr="00C463CE" w:rsidRDefault="00170477" w:rsidP="001D5232">
      <w:pPr>
        <w:pStyle w:val="ONUMFS"/>
        <w:numPr>
          <w:ilvl w:val="0"/>
          <w:numId w:val="0"/>
        </w:numPr>
      </w:pPr>
      <w:proofErr w:type="gramStart"/>
      <w:r w:rsidRPr="00C463CE">
        <w:rPr>
          <w:snapToGrid w:val="0"/>
          <w:szCs w:val="24"/>
        </w:rPr>
        <w:lastRenderedPageBreak/>
        <w:t>más</w:t>
      </w:r>
      <w:proofErr w:type="gramEnd"/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elevada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menor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presentación</w:t>
      </w:r>
      <w:r w:rsidR="000B0A91">
        <w:rPr>
          <w:snapToGrid w:val="0"/>
          <w:szCs w:val="24"/>
        </w:rPr>
        <w:t xml:space="preserve"> </w:t>
      </w:r>
      <w:r w:rsidR="002516FC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recursos.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consiguiente,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instamos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firmemente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todas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revisar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sus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fin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poner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práctica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proofErr w:type="gramStart"/>
      <w:r w:rsidRPr="00C463CE">
        <w:rPr>
          <w:snapToGrid w:val="0"/>
          <w:szCs w:val="24"/>
        </w:rPr>
        <w:t>propuesta</w:t>
      </w:r>
      <w:proofErr w:type="gramEnd"/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unilateralmente.</w:t>
      </w:r>
    </w:p>
    <w:p w:rsidR="00170477" w:rsidRPr="003E5DB0" w:rsidRDefault="00170477" w:rsidP="00170477">
      <w:pPr>
        <w:pStyle w:val="Heading1"/>
        <w:rPr>
          <w:b w:val="0"/>
          <w:szCs w:val="20"/>
        </w:rPr>
      </w:pPr>
      <w:r w:rsidRPr="003E5DB0">
        <w:rPr>
          <w:b w:val="0"/>
        </w:rPr>
        <w:t>Reducción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de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las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</w:rPr>
        <w:t>t</w:t>
      </w:r>
      <w:r w:rsidRPr="003E5DB0">
        <w:rPr>
          <w:b w:val="0"/>
          <w:caps w:val="0"/>
        </w:rPr>
        <w:t>ASAS</w:t>
      </w:r>
      <w:r w:rsidR="000B0A91">
        <w:rPr>
          <w:b w:val="0"/>
          <w:snapToGrid w:val="0"/>
          <w:szCs w:val="24"/>
        </w:rPr>
        <w:t xml:space="preserve"> </w:t>
      </w:r>
      <w:r w:rsidR="00E01FCB" w:rsidRPr="003E5DB0">
        <w:rPr>
          <w:b w:val="0"/>
          <w:snapToGrid w:val="0"/>
          <w:szCs w:val="24"/>
        </w:rPr>
        <w:t>INTERNACIONALES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para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las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pequeñas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entidades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y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microentidades</w:t>
      </w:r>
      <w:r w:rsidR="000B0A91">
        <w:rPr>
          <w:b w:val="0"/>
          <w:snapToGrid w:val="0"/>
          <w:szCs w:val="24"/>
        </w:rPr>
        <w:t xml:space="preserve"> 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20/20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comprenden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específicas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destinadas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establecer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nueva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Regla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16</w:t>
      </w:r>
      <w:r w:rsidRPr="00C463CE">
        <w:rPr>
          <w:i/>
          <w:snapToGrid w:val="0"/>
          <w:szCs w:val="24"/>
        </w:rPr>
        <w:t>ter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prevé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="00E01FCB" w:rsidRPr="00C463CE">
        <w:rPr>
          <w:snapToGrid w:val="0"/>
          <w:szCs w:val="24"/>
        </w:rPr>
        <w:t>inter</w:t>
      </w:r>
      <w:r w:rsidRPr="00C463CE">
        <w:rPr>
          <w:snapToGrid w:val="0"/>
          <w:szCs w:val="24"/>
        </w:rPr>
        <w:t>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50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75%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entidades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microentidades</w:t>
      </w:r>
      <w:r w:rsidR="00E01FCB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="00E01FCB" w:rsidRPr="00C463CE">
        <w:rPr>
          <w:snapToGrid w:val="0"/>
          <w:szCs w:val="24"/>
        </w:rPr>
        <w:t>respectivamente</w:t>
      </w:r>
      <w:r w:rsidRPr="00C463CE">
        <w:rPr>
          <w:snapToGrid w:val="0"/>
          <w:szCs w:val="24"/>
        </w:rPr>
        <w:t>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vez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más,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si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bien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recibido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amplio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apoyo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grupos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usuarios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="00E01FCB" w:rsidRPr="00C463CE">
        <w:rPr>
          <w:snapToGrid w:val="0"/>
          <w:szCs w:val="24"/>
        </w:rPr>
        <w:t>respondieron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circular,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apoyo</w:t>
      </w:r>
      <w:r w:rsidR="000B0A91">
        <w:rPr>
          <w:snapToGrid w:val="0"/>
          <w:szCs w:val="24"/>
        </w:rPr>
        <w:t xml:space="preserve"> </w:t>
      </w:r>
      <w:r w:rsidR="005A5411" w:rsidRPr="00C463CE">
        <w:rPr>
          <w:snapToGrid w:val="0"/>
          <w:szCs w:val="24"/>
        </w:rPr>
        <w:t>plasmado</w:t>
      </w:r>
      <w:r w:rsidR="000B0A91">
        <w:rPr>
          <w:snapToGrid w:val="0"/>
          <w:szCs w:val="24"/>
        </w:rPr>
        <w:t xml:space="preserve"> </w:t>
      </w:r>
      <w:r w:rsidR="005A5411"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="005A5411"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="005A5411" w:rsidRPr="00C463CE">
        <w:rPr>
          <w:snapToGrid w:val="0"/>
          <w:szCs w:val="24"/>
        </w:rPr>
        <w:t>respuesta</w:t>
      </w:r>
      <w:r w:rsidR="00A51C83">
        <w:rPr>
          <w:snapToGrid w:val="0"/>
          <w:szCs w:val="24"/>
        </w:rPr>
        <w:t>s</w:t>
      </w:r>
      <w:r w:rsidR="000B0A91">
        <w:rPr>
          <w:snapToGrid w:val="0"/>
          <w:szCs w:val="24"/>
        </w:rPr>
        <w:t xml:space="preserve"> </w:t>
      </w:r>
      <w:r w:rsidR="005A5411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muy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limitado.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preocupación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expresada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mayor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frecuencia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dministraciones,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fuera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relativa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efectos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potenciales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sobre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ingresos,</w:t>
      </w:r>
      <w:r w:rsidR="000B0A91">
        <w:rPr>
          <w:snapToGrid w:val="0"/>
          <w:szCs w:val="24"/>
        </w:rPr>
        <w:t xml:space="preserve"> </w:t>
      </w:r>
      <w:r w:rsidR="005A5411"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vincula</w:t>
      </w:r>
      <w:r w:rsidR="005A5411" w:rsidRPr="00C463CE">
        <w:rPr>
          <w:snapToGrid w:val="0"/>
          <w:szCs w:val="24"/>
        </w:rPr>
        <w:t>ba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extrema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dificultad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encontrar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definiciones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aceptables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todas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cuestión.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igual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relativa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teniendo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cuenta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graves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preocupaciones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expresadas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respecto</w:t>
      </w:r>
      <w:r w:rsidR="000B0A91">
        <w:rPr>
          <w:snapToGrid w:val="0"/>
          <w:szCs w:val="24"/>
        </w:rPr>
        <w:t xml:space="preserve"> </w:t>
      </w:r>
      <w:r w:rsidR="00F35778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incidencia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parece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posible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lograr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un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consenso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821FAB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tanto</w:t>
      </w:r>
      <w:r w:rsidR="00821FAB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t>los</w:t>
      </w:r>
      <w:r w:rsidR="000B0A91">
        <w:t xml:space="preserve"> </w:t>
      </w:r>
      <w:r w:rsidRPr="00C463CE">
        <w:t>Estados</w:t>
      </w:r>
      <w:r w:rsidR="000B0A91">
        <w:t xml:space="preserve"> </w:t>
      </w:r>
      <w:r w:rsidRPr="00C463CE">
        <w:t>Unidos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América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Reino</w:t>
      </w:r>
      <w:r w:rsidR="000B0A91">
        <w:t xml:space="preserve"> </w:t>
      </w:r>
      <w:r w:rsidRPr="00C463CE">
        <w:t>Unido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tienen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intención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seguir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adelante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con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etapa.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Sin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embargo,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seguimos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persuadidos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tal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favor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entidades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microentidades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facilitaría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crecimiento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empresas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mundo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entero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reduci</w:t>
      </w:r>
      <w:r w:rsidR="00821FAB" w:rsidRPr="00C463CE">
        <w:rPr>
          <w:snapToGrid w:val="0"/>
          <w:szCs w:val="24"/>
        </w:rPr>
        <w:t>r</w:t>
      </w:r>
      <w:r w:rsidR="000B0A91">
        <w:rPr>
          <w:snapToGrid w:val="0"/>
          <w:szCs w:val="24"/>
        </w:rPr>
        <w:t xml:space="preserve"> </w:t>
      </w:r>
      <w:r w:rsidR="00F35778"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="00F35778" w:rsidRPr="00C463CE">
        <w:rPr>
          <w:snapToGrid w:val="0"/>
          <w:szCs w:val="24"/>
        </w:rPr>
        <w:t>costos</w:t>
      </w:r>
      <w:r w:rsidR="000B0A91">
        <w:rPr>
          <w:snapToGrid w:val="0"/>
          <w:szCs w:val="24"/>
        </w:rPr>
        <w:t xml:space="preserve"> </w:t>
      </w:r>
      <w:r w:rsidR="00F35778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F35778" w:rsidRPr="00C463CE">
        <w:rPr>
          <w:snapToGrid w:val="0"/>
          <w:szCs w:val="24"/>
        </w:rPr>
        <w:t>presentación</w:t>
      </w:r>
      <w:r w:rsidR="000B0A91">
        <w:rPr>
          <w:snapToGrid w:val="0"/>
          <w:szCs w:val="24"/>
        </w:rPr>
        <w:t xml:space="preserve"> </w:t>
      </w:r>
      <w:r w:rsidR="00F35778"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="00821FAB" w:rsidRPr="00C463CE">
        <w:rPr>
          <w:snapToGrid w:val="0"/>
          <w:szCs w:val="24"/>
        </w:rPr>
        <w:t>tramitación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entidades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microentidades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podría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permitir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mayor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utilización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Sistema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="007E5D23"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empresas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A51C83">
        <w:rPr>
          <w:snapToGrid w:val="0"/>
          <w:szCs w:val="24"/>
        </w:rPr>
        <w:t>todo</w:t>
      </w:r>
      <w:r w:rsidR="000B0A91">
        <w:rPr>
          <w:snapToGrid w:val="0"/>
          <w:szCs w:val="24"/>
        </w:rPr>
        <w:t xml:space="preserve"> </w:t>
      </w:r>
      <w:r w:rsidR="00A51C83">
        <w:rPr>
          <w:snapToGrid w:val="0"/>
          <w:szCs w:val="24"/>
        </w:rPr>
        <w:t>e</w:t>
      </w:r>
      <w:r w:rsidRPr="00C463CE">
        <w:rPr>
          <w:snapToGrid w:val="0"/>
          <w:szCs w:val="24"/>
        </w:rPr>
        <w:t>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mundo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mejora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accesibilidad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contribuiría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reforzar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apoyo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favor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sistemas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patentes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escala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consiguiente,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instamos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todos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examinar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beneficios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potenciales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empresas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podrían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desprenderse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aplicación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unilateral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si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legislación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aplicable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</w:t>
      </w:r>
      <w:r w:rsidR="000B0A91">
        <w:rPr>
          <w:snapToGrid w:val="0"/>
          <w:szCs w:val="24"/>
        </w:rPr>
        <w:t xml:space="preserve"> </w:t>
      </w:r>
      <w:r w:rsidR="00C23DA3" w:rsidRPr="00C463CE">
        <w:rPr>
          <w:snapToGrid w:val="0"/>
          <w:szCs w:val="24"/>
        </w:rPr>
        <w:t>permite</w:t>
      </w:r>
      <w:r w:rsidRPr="00C463CE">
        <w:rPr>
          <w:snapToGrid w:val="0"/>
          <w:szCs w:val="24"/>
        </w:rPr>
        <w:t>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respecto,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cabe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señalar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América,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además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C23DA3" w:rsidRPr="00C463CE">
        <w:rPr>
          <w:snapToGrid w:val="0"/>
          <w:szCs w:val="24"/>
        </w:rPr>
        <w:t>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50%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nacionales</w:t>
      </w:r>
      <w:r w:rsidR="00295651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="005C6254"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="005C6254" w:rsidRPr="00C463CE">
        <w:rPr>
          <w:snapToGrid w:val="0"/>
          <w:szCs w:val="24"/>
        </w:rPr>
        <w:t>aplica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desde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hace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mucho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tiempo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favor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entidades</w:t>
      </w:r>
      <w:r w:rsidR="00295651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ofrecen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también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desde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hace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poco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75%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solicitantes</w:t>
      </w:r>
      <w:r w:rsidR="000B0A91">
        <w:rPr>
          <w:snapToGrid w:val="0"/>
          <w:szCs w:val="24"/>
        </w:rPr>
        <w:t xml:space="preserve"> </w:t>
      </w:r>
      <w:r w:rsidR="00295651">
        <w:rPr>
          <w:snapToGrid w:val="0"/>
          <w:szCs w:val="24"/>
        </w:rPr>
        <w:t>cuya</w:t>
      </w:r>
      <w:r w:rsidR="000B0A91">
        <w:rPr>
          <w:snapToGrid w:val="0"/>
          <w:szCs w:val="24"/>
        </w:rPr>
        <w:t xml:space="preserve"> </w:t>
      </w:r>
      <w:r w:rsidR="00295651">
        <w:rPr>
          <w:snapToGrid w:val="0"/>
          <w:szCs w:val="24"/>
        </w:rPr>
        <w:t>situación</w:t>
      </w:r>
      <w:r w:rsidR="000B0A91">
        <w:rPr>
          <w:snapToGrid w:val="0"/>
          <w:szCs w:val="24"/>
        </w:rPr>
        <w:t xml:space="preserve"> </w:t>
      </w:r>
      <w:r w:rsidR="00295651">
        <w:rPr>
          <w:snapToGrid w:val="0"/>
          <w:szCs w:val="24"/>
        </w:rPr>
        <w:t>corresponde</w:t>
      </w:r>
      <w:r w:rsidR="000B0A91">
        <w:rPr>
          <w:snapToGrid w:val="0"/>
          <w:szCs w:val="24"/>
        </w:rPr>
        <w:t xml:space="preserve"> </w:t>
      </w:r>
      <w:r w:rsidR="00295651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="00295651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microentidad.</w:t>
      </w:r>
      <w:r w:rsidR="000B0A91">
        <w:rPr>
          <w:snapToGrid w:val="0"/>
          <w:szCs w:val="24"/>
        </w:rPr>
        <w:t xml:space="preserve">  </w:t>
      </w:r>
      <w:r w:rsidR="003118DA" w:rsidRPr="00C463CE">
        <w:rPr>
          <w:snapToGrid w:val="0"/>
          <w:szCs w:val="24"/>
        </w:rPr>
        <w:t>Además</w:t>
      </w:r>
      <w:r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USPTO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propone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desde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hace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algún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tiempo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entidades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microentidades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exige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vez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más,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alentamos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todas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contemplar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posibilidad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tomar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medidas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unilaterales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semejantes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respecto</w:t>
      </w:r>
      <w:r w:rsidR="000B0A91">
        <w:rPr>
          <w:snapToGrid w:val="0"/>
          <w:szCs w:val="24"/>
        </w:rPr>
        <w:t xml:space="preserve"> </w:t>
      </w:r>
      <w:r w:rsidR="009070F1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aspecto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9070F1" w:rsidRPr="00C463CE">
        <w:rPr>
          <w:snapToGrid w:val="0"/>
          <w:szCs w:val="24"/>
        </w:rPr>
        <w:t>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programa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conjunto</w:t>
      </w:r>
      <w:r w:rsidR="000B0A91">
        <w:rPr>
          <w:snapToGrid w:val="0"/>
          <w:szCs w:val="24"/>
        </w:rPr>
        <w:t xml:space="preserve"> </w:t>
      </w:r>
      <w:r w:rsidR="005F38E0" w:rsidRPr="00C463C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="005F38E0" w:rsidRPr="00C463CE">
        <w:rPr>
          <w:snapToGrid w:val="0"/>
          <w:szCs w:val="24"/>
        </w:rPr>
        <w:t>20/20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Unidos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América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Reino</w:t>
      </w:r>
      <w:r w:rsidR="000B0A91">
        <w:rPr>
          <w:snapToGrid w:val="0"/>
          <w:szCs w:val="24"/>
        </w:rPr>
        <w:t xml:space="preserve"> </w:t>
      </w:r>
      <w:r w:rsidR="000C235E" w:rsidRPr="00C463CE">
        <w:rPr>
          <w:snapToGrid w:val="0"/>
          <w:szCs w:val="24"/>
        </w:rPr>
        <w:t>Unido</w:t>
      </w:r>
      <w:r w:rsidRPr="00C463CE">
        <w:rPr>
          <w:snapToGrid w:val="0"/>
          <w:szCs w:val="24"/>
        </w:rPr>
        <w:t>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Además,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si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bien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pueden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estimar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demasiado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difícil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llegar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acuerdo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sobre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definición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constituye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pequeña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entidad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microentidad,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teniendo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cuenta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conclusiones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relativas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efecto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fluctuaciones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9070F1" w:rsidRPr="00C463CE">
        <w:rPr>
          <w:snapToGrid w:val="0"/>
          <w:szCs w:val="24"/>
        </w:rPr>
        <w:t>presentación</w:t>
      </w:r>
      <w:r w:rsidR="000B0A91">
        <w:rPr>
          <w:snapToGrid w:val="0"/>
          <w:szCs w:val="24"/>
        </w:rPr>
        <w:t xml:space="preserve"> </w:t>
      </w:r>
      <w:r w:rsidR="009070F1"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="009070F1" w:rsidRPr="00C463CE">
        <w:rPr>
          <w:snapToGrid w:val="0"/>
          <w:szCs w:val="24"/>
        </w:rPr>
        <w:t>sobre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universidades</w:t>
      </w:r>
      <w:r w:rsidR="00005208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="00005208">
        <w:rPr>
          <w:snapToGrid w:val="0"/>
          <w:szCs w:val="24"/>
        </w:rPr>
        <w:t>expuesto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documento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PCT/WG/7/6,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América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instan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contemplar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posibilidad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prever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adecuada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tasa</w:t>
      </w:r>
      <w:r w:rsidR="000B0A91">
        <w:rPr>
          <w:snapToGrid w:val="0"/>
          <w:szCs w:val="24"/>
        </w:rPr>
        <w:t xml:space="preserve"> </w:t>
      </w:r>
      <w:r w:rsidR="009070F1" w:rsidRPr="00C463CE">
        <w:rPr>
          <w:snapToGrid w:val="0"/>
          <w:szCs w:val="24"/>
        </w:rPr>
        <w:t>presentación</w:t>
      </w:r>
      <w:r w:rsidR="000B0A91">
        <w:rPr>
          <w:snapToGrid w:val="0"/>
          <w:szCs w:val="24"/>
        </w:rPr>
        <w:t xml:space="preserve"> </w:t>
      </w:r>
      <w:r w:rsidR="009070F1"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favor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universidades.</w:t>
      </w:r>
    </w:p>
    <w:p w:rsidR="00170477" w:rsidRPr="003E5DB0" w:rsidRDefault="00170477" w:rsidP="001D5232">
      <w:pPr>
        <w:pStyle w:val="Heading1"/>
        <w:keepLines/>
        <w:rPr>
          <w:b w:val="0"/>
          <w:szCs w:val="20"/>
        </w:rPr>
      </w:pPr>
      <w:r w:rsidRPr="003E5DB0">
        <w:rPr>
          <w:b w:val="0"/>
          <w:snapToGrid w:val="0"/>
          <w:szCs w:val="24"/>
        </w:rPr>
        <w:lastRenderedPageBreak/>
        <w:t>Integración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de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las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fase</w:t>
      </w:r>
      <w:r w:rsidR="003C4A3C" w:rsidRPr="003E5DB0">
        <w:rPr>
          <w:b w:val="0"/>
          <w:snapToGrid w:val="0"/>
          <w:szCs w:val="24"/>
        </w:rPr>
        <w:t>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nacional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e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internacional</w:t>
      </w:r>
      <w:r w:rsidR="0084335B" w:rsidRPr="003E5DB0">
        <w:rPr>
          <w:b w:val="0"/>
          <w:snapToGrid w:val="0"/>
          <w:szCs w:val="24"/>
        </w:rPr>
        <w:t>,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utilización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COMO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informe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de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búsqueda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según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el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pct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DE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LA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primera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DECISIÓN</w:t>
      </w:r>
      <w:r w:rsidR="000B0A91">
        <w:rPr>
          <w:b w:val="0"/>
          <w:snapToGrid w:val="0"/>
          <w:szCs w:val="24"/>
        </w:rPr>
        <w:t xml:space="preserve"> </w:t>
      </w:r>
      <w:r w:rsidR="00FA238B" w:rsidRPr="003E5DB0">
        <w:rPr>
          <w:b w:val="0"/>
          <w:snapToGrid w:val="0"/>
          <w:szCs w:val="24"/>
        </w:rPr>
        <w:t>SOBRE</w:t>
      </w:r>
      <w:r w:rsidR="000B0A91">
        <w:rPr>
          <w:b w:val="0"/>
          <w:snapToGrid w:val="0"/>
          <w:szCs w:val="24"/>
        </w:rPr>
        <w:t xml:space="preserve"> </w:t>
      </w:r>
      <w:r w:rsidR="00FA238B" w:rsidRPr="003E5DB0">
        <w:rPr>
          <w:b w:val="0"/>
          <w:snapToGrid w:val="0"/>
          <w:szCs w:val="24"/>
        </w:rPr>
        <w:t>LOS</w:t>
      </w:r>
      <w:r w:rsidR="000B0A91">
        <w:rPr>
          <w:b w:val="0"/>
          <w:snapToGrid w:val="0"/>
          <w:szCs w:val="24"/>
        </w:rPr>
        <w:t xml:space="preserve"> </w:t>
      </w:r>
      <w:r w:rsidR="00FA238B" w:rsidRPr="003E5DB0">
        <w:rPr>
          <w:b w:val="0"/>
          <w:snapToGrid w:val="0"/>
          <w:szCs w:val="24"/>
        </w:rPr>
        <w:t>ELEMENTOS</w:t>
      </w:r>
      <w:r w:rsidR="000B0A91">
        <w:rPr>
          <w:b w:val="0"/>
          <w:snapToGrid w:val="0"/>
          <w:szCs w:val="24"/>
        </w:rPr>
        <w:t xml:space="preserve"> </w:t>
      </w:r>
      <w:r w:rsidR="00FA238B" w:rsidRPr="003E5DB0">
        <w:rPr>
          <w:b w:val="0"/>
          <w:snapToGrid w:val="0"/>
          <w:szCs w:val="24"/>
        </w:rPr>
        <w:t>DE</w:t>
      </w:r>
      <w:r w:rsidR="000B0A91">
        <w:rPr>
          <w:b w:val="0"/>
          <w:snapToGrid w:val="0"/>
          <w:szCs w:val="24"/>
        </w:rPr>
        <w:t xml:space="preserve"> </w:t>
      </w:r>
      <w:r w:rsidR="0084335B" w:rsidRPr="003E5DB0">
        <w:rPr>
          <w:b w:val="0"/>
          <w:snapToGrid w:val="0"/>
          <w:szCs w:val="24"/>
        </w:rPr>
        <w:t>fondo</w:t>
      </w:r>
      <w:r w:rsidR="000B0A91">
        <w:rPr>
          <w:b w:val="0"/>
          <w:snapToGrid w:val="0"/>
          <w:szCs w:val="24"/>
        </w:rPr>
        <w:t xml:space="preserve"> </w:t>
      </w:r>
      <w:r w:rsidR="00FA238B" w:rsidRPr="003E5DB0">
        <w:rPr>
          <w:b w:val="0"/>
          <w:snapToGrid w:val="0"/>
          <w:szCs w:val="24"/>
        </w:rPr>
        <w:t>ADOPTADA</w:t>
      </w:r>
      <w:r w:rsidR="000B0A91">
        <w:rPr>
          <w:b w:val="0"/>
          <w:snapToGrid w:val="0"/>
          <w:szCs w:val="24"/>
        </w:rPr>
        <w:t xml:space="preserve"> </w:t>
      </w:r>
      <w:r w:rsidR="00FA238B" w:rsidRPr="003E5DB0">
        <w:rPr>
          <w:b w:val="0"/>
          <w:snapToGrid w:val="0"/>
          <w:szCs w:val="24"/>
        </w:rPr>
        <w:t>EN</w:t>
      </w:r>
      <w:r w:rsidR="000B0A91">
        <w:rPr>
          <w:b w:val="0"/>
          <w:snapToGrid w:val="0"/>
          <w:szCs w:val="24"/>
        </w:rPr>
        <w:t xml:space="preserve"> </w:t>
      </w:r>
      <w:r w:rsidR="00FA238B" w:rsidRPr="003E5DB0">
        <w:rPr>
          <w:b w:val="0"/>
          <w:snapToGrid w:val="0"/>
          <w:szCs w:val="24"/>
        </w:rPr>
        <w:t>LA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fase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nacional,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exigencia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de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una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respuesta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l</w:t>
      </w:r>
      <w:r w:rsidR="00CA4CBA" w:rsidRPr="003E5DB0">
        <w:rPr>
          <w:b w:val="0"/>
          <w:snapToGrid w:val="0"/>
          <w:szCs w:val="24"/>
        </w:rPr>
        <w:t>AS</w:t>
      </w:r>
      <w:r w:rsidR="000B0A91">
        <w:rPr>
          <w:b w:val="0"/>
          <w:snapToGrid w:val="0"/>
          <w:szCs w:val="24"/>
        </w:rPr>
        <w:t xml:space="preserve"> </w:t>
      </w:r>
      <w:r w:rsidR="00CA4CBA" w:rsidRPr="003E5DB0">
        <w:rPr>
          <w:b w:val="0"/>
          <w:snapToGrid w:val="0"/>
          <w:szCs w:val="24"/>
        </w:rPr>
        <w:t>observaciones</w:t>
      </w:r>
      <w:r w:rsidR="000B0A91">
        <w:rPr>
          <w:b w:val="0"/>
          <w:snapToGrid w:val="0"/>
          <w:szCs w:val="24"/>
        </w:rPr>
        <w:t xml:space="preserve"> </w:t>
      </w:r>
      <w:r w:rsidR="00CA4CBA" w:rsidRPr="003E5DB0">
        <w:rPr>
          <w:b w:val="0"/>
          <w:snapToGrid w:val="0"/>
          <w:szCs w:val="24"/>
        </w:rPr>
        <w:t>negativa</w:t>
      </w:r>
      <w:r w:rsidRPr="003E5DB0">
        <w:rPr>
          <w:b w:val="0"/>
          <w:snapToGrid w:val="0"/>
          <w:szCs w:val="24"/>
        </w:rPr>
        <w:t>s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durante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la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fase</w:t>
      </w:r>
      <w:r w:rsidR="000B0A91">
        <w:rPr>
          <w:b w:val="0"/>
          <w:snapToGrid w:val="0"/>
          <w:szCs w:val="24"/>
        </w:rPr>
        <w:t xml:space="preserve"> </w:t>
      </w:r>
      <w:r w:rsidRPr="003E5DB0">
        <w:rPr>
          <w:b w:val="0"/>
          <w:snapToGrid w:val="0"/>
          <w:szCs w:val="24"/>
        </w:rPr>
        <w:t>nacional</w:t>
      </w:r>
    </w:p>
    <w:p w:rsidR="00170477" w:rsidRPr="00C463CE" w:rsidRDefault="00170477" w:rsidP="001D5232">
      <w:pPr>
        <w:pStyle w:val="ONUMFS"/>
        <w:keepNext/>
        <w:keepLines/>
      </w:pP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su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forma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inicial,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contemplaba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tres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tipos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integración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internacional: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a)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elección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encargada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búsqueda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="00275B15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="00275B15">
        <w:rPr>
          <w:snapToGrid w:val="0"/>
          <w:szCs w:val="24"/>
        </w:rPr>
        <w:t>consideraría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también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como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inicio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oficina;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b)</w:t>
      </w:r>
      <w:r w:rsidR="000B0A91">
        <w:rPr>
          <w:snapToGrid w:val="0"/>
          <w:szCs w:val="24"/>
        </w:rPr>
        <w:t xml:space="preserve"> </w:t>
      </w:r>
      <w:r w:rsidR="00540071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540071">
        <w:rPr>
          <w:snapToGrid w:val="0"/>
          <w:szCs w:val="24"/>
        </w:rPr>
        <w:t>exigencia</w:t>
      </w:r>
      <w:r w:rsidR="0084335B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momento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inicio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84335B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="00540071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completa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tod</w:t>
      </w:r>
      <w:r w:rsidR="00540071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="00540071">
        <w:rPr>
          <w:snapToGrid w:val="0"/>
          <w:szCs w:val="24"/>
        </w:rPr>
        <w:t>observación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negativ</w:t>
      </w:r>
      <w:r w:rsidR="00540071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="0084335B" w:rsidRPr="00C463CE">
        <w:rPr>
          <w:snapToGrid w:val="0"/>
          <w:szCs w:val="24"/>
        </w:rPr>
        <w:t>pendiente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formulad</w:t>
      </w:r>
      <w:r w:rsidR="00540071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encargada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búsqueda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o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encargada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examen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preliminar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</w:t>
      </w:r>
      <w:r w:rsidR="0084335B" w:rsidRPr="00C463CE">
        <w:rPr>
          <w:snapToGrid w:val="0"/>
          <w:szCs w:val="24"/>
        </w:rPr>
        <w:t>;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c)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cuando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primera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decisión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sobre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elementos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fondo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</w:t>
      </w:r>
      <w:r w:rsidR="0084335B" w:rsidRPr="00C463CE">
        <w:rPr>
          <w:snapToGrid w:val="0"/>
          <w:szCs w:val="24"/>
        </w:rPr>
        <w:t>ya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sido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adoptada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encargada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búsqueda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calidad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respecto</w:t>
      </w:r>
      <w:r w:rsidR="000B0A91">
        <w:rPr>
          <w:snapToGrid w:val="0"/>
          <w:szCs w:val="24"/>
        </w:rPr>
        <w:t xml:space="preserve"> </w:t>
      </w:r>
      <w:r w:rsidR="00FA238B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solicitud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princ</w:t>
      </w:r>
      <w:r w:rsidR="00065817" w:rsidRPr="00C463CE">
        <w:rPr>
          <w:snapToGrid w:val="0"/>
          <w:szCs w:val="24"/>
        </w:rPr>
        <w:t>ipal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o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misma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familia,</w:t>
      </w:r>
      <w:r w:rsidR="000B0A91">
        <w:rPr>
          <w:snapToGrid w:val="0"/>
          <w:szCs w:val="24"/>
        </w:rPr>
        <w:t xml:space="preserve"> </w:t>
      </w:r>
      <w:r w:rsidR="00522674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522674">
        <w:rPr>
          <w:snapToGrid w:val="0"/>
          <w:szCs w:val="24"/>
        </w:rPr>
        <w:t>adopción</w:t>
      </w:r>
      <w:r w:rsidR="000B0A91">
        <w:rPr>
          <w:snapToGrid w:val="0"/>
          <w:szCs w:val="24"/>
        </w:rPr>
        <w:t xml:space="preserve"> </w:t>
      </w:r>
      <w:r w:rsidR="00522674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522674">
        <w:rPr>
          <w:snapToGrid w:val="0"/>
          <w:szCs w:val="24"/>
        </w:rPr>
        <w:t>tal</w:t>
      </w:r>
      <w:r w:rsidR="000B0A91">
        <w:rPr>
          <w:snapToGrid w:val="0"/>
          <w:szCs w:val="24"/>
        </w:rPr>
        <w:t xml:space="preserve"> </w:t>
      </w:r>
      <w:r w:rsidR="00522674">
        <w:rPr>
          <w:snapToGrid w:val="0"/>
          <w:szCs w:val="24"/>
        </w:rPr>
        <w:t>decisión</w:t>
      </w:r>
      <w:r w:rsidR="000B0A91">
        <w:rPr>
          <w:snapToGrid w:val="0"/>
          <w:szCs w:val="24"/>
        </w:rPr>
        <w:t xml:space="preserve"> </w:t>
      </w:r>
      <w:r w:rsidR="00522674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="00522674"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522674" w:rsidRPr="00C463CE">
        <w:rPr>
          <w:snapToGrid w:val="0"/>
          <w:szCs w:val="24"/>
        </w:rPr>
        <w:t>Administración</w:t>
      </w:r>
      <w:r w:rsidR="000B0A91">
        <w:rPr>
          <w:snapToGrid w:val="0"/>
          <w:szCs w:val="24"/>
        </w:rPr>
        <w:t xml:space="preserve"> </w:t>
      </w:r>
      <w:r w:rsidR="00522674" w:rsidRPr="00C463CE">
        <w:rPr>
          <w:snapToGrid w:val="0"/>
          <w:szCs w:val="24"/>
        </w:rPr>
        <w:t>encargada</w:t>
      </w:r>
      <w:r w:rsidR="000B0A91">
        <w:rPr>
          <w:snapToGrid w:val="0"/>
          <w:szCs w:val="24"/>
        </w:rPr>
        <w:t xml:space="preserve"> </w:t>
      </w:r>
      <w:r w:rsidR="00522674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522674"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522674" w:rsidRPr="00C463CE">
        <w:rPr>
          <w:snapToGrid w:val="0"/>
          <w:szCs w:val="24"/>
        </w:rPr>
        <w:t>búsqueda</w:t>
      </w:r>
      <w:r w:rsidR="000B0A91">
        <w:rPr>
          <w:snapToGrid w:val="0"/>
          <w:szCs w:val="24"/>
        </w:rPr>
        <w:t xml:space="preserve"> </w:t>
      </w:r>
      <w:r w:rsidR="00522674"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como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informe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búsqueda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opinión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escrita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cuando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reivindicaciones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sean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idénticas.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Después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examen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Administraciones,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teniendo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cuenta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particular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amplia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revisión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legislaciones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prácticas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nacionales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supondría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aplicación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medidas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contempladas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puntos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a)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c),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decidido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único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tipo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integración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pod</w:t>
      </w:r>
      <w:r w:rsidR="006663CB">
        <w:rPr>
          <w:snapToGrid w:val="0"/>
          <w:szCs w:val="24"/>
        </w:rPr>
        <w:t>r</w:t>
      </w:r>
      <w:r w:rsidRPr="00C463CE">
        <w:rPr>
          <w:snapToGrid w:val="0"/>
          <w:szCs w:val="24"/>
        </w:rPr>
        <w:t>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prestarse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mayor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examen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etapa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exigencia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relativa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suministro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completa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toda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observación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negativa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pendiente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formulada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065817" w:rsidRPr="00C463CE">
        <w:rPr>
          <w:snapToGrid w:val="0"/>
          <w:szCs w:val="24"/>
        </w:rPr>
        <w:t>A</w:t>
      </w:r>
      <w:r w:rsidRPr="00C463CE">
        <w:rPr>
          <w:snapToGrid w:val="0"/>
          <w:szCs w:val="24"/>
        </w:rPr>
        <w:t>dministración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encargada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búsqueda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examen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preliminar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razón</w:t>
      </w:r>
      <w:r w:rsidR="008B5198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ha</w:t>
      </w:r>
      <w:r w:rsidR="000B0A91">
        <w:rPr>
          <w:snapToGrid w:val="0"/>
          <w:szCs w:val="24"/>
        </w:rPr>
        <w:t xml:space="preserve"> </w:t>
      </w:r>
      <w:r w:rsidR="008B5198" w:rsidRPr="00C463CE">
        <w:rPr>
          <w:snapToGrid w:val="0"/>
          <w:szCs w:val="24"/>
        </w:rPr>
        <w:t>presentado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respecto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última</w:t>
      </w:r>
      <w:r w:rsidR="000B0A91">
        <w:rPr>
          <w:snapToGrid w:val="0"/>
          <w:szCs w:val="24"/>
        </w:rPr>
        <w:t xml:space="preserve"> </w:t>
      </w:r>
      <w:r w:rsidR="00567B6F" w:rsidRPr="00C463CE">
        <w:rPr>
          <w:snapToGrid w:val="0"/>
          <w:szCs w:val="24"/>
        </w:rPr>
        <w:t>reunión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Grupo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Trabajo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="00567B6F" w:rsidRPr="00C463CE">
        <w:rPr>
          <w:snapToGrid w:val="0"/>
          <w:szCs w:val="24"/>
        </w:rPr>
        <w:t>última</w:t>
      </w:r>
      <w:r w:rsidR="000B0A91">
        <w:rPr>
          <w:snapToGrid w:val="0"/>
          <w:szCs w:val="24"/>
        </w:rPr>
        <w:t xml:space="preserve"> </w:t>
      </w:r>
      <w:r w:rsidR="00567B6F" w:rsidRPr="00C463CE">
        <w:rPr>
          <w:snapToGrid w:val="0"/>
          <w:szCs w:val="24"/>
        </w:rPr>
        <w:t>sesión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567B6F" w:rsidRPr="00C463CE">
        <w:rPr>
          <w:snapToGrid w:val="0"/>
          <w:szCs w:val="24"/>
        </w:rPr>
        <w:t>l</w:t>
      </w:r>
      <w:r w:rsidR="000B0A91">
        <w:rPr>
          <w:snapToGrid w:val="0"/>
          <w:szCs w:val="24"/>
        </w:rPr>
        <w:t xml:space="preserve"> </w:t>
      </w:r>
      <w:r w:rsidR="00567B6F" w:rsidRPr="00C463CE">
        <w:rPr>
          <w:snapToGrid w:val="0"/>
          <w:szCs w:val="24"/>
        </w:rPr>
        <w:t>PCT/MIA</w:t>
      </w:r>
      <w:r w:rsidRPr="00C463CE">
        <w:rPr>
          <w:snapToGrid w:val="0"/>
          <w:szCs w:val="24"/>
        </w:rPr>
        <w:t>.</w:t>
      </w:r>
    </w:p>
    <w:p w:rsidR="00170477" w:rsidRPr="00C463CE" w:rsidRDefault="00170477" w:rsidP="00170477">
      <w:pPr>
        <w:pStyle w:val="ONUMFS"/>
      </w:pPr>
      <w:r w:rsidRPr="00C463CE">
        <w:rPr>
          <w:snapToGrid w:val="0"/>
          <w:szCs w:val="24"/>
        </w:rPr>
        <w:t>Si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bien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principio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recibido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importante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apoyo,</w:t>
      </w:r>
      <w:r w:rsidR="000B0A91">
        <w:rPr>
          <w:snapToGrid w:val="0"/>
          <w:szCs w:val="24"/>
        </w:rPr>
        <w:t xml:space="preserve"> </w:t>
      </w:r>
      <w:r w:rsidR="00B52925"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="00B52925" w:rsidRPr="00C463CE">
        <w:rPr>
          <w:snapToGrid w:val="0"/>
          <w:szCs w:val="24"/>
        </w:rPr>
        <w:t>raíz</w:t>
      </w:r>
      <w:r w:rsidR="000B0A91">
        <w:rPr>
          <w:snapToGrid w:val="0"/>
          <w:szCs w:val="24"/>
        </w:rPr>
        <w:t xml:space="preserve"> </w:t>
      </w:r>
      <w:r w:rsidR="00B52925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preocupaciones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expresadas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miembros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Administraciones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ha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decidido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convendría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seguir</w:t>
      </w:r>
      <w:r w:rsidR="000B0A91">
        <w:rPr>
          <w:snapToGrid w:val="0"/>
          <w:szCs w:val="24"/>
        </w:rPr>
        <w:t xml:space="preserve"> </w:t>
      </w:r>
      <w:r w:rsidR="00B52925" w:rsidRPr="00C463CE">
        <w:rPr>
          <w:snapToGrid w:val="0"/>
          <w:szCs w:val="24"/>
        </w:rPr>
        <w:t>examinando</w:t>
      </w:r>
      <w:r w:rsidR="000B0A91">
        <w:rPr>
          <w:snapToGrid w:val="0"/>
          <w:szCs w:val="24"/>
        </w:rPr>
        <w:t xml:space="preserve"> </w:t>
      </w:r>
      <w:r w:rsidR="00B52925"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cuestión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antes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presentar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nuevas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propuestas.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respecto,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seguimos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considerando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aplicación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permitiría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mejorar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considerablemente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eficacia,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contribuiría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reducir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duplicación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trabajo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realizado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regionales</w:t>
      </w:r>
      <w:r w:rsidR="00CA4CBA"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="00CA4CBA" w:rsidRPr="00C463CE">
        <w:rPr>
          <w:snapToGrid w:val="0"/>
          <w:szCs w:val="24"/>
        </w:rPr>
        <w:t>promovería</w:t>
      </w:r>
      <w:r w:rsidR="000B0A91">
        <w:rPr>
          <w:snapToGrid w:val="0"/>
          <w:szCs w:val="24"/>
        </w:rPr>
        <w:t xml:space="preserve"> </w:t>
      </w:r>
      <w:r w:rsidR="00CA4CBA"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="00CA4CBA" w:rsidRPr="00C463CE">
        <w:rPr>
          <w:snapToGrid w:val="0"/>
          <w:szCs w:val="24"/>
        </w:rPr>
        <w:t>avance</w:t>
      </w:r>
      <w:r w:rsidR="000B0A91">
        <w:rPr>
          <w:snapToGrid w:val="0"/>
          <w:szCs w:val="24"/>
        </w:rPr>
        <w:t xml:space="preserve"> </w:t>
      </w:r>
      <w:r w:rsidR="00CA4CBA"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="00CA4CBA"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="00CA4CBA" w:rsidRPr="00C463CE">
        <w:rPr>
          <w:snapToGrid w:val="0"/>
          <w:szCs w:val="24"/>
        </w:rPr>
        <w:t>tramitación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solicitudes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internacionales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fase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regional.</w:t>
      </w:r>
      <w:r w:rsidR="000B0A91">
        <w:rPr>
          <w:snapToGrid w:val="0"/>
          <w:szCs w:val="24"/>
        </w:rPr>
        <w:t xml:space="preserve">  </w:t>
      </w:r>
      <w:r w:rsidRPr="00C463CE">
        <w:rPr>
          <w:snapToGrid w:val="0"/>
          <w:szCs w:val="24"/>
        </w:rPr>
        <w:t>Por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ello,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Unidos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América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contemplan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aplicación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unilateral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esta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quizás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título</w:t>
      </w:r>
      <w:r w:rsidR="000B0A91">
        <w:rPr>
          <w:snapToGrid w:val="0"/>
          <w:szCs w:val="24"/>
        </w:rPr>
        <w:t xml:space="preserve"> </w:t>
      </w:r>
      <w:r w:rsidR="005E1097" w:rsidRPr="00C463CE">
        <w:rPr>
          <w:snapToGrid w:val="0"/>
          <w:szCs w:val="24"/>
        </w:rPr>
        <w:t>experimental</w:t>
      </w:r>
      <w:r w:rsidRPr="00C463CE">
        <w:rPr>
          <w:snapToGrid w:val="0"/>
          <w:szCs w:val="24"/>
        </w:rPr>
        <w:t>,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con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fin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reunir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más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datos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sobre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ventajas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que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puede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ofrecer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oficinas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nacional</w:t>
      </w:r>
      <w:r w:rsidR="005E1097" w:rsidRPr="00C463CE">
        <w:rPr>
          <w:snapToGrid w:val="0"/>
          <w:szCs w:val="24"/>
        </w:rPr>
        <w:t>es</w:t>
      </w:r>
      <w:r w:rsidR="000B0A91">
        <w:rPr>
          <w:snapToGrid w:val="0"/>
          <w:szCs w:val="24"/>
        </w:rPr>
        <w:t xml:space="preserve"> </w:t>
      </w:r>
      <w:r w:rsidR="005E1097" w:rsidRPr="00C463CE">
        <w:rPr>
          <w:snapToGrid w:val="0"/>
          <w:szCs w:val="24"/>
        </w:rPr>
        <w:t>y</w:t>
      </w:r>
      <w:r w:rsidR="000B0A91">
        <w:rPr>
          <w:snapToGrid w:val="0"/>
          <w:szCs w:val="24"/>
        </w:rPr>
        <w:t xml:space="preserve"> </w:t>
      </w:r>
      <w:r w:rsidR="005E1097" w:rsidRPr="00C463CE">
        <w:rPr>
          <w:snapToGrid w:val="0"/>
          <w:szCs w:val="24"/>
        </w:rPr>
        <w:t>regionales.</w:t>
      </w:r>
      <w:r w:rsidR="000B0A91">
        <w:rPr>
          <w:snapToGrid w:val="0"/>
          <w:szCs w:val="24"/>
        </w:rPr>
        <w:t xml:space="preserve"> </w:t>
      </w:r>
      <w:r w:rsidR="005E1097" w:rsidRPr="00C463CE">
        <w:rPr>
          <w:snapToGrid w:val="0"/>
          <w:szCs w:val="24"/>
        </w:rPr>
        <w:t>E</w:t>
      </w:r>
      <w:r w:rsidRPr="00C463CE">
        <w:rPr>
          <w:snapToGrid w:val="0"/>
          <w:szCs w:val="24"/>
        </w:rPr>
        <w:t>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una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próxima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reunión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del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Grupo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de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Trabajo</w:t>
      </w:r>
      <w:r w:rsidR="000B0A91">
        <w:rPr>
          <w:snapToGrid w:val="0"/>
          <w:szCs w:val="24"/>
        </w:rPr>
        <w:t xml:space="preserve"> </w:t>
      </w:r>
      <w:r w:rsidR="005E1097" w:rsidRPr="00C463CE">
        <w:rPr>
          <w:snapToGrid w:val="0"/>
          <w:szCs w:val="24"/>
        </w:rPr>
        <w:t>se</w:t>
      </w:r>
      <w:r w:rsidR="000B0A91">
        <w:rPr>
          <w:snapToGrid w:val="0"/>
          <w:szCs w:val="24"/>
        </w:rPr>
        <w:t xml:space="preserve"> </w:t>
      </w:r>
      <w:r w:rsidR="005E1097" w:rsidRPr="00C463CE">
        <w:rPr>
          <w:snapToGrid w:val="0"/>
          <w:szCs w:val="24"/>
        </w:rPr>
        <w:t>compartirán</w:t>
      </w:r>
      <w:r w:rsidR="000B0A91">
        <w:rPr>
          <w:snapToGrid w:val="0"/>
          <w:szCs w:val="24"/>
        </w:rPr>
        <w:t xml:space="preserve"> </w:t>
      </w:r>
      <w:r w:rsidR="005E1097" w:rsidRPr="00C463CE">
        <w:rPr>
          <w:snapToGrid w:val="0"/>
          <w:szCs w:val="24"/>
        </w:rPr>
        <w:t>los</w:t>
      </w:r>
      <w:r w:rsidR="000B0A91">
        <w:rPr>
          <w:snapToGrid w:val="0"/>
          <w:szCs w:val="24"/>
        </w:rPr>
        <w:t xml:space="preserve"> </w:t>
      </w:r>
      <w:r w:rsidR="00D21360">
        <w:rPr>
          <w:snapToGrid w:val="0"/>
          <w:szCs w:val="24"/>
        </w:rPr>
        <w:t>datos</w:t>
      </w:r>
      <w:r w:rsidR="000B0A91">
        <w:rPr>
          <w:snapToGrid w:val="0"/>
          <w:szCs w:val="24"/>
        </w:rPr>
        <w:t xml:space="preserve"> </w:t>
      </w:r>
      <w:r w:rsidR="00D21360">
        <w:rPr>
          <w:snapToGrid w:val="0"/>
          <w:szCs w:val="24"/>
        </w:rPr>
        <w:t>recopilados</w:t>
      </w:r>
      <w:r w:rsidR="000B0A91">
        <w:rPr>
          <w:snapToGrid w:val="0"/>
          <w:szCs w:val="24"/>
        </w:rPr>
        <w:t xml:space="preserve"> </w:t>
      </w:r>
      <w:r w:rsidR="00D21360">
        <w:rPr>
          <w:snapToGrid w:val="0"/>
          <w:szCs w:val="24"/>
        </w:rPr>
        <w:t>en</w:t>
      </w:r>
      <w:r w:rsidR="000B0A91">
        <w:rPr>
          <w:snapToGrid w:val="0"/>
          <w:szCs w:val="24"/>
        </w:rPr>
        <w:t xml:space="preserve"> </w:t>
      </w:r>
      <w:r w:rsidR="00D21360">
        <w:rPr>
          <w:snapToGrid w:val="0"/>
          <w:szCs w:val="24"/>
        </w:rPr>
        <w:t>ese</w:t>
      </w:r>
      <w:r w:rsidR="000B0A91">
        <w:rPr>
          <w:snapToGrid w:val="0"/>
          <w:szCs w:val="24"/>
        </w:rPr>
        <w:t xml:space="preserve"> </w:t>
      </w:r>
      <w:r w:rsidR="00D21360">
        <w:rPr>
          <w:snapToGrid w:val="0"/>
          <w:szCs w:val="24"/>
        </w:rPr>
        <w:t>contexto</w:t>
      </w:r>
      <w:r w:rsidRPr="00C463CE">
        <w:rPr>
          <w:snapToGrid w:val="0"/>
          <w:szCs w:val="24"/>
        </w:rPr>
        <w:t>.</w:t>
      </w:r>
    </w:p>
    <w:p w:rsidR="00170477" w:rsidRPr="003E5DB0" w:rsidRDefault="00A920AE" w:rsidP="00170477">
      <w:pPr>
        <w:pStyle w:val="Heading1"/>
        <w:rPr>
          <w:b w:val="0"/>
        </w:rPr>
      </w:pPr>
      <w:r w:rsidRPr="003E5DB0">
        <w:rPr>
          <w:b w:val="0"/>
        </w:rPr>
        <w:t>COMUNICACIÓN</w:t>
      </w:r>
      <w:r w:rsidR="000B0A91">
        <w:rPr>
          <w:b w:val="0"/>
        </w:rPr>
        <w:t xml:space="preserve"> </w:t>
      </w:r>
      <w:r w:rsidR="00AF51EF" w:rsidRPr="003E5DB0">
        <w:rPr>
          <w:b w:val="0"/>
        </w:rPr>
        <w:t>obligatoria</w:t>
      </w:r>
      <w:r w:rsidR="000B0A91">
        <w:rPr>
          <w:b w:val="0"/>
        </w:rPr>
        <w:t xml:space="preserve"> </w:t>
      </w:r>
      <w:r w:rsidR="00AF51EF" w:rsidRPr="003E5DB0">
        <w:rPr>
          <w:b w:val="0"/>
        </w:rPr>
        <w:t>de</w:t>
      </w:r>
      <w:r w:rsidR="000B0A91">
        <w:rPr>
          <w:b w:val="0"/>
        </w:rPr>
        <w:t xml:space="preserve"> </w:t>
      </w:r>
      <w:r w:rsidR="00170477" w:rsidRPr="003E5DB0">
        <w:rPr>
          <w:b w:val="0"/>
        </w:rPr>
        <w:t>la</w:t>
      </w:r>
      <w:r w:rsidR="000B0A91">
        <w:rPr>
          <w:b w:val="0"/>
        </w:rPr>
        <w:t xml:space="preserve"> </w:t>
      </w:r>
      <w:r w:rsidR="00170477" w:rsidRPr="003E5DB0">
        <w:rPr>
          <w:b w:val="0"/>
        </w:rPr>
        <w:t>estrategia</w:t>
      </w:r>
      <w:r w:rsidR="000B0A91">
        <w:rPr>
          <w:b w:val="0"/>
        </w:rPr>
        <w:t xml:space="preserve"> </w:t>
      </w:r>
      <w:r w:rsidR="00170477" w:rsidRPr="003E5DB0">
        <w:rPr>
          <w:b w:val="0"/>
        </w:rPr>
        <w:t>de</w:t>
      </w:r>
      <w:r w:rsidR="000B0A91">
        <w:rPr>
          <w:b w:val="0"/>
        </w:rPr>
        <w:t xml:space="preserve"> </w:t>
      </w:r>
      <w:r w:rsidR="00170477" w:rsidRPr="003E5DB0">
        <w:rPr>
          <w:b w:val="0"/>
        </w:rPr>
        <w:t>búsqueda</w:t>
      </w:r>
    </w:p>
    <w:p w:rsidR="00170477" w:rsidRPr="00C463CE" w:rsidRDefault="00170477" w:rsidP="00170477">
      <w:pPr>
        <w:pStyle w:val="ONUMFS"/>
      </w:pPr>
      <w:r w:rsidRPr="00C463CE">
        <w:t>Esta</w:t>
      </w:r>
      <w:r w:rsidR="000B0A91">
        <w:t xml:space="preserve"> </w:t>
      </w:r>
      <w:r w:rsidRPr="00C463CE">
        <w:t>propuesta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PCT</w:t>
      </w:r>
      <w:r w:rsidR="000B0A91">
        <w:t xml:space="preserve"> </w:t>
      </w:r>
      <w:r w:rsidRPr="00C463CE">
        <w:t>20/20</w:t>
      </w:r>
      <w:r w:rsidR="000B0A91">
        <w:t xml:space="preserve"> </w:t>
      </w:r>
      <w:r w:rsidRPr="00C463CE">
        <w:t>ha</w:t>
      </w:r>
      <w:r w:rsidR="000B0A91">
        <w:t xml:space="preserve"> </w:t>
      </w:r>
      <w:r w:rsidRPr="00C463CE">
        <w:t>sido</w:t>
      </w:r>
      <w:r w:rsidR="000B0A91">
        <w:t xml:space="preserve"> </w:t>
      </w:r>
      <w:r w:rsidRPr="00C463CE">
        <w:t>objeto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una</w:t>
      </w:r>
      <w:r w:rsidR="000B0A91">
        <w:t xml:space="preserve"> </w:t>
      </w:r>
      <w:r w:rsidRPr="00C463CE">
        <w:t>propuesta</w:t>
      </w:r>
      <w:r w:rsidR="000B0A91">
        <w:t xml:space="preserve"> </w:t>
      </w:r>
      <w:r w:rsidRPr="00C463CE">
        <w:t>distinta</w:t>
      </w:r>
      <w:r w:rsidR="000B0A91">
        <w:t xml:space="preserve"> </w:t>
      </w:r>
      <w:r w:rsidRPr="00C463CE">
        <w:t>presentada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sexta</w:t>
      </w:r>
      <w:r w:rsidR="000B0A91">
        <w:t xml:space="preserve"> </w:t>
      </w:r>
      <w:r w:rsidRPr="00C463CE">
        <w:t>reunión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Grupo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Trabajo</w:t>
      </w:r>
      <w:r w:rsidR="000B0A91">
        <w:t xml:space="preserve"> </w:t>
      </w:r>
      <w:r w:rsidRPr="00C463CE">
        <w:t>del</w:t>
      </w:r>
      <w:r w:rsidR="000B0A91">
        <w:t xml:space="preserve"> </w:t>
      </w:r>
      <w:r w:rsidRPr="00C463CE">
        <w:t>PCT</w:t>
      </w:r>
      <w:r w:rsidR="000B0A91">
        <w:t xml:space="preserve"> </w:t>
      </w:r>
      <w:r w:rsidRPr="00C463CE">
        <w:t>(documento</w:t>
      </w:r>
      <w:r w:rsidR="000B0A91">
        <w:t xml:space="preserve"> </w:t>
      </w:r>
      <w:r w:rsidRPr="00C463CE">
        <w:t>PCT/WG/6/19)</w:t>
      </w:r>
      <w:r w:rsidR="000B0A91">
        <w:t xml:space="preserve"> </w:t>
      </w:r>
      <w:r w:rsidRPr="00C463CE">
        <w:t>destinada</w:t>
      </w:r>
      <w:r w:rsidR="000B0A91">
        <w:t xml:space="preserve"> </w:t>
      </w:r>
      <w:r w:rsidRPr="00C463CE">
        <w:t>a</w:t>
      </w:r>
      <w:r w:rsidR="000B0A91">
        <w:t xml:space="preserve"> </w:t>
      </w:r>
      <w:r w:rsidRPr="00C463CE">
        <w:t>modificar</w:t>
      </w:r>
      <w:r w:rsidR="000B0A91">
        <w:t xml:space="preserve"> </w:t>
      </w:r>
      <w:r w:rsidRPr="00C463CE">
        <w:t>las</w:t>
      </w:r>
      <w:r w:rsidR="000B0A91">
        <w:t xml:space="preserve"> </w:t>
      </w:r>
      <w:r w:rsidRPr="00C463CE">
        <w:t>Directivas</w:t>
      </w:r>
      <w:r w:rsidR="000B0A91">
        <w:t xml:space="preserve"> </w:t>
      </w:r>
      <w:r w:rsidR="00E24CBB" w:rsidRPr="00C463CE">
        <w:t>relativas</w:t>
      </w:r>
      <w:r w:rsidR="000B0A91">
        <w:t xml:space="preserve"> </w:t>
      </w:r>
      <w:r w:rsidR="00E24CBB" w:rsidRPr="00C463CE">
        <w:t>a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búsqueda</w:t>
      </w:r>
      <w:r w:rsidR="000B0A91">
        <w:t xml:space="preserve"> </w:t>
      </w:r>
      <w:r w:rsidRPr="00C463CE">
        <w:t>internacional</w:t>
      </w:r>
      <w:r w:rsidR="000B0A91">
        <w:t xml:space="preserve"> </w:t>
      </w:r>
      <w:r w:rsidRPr="00C463CE">
        <w:t>y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examen</w:t>
      </w:r>
      <w:r w:rsidR="000B0A91">
        <w:t xml:space="preserve"> </w:t>
      </w:r>
      <w:r w:rsidRPr="00C463CE">
        <w:t>preliminar</w:t>
      </w:r>
      <w:r w:rsidR="000B0A91">
        <w:t xml:space="preserve"> </w:t>
      </w:r>
      <w:r w:rsidRPr="00C463CE">
        <w:t>internacional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tal</w:t>
      </w:r>
      <w:r w:rsidR="000B0A91">
        <w:t xml:space="preserve"> </w:t>
      </w:r>
      <w:r w:rsidRPr="00C463CE">
        <w:t>manera</w:t>
      </w:r>
      <w:r w:rsidR="000B0A91">
        <w:t xml:space="preserve"> </w:t>
      </w:r>
      <w:r w:rsidRPr="00C463CE">
        <w:t>que</w:t>
      </w:r>
      <w:r w:rsidR="000B0A91">
        <w:t xml:space="preserve"> </w:t>
      </w:r>
      <w:r w:rsidRPr="00C463CE">
        <w:t>en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momento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transmitir</w:t>
      </w:r>
      <w:r w:rsidR="000B0A91">
        <w:t xml:space="preserve"> </w:t>
      </w:r>
      <w:r w:rsidRPr="00C463CE">
        <w:t>el</w:t>
      </w:r>
      <w:r w:rsidR="000B0A91">
        <w:t xml:space="preserve"> </w:t>
      </w:r>
      <w:r w:rsidRPr="00C463CE">
        <w:t>informe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búsqueda</w:t>
      </w:r>
      <w:r w:rsidR="000B0A91">
        <w:t xml:space="preserve"> </w:t>
      </w:r>
      <w:r w:rsidRPr="00C463CE">
        <w:t>internacional</w:t>
      </w:r>
      <w:r w:rsidR="000B0A91">
        <w:t xml:space="preserve"> </w:t>
      </w:r>
      <w:r w:rsidRPr="00C463CE">
        <w:t>a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Oficina</w:t>
      </w:r>
      <w:r w:rsidR="000B0A91">
        <w:t xml:space="preserve"> </w:t>
      </w:r>
      <w:r w:rsidRPr="00C463CE">
        <w:t>Internacional,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Administración</w:t>
      </w:r>
      <w:r w:rsidR="000B0A91">
        <w:t xml:space="preserve"> </w:t>
      </w:r>
      <w:r w:rsidRPr="00C463CE">
        <w:t>encargada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búsqueda</w:t>
      </w:r>
      <w:r w:rsidR="000B0A91">
        <w:t xml:space="preserve"> </w:t>
      </w:r>
      <w:r w:rsidRPr="00C463CE">
        <w:t>internacional</w:t>
      </w:r>
      <w:r w:rsidR="000B0A91">
        <w:t xml:space="preserve"> </w:t>
      </w:r>
      <w:r w:rsidRPr="00C463CE">
        <w:t>suministre</w:t>
      </w:r>
      <w:r w:rsidR="000B0A91">
        <w:t xml:space="preserve"> </w:t>
      </w:r>
      <w:r w:rsidRPr="00C463CE">
        <w:t>también</w:t>
      </w:r>
      <w:r w:rsidR="000B0A91">
        <w:t xml:space="preserve"> </w:t>
      </w:r>
      <w:r w:rsidRPr="00C463CE">
        <w:t>a</w:t>
      </w:r>
      <w:r w:rsidR="000B0A91">
        <w:t xml:space="preserve"> </w:t>
      </w:r>
      <w:r w:rsidR="00E24CBB" w:rsidRPr="00C463CE">
        <w:t>é</w:t>
      </w:r>
      <w:r w:rsidRPr="00C463CE">
        <w:t>sta</w:t>
      </w:r>
      <w:r w:rsidR="000B0A91">
        <w:t xml:space="preserve"> </w:t>
      </w:r>
      <w:r w:rsidRPr="00C463CE">
        <w:t>última</w:t>
      </w:r>
      <w:r w:rsidR="000B0A91">
        <w:t xml:space="preserve"> </w:t>
      </w:r>
      <w:r w:rsidRPr="00C463CE">
        <w:t>una</w:t>
      </w:r>
      <w:r w:rsidR="000B0A91">
        <w:t xml:space="preserve"> </w:t>
      </w:r>
      <w:r w:rsidRPr="00C463CE">
        <w:t>copia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estrategia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búsqueda</w:t>
      </w:r>
      <w:r w:rsidR="000B0A91">
        <w:t xml:space="preserve"> </w:t>
      </w:r>
      <w:r w:rsidRPr="00C463CE">
        <w:t>utilizada</w:t>
      </w:r>
      <w:r w:rsidR="000B0A91">
        <w:t xml:space="preserve"> </w:t>
      </w:r>
      <w:r w:rsidRPr="00C463CE">
        <w:t>para</w:t>
      </w:r>
      <w:r w:rsidR="000B0A91">
        <w:t xml:space="preserve"> </w:t>
      </w:r>
      <w:r w:rsidRPr="00C463CE">
        <w:t>efectuar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búsqueda</w:t>
      </w:r>
      <w:r w:rsidR="000B0A91">
        <w:t xml:space="preserve"> </w:t>
      </w:r>
      <w:r w:rsidRPr="00C463CE">
        <w:t>internacional,</w:t>
      </w:r>
      <w:r w:rsidR="000B0A91">
        <w:t xml:space="preserve"> </w:t>
      </w:r>
      <w:r w:rsidRPr="00C463CE">
        <w:t>cualquier</w:t>
      </w:r>
      <w:r w:rsidR="009033A1" w:rsidRPr="00C463CE">
        <w:t>a</w:t>
      </w:r>
      <w:r w:rsidR="000B0A91">
        <w:t xml:space="preserve"> </w:t>
      </w:r>
      <w:r w:rsidR="009033A1" w:rsidRPr="00C463CE">
        <w:t>sea</w:t>
      </w:r>
      <w:r w:rsidR="000B0A91">
        <w:t xml:space="preserve"> </w:t>
      </w:r>
      <w:r w:rsidR="009033A1" w:rsidRPr="00C463CE">
        <w:t>el</w:t>
      </w:r>
      <w:r w:rsidR="000B0A91">
        <w:t xml:space="preserve"> </w:t>
      </w:r>
      <w:r w:rsidRPr="00C463CE">
        <w:t>formato</w:t>
      </w:r>
      <w:r w:rsidR="000B0A91">
        <w:t xml:space="preserve"> </w:t>
      </w:r>
      <w:r w:rsidR="009033A1" w:rsidRPr="00C463CE">
        <w:t>en</w:t>
      </w:r>
      <w:r w:rsidR="000B0A91">
        <w:t xml:space="preserve"> </w:t>
      </w:r>
      <w:r w:rsidR="009033A1" w:rsidRPr="00C463CE">
        <w:t>el</w:t>
      </w:r>
      <w:r w:rsidR="000B0A91">
        <w:t xml:space="preserve"> </w:t>
      </w:r>
      <w:r w:rsidR="009033A1" w:rsidRPr="00C463CE">
        <w:t>que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Administración</w:t>
      </w:r>
      <w:r w:rsidR="000B0A91">
        <w:t xml:space="preserve"> </w:t>
      </w:r>
      <w:r w:rsidRPr="00C463CE">
        <w:t>encargada</w:t>
      </w:r>
      <w:r w:rsidR="000B0A91">
        <w:t xml:space="preserve"> </w:t>
      </w:r>
      <w:r w:rsidRPr="00C463CE">
        <w:t>de</w:t>
      </w:r>
      <w:r w:rsidR="000B0A91">
        <w:t xml:space="preserve"> </w:t>
      </w:r>
      <w:r w:rsidRPr="00C463CE">
        <w:t>la</w:t>
      </w:r>
      <w:r w:rsidR="000B0A91">
        <w:t xml:space="preserve"> </w:t>
      </w:r>
      <w:r w:rsidRPr="00C463CE">
        <w:t>búsqueda</w:t>
      </w:r>
      <w:r w:rsidR="000B0A91">
        <w:t xml:space="preserve"> </w:t>
      </w:r>
      <w:r w:rsidRPr="00C463CE">
        <w:t>internacional</w:t>
      </w:r>
      <w:r w:rsidR="000B0A91">
        <w:t xml:space="preserve"> </w:t>
      </w:r>
      <w:r w:rsidR="002F2B33" w:rsidRPr="00C463CE">
        <w:t>consigne</w:t>
      </w:r>
      <w:r w:rsidR="000B0A91">
        <w:t xml:space="preserve"> </w:t>
      </w:r>
      <w:r w:rsidR="002F2B33" w:rsidRPr="00C463CE">
        <w:t>actualmente</w:t>
      </w:r>
      <w:r w:rsidR="000B0A91">
        <w:t xml:space="preserve"> </w:t>
      </w:r>
      <w:r w:rsidR="009033A1" w:rsidRPr="00C463CE">
        <w:t>la</w:t>
      </w:r>
      <w:r w:rsidR="002F2B33" w:rsidRPr="00C463CE">
        <w:t>s</w:t>
      </w:r>
      <w:r w:rsidR="000B0A91">
        <w:t xml:space="preserve"> </w:t>
      </w:r>
      <w:r w:rsidR="009033A1" w:rsidRPr="00C463CE">
        <w:t>estrategia</w:t>
      </w:r>
      <w:r w:rsidR="002F2B33" w:rsidRPr="00C463CE">
        <w:t>s</w:t>
      </w:r>
      <w:r w:rsidR="000B0A91">
        <w:t xml:space="preserve"> </w:t>
      </w:r>
      <w:r w:rsidR="009033A1" w:rsidRPr="00C463CE">
        <w:t>de</w:t>
      </w:r>
      <w:r w:rsidR="000B0A91">
        <w:t xml:space="preserve"> </w:t>
      </w:r>
      <w:r w:rsidR="009033A1" w:rsidRPr="00C463CE">
        <w:t>búsqueda</w:t>
      </w:r>
      <w:r w:rsidRPr="00C463CE">
        <w:t>.</w:t>
      </w:r>
    </w:p>
    <w:p w:rsidR="00404B91" w:rsidRPr="00C463CE" w:rsidRDefault="00404B91" w:rsidP="00E05026">
      <w:pPr>
        <w:pStyle w:val="ONUMFS"/>
        <w:widowControl w:val="0"/>
        <w:rPr>
          <w:lang w:val="es-ES_tradnl"/>
        </w:rPr>
      </w:pPr>
      <w:r w:rsidRPr="00C463CE">
        <w:rPr>
          <w:bCs/>
          <w:lang w:val="es-ES_tradnl"/>
        </w:rPr>
        <w:t>Este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indicaba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AF51EF" w:rsidRPr="00C463CE">
        <w:rPr>
          <w:bCs/>
          <w:lang w:val="es-ES_tradnl"/>
        </w:rPr>
        <w:t>puesta</w:t>
      </w:r>
      <w:r w:rsidR="000B0A91">
        <w:rPr>
          <w:bCs/>
          <w:lang w:val="es-ES_tradnl"/>
        </w:rPr>
        <w:t xml:space="preserve"> </w:t>
      </w:r>
      <w:r w:rsidR="00AF51EF"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="00AF51EF" w:rsidRPr="00C463CE">
        <w:rPr>
          <w:bCs/>
          <w:lang w:val="es-ES_tradnl"/>
        </w:rPr>
        <w:t>disposición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estrategias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búsqueda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respondía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objetivos:</w:t>
      </w:r>
      <w:r w:rsidR="000B0A91">
        <w:rPr>
          <w:lang w:val="es-ES_tradnl"/>
        </w:rPr>
        <w:t xml:space="preserve"> </w:t>
      </w:r>
    </w:p>
    <w:p w:rsidR="00404B91" w:rsidRPr="00C463CE" w:rsidRDefault="00404B91" w:rsidP="00E05026">
      <w:pPr>
        <w:widowControl w:val="0"/>
        <w:spacing w:after="220"/>
        <w:ind w:left="567"/>
        <w:rPr>
          <w:lang w:val="es-ES_tradnl"/>
        </w:rPr>
      </w:pPr>
      <w:r w:rsidRPr="00C463CE">
        <w:rPr>
          <w:lang w:val="es-ES_tradnl"/>
        </w:rPr>
        <w:t>a)</w:t>
      </w:r>
      <w:r w:rsidRPr="00C463CE">
        <w:rPr>
          <w:lang w:val="es-ES_tradnl"/>
        </w:rPr>
        <w:tab/>
        <w:t>permitiría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poner</w:t>
      </w:r>
      <w:r w:rsidR="000B0A91">
        <w:rPr>
          <w:lang w:val="es-ES_tradnl"/>
        </w:rPr>
        <w:t xml:space="preserve"> </w:t>
      </w:r>
      <w:r w:rsidR="00E24CBB"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="00E24CBB" w:rsidRPr="00C463CE">
        <w:rPr>
          <w:lang w:val="es-ES_tradnl"/>
        </w:rPr>
        <w:t>inmediato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esta</w:t>
      </w:r>
      <w:r w:rsidR="000B0A91">
        <w:rPr>
          <w:lang w:val="es-ES_tradnl"/>
        </w:rPr>
        <w:t xml:space="preserve"> </w:t>
      </w:r>
      <w:r w:rsidR="00E24CBB" w:rsidRPr="00C463CE">
        <w:rPr>
          <w:lang w:val="es-ES_tradnl"/>
        </w:rPr>
        <w:t>información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importante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disposición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oficinas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nacionales,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que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reforzaría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transparencia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y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confianza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que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respecta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al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trabajo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efectuado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por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Pr="00C463CE">
        <w:rPr>
          <w:szCs w:val="24"/>
          <w:lang w:val="es-ES_tradnl"/>
        </w:rPr>
        <w:t>Administración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encargada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de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la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búsqueda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internacional.</w:t>
      </w:r>
      <w:r w:rsidR="000B0A91">
        <w:rPr>
          <w:szCs w:val="24"/>
          <w:lang w:val="es-ES_tradnl"/>
        </w:rPr>
        <w:t xml:space="preserve">  </w:t>
      </w:r>
      <w:r w:rsidR="005F3961" w:rsidRPr="00C463CE">
        <w:rPr>
          <w:szCs w:val="24"/>
          <w:lang w:val="es-ES_tradnl"/>
        </w:rPr>
        <w:t>L</w:t>
      </w:r>
      <w:r w:rsidRPr="00C463CE">
        <w:rPr>
          <w:szCs w:val="24"/>
          <w:lang w:val="es-ES_tradnl"/>
        </w:rPr>
        <w:t>as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oficinas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nacionales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podrían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realizar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búsquedas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más</w:t>
      </w:r>
      <w:r w:rsidR="000B0A91">
        <w:rPr>
          <w:szCs w:val="24"/>
          <w:lang w:val="es-ES_tradnl"/>
        </w:rPr>
        <w:t xml:space="preserve"> </w:t>
      </w:r>
      <w:r w:rsidRPr="00C463CE">
        <w:rPr>
          <w:szCs w:val="24"/>
          <w:lang w:val="es-ES_tradnl"/>
        </w:rPr>
        <w:t>eficaces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gracias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a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esa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reducción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de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la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duplicación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de</w:t>
      </w:r>
      <w:r w:rsidR="000B0A91">
        <w:rPr>
          <w:szCs w:val="24"/>
          <w:lang w:val="es-ES_tradnl"/>
        </w:rPr>
        <w:t xml:space="preserve"> </w:t>
      </w:r>
      <w:r w:rsidR="005F3961" w:rsidRPr="00C463CE">
        <w:rPr>
          <w:szCs w:val="24"/>
          <w:lang w:val="es-ES_tradnl"/>
        </w:rPr>
        <w:t>esfuerzos</w:t>
      </w:r>
      <w:r w:rsidRPr="00C463CE">
        <w:rPr>
          <w:szCs w:val="24"/>
          <w:lang w:val="es-ES_tradnl"/>
        </w:rPr>
        <w:t>;</w:t>
      </w:r>
    </w:p>
    <w:p w:rsidR="00404B91" w:rsidRPr="00C463CE" w:rsidRDefault="00404B91" w:rsidP="001D5232">
      <w:pPr>
        <w:keepLines/>
        <w:widowControl w:val="0"/>
        <w:spacing w:after="220"/>
        <w:ind w:left="567"/>
        <w:rPr>
          <w:lang w:val="es-ES_tradnl"/>
        </w:rPr>
      </w:pPr>
      <w:r w:rsidRPr="00C463CE">
        <w:rPr>
          <w:lang w:val="es-ES_tradnl"/>
        </w:rPr>
        <w:lastRenderedPageBreak/>
        <w:t>b)</w:t>
      </w:r>
      <w:r w:rsidRPr="00C463CE">
        <w:rPr>
          <w:lang w:val="es-ES_tradnl"/>
        </w:rPr>
        <w:tab/>
        <w:t>permitiría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oficinas</w:t>
      </w:r>
      <w:r w:rsidR="000B0A91">
        <w:rPr>
          <w:lang w:val="es-ES_tradnl"/>
        </w:rPr>
        <w:t xml:space="preserve"> </w:t>
      </w:r>
      <w:r w:rsidR="002F2B33" w:rsidRPr="00C463CE">
        <w:rPr>
          <w:lang w:val="es-ES_tradnl"/>
        </w:rPr>
        <w:t>examinar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diversos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formatos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que</w:t>
      </w:r>
      <w:r w:rsidR="000B0A91">
        <w:rPr>
          <w:lang w:val="es-ES_tradnl"/>
        </w:rPr>
        <w:t xml:space="preserve"> </w:t>
      </w:r>
      <w:r w:rsidR="002F2B33" w:rsidRPr="00C463CE">
        <w:rPr>
          <w:lang w:val="es-ES_tradnl"/>
        </w:rPr>
        <w:t>se</w:t>
      </w:r>
      <w:r w:rsidR="000B0A91">
        <w:rPr>
          <w:lang w:val="es-ES_tradnl"/>
        </w:rPr>
        <w:t xml:space="preserve"> </w:t>
      </w:r>
      <w:r w:rsidR="002F2B33" w:rsidRPr="00C463CE">
        <w:rPr>
          <w:lang w:val="es-ES_tradnl"/>
        </w:rPr>
        <w:t>consignan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esas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estrategias</w:t>
      </w:r>
      <w:r w:rsidR="002F2B33" w:rsidRPr="00C463CE">
        <w:rPr>
          <w:lang w:val="es-ES_tradnl"/>
        </w:rPr>
        <w:t>,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y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sobre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base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experiencia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adquirida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utilización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diferentes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formatos,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podrían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formular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recomendaciones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más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fundamentadas</w:t>
      </w:r>
      <w:r w:rsidR="000B0A91">
        <w:rPr>
          <w:lang w:val="es-ES_tradnl"/>
        </w:rPr>
        <w:t xml:space="preserve"> </w:t>
      </w:r>
      <w:r w:rsidR="003F085F" w:rsidRPr="00C463CE">
        <w:rPr>
          <w:lang w:val="es-ES_tradnl"/>
        </w:rPr>
        <w:t>sobre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elementos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más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útiles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cada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formato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con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miras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utilización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un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formato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uniforme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por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todas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oficinas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en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el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futuro</w:t>
      </w:r>
      <w:r w:rsidRPr="00C463CE">
        <w:rPr>
          <w:lang w:val="es-ES_tradnl"/>
        </w:rPr>
        <w:t>;</w:t>
      </w:r>
      <w:r w:rsidR="000B0A91">
        <w:rPr>
          <w:lang w:val="es-ES_tradnl"/>
        </w:rPr>
        <w:t xml:space="preserve">  </w:t>
      </w:r>
      <w:r w:rsidRPr="00C463CE">
        <w:rPr>
          <w:lang w:val="es-ES_tradnl"/>
        </w:rPr>
        <w:t>y</w:t>
      </w:r>
    </w:p>
    <w:p w:rsidR="00404B91" w:rsidRPr="00C463CE" w:rsidRDefault="00404B91" w:rsidP="001D5232">
      <w:pPr>
        <w:keepLines/>
        <w:widowControl w:val="0"/>
        <w:spacing w:after="220"/>
        <w:ind w:left="567"/>
        <w:rPr>
          <w:lang w:val="es-ES_tradnl"/>
        </w:rPr>
      </w:pPr>
      <w:r w:rsidRPr="00C463CE">
        <w:rPr>
          <w:lang w:val="es-ES_tradnl"/>
        </w:rPr>
        <w:t>c)</w:t>
      </w:r>
      <w:r w:rsidRPr="00C463CE">
        <w:rPr>
          <w:lang w:val="es-ES_tradnl"/>
        </w:rPr>
        <w:tab/>
        <w:t>permitiría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poner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disposición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esa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informaci</w:t>
      </w:r>
      <w:r w:rsidR="00E85665" w:rsidRPr="00C463CE">
        <w:rPr>
          <w:lang w:val="es-ES_tradnl"/>
        </w:rPr>
        <w:t>ón</w:t>
      </w:r>
      <w:r w:rsidR="00B512E6" w:rsidRPr="00C463CE">
        <w:rPr>
          <w:lang w:val="es-ES_tradnl"/>
        </w:rPr>
        <w:t>,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y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al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mismo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tiempo</w:t>
      </w:r>
      <w:r w:rsidR="000B0A91">
        <w:rPr>
          <w:lang w:val="es-ES_tradnl"/>
        </w:rPr>
        <w:t xml:space="preserve"> </w:t>
      </w:r>
      <w:r w:rsidR="00B512E6" w:rsidRPr="00C463CE">
        <w:rPr>
          <w:lang w:val="es-ES_tradnl"/>
        </w:rPr>
        <w:t>disiparía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preocupaciones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expresadas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respecto</w:t>
      </w:r>
      <w:r w:rsidR="000B0A91">
        <w:rPr>
          <w:lang w:val="es-ES_tradnl"/>
        </w:rPr>
        <w:t xml:space="preserve"> </w:t>
      </w:r>
      <w:r w:rsidR="00FA238B" w:rsidRPr="00C463CE">
        <w:rPr>
          <w:lang w:val="es-ES_tradnl"/>
        </w:rPr>
        <w:t>de</w:t>
      </w:r>
      <w:r w:rsidRPr="00C463CE">
        <w:rPr>
          <w:lang w:val="es-ES_tradnl"/>
        </w:rPr>
        <w:t>l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tiempo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que</w:t>
      </w:r>
      <w:r w:rsidR="000B0A91">
        <w:rPr>
          <w:lang w:val="es-ES_tradnl"/>
        </w:rPr>
        <w:t xml:space="preserve"> </w:t>
      </w:r>
      <w:r w:rsidR="00E85665" w:rsidRPr="00C463CE">
        <w:rPr>
          <w:lang w:val="es-ES_tradnl"/>
        </w:rPr>
        <w:t>dedican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examinadores</w:t>
      </w:r>
      <w:r w:rsidR="000B0A91">
        <w:rPr>
          <w:lang w:val="es-ES_tradnl"/>
        </w:rPr>
        <w:t xml:space="preserve"> </w:t>
      </w:r>
      <w:r w:rsidR="0041604E">
        <w:rPr>
          <w:lang w:val="es-ES_tradnl"/>
        </w:rPr>
        <w:t>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formular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explicaciones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relativas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al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alcance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búsqueda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un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formato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distinto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al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que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utilizan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actualmente,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respondiendo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al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mismo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tiempo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preocupaciones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expresadas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respecto</w:t>
      </w:r>
      <w:r w:rsidR="000B0A91">
        <w:rPr>
          <w:lang w:val="es-ES_tradnl"/>
        </w:rPr>
        <w:t xml:space="preserve"> </w:t>
      </w:r>
      <w:r w:rsidR="00FA238B"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inversiones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necesarias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en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sistemas</w:t>
      </w:r>
      <w:r w:rsidR="000B0A91">
        <w:rPr>
          <w:lang w:val="es-ES_tradnl"/>
        </w:rPr>
        <w:t xml:space="preserve"> </w:t>
      </w:r>
      <w:r w:rsidR="00B512E6"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="00B512E6" w:rsidRPr="00C463CE">
        <w:rPr>
          <w:lang w:val="es-ES_tradnl"/>
        </w:rPr>
        <w:t>T.I.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para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integrar</w:t>
      </w:r>
      <w:r w:rsidR="000B0A91">
        <w:rPr>
          <w:lang w:val="es-ES_tradnl"/>
        </w:rPr>
        <w:t xml:space="preserve"> </w:t>
      </w:r>
      <w:r w:rsidR="00B512E6" w:rsidRPr="00C463CE">
        <w:rPr>
          <w:lang w:val="es-ES_tradnl"/>
        </w:rPr>
        <w:t>un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cambio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formato.</w:t>
      </w:r>
    </w:p>
    <w:p w:rsidR="00404B91" w:rsidRPr="00C463CE" w:rsidRDefault="00F95284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Después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haber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examinado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cuestión,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ha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recomendado</w:t>
      </w:r>
      <w:r w:rsidR="000B0A91">
        <w:rPr>
          <w:bCs/>
          <w:lang w:val="es-ES_tradnl"/>
        </w:rPr>
        <w:t xml:space="preserve"> </w:t>
      </w:r>
      <w:r w:rsidR="00633CE4" w:rsidRPr="00C463CE">
        <w:rPr>
          <w:bCs/>
          <w:lang w:val="es-ES_tradnl"/>
        </w:rPr>
        <w:t>“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subgrupo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reunión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internacionales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encargado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calidad</w:t>
      </w:r>
      <w:r w:rsidR="000B0A91">
        <w:rPr>
          <w:bCs/>
          <w:lang w:val="es-ES_tradnl"/>
        </w:rPr>
        <w:t xml:space="preserve"> </w:t>
      </w:r>
      <w:r w:rsidR="00633CE4" w:rsidRPr="00C463CE">
        <w:rPr>
          <w:bCs/>
          <w:lang w:val="es-ES_tradnl"/>
        </w:rPr>
        <w:t>siga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examinando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cuestión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concentrándose</w:t>
      </w:r>
      <w:r w:rsidR="000B0A91">
        <w:rPr>
          <w:bCs/>
          <w:lang w:val="es-ES_tradnl"/>
        </w:rPr>
        <w:t xml:space="preserve"> </w:t>
      </w:r>
      <w:r w:rsidR="00633CE4" w:rsidRPr="00C463CE">
        <w:rPr>
          <w:bCs/>
          <w:lang w:val="es-ES_tradnl"/>
        </w:rPr>
        <w:t>ante</w:t>
      </w:r>
      <w:r w:rsidR="000B0A91">
        <w:rPr>
          <w:bCs/>
          <w:lang w:val="es-ES_tradnl"/>
        </w:rPr>
        <w:t xml:space="preserve"> </w:t>
      </w:r>
      <w:r w:rsidR="00633CE4" w:rsidRPr="00C463CE">
        <w:rPr>
          <w:bCs/>
          <w:lang w:val="es-ES_tradnl"/>
        </w:rPr>
        <w:t>todo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elaboración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formato</w:t>
      </w:r>
      <w:r w:rsidR="000B0A91">
        <w:rPr>
          <w:bCs/>
          <w:lang w:val="es-ES_tradnl"/>
        </w:rPr>
        <w:t xml:space="preserve"> </w:t>
      </w:r>
      <w:r w:rsidR="00AF51EF" w:rsidRPr="00C463CE">
        <w:rPr>
          <w:bCs/>
          <w:lang w:val="es-ES_tradnl"/>
        </w:rPr>
        <w:t>uniforme</w:t>
      </w:r>
      <w:r w:rsidRPr="00C463CE">
        <w:rPr>
          <w:bCs/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065817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internacionales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compartan</w:t>
      </w:r>
      <w:r w:rsidR="000B0A91">
        <w:rPr>
          <w:bCs/>
          <w:lang w:val="es-ES_tradnl"/>
        </w:rPr>
        <w:t xml:space="preserve"> </w:t>
      </w:r>
      <w:r w:rsidR="00633CE4" w:rsidRPr="00C463CE">
        <w:rPr>
          <w:bCs/>
          <w:lang w:val="es-ES_tradnl"/>
        </w:rPr>
        <w:t>información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sobre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formatos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estrategia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búsqueda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para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contribuir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al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avance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los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trabajos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lo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más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rápidamente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posible</w:t>
      </w:r>
      <w:r w:rsidR="00633CE4" w:rsidRPr="00C463CE">
        <w:rPr>
          <w:bCs/>
          <w:lang w:val="es-ES_tradnl"/>
        </w:rPr>
        <w:t>”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(véase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="00826D73" w:rsidRPr="00C463CE">
        <w:rPr>
          <w:bCs/>
          <w:lang w:val="es-ES_tradnl"/>
        </w:rPr>
        <w:t>párrafo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39</w:t>
      </w:r>
      <w:r w:rsidR="000B0A91">
        <w:rPr>
          <w:lang w:val="es-ES_tradnl"/>
        </w:rPr>
        <w:t xml:space="preserve"> </w:t>
      </w:r>
      <w:r w:rsidR="00826D73" w:rsidRPr="00C463CE">
        <w:rPr>
          <w:lang w:val="es-ES_tradnl"/>
        </w:rPr>
        <w:t>del</w:t>
      </w:r>
      <w:r w:rsidR="000B0A91">
        <w:rPr>
          <w:lang w:val="es-ES_tradnl"/>
        </w:rPr>
        <w:t xml:space="preserve"> </w:t>
      </w:r>
      <w:r w:rsidR="00826D73" w:rsidRPr="00C463CE">
        <w:rPr>
          <w:lang w:val="es-ES_tradnl"/>
        </w:rPr>
        <w:t>documento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PCT/WG/6/23)</w:t>
      </w:r>
      <w:r w:rsidR="00404B91" w:rsidRPr="00C463CE">
        <w:rPr>
          <w:bCs/>
          <w:lang w:val="es-ES_tradnl"/>
        </w:rPr>
        <w:t>.</w:t>
      </w:r>
    </w:p>
    <w:p w:rsidR="00404B91" w:rsidRPr="00C463CE" w:rsidRDefault="00826D73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última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reunión,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065817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acordaron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realizar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proyecto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piloto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marco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intercambiarían</w:t>
      </w:r>
      <w:r w:rsidR="000B0A91">
        <w:rPr>
          <w:bCs/>
          <w:lang w:val="es-ES_tradnl"/>
        </w:rPr>
        <w:t xml:space="preserve"> </w:t>
      </w:r>
      <w:r w:rsidR="00AF51EF" w:rsidRPr="00C463CE">
        <w:rPr>
          <w:bCs/>
          <w:lang w:val="es-ES_tradnl"/>
        </w:rPr>
        <w:t>información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limitada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sobre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búsqueda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formato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OEP</w:t>
      </w:r>
      <w:r w:rsidR="00404B91" w:rsidRPr="00C463CE">
        <w:rPr>
          <w:bCs/>
          <w:lang w:val="es-ES_tradnl"/>
        </w:rPr>
        <w:t>.</w:t>
      </w:r>
      <w:r w:rsidR="000B0A91">
        <w:rPr>
          <w:bCs/>
          <w:lang w:val="es-ES_tradnl"/>
        </w:rPr>
        <w:t xml:space="preserve"> </w:t>
      </w:r>
    </w:p>
    <w:p w:rsidR="00404B91" w:rsidRPr="00C463CE" w:rsidRDefault="00826D73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Los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Estados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Unidos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América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Reino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Unido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siguen</w:t>
      </w:r>
      <w:r w:rsidR="000B0A91">
        <w:rPr>
          <w:bCs/>
          <w:lang w:val="es-ES_tradnl"/>
        </w:rPr>
        <w:t xml:space="preserve"> </w:t>
      </w:r>
      <w:r w:rsidR="00AF51EF" w:rsidRPr="00C463CE">
        <w:rPr>
          <w:bCs/>
          <w:lang w:val="es-ES_tradnl"/>
        </w:rPr>
        <w:t>considerando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razones</w:t>
      </w:r>
      <w:r w:rsidR="000B0A91">
        <w:rPr>
          <w:bCs/>
          <w:lang w:val="es-ES_tradnl"/>
        </w:rPr>
        <w:t xml:space="preserve"> </w:t>
      </w:r>
      <w:r w:rsidR="0041604E">
        <w:rPr>
          <w:bCs/>
          <w:lang w:val="es-ES_tradnl"/>
        </w:rPr>
        <w:t>expuestas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párrafo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26,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comunicación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estrategias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búsqueda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065817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debería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obligatori</w:t>
      </w:r>
      <w:r w:rsidR="00A920AE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.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Sin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embargo,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teniendo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cuenta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proyecto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piloto</w:t>
      </w:r>
      <w:r w:rsidR="000B0A91">
        <w:rPr>
          <w:bCs/>
          <w:lang w:val="es-ES_tradnl"/>
        </w:rPr>
        <w:t xml:space="preserve"> </w:t>
      </w:r>
      <w:r w:rsidR="00363985" w:rsidRPr="00C463CE">
        <w:rPr>
          <w:bCs/>
          <w:lang w:val="es-ES_tradnl"/>
        </w:rPr>
        <w:t>convenido</w:t>
      </w:r>
      <w:r w:rsidRPr="00C463CE">
        <w:rPr>
          <w:bCs/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no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presentaremos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ninguna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nueva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sobre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</w:t>
      </w:r>
      <w:r w:rsidR="00363985"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cuestión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etapa</w:t>
      </w:r>
      <w:r w:rsidR="00404B91" w:rsidRPr="00C463CE">
        <w:rPr>
          <w:bCs/>
          <w:lang w:val="es-ES_tradnl"/>
        </w:rPr>
        <w:t>.</w:t>
      </w:r>
    </w:p>
    <w:p w:rsidR="00404B91" w:rsidRPr="00C463CE" w:rsidRDefault="00F26E9D" w:rsidP="00E05026">
      <w:pPr>
        <w:widowControl w:val="0"/>
        <w:spacing w:before="240" w:after="60"/>
        <w:outlineLvl w:val="1"/>
        <w:rPr>
          <w:bCs/>
          <w:iCs/>
          <w:caps/>
          <w:szCs w:val="28"/>
          <w:lang w:val="es-ES_tradnl"/>
        </w:rPr>
      </w:pPr>
      <w:r w:rsidRPr="00C463CE">
        <w:rPr>
          <w:bCs/>
          <w:iCs/>
          <w:caps/>
          <w:szCs w:val="28"/>
          <w:lang w:val="es-ES_tradnl"/>
        </w:rPr>
        <w:t>COLABORACIÓN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FA2AC3">
        <w:rPr>
          <w:bCs/>
          <w:iCs/>
          <w:caps/>
          <w:szCs w:val="28"/>
          <w:lang w:val="es-ES_tradnl"/>
        </w:rPr>
        <w:t>BÚSQUEDA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2A0C9D">
        <w:rPr>
          <w:bCs/>
          <w:iCs/>
          <w:caps/>
          <w:szCs w:val="28"/>
          <w:lang w:val="es-ES_tradnl"/>
        </w:rPr>
        <w:t>(dos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2A0C9D">
        <w:rPr>
          <w:bCs/>
          <w:iCs/>
          <w:caps/>
          <w:szCs w:val="28"/>
          <w:lang w:val="es-ES_tradnl"/>
        </w:rPr>
        <w:t>o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2A0C9D">
        <w:rPr>
          <w:bCs/>
          <w:iCs/>
          <w:caps/>
          <w:szCs w:val="28"/>
          <w:lang w:val="es-ES_tradnl"/>
        </w:rPr>
        <w:t>más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826D73" w:rsidRPr="00C463CE">
        <w:rPr>
          <w:bCs/>
          <w:iCs/>
          <w:caps/>
          <w:szCs w:val="28"/>
          <w:lang w:val="es-ES_tradnl"/>
        </w:rPr>
        <w:t>OFICINAS</w:t>
      </w:r>
      <w:r w:rsidR="00404B91" w:rsidRPr="00C463CE">
        <w:rPr>
          <w:bCs/>
          <w:iCs/>
          <w:caps/>
          <w:szCs w:val="28"/>
          <w:lang w:val="es-ES_tradnl"/>
        </w:rPr>
        <w:t>),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531867" w:rsidRPr="00C463CE">
        <w:rPr>
          <w:bCs/>
          <w:iCs/>
          <w:caps/>
          <w:szCs w:val="28"/>
          <w:lang w:val="es-ES_tradnl"/>
        </w:rPr>
        <w:t>eliminación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826D73"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826D73"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826D73" w:rsidRPr="00C463CE">
        <w:rPr>
          <w:bCs/>
          <w:iCs/>
          <w:caps/>
          <w:szCs w:val="28"/>
          <w:lang w:val="es-ES_tradnl"/>
        </w:rPr>
        <w:t>BÚSQUEDA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826D73" w:rsidRPr="00C463CE">
        <w:rPr>
          <w:bCs/>
          <w:iCs/>
          <w:caps/>
          <w:szCs w:val="28"/>
          <w:lang w:val="es-ES_tradnl"/>
        </w:rPr>
        <w:t>INTERNACIONAL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826D73" w:rsidRPr="00C463CE">
        <w:rPr>
          <w:bCs/>
          <w:iCs/>
          <w:caps/>
          <w:szCs w:val="28"/>
          <w:lang w:val="es-ES_tradnl"/>
        </w:rPr>
        <w:t>SUPLEMENTARIA</w:t>
      </w:r>
    </w:p>
    <w:p w:rsidR="00404B91" w:rsidRPr="00C463CE" w:rsidRDefault="009B3A2B" w:rsidP="00E05026">
      <w:pPr>
        <w:pStyle w:val="ONUMFS"/>
        <w:widowControl w:val="0"/>
        <w:rPr>
          <w:bCs/>
          <w:lang w:val="es-ES_tradnl"/>
        </w:rPr>
      </w:pP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20/20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comprenden</w:t>
      </w:r>
      <w:r w:rsidR="000B0A91">
        <w:rPr>
          <w:snapToGrid w:val="0"/>
          <w:szCs w:val="24"/>
        </w:rPr>
        <w:t xml:space="preserve"> </w:t>
      </w:r>
      <w:r w:rsidR="00826D73"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examen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más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profundo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lo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="00F26E9D" w:rsidRPr="00C463CE">
        <w:rPr>
          <w:bCs/>
          <w:lang w:val="es-ES_tradnl"/>
        </w:rPr>
        <w:t>implica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colaboración</w:t>
      </w:r>
      <w:r w:rsidR="000B0A91">
        <w:rPr>
          <w:bCs/>
          <w:lang w:val="es-ES_tradnl"/>
        </w:rPr>
        <w:t xml:space="preserve"> </w:t>
      </w:r>
      <w:r w:rsidR="00F26E9D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F26E9D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F26E9D" w:rsidRPr="00C463CE">
        <w:rPr>
          <w:bCs/>
          <w:lang w:val="es-ES_tradnl"/>
        </w:rPr>
        <w:t>búsqueda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sin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ello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contener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propuestas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específicas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para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aplicación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esta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etapa.</w:t>
      </w:r>
    </w:p>
    <w:p w:rsidR="00404B91" w:rsidRPr="00C463CE" w:rsidRDefault="00826D73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Oficina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de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Patentes</w:t>
      </w:r>
      <w:r w:rsidR="000B0A91">
        <w:rPr>
          <w:bCs/>
          <w:szCs w:val="24"/>
          <w:lang w:val="es-ES_tradnl"/>
        </w:rPr>
        <w:t xml:space="preserve"> </w:t>
      </w:r>
      <w:r w:rsidR="00C617F9" w:rsidRPr="00C463CE">
        <w:rPr>
          <w:bCs/>
          <w:szCs w:val="24"/>
          <w:lang w:val="es-ES_tradnl"/>
        </w:rPr>
        <w:t>y</w:t>
      </w:r>
      <w:r w:rsidR="000B0A91">
        <w:rPr>
          <w:bCs/>
          <w:szCs w:val="24"/>
          <w:lang w:val="es-ES_tradnl"/>
        </w:rPr>
        <w:t xml:space="preserve"> </w:t>
      </w:r>
      <w:r w:rsidR="00C617F9" w:rsidRPr="00C463CE">
        <w:rPr>
          <w:bCs/>
          <w:szCs w:val="24"/>
          <w:lang w:val="es-ES_tradnl"/>
        </w:rPr>
        <w:t>Marcas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de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los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Estados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Unidos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de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América,</w:t>
      </w:r>
      <w:r w:rsidR="000B0A91">
        <w:rPr>
          <w:bCs/>
          <w:szCs w:val="24"/>
          <w:lang w:val="es-ES_tradnl"/>
        </w:rPr>
        <w:t xml:space="preserve"> </w:t>
      </w:r>
      <w:r w:rsidR="00C617F9" w:rsidRPr="00C463CE">
        <w:rPr>
          <w:bCs/>
          <w:szCs w:val="24"/>
          <w:lang w:val="es-ES_tradnl"/>
        </w:rPr>
        <w:t>la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lang w:val="es-ES_tradnl"/>
        </w:rPr>
        <w:t>Oficina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Europea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Patentes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Oficina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Coreana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Propiedad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Intelectual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han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participado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proyecto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piloto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6C0B12" w:rsidRPr="00C463CE">
        <w:rPr>
          <w:bCs/>
          <w:lang w:val="es-ES_tradnl"/>
        </w:rPr>
        <w:t>colaboración</w:t>
      </w:r>
      <w:r w:rsidR="000B0A91">
        <w:rPr>
          <w:bCs/>
          <w:lang w:val="es-ES_tradnl"/>
        </w:rPr>
        <w:t xml:space="preserve"> </w:t>
      </w:r>
      <w:r w:rsidR="006C0B12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6C0B12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búsqueda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="006C0B12"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examen</w:t>
      </w:r>
      <w:r w:rsidR="000B0A91">
        <w:rPr>
          <w:bCs/>
          <w:lang w:val="es-ES_tradnl"/>
        </w:rPr>
        <w:t xml:space="preserve"> </w:t>
      </w:r>
      <w:r w:rsidR="007B1071" w:rsidRPr="00C463CE">
        <w:rPr>
          <w:bCs/>
          <w:lang w:val="es-ES_tradnl"/>
        </w:rPr>
        <w:t>respecto</w:t>
      </w:r>
      <w:r w:rsidR="000B0A91">
        <w:rPr>
          <w:bCs/>
          <w:lang w:val="es-ES_tradnl"/>
        </w:rPr>
        <w:t xml:space="preserve"> </w:t>
      </w:r>
      <w:r w:rsidR="007B1071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solicitudes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presentadas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virtud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PCT.</w:t>
      </w:r>
      <w:r w:rsidR="000B0A91">
        <w:rPr>
          <w:bCs/>
          <w:lang w:val="es-ES_tradnl"/>
        </w:rPr>
        <w:t xml:space="preserve">  </w:t>
      </w:r>
      <w:r w:rsidR="00C617F9"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informe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sobre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Fase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II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proyecto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piloto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se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ha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presentado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sexta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reunión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C617F9"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PCT/WG/6/22.</w:t>
      </w:r>
      <w:r w:rsidR="000B0A91">
        <w:rPr>
          <w:bCs/>
          <w:lang w:val="es-ES_tradnl"/>
        </w:rPr>
        <w:t xml:space="preserve">  </w:t>
      </w:r>
    </w:p>
    <w:p w:rsidR="00404B91" w:rsidRPr="00C463CE" w:rsidRDefault="00C617F9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Desde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entonces,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varias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otras</w:t>
      </w:r>
      <w:r w:rsidR="000B0A91">
        <w:rPr>
          <w:bCs/>
          <w:lang w:val="es-ES_tradnl"/>
        </w:rPr>
        <w:t xml:space="preserve"> </w:t>
      </w:r>
      <w:r w:rsidR="00065817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deseaban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participar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tercera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fase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proyecto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iniciar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proyecto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piloto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distinto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han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establecido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contacto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con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tres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Administraciones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participantes</w:t>
      </w:r>
      <w:r w:rsidRPr="00C463CE">
        <w:rPr>
          <w:bCs/>
          <w:lang w:val="es-ES_tradnl"/>
        </w:rPr>
        <w:t>.</w:t>
      </w:r>
    </w:p>
    <w:p w:rsidR="00404B91" w:rsidRPr="00C463CE" w:rsidRDefault="00C617F9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oficinas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están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evaluando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viabilidad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proceder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tercera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fase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proyecto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piloto</w:t>
      </w:r>
      <w:r w:rsidR="00E47422" w:rsidRPr="00C463CE">
        <w:rPr>
          <w:bCs/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así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como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asociarse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otras</w:t>
      </w:r>
      <w:r w:rsidR="000B0A91">
        <w:rPr>
          <w:bCs/>
          <w:lang w:val="es-ES_tradnl"/>
        </w:rPr>
        <w:t xml:space="preserve"> </w:t>
      </w:r>
      <w:r w:rsidR="00065817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ejecutar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proyecto</w:t>
      </w:r>
      <w:r w:rsidR="00E47422" w:rsidRPr="00C463CE">
        <w:rPr>
          <w:bCs/>
          <w:lang w:val="es-ES_tradnl"/>
        </w:rPr>
        <w:t>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piloto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adicionales</w:t>
      </w:r>
      <w:r w:rsidR="00E47422" w:rsidRPr="00C463CE">
        <w:rPr>
          <w:bCs/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mantendrán</w:t>
      </w:r>
      <w:r w:rsidR="000B0A91">
        <w:rPr>
          <w:bCs/>
          <w:lang w:val="es-ES_tradnl"/>
        </w:rPr>
        <w:t xml:space="preserve"> </w:t>
      </w:r>
      <w:r w:rsidR="00E47422" w:rsidRPr="00C463CE">
        <w:rPr>
          <w:bCs/>
          <w:lang w:val="es-ES_tradnl"/>
        </w:rPr>
        <w:t>informado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sobre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evolución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situación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esfera.</w:t>
      </w:r>
    </w:p>
    <w:p w:rsidR="00404B91" w:rsidRPr="00C463CE" w:rsidRDefault="00065817" w:rsidP="00E05026">
      <w:pPr>
        <w:widowControl w:val="0"/>
        <w:spacing w:before="240" w:after="60"/>
        <w:outlineLvl w:val="1"/>
        <w:rPr>
          <w:bCs/>
          <w:iCs/>
          <w:caps/>
          <w:szCs w:val="28"/>
          <w:lang w:val="es-ES_tradnl"/>
        </w:rPr>
      </w:pPr>
      <w:r w:rsidRPr="00C463CE">
        <w:rPr>
          <w:bCs/>
          <w:iCs/>
          <w:caps/>
          <w:szCs w:val="28"/>
          <w:lang w:val="es-ES_tradnl"/>
        </w:rPr>
        <w:t>búsquedas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C617F9" w:rsidRPr="00C463CE">
        <w:rPr>
          <w:bCs/>
          <w:iCs/>
          <w:caps/>
          <w:szCs w:val="28"/>
          <w:lang w:val="es-ES_tradnl"/>
        </w:rPr>
        <w:t>complementarias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C617F9" w:rsidRPr="00C463CE">
        <w:rPr>
          <w:bCs/>
          <w:iCs/>
          <w:caps/>
          <w:szCs w:val="28"/>
          <w:lang w:val="es-ES_tradnl"/>
        </w:rPr>
        <w:t>obligatorias</w:t>
      </w:r>
    </w:p>
    <w:p w:rsidR="00404B91" w:rsidRPr="00C463CE" w:rsidRDefault="00ED34D0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="000C235E" w:rsidRPr="00C463CE">
        <w:rPr>
          <w:bCs/>
          <w:lang w:val="es-ES_tradnl"/>
        </w:rPr>
        <w:t>de</w:t>
      </w:r>
      <w:r w:rsidRPr="00C463CE">
        <w:rPr>
          <w:bCs/>
          <w:lang w:val="es-ES_tradnl"/>
        </w:rPr>
        <w:t>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lang w:val="es-ES_tradnl"/>
        </w:rPr>
        <w:t>20</w:t>
      </w:r>
      <w:r w:rsidR="00404B91" w:rsidRPr="00C463CE">
        <w:rPr>
          <w:bCs/>
          <w:lang w:val="es-ES_tradnl"/>
        </w:rPr>
        <w:t>/20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ha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objeto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distinta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sexta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reunión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PCT/WG/6/18.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concreto,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PCT/WG/6/18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contenía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propuestas</w:t>
      </w:r>
      <w:r w:rsidR="000B0A91">
        <w:rPr>
          <w:bCs/>
          <w:lang w:val="es-ES_tradnl"/>
        </w:rPr>
        <w:t xml:space="preserve"> </w:t>
      </w:r>
      <w:r w:rsidR="00707B6D" w:rsidRPr="00C463CE">
        <w:rPr>
          <w:bCs/>
          <w:lang w:val="es-ES_tradnl"/>
        </w:rPr>
        <w:t>específicas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destinadas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modificar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Reglamento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PCT,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instrucciones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administrativas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directivas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relativas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búsqueda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lastRenderedPageBreak/>
        <w:t>internacional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examen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preliminar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internacional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según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modo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búsquedas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complementarias</w:t>
      </w:r>
      <w:r w:rsidR="000B0A91">
        <w:rPr>
          <w:bCs/>
          <w:lang w:val="es-ES_tradnl"/>
        </w:rPr>
        <w:t xml:space="preserve"> </w:t>
      </w:r>
      <w:r w:rsidR="00707B6D" w:rsidRPr="00C463CE">
        <w:rPr>
          <w:bCs/>
          <w:lang w:val="es-ES_tradnl"/>
        </w:rPr>
        <w:t>constituyan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parte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obligatoria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707B6D" w:rsidRPr="00C463CE">
        <w:rPr>
          <w:bCs/>
          <w:lang w:val="es-ES_tradnl"/>
        </w:rPr>
        <w:t>procedimiento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examen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según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Capítulo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II.</w:t>
      </w:r>
      <w:r w:rsidR="000B0A91">
        <w:rPr>
          <w:bCs/>
          <w:lang w:val="es-ES_tradnl"/>
        </w:rPr>
        <w:t xml:space="preserve"> </w:t>
      </w:r>
    </w:p>
    <w:p w:rsidR="00404B91" w:rsidRPr="00C463CE" w:rsidRDefault="00ED34D0" w:rsidP="001D5232">
      <w:pPr>
        <w:pStyle w:val="ONUMFS"/>
        <w:keepLines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aprobada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adoptada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Asamblea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cuadragésima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cuarta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sesión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celebrada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septiembre</w:t>
      </w:r>
      <w:r w:rsidR="00404B91" w:rsidRPr="00C463CE">
        <w:rPr>
          <w:bCs/>
          <w:lang w:val="es-ES_tradnl"/>
        </w:rPr>
        <w:noBreakHyphen/>
      </w:r>
      <w:r w:rsidRPr="00C463CE">
        <w:rPr>
          <w:bCs/>
          <w:lang w:val="es-ES_tradnl"/>
        </w:rPr>
        <w:t>octubre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2013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lang w:val="es-ES_tradnl"/>
        </w:rPr>
        <w:t>(</w:t>
      </w:r>
      <w:r w:rsidRPr="00C463CE">
        <w:rPr>
          <w:lang w:val="es-ES_tradnl"/>
        </w:rPr>
        <w:t>véanse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los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párrafos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25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a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30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del</w:t>
      </w:r>
      <w:r w:rsidR="000B0A91">
        <w:rPr>
          <w:lang w:val="es-ES_tradnl"/>
        </w:rPr>
        <w:t xml:space="preserve"> </w:t>
      </w:r>
      <w:r w:rsidRPr="00C463CE">
        <w:rPr>
          <w:lang w:val="es-ES_tradnl"/>
        </w:rPr>
        <w:t>documento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PCT/A/44/5)</w:t>
      </w:r>
      <w:r w:rsidR="00404B91" w:rsidRPr="00C463CE">
        <w:rPr>
          <w:bCs/>
          <w:lang w:val="es-ES_tradnl"/>
        </w:rPr>
        <w:t>.</w:t>
      </w:r>
    </w:p>
    <w:p w:rsidR="00404B91" w:rsidRPr="00C463CE" w:rsidRDefault="00ED34D0" w:rsidP="00E05026">
      <w:pPr>
        <w:widowControl w:val="0"/>
        <w:spacing w:before="240" w:after="60"/>
        <w:outlineLvl w:val="1"/>
        <w:rPr>
          <w:bCs/>
          <w:iCs/>
          <w:caps/>
          <w:szCs w:val="28"/>
          <w:lang w:val="es-ES_tradnl"/>
        </w:rPr>
      </w:pPr>
      <w:r w:rsidRPr="00C463CE">
        <w:rPr>
          <w:bCs/>
          <w:iCs/>
          <w:caps/>
          <w:szCs w:val="28"/>
          <w:lang w:val="es-ES_tradnl"/>
        </w:rPr>
        <w:t>elaboración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y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aplicación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707B6D" w:rsidRPr="00C463CE">
        <w:rPr>
          <w:bCs/>
          <w:iCs/>
          <w:caps/>
          <w:szCs w:val="28"/>
          <w:lang w:val="es-ES_tradnl"/>
        </w:rPr>
        <w:t>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707B6D" w:rsidRPr="00C463CE">
        <w:rPr>
          <w:bCs/>
          <w:iCs/>
          <w:caps/>
          <w:szCs w:val="28"/>
          <w:lang w:val="es-ES_tradnl"/>
        </w:rPr>
        <w:t>sistema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707B6D" w:rsidRPr="00C463CE">
        <w:rPr>
          <w:bCs/>
          <w:iCs/>
          <w:caps/>
          <w:szCs w:val="28"/>
          <w:lang w:val="es-ES_tradnl"/>
        </w:rPr>
        <w:t>global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707B6D" w:rsidRPr="00C463CE">
        <w:rPr>
          <w:bCs/>
          <w:iCs/>
          <w:caps/>
          <w:szCs w:val="28"/>
          <w:lang w:val="es-ES_tradnl"/>
        </w:rPr>
        <w:t>dossier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6B1C22">
        <w:rPr>
          <w:bCs/>
          <w:iCs/>
          <w:caps/>
          <w:szCs w:val="28"/>
          <w:lang w:val="es-ES_tradnl"/>
        </w:rPr>
        <w:t>y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6B1C22">
        <w:rPr>
          <w:bCs/>
          <w:iCs/>
          <w:caps/>
          <w:szCs w:val="28"/>
          <w:lang w:val="es-ES_tradnl"/>
        </w:rPr>
        <w:t>su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integración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404B91" w:rsidRPr="00C463CE">
        <w:rPr>
          <w:bCs/>
          <w:iCs/>
          <w:caps/>
          <w:szCs w:val="28"/>
          <w:lang w:val="es-ES_tradnl"/>
        </w:rPr>
        <w:t>PCT</w:t>
      </w:r>
    </w:p>
    <w:p w:rsidR="00404B91" w:rsidRPr="00C463CE" w:rsidRDefault="009B3A2B" w:rsidP="00E05026">
      <w:pPr>
        <w:pStyle w:val="ONUMFS"/>
        <w:widowControl w:val="0"/>
        <w:rPr>
          <w:lang w:val="es-ES_tradnl"/>
        </w:rPr>
      </w:pPr>
      <w:r w:rsidRPr="00C463CE">
        <w:rPr>
          <w:snapToGrid w:val="0"/>
          <w:szCs w:val="24"/>
        </w:rPr>
        <w:t>Las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  <w:szCs w:val="24"/>
        </w:rPr>
        <w:t>propuestas</w:t>
      </w:r>
      <w:r w:rsidR="000B0A91">
        <w:rPr>
          <w:snapToGrid w:val="0"/>
          <w:szCs w:val="24"/>
        </w:rPr>
        <w:t xml:space="preserve"> </w:t>
      </w:r>
      <w:r w:rsidRPr="00C463CE">
        <w:rPr>
          <w:snapToGrid w:val="0"/>
        </w:rPr>
        <w:t>más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detalladas</w:t>
      </w:r>
      <w:r w:rsidR="000B0A91">
        <w:rPr>
          <w:snapToGrid w:val="0"/>
        </w:rPr>
        <w:t xml:space="preserve"> </w:t>
      </w:r>
      <w:r w:rsidRPr="00C463CE">
        <w:rPr>
          <w:snapToGrid w:val="0"/>
        </w:rPr>
        <w:t>del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PCT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20/20</w:t>
      </w:r>
      <w:r w:rsidR="000B0A91">
        <w:rPr>
          <w:snapToGrid w:val="0"/>
          <w:szCs w:val="24"/>
        </w:rPr>
        <w:t xml:space="preserve"> </w:t>
      </w:r>
      <w:r w:rsidR="001551EE">
        <w:rPr>
          <w:snapToGrid w:val="0"/>
          <w:szCs w:val="24"/>
        </w:rPr>
        <w:t>comprenden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un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examen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más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profundo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lo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que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implica</w:t>
      </w:r>
      <w:r w:rsidR="000B0A91">
        <w:rPr>
          <w:lang w:val="es-ES_tradnl"/>
        </w:rPr>
        <w:t xml:space="preserve"> </w:t>
      </w:r>
      <w:r w:rsidR="00DD6595" w:rsidRPr="00C463CE">
        <w:rPr>
          <w:lang w:val="es-ES_tradnl"/>
        </w:rPr>
        <w:t>el</w:t>
      </w:r>
      <w:r w:rsidR="000B0A91">
        <w:rPr>
          <w:lang w:val="es-ES_tradnl"/>
        </w:rPr>
        <w:t xml:space="preserve"> </w:t>
      </w:r>
      <w:r w:rsidR="00DD6595" w:rsidRPr="00C463CE">
        <w:rPr>
          <w:lang w:val="es-ES_tradnl"/>
        </w:rPr>
        <w:t>sistema</w:t>
      </w:r>
      <w:r w:rsidR="000B0A91">
        <w:rPr>
          <w:lang w:val="es-ES_tradnl"/>
        </w:rPr>
        <w:t xml:space="preserve"> </w:t>
      </w:r>
      <w:r w:rsidR="0003796A" w:rsidRPr="00C463CE">
        <w:rPr>
          <w:lang w:val="es-ES_tradnl"/>
        </w:rPr>
        <w:t>Global</w:t>
      </w:r>
      <w:r w:rsidR="000B0A91">
        <w:rPr>
          <w:lang w:val="es-ES_tradnl"/>
        </w:rPr>
        <w:t xml:space="preserve"> </w:t>
      </w:r>
      <w:r w:rsidR="0003796A" w:rsidRPr="00C463CE">
        <w:rPr>
          <w:lang w:val="es-ES_tradnl"/>
        </w:rPr>
        <w:t>Dossier</w:t>
      </w:r>
      <w:r w:rsidR="00ED34D0" w:rsidRPr="00C463CE">
        <w:rPr>
          <w:lang w:val="es-ES_tradnl"/>
        </w:rPr>
        <w:t>,</w:t>
      </w:r>
      <w:r w:rsidR="000B0A91">
        <w:rPr>
          <w:lang w:val="es-ES_tradnl"/>
        </w:rPr>
        <w:t xml:space="preserve"> </w:t>
      </w:r>
      <w:r w:rsidR="00DD6595" w:rsidRPr="00C463CE">
        <w:rPr>
          <w:lang w:val="es-ES_tradnl"/>
        </w:rPr>
        <w:t>pero</w:t>
      </w:r>
      <w:r w:rsidR="000B0A91">
        <w:rPr>
          <w:lang w:val="es-ES_tradnl"/>
        </w:rPr>
        <w:t xml:space="preserve"> </w:t>
      </w:r>
      <w:r w:rsidR="00DD6595" w:rsidRPr="00C463CE">
        <w:rPr>
          <w:lang w:val="es-ES_tradnl"/>
        </w:rPr>
        <w:t>no</w:t>
      </w:r>
      <w:r w:rsidR="000B0A91">
        <w:rPr>
          <w:lang w:val="es-ES_tradnl"/>
        </w:rPr>
        <w:t xml:space="preserve"> </w:t>
      </w:r>
      <w:r w:rsidR="00DD6595" w:rsidRPr="00C463CE">
        <w:rPr>
          <w:lang w:val="es-ES_tradnl"/>
        </w:rPr>
        <w:t>contienen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propuestas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específicas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sobre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su</w:t>
      </w:r>
      <w:r w:rsidR="000B0A91">
        <w:rPr>
          <w:lang w:val="es-ES_tradnl"/>
        </w:rPr>
        <w:t xml:space="preserve"> </w:t>
      </w:r>
      <w:r w:rsidR="00ED34D0" w:rsidRPr="00C463CE">
        <w:rPr>
          <w:lang w:val="es-ES_tradnl"/>
        </w:rPr>
        <w:t>aplicación.</w:t>
      </w:r>
    </w:p>
    <w:p w:rsidR="00404B91" w:rsidRPr="00C463CE" w:rsidRDefault="00ED34D0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general,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Estados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miembros,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065817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usuarios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indicaron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acogían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favorablemente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apoyaban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noción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10319" w:rsidRPr="00C463CE">
        <w:rPr>
          <w:bCs/>
          <w:lang w:val="es-ES_tradnl"/>
        </w:rPr>
        <w:t>l</w:t>
      </w:r>
      <w:r w:rsidR="000B0A91">
        <w:rPr>
          <w:bCs/>
          <w:lang w:val="es-ES_tradnl"/>
        </w:rPr>
        <w:t xml:space="preserve"> </w:t>
      </w:r>
      <w:r w:rsidR="00010319" w:rsidRPr="00C463CE">
        <w:rPr>
          <w:bCs/>
          <w:lang w:val="es-ES_tradnl"/>
        </w:rPr>
        <w:t>sistema</w:t>
      </w:r>
      <w:r w:rsidR="000B0A91">
        <w:rPr>
          <w:bCs/>
          <w:lang w:val="es-ES_tradnl"/>
        </w:rPr>
        <w:t xml:space="preserve"> </w:t>
      </w:r>
      <w:r w:rsidR="0003796A" w:rsidRPr="00C463CE">
        <w:rPr>
          <w:lang w:val="es-ES_tradnl"/>
        </w:rPr>
        <w:t>Global</w:t>
      </w:r>
      <w:r w:rsidR="000B0A91">
        <w:rPr>
          <w:lang w:val="es-ES_tradnl"/>
        </w:rPr>
        <w:t xml:space="preserve"> </w:t>
      </w:r>
      <w:r w:rsidR="0003796A" w:rsidRPr="00C463CE">
        <w:rPr>
          <w:lang w:val="es-ES_tradnl"/>
        </w:rPr>
        <w:t>Dossier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esperaban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interés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elaboración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planes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más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precisos.</w:t>
      </w:r>
    </w:p>
    <w:p w:rsidR="00ED34D0" w:rsidRPr="00C463CE" w:rsidRDefault="00ED34D0" w:rsidP="00010319">
      <w:pPr>
        <w:pStyle w:val="ONUMFS"/>
        <w:widowControl w:val="0"/>
        <w:tabs>
          <w:tab w:val="left" w:pos="4410"/>
        </w:tabs>
        <w:rPr>
          <w:bCs/>
          <w:lang w:val="es-ES_tradnl"/>
        </w:rPr>
      </w:pPr>
      <w:r w:rsidRPr="00C463CE">
        <w:rPr>
          <w:bCs/>
          <w:lang w:val="es-ES_tradnl"/>
        </w:rPr>
        <w:t>Seguimos</w:t>
      </w:r>
      <w:r w:rsidR="000B0A91">
        <w:rPr>
          <w:bCs/>
          <w:lang w:val="es-ES_tradnl"/>
        </w:rPr>
        <w:t xml:space="preserve"> </w:t>
      </w:r>
      <w:r w:rsidR="005E1097" w:rsidRPr="00C463CE">
        <w:rPr>
          <w:bCs/>
          <w:lang w:val="es-ES_tradnl"/>
        </w:rPr>
        <w:t>considerando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="00010319"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="00010319" w:rsidRPr="00C463CE">
        <w:rPr>
          <w:bCs/>
          <w:lang w:val="es-ES_tradnl"/>
        </w:rPr>
        <w:t>sistema</w:t>
      </w:r>
      <w:r w:rsidR="000B0A91">
        <w:rPr>
          <w:lang w:val="es-ES_tradnl"/>
        </w:rPr>
        <w:t xml:space="preserve"> </w:t>
      </w:r>
      <w:r w:rsidR="0003796A" w:rsidRPr="00C463CE">
        <w:rPr>
          <w:lang w:val="es-ES_tradnl"/>
        </w:rPr>
        <w:t>Global</w:t>
      </w:r>
      <w:r w:rsidR="000B0A91">
        <w:rPr>
          <w:lang w:val="es-ES_tradnl"/>
        </w:rPr>
        <w:t xml:space="preserve"> </w:t>
      </w:r>
      <w:r w:rsidR="0003796A" w:rsidRPr="00C463CE">
        <w:rPr>
          <w:lang w:val="es-ES_tradnl"/>
        </w:rPr>
        <w:t>Dossier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presentará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particular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siguientes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ventajas: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facilitación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solicitudes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cruzadas;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portal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único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gestión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solicitudes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cruzadas;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supresión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necesidad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documentos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idénticos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varias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oficinas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(</w:t>
      </w:r>
      <w:r w:rsidR="006C35BA" w:rsidRPr="00C463CE">
        <w:rPr>
          <w:bCs/>
          <w:lang w:val="es-ES_tradnl"/>
        </w:rPr>
        <w:t>documentos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prioridad,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citas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sobre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estado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técnica,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etc.);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reducción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costos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gracias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utilización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herramientas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modernas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traducción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automática.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Ofrecerá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oficinas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propiedad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intelectual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posibilidades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enormes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repartir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65817" w:rsidRPr="00C463CE">
        <w:rPr>
          <w:bCs/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no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sólo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medio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intercambio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información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sino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también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mediante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colaboración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entre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examinadores</w:t>
      </w:r>
      <w:r w:rsidR="006C35BA" w:rsidRPr="00C463CE">
        <w:rPr>
          <w:bCs/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todas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actividades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ayudan</w:t>
      </w:r>
      <w:r w:rsidR="000B0A91">
        <w:rPr>
          <w:bCs/>
          <w:lang w:val="es-ES_tradnl"/>
        </w:rPr>
        <w:t xml:space="preserve"> </w:t>
      </w:r>
      <w:r w:rsidR="006C35BA"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mejorar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calidad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patentes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nivel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mundial.</w:t>
      </w:r>
    </w:p>
    <w:p w:rsidR="00CA5E12" w:rsidRPr="00C463CE" w:rsidRDefault="00ED34D0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colaboración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</w:t>
      </w:r>
      <w:r w:rsidR="000B0A91">
        <w:rPr>
          <w:bCs/>
          <w:lang w:val="es-ES_tradnl"/>
        </w:rPr>
        <w:t xml:space="preserve"> </w:t>
      </w:r>
      <w:r w:rsidR="005C6254"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5C6254" w:rsidRPr="00C463CE">
        <w:rPr>
          <w:bCs/>
          <w:lang w:val="es-ES_tradnl"/>
        </w:rPr>
        <w:t>Oficinas</w:t>
      </w:r>
      <w:r w:rsidR="000B0A91">
        <w:rPr>
          <w:bCs/>
          <w:lang w:val="es-ES_tradnl"/>
        </w:rPr>
        <w:t xml:space="preserve"> </w:t>
      </w:r>
      <w:r w:rsidR="005C6254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5C6254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5C6254" w:rsidRPr="00C463CE">
        <w:rPr>
          <w:bCs/>
          <w:lang w:val="es-ES_tradnl"/>
        </w:rPr>
        <w:t>Cooperación</w:t>
      </w:r>
      <w:r w:rsidR="000B0A91">
        <w:rPr>
          <w:bCs/>
          <w:lang w:val="es-ES_tradnl"/>
        </w:rPr>
        <w:t xml:space="preserve"> </w:t>
      </w:r>
      <w:r w:rsidR="005C6254" w:rsidRPr="00C463CE">
        <w:rPr>
          <w:bCs/>
          <w:lang w:val="es-ES_tradnl"/>
        </w:rPr>
        <w:t>Pentalateral</w:t>
      </w:r>
      <w:r w:rsidR="000B0A91">
        <w:rPr>
          <w:bCs/>
          <w:lang w:val="es-ES_tradnl"/>
        </w:rPr>
        <w:t xml:space="preserve"> </w:t>
      </w:r>
      <w:r w:rsidR="005C6254" w:rsidRPr="00C463CE">
        <w:rPr>
          <w:bCs/>
          <w:lang w:val="es-ES_tradnl"/>
        </w:rPr>
        <w:t>(</w:t>
      </w:r>
      <w:r w:rsidR="00404B91" w:rsidRPr="00C463CE">
        <w:rPr>
          <w:bCs/>
          <w:lang w:val="es-ES_tradnl"/>
        </w:rPr>
        <w:t>IP5</w:t>
      </w:r>
      <w:r w:rsidR="005C6254" w:rsidRPr="00C463CE">
        <w:rPr>
          <w:bCs/>
          <w:lang w:val="es-ES_tradnl"/>
        </w:rPr>
        <w:t>),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teniendo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cuenta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vínculo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Sistema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ePCT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OMPI,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lang w:val="es-ES_tradnl"/>
        </w:rPr>
        <w:t>USPTO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sigue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perfeccionando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sistema</w:t>
      </w:r>
      <w:r w:rsidR="000B0A91">
        <w:rPr>
          <w:bCs/>
          <w:lang w:val="es-ES_tradnl"/>
        </w:rPr>
        <w:t xml:space="preserve"> </w:t>
      </w:r>
      <w:r w:rsidR="0003796A" w:rsidRPr="00C463CE">
        <w:rPr>
          <w:lang w:val="es-ES_tradnl"/>
        </w:rPr>
        <w:t>Global</w:t>
      </w:r>
      <w:r w:rsidR="000B0A91">
        <w:rPr>
          <w:lang w:val="es-ES_tradnl"/>
        </w:rPr>
        <w:t xml:space="preserve"> </w:t>
      </w:r>
      <w:r w:rsidR="0003796A" w:rsidRPr="00C463CE">
        <w:rPr>
          <w:lang w:val="es-ES_tradnl"/>
        </w:rPr>
        <w:t>Dossier</w:t>
      </w:r>
      <w:r w:rsidR="00771BF2" w:rsidRPr="00C463CE">
        <w:rPr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tiene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intención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presentar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más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concreta</w:t>
      </w:r>
      <w:r w:rsidR="000B0A91">
        <w:rPr>
          <w:bCs/>
          <w:lang w:val="es-ES_tradnl"/>
        </w:rPr>
        <w:t xml:space="preserve"> </w:t>
      </w:r>
      <w:r w:rsidR="00771BF2" w:rsidRPr="00C463CE">
        <w:rPr>
          <w:bCs/>
          <w:lang w:val="es-ES_tradnl"/>
        </w:rPr>
        <w:t>sobre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incorporación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al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sistema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futura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reunión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CA5E12" w:rsidRPr="00C463CE">
        <w:rPr>
          <w:bCs/>
          <w:lang w:val="es-ES_tradnl"/>
        </w:rPr>
        <w:t>Trabajo</w:t>
      </w:r>
    </w:p>
    <w:p w:rsidR="00404B91" w:rsidRPr="00C463CE" w:rsidRDefault="00CA5E12" w:rsidP="00E05026">
      <w:pPr>
        <w:widowControl w:val="0"/>
        <w:spacing w:before="240" w:after="60"/>
        <w:outlineLvl w:val="1"/>
        <w:rPr>
          <w:bCs/>
          <w:iCs/>
          <w:caps/>
          <w:szCs w:val="28"/>
          <w:lang w:val="es-ES_tradnl"/>
        </w:rPr>
      </w:pPr>
      <w:r w:rsidRPr="00C463CE">
        <w:rPr>
          <w:bCs/>
          <w:iCs/>
          <w:caps/>
          <w:szCs w:val="28"/>
          <w:lang w:val="es-ES_tradnl"/>
        </w:rPr>
        <w:t>INTEGRACIÓN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oficial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procedimiento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acelerado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examen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solicitudes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patente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PCT,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procedimiento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acelerado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para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SOLICITUDES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que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entra</w:t>
      </w:r>
      <w:r w:rsidR="002773A8" w:rsidRPr="00C463CE">
        <w:rPr>
          <w:bCs/>
          <w:iCs/>
          <w:caps/>
          <w:szCs w:val="28"/>
          <w:lang w:val="es-ES_tradnl"/>
        </w:rPr>
        <w:t>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fase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nacional,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y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mejora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reutilización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trabajo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PCT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fase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nacional</w:t>
      </w:r>
    </w:p>
    <w:p w:rsidR="00404B91" w:rsidRPr="00C463CE" w:rsidRDefault="00CA5E12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sexta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reunión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presentó</w:t>
      </w:r>
      <w:r w:rsidR="000B0A91">
        <w:rPr>
          <w:bCs/>
          <w:lang w:val="es-ES_tradnl"/>
        </w:rPr>
        <w:t xml:space="preserve"> </w:t>
      </w:r>
      <w:r w:rsidR="00E66FD0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E66FD0"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="00E66FD0"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="00E66FD0" w:rsidRPr="00C463CE">
        <w:rPr>
          <w:bCs/>
          <w:lang w:val="es-ES_tradnl"/>
        </w:rPr>
        <w:t>PCT/WG/6/17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específica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referente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integración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oficial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PPH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 </w:t>
      </w:r>
      <w:r w:rsidR="00404B91" w:rsidRPr="00C463CE">
        <w:rPr>
          <w:bCs/>
          <w:lang w:val="es-ES_tradnl"/>
        </w:rPr>
        <w:t>PCT.</w:t>
      </w:r>
    </w:p>
    <w:p w:rsidR="00404B91" w:rsidRPr="00C463CE" w:rsidRDefault="00CA5E12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Si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bien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expresaron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algunas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preocupaciones,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informe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indica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mayoría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delegaciones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hicieron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uso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palabra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manifestaron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cierto</w:t>
      </w:r>
      <w:r w:rsidR="000B0A91">
        <w:rPr>
          <w:bCs/>
          <w:lang w:val="es-ES_tradnl"/>
        </w:rPr>
        <w:t xml:space="preserve"> </w:t>
      </w:r>
      <w:r w:rsidR="00E66FD0" w:rsidRPr="00C463CE">
        <w:rPr>
          <w:bCs/>
          <w:lang w:val="es-ES_tradnl"/>
        </w:rPr>
        <w:t>grado</w:t>
      </w:r>
      <w:r w:rsidR="000B0A91">
        <w:rPr>
          <w:bCs/>
          <w:lang w:val="es-ES_tradnl"/>
        </w:rPr>
        <w:t xml:space="preserve"> </w:t>
      </w:r>
      <w:r w:rsidR="00E66FD0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apoyo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expresaron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voluntad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examinar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dirigidas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="00313D4F">
        <w:rPr>
          <w:bCs/>
          <w:lang w:val="es-ES_tradnl"/>
        </w:rPr>
        <w:t>responder</w:t>
      </w:r>
      <w:r w:rsidR="000B0A91">
        <w:rPr>
          <w:bCs/>
          <w:lang w:val="es-ES_tradnl"/>
        </w:rPr>
        <w:t xml:space="preserve"> </w:t>
      </w:r>
      <w:r w:rsidR="00313D4F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preocupaciones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expresadas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</w:t>
      </w:r>
      <w:r w:rsidR="00163CF0" w:rsidRPr="00C463CE">
        <w:rPr>
          <w:bCs/>
          <w:lang w:val="es-ES_tradnl"/>
        </w:rPr>
        <w:t>,</w:t>
      </w:r>
      <w:r w:rsidR="000B0A91">
        <w:rPr>
          <w:bCs/>
          <w:lang w:val="es-ES_tradnl"/>
        </w:rPr>
        <w:t xml:space="preserve"> </w:t>
      </w:r>
      <w:r w:rsidR="00163CF0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163CF0"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="00163CF0" w:rsidRPr="00C463CE">
        <w:rPr>
          <w:bCs/>
          <w:lang w:val="es-ES_tradnl"/>
        </w:rPr>
        <w:t>defecto,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indica</w:t>
      </w:r>
      <w:r w:rsidR="00163CF0" w:rsidRPr="00C463CE">
        <w:rPr>
          <w:bCs/>
          <w:lang w:val="es-ES_tradnl"/>
        </w:rPr>
        <w:t>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aprovecharían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A554DE">
        <w:rPr>
          <w:bCs/>
          <w:lang w:val="es-ES_tradnl"/>
        </w:rPr>
        <w:t>posibilidad</w:t>
      </w:r>
      <w:r w:rsidR="000B0A91">
        <w:rPr>
          <w:bCs/>
          <w:lang w:val="es-ES_tradnl"/>
        </w:rPr>
        <w:t xml:space="preserve"> </w:t>
      </w:r>
      <w:r w:rsidR="00A554D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notificación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incompatibilidad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propuesta.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Dos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delegaciones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manifestaron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oposición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directa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propuesta.</w:t>
      </w:r>
      <w:r w:rsidR="000B0A91">
        <w:rPr>
          <w:bCs/>
          <w:lang w:val="es-ES_tradnl"/>
        </w:rPr>
        <w:t xml:space="preserve">  </w:t>
      </w:r>
    </w:p>
    <w:p w:rsidR="00404B91" w:rsidRPr="00C463CE" w:rsidRDefault="00CA5E12" w:rsidP="00E05026">
      <w:pPr>
        <w:pStyle w:val="ONUMFS"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examinó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detenidamente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21</w:t>
      </w:r>
      <w:r w:rsidRPr="00C463CE">
        <w:rPr>
          <w:bCs/>
          <w:lang w:val="es-ES_tradnl"/>
        </w:rPr>
        <w:t>ª</w:t>
      </w:r>
      <w:r w:rsidR="000B0A91">
        <w:rPr>
          <w:bCs/>
          <w:lang w:val="es-ES_tradnl"/>
        </w:rPr>
        <w:t xml:space="preserve"> </w:t>
      </w:r>
      <w:r w:rsidR="00E5485F" w:rsidRPr="00C463CE">
        <w:rPr>
          <w:bCs/>
          <w:lang w:val="es-ES_tradnl"/>
        </w:rPr>
        <w:t>reunión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="00065817" w:rsidRPr="00C463CE">
        <w:rPr>
          <w:bCs/>
          <w:lang w:val="es-ES_tradnl"/>
        </w:rPr>
        <w:t>A</w:t>
      </w:r>
      <w:r w:rsidRPr="00C463CE">
        <w:rPr>
          <w:bCs/>
          <w:lang w:val="es-ES_tradnl"/>
        </w:rPr>
        <w:t>dministraciones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objeto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distinto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reunión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lang w:val="es-ES_tradnl"/>
        </w:rPr>
        <w:t>(</w:t>
      </w:r>
      <w:r w:rsidRPr="00C463CE">
        <w:rPr>
          <w:lang w:val="es-ES_tradnl"/>
        </w:rPr>
        <w:t>documento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PCT/WG/7/21)</w:t>
      </w:r>
      <w:r w:rsidR="00404B91" w:rsidRPr="00C463CE">
        <w:rPr>
          <w:bCs/>
          <w:lang w:val="es-ES_tradnl"/>
        </w:rPr>
        <w:t>.</w:t>
      </w:r>
    </w:p>
    <w:p w:rsidR="00CA5E12" w:rsidRPr="00C463CE" w:rsidRDefault="00CA5E12" w:rsidP="001D5232">
      <w:pPr>
        <w:keepNext/>
        <w:keepLines/>
        <w:widowControl w:val="0"/>
        <w:spacing w:before="240" w:after="60"/>
        <w:outlineLvl w:val="1"/>
        <w:rPr>
          <w:bCs/>
          <w:iCs/>
          <w:caps/>
          <w:szCs w:val="28"/>
          <w:lang w:val="es-ES_tradnl"/>
        </w:rPr>
      </w:pPr>
      <w:r w:rsidRPr="00C463CE">
        <w:rPr>
          <w:bCs/>
          <w:iCs/>
          <w:caps/>
          <w:szCs w:val="28"/>
          <w:lang w:val="es-ES_tradnl"/>
        </w:rPr>
        <w:lastRenderedPageBreak/>
        <w:t>puesta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disposición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opinión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escrita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ADMINISTRACIÓN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encargada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de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BÚSQUEDA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internacional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163CF0" w:rsidRPr="00C463CE">
        <w:rPr>
          <w:bCs/>
          <w:iCs/>
          <w:caps/>
          <w:szCs w:val="28"/>
          <w:lang w:val="es-ES_tradnl"/>
        </w:rPr>
        <w:t>TRAS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="00163CF0" w:rsidRPr="00C463CE">
        <w:rPr>
          <w:bCs/>
          <w:iCs/>
          <w:caps/>
          <w:szCs w:val="28"/>
          <w:lang w:val="es-ES_tradnl"/>
        </w:rPr>
        <w:t>LA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PUBLICACIÓN</w:t>
      </w:r>
      <w:r w:rsidR="000B0A91">
        <w:rPr>
          <w:bCs/>
          <w:iCs/>
          <w:caps/>
          <w:szCs w:val="28"/>
          <w:lang w:val="es-ES_tradnl"/>
        </w:rPr>
        <w:t xml:space="preserve"> </w:t>
      </w:r>
      <w:r w:rsidRPr="00C463CE">
        <w:rPr>
          <w:bCs/>
          <w:iCs/>
          <w:caps/>
          <w:szCs w:val="28"/>
          <w:lang w:val="es-ES_tradnl"/>
        </w:rPr>
        <w:t>internacional</w:t>
      </w:r>
    </w:p>
    <w:p w:rsidR="00CA5E12" w:rsidRPr="00C463CE" w:rsidRDefault="00CA5E12" w:rsidP="001D5232">
      <w:pPr>
        <w:pStyle w:val="ONUMFS"/>
        <w:keepNext/>
        <w:keepLines/>
        <w:widowControl w:val="0"/>
        <w:rPr>
          <w:bCs/>
          <w:lang w:val="es-ES_tradnl"/>
        </w:rPr>
      </w:pPr>
      <w:r w:rsidRPr="00C463CE">
        <w:rPr>
          <w:bCs/>
          <w:lang w:val="es-ES_tradnl"/>
        </w:rPr>
        <w:t>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="000C235E"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0C235E"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20/20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ha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objeto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distinta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presentada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bookmarkStart w:id="5" w:name="_GoBack"/>
      <w:bookmarkEnd w:id="5"/>
      <w:r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PCT/WG/6/13.</w:t>
      </w:r>
      <w:r w:rsidR="000B0A91">
        <w:rPr>
          <w:bCs/>
          <w:lang w:val="es-ES_tradnl"/>
        </w:rPr>
        <w:t xml:space="preserve"> 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concreto,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documento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PCT/WG/6/13</w:t>
      </w:r>
      <w:r w:rsidR="000B0A91">
        <w:rPr>
          <w:bCs/>
          <w:lang w:val="es-ES_tradnl"/>
        </w:rPr>
        <w:t xml:space="preserve"> </w:t>
      </w:r>
      <w:r w:rsidR="00DC5CDF">
        <w:rPr>
          <w:bCs/>
          <w:lang w:val="es-ES_tradnl"/>
        </w:rPr>
        <w:t>contiene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concretas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modificación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Reglamento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virtud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cuales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opinión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escrita</w:t>
      </w:r>
      <w:r w:rsidR="000B0A91">
        <w:rPr>
          <w:bCs/>
          <w:lang w:val="es-ES_tradnl"/>
        </w:rPr>
        <w:t xml:space="preserve"> </w:t>
      </w:r>
      <w:r w:rsidR="00CF302E" w:rsidRPr="00C463CE">
        <w:rPr>
          <w:bCs/>
          <w:lang w:val="es-ES_tradnl"/>
        </w:rPr>
        <w:t>elaborada</w:t>
      </w:r>
      <w:r w:rsidR="000B0A91">
        <w:rPr>
          <w:bCs/>
          <w:lang w:val="es-ES_tradnl"/>
        </w:rPr>
        <w:t xml:space="preserve"> </w:t>
      </w:r>
      <w:r w:rsidR="00CF302E"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Administración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encargada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de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la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búsqueda</w:t>
      </w:r>
      <w:r w:rsidR="000B0A91">
        <w:rPr>
          <w:bCs/>
          <w:szCs w:val="24"/>
          <w:lang w:val="es-ES_tradnl"/>
        </w:rPr>
        <w:t xml:space="preserve"> </w:t>
      </w:r>
      <w:r w:rsidRPr="00C463CE">
        <w:rPr>
          <w:bCs/>
          <w:szCs w:val="24"/>
          <w:lang w:val="es-ES_tradnl"/>
        </w:rPr>
        <w:t>internacional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pondría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disposición</w:t>
      </w:r>
      <w:r w:rsidR="000B0A91">
        <w:rPr>
          <w:bCs/>
          <w:lang w:val="es-ES_tradnl"/>
        </w:rPr>
        <w:t xml:space="preserve"> </w:t>
      </w:r>
      <w:r w:rsidR="00BF5D22">
        <w:rPr>
          <w:bCs/>
          <w:lang w:val="es-ES_tradnl"/>
        </w:rPr>
        <w:t>poco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después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publicación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internacional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caso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todas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solicitudes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internacionales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que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han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sido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objeto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una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opinión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escrita</w:t>
      </w:r>
      <w:r w:rsidR="000B0A91">
        <w:rPr>
          <w:bCs/>
          <w:lang w:val="es-ES_tradnl"/>
        </w:rPr>
        <w:t xml:space="preserve"> </w:t>
      </w:r>
      <w:r w:rsidR="00163CF0"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="00163CF0"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163CF0" w:rsidRPr="00C463CE">
        <w:rPr>
          <w:bCs/>
          <w:szCs w:val="24"/>
          <w:lang w:val="es-ES_tradnl"/>
        </w:rPr>
        <w:t>Administración</w:t>
      </w:r>
      <w:r w:rsidR="000B0A91">
        <w:rPr>
          <w:bCs/>
          <w:szCs w:val="24"/>
          <w:lang w:val="es-ES_tradnl"/>
        </w:rPr>
        <w:t xml:space="preserve"> </w:t>
      </w:r>
      <w:r w:rsidR="00163CF0" w:rsidRPr="00C463CE">
        <w:rPr>
          <w:bCs/>
          <w:szCs w:val="24"/>
          <w:lang w:val="es-ES_tradnl"/>
        </w:rPr>
        <w:t>encargada</w:t>
      </w:r>
      <w:r w:rsidR="000B0A91">
        <w:rPr>
          <w:bCs/>
          <w:szCs w:val="24"/>
          <w:lang w:val="es-ES_tradnl"/>
        </w:rPr>
        <w:t xml:space="preserve"> </w:t>
      </w:r>
      <w:r w:rsidR="00163CF0" w:rsidRPr="00C463CE">
        <w:rPr>
          <w:bCs/>
          <w:szCs w:val="24"/>
          <w:lang w:val="es-ES_tradnl"/>
        </w:rPr>
        <w:t>de</w:t>
      </w:r>
      <w:r w:rsidR="000B0A91">
        <w:rPr>
          <w:bCs/>
          <w:szCs w:val="24"/>
          <w:lang w:val="es-ES_tradnl"/>
        </w:rPr>
        <w:t xml:space="preserve"> </w:t>
      </w:r>
      <w:r w:rsidR="00163CF0" w:rsidRPr="00C463CE">
        <w:rPr>
          <w:bCs/>
          <w:szCs w:val="24"/>
          <w:lang w:val="es-ES_tradnl"/>
        </w:rPr>
        <w:t>la</w:t>
      </w:r>
      <w:r w:rsidR="000B0A91">
        <w:rPr>
          <w:bCs/>
          <w:szCs w:val="24"/>
          <w:lang w:val="es-ES_tradnl"/>
        </w:rPr>
        <w:t xml:space="preserve"> </w:t>
      </w:r>
      <w:r w:rsidR="00163CF0" w:rsidRPr="00C463CE">
        <w:rPr>
          <w:bCs/>
          <w:szCs w:val="24"/>
          <w:lang w:val="es-ES_tradnl"/>
        </w:rPr>
        <w:t>búsqueda</w:t>
      </w:r>
      <w:r w:rsidR="000B0A91">
        <w:rPr>
          <w:bCs/>
          <w:szCs w:val="24"/>
          <w:lang w:val="es-ES_tradnl"/>
        </w:rPr>
        <w:t xml:space="preserve"> </w:t>
      </w:r>
      <w:r w:rsidR="00163CF0" w:rsidRPr="00C463CE">
        <w:rPr>
          <w:bCs/>
          <w:szCs w:val="24"/>
          <w:lang w:val="es-ES_tradnl"/>
        </w:rPr>
        <w:t>internacional</w:t>
      </w:r>
      <w:r w:rsidRPr="00C463CE">
        <w:rPr>
          <w:bCs/>
          <w:lang w:val="es-ES_tradnl"/>
        </w:rPr>
        <w:t>.</w:t>
      </w:r>
    </w:p>
    <w:p w:rsidR="00404B91" w:rsidRPr="00C463CE" w:rsidRDefault="00CA5E12" w:rsidP="008F732E">
      <w:pPr>
        <w:pStyle w:val="ONUMFS"/>
        <w:keepLines/>
        <w:widowControl w:val="0"/>
        <w:rPr>
          <w:rFonts w:eastAsia="Arial"/>
          <w:bCs/>
          <w:lang w:val="es-ES_tradnl"/>
        </w:rPr>
      </w:pPr>
      <w:r w:rsidRPr="00C463CE">
        <w:rPr>
          <w:bCs/>
          <w:lang w:val="es-ES_tradnl"/>
        </w:rPr>
        <w:t>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propuesta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fue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también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aprobada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el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Grupo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Trabajo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y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adoptada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por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Asamblea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la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Unión</w:t>
      </w:r>
      <w:r w:rsidR="000B0A91">
        <w:rPr>
          <w:bCs/>
          <w:lang w:val="es-ES_tradnl"/>
        </w:rPr>
        <w:t xml:space="preserve"> </w:t>
      </w:r>
      <w:r w:rsidRPr="00C463CE">
        <w:rPr>
          <w:bCs/>
          <w:lang w:val="es-ES_tradnl"/>
        </w:rPr>
        <w:t>del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bCs/>
          <w:lang w:val="es-ES_tradnl"/>
        </w:rPr>
        <w:t>PCT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su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cuadragésima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cuarta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sesión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celebrada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en</w:t>
      </w:r>
      <w:r w:rsidR="000B0A91">
        <w:rPr>
          <w:bCs/>
          <w:lang w:val="es-ES_tradnl"/>
        </w:rPr>
        <w:t xml:space="preserve"> </w:t>
      </w:r>
      <w:r w:rsidR="00E05026" w:rsidRPr="00C463CE">
        <w:rPr>
          <w:bCs/>
          <w:lang w:val="es-ES_tradnl"/>
        </w:rPr>
        <w:t>septiembre</w:t>
      </w:r>
      <w:r w:rsidR="000B0A91">
        <w:rPr>
          <w:bCs/>
          <w:lang w:val="es-ES_tradnl"/>
        </w:rPr>
        <w:noBreakHyphen/>
      </w:r>
      <w:r w:rsidR="00E05026" w:rsidRPr="00C463CE">
        <w:rPr>
          <w:lang w:val="es-ES_tradnl"/>
        </w:rPr>
        <w:t>octubre</w:t>
      </w:r>
      <w:r w:rsidR="000B0A91">
        <w:rPr>
          <w:lang w:val="es-ES_tradnl"/>
        </w:rPr>
        <w:t xml:space="preserve"> </w:t>
      </w:r>
      <w:r w:rsidR="00E05026" w:rsidRPr="00C463CE">
        <w:rPr>
          <w:lang w:val="es-ES_tradnl"/>
        </w:rPr>
        <w:t>de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2013</w:t>
      </w:r>
      <w:r w:rsidR="000B0A91">
        <w:rPr>
          <w:bCs/>
          <w:lang w:val="es-ES_tradnl"/>
        </w:rPr>
        <w:t xml:space="preserve"> </w:t>
      </w:r>
      <w:r w:rsidR="00404B91" w:rsidRPr="00C463CE">
        <w:rPr>
          <w:lang w:val="es-ES_tradnl"/>
        </w:rPr>
        <w:t>(</w:t>
      </w:r>
      <w:r w:rsidR="00E05026" w:rsidRPr="00C463CE">
        <w:rPr>
          <w:lang w:val="es-ES_tradnl"/>
        </w:rPr>
        <w:t>véanse</w:t>
      </w:r>
      <w:r w:rsidR="000B0A91">
        <w:rPr>
          <w:lang w:val="es-ES_tradnl"/>
        </w:rPr>
        <w:t xml:space="preserve"> </w:t>
      </w:r>
      <w:r w:rsidR="00E05026" w:rsidRPr="00C463CE">
        <w:rPr>
          <w:lang w:val="es-ES_tradnl"/>
        </w:rPr>
        <w:t>los</w:t>
      </w:r>
      <w:r w:rsidR="000B0A91">
        <w:rPr>
          <w:lang w:val="es-ES_tradnl"/>
        </w:rPr>
        <w:t xml:space="preserve"> </w:t>
      </w:r>
      <w:r w:rsidR="00E05026" w:rsidRPr="00C463CE">
        <w:rPr>
          <w:lang w:val="es-ES_tradnl"/>
        </w:rPr>
        <w:t>párrafos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25</w:t>
      </w:r>
      <w:r w:rsidR="000B0A91">
        <w:rPr>
          <w:lang w:val="es-ES_tradnl"/>
        </w:rPr>
        <w:t xml:space="preserve"> </w:t>
      </w:r>
      <w:r w:rsidR="00E05026" w:rsidRPr="00C463CE">
        <w:rPr>
          <w:lang w:val="es-ES_tradnl"/>
        </w:rPr>
        <w:t>a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30</w:t>
      </w:r>
      <w:r w:rsidR="000B0A91">
        <w:rPr>
          <w:lang w:val="es-ES_tradnl"/>
        </w:rPr>
        <w:t xml:space="preserve"> </w:t>
      </w:r>
      <w:r w:rsidR="00E05026" w:rsidRPr="00C463CE">
        <w:rPr>
          <w:lang w:val="es-ES_tradnl"/>
        </w:rPr>
        <w:t>del</w:t>
      </w:r>
      <w:r w:rsidR="000B0A91">
        <w:rPr>
          <w:lang w:val="es-ES_tradnl"/>
        </w:rPr>
        <w:t xml:space="preserve"> </w:t>
      </w:r>
      <w:r w:rsidR="00E05026" w:rsidRPr="00C463CE">
        <w:rPr>
          <w:lang w:val="es-ES_tradnl"/>
        </w:rPr>
        <w:t>documento</w:t>
      </w:r>
      <w:r w:rsidR="000B0A91">
        <w:rPr>
          <w:lang w:val="es-ES_tradnl"/>
        </w:rPr>
        <w:t xml:space="preserve"> </w:t>
      </w:r>
      <w:r w:rsidR="00404B91" w:rsidRPr="00C463CE">
        <w:rPr>
          <w:lang w:val="es-ES_tradnl"/>
        </w:rPr>
        <w:t>PCT/A/44/5)</w:t>
      </w:r>
      <w:r w:rsidR="00404B91" w:rsidRPr="00C463CE">
        <w:rPr>
          <w:bCs/>
          <w:lang w:val="es-ES_tradnl"/>
        </w:rPr>
        <w:t>.</w:t>
      </w:r>
    </w:p>
    <w:p w:rsidR="00404B91" w:rsidRPr="00C463CE" w:rsidRDefault="00E05026" w:rsidP="00E05026">
      <w:pPr>
        <w:widowControl w:val="0"/>
        <w:spacing w:before="240" w:after="60"/>
        <w:outlineLvl w:val="0"/>
        <w:rPr>
          <w:rFonts w:eastAsia="Arial"/>
          <w:b/>
          <w:bCs/>
          <w:caps/>
          <w:kern w:val="32"/>
          <w:szCs w:val="32"/>
          <w:lang w:val="es-ES_tradnl"/>
        </w:rPr>
      </w:pPr>
      <w:r w:rsidRPr="00C463CE">
        <w:rPr>
          <w:rFonts w:eastAsia="Arial"/>
          <w:b/>
          <w:bCs/>
          <w:caps/>
          <w:kern w:val="32"/>
          <w:szCs w:val="32"/>
          <w:lang w:val="es-ES_tradnl"/>
        </w:rPr>
        <w:t>de</w:t>
      </w:r>
      <w:r w:rsidR="000B0A91">
        <w:rPr>
          <w:rFonts w:eastAsia="Arial"/>
          <w:b/>
          <w:bCs/>
          <w:caps/>
          <w:kern w:val="32"/>
          <w:szCs w:val="32"/>
          <w:lang w:val="es-ES_tradnl"/>
        </w:rPr>
        <w:t xml:space="preserve"> </w:t>
      </w:r>
      <w:r w:rsidRPr="00C463CE">
        <w:rPr>
          <w:rFonts w:eastAsia="Arial"/>
          <w:b/>
          <w:bCs/>
          <w:caps/>
          <w:kern w:val="32"/>
          <w:szCs w:val="32"/>
          <w:lang w:val="es-ES_tradnl"/>
        </w:rPr>
        <w:t>cara</w:t>
      </w:r>
      <w:r w:rsidR="000B0A91">
        <w:rPr>
          <w:rFonts w:eastAsia="Arial"/>
          <w:b/>
          <w:bCs/>
          <w:caps/>
          <w:kern w:val="32"/>
          <w:szCs w:val="32"/>
          <w:lang w:val="es-ES_tradnl"/>
        </w:rPr>
        <w:t xml:space="preserve"> </w:t>
      </w:r>
      <w:r w:rsidRPr="00C463CE">
        <w:rPr>
          <w:rFonts w:eastAsia="Arial"/>
          <w:b/>
          <w:bCs/>
          <w:caps/>
          <w:kern w:val="32"/>
          <w:szCs w:val="32"/>
          <w:lang w:val="es-ES_tradnl"/>
        </w:rPr>
        <w:t>al</w:t>
      </w:r>
      <w:r w:rsidR="000B0A91">
        <w:rPr>
          <w:rFonts w:eastAsia="Arial"/>
          <w:b/>
          <w:bCs/>
          <w:caps/>
          <w:kern w:val="32"/>
          <w:szCs w:val="32"/>
          <w:lang w:val="es-ES_tradnl"/>
        </w:rPr>
        <w:t xml:space="preserve"> </w:t>
      </w:r>
      <w:r w:rsidRPr="00C463CE">
        <w:rPr>
          <w:rFonts w:eastAsia="Arial"/>
          <w:b/>
          <w:bCs/>
          <w:caps/>
          <w:kern w:val="32"/>
          <w:szCs w:val="32"/>
          <w:lang w:val="es-ES_tradnl"/>
        </w:rPr>
        <w:t>futuro</w:t>
      </w:r>
    </w:p>
    <w:p w:rsidR="00E05026" w:rsidRPr="00C463CE" w:rsidRDefault="00E05026" w:rsidP="00E05026">
      <w:pPr>
        <w:pStyle w:val="ONUMFS"/>
        <w:widowControl w:val="0"/>
        <w:rPr>
          <w:rFonts w:eastAsia="Arial"/>
          <w:lang w:val="es-ES_tradnl"/>
        </w:rPr>
      </w:pPr>
      <w:r w:rsidRPr="00C463CE">
        <w:rPr>
          <w:rFonts w:eastAsia="Arial"/>
          <w:lang w:val="es-ES_tradnl"/>
        </w:rPr>
        <w:t>Desde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introducción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hoja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ruta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del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PCT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por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Oficina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Internacional,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además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propuesta</w:t>
      </w:r>
      <w:r w:rsidR="000B0A91">
        <w:rPr>
          <w:rFonts w:eastAsia="Arial"/>
          <w:lang w:val="es-ES_tradnl"/>
        </w:rPr>
        <w:t xml:space="preserve"> </w:t>
      </w:r>
      <w:r w:rsidR="00C463CE">
        <w:rPr>
          <w:rFonts w:eastAsia="Arial"/>
          <w:lang w:val="es-ES_tradnl"/>
        </w:rPr>
        <w:t>titulada</w:t>
      </w:r>
      <w:r w:rsidR="000B0A91">
        <w:rPr>
          <w:rFonts w:eastAsia="Arial"/>
          <w:lang w:val="es-ES_tradnl"/>
        </w:rPr>
        <w:t xml:space="preserve"> </w:t>
      </w:r>
      <w:r w:rsidR="00404B91" w:rsidRPr="00C463CE">
        <w:rPr>
          <w:rFonts w:eastAsia="Arial"/>
          <w:lang w:val="es-ES_tradnl"/>
        </w:rPr>
        <w:t>PCT</w:t>
      </w:r>
      <w:r w:rsidR="000B0A91">
        <w:rPr>
          <w:rFonts w:eastAsia="Arial"/>
          <w:lang w:val="es-ES_tradnl"/>
        </w:rPr>
        <w:t xml:space="preserve"> </w:t>
      </w:r>
      <w:r w:rsidR="00404B91" w:rsidRPr="00C463CE">
        <w:rPr>
          <w:rFonts w:eastAsia="Arial"/>
          <w:lang w:val="es-ES_tradnl"/>
        </w:rPr>
        <w:t>20/20,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varias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oficinas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han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presentado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sus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propias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propuestas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mejora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del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Sistema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PCT,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particular,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Oficina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Europea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Patentes,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Oficina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Patentes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del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Japón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y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Oficina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Coreana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szCs w:val="24"/>
          <w:lang w:val="es-ES_tradnl"/>
        </w:rPr>
        <w:t>Propiedad</w:t>
      </w:r>
      <w:r w:rsidR="000B0A91">
        <w:rPr>
          <w:rFonts w:eastAsia="Arial"/>
          <w:szCs w:val="24"/>
          <w:lang w:val="es-ES_tradnl"/>
        </w:rPr>
        <w:t xml:space="preserve"> </w:t>
      </w:r>
      <w:r w:rsidRPr="00C463CE">
        <w:rPr>
          <w:rFonts w:eastAsia="Arial"/>
          <w:szCs w:val="24"/>
          <w:lang w:val="es-ES_tradnl"/>
        </w:rPr>
        <w:t>Intelectual.</w:t>
      </w:r>
      <w:r w:rsidR="000B0A91">
        <w:rPr>
          <w:rFonts w:eastAsia="Arial"/>
          <w:lang w:val="es-ES_tradnl"/>
        </w:rPr>
        <w:t xml:space="preserve">  </w:t>
      </w:r>
      <w:r w:rsidRPr="00C463CE">
        <w:rPr>
          <w:rFonts w:eastAsia="Arial"/>
          <w:lang w:val="es-ES_tradnl"/>
        </w:rPr>
        <w:t>En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el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co</w:t>
      </w:r>
      <w:r w:rsidR="005C6254" w:rsidRPr="00C463CE">
        <w:rPr>
          <w:rFonts w:eastAsia="Arial"/>
          <w:lang w:val="es-ES_tradnl"/>
        </w:rPr>
        <w:t>ntexto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las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reuniones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las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O</w:t>
      </w:r>
      <w:r w:rsidRPr="00C463CE">
        <w:rPr>
          <w:rFonts w:eastAsia="Arial"/>
          <w:lang w:val="es-ES_tradnl"/>
        </w:rPr>
        <w:t>ficinas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</w:t>
      </w:r>
      <w:r w:rsidR="005C6254" w:rsidRPr="00C463CE">
        <w:rPr>
          <w:rFonts w:eastAsia="Arial"/>
          <w:lang w:val="es-ES_tradnl"/>
        </w:rPr>
        <w:t>a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Cooperación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Pentalateral</w:t>
      </w:r>
      <w:r w:rsidR="000B0A91">
        <w:rPr>
          <w:rFonts w:eastAsia="Arial"/>
          <w:lang w:val="es-ES_tradnl"/>
        </w:rPr>
        <w:t xml:space="preserve"> </w:t>
      </w:r>
      <w:r w:rsidR="005C6254" w:rsidRPr="00C463CE">
        <w:rPr>
          <w:rFonts w:eastAsia="Arial"/>
          <w:lang w:val="es-ES_tradnl"/>
        </w:rPr>
        <w:t>(</w:t>
      </w:r>
      <w:r w:rsidR="00404B91" w:rsidRPr="00C463CE">
        <w:rPr>
          <w:rFonts w:eastAsia="Arial"/>
          <w:lang w:val="es-ES_tradnl"/>
        </w:rPr>
        <w:t>IP5</w:t>
      </w:r>
      <w:r w:rsidR="005C6254" w:rsidRPr="00C463CE">
        <w:rPr>
          <w:rFonts w:eastAsia="Arial"/>
          <w:lang w:val="es-ES_tradnl"/>
        </w:rPr>
        <w:t>)</w:t>
      </w:r>
      <w:r w:rsidRPr="00C463CE">
        <w:rPr>
          <w:rFonts w:eastAsia="Arial"/>
          <w:lang w:val="es-ES_tradnl"/>
        </w:rPr>
        <w:t>,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los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Estados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Unidos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América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han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acordado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examinar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los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distintos</w:t>
      </w:r>
      <w:r w:rsidR="000B0A91">
        <w:rPr>
          <w:rFonts w:eastAsia="Arial"/>
          <w:lang w:val="es-ES_tradnl"/>
        </w:rPr>
        <w:t xml:space="preserve"> </w:t>
      </w:r>
      <w:r w:rsidR="00C463CE">
        <w:rPr>
          <w:rFonts w:eastAsia="Arial"/>
          <w:lang w:val="es-ES_tradnl"/>
        </w:rPr>
        <w:t>programas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con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miras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a</w:t>
      </w:r>
      <w:r w:rsidR="000B0A91">
        <w:rPr>
          <w:rFonts w:eastAsia="Arial"/>
          <w:lang w:val="es-ES_tradnl"/>
        </w:rPr>
        <w:t xml:space="preserve"> </w:t>
      </w:r>
      <w:r w:rsidR="003828D8">
        <w:rPr>
          <w:rFonts w:eastAsia="Arial"/>
          <w:lang w:val="es-ES_tradnl"/>
        </w:rPr>
        <w:t>determinar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las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esferas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convergencia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y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propuestas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que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pueden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ser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objeto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un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acuerdo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para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avanzar.</w:t>
      </w:r>
      <w:r w:rsidR="000B0A91">
        <w:rPr>
          <w:rFonts w:eastAsia="Arial"/>
          <w:lang w:val="es-ES_tradnl"/>
        </w:rPr>
        <w:t xml:space="preserve">  </w:t>
      </w:r>
      <w:r w:rsidRPr="00C463CE">
        <w:rPr>
          <w:rFonts w:eastAsia="Arial"/>
          <w:lang w:val="es-ES_tradnl"/>
        </w:rPr>
        <w:t>Cabe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esperar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que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tras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nuevos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debates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con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nuestros</w:t>
      </w:r>
      <w:r w:rsidR="000B0A91">
        <w:rPr>
          <w:rFonts w:eastAsia="Arial"/>
          <w:lang w:val="es-ES_tradnl"/>
        </w:rPr>
        <w:t xml:space="preserve"> </w:t>
      </w:r>
      <w:r w:rsidR="0029239C">
        <w:rPr>
          <w:rFonts w:eastAsia="Arial"/>
          <w:lang w:val="es-ES_tradnl"/>
        </w:rPr>
        <w:t>asociados</w:t>
      </w:r>
      <w:r w:rsidR="000B0A91">
        <w:rPr>
          <w:rFonts w:eastAsia="Arial"/>
          <w:lang w:val="es-ES_tradnl"/>
        </w:rPr>
        <w:t xml:space="preserve"> </w:t>
      </w:r>
      <w:r w:rsidR="0029239C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="0029239C">
        <w:rPr>
          <w:rFonts w:eastAsia="Arial"/>
          <w:lang w:val="es-ES_tradnl"/>
        </w:rPr>
        <w:t>la</w:t>
      </w:r>
      <w:r w:rsidR="000B0A91">
        <w:rPr>
          <w:rFonts w:eastAsia="Arial"/>
          <w:lang w:val="es-ES_tradnl"/>
        </w:rPr>
        <w:t xml:space="preserve"> </w:t>
      </w:r>
      <w:r w:rsidR="00404B91" w:rsidRPr="00C463CE">
        <w:rPr>
          <w:rFonts w:eastAsia="Arial"/>
          <w:lang w:val="es-ES_tradnl"/>
        </w:rPr>
        <w:t>IP5</w:t>
      </w:r>
      <w:r w:rsidRPr="00C463CE">
        <w:rPr>
          <w:rFonts w:eastAsia="Arial"/>
          <w:lang w:val="es-ES_tradnl"/>
        </w:rPr>
        <w:t>,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este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examen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engendrará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una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serie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propuestas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para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su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presentación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en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una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futura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reunión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del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Grupo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de</w:t>
      </w:r>
      <w:r w:rsidR="000B0A91">
        <w:rPr>
          <w:rFonts w:eastAsia="Arial"/>
          <w:lang w:val="es-ES_tradnl"/>
        </w:rPr>
        <w:t xml:space="preserve"> </w:t>
      </w:r>
      <w:r w:rsidRPr="00C463CE">
        <w:rPr>
          <w:rFonts w:eastAsia="Arial"/>
          <w:lang w:val="es-ES_tradnl"/>
        </w:rPr>
        <w:t>Trabajo.</w:t>
      </w:r>
    </w:p>
    <w:p w:rsidR="00404B91" w:rsidRPr="00C463CE" w:rsidRDefault="00E05026" w:rsidP="00E05026">
      <w:pPr>
        <w:pStyle w:val="ONUMFS"/>
        <w:widowControl w:val="0"/>
        <w:ind w:left="5533"/>
        <w:rPr>
          <w:i/>
          <w:lang w:val="es-ES_tradnl"/>
        </w:rPr>
      </w:pPr>
      <w:r w:rsidRPr="00C463CE">
        <w:rPr>
          <w:i/>
          <w:iCs/>
          <w:lang w:val="es-ES_tradnl"/>
        </w:rPr>
        <w:t>Se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invita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al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Grupo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de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Trabajo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a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examinar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y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formular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comentarios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sobre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el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presente</w:t>
      </w:r>
      <w:r w:rsidR="000B0A91">
        <w:rPr>
          <w:i/>
          <w:iCs/>
          <w:lang w:val="es-ES_tradnl"/>
        </w:rPr>
        <w:t xml:space="preserve"> </w:t>
      </w:r>
      <w:r w:rsidRPr="00C463CE">
        <w:rPr>
          <w:i/>
          <w:iCs/>
          <w:lang w:val="es-ES_tradnl"/>
        </w:rPr>
        <w:t>documento.</w:t>
      </w:r>
      <w:r w:rsidR="000B0A91">
        <w:rPr>
          <w:i/>
          <w:iCs/>
          <w:lang w:val="es-ES_tradnl"/>
        </w:rPr>
        <w:t xml:space="preserve"> </w:t>
      </w:r>
    </w:p>
    <w:p w:rsidR="00404B91" w:rsidRPr="00C463CE" w:rsidRDefault="00404B91" w:rsidP="00E05026">
      <w:pPr>
        <w:pStyle w:val="ONUMFS"/>
        <w:widowControl w:val="0"/>
        <w:numPr>
          <w:ilvl w:val="0"/>
          <w:numId w:val="0"/>
        </w:numPr>
        <w:rPr>
          <w:i/>
          <w:lang w:val="es-ES_tradnl"/>
        </w:rPr>
      </w:pPr>
    </w:p>
    <w:p w:rsidR="00821FAB" w:rsidRPr="00C463CE" w:rsidRDefault="00404B91" w:rsidP="000B0A91">
      <w:pPr>
        <w:widowControl w:val="0"/>
        <w:spacing w:after="220"/>
        <w:ind w:left="5580"/>
        <w:rPr>
          <w:rFonts w:eastAsia="Arial"/>
          <w:lang w:val="es-ES_tradnl"/>
        </w:rPr>
      </w:pPr>
      <w:r w:rsidRPr="00C463CE">
        <w:rPr>
          <w:i/>
          <w:lang w:val="es-ES_tradnl"/>
        </w:rPr>
        <w:t>[Fin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del</w:t>
      </w:r>
      <w:r w:rsidR="000B0A91">
        <w:rPr>
          <w:i/>
          <w:lang w:val="es-ES_tradnl"/>
        </w:rPr>
        <w:t xml:space="preserve"> </w:t>
      </w:r>
      <w:r w:rsidRPr="00C463CE">
        <w:rPr>
          <w:i/>
          <w:lang w:val="es-ES_tradnl"/>
        </w:rPr>
        <w:t>documento]</w:t>
      </w:r>
    </w:p>
    <w:sectPr w:rsidR="00821FAB" w:rsidRPr="00C463CE" w:rsidSect="00482FBC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B0" w:rsidRDefault="007314B0">
      <w:r>
        <w:separator/>
      </w:r>
    </w:p>
  </w:endnote>
  <w:endnote w:type="continuationSeparator" w:id="0">
    <w:p w:rsidR="007314B0" w:rsidRPr="009D30E6" w:rsidRDefault="007314B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314B0" w:rsidRPr="007E663E" w:rsidRDefault="007314B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314B0" w:rsidRPr="007E663E" w:rsidRDefault="007314B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B0" w:rsidRDefault="007314B0">
      <w:r>
        <w:separator/>
      </w:r>
    </w:p>
  </w:footnote>
  <w:footnote w:type="continuationSeparator" w:id="0">
    <w:p w:rsidR="007314B0" w:rsidRPr="009D30E6" w:rsidRDefault="007314B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314B0" w:rsidRPr="007E663E" w:rsidRDefault="007314B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314B0" w:rsidRPr="007E663E" w:rsidRDefault="007314B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82FBC" w:rsidP="00477D6B">
    <w:pPr>
      <w:jc w:val="right"/>
    </w:pPr>
    <w:bookmarkStart w:id="6" w:name="Code2"/>
    <w:bookmarkEnd w:id="6"/>
    <w:r>
      <w:t>PCT/WG/7/20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D5232">
      <w:rPr>
        <w:noProof/>
      </w:rPr>
      <w:t>7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3DE282C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2978"/>
        </w:tabs>
        <w:ind w:left="2411" w:firstLine="0"/>
      </w:pPr>
      <w:rPr>
        <w:rFonts w:hint="default"/>
        <w:lang w:val="es-E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BC"/>
    <w:rsid w:val="00002F13"/>
    <w:rsid w:val="00005208"/>
    <w:rsid w:val="00010319"/>
    <w:rsid w:val="00010686"/>
    <w:rsid w:val="0003796A"/>
    <w:rsid w:val="00052915"/>
    <w:rsid w:val="00065817"/>
    <w:rsid w:val="00074058"/>
    <w:rsid w:val="000B0A91"/>
    <w:rsid w:val="000C235E"/>
    <w:rsid w:val="000E3BB3"/>
    <w:rsid w:val="000F5E56"/>
    <w:rsid w:val="001362EE"/>
    <w:rsid w:val="00152CEA"/>
    <w:rsid w:val="001551EE"/>
    <w:rsid w:val="00163CF0"/>
    <w:rsid w:val="00165C54"/>
    <w:rsid w:val="00170477"/>
    <w:rsid w:val="001832A6"/>
    <w:rsid w:val="001B6A45"/>
    <w:rsid w:val="001D5232"/>
    <w:rsid w:val="002516FC"/>
    <w:rsid w:val="002634C4"/>
    <w:rsid w:val="002650C0"/>
    <w:rsid w:val="00275B15"/>
    <w:rsid w:val="002773A8"/>
    <w:rsid w:val="0029239C"/>
    <w:rsid w:val="00295651"/>
    <w:rsid w:val="002A0C9D"/>
    <w:rsid w:val="002E0F47"/>
    <w:rsid w:val="002E4AF0"/>
    <w:rsid w:val="002F2B33"/>
    <w:rsid w:val="002F4E68"/>
    <w:rsid w:val="003118DA"/>
    <w:rsid w:val="00313D4F"/>
    <w:rsid w:val="00354647"/>
    <w:rsid w:val="00363985"/>
    <w:rsid w:val="00377273"/>
    <w:rsid w:val="003828D8"/>
    <w:rsid w:val="003845C1"/>
    <w:rsid w:val="00387287"/>
    <w:rsid w:val="00393136"/>
    <w:rsid w:val="003C4A3C"/>
    <w:rsid w:val="003D3FF6"/>
    <w:rsid w:val="003E1936"/>
    <w:rsid w:val="003E48F1"/>
    <w:rsid w:val="003E5DB0"/>
    <w:rsid w:val="003F085F"/>
    <w:rsid w:val="003F347A"/>
    <w:rsid w:val="003F4C96"/>
    <w:rsid w:val="00404B91"/>
    <w:rsid w:val="0041604E"/>
    <w:rsid w:val="00423E3E"/>
    <w:rsid w:val="00427AF4"/>
    <w:rsid w:val="0045231F"/>
    <w:rsid w:val="0046077B"/>
    <w:rsid w:val="004647DA"/>
    <w:rsid w:val="0047145D"/>
    <w:rsid w:val="00477808"/>
    <w:rsid w:val="00477D6B"/>
    <w:rsid w:val="00482FBC"/>
    <w:rsid w:val="004A6C37"/>
    <w:rsid w:val="004B5C48"/>
    <w:rsid w:val="004D3531"/>
    <w:rsid w:val="004E0E26"/>
    <w:rsid w:val="004E297D"/>
    <w:rsid w:val="005140EE"/>
    <w:rsid w:val="00522674"/>
    <w:rsid w:val="00531867"/>
    <w:rsid w:val="005332F0"/>
    <w:rsid w:val="00540071"/>
    <w:rsid w:val="00546D34"/>
    <w:rsid w:val="0055013B"/>
    <w:rsid w:val="005503A3"/>
    <w:rsid w:val="00567B6F"/>
    <w:rsid w:val="00571B99"/>
    <w:rsid w:val="00582091"/>
    <w:rsid w:val="00584568"/>
    <w:rsid w:val="00585BCA"/>
    <w:rsid w:val="005A5411"/>
    <w:rsid w:val="005B6747"/>
    <w:rsid w:val="005C6254"/>
    <w:rsid w:val="005E1097"/>
    <w:rsid w:val="005F38E0"/>
    <w:rsid w:val="005F3961"/>
    <w:rsid w:val="00601B0F"/>
    <w:rsid w:val="0060573C"/>
    <w:rsid w:val="00605827"/>
    <w:rsid w:val="00624873"/>
    <w:rsid w:val="00633CE4"/>
    <w:rsid w:val="00662A84"/>
    <w:rsid w:val="006663CB"/>
    <w:rsid w:val="00675021"/>
    <w:rsid w:val="00695027"/>
    <w:rsid w:val="006A06C6"/>
    <w:rsid w:val="006A19F4"/>
    <w:rsid w:val="006A51D2"/>
    <w:rsid w:val="006B1C22"/>
    <w:rsid w:val="006B6D88"/>
    <w:rsid w:val="006C0B12"/>
    <w:rsid w:val="006C35BA"/>
    <w:rsid w:val="006D79C3"/>
    <w:rsid w:val="006F2850"/>
    <w:rsid w:val="006F30D2"/>
    <w:rsid w:val="006F7BF0"/>
    <w:rsid w:val="00707B6D"/>
    <w:rsid w:val="00717070"/>
    <w:rsid w:val="007224C8"/>
    <w:rsid w:val="007314B0"/>
    <w:rsid w:val="00771BF2"/>
    <w:rsid w:val="00794BE2"/>
    <w:rsid w:val="00795DD1"/>
    <w:rsid w:val="007A0185"/>
    <w:rsid w:val="007B1071"/>
    <w:rsid w:val="007B71FE"/>
    <w:rsid w:val="007D781E"/>
    <w:rsid w:val="007E5D23"/>
    <w:rsid w:val="007E663E"/>
    <w:rsid w:val="00815082"/>
    <w:rsid w:val="00821FAB"/>
    <w:rsid w:val="00826D73"/>
    <w:rsid w:val="0084335B"/>
    <w:rsid w:val="00847611"/>
    <w:rsid w:val="00851E0B"/>
    <w:rsid w:val="0088395E"/>
    <w:rsid w:val="008B042B"/>
    <w:rsid w:val="008B2CC1"/>
    <w:rsid w:val="008B5198"/>
    <w:rsid w:val="008E6BD6"/>
    <w:rsid w:val="008F732E"/>
    <w:rsid w:val="009033A1"/>
    <w:rsid w:val="009070F1"/>
    <w:rsid w:val="0090731E"/>
    <w:rsid w:val="00931FAE"/>
    <w:rsid w:val="00954A04"/>
    <w:rsid w:val="00966A22"/>
    <w:rsid w:val="00972F03"/>
    <w:rsid w:val="009A0C8B"/>
    <w:rsid w:val="009B2816"/>
    <w:rsid w:val="009B3A2B"/>
    <w:rsid w:val="009B6241"/>
    <w:rsid w:val="00A16FC0"/>
    <w:rsid w:val="00A32C9E"/>
    <w:rsid w:val="00A45E6B"/>
    <w:rsid w:val="00A50810"/>
    <w:rsid w:val="00A51C83"/>
    <w:rsid w:val="00A554DE"/>
    <w:rsid w:val="00A710CA"/>
    <w:rsid w:val="00A751C5"/>
    <w:rsid w:val="00A87FDD"/>
    <w:rsid w:val="00A920AE"/>
    <w:rsid w:val="00A97DBD"/>
    <w:rsid w:val="00AB613D"/>
    <w:rsid w:val="00AE7F20"/>
    <w:rsid w:val="00AF51EF"/>
    <w:rsid w:val="00B147EE"/>
    <w:rsid w:val="00B1797C"/>
    <w:rsid w:val="00B512E6"/>
    <w:rsid w:val="00B52925"/>
    <w:rsid w:val="00B65A0A"/>
    <w:rsid w:val="00B67CDC"/>
    <w:rsid w:val="00B72D36"/>
    <w:rsid w:val="00B940F8"/>
    <w:rsid w:val="00BB31D0"/>
    <w:rsid w:val="00BC4164"/>
    <w:rsid w:val="00BD2DCC"/>
    <w:rsid w:val="00BF5D22"/>
    <w:rsid w:val="00C23DA3"/>
    <w:rsid w:val="00C463CE"/>
    <w:rsid w:val="00C5531B"/>
    <w:rsid w:val="00C617F9"/>
    <w:rsid w:val="00C7736D"/>
    <w:rsid w:val="00C90559"/>
    <w:rsid w:val="00CA2251"/>
    <w:rsid w:val="00CA4CBA"/>
    <w:rsid w:val="00CA5E12"/>
    <w:rsid w:val="00CC4B24"/>
    <w:rsid w:val="00CF302E"/>
    <w:rsid w:val="00CF637F"/>
    <w:rsid w:val="00D20D65"/>
    <w:rsid w:val="00D21360"/>
    <w:rsid w:val="00D56C7C"/>
    <w:rsid w:val="00D71B4D"/>
    <w:rsid w:val="00D83175"/>
    <w:rsid w:val="00D90289"/>
    <w:rsid w:val="00D919F1"/>
    <w:rsid w:val="00D93D55"/>
    <w:rsid w:val="00DB1B21"/>
    <w:rsid w:val="00DC25C7"/>
    <w:rsid w:val="00DC4C60"/>
    <w:rsid w:val="00DC5CDF"/>
    <w:rsid w:val="00DD6595"/>
    <w:rsid w:val="00E0079A"/>
    <w:rsid w:val="00E01FCB"/>
    <w:rsid w:val="00E05026"/>
    <w:rsid w:val="00E24CBB"/>
    <w:rsid w:val="00E444DA"/>
    <w:rsid w:val="00E45C84"/>
    <w:rsid w:val="00E47422"/>
    <w:rsid w:val="00E504E5"/>
    <w:rsid w:val="00E506C6"/>
    <w:rsid w:val="00E51FC7"/>
    <w:rsid w:val="00E5485F"/>
    <w:rsid w:val="00E66FD0"/>
    <w:rsid w:val="00E85665"/>
    <w:rsid w:val="00E94C4D"/>
    <w:rsid w:val="00EB7008"/>
    <w:rsid w:val="00EB7A3E"/>
    <w:rsid w:val="00EC401A"/>
    <w:rsid w:val="00ED34D0"/>
    <w:rsid w:val="00EF530A"/>
    <w:rsid w:val="00EF6622"/>
    <w:rsid w:val="00F03495"/>
    <w:rsid w:val="00F05DC6"/>
    <w:rsid w:val="00F26E9D"/>
    <w:rsid w:val="00F35778"/>
    <w:rsid w:val="00F55408"/>
    <w:rsid w:val="00F56CE1"/>
    <w:rsid w:val="00F6261E"/>
    <w:rsid w:val="00F66152"/>
    <w:rsid w:val="00F80845"/>
    <w:rsid w:val="00F84474"/>
    <w:rsid w:val="00F95284"/>
    <w:rsid w:val="00FA0F0D"/>
    <w:rsid w:val="00FA238B"/>
    <w:rsid w:val="00FA2AC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  <w:tabs>
        <w:tab w:val="clear" w:pos="2978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Char">
    <w:name w:val="Char 字元 字元"/>
    <w:basedOn w:val="Normal"/>
    <w:rsid w:val="00482FBC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0">
    <w:name w:val="Char 字元 字元"/>
    <w:basedOn w:val="Normal"/>
    <w:rsid w:val="00954A04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1">
    <w:name w:val="Char 字元 字元"/>
    <w:basedOn w:val="Normal"/>
    <w:rsid w:val="00A710CA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2">
    <w:name w:val="Char 字元 字元"/>
    <w:basedOn w:val="Normal"/>
    <w:rsid w:val="00795DD1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3">
    <w:name w:val="Char 字元 字元"/>
    <w:basedOn w:val="Normal"/>
    <w:rsid w:val="0047145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4">
    <w:name w:val="Char 字元 字元"/>
    <w:basedOn w:val="Normal"/>
    <w:rsid w:val="00404B91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  <w:tabs>
        <w:tab w:val="clear" w:pos="2978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Char">
    <w:name w:val="Char 字元 字元"/>
    <w:basedOn w:val="Normal"/>
    <w:rsid w:val="00482FBC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0">
    <w:name w:val="Char 字元 字元"/>
    <w:basedOn w:val="Normal"/>
    <w:rsid w:val="00954A04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1">
    <w:name w:val="Char 字元 字元"/>
    <w:basedOn w:val="Normal"/>
    <w:rsid w:val="00A710CA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2">
    <w:name w:val="Char 字元 字元"/>
    <w:basedOn w:val="Normal"/>
    <w:rsid w:val="00795DD1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3">
    <w:name w:val="Char 字元 字元"/>
    <w:basedOn w:val="Normal"/>
    <w:rsid w:val="0047145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customStyle="1" w:styleId="Char4">
    <w:name w:val="Char 字元 字元"/>
    <w:basedOn w:val="Normal"/>
    <w:rsid w:val="00404B91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7 (S)</Template>
  <TotalTime>5</TotalTime>
  <Pages>8</Pages>
  <Words>3991</Words>
  <Characters>21600</Characters>
  <Application>Microsoft Office Word</Application>
  <DocSecurity>0</DocSecurity>
  <Lines>864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PCT/WG/7/20</vt:lpstr>
    </vt:vector>
  </TitlesOfParts>
  <Company>WIPO</Company>
  <LinksUpToDate>false</LinksUpToDate>
  <CharactersWithSpaces>25126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PCT/WG/7/20</dc:title>
  <dc:subject>Debate general de las propuestas del PCT 20/20</dc:subject>
  <dc:creator>ZEPEDA LEISTENSCHNEIDER Verónica</dc:creator>
  <dc:description>CPV/vz_x000d_
27.05.14</dc:description>
  <cp:lastModifiedBy>MARLOW Thomas</cp:lastModifiedBy>
  <cp:revision>3</cp:revision>
  <cp:lastPrinted>2014-05-30T13:38:00Z</cp:lastPrinted>
  <dcterms:created xsi:type="dcterms:W3CDTF">2014-05-30T14:58:00Z</dcterms:created>
  <dcterms:modified xsi:type="dcterms:W3CDTF">2014-05-30T15:03:00Z</dcterms:modified>
</cp:coreProperties>
</file>