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F1407" w:rsidTr="0088395E">
        <w:tc>
          <w:tcPr>
            <w:tcW w:w="4513" w:type="dxa"/>
            <w:tcBorders>
              <w:bottom w:val="single" w:sz="4" w:space="0" w:color="auto"/>
            </w:tcBorders>
            <w:tcMar>
              <w:bottom w:w="170" w:type="dxa"/>
            </w:tcMar>
          </w:tcPr>
          <w:p w:rsidR="00E504E5" w:rsidRPr="001F1407" w:rsidRDefault="00E504E5" w:rsidP="00AB613D">
            <w:pPr>
              <w:rPr>
                <w:lang w:val="es-ES_tradnl"/>
              </w:rPr>
            </w:pPr>
          </w:p>
        </w:tc>
        <w:tc>
          <w:tcPr>
            <w:tcW w:w="4337" w:type="dxa"/>
            <w:tcBorders>
              <w:bottom w:val="single" w:sz="4" w:space="0" w:color="auto"/>
            </w:tcBorders>
            <w:tcMar>
              <w:left w:w="0" w:type="dxa"/>
              <w:right w:w="0" w:type="dxa"/>
            </w:tcMar>
          </w:tcPr>
          <w:p w:rsidR="00E504E5" w:rsidRPr="001F1407" w:rsidRDefault="007721A4" w:rsidP="00AB613D">
            <w:pPr>
              <w:rPr>
                <w:lang w:val="es-ES_tradnl"/>
              </w:rPr>
            </w:pPr>
            <w:r w:rsidRPr="001F1407">
              <w:rPr>
                <w:noProof/>
                <w:lang w:eastAsia="es-ES" w:bidi="lo-LA"/>
              </w:rPr>
              <w:drawing>
                <wp:inline distT="0" distB="0" distL="0" distR="0" wp14:anchorId="40BBBDC5" wp14:editId="7D6C185D">
                  <wp:extent cx="1856105" cy="1323975"/>
                  <wp:effectExtent l="0" t="0" r="0" b="9525"/>
                  <wp:docPr id="2"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F1407" w:rsidRDefault="00E504E5" w:rsidP="00AB613D">
            <w:pPr>
              <w:jc w:val="right"/>
              <w:rPr>
                <w:lang w:val="es-ES_tradnl"/>
              </w:rPr>
            </w:pPr>
            <w:r w:rsidRPr="001F1407">
              <w:rPr>
                <w:b/>
                <w:sz w:val="40"/>
                <w:szCs w:val="40"/>
                <w:lang w:val="es-ES_tradnl"/>
              </w:rPr>
              <w:t>S</w:t>
            </w:r>
          </w:p>
        </w:tc>
      </w:tr>
      <w:tr w:rsidR="008B2CC1" w:rsidRPr="001F140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F1407" w:rsidRDefault="00074058" w:rsidP="007721A4">
            <w:pPr>
              <w:jc w:val="right"/>
              <w:rPr>
                <w:rFonts w:ascii="Arial Black" w:hAnsi="Arial Black"/>
                <w:caps/>
                <w:sz w:val="15"/>
                <w:lang w:val="es-ES_tradnl"/>
              </w:rPr>
            </w:pPr>
            <w:r w:rsidRPr="001F1407">
              <w:rPr>
                <w:rFonts w:ascii="Arial Black" w:hAnsi="Arial Black"/>
                <w:caps/>
                <w:sz w:val="15"/>
                <w:lang w:val="es-ES_tradnl"/>
              </w:rPr>
              <w:t>PCT/WG/7/</w:t>
            </w:r>
            <w:bookmarkStart w:id="0" w:name="Code"/>
            <w:bookmarkEnd w:id="0"/>
            <w:r w:rsidR="007721A4" w:rsidRPr="001F1407">
              <w:rPr>
                <w:rFonts w:ascii="Arial Black" w:hAnsi="Arial Black"/>
                <w:caps/>
                <w:sz w:val="15"/>
                <w:lang w:val="es-ES_tradnl"/>
              </w:rPr>
              <w:t>14</w:t>
            </w:r>
          </w:p>
        </w:tc>
      </w:tr>
      <w:tr w:rsidR="008B2CC1" w:rsidRPr="001F1407" w:rsidTr="00AB613D">
        <w:trPr>
          <w:trHeight w:hRule="exact" w:val="170"/>
        </w:trPr>
        <w:tc>
          <w:tcPr>
            <w:tcW w:w="9356" w:type="dxa"/>
            <w:gridSpan w:val="3"/>
            <w:noWrap/>
            <w:tcMar>
              <w:left w:w="0" w:type="dxa"/>
              <w:right w:w="0" w:type="dxa"/>
            </w:tcMar>
            <w:vAlign w:val="bottom"/>
          </w:tcPr>
          <w:p w:rsidR="008B2CC1" w:rsidRPr="001F1407" w:rsidRDefault="008B2CC1" w:rsidP="007721A4">
            <w:pPr>
              <w:jc w:val="right"/>
              <w:rPr>
                <w:rFonts w:ascii="Arial Black" w:hAnsi="Arial Black"/>
                <w:caps/>
                <w:sz w:val="15"/>
                <w:lang w:val="es-ES_tradnl"/>
              </w:rPr>
            </w:pPr>
            <w:r w:rsidRPr="001F1407">
              <w:rPr>
                <w:rFonts w:ascii="Arial Black" w:hAnsi="Arial Black"/>
                <w:caps/>
                <w:sz w:val="15"/>
                <w:lang w:val="es-ES_tradnl"/>
              </w:rPr>
              <w:t>ORIGINAL:</w:t>
            </w:r>
            <w:r w:rsidR="00F84474" w:rsidRPr="001F1407">
              <w:rPr>
                <w:rFonts w:ascii="Arial Black" w:hAnsi="Arial Black"/>
                <w:caps/>
                <w:sz w:val="15"/>
                <w:lang w:val="es-ES_tradnl"/>
              </w:rPr>
              <w:t xml:space="preserve"> </w:t>
            </w:r>
            <w:r w:rsidRPr="001F1407">
              <w:rPr>
                <w:rFonts w:ascii="Arial Black" w:hAnsi="Arial Black"/>
                <w:caps/>
                <w:sz w:val="15"/>
                <w:lang w:val="es-ES_tradnl"/>
              </w:rPr>
              <w:t xml:space="preserve"> </w:t>
            </w:r>
            <w:bookmarkStart w:id="1" w:name="Original"/>
            <w:bookmarkEnd w:id="1"/>
            <w:r w:rsidR="007721A4" w:rsidRPr="001F1407">
              <w:rPr>
                <w:rFonts w:ascii="Arial Black" w:hAnsi="Arial Black"/>
                <w:caps/>
                <w:sz w:val="15"/>
                <w:lang w:val="es-ES_tradnl"/>
              </w:rPr>
              <w:t>inglés</w:t>
            </w:r>
          </w:p>
        </w:tc>
      </w:tr>
      <w:tr w:rsidR="008B2CC1" w:rsidRPr="001F1407" w:rsidTr="00AB613D">
        <w:trPr>
          <w:trHeight w:hRule="exact" w:val="198"/>
        </w:trPr>
        <w:tc>
          <w:tcPr>
            <w:tcW w:w="9356" w:type="dxa"/>
            <w:gridSpan w:val="3"/>
            <w:tcMar>
              <w:left w:w="0" w:type="dxa"/>
              <w:right w:w="0" w:type="dxa"/>
            </w:tcMar>
            <w:vAlign w:val="bottom"/>
          </w:tcPr>
          <w:p w:rsidR="008B2CC1" w:rsidRPr="001F1407" w:rsidRDefault="00675021" w:rsidP="007721A4">
            <w:pPr>
              <w:jc w:val="right"/>
              <w:rPr>
                <w:rFonts w:ascii="Arial Black" w:hAnsi="Arial Black"/>
                <w:caps/>
                <w:sz w:val="15"/>
                <w:lang w:val="es-ES_tradnl"/>
              </w:rPr>
            </w:pPr>
            <w:r w:rsidRPr="001F1407">
              <w:rPr>
                <w:rFonts w:ascii="Arial Black" w:hAnsi="Arial Black"/>
                <w:caps/>
                <w:sz w:val="15"/>
                <w:lang w:val="es-ES_tradnl"/>
              </w:rPr>
              <w:t>fecha</w:t>
            </w:r>
            <w:r w:rsidR="008B2CC1" w:rsidRPr="001F1407">
              <w:rPr>
                <w:rFonts w:ascii="Arial Black" w:hAnsi="Arial Black"/>
                <w:caps/>
                <w:sz w:val="15"/>
                <w:lang w:val="es-ES_tradnl"/>
              </w:rPr>
              <w:t>:</w:t>
            </w:r>
            <w:r w:rsidR="00F84474" w:rsidRPr="001F1407">
              <w:rPr>
                <w:rFonts w:ascii="Arial Black" w:hAnsi="Arial Black"/>
                <w:caps/>
                <w:sz w:val="15"/>
                <w:lang w:val="es-ES_tradnl"/>
              </w:rPr>
              <w:t xml:space="preserve"> </w:t>
            </w:r>
            <w:r w:rsidR="008B2CC1" w:rsidRPr="001F1407">
              <w:rPr>
                <w:rFonts w:ascii="Arial Black" w:hAnsi="Arial Black"/>
                <w:caps/>
                <w:sz w:val="15"/>
                <w:lang w:val="es-ES_tradnl"/>
              </w:rPr>
              <w:t xml:space="preserve"> </w:t>
            </w:r>
            <w:bookmarkStart w:id="2" w:name="Date"/>
            <w:bookmarkEnd w:id="2"/>
            <w:r w:rsidR="007721A4" w:rsidRPr="001F1407">
              <w:rPr>
                <w:rFonts w:ascii="Arial Black" w:hAnsi="Arial Black"/>
                <w:caps/>
                <w:sz w:val="15"/>
                <w:lang w:val="es-ES_tradnl"/>
              </w:rPr>
              <w:t>10 de mayo de 2014</w:t>
            </w:r>
          </w:p>
        </w:tc>
      </w:tr>
    </w:tbl>
    <w:p w:rsidR="008B2CC1" w:rsidRPr="001F1407" w:rsidRDefault="008B2CC1" w:rsidP="007721A4">
      <w:pPr>
        <w:rPr>
          <w:lang w:val="es-ES_tradnl"/>
        </w:rPr>
      </w:pPr>
    </w:p>
    <w:p w:rsidR="008B2CC1" w:rsidRPr="001F1407" w:rsidRDefault="008B2CC1" w:rsidP="008B2CC1">
      <w:pPr>
        <w:rPr>
          <w:lang w:val="es-ES_tradnl"/>
        </w:rPr>
      </w:pPr>
    </w:p>
    <w:p w:rsidR="008B2CC1" w:rsidRPr="001F1407" w:rsidRDefault="008B2CC1" w:rsidP="008B2CC1">
      <w:pPr>
        <w:rPr>
          <w:lang w:val="es-ES_tradnl"/>
        </w:rPr>
      </w:pPr>
    </w:p>
    <w:p w:rsidR="008B2CC1" w:rsidRPr="001F1407" w:rsidRDefault="008B2CC1" w:rsidP="008B2CC1">
      <w:pPr>
        <w:rPr>
          <w:lang w:val="es-ES_tradnl"/>
        </w:rPr>
      </w:pPr>
    </w:p>
    <w:p w:rsidR="008B2CC1" w:rsidRPr="001F1407" w:rsidRDefault="008B2CC1" w:rsidP="008B2CC1">
      <w:pPr>
        <w:rPr>
          <w:lang w:val="es-ES_tradnl"/>
        </w:rPr>
      </w:pPr>
    </w:p>
    <w:p w:rsidR="003D3FF6" w:rsidRPr="001F1407" w:rsidRDefault="003D3FF6" w:rsidP="003D3FF6">
      <w:pPr>
        <w:rPr>
          <w:b/>
          <w:sz w:val="28"/>
          <w:szCs w:val="28"/>
          <w:lang w:val="es-ES_tradnl"/>
        </w:rPr>
      </w:pPr>
      <w:r w:rsidRPr="001F1407">
        <w:rPr>
          <w:b/>
          <w:sz w:val="28"/>
          <w:szCs w:val="28"/>
          <w:lang w:val="es-ES_tradnl"/>
        </w:rPr>
        <w:t>Tratado de Cooperación en materia de Patentes (PCT)</w:t>
      </w:r>
    </w:p>
    <w:p w:rsidR="00B67CDC" w:rsidRPr="001F1407" w:rsidRDefault="003D3FF6" w:rsidP="003D3FF6">
      <w:pPr>
        <w:rPr>
          <w:b/>
          <w:sz w:val="28"/>
          <w:szCs w:val="28"/>
          <w:lang w:val="es-ES_tradnl"/>
        </w:rPr>
      </w:pPr>
      <w:r w:rsidRPr="001F1407">
        <w:rPr>
          <w:b/>
          <w:sz w:val="28"/>
          <w:szCs w:val="28"/>
          <w:lang w:val="es-ES_tradnl"/>
        </w:rPr>
        <w:t>Grupo de Trabajo</w:t>
      </w:r>
    </w:p>
    <w:p w:rsidR="003845C1" w:rsidRPr="001F1407" w:rsidRDefault="003845C1" w:rsidP="003845C1">
      <w:pPr>
        <w:rPr>
          <w:lang w:val="es-ES_tradnl"/>
        </w:rPr>
      </w:pPr>
    </w:p>
    <w:p w:rsidR="003845C1" w:rsidRPr="001F1407" w:rsidRDefault="003845C1" w:rsidP="003845C1">
      <w:pPr>
        <w:rPr>
          <w:lang w:val="es-ES_tradnl"/>
        </w:rPr>
      </w:pPr>
    </w:p>
    <w:p w:rsidR="00B67CDC" w:rsidRPr="001F1407" w:rsidRDefault="003D3FF6" w:rsidP="00B67CDC">
      <w:pPr>
        <w:rPr>
          <w:b/>
          <w:sz w:val="24"/>
          <w:szCs w:val="24"/>
          <w:lang w:val="es-ES_tradnl"/>
        </w:rPr>
      </w:pPr>
      <w:r w:rsidRPr="001F1407">
        <w:rPr>
          <w:b/>
          <w:sz w:val="24"/>
          <w:szCs w:val="24"/>
          <w:lang w:val="es-ES_tradnl"/>
        </w:rPr>
        <w:t xml:space="preserve">Séptima </w:t>
      </w:r>
      <w:r w:rsidR="00CF637F" w:rsidRPr="001F1407">
        <w:rPr>
          <w:b/>
          <w:sz w:val="24"/>
          <w:szCs w:val="24"/>
          <w:lang w:val="es-ES_tradnl"/>
        </w:rPr>
        <w:t>reunión</w:t>
      </w:r>
    </w:p>
    <w:p w:rsidR="00B67CDC" w:rsidRPr="001F1407" w:rsidRDefault="003D3FF6" w:rsidP="00B67CDC">
      <w:pPr>
        <w:rPr>
          <w:b/>
          <w:sz w:val="24"/>
          <w:szCs w:val="24"/>
          <w:lang w:val="es-ES_tradnl"/>
        </w:rPr>
      </w:pPr>
      <w:r w:rsidRPr="001F1407">
        <w:rPr>
          <w:b/>
          <w:sz w:val="24"/>
          <w:szCs w:val="24"/>
          <w:lang w:val="es-ES_tradnl"/>
        </w:rPr>
        <w:t>Ginebra, 10 a 13 de junio de 2014</w:t>
      </w:r>
    </w:p>
    <w:p w:rsidR="007721A4" w:rsidRPr="001F1407" w:rsidRDefault="007721A4" w:rsidP="007721A4">
      <w:pPr>
        <w:rPr>
          <w:lang w:val="es-ES_tradnl"/>
        </w:rPr>
      </w:pPr>
    </w:p>
    <w:p w:rsidR="007721A4" w:rsidRPr="001F1407" w:rsidRDefault="007721A4" w:rsidP="007721A4">
      <w:pPr>
        <w:rPr>
          <w:lang w:val="es-ES_tradnl"/>
        </w:rPr>
      </w:pPr>
    </w:p>
    <w:p w:rsidR="007721A4" w:rsidRPr="001F1407" w:rsidRDefault="007721A4" w:rsidP="007721A4">
      <w:pPr>
        <w:rPr>
          <w:lang w:val="es-ES_tradnl"/>
        </w:rPr>
      </w:pPr>
    </w:p>
    <w:p w:rsidR="007721A4" w:rsidRPr="001F1407" w:rsidRDefault="007721A4" w:rsidP="007721A4">
      <w:pPr>
        <w:rPr>
          <w:caps/>
          <w:sz w:val="24"/>
          <w:lang w:val="es-ES_tradnl"/>
        </w:rPr>
      </w:pPr>
      <w:bookmarkStart w:id="3" w:name="TitleOfDoc"/>
      <w:bookmarkEnd w:id="3"/>
      <w:r w:rsidRPr="001F1407">
        <w:rPr>
          <w:caps/>
          <w:sz w:val="24"/>
          <w:lang w:val="es-ES_tradnl"/>
        </w:rPr>
        <w:t>Coordinación de las actividades de asistencia técnica en el marco del PCT</w:t>
      </w:r>
    </w:p>
    <w:p w:rsidR="007721A4" w:rsidRPr="001F1407" w:rsidRDefault="007721A4" w:rsidP="007721A4">
      <w:pPr>
        <w:rPr>
          <w:lang w:val="es-ES_tradnl"/>
        </w:rPr>
      </w:pPr>
    </w:p>
    <w:p w:rsidR="007721A4" w:rsidRPr="001F1407" w:rsidRDefault="007721A4" w:rsidP="007721A4">
      <w:pPr>
        <w:rPr>
          <w:lang w:val="es-ES_tradnl"/>
        </w:rPr>
      </w:pPr>
      <w:bookmarkStart w:id="4" w:name="Prepared"/>
      <w:bookmarkEnd w:id="4"/>
      <w:r w:rsidRPr="001F1407">
        <w:rPr>
          <w:i/>
          <w:lang w:val="es-ES_tradnl"/>
        </w:rPr>
        <w:t>Documento preparado por la Oficina Internacional</w:t>
      </w:r>
    </w:p>
    <w:p w:rsidR="007721A4" w:rsidRPr="001F1407" w:rsidRDefault="007721A4" w:rsidP="007721A4">
      <w:pPr>
        <w:rPr>
          <w:lang w:val="es-ES_tradnl"/>
        </w:rPr>
      </w:pPr>
    </w:p>
    <w:p w:rsidR="007721A4" w:rsidRPr="001F1407" w:rsidRDefault="007721A4" w:rsidP="007721A4">
      <w:pPr>
        <w:rPr>
          <w:lang w:val="es-ES_tradnl"/>
        </w:rPr>
      </w:pPr>
    </w:p>
    <w:p w:rsidR="007721A4" w:rsidRPr="001F1407" w:rsidRDefault="007721A4" w:rsidP="007721A4">
      <w:pPr>
        <w:rPr>
          <w:lang w:val="es-ES_tradnl"/>
        </w:rPr>
      </w:pPr>
    </w:p>
    <w:p w:rsidR="007721A4" w:rsidRPr="009E7230" w:rsidRDefault="007721A4" w:rsidP="00EE7BB5">
      <w:pPr>
        <w:spacing w:before="240" w:after="60"/>
        <w:outlineLvl w:val="1"/>
        <w:rPr>
          <w:bCs/>
          <w:iCs/>
          <w:caps/>
          <w:szCs w:val="28"/>
          <w:lang w:val="es-ES_tradnl"/>
        </w:rPr>
      </w:pPr>
      <w:r w:rsidRPr="009E7230">
        <w:rPr>
          <w:bCs/>
          <w:iCs/>
          <w:caps/>
          <w:szCs w:val="28"/>
          <w:lang w:val="es-ES_tradnl"/>
        </w:rPr>
        <w:t>ACTIVIDADES DE ASISTENCIA TÉCNICA EN EL MARCO DEL PCT</w:t>
      </w:r>
    </w:p>
    <w:p w:rsidR="007721A4" w:rsidRPr="009E7230" w:rsidRDefault="007721A4" w:rsidP="007721A4">
      <w:pPr>
        <w:numPr>
          <w:ilvl w:val="0"/>
          <w:numId w:val="5"/>
        </w:numPr>
        <w:spacing w:after="220"/>
        <w:rPr>
          <w:lang w:val="es-ES_tradnl"/>
        </w:rPr>
      </w:pPr>
      <w:r w:rsidRPr="009E7230">
        <w:rPr>
          <w:lang w:val="es-ES_tradnl"/>
        </w:rPr>
        <w:t>En su quinta reunión, celebrada e</w:t>
      </w:r>
      <w:r w:rsidR="00551EAF" w:rsidRPr="009E7230">
        <w:rPr>
          <w:lang w:val="es-ES_tradnl"/>
        </w:rPr>
        <w:t>n 2</w:t>
      </w:r>
      <w:r w:rsidRPr="009E7230">
        <w:rPr>
          <w:lang w:val="es-ES_tradnl"/>
        </w:rPr>
        <w:t>012, el Grupo de Trabajo convino en que los informes sobre los proyectos de asistencia técnica relativos al PCT deberían pasar a ser un punto del orden día de sus futu</w:t>
      </w:r>
      <w:r w:rsidR="00064427">
        <w:rPr>
          <w:lang w:val="es-ES_tradnl"/>
        </w:rPr>
        <w:t>ras reuniones (véase el párrafo</w:t>
      </w:r>
      <w:r w:rsidRPr="009E7230">
        <w:rPr>
          <w:lang w:val="es-ES_tradnl"/>
        </w:rPr>
        <w:t> 20 del documento PCT/WG/5/21).</w:t>
      </w:r>
    </w:p>
    <w:p w:rsidR="007721A4" w:rsidRPr="009E7230" w:rsidRDefault="007721A4" w:rsidP="007721A4">
      <w:pPr>
        <w:numPr>
          <w:ilvl w:val="0"/>
          <w:numId w:val="5"/>
        </w:numPr>
        <w:spacing w:after="220"/>
        <w:rPr>
          <w:lang w:val="es-ES_tradnl"/>
        </w:rPr>
      </w:pPr>
      <w:r w:rsidRPr="009E7230">
        <w:rPr>
          <w:lang w:val="es-ES_tradnl"/>
        </w:rPr>
        <w:t>A raíz de dicho acuerdo, la Oficina Internacional sometió a examen del Grupo de Trabajo, en su sexta reunión, celebrada en mayo d</w:t>
      </w:r>
      <w:r w:rsidR="00551EAF" w:rsidRPr="009E7230">
        <w:rPr>
          <w:lang w:val="es-ES_tradnl"/>
        </w:rPr>
        <w:t>e 2</w:t>
      </w:r>
      <w:r w:rsidRPr="009E7230">
        <w:rPr>
          <w:lang w:val="es-ES_tradnl"/>
        </w:rPr>
        <w:t>013, un documento de información sobre las actividades de asistencia técnica realizadas en el marco del PCT por la Oficin</w:t>
      </w:r>
      <w:r w:rsidR="001F1407" w:rsidRPr="009E7230">
        <w:rPr>
          <w:lang w:val="es-ES_tradnl"/>
        </w:rPr>
        <w:t>a I</w:t>
      </w:r>
      <w:r w:rsidRPr="009E7230">
        <w:rPr>
          <w:lang w:val="es-ES_tradnl"/>
        </w:rPr>
        <w:t>nternacional e</w:t>
      </w:r>
      <w:r w:rsidR="00551EAF" w:rsidRPr="009E7230">
        <w:rPr>
          <w:lang w:val="es-ES_tradnl"/>
        </w:rPr>
        <w:t>n 2</w:t>
      </w:r>
      <w:r w:rsidRPr="009E7230">
        <w:rPr>
          <w:lang w:val="es-ES_tradnl"/>
        </w:rPr>
        <w:t>012 y hasta mayo d</w:t>
      </w:r>
      <w:r w:rsidR="00551EAF" w:rsidRPr="009E7230">
        <w:rPr>
          <w:lang w:val="es-ES_tradnl"/>
        </w:rPr>
        <w:t>e 2</w:t>
      </w:r>
      <w:r w:rsidRPr="009E7230">
        <w:rPr>
          <w:lang w:val="es-ES_tradnl"/>
        </w:rPr>
        <w:t>013 que han incidido de forma directa en el uso del PCT por los países en desarrollo, así como el plan de trabajo en el que se contemplan ese tipo de actividades y que se preveía realizar en lo que quedaba d</w:t>
      </w:r>
      <w:r w:rsidR="00551EAF" w:rsidRPr="009E7230">
        <w:rPr>
          <w:lang w:val="es-ES_tradnl"/>
        </w:rPr>
        <w:t>e 2</w:t>
      </w:r>
      <w:r w:rsidRPr="009E7230">
        <w:rPr>
          <w:lang w:val="es-ES_tradnl"/>
        </w:rPr>
        <w:t>013 (documento PCT/WG/6/11).  Dicho documento contenía también información sobre actividades de asistencia técnica relativas al PCT realizadas bajo la supervisión de otros órganos de la OMPI.</w:t>
      </w:r>
    </w:p>
    <w:p w:rsidR="007721A4" w:rsidRPr="009E7230" w:rsidRDefault="007721A4" w:rsidP="007721A4">
      <w:pPr>
        <w:numPr>
          <w:ilvl w:val="0"/>
          <w:numId w:val="5"/>
        </w:numPr>
        <w:spacing w:after="220"/>
        <w:rPr>
          <w:lang w:val="es-ES_tradnl"/>
        </w:rPr>
      </w:pPr>
      <w:r w:rsidRPr="009E7230">
        <w:rPr>
          <w:lang w:val="es-ES_tradnl"/>
        </w:rPr>
        <w:t>Los debates que tuvieron lugar sobre ese tema durante la sexta reunión del Grupo de Trabajo se resumen en los párrafos  56 a 58 del Resumen de la Presidencia de la reunión, documento PCT/WG/6/23, a saber:</w:t>
      </w:r>
    </w:p>
    <w:p w:rsidR="007721A4" w:rsidRPr="009E7230" w:rsidRDefault="007721A4" w:rsidP="00EE7BB5">
      <w:pPr>
        <w:spacing w:after="220"/>
        <w:ind w:left="567"/>
        <w:rPr>
          <w:lang w:val="es-ES_tradnl"/>
        </w:rPr>
      </w:pPr>
      <w:r w:rsidRPr="009E7230">
        <w:rPr>
          <w:lang w:val="es-ES_tradnl"/>
        </w:rPr>
        <w:t>“56.</w:t>
      </w:r>
      <w:r w:rsidRPr="009E7230">
        <w:rPr>
          <w:lang w:val="es-ES_tradnl"/>
        </w:rPr>
        <w:tab/>
        <w:t>Todas las delegaciones que intervinieron con respecto a este asunto dijeron que acogen con satisfacción el informe de la Oficina Internacional sobre los proyectos de asistencia técnica en el marco del PCT ejecutados e</w:t>
      </w:r>
      <w:r w:rsidR="00551EAF" w:rsidRPr="009E7230">
        <w:rPr>
          <w:lang w:val="es-ES_tradnl"/>
        </w:rPr>
        <w:t>n 2</w:t>
      </w:r>
      <w:r w:rsidRPr="009E7230">
        <w:rPr>
          <w:lang w:val="es-ES_tradnl"/>
        </w:rPr>
        <w:t>012 y en lo que va d</w:t>
      </w:r>
      <w:r w:rsidR="00551EAF" w:rsidRPr="009E7230">
        <w:rPr>
          <w:lang w:val="es-ES_tradnl"/>
        </w:rPr>
        <w:t>e 2</w:t>
      </w:r>
      <w:r w:rsidRPr="009E7230">
        <w:rPr>
          <w:lang w:val="es-ES_tradnl"/>
        </w:rPr>
        <w:t>013.</w:t>
      </w:r>
    </w:p>
    <w:p w:rsidR="007721A4" w:rsidRPr="009E7230" w:rsidRDefault="007721A4" w:rsidP="007721A4">
      <w:pPr>
        <w:spacing w:after="220"/>
        <w:ind w:left="567"/>
        <w:rPr>
          <w:lang w:val="es-ES_tradnl"/>
        </w:rPr>
      </w:pPr>
      <w:r w:rsidRPr="009E7230">
        <w:rPr>
          <w:lang w:val="es-ES_tradnl"/>
        </w:rPr>
        <w:t>57.</w:t>
      </w:r>
      <w:r w:rsidRPr="009E7230">
        <w:rPr>
          <w:lang w:val="es-ES_tradnl"/>
        </w:rPr>
        <w:tab/>
        <w:t>Varias delegaciones se felicitaron por la decisión de incluir a partir de ahora tales informes como un punto permanente del orden del día de las futuras sesiones del Grupo de Trabajo, concediendo así a la asistencia técnica a los países en desarrollo y países menos avanzados la misma importancia que la atribuida a otros temas sustantivos debatidos en el seno del Grupo de Trabajo.  En particular, se subrayó el hecho de que el documento también aporta información sobre las actividades previstas para el resto d</w:t>
      </w:r>
      <w:r w:rsidR="00551EAF" w:rsidRPr="009E7230">
        <w:rPr>
          <w:lang w:val="es-ES_tradnl"/>
        </w:rPr>
        <w:t>e 2</w:t>
      </w:r>
      <w:r w:rsidRPr="009E7230">
        <w:rPr>
          <w:lang w:val="es-ES_tradnl"/>
        </w:rPr>
        <w:t>013, contrariamente al modo en que los temas de esta naturaleza son tratados en otros órganos de la OMPI.</w:t>
      </w:r>
    </w:p>
    <w:p w:rsidR="007721A4" w:rsidRPr="009E7230" w:rsidRDefault="007721A4" w:rsidP="007721A4">
      <w:pPr>
        <w:spacing w:after="220"/>
        <w:ind w:left="567"/>
        <w:rPr>
          <w:lang w:val="es-ES_tradnl"/>
        </w:rPr>
      </w:pPr>
      <w:r w:rsidRPr="009E7230">
        <w:rPr>
          <w:lang w:val="es-ES_tradnl"/>
        </w:rPr>
        <w:t>58.</w:t>
      </w:r>
      <w:r w:rsidRPr="009E7230">
        <w:rPr>
          <w:lang w:val="es-ES_tradnl"/>
        </w:rPr>
        <w:tab/>
        <w:t>Algunas otras delegaciones dijeron que, bajo su punto de vista, el documento demuestra que la asistencia técnica propia del PCT constituye un elemento esencial de la asistencia técnica más general dispensada por la OMPI, de la cual puede decirse que es efectiva, completa, que está bien coordinada y que es llevada a efecto por diversos órganos de la OMPI</w:t>
      </w:r>
      <w:r w:rsidR="00551EAF" w:rsidRPr="009E7230">
        <w:rPr>
          <w:lang w:val="es-ES_tradnl"/>
        </w:rPr>
        <w:t>;  e</w:t>
      </w:r>
      <w:r w:rsidRPr="009E7230">
        <w:rPr>
          <w:lang w:val="es-ES_tradnl"/>
        </w:rPr>
        <w:t>n opinión de dichas delegaciones, la asistencia técnica específica del PCT no debe considerarse separadamente de las otras modalidades de asistencia técnica proporcionadas por la OMPI.”</w:t>
      </w:r>
    </w:p>
    <w:p w:rsidR="007721A4" w:rsidRPr="009E7230" w:rsidRDefault="007721A4" w:rsidP="00EE7BB5">
      <w:pPr>
        <w:widowControl w:val="0"/>
        <w:numPr>
          <w:ilvl w:val="0"/>
          <w:numId w:val="5"/>
        </w:numPr>
        <w:spacing w:after="220"/>
        <w:rPr>
          <w:lang w:val="es-ES_tradnl"/>
        </w:rPr>
      </w:pPr>
      <w:r w:rsidRPr="009E7230">
        <w:rPr>
          <w:lang w:val="es-ES_tradnl"/>
        </w:rPr>
        <w:t>En el presente documento se suministra información sobre las actividades de asistencia técnica realizadas en el marco del PCT por la Oficina Internacional e</w:t>
      </w:r>
      <w:r w:rsidR="00551EAF" w:rsidRPr="009E7230">
        <w:rPr>
          <w:lang w:val="es-ES_tradnl"/>
        </w:rPr>
        <w:t>n 2</w:t>
      </w:r>
      <w:r w:rsidRPr="009E7230">
        <w:rPr>
          <w:lang w:val="es-ES_tradnl"/>
        </w:rPr>
        <w:t>013 y en lo que va d</w:t>
      </w:r>
      <w:r w:rsidR="00551EAF" w:rsidRPr="009E7230">
        <w:rPr>
          <w:lang w:val="es-ES_tradnl"/>
        </w:rPr>
        <w:t>e 2</w:t>
      </w:r>
      <w:r w:rsidRPr="009E7230">
        <w:rPr>
          <w:lang w:val="es-ES_tradnl"/>
        </w:rPr>
        <w:t>014 así como sobre el plan de trabajo en el que se contemplan ese tipo de actividades y que se prevé realizar en lo que queda d</w:t>
      </w:r>
      <w:r w:rsidR="00551EAF" w:rsidRPr="009E7230">
        <w:rPr>
          <w:lang w:val="es-ES_tradnl"/>
        </w:rPr>
        <w:t>e 2</w:t>
      </w:r>
      <w:r w:rsidRPr="009E7230">
        <w:rPr>
          <w:lang w:val="es-ES_tradnl"/>
        </w:rPr>
        <w:t>014, tanto en lo que respecta a las actividades de asistencia técnica que tienen una incidencia directa en el uso del PCT por los países en desarrollo como en lo que respecta a las actividades de asistencia técnica relacionadas con el PCT y que se llevan a cabo bajo la supervisión de otros órganos de la OMPI.</w:t>
      </w:r>
    </w:p>
    <w:p w:rsidR="007721A4" w:rsidRPr="009E7230" w:rsidRDefault="007721A4" w:rsidP="00EE7BB5">
      <w:pPr>
        <w:widowControl w:val="0"/>
        <w:spacing w:before="240" w:after="60"/>
        <w:outlineLvl w:val="2"/>
        <w:rPr>
          <w:bCs/>
          <w:szCs w:val="26"/>
          <w:u w:val="single"/>
          <w:lang w:val="es-ES_tradnl"/>
        </w:rPr>
      </w:pPr>
      <w:r w:rsidRPr="009E7230">
        <w:rPr>
          <w:bCs/>
          <w:szCs w:val="26"/>
          <w:u w:val="single"/>
          <w:lang w:val="es-ES_tradnl"/>
        </w:rPr>
        <w:t>Actividades de asistencia técnica que tienen una incidencia directa en el uso del PCT por los países en desarrollo</w:t>
      </w:r>
    </w:p>
    <w:p w:rsidR="007721A4" w:rsidRPr="009E7230" w:rsidRDefault="007721A4" w:rsidP="00EE7BB5">
      <w:pPr>
        <w:widowControl w:val="0"/>
        <w:numPr>
          <w:ilvl w:val="0"/>
          <w:numId w:val="5"/>
        </w:numPr>
        <w:spacing w:after="220"/>
        <w:rPr>
          <w:lang w:val="es-ES_tradnl"/>
        </w:rPr>
      </w:pPr>
      <w:r w:rsidRPr="009E7230">
        <w:rPr>
          <w:lang w:val="es-ES_tradnl"/>
        </w:rPr>
        <w:t>En los anexos del presente documento se suministra información sobre las actividades de asistencia técnica que tienen una incidencia directa en el uso del PCT por los países en desarrollo.  El Anexo I contiene una lista exhaustiva de todas las actividades de esa índole que se han realizado e</w:t>
      </w:r>
      <w:r w:rsidR="00551EAF" w:rsidRPr="009E7230">
        <w:rPr>
          <w:lang w:val="es-ES_tradnl"/>
        </w:rPr>
        <w:t>n 2</w:t>
      </w:r>
      <w:r w:rsidRPr="009E7230">
        <w:rPr>
          <w:lang w:val="es-ES_tradnl"/>
        </w:rPr>
        <w:t>013.  El Anexo II contiene una lista de todas las actividades de esa índole que se han llevado en lo que va d</w:t>
      </w:r>
      <w:r w:rsidR="00551EAF" w:rsidRPr="009E7230">
        <w:rPr>
          <w:lang w:val="es-ES_tradnl"/>
        </w:rPr>
        <w:t>e 2</w:t>
      </w:r>
      <w:r w:rsidRPr="009E7230">
        <w:rPr>
          <w:lang w:val="es-ES_tradnl"/>
        </w:rPr>
        <w:t>014 y en él se expone también el plan de trabajo para lo que queda d</w:t>
      </w:r>
      <w:r w:rsidR="00551EAF" w:rsidRPr="009E7230">
        <w:rPr>
          <w:lang w:val="es-ES_tradnl"/>
        </w:rPr>
        <w:t>e 2</w:t>
      </w:r>
      <w:r w:rsidRPr="009E7230">
        <w:rPr>
          <w:lang w:val="es-ES_tradnl"/>
        </w:rPr>
        <w:t>014.  La información se presenta con el mismo formato utilizado para presentar la información al Grupo de Trabajo en su reunión del año pasado y se exponen las actividades realizadas en las que al menos uno de los países beneficiarios está entre los Estados que pueden acogerse a una reducción de tasas del PCT conforme a</w:t>
      </w:r>
      <w:r w:rsidR="001F1407" w:rsidRPr="009E7230">
        <w:rPr>
          <w:lang w:val="es-ES_tradnl"/>
        </w:rPr>
        <w:t>l p</w:t>
      </w:r>
      <w:r w:rsidRPr="009E7230">
        <w:rPr>
          <w:lang w:val="es-ES_tradnl"/>
        </w:rPr>
        <w:t>unt</w:t>
      </w:r>
      <w:r w:rsidR="00551EAF" w:rsidRPr="009E7230">
        <w:rPr>
          <w:lang w:val="es-ES_tradnl"/>
        </w:rPr>
        <w:t>o 5</w:t>
      </w:r>
      <w:r w:rsidRPr="009E7230">
        <w:rPr>
          <w:lang w:val="es-ES_tradnl"/>
        </w:rPr>
        <w:t xml:space="preserve"> de la tabla de tasas del PCT.  Para más antecedentes acerca de la planificación y puesta en práctica de dichas actividades de asistencia técnica, cabe remitirse a los párrafo</w:t>
      </w:r>
      <w:r w:rsidR="00551EAF" w:rsidRPr="009E7230">
        <w:rPr>
          <w:lang w:val="es-ES_tradnl"/>
        </w:rPr>
        <w:t>s 5</w:t>
      </w:r>
      <w:r w:rsidRPr="009E7230">
        <w:rPr>
          <w:lang w:val="es-ES_tradnl"/>
        </w:rPr>
        <w:t xml:space="preserve"> </w:t>
      </w:r>
      <w:r w:rsidR="00551EAF" w:rsidRPr="009E7230">
        <w:rPr>
          <w:lang w:val="es-ES_tradnl"/>
        </w:rPr>
        <w:t>a 1</w:t>
      </w:r>
      <w:r w:rsidRPr="009E7230">
        <w:rPr>
          <w:lang w:val="es-ES_tradnl"/>
        </w:rPr>
        <w:t>1 del documento PCT/WG/6/11.</w:t>
      </w:r>
    </w:p>
    <w:p w:rsidR="007721A4" w:rsidRPr="009E7230" w:rsidRDefault="007721A4" w:rsidP="00EE7BB5">
      <w:pPr>
        <w:widowControl w:val="0"/>
        <w:spacing w:before="240" w:after="60"/>
        <w:outlineLvl w:val="2"/>
        <w:rPr>
          <w:bCs/>
          <w:szCs w:val="26"/>
          <w:u w:val="single"/>
          <w:lang w:val="es-ES_tradnl"/>
        </w:rPr>
      </w:pPr>
      <w:r w:rsidRPr="009E7230">
        <w:rPr>
          <w:bCs/>
          <w:szCs w:val="26"/>
          <w:u w:val="single"/>
          <w:lang w:val="es-ES_tradnl"/>
        </w:rPr>
        <w:t xml:space="preserve">Actividades de asistencia técnica </w:t>
      </w:r>
      <w:r w:rsidR="003761A6">
        <w:rPr>
          <w:bCs/>
          <w:szCs w:val="26"/>
          <w:u w:val="single"/>
          <w:lang w:val="es-ES_tradnl"/>
        </w:rPr>
        <w:t>relativas al</w:t>
      </w:r>
      <w:r w:rsidRPr="009E7230">
        <w:rPr>
          <w:bCs/>
          <w:szCs w:val="26"/>
          <w:u w:val="single"/>
          <w:lang w:val="es-ES_tradnl"/>
        </w:rPr>
        <w:t xml:space="preserve"> PCT realizadas bajo la supervisión de otros órganos de la OMPI</w:t>
      </w:r>
    </w:p>
    <w:p w:rsidR="007721A4" w:rsidRPr="009E7230" w:rsidRDefault="007721A4" w:rsidP="00EE7BB5">
      <w:pPr>
        <w:widowControl w:val="0"/>
        <w:numPr>
          <w:ilvl w:val="0"/>
          <w:numId w:val="5"/>
        </w:numPr>
        <w:spacing w:after="220"/>
        <w:rPr>
          <w:lang w:val="es-ES_tradnl"/>
        </w:rPr>
      </w:pPr>
      <w:r w:rsidRPr="009E7230">
        <w:rPr>
          <w:lang w:val="es-ES_tradnl"/>
        </w:rPr>
        <w:t xml:space="preserve">Como se explica en los párrafos 12 </w:t>
      </w:r>
      <w:r w:rsidR="00551EAF" w:rsidRPr="009E7230">
        <w:rPr>
          <w:lang w:val="es-ES_tradnl"/>
        </w:rPr>
        <w:t>y 1</w:t>
      </w:r>
      <w:r w:rsidRPr="009E7230">
        <w:rPr>
          <w:lang w:val="es-ES_tradnl"/>
        </w:rPr>
        <w:t>3 del documento PCT/WG/6/11, muchas actividades de asistencia técnica relativas al desarrollo del sistema de patentes de los países en desarrollo, como se contempla en el artícul</w:t>
      </w:r>
      <w:r w:rsidR="00551EAF" w:rsidRPr="009E7230">
        <w:rPr>
          <w:lang w:val="es-ES_tradnl"/>
        </w:rPr>
        <w:t>o 5</w:t>
      </w:r>
      <w:r w:rsidRPr="009E7230">
        <w:rPr>
          <w:lang w:val="es-ES_tradnl"/>
        </w:rPr>
        <w:t>1 del PCT y que van más allá de las actividades que tienen una incidencia directa en el uso del PCT por los países en desarrollo</w:t>
      </w:r>
      <w:r w:rsidR="00973E15">
        <w:rPr>
          <w:lang w:val="es-ES_tradnl"/>
        </w:rPr>
        <w:t>,</w:t>
      </w:r>
      <w:r w:rsidRPr="009E7230">
        <w:rPr>
          <w:lang w:val="es-ES_tradnl"/>
        </w:rPr>
        <w:t xml:space="preserve"> se llevan a cabo bajo la supervisión de otros órganos de la OMPI (no relacionados con el PCT), en particular, el Comité de Desarrollo y Propiedad Intelectual (CDIP), el Comité de Normas Técnicas de la OMPI (CWS) y la Asamblea General de la OMPI.</w:t>
      </w:r>
    </w:p>
    <w:p w:rsidR="007721A4" w:rsidRPr="009E7230" w:rsidRDefault="007721A4" w:rsidP="00EE7BB5">
      <w:pPr>
        <w:widowControl w:val="0"/>
        <w:numPr>
          <w:ilvl w:val="0"/>
          <w:numId w:val="5"/>
        </w:numPr>
        <w:spacing w:after="220"/>
        <w:rPr>
          <w:lang w:val="es-ES_tradnl"/>
        </w:rPr>
      </w:pPr>
      <w:r w:rsidRPr="009E7230">
        <w:rPr>
          <w:lang w:val="es-ES_tradnl"/>
        </w:rPr>
        <w:t xml:space="preserve">Enumerar detalladamente todas las actividades y los proyectos de ese tipo </w:t>
      </w:r>
      <w:r w:rsidR="00973E15">
        <w:rPr>
          <w:lang w:val="es-ES_tradnl"/>
        </w:rPr>
        <w:t>queda fuera del alcance</w:t>
      </w:r>
      <w:r w:rsidRPr="009E7230">
        <w:rPr>
          <w:lang w:val="es-ES_tradnl"/>
        </w:rPr>
        <w:t xml:space="preserve"> del presente documento pero en los párrafos que figuran a continuación se proporcionan varios ejemplos a ese respecto.  Para más información sobre los proyectos de ese tipo de los que se ha informado al Grupo de Trabajo e</w:t>
      </w:r>
      <w:r w:rsidR="00551EAF" w:rsidRPr="009E7230">
        <w:rPr>
          <w:lang w:val="es-ES_tradnl"/>
        </w:rPr>
        <w:t>n 2</w:t>
      </w:r>
      <w:r w:rsidRPr="009E7230">
        <w:rPr>
          <w:lang w:val="es-ES_tradnl"/>
        </w:rPr>
        <w:t>013, cabe remitirse al párraf</w:t>
      </w:r>
      <w:r w:rsidR="00551EAF" w:rsidRPr="009E7230">
        <w:rPr>
          <w:lang w:val="es-ES_tradnl"/>
        </w:rPr>
        <w:t>o 1</w:t>
      </w:r>
      <w:r w:rsidRPr="009E7230">
        <w:rPr>
          <w:lang w:val="es-ES_tradnl"/>
        </w:rPr>
        <w:t>3 del documento PCT/WG/6/11.</w:t>
      </w:r>
    </w:p>
    <w:p w:rsidR="007721A4" w:rsidRPr="009E7230" w:rsidRDefault="007721A4" w:rsidP="00EE7BB5">
      <w:pPr>
        <w:widowControl w:val="0"/>
        <w:spacing w:after="220"/>
        <w:ind w:left="567"/>
        <w:rPr>
          <w:lang w:val="es-ES_tradnl"/>
        </w:rPr>
      </w:pPr>
      <w:r w:rsidRPr="009E7230">
        <w:rPr>
          <w:lang w:val="es-ES_tradnl"/>
        </w:rPr>
        <w:t>a)</w:t>
      </w:r>
      <w:r w:rsidRPr="009E7230">
        <w:rPr>
          <w:lang w:val="es-ES_tradnl"/>
        </w:rPr>
        <w:tab/>
        <w:t xml:space="preserve">Los proyectos de la Agenda para el Desarrollo DA_08_02 “Acceso a bases de datos especializadas” y DA_16_20_02 “Las patentes y el dominio público” realizados bajo la supervisión del CDIP </w:t>
      </w:r>
      <w:r w:rsidR="00973E15">
        <w:rPr>
          <w:lang w:val="es-ES_tradnl"/>
        </w:rPr>
        <w:t>fueron reseñados en el</w:t>
      </w:r>
      <w:r w:rsidRPr="009E7230">
        <w:rPr>
          <w:lang w:val="es-ES_tradnl"/>
        </w:rPr>
        <w:t xml:space="preserve"> informe presentado al Grupo de Trabajo e</w:t>
      </w:r>
      <w:r w:rsidR="00551EAF" w:rsidRPr="009E7230">
        <w:rPr>
          <w:lang w:val="es-ES_tradnl"/>
        </w:rPr>
        <w:t>n 2</w:t>
      </w:r>
      <w:r w:rsidRPr="009E7230">
        <w:rPr>
          <w:lang w:val="es-ES_tradnl"/>
        </w:rPr>
        <w:t>013.  En la duodécima sesión del CDIP, celebrada en noviembre d</w:t>
      </w:r>
      <w:r w:rsidR="00551EAF" w:rsidRPr="009E7230">
        <w:rPr>
          <w:lang w:val="es-ES_tradnl"/>
        </w:rPr>
        <w:t>e 2</w:t>
      </w:r>
      <w:r w:rsidRPr="009E7230">
        <w:rPr>
          <w:lang w:val="es-ES_tradnl"/>
        </w:rPr>
        <w:t>013, se examinaron los informes sobre los progresos realizados en relación con dichos proyectos (Véanse los Anexos I y VIII del documento CDIP/12/2), además del documento “Estudio sobre las patentes y el dominio público (II)” (documento CDIP/12/INF/2 Rev.).  En la decimotercera sesión del CDIP, que tendrá lugar en Ginebra, de</w:t>
      </w:r>
      <w:r w:rsidR="00551EAF" w:rsidRPr="009E7230">
        <w:rPr>
          <w:lang w:val="es-ES_tradnl"/>
        </w:rPr>
        <w:t>l 1</w:t>
      </w:r>
      <w:r w:rsidRPr="009E7230">
        <w:rPr>
          <w:lang w:val="es-ES_tradnl"/>
        </w:rPr>
        <w:t>9 al 23 de mayo d</w:t>
      </w:r>
      <w:r w:rsidR="00551EAF" w:rsidRPr="009E7230">
        <w:rPr>
          <w:lang w:val="es-ES_tradnl"/>
        </w:rPr>
        <w:t>e 2</w:t>
      </w:r>
      <w:r w:rsidRPr="009E7230">
        <w:rPr>
          <w:lang w:val="es-ES_tradnl"/>
        </w:rPr>
        <w:t>014, se presentará un informe de evaluación acerca del proyecto “Las patentes y el dominio público”.</w:t>
      </w:r>
    </w:p>
    <w:p w:rsidR="007721A4" w:rsidRPr="009E7230" w:rsidRDefault="007721A4" w:rsidP="00EE7BB5">
      <w:pPr>
        <w:widowControl w:val="0"/>
        <w:spacing w:after="220"/>
        <w:ind w:left="567"/>
        <w:rPr>
          <w:lang w:val="es-ES_tradnl"/>
        </w:rPr>
      </w:pPr>
      <w:r w:rsidRPr="009E7230">
        <w:rPr>
          <w:lang w:val="es-ES_tradnl"/>
        </w:rPr>
        <w:t>b)</w:t>
      </w:r>
      <w:r w:rsidRPr="009E7230">
        <w:rPr>
          <w:lang w:val="es-ES_tradnl"/>
        </w:rPr>
        <w:tab/>
        <w:t>La fase II del proyecto de la Agenda para el Desarrollo DA_19_30_31_02</w:t>
      </w:r>
      <w:r w:rsidRPr="009E7230">
        <w:rPr>
          <w:vertAlign w:val="superscript"/>
          <w:lang w:val="es-ES_tradnl"/>
        </w:rPr>
        <w:footnoteReference w:id="2"/>
      </w:r>
      <w:r w:rsidRPr="009E7230">
        <w:rPr>
          <w:lang w:val="es-ES_tradnl"/>
        </w:rPr>
        <w:t xml:space="preserve"> “Creación de instrumentos de acceso a la información sobre patentes”, que se ha llevado a cabo bajo la supervisión del CDIP</w:t>
      </w:r>
      <w:r w:rsidR="003A23F9">
        <w:rPr>
          <w:lang w:val="es-ES_tradnl"/>
        </w:rPr>
        <w:t>,</w:t>
      </w:r>
      <w:r w:rsidRPr="009E7230">
        <w:rPr>
          <w:lang w:val="es-ES_tradnl"/>
        </w:rPr>
        <w:t xml:space="preserve"> es una continuación de la fase I del proyecto, que se ejecutó entre enero de 2010 y julio de 2012.  El proyecto tiene por finalidad mejorar el acceso a las tecnologías divulgadas en las publicaciones sobre patentes y los conocimientos acerca de las tendencias en materia de patentamiento y las pautas en innovación en campos específicos de la tecnología, acerca de los cuales se prepararán informes sobre la actividad de patentamiento (informes “PLR” por sus siglas en inglés) y fomentar la creación de capacidades en adopción de mejores prácticas y metodologías de búsqueda en materia de patentes en esos ámbitos.  En el marco del proyecto se prepararán nuevos informes sobre la actividad de patentamiento y se fomentará la difusión de información y el fortalecimiento de </w:t>
      </w:r>
      <w:r w:rsidR="005D33F4">
        <w:rPr>
          <w:lang w:val="es-ES_tradnl"/>
        </w:rPr>
        <w:t xml:space="preserve">capacidades, </w:t>
      </w:r>
      <w:r w:rsidRPr="009E7230">
        <w:rPr>
          <w:lang w:val="es-ES_tradnl"/>
        </w:rPr>
        <w:t>en particular</w:t>
      </w:r>
      <w:r w:rsidR="005D33F4">
        <w:rPr>
          <w:lang w:val="es-ES_tradnl"/>
        </w:rPr>
        <w:t>,</w:t>
      </w:r>
      <w:r w:rsidRPr="009E7230">
        <w:rPr>
          <w:lang w:val="es-ES_tradnl"/>
        </w:rPr>
        <w:t xml:space="preserve"> mediante la organización de una conferencia regional sobre análisis de patentes, con objeto de redactar directrices de elaboración de informes PLR y difusión e intercambio de las mejores prácticas entre las oficinas de P.I. y las instituciones que trabajan en ese ámbito.  El primer informe sobre los progresos realizados en relación con la fase II de este proyecto fue presentado al CDIP en su duodécima sesión, celebrada en noviembre de 2013 (véase el Anexo XIII del documento CDIP/12/2).</w:t>
      </w:r>
    </w:p>
    <w:p w:rsidR="007721A4" w:rsidRPr="009E7230" w:rsidRDefault="007721A4" w:rsidP="00EE7BB5">
      <w:pPr>
        <w:widowControl w:val="0"/>
        <w:spacing w:after="220"/>
        <w:ind w:left="567"/>
        <w:rPr>
          <w:rFonts w:eastAsia="MS Mincho"/>
          <w:szCs w:val="22"/>
          <w:lang w:val="es-ES_tradnl" w:eastAsia="ja-JP"/>
        </w:rPr>
      </w:pPr>
      <w:r w:rsidRPr="009E7230">
        <w:rPr>
          <w:lang w:val="es-ES_tradnl"/>
        </w:rPr>
        <w:t>c)</w:t>
      </w:r>
      <w:r w:rsidRPr="009E7230">
        <w:rPr>
          <w:lang w:val="es-ES_tradnl"/>
        </w:rPr>
        <w:tab/>
        <w:t>E</w:t>
      </w:r>
      <w:r w:rsidR="00551EAF" w:rsidRPr="009E7230">
        <w:rPr>
          <w:lang w:val="es-ES_tradnl"/>
        </w:rPr>
        <w:t>n 2</w:t>
      </w:r>
      <w:r w:rsidRPr="009E7230">
        <w:rPr>
          <w:lang w:val="es-ES_tradnl"/>
        </w:rPr>
        <w:t xml:space="preserve">013 se presentaron informes al Grupo de Trabajo acerca de las actividades de asistencia técnica realizadas en el marco del </w:t>
      </w:r>
      <w:r w:rsidRPr="009E7230">
        <w:rPr>
          <w:lang w:val="es-ES_tradnl" w:eastAsia="en-US"/>
        </w:rPr>
        <w:t xml:space="preserve">Programa 15 (“Soluciones operativas para las oficinas de P.I.”) </w:t>
      </w:r>
      <w:r w:rsidRPr="009E7230">
        <w:rPr>
          <w:lang w:val="es-ES_tradnl"/>
        </w:rPr>
        <w:t>con la finalidad de establecer y consolida</w:t>
      </w:r>
      <w:r w:rsidR="001F1407" w:rsidRPr="009E7230">
        <w:rPr>
          <w:lang w:val="es-ES_tradnl"/>
        </w:rPr>
        <w:t>r i</w:t>
      </w:r>
      <w:r w:rsidRPr="009E7230">
        <w:rPr>
          <w:lang w:val="es-ES_tradnl"/>
        </w:rPr>
        <w:t>nstituciones de P.I. nacionales y regionales mediante la prestación de servicios de modernización.  En los párrafo</w:t>
      </w:r>
      <w:r w:rsidR="00551EAF" w:rsidRPr="009E7230">
        <w:rPr>
          <w:lang w:val="es-ES_tradnl"/>
        </w:rPr>
        <w:t>s 5</w:t>
      </w:r>
      <w:r w:rsidRPr="009E7230">
        <w:rPr>
          <w:lang w:val="es-ES_tradnl"/>
        </w:rPr>
        <w:t xml:space="preserve"> </w:t>
      </w:r>
      <w:r w:rsidR="00551EAF" w:rsidRPr="009E7230">
        <w:rPr>
          <w:lang w:val="es-ES_tradnl"/>
        </w:rPr>
        <w:t>y 6</w:t>
      </w:r>
      <w:r w:rsidRPr="009E7230">
        <w:rPr>
          <w:lang w:val="es-ES_tradnl"/>
        </w:rPr>
        <w:t xml:space="preserve"> del documento</w:t>
      </w:r>
      <w:r w:rsidRPr="009E7230">
        <w:rPr>
          <w:lang w:val="es-ES_tradnl" w:eastAsia="en-US"/>
        </w:rPr>
        <w:t xml:space="preserve"> </w:t>
      </w:r>
      <w:r w:rsidRPr="009E7230">
        <w:rPr>
          <w:rFonts w:eastAsia="MS Mincho"/>
          <w:szCs w:val="22"/>
          <w:lang w:val="es-ES_tradnl" w:eastAsia="ja-JP"/>
        </w:rPr>
        <w:t>CWS/4/</w:t>
      </w:r>
      <w:r w:rsidR="00B21098" w:rsidRPr="009E7230">
        <w:rPr>
          <w:rFonts w:eastAsia="MS Mincho"/>
          <w:szCs w:val="22"/>
          <w:lang w:val="es-ES_tradnl" w:eastAsia="ja-JP"/>
        </w:rPr>
        <w:t>13,</w:t>
      </w:r>
      <w:r w:rsidRPr="009E7230">
        <w:rPr>
          <w:rFonts w:eastAsia="MS Mincho"/>
          <w:szCs w:val="22"/>
          <w:lang w:val="es-ES_tradnl" w:eastAsia="ja-JP"/>
        </w:rPr>
        <w:t xml:space="preserve"> destinado a la cuarta sesión el CWS, prevista para mayo d</w:t>
      </w:r>
      <w:r w:rsidR="00551EAF" w:rsidRPr="009E7230">
        <w:rPr>
          <w:rFonts w:eastAsia="MS Mincho"/>
          <w:szCs w:val="22"/>
          <w:lang w:val="es-ES_tradnl" w:eastAsia="ja-JP"/>
        </w:rPr>
        <w:t>e 2</w:t>
      </w:r>
      <w:r w:rsidRPr="009E7230">
        <w:rPr>
          <w:rFonts w:eastAsia="MS Mincho"/>
          <w:szCs w:val="22"/>
          <w:lang w:val="es-ES_tradnl" w:eastAsia="ja-JP"/>
        </w:rPr>
        <w:t xml:space="preserve">014, se informa acerca de </w:t>
      </w:r>
      <w:r w:rsidR="005D33F4">
        <w:rPr>
          <w:rFonts w:eastAsia="MS Mincho"/>
          <w:szCs w:val="22"/>
          <w:lang w:val="es-ES_tradnl" w:eastAsia="ja-JP"/>
        </w:rPr>
        <w:t>otras</w:t>
      </w:r>
      <w:r w:rsidRPr="009E7230">
        <w:rPr>
          <w:rFonts w:eastAsia="MS Mincho"/>
          <w:szCs w:val="22"/>
          <w:lang w:val="es-ES_tradnl" w:eastAsia="ja-JP"/>
        </w:rPr>
        <w:t xml:space="preserve"> actividades realizadas en el marco del Program</w:t>
      </w:r>
      <w:r w:rsidR="00551EAF" w:rsidRPr="009E7230">
        <w:rPr>
          <w:rFonts w:eastAsia="MS Mincho"/>
          <w:szCs w:val="22"/>
          <w:lang w:val="es-ES_tradnl" w:eastAsia="ja-JP"/>
        </w:rPr>
        <w:t>a 1</w:t>
      </w:r>
      <w:r w:rsidRPr="009E7230">
        <w:rPr>
          <w:rFonts w:eastAsia="MS Mincho"/>
          <w:szCs w:val="22"/>
          <w:lang w:val="es-ES_tradnl" w:eastAsia="ja-JP"/>
        </w:rPr>
        <w:t>5.  Entre los servicios que se prestan en el marco del Programa están: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w:t>
      </w:r>
      <w:r w:rsidRPr="009E7230">
        <w:rPr>
          <w:vertAlign w:val="superscript"/>
          <w:lang w:val="es-ES_tradnl" w:eastAsia="en-US"/>
        </w:rPr>
        <w:footnoteReference w:id="3"/>
      </w:r>
    </w:p>
    <w:p w:rsidR="007721A4" w:rsidRPr="009E7230" w:rsidRDefault="007721A4" w:rsidP="00EE7BB5">
      <w:pPr>
        <w:widowControl w:val="0"/>
        <w:spacing w:after="220"/>
        <w:ind w:left="567"/>
        <w:rPr>
          <w:lang w:val="es-ES_tradnl"/>
        </w:rPr>
      </w:pPr>
      <w:r w:rsidRPr="009E7230">
        <w:rPr>
          <w:rFonts w:eastAsia="MS Mincho"/>
          <w:szCs w:val="22"/>
          <w:lang w:val="es-ES_tradnl" w:eastAsia="ja-JP"/>
        </w:rPr>
        <w:t>d)</w:t>
      </w:r>
      <w:r w:rsidRPr="009E7230">
        <w:rPr>
          <w:rFonts w:eastAsia="MS Mincho"/>
          <w:szCs w:val="22"/>
          <w:lang w:val="es-ES_tradnl" w:eastAsia="ja-JP"/>
        </w:rPr>
        <w:tab/>
      </w:r>
      <w:r w:rsidRPr="009E7230">
        <w:rPr>
          <w:lang w:val="es-ES_tradnl"/>
        </w:rPr>
        <w:t>E</w:t>
      </w:r>
      <w:r w:rsidR="00551EAF" w:rsidRPr="009E7230">
        <w:rPr>
          <w:lang w:val="es-ES_tradnl"/>
        </w:rPr>
        <w:t>n 2</w:t>
      </w:r>
      <w:r w:rsidRPr="009E7230">
        <w:rPr>
          <w:lang w:val="es-ES_tradnl"/>
        </w:rPr>
        <w:t xml:space="preserve">013 se presentaron informes al Grupo de Trabajo acerca de las actividades de asistencia técnica realizadas en el marco del </w:t>
      </w:r>
      <w:r w:rsidRPr="009E7230">
        <w:rPr>
          <w:lang w:val="es-ES_tradnl" w:eastAsia="en-US"/>
        </w:rPr>
        <w:t>Programa 14 (“</w:t>
      </w:r>
      <w:r w:rsidRPr="009E7230">
        <w:rPr>
          <w:rFonts w:eastAsia="MS Mincho"/>
          <w:szCs w:val="22"/>
          <w:lang w:val="es-ES_tradnl" w:eastAsia="ja-JP"/>
        </w:rPr>
        <w:t>Servicios de acceso a la información y a los conocimientos”) con la finalidad de favorecer un mayor acceso a la información sobre patentes por parte de las oficinas de P.I. de los países en desarrollo</w:t>
      </w:r>
      <w:r w:rsidR="00551EAF" w:rsidRPr="009E7230">
        <w:rPr>
          <w:rFonts w:eastAsia="MS Mincho"/>
          <w:szCs w:val="22"/>
          <w:lang w:val="es-ES_tradnl" w:eastAsia="ja-JP"/>
        </w:rPr>
        <w:t>.</w:t>
      </w:r>
      <w:r w:rsidR="00551EAF" w:rsidRPr="009E7230">
        <w:rPr>
          <w:lang w:val="es-ES_tradnl"/>
        </w:rPr>
        <w:t xml:space="preserve"> </w:t>
      </w:r>
      <w:r w:rsidR="00551EAF" w:rsidRPr="009E7230">
        <w:rPr>
          <w:rFonts w:eastAsia="MS Mincho"/>
          <w:szCs w:val="22"/>
          <w:lang w:val="es-ES_tradnl" w:eastAsia="ja-JP"/>
        </w:rPr>
        <w:t xml:space="preserve"> </w:t>
      </w:r>
      <w:r w:rsidR="00551EAF" w:rsidRPr="009E7230">
        <w:rPr>
          <w:lang w:val="es-ES_tradnl"/>
        </w:rPr>
        <w:t>E</w:t>
      </w:r>
      <w:r w:rsidRPr="009E7230">
        <w:rPr>
          <w:lang w:val="es-ES_tradnl"/>
        </w:rPr>
        <w:t>n el párrafo 10 del documento CWS/4/13 se informa acerca de otras actividades, por ejemplo</w:t>
      </w:r>
      <w:r w:rsidRPr="009E7230">
        <w:rPr>
          <w:rFonts w:eastAsia="MS Mincho"/>
          <w:szCs w:val="22"/>
          <w:lang w:val="es-ES_tradnl" w:eastAsia="ja-JP"/>
        </w:rPr>
        <w:t>, la colaboración de</w:t>
      </w:r>
      <w:r w:rsidRPr="009E7230">
        <w:rPr>
          <w:lang w:val="es-ES_tradnl"/>
        </w:rPr>
        <w:t xml:space="preserve"> la Oficina Internacional con las oficinas de P.I. de determinados grupos de países en desarrollo para fomentar el intercambio de datos de patentes a fin de facilitar a los usuarios de tales países el acceso a la información sobre patentes procedentes de dichas oficinas de P.I.</w:t>
      </w:r>
      <w:r w:rsidRPr="009E7230">
        <w:rPr>
          <w:rFonts w:eastAsia="MS Mincho"/>
          <w:szCs w:val="22"/>
          <w:lang w:val="es-ES_tradnl" w:eastAsia="ja-JP"/>
        </w:rPr>
        <w:t xml:space="preserve">  Las colecciones de patentes de los siguientes países en desarrollo </w:t>
      </w:r>
      <w:r w:rsidR="005D33F4">
        <w:rPr>
          <w:rFonts w:eastAsia="MS Mincho"/>
          <w:szCs w:val="22"/>
          <w:lang w:val="es-ES_tradnl" w:eastAsia="ja-JP"/>
        </w:rPr>
        <w:t>fueron incorporadas a</w:t>
      </w:r>
      <w:r w:rsidRPr="009E7230">
        <w:rPr>
          <w:rFonts w:eastAsia="MS Mincho"/>
          <w:szCs w:val="22"/>
          <w:lang w:val="es-ES_tradnl" w:eastAsia="ja-JP"/>
        </w:rPr>
        <w:t xml:space="preserve"> Patentscope durante 2013</w:t>
      </w:r>
      <w:r w:rsidR="00551EAF" w:rsidRPr="009E7230">
        <w:rPr>
          <w:rFonts w:eastAsia="MS Mincho"/>
          <w:szCs w:val="22"/>
          <w:lang w:val="es-ES_tradnl" w:eastAsia="ja-JP"/>
        </w:rPr>
        <w:t>:  B</w:t>
      </w:r>
      <w:r w:rsidRPr="009E7230">
        <w:rPr>
          <w:rFonts w:eastAsia="MS Mincho"/>
          <w:szCs w:val="22"/>
          <w:lang w:val="es-ES_tradnl" w:eastAsia="ja-JP"/>
        </w:rPr>
        <w:t xml:space="preserve">ahrein, China, Egipto </w:t>
      </w:r>
      <w:r w:rsidR="005D33F4">
        <w:rPr>
          <w:rFonts w:eastAsia="MS Mincho"/>
          <w:szCs w:val="22"/>
          <w:lang w:val="es-ES_tradnl" w:eastAsia="ja-JP"/>
        </w:rPr>
        <w:t>y</w:t>
      </w:r>
      <w:r w:rsidRPr="009E7230">
        <w:rPr>
          <w:rFonts w:eastAsia="MS Mincho"/>
          <w:szCs w:val="22"/>
          <w:lang w:val="es-ES_tradnl" w:eastAsia="ja-JP"/>
        </w:rPr>
        <w:t xml:space="preserve"> Emiratos Árabes Unidos.</w:t>
      </w:r>
    </w:p>
    <w:p w:rsidR="007721A4" w:rsidRPr="009E7230" w:rsidRDefault="007721A4" w:rsidP="00EE7BB5">
      <w:pPr>
        <w:widowControl w:val="0"/>
        <w:spacing w:after="220"/>
        <w:ind w:left="567"/>
        <w:rPr>
          <w:lang w:val="es-ES_tradnl"/>
        </w:rPr>
      </w:pPr>
      <w:r w:rsidRPr="009E7230">
        <w:rPr>
          <w:lang w:val="es-ES_tradnl"/>
        </w:rPr>
        <w:t>e)</w:t>
      </w:r>
      <w:r w:rsidRPr="009E7230">
        <w:rPr>
          <w:lang w:val="es-ES_tradnl"/>
        </w:rPr>
        <w:tab/>
        <w:t>E</w:t>
      </w:r>
      <w:r w:rsidR="00551EAF" w:rsidRPr="009E7230">
        <w:rPr>
          <w:lang w:val="es-ES_tradnl"/>
        </w:rPr>
        <w:t>n 2</w:t>
      </w:r>
      <w:r w:rsidRPr="009E7230">
        <w:rPr>
          <w:lang w:val="es-ES_tradnl"/>
        </w:rPr>
        <w:t>013 se presentaron informes al Grupo de Trabajo acerca de las actividades de asistencia técnica destinadas a fomentar la presentación de comunicaciones en forma electrónica en los países en desarrollo y países menos adelantados y en los países en transición, conforme al punt</w:t>
      </w:r>
      <w:r w:rsidR="00551EAF" w:rsidRPr="009E7230">
        <w:rPr>
          <w:lang w:val="es-ES_tradnl"/>
        </w:rPr>
        <w:t>o 4</w:t>
      </w:r>
      <w:r w:rsidRPr="009E7230">
        <w:rPr>
          <w:lang w:val="es-ES_tradnl"/>
        </w:rPr>
        <w:t xml:space="preserve"> de las declaraciones concertadas por la Conferencia Diplomática para la Adopción del PLT.  En su período de sesiones de septiembre/octubre d</w:t>
      </w:r>
      <w:r w:rsidR="00551EAF" w:rsidRPr="009E7230">
        <w:rPr>
          <w:lang w:val="es-ES_tradnl"/>
        </w:rPr>
        <w:t>e 2</w:t>
      </w:r>
      <w:r w:rsidRPr="009E7230">
        <w:rPr>
          <w:lang w:val="es-ES_tradnl"/>
        </w:rPr>
        <w:t>013, la Asamblea General de la OMPI examinó un informe acerca de la última actualidad relativa a esas</w:t>
      </w:r>
      <w:r w:rsidR="005D33F4">
        <w:rPr>
          <w:lang w:val="es-ES_tradnl"/>
        </w:rPr>
        <w:t xml:space="preserve"> actividades</w:t>
      </w:r>
      <w:r w:rsidRPr="009E7230">
        <w:rPr>
          <w:lang w:val="es-ES_tradnl"/>
        </w:rPr>
        <w:t xml:space="preserve"> (véase el documento WO/GA/43/15).</w:t>
      </w:r>
    </w:p>
    <w:p w:rsidR="007721A4" w:rsidRPr="009E7230" w:rsidRDefault="007721A4" w:rsidP="00EE7BB5">
      <w:pPr>
        <w:widowControl w:val="0"/>
        <w:numPr>
          <w:ilvl w:val="0"/>
          <w:numId w:val="5"/>
        </w:numPr>
        <w:spacing w:after="220"/>
        <w:rPr>
          <w:lang w:val="es-ES_tradnl"/>
        </w:rPr>
      </w:pPr>
      <w:r w:rsidRPr="009E7230">
        <w:rPr>
          <w:lang w:val="es-ES_tradnl"/>
        </w:rPr>
        <w:t xml:space="preserve">En la base de datos de asistencia técnica </w:t>
      </w:r>
      <w:r w:rsidR="001F1407" w:rsidRPr="009E7230">
        <w:rPr>
          <w:lang w:val="es-ES_tradnl"/>
        </w:rPr>
        <w:t>(</w:t>
      </w:r>
      <w:hyperlink r:id="rId9" w:history="1">
        <w:r w:rsidRPr="009E7230">
          <w:rPr>
            <w:color w:val="0000FF"/>
            <w:u w:val="single"/>
            <w:lang w:val="es-ES_tradnl"/>
          </w:rPr>
          <w:t>www.wipo.int/tad/es</w:t>
        </w:r>
      </w:hyperlink>
      <w:r w:rsidRPr="009E7230">
        <w:rPr>
          <w:lang w:val="es-ES_tradnl"/>
        </w:rPr>
        <w:t xml:space="preserve">) hay más información general sobre las actividades de asistencia técnica realizadas por la OMPI en relación con los países menos adelantados, los países en desarrollo y los países en transición.  A ello cabe añadir el exhaustivo manual sobre la prestación de asistencia técnica preparado </w:t>
      </w:r>
      <w:r w:rsidR="000E3FA9">
        <w:rPr>
          <w:lang w:val="es-ES_tradnl"/>
        </w:rPr>
        <w:t>a raíz de</w:t>
      </w:r>
      <w:r w:rsidRPr="009E7230">
        <w:rPr>
          <w:lang w:val="es-ES_tradnl"/>
        </w:rPr>
        <w:t xml:space="preserve"> una recomendación formulada por el CDIP en su undécima sesión (véase el párrafo 7.b) del resumen de la presidencia de dicha sesión).  Dicho manual fue presentado al CDIP en su duodécima sesión, celebrada en noviembre de 2013 (documento CDIP/12/7).  En él se resalta</w:t>
      </w:r>
      <w:r w:rsidR="000E3FA9">
        <w:rPr>
          <w:lang w:val="es-ES_tradnl"/>
        </w:rPr>
        <w:t>n</w:t>
      </w:r>
      <w:r w:rsidRPr="009E7230">
        <w:rPr>
          <w:lang w:val="es-ES_tradnl"/>
        </w:rPr>
        <w:t xml:space="preserve"> e</w:t>
      </w:r>
      <w:r w:rsidR="000E3FA9">
        <w:rPr>
          <w:lang w:val="es-ES_tradnl"/>
        </w:rPr>
        <w:t>l</w:t>
      </w:r>
      <w:r w:rsidRPr="009E7230">
        <w:rPr>
          <w:lang w:val="es-ES_tradnl"/>
        </w:rPr>
        <w:t xml:space="preserve"> objetivo principal de la asistencia técnica y los principios de la Agenda de la OMPI para el Desarrollo que son el eje de la puesta en práctica de dicha asistencia y se resumen las características principales de las políticas en ese ámbito</w:t>
      </w:r>
      <w:r w:rsidR="000E3FA9">
        <w:rPr>
          <w:lang w:val="es-ES_tradnl"/>
        </w:rPr>
        <w:t>,</w:t>
      </w:r>
      <w:r w:rsidRPr="009E7230">
        <w:rPr>
          <w:lang w:val="es-ES_tradnl"/>
        </w:rPr>
        <w:t xml:space="preserve"> además de ofrecer detalles en relación con los principales ámbitos de la asistencia técnica y otras actividades conexas.  Muchas de las actividades que se contemplan en la base de datos y en el manual tienen por finalidad ayudar a los países a desarrollar su sistema de patentes.</w:t>
      </w:r>
    </w:p>
    <w:p w:rsidR="007721A4" w:rsidRPr="009E7230" w:rsidRDefault="007721A4" w:rsidP="00EE7BB5">
      <w:pPr>
        <w:widowControl w:val="0"/>
        <w:spacing w:before="240" w:after="60"/>
        <w:outlineLvl w:val="1"/>
        <w:rPr>
          <w:bCs/>
          <w:iCs/>
          <w:caps/>
          <w:szCs w:val="28"/>
          <w:lang w:val="es-ES_tradnl"/>
        </w:rPr>
      </w:pPr>
      <w:r w:rsidRPr="009E7230">
        <w:rPr>
          <w:bCs/>
          <w:iCs/>
          <w:caps/>
          <w:szCs w:val="28"/>
          <w:lang w:val="es-ES_tradnl"/>
        </w:rPr>
        <w:t>FUNCIONAMIENTO DEL PCT:  ORGANIZACIÓN DE ACTIVIDADES DE ASISTENCIA TÉCNICA A LOS PAÍSES EN DESARROLLO</w:t>
      </w:r>
    </w:p>
    <w:p w:rsidR="007721A4" w:rsidRPr="009E7230" w:rsidRDefault="007721A4" w:rsidP="00EE7BB5">
      <w:pPr>
        <w:widowControl w:val="0"/>
        <w:numPr>
          <w:ilvl w:val="0"/>
          <w:numId w:val="5"/>
        </w:numPr>
        <w:spacing w:after="220"/>
        <w:rPr>
          <w:lang w:val="es-ES_tradnl"/>
        </w:rPr>
      </w:pPr>
      <w:r w:rsidRPr="009E7230">
        <w:rPr>
          <w:lang w:val="es-ES_tradnl"/>
        </w:rPr>
        <w:t>En su sexta reunión,</w:t>
      </w:r>
      <w:r w:rsidR="000E3FA9">
        <w:rPr>
          <w:lang w:val="es-ES_tradnl"/>
        </w:rPr>
        <w:t xml:space="preserve"> la Oficina Internacional suministró al</w:t>
      </w:r>
      <w:r w:rsidRPr="009E7230">
        <w:rPr>
          <w:lang w:val="es-ES_tradnl"/>
        </w:rPr>
        <w:t xml:space="preserve"> Grupo de Trabajo</w:t>
      </w:r>
      <w:r w:rsidR="000E3FA9">
        <w:rPr>
          <w:lang w:val="es-ES_tradnl"/>
        </w:rPr>
        <w:t xml:space="preserve"> información</w:t>
      </w:r>
      <w:r w:rsidRPr="009E7230">
        <w:rPr>
          <w:lang w:val="es-ES_tradnl"/>
        </w:rPr>
        <w:t xml:space="preserve"> actualizada acerca del “examen independiente </w:t>
      </w:r>
      <w:r w:rsidR="000E3FA9">
        <w:rPr>
          <w:lang w:val="es-ES_tradnl"/>
        </w:rPr>
        <w:t>de</w:t>
      </w:r>
      <w:r w:rsidRPr="009E7230">
        <w:rPr>
          <w:lang w:val="es-ES_tradnl"/>
        </w:rPr>
        <w:t xml:space="preserve"> la asistencia técnica que presta la OMPI en el marco de la cooperación para el desarrollo” (documento CDIP/8/INF/1) (el “examen independiente”) y documentos conexos del CDIP (véanse los párrafo</w:t>
      </w:r>
      <w:r w:rsidR="00551EAF" w:rsidRPr="009E7230">
        <w:rPr>
          <w:lang w:val="es-ES_tradnl"/>
        </w:rPr>
        <w:t>s 1</w:t>
      </w:r>
      <w:r w:rsidRPr="009E7230">
        <w:rPr>
          <w:lang w:val="es-ES_tradnl"/>
        </w:rPr>
        <w:t>5 a 17 del documento PCT/WG/6/11 y el párraf</w:t>
      </w:r>
      <w:r w:rsidR="00551EAF" w:rsidRPr="009E7230">
        <w:rPr>
          <w:lang w:val="es-ES_tradnl"/>
        </w:rPr>
        <w:t>o 2</w:t>
      </w:r>
      <w:r w:rsidRPr="009E7230">
        <w:rPr>
          <w:lang w:val="es-ES_tradnl"/>
        </w:rPr>
        <w:t>22 del informe de la reunión, documento PCT/WG/6/24).  En el párraf</w:t>
      </w:r>
      <w:r w:rsidR="00551EAF" w:rsidRPr="009E7230">
        <w:rPr>
          <w:lang w:val="es-ES_tradnl"/>
        </w:rPr>
        <w:t>o 5</w:t>
      </w:r>
      <w:r w:rsidRPr="009E7230">
        <w:rPr>
          <w:lang w:val="es-ES_tradnl"/>
        </w:rPr>
        <w:t>9</w:t>
      </w:r>
      <w:r w:rsidR="000E3FA9">
        <w:rPr>
          <w:lang w:val="es-ES_tradnl"/>
        </w:rPr>
        <w:t xml:space="preserve"> del resumen de la presidencia (</w:t>
      </w:r>
      <w:r w:rsidRPr="009E7230">
        <w:rPr>
          <w:lang w:val="es-ES_tradnl"/>
        </w:rPr>
        <w:t>documento PCT/WG/6/23), se resumen los debates acerca de ese tema, a saber:</w:t>
      </w:r>
    </w:p>
    <w:p w:rsidR="007721A4" w:rsidRPr="009E7230" w:rsidRDefault="007721A4" w:rsidP="00EE7BB5">
      <w:pPr>
        <w:widowControl w:val="0"/>
        <w:spacing w:after="220"/>
        <w:ind w:left="567"/>
        <w:rPr>
          <w:lang w:val="es-ES_tradnl"/>
        </w:rPr>
      </w:pPr>
      <w:r w:rsidRPr="009E7230">
        <w:rPr>
          <w:lang w:val="es-ES_tradnl"/>
        </w:rPr>
        <w:t>“59.</w:t>
      </w:r>
      <w:r w:rsidRPr="009E7230">
        <w:rPr>
          <w:lang w:val="es-ES_tradnl"/>
        </w:rPr>
        <w:tab/>
        <w:t>Las delegaciones expresaron opiniones divergentes acerca de si, tal como se acordó en la quinta reunión del Grupo de Trabajo, este último debería demorar su análisis sobre el tratamiento de las recomendaciones de la hoja de ruta del PCT con respecto a la asistencia técnica hasta tener el resultado de lo debatido en el seno del CDIP sobre el Examen independiente y documentos conexos.  Varias delegaciones manifestaron que, a su entender, el Grupo de Trabajo debería iniciar el análisis, y señalaron que este Grupo de Trabajo tiene la función de examinar la asistencia técnica específica del PCT para posibilitar que los países en desarrollo puedan beneficiarse del sistema PCT, mientras que el papel del CDIP consiste en evaluar la asistencia técnica, debatir los proyectos y elaborar propuestas para el desarrollo en términos más generales.  Algunas otras delegaciones se declararon partidarias de continuar esperando al resultado de las deliberaciones del CDIP, para evitar la duplicación de esfuerzos.”</w:t>
      </w:r>
    </w:p>
    <w:p w:rsidR="007721A4" w:rsidRPr="009E7230" w:rsidRDefault="007721A4" w:rsidP="00EE7BB5">
      <w:pPr>
        <w:widowControl w:val="0"/>
        <w:numPr>
          <w:ilvl w:val="0"/>
          <w:numId w:val="5"/>
        </w:numPr>
        <w:spacing w:after="220"/>
        <w:rPr>
          <w:lang w:val="es-ES_tradnl"/>
        </w:rPr>
      </w:pPr>
      <w:r w:rsidRPr="009E7230">
        <w:rPr>
          <w:lang w:val="es-ES_tradnl"/>
        </w:rPr>
        <w:t>En su duodécima sesión, celebrada en Ginebra, de</w:t>
      </w:r>
      <w:r w:rsidR="00551EAF" w:rsidRPr="009E7230">
        <w:rPr>
          <w:lang w:val="es-ES_tradnl"/>
        </w:rPr>
        <w:t>l 1</w:t>
      </w:r>
      <w:r w:rsidRPr="009E7230">
        <w:rPr>
          <w:lang w:val="es-ES_tradnl"/>
        </w:rPr>
        <w:t>8 a</w:t>
      </w:r>
      <w:r w:rsidR="00551EAF" w:rsidRPr="009E7230">
        <w:rPr>
          <w:lang w:val="es-ES_tradnl"/>
        </w:rPr>
        <w:t>l 2</w:t>
      </w:r>
      <w:r w:rsidRPr="009E7230">
        <w:rPr>
          <w:lang w:val="es-ES_tradnl"/>
        </w:rPr>
        <w:t>1 de noviembre d</w:t>
      </w:r>
      <w:r w:rsidR="00551EAF" w:rsidRPr="009E7230">
        <w:rPr>
          <w:lang w:val="es-ES_tradnl"/>
        </w:rPr>
        <w:t>e 2</w:t>
      </w:r>
      <w:r w:rsidRPr="009E7230">
        <w:rPr>
          <w:lang w:val="es-ES_tradnl"/>
        </w:rPr>
        <w:t>013, el CDIP prosiguió los debates relativos al examen independiente;  dichos debates se resumen en los párrafo</w:t>
      </w:r>
      <w:r w:rsidR="00551EAF" w:rsidRPr="009E7230">
        <w:rPr>
          <w:lang w:val="es-ES_tradnl"/>
        </w:rPr>
        <w:t>s 1</w:t>
      </w:r>
      <w:r w:rsidRPr="009E7230">
        <w:rPr>
          <w:lang w:val="es-ES_tradnl"/>
        </w:rPr>
        <w:t xml:space="preserve">3 </w:t>
      </w:r>
      <w:r w:rsidR="00551EAF" w:rsidRPr="009E7230">
        <w:rPr>
          <w:lang w:val="es-ES_tradnl"/>
        </w:rPr>
        <w:t>y 1</w:t>
      </w:r>
      <w:r w:rsidR="000E3FA9">
        <w:rPr>
          <w:lang w:val="es-ES_tradnl"/>
        </w:rPr>
        <w:t>4 del resumen de la p</w:t>
      </w:r>
      <w:r w:rsidRPr="009E7230">
        <w:rPr>
          <w:lang w:val="es-ES_tradnl"/>
        </w:rPr>
        <w:t>residencia de la sesión, a saber:</w:t>
      </w:r>
    </w:p>
    <w:p w:rsidR="007721A4" w:rsidRPr="009E7230" w:rsidRDefault="007721A4" w:rsidP="00EE7BB5">
      <w:pPr>
        <w:widowControl w:val="0"/>
        <w:spacing w:after="220"/>
        <w:ind w:left="567"/>
        <w:rPr>
          <w:lang w:val="es-ES_tradnl"/>
        </w:rPr>
      </w:pPr>
      <w:r w:rsidRPr="009E7230">
        <w:rPr>
          <w:lang w:val="es-ES_tradnl"/>
        </w:rPr>
        <w:t>“13.</w:t>
      </w:r>
      <w:r w:rsidRPr="009E7230">
        <w:rPr>
          <w:lang w:val="es-ES_tradnl"/>
        </w:rPr>
        <w:tab/>
        <w:t>El Comité examinó el examen independiente sobre la asistencia técnica que presta la OMPI en el marco de la cooperación para el desarrollo (documentos:  CDIP/8/INF/1, CDIP/9/14, CDIP/9/15, CDIP/9/16 y CDIP/11/4).  El Comité decidió continuar los debates sobre este tema en su próxima sesión.</w:t>
      </w:r>
    </w:p>
    <w:p w:rsidR="007721A4" w:rsidRPr="009E7230" w:rsidRDefault="007721A4" w:rsidP="00EE7BB5">
      <w:pPr>
        <w:widowControl w:val="0"/>
        <w:spacing w:after="220"/>
        <w:ind w:left="567"/>
        <w:rPr>
          <w:lang w:val="es-ES_tradnl"/>
        </w:rPr>
      </w:pPr>
      <w:r w:rsidRPr="009E7230">
        <w:rPr>
          <w:lang w:val="es-ES_tradnl"/>
        </w:rPr>
        <w:t>14.</w:t>
      </w:r>
      <w:r w:rsidRPr="009E7230">
        <w:rPr>
          <w:lang w:val="es-ES_tradnl"/>
        </w:rPr>
        <w:tab/>
        <w:t>En lo que respecta al examen independiente sobre la asistencia técnica que presta la OMPI en el marco de la cooperación para el desarrollo, y conforme a las decisiones que tomó en su undécima sesión (párraf</w:t>
      </w:r>
      <w:r w:rsidR="00551EAF" w:rsidRPr="009E7230">
        <w:rPr>
          <w:lang w:val="es-ES_tradnl"/>
        </w:rPr>
        <w:t>o 7</w:t>
      </w:r>
      <w:r w:rsidRPr="009E7230">
        <w:rPr>
          <w:lang w:val="es-ES_tradnl"/>
        </w:rPr>
        <w:t xml:space="preserve">.b)i), ii) y iii) del Resumen de la Presidencia), el Comité: </w:t>
      </w:r>
    </w:p>
    <w:p w:rsidR="007721A4" w:rsidRPr="009E7230" w:rsidRDefault="007721A4" w:rsidP="00EE7BB5">
      <w:pPr>
        <w:widowControl w:val="0"/>
        <w:spacing w:after="220"/>
        <w:ind w:left="1134"/>
        <w:rPr>
          <w:lang w:val="es-ES_tradnl"/>
        </w:rPr>
      </w:pPr>
      <w:r w:rsidRPr="009E7230">
        <w:rPr>
          <w:lang w:val="es-ES_tradnl"/>
        </w:rPr>
        <w:t>i)</w:t>
      </w:r>
      <w:r w:rsidRPr="009E7230">
        <w:rPr>
          <w:lang w:val="es-ES_tradnl"/>
        </w:rPr>
        <w:tab/>
        <w:t xml:space="preserve">tomó nota del manual de la OMPI sobre prestación de asistencia técnica que consta en el documento CDIP/12/7 y expresó satisfacción con el contenido del documento.  La Secretaría apuntó los comentarios formulados por los Estados miembros, en particular, sobre la publicación del manual como folleto </w:t>
      </w:r>
      <w:r w:rsidR="001F1407" w:rsidRPr="009E7230">
        <w:rPr>
          <w:lang w:val="es-ES_tradnl"/>
        </w:rPr>
        <w:t>y l</w:t>
      </w:r>
      <w:r w:rsidRPr="009E7230">
        <w:rPr>
          <w:lang w:val="es-ES_tradnl"/>
        </w:rPr>
        <w:t>a actualización constante de su contenido;  y</w:t>
      </w:r>
    </w:p>
    <w:p w:rsidR="007721A4" w:rsidRPr="009E7230" w:rsidRDefault="007721A4" w:rsidP="00EE7BB5">
      <w:pPr>
        <w:widowControl w:val="0"/>
        <w:spacing w:after="220"/>
        <w:ind w:left="1134"/>
        <w:rPr>
          <w:lang w:val="es-ES_tradnl"/>
        </w:rPr>
      </w:pPr>
      <w:r w:rsidRPr="009E7230">
        <w:rPr>
          <w:lang w:val="es-ES_tradnl"/>
        </w:rPr>
        <w:t>ii)</w:t>
      </w:r>
      <w:r w:rsidRPr="009E7230">
        <w:rPr>
          <w:lang w:val="es-ES_tradnl"/>
        </w:rPr>
        <w:tab/>
        <w:t>tomó nota de las presentaciones realizadas acerca de la restructuración del sitio web de la OMPI y de la base de datos de asistencia técnica.”</w:t>
      </w:r>
    </w:p>
    <w:p w:rsidR="007721A4" w:rsidRPr="009E7230" w:rsidRDefault="007721A4" w:rsidP="00EE7BB5">
      <w:pPr>
        <w:widowControl w:val="0"/>
        <w:numPr>
          <w:ilvl w:val="0"/>
          <w:numId w:val="5"/>
        </w:numPr>
        <w:spacing w:after="220"/>
        <w:rPr>
          <w:lang w:val="es-ES_tradnl"/>
        </w:rPr>
      </w:pPr>
      <w:r w:rsidRPr="009E7230">
        <w:rPr>
          <w:lang w:val="es-ES_tradnl"/>
        </w:rPr>
        <w:t>La Oficina Internacional informará verbalmente al Grupo de Trabajo sobre el resultado de los debates acerca del examen independiente y documentos conexos en la decimotercera sesión del CDIP, cuya celebración está prevista en Ginebra, del 19 al 23 de mayo d</w:t>
      </w:r>
      <w:r w:rsidR="00551EAF" w:rsidRPr="009E7230">
        <w:rPr>
          <w:lang w:val="es-ES_tradnl"/>
        </w:rPr>
        <w:t>e 2</w:t>
      </w:r>
      <w:r w:rsidRPr="009E7230">
        <w:rPr>
          <w:lang w:val="es-ES_tradnl"/>
        </w:rPr>
        <w:t>014.</w:t>
      </w:r>
    </w:p>
    <w:p w:rsidR="007721A4" w:rsidRPr="009E7230" w:rsidRDefault="007721A4" w:rsidP="00EE7BB5">
      <w:pPr>
        <w:widowControl w:val="0"/>
        <w:numPr>
          <w:ilvl w:val="0"/>
          <w:numId w:val="5"/>
        </w:numPr>
        <w:spacing w:after="220"/>
        <w:ind w:left="5533"/>
        <w:rPr>
          <w:i/>
          <w:lang w:val="es-ES_tradnl"/>
        </w:rPr>
      </w:pPr>
      <w:r w:rsidRPr="009E7230">
        <w:rPr>
          <w:i/>
          <w:lang w:val="es-ES_tradnl"/>
        </w:rPr>
        <w:t xml:space="preserve">Se invita al Grupo de Trabajo </w:t>
      </w:r>
      <w:r w:rsidR="001F1407" w:rsidRPr="009E7230">
        <w:rPr>
          <w:i/>
          <w:lang w:val="es-ES_tradnl"/>
        </w:rPr>
        <w:t>a t</w:t>
      </w:r>
      <w:r w:rsidRPr="009E7230">
        <w:rPr>
          <w:i/>
          <w:lang w:val="es-ES_tradnl"/>
        </w:rPr>
        <w:t>omar nota del contenido del presente documento.</w:t>
      </w:r>
    </w:p>
    <w:p w:rsidR="007721A4" w:rsidRPr="001F1407" w:rsidRDefault="007721A4" w:rsidP="00EE7BB5">
      <w:pPr>
        <w:widowControl w:val="0"/>
        <w:ind w:left="5534"/>
        <w:rPr>
          <w:lang w:val="es-ES_tradnl"/>
        </w:rPr>
        <w:sectPr w:rsidR="007721A4" w:rsidRPr="001F1407" w:rsidSect="00B21098">
          <w:headerReference w:type="default" r:id="rId10"/>
          <w:endnotePr>
            <w:numFmt w:val="decimal"/>
          </w:endnotePr>
          <w:pgSz w:w="11907" w:h="16840" w:code="9"/>
          <w:pgMar w:top="567" w:right="1134" w:bottom="1418" w:left="1418" w:header="510" w:footer="1021" w:gutter="0"/>
          <w:cols w:space="720"/>
          <w:titlePg/>
          <w:docGrid w:linePitch="299"/>
        </w:sectPr>
      </w:pPr>
      <w:r w:rsidRPr="009E7230">
        <w:rPr>
          <w:lang w:val="es-ES_tradnl"/>
        </w:rPr>
        <w:t>[Siguen los Anexos]</w:t>
      </w:r>
    </w:p>
    <w:p w:rsidR="007721A4" w:rsidRPr="001F1407" w:rsidRDefault="007721A4" w:rsidP="00EE7BB5">
      <w:pPr>
        <w:widowControl w:val="0"/>
        <w:spacing w:before="120"/>
        <w:jc w:val="center"/>
        <w:outlineLvl w:val="1"/>
        <w:rPr>
          <w:bCs/>
          <w:iCs/>
          <w:caps/>
          <w:szCs w:val="28"/>
          <w:u w:val="single"/>
          <w:lang w:val="es-ES_tradnl"/>
        </w:rPr>
      </w:pPr>
      <w:r w:rsidRPr="001F1407">
        <w:rPr>
          <w:bCs/>
          <w:iCs/>
          <w:caps/>
          <w:szCs w:val="28"/>
          <w:lang w:val="es-ES_tradnl"/>
        </w:rPr>
        <w:t>ActiviDADes de asistencia técnica que tienen una incidencia directa en el PCT</w:t>
      </w:r>
      <w:r w:rsidRPr="001F1407">
        <w:rPr>
          <w:bCs/>
          <w:iCs/>
          <w:caps/>
          <w:szCs w:val="28"/>
          <w:lang w:val="es-ES_tradnl"/>
        </w:rPr>
        <w:br/>
        <w:t>(</w:t>
      </w:r>
      <w:r w:rsidRPr="001F1407">
        <w:rPr>
          <w:bCs/>
          <w:i/>
          <w:iCs/>
          <w:szCs w:val="28"/>
          <w:lang w:val="es-ES_tradnl"/>
        </w:rPr>
        <w:t>realizadas en 2013</w:t>
      </w:r>
      <w:r w:rsidRPr="001F1407">
        <w:rPr>
          <w:bCs/>
          <w:i/>
          <w:iCs/>
          <w:caps/>
          <w:szCs w:val="28"/>
          <w:lang w:val="es-ES_tradnl"/>
        </w:rPr>
        <w:t>)</w:t>
      </w:r>
    </w:p>
    <w:p w:rsidR="007721A4" w:rsidRPr="001F1407" w:rsidRDefault="007721A4" w:rsidP="00EE7BB5">
      <w:pPr>
        <w:widowControl w:val="0"/>
        <w:tabs>
          <w:tab w:val="left" w:pos="2925"/>
        </w:tabs>
        <w:rPr>
          <w:lang w:val="es-ES_tradnl"/>
        </w:rPr>
      </w:pPr>
    </w:p>
    <w:p w:rsidR="007721A4" w:rsidRPr="001F1407" w:rsidRDefault="007721A4" w:rsidP="00EE7BB5">
      <w:pPr>
        <w:widowControl w:val="0"/>
        <w:spacing w:after="220"/>
        <w:rPr>
          <w:lang w:val="es-ES_tradnl"/>
        </w:rPr>
      </w:pPr>
      <w:r w:rsidRPr="001F1407">
        <w:rPr>
          <w:lang w:val="es-ES_tradnl"/>
        </w:rPr>
        <w:t>En el presente Anexo figura una lista de todas las actividades de asistencia técnica realizadas en 2013 y que tienen una incidencia directa en el uso del PCT por los países en desarrollo, desglosadas conforme a la actividad de que se trat</w:t>
      </w:r>
      <w:r w:rsidR="00F64A9B">
        <w:rPr>
          <w:lang w:val="es-ES_tradnl"/>
        </w:rPr>
        <w:t>a</w:t>
      </w:r>
      <w:r w:rsidRPr="001F1407">
        <w:rPr>
          <w:lang w:val="es-ES_tradnl"/>
        </w:rPr>
        <w:t>, a saber:</w:t>
      </w:r>
    </w:p>
    <w:p w:rsidR="007721A4" w:rsidRPr="001F1407" w:rsidRDefault="007721A4" w:rsidP="00EE7BB5">
      <w:pPr>
        <w:widowControl w:val="0"/>
        <w:spacing w:after="220"/>
        <w:rPr>
          <w:lang w:val="es-ES_tradnl"/>
        </w:rPr>
      </w:pPr>
      <w:r w:rsidRPr="001F1407">
        <w:rPr>
          <w:i/>
          <w:lang w:val="es-ES_tradnl"/>
        </w:rPr>
        <w:t>a)</w:t>
      </w:r>
      <w:r w:rsidRPr="001F1407">
        <w:rPr>
          <w:i/>
          <w:lang w:val="es-ES_tradnl"/>
        </w:rPr>
        <w:tab/>
        <w:t xml:space="preserve">Información general relativa a las patentes </w:t>
      </w:r>
      <w:r w:rsidRPr="001F1407">
        <w:rPr>
          <w:lang w:val="es-ES_tradnl"/>
        </w:rPr>
        <w:t>(</w:t>
      </w:r>
      <w:r w:rsidR="00F64A9B">
        <w:rPr>
          <w:lang w:val="es-ES_tradnl"/>
        </w:rPr>
        <w:t>actividad señalada</w:t>
      </w:r>
      <w:r w:rsidRPr="001F1407">
        <w:rPr>
          <w:i/>
          <w:lang w:val="es-ES_tradnl"/>
        </w:rPr>
        <w:t xml:space="preserve"> con “A” en el cuadro</w:t>
      </w:r>
      <w:r w:rsidRPr="001F1407">
        <w:rPr>
          <w:lang w:val="es-ES_tradnl"/>
        </w:rPr>
        <w:t xml:space="preserve">).  Las actividades de suministro de información en materia de protección por patente y del </w:t>
      </w:r>
      <w:r w:rsidRPr="001F1407">
        <w:rPr>
          <w:snapToGrid w:val="0"/>
          <w:lang w:val="es-ES_tradnl"/>
        </w:rPr>
        <w:t>sistema internacional de patentes</w:t>
      </w:r>
      <w:r w:rsidRPr="001F1407">
        <w:rPr>
          <w:lang w:val="es-ES_tradnl"/>
        </w:rPr>
        <w:t xml:space="preserve"> en general se refieren a </w:t>
      </w:r>
      <w:r w:rsidR="00F64A9B">
        <w:rPr>
          <w:lang w:val="es-ES_tradnl"/>
        </w:rPr>
        <w:t>eventos</w:t>
      </w:r>
      <w:r w:rsidRPr="001F1407">
        <w:rPr>
          <w:lang w:val="es-ES_tradnl"/>
        </w:rPr>
        <w:t xml:space="preserve"> en los que tienen lugar </w:t>
      </w:r>
      <w:r w:rsidR="00F64A9B">
        <w:rPr>
          <w:lang w:val="es-ES_tradnl"/>
        </w:rPr>
        <w:t xml:space="preserve">charlas </w:t>
      </w:r>
      <w:r w:rsidRPr="001F1407">
        <w:rPr>
          <w:lang w:val="es-ES_tradnl"/>
        </w:rPr>
        <w:t xml:space="preserve">sobre aspectos del </w:t>
      </w:r>
      <w:r w:rsidRPr="001F1407">
        <w:rPr>
          <w:snapToGrid w:val="0"/>
          <w:lang w:val="es-ES_tradnl"/>
        </w:rPr>
        <w:t>sistema de patentes</w:t>
      </w:r>
      <w:r w:rsidRPr="001F1407">
        <w:rPr>
          <w:lang w:val="es-ES_tradnl"/>
        </w:rPr>
        <w:t xml:space="preserve"> no relacionados exclusivamente con el PCT.  Puede tratarse también de </w:t>
      </w:r>
      <w:r w:rsidR="00F64A9B">
        <w:rPr>
          <w:lang w:val="es-ES_tradnl"/>
        </w:rPr>
        <w:t>cuestiones relativas al</w:t>
      </w:r>
      <w:r w:rsidRPr="001F1407">
        <w:rPr>
          <w:lang w:val="es-ES_tradnl"/>
        </w:rPr>
        <w:t xml:space="preserve"> </w:t>
      </w:r>
      <w:r w:rsidRPr="001F1407">
        <w:rPr>
          <w:snapToGrid w:val="0"/>
          <w:lang w:val="es-ES_tradnl"/>
        </w:rPr>
        <w:t>sistema de patentes</w:t>
      </w:r>
      <w:r w:rsidRPr="001F1407">
        <w:rPr>
          <w:lang w:val="es-ES_tradnl"/>
        </w:rPr>
        <w:t xml:space="preserve">, por ejemplo, la forma de solicitar una patente, los principales requisitos legales que debe satisfacer una invención para que se pueda patentar, los beneficios de la protección por patente y otras opciones posibles de protección como los modelos de utilidad y la salvaguardia de información comercial confidencial a modo de secreto comercial.  Otros temas que pueden abordarse en el marco de dichas actividades son los </w:t>
      </w:r>
      <w:r w:rsidRPr="001F1407">
        <w:rPr>
          <w:snapToGrid w:val="0"/>
          <w:lang w:val="es-ES_tradnl"/>
        </w:rPr>
        <w:t>sistemas nacionales y regionales de patentes</w:t>
      </w:r>
      <w:r w:rsidRPr="001F1407">
        <w:rPr>
          <w:lang w:val="es-ES_tradnl"/>
        </w:rPr>
        <w:t>, la importancia y la función que desempeña la información sobre patentes, con inclusión de las iniciativas tomadas para favorecer el acceso a la información técnica, y temas más concretos, como la redacción de solicitudes de patente.  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rsidR="007721A4" w:rsidRPr="001F1407" w:rsidRDefault="007721A4" w:rsidP="00EE7BB5">
      <w:pPr>
        <w:widowControl w:val="0"/>
        <w:spacing w:after="220"/>
        <w:rPr>
          <w:lang w:val="es-ES_tradnl"/>
        </w:rPr>
      </w:pPr>
      <w:r w:rsidRPr="001F1407">
        <w:rPr>
          <w:i/>
          <w:lang w:val="es-ES_tradnl"/>
        </w:rPr>
        <w:t>b)</w:t>
      </w:r>
      <w:r w:rsidRPr="001F1407">
        <w:rPr>
          <w:i/>
          <w:lang w:val="es-ES_tradnl"/>
        </w:rPr>
        <w:tab/>
        <w:t>Información concretamente relacionada con el PCT (</w:t>
      </w:r>
      <w:r w:rsidR="00F64A9B">
        <w:rPr>
          <w:i/>
          <w:lang w:val="es-ES_tradnl"/>
        </w:rPr>
        <w:t>actividad señalada</w:t>
      </w:r>
      <w:r w:rsidRPr="001F1407">
        <w:rPr>
          <w:i/>
          <w:lang w:val="es-ES_tradnl"/>
        </w:rPr>
        <w:t xml:space="preserve"> con “B” en el cuadro</w:t>
      </w:r>
      <w:r w:rsidRPr="001F1407">
        <w:rPr>
          <w:lang w:val="es-ES_tradnl"/>
        </w:rPr>
        <w:t>).  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w:t>
      </w:r>
      <w:r w:rsidR="00F64A9B">
        <w:rPr>
          <w:lang w:val="es-ES_tradnl"/>
        </w:rPr>
        <w:t>s</w:t>
      </w:r>
      <w:r w:rsidRPr="001F1407">
        <w:rPr>
          <w:lang w:val="es-ES_tradnl"/>
        </w:rPr>
        <w:t xml:space="preserve"> retirada</w:t>
      </w:r>
      <w:r w:rsidR="00F64A9B">
        <w:rPr>
          <w:lang w:val="es-ES_tradnl"/>
        </w:rPr>
        <w:t>s</w:t>
      </w:r>
      <w:r w:rsidRPr="001F1407">
        <w:rPr>
          <w:lang w:val="es-ES_tradnl"/>
        </w:rPr>
        <w:t xml:space="preserve">.  Otro de los aspectos clave que se abordan en los seminarios centrados en el PCT son las funciones que desempeñan la Oficina Internacional y las Administraciones internacionales encargadas de la búsqueda y del examen preliminar internacional.  A ese respecto, se aborda la </w:t>
      </w:r>
      <w:r w:rsidR="00F64A9B">
        <w:rPr>
          <w:lang w:val="es-ES_tradnl"/>
        </w:rPr>
        <w:t>publicación</w:t>
      </w:r>
      <w:r w:rsidRPr="001F1407">
        <w:rPr>
          <w:lang w:val="es-ES_tradnl"/>
        </w:rPr>
        <w:t xml:space="preserve"> internacional de la solicitud, la elaboración del informe internacional de búsqueda y del informe preliminar internacional sobre la patentabilidad y también opciones como la búsqueda internacional suplementaria, las modificaciones contempladas en el </w:t>
      </w:r>
      <w:r w:rsidRPr="001F1407">
        <w:rPr>
          <w:snapToGrid w:val="0"/>
          <w:szCs w:val="24"/>
          <w:lang w:val="es-ES_tradnl"/>
        </w:rPr>
        <w:t>artículo 19 y el procedimiento de examen preliminar internacional en virtud del Capítulo II.  En los seminarios del PCT se examina también la entrada en la fase nacional, las funciones que desempeña la Oficina Internacional y las que incumben al solicitante así como los requisitos nacionales específicos como la traducción y los documentos de prioridad.  Además, en dichos seminarios se suele</w:t>
      </w:r>
      <w:r w:rsidR="00F64A9B">
        <w:rPr>
          <w:snapToGrid w:val="0"/>
          <w:szCs w:val="24"/>
          <w:lang w:val="es-ES_tradnl"/>
        </w:rPr>
        <w:t>n exponer</w:t>
      </w:r>
      <w:r w:rsidRPr="001F1407">
        <w:rPr>
          <w:snapToGrid w:val="0"/>
          <w:szCs w:val="24"/>
          <w:lang w:val="es-ES_tradnl"/>
        </w:rPr>
        <w:t xml:space="preserve"> poner los servicios disponibles mediante el sistema de presentación electrónica de solicitudes PCT</w:t>
      </w:r>
      <w:r w:rsidR="00F64A9B">
        <w:rPr>
          <w:snapToGrid w:val="0"/>
          <w:szCs w:val="24"/>
          <w:lang w:val="es-ES_tradnl"/>
        </w:rPr>
        <w:t xml:space="preserve"> (ePCT)</w:t>
      </w:r>
      <w:r w:rsidRPr="001F1407">
        <w:rPr>
          <w:snapToGrid w:val="0"/>
          <w:szCs w:val="24"/>
          <w:lang w:val="es-ES_tradnl"/>
        </w:rPr>
        <w:t>, la base de datos</w:t>
      </w:r>
      <w:r w:rsidRPr="001F1407">
        <w:rPr>
          <w:lang w:val="es-ES_tradnl"/>
        </w:rPr>
        <w:t xml:space="preserve"> PATENTSCOPE y otras fuentes de información que se ofrecen en el sitio web de la OMPI.</w:t>
      </w:r>
    </w:p>
    <w:p w:rsidR="007721A4" w:rsidRPr="001F1407" w:rsidRDefault="007721A4" w:rsidP="00EE7BB5">
      <w:pPr>
        <w:widowControl w:val="0"/>
        <w:spacing w:after="220"/>
        <w:rPr>
          <w:lang w:val="es-ES_tradnl"/>
        </w:rPr>
      </w:pPr>
      <w:r w:rsidRPr="001F1407">
        <w:rPr>
          <w:i/>
          <w:lang w:val="es-ES_tradnl"/>
        </w:rPr>
        <w:t>c)</w:t>
      </w:r>
      <w:r w:rsidRPr="001F1407">
        <w:rPr>
          <w:i/>
          <w:lang w:val="es-ES_tradnl"/>
        </w:rPr>
        <w:tab/>
        <w:t xml:space="preserve">Formación sobre el PCT para funcionarios de oficinas </w:t>
      </w:r>
      <w:r w:rsidRPr="001F1407">
        <w:rPr>
          <w:lang w:val="es-ES_tradnl"/>
        </w:rPr>
        <w:t>(</w:t>
      </w:r>
      <w:r w:rsidR="00F64A9B">
        <w:rPr>
          <w:i/>
          <w:lang w:val="es-ES_tradnl"/>
        </w:rPr>
        <w:t>actividad señalada</w:t>
      </w:r>
      <w:r w:rsidRPr="001F1407">
        <w:rPr>
          <w:i/>
          <w:lang w:val="es-ES_tradnl"/>
        </w:rPr>
        <w:t>s con “C” en el cuadro</w:t>
      </w:r>
      <w:r w:rsidRPr="001F1407">
        <w:rPr>
          <w:lang w:val="es-ES_tradnl"/>
        </w:rPr>
        <w:t xml:space="preserve">).  Como parte de la asistencia que se presta a los funcionarios de las oficinas que se ocupan de las solicitudes PCT se abordan las partes del </w:t>
      </w:r>
      <w:r w:rsidR="00F64A9B">
        <w:rPr>
          <w:lang w:val="es-ES_tradnl"/>
        </w:rPr>
        <w:t>PCT de interés para las oficinas</w:t>
      </w:r>
      <w:r w:rsidRPr="001F1407">
        <w:rPr>
          <w:lang w:val="es-ES_tradnl"/>
        </w:rPr>
        <w:t>, ya sea que actúen en calidad de Oficina receptora, de Administración encargada de la búsqueda internacional, de Administración encargada del examen preliminar internacional o de Oficina designada/elegida.  Por ejemplo, la asistencia que se preste a las oficinas que hagan las veces de Oficina receptora y de Oficina designada se centrará en la tramitación de solicitudes antes de su transmisión a la Oficina Internacional y en la entrada en la fase nacional.  Dichas actividades de asistencia ofrecen también la oportunidad para que las oficinas planteen problemas específicos a la Oficina Internacional.</w:t>
      </w:r>
    </w:p>
    <w:p w:rsidR="007721A4" w:rsidRPr="001F1407" w:rsidRDefault="007721A4" w:rsidP="00EE7BB5">
      <w:pPr>
        <w:widowControl w:val="0"/>
        <w:spacing w:after="220"/>
        <w:rPr>
          <w:lang w:val="es-ES_tradnl"/>
        </w:rPr>
      </w:pPr>
      <w:r w:rsidRPr="001F1407">
        <w:rPr>
          <w:i/>
          <w:lang w:val="es-ES_tradnl"/>
        </w:rPr>
        <w:t>d)</w:t>
      </w:r>
      <w:r w:rsidRPr="001F1407">
        <w:rPr>
          <w:i/>
          <w:lang w:val="es-ES_tradnl"/>
        </w:rPr>
        <w:tab/>
        <w:t>Asistencia en materia de tecnologías de la información y la comunicación (TIC) (</w:t>
      </w:r>
      <w:r w:rsidR="00F64A9B">
        <w:rPr>
          <w:i/>
          <w:lang w:val="es-ES_tradnl"/>
        </w:rPr>
        <w:t>actividad señalada</w:t>
      </w:r>
      <w:r w:rsidRPr="001F1407">
        <w:rPr>
          <w:i/>
          <w:lang w:val="es-ES_tradnl"/>
        </w:rPr>
        <w:t xml:space="preserve"> con “D” en el cuadro</w:t>
      </w:r>
      <w:r w:rsidRPr="001F1407">
        <w:rPr>
          <w:lang w:val="es-ES_tradnl"/>
        </w:rPr>
        <w:t>).  Las actividades de instalación y asistencia técnica sobre la utilización de infraestructura de TIC abarcan la instalación y la formación de personal en los instrumentos y servicios de tecnologías de la información del PCT.  Se trata, entre otros</w:t>
      </w:r>
      <w:r w:rsidR="002053DC">
        <w:rPr>
          <w:lang w:val="es-ES_tradnl"/>
        </w:rPr>
        <w:t>,</w:t>
      </w:r>
      <w:r w:rsidRPr="001F1407">
        <w:rPr>
          <w:lang w:val="es-ES_tradnl"/>
        </w:rPr>
        <w:t xml:space="preserve"> del </w:t>
      </w:r>
      <w:r w:rsidR="002053DC">
        <w:rPr>
          <w:lang w:val="es-ES_tradnl"/>
        </w:rPr>
        <w:t>s</w:t>
      </w:r>
      <w:r w:rsidRPr="001F1407">
        <w:rPr>
          <w:lang w:val="es-ES_tradnl"/>
        </w:rPr>
        <w:t xml:space="preserve">istema </w:t>
      </w:r>
      <w:r w:rsidR="002053DC">
        <w:rPr>
          <w:lang w:val="es-ES_tradnl"/>
        </w:rPr>
        <w:t>a</w:t>
      </w:r>
      <w:r w:rsidRPr="001F1407">
        <w:rPr>
          <w:lang w:val="es-ES_tradnl"/>
        </w:rPr>
        <w:t xml:space="preserve">utomatizado de </w:t>
      </w:r>
      <w:r w:rsidR="002053DC">
        <w:rPr>
          <w:lang w:val="es-ES_tradnl"/>
        </w:rPr>
        <w:t>s</w:t>
      </w:r>
      <w:r w:rsidRPr="001F1407">
        <w:rPr>
          <w:lang w:val="es-ES_tradnl"/>
        </w:rPr>
        <w:t xml:space="preserve">olicitud de documentos del PCT (PADOS), del </w:t>
      </w:r>
      <w:r w:rsidRPr="001F1407">
        <w:rPr>
          <w:snapToGrid w:val="0"/>
          <w:lang w:val="es-ES_tradnl"/>
        </w:rPr>
        <w:t xml:space="preserve">sistema de intercambio electrónico de datos del </w:t>
      </w:r>
      <w:r w:rsidRPr="001F1407">
        <w:rPr>
          <w:lang w:val="es-ES_tradnl"/>
        </w:rPr>
        <w:t>PCT (PCT</w:t>
      </w:r>
      <w:r w:rsidR="00413631" w:rsidRPr="001F1407">
        <w:rPr>
          <w:lang w:val="es-ES_tradnl"/>
        </w:rPr>
        <w:t>–</w:t>
      </w:r>
      <w:r w:rsidRPr="001F1407">
        <w:rPr>
          <w:lang w:val="es-ES_tradnl"/>
        </w:rPr>
        <w:t xml:space="preserve">EDI), del ePCT, del </w:t>
      </w:r>
      <w:r w:rsidRPr="001F1407">
        <w:rPr>
          <w:snapToGrid w:val="0"/>
          <w:lang w:val="es-ES_tradnl"/>
        </w:rPr>
        <w:t>sistema de patentes</w:t>
      </w:r>
      <w:r w:rsidRPr="001F1407">
        <w:rPr>
          <w:lang w:val="es-ES_tradnl"/>
        </w:rPr>
        <w:t xml:space="preserve"> PCT</w:t>
      </w:r>
      <w:r w:rsidR="00413631" w:rsidRPr="001F1407">
        <w:rPr>
          <w:lang w:val="es-ES_tradnl"/>
        </w:rPr>
        <w:t>–</w:t>
      </w:r>
      <w:r w:rsidRPr="001F1407">
        <w:rPr>
          <w:lang w:val="es-ES_tradnl"/>
        </w:rPr>
        <w:t>SAFE de presentación electrónica de solicitudes y</w:t>
      </w:r>
      <w:r w:rsidR="002053DC">
        <w:rPr>
          <w:lang w:val="es-ES_tradnl"/>
        </w:rPr>
        <w:t xml:space="preserve"> d</w:t>
      </w:r>
      <w:r w:rsidRPr="001F1407">
        <w:rPr>
          <w:lang w:val="es-ES_tradnl"/>
        </w:rPr>
        <w:t xml:space="preserve">el </w:t>
      </w:r>
      <w:r w:rsidRPr="001F1407">
        <w:rPr>
          <w:snapToGrid w:val="0"/>
          <w:lang w:val="es-ES_tradnl"/>
        </w:rPr>
        <w:t>sistema de gestión de la Oficina receptora</w:t>
      </w:r>
      <w:r w:rsidRPr="001F1407">
        <w:rPr>
          <w:lang w:val="es-ES_tradnl"/>
        </w:rPr>
        <w:t xml:space="preserve"> (PCT</w:t>
      </w:r>
      <w:r w:rsidR="00413631" w:rsidRPr="001F1407">
        <w:rPr>
          <w:lang w:val="es-ES_tradnl"/>
        </w:rPr>
        <w:t>–</w:t>
      </w:r>
      <w:r w:rsidRPr="001F1407">
        <w:rPr>
          <w:lang w:val="es-ES_tradnl"/>
        </w:rPr>
        <w:t xml:space="preserve">ROAD).  Parte de dicha asistencia </w:t>
      </w:r>
      <w:r w:rsidR="002053DC">
        <w:rPr>
          <w:lang w:val="es-ES_tradnl"/>
        </w:rPr>
        <w:t>está centrada en</w:t>
      </w:r>
      <w:r w:rsidRPr="001F1407">
        <w:rPr>
          <w:lang w:val="es-ES_tradnl"/>
        </w:rPr>
        <w:t xml:space="preserve"> explicar cómo funcionan los </w:t>
      </w:r>
      <w:r w:rsidR="002053DC">
        <w:rPr>
          <w:snapToGrid w:val="0"/>
          <w:lang w:val="es-ES_tradnl"/>
        </w:rPr>
        <w:t>sistemas y en</w:t>
      </w:r>
      <w:r w:rsidRPr="001F1407">
        <w:rPr>
          <w:snapToGrid w:val="0"/>
          <w:lang w:val="es-ES_tradnl"/>
        </w:rPr>
        <w:t xml:space="preserve"> ejercicios prácticos para que los usuarios utilicen dichos sistemas de instrumentos con eficacia y saquen el mayor partido de los mismos</w:t>
      </w:r>
      <w:r w:rsidRPr="001F1407">
        <w:rPr>
          <w:lang w:val="es-ES_tradnl"/>
        </w:rPr>
        <w:t>.</w:t>
      </w:r>
    </w:p>
    <w:p w:rsidR="007721A4" w:rsidRPr="001F1407" w:rsidRDefault="007721A4" w:rsidP="00EE7BB5">
      <w:pPr>
        <w:widowControl w:val="0"/>
        <w:spacing w:after="220"/>
        <w:rPr>
          <w:lang w:val="es-ES_tradnl"/>
        </w:rPr>
      </w:pPr>
      <w:r w:rsidRPr="001F1407">
        <w:rPr>
          <w:i/>
          <w:lang w:val="es-ES_tradnl"/>
        </w:rPr>
        <w:t>e)</w:t>
      </w:r>
      <w:r w:rsidRPr="001F1407">
        <w:rPr>
          <w:i/>
          <w:lang w:val="es-ES_tradnl"/>
        </w:rPr>
        <w:tab/>
        <w:t>Asistencia a los países que consideran su adhesión al PCT</w:t>
      </w:r>
      <w:r w:rsidRPr="001F1407">
        <w:rPr>
          <w:lang w:val="es-ES_tradnl"/>
        </w:rPr>
        <w:t xml:space="preserve"> (</w:t>
      </w:r>
      <w:r w:rsidR="00F64A9B">
        <w:rPr>
          <w:i/>
          <w:lang w:val="es-ES_tradnl"/>
        </w:rPr>
        <w:t>actividad señalada</w:t>
      </w:r>
      <w:r w:rsidRPr="001F1407">
        <w:rPr>
          <w:i/>
          <w:lang w:val="es-ES_tradnl"/>
        </w:rPr>
        <w:t xml:space="preserve"> con “E” en el cuadro</w:t>
      </w:r>
      <w:r w:rsidRPr="001F1407">
        <w:rPr>
          <w:lang w:val="es-ES_tradnl"/>
        </w:rPr>
        <w:t xml:space="preserve">).  La Oficina Internacional presta una asistencia especial a los países que están considerando la posibilidad de adherirse al PCT así como a los nuevos Estados contratantes de dicho Tratado.  Eso entraña el suministro de información a los países interesados en pasar a ser miembros del </w:t>
      </w:r>
      <w:r w:rsidRPr="001F1407">
        <w:rPr>
          <w:snapToGrid w:val="0"/>
          <w:lang w:val="es-ES_tradnl"/>
        </w:rPr>
        <w:t>sistema del PCT y de asesoramiento sobre las modificaciones que tienen que introducir en la legislación nacional antes de adherirse al Tratado</w:t>
      </w:r>
      <w:r w:rsidRPr="001F1407">
        <w:rPr>
          <w:lang w:val="es-ES_tradnl"/>
        </w:rPr>
        <w:t xml:space="preserve">.  La Oficina Internacional ofrece también un programa de formación posterior a la adhesión a los nuevos Estados contratantes, lo que entraña una visita al país de que se trate para explicar el </w:t>
      </w:r>
      <w:r w:rsidRPr="001F1407">
        <w:rPr>
          <w:snapToGrid w:val="0"/>
          <w:lang w:val="es-ES_tradnl"/>
        </w:rPr>
        <w:t>sistema del PCT y el sistema de patentes a juristas, instituciones de investigación y empresas 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p>
    <w:p w:rsidR="007721A4" w:rsidRPr="001F1407" w:rsidRDefault="007721A4" w:rsidP="00EE7BB5">
      <w:pPr>
        <w:widowControl w:val="0"/>
        <w:spacing w:after="220"/>
        <w:rPr>
          <w:lang w:val="es-ES_tradnl"/>
        </w:rPr>
      </w:pPr>
      <w:r w:rsidRPr="001F1407">
        <w:rPr>
          <w:i/>
          <w:lang w:val="es-ES_tradnl"/>
        </w:rPr>
        <w:t>f)</w:t>
      </w:r>
      <w:r w:rsidRPr="001F1407">
        <w:rPr>
          <w:i/>
          <w:lang w:val="es-ES_tradnl"/>
        </w:rPr>
        <w:tab/>
        <w:t>Asistencia a las Administraciones internacionales (</w:t>
      </w:r>
      <w:r w:rsidR="00F64A9B">
        <w:rPr>
          <w:i/>
          <w:lang w:val="es-ES_tradnl"/>
        </w:rPr>
        <w:t>actividad señalada</w:t>
      </w:r>
      <w:r w:rsidRPr="001F1407">
        <w:rPr>
          <w:i/>
          <w:lang w:val="es-ES_tradnl"/>
        </w:rPr>
        <w:t xml:space="preserve"> con “F” en el cuadro</w:t>
      </w:r>
      <w:r w:rsidRPr="001F1407">
        <w:rPr>
          <w:lang w:val="es-ES_tradnl"/>
        </w:rPr>
        <w:t xml:space="preserve">).  Por último, la Oficina Internacional presta asistencia técnica a los Estados acerca de sus funciones en calidad de Administración </w:t>
      </w:r>
      <w:r w:rsidR="002053DC">
        <w:rPr>
          <w:lang w:val="es-ES_tradnl"/>
        </w:rPr>
        <w:t xml:space="preserve">encargada </w:t>
      </w:r>
      <w:r w:rsidRPr="001F1407">
        <w:rPr>
          <w:lang w:val="es-ES_tradnl"/>
        </w:rPr>
        <w:t>de</w:t>
      </w:r>
      <w:r w:rsidR="002053DC">
        <w:rPr>
          <w:lang w:val="es-ES_tradnl"/>
        </w:rPr>
        <w:t xml:space="preserve"> la</w:t>
      </w:r>
      <w:r w:rsidRPr="001F1407">
        <w:rPr>
          <w:lang w:val="es-ES_tradnl"/>
        </w:rPr>
        <w:t xml:space="preserve"> búsqueda internacional y Administración encargada del examen preliminar internacional.  Eso entraña la visita a las oficinas que estén considerando la posibilidad de solicitar la calidad de Administración internacional para explicarle</w:t>
      </w:r>
      <w:r w:rsidR="002053DC">
        <w:rPr>
          <w:lang w:val="es-ES_tradnl"/>
        </w:rPr>
        <w:t>s</w:t>
      </w:r>
      <w:r w:rsidRPr="001F1407">
        <w:rPr>
          <w:lang w:val="es-ES_tradnl"/>
        </w:rPr>
        <w:t xml:space="preserve"> el procedimiento y los requisitos para su designación y para indicar en qué aspectos es menester llevar a cabo actividades técnicas antes de presentar una solicitud oficial.  Una vez que pasen a ser Administraciones internacionales, dichas oficinas también tienen la posibilidad de recibir formación antes de empezar a funcionar como tales.</w:t>
      </w:r>
    </w:p>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3"/>
        <w:gridCol w:w="1294"/>
        <w:gridCol w:w="1474"/>
        <w:gridCol w:w="992"/>
        <w:gridCol w:w="2174"/>
        <w:gridCol w:w="2204"/>
        <w:gridCol w:w="1043"/>
        <w:gridCol w:w="1842"/>
        <w:gridCol w:w="1276"/>
        <w:gridCol w:w="1276"/>
      </w:tblGrid>
      <w:tr w:rsidR="007721A4" w:rsidRPr="003007CD" w:rsidTr="00413631">
        <w:trPr>
          <w:cantSplit/>
          <w:tblHeader/>
        </w:trPr>
        <w:tc>
          <w:tcPr>
            <w:tcW w:w="833"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FECHA</w:t>
            </w:r>
          </w:p>
        </w:tc>
        <w:tc>
          <w:tcPr>
            <w:tcW w:w="1294"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FINANCIACIÓN</w:t>
            </w:r>
          </w:p>
        </w:tc>
        <w:tc>
          <w:tcPr>
            <w:tcW w:w="1474"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EVENTO</w:t>
            </w:r>
          </w:p>
        </w:tc>
        <w:tc>
          <w:tcPr>
            <w:tcW w:w="992"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CONTENIDO</w:t>
            </w:r>
          </w:p>
        </w:tc>
        <w:tc>
          <w:tcPr>
            <w:tcW w:w="2174"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DESCRIPCIÓN DEL EVENTO</w:t>
            </w:r>
          </w:p>
        </w:tc>
        <w:tc>
          <w:tcPr>
            <w:tcW w:w="2204"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CO</w:t>
            </w:r>
            <w:r w:rsidR="00413631" w:rsidRPr="003007CD">
              <w:rPr>
                <w:b/>
                <w:bCs/>
                <w:sz w:val="14"/>
                <w:szCs w:val="14"/>
                <w:lang w:val="es-ES_tradnl"/>
              </w:rPr>
              <w:t>–</w:t>
            </w:r>
            <w:r w:rsidRPr="003007CD">
              <w:rPr>
                <w:b/>
                <w:bCs/>
                <w:sz w:val="14"/>
                <w:szCs w:val="14"/>
                <w:lang w:val="es-ES_tradnl"/>
              </w:rPr>
              <w:t>ORGANIZADORES</w:t>
            </w:r>
          </w:p>
        </w:tc>
        <w:tc>
          <w:tcPr>
            <w:tcW w:w="1043"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LUGAR</w:t>
            </w:r>
          </w:p>
        </w:tc>
        <w:tc>
          <w:tcPr>
            <w:tcW w:w="1842"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ORIGEN PARTICIPANTES</w:t>
            </w:r>
          </w:p>
        </w:tc>
        <w:tc>
          <w:tcPr>
            <w:tcW w:w="1276" w:type="dxa"/>
            <w:shd w:val="clear" w:color="auto" w:fill="auto"/>
            <w:noWrap/>
            <w:vAlign w:val="center"/>
          </w:tcPr>
          <w:p w:rsidR="007721A4" w:rsidRPr="003007CD" w:rsidRDefault="007721A4" w:rsidP="00EE7BB5">
            <w:pPr>
              <w:widowControl w:val="0"/>
              <w:spacing w:before="120" w:after="120"/>
              <w:jc w:val="center"/>
              <w:rPr>
                <w:b/>
                <w:bCs/>
                <w:sz w:val="14"/>
                <w:szCs w:val="14"/>
                <w:lang w:val="es-ES_tradnl"/>
              </w:rPr>
            </w:pPr>
            <w:r w:rsidRPr="003007CD">
              <w:rPr>
                <w:b/>
                <w:bCs/>
                <w:sz w:val="14"/>
                <w:szCs w:val="14"/>
                <w:lang w:val="es-ES_tradnl"/>
              </w:rPr>
              <w:t>TIPO DE PARTICIPANTES</w:t>
            </w:r>
          </w:p>
        </w:tc>
        <w:tc>
          <w:tcPr>
            <w:tcW w:w="1276" w:type="dxa"/>
            <w:shd w:val="clear" w:color="auto" w:fill="auto"/>
            <w:noWrap/>
            <w:vAlign w:val="center"/>
          </w:tcPr>
          <w:p w:rsidR="007721A4" w:rsidRPr="003007CD" w:rsidRDefault="007721A4" w:rsidP="00413631">
            <w:pPr>
              <w:widowControl w:val="0"/>
              <w:spacing w:before="120" w:after="120"/>
              <w:jc w:val="center"/>
              <w:rPr>
                <w:b/>
                <w:bCs/>
                <w:sz w:val="14"/>
                <w:szCs w:val="14"/>
                <w:lang w:val="es-ES_tradnl"/>
              </w:rPr>
            </w:pPr>
            <w:r w:rsidRPr="003007CD">
              <w:rPr>
                <w:b/>
                <w:bCs/>
                <w:sz w:val="14"/>
                <w:szCs w:val="14"/>
                <w:lang w:val="es-ES_tradnl"/>
              </w:rPr>
              <w:t>NÚMERO DE PARTICIPANTES</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Constatación hechos/</w:t>
            </w:r>
            <w:r w:rsidRPr="003007CD">
              <w:rPr>
                <w:sz w:val="16"/>
                <w:szCs w:val="16"/>
                <w:lang w:val="es-ES_tradnl"/>
              </w:rPr>
              <w:br/>
              <w:t>Asesoramiento</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 xml:space="preserve">Misión de asesoramiento sobre entrada en fase nacional </w:t>
            </w:r>
            <w:r w:rsidR="00413631" w:rsidRPr="003007CD">
              <w:rPr>
                <w:sz w:val="16"/>
                <w:szCs w:val="16"/>
                <w:lang w:val="es-ES_tradnl"/>
              </w:rPr>
              <w:t>y requisitos del PCT en la CIPC</w:t>
            </w:r>
            <w:r w:rsidRPr="003007CD">
              <w:rPr>
                <w:sz w:val="16"/>
                <w:szCs w:val="16"/>
                <w:lang w:val="es-ES_tradnl"/>
              </w:rPr>
              <w:t>,</w:t>
            </w:r>
            <w:r w:rsidR="00413631" w:rsidRPr="003007CD">
              <w:rPr>
                <w:sz w:val="16"/>
                <w:szCs w:val="16"/>
                <w:lang w:val="es-ES_tradnl"/>
              </w:rPr>
              <w:t xml:space="preserve"> </w:t>
            </w:r>
            <w:r w:rsidRPr="003007CD">
              <w:rPr>
                <w:sz w:val="16"/>
                <w:szCs w:val="16"/>
                <w:lang w:val="es-ES_tradnl"/>
              </w:rPr>
              <w:t>Pretoria</w:t>
            </w:r>
          </w:p>
        </w:tc>
        <w:tc>
          <w:tcPr>
            <w:tcW w:w="2204" w:type="dxa"/>
            <w:shd w:val="clear" w:color="auto" w:fill="auto"/>
            <w:vAlign w:val="center"/>
          </w:tcPr>
          <w:p w:rsidR="007721A4" w:rsidRPr="003007CD" w:rsidRDefault="003F43B3" w:rsidP="00EE7BB5">
            <w:pPr>
              <w:widowControl w:val="0"/>
              <w:spacing w:beforeLines="40" w:before="96" w:afterLines="40" w:after="96"/>
              <w:rPr>
                <w:sz w:val="16"/>
                <w:szCs w:val="16"/>
                <w:lang w:val="es-ES_tradnl"/>
              </w:rPr>
            </w:pPr>
            <w:r w:rsidRPr="003007CD">
              <w:rPr>
                <w:sz w:val="16"/>
                <w:szCs w:val="16"/>
                <w:lang w:val="es-ES_tradnl"/>
              </w:rPr>
              <w:t>Comisión de Empresas y Propiedad Intelectual (CIPC),</w:t>
            </w:r>
            <w:r w:rsidR="007721A4" w:rsidRPr="003007CD">
              <w:rPr>
                <w:sz w:val="16"/>
                <w:szCs w:val="16"/>
                <w:lang w:val="es-ES_tradnl"/>
              </w:rPr>
              <w:t xml:space="preserve"> Sudáfrica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Sudáfrica (ZA)</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Sudáfrica (ZA)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y taller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para funcionarios de la Oficina de P.I. de Montenegro en la USPTO</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de Patentes y Marcas de los Estados Unidos de América (USPTO)</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Estados Unidos de América (EE.UU.)</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Montenegro (ME)</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3</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Cooperación PCT/TIC</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D</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sobre asistencia técnica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Dirección General de Patentes, Diseños y Marcas/ Departamento de Fomento de Políticas Industriales/ Ministerio de Industria y Comercio/Gobierno de la India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India (IN)</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India (IN)</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7</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3F43B3"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Reunión sobre mejores prácticas para Oficinas receptoras del PCT en Río de Janeiro</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de la OMPI en Brasil</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Brasil (BR)</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Brasil (BR)</w:t>
            </w:r>
            <w:r w:rsidRPr="003007CD">
              <w:rPr>
                <w:sz w:val="16"/>
                <w:szCs w:val="16"/>
                <w:lang w:val="es-ES_tradnl"/>
              </w:rPr>
              <w:br/>
              <w:t>Cuba (CU)</w:t>
            </w:r>
            <w:r w:rsidRPr="003007CD">
              <w:rPr>
                <w:sz w:val="16"/>
                <w:szCs w:val="16"/>
                <w:lang w:val="es-ES_tradnl"/>
              </w:rPr>
              <w:br/>
              <w:t xml:space="preserve">República Dominicana (DO) </w:t>
            </w:r>
            <w:r w:rsidRPr="003007CD">
              <w:rPr>
                <w:sz w:val="16"/>
                <w:szCs w:val="16"/>
                <w:lang w:val="es-ES_tradnl"/>
              </w:rPr>
              <w:br/>
              <w:t>Chile (CL)</w:t>
            </w:r>
            <w:r w:rsidRPr="003007CD">
              <w:rPr>
                <w:sz w:val="16"/>
                <w:szCs w:val="16"/>
                <w:lang w:val="es-ES_tradnl"/>
              </w:rPr>
              <w:br/>
              <w:t>Perú (PE)</w:t>
            </w:r>
            <w:r w:rsidRPr="003007CD">
              <w:rPr>
                <w:sz w:val="16"/>
                <w:szCs w:val="16"/>
                <w:lang w:val="es-ES_tradnl"/>
              </w:rPr>
              <w:br/>
              <w:t>España(ES)</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7</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2</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Cooperación PCT/TIC</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D</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Reunión sobre cooperación PCT</w:t>
            </w:r>
            <w:r w:rsidR="00413631" w:rsidRPr="003007CD">
              <w:rPr>
                <w:sz w:val="16"/>
                <w:szCs w:val="16"/>
                <w:lang w:val="es-ES_tradnl"/>
              </w:rPr>
              <w:t>–</w:t>
            </w:r>
            <w:r w:rsidRPr="003007CD">
              <w:rPr>
                <w:sz w:val="16"/>
                <w:szCs w:val="16"/>
                <w:lang w:val="es-ES_tradnl"/>
              </w:rPr>
              <w:t xml:space="preserve"> TIC con Oficina de Patentes de Egipto</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de Patentes de Egipto</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Egipto (EG)</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Egipto (EG)</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6</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2</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Fondo fideicomiso/AU</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A,</w:t>
            </w:r>
            <w:r w:rsidR="001F1407" w:rsidRPr="003007CD">
              <w:rPr>
                <w:sz w:val="16"/>
                <w:szCs w:val="16"/>
                <w:lang w:val="es-ES_tradnl"/>
              </w:rPr>
              <w:t xml:space="preserve"> </w:t>
            </w: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subregional sobre el PCT en la CIPC, Pretoria</w:t>
            </w:r>
          </w:p>
        </w:tc>
        <w:tc>
          <w:tcPr>
            <w:tcW w:w="2204" w:type="dxa"/>
            <w:shd w:val="clear" w:color="auto" w:fill="auto"/>
            <w:vAlign w:val="center"/>
          </w:tcPr>
          <w:p w:rsidR="007721A4" w:rsidRPr="003007CD" w:rsidRDefault="003F43B3" w:rsidP="003F43B3">
            <w:pPr>
              <w:widowControl w:val="0"/>
              <w:spacing w:beforeLines="40" w:before="96" w:afterLines="40" w:after="96"/>
              <w:rPr>
                <w:sz w:val="16"/>
                <w:szCs w:val="16"/>
                <w:lang w:val="es-ES_tradnl"/>
              </w:rPr>
            </w:pPr>
            <w:r w:rsidRPr="003007CD">
              <w:rPr>
                <w:sz w:val="16"/>
                <w:szCs w:val="16"/>
                <w:lang w:val="es-ES_tradnl"/>
              </w:rPr>
              <w:t xml:space="preserve">CIPC, </w:t>
            </w:r>
            <w:r w:rsidR="007721A4" w:rsidRPr="003007CD">
              <w:rPr>
                <w:sz w:val="16"/>
                <w:szCs w:val="16"/>
                <w:lang w:val="es-ES_tradnl"/>
              </w:rPr>
              <w:t>Sudáfrica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Sudáfrica (ZA)</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Rwanda (RW)</w:t>
            </w:r>
            <w:r w:rsidRPr="003007CD">
              <w:rPr>
                <w:sz w:val="16"/>
                <w:szCs w:val="16"/>
                <w:lang w:val="es-ES_tradnl"/>
              </w:rPr>
              <w:br/>
              <w:t>Uganda (UG)</w:t>
            </w:r>
            <w:r w:rsidRPr="003007CD">
              <w:rPr>
                <w:sz w:val="16"/>
                <w:szCs w:val="16"/>
                <w:lang w:val="es-ES_tradnl"/>
              </w:rPr>
              <w:br/>
              <w:t>República Unida de Tanzanía (TZ)</w:t>
            </w:r>
            <w:r w:rsidRPr="003007CD">
              <w:rPr>
                <w:sz w:val="16"/>
                <w:szCs w:val="16"/>
                <w:lang w:val="es-ES_tradnl"/>
              </w:rPr>
              <w:br/>
              <w:t>Sudáfrica (ZA)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6</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2</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w:t>
            </w:r>
            <w:r w:rsidR="001F1407" w:rsidRPr="003007CD">
              <w:rPr>
                <w:sz w:val="16"/>
                <w:szCs w:val="16"/>
                <w:lang w:val="es-ES_tradnl"/>
              </w:rPr>
              <w:t xml:space="preserve"> </w:t>
            </w: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de promoción del PCT  y taller de TI para oficinas en Tbilisi</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Centro Nacional de Propiedad Intelectual , “Sakpatenti", Georgia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Georgia (GE)</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Georgia (GE)</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50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2</w:t>
            </w:r>
          </w:p>
        </w:tc>
        <w:tc>
          <w:tcPr>
            <w:tcW w:w="1294" w:type="dxa"/>
            <w:shd w:val="clear" w:color="auto" w:fill="auto"/>
            <w:noWrap/>
            <w:vAlign w:val="center"/>
          </w:tcPr>
          <w:p w:rsidR="007721A4" w:rsidRPr="003007CD" w:rsidRDefault="00413631" w:rsidP="00EE7BB5">
            <w:pPr>
              <w:widowControl w:val="0"/>
              <w:spacing w:beforeLines="40" w:before="96" w:afterLines="40" w:after="96"/>
              <w:rPr>
                <w:sz w:val="16"/>
                <w:szCs w:val="16"/>
                <w:lang w:val="es-ES_tradnl"/>
              </w:rPr>
            </w:pPr>
            <w:r w:rsidRPr="003007CD">
              <w:rPr>
                <w:sz w:val="16"/>
                <w:szCs w:val="16"/>
                <w:lang w:val="es-ES_tradnl"/>
              </w:rPr>
              <w:t>Fondo fideicomiso</w:t>
            </w:r>
            <w:r w:rsidR="007721A4" w:rsidRPr="003007CD">
              <w:rPr>
                <w:sz w:val="16"/>
                <w:szCs w:val="16"/>
                <w:lang w:val="es-ES_tradnl"/>
              </w:rPr>
              <w:t>/JP</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D82B5E">
            <w:pPr>
              <w:widowControl w:val="0"/>
              <w:spacing w:beforeLines="40" w:before="96" w:afterLines="40" w:after="96"/>
              <w:rPr>
                <w:sz w:val="16"/>
                <w:szCs w:val="16"/>
                <w:lang w:val="es-ES_tradnl"/>
              </w:rPr>
            </w:pPr>
            <w:r w:rsidRPr="003007CD">
              <w:rPr>
                <w:sz w:val="16"/>
                <w:szCs w:val="16"/>
                <w:lang w:val="es-ES_tradnl"/>
              </w:rPr>
              <w:t xml:space="preserve">Taller sobre </w:t>
            </w:r>
            <w:r w:rsidR="00D82B5E" w:rsidRPr="003007CD">
              <w:rPr>
                <w:sz w:val="16"/>
                <w:szCs w:val="16"/>
                <w:lang w:val="es-ES_tradnl"/>
              </w:rPr>
              <w:t>el uso eficaz  en la fase nacional del informe de búsqueda internacional y del informe preliminar internacional sobre la patentabilidad</w:t>
            </w:r>
            <w:r w:rsidRPr="003007CD">
              <w:rPr>
                <w:sz w:val="16"/>
                <w:szCs w:val="16"/>
                <w:lang w:val="es-ES_tradnl"/>
              </w:rPr>
              <w:t xml:space="preserve">, Tokio </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 xml:space="preserve">Oficina Japonesa de Patentes </w:t>
            </w:r>
            <w:r w:rsidRPr="003007CD">
              <w:rPr>
                <w:sz w:val="16"/>
                <w:szCs w:val="16"/>
                <w:lang w:val="es-ES_tradnl"/>
              </w:rPr>
              <w:br/>
              <w:t xml:space="preserve">(colaboración conferenciante de la OEP)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Japón (JP)</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Indonesia (ID)</w:t>
            </w:r>
            <w:r w:rsidRPr="003007CD">
              <w:rPr>
                <w:sz w:val="16"/>
                <w:szCs w:val="16"/>
                <w:lang w:val="es-ES_tradnl"/>
              </w:rPr>
              <w:br/>
              <w:t>República Democrática Popular  Lao (LA)</w:t>
            </w:r>
            <w:r w:rsidRPr="003007CD">
              <w:rPr>
                <w:sz w:val="16"/>
                <w:szCs w:val="16"/>
                <w:lang w:val="es-ES_tradnl"/>
              </w:rPr>
              <w:br/>
              <w:t xml:space="preserve">Malasia (MY) </w:t>
            </w:r>
            <w:r w:rsidRPr="003007CD">
              <w:rPr>
                <w:sz w:val="16"/>
                <w:szCs w:val="16"/>
                <w:lang w:val="es-ES_tradnl"/>
              </w:rPr>
              <w:br/>
              <w:t>Mongolia (MN)</w:t>
            </w:r>
            <w:r w:rsidRPr="003007CD">
              <w:rPr>
                <w:sz w:val="16"/>
                <w:szCs w:val="16"/>
                <w:lang w:val="es-ES_tradnl"/>
              </w:rPr>
              <w:br/>
              <w:t>Filipinas(PH)</w:t>
            </w:r>
            <w:r w:rsidRPr="003007CD">
              <w:rPr>
                <w:sz w:val="16"/>
                <w:szCs w:val="16"/>
                <w:lang w:val="es-ES_tradnl"/>
              </w:rPr>
              <w:br/>
              <w:t>Singapur (SG)</w:t>
            </w:r>
            <w:r w:rsidRPr="003007CD">
              <w:rPr>
                <w:sz w:val="16"/>
                <w:szCs w:val="16"/>
                <w:lang w:val="es-ES_tradnl"/>
              </w:rPr>
              <w:br/>
              <w:t>Sri Lanka (LK)</w:t>
            </w:r>
            <w:r w:rsidRPr="003007CD">
              <w:rPr>
                <w:sz w:val="16"/>
                <w:szCs w:val="16"/>
                <w:lang w:val="es-ES_tradnl"/>
              </w:rPr>
              <w:br/>
              <w:t>Tailandia (TH)</w:t>
            </w:r>
            <w:r w:rsidRPr="003007CD">
              <w:rPr>
                <w:sz w:val="16"/>
                <w:szCs w:val="16"/>
                <w:lang w:val="es-ES_tradnl"/>
              </w:rPr>
              <w:br/>
              <w:t>Viet Nam (VN)</w:t>
            </w:r>
            <w:r w:rsidRPr="003007CD">
              <w:rPr>
                <w:sz w:val="16"/>
                <w:szCs w:val="16"/>
                <w:lang w:val="es-ES_tradnl"/>
              </w:rPr>
              <w:br/>
              <w:t>Burundi (BI)</w:t>
            </w:r>
            <w:r w:rsidRPr="003007CD">
              <w:rPr>
                <w:sz w:val="16"/>
                <w:szCs w:val="16"/>
                <w:lang w:val="es-ES_tradnl"/>
              </w:rPr>
              <w:br/>
              <w:t>Egipto (EG)</w:t>
            </w:r>
            <w:r w:rsidRPr="003007CD">
              <w:rPr>
                <w:sz w:val="16"/>
                <w:szCs w:val="16"/>
                <w:lang w:val="es-ES_tradnl"/>
              </w:rPr>
              <w:br/>
              <w:t>Madagascar (MG)</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27</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3</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para funcionarios de Panamá en la sede de la OMPI y en la OEPM en Madrid</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Española de Patentes y Marcas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OMPI (OI)</w:t>
            </w:r>
            <w:r w:rsidRPr="003007CD">
              <w:rPr>
                <w:sz w:val="16"/>
                <w:szCs w:val="16"/>
                <w:lang w:val="es-ES_tradnl"/>
              </w:rPr>
              <w:br/>
              <w:t>España(ES)</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Panamá (PA)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2</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3</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 C, D</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subregional sobre última actualidad PCT e instrumentos TI del PCT, Zagreb</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Estatal de Propiedad Intelectual de Croacia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Croacia (HR)</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Croacia (HR)</w:t>
            </w:r>
            <w:r w:rsidRPr="003007CD">
              <w:rPr>
                <w:sz w:val="16"/>
                <w:szCs w:val="16"/>
                <w:lang w:val="es-ES_tradnl"/>
              </w:rPr>
              <w:br/>
              <w:t>Albania (AL)</w:t>
            </w:r>
            <w:r w:rsidRPr="003007CD">
              <w:rPr>
                <w:sz w:val="16"/>
                <w:szCs w:val="16"/>
                <w:lang w:val="es-ES_tradnl"/>
              </w:rPr>
              <w:br/>
              <w:t>Bosnia y Herzegovina (BA)</w:t>
            </w:r>
            <w:r w:rsidRPr="003007CD">
              <w:rPr>
                <w:sz w:val="16"/>
                <w:szCs w:val="16"/>
                <w:lang w:val="es-ES_tradnl"/>
              </w:rPr>
              <w:br/>
              <w:t>Bulgaria (BG)</w:t>
            </w:r>
            <w:r w:rsidRPr="003007CD">
              <w:rPr>
                <w:sz w:val="16"/>
                <w:szCs w:val="16"/>
                <w:lang w:val="es-ES_tradnl"/>
              </w:rPr>
              <w:br/>
              <w:t>Ex República Yugoslava de Macedonia (MK)</w:t>
            </w:r>
            <w:r w:rsidRPr="003007CD">
              <w:rPr>
                <w:sz w:val="16"/>
                <w:szCs w:val="16"/>
                <w:lang w:val="es-ES_tradnl"/>
              </w:rPr>
              <w:br/>
              <w:t xml:space="preserve">Montenegro (ME) </w:t>
            </w:r>
            <w:r w:rsidRPr="003007CD">
              <w:rPr>
                <w:sz w:val="16"/>
                <w:szCs w:val="16"/>
                <w:lang w:val="es-ES_tradnl"/>
              </w:rPr>
              <w:br/>
              <w:t>Eslovenia (SI)</w:t>
            </w:r>
            <w:r w:rsidRPr="003007CD">
              <w:rPr>
                <w:sz w:val="16"/>
                <w:szCs w:val="16"/>
                <w:lang w:val="es-ES_tradnl"/>
              </w:rPr>
              <w:br/>
              <w:t>Serbia (RS)</w:t>
            </w:r>
          </w:p>
        </w:tc>
        <w:tc>
          <w:tcPr>
            <w:tcW w:w="1276" w:type="dxa"/>
            <w:shd w:val="clear" w:color="auto" w:fill="auto"/>
            <w:noWrap/>
            <w:vAlign w:val="center"/>
          </w:tcPr>
          <w:p w:rsidR="007721A4" w:rsidRPr="003007CD" w:rsidRDefault="007721A4" w:rsidP="00B21098">
            <w:pPr>
              <w:widowControl w:val="0"/>
              <w:spacing w:beforeLines="40" w:before="96" w:afterLines="40" w:after="96"/>
              <w:rPr>
                <w:sz w:val="16"/>
                <w:szCs w:val="16"/>
                <w:lang w:val="es-ES_tradnl"/>
              </w:rPr>
            </w:pPr>
            <w:r w:rsidRPr="003007CD">
              <w:rPr>
                <w:sz w:val="16"/>
                <w:szCs w:val="16"/>
                <w:lang w:val="es-ES_tradnl"/>
              </w:rPr>
              <w:t>Oficinas + universidades/</w:t>
            </w:r>
            <w:r w:rsidR="00B21098" w:rsidRPr="003007CD">
              <w:rPr>
                <w:sz w:val="16"/>
                <w:szCs w:val="16"/>
                <w:lang w:val="es-ES_tradnl"/>
              </w:rPr>
              <w:br/>
            </w:r>
            <w:r w:rsidRPr="003007CD">
              <w:rPr>
                <w:sz w:val="16"/>
                <w:szCs w:val="16"/>
                <w:lang w:val="es-ES_tradnl"/>
              </w:rPr>
              <w:t>instituciones investigación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55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4</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Colaboración PCT</w:t>
            </w:r>
            <w:r w:rsidR="00413631" w:rsidRPr="003007CD">
              <w:rPr>
                <w:sz w:val="16"/>
                <w:szCs w:val="16"/>
                <w:lang w:val="es-ES_tradnl"/>
              </w:rPr>
              <w:t>–</w:t>
            </w:r>
            <w:r w:rsidRPr="003007CD">
              <w:rPr>
                <w:sz w:val="16"/>
                <w:szCs w:val="16"/>
                <w:lang w:val="es-ES_tradnl"/>
              </w:rPr>
              <w:t>TIC</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D</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Reunión sobre cooperación PCT</w:t>
            </w:r>
            <w:r w:rsidR="00413631" w:rsidRPr="003007CD">
              <w:rPr>
                <w:sz w:val="16"/>
                <w:szCs w:val="16"/>
                <w:lang w:val="es-ES_tradnl"/>
              </w:rPr>
              <w:t>–</w:t>
            </w:r>
            <w:r w:rsidRPr="003007CD">
              <w:rPr>
                <w:sz w:val="16"/>
                <w:szCs w:val="16"/>
                <w:lang w:val="es-ES_tradnl"/>
              </w:rPr>
              <w:t>TIC con empresas y Comisión  de Propiedad Intelectual</w:t>
            </w:r>
          </w:p>
        </w:tc>
        <w:tc>
          <w:tcPr>
            <w:tcW w:w="2204" w:type="dxa"/>
            <w:shd w:val="clear" w:color="auto" w:fill="auto"/>
            <w:vAlign w:val="center"/>
          </w:tcPr>
          <w:p w:rsidR="007721A4" w:rsidRPr="003007CD" w:rsidRDefault="003F43B3" w:rsidP="003F43B3">
            <w:pPr>
              <w:widowControl w:val="0"/>
              <w:spacing w:beforeLines="40" w:before="96" w:afterLines="40" w:after="96"/>
              <w:rPr>
                <w:sz w:val="16"/>
                <w:szCs w:val="16"/>
                <w:lang w:val="es-ES_tradnl"/>
              </w:rPr>
            </w:pPr>
            <w:r w:rsidRPr="003007CD">
              <w:rPr>
                <w:sz w:val="16"/>
                <w:szCs w:val="16"/>
                <w:lang w:val="es-ES_tradnl"/>
              </w:rPr>
              <w:t>CIPC,</w:t>
            </w:r>
            <w:r w:rsidR="007721A4" w:rsidRPr="003007CD">
              <w:rPr>
                <w:sz w:val="16"/>
                <w:szCs w:val="16"/>
                <w:lang w:val="es-ES_tradnl"/>
              </w:rPr>
              <w:t xml:space="preserve"> Sudáfrica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Sudáfrica (ZA)</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Sudáfrica (ZA)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13</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4</w:t>
            </w:r>
          </w:p>
        </w:tc>
        <w:tc>
          <w:tcPr>
            <w:tcW w:w="1294" w:type="dxa"/>
            <w:shd w:val="clear" w:color="auto" w:fill="auto"/>
            <w:noWrap/>
            <w:vAlign w:val="center"/>
          </w:tcPr>
          <w:p w:rsidR="007721A4" w:rsidRPr="003007CD" w:rsidRDefault="00413631" w:rsidP="00EE7BB5">
            <w:pPr>
              <w:widowControl w:val="0"/>
              <w:spacing w:beforeLines="40" w:before="96" w:afterLines="40" w:after="96"/>
              <w:rPr>
                <w:sz w:val="16"/>
                <w:szCs w:val="16"/>
                <w:lang w:val="es-ES_tradnl"/>
              </w:rPr>
            </w:pPr>
            <w:r w:rsidRPr="003007CD">
              <w:rPr>
                <w:sz w:val="16"/>
                <w:szCs w:val="16"/>
                <w:lang w:val="es-ES_tradnl"/>
              </w:rPr>
              <w:t xml:space="preserve">REG + fondo </w:t>
            </w:r>
            <w:r w:rsidR="007721A4" w:rsidRPr="003007CD">
              <w:rPr>
                <w:sz w:val="16"/>
                <w:szCs w:val="16"/>
                <w:lang w:val="es-ES_tradnl"/>
              </w:rPr>
              <w:t>fideicomiso/AU</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B21098" w:rsidP="00EE7BB5">
            <w:pPr>
              <w:widowControl w:val="0"/>
              <w:spacing w:beforeLines="40" w:before="96" w:afterLines="40" w:after="96"/>
              <w:rPr>
                <w:sz w:val="16"/>
                <w:szCs w:val="16"/>
                <w:lang w:val="es-ES_tradnl"/>
              </w:rPr>
            </w:pPr>
            <w:r w:rsidRPr="003007CD">
              <w:rPr>
                <w:sz w:val="16"/>
                <w:szCs w:val="16"/>
                <w:lang w:val="es-ES_tradnl"/>
              </w:rPr>
              <w:t xml:space="preserve">B, </w:t>
            </w:r>
            <w:r w:rsidR="007721A4"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subregional sobre el PCT en la Oficina de la OMPI en Singapur</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de la OMPI en Singapur</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Singapur (SG)</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Filipinas (PH)</w:t>
            </w:r>
            <w:r w:rsidRPr="003007CD">
              <w:rPr>
                <w:sz w:val="16"/>
                <w:szCs w:val="16"/>
                <w:lang w:val="es-ES_tradnl"/>
              </w:rPr>
              <w:br/>
              <w:t>República Popular Democrática Lao (LA)</w:t>
            </w:r>
            <w:r w:rsidRPr="003007CD">
              <w:rPr>
                <w:sz w:val="16"/>
                <w:szCs w:val="16"/>
                <w:lang w:val="es-ES_tradnl"/>
              </w:rPr>
              <w:br/>
              <w:t>Brunei Darussalam (BN)</w:t>
            </w:r>
            <w:r w:rsidRPr="003007CD">
              <w:rPr>
                <w:sz w:val="16"/>
                <w:szCs w:val="16"/>
                <w:lang w:val="es-ES_tradnl"/>
              </w:rPr>
              <w:br/>
              <w:t>Camboya (KH)</w:t>
            </w:r>
            <w:r w:rsidRPr="003007CD">
              <w:rPr>
                <w:sz w:val="16"/>
                <w:szCs w:val="16"/>
                <w:lang w:val="es-ES_tradnl"/>
              </w:rPr>
              <w:br/>
              <w:t>Myanmar (MM)</w:t>
            </w:r>
            <w:r w:rsidRPr="003007CD">
              <w:rPr>
                <w:sz w:val="16"/>
                <w:szCs w:val="16"/>
                <w:lang w:val="es-ES_tradnl"/>
              </w:rPr>
              <w:br/>
              <w:t>Singapur (SG)</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40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4</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w:t>
            </w:r>
            <w:r w:rsidR="00B21098" w:rsidRPr="003007CD">
              <w:rPr>
                <w:sz w:val="16"/>
                <w:szCs w:val="16"/>
                <w:lang w:val="es-ES_tradnl"/>
              </w:rPr>
              <w:t xml:space="preserve"> </w:t>
            </w: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de promoción del PCT en Dushanbe</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 xml:space="preserve">Centro Nacional de Patentes e Información, </w:t>
            </w:r>
            <w:r w:rsidR="001F1407" w:rsidRPr="003007CD">
              <w:rPr>
                <w:rFonts w:eastAsia="Times New Roman"/>
                <w:sz w:val="16"/>
                <w:szCs w:val="16"/>
                <w:lang w:val="es-ES_tradnl"/>
              </w:rPr>
              <w:t>Tayikistán</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Tayikistán (TJ)</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Tayikistán (TJ)</w:t>
            </w:r>
          </w:p>
        </w:tc>
        <w:tc>
          <w:tcPr>
            <w:tcW w:w="1276" w:type="dxa"/>
            <w:shd w:val="clear" w:color="auto" w:fill="auto"/>
            <w:noWrap/>
            <w:vAlign w:val="center"/>
          </w:tcPr>
          <w:p w:rsidR="007721A4" w:rsidRPr="003007CD" w:rsidDel="00715171" w:rsidRDefault="007721A4" w:rsidP="00EE7BB5">
            <w:pPr>
              <w:widowControl w:val="0"/>
              <w:spacing w:beforeLines="40" w:before="96" w:afterLines="40" w:after="96"/>
              <w:rPr>
                <w:sz w:val="16"/>
                <w:szCs w:val="16"/>
                <w:lang w:val="es-ES_tradnl"/>
              </w:rPr>
            </w:pPr>
            <w:r w:rsidRPr="003007CD">
              <w:rPr>
                <w:sz w:val="16"/>
                <w:szCs w:val="16"/>
                <w:lang w:val="es-ES_tradnl"/>
              </w:rPr>
              <w:t>Oficinas + universidades/</w:t>
            </w:r>
            <w:r w:rsidR="00B21098" w:rsidRPr="003007CD">
              <w:rPr>
                <w:sz w:val="16"/>
                <w:szCs w:val="16"/>
                <w:lang w:val="es-ES_tradnl"/>
              </w:rPr>
              <w:br/>
            </w:r>
            <w:r w:rsidRPr="003007CD">
              <w:rPr>
                <w:sz w:val="16"/>
                <w:szCs w:val="16"/>
                <w:lang w:val="es-ES_tradnl"/>
              </w:rPr>
              <w:t>instituciones investigación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62</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4</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Asistencia en materia de Administraciones encargadas de la búsqueda</w:t>
            </w:r>
            <w:r w:rsidR="005D78A7" w:rsidRPr="003007CD">
              <w:rPr>
                <w:rFonts w:eastAsia="Times New Roman"/>
                <w:sz w:val="16"/>
                <w:szCs w:val="16"/>
                <w:lang w:val="es-ES_tradnl"/>
              </w:rPr>
              <w:t xml:space="preserve"> internacional</w:t>
            </w:r>
            <w:r w:rsidRPr="003007CD">
              <w:rPr>
                <w:rFonts w:eastAsia="Times New Roman"/>
                <w:sz w:val="16"/>
                <w:szCs w:val="16"/>
                <w:lang w:val="es-ES_tradnl"/>
              </w:rPr>
              <w:t>/ Administraciones encargadas del examen preliminar internacional en el marco del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F</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Formación de examinadores del PCT entre funcionarios indios de Nueva Delhi por expertos de la Oficina Japonesa de Patentes</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Dirección General de Patentes, Diseños y Marcas/ Departamento de Fomento de Políticas Industriales/ Ministerio de Industria y Comercio/Gobierno de la India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India (IN)</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India (IN)</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5</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w:t>
            </w:r>
            <w:r w:rsidR="00B21098" w:rsidRPr="003007CD">
              <w:rPr>
                <w:sz w:val="16"/>
                <w:szCs w:val="16"/>
                <w:lang w:val="es-ES_tradnl"/>
              </w:rPr>
              <w:t xml:space="preserve"> </w:t>
            </w: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del PCT en Tegucigalpa</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Dirección General de Propiedad Intelectual de Honduras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Honduras (HN)</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Honduras (HN)</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universidades/</w:t>
            </w:r>
            <w:r w:rsidR="00413631" w:rsidRPr="003007CD">
              <w:rPr>
                <w:sz w:val="16"/>
                <w:szCs w:val="16"/>
                <w:lang w:val="es-ES_tradnl"/>
              </w:rPr>
              <w:br/>
            </w:r>
            <w:r w:rsidRPr="003007CD">
              <w:rPr>
                <w:sz w:val="16"/>
                <w:szCs w:val="16"/>
                <w:lang w:val="es-ES_tradnl"/>
              </w:rPr>
              <w:t>instituciones investigación + usuarios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105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5</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 C, D</w:t>
            </w:r>
          </w:p>
        </w:tc>
        <w:tc>
          <w:tcPr>
            <w:tcW w:w="2174" w:type="dxa"/>
            <w:shd w:val="clear" w:color="auto" w:fill="auto"/>
            <w:vAlign w:val="center"/>
          </w:tcPr>
          <w:p w:rsidR="007721A4" w:rsidRPr="003007CD" w:rsidRDefault="007721A4" w:rsidP="005D78A7">
            <w:pPr>
              <w:widowControl w:val="0"/>
              <w:spacing w:beforeLines="40" w:before="96" w:afterLines="40" w:after="96"/>
              <w:rPr>
                <w:sz w:val="16"/>
                <w:szCs w:val="16"/>
                <w:lang w:val="es-ES_tradnl"/>
              </w:rPr>
            </w:pPr>
            <w:r w:rsidRPr="003007CD">
              <w:rPr>
                <w:sz w:val="16"/>
                <w:szCs w:val="16"/>
                <w:lang w:val="es-ES_tradnl"/>
              </w:rPr>
              <w:t>Seminario de promoción del PCT y taller sobre los sistemas ePCT,, PCT</w:t>
            </w:r>
            <w:r w:rsidR="00413631" w:rsidRPr="003007CD">
              <w:rPr>
                <w:sz w:val="16"/>
                <w:szCs w:val="16"/>
                <w:lang w:val="es-ES_tradnl"/>
              </w:rPr>
              <w:t>–</w:t>
            </w:r>
            <w:r w:rsidRPr="003007CD">
              <w:rPr>
                <w:sz w:val="16"/>
                <w:szCs w:val="16"/>
                <w:lang w:val="es-ES_tradnl"/>
              </w:rPr>
              <w:t xml:space="preserve">SAFE, </w:t>
            </w:r>
            <w:r w:rsidR="003007CD" w:rsidRPr="003007CD">
              <w:rPr>
                <w:sz w:val="16"/>
                <w:szCs w:val="16"/>
                <w:lang w:val="es-ES_tradnl"/>
              </w:rPr>
              <w:t>etc.</w:t>
            </w:r>
            <w:r w:rsidR="005D78A7" w:rsidRPr="003007CD">
              <w:rPr>
                <w:sz w:val="16"/>
                <w:szCs w:val="16"/>
                <w:lang w:val="es-ES_tradnl"/>
              </w:rPr>
              <w:t>,</w:t>
            </w:r>
            <w:r w:rsidRPr="003007CD">
              <w:rPr>
                <w:sz w:val="16"/>
                <w:szCs w:val="16"/>
                <w:lang w:val="es-ES_tradnl"/>
              </w:rPr>
              <w:t xml:space="preserve"> Kiev</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Servicio Estatal de Propiedad Intelectual de Ucrania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Ucrania (UA)</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Ucrania (UA)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usuarios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140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5</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las patentes y el PCT para la EAPO y las oficinas nacionales de sus Estados miembros en la sede de la EAPO en Moscú</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Organización Eurasiática de Patentes (EAPO)</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EAPO (EA)</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EAPO (EA)</w:t>
            </w:r>
            <w:r w:rsidRPr="003007CD">
              <w:rPr>
                <w:rFonts w:eastAsia="Times New Roman"/>
                <w:sz w:val="16"/>
                <w:szCs w:val="16"/>
                <w:lang w:val="es-ES_tradnl"/>
              </w:rPr>
              <w:t xml:space="preserve"> </w:t>
            </w:r>
            <w:r w:rsidRPr="003007CD">
              <w:rPr>
                <w:rFonts w:eastAsia="Times New Roman"/>
                <w:sz w:val="16"/>
                <w:szCs w:val="16"/>
                <w:lang w:val="es-ES_tradnl"/>
              </w:rPr>
              <w:br/>
              <w:t xml:space="preserve">Armenia(AM) </w:t>
            </w:r>
            <w:r w:rsidRPr="003007CD">
              <w:rPr>
                <w:rFonts w:eastAsia="Times New Roman"/>
                <w:sz w:val="16"/>
                <w:szCs w:val="16"/>
                <w:lang w:val="es-ES_tradnl"/>
              </w:rPr>
              <w:br/>
              <w:t>Azerbaiyán (AZ)</w:t>
            </w:r>
            <w:r w:rsidRPr="003007CD">
              <w:rPr>
                <w:rFonts w:eastAsia="Times New Roman"/>
                <w:sz w:val="16"/>
                <w:szCs w:val="16"/>
                <w:lang w:val="es-ES_tradnl"/>
              </w:rPr>
              <w:br/>
              <w:t>Belarús(BY)</w:t>
            </w:r>
            <w:r w:rsidRPr="003007CD">
              <w:rPr>
                <w:rFonts w:eastAsia="Times New Roman"/>
                <w:sz w:val="16"/>
                <w:szCs w:val="16"/>
                <w:lang w:val="es-ES_tradnl"/>
              </w:rPr>
              <w:br/>
              <w:t>Kazakstán (KZ)</w:t>
            </w:r>
            <w:r w:rsidRPr="003007CD">
              <w:rPr>
                <w:rFonts w:eastAsia="Times New Roman"/>
                <w:sz w:val="16"/>
                <w:szCs w:val="16"/>
                <w:lang w:val="es-ES_tradnl"/>
              </w:rPr>
              <w:br/>
              <w:t>Kirguistán (KG)</w:t>
            </w:r>
            <w:r w:rsidRPr="003007CD">
              <w:rPr>
                <w:rFonts w:eastAsia="Times New Roman"/>
                <w:sz w:val="16"/>
                <w:szCs w:val="16"/>
                <w:lang w:val="es-ES_tradnl"/>
              </w:rPr>
              <w:br/>
            </w:r>
            <w:r w:rsidRPr="003007CD">
              <w:rPr>
                <w:rFonts w:eastAsia="Times New Roman"/>
                <w:snapToGrid w:val="0"/>
                <w:sz w:val="16"/>
                <w:szCs w:val="16"/>
                <w:lang w:val="es-ES_tradnl"/>
              </w:rPr>
              <w:t>Federación de Rusia</w:t>
            </w:r>
            <w:r w:rsidRPr="003007CD">
              <w:rPr>
                <w:rFonts w:eastAsia="Times New Roman"/>
                <w:sz w:val="16"/>
                <w:szCs w:val="16"/>
                <w:lang w:val="es-ES_tradnl"/>
              </w:rPr>
              <w:t xml:space="preserve"> (RU)</w:t>
            </w:r>
            <w:r w:rsidRPr="003007CD">
              <w:rPr>
                <w:rFonts w:eastAsia="Times New Roman"/>
                <w:sz w:val="16"/>
                <w:szCs w:val="16"/>
                <w:lang w:val="es-ES_tradnl"/>
              </w:rPr>
              <w:br/>
              <w:t>Tayikistán  (TJ)</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23</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5</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w:t>
            </w:r>
            <w:r w:rsidR="00B21098" w:rsidRPr="003007CD">
              <w:rPr>
                <w:sz w:val="16"/>
                <w:szCs w:val="16"/>
                <w:lang w:val="es-ES_tradnl"/>
              </w:rPr>
              <w:t xml:space="preserve"> </w:t>
            </w:r>
            <w:r w:rsidRPr="003007CD">
              <w:rPr>
                <w:sz w:val="16"/>
                <w:szCs w:val="16"/>
                <w:lang w:val="es-ES_tradnl"/>
              </w:rPr>
              <w:t>C,</w:t>
            </w:r>
            <w:r w:rsidR="00B21098" w:rsidRPr="003007CD">
              <w:rPr>
                <w:sz w:val="16"/>
                <w:szCs w:val="16"/>
                <w:lang w:val="es-ES_tradnl"/>
              </w:rPr>
              <w:t xml:space="preserve"> </w:t>
            </w:r>
            <w:r w:rsidRPr="003007CD">
              <w:rPr>
                <w:sz w:val="16"/>
                <w:szCs w:val="16"/>
                <w:lang w:val="es-ES_tradnl"/>
              </w:rPr>
              <w:t>D</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 de promoción del PCT y taller de TI para oficinas, Tashkent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Organismo de Propiedad Intelectual de of Uzbekistán</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Uzbekistán (UZ)</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Uzbekistán (UZ)</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usuarios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90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6</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fondo fideicomiso/AU</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Asistencia en materia de Administrac</w:t>
            </w:r>
            <w:r w:rsidR="005D78A7" w:rsidRPr="003007CD">
              <w:rPr>
                <w:rFonts w:eastAsia="Times New Roman"/>
                <w:sz w:val="16"/>
                <w:szCs w:val="16"/>
                <w:lang w:val="es-ES_tradnl"/>
              </w:rPr>
              <w:t>iones encargadas de la búsqueda internacional</w:t>
            </w:r>
            <w:r w:rsidRPr="003007CD">
              <w:rPr>
                <w:rFonts w:eastAsia="Times New Roman"/>
                <w:sz w:val="16"/>
                <w:szCs w:val="16"/>
                <w:lang w:val="es-ES_tradnl"/>
              </w:rPr>
              <w:t xml:space="preserve"> Administraciones encargadas del examen preliminar internacional en el marco del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F</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sobre el</w:t>
            </w:r>
            <w:r w:rsidR="00B21098" w:rsidRPr="003007CD">
              <w:rPr>
                <w:sz w:val="16"/>
                <w:szCs w:val="16"/>
                <w:lang w:val="es-ES_tradnl"/>
              </w:rPr>
              <w:t xml:space="preserve"> </w:t>
            </w:r>
            <w:r w:rsidRPr="003007CD">
              <w:rPr>
                <w:sz w:val="16"/>
                <w:szCs w:val="16"/>
                <w:lang w:val="es-ES_tradnl"/>
              </w:rPr>
              <w:t xml:space="preserve">PCT para examinadores de  </w:t>
            </w:r>
            <w:r w:rsidRPr="003007CD">
              <w:rPr>
                <w:i/>
                <w:sz w:val="16"/>
                <w:szCs w:val="16"/>
                <w:lang w:val="es-ES_tradnl"/>
              </w:rPr>
              <w:t>IP Australia</w:t>
            </w:r>
            <w:r w:rsidRPr="003007CD">
              <w:rPr>
                <w:sz w:val="16"/>
                <w:szCs w:val="16"/>
                <w:lang w:val="es-ES_tradnl"/>
              </w:rPr>
              <w:t xml:space="preserve"> , Canberra</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i/>
                <w:sz w:val="16"/>
                <w:szCs w:val="16"/>
                <w:lang w:val="es-ES_tradnl"/>
              </w:rPr>
            </w:pPr>
            <w:r w:rsidRPr="003007CD">
              <w:rPr>
                <w:i/>
                <w:sz w:val="16"/>
                <w:szCs w:val="16"/>
                <w:lang w:val="es-ES_tradnl"/>
              </w:rPr>
              <w:t>IP Australia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Australia (AU)</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Egipto (EG)</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4</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6</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r w:rsidR="00413631" w:rsidRPr="003007CD">
              <w:rPr>
                <w:sz w:val="16"/>
                <w:szCs w:val="16"/>
                <w:lang w:val="es-ES_tradnl"/>
              </w:rPr>
              <w:t xml:space="preserve"> </w:t>
            </w:r>
            <w:r w:rsidRPr="003007CD">
              <w:rPr>
                <w:sz w:val="16"/>
                <w:szCs w:val="16"/>
                <w:lang w:val="es-ES_tradnl"/>
              </w:rPr>
              <w:t>+</w:t>
            </w:r>
            <w:r w:rsidR="00413631" w:rsidRPr="003007CD">
              <w:rPr>
                <w:sz w:val="16"/>
                <w:szCs w:val="16"/>
                <w:lang w:val="es-ES_tradnl"/>
              </w:rPr>
              <w:t xml:space="preserve"> </w:t>
            </w:r>
            <w:r w:rsidRPr="003007CD">
              <w:rPr>
                <w:sz w:val="16"/>
                <w:szCs w:val="16"/>
                <w:lang w:val="es-ES_tradnl"/>
              </w:rPr>
              <w:t>fondo fideicomiso/JP</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regional del PCT para Estados miembros y observadores de la ARIPO, Windhoek</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Organización Regional Africana de la Propiedad Intelectual (ARIPO)</w:t>
            </w:r>
            <w:r w:rsidRPr="003007CD">
              <w:rPr>
                <w:sz w:val="16"/>
                <w:szCs w:val="16"/>
                <w:lang w:val="es-ES_tradnl"/>
              </w:rPr>
              <w:br/>
              <w:t xml:space="preserve">Oficina del Registrador de Marcas y Patentes de Namibia </w:t>
            </w:r>
            <w:r w:rsidRPr="003007CD">
              <w:rPr>
                <w:sz w:val="16"/>
                <w:szCs w:val="16"/>
                <w:lang w:val="es-ES_tradnl"/>
              </w:rPr>
              <w:br/>
              <w:t>(colaboración conferenciante de la Oficina Japonesa de Patentes)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Namibia (NA)</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Angola (AO)</w:t>
            </w:r>
            <w:r w:rsidRPr="003007CD">
              <w:rPr>
                <w:rFonts w:eastAsia="Times New Roman"/>
                <w:sz w:val="16"/>
                <w:szCs w:val="16"/>
                <w:lang w:val="es-ES_tradnl"/>
              </w:rPr>
              <w:br/>
              <w:t>Botswana (BW)</w:t>
            </w:r>
            <w:r w:rsidRPr="003007CD">
              <w:rPr>
                <w:rFonts w:eastAsia="Times New Roman"/>
                <w:sz w:val="16"/>
                <w:szCs w:val="16"/>
                <w:lang w:val="es-ES_tradnl"/>
              </w:rPr>
              <w:br/>
              <w:t>Gambia (GM)</w:t>
            </w:r>
            <w:r w:rsidRPr="003007CD">
              <w:rPr>
                <w:rFonts w:eastAsia="Times New Roman"/>
                <w:sz w:val="16"/>
                <w:szCs w:val="16"/>
                <w:lang w:val="es-ES_tradnl"/>
              </w:rPr>
              <w:br/>
              <w:t>Ghana (GH)</w:t>
            </w:r>
            <w:r w:rsidRPr="003007CD">
              <w:rPr>
                <w:rFonts w:eastAsia="Times New Roman"/>
                <w:sz w:val="16"/>
                <w:szCs w:val="16"/>
                <w:lang w:val="es-ES_tradnl"/>
              </w:rPr>
              <w:br/>
              <w:t>Kenya (KE)</w:t>
            </w:r>
            <w:r w:rsidRPr="003007CD">
              <w:rPr>
                <w:rFonts w:eastAsia="Times New Roman"/>
                <w:sz w:val="16"/>
                <w:szCs w:val="16"/>
                <w:lang w:val="es-ES_tradnl"/>
              </w:rPr>
              <w:br/>
              <w:t>Lesotho (LS)</w:t>
            </w:r>
            <w:r w:rsidRPr="003007CD">
              <w:rPr>
                <w:rFonts w:eastAsia="Times New Roman"/>
                <w:sz w:val="16"/>
                <w:szCs w:val="16"/>
                <w:lang w:val="es-ES_tradnl"/>
              </w:rPr>
              <w:br/>
              <w:t>Malawi (MW)</w:t>
            </w:r>
            <w:r w:rsidRPr="003007CD">
              <w:rPr>
                <w:rFonts w:eastAsia="Times New Roman"/>
                <w:sz w:val="16"/>
                <w:szCs w:val="16"/>
                <w:lang w:val="es-ES_tradnl"/>
              </w:rPr>
              <w:br/>
              <w:t>Mozambique (MZ)</w:t>
            </w:r>
            <w:r w:rsidRPr="003007CD">
              <w:rPr>
                <w:rFonts w:eastAsia="Times New Roman"/>
                <w:sz w:val="16"/>
                <w:szCs w:val="16"/>
                <w:lang w:val="es-ES_tradnl"/>
              </w:rPr>
              <w:br/>
              <w:t>Namibia (NA)</w:t>
            </w:r>
            <w:r w:rsidRPr="003007CD">
              <w:rPr>
                <w:rFonts w:eastAsia="Times New Roman"/>
                <w:sz w:val="16"/>
                <w:szCs w:val="16"/>
                <w:lang w:val="es-ES_tradnl"/>
              </w:rPr>
              <w:br/>
              <w:t>Nigeria (NG)</w:t>
            </w:r>
            <w:r w:rsidRPr="003007CD">
              <w:rPr>
                <w:rFonts w:eastAsia="Times New Roman"/>
                <w:sz w:val="16"/>
                <w:szCs w:val="16"/>
                <w:lang w:val="es-ES_tradnl"/>
              </w:rPr>
              <w:br/>
            </w:r>
            <w:r w:rsidR="003007CD">
              <w:rPr>
                <w:rFonts w:eastAsia="Times New Roman"/>
                <w:sz w:val="16"/>
                <w:szCs w:val="16"/>
                <w:lang w:val="es-ES_tradnl"/>
              </w:rPr>
              <w:t>Sierra Leona</w:t>
            </w:r>
            <w:r w:rsidRPr="003007CD">
              <w:rPr>
                <w:rFonts w:eastAsia="Times New Roman"/>
                <w:sz w:val="16"/>
                <w:szCs w:val="16"/>
                <w:lang w:val="es-ES_tradnl"/>
              </w:rPr>
              <w:t xml:space="preserve"> (SL)</w:t>
            </w:r>
            <w:r w:rsidRPr="003007CD">
              <w:rPr>
                <w:rFonts w:eastAsia="Times New Roman"/>
                <w:sz w:val="16"/>
                <w:szCs w:val="16"/>
                <w:lang w:val="es-ES_tradnl"/>
              </w:rPr>
              <w:br/>
              <w:t>Sudáfrica (ZA)</w:t>
            </w:r>
            <w:r w:rsidRPr="003007CD">
              <w:rPr>
                <w:rFonts w:eastAsia="Times New Roman"/>
                <w:sz w:val="16"/>
                <w:szCs w:val="16"/>
                <w:lang w:val="es-ES_tradnl"/>
              </w:rPr>
              <w:br/>
              <w:t>Liberia (LR)</w:t>
            </w:r>
            <w:r w:rsidRPr="003007CD">
              <w:rPr>
                <w:rFonts w:eastAsia="Times New Roman"/>
                <w:sz w:val="16"/>
                <w:szCs w:val="16"/>
                <w:lang w:val="es-ES_tradnl"/>
              </w:rPr>
              <w:br/>
              <w:t>Rwanda (RW)</w:t>
            </w:r>
            <w:r w:rsidRPr="003007CD">
              <w:rPr>
                <w:rFonts w:eastAsia="Times New Roman"/>
                <w:sz w:val="16"/>
                <w:szCs w:val="16"/>
                <w:lang w:val="es-ES_tradnl"/>
              </w:rPr>
              <w:br/>
              <w:t>Sudán (SD)</w:t>
            </w:r>
            <w:r w:rsidRPr="003007CD">
              <w:rPr>
                <w:rFonts w:eastAsia="Times New Roman"/>
                <w:sz w:val="16"/>
                <w:szCs w:val="16"/>
                <w:lang w:val="es-ES_tradnl"/>
              </w:rPr>
              <w:br/>
              <w:t>Swazilandia (SZ)</w:t>
            </w:r>
            <w:r w:rsidRPr="003007CD">
              <w:rPr>
                <w:rFonts w:eastAsia="Times New Roman"/>
                <w:sz w:val="16"/>
                <w:szCs w:val="16"/>
                <w:lang w:val="es-ES_tradnl"/>
              </w:rPr>
              <w:br/>
              <w:t>Uganda (UG)</w:t>
            </w:r>
            <w:r w:rsidRPr="003007CD">
              <w:rPr>
                <w:rFonts w:eastAsia="Times New Roman"/>
                <w:sz w:val="16"/>
                <w:szCs w:val="16"/>
                <w:lang w:val="es-ES_tradnl"/>
              </w:rPr>
              <w:br/>
              <w:t>República Unida de Tanzanía (TZ)</w:t>
            </w:r>
            <w:r w:rsidRPr="003007CD">
              <w:rPr>
                <w:rFonts w:eastAsia="Times New Roman"/>
                <w:sz w:val="16"/>
                <w:szCs w:val="16"/>
                <w:lang w:val="es-ES_tradnl"/>
              </w:rPr>
              <w:br/>
              <w:t>Zambia (ZM)</w:t>
            </w:r>
            <w:r w:rsidRPr="003007CD">
              <w:rPr>
                <w:rFonts w:eastAsia="Times New Roman"/>
                <w:sz w:val="16"/>
                <w:szCs w:val="16"/>
                <w:lang w:val="es-ES_tradnl"/>
              </w:rPr>
              <w:br/>
              <w:t>Zimbabwe (ZW)</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20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6</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Seminarios de nivel avanzado sobre el PCT, Beijing y Xi’an</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Estatal de Propiedad Intelectual de China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China (CN)</w:t>
            </w:r>
          </w:p>
        </w:tc>
        <w:tc>
          <w:tcPr>
            <w:tcW w:w="1842"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China (CN)</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 universidades/</w:t>
            </w:r>
            <w:r w:rsidR="00413631" w:rsidRPr="003007CD">
              <w:rPr>
                <w:sz w:val="16"/>
                <w:szCs w:val="16"/>
                <w:lang w:val="es-ES_tradnl"/>
              </w:rPr>
              <w:br/>
            </w:r>
            <w:r w:rsidRPr="003007CD">
              <w:rPr>
                <w:sz w:val="16"/>
                <w:szCs w:val="16"/>
                <w:lang w:val="es-ES_tradnl"/>
              </w:rPr>
              <w:t>instituciones investigación + usuarios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280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7</w:t>
            </w:r>
          </w:p>
        </w:tc>
        <w:tc>
          <w:tcPr>
            <w:tcW w:w="1294" w:type="dxa"/>
            <w:shd w:val="clear" w:color="auto" w:fill="auto"/>
            <w:noWrap/>
            <w:vAlign w:val="center"/>
          </w:tcPr>
          <w:p w:rsidR="007721A4" w:rsidRPr="003007CD" w:rsidRDefault="00413631"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 xml:space="preserve">REG + fondo </w:t>
            </w:r>
            <w:r w:rsidR="007721A4" w:rsidRPr="003007CD">
              <w:rPr>
                <w:rFonts w:eastAsia="Times New Roman"/>
                <w:sz w:val="16"/>
                <w:szCs w:val="16"/>
                <w:lang w:val="es-ES_tradnl"/>
              </w:rPr>
              <w:t>fideicomiso/AU</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E</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 xml:space="preserve">Taller sobre adhesión al PCT, OMPI </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OMPI (OI)</w:t>
            </w:r>
          </w:p>
        </w:tc>
        <w:tc>
          <w:tcPr>
            <w:tcW w:w="1842"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Camboya (KH)</w:t>
            </w:r>
            <w:r w:rsidRPr="003007CD">
              <w:rPr>
                <w:rFonts w:eastAsia="Times New Roman"/>
                <w:sz w:val="16"/>
                <w:szCs w:val="16"/>
                <w:lang w:val="es-ES_tradnl"/>
              </w:rPr>
              <w:br/>
              <w:t>Myanmar (MM)</w:t>
            </w:r>
            <w:r w:rsidRPr="003007CD">
              <w:rPr>
                <w:rFonts w:eastAsia="Times New Roman"/>
                <w:sz w:val="16"/>
                <w:szCs w:val="16"/>
                <w:lang w:val="es-ES_tradnl"/>
              </w:rPr>
              <w:br/>
              <w:t>Irán (República Islámica del) (IR)</w:t>
            </w:r>
            <w:r w:rsidRPr="003007CD">
              <w:rPr>
                <w:rFonts w:eastAsia="Times New Roman"/>
                <w:sz w:val="16"/>
                <w:szCs w:val="16"/>
                <w:lang w:val="es-ES_tradnl"/>
              </w:rPr>
              <w:br/>
              <w:t>Arabia Saudita (SA)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rFonts w:eastAsia="Times New Roman"/>
                <w:sz w:val="16"/>
                <w:szCs w:val="16"/>
                <w:lang w:val="es-ES_tradnl"/>
              </w:rPr>
              <w:t>8</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7</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Reunión sobre certificación de calidad y mejores prácticas en el marco del PCT para Oficinas receptoras del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Instituto Nacional de Defensa de la Competencia y de la Protección de la Propiedad Intelectual del Perú/Oficina Española de Patentes y Marcas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Perú (PE)</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Brasil (BR)</w:t>
            </w:r>
            <w:r w:rsidRPr="003007CD">
              <w:rPr>
                <w:sz w:val="16"/>
                <w:szCs w:val="16"/>
                <w:lang w:val="es-ES_tradnl"/>
              </w:rPr>
              <w:br/>
              <w:t xml:space="preserve">Chile (CL) </w:t>
            </w:r>
            <w:r w:rsidRPr="003007CD">
              <w:rPr>
                <w:sz w:val="16"/>
                <w:szCs w:val="16"/>
                <w:lang w:val="es-ES_tradnl"/>
              </w:rPr>
              <w:br/>
              <w:t xml:space="preserve">Cuba(CU) </w:t>
            </w:r>
            <w:r w:rsidRPr="003007CD">
              <w:rPr>
                <w:sz w:val="16"/>
                <w:szCs w:val="16"/>
                <w:lang w:val="es-ES_tradnl"/>
              </w:rPr>
              <w:br/>
            </w:r>
            <w:r w:rsidRPr="003007CD">
              <w:rPr>
                <w:snapToGrid w:val="0"/>
                <w:sz w:val="16"/>
                <w:szCs w:val="16"/>
                <w:lang w:val="es-ES_tradnl"/>
              </w:rPr>
              <w:t>República Dominicana</w:t>
            </w:r>
            <w:r w:rsidRPr="003007CD">
              <w:rPr>
                <w:sz w:val="16"/>
                <w:szCs w:val="16"/>
                <w:lang w:val="es-ES_tradnl"/>
              </w:rPr>
              <w:t xml:space="preserve"> (DO) </w:t>
            </w:r>
            <w:r w:rsidRPr="003007CD">
              <w:rPr>
                <w:sz w:val="16"/>
                <w:szCs w:val="16"/>
                <w:lang w:val="es-ES_tradnl"/>
              </w:rPr>
              <w:br/>
              <w:t xml:space="preserve">Perú (PE) </w:t>
            </w:r>
            <w:r w:rsidRPr="003007CD">
              <w:rPr>
                <w:sz w:val="16"/>
                <w:szCs w:val="16"/>
                <w:lang w:val="es-ES_tradnl"/>
              </w:rPr>
              <w:br/>
              <w:t>España (ES)</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7</w:t>
            </w:r>
          </w:p>
        </w:tc>
        <w:tc>
          <w:tcPr>
            <w:tcW w:w="1294" w:type="dxa"/>
            <w:shd w:val="clear" w:color="auto" w:fill="auto"/>
            <w:noWrap/>
            <w:vAlign w:val="center"/>
          </w:tcPr>
          <w:p w:rsidR="007721A4" w:rsidRPr="003007CD" w:rsidRDefault="00413631" w:rsidP="00EE7BB5">
            <w:pPr>
              <w:widowControl w:val="0"/>
              <w:spacing w:beforeLines="40" w:before="96" w:afterLines="40" w:after="96"/>
              <w:rPr>
                <w:sz w:val="16"/>
                <w:szCs w:val="16"/>
                <w:lang w:val="es-ES_tradnl"/>
              </w:rPr>
            </w:pPr>
            <w:r w:rsidRPr="003007CD">
              <w:rPr>
                <w:sz w:val="16"/>
                <w:szCs w:val="16"/>
                <w:lang w:val="es-ES_tradnl"/>
              </w:rPr>
              <w:t xml:space="preserve">REG + fondo </w:t>
            </w:r>
            <w:r w:rsidR="007721A4" w:rsidRPr="003007CD">
              <w:rPr>
                <w:sz w:val="16"/>
                <w:szCs w:val="16"/>
                <w:lang w:val="es-ES_tradnl"/>
              </w:rPr>
              <w:t>fideicomiso/ES</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Seminario regional OMPI/OEPM sobre el PCT para países de América Latina (15 y 16 de julio de 2013)</w:t>
            </w:r>
            <w:r w:rsidRPr="003007CD">
              <w:rPr>
                <w:rFonts w:eastAsia="Times New Roman"/>
                <w:sz w:val="16"/>
                <w:szCs w:val="16"/>
                <w:lang w:val="es-ES_tradnl"/>
              </w:rPr>
              <w:br/>
              <w:t>Reunión de directores de oficinas de propiedad industrial de países de América Latina y el Caribe (17 de julio de  2013),</w:t>
            </w:r>
            <w:r w:rsidRPr="003007CD">
              <w:rPr>
                <w:rFonts w:eastAsia="Times New Roman"/>
                <w:sz w:val="16"/>
                <w:szCs w:val="16"/>
                <w:lang w:val="es-ES_tradnl"/>
              </w:rPr>
              <w:br/>
              <w:t>Lima</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Instituto Nacional de Defensa de la Competencia y de la Protección de la Propiedad Intelectual del Perú/Oficina Española de Patentes y Marcas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Perú (PE)</w:t>
            </w:r>
          </w:p>
        </w:tc>
        <w:tc>
          <w:tcPr>
            <w:tcW w:w="1842"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Argentina (AR)</w:t>
            </w:r>
            <w:r w:rsidRPr="003007CD">
              <w:rPr>
                <w:sz w:val="16"/>
                <w:szCs w:val="16"/>
                <w:lang w:val="es-ES_tradnl"/>
              </w:rPr>
              <w:br/>
              <w:t xml:space="preserve">Bolivia (BO) </w:t>
            </w:r>
            <w:r w:rsidRPr="003007CD">
              <w:rPr>
                <w:sz w:val="16"/>
                <w:szCs w:val="16"/>
                <w:lang w:val="es-ES_tradnl"/>
              </w:rPr>
              <w:br/>
              <w:t>Brasil (BR)</w:t>
            </w:r>
            <w:r w:rsidRPr="003007CD">
              <w:rPr>
                <w:sz w:val="16"/>
                <w:szCs w:val="16"/>
                <w:lang w:val="es-ES_tradnl"/>
              </w:rPr>
              <w:br/>
              <w:t xml:space="preserve">Chile (CL) </w:t>
            </w:r>
            <w:r w:rsidRPr="003007CD">
              <w:rPr>
                <w:sz w:val="16"/>
                <w:szCs w:val="16"/>
                <w:lang w:val="es-ES_tradnl"/>
              </w:rPr>
              <w:br/>
              <w:t xml:space="preserve">Costa Rica (CR) </w:t>
            </w:r>
            <w:r w:rsidRPr="003007CD">
              <w:rPr>
                <w:sz w:val="16"/>
                <w:szCs w:val="16"/>
                <w:lang w:val="es-ES_tradnl"/>
              </w:rPr>
              <w:br/>
              <w:t xml:space="preserve">Cuba(CU) </w:t>
            </w:r>
            <w:r w:rsidRPr="003007CD">
              <w:rPr>
                <w:sz w:val="16"/>
                <w:szCs w:val="16"/>
                <w:lang w:val="es-ES_tradnl"/>
              </w:rPr>
              <w:br/>
            </w:r>
            <w:r w:rsidRPr="003007CD">
              <w:rPr>
                <w:snapToGrid w:val="0"/>
                <w:sz w:val="16"/>
                <w:szCs w:val="16"/>
                <w:lang w:val="es-ES_tradnl"/>
              </w:rPr>
              <w:t>República Dominicana</w:t>
            </w:r>
            <w:r w:rsidRPr="003007CD">
              <w:rPr>
                <w:sz w:val="16"/>
                <w:szCs w:val="16"/>
                <w:lang w:val="es-ES_tradnl"/>
              </w:rPr>
              <w:t xml:space="preserve"> (DO) </w:t>
            </w:r>
            <w:r w:rsidRPr="003007CD">
              <w:rPr>
                <w:sz w:val="16"/>
                <w:szCs w:val="16"/>
                <w:lang w:val="es-ES_tradnl"/>
              </w:rPr>
              <w:br/>
              <w:t xml:space="preserve">Ecuador (EC) </w:t>
            </w:r>
            <w:r w:rsidRPr="003007CD">
              <w:rPr>
                <w:sz w:val="16"/>
                <w:szCs w:val="16"/>
                <w:lang w:val="es-ES_tradnl"/>
              </w:rPr>
              <w:br/>
              <w:t xml:space="preserve">El Salvador (SV) </w:t>
            </w:r>
            <w:r w:rsidRPr="003007CD">
              <w:rPr>
                <w:sz w:val="16"/>
                <w:szCs w:val="16"/>
                <w:lang w:val="es-ES_tradnl"/>
              </w:rPr>
              <w:br/>
              <w:t xml:space="preserve">Guatemala (GT) </w:t>
            </w:r>
            <w:r w:rsidRPr="003007CD">
              <w:rPr>
                <w:sz w:val="16"/>
                <w:szCs w:val="16"/>
                <w:lang w:val="es-ES_tradnl"/>
              </w:rPr>
              <w:br/>
              <w:t xml:space="preserve">Honduras (HN) </w:t>
            </w:r>
            <w:r w:rsidRPr="003007CD">
              <w:rPr>
                <w:sz w:val="16"/>
                <w:szCs w:val="16"/>
                <w:lang w:val="es-ES_tradnl"/>
              </w:rPr>
              <w:br/>
              <w:t xml:space="preserve">México (MX) </w:t>
            </w:r>
            <w:r w:rsidRPr="003007CD">
              <w:rPr>
                <w:sz w:val="16"/>
                <w:szCs w:val="16"/>
                <w:lang w:val="es-ES_tradnl"/>
              </w:rPr>
              <w:br/>
              <w:t xml:space="preserve">Nicaragua (NI) </w:t>
            </w:r>
            <w:r w:rsidRPr="003007CD">
              <w:rPr>
                <w:sz w:val="16"/>
                <w:szCs w:val="16"/>
                <w:lang w:val="es-ES_tradnl"/>
              </w:rPr>
              <w:br/>
              <w:t xml:space="preserve">Panamá (PA) </w:t>
            </w:r>
            <w:r w:rsidRPr="003007CD">
              <w:rPr>
                <w:sz w:val="16"/>
                <w:szCs w:val="16"/>
                <w:lang w:val="es-ES_tradnl"/>
              </w:rPr>
              <w:br/>
              <w:t xml:space="preserve">Paraguay (PY) </w:t>
            </w:r>
            <w:r w:rsidRPr="003007CD">
              <w:rPr>
                <w:sz w:val="16"/>
                <w:szCs w:val="16"/>
                <w:lang w:val="es-ES_tradnl"/>
              </w:rPr>
              <w:br/>
              <w:t xml:space="preserve">Perú (PE) </w:t>
            </w:r>
            <w:r w:rsidRPr="003007CD">
              <w:rPr>
                <w:sz w:val="16"/>
                <w:szCs w:val="16"/>
                <w:lang w:val="es-ES_tradnl"/>
              </w:rPr>
              <w:br/>
              <w:t>España (ES)</w:t>
            </w:r>
            <w:r w:rsidRPr="003007CD">
              <w:rPr>
                <w:sz w:val="16"/>
                <w:szCs w:val="16"/>
                <w:lang w:val="es-ES_tradnl"/>
              </w:rPr>
              <w:br/>
              <w:t>Uruguay (UY)</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45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8</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Asistencia en materia de Administraciones encargadas de la búsqueda</w:t>
            </w:r>
            <w:r w:rsidR="005D78A7" w:rsidRPr="003007CD">
              <w:rPr>
                <w:rFonts w:eastAsia="Times New Roman"/>
                <w:sz w:val="16"/>
                <w:szCs w:val="16"/>
                <w:lang w:val="es-ES_tradnl"/>
              </w:rPr>
              <w:t xml:space="preserve"> internacional</w:t>
            </w:r>
            <w:r w:rsidRPr="003007CD">
              <w:rPr>
                <w:rFonts w:eastAsia="Times New Roman"/>
                <w:sz w:val="16"/>
                <w:szCs w:val="16"/>
                <w:lang w:val="es-ES_tradnl"/>
              </w:rPr>
              <w:t>/ Administraciones encargadas del examen preliminar internacional en el marco del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F</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Taller para examinadores del Instituto Nacional de Propiedad Industrial de Santiago, a cargo de expertos de la USPTO</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 de Patentes y Marcas de los Estados Unidos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Chile (CL)</w:t>
            </w:r>
          </w:p>
        </w:tc>
        <w:tc>
          <w:tcPr>
            <w:tcW w:w="1842"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Chile (CL)</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8</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Taller subregional del PCT para funcionarios de la región del Caribe, Kingstown</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 xml:space="preserve">Oficina de Comercio y Propiedad Intelectual de San Vicente y las Granadinas y la Oficina Canadiense de Propiedad Intelectual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San Vicente y las Granadinas (VC)</w:t>
            </w:r>
          </w:p>
        </w:tc>
        <w:tc>
          <w:tcPr>
            <w:tcW w:w="1842" w:type="dxa"/>
            <w:shd w:val="clear" w:color="auto" w:fill="auto"/>
            <w:vAlign w:val="center"/>
          </w:tcPr>
          <w:p w:rsidR="007721A4" w:rsidRPr="003007CD" w:rsidRDefault="007721A4" w:rsidP="003007CD">
            <w:pPr>
              <w:widowControl w:val="0"/>
              <w:spacing w:beforeLines="40" w:before="96" w:afterLines="40" w:after="96"/>
              <w:rPr>
                <w:sz w:val="16"/>
                <w:szCs w:val="16"/>
                <w:lang w:val="es-ES_tradnl"/>
              </w:rPr>
            </w:pPr>
            <w:r w:rsidRPr="003007CD">
              <w:rPr>
                <w:rFonts w:eastAsia="Times New Roman"/>
                <w:sz w:val="16"/>
                <w:szCs w:val="16"/>
                <w:lang w:val="es-ES_tradnl"/>
              </w:rPr>
              <w:t xml:space="preserve">Antigua </w:t>
            </w:r>
            <w:r w:rsidR="003007CD" w:rsidRPr="003007CD">
              <w:rPr>
                <w:rFonts w:eastAsia="Times New Roman"/>
                <w:sz w:val="16"/>
                <w:szCs w:val="16"/>
                <w:lang w:val="es-ES_tradnl"/>
              </w:rPr>
              <w:t>y</w:t>
            </w:r>
            <w:r w:rsidRPr="003007CD">
              <w:rPr>
                <w:rFonts w:eastAsia="Times New Roman"/>
                <w:sz w:val="16"/>
                <w:szCs w:val="16"/>
                <w:lang w:val="es-ES_tradnl"/>
              </w:rPr>
              <w:t xml:space="preserve"> Barbuda (AG) </w:t>
            </w:r>
            <w:r w:rsidRPr="003007CD">
              <w:rPr>
                <w:rFonts w:eastAsia="Times New Roman"/>
                <w:sz w:val="16"/>
                <w:szCs w:val="16"/>
                <w:lang w:val="es-ES_tradnl"/>
              </w:rPr>
              <w:br/>
              <w:t>Canadá(CA)</w:t>
            </w:r>
            <w:r w:rsidRPr="003007CD">
              <w:rPr>
                <w:rFonts w:eastAsia="Times New Roman"/>
                <w:sz w:val="16"/>
                <w:szCs w:val="16"/>
                <w:lang w:val="es-ES_tradnl"/>
              </w:rPr>
              <w:br/>
              <w:t>Trinidad y Tabago (TT)</w:t>
            </w:r>
            <w:r w:rsidRPr="003007CD">
              <w:rPr>
                <w:rFonts w:eastAsia="Times New Roman"/>
                <w:sz w:val="16"/>
                <w:szCs w:val="16"/>
                <w:lang w:val="es-ES_tradnl"/>
              </w:rPr>
              <w:br/>
            </w:r>
            <w:r w:rsidRPr="003007CD">
              <w:rPr>
                <w:sz w:val="16"/>
                <w:szCs w:val="16"/>
                <w:lang w:val="es-ES_tradnl"/>
              </w:rPr>
              <w:t xml:space="preserve">San Vicente y las Granadinas </w:t>
            </w:r>
            <w:r w:rsidRPr="003007CD">
              <w:rPr>
                <w:rFonts w:eastAsia="Times New Roman"/>
                <w:sz w:val="16"/>
                <w:szCs w:val="16"/>
                <w:lang w:val="es-ES_tradnl"/>
              </w:rPr>
              <w:t>(VC)</w:t>
            </w:r>
            <w:r w:rsidRPr="003007CD">
              <w:rPr>
                <w:rFonts w:eastAsia="Times New Roman"/>
                <w:sz w:val="16"/>
                <w:szCs w:val="16"/>
                <w:lang w:val="es-ES_tradnl"/>
              </w:rPr>
              <w:br/>
              <w:t>Barbados (BB)</w:t>
            </w:r>
            <w:r w:rsidRPr="003007CD">
              <w:rPr>
                <w:rFonts w:eastAsia="Times New Roman"/>
                <w:sz w:val="16"/>
                <w:szCs w:val="16"/>
                <w:lang w:val="es-ES_tradnl"/>
              </w:rPr>
              <w:br/>
              <w:t>Dominica (DM)</w:t>
            </w:r>
            <w:r w:rsidRPr="003007CD">
              <w:rPr>
                <w:rFonts w:eastAsia="Times New Roman"/>
                <w:sz w:val="16"/>
                <w:szCs w:val="16"/>
                <w:lang w:val="es-ES_tradnl"/>
              </w:rPr>
              <w:br/>
              <w:t>Jamaica (JM)</w:t>
            </w:r>
            <w:r w:rsidRPr="003007CD">
              <w:rPr>
                <w:rFonts w:eastAsia="Times New Roman"/>
                <w:sz w:val="16"/>
                <w:szCs w:val="16"/>
                <w:lang w:val="es-ES_tradnl"/>
              </w:rPr>
              <w:br/>
              <w:t>Belice (BZ)</w:t>
            </w:r>
            <w:r w:rsidRPr="003007CD">
              <w:rPr>
                <w:rFonts w:eastAsia="Times New Roman"/>
                <w:sz w:val="16"/>
                <w:szCs w:val="16"/>
                <w:lang w:val="es-ES_tradnl"/>
              </w:rPr>
              <w:br/>
              <w:t>Granada (GD)</w:t>
            </w:r>
            <w:r w:rsidRPr="003007CD">
              <w:rPr>
                <w:rFonts w:eastAsia="Times New Roman"/>
                <w:sz w:val="16"/>
                <w:szCs w:val="16"/>
                <w:lang w:val="es-ES_tradnl"/>
              </w:rPr>
              <w:br/>
              <w:t>Santa Lucia (LC)</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sz w:val="16"/>
                <w:szCs w:val="16"/>
                <w:lang w:val="es-ES_tradnl"/>
              </w:rPr>
              <w:t>12</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9</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Cooperación PCT</w:t>
            </w:r>
            <w:r w:rsidR="00413631" w:rsidRPr="003007CD">
              <w:rPr>
                <w:rFonts w:eastAsia="Times New Roman"/>
                <w:sz w:val="16"/>
                <w:szCs w:val="16"/>
                <w:lang w:val="es-ES_tradnl"/>
              </w:rPr>
              <w:t>–</w:t>
            </w:r>
            <w:r w:rsidRPr="003007CD">
              <w:rPr>
                <w:rFonts w:eastAsia="Times New Roman"/>
                <w:sz w:val="16"/>
                <w:szCs w:val="16"/>
                <w:lang w:val="es-ES_tradnl"/>
              </w:rPr>
              <w:t>TIC</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Taller sobre asistencia técnica del PCT (Oficinas receptoras/Administraciones encargadas de la búsqueda internacional)</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Dirección General de Patentes, Diseños y Marcas de la India</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India (IN)</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India (IN)</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lang w:val="es-ES_tradnl"/>
              </w:rPr>
            </w:pPr>
            <w:r w:rsidRPr="003007CD">
              <w:rPr>
                <w:rFonts w:eastAsia="Times New Roman"/>
                <w:sz w:val="16"/>
                <w:szCs w:val="16"/>
                <w:lang w:val="es-ES_tradnl"/>
              </w:rPr>
              <w:t>15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9</w:t>
            </w:r>
          </w:p>
        </w:tc>
        <w:tc>
          <w:tcPr>
            <w:tcW w:w="129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Asistencia en materia de Administraciones encargadas de la búsqueda</w:t>
            </w:r>
            <w:r w:rsidR="005D78A7" w:rsidRPr="003007CD">
              <w:rPr>
                <w:rFonts w:eastAsia="Times New Roman"/>
                <w:sz w:val="16"/>
                <w:szCs w:val="16"/>
                <w:lang w:val="es-ES_tradnl"/>
              </w:rPr>
              <w:t xml:space="preserve"> internacional</w:t>
            </w:r>
            <w:r w:rsidRPr="003007CD">
              <w:rPr>
                <w:rFonts w:eastAsia="Times New Roman"/>
                <w:sz w:val="16"/>
                <w:szCs w:val="16"/>
                <w:lang w:val="es-ES_tradnl"/>
              </w:rPr>
              <w:t>/ Administraciones encargadas del examen preliminar internacional en el marco del PCT</w:t>
            </w:r>
          </w:p>
        </w:tc>
        <w:tc>
          <w:tcPr>
            <w:tcW w:w="99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 xml:space="preserve">Taller itinerante del PCT </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 xml:space="preserve">Oficina Europea de Patentes </w:t>
            </w:r>
          </w:p>
        </w:tc>
        <w:tc>
          <w:tcPr>
            <w:tcW w:w="104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Chile (CL)</w:t>
            </w:r>
          </w:p>
        </w:tc>
        <w:tc>
          <w:tcPr>
            <w:tcW w:w="184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Chile (CL)</w:t>
            </w:r>
          </w:p>
        </w:tc>
        <w:tc>
          <w:tcPr>
            <w:tcW w:w="1276"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rFonts w:eastAsia="Times New Roman"/>
                <w:sz w:val="16"/>
                <w:szCs w:val="16"/>
                <w:lang w:val="es-ES_tradnl"/>
              </w:rPr>
            </w:pPr>
            <w:r w:rsidRPr="003007CD">
              <w:rPr>
                <w:rFonts w:eastAsia="Times New Roman"/>
                <w:sz w:val="16"/>
                <w:szCs w:val="16"/>
                <w:lang w:val="es-ES_tradnl"/>
              </w:rPr>
              <w:t>70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9</w:t>
            </w:r>
          </w:p>
        </w:tc>
        <w:tc>
          <w:tcPr>
            <w:tcW w:w="129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A,</w:t>
            </w:r>
            <w:r w:rsidR="00B21098" w:rsidRPr="003007CD">
              <w:rPr>
                <w:rFonts w:eastAsia="Times New Roman"/>
                <w:sz w:val="16"/>
                <w:szCs w:val="16"/>
                <w:lang w:val="es-ES_tradnl"/>
              </w:rPr>
              <w:t xml:space="preserve"> </w:t>
            </w: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 xml:space="preserve">Seminario nacional sobre el PCT </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lang w:val="es-ES_tradnl"/>
              </w:rPr>
            </w:pPr>
            <w:r w:rsidRPr="003007CD">
              <w:rPr>
                <w:rFonts w:eastAsia="Times New Roman"/>
                <w:sz w:val="16"/>
                <w:szCs w:val="16"/>
                <w:lang w:val="es-ES_tradnl"/>
              </w:rPr>
              <w:t xml:space="preserve">Ministerio de Justicia y Asuntos Constitucionales, Oficina del Registrador General, </w:t>
            </w:r>
          </w:p>
        </w:tc>
        <w:tc>
          <w:tcPr>
            <w:tcW w:w="104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Lesotho (LS)</w:t>
            </w:r>
          </w:p>
        </w:tc>
        <w:tc>
          <w:tcPr>
            <w:tcW w:w="184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Lesotho (LS)</w:t>
            </w:r>
          </w:p>
        </w:tc>
        <w:tc>
          <w:tcPr>
            <w:tcW w:w="1276"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rFonts w:eastAsia="Times New Roman"/>
                <w:sz w:val="16"/>
                <w:szCs w:val="16"/>
                <w:lang w:val="es-ES_tradnl"/>
              </w:rPr>
            </w:pPr>
            <w:r w:rsidRPr="003007CD">
              <w:rPr>
                <w:rFonts w:eastAsia="Times New Roman"/>
                <w:sz w:val="16"/>
                <w:szCs w:val="16"/>
                <w:lang w:val="es-ES_tradnl"/>
              </w:rPr>
              <w:t>20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2013</w:t>
            </w:r>
            <w:r w:rsidR="00413631" w:rsidRPr="003007CD">
              <w:rPr>
                <w:sz w:val="16"/>
                <w:szCs w:val="16"/>
                <w:lang w:val="es-ES_tradnl"/>
              </w:rPr>
              <w:t>–</w:t>
            </w:r>
            <w:r w:rsidRPr="003007CD">
              <w:rPr>
                <w:sz w:val="16"/>
                <w:szCs w:val="16"/>
                <w:lang w:val="es-ES_tradnl"/>
              </w:rPr>
              <w:t>10</w:t>
            </w:r>
          </w:p>
        </w:tc>
        <w:tc>
          <w:tcPr>
            <w:tcW w:w="129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Taller y seminario sobre las patentes y el PCT para la EAPO y las oficinas nacionales de sus Estados miembros, Moscú</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Organización Eurasiática de Patentes (EAPO)</w:t>
            </w:r>
          </w:p>
        </w:tc>
        <w:tc>
          <w:tcPr>
            <w:tcW w:w="104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EAPO (EA)</w:t>
            </w:r>
          </w:p>
        </w:tc>
        <w:tc>
          <w:tcPr>
            <w:tcW w:w="184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EAPO (EA)</w:t>
            </w:r>
            <w:r w:rsidRPr="003007CD">
              <w:rPr>
                <w:rFonts w:eastAsia="Times New Roman"/>
                <w:sz w:val="16"/>
                <w:szCs w:val="16"/>
                <w:lang w:val="es-ES_tradnl"/>
              </w:rPr>
              <w:t xml:space="preserve"> </w:t>
            </w:r>
            <w:r w:rsidRPr="003007CD">
              <w:rPr>
                <w:rFonts w:eastAsia="Times New Roman"/>
                <w:sz w:val="16"/>
                <w:szCs w:val="16"/>
                <w:lang w:val="es-ES_tradnl"/>
              </w:rPr>
              <w:br/>
              <w:t xml:space="preserve">Armenia(AM) </w:t>
            </w:r>
            <w:r w:rsidRPr="003007CD">
              <w:rPr>
                <w:rFonts w:eastAsia="Times New Roman"/>
                <w:sz w:val="16"/>
                <w:szCs w:val="16"/>
                <w:lang w:val="es-ES_tradnl"/>
              </w:rPr>
              <w:br/>
              <w:t>Azerbaiyán (AZ)</w:t>
            </w:r>
            <w:r w:rsidRPr="003007CD">
              <w:rPr>
                <w:rFonts w:eastAsia="Times New Roman"/>
                <w:sz w:val="16"/>
                <w:szCs w:val="16"/>
                <w:lang w:val="es-ES_tradnl"/>
              </w:rPr>
              <w:br/>
              <w:t>Kazakstán (KZ)</w:t>
            </w:r>
            <w:r w:rsidRPr="003007CD">
              <w:rPr>
                <w:rFonts w:eastAsia="Times New Roman"/>
                <w:sz w:val="16"/>
                <w:szCs w:val="16"/>
                <w:lang w:val="es-ES_tradnl"/>
              </w:rPr>
              <w:br/>
              <w:t>Kirguistán (KG)</w:t>
            </w:r>
            <w:r w:rsidRPr="003007CD">
              <w:rPr>
                <w:rFonts w:eastAsia="Times New Roman"/>
                <w:sz w:val="16"/>
                <w:szCs w:val="16"/>
                <w:lang w:val="es-ES_tradnl"/>
              </w:rPr>
              <w:br/>
            </w:r>
            <w:r w:rsidRPr="003007CD">
              <w:rPr>
                <w:rFonts w:eastAsia="Times New Roman"/>
                <w:snapToGrid w:val="0"/>
                <w:sz w:val="16"/>
                <w:szCs w:val="16"/>
                <w:lang w:val="es-ES_tradnl"/>
              </w:rPr>
              <w:t>Federación de Rusia</w:t>
            </w:r>
            <w:r w:rsidRPr="003007CD">
              <w:rPr>
                <w:rFonts w:eastAsia="Times New Roman"/>
                <w:sz w:val="16"/>
                <w:szCs w:val="16"/>
                <w:lang w:val="es-ES_tradnl"/>
              </w:rPr>
              <w:t xml:space="preserve"> (RU)</w:t>
            </w:r>
            <w:r w:rsidRPr="003007CD">
              <w:rPr>
                <w:rFonts w:eastAsia="Times New Roman"/>
                <w:sz w:val="16"/>
                <w:szCs w:val="16"/>
                <w:lang w:val="es-ES_tradnl"/>
              </w:rPr>
              <w:br/>
              <w:t>Tayikistán  (TJ)</w:t>
            </w:r>
          </w:p>
        </w:tc>
        <w:tc>
          <w:tcPr>
            <w:tcW w:w="1276"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sz w:val="16"/>
                <w:szCs w:val="16"/>
                <w:lang w:val="es-ES_tradnl"/>
              </w:rPr>
              <w:t>Oficinas </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rFonts w:eastAsia="Times New Roman"/>
                <w:sz w:val="16"/>
                <w:szCs w:val="16"/>
                <w:lang w:val="es-ES_tradnl"/>
              </w:rPr>
            </w:pPr>
            <w:r w:rsidRPr="003007CD">
              <w:rPr>
                <w:sz w:val="16"/>
                <w:szCs w:val="16"/>
                <w:lang w:val="es-ES_tradnl"/>
              </w:rPr>
              <w:t>18</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10</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Asistencia en materia de Administraciones encargadas de la búsqueda</w:t>
            </w:r>
            <w:r w:rsidR="005D78A7" w:rsidRPr="003007CD">
              <w:rPr>
                <w:rFonts w:eastAsia="Times New Roman"/>
                <w:sz w:val="16"/>
                <w:szCs w:val="16"/>
                <w:lang w:val="es-ES_tradnl"/>
              </w:rPr>
              <w:t xml:space="preserve"> internacional</w:t>
            </w:r>
            <w:r w:rsidRPr="003007CD">
              <w:rPr>
                <w:rFonts w:eastAsia="Times New Roman"/>
                <w:sz w:val="16"/>
                <w:szCs w:val="16"/>
                <w:lang w:val="es-ES_tradnl"/>
              </w:rPr>
              <w:t>/ Administraciones encargadas del examen preliminar internacional en el marco del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sobre 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 Canadiense de Propiedad Intelectual</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Canadá (CA)</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Chile (CL)</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2</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10</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Seminario sobre la fase nacional del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Dirección General del Registro de la Propiedad Industrial de Panamá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Panamá (PA)</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Panamá (PA)</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35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 xml:space="preserve">Seminario itinerante sobre el PCT  </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Instituto Mexicano de la Propiedad Industrial</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México (MX)</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México (MX)</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200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y seminario sobre el PCT </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 </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Visita de estudio sobre 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OMPI (OI)</w:t>
            </w:r>
          </w:p>
        </w:tc>
        <w:tc>
          <w:tcPr>
            <w:tcW w:w="1842" w:type="dxa"/>
            <w:shd w:val="clear" w:color="auto" w:fill="auto"/>
            <w:noWrap/>
            <w:vAlign w:val="center"/>
          </w:tcPr>
          <w:p w:rsidR="007721A4" w:rsidRPr="003007CD" w:rsidRDefault="007721A4" w:rsidP="00413631">
            <w:pPr>
              <w:widowControl w:val="0"/>
              <w:spacing w:beforeLines="40" w:before="96" w:afterLines="40" w:after="96"/>
              <w:rPr>
                <w:sz w:val="16"/>
                <w:szCs w:val="16"/>
                <w:highlight w:val="yellow"/>
                <w:lang w:val="es-ES_tradnl"/>
              </w:rPr>
            </w:pPr>
            <w:r w:rsidRPr="003007CD">
              <w:rPr>
                <w:rFonts w:eastAsia="Times New Roman"/>
                <w:sz w:val="16"/>
                <w:szCs w:val="16"/>
                <w:lang w:val="es-ES_tradnl"/>
              </w:rPr>
              <w:t>Kazakstán (KZ), Uzbekistán(UZ),</w:t>
            </w:r>
            <w:r w:rsidR="00413631" w:rsidRPr="003007CD">
              <w:rPr>
                <w:rFonts w:eastAsia="Times New Roman"/>
                <w:sz w:val="16"/>
                <w:szCs w:val="16"/>
                <w:lang w:val="es-ES_tradnl"/>
              </w:rPr>
              <w:t xml:space="preserve"> </w:t>
            </w:r>
            <w:r w:rsidRPr="003007CD">
              <w:rPr>
                <w:rFonts w:eastAsia="Times New Roman"/>
                <w:snapToGrid w:val="0"/>
                <w:sz w:val="16"/>
                <w:szCs w:val="16"/>
                <w:lang w:val="es-ES_tradnl"/>
              </w:rPr>
              <w:t>Federación de Rusia</w:t>
            </w:r>
            <w:r w:rsidRPr="003007CD">
              <w:rPr>
                <w:rFonts w:eastAsia="Times New Roman"/>
                <w:sz w:val="16"/>
                <w:szCs w:val="16"/>
                <w:lang w:val="es-ES_tradnl"/>
              </w:rPr>
              <w:t xml:space="preserve"> (RU)</w:t>
            </w:r>
            <w:r w:rsidRPr="003007CD">
              <w:rPr>
                <w:rFonts w:eastAsia="Times New Roman"/>
                <w:sz w:val="16"/>
                <w:szCs w:val="16"/>
                <w:lang w:val="es-ES_tradnl"/>
              </w:rPr>
              <w:br/>
              <w:t>República de Moldova (MD)</w:t>
            </w:r>
            <w:r w:rsidRPr="003007CD">
              <w:rPr>
                <w:rFonts w:eastAsia="Times New Roman"/>
                <w:sz w:val="16"/>
                <w:szCs w:val="16"/>
                <w:lang w:val="es-ES_tradnl"/>
              </w:rPr>
              <w:br/>
              <w:t>Georgia (GE)</w:t>
            </w:r>
            <w:r w:rsidRPr="003007CD">
              <w:rPr>
                <w:rFonts w:eastAsia="Times New Roman"/>
                <w:sz w:val="16"/>
                <w:szCs w:val="16"/>
                <w:lang w:val="es-ES_tradnl"/>
              </w:rPr>
              <w:br/>
              <w:t>Sudáfrica (ZA)</w:t>
            </w:r>
            <w:r w:rsidRPr="003007CD">
              <w:rPr>
                <w:rFonts w:eastAsia="Times New Roman"/>
                <w:sz w:val="16"/>
                <w:szCs w:val="16"/>
                <w:lang w:val="es-ES_tradnl"/>
              </w:rPr>
              <w:br/>
              <w:t>Botswana (BW)</w:t>
            </w:r>
            <w:r w:rsidRPr="003007CD">
              <w:rPr>
                <w:rFonts w:eastAsia="Times New Roman"/>
                <w:sz w:val="16"/>
                <w:szCs w:val="16"/>
                <w:lang w:val="es-ES_tradnl"/>
              </w:rPr>
              <w:br/>
              <w:t>Santo Tomé y Príncipe (ST)</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16</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11</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Cooperación</w:t>
            </w:r>
            <w:r w:rsidR="00B21098" w:rsidRPr="003007CD">
              <w:rPr>
                <w:rFonts w:eastAsia="Times New Roman"/>
                <w:sz w:val="16"/>
                <w:szCs w:val="16"/>
                <w:lang w:val="es-ES_tradnl"/>
              </w:rPr>
              <w:t xml:space="preserve"> </w:t>
            </w:r>
            <w:r w:rsidRPr="003007CD">
              <w:rPr>
                <w:rFonts w:eastAsia="Times New Roman"/>
                <w:sz w:val="16"/>
                <w:szCs w:val="16"/>
                <w:lang w:val="es-ES_tradnl"/>
              </w:rPr>
              <w:t>PCT</w:t>
            </w:r>
            <w:r w:rsidR="00413631" w:rsidRPr="003007CD">
              <w:rPr>
                <w:rFonts w:eastAsia="Times New Roman"/>
                <w:sz w:val="16"/>
                <w:szCs w:val="16"/>
                <w:lang w:val="es-ES_tradnl"/>
              </w:rPr>
              <w:t>–</w:t>
            </w:r>
            <w:r w:rsidRPr="003007CD">
              <w:rPr>
                <w:rFonts w:eastAsia="Times New Roman"/>
                <w:sz w:val="16"/>
                <w:szCs w:val="16"/>
                <w:lang w:val="es-ES_tradnl"/>
              </w:rPr>
              <w:t>TIC</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D </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Reunión de cooperación técnica, Bangkok</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Departamento de Propiedad Intelectual, Ministerio de Comercio, Tailandia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Tailandia (TH)</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Tailandia (TH)</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6</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11</w:t>
            </w:r>
          </w:p>
        </w:tc>
        <w:tc>
          <w:tcPr>
            <w:tcW w:w="1294" w:type="dxa"/>
            <w:shd w:val="clear" w:color="auto" w:fill="auto"/>
            <w:noWrap/>
            <w:vAlign w:val="center"/>
          </w:tcPr>
          <w:p w:rsidR="007721A4" w:rsidRPr="003007CD" w:rsidRDefault="00413631"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 xml:space="preserve">REG + fondo </w:t>
            </w:r>
            <w:r w:rsidR="007721A4" w:rsidRPr="003007CD">
              <w:rPr>
                <w:rFonts w:eastAsia="Times New Roman"/>
                <w:sz w:val="16"/>
                <w:szCs w:val="16"/>
                <w:lang w:val="es-ES_tradnl"/>
              </w:rPr>
              <w:t>fideicomiso/JP</w:t>
            </w:r>
          </w:p>
        </w:tc>
        <w:tc>
          <w:tcPr>
            <w:tcW w:w="147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 xml:space="preserve">Seminario regional sobre uso eficaz del PCT e iniciativas internacionales de reutilización de resultados </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Oficina Japonesa de Patentes</w:t>
            </w:r>
            <w:r w:rsidRPr="003007CD">
              <w:rPr>
                <w:rFonts w:eastAsia="Times New Roman"/>
                <w:sz w:val="16"/>
                <w:szCs w:val="16"/>
                <w:lang w:val="es-ES_tradnl"/>
              </w:rPr>
              <w:br/>
            </w:r>
            <w:r w:rsidRPr="003007CD">
              <w:rPr>
                <w:sz w:val="16"/>
                <w:szCs w:val="16"/>
                <w:lang w:val="es-ES_tradnl"/>
              </w:rPr>
              <w:t>(colaboración conferenciante de Oficina Europea de Patentes)</w:t>
            </w:r>
          </w:p>
        </w:tc>
        <w:tc>
          <w:tcPr>
            <w:tcW w:w="104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Japón (JP)</w:t>
            </w:r>
          </w:p>
        </w:tc>
        <w:tc>
          <w:tcPr>
            <w:tcW w:w="184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Indonesia (ID)</w:t>
            </w:r>
            <w:r w:rsidRPr="003007CD">
              <w:rPr>
                <w:rFonts w:eastAsia="Times New Roman"/>
                <w:sz w:val="16"/>
                <w:szCs w:val="16"/>
                <w:lang w:val="es-ES_tradnl"/>
              </w:rPr>
              <w:br/>
              <w:t>Lao (LA)</w:t>
            </w:r>
            <w:r w:rsidRPr="003007CD">
              <w:rPr>
                <w:rFonts w:eastAsia="Times New Roman"/>
                <w:sz w:val="16"/>
                <w:szCs w:val="16"/>
                <w:lang w:val="es-ES_tradnl"/>
              </w:rPr>
              <w:br/>
              <w:t>Malasia (MY)</w:t>
            </w:r>
            <w:r w:rsidRPr="003007CD">
              <w:rPr>
                <w:rFonts w:eastAsia="Times New Roman"/>
                <w:sz w:val="16"/>
                <w:szCs w:val="16"/>
                <w:lang w:val="es-ES_tradnl"/>
              </w:rPr>
              <w:br/>
              <w:t>Mongolia (MN)</w:t>
            </w:r>
            <w:r w:rsidRPr="003007CD">
              <w:rPr>
                <w:rFonts w:eastAsia="Times New Roman"/>
                <w:sz w:val="16"/>
                <w:szCs w:val="16"/>
                <w:lang w:val="es-ES_tradnl"/>
              </w:rPr>
              <w:br/>
              <w:t>Filipinas (PH)</w:t>
            </w:r>
            <w:r w:rsidRPr="003007CD">
              <w:rPr>
                <w:rFonts w:eastAsia="Times New Roman"/>
                <w:sz w:val="16"/>
                <w:szCs w:val="16"/>
                <w:lang w:val="es-ES_tradnl"/>
              </w:rPr>
              <w:br/>
              <w:t>Singapur (SG)</w:t>
            </w:r>
            <w:r w:rsidRPr="003007CD">
              <w:rPr>
                <w:rFonts w:eastAsia="Times New Roman"/>
                <w:sz w:val="16"/>
                <w:szCs w:val="16"/>
                <w:lang w:val="es-ES_tradnl"/>
              </w:rPr>
              <w:br/>
              <w:t>Sri Lanka (LK)</w:t>
            </w:r>
            <w:r w:rsidRPr="003007CD">
              <w:rPr>
                <w:rFonts w:eastAsia="Times New Roman"/>
                <w:sz w:val="16"/>
                <w:szCs w:val="16"/>
                <w:lang w:val="es-ES_tradnl"/>
              </w:rPr>
              <w:br/>
              <w:t>Tailandia (TH)</w:t>
            </w:r>
            <w:r w:rsidRPr="003007CD">
              <w:rPr>
                <w:rFonts w:eastAsia="Times New Roman"/>
                <w:sz w:val="16"/>
                <w:szCs w:val="16"/>
                <w:lang w:val="es-ES_tradnl"/>
              </w:rPr>
              <w:br/>
              <w:t>Viet Nam (VN)</w:t>
            </w:r>
            <w:r w:rsidRPr="003007CD">
              <w:rPr>
                <w:rFonts w:eastAsia="Times New Roman"/>
                <w:sz w:val="16"/>
                <w:szCs w:val="16"/>
                <w:lang w:val="es-ES_tradnl"/>
              </w:rPr>
              <w:br/>
              <w:t>Burundi (BI)</w:t>
            </w:r>
            <w:r w:rsidRPr="003007CD">
              <w:rPr>
                <w:rFonts w:eastAsia="Times New Roman"/>
                <w:sz w:val="16"/>
                <w:szCs w:val="16"/>
                <w:lang w:val="es-ES_tradnl"/>
              </w:rPr>
              <w:br/>
              <w:t>Egipto (EG)</w:t>
            </w:r>
            <w:r w:rsidRPr="003007CD">
              <w:rPr>
                <w:rFonts w:eastAsia="Times New Roman"/>
                <w:sz w:val="16"/>
                <w:szCs w:val="16"/>
                <w:lang w:val="es-ES_tradnl"/>
              </w:rPr>
              <w:br/>
              <w:t>Madagascar (MG)</w:t>
            </w:r>
          </w:p>
        </w:tc>
        <w:tc>
          <w:tcPr>
            <w:tcW w:w="1276"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Oficinas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rFonts w:eastAsia="Times New Roman"/>
                <w:sz w:val="16"/>
                <w:szCs w:val="16"/>
                <w:lang w:val="es-ES_tradnl"/>
              </w:rPr>
            </w:pPr>
            <w:r w:rsidRPr="003007CD">
              <w:rPr>
                <w:rFonts w:eastAsia="Times New Roman"/>
                <w:sz w:val="16"/>
                <w:szCs w:val="16"/>
                <w:lang w:val="es-ES_tradnl"/>
              </w:rPr>
              <w:t>20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12</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B,</w:t>
            </w:r>
            <w:r w:rsidR="001F1407"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Seminario nacional sobre 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 Cubana de la Propiedad Industrial </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Cuba (CU)</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Cuba (CU)</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20</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12</w:t>
            </w:r>
          </w:p>
        </w:tc>
        <w:tc>
          <w:tcPr>
            <w:tcW w:w="129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Taller y seminario sobre el PCT</w:t>
            </w:r>
          </w:p>
        </w:tc>
        <w:tc>
          <w:tcPr>
            <w:tcW w:w="99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B,</w:t>
            </w:r>
            <w:r w:rsidR="001F1407" w:rsidRPr="003007CD">
              <w:rPr>
                <w:rFonts w:eastAsia="Times New Roman"/>
                <w:sz w:val="16"/>
                <w:szCs w:val="16"/>
                <w:lang w:val="es-ES_tradnl"/>
              </w:rPr>
              <w:t xml:space="preserve"> </w:t>
            </w:r>
            <w:r w:rsidRPr="003007CD">
              <w:rPr>
                <w:rFonts w:eastAsia="Times New Roman"/>
                <w:sz w:val="16"/>
                <w:szCs w:val="16"/>
                <w:lang w:val="es-ES_tradnl"/>
              </w:rPr>
              <w:t>C</w:t>
            </w:r>
          </w:p>
        </w:tc>
        <w:tc>
          <w:tcPr>
            <w:tcW w:w="217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Seminario sobre el PCT</w:t>
            </w:r>
          </w:p>
        </w:tc>
        <w:tc>
          <w:tcPr>
            <w:tcW w:w="2204" w:type="dxa"/>
            <w:shd w:val="clear" w:color="auto" w:fill="auto"/>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 Española de Patentes y Marcas/Oficina Europea de Patentes</w:t>
            </w:r>
          </w:p>
        </w:tc>
        <w:tc>
          <w:tcPr>
            <w:tcW w:w="1043"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Perú (PE)</w:t>
            </w:r>
          </w:p>
        </w:tc>
        <w:tc>
          <w:tcPr>
            <w:tcW w:w="1842"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Perú (PE)</w:t>
            </w:r>
          </w:p>
        </w:tc>
        <w:tc>
          <w:tcPr>
            <w:tcW w:w="1276" w:type="dxa"/>
            <w:shd w:val="clear" w:color="auto" w:fill="auto"/>
            <w:noWrap/>
            <w:vAlign w:val="center"/>
          </w:tcPr>
          <w:p w:rsidR="007721A4" w:rsidRPr="003007CD" w:rsidRDefault="007721A4" w:rsidP="00EE7BB5">
            <w:pPr>
              <w:widowControl w:val="0"/>
              <w:spacing w:beforeLines="40" w:before="96" w:afterLines="40" w:after="96"/>
              <w:rPr>
                <w:sz w:val="16"/>
                <w:szCs w:val="16"/>
                <w:highlight w:val="yellow"/>
                <w:lang w:val="es-ES_tradnl"/>
              </w:rPr>
            </w:pPr>
            <w:r w:rsidRPr="003007CD">
              <w:rPr>
                <w:rFonts w:eastAsia="Times New Roman"/>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sz w:val="16"/>
                <w:szCs w:val="16"/>
                <w:highlight w:val="yellow"/>
                <w:lang w:val="es-ES_tradnl"/>
              </w:rPr>
            </w:pPr>
            <w:r w:rsidRPr="003007CD">
              <w:rPr>
                <w:rFonts w:eastAsia="Times New Roman"/>
                <w:sz w:val="16"/>
                <w:szCs w:val="16"/>
                <w:lang w:val="es-ES_tradnl"/>
              </w:rPr>
              <w:t>85</w:t>
            </w:r>
          </w:p>
        </w:tc>
      </w:tr>
      <w:tr w:rsidR="007721A4" w:rsidRPr="003007CD" w:rsidTr="00413631">
        <w:trPr>
          <w:cantSplit/>
        </w:trPr>
        <w:tc>
          <w:tcPr>
            <w:tcW w:w="83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2013</w:t>
            </w:r>
            <w:r w:rsidR="00413631" w:rsidRPr="003007CD">
              <w:rPr>
                <w:rFonts w:eastAsia="Times New Roman"/>
                <w:sz w:val="16"/>
                <w:szCs w:val="16"/>
                <w:lang w:val="es-ES_tradnl"/>
              </w:rPr>
              <w:t>–</w:t>
            </w:r>
            <w:r w:rsidRPr="003007CD">
              <w:rPr>
                <w:rFonts w:eastAsia="Times New Roman"/>
                <w:sz w:val="16"/>
                <w:szCs w:val="16"/>
                <w:lang w:val="es-ES_tradnl"/>
              </w:rPr>
              <w:t>12</w:t>
            </w:r>
          </w:p>
        </w:tc>
        <w:tc>
          <w:tcPr>
            <w:tcW w:w="129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REG</w:t>
            </w:r>
          </w:p>
        </w:tc>
        <w:tc>
          <w:tcPr>
            <w:tcW w:w="1474"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Cooperación PCT</w:t>
            </w:r>
            <w:r w:rsidR="00413631" w:rsidRPr="003007CD">
              <w:rPr>
                <w:rFonts w:eastAsia="Times New Roman"/>
                <w:sz w:val="16"/>
                <w:szCs w:val="16"/>
                <w:lang w:val="es-ES_tradnl"/>
              </w:rPr>
              <w:t>–</w:t>
            </w:r>
            <w:r w:rsidRPr="003007CD">
              <w:rPr>
                <w:rFonts w:eastAsia="Times New Roman"/>
                <w:sz w:val="16"/>
                <w:szCs w:val="16"/>
                <w:lang w:val="es-ES_tradnl"/>
              </w:rPr>
              <w:t>TIC</w:t>
            </w:r>
          </w:p>
        </w:tc>
        <w:tc>
          <w:tcPr>
            <w:tcW w:w="99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D</w:t>
            </w:r>
          </w:p>
        </w:tc>
        <w:tc>
          <w:tcPr>
            <w:tcW w:w="217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Reunión sobre cooperación PCT</w:t>
            </w:r>
            <w:r w:rsidR="00413631" w:rsidRPr="003007CD">
              <w:rPr>
                <w:rFonts w:eastAsia="Times New Roman"/>
                <w:sz w:val="16"/>
                <w:szCs w:val="16"/>
                <w:lang w:val="es-ES_tradnl"/>
              </w:rPr>
              <w:t>–</w:t>
            </w:r>
            <w:r w:rsidRPr="003007CD">
              <w:rPr>
                <w:rFonts w:eastAsia="Times New Roman"/>
                <w:sz w:val="16"/>
                <w:szCs w:val="16"/>
                <w:lang w:val="es-ES_tradnl"/>
              </w:rPr>
              <w:t xml:space="preserve">TIC con la Corporación de Propiedad Intelectual de Malasia </w:t>
            </w:r>
          </w:p>
        </w:tc>
        <w:tc>
          <w:tcPr>
            <w:tcW w:w="2204" w:type="dxa"/>
            <w:shd w:val="clear" w:color="auto" w:fill="auto"/>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Corporación de Propiedad Intelectual de Malasia</w:t>
            </w:r>
          </w:p>
        </w:tc>
        <w:tc>
          <w:tcPr>
            <w:tcW w:w="1043"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Malasia (MY)</w:t>
            </w:r>
          </w:p>
        </w:tc>
        <w:tc>
          <w:tcPr>
            <w:tcW w:w="1842"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Malasia (MY)</w:t>
            </w:r>
          </w:p>
        </w:tc>
        <w:tc>
          <w:tcPr>
            <w:tcW w:w="1276" w:type="dxa"/>
            <w:shd w:val="clear" w:color="auto" w:fill="auto"/>
            <w:noWrap/>
            <w:vAlign w:val="center"/>
          </w:tcPr>
          <w:p w:rsidR="007721A4" w:rsidRPr="003007CD" w:rsidRDefault="007721A4" w:rsidP="00EE7BB5">
            <w:pPr>
              <w:widowControl w:val="0"/>
              <w:spacing w:beforeLines="40" w:before="96" w:afterLines="40" w:after="96"/>
              <w:rPr>
                <w:rFonts w:eastAsia="Times New Roman"/>
                <w:sz w:val="16"/>
                <w:szCs w:val="16"/>
                <w:lang w:val="es-ES_tradnl"/>
              </w:rPr>
            </w:pPr>
            <w:r w:rsidRPr="003007CD">
              <w:rPr>
                <w:rFonts w:eastAsia="Times New Roman"/>
                <w:sz w:val="16"/>
                <w:szCs w:val="16"/>
                <w:lang w:val="es-ES_tradnl"/>
              </w:rPr>
              <w:t>Oficinas + usuarios</w:t>
            </w:r>
          </w:p>
        </w:tc>
        <w:tc>
          <w:tcPr>
            <w:tcW w:w="1276" w:type="dxa"/>
            <w:shd w:val="clear" w:color="auto" w:fill="auto"/>
            <w:noWrap/>
            <w:vAlign w:val="center"/>
          </w:tcPr>
          <w:p w:rsidR="007721A4" w:rsidRPr="003007CD" w:rsidRDefault="007721A4" w:rsidP="00413631">
            <w:pPr>
              <w:widowControl w:val="0"/>
              <w:spacing w:beforeLines="40" w:before="96" w:afterLines="40" w:after="96"/>
              <w:jc w:val="center"/>
              <w:rPr>
                <w:rFonts w:eastAsia="Times New Roman"/>
                <w:sz w:val="16"/>
                <w:szCs w:val="16"/>
                <w:lang w:val="es-ES_tradnl"/>
              </w:rPr>
            </w:pPr>
            <w:r w:rsidRPr="003007CD">
              <w:rPr>
                <w:rFonts w:eastAsia="Times New Roman"/>
                <w:sz w:val="16"/>
                <w:szCs w:val="16"/>
                <w:lang w:val="es-ES_tradnl"/>
              </w:rPr>
              <w:t>9</w:t>
            </w:r>
          </w:p>
        </w:tc>
      </w:tr>
    </w:tbl>
    <w:p w:rsidR="007721A4" w:rsidRPr="001F1407" w:rsidRDefault="007721A4" w:rsidP="00EE7BB5">
      <w:pPr>
        <w:widowControl w:val="0"/>
        <w:rPr>
          <w:lang w:val="es-ES_tradnl"/>
        </w:rPr>
      </w:pPr>
    </w:p>
    <w:p w:rsidR="007721A4" w:rsidRPr="001F1407" w:rsidRDefault="007721A4" w:rsidP="00413631">
      <w:pPr>
        <w:widowControl w:val="0"/>
        <w:ind w:left="10206"/>
        <w:rPr>
          <w:lang w:val="es-ES_tradnl"/>
        </w:rPr>
      </w:pPr>
      <w:r w:rsidRPr="001F1407">
        <w:rPr>
          <w:lang w:val="es-ES_tradnl"/>
        </w:rPr>
        <w:t>[Sigue el Anexo II]</w:t>
      </w:r>
    </w:p>
    <w:p w:rsidR="007721A4" w:rsidRPr="001F1407" w:rsidRDefault="007721A4" w:rsidP="00EE7BB5">
      <w:pPr>
        <w:widowControl w:val="0"/>
        <w:spacing w:after="220"/>
        <w:ind w:left="5533"/>
        <w:rPr>
          <w:lang w:val="es-ES_tradnl"/>
        </w:rPr>
        <w:sectPr w:rsidR="007721A4" w:rsidRPr="001F1407" w:rsidSect="00B21098">
          <w:headerReference w:type="default" r:id="rId11"/>
          <w:headerReference w:type="first" r:id="rId12"/>
          <w:endnotePr>
            <w:numFmt w:val="decimal"/>
          </w:endnotePr>
          <w:pgSz w:w="16840" w:h="11907" w:orient="landscape" w:code="9"/>
          <w:pgMar w:top="1418" w:right="851" w:bottom="1134" w:left="1418" w:header="510" w:footer="1021" w:gutter="0"/>
          <w:pgNumType w:start="1"/>
          <w:cols w:space="720"/>
          <w:titlePg/>
          <w:docGrid w:linePitch="299"/>
        </w:sectPr>
      </w:pPr>
    </w:p>
    <w:p w:rsidR="007721A4" w:rsidRPr="001F1407" w:rsidRDefault="007721A4" w:rsidP="00EE7BB5">
      <w:pPr>
        <w:widowControl w:val="0"/>
        <w:spacing w:before="120"/>
        <w:jc w:val="center"/>
        <w:outlineLvl w:val="1"/>
        <w:rPr>
          <w:bCs/>
          <w:iCs/>
          <w:caps/>
          <w:szCs w:val="28"/>
          <w:u w:val="single"/>
          <w:lang w:val="es-ES_tradnl"/>
        </w:rPr>
      </w:pPr>
      <w:r w:rsidRPr="001F1407">
        <w:rPr>
          <w:bCs/>
          <w:iCs/>
          <w:caps/>
          <w:szCs w:val="28"/>
          <w:lang w:val="es-ES_tradnl"/>
        </w:rPr>
        <w:t>ActiviDADes de asistencia técnica que tienen una incidencia directa en el PCT</w:t>
      </w:r>
      <w:r w:rsidRPr="001F1407">
        <w:rPr>
          <w:bCs/>
          <w:iCs/>
          <w:caps/>
          <w:szCs w:val="28"/>
          <w:lang w:val="es-ES_tradnl"/>
        </w:rPr>
        <w:br/>
        <w:t>(</w:t>
      </w:r>
      <w:r w:rsidRPr="001F1407">
        <w:rPr>
          <w:bCs/>
          <w:i/>
          <w:iCs/>
          <w:szCs w:val="28"/>
          <w:lang w:val="es-ES_tradnl"/>
        </w:rPr>
        <w:t>realizadas en lo que va de 2014/plan de actividades para lo que queda de 2014</w:t>
      </w:r>
      <w:r w:rsidRPr="001F1407">
        <w:rPr>
          <w:bCs/>
          <w:i/>
          <w:iCs/>
          <w:caps/>
          <w:szCs w:val="28"/>
          <w:lang w:val="es-ES_tradnl"/>
        </w:rPr>
        <w:t>)</w:t>
      </w:r>
    </w:p>
    <w:p w:rsidR="007721A4" w:rsidRPr="001F1407" w:rsidRDefault="007721A4" w:rsidP="00EE7BB5">
      <w:pPr>
        <w:widowControl w:val="0"/>
        <w:rPr>
          <w:lang w:val="es-ES_tradnl"/>
        </w:rPr>
      </w:pPr>
    </w:p>
    <w:p w:rsidR="007721A4" w:rsidRPr="001F1407" w:rsidRDefault="007721A4" w:rsidP="00EE7BB5">
      <w:pPr>
        <w:widowControl w:val="0"/>
        <w:spacing w:after="220"/>
        <w:rPr>
          <w:lang w:val="es-ES_tradnl"/>
        </w:rPr>
      </w:pPr>
      <w:r w:rsidRPr="001F1407">
        <w:rPr>
          <w:lang w:val="es-ES_tradnl"/>
        </w:rPr>
        <w:t>En el presente anexo figura una lista de todas las actividades de asistencia técnica que tienen una incidencia directa en el uso del PCT por los países en desarrollo y que se han realizado en lo que va de 2014 así como las que se prevé realizar en lo que queda de 2014, desglosadas conforme a la actividad de que se trat</w:t>
      </w:r>
      <w:r w:rsidR="005D78A7">
        <w:rPr>
          <w:lang w:val="es-ES_tradnl"/>
        </w:rPr>
        <w:t>a</w:t>
      </w:r>
      <w:r w:rsidRPr="001F1407">
        <w:rPr>
          <w:lang w:val="es-ES_tradnl"/>
        </w:rPr>
        <w:t>, como se explica en las observaciones iniciales del Anexo I.</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42"/>
        <w:gridCol w:w="1134"/>
        <w:gridCol w:w="1275"/>
        <w:gridCol w:w="1276"/>
        <w:gridCol w:w="2186"/>
        <w:gridCol w:w="2222"/>
        <w:gridCol w:w="1195"/>
        <w:gridCol w:w="1485"/>
        <w:gridCol w:w="1417"/>
        <w:gridCol w:w="1469"/>
      </w:tblGrid>
      <w:tr w:rsidR="007721A4" w:rsidRPr="003007CD" w:rsidTr="00B21098">
        <w:trPr>
          <w:cantSplit/>
          <w:tblHeader/>
        </w:trPr>
        <w:tc>
          <w:tcPr>
            <w:tcW w:w="942"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FECHA</w:t>
            </w:r>
          </w:p>
        </w:tc>
        <w:tc>
          <w:tcPr>
            <w:tcW w:w="1134" w:type="dxa"/>
            <w:shd w:val="clear" w:color="auto" w:fill="auto"/>
            <w:noWrap/>
            <w:vAlign w:val="center"/>
          </w:tcPr>
          <w:p w:rsidR="007721A4" w:rsidRPr="003007CD" w:rsidRDefault="007721A4" w:rsidP="00413631">
            <w:pPr>
              <w:widowControl w:val="0"/>
              <w:spacing w:before="120" w:after="120"/>
              <w:rPr>
                <w:b/>
                <w:bCs/>
                <w:sz w:val="14"/>
                <w:szCs w:val="14"/>
                <w:lang w:val="es-ES_tradnl"/>
              </w:rPr>
            </w:pPr>
            <w:r w:rsidRPr="003007CD">
              <w:rPr>
                <w:b/>
                <w:bCs/>
                <w:sz w:val="14"/>
                <w:szCs w:val="14"/>
                <w:lang w:val="es-ES_tradnl"/>
              </w:rPr>
              <w:t>FINANCIACIÓN</w:t>
            </w:r>
          </w:p>
        </w:tc>
        <w:tc>
          <w:tcPr>
            <w:tcW w:w="1275"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EVENTO</w:t>
            </w:r>
          </w:p>
        </w:tc>
        <w:tc>
          <w:tcPr>
            <w:tcW w:w="1276"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CONTENIDO</w:t>
            </w:r>
          </w:p>
        </w:tc>
        <w:tc>
          <w:tcPr>
            <w:tcW w:w="2186"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DESCRIPCIÓN DEL EVENTO</w:t>
            </w:r>
          </w:p>
        </w:tc>
        <w:tc>
          <w:tcPr>
            <w:tcW w:w="2222"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CO</w:t>
            </w:r>
            <w:r w:rsidR="00413631" w:rsidRPr="003007CD">
              <w:rPr>
                <w:b/>
                <w:bCs/>
                <w:sz w:val="14"/>
                <w:szCs w:val="14"/>
                <w:lang w:val="es-ES_tradnl"/>
              </w:rPr>
              <w:t>–</w:t>
            </w:r>
            <w:r w:rsidR="00B21098" w:rsidRPr="003007CD">
              <w:rPr>
                <w:b/>
                <w:bCs/>
                <w:sz w:val="14"/>
                <w:szCs w:val="14"/>
                <w:lang w:val="es-ES_tradnl"/>
              </w:rPr>
              <w:t>ORGANIZADORES</w:t>
            </w:r>
          </w:p>
        </w:tc>
        <w:tc>
          <w:tcPr>
            <w:tcW w:w="1195"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LUGAR</w:t>
            </w:r>
          </w:p>
        </w:tc>
        <w:tc>
          <w:tcPr>
            <w:tcW w:w="1485"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ORIGEN PARTICIPANTES</w:t>
            </w:r>
          </w:p>
        </w:tc>
        <w:tc>
          <w:tcPr>
            <w:tcW w:w="1417"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TIPO DE PARTICIPANTES</w:t>
            </w:r>
          </w:p>
        </w:tc>
        <w:tc>
          <w:tcPr>
            <w:tcW w:w="1469" w:type="dxa"/>
            <w:shd w:val="clear" w:color="auto" w:fill="auto"/>
            <w:noWrap/>
            <w:vAlign w:val="center"/>
          </w:tcPr>
          <w:p w:rsidR="007721A4" w:rsidRPr="003007CD" w:rsidRDefault="007721A4" w:rsidP="00B21098">
            <w:pPr>
              <w:widowControl w:val="0"/>
              <w:spacing w:before="120" w:after="120"/>
              <w:jc w:val="center"/>
              <w:rPr>
                <w:b/>
                <w:bCs/>
                <w:sz w:val="14"/>
                <w:szCs w:val="14"/>
                <w:lang w:val="es-ES_tradnl"/>
              </w:rPr>
            </w:pPr>
            <w:r w:rsidRPr="003007CD">
              <w:rPr>
                <w:b/>
                <w:bCs/>
                <w:sz w:val="14"/>
                <w:szCs w:val="14"/>
                <w:lang w:val="es-ES_tradnl"/>
              </w:rPr>
              <w:t>NÚMERO DE PARTICIPANTES</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01</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w:t>
            </w:r>
            <w:r w:rsidR="00B21098" w:rsidRPr="003007CD">
              <w:rPr>
                <w:rFonts w:eastAsia="Times New Roman"/>
                <w:sz w:val="16"/>
                <w:szCs w:val="16"/>
                <w:lang w:val="es-ES_tradnl"/>
              </w:rPr>
              <w:t xml:space="preserve"> </w:t>
            </w: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Reunión sobre un manual de procedimientos en materia de patentes para países de América Central</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Oficina Española de Patentes y Marcas/Instituto Mexicano de la Propiedad  Industrial </w:t>
            </w:r>
            <w:r w:rsidR="00413631" w:rsidRPr="003007CD">
              <w:rPr>
                <w:rFonts w:eastAsia="Times New Roman"/>
                <w:sz w:val="16"/>
                <w:szCs w:val="16"/>
                <w:lang w:val="es-ES_tradnl"/>
              </w:rPr>
              <w:t>–</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Dominicana (DO)</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Costa Rica (CR)</w:t>
            </w:r>
            <w:r w:rsidRPr="003007CD">
              <w:rPr>
                <w:rFonts w:eastAsia="Times New Roman"/>
                <w:sz w:val="16"/>
                <w:szCs w:val="16"/>
                <w:lang w:val="es-ES_tradnl"/>
              </w:rPr>
              <w:br/>
              <w:t>San Vicente (SV)</w:t>
            </w:r>
            <w:r w:rsidRPr="003007CD">
              <w:rPr>
                <w:rFonts w:eastAsia="Times New Roman"/>
                <w:sz w:val="16"/>
                <w:szCs w:val="16"/>
                <w:lang w:val="es-ES_tradnl"/>
              </w:rPr>
              <w:br/>
              <w:t>Guatemala (GT)</w:t>
            </w:r>
            <w:r w:rsidRPr="003007CD">
              <w:rPr>
                <w:rFonts w:eastAsia="Times New Roman"/>
                <w:sz w:val="16"/>
                <w:szCs w:val="16"/>
                <w:lang w:val="es-ES_tradnl"/>
              </w:rPr>
              <w:br/>
              <w:t>Honduras (HN)</w:t>
            </w:r>
            <w:r w:rsidRPr="003007CD">
              <w:rPr>
                <w:rFonts w:eastAsia="Times New Roman"/>
                <w:sz w:val="16"/>
                <w:szCs w:val="16"/>
                <w:lang w:val="es-ES_tradnl"/>
              </w:rPr>
              <w:br/>
              <w:t>Nicaragua (NI)</w:t>
            </w:r>
            <w:r w:rsidRPr="003007CD">
              <w:rPr>
                <w:rFonts w:eastAsia="Times New Roman"/>
                <w:sz w:val="16"/>
                <w:szCs w:val="16"/>
                <w:lang w:val="es-ES_tradnl"/>
              </w:rPr>
              <w:br/>
              <w:t>Panamá (PA)</w:t>
            </w:r>
            <w:r w:rsidRPr="003007CD">
              <w:rPr>
                <w:rFonts w:eastAsia="Times New Roman"/>
                <w:sz w:val="16"/>
                <w:szCs w:val="16"/>
                <w:lang w:val="es-ES_tradnl"/>
              </w:rPr>
              <w:br/>
              <w:t>República Dominicana (DO)</w:t>
            </w:r>
            <w:r w:rsidRPr="003007CD">
              <w:rPr>
                <w:rFonts w:eastAsia="Times New Roman"/>
                <w:sz w:val="16"/>
                <w:szCs w:val="16"/>
                <w:lang w:val="es-ES_tradnl"/>
              </w:rPr>
              <w:br/>
              <w:t>México (MX)</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02</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3F43B3"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Participación de la </w:t>
            </w:r>
            <w:r w:rsidR="00B21098" w:rsidRPr="003007CD">
              <w:rPr>
                <w:rFonts w:eastAsia="Times New Roman"/>
                <w:sz w:val="16"/>
                <w:szCs w:val="16"/>
                <w:lang w:val="es-ES_tradnl"/>
              </w:rPr>
              <w:t>OMPI</w:t>
            </w:r>
            <w:r w:rsidRPr="003007CD">
              <w:rPr>
                <w:rFonts w:eastAsia="Times New Roman"/>
                <w:sz w:val="16"/>
                <w:szCs w:val="16"/>
                <w:lang w:val="es-ES_tradnl"/>
              </w:rPr>
              <w:t xml:space="preserve"> en el Congreso Internacional</w:t>
            </w:r>
            <w:r w:rsidR="00413631" w:rsidRPr="003007CD">
              <w:rPr>
                <w:rFonts w:eastAsia="Times New Roman"/>
                <w:sz w:val="16"/>
                <w:szCs w:val="16"/>
                <w:lang w:val="es-ES_tradnl"/>
              </w:rPr>
              <w:t>–</w:t>
            </w:r>
            <w:r w:rsidRPr="003007CD">
              <w:rPr>
                <w:rFonts w:eastAsia="Times New Roman"/>
                <w:sz w:val="16"/>
                <w:szCs w:val="16"/>
                <w:lang w:val="es-ES_tradnl"/>
              </w:rPr>
              <w:t xml:space="preserve"> “Universidad  2014” en La Habana</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Evento ajeno a la OMPI</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Cuba (CU)</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Cuba (CU)</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 usuarios</w:t>
            </w:r>
          </w:p>
        </w:tc>
        <w:tc>
          <w:tcPr>
            <w:tcW w:w="1469" w:type="dxa"/>
            <w:shd w:val="clear" w:color="auto" w:fill="auto"/>
            <w:noWrap/>
            <w:vAlign w:val="center"/>
          </w:tcPr>
          <w:p w:rsidR="007721A4" w:rsidRPr="003007CD" w:rsidDel="004065BE"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3000</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02</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Reunión sobre la entrada en la fase nacional</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Dirección General del Registro de la Propiedad Industrial de Panamá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Panamá (PA)</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Panamá (PA))</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10</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04</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Oficina Estatal de Patentes de Lituania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Lituania (LT)</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Lituania (LT)</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70</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04</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Reunión sobre certificación de calidad y mejores prácticas en el marco del PCT para Oficinas receptoras del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USPTO</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Estados Unidos de América (</w:t>
            </w:r>
            <w:r w:rsidR="00B21098" w:rsidRPr="003007CD">
              <w:rPr>
                <w:rFonts w:eastAsia="Times New Roman"/>
                <w:sz w:val="16"/>
                <w:szCs w:val="16"/>
                <w:lang w:val="es-ES_tradnl"/>
              </w:rPr>
              <w:t>EE.UU.</w:t>
            </w:r>
            <w:r w:rsidRPr="003007CD">
              <w:rPr>
                <w:rFonts w:eastAsia="Times New Roman"/>
                <w:sz w:val="16"/>
                <w:szCs w:val="16"/>
                <w:lang w:val="es-ES_tradnl"/>
              </w:rPr>
              <w:t>)</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Brasil (BR)</w:t>
            </w:r>
            <w:r w:rsidRPr="003007CD">
              <w:rPr>
                <w:rFonts w:eastAsia="Times New Roman"/>
                <w:sz w:val="16"/>
                <w:szCs w:val="16"/>
                <w:lang w:val="es-ES_tradnl"/>
              </w:rPr>
              <w:br/>
              <w:t>Chile (CL)</w:t>
            </w:r>
            <w:r w:rsidRPr="003007CD">
              <w:rPr>
                <w:rFonts w:eastAsia="Times New Roman"/>
                <w:sz w:val="16"/>
                <w:szCs w:val="16"/>
                <w:lang w:val="es-ES_tradnl"/>
              </w:rPr>
              <w:br/>
              <w:t>Colombia (CO)</w:t>
            </w:r>
            <w:r w:rsidRPr="003007CD">
              <w:rPr>
                <w:rFonts w:eastAsia="Times New Roman"/>
                <w:sz w:val="16"/>
                <w:szCs w:val="16"/>
                <w:lang w:val="es-ES_tradnl"/>
              </w:rPr>
              <w:br/>
              <w:t>Cuba (CU)</w:t>
            </w:r>
            <w:r w:rsidRPr="003007CD">
              <w:rPr>
                <w:rFonts w:eastAsia="Times New Roman"/>
                <w:sz w:val="16"/>
                <w:szCs w:val="16"/>
                <w:lang w:val="es-ES_tradnl"/>
              </w:rPr>
              <w:br/>
              <w:t>República Dominicana (DO)</w:t>
            </w:r>
            <w:r w:rsidRPr="003007CD">
              <w:rPr>
                <w:rFonts w:eastAsia="Times New Roman"/>
                <w:sz w:val="16"/>
                <w:szCs w:val="16"/>
                <w:lang w:val="es-ES_tradnl"/>
              </w:rPr>
              <w:br/>
              <w:t>México (MX)</w:t>
            </w:r>
            <w:r w:rsidRPr="003007CD">
              <w:rPr>
                <w:rFonts w:eastAsia="Times New Roman"/>
                <w:sz w:val="16"/>
                <w:szCs w:val="16"/>
                <w:lang w:val="es-ES_tradnl"/>
              </w:rPr>
              <w:br/>
              <w:t>Perú (PE)</w:t>
            </w:r>
            <w:r w:rsidRPr="003007CD">
              <w:rPr>
                <w:rFonts w:eastAsia="Times New Roman"/>
                <w:sz w:val="16"/>
                <w:szCs w:val="16"/>
                <w:lang w:val="es-ES_tradnl"/>
              </w:rPr>
              <w:br/>
              <w:t>España (ES)</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w:t>
            </w:r>
            <w:r w:rsidR="00413631" w:rsidRPr="003007CD">
              <w:rPr>
                <w:rFonts w:eastAsia="Times New Roman"/>
                <w:sz w:val="16"/>
                <w:szCs w:val="16"/>
                <w:lang w:val="es-ES_tradnl"/>
              </w:rPr>
              <w:t xml:space="preserve"> </w:t>
            </w: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 sobre las patentes y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sz w:val="16"/>
                <w:szCs w:val="16"/>
                <w:lang w:val="es-ES_tradnl"/>
              </w:rPr>
              <w:t>CIPC, Sudáfrica</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sz w:val="16"/>
                <w:szCs w:val="16"/>
                <w:lang w:val="es-ES_tradnl"/>
              </w:rPr>
              <w:t>Sudáfrica</w:t>
            </w:r>
            <w:r w:rsidRPr="003007CD">
              <w:rPr>
                <w:rFonts w:eastAsia="Times New Roman"/>
                <w:sz w:val="16"/>
                <w:szCs w:val="16"/>
                <w:lang w:val="es-ES_tradnl"/>
              </w:rPr>
              <w:t xml:space="preserve"> (ZA)</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sz w:val="16"/>
                <w:szCs w:val="16"/>
                <w:lang w:val="es-ES_tradnl"/>
              </w:rPr>
              <w:t>Sudáfrica</w:t>
            </w:r>
            <w:r w:rsidRPr="003007CD">
              <w:rPr>
                <w:rFonts w:eastAsia="Times New Roman"/>
                <w:sz w:val="16"/>
                <w:szCs w:val="16"/>
                <w:lang w:val="es-ES_tradnl"/>
              </w:rPr>
              <w:t xml:space="preserve"> (ZA)</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w:t>
            </w:r>
            <w:r w:rsidR="00B21098" w:rsidRPr="003007CD">
              <w:rPr>
                <w:rFonts w:eastAsia="Times New Roman"/>
                <w:sz w:val="16"/>
                <w:szCs w:val="16"/>
                <w:lang w:val="es-ES_tradnl"/>
              </w:rPr>
              <w:t xml:space="preserve"> </w:t>
            </w: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Formación de examinadores de la EAPO</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sz w:val="16"/>
                <w:szCs w:val="16"/>
                <w:lang w:val="es-ES_tradnl"/>
              </w:rPr>
              <w:t>Organización Eurasiática de Patentes  (</w:t>
            </w:r>
            <w:r w:rsidRPr="003007CD">
              <w:rPr>
                <w:rFonts w:eastAsia="Times New Roman"/>
                <w:sz w:val="16"/>
                <w:szCs w:val="16"/>
                <w:lang w:val="es-ES_tradnl"/>
              </w:rPr>
              <w:t>EAPO)</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Federación de Rusia (RU)  </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Armenia (AM)</w:t>
            </w:r>
            <w:r w:rsidRPr="003007CD">
              <w:rPr>
                <w:rFonts w:eastAsia="Times New Roman"/>
                <w:sz w:val="16"/>
                <w:szCs w:val="16"/>
                <w:lang w:val="es-ES_tradnl"/>
              </w:rPr>
              <w:br/>
              <w:t>Azerbaiyán (AZ)</w:t>
            </w:r>
            <w:r w:rsidRPr="003007CD">
              <w:rPr>
                <w:rFonts w:eastAsia="Times New Roman"/>
                <w:sz w:val="16"/>
                <w:szCs w:val="16"/>
                <w:lang w:val="es-ES_tradnl"/>
              </w:rPr>
              <w:br/>
              <w:t>Belarús (BY)</w:t>
            </w:r>
            <w:r w:rsidRPr="003007CD">
              <w:rPr>
                <w:rFonts w:eastAsia="Times New Roman"/>
                <w:sz w:val="16"/>
                <w:szCs w:val="16"/>
                <w:lang w:val="es-ES_tradnl"/>
              </w:rPr>
              <w:br/>
              <w:t>Kazajstán (KZ)</w:t>
            </w:r>
            <w:r w:rsidRPr="003007CD">
              <w:rPr>
                <w:rFonts w:eastAsia="Times New Roman"/>
                <w:sz w:val="16"/>
                <w:szCs w:val="16"/>
                <w:lang w:val="es-ES_tradnl"/>
              </w:rPr>
              <w:br/>
              <w:t>Kirguistán (KG)</w:t>
            </w:r>
            <w:r w:rsidRPr="003007CD">
              <w:rPr>
                <w:rFonts w:eastAsia="Times New Roman"/>
                <w:sz w:val="16"/>
                <w:szCs w:val="16"/>
                <w:lang w:val="es-ES_tradnl"/>
              </w:rPr>
              <w:br/>
              <w:t>Federación de Rusia (RU)</w:t>
            </w:r>
            <w:r w:rsidRPr="003007CD">
              <w:rPr>
                <w:rFonts w:eastAsia="Times New Roman"/>
                <w:sz w:val="16"/>
                <w:szCs w:val="16"/>
                <w:lang w:val="es-ES_tradnl"/>
              </w:rPr>
              <w:br/>
              <w:t>Tayikistán (TJ)</w:t>
            </w:r>
            <w:r w:rsidRPr="003007CD">
              <w:rPr>
                <w:rFonts w:eastAsia="Times New Roman"/>
                <w:sz w:val="16"/>
                <w:szCs w:val="16"/>
                <w:lang w:val="es-ES_tradnl"/>
              </w:rPr>
              <w:br/>
              <w:t>Turkmenistán(TM)</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Visita de estudio sobre el PCT </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w:t>
            </w:r>
            <w:r w:rsidR="00B21098" w:rsidRPr="003007CD">
              <w:rPr>
                <w:rFonts w:eastAsia="Times New Roman"/>
                <w:sz w:val="16"/>
                <w:szCs w:val="16"/>
                <w:lang w:val="es-ES_tradnl"/>
              </w:rPr>
              <w:t xml:space="preserve"> </w:t>
            </w: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5D78A7">
            <w:pPr>
              <w:widowControl w:val="0"/>
              <w:rPr>
                <w:rFonts w:eastAsia="Times New Roman"/>
                <w:sz w:val="16"/>
                <w:szCs w:val="16"/>
                <w:lang w:val="es-ES_tradnl"/>
              </w:rPr>
            </w:pPr>
            <w:r w:rsidRPr="003007CD">
              <w:rPr>
                <w:rFonts w:eastAsia="Times New Roman"/>
                <w:sz w:val="16"/>
                <w:szCs w:val="16"/>
                <w:lang w:val="es-ES_tradnl"/>
              </w:rPr>
              <w:t>Taller sobre el PCT en la oficina de P.I.</w:t>
            </w:r>
            <w:r w:rsidR="00413631" w:rsidRPr="003007CD">
              <w:rPr>
                <w:rFonts w:eastAsia="Times New Roman"/>
                <w:sz w:val="16"/>
                <w:szCs w:val="16"/>
                <w:lang w:val="es-ES_tradnl"/>
              </w:rPr>
              <w:t>–</w:t>
            </w:r>
            <w:r w:rsidRPr="003007CD">
              <w:rPr>
                <w:rFonts w:eastAsia="Times New Roman"/>
                <w:sz w:val="16"/>
                <w:szCs w:val="16"/>
                <w:lang w:val="es-ES_tradnl"/>
              </w:rPr>
              <w:t>formación sobre el uso del PCT en calidad de Oficina receptora y sobre todos los aspectos y funciones conexos, incluidos los requisitos de TIC</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Red de Centros de Ciencia y Tecnología de Asia y el Pacífico (ASPAC)</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Islámica del Irán (IR)</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Islámica del Irán (IR)</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Visita de estudio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Visita de estudio a una oficina experimentada  para aprender y adaptarse al modelo de tramitación de solicitudes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Islámica del Irán (IR)</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Islámica del Irán (IR)</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2004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Seminarios de nivel avanzado sobre el PCT, Nanchang y Hangzhou</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sz w:val="16"/>
                <w:szCs w:val="16"/>
                <w:lang w:val="es-ES_tradnl"/>
              </w:rPr>
              <w:t>Oficina Estatal de Propiedad Intelectual de China</w:t>
            </w:r>
          </w:p>
        </w:tc>
        <w:tc>
          <w:tcPr>
            <w:tcW w:w="1195" w:type="dxa"/>
            <w:shd w:val="clear" w:color="auto" w:fill="auto"/>
            <w:noWrap/>
            <w:vAlign w:val="center"/>
          </w:tcPr>
          <w:p w:rsidR="007721A4" w:rsidRPr="003007CD" w:rsidRDefault="007721A4" w:rsidP="00B21098">
            <w:pPr>
              <w:widowControl w:val="0"/>
              <w:rPr>
                <w:rFonts w:eastAsia="Times New Roman"/>
                <w:sz w:val="16"/>
                <w:szCs w:val="16"/>
                <w:highlight w:val="yellow"/>
                <w:lang w:val="es-ES_tradnl"/>
              </w:rPr>
            </w:pPr>
            <w:r w:rsidRPr="003007CD">
              <w:rPr>
                <w:rFonts w:eastAsia="Times New Roman"/>
                <w:sz w:val="16"/>
                <w:szCs w:val="16"/>
                <w:lang w:val="es-ES_tradnl"/>
              </w:rPr>
              <w:t>China (CN)</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China (CN)</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sz w:val="16"/>
                <w:szCs w:val="16"/>
                <w:lang w:val="es-ES_tradnl"/>
              </w:rPr>
              <w:t>Oficinas + universidades/</w:t>
            </w:r>
            <w:r w:rsidR="00B21098" w:rsidRPr="003007CD">
              <w:rPr>
                <w:sz w:val="16"/>
                <w:szCs w:val="16"/>
                <w:lang w:val="es-ES_tradnl"/>
              </w:rPr>
              <w:br/>
            </w:r>
            <w:r w:rsidRPr="003007CD">
              <w:rPr>
                <w:sz w:val="16"/>
                <w:szCs w:val="16"/>
                <w:lang w:val="es-ES_tradnl"/>
              </w:rPr>
              <w:t>instituciones investigación + usuarios </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D</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Invitación a suministrar formación sobre el uso del sistema ePCT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Instituto Nacional de Propiedad Industrial, Brasil</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Brasil (BR) </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Brasil (BR)</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Promoción del sistema del PCT en Asunción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Dirección Nacional de Propiedad Intelectual, Paraguay</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Paraguay (PY) </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Paraguay (PY) </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05</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Seminario sobre el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Instituto Nacional de Propiedad  Industrial, Chile</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Chile (CL)</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Chile (CL)</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06</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Taller sobre el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Red de Centros de Ciencia y Tecnología de Asia y el Pacífico (ASPAC)</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Mongolia (MN)</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Mongolia (MN)</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06</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fondo fideicomiso/</w:t>
            </w:r>
            <w:r w:rsidR="001F1407" w:rsidRPr="003007CD">
              <w:rPr>
                <w:rFonts w:eastAsia="Times New Roman"/>
                <w:sz w:val="16"/>
                <w:szCs w:val="16"/>
                <w:lang w:val="es-ES_tradnl"/>
              </w:rPr>
              <w:br/>
            </w:r>
            <w:r w:rsidRPr="003007CD">
              <w:rPr>
                <w:rFonts w:eastAsia="Times New Roman"/>
                <w:sz w:val="16"/>
                <w:szCs w:val="16"/>
                <w:lang w:val="es-ES_tradnl"/>
              </w:rPr>
              <w:t>AU</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de formación sobre los requisitos previos a la adhesión al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Red de Centros de Ciencia y Tecnología de Asia y el Pacífico (ASPAC)</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Camboya (KH)</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Camboya (KH)</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06</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fondo fideicomiso/</w:t>
            </w:r>
            <w:r w:rsidR="001F1407" w:rsidRPr="003007CD">
              <w:rPr>
                <w:rFonts w:eastAsia="Times New Roman"/>
                <w:sz w:val="16"/>
                <w:szCs w:val="16"/>
                <w:lang w:val="es-ES_tradnl"/>
              </w:rPr>
              <w:br/>
            </w:r>
            <w:r w:rsidRPr="003007CD">
              <w:rPr>
                <w:rFonts w:eastAsia="Times New Roman"/>
                <w:sz w:val="16"/>
                <w:szCs w:val="16"/>
                <w:lang w:val="es-ES_tradnl"/>
              </w:rPr>
              <w:t>AU</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de formación sobre los requisitos previos a la adhesión al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Red de Centros de Ciencia y Tecnología de Asia y el Pacífico (ASPAC)</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Myanmar (MM)</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Myanmar (MM)</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06</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w:t>
            </w:r>
            <w:r w:rsidR="00B21098" w:rsidRPr="003007CD">
              <w:rPr>
                <w:rFonts w:eastAsia="Times New Roman"/>
                <w:sz w:val="16"/>
                <w:szCs w:val="16"/>
                <w:lang w:val="es-ES_tradnl"/>
              </w:rPr>
              <w:t xml:space="preserve"> </w:t>
            </w: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 y la redacción de solicitudes de patente</w:t>
            </w:r>
          </w:p>
        </w:tc>
        <w:tc>
          <w:tcPr>
            <w:tcW w:w="2222" w:type="dxa"/>
            <w:shd w:val="clear" w:color="auto" w:fill="auto"/>
            <w:vAlign w:val="center"/>
          </w:tcPr>
          <w:p w:rsidR="007721A4" w:rsidRPr="003007CD" w:rsidRDefault="001F1407" w:rsidP="00EE7BB5">
            <w:pPr>
              <w:widowControl w:val="0"/>
              <w:rPr>
                <w:rFonts w:eastAsia="Times New Roman"/>
                <w:sz w:val="16"/>
                <w:szCs w:val="16"/>
                <w:lang w:val="es-ES_tradnl"/>
              </w:rPr>
            </w:pPr>
            <w:r w:rsidRPr="003007CD">
              <w:rPr>
                <w:rFonts w:eastAsia="Times New Roman"/>
                <w:sz w:val="16"/>
                <w:szCs w:val="16"/>
                <w:lang w:val="es-ES_tradnl"/>
              </w:rPr>
              <w:t>TBD</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Madagascar (MG)</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Madagascar (MG)</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07</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fondo fideicomiso/</w:t>
            </w:r>
            <w:r w:rsidR="00B21098" w:rsidRPr="003007CD">
              <w:rPr>
                <w:rFonts w:eastAsia="Times New Roman"/>
                <w:sz w:val="16"/>
                <w:szCs w:val="16"/>
                <w:lang w:val="es-ES_tradnl"/>
              </w:rPr>
              <w:br/>
            </w:r>
            <w:r w:rsidRPr="003007CD">
              <w:rPr>
                <w:rFonts w:eastAsia="Times New Roman"/>
                <w:sz w:val="16"/>
                <w:szCs w:val="16"/>
                <w:lang w:val="es-ES_tradnl"/>
              </w:rPr>
              <w:t>AU</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Asistencia en materia de Administraciones encargada</w:t>
            </w:r>
            <w:r w:rsidR="005D78A7" w:rsidRPr="003007CD">
              <w:rPr>
                <w:rFonts w:eastAsia="Times New Roman"/>
                <w:sz w:val="16"/>
                <w:szCs w:val="16"/>
                <w:lang w:val="es-ES_tradnl"/>
              </w:rPr>
              <w:t>s de la búsqueda internacional/</w:t>
            </w:r>
            <w:r w:rsidRPr="003007CD">
              <w:rPr>
                <w:rFonts w:eastAsia="Times New Roman"/>
                <w:sz w:val="16"/>
                <w:szCs w:val="16"/>
                <w:lang w:val="es-ES_tradnl"/>
              </w:rPr>
              <w:t xml:space="preserve"> Administraciones encargadas del examen preliminar internacional en el marco del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F</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Formación sobre los procedimientos relativos a las Administraciones encargadas de la búsqueda y del examen preliminar internacional</w:t>
            </w:r>
          </w:p>
        </w:tc>
        <w:tc>
          <w:tcPr>
            <w:tcW w:w="2222" w:type="dxa"/>
            <w:shd w:val="clear" w:color="auto" w:fill="auto"/>
            <w:vAlign w:val="center"/>
          </w:tcPr>
          <w:p w:rsidR="007721A4" w:rsidRPr="003007CD" w:rsidRDefault="007721A4" w:rsidP="00EE7BB5">
            <w:pPr>
              <w:widowControl w:val="0"/>
              <w:rPr>
                <w:rFonts w:eastAsia="Times New Roman"/>
                <w:i/>
                <w:sz w:val="16"/>
                <w:szCs w:val="16"/>
                <w:lang w:val="es-ES_tradnl"/>
              </w:rPr>
            </w:pPr>
            <w:r w:rsidRPr="003007CD">
              <w:rPr>
                <w:rFonts w:eastAsia="Times New Roman"/>
                <w:i/>
                <w:sz w:val="16"/>
                <w:szCs w:val="16"/>
                <w:lang w:val="es-ES_tradnl"/>
              </w:rPr>
              <w:t>IP Australia</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Australia (AU)</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Chile (CL)</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08</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fondo fideicomiso/AU</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r w:rsidR="00B21098" w:rsidRPr="003007CD">
              <w:rPr>
                <w:rFonts w:eastAsia="Times New Roman"/>
                <w:sz w:val="16"/>
                <w:szCs w:val="16"/>
                <w:lang w:val="es-ES_tradnl"/>
              </w:rPr>
              <w:t xml:space="preserve"> </w:t>
            </w: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Filipinas (PH)</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Filipinas (PH)</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10</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sz w:val="16"/>
                <w:szCs w:val="16"/>
                <w:lang w:val="es-ES_tradnl"/>
              </w:rPr>
              <w:t>Constatación hechos/</w:t>
            </w:r>
            <w:r w:rsidRPr="003007CD">
              <w:rPr>
                <w:sz w:val="16"/>
                <w:szCs w:val="16"/>
                <w:lang w:val="es-ES_tradnl"/>
              </w:rPr>
              <w:br/>
              <w:t>Asesoramiento</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Reunión de asesoramiento acerca del plan de adhesión al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Bhután (BT)</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Bhután (BT)</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10</w:t>
            </w:r>
          </w:p>
        </w:tc>
        <w:tc>
          <w:tcPr>
            <w:tcW w:w="1134"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regional sobre el uso del PCT en las universidades e instituciones de investigación</w:t>
            </w:r>
          </w:p>
        </w:tc>
        <w:tc>
          <w:tcPr>
            <w:tcW w:w="2222"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Instituto Nacional de Propiedad Industrial, Chile </w:t>
            </w:r>
          </w:p>
        </w:tc>
        <w:tc>
          <w:tcPr>
            <w:tcW w:w="119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CL (Chile)</w:t>
            </w:r>
          </w:p>
        </w:tc>
        <w:tc>
          <w:tcPr>
            <w:tcW w:w="148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Todos los Estados Contratantes del PCT de América Latina</w:t>
            </w:r>
          </w:p>
        </w:tc>
        <w:tc>
          <w:tcPr>
            <w:tcW w:w="1417"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w:t>
            </w:r>
          </w:p>
        </w:tc>
        <w:tc>
          <w:tcPr>
            <w:tcW w:w="1469" w:type="dxa"/>
            <w:shd w:val="clear" w:color="auto" w:fill="auto"/>
            <w:noWrap/>
            <w:vAlign w:val="center"/>
          </w:tcPr>
          <w:p w:rsidR="007721A4" w:rsidRPr="003007CD" w:rsidRDefault="007721A4" w:rsidP="001F1407">
            <w:pPr>
              <w:keepNext/>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10</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sobre el PCT – Cooperación con Organizaciones Regionales de Estados miembros</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sz w:val="16"/>
                <w:szCs w:val="16"/>
                <w:lang w:val="es-ES_tradnl"/>
              </w:rPr>
              <w:t>Organización Eurasiática de Patentes (</w:t>
            </w:r>
            <w:r w:rsidRPr="003007CD">
              <w:rPr>
                <w:rFonts w:eastAsia="Times New Roman"/>
                <w:sz w:val="16"/>
                <w:szCs w:val="16"/>
                <w:lang w:val="es-ES_tradnl"/>
              </w:rPr>
              <w:t>EAPO)</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Federación de Rusia (RU)  </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Armenia (AM)</w:t>
            </w:r>
            <w:r w:rsidRPr="003007CD">
              <w:rPr>
                <w:rFonts w:eastAsia="Times New Roman"/>
                <w:sz w:val="16"/>
                <w:szCs w:val="16"/>
                <w:lang w:val="es-ES_tradnl"/>
              </w:rPr>
              <w:br/>
              <w:t>Azerbaiyán (AZ)</w:t>
            </w:r>
            <w:r w:rsidRPr="003007CD">
              <w:rPr>
                <w:rFonts w:eastAsia="Times New Roman"/>
                <w:sz w:val="16"/>
                <w:szCs w:val="16"/>
                <w:lang w:val="es-ES_tradnl"/>
              </w:rPr>
              <w:br/>
              <w:t>Belarús (BY)</w:t>
            </w:r>
            <w:r w:rsidRPr="003007CD">
              <w:rPr>
                <w:rFonts w:eastAsia="Times New Roman"/>
                <w:sz w:val="16"/>
                <w:szCs w:val="16"/>
                <w:lang w:val="es-ES_tradnl"/>
              </w:rPr>
              <w:br/>
              <w:t>Kazajstán (KZ)</w:t>
            </w:r>
            <w:r w:rsidRPr="003007CD">
              <w:rPr>
                <w:rFonts w:eastAsia="Times New Roman"/>
                <w:sz w:val="16"/>
                <w:szCs w:val="16"/>
                <w:lang w:val="es-ES_tradnl"/>
              </w:rPr>
              <w:br/>
              <w:t>Kirguistán (KG)</w:t>
            </w:r>
            <w:r w:rsidRPr="003007CD">
              <w:rPr>
                <w:rFonts w:eastAsia="Times New Roman"/>
                <w:sz w:val="16"/>
                <w:szCs w:val="16"/>
                <w:lang w:val="es-ES_tradnl"/>
              </w:rPr>
              <w:br/>
              <w:t>Federación de Rusia (RU)</w:t>
            </w:r>
            <w:r w:rsidRPr="003007CD">
              <w:rPr>
                <w:rFonts w:eastAsia="Times New Roman"/>
                <w:sz w:val="16"/>
                <w:szCs w:val="16"/>
                <w:lang w:val="es-ES_tradnl"/>
              </w:rPr>
              <w:br/>
              <w:t>Tayikistán (TJ)</w:t>
            </w:r>
            <w:r w:rsidRPr="003007CD">
              <w:rPr>
                <w:rFonts w:eastAsia="Times New Roman"/>
                <w:sz w:val="16"/>
                <w:szCs w:val="16"/>
                <w:lang w:val="es-ES_tradnl"/>
              </w:rPr>
              <w:br/>
              <w:t>Turkmenistán (TM)</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11</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Seminarios itinerantes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Superintendencia de Industria y Comercio, Colombia</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Colombia (CO)</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Colombia (CO)</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TBD</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Checa (CZ)</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Checa (CZ)</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TBD</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Hungría (HU)</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Hungría (HU)</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TBD</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TBD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Bulgaria (BG)</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Bulgaria (BG)</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TBD</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Visita de estudio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Oficina de Propiedad Industrial y Comercial de Marruecos</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Marruecos (MA)</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Marruecos (MA)</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TBD</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Visita de estudio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Actividades regionales de promoción del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por determinar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Egipto (EG)</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Egipto (EG)</w:t>
            </w:r>
            <w:r w:rsidRPr="003007CD">
              <w:rPr>
                <w:rFonts w:eastAsia="Times New Roman"/>
                <w:sz w:val="16"/>
                <w:szCs w:val="16"/>
                <w:lang w:val="es-ES_tradnl"/>
              </w:rPr>
              <w:br/>
              <w:t>Argelia (DZ)</w:t>
            </w:r>
            <w:r w:rsidRPr="003007CD">
              <w:rPr>
                <w:rFonts w:eastAsia="Times New Roman"/>
                <w:sz w:val="16"/>
                <w:szCs w:val="16"/>
                <w:lang w:val="es-ES_tradnl"/>
              </w:rPr>
              <w:br/>
              <w:t>Bahrein (BH)</w:t>
            </w:r>
            <w:r w:rsidRPr="003007CD">
              <w:rPr>
                <w:rFonts w:eastAsia="Times New Roman"/>
                <w:sz w:val="16"/>
                <w:szCs w:val="16"/>
                <w:lang w:val="es-ES_tradnl"/>
              </w:rPr>
              <w:br/>
              <w:t>Libia (LY)</w:t>
            </w:r>
            <w:r w:rsidRPr="003007CD">
              <w:rPr>
                <w:rFonts w:eastAsia="Times New Roman"/>
                <w:sz w:val="16"/>
                <w:szCs w:val="16"/>
                <w:lang w:val="es-ES_tradnl"/>
              </w:rPr>
              <w:br/>
              <w:t>Marruecos (MA)</w:t>
            </w:r>
            <w:r w:rsidRPr="003007CD">
              <w:rPr>
                <w:rFonts w:eastAsia="Times New Roman"/>
                <w:sz w:val="16"/>
                <w:szCs w:val="16"/>
                <w:lang w:val="es-ES_tradnl"/>
              </w:rPr>
              <w:br/>
              <w:t>Omán (OM)</w:t>
            </w:r>
            <w:r w:rsidRPr="003007CD">
              <w:rPr>
                <w:rFonts w:eastAsia="Times New Roman"/>
                <w:sz w:val="16"/>
                <w:szCs w:val="16"/>
                <w:lang w:val="es-ES_tradnl"/>
              </w:rPr>
              <w:br/>
              <w:t>Qatar (QA)</w:t>
            </w:r>
            <w:r w:rsidRPr="003007CD">
              <w:rPr>
                <w:rFonts w:eastAsia="Times New Roman"/>
                <w:sz w:val="16"/>
                <w:szCs w:val="16"/>
                <w:lang w:val="es-ES_tradnl"/>
              </w:rPr>
              <w:br/>
              <w:t>Arabia Saudita (SA)</w:t>
            </w:r>
            <w:r w:rsidRPr="003007CD">
              <w:rPr>
                <w:rFonts w:eastAsia="Times New Roman"/>
                <w:sz w:val="16"/>
                <w:szCs w:val="16"/>
                <w:lang w:val="es-ES_tradnl"/>
              </w:rPr>
              <w:br/>
            </w:r>
            <w:r w:rsidR="001F1407" w:rsidRPr="003007CD">
              <w:rPr>
                <w:rFonts w:eastAsia="Times New Roman"/>
                <w:sz w:val="16"/>
                <w:szCs w:val="16"/>
                <w:lang w:val="es-ES_tradnl"/>
              </w:rPr>
              <w:t>Siria</w:t>
            </w:r>
            <w:r w:rsidRPr="003007CD">
              <w:rPr>
                <w:rFonts w:eastAsia="Times New Roman"/>
                <w:sz w:val="16"/>
                <w:szCs w:val="16"/>
                <w:lang w:val="es-ES_tradnl"/>
              </w:rPr>
              <w:t xml:space="preserve"> (SY)</w:t>
            </w:r>
            <w:r w:rsidRPr="003007CD">
              <w:rPr>
                <w:rFonts w:eastAsia="Times New Roman"/>
                <w:sz w:val="16"/>
                <w:szCs w:val="16"/>
                <w:lang w:val="es-ES_tradnl"/>
              </w:rPr>
              <w:br/>
              <w:t>Túnez (TN)</w:t>
            </w:r>
            <w:r w:rsidRPr="003007CD">
              <w:rPr>
                <w:rFonts w:eastAsia="Times New Roman"/>
                <w:sz w:val="16"/>
                <w:szCs w:val="16"/>
                <w:lang w:val="es-ES_tradnl"/>
              </w:rPr>
              <w:br/>
              <w:t>Emiratos Árabes Unidos (AE)</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itinerante sobre el PCT</w:t>
            </w:r>
          </w:p>
        </w:tc>
        <w:tc>
          <w:tcPr>
            <w:tcW w:w="2222"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por determinar </w:t>
            </w:r>
          </w:p>
        </w:tc>
        <w:tc>
          <w:tcPr>
            <w:tcW w:w="119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 xml:space="preserve">India (IN) </w:t>
            </w:r>
          </w:p>
        </w:tc>
        <w:tc>
          <w:tcPr>
            <w:tcW w:w="148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India (IN)</w:t>
            </w:r>
          </w:p>
        </w:tc>
        <w:tc>
          <w:tcPr>
            <w:tcW w:w="1417"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1F1407">
            <w:pPr>
              <w:keepNext/>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Instituto de Propiedad Industrial de Kenya</w:t>
            </w:r>
          </w:p>
        </w:tc>
        <w:tc>
          <w:tcPr>
            <w:tcW w:w="119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Kenya (KE)</w:t>
            </w:r>
          </w:p>
        </w:tc>
        <w:tc>
          <w:tcPr>
            <w:tcW w:w="148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Kenya (KE)</w:t>
            </w:r>
          </w:p>
        </w:tc>
        <w:tc>
          <w:tcPr>
            <w:tcW w:w="1417"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1F1407">
            <w:pPr>
              <w:keepNext/>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1F1407" w:rsidP="00EE7BB5">
            <w:pPr>
              <w:widowControl w:val="0"/>
              <w:rPr>
                <w:rFonts w:eastAsia="Times New Roman"/>
                <w:sz w:val="16"/>
                <w:szCs w:val="16"/>
                <w:lang w:val="es-ES_tradnl"/>
              </w:rPr>
            </w:pPr>
            <w:r w:rsidRPr="003007CD">
              <w:rPr>
                <w:rFonts w:eastAsia="Times New Roman"/>
                <w:sz w:val="16"/>
                <w:szCs w:val="16"/>
                <w:lang w:val="es-ES_tradnl"/>
              </w:rPr>
              <w:t>por determinar</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Angola (AO)</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Angola (AO)</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por determinar</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Zimbabwe (ZW)</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Zimbabwe (ZW)</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AB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 sobre las patentes y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Agencia de Registro de Compañías y Patentes, Zambia</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Zambia (ZM)</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Zambia (ZM)</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Taller sobre el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Administración de Registro de Sociedades y Licencias, República Unida de Tanzanía</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Unida de Tanzanía (TZ)</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República Unida de Tanzanía (TZ)</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 y redacción de solicitudes de patente</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por determinar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Uganda (UG)</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Uganda (UG)</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Seminarios itinerantes sobre el PCT (Quito, Cuenca, Guayaquil)</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Instituto Ecuatoriano de la Propiedad Industrial</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Ecuador (EC) </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Ecuador (EC)</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C</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Seminario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por determinar </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Trinidad y Tabago (TT) </w:t>
            </w:r>
          </w:p>
        </w:tc>
        <w:tc>
          <w:tcPr>
            <w:tcW w:w="1485" w:type="dxa"/>
            <w:shd w:val="clear" w:color="auto" w:fill="auto"/>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Trinidad y Tabago (TT)</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sz w:val="16"/>
                <w:szCs w:val="16"/>
                <w:lang w:val="es-ES_tradnl"/>
              </w:rPr>
              <w:t>Constatación hechos/</w:t>
            </w:r>
            <w:r w:rsidRPr="003007CD">
              <w:rPr>
                <w:sz w:val="16"/>
                <w:szCs w:val="16"/>
                <w:lang w:val="es-ES_tradnl"/>
              </w:rPr>
              <w:br/>
              <w:t>Asesoramiento</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Reunión de asesoramiento sobre la adhesión al PCT </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por determinar</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Paraguay (PY) </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 xml:space="preserve">Paraguay (PY) </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E</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Reunión sobre el PCT organizada con la Cámara de Comercio del Brasil</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 xml:space="preserve">Oficina de la OMPI en Brasil </w:t>
            </w:r>
            <w:r w:rsidRPr="003007CD">
              <w:rPr>
                <w:rFonts w:eastAsia="Times New Roman"/>
                <w:sz w:val="16"/>
                <w:szCs w:val="16"/>
                <w:lang w:val="es-ES_tradnl"/>
              </w:rPr>
              <w:br/>
              <w:t>Cámara de Comercio del Brasil</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Brasil (BR)</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Argentina(AR)</w:t>
            </w:r>
            <w:r w:rsidRPr="003007CD">
              <w:rPr>
                <w:rFonts w:eastAsia="Times New Roman"/>
                <w:sz w:val="16"/>
                <w:szCs w:val="16"/>
                <w:lang w:val="es-ES_tradnl"/>
              </w:rPr>
              <w:br/>
              <w:t>Paraguay (PY)</w:t>
            </w:r>
            <w:r w:rsidRPr="003007CD">
              <w:rPr>
                <w:rFonts w:eastAsia="Times New Roman"/>
                <w:sz w:val="16"/>
                <w:szCs w:val="16"/>
                <w:lang w:val="es-ES_tradnl"/>
              </w:rPr>
              <w:br/>
              <w:t>Brasil (BR)</w:t>
            </w:r>
            <w:r w:rsidRPr="003007CD">
              <w:rPr>
                <w:rFonts w:eastAsia="Times New Roman"/>
                <w:sz w:val="16"/>
                <w:szCs w:val="16"/>
                <w:lang w:val="es-ES_tradnl"/>
              </w:rPr>
              <w:br/>
              <w:t>Uruguay (UY)</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sobre el PCT</w:t>
            </w:r>
          </w:p>
        </w:tc>
        <w:tc>
          <w:tcPr>
            <w:tcW w:w="1276" w:type="dxa"/>
            <w:shd w:val="clear" w:color="auto" w:fill="auto"/>
            <w:noWrap/>
            <w:vAlign w:val="center"/>
          </w:tcPr>
          <w:p w:rsidR="007721A4" w:rsidRPr="003007CD" w:rsidRDefault="007721A4" w:rsidP="001F1407">
            <w:pPr>
              <w:keepNext/>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Organización Africana de la Propiedad Intelectual (OAPI)</w:t>
            </w:r>
          </w:p>
        </w:tc>
        <w:tc>
          <w:tcPr>
            <w:tcW w:w="119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Guinea (GN)</w:t>
            </w:r>
          </w:p>
        </w:tc>
        <w:tc>
          <w:tcPr>
            <w:tcW w:w="1485" w:type="dxa"/>
            <w:shd w:val="clear" w:color="auto" w:fill="auto"/>
            <w:noWrap/>
            <w:vAlign w:val="center"/>
          </w:tcPr>
          <w:p w:rsidR="007721A4" w:rsidRPr="003007CD" w:rsidRDefault="007721A4" w:rsidP="001F1407">
            <w:pPr>
              <w:keepNext/>
              <w:widowControl w:val="0"/>
              <w:rPr>
                <w:rFonts w:eastAsia="Times New Roman"/>
                <w:sz w:val="16"/>
                <w:szCs w:val="16"/>
                <w:lang w:val="es-ES_tradnl"/>
              </w:rPr>
            </w:pPr>
            <w:r w:rsidRPr="003007CD">
              <w:rPr>
                <w:rFonts w:eastAsia="Times New Roman"/>
                <w:sz w:val="16"/>
                <w:szCs w:val="16"/>
                <w:lang w:val="es-ES_tradnl"/>
              </w:rPr>
              <w:t>Guinea (GN)</w:t>
            </w:r>
          </w:p>
        </w:tc>
        <w:tc>
          <w:tcPr>
            <w:tcW w:w="1417" w:type="dxa"/>
            <w:shd w:val="clear" w:color="auto" w:fill="auto"/>
            <w:noWrap/>
            <w:vAlign w:val="center"/>
          </w:tcPr>
          <w:p w:rsidR="005D78A7" w:rsidRPr="003007CD" w:rsidRDefault="007721A4" w:rsidP="005D78A7">
            <w:pPr>
              <w:keepNext/>
              <w:widowControl w:val="0"/>
              <w:rPr>
                <w:rFonts w:eastAsia="Times New Roman"/>
                <w:sz w:val="16"/>
                <w:szCs w:val="16"/>
                <w:lang w:val="es-ES_tradnl"/>
              </w:rPr>
            </w:pPr>
            <w:r w:rsidRPr="003007CD">
              <w:rPr>
                <w:rFonts w:eastAsia="Times New Roman"/>
                <w:sz w:val="16"/>
                <w:szCs w:val="16"/>
                <w:lang w:val="es-ES_tradnl"/>
              </w:rPr>
              <w:t>Oficinas + universidades/</w:t>
            </w:r>
          </w:p>
          <w:p w:rsidR="007721A4" w:rsidRPr="003007CD" w:rsidRDefault="005D78A7" w:rsidP="005D78A7">
            <w:pPr>
              <w:keepNext/>
              <w:widowControl w:val="0"/>
              <w:rPr>
                <w:rFonts w:eastAsia="Times New Roman"/>
                <w:sz w:val="16"/>
                <w:szCs w:val="16"/>
                <w:lang w:val="es-ES_tradnl"/>
              </w:rPr>
            </w:pPr>
            <w:r w:rsidRPr="003007CD">
              <w:rPr>
                <w:rFonts w:eastAsia="Times New Roman"/>
                <w:sz w:val="16"/>
                <w:szCs w:val="16"/>
                <w:u w:val="single"/>
                <w:lang w:val="es-ES_tradnl"/>
              </w:rPr>
              <w:t>i</w:t>
            </w:r>
            <w:r w:rsidR="007721A4" w:rsidRPr="003007CD">
              <w:rPr>
                <w:rFonts w:eastAsia="Times New Roman"/>
                <w:sz w:val="16"/>
                <w:szCs w:val="16"/>
                <w:u w:val="single"/>
                <w:lang w:val="es-ES_tradnl"/>
              </w:rPr>
              <w:t>nstituciones</w:t>
            </w:r>
            <w:r w:rsidR="007721A4" w:rsidRPr="003007CD">
              <w:rPr>
                <w:rFonts w:eastAsia="Times New Roman"/>
                <w:sz w:val="16"/>
                <w:szCs w:val="16"/>
                <w:lang w:val="es-ES_tradnl"/>
              </w:rPr>
              <w:t xml:space="preserve"> investigación + usuarios</w:t>
            </w:r>
          </w:p>
        </w:tc>
        <w:tc>
          <w:tcPr>
            <w:tcW w:w="1469" w:type="dxa"/>
            <w:shd w:val="clear" w:color="auto" w:fill="auto"/>
            <w:noWrap/>
            <w:vAlign w:val="center"/>
          </w:tcPr>
          <w:p w:rsidR="007721A4" w:rsidRPr="003007CD" w:rsidRDefault="007721A4" w:rsidP="001F1407">
            <w:pPr>
              <w:keepNext/>
              <w:widowControl w:val="0"/>
              <w:jc w:val="center"/>
              <w:rPr>
                <w:rFonts w:eastAsia="Times New Roman"/>
                <w:sz w:val="20"/>
                <w:lang w:val="es-ES_tradnl"/>
              </w:rPr>
            </w:pPr>
            <w:r w:rsidRPr="003007CD">
              <w:rPr>
                <w:rFonts w:eastAsia="Times New Roman"/>
                <w:sz w:val="20"/>
                <w:lang w:val="es-ES_tradnl"/>
              </w:rPr>
              <w:t> </w:t>
            </w:r>
          </w:p>
        </w:tc>
      </w:tr>
      <w:tr w:rsidR="007721A4" w:rsidRPr="003007CD" w:rsidTr="00B21098">
        <w:trPr>
          <w:cantSplit/>
        </w:trPr>
        <w:tc>
          <w:tcPr>
            <w:tcW w:w="942"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2014</w:t>
            </w:r>
            <w:r w:rsidR="00413631" w:rsidRPr="003007CD">
              <w:rPr>
                <w:rFonts w:eastAsia="Times New Roman"/>
                <w:sz w:val="16"/>
                <w:szCs w:val="16"/>
                <w:lang w:val="es-ES_tradnl"/>
              </w:rPr>
              <w:t>–</w:t>
            </w:r>
            <w:r w:rsidRPr="003007CD">
              <w:rPr>
                <w:rFonts w:eastAsia="Times New Roman"/>
                <w:sz w:val="16"/>
                <w:szCs w:val="16"/>
                <w:lang w:val="es-ES_tradnl"/>
              </w:rPr>
              <w:t>por determinar</w:t>
            </w:r>
          </w:p>
        </w:tc>
        <w:tc>
          <w:tcPr>
            <w:tcW w:w="1134" w:type="dxa"/>
            <w:shd w:val="clear" w:color="auto" w:fill="auto"/>
            <w:noWrap/>
            <w:vAlign w:val="center"/>
          </w:tcPr>
          <w:p w:rsidR="007721A4" w:rsidRPr="003007CD" w:rsidRDefault="007721A4" w:rsidP="00413631">
            <w:pPr>
              <w:widowControl w:val="0"/>
              <w:rPr>
                <w:rFonts w:eastAsia="Times New Roman"/>
                <w:sz w:val="16"/>
                <w:szCs w:val="16"/>
                <w:lang w:val="es-ES_tradnl"/>
              </w:rPr>
            </w:pPr>
            <w:r w:rsidRPr="003007CD">
              <w:rPr>
                <w:rFonts w:eastAsia="Times New Roman"/>
                <w:sz w:val="16"/>
                <w:szCs w:val="16"/>
                <w:lang w:val="es-ES_tradnl"/>
              </w:rPr>
              <w:t>REG</w:t>
            </w:r>
          </w:p>
        </w:tc>
        <w:tc>
          <w:tcPr>
            <w:tcW w:w="127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Taller y seminario sobre el PCT</w:t>
            </w:r>
          </w:p>
        </w:tc>
        <w:tc>
          <w:tcPr>
            <w:tcW w:w="1276" w:type="dxa"/>
            <w:shd w:val="clear" w:color="auto" w:fill="auto"/>
            <w:noWrap/>
            <w:vAlign w:val="center"/>
          </w:tcPr>
          <w:p w:rsidR="007721A4" w:rsidRPr="003007CD" w:rsidRDefault="007721A4" w:rsidP="00EE7BB5">
            <w:pPr>
              <w:widowControl w:val="0"/>
              <w:jc w:val="center"/>
              <w:rPr>
                <w:rFonts w:eastAsia="Times New Roman"/>
                <w:sz w:val="16"/>
                <w:szCs w:val="16"/>
                <w:lang w:val="es-ES_tradnl"/>
              </w:rPr>
            </w:pPr>
            <w:r w:rsidRPr="003007CD">
              <w:rPr>
                <w:rFonts w:eastAsia="Times New Roman"/>
                <w:sz w:val="16"/>
                <w:szCs w:val="16"/>
                <w:lang w:val="es-ES_tradnl"/>
              </w:rPr>
              <w:t>B</w:t>
            </w:r>
          </w:p>
        </w:tc>
        <w:tc>
          <w:tcPr>
            <w:tcW w:w="2186"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Taller nacional sobre el PCT</w:t>
            </w:r>
          </w:p>
        </w:tc>
        <w:tc>
          <w:tcPr>
            <w:tcW w:w="2222" w:type="dxa"/>
            <w:shd w:val="clear" w:color="auto" w:fill="auto"/>
            <w:vAlign w:val="center"/>
          </w:tcPr>
          <w:p w:rsidR="007721A4" w:rsidRPr="003007CD" w:rsidRDefault="007721A4" w:rsidP="00EE7BB5">
            <w:pPr>
              <w:widowControl w:val="0"/>
              <w:rPr>
                <w:rFonts w:eastAsia="Times New Roman"/>
                <w:sz w:val="16"/>
                <w:szCs w:val="16"/>
                <w:lang w:val="es-ES_tradnl"/>
              </w:rPr>
            </w:pPr>
            <w:r w:rsidRPr="003007CD">
              <w:rPr>
                <w:rFonts w:eastAsia="Times New Roman"/>
                <w:sz w:val="16"/>
                <w:szCs w:val="16"/>
                <w:lang w:val="es-ES_tradnl"/>
              </w:rPr>
              <w:t>Organización Africana de la Propiedad Intelectual (OAPI)</w:t>
            </w:r>
          </w:p>
        </w:tc>
        <w:tc>
          <w:tcPr>
            <w:tcW w:w="119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Senegal (SN)</w:t>
            </w:r>
          </w:p>
        </w:tc>
        <w:tc>
          <w:tcPr>
            <w:tcW w:w="1485"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Senegal (SN)</w:t>
            </w:r>
          </w:p>
        </w:tc>
        <w:tc>
          <w:tcPr>
            <w:tcW w:w="1417" w:type="dxa"/>
            <w:shd w:val="clear" w:color="auto" w:fill="auto"/>
            <w:noWrap/>
            <w:vAlign w:val="center"/>
          </w:tcPr>
          <w:p w:rsidR="007721A4" w:rsidRPr="003007CD" w:rsidRDefault="007721A4" w:rsidP="00B21098">
            <w:pPr>
              <w:widowControl w:val="0"/>
              <w:rPr>
                <w:rFonts w:eastAsia="Times New Roman"/>
                <w:sz w:val="16"/>
                <w:szCs w:val="16"/>
                <w:lang w:val="es-ES_tradnl"/>
              </w:rPr>
            </w:pPr>
            <w:r w:rsidRPr="003007CD">
              <w:rPr>
                <w:rFonts w:eastAsia="Times New Roman"/>
                <w:sz w:val="16"/>
                <w:szCs w:val="16"/>
                <w:lang w:val="es-ES_tradnl"/>
              </w:rPr>
              <w:t>Oficinas + universidades/</w:t>
            </w:r>
            <w:r w:rsidR="00B21098" w:rsidRPr="003007CD">
              <w:rPr>
                <w:rFonts w:eastAsia="Times New Roman"/>
                <w:sz w:val="16"/>
                <w:szCs w:val="16"/>
                <w:lang w:val="es-ES_tradnl"/>
              </w:rPr>
              <w:br/>
            </w:r>
            <w:r w:rsidRPr="003007CD">
              <w:rPr>
                <w:rFonts w:eastAsia="Times New Roman"/>
                <w:sz w:val="16"/>
                <w:szCs w:val="16"/>
                <w:lang w:val="es-ES_tradnl"/>
              </w:rPr>
              <w:t>instituciones investigación + usuarios</w:t>
            </w:r>
          </w:p>
        </w:tc>
        <w:tc>
          <w:tcPr>
            <w:tcW w:w="1469" w:type="dxa"/>
            <w:shd w:val="clear" w:color="auto" w:fill="auto"/>
            <w:noWrap/>
            <w:vAlign w:val="center"/>
          </w:tcPr>
          <w:p w:rsidR="007721A4" w:rsidRPr="003007CD" w:rsidRDefault="007721A4" w:rsidP="00EE7BB5">
            <w:pPr>
              <w:widowControl w:val="0"/>
              <w:jc w:val="center"/>
              <w:rPr>
                <w:rFonts w:eastAsia="Times New Roman"/>
                <w:sz w:val="20"/>
                <w:lang w:val="es-ES_tradnl"/>
              </w:rPr>
            </w:pPr>
            <w:r w:rsidRPr="003007CD">
              <w:rPr>
                <w:rFonts w:eastAsia="Times New Roman"/>
                <w:sz w:val="20"/>
                <w:lang w:val="es-ES_tradnl"/>
              </w:rPr>
              <w:t> </w:t>
            </w:r>
          </w:p>
        </w:tc>
      </w:tr>
    </w:tbl>
    <w:p w:rsidR="001F1407" w:rsidRPr="001F1407" w:rsidRDefault="001F1407" w:rsidP="001F1407">
      <w:pPr>
        <w:widowControl w:val="0"/>
        <w:ind w:left="10206"/>
        <w:rPr>
          <w:lang w:val="es-ES_tradnl"/>
        </w:rPr>
      </w:pPr>
    </w:p>
    <w:p w:rsidR="001F1407" w:rsidRPr="001F1407" w:rsidRDefault="001F1407" w:rsidP="001F1407">
      <w:pPr>
        <w:widowControl w:val="0"/>
        <w:ind w:left="10206"/>
        <w:rPr>
          <w:lang w:val="es-ES_tradnl"/>
        </w:rPr>
      </w:pPr>
    </w:p>
    <w:p w:rsidR="00152CEA" w:rsidRPr="001F1407" w:rsidRDefault="007721A4" w:rsidP="001F1407">
      <w:pPr>
        <w:widowControl w:val="0"/>
        <w:ind w:left="10206"/>
        <w:rPr>
          <w:lang w:val="es-ES_tradnl"/>
        </w:rPr>
      </w:pPr>
      <w:r w:rsidRPr="001F1407">
        <w:rPr>
          <w:lang w:val="es-ES_tradnl"/>
        </w:rPr>
        <w:t>[Fin del Anexo II y del documento]</w:t>
      </w:r>
    </w:p>
    <w:sectPr w:rsidR="00152CEA" w:rsidRPr="001F1407" w:rsidSect="007721A4">
      <w:headerReference w:type="default" r:id="rId13"/>
      <w:headerReference w:type="first" r:id="rId14"/>
      <w:pgSz w:w="16840" w:h="11907" w:orient="landscape" w:code="9"/>
      <w:pgMar w:top="1418" w:right="567" w:bottom="1134"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40" w:rsidRDefault="00F93640">
      <w:r>
        <w:separator/>
      </w:r>
    </w:p>
  </w:endnote>
  <w:endnote w:type="continuationSeparator" w:id="0">
    <w:p w:rsidR="00F93640" w:rsidRPr="009D30E6" w:rsidRDefault="00F93640" w:rsidP="007E663E">
      <w:pPr>
        <w:rPr>
          <w:sz w:val="17"/>
          <w:szCs w:val="17"/>
        </w:rPr>
      </w:pPr>
      <w:r w:rsidRPr="009D30E6">
        <w:rPr>
          <w:sz w:val="17"/>
          <w:szCs w:val="17"/>
        </w:rPr>
        <w:separator/>
      </w:r>
    </w:p>
    <w:p w:rsidR="00F93640" w:rsidRPr="007E663E" w:rsidRDefault="00F93640" w:rsidP="007E663E">
      <w:pPr>
        <w:spacing w:after="60"/>
        <w:rPr>
          <w:sz w:val="17"/>
          <w:szCs w:val="17"/>
        </w:rPr>
      </w:pPr>
      <w:r>
        <w:rPr>
          <w:sz w:val="17"/>
        </w:rPr>
        <w:t>[Continuación de la nota de la página anterior]</w:t>
      </w:r>
    </w:p>
  </w:endnote>
  <w:endnote w:type="continuationNotice" w:id="1">
    <w:p w:rsidR="00F93640" w:rsidRPr="007E663E" w:rsidRDefault="00F936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40" w:rsidRDefault="00F93640">
      <w:r>
        <w:separator/>
      </w:r>
    </w:p>
  </w:footnote>
  <w:footnote w:type="continuationSeparator" w:id="0">
    <w:p w:rsidR="00F93640" w:rsidRPr="009D30E6" w:rsidRDefault="00F93640" w:rsidP="007E663E">
      <w:pPr>
        <w:rPr>
          <w:sz w:val="17"/>
          <w:szCs w:val="17"/>
        </w:rPr>
      </w:pPr>
      <w:r w:rsidRPr="009D30E6">
        <w:rPr>
          <w:sz w:val="17"/>
          <w:szCs w:val="17"/>
        </w:rPr>
        <w:separator/>
      </w:r>
    </w:p>
    <w:p w:rsidR="00F93640" w:rsidRPr="007E663E" w:rsidRDefault="00F93640" w:rsidP="007E663E">
      <w:pPr>
        <w:spacing w:after="60"/>
        <w:rPr>
          <w:sz w:val="17"/>
          <w:szCs w:val="17"/>
        </w:rPr>
      </w:pPr>
      <w:r>
        <w:rPr>
          <w:sz w:val="17"/>
        </w:rPr>
        <w:t>[Continuación de la nota de la página anterior]</w:t>
      </w:r>
    </w:p>
  </w:footnote>
  <w:footnote w:type="continuationNotice" w:id="1">
    <w:p w:rsidR="00F93640" w:rsidRPr="007E663E" w:rsidRDefault="00F93640" w:rsidP="007E663E">
      <w:pPr>
        <w:spacing w:before="60"/>
        <w:jc w:val="right"/>
        <w:rPr>
          <w:sz w:val="17"/>
          <w:szCs w:val="17"/>
        </w:rPr>
      </w:pPr>
      <w:r w:rsidRPr="007E663E">
        <w:rPr>
          <w:sz w:val="17"/>
          <w:szCs w:val="17"/>
        </w:rPr>
        <w:t>[Sigue la nota en la página siguiente]</w:t>
      </w:r>
    </w:p>
  </w:footnote>
  <w:footnote w:id="2">
    <w:p w:rsidR="00973E15" w:rsidRPr="005B5B28" w:rsidRDefault="00973E15" w:rsidP="007721A4">
      <w:pPr>
        <w:pStyle w:val="FootnoteText"/>
        <w:widowControl w:val="0"/>
        <w:rPr>
          <w:lang w:val="es-ES_tradnl"/>
        </w:rPr>
      </w:pPr>
      <w:r>
        <w:rPr>
          <w:rStyle w:val="FootnoteReference"/>
        </w:rPr>
        <w:footnoteRef/>
      </w:r>
      <w:r w:rsidR="003A23F9">
        <w:rPr>
          <w:lang w:val="es-ES_tradnl"/>
        </w:rPr>
        <w:t xml:space="preserve"> </w:t>
      </w:r>
      <w:r w:rsidR="003A23F9">
        <w:rPr>
          <w:lang w:val="es-ES_tradnl"/>
        </w:rPr>
        <w:tab/>
        <w:t>Relacionado</w:t>
      </w:r>
      <w:r w:rsidRPr="005B5B28">
        <w:rPr>
          <w:lang w:val="es-ES_tradnl"/>
        </w:rPr>
        <w:t xml:space="preserve"> con la recomendación 19 de la Agenda para el Desarrollo:  “En el marco del ma</w:t>
      </w:r>
      <w:r w:rsidR="005D33F4">
        <w:rPr>
          <w:lang w:val="es-ES_tradnl"/>
        </w:rPr>
        <w:t xml:space="preserve">ndato de la OMPI, emprender </w:t>
      </w:r>
      <w:r w:rsidRPr="005B5B28">
        <w:rPr>
          <w:lang w:val="es-ES_tradnl"/>
        </w:rPr>
        <w:t>debates sobre cómo facilitar aún más a los países en desarrollo y los PMA el acceso a la información y la te</w:t>
      </w:r>
      <w:r w:rsidR="005D33F4">
        <w:rPr>
          <w:lang w:val="es-ES_tradnl"/>
        </w:rPr>
        <w:t>c</w:t>
      </w:r>
      <w:r w:rsidRPr="005B5B28">
        <w:rPr>
          <w:lang w:val="es-ES_tradnl"/>
        </w:rPr>
        <w:t>nología, a fin de fomentar la creatividad y la innovación y fortalecer tales a</w:t>
      </w:r>
      <w:r>
        <w:rPr>
          <w:lang w:val="es-ES_tradnl"/>
        </w:rPr>
        <w:t>ctividades en curso en la OMPI”</w:t>
      </w:r>
      <w:r w:rsidR="005D33F4">
        <w:rPr>
          <w:lang w:val="es-ES_tradnl"/>
        </w:rPr>
        <w:t xml:space="preserve">, </w:t>
      </w:r>
      <w:r>
        <w:rPr>
          <w:lang w:val="es-ES_tradnl"/>
        </w:rPr>
        <w:t xml:space="preserve"> </w:t>
      </w:r>
      <w:r w:rsidRPr="005B5B28">
        <w:rPr>
          <w:lang w:val="es-ES_tradnl"/>
        </w:rPr>
        <w:t>con la recomendación 30:  “La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  y con la recomendación 31  Emprender las iniciativas adoptadas por los Estados miembros que contribuyen a la transferencia de tecnología a los países en desarrollo, tales como solicitar a la OMPI que proporcione mejor acceso a la información publicada sobre patentes.”</w:t>
      </w:r>
    </w:p>
  </w:footnote>
  <w:footnote w:id="3">
    <w:p w:rsidR="00973E15" w:rsidRPr="005B5B28" w:rsidRDefault="00973E15" w:rsidP="007721A4">
      <w:pPr>
        <w:pStyle w:val="FootnoteText"/>
        <w:spacing w:after="40"/>
        <w:rPr>
          <w:lang w:val="es-ES_tradnl"/>
        </w:rPr>
      </w:pPr>
      <w:r>
        <w:rPr>
          <w:rStyle w:val="FootnoteReference"/>
        </w:rPr>
        <w:footnoteRef/>
      </w:r>
      <w:r w:rsidRPr="005B5B28">
        <w:rPr>
          <w:lang w:val="es-ES_tradnl"/>
        </w:rPr>
        <w:t xml:space="preserve"> </w:t>
      </w:r>
      <w:r w:rsidRPr="005B5B28">
        <w:rPr>
          <w:lang w:val="es-ES_tradnl"/>
        </w:rPr>
        <w:tab/>
        <w:t>Como se señala en el documento</w:t>
      </w:r>
      <w:r w:rsidRPr="005B5B28">
        <w:rPr>
          <w:lang w:val="es-ES_tradnl" w:eastAsia="en-US"/>
        </w:rPr>
        <w:t xml:space="preserve"> CWS/4/13, entre esas actividades cabe destacar la realización de más de</w:t>
      </w:r>
      <w:r w:rsidRPr="005B5B28">
        <w:rPr>
          <w:lang w:val="es-ES_tradnl"/>
        </w:rPr>
        <w:t xml:space="preserve"> 100 misiones en 51 oficinas de P.I.</w:t>
      </w:r>
      <w:r>
        <w:rPr>
          <w:lang w:val="es-ES_tradnl"/>
        </w:rPr>
        <w:t xml:space="preserve"> </w:t>
      </w:r>
      <w:r w:rsidRPr="005B5B28">
        <w:rPr>
          <w:lang w:val="es-ES_tradnl"/>
        </w:rPr>
        <w:t>en 2013, con lo que más de 65 oficinas de P.I. de</w:t>
      </w:r>
      <w:r w:rsidRPr="00FB148E">
        <w:rPr>
          <w:rFonts w:eastAsia="MS Mincho"/>
          <w:szCs w:val="22"/>
          <w:lang w:eastAsia="ja-JP"/>
        </w:rPr>
        <w:t xml:space="preserve"> todo el mundo utilizan </w:t>
      </w:r>
      <w:r>
        <w:rPr>
          <w:rFonts w:eastAsia="MS Mincho"/>
          <w:szCs w:val="22"/>
          <w:lang w:eastAsia="ja-JP"/>
        </w:rPr>
        <w:t xml:space="preserve">hoy </w:t>
      </w:r>
      <w:r w:rsidRPr="00FB148E">
        <w:rPr>
          <w:rFonts w:eastAsia="MS Mincho"/>
          <w:szCs w:val="22"/>
          <w:lang w:eastAsia="ja-JP"/>
        </w:rPr>
        <w:t>las soluciones de la OMPI para la administración de sus derechos de P.I</w:t>
      </w:r>
      <w:r w:rsidRPr="005B5B28">
        <w:rPr>
          <w:lang w:val="es-ES_tradnl"/>
        </w:rPr>
        <w:t xml:space="preserve">.  En la página web </w:t>
      </w:r>
      <w:hyperlink r:id="rId1" w:history="1">
        <w:r w:rsidRPr="005B5B28">
          <w:rPr>
            <w:rStyle w:val="Hyperlink"/>
            <w:lang w:val="es-ES_tradnl"/>
          </w:rPr>
          <w:t>http://www.wipo.int/global_ip/es/activities/technicalassistance/index.html</w:t>
        </w:r>
      </w:hyperlink>
      <w:r w:rsidRPr="005B5B28">
        <w:rPr>
          <w:rStyle w:val="Hyperlink"/>
          <w:color w:val="auto"/>
          <w:u w:val="none"/>
          <w:lang w:val="es-ES_tradnl"/>
        </w:rPr>
        <w:t xml:space="preserve">  figura más información sobre el programa de asistencia técnica a las oficinas de 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15" w:rsidRPr="00170EBB" w:rsidRDefault="00973E15" w:rsidP="00477D6B">
    <w:pPr>
      <w:jc w:val="right"/>
      <w:rPr>
        <w:lang w:val="es-ES_tradnl"/>
      </w:rPr>
    </w:pPr>
    <w:r w:rsidRPr="00170EBB">
      <w:rPr>
        <w:lang w:val="es-ES_tradnl"/>
      </w:rPr>
      <w:t>PCT/WG/7/14</w:t>
    </w:r>
  </w:p>
  <w:p w:rsidR="00973E15" w:rsidRPr="00170EBB" w:rsidRDefault="00973E15" w:rsidP="00477D6B">
    <w:pPr>
      <w:jc w:val="right"/>
      <w:rPr>
        <w:lang w:val="es-ES_tradnl"/>
      </w:rPr>
    </w:pPr>
    <w:r w:rsidRPr="00170EBB">
      <w:rPr>
        <w:lang w:val="es-ES_tradnl"/>
      </w:rPr>
      <w:t xml:space="preserve">página </w:t>
    </w:r>
    <w:r w:rsidRPr="00170EBB">
      <w:rPr>
        <w:lang w:val="es-ES_tradnl"/>
      </w:rPr>
      <w:fldChar w:fldCharType="begin"/>
    </w:r>
    <w:r w:rsidRPr="00170EBB">
      <w:rPr>
        <w:lang w:val="es-ES_tradnl"/>
      </w:rPr>
      <w:instrText xml:space="preserve"> PAGE  \* MERGEFORMAT </w:instrText>
    </w:r>
    <w:r w:rsidRPr="00170EBB">
      <w:rPr>
        <w:lang w:val="es-ES_tradnl"/>
      </w:rPr>
      <w:fldChar w:fldCharType="separate"/>
    </w:r>
    <w:r w:rsidR="003007CD">
      <w:rPr>
        <w:noProof/>
        <w:lang w:val="es-ES_tradnl"/>
      </w:rPr>
      <w:t>2</w:t>
    </w:r>
    <w:r w:rsidRPr="00170EBB">
      <w:rPr>
        <w:lang w:val="es-ES_tradnl"/>
      </w:rPr>
      <w:fldChar w:fldCharType="end"/>
    </w:r>
  </w:p>
  <w:p w:rsidR="00973E15" w:rsidRDefault="00973E1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15" w:rsidRPr="003007CD" w:rsidRDefault="00973E15" w:rsidP="00477D6B">
    <w:pPr>
      <w:jc w:val="right"/>
      <w:rPr>
        <w:lang w:val="en-US"/>
      </w:rPr>
    </w:pPr>
    <w:r w:rsidRPr="003007CD">
      <w:rPr>
        <w:lang w:val="en-US"/>
      </w:rPr>
      <w:t>PCT/WG/7/14</w:t>
    </w:r>
  </w:p>
  <w:p w:rsidR="00973E15" w:rsidRPr="003007CD" w:rsidRDefault="00973E15" w:rsidP="00477D6B">
    <w:pPr>
      <w:jc w:val="right"/>
      <w:rPr>
        <w:lang w:val="en-US"/>
      </w:rPr>
    </w:pPr>
    <w:r w:rsidRPr="003007CD">
      <w:rPr>
        <w:lang w:val="en-US"/>
      </w:rPr>
      <w:t xml:space="preserve">Anexo I, página </w:t>
    </w:r>
    <w:r w:rsidRPr="00B21098">
      <w:rPr>
        <w:lang w:val="es-ES_tradnl"/>
      </w:rPr>
      <w:fldChar w:fldCharType="begin"/>
    </w:r>
    <w:r w:rsidRPr="003007CD">
      <w:rPr>
        <w:lang w:val="en-US"/>
      </w:rPr>
      <w:instrText xml:space="preserve"> PAGE  \* MERGEFORMAT </w:instrText>
    </w:r>
    <w:r w:rsidRPr="00B21098">
      <w:rPr>
        <w:lang w:val="es-ES_tradnl"/>
      </w:rPr>
      <w:fldChar w:fldCharType="separate"/>
    </w:r>
    <w:r w:rsidR="003007CD">
      <w:rPr>
        <w:noProof/>
        <w:lang w:val="en-US"/>
      </w:rPr>
      <w:t>2</w:t>
    </w:r>
    <w:r w:rsidRPr="00B21098">
      <w:rPr>
        <w:lang w:val="es-ES_tradnl"/>
      </w:rPr>
      <w:fldChar w:fldCharType="end"/>
    </w:r>
  </w:p>
  <w:p w:rsidR="00973E15" w:rsidRPr="003007CD" w:rsidRDefault="00973E15"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15" w:rsidRPr="00913762" w:rsidRDefault="00973E15" w:rsidP="00B21098">
    <w:pPr>
      <w:jc w:val="right"/>
      <w:rPr>
        <w:lang w:val="es-ES_tradnl"/>
      </w:rPr>
    </w:pPr>
    <w:r w:rsidRPr="00913762">
      <w:rPr>
        <w:lang w:val="es-ES_tradnl"/>
      </w:rPr>
      <w:t>PCT/WG/7/14</w:t>
    </w:r>
  </w:p>
  <w:p w:rsidR="00973E15" w:rsidRPr="00913762" w:rsidRDefault="00973E15" w:rsidP="00B21098">
    <w:pPr>
      <w:pStyle w:val="Header"/>
      <w:jc w:val="right"/>
      <w:rPr>
        <w:lang w:val="es-ES_tradnl"/>
      </w:rPr>
    </w:pPr>
    <w:r w:rsidRPr="00913762">
      <w:rPr>
        <w:lang w:val="es-ES_tradnl"/>
      </w:rPr>
      <w:t>ANEXO I</w:t>
    </w:r>
  </w:p>
  <w:p w:rsidR="00973E15" w:rsidRPr="00913762" w:rsidRDefault="00973E15" w:rsidP="00B21098">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15" w:rsidRDefault="00973E15" w:rsidP="00477D6B">
    <w:pPr>
      <w:jc w:val="right"/>
    </w:pPr>
    <w:bookmarkStart w:id="5" w:name="Code2"/>
    <w:bookmarkEnd w:id="5"/>
    <w:r w:rsidRPr="00913762">
      <w:rPr>
        <w:lang w:val="es-ES_tradnl"/>
      </w:rPr>
      <w:t>PCT/WG/7/14</w:t>
    </w:r>
  </w:p>
  <w:p w:rsidR="00973E15" w:rsidRDefault="00973E15" w:rsidP="00477D6B">
    <w:pPr>
      <w:jc w:val="right"/>
    </w:pPr>
    <w:r>
      <w:t xml:space="preserve">Anexo II, página </w:t>
    </w:r>
    <w:r>
      <w:fldChar w:fldCharType="begin"/>
    </w:r>
    <w:r>
      <w:instrText xml:space="preserve"> PAGE  \* MERGEFORMAT </w:instrText>
    </w:r>
    <w:r>
      <w:fldChar w:fldCharType="separate"/>
    </w:r>
    <w:r w:rsidR="003007CD">
      <w:rPr>
        <w:noProof/>
      </w:rPr>
      <w:t>6</w:t>
    </w:r>
    <w:r>
      <w:fldChar w:fldCharType="end"/>
    </w:r>
  </w:p>
  <w:p w:rsidR="00973E15" w:rsidRDefault="00973E1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15" w:rsidRPr="00913762" w:rsidRDefault="00973E15" w:rsidP="00B21098">
    <w:pPr>
      <w:jc w:val="right"/>
      <w:rPr>
        <w:lang w:val="es-ES_tradnl"/>
      </w:rPr>
    </w:pPr>
    <w:r w:rsidRPr="00913762">
      <w:rPr>
        <w:lang w:val="es-ES_tradnl"/>
      </w:rPr>
      <w:t>PCT/WG/7/14</w:t>
    </w:r>
  </w:p>
  <w:p w:rsidR="00973E15" w:rsidRPr="00913762" w:rsidRDefault="00973E15" w:rsidP="00B21098">
    <w:pPr>
      <w:pStyle w:val="Header"/>
      <w:jc w:val="right"/>
      <w:rPr>
        <w:lang w:val="es-ES_tradnl"/>
      </w:rPr>
    </w:pPr>
    <w:r w:rsidRPr="00913762">
      <w:rPr>
        <w:lang w:val="es-ES_tradnl"/>
      </w:rPr>
      <w:t>ANEXO I</w:t>
    </w:r>
    <w:r>
      <w:rPr>
        <w:lang w:val="es-ES_tradnl"/>
      </w:rPr>
      <w:t>I</w:t>
    </w:r>
  </w:p>
  <w:p w:rsidR="00973E15" w:rsidRPr="00913762" w:rsidRDefault="00973E15" w:rsidP="00B21098">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64427"/>
    <w:rsid w:val="00074058"/>
    <w:rsid w:val="000E3BB3"/>
    <w:rsid w:val="000E3FA9"/>
    <w:rsid w:val="000F5E56"/>
    <w:rsid w:val="001362EE"/>
    <w:rsid w:val="00152CEA"/>
    <w:rsid w:val="001832A6"/>
    <w:rsid w:val="001F1407"/>
    <w:rsid w:val="002053DC"/>
    <w:rsid w:val="002634C4"/>
    <w:rsid w:val="002E0F47"/>
    <w:rsid w:val="002F4E68"/>
    <w:rsid w:val="003007CD"/>
    <w:rsid w:val="00354647"/>
    <w:rsid w:val="003761A6"/>
    <w:rsid w:val="00377273"/>
    <w:rsid w:val="003845C1"/>
    <w:rsid w:val="00387287"/>
    <w:rsid w:val="003A23F9"/>
    <w:rsid w:val="003D372E"/>
    <w:rsid w:val="003D3FF6"/>
    <w:rsid w:val="003E1936"/>
    <w:rsid w:val="003E48F1"/>
    <w:rsid w:val="003F347A"/>
    <w:rsid w:val="003F43B3"/>
    <w:rsid w:val="00413631"/>
    <w:rsid w:val="00423E3E"/>
    <w:rsid w:val="00427AF4"/>
    <w:rsid w:val="0045231F"/>
    <w:rsid w:val="004647DA"/>
    <w:rsid w:val="00477808"/>
    <w:rsid w:val="00477D6B"/>
    <w:rsid w:val="004A6C37"/>
    <w:rsid w:val="004E297D"/>
    <w:rsid w:val="005332F0"/>
    <w:rsid w:val="00537853"/>
    <w:rsid w:val="0055013B"/>
    <w:rsid w:val="00551EAF"/>
    <w:rsid w:val="00571B99"/>
    <w:rsid w:val="005D33F4"/>
    <w:rsid w:val="005D78A7"/>
    <w:rsid w:val="00605827"/>
    <w:rsid w:val="006127F0"/>
    <w:rsid w:val="00675021"/>
    <w:rsid w:val="006A06C6"/>
    <w:rsid w:val="007224C8"/>
    <w:rsid w:val="007721A4"/>
    <w:rsid w:val="00794BE2"/>
    <w:rsid w:val="007B71FE"/>
    <w:rsid w:val="007D781E"/>
    <w:rsid w:val="007E663E"/>
    <w:rsid w:val="00815082"/>
    <w:rsid w:val="0088395E"/>
    <w:rsid w:val="008B2CC1"/>
    <w:rsid w:val="008E6BD6"/>
    <w:rsid w:val="0090731E"/>
    <w:rsid w:val="00966A22"/>
    <w:rsid w:val="00972F03"/>
    <w:rsid w:val="00973E15"/>
    <w:rsid w:val="009A0C8B"/>
    <w:rsid w:val="009B6241"/>
    <w:rsid w:val="009E7230"/>
    <w:rsid w:val="00A16FC0"/>
    <w:rsid w:val="00A32C9E"/>
    <w:rsid w:val="00AB613D"/>
    <w:rsid w:val="00AE7F20"/>
    <w:rsid w:val="00B21098"/>
    <w:rsid w:val="00B475B1"/>
    <w:rsid w:val="00B65A0A"/>
    <w:rsid w:val="00B67CDC"/>
    <w:rsid w:val="00B72D36"/>
    <w:rsid w:val="00BC4164"/>
    <w:rsid w:val="00BD2DCC"/>
    <w:rsid w:val="00C75949"/>
    <w:rsid w:val="00C90559"/>
    <w:rsid w:val="00CA2251"/>
    <w:rsid w:val="00CF637F"/>
    <w:rsid w:val="00D0086D"/>
    <w:rsid w:val="00D56C7C"/>
    <w:rsid w:val="00D71B4D"/>
    <w:rsid w:val="00D82B5E"/>
    <w:rsid w:val="00D90289"/>
    <w:rsid w:val="00D93D55"/>
    <w:rsid w:val="00DC4C60"/>
    <w:rsid w:val="00E0079A"/>
    <w:rsid w:val="00E444DA"/>
    <w:rsid w:val="00E45C84"/>
    <w:rsid w:val="00E504E5"/>
    <w:rsid w:val="00EB7A3E"/>
    <w:rsid w:val="00EC401A"/>
    <w:rsid w:val="00EE7BB5"/>
    <w:rsid w:val="00EF530A"/>
    <w:rsid w:val="00EF6622"/>
    <w:rsid w:val="00F55408"/>
    <w:rsid w:val="00F64A9B"/>
    <w:rsid w:val="00F66152"/>
    <w:rsid w:val="00F80845"/>
    <w:rsid w:val="00F84474"/>
    <w:rsid w:val="00F93640"/>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074058"/>
    <w:rPr>
      <w:rFonts w:ascii="Tahoma" w:eastAsia="SimSun" w:hAnsi="Tahoma" w:cs="Tahoma"/>
      <w:sz w:val="16"/>
      <w:szCs w:val="16"/>
      <w:lang w:val="es-ES" w:eastAsia="zh-CN"/>
    </w:rPr>
  </w:style>
  <w:style w:type="character" w:styleId="FootnoteReference">
    <w:name w:val="footnote reference"/>
    <w:rsid w:val="007721A4"/>
    <w:rPr>
      <w:vertAlign w:val="superscript"/>
    </w:rPr>
  </w:style>
  <w:style w:type="character" w:styleId="Hyperlink">
    <w:name w:val="Hyperlink"/>
    <w:rsid w:val="007721A4"/>
    <w:rPr>
      <w:color w:val="0000FF"/>
      <w:u w:val="single"/>
    </w:rPr>
  </w:style>
  <w:style w:type="character" w:styleId="CommentReference">
    <w:name w:val="annotation reference"/>
    <w:rsid w:val="007721A4"/>
    <w:rPr>
      <w:sz w:val="16"/>
      <w:szCs w:val="16"/>
    </w:rPr>
  </w:style>
  <w:style w:type="paragraph" w:styleId="CommentSubject">
    <w:name w:val="annotation subject"/>
    <w:basedOn w:val="CommentText"/>
    <w:next w:val="CommentText"/>
    <w:link w:val="CommentSubjectChar"/>
    <w:rsid w:val="007721A4"/>
    <w:rPr>
      <w:b/>
      <w:bCs/>
      <w:sz w:val="20"/>
      <w:lang w:val="en-US"/>
    </w:rPr>
  </w:style>
  <w:style w:type="character" w:customStyle="1" w:styleId="CommentTextChar">
    <w:name w:val="Comment Text Char"/>
    <w:basedOn w:val="DefaultParagraphFont"/>
    <w:link w:val="CommentText"/>
    <w:semiHidden/>
    <w:rsid w:val="007721A4"/>
    <w:rPr>
      <w:rFonts w:ascii="Arial" w:eastAsia="SimSun" w:hAnsi="Arial" w:cs="Arial"/>
      <w:sz w:val="18"/>
      <w:lang w:eastAsia="zh-CN" w:bidi="ar-SA"/>
    </w:rPr>
  </w:style>
  <w:style w:type="character" w:customStyle="1" w:styleId="CommentSubjectChar">
    <w:name w:val="Comment Subject Char"/>
    <w:basedOn w:val="CommentTextChar"/>
    <w:link w:val="CommentSubject"/>
    <w:rsid w:val="007721A4"/>
    <w:rPr>
      <w:rFonts w:ascii="Arial" w:eastAsia="SimSun" w:hAnsi="Arial" w:cs="Arial"/>
      <w:b/>
      <w:bCs/>
      <w:sz w:val="18"/>
      <w:lang w:val="en-US" w:eastAsia="zh-CN" w:bidi="ar-SA"/>
    </w:rPr>
  </w:style>
  <w:style w:type="paragraph" w:styleId="Revision">
    <w:name w:val="Revision"/>
    <w:hidden/>
    <w:uiPriority w:val="99"/>
    <w:semiHidden/>
    <w:rsid w:val="007721A4"/>
    <w:rPr>
      <w:rFonts w:ascii="Arial" w:eastAsia="SimSun" w:hAnsi="Arial" w:cs="Arial"/>
      <w:sz w:val="22"/>
      <w:lang w:val="en-US" w:eastAsia="zh-CN" w:bidi="ar-SA"/>
    </w:rPr>
  </w:style>
  <w:style w:type="paragraph" w:customStyle="1" w:styleId="Char">
    <w:name w:val="Char 字元 字元"/>
    <w:basedOn w:val="Normal"/>
    <w:rsid w:val="007721A4"/>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074058"/>
    <w:rPr>
      <w:rFonts w:ascii="Tahoma" w:eastAsia="SimSun" w:hAnsi="Tahoma" w:cs="Tahoma"/>
      <w:sz w:val="16"/>
      <w:szCs w:val="16"/>
      <w:lang w:val="es-ES" w:eastAsia="zh-CN"/>
    </w:rPr>
  </w:style>
  <w:style w:type="character" w:styleId="FootnoteReference">
    <w:name w:val="footnote reference"/>
    <w:rsid w:val="007721A4"/>
    <w:rPr>
      <w:vertAlign w:val="superscript"/>
    </w:rPr>
  </w:style>
  <w:style w:type="character" w:styleId="Hyperlink">
    <w:name w:val="Hyperlink"/>
    <w:rsid w:val="007721A4"/>
    <w:rPr>
      <w:color w:val="0000FF"/>
      <w:u w:val="single"/>
    </w:rPr>
  </w:style>
  <w:style w:type="character" w:styleId="CommentReference">
    <w:name w:val="annotation reference"/>
    <w:rsid w:val="007721A4"/>
    <w:rPr>
      <w:sz w:val="16"/>
      <w:szCs w:val="16"/>
    </w:rPr>
  </w:style>
  <w:style w:type="paragraph" w:styleId="CommentSubject">
    <w:name w:val="annotation subject"/>
    <w:basedOn w:val="CommentText"/>
    <w:next w:val="CommentText"/>
    <w:link w:val="CommentSubjectChar"/>
    <w:rsid w:val="007721A4"/>
    <w:rPr>
      <w:b/>
      <w:bCs/>
      <w:sz w:val="20"/>
      <w:lang w:val="en-US"/>
    </w:rPr>
  </w:style>
  <w:style w:type="character" w:customStyle="1" w:styleId="CommentTextChar">
    <w:name w:val="Comment Text Char"/>
    <w:basedOn w:val="DefaultParagraphFont"/>
    <w:link w:val="CommentText"/>
    <w:semiHidden/>
    <w:rsid w:val="007721A4"/>
    <w:rPr>
      <w:rFonts w:ascii="Arial" w:eastAsia="SimSun" w:hAnsi="Arial" w:cs="Arial"/>
      <w:sz w:val="18"/>
      <w:lang w:eastAsia="zh-CN" w:bidi="ar-SA"/>
    </w:rPr>
  </w:style>
  <w:style w:type="character" w:customStyle="1" w:styleId="CommentSubjectChar">
    <w:name w:val="Comment Subject Char"/>
    <w:basedOn w:val="CommentTextChar"/>
    <w:link w:val="CommentSubject"/>
    <w:rsid w:val="007721A4"/>
    <w:rPr>
      <w:rFonts w:ascii="Arial" w:eastAsia="SimSun" w:hAnsi="Arial" w:cs="Arial"/>
      <w:b/>
      <w:bCs/>
      <w:sz w:val="18"/>
      <w:lang w:val="en-US" w:eastAsia="zh-CN" w:bidi="ar-SA"/>
    </w:rPr>
  </w:style>
  <w:style w:type="paragraph" w:styleId="Revision">
    <w:name w:val="Revision"/>
    <w:hidden/>
    <w:uiPriority w:val="99"/>
    <w:semiHidden/>
    <w:rsid w:val="007721A4"/>
    <w:rPr>
      <w:rFonts w:ascii="Arial" w:eastAsia="SimSun" w:hAnsi="Arial" w:cs="Arial"/>
      <w:sz w:val="22"/>
      <w:lang w:val="en-US" w:eastAsia="zh-CN" w:bidi="ar-SA"/>
    </w:rPr>
  </w:style>
  <w:style w:type="paragraph" w:customStyle="1" w:styleId="Char">
    <w:name w:val="Char 字元 字元"/>
    <w:basedOn w:val="Normal"/>
    <w:rsid w:val="007721A4"/>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ad/es"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global_ip/es/activities/technicalassist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6826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creator>JYJ</dc:creator>
  <cp:lastModifiedBy>KONTA DE PALMA Livia</cp:lastModifiedBy>
  <cp:revision>12</cp:revision>
  <cp:lastPrinted>2014-05-19T14:42:00Z</cp:lastPrinted>
  <dcterms:created xsi:type="dcterms:W3CDTF">2014-05-16T10:30:00Z</dcterms:created>
  <dcterms:modified xsi:type="dcterms:W3CDTF">2014-05-19T15:00:00Z</dcterms:modified>
</cp:coreProperties>
</file>