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C65DF" w14:textId="77777777" w:rsidR="002E0657" w:rsidRPr="00597C07" w:rsidRDefault="002E10AE" w:rsidP="002E0657">
      <w:pPr>
        <w:pStyle w:val="LegTitle"/>
        <w:spacing w:line="240" w:lineRule="auto"/>
        <w:rPr>
          <w:b w:val="0"/>
          <w:lang w:val="es-419"/>
        </w:rPr>
      </w:pPr>
      <w:bookmarkStart w:id="0" w:name="_Toc188454087"/>
      <w:r w:rsidRPr="00597C07">
        <w:rPr>
          <w:b w:val="0"/>
          <w:lang w:val="es-419"/>
        </w:rPr>
        <w:t xml:space="preserve">MEDIO DE PRESENTACIÓN PARA ENTRAR EN LA FASE NACIONAL </w:t>
      </w:r>
    </w:p>
    <w:p w14:paraId="01E64310" w14:textId="5CEA7236" w:rsidR="002E10AE" w:rsidRPr="00597C07" w:rsidRDefault="002E10AE" w:rsidP="002E0657">
      <w:pPr>
        <w:pStyle w:val="LegTitle"/>
        <w:spacing w:line="240" w:lineRule="auto"/>
        <w:rPr>
          <w:b w:val="0"/>
          <w:bCs/>
          <w:lang w:val="es-419"/>
        </w:rPr>
      </w:pPr>
      <w:r w:rsidRPr="00597C07">
        <w:rPr>
          <w:b w:val="0"/>
          <w:lang w:val="es-419"/>
        </w:rPr>
        <w:t>EN LAS OFICINAS DESIGNADAS</w:t>
      </w:r>
    </w:p>
    <w:p w14:paraId="3EC23BC7" w14:textId="77777777" w:rsidR="002E10AE" w:rsidRPr="00597C07" w:rsidRDefault="002E10AE" w:rsidP="002E10AE">
      <w:pPr>
        <w:rPr>
          <w:lang w:val="es-419"/>
        </w:rPr>
      </w:pPr>
    </w:p>
    <w:p w14:paraId="2C670FF7" w14:textId="77777777" w:rsidR="002E10AE" w:rsidRPr="00597C07" w:rsidRDefault="002E10AE" w:rsidP="002E10AE">
      <w:pPr>
        <w:rPr>
          <w:lang w:val="es-419"/>
        </w:rPr>
      </w:pPr>
    </w:p>
    <w:p w14:paraId="2E828829" w14:textId="0E2E81A6" w:rsidR="002E10AE" w:rsidRPr="00597C07" w:rsidRDefault="002E10AE" w:rsidP="002E10AE">
      <w:pPr>
        <w:pStyle w:val="ONUME"/>
        <w:rPr>
          <w:lang w:val="es-419"/>
        </w:rPr>
      </w:pPr>
      <w:r w:rsidRPr="00597C07">
        <w:rPr>
          <w:lang w:val="es-419"/>
        </w:rPr>
        <w:t xml:space="preserve">El presente documento oficioso contiene un proyecto de modificaciones del Reglamento del PCT con el fin de contribuir al examen de algunas de las cuestiones planteadas en relación con el documento PCT/WG/18/4 Rev. Las revisiones se indican mediante </w:t>
      </w:r>
      <w:r w:rsidRPr="00597C07">
        <w:rPr>
          <w:highlight w:val="yellow"/>
          <w:lang w:val="es-419"/>
        </w:rPr>
        <w:t>resaltado</w:t>
      </w:r>
      <w:r w:rsidRPr="00597C07">
        <w:rPr>
          <w:lang w:val="es-419"/>
        </w:rPr>
        <w:t>.</w:t>
      </w:r>
    </w:p>
    <w:p w14:paraId="41AEA78C" w14:textId="77777777" w:rsidR="002E10AE" w:rsidRPr="00597C07" w:rsidRDefault="002E10AE" w:rsidP="002E10AE">
      <w:pPr>
        <w:pStyle w:val="ONUME"/>
        <w:rPr>
          <w:lang w:val="es-419"/>
        </w:rPr>
      </w:pPr>
      <w:r w:rsidRPr="00597C07">
        <w:rPr>
          <w:lang w:val="es-419"/>
        </w:rPr>
        <w:t>Las cuestiones problemáticas de la Regla 82 son las siguientes:</w:t>
      </w:r>
    </w:p>
    <w:p w14:paraId="229E333A" w14:textId="737AE671" w:rsidR="002E10AE" w:rsidRPr="00597C07" w:rsidRDefault="00105987" w:rsidP="002E10AE">
      <w:pPr>
        <w:pStyle w:val="ONUME"/>
        <w:numPr>
          <w:ilvl w:val="1"/>
          <w:numId w:val="3"/>
        </w:numPr>
        <w:rPr>
          <w:lang w:val="es-419"/>
        </w:rPr>
      </w:pPr>
      <w:r w:rsidRPr="00597C07">
        <w:rPr>
          <w:lang w:val="es-419"/>
        </w:rPr>
        <w:t>La disponibilidad de sistemas no electrónicos no resultaría de utilidad para los solicitantes cuando el sistema electrónico no esté disponible en el último momento porque generalmente ya sería demasiado tarde para utilizarlos como alternativa práctica</w:t>
      </w:r>
      <w:r w:rsidR="007F05EE" w:rsidRPr="00597C07">
        <w:rPr>
          <w:lang w:val="es-419"/>
        </w:rPr>
        <w:t>.</w:t>
      </w:r>
    </w:p>
    <w:p w14:paraId="13AE6633" w14:textId="4FF269E0" w:rsidR="002E10AE" w:rsidRPr="00597C07" w:rsidRDefault="002E10AE" w:rsidP="002E10AE">
      <w:pPr>
        <w:pStyle w:val="ONUME"/>
        <w:numPr>
          <w:ilvl w:val="1"/>
          <w:numId w:val="3"/>
        </w:numPr>
        <w:rPr>
          <w:lang w:val="es-419"/>
        </w:rPr>
      </w:pPr>
      <w:r w:rsidRPr="00597C07">
        <w:rPr>
          <w:lang w:val="es-419"/>
        </w:rPr>
        <w:t>No estaba claro durante cuánto tiempo debería no estar disponible un sistema, ni tampoco el hecho de que sea el último día en el que pueda ejecutarse una acción lo que resulta pertinente</w:t>
      </w:r>
      <w:r w:rsidR="007F05EE" w:rsidRPr="00597C07">
        <w:rPr>
          <w:lang w:val="es-419"/>
        </w:rPr>
        <w:t>.</w:t>
      </w:r>
    </w:p>
    <w:p w14:paraId="0414F6EF" w14:textId="6A70947E" w:rsidR="00105987" w:rsidRPr="00597C07" w:rsidRDefault="00105987" w:rsidP="002E10AE">
      <w:pPr>
        <w:pStyle w:val="ONUME"/>
        <w:numPr>
          <w:ilvl w:val="1"/>
          <w:numId w:val="3"/>
        </w:numPr>
        <w:rPr>
          <w:lang w:val="es-419"/>
        </w:rPr>
      </w:pPr>
      <w:r w:rsidRPr="00597C07">
        <w:rPr>
          <w:lang w:val="es-419"/>
        </w:rPr>
        <w:t>Las salvaguardias tienen que abarcar el pago de las tasas así como el suministro de documentos exigidos por el Artículo 22.</w:t>
      </w:r>
    </w:p>
    <w:p w14:paraId="49EF9ADC" w14:textId="238A9083" w:rsidR="00105987" w:rsidRPr="00597C07" w:rsidRDefault="00105987" w:rsidP="002E10AE">
      <w:pPr>
        <w:pStyle w:val="ONUME"/>
        <w:numPr>
          <w:ilvl w:val="1"/>
          <w:numId w:val="3"/>
        </w:numPr>
        <w:rPr>
          <w:lang w:val="es-419"/>
        </w:rPr>
      </w:pPr>
      <w:r w:rsidRPr="00597C07">
        <w:rPr>
          <w:lang w:val="es-419"/>
        </w:rPr>
        <w:t xml:space="preserve">Las circunstancias en que puedan exigirse pruebas, incluida la </w:t>
      </w:r>
      <w:r w:rsidR="004A57B2" w:rsidRPr="00597C07">
        <w:rPr>
          <w:lang w:val="es-419"/>
        </w:rPr>
        <w:t>incertidumbre</w:t>
      </w:r>
      <w:r w:rsidRPr="00597C07">
        <w:rPr>
          <w:lang w:val="es-419"/>
        </w:rPr>
        <w:t xml:space="preserve"> respecto a dónde reside el problema (el solicitante quizás no sepa si el problema reside en los sistemas de la Oficina </w:t>
      </w:r>
      <w:r w:rsidR="00954BE6" w:rsidRPr="00597C07">
        <w:rPr>
          <w:lang w:val="es-419"/>
        </w:rPr>
        <w:t xml:space="preserve">o </w:t>
      </w:r>
      <w:r w:rsidRPr="00597C07">
        <w:rPr>
          <w:lang w:val="es-419"/>
        </w:rPr>
        <w:t>en algún otro punto).</w:t>
      </w:r>
    </w:p>
    <w:p w14:paraId="379F725D" w14:textId="77777777" w:rsidR="002E10AE" w:rsidRPr="00597C07" w:rsidRDefault="002E10AE" w:rsidP="002E10AE">
      <w:pPr>
        <w:pStyle w:val="ONUME"/>
        <w:numPr>
          <w:ilvl w:val="0"/>
          <w:numId w:val="0"/>
        </w:numPr>
        <w:rPr>
          <w:lang w:val="es-419"/>
        </w:rPr>
      </w:pPr>
    </w:p>
    <w:p w14:paraId="75F0144F" w14:textId="60AE61F0" w:rsidR="002E10AE" w:rsidRPr="00597C07" w:rsidRDefault="002E10AE" w:rsidP="002E10AE">
      <w:pPr>
        <w:pStyle w:val="ONUME"/>
        <w:numPr>
          <w:ilvl w:val="0"/>
          <w:numId w:val="0"/>
        </w:numPr>
        <w:rPr>
          <w:lang w:val="es-419"/>
        </w:rPr>
      </w:pPr>
      <w:r w:rsidRPr="00597C07">
        <w:rPr>
          <w:lang w:val="es-419"/>
        </w:rPr>
        <w:t xml:space="preserve"> </w:t>
      </w:r>
    </w:p>
    <w:p w14:paraId="35975B9A" w14:textId="77777777" w:rsidR="002E10AE" w:rsidRPr="00597C07" w:rsidRDefault="002E10AE" w:rsidP="002E10AE">
      <w:pPr>
        <w:rPr>
          <w:lang w:val="es-419"/>
        </w:rPr>
      </w:pPr>
    </w:p>
    <w:p w14:paraId="4842C7C4" w14:textId="2DD1A3B3" w:rsidR="00B311F7" w:rsidRPr="00597C07" w:rsidRDefault="002E10AE" w:rsidP="00105987">
      <w:pPr>
        <w:pStyle w:val="LegTitle"/>
        <w:pageBreakBefore/>
        <w:rPr>
          <w:b w:val="0"/>
          <w:bCs/>
          <w:lang w:val="es-419"/>
        </w:rPr>
      </w:pPr>
      <w:r w:rsidRPr="00597C07">
        <w:rPr>
          <w:b w:val="0"/>
          <w:lang w:val="es-419"/>
        </w:rPr>
        <w:lastRenderedPageBreak/>
        <w:t>PROYECTO REVISADO DE MODIFICACIONES DEL REGLAMENTO DEL PCT</w:t>
      </w:r>
    </w:p>
    <w:p w14:paraId="40DB242B" w14:textId="77777777" w:rsidR="00B311F7" w:rsidRPr="00597C07" w:rsidRDefault="00B311F7" w:rsidP="00B311F7">
      <w:pPr>
        <w:pStyle w:val="LegTitle"/>
        <w:rPr>
          <w:lang w:val="es-419"/>
        </w:rPr>
      </w:pPr>
    </w:p>
    <w:p w14:paraId="4F048581" w14:textId="44F68863" w:rsidR="00B311F7" w:rsidRPr="00597C07" w:rsidRDefault="00B311F7" w:rsidP="00B311F7">
      <w:pPr>
        <w:pStyle w:val="LegTitle"/>
        <w:rPr>
          <w:lang w:val="es-419"/>
        </w:rPr>
      </w:pPr>
      <w:r w:rsidRPr="00597C07">
        <w:rPr>
          <w:lang w:val="es-419"/>
        </w:rPr>
        <w:t>Regla 49</w:t>
      </w:r>
      <w:r w:rsidRPr="00597C07">
        <w:rPr>
          <w:lang w:val="es-419"/>
        </w:rPr>
        <w:br/>
        <w:t>Copia, traducción y tasa en virtud de lo dispuesto en el Artículo 22</w:t>
      </w:r>
      <w:bookmarkEnd w:id="0"/>
      <w:r w:rsidRPr="00597C07">
        <w:rPr>
          <w:lang w:val="es-419"/>
        </w:rPr>
        <w:t xml:space="preserve"> </w:t>
      </w:r>
    </w:p>
    <w:p w14:paraId="7B828B63" w14:textId="77777777" w:rsidR="00B311F7" w:rsidRPr="00597C07" w:rsidRDefault="00B311F7" w:rsidP="00B311F7">
      <w:pPr>
        <w:pStyle w:val="LegSubRule"/>
        <w:outlineLvl w:val="0"/>
        <w:rPr>
          <w:rFonts w:cs="Arial"/>
          <w:i/>
          <w:iCs/>
          <w:lang w:val="es-419"/>
        </w:rPr>
      </w:pPr>
      <w:bookmarkStart w:id="1" w:name="_Toc188454088"/>
      <w:bookmarkStart w:id="2" w:name="_Toc183609107"/>
      <w:r w:rsidRPr="00597C07">
        <w:rPr>
          <w:lang w:val="es-419"/>
        </w:rPr>
        <w:t xml:space="preserve">49.1 a 49.3 </w:t>
      </w:r>
      <w:r w:rsidRPr="00597C07">
        <w:rPr>
          <w:i/>
          <w:lang w:val="es-419"/>
        </w:rPr>
        <w:t xml:space="preserve"> [Sin cambios]</w:t>
      </w:r>
      <w:bookmarkEnd w:id="1"/>
    </w:p>
    <w:p w14:paraId="5A2A59E3" w14:textId="77777777" w:rsidR="00B311F7" w:rsidRPr="00597C07" w:rsidRDefault="00B311F7" w:rsidP="00B311F7">
      <w:pPr>
        <w:pStyle w:val="LegSubRule"/>
        <w:outlineLvl w:val="0"/>
        <w:rPr>
          <w:rFonts w:cs="Arial"/>
          <w:i/>
          <w:lang w:val="es-419"/>
        </w:rPr>
      </w:pPr>
      <w:bookmarkStart w:id="3" w:name="_Toc188454089"/>
      <w:r w:rsidRPr="00597C07">
        <w:rPr>
          <w:lang w:val="es-419"/>
        </w:rPr>
        <w:t>49.4   </w:t>
      </w:r>
      <w:r w:rsidRPr="00597C07">
        <w:rPr>
          <w:i/>
          <w:color w:val="0000FF"/>
          <w:u w:val="single"/>
          <w:lang w:val="es-419"/>
        </w:rPr>
        <w:t>Medios de transmisión para realizar los actos mencionados en el Artículo 22</w:t>
      </w:r>
      <w:r w:rsidRPr="00597C07">
        <w:rPr>
          <w:color w:val="0000FF"/>
          <w:lang w:val="es-419"/>
        </w:rPr>
        <w:t xml:space="preserve"> </w:t>
      </w:r>
      <w:r w:rsidRPr="00597C07">
        <w:rPr>
          <w:i/>
          <w:strike/>
          <w:color w:val="C00000"/>
          <w:lang w:val="es-419"/>
        </w:rPr>
        <w:t>Utilización de un formulario nacional</w:t>
      </w:r>
      <w:bookmarkEnd w:id="2"/>
      <w:bookmarkEnd w:id="3"/>
    </w:p>
    <w:p w14:paraId="25C73C4C" w14:textId="77777777" w:rsidR="00B311F7" w:rsidRPr="00597C07" w:rsidRDefault="00B311F7" w:rsidP="00B311F7">
      <w:pPr>
        <w:pStyle w:val="Lega"/>
        <w:rPr>
          <w:rFonts w:cs="Arial"/>
          <w:lang w:val="es-419"/>
        </w:rPr>
      </w:pPr>
      <w:r w:rsidRPr="00597C07">
        <w:rPr>
          <w:color w:val="0000FF"/>
          <w:lang w:val="es-419"/>
        </w:rPr>
        <w:tab/>
      </w:r>
      <w:r w:rsidRPr="00597C07">
        <w:rPr>
          <w:color w:val="0000FF"/>
          <w:u w:val="single"/>
          <w:lang w:val="es-419"/>
        </w:rPr>
        <w:t>a) Con sujeción a lo dispuesto en el apartado b), ningún</w:t>
      </w:r>
      <w:r w:rsidRPr="00597C07">
        <w:rPr>
          <w:lang w:val="es-419"/>
        </w:rPr>
        <w:t xml:space="preserve"> </w:t>
      </w:r>
      <w:r w:rsidRPr="00597C07">
        <w:rPr>
          <w:strike/>
          <w:color w:val="C00000"/>
          <w:lang w:val="es-419"/>
        </w:rPr>
        <w:t xml:space="preserve">Ningún </w:t>
      </w:r>
      <w:r w:rsidRPr="00597C07">
        <w:rPr>
          <w:lang w:val="es-419"/>
        </w:rPr>
        <w:t>solicitante estará obligado a utilizar un formulario nacional cuando realice los actos mencionados en el Artículo 22.</w:t>
      </w:r>
    </w:p>
    <w:p w14:paraId="6760F97D" w14:textId="43FE88EF" w:rsidR="00B311F7" w:rsidRPr="00597C07" w:rsidRDefault="00B311F7" w:rsidP="00B311F7">
      <w:pPr>
        <w:pStyle w:val="Lega"/>
        <w:rPr>
          <w:rFonts w:cs="Arial"/>
          <w:color w:val="0000FF"/>
          <w:u w:val="single"/>
          <w:lang w:val="es-419"/>
        </w:rPr>
      </w:pPr>
      <w:r w:rsidRPr="00597C07">
        <w:rPr>
          <w:color w:val="0000FF"/>
          <w:lang w:val="es-419"/>
        </w:rPr>
        <w:tab/>
      </w:r>
      <w:r w:rsidRPr="00597C07">
        <w:rPr>
          <w:color w:val="0000FF"/>
          <w:u w:val="single"/>
          <w:lang w:val="es-419"/>
        </w:rPr>
        <w:t>b) Cualquier Oficina designada podrá prescribir requisitos respecto de los medios de transmisión para realizar los actos a los que se refiere el artículo 22, siempre y cuando el solicitante pueda utilizar al menos uno de los medios [</w:t>
      </w:r>
      <w:r w:rsidRPr="00597C07">
        <w:rPr>
          <w:strike/>
          <w:color w:val="0000FF"/>
          <w:highlight w:val="yellow"/>
          <w:u w:val="single"/>
          <w:lang w:val="es-419"/>
        </w:rPr>
        <w:t>con facilidad</w:t>
      </w:r>
      <w:r w:rsidRPr="00597C07">
        <w:rPr>
          <w:color w:val="0000FF"/>
          <w:u w:val="single"/>
          <w:lang w:val="es-419"/>
        </w:rPr>
        <w:t>], sin que sea necesario:</w:t>
      </w:r>
    </w:p>
    <w:p w14:paraId="0E500E00" w14:textId="77777777" w:rsidR="00B311F7" w:rsidRPr="00597C07" w:rsidRDefault="00B311F7" w:rsidP="00B311F7">
      <w:pPr>
        <w:pStyle w:val="Lega"/>
        <w:rPr>
          <w:rFonts w:cs="Arial"/>
          <w:color w:val="0000FF"/>
          <w:u w:val="single"/>
          <w:lang w:val="es-419"/>
        </w:rPr>
      </w:pPr>
      <w:r w:rsidRPr="00597C07">
        <w:rPr>
          <w:color w:val="0000FF"/>
          <w:lang w:val="es-419"/>
        </w:rPr>
        <w:t xml:space="preserve"> </w:t>
      </w:r>
      <w:r w:rsidRPr="00597C07">
        <w:rPr>
          <w:color w:val="0000FF"/>
          <w:lang w:val="es-419"/>
        </w:rPr>
        <w:tab/>
        <w:t xml:space="preserve">  </w:t>
      </w:r>
      <w:r w:rsidRPr="00597C07">
        <w:rPr>
          <w:color w:val="0000FF"/>
          <w:u w:val="single"/>
          <w:lang w:val="es-419"/>
        </w:rPr>
        <w:t xml:space="preserve">i) tener residencia o una dirección en el Estado de la Oficina designada; </w:t>
      </w:r>
    </w:p>
    <w:p w14:paraId="3035C475" w14:textId="77777777" w:rsidR="00B311F7" w:rsidRPr="00597C07" w:rsidRDefault="00B311F7" w:rsidP="00B311F7">
      <w:pPr>
        <w:pStyle w:val="Lega"/>
        <w:rPr>
          <w:rFonts w:cs="Arial"/>
          <w:color w:val="0000FF"/>
          <w:u w:val="single"/>
          <w:lang w:val="es-419"/>
        </w:rPr>
      </w:pPr>
      <w:r w:rsidRPr="00597C07">
        <w:rPr>
          <w:color w:val="0000FF"/>
          <w:lang w:val="es-419"/>
        </w:rPr>
        <w:tab/>
      </w:r>
      <w:r w:rsidRPr="00597C07">
        <w:rPr>
          <w:color w:val="0000FF"/>
          <w:lang w:val="es-419"/>
        </w:rPr>
        <w:tab/>
      </w:r>
      <w:r w:rsidRPr="00597C07">
        <w:rPr>
          <w:color w:val="0000FF"/>
          <w:u w:val="single"/>
          <w:lang w:val="es-419"/>
        </w:rPr>
        <w:t xml:space="preserve">ii) nombrar un mandatario habilitado a ejercer ante esa Oficina; o </w:t>
      </w:r>
    </w:p>
    <w:p w14:paraId="19BE87A9" w14:textId="5BC23E6B" w:rsidR="00B311F7" w:rsidRPr="00597C07" w:rsidRDefault="00B311F7" w:rsidP="00B311F7">
      <w:pPr>
        <w:pStyle w:val="Lega"/>
        <w:rPr>
          <w:rFonts w:cs="Arial"/>
          <w:color w:val="0000FF"/>
          <w:u w:val="single"/>
          <w:lang w:val="es-419"/>
        </w:rPr>
      </w:pPr>
      <w:r w:rsidRPr="00597C07">
        <w:rPr>
          <w:color w:val="0000FF"/>
          <w:lang w:val="es-419"/>
        </w:rPr>
        <w:tab/>
        <w:t xml:space="preserve"> </w:t>
      </w:r>
      <w:r w:rsidRPr="00597C07">
        <w:rPr>
          <w:color w:val="0000FF"/>
          <w:u w:val="single"/>
          <w:lang w:val="es-419"/>
        </w:rPr>
        <w:t xml:space="preserve">iii) suministrar datos adicionales más allá de los datos mínimos exigidos para identificar la solicitud internacional y mantener comunicación con el solicitante </w:t>
      </w:r>
      <w:r w:rsidRPr="00597C07">
        <w:rPr>
          <w:color w:val="0000FF"/>
          <w:highlight w:val="yellow"/>
          <w:u w:val="single"/>
          <w:lang w:val="es-419"/>
        </w:rPr>
        <w:t>[o, cuando proceda, con el mandatario]</w:t>
      </w:r>
      <w:r w:rsidRPr="00597C07">
        <w:rPr>
          <w:color w:val="0000FF"/>
          <w:u w:val="single"/>
          <w:lang w:val="es-419"/>
        </w:rPr>
        <w:t xml:space="preserve">.    </w:t>
      </w:r>
    </w:p>
    <w:p w14:paraId="3D6718FD" w14:textId="4E501672" w:rsidR="00B311F7" w:rsidRPr="00597C07" w:rsidRDefault="00B311F7" w:rsidP="00B311F7">
      <w:pPr>
        <w:pStyle w:val="Lega"/>
        <w:rPr>
          <w:rFonts w:cs="Arial"/>
          <w:color w:val="0000FF"/>
          <w:u w:val="single"/>
          <w:lang w:val="es-419"/>
        </w:rPr>
      </w:pPr>
      <w:r w:rsidRPr="00597C07">
        <w:rPr>
          <w:color w:val="0000FF"/>
          <w:lang w:val="es-419"/>
        </w:rPr>
        <w:tab/>
      </w:r>
      <w:r w:rsidRPr="00597C07">
        <w:rPr>
          <w:color w:val="0000FF"/>
          <w:u w:val="single"/>
          <w:lang w:val="es-419"/>
        </w:rPr>
        <w:t>c) Cada Oficina designada notificará a la Oficina Internacional cualquier requisito prescrito de los que se mencionan en el apartado b). La Oficina Internacional publicará toda notificación en la Gaceta. Cualquier requisito surtirá efecto recién una vez transcurridos dos meses desde su fecha de publicación en la Gaceta.</w:t>
      </w:r>
    </w:p>
    <w:p w14:paraId="37367D66" w14:textId="77777777" w:rsidR="00B311F7" w:rsidRPr="00597C07" w:rsidRDefault="00B311F7" w:rsidP="00105987">
      <w:pPr>
        <w:pStyle w:val="LegSubRule"/>
        <w:keepNext w:val="0"/>
        <w:keepLines w:val="0"/>
        <w:outlineLvl w:val="0"/>
        <w:rPr>
          <w:rFonts w:cs="Arial"/>
          <w:i/>
          <w:iCs/>
          <w:lang w:val="es-419"/>
        </w:rPr>
      </w:pPr>
      <w:bookmarkStart w:id="4" w:name="_Toc188454090"/>
      <w:r w:rsidRPr="00597C07">
        <w:rPr>
          <w:lang w:val="es-419"/>
        </w:rPr>
        <w:t>49.5 y 49.6</w:t>
      </w:r>
      <w:r w:rsidRPr="00597C07">
        <w:rPr>
          <w:i/>
          <w:lang w:val="es-419"/>
        </w:rPr>
        <w:t>  [Sin cambios]</w:t>
      </w:r>
      <w:bookmarkEnd w:id="4"/>
    </w:p>
    <w:p w14:paraId="3C0930C5" w14:textId="77777777" w:rsidR="002E10AE" w:rsidRPr="00597C07" w:rsidRDefault="002E10AE" w:rsidP="00B311F7">
      <w:pPr>
        <w:pStyle w:val="LegSubRule"/>
        <w:outlineLvl w:val="0"/>
        <w:rPr>
          <w:i/>
          <w:iCs/>
          <w:lang w:val="es-419"/>
        </w:rPr>
      </w:pPr>
    </w:p>
    <w:p w14:paraId="77459037" w14:textId="372C6A9B" w:rsidR="00B311F7" w:rsidRPr="00597C07" w:rsidRDefault="00B311F7" w:rsidP="002E10AE">
      <w:pPr>
        <w:pStyle w:val="LegTitle"/>
        <w:rPr>
          <w:rFonts w:cs="Arial"/>
          <w:color w:val="0000FF"/>
          <w:szCs w:val="22"/>
          <w:u w:val="single"/>
          <w:lang w:val="es-419"/>
        </w:rPr>
      </w:pPr>
      <w:bookmarkStart w:id="5" w:name="_Toc188454091"/>
      <w:r w:rsidRPr="00597C07">
        <w:rPr>
          <w:lang w:val="es-419"/>
        </w:rPr>
        <w:t>Regla 82</w:t>
      </w:r>
      <w:r w:rsidRPr="00597C07">
        <w:rPr>
          <w:lang w:val="es-419"/>
        </w:rPr>
        <w:br/>
      </w:r>
      <w:bookmarkStart w:id="6" w:name="_Hlk182558908"/>
      <w:r w:rsidRPr="00597C07">
        <w:rPr>
          <w:lang w:val="es-419"/>
        </w:rPr>
        <w:t xml:space="preserve">Irregularidades en el servicio postal </w:t>
      </w:r>
      <w:r w:rsidRPr="00597C07">
        <w:rPr>
          <w:color w:val="0000FF"/>
          <w:u w:val="single"/>
          <w:lang w:val="es-419"/>
        </w:rPr>
        <w:t xml:space="preserve">o en los medios </w:t>
      </w:r>
      <w:r w:rsidR="00750A89" w:rsidRPr="00597C07">
        <w:rPr>
          <w:color w:val="0000FF"/>
          <w:u w:val="single"/>
          <w:lang w:val="es-419"/>
        </w:rPr>
        <w:t xml:space="preserve">electrónicos </w:t>
      </w:r>
      <w:r w:rsidRPr="00597C07">
        <w:rPr>
          <w:color w:val="0000FF"/>
          <w:u w:val="single"/>
          <w:lang w:val="es-419"/>
        </w:rPr>
        <w:t>de</w:t>
      </w:r>
      <w:bookmarkEnd w:id="6"/>
      <w:r w:rsidRPr="00597C07">
        <w:rPr>
          <w:color w:val="0000FF"/>
          <w:u w:val="single"/>
          <w:lang w:val="es-419"/>
        </w:rPr>
        <w:t xml:space="preserve"> transmisión </w:t>
      </w:r>
      <w:bookmarkEnd w:id="5"/>
    </w:p>
    <w:p w14:paraId="42BA8AD0" w14:textId="77777777" w:rsidR="00B311F7" w:rsidRPr="00597C07" w:rsidRDefault="00B311F7" w:rsidP="00B311F7">
      <w:pPr>
        <w:pStyle w:val="LegSubRule"/>
        <w:rPr>
          <w:rFonts w:cs="Arial"/>
          <w:szCs w:val="22"/>
          <w:lang w:val="es-419"/>
        </w:rPr>
      </w:pPr>
      <w:bookmarkStart w:id="7" w:name="_Toc188454092"/>
      <w:r w:rsidRPr="00597C07">
        <w:rPr>
          <w:lang w:val="es-419"/>
        </w:rPr>
        <w:t xml:space="preserve">82.1 </w:t>
      </w:r>
      <w:r w:rsidRPr="00597C07">
        <w:rPr>
          <w:i/>
          <w:lang w:val="es-419"/>
        </w:rPr>
        <w:t>[Sin cambios]</w:t>
      </w:r>
      <w:bookmarkEnd w:id="7"/>
    </w:p>
    <w:p w14:paraId="096C18B8" w14:textId="77777777" w:rsidR="00B311F7" w:rsidRPr="00597C07" w:rsidRDefault="00B311F7" w:rsidP="00B311F7">
      <w:pPr>
        <w:pStyle w:val="LegSubRule"/>
        <w:rPr>
          <w:rFonts w:cs="Arial"/>
          <w:szCs w:val="22"/>
          <w:lang w:val="es-419"/>
        </w:rPr>
      </w:pPr>
      <w:bookmarkStart w:id="8" w:name="_Toc188454093"/>
      <w:bookmarkStart w:id="9" w:name="_Hlk188002407"/>
      <w:r w:rsidRPr="00597C07">
        <w:rPr>
          <w:color w:val="0000FF"/>
          <w:u w:val="single"/>
          <w:lang w:val="es-419"/>
        </w:rPr>
        <w:t>82.2</w:t>
      </w:r>
      <w:r w:rsidRPr="00597C07">
        <w:rPr>
          <w:color w:val="0000FF"/>
          <w:lang w:val="es-419"/>
        </w:rPr>
        <w:t>  </w:t>
      </w:r>
      <w:r w:rsidRPr="00597C07">
        <w:rPr>
          <w:i/>
          <w:color w:val="0000FF"/>
          <w:u w:val="single"/>
          <w:lang w:val="es-419"/>
        </w:rPr>
        <w:t>Indisponibilidad de medios electrónicos de transmisión</w:t>
      </w:r>
      <w:bookmarkEnd w:id="8"/>
    </w:p>
    <w:p w14:paraId="12FD0571" w14:textId="28572637" w:rsidR="00B311F7" w:rsidRPr="00597C07" w:rsidRDefault="00B311F7" w:rsidP="00B311F7">
      <w:pPr>
        <w:pStyle w:val="Lega"/>
        <w:rPr>
          <w:rFonts w:cs="Arial"/>
          <w:szCs w:val="22"/>
          <w:lang w:val="es-419"/>
        </w:rPr>
      </w:pPr>
      <w:r w:rsidRPr="00597C07">
        <w:rPr>
          <w:color w:val="0000FF"/>
          <w:lang w:val="es-419"/>
        </w:rPr>
        <w:tab/>
      </w:r>
      <w:r w:rsidRPr="00597C07">
        <w:rPr>
          <w:color w:val="0000FF"/>
          <w:u w:val="single"/>
          <w:lang w:val="es-419"/>
        </w:rPr>
        <w:t xml:space="preserve">a) Cualquier parte interesada podrá aportar pruebas de que ha intentado presentar un documento </w:t>
      </w:r>
      <w:r w:rsidRPr="00597C07">
        <w:rPr>
          <w:color w:val="0000FF"/>
          <w:highlight w:val="yellow"/>
          <w:u w:val="single"/>
          <w:lang w:val="es-419"/>
        </w:rPr>
        <w:t>[y/o pagar una tasa]</w:t>
      </w:r>
      <w:r w:rsidRPr="00597C07">
        <w:rPr>
          <w:color w:val="0000FF"/>
          <w:u w:val="single"/>
          <w:lang w:val="es-419"/>
        </w:rPr>
        <w:t xml:space="preserve"> para cumplir el plazo del Artículo 22 o del Artículo 39.1) por conducto de un medio</w:t>
      </w:r>
      <w:r w:rsidR="00750A89" w:rsidRPr="00597C07">
        <w:rPr>
          <w:color w:val="0000FF"/>
          <w:u w:val="single"/>
          <w:lang w:val="es-419"/>
        </w:rPr>
        <w:t xml:space="preserve"> electrónico</w:t>
      </w:r>
      <w:r w:rsidRPr="00597C07">
        <w:rPr>
          <w:color w:val="0000FF"/>
          <w:u w:val="single"/>
          <w:lang w:val="es-419"/>
        </w:rPr>
        <w:t xml:space="preserve"> de transmisión prescrito en la Regla 49.4.b), pero que la transmisión no se ha realizado debido a la falta de disponibilidad de ese medio durante </w:t>
      </w:r>
      <w:r w:rsidRPr="00597C07">
        <w:rPr>
          <w:color w:val="0000FF"/>
          <w:highlight w:val="yellow"/>
          <w:u w:val="single"/>
          <w:lang w:val="es-419"/>
        </w:rPr>
        <w:t>[un período de tiempo significativo][al menos una hora]</w:t>
      </w:r>
      <w:r w:rsidRPr="00597C07">
        <w:rPr>
          <w:color w:val="0000FF"/>
          <w:u w:val="single"/>
          <w:lang w:val="es-419"/>
        </w:rPr>
        <w:t xml:space="preserve"> el </w:t>
      </w:r>
      <w:r w:rsidRPr="00597C07">
        <w:rPr>
          <w:strike/>
          <w:color w:val="0000FF"/>
          <w:highlight w:val="yellow"/>
          <w:u w:val="single"/>
          <w:lang w:val="es-419"/>
        </w:rPr>
        <w:t>último</w:t>
      </w:r>
      <w:r w:rsidRPr="00597C07">
        <w:rPr>
          <w:color w:val="0000FF"/>
          <w:u w:val="single"/>
          <w:lang w:val="es-419"/>
        </w:rPr>
        <w:t xml:space="preserve"> día </w:t>
      </w:r>
      <w:r w:rsidRPr="00597C07">
        <w:rPr>
          <w:strike/>
          <w:color w:val="0000FF"/>
          <w:highlight w:val="yellow"/>
          <w:u w:val="single"/>
          <w:lang w:val="es-419"/>
        </w:rPr>
        <w:t>antes</w:t>
      </w:r>
      <w:r w:rsidRPr="00597C07">
        <w:rPr>
          <w:color w:val="0000FF"/>
          <w:u w:val="single"/>
          <w:lang w:val="es-419"/>
        </w:rPr>
        <w:t xml:space="preserve"> del vencimiento del plazo previsto en el Artículo 22 o en el Artículo 39.1), y que ningún otro medio </w:t>
      </w:r>
      <w:r w:rsidRPr="00597C07">
        <w:rPr>
          <w:color w:val="0000FF"/>
          <w:highlight w:val="yellow"/>
          <w:u w:val="single"/>
          <w:lang w:val="es-419"/>
        </w:rPr>
        <w:t>[electrónico]</w:t>
      </w:r>
      <w:r w:rsidRPr="00597C07">
        <w:rPr>
          <w:color w:val="0000FF"/>
          <w:u w:val="single"/>
          <w:lang w:val="es-419"/>
        </w:rPr>
        <w:t xml:space="preserve"> prescrito por la Oficina designada estaba disponible </w:t>
      </w:r>
      <w:r w:rsidRPr="00597C07">
        <w:rPr>
          <w:strike/>
          <w:color w:val="0000FF"/>
          <w:highlight w:val="yellow"/>
          <w:u w:val="single"/>
          <w:lang w:val="es-419"/>
        </w:rPr>
        <w:t>durante</w:t>
      </w:r>
      <w:r w:rsidRPr="00597C07">
        <w:rPr>
          <w:color w:val="0000FF"/>
          <w:highlight w:val="yellow"/>
          <w:u w:val="single"/>
          <w:lang w:val="es-419"/>
        </w:rPr>
        <w:t xml:space="preserve"> </w:t>
      </w:r>
      <w:r w:rsidRPr="00597C07">
        <w:rPr>
          <w:strike/>
          <w:color w:val="0000FF"/>
          <w:highlight w:val="yellow"/>
          <w:u w:val="single"/>
          <w:lang w:val="es-419"/>
        </w:rPr>
        <w:t>el</w:t>
      </w:r>
      <w:r w:rsidRPr="00597C07">
        <w:rPr>
          <w:color w:val="0000FF"/>
          <w:highlight w:val="yellow"/>
          <w:u w:val="single"/>
          <w:lang w:val="es-419"/>
        </w:rPr>
        <w:t xml:space="preserve"> en ese período de tiempo </w:t>
      </w:r>
      <w:r w:rsidRPr="00597C07">
        <w:rPr>
          <w:strike/>
          <w:color w:val="0000FF"/>
          <w:highlight w:val="yellow"/>
          <w:u w:val="single"/>
          <w:lang w:val="es-419"/>
        </w:rPr>
        <w:t>correspondiente</w:t>
      </w:r>
      <w:r w:rsidRPr="00597C07">
        <w:rPr>
          <w:color w:val="0000FF"/>
          <w:lang w:val="es-419"/>
        </w:rPr>
        <w:t>.</w:t>
      </w:r>
    </w:p>
    <w:bookmarkEnd w:id="9"/>
    <w:p w14:paraId="0FC6752E" w14:textId="35F92ADE" w:rsidR="00B311F7" w:rsidRPr="00597C07" w:rsidRDefault="00B311F7" w:rsidP="00B311F7">
      <w:pPr>
        <w:pStyle w:val="Lega"/>
        <w:rPr>
          <w:rFonts w:cs="Arial"/>
          <w:szCs w:val="22"/>
          <w:u w:val="single"/>
          <w:lang w:val="es-419"/>
        </w:rPr>
      </w:pPr>
      <w:r w:rsidRPr="00597C07">
        <w:rPr>
          <w:lang w:val="es-419"/>
        </w:rPr>
        <w:tab/>
      </w:r>
      <w:r w:rsidRPr="00597C07">
        <w:rPr>
          <w:color w:val="0000FF"/>
          <w:u w:val="single"/>
          <w:lang w:val="es-419"/>
        </w:rPr>
        <w:t xml:space="preserve">b) Si la prueba del intento de presentar un documento </w:t>
      </w:r>
      <w:r w:rsidRPr="00597C07">
        <w:rPr>
          <w:color w:val="0000FF"/>
          <w:highlight w:val="yellow"/>
          <w:u w:val="single"/>
          <w:lang w:val="es-419"/>
        </w:rPr>
        <w:t>[y/o el pago de una tasa]</w:t>
      </w:r>
      <w:r w:rsidRPr="00597C07">
        <w:rPr>
          <w:color w:val="0000FF"/>
          <w:u w:val="single"/>
          <w:lang w:val="es-419"/>
        </w:rPr>
        <w:t xml:space="preserve"> de conformidad con lo indicado en el apartado a), satisface a la Oficina nacional o la organización intergubernamental, se considerará cumplido el plazo previsto en el Artículo 22 o el Artículo 39.1), siempre y cuando el documento </w:t>
      </w:r>
      <w:r w:rsidRPr="00597C07">
        <w:rPr>
          <w:color w:val="0000FF"/>
          <w:highlight w:val="yellow"/>
          <w:u w:val="single"/>
          <w:lang w:val="es-419"/>
        </w:rPr>
        <w:t>[y/o la tasa]</w:t>
      </w:r>
      <w:r w:rsidRPr="00597C07">
        <w:rPr>
          <w:color w:val="0000FF"/>
          <w:u w:val="single"/>
          <w:lang w:val="es-419"/>
        </w:rPr>
        <w:t xml:space="preserve"> en cuestión se haya presentado </w:t>
      </w:r>
      <w:r w:rsidRPr="00597C07">
        <w:rPr>
          <w:color w:val="0000FF"/>
          <w:highlight w:val="yellow"/>
          <w:u w:val="single"/>
          <w:lang w:val="es-419"/>
        </w:rPr>
        <w:t>[o pagado]</w:t>
      </w:r>
      <w:r w:rsidRPr="00597C07">
        <w:rPr>
          <w:color w:val="0000FF"/>
          <w:u w:val="single"/>
          <w:lang w:val="es-419"/>
        </w:rPr>
        <w:t xml:space="preserve"> en el día laborable siguiente al día en el que dicho medio electrónico de transmisión haya estado disponible.  No se exige </w:t>
      </w:r>
      <w:r w:rsidRPr="00597C07">
        <w:rPr>
          <w:color w:val="0000FF"/>
          <w:highlight w:val="yellow"/>
          <w:u w:val="single"/>
          <w:lang w:val="es-419"/>
        </w:rPr>
        <w:t>[generalmente]</w:t>
      </w:r>
      <w:r w:rsidRPr="00597C07">
        <w:rPr>
          <w:color w:val="0000FF"/>
          <w:u w:val="single"/>
          <w:lang w:val="es-419"/>
        </w:rPr>
        <w:t xml:space="preserve"> la presentación de pruebas si la Oficina nacional o la organización intergubernamental estaba informada </w:t>
      </w:r>
      <w:r w:rsidRPr="00597C07">
        <w:rPr>
          <w:color w:val="0000FF"/>
          <w:highlight w:val="yellow"/>
          <w:u w:val="single"/>
          <w:lang w:val="es-419"/>
        </w:rPr>
        <w:t>[</w:t>
      </w:r>
      <w:r w:rsidRPr="00597C07">
        <w:rPr>
          <w:strike/>
          <w:color w:val="0000FF"/>
          <w:highlight w:val="yellow"/>
          <w:u w:val="single"/>
          <w:lang w:val="es-419"/>
        </w:rPr>
        <w:t>o debería haber estado informada</w:t>
      </w:r>
      <w:r w:rsidRPr="00597C07">
        <w:rPr>
          <w:color w:val="0000FF"/>
          <w:highlight w:val="yellow"/>
          <w:u w:val="single"/>
          <w:lang w:val="es-419"/>
        </w:rPr>
        <w:t>]</w:t>
      </w:r>
      <w:r w:rsidRPr="00597C07">
        <w:rPr>
          <w:color w:val="0000FF"/>
          <w:u w:val="single"/>
          <w:lang w:val="es-419"/>
        </w:rPr>
        <w:t xml:space="preserve"> de la indisponibilidad del medio </w:t>
      </w:r>
      <w:r w:rsidR="00F73200" w:rsidRPr="00597C07">
        <w:rPr>
          <w:color w:val="0000FF"/>
          <w:u w:val="single"/>
          <w:lang w:val="es-419"/>
        </w:rPr>
        <w:t xml:space="preserve">electrónico </w:t>
      </w:r>
      <w:r w:rsidRPr="00597C07">
        <w:rPr>
          <w:color w:val="0000FF"/>
          <w:u w:val="single"/>
          <w:lang w:val="es-419"/>
        </w:rPr>
        <w:t>de transmisión.</w:t>
      </w:r>
    </w:p>
    <w:p w14:paraId="4011D25E" w14:textId="77777777" w:rsidR="000F5E56" w:rsidRPr="00597C07" w:rsidRDefault="000F5E56" w:rsidP="00804DB7">
      <w:pPr>
        <w:rPr>
          <w:lang w:val="es-419"/>
        </w:rPr>
      </w:pPr>
    </w:p>
    <w:p w14:paraId="6DD93A3B" w14:textId="18B52257" w:rsidR="002E10AE" w:rsidRPr="00597C07" w:rsidRDefault="002E10AE" w:rsidP="002E10AE">
      <w:pPr>
        <w:ind w:left="6663"/>
        <w:rPr>
          <w:lang w:val="es-419"/>
        </w:rPr>
      </w:pPr>
      <w:r w:rsidRPr="00597C07">
        <w:rPr>
          <w:lang w:val="es-419"/>
        </w:rPr>
        <w:t>[Fin]</w:t>
      </w:r>
    </w:p>
    <w:sectPr w:rsidR="002E10AE" w:rsidRPr="00597C07" w:rsidSect="00804DB7">
      <w:headerReference w:type="default" r:id="rId8"/>
      <w:footerReference w:type="even" r:id="rId9"/>
      <w:footerReference w:type="default" r:id="rId10"/>
      <w:headerReference w:type="first" r:id="rId11"/>
      <w:footerReference w:type="first" r:id="rId12"/>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F87AD" w14:textId="77777777" w:rsidR="00B37034" w:rsidRDefault="00B37034" w:rsidP="00B311F7">
      <w:r>
        <w:separator/>
      </w:r>
    </w:p>
  </w:endnote>
  <w:endnote w:type="continuationSeparator" w:id="0">
    <w:p w14:paraId="6DBCBD2F" w14:textId="77777777" w:rsidR="00B37034" w:rsidRDefault="00B37034" w:rsidP="00B31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E04CF" w14:textId="38B976FC" w:rsidR="00B311F7" w:rsidRDefault="00B31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E930" w14:textId="0E99AE1E" w:rsidR="00B311F7" w:rsidRDefault="00B311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3E4F" w14:textId="2E5BB0C8" w:rsidR="00B311F7" w:rsidRDefault="00B31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90B1F" w14:textId="77777777" w:rsidR="00B37034" w:rsidRDefault="00B37034" w:rsidP="00B311F7">
      <w:r>
        <w:separator/>
      </w:r>
    </w:p>
  </w:footnote>
  <w:footnote w:type="continuationSeparator" w:id="0">
    <w:p w14:paraId="746B50A0" w14:textId="77777777" w:rsidR="00B37034" w:rsidRDefault="00B37034" w:rsidP="00B31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1B48" w14:textId="77777777" w:rsidR="00105987" w:rsidRPr="00597C07" w:rsidRDefault="00105987" w:rsidP="00105987">
    <w:pPr>
      <w:pStyle w:val="Header"/>
      <w:jc w:val="right"/>
      <w:rPr>
        <w:lang w:val="pt-BR"/>
      </w:rPr>
    </w:pPr>
    <w:r w:rsidRPr="00597C07">
      <w:rPr>
        <w:lang w:val="pt-BR"/>
      </w:rPr>
      <w:t>PCT/WG/18</w:t>
    </w:r>
  </w:p>
  <w:p w14:paraId="3186484A" w14:textId="084AE091" w:rsidR="00105987" w:rsidRPr="00597C07" w:rsidRDefault="00105987" w:rsidP="00105987">
    <w:pPr>
      <w:pStyle w:val="Header"/>
      <w:jc w:val="right"/>
      <w:rPr>
        <w:lang w:val="pt-BR"/>
      </w:rPr>
    </w:pPr>
    <w:r w:rsidRPr="00597C07">
      <w:rPr>
        <w:lang w:val="pt-BR"/>
      </w:rPr>
      <w:t xml:space="preserve">Documento N.º 2, página </w:t>
    </w:r>
    <w:r>
      <w:fldChar w:fldCharType="begin"/>
    </w:r>
    <w:r w:rsidRPr="00597C07">
      <w:rPr>
        <w:lang w:val="pt-BR"/>
      </w:rPr>
      <w:instrText xml:space="preserve"> PAGE   \* MERGEFORMAT </w:instrText>
    </w:r>
    <w:r>
      <w:fldChar w:fldCharType="separate"/>
    </w:r>
    <w:r w:rsidRPr="00597C07">
      <w:rPr>
        <w:lang w:val="pt-BR"/>
      </w:rPr>
      <w:t>1</w:t>
    </w:r>
    <w:r>
      <w:fldChar w:fldCharType="end"/>
    </w:r>
  </w:p>
  <w:p w14:paraId="6C9662A2" w14:textId="77777777" w:rsidR="00105987" w:rsidRPr="00597C07" w:rsidRDefault="00105987">
    <w:pPr>
      <w:pStyle w:val="Header"/>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73B0" w14:textId="4780397E" w:rsidR="002E10AE" w:rsidRPr="00597C07" w:rsidRDefault="002E10AE" w:rsidP="002E10AE">
    <w:pPr>
      <w:pStyle w:val="Header"/>
      <w:jc w:val="right"/>
      <w:rPr>
        <w:lang w:val="pt-BR"/>
      </w:rPr>
    </w:pPr>
    <w:r w:rsidRPr="00597C07">
      <w:rPr>
        <w:lang w:val="pt-BR"/>
      </w:rPr>
      <w:t>PCT/WG/18</w:t>
    </w:r>
  </w:p>
  <w:p w14:paraId="7F43534F" w14:textId="5EC11792" w:rsidR="002E10AE" w:rsidRPr="00597C07" w:rsidRDefault="002E10AE" w:rsidP="002E10AE">
    <w:pPr>
      <w:pStyle w:val="Header"/>
      <w:jc w:val="right"/>
      <w:rPr>
        <w:lang w:val="pt-BR"/>
      </w:rPr>
    </w:pPr>
    <w:r w:rsidRPr="00597C07">
      <w:rPr>
        <w:lang w:val="pt-BR"/>
      </w:rPr>
      <w:t>Documento N.º 2</w:t>
    </w:r>
  </w:p>
  <w:p w14:paraId="400E9016" w14:textId="3BF48B49" w:rsidR="002E10AE" w:rsidRDefault="002E10AE" w:rsidP="002E10AE">
    <w:pPr>
      <w:pStyle w:val="Header"/>
      <w:jc w:val="right"/>
    </w:pPr>
    <w:r>
      <w:t>18 de febrero de 2025</w:t>
    </w:r>
  </w:p>
  <w:p w14:paraId="4EA3BC71" w14:textId="77777777" w:rsidR="002E10AE" w:rsidRDefault="002E10AE" w:rsidP="002E10A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75D11C28"/>
    <w:multiLevelType w:val="multilevel"/>
    <w:tmpl w:val="BAE807C0"/>
    <w:lvl w:ilvl="0">
      <w:start w:val="1"/>
      <w:numFmt w:val="decimal"/>
      <w:lvlRestart w:val="0"/>
      <w:pStyle w:val="ONUME"/>
      <w:lvlText w:val="%1."/>
      <w:lvlJc w:val="left"/>
      <w:pPr>
        <w:tabs>
          <w:tab w:val="num" w:pos="567"/>
        </w:tabs>
        <w:ind w:left="0" w:firstLine="0"/>
      </w:pPr>
    </w:lvl>
    <w:lvl w:ilvl="1">
      <w:start w:val="1"/>
      <w:numFmt w:val="lowerLetter"/>
      <w:lvlText w:val="%2)"/>
      <w:lvlJc w:val="left"/>
      <w:pPr>
        <w:ind w:left="927" w:hanging="36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993876602">
    <w:abstractNumId w:val="1"/>
  </w:num>
  <w:num w:numId="2" w16cid:durableId="50471161">
    <w:abstractNumId w:val="2"/>
  </w:num>
  <w:num w:numId="3" w16cid:durableId="571815923">
    <w:abstractNumId w:val="5"/>
  </w:num>
  <w:num w:numId="4" w16cid:durableId="69929487">
    <w:abstractNumId w:val="4"/>
  </w:num>
  <w:num w:numId="5" w16cid:durableId="1645084852">
    <w:abstractNumId w:val="0"/>
  </w:num>
  <w:num w:numId="6" w16cid:durableId="1986354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1F7"/>
    <w:rsid w:val="000521B4"/>
    <w:rsid w:val="000F5E56"/>
    <w:rsid w:val="00105987"/>
    <w:rsid w:val="001E1E6C"/>
    <w:rsid w:val="002E0657"/>
    <w:rsid w:val="002E10AE"/>
    <w:rsid w:val="003E6531"/>
    <w:rsid w:val="00426CC9"/>
    <w:rsid w:val="00431118"/>
    <w:rsid w:val="004A57B2"/>
    <w:rsid w:val="00597C07"/>
    <w:rsid w:val="00647600"/>
    <w:rsid w:val="00701C90"/>
    <w:rsid w:val="00750A89"/>
    <w:rsid w:val="007B240C"/>
    <w:rsid w:val="007D53C7"/>
    <w:rsid w:val="007F05EE"/>
    <w:rsid w:val="00804DB7"/>
    <w:rsid w:val="00880544"/>
    <w:rsid w:val="009172EC"/>
    <w:rsid w:val="00954BE6"/>
    <w:rsid w:val="00976311"/>
    <w:rsid w:val="00A76100"/>
    <w:rsid w:val="00B311F7"/>
    <w:rsid w:val="00B37034"/>
    <w:rsid w:val="00BA0474"/>
    <w:rsid w:val="00C554EC"/>
    <w:rsid w:val="00CA1356"/>
    <w:rsid w:val="00CC4DA8"/>
    <w:rsid w:val="00CE4E22"/>
    <w:rsid w:val="00EC28B3"/>
    <w:rsid w:val="00ED6F40"/>
    <w:rsid w:val="00F14D69"/>
    <w:rsid w:val="00F60960"/>
    <w:rsid w:val="00F73200"/>
    <w:rsid w:val="00F750D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86101"/>
  <w15:chartTrackingRefBased/>
  <w15:docId w15:val="{F1127493-AF12-4AE8-B492-C7D49861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paragraph" w:styleId="Heading5">
    <w:name w:val="heading 5"/>
    <w:basedOn w:val="Normal"/>
    <w:next w:val="Normal"/>
    <w:link w:val="Heading5Char"/>
    <w:semiHidden/>
    <w:unhideWhenUsed/>
    <w:qFormat/>
    <w:rsid w:val="00B311F7"/>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semiHidden/>
    <w:unhideWhenUsed/>
    <w:qFormat/>
    <w:rsid w:val="00B311F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B311F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B311F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B311F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5Char">
    <w:name w:val="Heading 5 Char"/>
    <w:basedOn w:val="DefaultParagraphFont"/>
    <w:link w:val="Heading5"/>
    <w:semiHidden/>
    <w:rsid w:val="00B311F7"/>
    <w:rPr>
      <w:rFonts w:asciiTheme="minorHAnsi" w:eastAsiaTheme="majorEastAsia" w:hAnsiTheme="minorHAnsi" w:cstheme="majorBidi"/>
      <w:color w:val="365F91" w:themeColor="accent1" w:themeShade="BF"/>
      <w:sz w:val="22"/>
    </w:rPr>
  </w:style>
  <w:style w:type="character" w:customStyle="1" w:styleId="Heading6Char">
    <w:name w:val="Heading 6 Char"/>
    <w:basedOn w:val="DefaultParagraphFont"/>
    <w:link w:val="Heading6"/>
    <w:semiHidden/>
    <w:rsid w:val="00B311F7"/>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semiHidden/>
    <w:rsid w:val="00B311F7"/>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semiHidden/>
    <w:rsid w:val="00B311F7"/>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semiHidden/>
    <w:rsid w:val="00B311F7"/>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qFormat/>
    <w:rsid w:val="00B311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31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311F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B311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11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11F7"/>
    <w:rPr>
      <w:rFonts w:ascii="Arial" w:hAnsi="Arial" w:cs="Arial"/>
      <w:i/>
      <w:iCs/>
      <w:color w:val="404040" w:themeColor="text1" w:themeTint="BF"/>
      <w:sz w:val="22"/>
    </w:rPr>
  </w:style>
  <w:style w:type="paragraph" w:styleId="ListParagraph">
    <w:name w:val="List Paragraph"/>
    <w:basedOn w:val="Normal"/>
    <w:uiPriority w:val="34"/>
    <w:qFormat/>
    <w:rsid w:val="00B311F7"/>
    <w:pPr>
      <w:ind w:left="720"/>
      <w:contextualSpacing/>
    </w:pPr>
  </w:style>
  <w:style w:type="character" w:styleId="IntenseEmphasis">
    <w:name w:val="Intense Emphasis"/>
    <w:basedOn w:val="DefaultParagraphFont"/>
    <w:uiPriority w:val="21"/>
    <w:qFormat/>
    <w:rsid w:val="00B311F7"/>
    <w:rPr>
      <w:i/>
      <w:iCs/>
      <w:color w:val="365F91" w:themeColor="accent1" w:themeShade="BF"/>
    </w:rPr>
  </w:style>
  <w:style w:type="paragraph" w:styleId="IntenseQuote">
    <w:name w:val="Intense Quote"/>
    <w:basedOn w:val="Normal"/>
    <w:next w:val="Normal"/>
    <w:link w:val="IntenseQuoteChar"/>
    <w:uiPriority w:val="30"/>
    <w:qFormat/>
    <w:rsid w:val="00B311F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311F7"/>
    <w:rPr>
      <w:rFonts w:ascii="Arial" w:hAnsi="Arial" w:cs="Arial"/>
      <w:i/>
      <w:iCs/>
      <w:color w:val="365F91" w:themeColor="accent1" w:themeShade="BF"/>
      <w:sz w:val="22"/>
    </w:rPr>
  </w:style>
  <w:style w:type="character" w:styleId="IntenseReference">
    <w:name w:val="Intense Reference"/>
    <w:basedOn w:val="DefaultParagraphFont"/>
    <w:uiPriority w:val="32"/>
    <w:qFormat/>
    <w:rsid w:val="00B311F7"/>
    <w:rPr>
      <w:b/>
      <w:bCs/>
      <w:smallCaps/>
      <w:color w:val="365F91" w:themeColor="accent1" w:themeShade="BF"/>
      <w:spacing w:val="5"/>
    </w:rPr>
  </w:style>
  <w:style w:type="paragraph" w:customStyle="1" w:styleId="LegTitle">
    <w:name w:val="Leg # Title"/>
    <w:basedOn w:val="Normal"/>
    <w:next w:val="Normal"/>
    <w:rsid w:val="00B311F7"/>
    <w:pPr>
      <w:keepNext/>
      <w:keepLines/>
      <w:spacing w:before="240" w:after="240" w:line="360" w:lineRule="auto"/>
      <w:jc w:val="center"/>
    </w:pPr>
    <w:rPr>
      <w:rFonts w:cs="Times New Roman"/>
      <w:b/>
      <w:noProof/>
      <w:snapToGrid w:val="0"/>
    </w:rPr>
  </w:style>
  <w:style w:type="paragraph" w:customStyle="1" w:styleId="LegSubRule">
    <w:name w:val="Leg SubRule #"/>
    <w:basedOn w:val="Normal"/>
    <w:rsid w:val="00B311F7"/>
    <w:pPr>
      <w:keepNext/>
      <w:keepLines/>
      <w:tabs>
        <w:tab w:val="left" w:pos="510"/>
      </w:tabs>
      <w:spacing w:before="119" w:after="240" w:line="360" w:lineRule="auto"/>
      <w:ind w:left="533" w:hanging="533"/>
    </w:pPr>
    <w:rPr>
      <w:rFonts w:cs="Times New Roman"/>
      <w:noProof/>
      <w:snapToGrid w:val="0"/>
    </w:rPr>
  </w:style>
  <w:style w:type="paragraph" w:customStyle="1" w:styleId="Lega">
    <w:name w:val="Leg (a)"/>
    <w:basedOn w:val="Normal"/>
    <w:link w:val="LegaChar"/>
    <w:rsid w:val="00B311F7"/>
    <w:pPr>
      <w:tabs>
        <w:tab w:val="left" w:pos="454"/>
      </w:tabs>
      <w:spacing w:before="119" w:after="240" w:line="360" w:lineRule="auto"/>
    </w:pPr>
    <w:rPr>
      <w:rFonts w:cs="Times New Roman"/>
      <w:noProof/>
      <w:snapToGrid w:val="0"/>
    </w:rPr>
  </w:style>
  <w:style w:type="character" w:customStyle="1" w:styleId="LegaChar">
    <w:name w:val="Leg (a) Char"/>
    <w:link w:val="Lega"/>
    <w:rsid w:val="00B311F7"/>
    <w:rPr>
      <w:rFonts w:ascii="Arial" w:hAnsi="Arial"/>
      <w:noProof/>
      <w:snapToGrid w:val="0"/>
      <w:sz w:val="22"/>
    </w:rPr>
  </w:style>
  <w:style w:type="character" w:styleId="CommentReference">
    <w:name w:val="annotation reference"/>
    <w:basedOn w:val="DefaultParagraphFont"/>
    <w:semiHidden/>
    <w:unhideWhenUsed/>
    <w:rsid w:val="00B311F7"/>
    <w:rPr>
      <w:sz w:val="16"/>
      <w:szCs w:val="16"/>
    </w:rPr>
  </w:style>
  <w:style w:type="paragraph" w:styleId="CommentSubject">
    <w:name w:val="annotation subject"/>
    <w:basedOn w:val="CommentText"/>
    <w:next w:val="CommentText"/>
    <w:link w:val="CommentSubjectChar"/>
    <w:semiHidden/>
    <w:unhideWhenUsed/>
    <w:rsid w:val="00B311F7"/>
    <w:rPr>
      <w:b/>
      <w:bCs/>
      <w:sz w:val="20"/>
    </w:rPr>
  </w:style>
  <w:style w:type="character" w:customStyle="1" w:styleId="CommentTextChar">
    <w:name w:val="Comment Text Char"/>
    <w:basedOn w:val="DefaultParagraphFont"/>
    <w:link w:val="CommentText"/>
    <w:semiHidden/>
    <w:rsid w:val="00B311F7"/>
    <w:rPr>
      <w:rFonts w:ascii="Arial" w:hAnsi="Arial" w:cs="Arial"/>
      <w:sz w:val="18"/>
    </w:rPr>
  </w:style>
  <w:style w:type="character" w:customStyle="1" w:styleId="CommentSubjectChar">
    <w:name w:val="Comment Subject Char"/>
    <w:basedOn w:val="CommentTextChar"/>
    <w:link w:val="CommentSubject"/>
    <w:semiHidden/>
    <w:rsid w:val="00B311F7"/>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A5FDB-DF3A-4B44-85A8-996535C7A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661</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REISCHLE-PARK Matthias</dc:creator>
  <cp:keywords/>
  <dc:description/>
  <cp:lastModifiedBy>MARLOW Thomas</cp:lastModifiedBy>
  <cp:revision>3</cp:revision>
  <cp:lastPrinted>2025-02-22T13:22:00Z</cp:lastPrinted>
  <dcterms:created xsi:type="dcterms:W3CDTF">2025-02-22T13:21:00Z</dcterms:created>
  <dcterms:modified xsi:type="dcterms:W3CDTF">2025-02-22T13:22:00Z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2025-02-18T23:11:28Z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61413f82-e21b-42b2-a940-81609e46a764</vt:lpwstr>
  </property>
  <property fmtid="{D5CDD505-2E9C-101B-9397-08002B2CF9AE}" pid="8" name="MSIP_Label_20773ee6-353b-4fb9-a59d-0b94c8c67bea_ContentBits">
    <vt:lpwstr>0</vt:lpwstr>
  </property>
</Properties>
</file>