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4918" w14:textId="77777777" w:rsidR="00A660F8" w:rsidRPr="00A366E6" w:rsidRDefault="00A660F8" w:rsidP="00A660F8">
      <w:pPr>
        <w:spacing w:after="120"/>
        <w:jc w:val="right"/>
        <w:rPr>
          <w:lang w:val="es-ES_tradnl"/>
        </w:rPr>
      </w:pPr>
      <w:bookmarkStart w:id="0" w:name="TitleOfDoc"/>
      <w:r w:rsidRPr="00A366E6">
        <w:rPr>
          <w:noProof/>
          <w:lang w:val="es-ES_tradnl" w:eastAsia="en-US"/>
        </w:rPr>
        <w:drawing>
          <wp:inline distT="0" distB="0" distL="0" distR="0" wp14:anchorId="4AA0970E" wp14:editId="0DCFD20D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66E6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78B9E7A7" wp14:editId="0EF8F4F2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7D8EA1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6DAD1A5" w14:textId="739C2F54" w:rsidR="00A660F8" w:rsidRPr="00A366E6" w:rsidRDefault="00A660F8" w:rsidP="00A660F8">
      <w:pPr>
        <w:jc w:val="right"/>
        <w:rPr>
          <w:rFonts w:ascii="Arial Black" w:hAnsi="Arial Black"/>
          <w:caps/>
          <w:sz w:val="15"/>
          <w:lang w:val="es-ES_tradnl"/>
        </w:rPr>
      </w:pPr>
      <w:r w:rsidRPr="00A366E6">
        <w:rPr>
          <w:rFonts w:ascii="Arial Black" w:hAnsi="Arial Black"/>
          <w:caps/>
          <w:sz w:val="15"/>
          <w:szCs w:val="15"/>
          <w:lang w:val="es-ES_tradnl"/>
        </w:rPr>
        <w:t>PCT/WG/18/</w:t>
      </w:r>
      <w:bookmarkStart w:id="1" w:name="Code"/>
      <w:bookmarkEnd w:id="1"/>
      <w:r w:rsidR="006541D9" w:rsidRPr="00A366E6">
        <w:rPr>
          <w:rFonts w:ascii="Arial Black" w:hAnsi="Arial Black"/>
          <w:caps/>
          <w:sz w:val="15"/>
          <w:szCs w:val="15"/>
          <w:lang w:val="es-ES_tradnl"/>
        </w:rPr>
        <w:t>1 prov.</w:t>
      </w:r>
      <w:r w:rsidR="00E11923">
        <w:rPr>
          <w:rFonts w:ascii="Arial Black" w:hAnsi="Arial Black"/>
          <w:caps/>
          <w:sz w:val="15"/>
          <w:szCs w:val="15"/>
          <w:lang w:val="es-ES_tradnl"/>
        </w:rPr>
        <w:t>3</w:t>
      </w:r>
    </w:p>
    <w:p w14:paraId="53A97C0F" w14:textId="77777777" w:rsidR="00A660F8" w:rsidRPr="00A366E6" w:rsidRDefault="00A660F8" w:rsidP="00A660F8">
      <w:pPr>
        <w:jc w:val="right"/>
        <w:rPr>
          <w:rFonts w:ascii="Arial Black" w:hAnsi="Arial Black"/>
          <w:caps/>
          <w:sz w:val="15"/>
          <w:lang w:val="es-ES_tradnl"/>
        </w:rPr>
      </w:pPr>
      <w:r w:rsidRPr="00A366E6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2" w:name="Original"/>
      <w:r w:rsidRPr="00A366E6">
        <w:rPr>
          <w:rFonts w:ascii="Arial Black" w:hAnsi="Arial Black"/>
          <w:caps/>
          <w:sz w:val="15"/>
          <w:lang w:val="es-ES_tradnl"/>
        </w:rPr>
        <w:t>INGLÉS</w:t>
      </w:r>
    </w:p>
    <w:bookmarkEnd w:id="2"/>
    <w:p w14:paraId="2809327A" w14:textId="6E1F6F15" w:rsidR="00A660F8" w:rsidRPr="00A366E6" w:rsidRDefault="00A660F8" w:rsidP="00A660F8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A366E6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3" w:name="Date"/>
      <w:r w:rsidR="00E11923">
        <w:rPr>
          <w:rFonts w:ascii="Arial Black" w:hAnsi="Arial Black"/>
          <w:caps/>
          <w:sz w:val="15"/>
          <w:lang w:val="es-ES_tradnl"/>
        </w:rPr>
        <w:t>12</w:t>
      </w:r>
      <w:r w:rsidRPr="00A366E6">
        <w:rPr>
          <w:rFonts w:ascii="Arial Black" w:hAnsi="Arial Black"/>
          <w:caps/>
          <w:sz w:val="15"/>
          <w:lang w:val="es-ES_tradnl"/>
        </w:rPr>
        <w:t xml:space="preserve"> DE </w:t>
      </w:r>
      <w:r w:rsidR="00E11923">
        <w:rPr>
          <w:rFonts w:ascii="Arial Black" w:hAnsi="Arial Black"/>
          <w:caps/>
          <w:sz w:val="15"/>
          <w:lang w:val="es-ES_tradnl"/>
        </w:rPr>
        <w:t>FEBRE</w:t>
      </w:r>
      <w:r w:rsidRPr="00A366E6">
        <w:rPr>
          <w:rFonts w:ascii="Arial Black" w:hAnsi="Arial Black"/>
          <w:caps/>
          <w:sz w:val="15"/>
          <w:lang w:val="es-ES_tradnl"/>
        </w:rPr>
        <w:t>RO DE 2025</w:t>
      </w:r>
    </w:p>
    <w:bookmarkEnd w:id="3"/>
    <w:p w14:paraId="03E242CC" w14:textId="77777777" w:rsidR="00A660F8" w:rsidRPr="00A366E6" w:rsidRDefault="00A660F8" w:rsidP="00A660F8">
      <w:pPr>
        <w:spacing w:after="600"/>
        <w:rPr>
          <w:b/>
          <w:sz w:val="28"/>
          <w:szCs w:val="28"/>
          <w:lang w:val="es-ES_tradnl"/>
        </w:rPr>
      </w:pPr>
      <w:r w:rsidRPr="00A366E6">
        <w:rPr>
          <w:b/>
          <w:sz w:val="28"/>
          <w:szCs w:val="28"/>
          <w:lang w:val="es-ES_tradnl"/>
        </w:rPr>
        <w:t>Grupo de Trabajo del Tratado de Cooperación en materia de Patentes (PCT)</w:t>
      </w:r>
    </w:p>
    <w:p w14:paraId="1A2942BC" w14:textId="77777777" w:rsidR="00A660F8" w:rsidRPr="00A366E6" w:rsidRDefault="00A660F8" w:rsidP="00A660F8">
      <w:pPr>
        <w:rPr>
          <w:b/>
          <w:sz w:val="24"/>
          <w:szCs w:val="24"/>
          <w:lang w:val="es-ES_tradnl"/>
        </w:rPr>
      </w:pPr>
      <w:r w:rsidRPr="00A366E6">
        <w:rPr>
          <w:b/>
          <w:sz w:val="24"/>
          <w:szCs w:val="24"/>
          <w:lang w:val="es-ES_tradnl"/>
        </w:rPr>
        <w:t>Decimoctava reunión</w:t>
      </w:r>
    </w:p>
    <w:p w14:paraId="3BF1E9BC" w14:textId="77777777" w:rsidR="00A660F8" w:rsidRPr="00A366E6" w:rsidRDefault="00A660F8" w:rsidP="00A660F8">
      <w:pPr>
        <w:spacing w:after="720"/>
        <w:rPr>
          <w:b/>
          <w:sz w:val="24"/>
          <w:szCs w:val="24"/>
          <w:lang w:val="es-ES_tradnl"/>
        </w:rPr>
      </w:pPr>
      <w:r w:rsidRPr="00A366E6">
        <w:rPr>
          <w:b/>
          <w:sz w:val="24"/>
          <w:szCs w:val="24"/>
          <w:lang w:val="es-ES_tradnl"/>
        </w:rPr>
        <w:t>Ginebra, 18 a 20 de febrero de 2025</w:t>
      </w:r>
    </w:p>
    <w:p w14:paraId="4A796DE3" w14:textId="50E5C712" w:rsidR="008B2CC1" w:rsidRPr="00A366E6" w:rsidRDefault="00525A29" w:rsidP="00CE65D4">
      <w:pPr>
        <w:spacing w:after="360"/>
        <w:rPr>
          <w:caps/>
          <w:sz w:val="24"/>
          <w:lang w:val="es-ES_tradnl"/>
        </w:rPr>
      </w:pPr>
      <w:r w:rsidRPr="00A366E6">
        <w:rPr>
          <w:caps/>
          <w:sz w:val="24"/>
          <w:lang w:val="es-ES_tradnl"/>
        </w:rPr>
        <w:t>Proyecto revisado de orden del día</w:t>
      </w:r>
    </w:p>
    <w:p w14:paraId="2F7978A7" w14:textId="77777777" w:rsidR="008B2CC1" w:rsidRPr="00A366E6" w:rsidRDefault="00EE541C" w:rsidP="00CE65D4">
      <w:pPr>
        <w:spacing w:after="960"/>
        <w:rPr>
          <w:i/>
          <w:lang w:val="es-ES_tradnl"/>
        </w:rPr>
      </w:pPr>
      <w:bookmarkStart w:id="4" w:name="Prepared"/>
      <w:bookmarkEnd w:id="0"/>
      <w:r w:rsidRPr="00A366E6">
        <w:rPr>
          <w:i/>
          <w:lang w:val="es-ES_tradnl"/>
        </w:rPr>
        <w:t>preparado por la Secretaría</w:t>
      </w:r>
    </w:p>
    <w:bookmarkEnd w:id="4"/>
    <w:p w14:paraId="1181A816" w14:textId="77777777" w:rsidR="00203497" w:rsidRPr="00A366E6" w:rsidRDefault="00203497" w:rsidP="00203497">
      <w:pPr>
        <w:pStyle w:val="ONUME"/>
        <w:rPr>
          <w:lang w:val="es-ES_tradnl"/>
        </w:rPr>
      </w:pPr>
      <w:r w:rsidRPr="00A366E6">
        <w:rPr>
          <w:lang w:val="es-ES_tradnl"/>
        </w:rPr>
        <w:t>Apertura de la reunión</w:t>
      </w:r>
    </w:p>
    <w:p w14:paraId="3145728A" w14:textId="77777777" w:rsidR="00A366E6" w:rsidRPr="00A366E6" w:rsidRDefault="00203497" w:rsidP="00A366E6">
      <w:pPr>
        <w:pStyle w:val="ONUME"/>
        <w:spacing w:after="0"/>
        <w:ind w:left="1134" w:hanging="1134"/>
        <w:rPr>
          <w:lang w:val="es-ES_tradnl"/>
        </w:rPr>
      </w:pPr>
      <w:r w:rsidRPr="00A366E6">
        <w:rPr>
          <w:lang w:val="es-ES_tradnl"/>
        </w:rPr>
        <w:t>Aprobación del orden del día</w:t>
      </w:r>
    </w:p>
    <w:p w14:paraId="361A043F" w14:textId="3AC050AE" w:rsidR="00203497" w:rsidRPr="00A366E6" w:rsidRDefault="00203497" w:rsidP="00A366E6">
      <w:pPr>
        <w:pStyle w:val="ONUME"/>
        <w:numPr>
          <w:ilvl w:val="0"/>
          <w:numId w:val="0"/>
        </w:numPr>
        <w:ind w:left="1134"/>
        <w:rPr>
          <w:lang w:val="es-ES_tradnl"/>
        </w:rPr>
      </w:pPr>
      <w:r w:rsidRPr="00A366E6">
        <w:rPr>
          <w:lang w:val="es-ES_tradnl"/>
        </w:rPr>
        <w:t>Véase el documento PCT/WG/18/1 Prov.</w:t>
      </w:r>
      <w:r w:rsidR="00E11923">
        <w:rPr>
          <w:lang w:val="es-ES_tradnl"/>
        </w:rPr>
        <w:t>3</w:t>
      </w:r>
    </w:p>
    <w:p w14:paraId="1F21BDD4" w14:textId="77777777" w:rsidR="00203497" w:rsidRPr="00A366E6" w:rsidRDefault="00203497" w:rsidP="00203497">
      <w:pPr>
        <w:pStyle w:val="ONUME"/>
        <w:ind w:left="1134" w:hanging="1134"/>
        <w:rPr>
          <w:lang w:val="es-ES_tradnl"/>
        </w:rPr>
      </w:pPr>
      <w:r w:rsidRPr="00A366E6">
        <w:rPr>
          <w:lang w:val="es-ES_tradnl"/>
        </w:rPr>
        <w:t>Elección de los vicepresidentes de la sesión</w:t>
      </w:r>
    </w:p>
    <w:p w14:paraId="6C7C38CB" w14:textId="77777777" w:rsidR="00203497" w:rsidRPr="00A366E6" w:rsidRDefault="00203497" w:rsidP="00203497">
      <w:pPr>
        <w:pStyle w:val="ONUME"/>
        <w:rPr>
          <w:lang w:val="es-ES_tradnl"/>
        </w:rPr>
      </w:pPr>
      <w:r w:rsidRPr="00A366E6">
        <w:rPr>
          <w:lang w:val="es-ES_tradnl"/>
        </w:rPr>
        <w:t>Elección de la mesa de la decimonovena sesión</w:t>
      </w:r>
    </w:p>
    <w:p w14:paraId="749BA839" w14:textId="77777777" w:rsidR="00203497" w:rsidRPr="00A366E6" w:rsidRDefault="00203497" w:rsidP="00203497">
      <w:pPr>
        <w:pStyle w:val="ONUME"/>
        <w:rPr>
          <w:lang w:val="es-ES_tradnl"/>
        </w:rPr>
      </w:pPr>
      <w:r w:rsidRPr="00A366E6">
        <w:rPr>
          <w:lang w:val="es-ES_tradnl"/>
        </w:rPr>
        <w:t>Estadísticas del PCT</w:t>
      </w:r>
    </w:p>
    <w:p w14:paraId="0F44D46C" w14:textId="77777777" w:rsidR="00A366E6" w:rsidRPr="00A366E6" w:rsidRDefault="00203497" w:rsidP="00A366E6">
      <w:pPr>
        <w:pStyle w:val="ONUME"/>
        <w:tabs>
          <w:tab w:val="clear" w:pos="567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Reunión de las Administraciones Internacionales del PCT: Informe de la trigésima primera sesión</w:t>
      </w:r>
      <w:bookmarkStart w:id="5" w:name="_Hlk188340883"/>
    </w:p>
    <w:p w14:paraId="129182E1" w14:textId="5E95ECA1" w:rsidR="00203497" w:rsidRPr="00A366E6" w:rsidRDefault="00203497" w:rsidP="00A366E6">
      <w:pPr>
        <w:pStyle w:val="ONUME"/>
        <w:numPr>
          <w:ilvl w:val="0"/>
          <w:numId w:val="0"/>
        </w:numPr>
        <w:spacing w:after="240"/>
        <w:ind w:left="1134"/>
        <w:rPr>
          <w:lang w:val="es-ES_tradnl"/>
        </w:rPr>
      </w:pPr>
      <w:r w:rsidRPr="00A366E6">
        <w:rPr>
          <w:lang w:val="es-ES_tradnl"/>
        </w:rPr>
        <w:t>Véase el documento PCT/WG/18/</w:t>
      </w:r>
      <w:bookmarkEnd w:id="5"/>
      <w:r w:rsidRPr="00A366E6">
        <w:rPr>
          <w:lang w:val="es-ES_tradnl"/>
        </w:rPr>
        <w:t>2.</w:t>
      </w:r>
    </w:p>
    <w:p w14:paraId="01F06738" w14:textId="77777777" w:rsidR="00A366E6" w:rsidRPr="00A366E6" w:rsidRDefault="00203497" w:rsidP="00A366E6">
      <w:pPr>
        <w:pStyle w:val="ONUME"/>
        <w:tabs>
          <w:tab w:val="clear" w:pos="567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Tramitación electrónica de las solicitudes internacionales</w:t>
      </w:r>
    </w:p>
    <w:p w14:paraId="7356A210" w14:textId="7EB47567" w:rsidR="00203497" w:rsidRPr="00A366E6" w:rsidRDefault="00203497" w:rsidP="00A366E6">
      <w:pPr>
        <w:pStyle w:val="ONUME"/>
        <w:numPr>
          <w:ilvl w:val="0"/>
          <w:numId w:val="0"/>
        </w:numPr>
        <w:ind w:left="1134"/>
        <w:rPr>
          <w:lang w:val="es-ES_tradnl"/>
        </w:rPr>
      </w:pPr>
      <w:r w:rsidRPr="00A366E6">
        <w:rPr>
          <w:lang w:val="es-ES_tradnl"/>
        </w:rPr>
        <w:t>Véase el documento PCT/WG/18/8.</w:t>
      </w:r>
    </w:p>
    <w:p w14:paraId="2F965A55" w14:textId="77777777" w:rsidR="00A366E6" w:rsidRPr="00A366E6" w:rsidRDefault="004A0C78" w:rsidP="00A366E6">
      <w:pPr>
        <w:pStyle w:val="ONUME"/>
        <w:tabs>
          <w:tab w:val="clear" w:pos="567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Medio de presentación para entrar en la fase nacional en las Oficinas designadas</w:t>
      </w:r>
    </w:p>
    <w:p w14:paraId="5D944615" w14:textId="750D162E" w:rsidR="00203497" w:rsidRPr="00A366E6" w:rsidRDefault="004A0C78" w:rsidP="00A366E6">
      <w:pPr>
        <w:pStyle w:val="ONUME"/>
        <w:numPr>
          <w:ilvl w:val="0"/>
          <w:numId w:val="0"/>
        </w:numPr>
        <w:spacing w:after="240"/>
        <w:ind w:left="1134"/>
        <w:rPr>
          <w:lang w:val="es-ES_tradnl"/>
        </w:rPr>
      </w:pPr>
      <w:r w:rsidRPr="00A366E6">
        <w:rPr>
          <w:lang w:val="es-ES_tradnl"/>
        </w:rPr>
        <w:t>Véase el documento PCT/WG/18/4</w:t>
      </w:r>
      <w:r w:rsidR="00E11923">
        <w:rPr>
          <w:lang w:val="es-ES_tradnl"/>
        </w:rPr>
        <w:t xml:space="preserve"> Rev.</w:t>
      </w:r>
    </w:p>
    <w:p w14:paraId="3A91194E" w14:textId="77777777" w:rsidR="00A366E6" w:rsidRPr="00A366E6" w:rsidRDefault="00203497" w:rsidP="00A366E6">
      <w:pPr>
        <w:pStyle w:val="ONUME"/>
        <w:tabs>
          <w:tab w:val="clear" w:pos="567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Procesos relacionados con la publicación internacional</w:t>
      </w:r>
    </w:p>
    <w:p w14:paraId="1C5180A7" w14:textId="6B84A996" w:rsidR="00203497" w:rsidRPr="00A366E6" w:rsidRDefault="00203497" w:rsidP="00A366E6">
      <w:pPr>
        <w:pStyle w:val="ONUME"/>
        <w:numPr>
          <w:ilvl w:val="0"/>
          <w:numId w:val="0"/>
        </w:numPr>
        <w:spacing w:after="240"/>
        <w:ind w:left="1134"/>
        <w:rPr>
          <w:lang w:val="es-ES_tradnl"/>
        </w:rPr>
      </w:pPr>
      <w:r w:rsidRPr="00A366E6">
        <w:rPr>
          <w:lang w:val="es-ES_tradnl"/>
        </w:rPr>
        <w:t>Véase el documento PCT/WG/18/13</w:t>
      </w:r>
    </w:p>
    <w:p w14:paraId="005228FE" w14:textId="77777777" w:rsidR="00A366E6" w:rsidRPr="00A366E6" w:rsidRDefault="00203497" w:rsidP="00A366E6">
      <w:pPr>
        <w:pStyle w:val="ONUME"/>
        <w:keepNext/>
        <w:keepLines/>
        <w:spacing w:after="0"/>
        <w:ind w:left="1134" w:hanging="1134"/>
        <w:rPr>
          <w:lang w:val="es-ES_tradnl"/>
        </w:rPr>
      </w:pPr>
      <w:r w:rsidRPr="00A366E6">
        <w:rPr>
          <w:lang w:val="es-ES_tradnl"/>
        </w:rPr>
        <w:lastRenderedPageBreak/>
        <w:t>Establecimiento de importes equivalentes para las tasas del PCT</w:t>
      </w:r>
    </w:p>
    <w:p w14:paraId="7DC14528" w14:textId="6AFB3977" w:rsidR="00203497" w:rsidRPr="00A366E6" w:rsidRDefault="00203497" w:rsidP="00A366E6">
      <w:pPr>
        <w:pStyle w:val="ONUME"/>
        <w:numPr>
          <w:ilvl w:val="0"/>
          <w:numId w:val="0"/>
        </w:numPr>
        <w:spacing w:after="240"/>
        <w:ind w:left="1134"/>
        <w:rPr>
          <w:lang w:val="es-ES_tradnl"/>
        </w:rPr>
      </w:pPr>
      <w:r w:rsidRPr="00A366E6">
        <w:rPr>
          <w:lang w:val="es-ES_tradnl"/>
        </w:rPr>
        <w:t>Véase el documento PCT/WG/18/12</w:t>
      </w:r>
    </w:p>
    <w:p w14:paraId="4F015277" w14:textId="77777777" w:rsidR="00A366E6" w:rsidRPr="00A366E6" w:rsidRDefault="004A0C78" w:rsidP="00A366E6">
      <w:pPr>
        <w:pStyle w:val="ONUME"/>
        <w:tabs>
          <w:tab w:val="left" w:pos="567"/>
          <w:tab w:val="left" w:pos="1134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Propuesta de transmitir al solicitante la copia de la notificación de retirada (formulario PCT/RO/136)</w:t>
      </w:r>
    </w:p>
    <w:p w14:paraId="72E09253" w14:textId="00C57D45" w:rsidR="004A0C78" w:rsidRPr="00A366E6" w:rsidRDefault="004A0C78" w:rsidP="00A366E6">
      <w:pPr>
        <w:pStyle w:val="ONUME"/>
        <w:numPr>
          <w:ilvl w:val="0"/>
          <w:numId w:val="0"/>
        </w:numPr>
        <w:ind w:left="1134"/>
        <w:rPr>
          <w:lang w:val="es-ES_tradnl"/>
        </w:rPr>
      </w:pPr>
      <w:r w:rsidRPr="00A366E6">
        <w:rPr>
          <w:lang w:val="es-ES_tradnl"/>
        </w:rPr>
        <w:t>Véase el documento PCT/WG/18/10</w:t>
      </w:r>
    </w:p>
    <w:p w14:paraId="7A86FC19" w14:textId="2E364422" w:rsidR="00203497" w:rsidRPr="00A366E6" w:rsidRDefault="00203497" w:rsidP="00203497">
      <w:pPr>
        <w:pStyle w:val="ONUME"/>
        <w:rPr>
          <w:lang w:val="es-ES_tradnl"/>
        </w:rPr>
      </w:pPr>
      <w:r w:rsidRPr="00A366E6">
        <w:rPr>
          <w:lang w:val="es-ES_tradnl"/>
        </w:rPr>
        <w:t>Listas de secuencias</w:t>
      </w:r>
    </w:p>
    <w:p w14:paraId="4206F03C" w14:textId="77777777" w:rsidR="00A366E6" w:rsidRPr="00A366E6" w:rsidRDefault="00203497" w:rsidP="00A366E6">
      <w:pPr>
        <w:pStyle w:val="ONUME"/>
        <w:numPr>
          <w:ilvl w:val="1"/>
          <w:numId w:val="5"/>
        </w:numPr>
        <w:spacing w:after="0"/>
        <w:ind w:left="1134" w:hanging="567"/>
        <w:rPr>
          <w:lang w:val="es-ES_tradnl"/>
        </w:rPr>
      </w:pPr>
      <w:r w:rsidRPr="00A366E6">
        <w:rPr>
          <w:lang w:val="es-ES_tradnl"/>
        </w:rPr>
        <w:t>Tratamiento de listas de secuencias</w:t>
      </w:r>
    </w:p>
    <w:p w14:paraId="278252EE" w14:textId="1F3B15BA" w:rsidR="00203497" w:rsidRPr="00A366E6" w:rsidRDefault="00203497" w:rsidP="00975F1B">
      <w:pPr>
        <w:pStyle w:val="ONUME"/>
        <w:numPr>
          <w:ilvl w:val="0"/>
          <w:numId w:val="0"/>
        </w:numPr>
        <w:spacing w:after="120"/>
        <w:ind w:left="1701"/>
        <w:rPr>
          <w:lang w:val="es-ES_tradnl"/>
        </w:rPr>
      </w:pPr>
      <w:r w:rsidRPr="00A366E6">
        <w:rPr>
          <w:lang w:val="es-ES_tradnl"/>
        </w:rPr>
        <w:t>Véase el documento PCT/WG/18/14</w:t>
      </w:r>
    </w:p>
    <w:p w14:paraId="4689FB2F" w14:textId="68712BFA" w:rsidR="00A366E6" w:rsidRPr="00A366E6" w:rsidRDefault="00203497" w:rsidP="00A366E6">
      <w:pPr>
        <w:pStyle w:val="ONUME"/>
        <w:numPr>
          <w:ilvl w:val="1"/>
          <w:numId w:val="5"/>
        </w:numPr>
        <w:spacing w:after="0"/>
        <w:ind w:left="1134" w:hanging="567"/>
        <w:rPr>
          <w:lang w:val="es-ES_tradnl"/>
        </w:rPr>
      </w:pPr>
      <w:r w:rsidRPr="00A366E6">
        <w:rPr>
          <w:lang w:val="es-ES_tradnl"/>
        </w:rPr>
        <w:t>Equipo Técnico sobre Listas de Secuencias:</w:t>
      </w:r>
      <w:r w:rsidR="00A366E6" w:rsidRPr="00A366E6">
        <w:rPr>
          <w:lang w:val="es-ES_tradnl"/>
        </w:rPr>
        <w:t xml:space="preserve"> </w:t>
      </w:r>
      <w:r w:rsidRPr="00A366E6">
        <w:rPr>
          <w:lang w:val="es-ES_tradnl"/>
        </w:rPr>
        <w:t>Informe de situación</w:t>
      </w:r>
    </w:p>
    <w:p w14:paraId="4DB43413" w14:textId="30F94983" w:rsidR="00203497" w:rsidRPr="00A366E6" w:rsidRDefault="00203497" w:rsidP="00A366E6">
      <w:pPr>
        <w:pStyle w:val="ONUME"/>
        <w:numPr>
          <w:ilvl w:val="0"/>
          <w:numId w:val="0"/>
        </w:numPr>
        <w:ind w:left="1701"/>
        <w:rPr>
          <w:lang w:val="es-ES_tradnl"/>
        </w:rPr>
      </w:pPr>
      <w:r w:rsidRPr="00A366E6">
        <w:rPr>
          <w:lang w:val="es-ES_tradnl"/>
        </w:rPr>
        <w:t>Véase el documento PCT/WG/18/18</w:t>
      </w:r>
      <w:r w:rsidR="00E11923">
        <w:rPr>
          <w:lang w:val="es-ES_tradnl"/>
        </w:rPr>
        <w:t xml:space="preserve"> Rev.</w:t>
      </w:r>
    </w:p>
    <w:p w14:paraId="3FA37AE4" w14:textId="77777777" w:rsidR="00A366E6" w:rsidRPr="00A366E6" w:rsidRDefault="004A0C78" w:rsidP="00A366E6">
      <w:pPr>
        <w:pStyle w:val="ONUME"/>
        <w:tabs>
          <w:tab w:val="clear" w:pos="567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Proyecto piloto de formulación de comentarios sobre el informe de búsqueda internacional</w:t>
      </w:r>
    </w:p>
    <w:p w14:paraId="4D76C9EC" w14:textId="7DAE643A" w:rsidR="004A0C78" w:rsidRPr="00A366E6" w:rsidRDefault="004A0C78" w:rsidP="00A366E6">
      <w:pPr>
        <w:pStyle w:val="ONUME"/>
        <w:numPr>
          <w:ilvl w:val="0"/>
          <w:numId w:val="0"/>
        </w:numPr>
        <w:ind w:left="1134"/>
        <w:rPr>
          <w:lang w:val="es-ES_tradnl"/>
        </w:rPr>
      </w:pPr>
      <w:r w:rsidRPr="00A366E6">
        <w:rPr>
          <w:lang w:val="es-ES_tradnl"/>
        </w:rPr>
        <w:t>Véase el documento PCT/WG/18/7</w:t>
      </w:r>
    </w:p>
    <w:p w14:paraId="7F006050" w14:textId="77777777" w:rsidR="00A366E6" w:rsidRPr="00A366E6" w:rsidRDefault="00203497" w:rsidP="00A366E6">
      <w:pPr>
        <w:pStyle w:val="ONUME"/>
        <w:tabs>
          <w:tab w:val="clear" w:pos="567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Equipo Técnico sobre Documentación Mínima del PCT: Informe de situación</w:t>
      </w:r>
    </w:p>
    <w:p w14:paraId="153E9EE9" w14:textId="4C7BD94B" w:rsidR="00203497" w:rsidRPr="00A366E6" w:rsidRDefault="00203497" w:rsidP="00A366E6">
      <w:pPr>
        <w:pStyle w:val="ONUME"/>
        <w:numPr>
          <w:ilvl w:val="0"/>
          <w:numId w:val="0"/>
        </w:numPr>
        <w:ind w:left="1134"/>
        <w:rPr>
          <w:lang w:val="es-ES_tradnl"/>
        </w:rPr>
      </w:pPr>
      <w:r w:rsidRPr="00A366E6">
        <w:rPr>
          <w:lang w:val="es-ES_tradnl"/>
        </w:rPr>
        <w:t>Véase el documento PCT/WG/18/17</w:t>
      </w:r>
    </w:p>
    <w:p w14:paraId="1E631A9A" w14:textId="77777777" w:rsidR="00203497" w:rsidRPr="00A366E6" w:rsidRDefault="00203497" w:rsidP="00203497">
      <w:pPr>
        <w:pStyle w:val="ONUME"/>
        <w:ind w:left="567" w:hanging="567"/>
        <w:rPr>
          <w:lang w:val="es-ES_tradnl"/>
        </w:rPr>
      </w:pPr>
      <w:r w:rsidRPr="00A366E6">
        <w:rPr>
          <w:lang w:val="es-ES_tradnl"/>
        </w:rPr>
        <w:t>Prórroga de la designación de las Administraciones encargadas de la búsqueda internacional y del examen preliminar internacional</w:t>
      </w:r>
    </w:p>
    <w:p w14:paraId="7F1389DF" w14:textId="77777777" w:rsidR="00A366E6" w:rsidRPr="00A366E6" w:rsidRDefault="00203497" w:rsidP="00A366E6">
      <w:pPr>
        <w:pStyle w:val="ONUME"/>
        <w:numPr>
          <w:ilvl w:val="1"/>
          <w:numId w:val="5"/>
        </w:numPr>
        <w:spacing w:after="0"/>
        <w:ind w:left="1134" w:hanging="567"/>
        <w:rPr>
          <w:lang w:val="es-ES_tradnl"/>
        </w:rPr>
      </w:pPr>
      <w:r w:rsidRPr="00A366E6">
        <w:rPr>
          <w:lang w:val="es-ES_tradnl"/>
        </w:rPr>
        <w:t>Procedimiento de prórroga de la designación</w:t>
      </w:r>
    </w:p>
    <w:p w14:paraId="5B004422" w14:textId="2B9D201B" w:rsidR="00203497" w:rsidRPr="00A366E6" w:rsidRDefault="00203497" w:rsidP="00975F1B">
      <w:pPr>
        <w:pStyle w:val="ONUME"/>
        <w:numPr>
          <w:ilvl w:val="0"/>
          <w:numId w:val="0"/>
        </w:numPr>
        <w:spacing w:after="120"/>
        <w:ind w:left="1701"/>
        <w:rPr>
          <w:lang w:val="es-ES_tradnl"/>
        </w:rPr>
      </w:pPr>
      <w:r w:rsidRPr="00A366E6">
        <w:rPr>
          <w:lang w:val="es-ES_tradnl"/>
        </w:rPr>
        <w:t>Véase el documento PCT/WG/18/5</w:t>
      </w:r>
    </w:p>
    <w:p w14:paraId="0FBE1491" w14:textId="77777777" w:rsidR="00A366E6" w:rsidRPr="00A366E6" w:rsidRDefault="00203497" w:rsidP="00975F1B">
      <w:pPr>
        <w:pStyle w:val="ONUME"/>
        <w:numPr>
          <w:ilvl w:val="1"/>
          <w:numId w:val="5"/>
        </w:numPr>
        <w:spacing w:after="120"/>
        <w:ind w:left="1134" w:hanging="567"/>
        <w:rPr>
          <w:lang w:val="es-ES_tradnl"/>
        </w:rPr>
      </w:pPr>
      <w:r w:rsidRPr="00A366E6">
        <w:rPr>
          <w:lang w:val="es-ES_tradnl"/>
        </w:rPr>
        <w:t>Formato de las solicitudes de prórroga de la designación</w:t>
      </w:r>
    </w:p>
    <w:p w14:paraId="3442C36A" w14:textId="0A27C915" w:rsidR="00203497" w:rsidRPr="00A366E6" w:rsidRDefault="00203497" w:rsidP="00975F1B">
      <w:pPr>
        <w:pStyle w:val="ONUME"/>
        <w:numPr>
          <w:ilvl w:val="0"/>
          <w:numId w:val="0"/>
        </w:numPr>
        <w:spacing w:after="120"/>
        <w:ind w:left="1701"/>
        <w:rPr>
          <w:lang w:val="es-ES_tradnl"/>
        </w:rPr>
      </w:pPr>
      <w:r w:rsidRPr="00A366E6">
        <w:rPr>
          <w:lang w:val="es-ES_tradnl"/>
        </w:rPr>
        <w:t>Véase el documento PCT/WG/18/15</w:t>
      </w:r>
    </w:p>
    <w:p w14:paraId="4F943072" w14:textId="77777777" w:rsidR="00A366E6" w:rsidRPr="00A366E6" w:rsidRDefault="00203497" w:rsidP="00A366E6">
      <w:pPr>
        <w:pStyle w:val="ONUME"/>
        <w:numPr>
          <w:ilvl w:val="1"/>
          <w:numId w:val="5"/>
        </w:numPr>
        <w:spacing w:after="0"/>
        <w:ind w:left="1134" w:hanging="567"/>
        <w:rPr>
          <w:lang w:val="es-ES_tradnl"/>
        </w:rPr>
      </w:pPr>
      <w:r w:rsidRPr="00A366E6">
        <w:rPr>
          <w:lang w:val="es-ES_tradnl"/>
        </w:rPr>
        <w:t>Modelo de acuerdo entre una Oficina u organización y la Oficina Internacional en relación con su función de Administración encargada de la búsqueda y del examen preliminar internacionales</w:t>
      </w:r>
    </w:p>
    <w:p w14:paraId="004F850A" w14:textId="03137848" w:rsidR="00203497" w:rsidRPr="00A366E6" w:rsidRDefault="00203497" w:rsidP="00A366E6">
      <w:pPr>
        <w:pStyle w:val="ONUME"/>
        <w:numPr>
          <w:ilvl w:val="0"/>
          <w:numId w:val="0"/>
        </w:numPr>
        <w:spacing w:after="240"/>
        <w:ind w:left="1701"/>
        <w:rPr>
          <w:lang w:val="es-ES_tradnl"/>
        </w:rPr>
      </w:pPr>
      <w:r w:rsidRPr="00A366E6">
        <w:rPr>
          <w:lang w:val="es-ES_tradnl"/>
        </w:rPr>
        <w:t>Véase el documento PCT/WG/18/6</w:t>
      </w:r>
    </w:p>
    <w:p w14:paraId="406C8193" w14:textId="77777777" w:rsidR="00A366E6" w:rsidRPr="00A366E6" w:rsidRDefault="00203497" w:rsidP="00A366E6">
      <w:pPr>
        <w:pStyle w:val="ONUME"/>
        <w:tabs>
          <w:tab w:val="clear" w:pos="567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Tratado de la OMPI sobre la Propiedad Intelectual, los Recursos Genéticos y los Conocimientos Tradicionales Asociados</w:t>
      </w:r>
    </w:p>
    <w:p w14:paraId="05AF87B6" w14:textId="12E3EA37" w:rsidR="00203497" w:rsidRPr="00A366E6" w:rsidRDefault="00203497" w:rsidP="00A366E6">
      <w:pPr>
        <w:pStyle w:val="ONUME"/>
        <w:numPr>
          <w:ilvl w:val="0"/>
          <w:numId w:val="0"/>
        </w:numPr>
        <w:ind w:left="1134"/>
        <w:rPr>
          <w:lang w:val="es-ES_tradnl"/>
        </w:rPr>
      </w:pPr>
      <w:r w:rsidRPr="00A366E6">
        <w:rPr>
          <w:lang w:val="es-ES_tradnl"/>
        </w:rPr>
        <w:t>Véase el documento PCT/WG/18/16</w:t>
      </w:r>
    </w:p>
    <w:p w14:paraId="45842169" w14:textId="77777777" w:rsidR="00A366E6" w:rsidRPr="00A366E6" w:rsidRDefault="00203497" w:rsidP="00A366E6">
      <w:pPr>
        <w:pStyle w:val="ONUME"/>
        <w:tabs>
          <w:tab w:val="clear" w:pos="567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Coordinación de la asistencia técnica en el marco del PC</w:t>
      </w:r>
    </w:p>
    <w:p w14:paraId="39F5F1A3" w14:textId="76480F69" w:rsidR="00203497" w:rsidRPr="00A366E6" w:rsidRDefault="00203497" w:rsidP="00A366E6">
      <w:pPr>
        <w:pStyle w:val="ONUME"/>
        <w:numPr>
          <w:ilvl w:val="0"/>
          <w:numId w:val="0"/>
        </w:numPr>
        <w:ind w:left="1134"/>
        <w:rPr>
          <w:lang w:val="es-ES_tradnl"/>
        </w:rPr>
      </w:pPr>
      <w:r w:rsidRPr="00A366E6">
        <w:rPr>
          <w:lang w:val="es-ES_tradnl"/>
        </w:rPr>
        <w:t>Véase el documento PCT/WG/18/9</w:t>
      </w:r>
    </w:p>
    <w:p w14:paraId="72D35EF5" w14:textId="77777777" w:rsidR="00A366E6" w:rsidRPr="00A366E6" w:rsidRDefault="00203497" w:rsidP="00A366E6">
      <w:pPr>
        <w:pStyle w:val="ONUME"/>
        <w:tabs>
          <w:tab w:val="clear" w:pos="567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Coordinación de la formación de examinadores de patentes</w:t>
      </w:r>
    </w:p>
    <w:p w14:paraId="2B43DBFC" w14:textId="31EED484" w:rsidR="00203497" w:rsidRPr="00A366E6" w:rsidRDefault="00203497" w:rsidP="00A366E6">
      <w:pPr>
        <w:pStyle w:val="ONUME"/>
        <w:numPr>
          <w:ilvl w:val="0"/>
          <w:numId w:val="0"/>
        </w:numPr>
        <w:ind w:left="1134"/>
        <w:rPr>
          <w:lang w:val="es-ES_tradnl"/>
        </w:rPr>
      </w:pPr>
      <w:r w:rsidRPr="00A366E6">
        <w:rPr>
          <w:lang w:val="es-ES_tradnl"/>
        </w:rPr>
        <w:t>Véase el documento PCT/WG/18/11</w:t>
      </w:r>
    </w:p>
    <w:p w14:paraId="564887A5" w14:textId="77777777" w:rsidR="00975F1B" w:rsidRPr="00975F1B" w:rsidRDefault="00203497" w:rsidP="00975F1B">
      <w:pPr>
        <w:pStyle w:val="ONUME"/>
        <w:spacing w:after="0"/>
        <w:ind w:left="1134" w:hanging="1134"/>
        <w:rPr>
          <w:lang w:val="es-ES_tradnl"/>
        </w:rPr>
      </w:pPr>
      <w:r w:rsidRPr="00A366E6">
        <w:rPr>
          <w:lang w:val="es-ES_tradnl"/>
        </w:rPr>
        <w:t>Corrección de la Regla 26.3</w:t>
      </w:r>
      <w:r w:rsidRPr="00A366E6">
        <w:rPr>
          <w:i/>
          <w:iCs/>
          <w:lang w:val="es-ES_tradnl"/>
        </w:rPr>
        <w:t>ter</w:t>
      </w:r>
    </w:p>
    <w:p w14:paraId="655B171B" w14:textId="3788B57C" w:rsidR="00203497" w:rsidRPr="00A366E6" w:rsidRDefault="00203497" w:rsidP="00975F1B">
      <w:pPr>
        <w:pStyle w:val="ONUME"/>
        <w:numPr>
          <w:ilvl w:val="0"/>
          <w:numId w:val="0"/>
        </w:numPr>
        <w:ind w:left="1134"/>
        <w:rPr>
          <w:lang w:val="es-ES_tradnl"/>
        </w:rPr>
      </w:pPr>
      <w:r w:rsidRPr="00A366E6">
        <w:rPr>
          <w:lang w:val="es-ES_tradnl"/>
        </w:rPr>
        <w:t>Véase el documento PCT/WG/18/3</w:t>
      </w:r>
    </w:p>
    <w:p w14:paraId="7F56410A" w14:textId="77777777" w:rsidR="00A366E6" w:rsidRPr="00A366E6" w:rsidRDefault="00D412AF" w:rsidP="00A366E6">
      <w:pPr>
        <w:pStyle w:val="ONUME"/>
        <w:tabs>
          <w:tab w:val="clear" w:pos="567"/>
        </w:tabs>
        <w:spacing w:after="0"/>
        <w:ind w:left="567" w:hanging="567"/>
        <w:rPr>
          <w:lang w:val="es-ES_tradnl"/>
        </w:rPr>
      </w:pPr>
      <w:r w:rsidRPr="00A366E6">
        <w:rPr>
          <w:lang w:val="es-ES_tradnl"/>
        </w:rPr>
        <w:t>Medio de presentación de solicitudes internacionales: modificaciones consiguientes</w:t>
      </w:r>
    </w:p>
    <w:p w14:paraId="11E8F918" w14:textId="2B0A0802" w:rsidR="00D412AF" w:rsidRPr="00A366E6" w:rsidRDefault="00D412AF" w:rsidP="00A366E6">
      <w:pPr>
        <w:pStyle w:val="ONUME"/>
        <w:numPr>
          <w:ilvl w:val="0"/>
          <w:numId w:val="0"/>
        </w:numPr>
        <w:ind w:left="1134"/>
        <w:rPr>
          <w:lang w:val="es-ES_tradnl"/>
        </w:rPr>
      </w:pPr>
      <w:r w:rsidRPr="00A366E6">
        <w:rPr>
          <w:lang w:val="es-ES_tradnl"/>
        </w:rPr>
        <w:t>Véase el documento PCT/WG/18/19</w:t>
      </w:r>
    </w:p>
    <w:p w14:paraId="7292485D" w14:textId="77777777" w:rsidR="00203497" w:rsidRPr="00A366E6" w:rsidRDefault="00203497" w:rsidP="00975F1B">
      <w:pPr>
        <w:pStyle w:val="ONUME"/>
        <w:keepNext/>
        <w:keepLines/>
        <w:rPr>
          <w:lang w:val="es-ES_tradnl"/>
        </w:rPr>
      </w:pPr>
      <w:r w:rsidRPr="00A366E6">
        <w:rPr>
          <w:lang w:val="es-ES_tradnl"/>
        </w:rPr>
        <w:lastRenderedPageBreak/>
        <w:t>Otros asuntos</w:t>
      </w:r>
    </w:p>
    <w:p w14:paraId="70EF04A7" w14:textId="77777777" w:rsidR="00203497" w:rsidRPr="00A366E6" w:rsidRDefault="00203497" w:rsidP="00975F1B">
      <w:pPr>
        <w:pStyle w:val="ONUME"/>
        <w:keepNext/>
        <w:keepLines/>
        <w:rPr>
          <w:lang w:val="es-ES_tradnl"/>
        </w:rPr>
      </w:pPr>
      <w:r w:rsidRPr="00A366E6">
        <w:rPr>
          <w:lang w:val="es-ES_tradnl"/>
        </w:rPr>
        <w:t>Resumen de la presidencia</w:t>
      </w:r>
    </w:p>
    <w:p w14:paraId="45D9042E" w14:textId="77777777" w:rsidR="00A366E6" w:rsidRPr="00A366E6" w:rsidRDefault="00203497" w:rsidP="00975F1B">
      <w:pPr>
        <w:pStyle w:val="ONUME"/>
        <w:keepNext/>
        <w:keepLines/>
        <w:spacing w:after="600"/>
        <w:rPr>
          <w:lang w:val="es-ES_tradnl"/>
        </w:rPr>
      </w:pPr>
      <w:r w:rsidRPr="00A366E6">
        <w:rPr>
          <w:lang w:val="es-ES_tradnl"/>
        </w:rPr>
        <w:t>Clausura de la reunión</w:t>
      </w:r>
    </w:p>
    <w:p w14:paraId="136D4127" w14:textId="08A3E10C" w:rsidR="002928D3" w:rsidRPr="00A366E6" w:rsidRDefault="00380421" w:rsidP="004472ED">
      <w:pPr>
        <w:pStyle w:val="Endofdocument-Annex"/>
        <w:rPr>
          <w:lang w:val="es-ES_tradnl"/>
        </w:rPr>
      </w:pPr>
      <w:r w:rsidRPr="00A366E6">
        <w:rPr>
          <w:lang w:val="es-ES_tradnl"/>
        </w:rPr>
        <w:t>[Fin del documento]</w:t>
      </w:r>
    </w:p>
    <w:sectPr w:rsidR="002928D3" w:rsidRPr="00A366E6" w:rsidSect="00EE541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7A99" w14:textId="77777777" w:rsidR="000F3A63" w:rsidRDefault="000F3A63">
      <w:r>
        <w:separator/>
      </w:r>
    </w:p>
  </w:endnote>
  <w:endnote w:type="continuationSeparator" w:id="0">
    <w:p w14:paraId="304C8D69" w14:textId="77777777" w:rsidR="000F3A63" w:rsidRDefault="000F3A63" w:rsidP="003B38C1">
      <w:r>
        <w:separator/>
      </w:r>
    </w:p>
    <w:p w14:paraId="03D9CF4A" w14:textId="77777777" w:rsidR="000F3A63" w:rsidRPr="00A366E6" w:rsidRDefault="000F3A63" w:rsidP="003B38C1">
      <w:pPr>
        <w:spacing w:after="60"/>
        <w:rPr>
          <w:sz w:val="17"/>
          <w:lang w:val="en-US"/>
        </w:rPr>
      </w:pPr>
      <w:r w:rsidRPr="00A366E6">
        <w:rPr>
          <w:sz w:val="17"/>
          <w:lang w:val="en-US"/>
        </w:rPr>
        <w:t>[Endnote continued from previous page]</w:t>
      </w:r>
    </w:p>
  </w:endnote>
  <w:endnote w:type="continuationNotice" w:id="1">
    <w:p w14:paraId="40383C98" w14:textId="77777777" w:rsidR="000F3A63" w:rsidRPr="00A366E6" w:rsidRDefault="000F3A63" w:rsidP="003B38C1">
      <w:pPr>
        <w:spacing w:before="60"/>
        <w:jc w:val="right"/>
        <w:rPr>
          <w:sz w:val="17"/>
          <w:szCs w:val="17"/>
          <w:lang w:val="en-US"/>
        </w:rPr>
      </w:pPr>
      <w:r w:rsidRPr="00A366E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013A" w14:textId="77777777" w:rsidR="000F3A63" w:rsidRDefault="000F3A63">
      <w:r>
        <w:separator/>
      </w:r>
    </w:p>
  </w:footnote>
  <w:footnote w:type="continuationSeparator" w:id="0">
    <w:p w14:paraId="30146A2A" w14:textId="77777777" w:rsidR="000F3A63" w:rsidRDefault="000F3A63" w:rsidP="008B60B2">
      <w:r>
        <w:separator/>
      </w:r>
    </w:p>
    <w:p w14:paraId="1A398E39" w14:textId="77777777" w:rsidR="000F3A63" w:rsidRPr="00A366E6" w:rsidRDefault="000F3A63" w:rsidP="008B60B2">
      <w:pPr>
        <w:spacing w:after="60"/>
        <w:rPr>
          <w:sz w:val="17"/>
          <w:szCs w:val="17"/>
          <w:lang w:val="en-US"/>
        </w:rPr>
      </w:pPr>
      <w:r w:rsidRPr="00A366E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2CBE0CE" w14:textId="77777777" w:rsidR="000F3A63" w:rsidRPr="00A366E6" w:rsidRDefault="000F3A63" w:rsidP="008B60B2">
      <w:pPr>
        <w:spacing w:before="60"/>
        <w:jc w:val="right"/>
        <w:rPr>
          <w:sz w:val="17"/>
          <w:szCs w:val="17"/>
          <w:lang w:val="en-US"/>
        </w:rPr>
      </w:pPr>
      <w:r w:rsidRPr="00A366E6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F653" w14:textId="4ECCBB8A" w:rsidR="00EC4E49" w:rsidRDefault="00EE541C" w:rsidP="00477D6B">
    <w:pPr>
      <w:jc w:val="right"/>
    </w:pPr>
    <w:bookmarkStart w:id="6" w:name="Code2"/>
    <w:bookmarkEnd w:id="6"/>
    <w:r>
      <w:t>PCT/WG/18/1 Prov.</w:t>
    </w:r>
    <w:r w:rsidR="00E11923">
      <w:t>3</w:t>
    </w:r>
  </w:p>
  <w:p w14:paraId="7B94B83F" w14:textId="77777777"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63C4BBA7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8354CF6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  <w:num w:numId="7" w16cid:durableId="398135468">
    <w:abstractNumId w:val="1"/>
  </w:num>
  <w:num w:numId="8" w16cid:durableId="1046761190">
    <w:abstractNumId w:val="1"/>
  </w:num>
  <w:num w:numId="9" w16cid:durableId="1146094756">
    <w:abstractNumId w:val="1"/>
  </w:num>
  <w:num w:numId="10" w16cid:durableId="2019311483">
    <w:abstractNumId w:val="1"/>
  </w:num>
  <w:num w:numId="11" w16cid:durableId="1229000579">
    <w:abstractNumId w:val="1"/>
  </w:num>
  <w:num w:numId="12" w16cid:durableId="100995188">
    <w:abstractNumId w:val="1"/>
  </w:num>
  <w:num w:numId="13" w16cid:durableId="1702822519">
    <w:abstractNumId w:val="1"/>
  </w:num>
  <w:num w:numId="14" w16cid:durableId="1286543315">
    <w:abstractNumId w:val="1"/>
  </w:num>
  <w:num w:numId="15" w16cid:durableId="1008143415">
    <w:abstractNumId w:val="1"/>
  </w:num>
  <w:num w:numId="16" w16cid:durableId="978996903">
    <w:abstractNumId w:val="1"/>
  </w:num>
  <w:num w:numId="17" w16cid:durableId="1951352250">
    <w:abstractNumId w:val="1"/>
  </w:num>
  <w:num w:numId="18" w16cid:durableId="496967941">
    <w:abstractNumId w:val="1"/>
  </w:num>
  <w:num w:numId="19" w16cid:durableId="1215384456">
    <w:abstractNumId w:val="1"/>
  </w:num>
  <w:num w:numId="20" w16cid:durableId="240919448">
    <w:abstractNumId w:val="1"/>
  </w:num>
  <w:num w:numId="21" w16cid:durableId="170952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C"/>
    <w:rsid w:val="00010F7B"/>
    <w:rsid w:val="0001647B"/>
    <w:rsid w:val="00043CAA"/>
    <w:rsid w:val="00046315"/>
    <w:rsid w:val="00055239"/>
    <w:rsid w:val="00057DE4"/>
    <w:rsid w:val="00075432"/>
    <w:rsid w:val="00093C5B"/>
    <w:rsid w:val="000968ED"/>
    <w:rsid w:val="000B46EB"/>
    <w:rsid w:val="000D2FE9"/>
    <w:rsid w:val="000F3A63"/>
    <w:rsid w:val="000F5E56"/>
    <w:rsid w:val="001024FE"/>
    <w:rsid w:val="001077E1"/>
    <w:rsid w:val="00107C90"/>
    <w:rsid w:val="0011285D"/>
    <w:rsid w:val="001276EE"/>
    <w:rsid w:val="00130975"/>
    <w:rsid w:val="001362EE"/>
    <w:rsid w:val="00142868"/>
    <w:rsid w:val="00170909"/>
    <w:rsid w:val="001725BC"/>
    <w:rsid w:val="001832A6"/>
    <w:rsid w:val="001913A6"/>
    <w:rsid w:val="001C6808"/>
    <w:rsid w:val="00203497"/>
    <w:rsid w:val="002121FA"/>
    <w:rsid w:val="00214C74"/>
    <w:rsid w:val="002634C4"/>
    <w:rsid w:val="00270481"/>
    <w:rsid w:val="002928D3"/>
    <w:rsid w:val="0029703C"/>
    <w:rsid w:val="002E7614"/>
    <w:rsid w:val="002F1FE6"/>
    <w:rsid w:val="002F4E68"/>
    <w:rsid w:val="00312F7F"/>
    <w:rsid w:val="003228B7"/>
    <w:rsid w:val="003376D1"/>
    <w:rsid w:val="003508A3"/>
    <w:rsid w:val="003673CF"/>
    <w:rsid w:val="00380421"/>
    <w:rsid w:val="003845C1"/>
    <w:rsid w:val="003A6F89"/>
    <w:rsid w:val="003B38C1"/>
    <w:rsid w:val="003D352A"/>
    <w:rsid w:val="003F4C9E"/>
    <w:rsid w:val="003F7A2C"/>
    <w:rsid w:val="00402D0F"/>
    <w:rsid w:val="00423E3E"/>
    <w:rsid w:val="00427AF4"/>
    <w:rsid w:val="004400E2"/>
    <w:rsid w:val="004472ED"/>
    <w:rsid w:val="00461632"/>
    <w:rsid w:val="004647DA"/>
    <w:rsid w:val="00474062"/>
    <w:rsid w:val="00477D6B"/>
    <w:rsid w:val="004900F2"/>
    <w:rsid w:val="00497C1B"/>
    <w:rsid w:val="004A0C78"/>
    <w:rsid w:val="004C2A8A"/>
    <w:rsid w:val="004D39C4"/>
    <w:rsid w:val="004D468A"/>
    <w:rsid w:val="00525A29"/>
    <w:rsid w:val="0053057A"/>
    <w:rsid w:val="00543927"/>
    <w:rsid w:val="0054783A"/>
    <w:rsid w:val="00560A29"/>
    <w:rsid w:val="00594D27"/>
    <w:rsid w:val="00601760"/>
    <w:rsid w:val="00605827"/>
    <w:rsid w:val="00611944"/>
    <w:rsid w:val="006379A1"/>
    <w:rsid w:val="00646050"/>
    <w:rsid w:val="00651877"/>
    <w:rsid w:val="006541D9"/>
    <w:rsid w:val="006713CA"/>
    <w:rsid w:val="0067330D"/>
    <w:rsid w:val="00676C5C"/>
    <w:rsid w:val="00695558"/>
    <w:rsid w:val="006D5E0F"/>
    <w:rsid w:val="007058FB"/>
    <w:rsid w:val="00725424"/>
    <w:rsid w:val="00744C06"/>
    <w:rsid w:val="007A4249"/>
    <w:rsid w:val="007B424D"/>
    <w:rsid w:val="007B6A58"/>
    <w:rsid w:val="007D1613"/>
    <w:rsid w:val="007E5C13"/>
    <w:rsid w:val="00816253"/>
    <w:rsid w:val="00873EE5"/>
    <w:rsid w:val="008950D6"/>
    <w:rsid w:val="008B2CC1"/>
    <w:rsid w:val="008B4B5E"/>
    <w:rsid w:val="008B60B2"/>
    <w:rsid w:val="008C4FB9"/>
    <w:rsid w:val="0090731E"/>
    <w:rsid w:val="00916EE2"/>
    <w:rsid w:val="00927311"/>
    <w:rsid w:val="00946221"/>
    <w:rsid w:val="00966A22"/>
    <w:rsid w:val="0096722F"/>
    <w:rsid w:val="00975F1B"/>
    <w:rsid w:val="00980843"/>
    <w:rsid w:val="009E2791"/>
    <w:rsid w:val="009E3F6F"/>
    <w:rsid w:val="009F3BF9"/>
    <w:rsid w:val="009F499F"/>
    <w:rsid w:val="00A26A28"/>
    <w:rsid w:val="00A366E6"/>
    <w:rsid w:val="00A42DAF"/>
    <w:rsid w:val="00A45BD8"/>
    <w:rsid w:val="00A660F8"/>
    <w:rsid w:val="00A778BF"/>
    <w:rsid w:val="00A8488F"/>
    <w:rsid w:val="00A85B8E"/>
    <w:rsid w:val="00AC205C"/>
    <w:rsid w:val="00AF5C73"/>
    <w:rsid w:val="00B05A69"/>
    <w:rsid w:val="00B40598"/>
    <w:rsid w:val="00B50B99"/>
    <w:rsid w:val="00B62CD9"/>
    <w:rsid w:val="00B9734B"/>
    <w:rsid w:val="00BA1989"/>
    <w:rsid w:val="00BF2415"/>
    <w:rsid w:val="00BF48DE"/>
    <w:rsid w:val="00C07B07"/>
    <w:rsid w:val="00C11BFE"/>
    <w:rsid w:val="00C91AB4"/>
    <w:rsid w:val="00C94629"/>
    <w:rsid w:val="00CE65D4"/>
    <w:rsid w:val="00D06625"/>
    <w:rsid w:val="00D412AF"/>
    <w:rsid w:val="00D45252"/>
    <w:rsid w:val="00D512C7"/>
    <w:rsid w:val="00D71B4D"/>
    <w:rsid w:val="00D82D23"/>
    <w:rsid w:val="00D93D55"/>
    <w:rsid w:val="00DB73A5"/>
    <w:rsid w:val="00E070BF"/>
    <w:rsid w:val="00E11923"/>
    <w:rsid w:val="00E161A2"/>
    <w:rsid w:val="00E335FE"/>
    <w:rsid w:val="00E5021F"/>
    <w:rsid w:val="00E671A6"/>
    <w:rsid w:val="00E90B8B"/>
    <w:rsid w:val="00EC4E49"/>
    <w:rsid w:val="00EC6EF7"/>
    <w:rsid w:val="00ED77FB"/>
    <w:rsid w:val="00EE541C"/>
    <w:rsid w:val="00F021A6"/>
    <w:rsid w:val="00F11D94"/>
    <w:rsid w:val="00F60FD3"/>
    <w:rsid w:val="00F66152"/>
    <w:rsid w:val="00F71B3A"/>
    <w:rsid w:val="00F77958"/>
    <w:rsid w:val="00F866B9"/>
    <w:rsid w:val="00F9200A"/>
    <w:rsid w:val="00FA4FF7"/>
    <w:rsid w:val="00FB3E54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46CAE"/>
  <w15:docId w15:val="{93E031FD-B577-40EF-A46B-DE4BCBB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0F3A6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(E)</Template>
  <TotalTime>0</TotalTime>
  <Pages>3</Pages>
  <Words>396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 Prov.</vt:lpstr>
    </vt:vector>
  </TitlesOfParts>
  <Company>WIPO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 Prov. 3</dc:title>
  <dc:subject>Draft Agenda</dc:subject>
  <dc:creator>MARLOW Thomas</dc:creator>
  <cp:keywords/>
  <cp:lastModifiedBy>MARLOW Thomas</cp:lastModifiedBy>
  <cp:revision>2</cp:revision>
  <cp:lastPrinted>2025-01-28T16:06:00Z</cp:lastPrinted>
  <dcterms:created xsi:type="dcterms:W3CDTF">2025-02-13T12:27:00Z</dcterms:created>
  <dcterms:modified xsi:type="dcterms:W3CDTF">2025-02-13T12:27:00Z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