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8174E" w:rsidRDefault="00472A6E" w:rsidP="00512BA1">
      <w:pPr>
        <w:spacing w:before="360" w:after="240"/>
        <w:ind w:right="-57"/>
        <w:jc w:val="right"/>
        <w:rPr>
          <w:lang w:val="es-ES_tradnl"/>
        </w:rPr>
      </w:pPr>
      <w:r w:rsidRPr="0018174E">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8174E" w:rsidRDefault="00141EDC" w:rsidP="00512BA1">
      <w:pPr>
        <w:pBdr>
          <w:top w:val="single" w:sz="4" w:space="9" w:color="auto"/>
        </w:pBdr>
        <w:jc w:val="right"/>
        <w:rPr>
          <w:rFonts w:ascii="Arial Black" w:hAnsi="Arial Black"/>
          <w:caps/>
          <w:sz w:val="15"/>
          <w:lang w:val="es-ES_tradnl"/>
        </w:rPr>
      </w:pPr>
      <w:r w:rsidRPr="0018174E">
        <w:rPr>
          <w:rFonts w:ascii="Arial Black" w:hAnsi="Arial Black"/>
          <w:caps/>
          <w:sz w:val="15"/>
          <w:lang w:val="es-ES_tradnl"/>
        </w:rPr>
        <w:t>PCT</w:t>
      </w:r>
      <w:r w:rsidR="00512BA1" w:rsidRPr="0018174E">
        <w:rPr>
          <w:rFonts w:ascii="Arial Black" w:hAnsi="Arial Black"/>
          <w:caps/>
          <w:sz w:val="15"/>
          <w:lang w:val="es-ES_tradnl"/>
        </w:rPr>
        <w:t>/</w:t>
      </w:r>
      <w:r w:rsidRPr="0018174E">
        <w:rPr>
          <w:rFonts w:ascii="Arial Black" w:hAnsi="Arial Black"/>
          <w:caps/>
          <w:sz w:val="15"/>
          <w:lang w:val="es-ES_tradnl"/>
        </w:rPr>
        <w:t>WG/13</w:t>
      </w:r>
      <w:r w:rsidR="00512BA1" w:rsidRPr="0018174E">
        <w:rPr>
          <w:rFonts w:ascii="Arial Black" w:hAnsi="Arial Black"/>
          <w:caps/>
          <w:sz w:val="15"/>
          <w:lang w:val="es-ES_tradnl"/>
        </w:rPr>
        <w:t>/</w:t>
      </w:r>
      <w:bookmarkStart w:id="0" w:name="Code"/>
      <w:r w:rsidR="0062517B" w:rsidRPr="0018174E">
        <w:rPr>
          <w:rFonts w:ascii="Arial Black" w:hAnsi="Arial Black"/>
          <w:caps/>
          <w:sz w:val="15"/>
          <w:lang w:val="es-ES_tradnl"/>
        </w:rPr>
        <w:t>10</w:t>
      </w:r>
    </w:p>
    <w:bookmarkEnd w:id="0"/>
    <w:p w:rsidR="008B2CC1" w:rsidRPr="0018174E" w:rsidRDefault="00472A6E" w:rsidP="00472A6E">
      <w:pPr>
        <w:jc w:val="right"/>
        <w:rPr>
          <w:lang w:val="es-ES_tradnl"/>
        </w:rPr>
      </w:pPr>
      <w:r w:rsidRPr="0018174E">
        <w:rPr>
          <w:rFonts w:ascii="Arial Black" w:hAnsi="Arial Black"/>
          <w:caps/>
          <w:sz w:val="15"/>
          <w:lang w:val="es-ES_tradnl"/>
        </w:rPr>
        <w:t xml:space="preserve">ORIGINAL: </w:t>
      </w:r>
      <w:bookmarkStart w:id="1" w:name="Original"/>
      <w:r w:rsidR="0062517B" w:rsidRPr="0018174E">
        <w:rPr>
          <w:rFonts w:ascii="Arial Black" w:hAnsi="Arial Black"/>
          <w:caps/>
          <w:sz w:val="15"/>
          <w:lang w:val="es-ES_tradnl"/>
        </w:rPr>
        <w:t>INGLÉS</w:t>
      </w:r>
    </w:p>
    <w:bookmarkEnd w:id="1"/>
    <w:p w:rsidR="008B2CC1" w:rsidRPr="0018174E" w:rsidRDefault="00472A6E" w:rsidP="00472A6E">
      <w:pPr>
        <w:spacing w:after="1200"/>
        <w:jc w:val="right"/>
        <w:rPr>
          <w:lang w:val="es-ES_tradnl"/>
        </w:rPr>
      </w:pPr>
      <w:r w:rsidRPr="0018174E">
        <w:rPr>
          <w:rFonts w:ascii="Arial Black" w:hAnsi="Arial Black"/>
          <w:caps/>
          <w:sz w:val="15"/>
          <w:lang w:val="es-ES_tradnl"/>
        </w:rPr>
        <w:t xml:space="preserve">fecha: </w:t>
      </w:r>
      <w:bookmarkStart w:id="2" w:name="Date"/>
      <w:r w:rsidR="0062517B" w:rsidRPr="0018174E">
        <w:rPr>
          <w:rFonts w:ascii="Arial Black" w:hAnsi="Arial Black"/>
          <w:caps/>
          <w:sz w:val="15"/>
          <w:lang w:val="es-ES_tradnl"/>
        </w:rPr>
        <w:t>10 DE SEPTIEMBRE DE 2020</w:t>
      </w:r>
    </w:p>
    <w:bookmarkEnd w:id="2"/>
    <w:p w:rsidR="00B67CDC" w:rsidRPr="0018174E" w:rsidRDefault="00141EDC" w:rsidP="00F85931">
      <w:pPr>
        <w:pStyle w:val="Heading1"/>
        <w:spacing w:before="0" w:after="600"/>
        <w:rPr>
          <w:sz w:val="28"/>
          <w:szCs w:val="28"/>
          <w:lang w:val="es-ES_tradnl"/>
        </w:rPr>
      </w:pPr>
      <w:r w:rsidRPr="0018174E">
        <w:rPr>
          <w:caps w:val="0"/>
          <w:sz w:val="28"/>
          <w:szCs w:val="28"/>
          <w:lang w:val="es-ES_tradnl"/>
        </w:rPr>
        <w:t>Grupo de Trabajo del Tratado de Cooperación en materia de Patentes (PCT)</w:t>
      </w:r>
    </w:p>
    <w:p w:rsidR="0062517B" w:rsidRPr="0018174E" w:rsidRDefault="00141EDC" w:rsidP="0062517B">
      <w:pPr>
        <w:outlineLvl w:val="1"/>
        <w:rPr>
          <w:b/>
          <w:sz w:val="24"/>
          <w:szCs w:val="24"/>
          <w:lang w:val="es-ES_tradnl"/>
        </w:rPr>
      </w:pPr>
      <w:r w:rsidRPr="0018174E">
        <w:rPr>
          <w:b/>
          <w:sz w:val="24"/>
          <w:szCs w:val="24"/>
          <w:lang w:val="es-ES_tradnl"/>
        </w:rPr>
        <w:t>Decimotercera reunión</w:t>
      </w:r>
    </w:p>
    <w:p w:rsidR="00B67CDC" w:rsidRPr="0018174E" w:rsidRDefault="00141EDC" w:rsidP="00141EDC">
      <w:pPr>
        <w:spacing w:after="720"/>
        <w:outlineLvl w:val="1"/>
        <w:rPr>
          <w:b/>
          <w:sz w:val="24"/>
          <w:szCs w:val="24"/>
          <w:lang w:val="es-ES_tradnl"/>
        </w:rPr>
      </w:pPr>
      <w:r w:rsidRPr="0018174E">
        <w:rPr>
          <w:b/>
          <w:sz w:val="24"/>
          <w:szCs w:val="24"/>
          <w:lang w:val="es-ES_tradnl"/>
        </w:rPr>
        <w:t xml:space="preserve">Ginebra, </w:t>
      </w:r>
      <w:r w:rsidR="005A41EB" w:rsidRPr="0018174E">
        <w:rPr>
          <w:b/>
          <w:sz w:val="24"/>
          <w:szCs w:val="24"/>
          <w:lang w:val="es-ES_tradnl"/>
        </w:rPr>
        <w:t>5 a 8 de octubre</w:t>
      </w:r>
      <w:r w:rsidRPr="0018174E">
        <w:rPr>
          <w:b/>
          <w:sz w:val="24"/>
          <w:szCs w:val="24"/>
          <w:lang w:val="es-ES_tradnl"/>
        </w:rPr>
        <w:t xml:space="preserve"> de 2020</w:t>
      </w:r>
    </w:p>
    <w:p w:rsidR="008B2CC1" w:rsidRPr="0018174E" w:rsidRDefault="00492652" w:rsidP="00472A6E">
      <w:pPr>
        <w:spacing w:after="360"/>
        <w:rPr>
          <w:caps/>
          <w:sz w:val="24"/>
          <w:lang w:val="es-ES_tradnl"/>
        </w:rPr>
      </w:pPr>
      <w:bookmarkStart w:id="3" w:name="TitleOfDoc"/>
      <w:r w:rsidRPr="0018174E">
        <w:rPr>
          <w:caps/>
          <w:sz w:val="24"/>
          <w:lang w:val="es-ES_tradnl"/>
        </w:rPr>
        <w:t>fortalecer las salvaguardias del</w:t>
      </w:r>
      <w:r w:rsidR="0062517B" w:rsidRPr="0018174E">
        <w:rPr>
          <w:caps/>
          <w:sz w:val="24"/>
          <w:lang w:val="es-ES_tradnl"/>
        </w:rPr>
        <w:t xml:space="preserve"> PCT </w:t>
      </w:r>
      <w:r w:rsidRPr="0018174E">
        <w:rPr>
          <w:caps/>
          <w:sz w:val="24"/>
          <w:lang w:val="es-ES_tradnl"/>
        </w:rPr>
        <w:t xml:space="preserve">en caso de </w:t>
      </w:r>
      <w:r w:rsidR="004C21BA">
        <w:rPr>
          <w:caps/>
          <w:sz w:val="24"/>
          <w:lang w:val="es-ES_tradnl"/>
        </w:rPr>
        <w:t>PERTURBA</w:t>
      </w:r>
      <w:r w:rsidR="009650F0" w:rsidRPr="0018174E">
        <w:rPr>
          <w:caps/>
          <w:sz w:val="24"/>
          <w:lang w:val="es-ES_tradnl"/>
        </w:rPr>
        <w:t>CIÓN</w:t>
      </w:r>
      <w:r w:rsidR="004C21BA">
        <w:rPr>
          <w:caps/>
          <w:sz w:val="24"/>
          <w:lang w:val="es-ES_tradnl"/>
        </w:rPr>
        <w:t xml:space="preserve"> generalizada</w:t>
      </w:r>
    </w:p>
    <w:p w:rsidR="008B2CC1" w:rsidRPr="0018174E" w:rsidRDefault="0062517B" w:rsidP="00F85931">
      <w:pPr>
        <w:spacing w:after="960"/>
        <w:rPr>
          <w:i/>
          <w:lang w:val="es-ES_tradnl"/>
        </w:rPr>
      </w:pPr>
      <w:bookmarkStart w:id="4" w:name="Prepared"/>
      <w:bookmarkEnd w:id="3"/>
      <w:r w:rsidRPr="0018174E">
        <w:rPr>
          <w:i/>
          <w:lang w:val="es-ES_tradnl"/>
        </w:rPr>
        <w:t>Document</w:t>
      </w:r>
      <w:r w:rsidR="00492652" w:rsidRPr="0018174E">
        <w:rPr>
          <w:i/>
          <w:lang w:val="es-ES_tradnl"/>
        </w:rPr>
        <w:t>o presentado por la Oficina Europea de Patentes, Francia, Suiza y el Reino Unido</w:t>
      </w:r>
    </w:p>
    <w:bookmarkEnd w:id="4"/>
    <w:p w:rsidR="007C2853" w:rsidRPr="0018174E" w:rsidRDefault="00492652" w:rsidP="007C2853">
      <w:pPr>
        <w:pStyle w:val="Heading1"/>
        <w:rPr>
          <w:lang w:val="es-ES_tradnl"/>
        </w:rPr>
      </w:pPr>
      <w:r w:rsidRPr="0018174E">
        <w:rPr>
          <w:lang w:val="es-ES_tradnl"/>
        </w:rPr>
        <w:t>RESUMEN</w:t>
      </w:r>
    </w:p>
    <w:p w:rsidR="007C2853" w:rsidRPr="0018174E" w:rsidRDefault="00832DAB" w:rsidP="00AE05B1">
      <w:pPr>
        <w:pStyle w:val="ONUMFS"/>
        <w:rPr>
          <w:lang w:val="es-ES_tradnl"/>
        </w:rPr>
      </w:pPr>
      <w:r w:rsidRPr="0018174E">
        <w:rPr>
          <w:lang w:val="es-ES_tradnl"/>
        </w:rPr>
        <w:t xml:space="preserve">El Sistema del PCT proporciona </w:t>
      </w:r>
      <w:r w:rsidR="00151E43" w:rsidRPr="0018174E">
        <w:rPr>
          <w:lang w:val="es-ES_tradnl"/>
        </w:rPr>
        <w:t xml:space="preserve">complejas </w:t>
      </w:r>
      <w:r w:rsidRPr="0018174E">
        <w:rPr>
          <w:lang w:val="es-ES_tradnl"/>
        </w:rPr>
        <w:t xml:space="preserve">salvaguardias para proteger los derechos de los solicitantes, incluida la restauración del derecho de prioridad, la excusa de los retrasos o la </w:t>
      </w:r>
      <w:r w:rsidR="00CD279C" w:rsidRPr="0018174E">
        <w:rPr>
          <w:lang w:val="es-ES_tradnl"/>
        </w:rPr>
        <w:t>prórroga</w:t>
      </w:r>
      <w:r w:rsidRPr="0018174E">
        <w:rPr>
          <w:lang w:val="es-ES_tradnl"/>
        </w:rPr>
        <w:t xml:space="preserve"> de los plazos </w:t>
      </w:r>
      <w:r w:rsidR="00151E43" w:rsidRPr="0018174E">
        <w:rPr>
          <w:lang w:val="es-ES_tradnl"/>
        </w:rPr>
        <w:t>con arreglo a</w:t>
      </w:r>
      <w:r w:rsidRPr="0018174E">
        <w:rPr>
          <w:lang w:val="es-ES_tradnl"/>
        </w:rPr>
        <w:t xml:space="preserve"> diversas circunstancias. Sin embargo, la emergencia </w:t>
      </w:r>
      <w:r w:rsidR="004C21BA">
        <w:rPr>
          <w:lang w:val="es-ES_tradnl"/>
        </w:rPr>
        <w:t>causada por la</w:t>
      </w:r>
      <w:r w:rsidRPr="0018174E">
        <w:rPr>
          <w:lang w:val="es-ES_tradnl"/>
        </w:rPr>
        <w:t xml:space="preserve"> COVID-19 ha puesto de manifiesto que todavía existen ciertas limitaciones y </w:t>
      </w:r>
      <w:r w:rsidR="00151E43" w:rsidRPr="0018174E">
        <w:rPr>
          <w:lang w:val="es-ES_tradnl"/>
        </w:rPr>
        <w:t xml:space="preserve">que se puede seguir mejorando el </w:t>
      </w:r>
      <w:r w:rsidR="004C21BA" w:rsidRPr="0018174E">
        <w:rPr>
          <w:lang w:val="es-ES_tradnl"/>
        </w:rPr>
        <w:t>Sistema</w:t>
      </w:r>
      <w:r w:rsidRPr="0018174E">
        <w:rPr>
          <w:lang w:val="es-ES_tradnl"/>
        </w:rPr>
        <w:t>. La Oficina Europea de Patentes (OEP) propone modificar el Reglamento del PCT</w:t>
      </w:r>
      <w:r w:rsidR="00B70EB1">
        <w:rPr>
          <w:lang w:val="es-ES_tradnl"/>
        </w:rPr>
        <w:t xml:space="preserve"> mediante la introducción de un</w:t>
      </w:r>
      <w:r w:rsidRPr="0018174E">
        <w:rPr>
          <w:lang w:val="es-ES_tradnl"/>
        </w:rPr>
        <w:t xml:space="preserve"> nuev</w:t>
      </w:r>
      <w:r w:rsidR="00B70EB1">
        <w:rPr>
          <w:lang w:val="es-ES_tradnl"/>
        </w:rPr>
        <w:t>o apartado 3 en la</w:t>
      </w:r>
      <w:r w:rsidRPr="0018174E">
        <w:rPr>
          <w:lang w:val="es-ES_tradnl"/>
        </w:rPr>
        <w:t xml:space="preserve"> Regla</w:t>
      </w:r>
      <w:r w:rsidR="00B70EB1">
        <w:rPr>
          <w:lang w:val="es-ES_tradnl"/>
        </w:rPr>
        <w:t> </w:t>
      </w:r>
      <w:r w:rsidRPr="0018174E">
        <w:rPr>
          <w:lang w:val="es-ES_tradnl"/>
        </w:rPr>
        <w:t>82</w:t>
      </w:r>
      <w:r w:rsidRPr="0018174E">
        <w:rPr>
          <w:i/>
          <w:lang w:val="es-ES_tradnl"/>
        </w:rPr>
        <w:t>quater</w:t>
      </w:r>
      <w:r w:rsidR="00474E3B" w:rsidRPr="0018174E">
        <w:rPr>
          <w:lang w:val="es-ES_tradnl"/>
        </w:rPr>
        <w:t xml:space="preserve"> que </w:t>
      </w:r>
      <w:r w:rsidRPr="0018174E">
        <w:rPr>
          <w:lang w:val="es-ES_tradnl"/>
        </w:rPr>
        <w:t xml:space="preserve">permitiría expresamente que una Oficina </w:t>
      </w:r>
      <w:r w:rsidR="00CD279C" w:rsidRPr="0018174E">
        <w:rPr>
          <w:lang w:val="es-ES_tradnl"/>
        </w:rPr>
        <w:t>prorrogue</w:t>
      </w:r>
      <w:r w:rsidRPr="0018174E">
        <w:rPr>
          <w:lang w:val="es-ES_tradnl"/>
        </w:rPr>
        <w:t xml:space="preserve"> </w:t>
      </w:r>
      <w:r w:rsidR="00867B0C" w:rsidRPr="0018174E">
        <w:rPr>
          <w:lang w:val="es-ES_tradnl"/>
        </w:rPr>
        <w:t xml:space="preserve">por un período determinado </w:t>
      </w:r>
      <w:r w:rsidRPr="0018174E">
        <w:rPr>
          <w:lang w:val="es-ES_tradnl"/>
        </w:rPr>
        <w:t xml:space="preserve">los plazos del PCT en caso de </w:t>
      </w:r>
      <w:r w:rsidR="00CD279C" w:rsidRPr="0018174E">
        <w:rPr>
          <w:lang w:val="es-ES_tradnl"/>
        </w:rPr>
        <w:t xml:space="preserve">que </w:t>
      </w:r>
      <w:r w:rsidR="00567977" w:rsidRPr="0018174E">
        <w:rPr>
          <w:lang w:val="es-ES_tradnl"/>
        </w:rPr>
        <w:t>acontezcan</w:t>
      </w:r>
      <w:r w:rsidR="00CD279C" w:rsidRPr="0018174E">
        <w:rPr>
          <w:lang w:val="es-ES_tradnl"/>
        </w:rPr>
        <w:t xml:space="preserve"> </w:t>
      </w:r>
      <w:r w:rsidRPr="0018174E">
        <w:rPr>
          <w:lang w:val="es-ES_tradnl"/>
        </w:rPr>
        <w:t xml:space="preserve">circunstancias extraordinarias. </w:t>
      </w:r>
      <w:r w:rsidR="00AE05B1" w:rsidRPr="0018174E">
        <w:rPr>
          <w:lang w:val="es-ES_tradnl"/>
        </w:rPr>
        <w:t xml:space="preserve">Para ello, sería necesario que el Estado en que </w:t>
      </w:r>
      <w:r w:rsidR="00D747E2" w:rsidRPr="0018174E">
        <w:rPr>
          <w:lang w:val="es-ES_tradnl"/>
        </w:rPr>
        <w:t>esté ubicada</w:t>
      </w:r>
      <w:r w:rsidR="00AE05B1" w:rsidRPr="0018174E">
        <w:rPr>
          <w:lang w:val="es-ES_tradnl"/>
        </w:rPr>
        <w:t xml:space="preserve"> la Oficina </w:t>
      </w:r>
      <w:r w:rsidR="00362C69">
        <w:rPr>
          <w:lang w:val="es-ES_tradnl"/>
        </w:rPr>
        <w:t>sufra</w:t>
      </w:r>
      <w:r w:rsidR="00AE05B1" w:rsidRPr="0018174E">
        <w:rPr>
          <w:lang w:val="es-ES_tradnl"/>
        </w:rPr>
        <w:t xml:space="preserve"> una </w:t>
      </w:r>
      <w:r w:rsidR="00867B0C">
        <w:rPr>
          <w:lang w:val="es-ES_tradnl"/>
        </w:rPr>
        <w:t>perturbación</w:t>
      </w:r>
      <w:r w:rsidR="00AE05B1" w:rsidRPr="0018174E">
        <w:rPr>
          <w:lang w:val="es-ES_tradnl"/>
        </w:rPr>
        <w:t xml:space="preserve"> general, debido, por ejemplo, a una epidemia</w:t>
      </w:r>
      <w:r w:rsidR="00867B0C">
        <w:rPr>
          <w:lang w:val="es-ES_tradnl"/>
        </w:rPr>
        <w:t>.</w:t>
      </w:r>
    </w:p>
    <w:p w:rsidR="007C2853" w:rsidRPr="0018174E" w:rsidRDefault="00492652" w:rsidP="007C2853">
      <w:pPr>
        <w:pStyle w:val="Heading1"/>
        <w:rPr>
          <w:lang w:val="es-ES_tradnl"/>
        </w:rPr>
      </w:pPr>
      <w:r w:rsidRPr="0018174E">
        <w:rPr>
          <w:lang w:val="es-ES_tradnl"/>
        </w:rPr>
        <w:t>ANTECEDENTES</w:t>
      </w:r>
    </w:p>
    <w:p w:rsidR="007C2853" w:rsidRPr="0018174E" w:rsidRDefault="0069367C" w:rsidP="0069367C">
      <w:pPr>
        <w:pStyle w:val="ONUMFS"/>
        <w:rPr>
          <w:lang w:val="es-ES_tradnl"/>
        </w:rPr>
      </w:pPr>
      <w:r w:rsidRPr="0018174E">
        <w:rPr>
          <w:lang w:val="es-ES_tradnl"/>
        </w:rPr>
        <w:t xml:space="preserve">El 11 de marzo de 2020, </w:t>
      </w:r>
      <w:r w:rsidR="00C40892" w:rsidRPr="0018174E">
        <w:rPr>
          <w:lang w:val="es-ES_tradnl"/>
        </w:rPr>
        <w:t>la emergencia de COVID-19</w:t>
      </w:r>
      <w:r w:rsidR="00474E3B" w:rsidRPr="0018174E">
        <w:rPr>
          <w:lang w:val="es-ES_tradnl"/>
        </w:rPr>
        <w:t xml:space="preserve"> fue declarada </w:t>
      </w:r>
      <w:r w:rsidRPr="0018174E">
        <w:rPr>
          <w:lang w:val="es-ES_tradnl"/>
        </w:rPr>
        <w:t xml:space="preserve">emergencia de salud pública </w:t>
      </w:r>
      <w:r w:rsidR="00C40892" w:rsidRPr="0018174E">
        <w:rPr>
          <w:lang w:val="es-ES_tradnl"/>
        </w:rPr>
        <w:t xml:space="preserve">de carácter </w:t>
      </w:r>
      <w:r w:rsidRPr="0018174E">
        <w:rPr>
          <w:lang w:val="es-ES_tradnl"/>
        </w:rPr>
        <w:t>internacional y pandemia</w:t>
      </w:r>
      <w:r w:rsidR="00C40892" w:rsidRPr="0018174E">
        <w:rPr>
          <w:lang w:val="es-ES_tradnl"/>
        </w:rPr>
        <w:t xml:space="preserve"> por la Organización Mundial de la Salud (OMS)</w:t>
      </w:r>
      <w:r w:rsidRPr="0018174E">
        <w:rPr>
          <w:lang w:val="es-ES_tradnl"/>
        </w:rPr>
        <w:t>. Como consecuencia de esta crisis sanitaria, una gran mayoría de países de</w:t>
      </w:r>
      <w:r w:rsidR="004F0E2C" w:rsidRPr="0018174E">
        <w:rPr>
          <w:lang w:val="es-ES_tradnl"/>
        </w:rPr>
        <w:t xml:space="preserve"> todo </w:t>
      </w:r>
      <w:r w:rsidR="004F0E2C" w:rsidRPr="00155DA8">
        <w:rPr>
          <w:lang w:val="es-ES_tradnl"/>
        </w:rPr>
        <w:t>e</w:t>
      </w:r>
      <w:r w:rsidRPr="00155DA8">
        <w:rPr>
          <w:lang w:val="es-ES_tradnl"/>
        </w:rPr>
        <w:t>l</w:t>
      </w:r>
      <w:r w:rsidRPr="0018174E">
        <w:rPr>
          <w:lang w:val="es-ES_tradnl"/>
        </w:rPr>
        <w:t xml:space="preserve"> mundo declaró el estado de alarma o de emergencia, lo que dio lugar a restricciones en el movimiento de personas</w:t>
      </w:r>
      <w:r w:rsidR="00155DA8">
        <w:rPr>
          <w:lang w:val="es-ES_tradnl"/>
        </w:rPr>
        <w:t>,</w:t>
      </w:r>
      <w:r w:rsidRPr="0018174E">
        <w:rPr>
          <w:lang w:val="es-ES_tradnl"/>
        </w:rPr>
        <w:t xml:space="preserve"> así como en determinados servicios y en la vida pública en general, e incidió seriamente en la actividad económica, provocando una importante </w:t>
      </w:r>
      <w:r w:rsidR="00D04E6A" w:rsidRPr="0018174E">
        <w:rPr>
          <w:lang w:val="es-ES_tradnl"/>
        </w:rPr>
        <w:t>alteración</w:t>
      </w:r>
      <w:r w:rsidRPr="0018174E">
        <w:rPr>
          <w:lang w:val="es-ES_tradnl"/>
        </w:rPr>
        <w:t xml:space="preserve"> del comercio internacional y </w:t>
      </w:r>
      <w:r w:rsidR="00C40892" w:rsidRPr="0018174E">
        <w:rPr>
          <w:lang w:val="es-ES_tradnl"/>
        </w:rPr>
        <w:t xml:space="preserve">de </w:t>
      </w:r>
      <w:r w:rsidRPr="0018174E">
        <w:rPr>
          <w:lang w:val="es-ES_tradnl"/>
        </w:rPr>
        <w:t>los procesos habituales de trabajo</w:t>
      </w:r>
      <w:r w:rsidR="00155DA8">
        <w:rPr>
          <w:lang w:val="es-ES_tradnl"/>
        </w:rPr>
        <w:t>.</w:t>
      </w:r>
    </w:p>
    <w:p w:rsidR="007C2853" w:rsidRPr="0018174E" w:rsidRDefault="00166691" w:rsidP="005645D0">
      <w:pPr>
        <w:pStyle w:val="ONUMFS"/>
        <w:rPr>
          <w:lang w:val="es-ES_tradnl"/>
        </w:rPr>
      </w:pPr>
      <w:bookmarkStart w:id="5" w:name="_Ref50129632"/>
      <w:r w:rsidRPr="0018174E">
        <w:rPr>
          <w:lang w:val="es-ES_tradnl"/>
        </w:rPr>
        <w:lastRenderedPageBreak/>
        <w:t xml:space="preserve">Muchos Estados contratantes del PCT han sufrido, y todavía sufren, restricciones que han producido </w:t>
      </w:r>
      <w:r w:rsidR="009650F0" w:rsidRPr="0018174E">
        <w:rPr>
          <w:lang w:val="es-ES_tradnl"/>
        </w:rPr>
        <w:t>perturbaciones</w:t>
      </w:r>
      <w:r w:rsidRPr="0018174E">
        <w:rPr>
          <w:lang w:val="es-ES_tradnl"/>
        </w:rPr>
        <w:t xml:space="preserve"> </w:t>
      </w:r>
      <w:r w:rsidR="009821A2" w:rsidRPr="0018174E">
        <w:rPr>
          <w:lang w:val="es-ES_tradnl"/>
        </w:rPr>
        <w:t>en</w:t>
      </w:r>
      <w:r w:rsidRPr="0018174E">
        <w:rPr>
          <w:lang w:val="es-ES_tradnl"/>
        </w:rPr>
        <w:t xml:space="preserve"> la vida pública y privada de los ciudadanos. La Oficina Internacional de la OMPI ha calificado la pandemia mundial actual de “calamidad natural […] u otros motivos semejantes” en el sentido que se recoge en la Regla 82</w:t>
      </w:r>
      <w:r w:rsidRPr="0018174E">
        <w:rPr>
          <w:i/>
          <w:lang w:val="es-ES_tradnl"/>
        </w:rPr>
        <w:t>quater</w:t>
      </w:r>
      <w:r w:rsidRPr="0018174E">
        <w:rPr>
          <w:lang w:val="es-ES_tradnl"/>
        </w:rPr>
        <w:t xml:space="preserve">.1, como se establece en </w:t>
      </w:r>
      <w:r w:rsidR="002D7A90" w:rsidRPr="0018174E">
        <w:rPr>
          <w:lang w:val="es-ES_tradnl"/>
        </w:rPr>
        <w:t xml:space="preserve">la Declaración interpretativa y recomendación para la modificación de prácticas relativas al Tratado de Cooperación en materia de Patentes (PCT) en el marco de la pandemia de COVID-19 (“la </w:t>
      </w:r>
      <w:r w:rsidR="006C678E" w:rsidRPr="0018174E">
        <w:rPr>
          <w:lang w:val="es-ES_tradnl"/>
        </w:rPr>
        <w:t>D</w:t>
      </w:r>
      <w:r w:rsidR="002D7A90" w:rsidRPr="0018174E">
        <w:rPr>
          <w:lang w:val="es-ES_tradnl"/>
        </w:rPr>
        <w:t>eclaración interpretativa”)</w:t>
      </w:r>
      <w:r w:rsidR="009821A2" w:rsidRPr="0018174E">
        <w:rPr>
          <w:lang w:val="es-ES_tradnl"/>
        </w:rPr>
        <w:t>,</w:t>
      </w:r>
      <w:r w:rsidR="002D7A90" w:rsidRPr="0018174E">
        <w:rPr>
          <w:lang w:val="es-ES_tradnl"/>
        </w:rPr>
        <w:t xml:space="preserve"> publicada el 9 de abril de 2020</w:t>
      </w:r>
      <w:r w:rsidR="006C678E" w:rsidRPr="0018174E">
        <w:rPr>
          <w:lang w:val="es-ES_tradnl"/>
        </w:rPr>
        <w:t>.</w:t>
      </w:r>
      <w:r w:rsidR="007C2853" w:rsidRPr="0018174E">
        <w:rPr>
          <w:rStyle w:val="FootnoteReference"/>
          <w:lang w:val="es-ES_tradnl"/>
        </w:rPr>
        <w:footnoteReference w:id="2"/>
      </w:r>
      <w:r w:rsidR="00D04E6A" w:rsidRPr="0018174E">
        <w:rPr>
          <w:lang w:val="es-ES_tradnl"/>
        </w:rPr>
        <w:t xml:space="preserve"> Aunque algunas Oficinas se acogieron a la Regla </w:t>
      </w:r>
      <w:r w:rsidR="00261892" w:rsidRPr="0018174E">
        <w:rPr>
          <w:lang w:val="es-ES_tradnl"/>
        </w:rPr>
        <w:t>80.5.i), que se aplica en los casos en que las Oficinas no est</w:t>
      </w:r>
      <w:r w:rsidR="006C678E" w:rsidRPr="0018174E">
        <w:rPr>
          <w:lang w:val="es-ES_tradnl"/>
        </w:rPr>
        <w:t>á</w:t>
      </w:r>
      <w:r w:rsidR="00261892" w:rsidRPr="0018174E">
        <w:rPr>
          <w:lang w:val="es-ES_tradnl"/>
        </w:rPr>
        <w:t>n abiertas, muchas otras Oficinas, incluida la OEP y la Oficina I</w:t>
      </w:r>
      <w:r w:rsidR="005645D0" w:rsidRPr="0018174E">
        <w:rPr>
          <w:lang w:val="es-ES_tradnl"/>
        </w:rPr>
        <w:t xml:space="preserve">nternacional, siguieron </w:t>
      </w:r>
      <w:r w:rsidR="006C678E" w:rsidRPr="0018174E">
        <w:rPr>
          <w:lang w:val="es-ES_tradnl"/>
        </w:rPr>
        <w:t>abiertas a efectos oficiales</w:t>
      </w:r>
      <w:r w:rsidR="005645D0" w:rsidRPr="0018174E">
        <w:rPr>
          <w:lang w:val="es-ES_tradnl"/>
        </w:rPr>
        <w:t>, inclu</w:t>
      </w:r>
      <w:r w:rsidR="00F05845" w:rsidRPr="0018174E">
        <w:rPr>
          <w:lang w:val="es-ES_tradnl"/>
        </w:rPr>
        <w:t>ido el ejercicio de</w:t>
      </w:r>
      <w:r w:rsidR="006C678E" w:rsidRPr="0018174E">
        <w:rPr>
          <w:lang w:val="es-ES_tradnl"/>
        </w:rPr>
        <w:t xml:space="preserve"> actividades como</w:t>
      </w:r>
      <w:r w:rsidR="005645D0" w:rsidRPr="0018174E">
        <w:rPr>
          <w:lang w:val="es-ES_tradnl"/>
        </w:rPr>
        <w:t xml:space="preserve"> la presentación y la tramitación de solicitudes PCT. En ese contexto, la Regla 82</w:t>
      </w:r>
      <w:r w:rsidR="005645D0" w:rsidRPr="0018174E">
        <w:rPr>
          <w:i/>
          <w:lang w:val="es-ES_tradnl"/>
        </w:rPr>
        <w:t>quater.</w:t>
      </w:r>
      <w:r w:rsidR="005645D0" w:rsidRPr="0018174E">
        <w:rPr>
          <w:lang w:val="es-ES_tradnl"/>
        </w:rPr>
        <w:t>1 no parecía suficiente para afrontar adecuadamente la situación</w:t>
      </w:r>
      <w:r w:rsidR="007C2853" w:rsidRPr="0018174E">
        <w:rPr>
          <w:lang w:val="es-ES_tradnl"/>
        </w:rPr>
        <w:t>.</w:t>
      </w:r>
      <w:bookmarkEnd w:id="5"/>
    </w:p>
    <w:p w:rsidR="007C2853" w:rsidRPr="0018174E" w:rsidRDefault="005645D0" w:rsidP="007C2853">
      <w:pPr>
        <w:pStyle w:val="Heading2"/>
        <w:rPr>
          <w:lang w:val="es-ES_tradnl"/>
        </w:rPr>
      </w:pPr>
      <w:r w:rsidRPr="0018174E">
        <w:rPr>
          <w:lang w:val="es-ES_tradnl"/>
        </w:rPr>
        <w:t xml:space="preserve">recursos jurídicos disponibles </w:t>
      </w:r>
      <w:r w:rsidR="0076315E" w:rsidRPr="0018174E">
        <w:rPr>
          <w:lang w:val="es-ES_tradnl"/>
        </w:rPr>
        <w:t xml:space="preserve">actualmente </w:t>
      </w:r>
      <w:r w:rsidRPr="0018174E">
        <w:rPr>
          <w:lang w:val="es-ES_tradnl"/>
        </w:rPr>
        <w:t>en el marco del pct</w:t>
      </w:r>
      <w:r w:rsidR="007C2853" w:rsidRPr="0018174E">
        <w:rPr>
          <w:lang w:val="es-ES_tradnl"/>
        </w:rPr>
        <w:t xml:space="preserve"> </w:t>
      </w:r>
    </w:p>
    <w:p w:rsidR="007C2853" w:rsidRPr="0018174E" w:rsidRDefault="006D6AFC" w:rsidP="006D6AFC">
      <w:pPr>
        <w:pStyle w:val="ONUMFS"/>
        <w:rPr>
          <w:lang w:val="es-ES_tradnl"/>
        </w:rPr>
      </w:pPr>
      <w:r w:rsidRPr="0018174E">
        <w:rPr>
          <w:lang w:val="es-ES_tradnl"/>
        </w:rPr>
        <w:t xml:space="preserve">El PCT prevé la excusa de los retrasos o la ampliación de los plazos en la fase internacional en diversas circunstancias, que, esencialmente, pueden resumirse </w:t>
      </w:r>
      <w:r w:rsidR="006C678E" w:rsidRPr="0018174E">
        <w:rPr>
          <w:lang w:val="es-ES_tradnl"/>
        </w:rPr>
        <w:t xml:space="preserve">en las </w:t>
      </w:r>
      <w:r w:rsidR="009821A2" w:rsidRPr="0018174E">
        <w:rPr>
          <w:lang w:val="es-ES_tradnl"/>
        </w:rPr>
        <w:t>siguientes</w:t>
      </w:r>
      <w:r w:rsidR="007C2853" w:rsidRPr="0018174E">
        <w:rPr>
          <w:lang w:val="es-ES_tradnl"/>
        </w:rPr>
        <w:t>:</w:t>
      </w:r>
    </w:p>
    <w:p w:rsidR="007C2853" w:rsidRPr="0018174E" w:rsidRDefault="006D6AFC" w:rsidP="00700FEB">
      <w:pPr>
        <w:pStyle w:val="ONUMFS"/>
        <w:numPr>
          <w:ilvl w:val="1"/>
          <w:numId w:val="6"/>
        </w:numPr>
        <w:rPr>
          <w:lang w:val="es-ES_tradnl"/>
        </w:rPr>
      </w:pPr>
      <w:r w:rsidRPr="0018174E">
        <w:rPr>
          <w:lang w:val="es-ES_tradnl"/>
        </w:rPr>
        <w:t>Oficina cerrada a efectos oficiales: Regla</w:t>
      </w:r>
      <w:r w:rsidR="007C2853" w:rsidRPr="0018174E">
        <w:rPr>
          <w:lang w:val="es-ES_tradnl"/>
        </w:rPr>
        <w:t> 80.5</w:t>
      </w:r>
      <w:r w:rsidRPr="0018174E">
        <w:rPr>
          <w:lang w:val="es-ES_tradnl"/>
        </w:rPr>
        <w:t>.</w:t>
      </w:r>
      <w:r w:rsidR="007C2853" w:rsidRPr="0018174E">
        <w:rPr>
          <w:lang w:val="es-ES_tradnl"/>
        </w:rPr>
        <w:t>i):</w:t>
      </w:r>
      <w:r w:rsidR="007F2E5A" w:rsidRPr="0018174E">
        <w:rPr>
          <w:lang w:val="es-ES_tradnl"/>
        </w:rPr>
        <w:t xml:space="preserve"> </w:t>
      </w:r>
      <w:r w:rsidRPr="0018174E">
        <w:rPr>
          <w:lang w:val="es-ES_tradnl"/>
        </w:rPr>
        <w:t xml:space="preserve">Prórroga de los plazos en los casos en que el plazo </w:t>
      </w:r>
      <w:r w:rsidR="00554078" w:rsidRPr="0018174E">
        <w:rPr>
          <w:lang w:val="es-ES_tradnl"/>
        </w:rPr>
        <w:t>durante el cual</w:t>
      </w:r>
      <w:r w:rsidRPr="0018174E">
        <w:rPr>
          <w:lang w:val="es-ES_tradnl"/>
        </w:rPr>
        <w:t xml:space="preserve"> </w:t>
      </w:r>
      <w:r w:rsidR="00756DAD" w:rsidRPr="0018174E">
        <w:rPr>
          <w:lang w:val="es-ES_tradnl"/>
        </w:rPr>
        <w:t>un</w:t>
      </w:r>
      <w:r w:rsidRPr="0018174E">
        <w:rPr>
          <w:lang w:val="es-ES_tradnl"/>
        </w:rPr>
        <w:t xml:space="preserve"> documento o</w:t>
      </w:r>
      <w:r w:rsidR="00756DAD" w:rsidRPr="0018174E">
        <w:rPr>
          <w:lang w:val="es-ES_tradnl"/>
        </w:rPr>
        <w:t xml:space="preserve"> una</w:t>
      </w:r>
      <w:r w:rsidRPr="0018174E">
        <w:rPr>
          <w:lang w:val="es-ES_tradnl"/>
        </w:rPr>
        <w:t xml:space="preserve"> tasa deb</w:t>
      </w:r>
      <w:r w:rsidR="00561FD6" w:rsidRPr="0018174E">
        <w:rPr>
          <w:lang w:val="es-ES_tradnl"/>
        </w:rPr>
        <w:t>a</w:t>
      </w:r>
      <w:r w:rsidRPr="0018174E">
        <w:rPr>
          <w:lang w:val="es-ES_tradnl"/>
        </w:rPr>
        <w:t xml:space="preserve">n llegar a </w:t>
      </w:r>
      <w:r w:rsidR="00DB6715" w:rsidRPr="0018174E">
        <w:rPr>
          <w:lang w:val="es-ES_tradnl"/>
        </w:rPr>
        <w:t>una</w:t>
      </w:r>
      <w:r w:rsidRPr="0018174E">
        <w:rPr>
          <w:lang w:val="es-ES_tradnl"/>
        </w:rPr>
        <w:t xml:space="preserve"> Oficina nacional </w:t>
      </w:r>
      <w:r w:rsidR="00DB6715" w:rsidRPr="0018174E">
        <w:rPr>
          <w:lang w:val="es-ES_tradnl"/>
        </w:rPr>
        <w:t>u</w:t>
      </w:r>
      <w:r w:rsidRPr="0018174E">
        <w:rPr>
          <w:lang w:val="es-ES_tradnl"/>
        </w:rPr>
        <w:t xml:space="preserve"> organización intergubernamental </w:t>
      </w:r>
      <w:r w:rsidR="00554078" w:rsidRPr="0018174E">
        <w:rPr>
          <w:lang w:val="es-ES_tradnl"/>
        </w:rPr>
        <w:t>venza</w:t>
      </w:r>
      <w:r w:rsidR="00561FD6" w:rsidRPr="0018174E">
        <w:rPr>
          <w:lang w:val="es-ES_tradnl"/>
        </w:rPr>
        <w:t xml:space="preserve"> un día en que dicha Oficina u organización no esté abierta al público a efectos oficiales o en que el correo ordinario no se reparta en la localidad en </w:t>
      </w:r>
      <w:r w:rsidR="001F524F" w:rsidRPr="0018174E">
        <w:rPr>
          <w:lang w:val="es-ES_tradnl"/>
        </w:rPr>
        <w:t xml:space="preserve">que </w:t>
      </w:r>
      <w:r w:rsidR="00561FD6" w:rsidRPr="0018174E">
        <w:rPr>
          <w:lang w:val="es-ES_tradnl"/>
        </w:rPr>
        <w:t xml:space="preserve">esté </w:t>
      </w:r>
      <w:r w:rsidR="00D747E2" w:rsidRPr="0018174E">
        <w:rPr>
          <w:lang w:val="es-ES_tradnl"/>
        </w:rPr>
        <w:t>ubicada</w:t>
      </w:r>
      <w:r w:rsidR="00561FD6" w:rsidRPr="0018174E">
        <w:rPr>
          <w:lang w:val="es-ES_tradnl"/>
        </w:rPr>
        <w:t xml:space="preserve"> la Oficina </w:t>
      </w:r>
      <w:r w:rsidR="001F524F" w:rsidRPr="0018174E">
        <w:rPr>
          <w:lang w:val="es-ES_tradnl"/>
        </w:rPr>
        <w:t>o la</w:t>
      </w:r>
      <w:r w:rsidR="00561FD6" w:rsidRPr="0018174E">
        <w:rPr>
          <w:lang w:val="es-ES_tradnl"/>
        </w:rPr>
        <w:t xml:space="preserve"> organización. </w:t>
      </w:r>
      <w:r w:rsidR="00756DAD" w:rsidRPr="0018174E">
        <w:rPr>
          <w:lang w:val="es-ES_tradnl"/>
        </w:rPr>
        <w:t xml:space="preserve">La prórroga es automática y los solicitantes no tienen que </w:t>
      </w:r>
      <w:r w:rsidR="00DB6715" w:rsidRPr="0018174E">
        <w:rPr>
          <w:lang w:val="es-ES_tradnl"/>
        </w:rPr>
        <w:t>emprender ninguna acción</w:t>
      </w:r>
      <w:r w:rsidR="007C2853" w:rsidRPr="0018174E">
        <w:rPr>
          <w:lang w:val="es-ES_tradnl"/>
        </w:rPr>
        <w:t>.</w:t>
      </w:r>
    </w:p>
    <w:p w:rsidR="007C2853" w:rsidRPr="0018174E" w:rsidRDefault="008938EB" w:rsidP="00206D4D">
      <w:pPr>
        <w:pStyle w:val="ONUMFS"/>
        <w:numPr>
          <w:ilvl w:val="1"/>
          <w:numId w:val="6"/>
        </w:numPr>
        <w:rPr>
          <w:lang w:val="es-ES_tradnl"/>
        </w:rPr>
      </w:pPr>
      <w:r w:rsidRPr="0018174E">
        <w:rPr>
          <w:lang w:val="es-ES_tradnl"/>
        </w:rPr>
        <w:t>Retrasos o pérdidas del correo:</w:t>
      </w:r>
      <w:r w:rsidR="007C2853" w:rsidRPr="0018174E">
        <w:rPr>
          <w:lang w:val="es-ES_tradnl"/>
        </w:rPr>
        <w:t xml:space="preserve"> R</w:t>
      </w:r>
      <w:r w:rsidRPr="0018174E">
        <w:rPr>
          <w:lang w:val="es-ES_tradnl"/>
        </w:rPr>
        <w:t>egla</w:t>
      </w:r>
      <w:r w:rsidR="007C2853" w:rsidRPr="0018174E">
        <w:rPr>
          <w:lang w:val="es-ES_tradnl"/>
        </w:rPr>
        <w:t> 82.1:</w:t>
      </w:r>
      <w:r w:rsidR="007F2E5A" w:rsidRPr="0018174E">
        <w:rPr>
          <w:lang w:val="es-ES_tradnl"/>
        </w:rPr>
        <w:t xml:space="preserve"> </w:t>
      </w:r>
      <w:r w:rsidRPr="0018174E">
        <w:rPr>
          <w:lang w:val="es-ES_tradnl"/>
        </w:rPr>
        <w:t xml:space="preserve">Cualquier parte interesada podrá probar que ha puesto </w:t>
      </w:r>
      <w:r w:rsidR="00206D4D" w:rsidRPr="0018174E">
        <w:rPr>
          <w:lang w:val="es-ES_tradnl"/>
        </w:rPr>
        <w:t>en el correo el documento o la carta cinco días antes del vencimiento del plazo. Si la prueba de que un documento o una carta ha</w:t>
      </w:r>
      <w:r w:rsidR="001F524F" w:rsidRPr="0018174E">
        <w:rPr>
          <w:lang w:val="es-ES_tradnl"/>
        </w:rPr>
        <w:t>n</w:t>
      </w:r>
      <w:r w:rsidR="00206D4D" w:rsidRPr="0018174E">
        <w:rPr>
          <w:lang w:val="es-ES_tradnl"/>
        </w:rPr>
        <w:t xml:space="preserve"> sido expedido</w:t>
      </w:r>
      <w:r w:rsidR="001F524F" w:rsidRPr="0018174E">
        <w:rPr>
          <w:lang w:val="es-ES_tradnl"/>
        </w:rPr>
        <w:t>s</w:t>
      </w:r>
      <w:r w:rsidR="00206D4D" w:rsidRPr="0018174E">
        <w:rPr>
          <w:lang w:val="es-ES_tradnl"/>
        </w:rPr>
        <w:t xml:space="preserve"> a satisfacción de la Oficina nacional o de la organización intergubernamental destinataria, se excusará el retraso en la llegada. La carga de la prueba recae sobre el solicitante. La Oficina debe </w:t>
      </w:r>
      <w:r w:rsidR="00962CCB" w:rsidRPr="0018174E">
        <w:rPr>
          <w:lang w:val="es-ES_tradnl"/>
        </w:rPr>
        <w:t xml:space="preserve">ocuparse de </w:t>
      </w:r>
      <w:r w:rsidR="00206D4D" w:rsidRPr="0018174E">
        <w:rPr>
          <w:lang w:val="es-ES_tradnl"/>
        </w:rPr>
        <w:t xml:space="preserve">tramitar </w:t>
      </w:r>
      <w:r w:rsidR="001F524F" w:rsidRPr="0018174E">
        <w:rPr>
          <w:lang w:val="es-ES_tradnl"/>
        </w:rPr>
        <w:t>la petición</w:t>
      </w:r>
      <w:r w:rsidR="004931FB">
        <w:rPr>
          <w:lang w:val="es-ES_tradnl"/>
        </w:rPr>
        <w:t>.</w:t>
      </w:r>
    </w:p>
    <w:p w:rsidR="007C2853" w:rsidRPr="0018174E" w:rsidRDefault="009B49C2" w:rsidP="00A661E3">
      <w:pPr>
        <w:pStyle w:val="ONUMFS"/>
        <w:numPr>
          <w:ilvl w:val="1"/>
          <w:numId w:val="6"/>
        </w:numPr>
        <w:rPr>
          <w:lang w:val="es-ES_tradnl"/>
        </w:rPr>
      </w:pPr>
      <w:r w:rsidRPr="0018174E">
        <w:rPr>
          <w:lang w:val="es-ES_tradnl"/>
        </w:rPr>
        <w:t>Retrasos debido a circunstancias extraordinarias en el lugar de residencia del solicitante</w:t>
      </w:r>
      <w:r w:rsidR="00F05845" w:rsidRPr="0018174E">
        <w:rPr>
          <w:lang w:val="es-ES_tradnl"/>
        </w:rPr>
        <w:t>,</w:t>
      </w:r>
      <w:r w:rsidRPr="0018174E">
        <w:rPr>
          <w:lang w:val="es-ES_tradnl"/>
        </w:rPr>
        <w:t xml:space="preserve"> Regla 82</w:t>
      </w:r>
      <w:r w:rsidRPr="0018174E">
        <w:rPr>
          <w:i/>
          <w:lang w:val="es-ES_tradnl"/>
        </w:rPr>
        <w:t>quater.</w:t>
      </w:r>
      <w:r w:rsidRPr="0018174E">
        <w:rPr>
          <w:lang w:val="es-ES_tradnl"/>
        </w:rPr>
        <w:t xml:space="preserve">1: </w:t>
      </w:r>
      <w:r w:rsidR="00045199" w:rsidRPr="0018174E">
        <w:rPr>
          <w:lang w:val="es-ES_tradnl"/>
        </w:rPr>
        <w:t xml:space="preserve">Conforme a la </w:t>
      </w:r>
      <w:r w:rsidR="00AD1B5A" w:rsidRPr="0018174E">
        <w:rPr>
          <w:lang w:val="es-ES_tradnl"/>
        </w:rPr>
        <w:t xml:space="preserve">presentación de </w:t>
      </w:r>
      <w:r w:rsidR="00F42C6A" w:rsidRPr="0018174E">
        <w:rPr>
          <w:lang w:val="es-ES_tradnl"/>
        </w:rPr>
        <w:t>una petición</w:t>
      </w:r>
      <w:r w:rsidR="00AD1B5A" w:rsidRPr="0018174E">
        <w:rPr>
          <w:lang w:val="es-ES_tradnl"/>
        </w:rPr>
        <w:t xml:space="preserve"> y de pruebas</w:t>
      </w:r>
      <w:r w:rsidR="00A661E3" w:rsidRPr="0018174E">
        <w:rPr>
          <w:lang w:val="es-ES_tradnl"/>
        </w:rPr>
        <w:t xml:space="preserve">, la Oficina en cuestión podrá excusar el retraso en la satisfacción de los plazos (incluidos los plazos para el pago de tasas, pero no así en el caso en que una solicitud internacional haya perdido su efecto jurídico tras haberse declarado que se considera retirada) cuando el solicitante pueda demostrar que </w:t>
      </w:r>
      <w:r w:rsidR="00F42C6A" w:rsidRPr="0018174E">
        <w:rPr>
          <w:lang w:val="es-ES_tradnl"/>
        </w:rPr>
        <w:t>el lugar</w:t>
      </w:r>
      <w:r w:rsidR="00A661E3" w:rsidRPr="0018174E">
        <w:rPr>
          <w:lang w:val="es-ES_tradnl"/>
        </w:rPr>
        <w:t xml:space="preserve"> en que </w:t>
      </w:r>
      <w:r w:rsidR="00F42C6A" w:rsidRPr="0018174E">
        <w:rPr>
          <w:lang w:val="es-ES_tradnl"/>
        </w:rPr>
        <w:t>se encuentra</w:t>
      </w:r>
      <w:r w:rsidR="00A661E3" w:rsidRPr="0018174E">
        <w:rPr>
          <w:lang w:val="es-ES_tradnl"/>
        </w:rPr>
        <w:t xml:space="preserve"> se ve afectad</w:t>
      </w:r>
      <w:r w:rsidR="00F42C6A" w:rsidRPr="0018174E">
        <w:rPr>
          <w:lang w:val="es-ES_tradnl"/>
        </w:rPr>
        <w:t>o</w:t>
      </w:r>
      <w:r w:rsidR="00A661E3" w:rsidRPr="0018174E">
        <w:rPr>
          <w:lang w:val="es-ES_tradnl"/>
        </w:rPr>
        <w:t xml:space="preserve"> por </w:t>
      </w:r>
      <w:r w:rsidR="00045199" w:rsidRPr="0018174E">
        <w:rPr>
          <w:lang w:val="es-ES_tradnl"/>
        </w:rPr>
        <w:t>circunstancias</w:t>
      </w:r>
      <w:r w:rsidR="00A661E3" w:rsidRPr="0018174E">
        <w:rPr>
          <w:lang w:val="es-ES_tradnl"/>
        </w:rPr>
        <w:t xml:space="preserve"> de fuerza mayor. La carga de la prueba recae en el solicitante. La Oficina debe </w:t>
      </w:r>
      <w:r w:rsidR="00045199" w:rsidRPr="0018174E">
        <w:rPr>
          <w:lang w:val="es-ES_tradnl"/>
        </w:rPr>
        <w:t xml:space="preserve">ocuparse de tramitar </w:t>
      </w:r>
      <w:r w:rsidR="00F42C6A" w:rsidRPr="0018174E">
        <w:rPr>
          <w:lang w:val="es-ES_tradnl"/>
        </w:rPr>
        <w:t>la petición</w:t>
      </w:r>
      <w:r w:rsidR="007C2853" w:rsidRPr="0018174E">
        <w:rPr>
          <w:lang w:val="es-ES_tradnl"/>
        </w:rPr>
        <w:t>.</w:t>
      </w:r>
    </w:p>
    <w:p w:rsidR="007C2853" w:rsidRPr="0018174E" w:rsidRDefault="00876FF5" w:rsidP="00B71DAB">
      <w:pPr>
        <w:pStyle w:val="ONUMFS"/>
        <w:numPr>
          <w:ilvl w:val="1"/>
          <w:numId w:val="6"/>
        </w:numPr>
        <w:rPr>
          <w:lang w:val="es-ES_tradnl"/>
        </w:rPr>
      </w:pPr>
      <w:r w:rsidRPr="0018174E">
        <w:rPr>
          <w:lang w:val="es-ES_tradnl"/>
        </w:rPr>
        <w:t>Retrasos en la satisfacción del período de prioridad</w:t>
      </w:r>
      <w:r w:rsidR="00F05845" w:rsidRPr="0018174E">
        <w:rPr>
          <w:lang w:val="es-ES_tradnl"/>
        </w:rPr>
        <w:t>,</w:t>
      </w:r>
      <w:r w:rsidRPr="0018174E">
        <w:rPr>
          <w:lang w:val="es-ES_tradnl"/>
        </w:rPr>
        <w:t xml:space="preserve"> Regla 26</w:t>
      </w:r>
      <w:r w:rsidRPr="0018174E">
        <w:rPr>
          <w:i/>
          <w:lang w:val="es-ES_tradnl"/>
        </w:rPr>
        <w:t>bis.</w:t>
      </w:r>
      <w:r w:rsidRPr="0018174E">
        <w:rPr>
          <w:lang w:val="es-ES_tradnl"/>
        </w:rPr>
        <w:t xml:space="preserve">3: Una disposición especial prevista para el retraso en la satisfacción del período de prioridad de 12 meses. </w:t>
      </w:r>
      <w:r w:rsidR="00962CCB" w:rsidRPr="0018174E">
        <w:rPr>
          <w:lang w:val="es-ES_tradnl"/>
        </w:rPr>
        <w:t xml:space="preserve">Conforme </w:t>
      </w:r>
      <w:r w:rsidR="003D0D7D" w:rsidRPr="0018174E">
        <w:rPr>
          <w:lang w:val="es-ES_tradnl"/>
        </w:rPr>
        <w:t>a la petición</w:t>
      </w:r>
      <w:r w:rsidR="00AD1B5A" w:rsidRPr="0018174E">
        <w:rPr>
          <w:lang w:val="es-ES_tradnl"/>
        </w:rPr>
        <w:t xml:space="preserve"> presentad</w:t>
      </w:r>
      <w:r w:rsidR="003D0D7D" w:rsidRPr="0018174E">
        <w:rPr>
          <w:lang w:val="es-ES_tradnl"/>
        </w:rPr>
        <w:t>a</w:t>
      </w:r>
      <w:r w:rsidR="00AD1B5A" w:rsidRPr="0018174E">
        <w:rPr>
          <w:lang w:val="es-ES_tradnl"/>
        </w:rPr>
        <w:t xml:space="preserve"> por </w:t>
      </w:r>
      <w:r w:rsidRPr="0018174E">
        <w:rPr>
          <w:lang w:val="es-ES_tradnl"/>
        </w:rPr>
        <w:t>el solicitante o el agente, las Oficinas receptoras podrá</w:t>
      </w:r>
      <w:r w:rsidR="00962CCB" w:rsidRPr="0018174E">
        <w:rPr>
          <w:lang w:val="es-ES_tradnl"/>
        </w:rPr>
        <w:t>n</w:t>
      </w:r>
      <w:r w:rsidRPr="0018174E">
        <w:rPr>
          <w:lang w:val="es-ES_tradnl"/>
        </w:rPr>
        <w:t xml:space="preserve"> excusar dicho retraso si se presenta una declaración de los motivos y si el incumplimiento del plazo a) no ha sido intencional, </w:t>
      </w:r>
      <w:r w:rsidR="004931FB">
        <w:rPr>
          <w:lang w:val="es-ES_tradnl"/>
        </w:rPr>
        <w:t>o</w:t>
      </w:r>
      <w:r w:rsidRPr="0018174E">
        <w:rPr>
          <w:lang w:val="es-ES_tradnl"/>
        </w:rPr>
        <w:t xml:space="preserve"> b) ocurrió a pesar de </w:t>
      </w:r>
      <w:r w:rsidR="00B71DAB" w:rsidRPr="0018174E">
        <w:rPr>
          <w:lang w:val="es-ES_tradnl"/>
        </w:rPr>
        <w:t>la diligencia debida adoptada por el solicitante o el agente</w:t>
      </w:r>
      <w:r w:rsidR="004931FB">
        <w:rPr>
          <w:lang w:val="es-ES_tradnl"/>
        </w:rPr>
        <w:t>.</w:t>
      </w:r>
    </w:p>
    <w:p w:rsidR="007C2853" w:rsidRPr="0018174E" w:rsidRDefault="00B71DAB" w:rsidP="000A56A0">
      <w:pPr>
        <w:pStyle w:val="ONUMFS"/>
        <w:numPr>
          <w:ilvl w:val="1"/>
          <w:numId w:val="6"/>
        </w:numPr>
        <w:rPr>
          <w:lang w:val="es-ES_tradnl"/>
        </w:rPr>
      </w:pPr>
      <w:r w:rsidRPr="0018174E">
        <w:rPr>
          <w:lang w:val="es-ES_tradnl"/>
        </w:rPr>
        <w:t>Interrupción que afecta a la Oficina</w:t>
      </w:r>
      <w:r w:rsidR="00F05845" w:rsidRPr="0018174E">
        <w:rPr>
          <w:lang w:val="es-ES_tradnl"/>
        </w:rPr>
        <w:t>,</w:t>
      </w:r>
      <w:r w:rsidR="007C2853" w:rsidRPr="0018174E">
        <w:rPr>
          <w:lang w:val="es-ES_tradnl"/>
        </w:rPr>
        <w:t xml:space="preserve"> </w:t>
      </w:r>
      <w:r w:rsidRPr="0018174E">
        <w:rPr>
          <w:lang w:val="es-ES_tradnl"/>
        </w:rPr>
        <w:t>Regla</w:t>
      </w:r>
      <w:r w:rsidR="007C2853" w:rsidRPr="0018174E">
        <w:rPr>
          <w:lang w:val="es-ES_tradnl"/>
        </w:rPr>
        <w:t xml:space="preserve"> 82</w:t>
      </w:r>
      <w:r w:rsidR="007C2853" w:rsidRPr="0018174E">
        <w:rPr>
          <w:i/>
          <w:lang w:val="es-ES_tradnl"/>
        </w:rPr>
        <w:t>quater</w:t>
      </w:r>
      <w:r w:rsidR="007C2853" w:rsidRPr="0018174E">
        <w:rPr>
          <w:lang w:val="es-ES_tradnl"/>
        </w:rPr>
        <w:t>.2 (</w:t>
      </w:r>
      <w:r w:rsidRPr="0018174E">
        <w:rPr>
          <w:lang w:val="es-ES_tradnl"/>
        </w:rPr>
        <w:t>desde el</w:t>
      </w:r>
      <w:r w:rsidR="007C2853" w:rsidRPr="0018174E">
        <w:rPr>
          <w:lang w:val="es-ES_tradnl"/>
        </w:rPr>
        <w:t> 1</w:t>
      </w:r>
      <w:r w:rsidRPr="0018174E">
        <w:rPr>
          <w:lang w:val="es-ES_tradnl"/>
        </w:rPr>
        <w:t xml:space="preserve"> de julio de</w:t>
      </w:r>
      <w:r w:rsidR="007C2853" w:rsidRPr="0018174E">
        <w:rPr>
          <w:lang w:val="es-ES_tradnl"/>
        </w:rPr>
        <w:t xml:space="preserve"> 2020):</w:t>
      </w:r>
      <w:r w:rsidR="007F2E5A" w:rsidRPr="0018174E">
        <w:rPr>
          <w:lang w:val="es-ES_tradnl"/>
        </w:rPr>
        <w:t xml:space="preserve"> </w:t>
      </w:r>
      <w:r w:rsidRPr="0018174E">
        <w:rPr>
          <w:lang w:val="es-ES_tradnl"/>
        </w:rPr>
        <w:t xml:space="preserve">Cuando una Oficina o una organización sufran una interrupción de todo medio permitido de presentación de solicitudes, podrán declararlo y notificarlo al público y a la Oficina Internacional, incluido el período de indisponibilidad. En el caso de los solicitantes </w:t>
      </w:r>
      <w:r w:rsidR="00180557" w:rsidRPr="0018174E">
        <w:rPr>
          <w:lang w:val="es-ES_tradnl"/>
        </w:rPr>
        <w:t>a quienes</w:t>
      </w:r>
      <w:r w:rsidRPr="0018174E">
        <w:rPr>
          <w:lang w:val="es-ES_tradnl"/>
        </w:rPr>
        <w:t xml:space="preserve"> </w:t>
      </w:r>
      <w:r w:rsidR="000A56A0" w:rsidRPr="0018174E">
        <w:rPr>
          <w:lang w:val="es-ES_tradnl"/>
        </w:rPr>
        <w:t xml:space="preserve">se les hayan pasado los plazos, los plazos podrán prorrogarse al día laborable siguiente en el que todos los medios de presentación permitidos estén de </w:t>
      </w:r>
      <w:r w:rsidR="00180557" w:rsidRPr="0018174E">
        <w:rPr>
          <w:lang w:val="es-ES_tradnl"/>
        </w:rPr>
        <w:t>n</w:t>
      </w:r>
      <w:r w:rsidR="000A56A0" w:rsidRPr="0018174E">
        <w:rPr>
          <w:lang w:val="es-ES_tradnl"/>
        </w:rPr>
        <w:t xml:space="preserve">uevo en </w:t>
      </w:r>
      <w:r w:rsidR="000A56A0" w:rsidRPr="0018174E">
        <w:rPr>
          <w:lang w:val="es-ES_tradnl"/>
        </w:rPr>
        <w:lastRenderedPageBreak/>
        <w:t>funcionami</w:t>
      </w:r>
      <w:r w:rsidR="003D0D7D" w:rsidRPr="0018174E">
        <w:rPr>
          <w:lang w:val="es-ES_tradnl"/>
        </w:rPr>
        <w:t>ento. La prórroga es automática</w:t>
      </w:r>
      <w:r w:rsidR="000A56A0" w:rsidRPr="0018174E">
        <w:rPr>
          <w:lang w:val="es-ES_tradnl"/>
        </w:rPr>
        <w:t xml:space="preserve"> y los solicitantes no tienen que </w:t>
      </w:r>
      <w:r w:rsidR="00180557" w:rsidRPr="0018174E">
        <w:rPr>
          <w:lang w:val="es-ES_tradnl"/>
        </w:rPr>
        <w:t>emprender ninguna acción</w:t>
      </w:r>
      <w:r w:rsidR="007C2853" w:rsidRPr="0018174E">
        <w:rPr>
          <w:lang w:val="es-ES_tradnl"/>
        </w:rPr>
        <w:t xml:space="preserve">. </w:t>
      </w:r>
    </w:p>
    <w:p w:rsidR="007C2853" w:rsidRPr="0018174E" w:rsidRDefault="000A56A0" w:rsidP="000A56A0">
      <w:pPr>
        <w:pStyle w:val="ONUMFS"/>
        <w:numPr>
          <w:ilvl w:val="0"/>
          <w:numId w:val="0"/>
        </w:numPr>
        <w:ind w:left="567"/>
        <w:rPr>
          <w:lang w:val="es-ES_tradnl"/>
        </w:rPr>
      </w:pPr>
      <w:r w:rsidRPr="0018174E">
        <w:rPr>
          <w:lang w:val="es-ES_tradnl"/>
        </w:rPr>
        <w:t>La nueva Regla</w:t>
      </w:r>
      <w:r w:rsidR="007C2853" w:rsidRPr="0018174E">
        <w:rPr>
          <w:lang w:val="es-ES_tradnl"/>
        </w:rPr>
        <w:t xml:space="preserve"> 82</w:t>
      </w:r>
      <w:r w:rsidR="007C2853" w:rsidRPr="0018174E">
        <w:rPr>
          <w:i/>
          <w:lang w:val="es-ES_tradnl"/>
        </w:rPr>
        <w:t>quater</w:t>
      </w:r>
      <w:r w:rsidR="007C2853" w:rsidRPr="0018174E">
        <w:rPr>
          <w:lang w:val="es-ES_tradnl"/>
        </w:rPr>
        <w:t xml:space="preserve">.2 </w:t>
      </w:r>
      <w:r w:rsidRPr="0018174E">
        <w:rPr>
          <w:lang w:val="es-ES_tradnl"/>
        </w:rPr>
        <w:t xml:space="preserve">prevé una ampliación de los plazos en caso de indisponibilidad de los medios de presentación </w:t>
      </w:r>
      <w:r w:rsidR="006D1B63" w:rsidRPr="0018174E">
        <w:rPr>
          <w:lang w:val="es-ES_tradnl"/>
        </w:rPr>
        <w:t>electrónica</w:t>
      </w:r>
      <w:r w:rsidRPr="0018174E">
        <w:rPr>
          <w:lang w:val="es-ES_tradnl"/>
        </w:rPr>
        <w:t xml:space="preserve">. La Regla exige que se haya producido una interrupción en una determinada Oficina, esto es, una </w:t>
      </w:r>
      <w:r w:rsidR="006D1B63" w:rsidRPr="0018174E">
        <w:rPr>
          <w:lang w:val="es-ES_tradnl"/>
        </w:rPr>
        <w:t>indisponibilidad</w:t>
      </w:r>
      <w:r w:rsidRPr="0018174E">
        <w:rPr>
          <w:lang w:val="es-ES_tradnl"/>
        </w:rPr>
        <w:t xml:space="preserve"> de los medios de presentación que duran un período </w:t>
      </w:r>
      <w:r w:rsidR="00C22ABB" w:rsidRPr="0018174E">
        <w:rPr>
          <w:lang w:val="es-ES_tradnl"/>
        </w:rPr>
        <w:t>que se debe</w:t>
      </w:r>
      <w:r w:rsidRPr="0018174E">
        <w:rPr>
          <w:lang w:val="es-ES_tradnl"/>
        </w:rPr>
        <w:t xml:space="preserve"> determinar, y</w:t>
      </w:r>
      <w:r w:rsidR="00FC30F9" w:rsidRPr="0018174E">
        <w:rPr>
          <w:lang w:val="es-ES_tradnl"/>
        </w:rPr>
        <w:t xml:space="preserve"> que</w:t>
      </w:r>
      <w:r w:rsidRPr="0018174E">
        <w:rPr>
          <w:lang w:val="es-ES_tradnl"/>
        </w:rPr>
        <w:t xml:space="preserve"> la Oficina en cuestión deberá publicar la información </w:t>
      </w:r>
      <w:r w:rsidR="00FC30F9" w:rsidRPr="0018174E">
        <w:rPr>
          <w:lang w:val="es-ES_tradnl"/>
        </w:rPr>
        <w:t xml:space="preserve">sobre esa </w:t>
      </w:r>
      <w:r w:rsidR="00594FAC">
        <w:rPr>
          <w:lang w:val="es-ES_tradnl"/>
        </w:rPr>
        <w:t>interrupción</w:t>
      </w:r>
      <w:r w:rsidRPr="0018174E">
        <w:rPr>
          <w:lang w:val="es-ES_tradnl"/>
        </w:rPr>
        <w:t xml:space="preserve">. Dicha </w:t>
      </w:r>
      <w:r w:rsidR="00F05845" w:rsidRPr="0018174E">
        <w:rPr>
          <w:lang w:val="es-ES_tradnl"/>
        </w:rPr>
        <w:t>R</w:t>
      </w:r>
      <w:r w:rsidRPr="0018174E">
        <w:rPr>
          <w:lang w:val="es-ES_tradnl"/>
        </w:rPr>
        <w:t xml:space="preserve">egla no rige en la presente situación. Por otra parte, </w:t>
      </w:r>
      <w:r w:rsidR="0067041E">
        <w:rPr>
          <w:lang w:val="es-ES_tradnl"/>
        </w:rPr>
        <w:t xml:space="preserve">habida cuenta de </w:t>
      </w:r>
      <w:r w:rsidRPr="0018174E">
        <w:rPr>
          <w:lang w:val="es-ES_tradnl"/>
        </w:rPr>
        <w:t>que</w:t>
      </w:r>
      <w:r w:rsidR="0018174E" w:rsidRPr="0018174E">
        <w:rPr>
          <w:lang w:val="es-ES_tradnl"/>
        </w:rPr>
        <w:t xml:space="preserve"> la Regla </w:t>
      </w:r>
      <w:r w:rsidRPr="0018174E">
        <w:rPr>
          <w:lang w:val="es-ES_tradnl"/>
        </w:rPr>
        <w:t>82</w:t>
      </w:r>
      <w:r w:rsidRPr="0018174E">
        <w:rPr>
          <w:i/>
          <w:lang w:val="es-ES_tradnl"/>
        </w:rPr>
        <w:t>quater.</w:t>
      </w:r>
      <w:r w:rsidRPr="0018174E">
        <w:rPr>
          <w:lang w:val="es-ES_tradnl"/>
        </w:rPr>
        <w:t>1 no prevé una prórroga de lo</w:t>
      </w:r>
      <w:r w:rsidR="00E03D71" w:rsidRPr="0018174E">
        <w:rPr>
          <w:lang w:val="es-ES_tradnl"/>
        </w:rPr>
        <w:t xml:space="preserve">s plazos del PCT en caso de </w:t>
      </w:r>
      <w:r w:rsidR="00C15CDD">
        <w:rPr>
          <w:lang w:val="es-ES_tradnl"/>
        </w:rPr>
        <w:t>perturbación generalizada</w:t>
      </w:r>
      <w:r w:rsidRPr="0018174E">
        <w:rPr>
          <w:lang w:val="es-ES_tradnl"/>
        </w:rPr>
        <w:t xml:space="preserve"> en el lugar de la Oficina mientras esa Oficina siga abierta al público a efectos oficiales, cabe concluir que actualmente el PCT no contiene una disposición que abarque esta situación</w:t>
      </w:r>
      <w:r w:rsidR="007C2853" w:rsidRPr="0018174E">
        <w:rPr>
          <w:lang w:val="es-ES_tradnl"/>
        </w:rPr>
        <w:t>.</w:t>
      </w:r>
    </w:p>
    <w:p w:rsidR="007C2853" w:rsidRPr="0018174E" w:rsidRDefault="000A56A0" w:rsidP="007C2853">
      <w:pPr>
        <w:pStyle w:val="ONUMFS"/>
        <w:numPr>
          <w:ilvl w:val="0"/>
          <w:numId w:val="0"/>
        </w:numPr>
        <w:rPr>
          <w:lang w:val="es-ES_tradnl"/>
        </w:rPr>
      </w:pPr>
      <w:r w:rsidRPr="0018174E">
        <w:rPr>
          <w:lang w:val="es-ES_tradnl"/>
        </w:rPr>
        <w:t>Para facilitar su comprensión, en un cuadro que figura en el párrafo 22 del presente documento se ilustra la aplicación práctica de estos recursos</w:t>
      </w:r>
      <w:r w:rsidR="007C2853" w:rsidRPr="0018174E">
        <w:rPr>
          <w:lang w:val="es-ES_tradnl"/>
        </w:rPr>
        <w:t>.</w:t>
      </w:r>
    </w:p>
    <w:p w:rsidR="007C2853" w:rsidRPr="0018174E" w:rsidRDefault="00F10F55" w:rsidP="007C2853">
      <w:pPr>
        <w:pStyle w:val="Heading2"/>
        <w:rPr>
          <w:lang w:val="es-ES_tradnl"/>
        </w:rPr>
      </w:pPr>
      <w:r w:rsidRPr="0018174E">
        <w:rPr>
          <w:lang w:val="es-ES_tradnl"/>
        </w:rPr>
        <w:t xml:space="preserve">deficiencias de los recursos jurídicos disponibles actualmente en el marco del </w:t>
      </w:r>
      <w:r w:rsidR="007C2853" w:rsidRPr="0018174E">
        <w:rPr>
          <w:lang w:val="es-ES_tradnl"/>
        </w:rPr>
        <w:t>PCT</w:t>
      </w:r>
    </w:p>
    <w:p w:rsidR="007C2853" w:rsidRPr="0018174E" w:rsidRDefault="00DD37B1" w:rsidP="00DD37B1">
      <w:pPr>
        <w:pStyle w:val="ONUMFS"/>
        <w:rPr>
          <w:lang w:val="es-ES_tradnl"/>
        </w:rPr>
      </w:pPr>
      <w:r w:rsidRPr="0018174E">
        <w:rPr>
          <w:lang w:val="es-ES_tradnl"/>
        </w:rPr>
        <w:t xml:space="preserve">El actual marco jurídico del PCT no ofrece un recurso </w:t>
      </w:r>
      <w:r w:rsidR="00F77BE2" w:rsidRPr="0018174E">
        <w:rPr>
          <w:lang w:val="es-ES_tradnl"/>
        </w:rPr>
        <w:t>adecuado</w:t>
      </w:r>
      <w:r w:rsidRPr="0018174E">
        <w:rPr>
          <w:lang w:val="es-ES_tradnl"/>
        </w:rPr>
        <w:t>, eficiente y flexible que las Oficinas puedan aplicar fácilmente y que los solicitantes puedan utiliz</w:t>
      </w:r>
      <w:r w:rsidR="00D747E2" w:rsidRPr="0018174E">
        <w:rPr>
          <w:lang w:val="es-ES_tradnl"/>
        </w:rPr>
        <w:t>a</w:t>
      </w:r>
      <w:r w:rsidRPr="0018174E">
        <w:rPr>
          <w:lang w:val="es-ES_tradnl"/>
        </w:rPr>
        <w:t xml:space="preserve">r en caso de que se produzca una </w:t>
      </w:r>
      <w:r w:rsidR="0067041E">
        <w:rPr>
          <w:lang w:val="es-ES_tradnl"/>
        </w:rPr>
        <w:t>perturbación</w:t>
      </w:r>
      <w:r w:rsidRPr="0018174E">
        <w:rPr>
          <w:lang w:val="es-ES_tradnl"/>
        </w:rPr>
        <w:t xml:space="preserve"> general</w:t>
      </w:r>
      <w:r w:rsidR="0067041E">
        <w:rPr>
          <w:lang w:val="es-ES_tradnl"/>
        </w:rPr>
        <w:t>izada</w:t>
      </w:r>
      <w:r w:rsidRPr="0018174E">
        <w:rPr>
          <w:lang w:val="es-ES_tradnl"/>
        </w:rPr>
        <w:t xml:space="preserve"> en el lugar en que </w:t>
      </w:r>
      <w:r w:rsidR="00D747E2" w:rsidRPr="0018174E">
        <w:rPr>
          <w:lang w:val="es-ES_tradnl"/>
        </w:rPr>
        <w:t>esté ubicada</w:t>
      </w:r>
      <w:r w:rsidRPr="0018174E">
        <w:rPr>
          <w:lang w:val="es-ES_tradnl"/>
        </w:rPr>
        <w:t xml:space="preserve"> la Oficina</w:t>
      </w:r>
      <w:r w:rsidR="0067041E">
        <w:rPr>
          <w:lang w:val="es-ES_tradnl"/>
        </w:rPr>
        <w:t>.</w:t>
      </w:r>
    </w:p>
    <w:p w:rsidR="007C2853" w:rsidRPr="0018174E" w:rsidRDefault="00DD37B1" w:rsidP="009014B7">
      <w:pPr>
        <w:pStyle w:val="ONUMFS"/>
        <w:rPr>
          <w:lang w:val="es-ES_tradnl"/>
        </w:rPr>
      </w:pPr>
      <w:r w:rsidRPr="0018174E">
        <w:rPr>
          <w:lang w:val="es-ES_tradnl"/>
        </w:rPr>
        <w:t xml:space="preserve">La emergencia </w:t>
      </w:r>
      <w:r w:rsidR="006458F6">
        <w:rPr>
          <w:lang w:val="es-ES_tradnl"/>
        </w:rPr>
        <w:t>debida a la</w:t>
      </w:r>
      <w:r w:rsidRPr="0018174E">
        <w:rPr>
          <w:lang w:val="es-ES_tradnl"/>
        </w:rPr>
        <w:t xml:space="preserve"> COVID-19 ha puesto de manifiesto algunas deficiencias de los recursos jurídicos vigentes disponibles en el marco del PCT. </w:t>
      </w:r>
      <w:r w:rsidR="00AD1B5A" w:rsidRPr="0018174E">
        <w:rPr>
          <w:lang w:val="es-ES_tradnl"/>
        </w:rPr>
        <w:t xml:space="preserve">En concreto, ha mostrado que, en tales circunstancias, no es necesario exigir que se presente </w:t>
      </w:r>
      <w:r w:rsidR="00205641" w:rsidRPr="0018174E">
        <w:rPr>
          <w:lang w:val="es-ES_tradnl"/>
        </w:rPr>
        <w:t>una petición</w:t>
      </w:r>
      <w:r w:rsidR="006458F6">
        <w:rPr>
          <w:lang w:val="es-ES_tradnl"/>
        </w:rPr>
        <w:t>,</w:t>
      </w:r>
      <w:r w:rsidR="00AD1B5A" w:rsidRPr="0018174E">
        <w:rPr>
          <w:lang w:val="es-ES_tradnl"/>
        </w:rPr>
        <w:t xml:space="preserve"> así como las pruebas correspondientes que justifiquen el incumplimiento de un plazo en una situación como la actual. Si bien la aplicación de la Regla 82</w:t>
      </w:r>
      <w:r w:rsidR="00AD1B5A" w:rsidRPr="0018174E">
        <w:rPr>
          <w:i/>
          <w:lang w:val="es-ES_tradnl"/>
        </w:rPr>
        <w:t>quater.</w:t>
      </w:r>
      <w:r w:rsidR="00AD1B5A" w:rsidRPr="0018174E">
        <w:rPr>
          <w:lang w:val="es-ES_tradnl"/>
        </w:rPr>
        <w:t xml:space="preserve">1, según propone la Oficina </w:t>
      </w:r>
      <w:r w:rsidR="009014B7" w:rsidRPr="0018174E">
        <w:rPr>
          <w:lang w:val="es-ES_tradnl"/>
        </w:rPr>
        <w:t xml:space="preserve">Internacional en la </w:t>
      </w:r>
      <w:r w:rsidR="00F05845" w:rsidRPr="0018174E">
        <w:rPr>
          <w:lang w:val="es-ES_tradnl"/>
        </w:rPr>
        <w:t>D</w:t>
      </w:r>
      <w:r w:rsidR="009014B7" w:rsidRPr="0018174E">
        <w:rPr>
          <w:lang w:val="es-ES_tradnl"/>
        </w:rPr>
        <w:t xml:space="preserve">eclaración </w:t>
      </w:r>
      <w:r w:rsidR="006D1B63" w:rsidRPr="0018174E">
        <w:rPr>
          <w:lang w:val="es-ES_tradnl"/>
        </w:rPr>
        <w:t>interpretativa</w:t>
      </w:r>
      <w:r w:rsidR="009014B7" w:rsidRPr="0018174E">
        <w:rPr>
          <w:lang w:val="es-ES_tradnl"/>
        </w:rPr>
        <w:t xml:space="preserve"> (véase el </w:t>
      </w:r>
      <w:r w:rsidR="006D1B63" w:rsidRPr="0018174E">
        <w:rPr>
          <w:lang w:val="es-ES_tradnl"/>
        </w:rPr>
        <w:t>párrafo</w:t>
      </w:r>
      <w:r w:rsidR="009014B7" w:rsidRPr="0018174E">
        <w:rPr>
          <w:lang w:val="es-ES_tradnl"/>
        </w:rPr>
        <w:t xml:space="preserve"> 3 anterior) constituye un paso hacia una aplicación flexible de esa Regla, no sirve para abordar todas las insuficiencias</w:t>
      </w:r>
      <w:r w:rsidR="006458F6">
        <w:rPr>
          <w:lang w:val="es-ES_tradnl"/>
        </w:rPr>
        <w:t>.</w:t>
      </w:r>
    </w:p>
    <w:p w:rsidR="007C2853" w:rsidRPr="0018174E" w:rsidRDefault="00191705" w:rsidP="00A30783">
      <w:pPr>
        <w:pStyle w:val="ONUMFS"/>
        <w:rPr>
          <w:lang w:val="es-ES_tradnl"/>
        </w:rPr>
      </w:pPr>
      <w:r w:rsidRPr="0018174E">
        <w:rPr>
          <w:lang w:val="es-ES_tradnl"/>
        </w:rPr>
        <w:t>En virtud de la actual Regla 82</w:t>
      </w:r>
      <w:r w:rsidRPr="0018174E">
        <w:rPr>
          <w:i/>
          <w:lang w:val="es-ES_tradnl"/>
        </w:rPr>
        <w:t>quater.</w:t>
      </w:r>
      <w:r w:rsidRPr="0018174E">
        <w:rPr>
          <w:lang w:val="es-ES_tradnl"/>
        </w:rPr>
        <w:t xml:space="preserve">1, los solicitantes PCT </w:t>
      </w:r>
      <w:r w:rsidR="006D1B63" w:rsidRPr="0018174E">
        <w:rPr>
          <w:lang w:val="es-ES_tradnl"/>
        </w:rPr>
        <w:t xml:space="preserve">siguen teniendo que presentar </w:t>
      </w:r>
      <w:r w:rsidR="00205641" w:rsidRPr="0018174E">
        <w:rPr>
          <w:lang w:val="es-ES_tradnl"/>
        </w:rPr>
        <w:t>una petición de</w:t>
      </w:r>
      <w:r w:rsidR="006D1B63" w:rsidRPr="0018174E">
        <w:rPr>
          <w:lang w:val="es-ES_tradnl"/>
        </w:rPr>
        <w:t xml:space="preserve"> excusa de</w:t>
      </w:r>
      <w:r w:rsidR="00D86C13" w:rsidRPr="0018174E">
        <w:rPr>
          <w:lang w:val="es-ES_tradnl"/>
        </w:rPr>
        <w:t xml:space="preserve"> los</w:t>
      </w:r>
      <w:r w:rsidR="006D1B63" w:rsidRPr="0018174E">
        <w:rPr>
          <w:lang w:val="es-ES_tradnl"/>
        </w:rPr>
        <w:t xml:space="preserve"> retrasos, lo que los obliga a afrontar costos adicionales y más trámites administrativos, por ejemplo, costos de abogados, tiempo y recursos para preparar </w:t>
      </w:r>
      <w:r w:rsidR="00D86C13" w:rsidRPr="0018174E">
        <w:rPr>
          <w:lang w:val="es-ES_tradnl"/>
        </w:rPr>
        <w:t>las peticiones</w:t>
      </w:r>
      <w:r w:rsidR="006D1B63" w:rsidRPr="0018174E">
        <w:rPr>
          <w:lang w:val="es-ES_tradnl"/>
        </w:rPr>
        <w:t xml:space="preserve">. </w:t>
      </w:r>
      <w:r w:rsidR="00A30783" w:rsidRPr="0018174E">
        <w:rPr>
          <w:lang w:val="es-ES_tradnl"/>
        </w:rPr>
        <w:t xml:space="preserve">En el peor de los casos, podrían incluso </w:t>
      </w:r>
      <w:r w:rsidR="00362C69">
        <w:rPr>
          <w:lang w:val="es-ES_tradnl"/>
        </w:rPr>
        <w:t>sufrir l</w:t>
      </w:r>
      <w:r w:rsidR="00F77BE2" w:rsidRPr="0018174E">
        <w:rPr>
          <w:lang w:val="es-ES_tradnl"/>
        </w:rPr>
        <w:t>a pérdida de los derechos,</w:t>
      </w:r>
      <w:r w:rsidR="00A30783" w:rsidRPr="0018174E">
        <w:rPr>
          <w:lang w:val="es-ES_tradnl"/>
        </w:rPr>
        <w:t xml:space="preserve"> si no tuvieran conocimiento de los recursos disponibles y, en consecuencia, no presentaran </w:t>
      </w:r>
      <w:r w:rsidR="00D86C13" w:rsidRPr="0018174E">
        <w:rPr>
          <w:lang w:val="es-ES_tradnl"/>
        </w:rPr>
        <w:t>una petición de</w:t>
      </w:r>
      <w:r w:rsidR="00A30783" w:rsidRPr="0018174E">
        <w:rPr>
          <w:lang w:val="es-ES_tradnl"/>
        </w:rPr>
        <w:t xml:space="preserve"> excusa de los retrasos. También las Oficinas del PCT </w:t>
      </w:r>
      <w:r w:rsidR="00362C69">
        <w:rPr>
          <w:lang w:val="es-ES_tradnl"/>
        </w:rPr>
        <w:t>sufren</w:t>
      </w:r>
      <w:r w:rsidR="00A30783" w:rsidRPr="0018174E">
        <w:rPr>
          <w:lang w:val="es-ES_tradnl"/>
        </w:rPr>
        <w:t xml:space="preserve"> una mayor carga administrativa, puesto que tienen que tramitar </w:t>
      </w:r>
      <w:r w:rsidR="00D86C13" w:rsidRPr="0018174E">
        <w:rPr>
          <w:lang w:val="es-ES_tradnl"/>
        </w:rPr>
        <w:t>las peticiones</w:t>
      </w:r>
      <w:r w:rsidR="00A30783" w:rsidRPr="0018174E">
        <w:rPr>
          <w:lang w:val="es-ES_tradnl"/>
        </w:rPr>
        <w:t xml:space="preserve"> caso por caso, lo que supone un consumo tanto de tiempo como de recursos</w:t>
      </w:r>
      <w:r w:rsidR="007C2853" w:rsidRPr="0018174E">
        <w:rPr>
          <w:lang w:val="es-ES_tradnl"/>
        </w:rPr>
        <w:t>.</w:t>
      </w:r>
    </w:p>
    <w:p w:rsidR="007C2853" w:rsidRPr="0018174E" w:rsidRDefault="007C2853" w:rsidP="007C2853">
      <w:pPr>
        <w:pStyle w:val="Heading1"/>
        <w:rPr>
          <w:lang w:val="es-ES_tradnl"/>
        </w:rPr>
      </w:pPr>
      <w:r w:rsidRPr="0018174E">
        <w:rPr>
          <w:lang w:val="es-ES_tradnl"/>
        </w:rPr>
        <w:t>PROP</w:t>
      </w:r>
      <w:r w:rsidR="00A30783" w:rsidRPr="0018174E">
        <w:rPr>
          <w:lang w:val="es-ES_tradnl"/>
        </w:rPr>
        <w:t>UESTAS</w:t>
      </w:r>
    </w:p>
    <w:p w:rsidR="007C2853" w:rsidRPr="0018174E" w:rsidRDefault="00C45A1D" w:rsidP="005E18F4">
      <w:pPr>
        <w:pStyle w:val="ONUMFS"/>
        <w:rPr>
          <w:lang w:val="es-ES_tradnl"/>
        </w:rPr>
      </w:pPr>
      <w:r w:rsidRPr="0018174E">
        <w:rPr>
          <w:lang w:val="es-ES_tradnl"/>
        </w:rPr>
        <w:t>En algunas legislaciones regionales y nacionales se está</w:t>
      </w:r>
      <w:r w:rsidR="00D86C13" w:rsidRPr="0018174E">
        <w:rPr>
          <w:lang w:val="es-ES_tradnl"/>
        </w:rPr>
        <w:t>n atendiendo estas</w:t>
      </w:r>
      <w:r w:rsidRPr="0018174E">
        <w:rPr>
          <w:lang w:val="es-ES_tradnl"/>
        </w:rPr>
        <w:t xml:space="preserve"> deficiencias mediante el establecimiento de prórrogas de los plazos en caso de </w:t>
      </w:r>
      <w:r w:rsidR="00C15CDD">
        <w:rPr>
          <w:lang w:val="es-ES_tradnl"/>
        </w:rPr>
        <w:t>perturbación generalizada</w:t>
      </w:r>
      <w:r w:rsidRPr="0018174E">
        <w:rPr>
          <w:lang w:val="es-ES_tradnl"/>
        </w:rPr>
        <w:t xml:space="preserve">. En consecuencia, y a fin de seguir reforzando el conjunto de salvaguardias actualmente disponibles en el marco del PCT, se propone </w:t>
      </w:r>
      <w:r w:rsidR="007F61EE">
        <w:rPr>
          <w:lang w:val="es-ES_tradnl"/>
        </w:rPr>
        <w:t>establecer</w:t>
      </w:r>
      <w:r w:rsidRPr="0018174E">
        <w:rPr>
          <w:lang w:val="es-ES_tradnl"/>
        </w:rPr>
        <w:t xml:space="preserve"> </w:t>
      </w:r>
      <w:r w:rsidR="001D1823" w:rsidRPr="0018174E">
        <w:rPr>
          <w:lang w:val="es-ES_tradnl"/>
        </w:rPr>
        <w:t>una nueva base jurídica</w:t>
      </w:r>
      <w:r w:rsidRPr="0018174E">
        <w:rPr>
          <w:lang w:val="es-ES_tradnl"/>
        </w:rPr>
        <w:t xml:space="preserve"> sólida, eficiente, transparente y fiable </w:t>
      </w:r>
      <w:r w:rsidR="001D1823" w:rsidRPr="0018174E">
        <w:rPr>
          <w:lang w:val="es-ES_tradnl"/>
        </w:rPr>
        <w:t xml:space="preserve">a fin de prorrogar los plazos en caso de </w:t>
      </w:r>
      <w:r w:rsidR="00C15CDD">
        <w:rPr>
          <w:lang w:val="es-ES_tradnl"/>
        </w:rPr>
        <w:t>perturbación generalizada</w:t>
      </w:r>
      <w:r w:rsidR="001D1823" w:rsidRPr="0018174E">
        <w:rPr>
          <w:lang w:val="es-ES_tradnl"/>
        </w:rPr>
        <w:t xml:space="preserve">. En gran medida, </w:t>
      </w:r>
      <w:r w:rsidR="002D1FEE" w:rsidRPr="0018174E">
        <w:rPr>
          <w:lang w:val="es-ES_tradnl"/>
        </w:rPr>
        <w:t xml:space="preserve">el éxito del Sistema del PCT reside en el hecho de que, con el tiempo, </w:t>
      </w:r>
      <w:r w:rsidR="00C02203" w:rsidRPr="0018174E">
        <w:rPr>
          <w:lang w:val="es-ES_tradnl"/>
        </w:rPr>
        <w:t>ha podido</w:t>
      </w:r>
      <w:r w:rsidR="002D1FEE" w:rsidRPr="0018174E">
        <w:rPr>
          <w:lang w:val="es-ES_tradnl"/>
        </w:rPr>
        <w:t xml:space="preserve"> ir adaptándose progresivamente a fin de satisfacer lo más adecuadamente posible las necesidades de sus usuarios. La OEP opina que los miembros del PCT deberían actuar ante las experiencias extraídas durante la emergencia de</w:t>
      </w:r>
      <w:r w:rsidR="007F61EE">
        <w:rPr>
          <w:lang w:val="es-ES_tradnl"/>
        </w:rPr>
        <w:t>bida a la</w:t>
      </w:r>
      <w:r w:rsidR="002D1FEE" w:rsidRPr="0018174E">
        <w:rPr>
          <w:lang w:val="es-ES_tradnl"/>
        </w:rPr>
        <w:t xml:space="preserve"> COVID-19 y aprovechar la oportunidad para seguir desarrollando el PCT suministrando a los usuarios los recursos más adecuados.</w:t>
      </w:r>
      <w:r w:rsidR="000859B5" w:rsidRPr="0018174E">
        <w:rPr>
          <w:lang w:val="es-ES_tradnl"/>
        </w:rPr>
        <w:t xml:space="preserve"> El objeto es complementar el actual marco jurídico y ofrecer una respuesta a los problemas que las Oficinas puedan </w:t>
      </w:r>
      <w:r w:rsidR="00362C69">
        <w:rPr>
          <w:lang w:val="es-ES_tradnl"/>
        </w:rPr>
        <w:t>sufrir</w:t>
      </w:r>
      <w:r w:rsidR="000859B5" w:rsidRPr="0018174E">
        <w:rPr>
          <w:lang w:val="es-ES_tradnl"/>
        </w:rPr>
        <w:t xml:space="preserve"> en el futuro en tiempos de emergencia. La propuesta </w:t>
      </w:r>
      <w:r w:rsidR="005E18F4" w:rsidRPr="0018174E">
        <w:rPr>
          <w:lang w:val="es-ES_tradnl"/>
        </w:rPr>
        <w:t>no pone en cuestión el conjunto de salvaguardias actualmente disponibles en el marco del PCT</w:t>
      </w:r>
      <w:r w:rsidR="007C2853" w:rsidRPr="0018174E">
        <w:rPr>
          <w:lang w:val="es-ES_tradnl"/>
        </w:rPr>
        <w:t>.</w:t>
      </w:r>
    </w:p>
    <w:p w:rsidR="007C2853" w:rsidRPr="0018174E" w:rsidRDefault="007C2853" w:rsidP="007C2853">
      <w:pPr>
        <w:pStyle w:val="Heading2"/>
        <w:rPr>
          <w:lang w:val="es-ES_tradnl"/>
        </w:rPr>
      </w:pPr>
      <w:r w:rsidRPr="0018174E">
        <w:rPr>
          <w:lang w:val="es-ES_tradnl"/>
        </w:rPr>
        <w:lastRenderedPageBreak/>
        <w:t>Prop</w:t>
      </w:r>
      <w:r w:rsidR="00D27DEE" w:rsidRPr="0018174E">
        <w:rPr>
          <w:lang w:val="es-ES_tradnl"/>
        </w:rPr>
        <w:t>uestas de cambios de la regla</w:t>
      </w:r>
      <w:r w:rsidRPr="0018174E">
        <w:rPr>
          <w:lang w:val="es-ES_tradnl"/>
        </w:rPr>
        <w:t xml:space="preserve"> 82</w:t>
      </w:r>
      <w:r w:rsidRPr="0018174E">
        <w:rPr>
          <w:i/>
          <w:lang w:val="es-ES_tradnl"/>
        </w:rPr>
        <w:t>quater</w:t>
      </w:r>
    </w:p>
    <w:p w:rsidR="007C2853" w:rsidRPr="0018174E" w:rsidRDefault="005E18F4" w:rsidP="00700FEB">
      <w:pPr>
        <w:pStyle w:val="ONUMFS"/>
        <w:rPr>
          <w:lang w:val="es-ES_tradnl"/>
        </w:rPr>
      </w:pPr>
      <w:r w:rsidRPr="0018174E">
        <w:rPr>
          <w:lang w:val="es-ES_tradnl"/>
        </w:rPr>
        <w:t xml:space="preserve">La </w:t>
      </w:r>
      <w:r w:rsidR="007F61EE">
        <w:rPr>
          <w:lang w:val="es-ES_tradnl"/>
        </w:rPr>
        <w:t>OEP propone introducir un nuevo</w:t>
      </w:r>
      <w:r w:rsidRPr="0018174E">
        <w:rPr>
          <w:lang w:val="es-ES_tradnl"/>
        </w:rPr>
        <w:t xml:space="preserve"> </w:t>
      </w:r>
      <w:r w:rsidR="007F61EE">
        <w:rPr>
          <w:lang w:val="es-ES_tradnl"/>
        </w:rPr>
        <w:t xml:space="preserve">apartado 3 en la </w:t>
      </w:r>
      <w:r w:rsidRPr="0018174E">
        <w:rPr>
          <w:lang w:val="es-ES_tradnl"/>
        </w:rPr>
        <w:t>Regla 82</w:t>
      </w:r>
      <w:r w:rsidRPr="0018174E">
        <w:rPr>
          <w:i/>
          <w:lang w:val="es-ES_tradnl"/>
        </w:rPr>
        <w:t>quater</w:t>
      </w:r>
      <w:r w:rsidRPr="0018174E">
        <w:rPr>
          <w:lang w:val="es-ES_tradnl"/>
        </w:rPr>
        <w:t xml:space="preserve"> (véase el Anexo) para prorrogar los plazos en las Oficinas ubicadas en un Estado que esté experimentando una </w:t>
      </w:r>
      <w:r w:rsidR="00C15CDD">
        <w:rPr>
          <w:lang w:val="es-ES_tradnl"/>
        </w:rPr>
        <w:t>perturbación generalizada</w:t>
      </w:r>
      <w:r w:rsidRPr="0018174E">
        <w:rPr>
          <w:lang w:val="es-ES_tradnl"/>
        </w:rPr>
        <w:t xml:space="preserve"> debido, por ejemplo, a una epidemia, que esté causando restricciones en el movimiento de las personas, así como en determinados servicios y en la vida pública en general</w:t>
      </w:r>
      <w:r w:rsidR="004F77F3" w:rsidRPr="0018174E">
        <w:rPr>
          <w:lang w:val="es-ES_tradnl"/>
        </w:rPr>
        <w:t>.</w:t>
      </w:r>
      <w:r w:rsidRPr="0018174E">
        <w:rPr>
          <w:lang w:val="es-ES_tradnl"/>
        </w:rPr>
        <w:t xml:space="preserve"> Una pandemia, que es una epidemia que se ha propagado en todo el mundo, entra </w:t>
      </w:r>
      <w:r w:rsidR="009E5B42" w:rsidRPr="0018174E">
        <w:rPr>
          <w:lang w:val="es-ES_tradnl"/>
        </w:rPr>
        <w:t>en el ámbito de la</w:t>
      </w:r>
      <w:r w:rsidRPr="0018174E">
        <w:rPr>
          <w:lang w:val="es-ES_tradnl"/>
        </w:rPr>
        <w:t xml:space="preserve"> definición de epidemia</w:t>
      </w:r>
      <w:r w:rsidR="007C2853" w:rsidRPr="0018174E">
        <w:rPr>
          <w:lang w:val="es-ES_tradnl"/>
        </w:rPr>
        <w:t>.</w:t>
      </w:r>
    </w:p>
    <w:p w:rsidR="007C2853" w:rsidRPr="0018174E" w:rsidRDefault="008A3BFC" w:rsidP="00700FEB">
      <w:pPr>
        <w:pStyle w:val="ONUMFS"/>
        <w:rPr>
          <w:lang w:val="es-ES_tradnl"/>
        </w:rPr>
      </w:pPr>
      <w:r w:rsidRPr="0018174E">
        <w:rPr>
          <w:lang w:val="es-ES_tradnl"/>
        </w:rPr>
        <w:t xml:space="preserve">La propuesta no solo aportaría seguridad jurídica y previsibilidad mediante la introducción de una base jurídica en el PCT para prorrogar los plazos del Sistema, incluidos los relativos al pago de las tasas, sino que además sería proporcional, en la medida en que la declaración de un período </w:t>
      </w:r>
      <w:r w:rsidR="00594FAC">
        <w:rPr>
          <w:lang w:val="es-ES_tradnl"/>
        </w:rPr>
        <w:t xml:space="preserve">de perturbación generalizada </w:t>
      </w:r>
      <w:r w:rsidRPr="0018174E">
        <w:rPr>
          <w:lang w:val="es-ES_tradnl"/>
        </w:rPr>
        <w:t xml:space="preserve">seguiría quedando a criterio de cada Oficina, en función de la situación en el Estado en que </w:t>
      </w:r>
      <w:r w:rsidR="00D747E2" w:rsidRPr="0018174E">
        <w:rPr>
          <w:lang w:val="es-ES_tradnl"/>
        </w:rPr>
        <w:t>esté ubicada</w:t>
      </w:r>
      <w:r w:rsidRPr="0018174E">
        <w:rPr>
          <w:lang w:val="es-ES_tradnl"/>
        </w:rPr>
        <w:t xml:space="preserve"> dicha Oficina.</w:t>
      </w:r>
      <w:r w:rsidR="007C2853" w:rsidRPr="0018174E">
        <w:rPr>
          <w:lang w:val="es-ES_tradnl"/>
        </w:rPr>
        <w:t xml:space="preserve"> </w:t>
      </w:r>
    </w:p>
    <w:p w:rsidR="007C2853" w:rsidRPr="0018174E" w:rsidRDefault="00227190" w:rsidP="007B51FE">
      <w:pPr>
        <w:pStyle w:val="ONUMFS"/>
        <w:rPr>
          <w:lang w:val="es-ES_tradnl"/>
        </w:rPr>
      </w:pPr>
      <w:r w:rsidRPr="0018174E">
        <w:rPr>
          <w:lang w:val="es-ES_tradnl"/>
        </w:rPr>
        <w:t xml:space="preserve">La propuesta de nueva regla no está contemplada por el artículo 48.1), que se refiere a interrupciones en los servicios postales o </w:t>
      </w:r>
      <w:r w:rsidR="001B6B36" w:rsidRPr="0018174E">
        <w:rPr>
          <w:lang w:val="es-ES_tradnl"/>
        </w:rPr>
        <w:t xml:space="preserve">a </w:t>
      </w:r>
      <w:r w:rsidRPr="0018174E">
        <w:rPr>
          <w:lang w:val="es-ES_tradnl"/>
        </w:rPr>
        <w:t>pérdida</w:t>
      </w:r>
      <w:r w:rsidR="001B6B36" w:rsidRPr="0018174E">
        <w:rPr>
          <w:lang w:val="es-ES_tradnl"/>
        </w:rPr>
        <w:t>s</w:t>
      </w:r>
      <w:r w:rsidRPr="0018174E">
        <w:rPr>
          <w:lang w:val="es-ES_tradnl"/>
        </w:rPr>
        <w:t xml:space="preserve"> o retrasos inevitables en el correo. </w:t>
      </w:r>
      <w:r w:rsidR="00B177CC" w:rsidRPr="0018174E">
        <w:rPr>
          <w:lang w:val="es-ES_tradnl"/>
        </w:rPr>
        <w:t xml:space="preserve">Tampoco es aplicable </w:t>
      </w:r>
      <w:r w:rsidR="00B177CC">
        <w:rPr>
          <w:lang w:val="es-ES_tradnl"/>
        </w:rPr>
        <w:t>e</w:t>
      </w:r>
      <w:r w:rsidR="00D9160C" w:rsidRPr="0018174E">
        <w:rPr>
          <w:lang w:val="es-ES_tradnl"/>
        </w:rPr>
        <w:t>l</w:t>
      </w:r>
      <w:r w:rsidRPr="0018174E">
        <w:rPr>
          <w:lang w:val="es-ES_tradnl"/>
        </w:rPr>
        <w:t xml:space="preserve"> artículo 48.2)</w:t>
      </w:r>
      <w:r w:rsidR="00D9160C" w:rsidRPr="0018174E">
        <w:rPr>
          <w:lang w:val="es-ES_tradnl"/>
        </w:rPr>
        <w:t>, que se</w:t>
      </w:r>
      <w:r w:rsidR="00F74FC6" w:rsidRPr="0018174E">
        <w:rPr>
          <w:lang w:val="es-ES_tradnl"/>
        </w:rPr>
        <w:t xml:space="preserve"> refiere a excusas de los retrasos en el cumplimiento de los plazos en el marco de la legislación nacional con efecto para el Estado designado o elegido en cuestión. </w:t>
      </w:r>
      <w:r w:rsidR="002C0E34" w:rsidRPr="0018174E">
        <w:rPr>
          <w:lang w:val="es-ES_tradnl"/>
        </w:rPr>
        <w:t>Antes bien</w:t>
      </w:r>
      <w:r w:rsidR="00F74FC6" w:rsidRPr="0018174E">
        <w:rPr>
          <w:lang w:val="es-ES_tradnl"/>
        </w:rPr>
        <w:t xml:space="preserve">, la propuesta permitiría a las </w:t>
      </w:r>
      <w:r w:rsidR="002C0E34" w:rsidRPr="0018174E">
        <w:rPr>
          <w:lang w:val="es-ES_tradnl"/>
        </w:rPr>
        <w:t>a</w:t>
      </w:r>
      <w:r w:rsidR="00F74FC6" w:rsidRPr="0018174E">
        <w:rPr>
          <w:lang w:val="es-ES_tradnl"/>
        </w:rPr>
        <w:t xml:space="preserve">dministraciones del PCT prorrogar los plazos durante la fase </w:t>
      </w:r>
      <w:r w:rsidR="001B6B36" w:rsidRPr="0018174E">
        <w:rPr>
          <w:lang w:val="es-ES_tradnl"/>
        </w:rPr>
        <w:t>inter</w:t>
      </w:r>
      <w:r w:rsidR="00F74FC6" w:rsidRPr="0018174E">
        <w:rPr>
          <w:lang w:val="es-ES_tradnl"/>
        </w:rPr>
        <w:t>nacional. Sin</w:t>
      </w:r>
      <w:r w:rsidR="00B177CC">
        <w:rPr>
          <w:lang w:val="es-ES_tradnl"/>
        </w:rPr>
        <w:t xml:space="preserve"> embargo, la propuesta de Regla </w:t>
      </w:r>
      <w:r w:rsidR="00F74FC6" w:rsidRPr="0018174E">
        <w:rPr>
          <w:lang w:val="es-ES_tradnl"/>
        </w:rPr>
        <w:t>82</w:t>
      </w:r>
      <w:r w:rsidR="00F74FC6" w:rsidRPr="0018174E">
        <w:rPr>
          <w:i/>
          <w:lang w:val="es-ES_tradnl"/>
        </w:rPr>
        <w:t>quater.</w:t>
      </w:r>
      <w:r w:rsidR="00F74FC6" w:rsidRPr="0018174E">
        <w:rPr>
          <w:lang w:val="es-ES_tradnl"/>
        </w:rPr>
        <w:t>3 seguiría la lógica general de la Regla 82</w:t>
      </w:r>
      <w:r w:rsidR="00F74FC6" w:rsidRPr="0018174E">
        <w:rPr>
          <w:i/>
          <w:lang w:val="es-ES_tradnl"/>
        </w:rPr>
        <w:t>quater</w:t>
      </w:r>
      <w:r w:rsidR="00F74FC6" w:rsidRPr="0018174E">
        <w:rPr>
          <w:lang w:val="es-ES_tradnl"/>
        </w:rPr>
        <w:t xml:space="preserve"> y sería aplicable a los plazos que se establecen en el Reglamento. Otros plazos se establecen en el</w:t>
      </w:r>
      <w:r w:rsidR="00D9160C" w:rsidRPr="0018174E">
        <w:rPr>
          <w:lang w:val="es-ES_tradnl"/>
        </w:rPr>
        <w:t xml:space="preserve"> propio</w:t>
      </w:r>
      <w:r w:rsidR="00F74FC6" w:rsidRPr="0018174E">
        <w:rPr>
          <w:lang w:val="es-ES_tradnl"/>
        </w:rPr>
        <w:t xml:space="preserve"> Tratado, por ejem</w:t>
      </w:r>
      <w:r w:rsidR="00B177CC">
        <w:rPr>
          <w:lang w:val="es-ES_tradnl"/>
        </w:rPr>
        <w:t>plo, el plazo para entrar en la fase nacional</w:t>
      </w:r>
      <w:r w:rsidR="00F74FC6" w:rsidRPr="0018174E">
        <w:rPr>
          <w:lang w:val="es-ES_tradnl"/>
        </w:rPr>
        <w:t xml:space="preserve">. Por consiguiente, dichos plazos no están contemplados en la prórroga propuesta. En consecuencia, los Estados designados y elegidos podrán acogerse a sus disposiciones nacionales y prorrogar dichos plazos con efecto exclusivo para su Estado (véase el artículo 48.2) </w:t>
      </w:r>
      <w:r w:rsidR="007B51FE" w:rsidRPr="0018174E">
        <w:rPr>
          <w:lang w:val="es-ES_tradnl"/>
        </w:rPr>
        <w:t>juntamente con la Regla 82</w:t>
      </w:r>
      <w:r w:rsidR="007B51FE" w:rsidRPr="0018174E">
        <w:rPr>
          <w:i/>
          <w:lang w:val="es-ES_tradnl"/>
        </w:rPr>
        <w:t>bis</w:t>
      </w:r>
      <w:r w:rsidR="007B51FE" w:rsidRPr="0018174E">
        <w:rPr>
          <w:lang w:val="es-ES_tradnl"/>
        </w:rPr>
        <w:t>.2)</w:t>
      </w:r>
      <w:r w:rsidR="007C2853" w:rsidRPr="0018174E">
        <w:rPr>
          <w:lang w:val="es-ES_tradnl"/>
        </w:rPr>
        <w:t>.</w:t>
      </w:r>
    </w:p>
    <w:p w:rsidR="007C2853" w:rsidRPr="0018174E" w:rsidRDefault="00B177CC" w:rsidP="005A26C0">
      <w:pPr>
        <w:pStyle w:val="ONUMFS"/>
        <w:rPr>
          <w:lang w:val="es-ES_tradnl"/>
        </w:rPr>
      </w:pPr>
      <w:r>
        <w:rPr>
          <w:lang w:val="es-ES_tradnl"/>
        </w:rPr>
        <w:t>La propuesta de nuevo apartado 3 de la</w:t>
      </w:r>
      <w:r w:rsidR="00192130" w:rsidRPr="0018174E">
        <w:rPr>
          <w:lang w:val="es-ES_tradnl"/>
        </w:rPr>
        <w:t xml:space="preserve"> Regla 82</w:t>
      </w:r>
      <w:r w:rsidR="00192130" w:rsidRPr="0018174E">
        <w:rPr>
          <w:i/>
          <w:lang w:val="es-ES_tradnl"/>
        </w:rPr>
        <w:t>quater</w:t>
      </w:r>
      <w:r w:rsidR="00192130" w:rsidRPr="0018174E">
        <w:rPr>
          <w:lang w:val="es-ES_tradnl"/>
        </w:rPr>
        <w:t xml:space="preserve"> refleja el mecanismo en v</w:t>
      </w:r>
      <w:r w:rsidR="00962693" w:rsidRPr="0018174E">
        <w:rPr>
          <w:lang w:val="es-ES_tradnl"/>
        </w:rPr>
        <w:t>igor en virtud de la Regla 82</w:t>
      </w:r>
      <w:r w:rsidR="00962693" w:rsidRPr="0018174E">
        <w:rPr>
          <w:i/>
          <w:lang w:val="es-ES_tradnl"/>
        </w:rPr>
        <w:t>quater</w:t>
      </w:r>
      <w:r w:rsidR="00962693" w:rsidRPr="0018174E">
        <w:rPr>
          <w:lang w:val="es-ES_tradnl"/>
        </w:rPr>
        <w:t xml:space="preserve">.2 </w:t>
      </w:r>
      <w:r w:rsidR="00700FEB" w:rsidRPr="0018174E">
        <w:rPr>
          <w:lang w:val="es-ES_tradnl"/>
        </w:rPr>
        <w:t>adoptada</w:t>
      </w:r>
      <w:r w:rsidR="00962693" w:rsidRPr="0018174E">
        <w:rPr>
          <w:lang w:val="es-ES_tradnl"/>
        </w:rPr>
        <w:t xml:space="preserve"> por la Asamblea del PCT en 2019 y que entr</w:t>
      </w:r>
      <w:r w:rsidR="00700FEB" w:rsidRPr="0018174E">
        <w:rPr>
          <w:lang w:val="es-ES_tradnl"/>
        </w:rPr>
        <w:t xml:space="preserve">ó en vigor el 1 de julio de 2020. En caso de que se produzca una </w:t>
      </w:r>
      <w:r w:rsidR="00C15CDD">
        <w:rPr>
          <w:lang w:val="es-ES_tradnl"/>
        </w:rPr>
        <w:t>perturbación generalizada</w:t>
      </w:r>
      <w:r w:rsidR="00700FEB" w:rsidRPr="0018174E">
        <w:rPr>
          <w:lang w:val="es-ES_tradnl"/>
        </w:rPr>
        <w:t xml:space="preserve"> por causas de fuerza mayor como las descritas en la Regla 82</w:t>
      </w:r>
      <w:r w:rsidR="00700FEB" w:rsidRPr="0018174E">
        <w:rPr>
          <w:i/>
          <w:lang w:val="es-ES_tradnl"/>
        </w:rPr>
        <w:t>quater</w:t>
      </w:r>
      <w:r w:rsidR="00700FEB" w:rsidRPr="0018174E">
        <w:rPr>
          <w:lang w:val="es-ES_tradnl"/>
        </w:rPr>
        <w:t>.1.a), los plazos establecidos en el Reglamento podrían prorrogarse al p</w:t>
      </w:r>
      <w:r w:rsidR="005A26C0" w:rsidRPr="0018174E">
        <w:rPr>
          <w:lang w:val="es-ES_tradnl"/>
        </w:rPr>
        <w:t xml:space="preserve">rimer día siguiente al final del intervalo de la </w:t>
      </w:r>
      <w:r w:rsidR="00594FAC">
        <w:rPr>
          <w:lang w:val="es-ES_tradnl"/>
        </w:rPr>
        <w:t>perturbación</w:t>
      </w:r>
      <w:r w:rsidR="005A26C0" w:rsidRPr="0018174E">
        <w:rPr>
          <w:lang w:val="es-ES_tradnl"/>
        </w:rPr>
        <w:t>. Es decir que en lugar de establecer un repertorio separado de condiciones, la Regla 82</w:t>
      </w:r>
      <w:r w:rsidR="005A26C0" w:rsidRPr="0018174E">
        <w:rPr>
          <w:i/>
          <w:lang w:val="es-ES_tradnl"/>
        </w:rPr>
        <w:t>quater.</w:t>
      </w:r>
      <w:r w:rsidR="005A26C0" w:rsidRPr="0018174E">
        <w:rPr>
          <w:lang w:val="es-ES_tradnl"/>
        </w:rPr>
        <w:t xml:space="preserve">3 se referiría directamente a los eventos de fuerza mayor que permiten a un solicitante </w:t>
      </w:r>
      <w:r w:rsidR="000244BB" w:rsidRPr="0018174E">
        <w:rPr>
          <w:lang w:val="es-ES_tradnl"/>
        </w:rPr>
        <w:t>pedir</w:t>
      </w:r>
      <w:r w:rsidR="0075680A" w:rsidRPr="0018174E">
        <w:rPr>
          <w:lang w:val="es-ES_tradnl"/>
        </w:rPr>
        <w:t xml:space="preserve"> la</w:t>
      </w:r>
      <w:r w:rsidR="000F5FC4" w:rsidRPr="0018174E">
        <w:rPr>
          <w:lang w:val="es-ES_tradnl"/>
        </w:rPr>
        <w:t xml:space="preserve"> excusa del retraso</w:t>
      </w:r>
      <w:r w:rsidR="005A26C0" w:rsidRPr="0018174E">
        <w:rPr>
          <w:lang w:val="es-ES_tradnl"/>
        </w:rPr>
        <w:t xml:space="preserve"> en virtud de la Regla </w:t>
      </w:r>
      <w:r w:rsidR="007C2853" w:rsidRPr="0018174E">
        <w:rPr>
          <w:lang w:val="es-ES_tradnl"/>
        </w:rPr>
        <w:t>82</w:t>
      </w:r>
      <w:r w:rsidR="007C2853" w:rsidRPr="0018174E">
        <w:rPr>
          <w:i/>
          <w:lang w:val="es-ES_tradnl"/>
        </w:rPr>
        <w:t>quater</w:t>
      </w:r>
      <w:r w:rsidR="007C2853" w:rsidRPr="0018174E">
        <w:rPr>
          <w:lang w:val="es-ES_tradnl"/>
        </w:rPr>
        <w:t>.1.</w:t>
      </w:r>
    </w:p>
    <w:p w:rsidR="007C2853" w:rsidRPr="0018174E" w:rsidRDefault="000244BB" w:rsidP="002D101F">
      <w:pPr>
        <w:pStyle w:val="ONUMFS"/>
        <w:rPr>
          <w:lang w:val="es-ES_tradnl"/>
        </w:rPr>
      </w:pPr>
      <w:r w:rsidRPr="0018174E">
        <w:rPr>
          <w:lang w:val="es-ES_tradnl"/>
        </w:rPr>
        <w:t>Con arreglo a</w:t>
      </w:r>
      <w:r w:rsidR="005A26C0" w:rsidRPr="0018174E">
        <w:rPr>
          <w:lang w:val="es-ES_tradnl"/>
        </w:rPr>
        <w:t>l</w:t>
      </w:r>
      <w:r w:rsidR="00B177CC">
        <w:rPr>
          <w:lang w:val="es-ES_tradnl"/>
        </w:rPr>
        <w:t xml:space="preserve"> nuevo apartado propuesto para la</w:t>
      </w:r>
      <w:r w:rsidR="005A26C0" w:rsidRPr="0018174E">
        <w:rPr>
          <w:lang w:val="es-ES_tradnl"/>
        </w:rPr>
        <w:t xml:space="preserve"> Regla, podr</w:t>
      </w:r>
      <w:r w:rsidR="006E638B" w:rsidRPr="0018174E">
        <w:rPr>
          <w:lang w:val="es-ES_tradnl"/>
        </w:rPr>
        <w:t>ía</w:t>
      </w:r>
      <w:r w:rsidR="005A26C0" w:rsidRPr="0018174E">
        <w:rPr>
          <w:lang w:val="es-ES_tradnl"/>
        </w:rPr>
        <w:t>n prorrogarse los plazos en la fase internacional</w:t>
      </w:r>
      <w:r w:rsidR="006E638B" w:rsidRPr="0018174E">
        <w:rPr>
          <w:lang w:val="es-ES_tradnl"/>
        </w:rPr>
        <w:t xml:space="preserve">, en particular, en los casos en que también pueda aplicarse una prórroga de los plazos con respecto a las solicitudes nacionales o regionales en el marco de la legislación </w:t>
      </w:r>
      <w:r w:rsidR="00ED0C2F" w:rsidRPr="0018174E">
        <w:rPr>
          <w:lang w:val="es-ES_tradnl"/>
        </w:rPr>
        <w:t xml:space="preserve">nacional aplicable </w:t>
      </w:r>
      <w:r w:rsidR="006E638B" w:rsidRPr="0018174E">
        <w:rPr>
          <w:lang w:val="es-ES_tradnl"/>
        </w:rPr>
        <w:t>o el tratado en que se prev</w:t>
      </w:r>
      <w:r w:rsidR="00ED0C2F" w:rsidRPr="0018174E">
        <w:rPr>
          <w:lang w:val="es-ES_tradnl"/>
        </w:rPr>
        <w:t>é</w:t>
      </w:r>
      <w:r w:rsidR="006E638B" w:rsidRPr="0018174E">
        <w:rPr>
          <w:lang w:val="es-ES_tradnl"/>
        </w:rPr>
        <w:t xml:space="preserve"> la presentación de solicitudes regionales o la concesión de patentes regionales de la Oficina o Administración respectivas</w:t>
      </w:r>
      <w:r w:rsidR="007C2853" w:rsidRPr="0018174E">
        <w:rPr>
          <w:lang w:val="es-ES_tradnl"/>
        </w:rPr>
        <w:t>.</w:t>
      </w:r>
    </w:p>
    <w:p w:rsidR="007C2853" w:rsidRPr="0018174E" w:rsidRDefault="00467BC0" w:rsidP="00467288">
      <w:pPr>
        <w:pStyle w:val="ONUMFS"/>
        <w:rPr>
          <w:lang w:val="es-ES_tradnl"/>
        </w:rPr>
      </w:pPr>
      <w:r w:rsidRPr="0018174E">
        <w:rPr>
          <w:lang w:val="es-ES_tradnl"/>
        </w:rPr>
        <w:t>La notificación en virtud de la Regla 82</w:t>
      </w:r>
      <w:r w:rsidRPr="0018174E">
        <w:rPr>
          <w:i/>
          <w:lang w:val="es-ES_tradnl"/>
        </w:rPr>
        <w:t>quater.</w:t>
      </w:r>
      <w:r w:rsidRPr="0018174E">
        <w:rPr>
          <w:lang w:val="es-ES_tradnl"/>
        </w:rPr>
        <w:t xml:space="preserve">3 debería incluir una indicación relativa al plazo previsto durante el cual se aplicaría la prórroga de los plazos, que debería limitarse a una </w:t>
      </w:r>
      <w:r w:rsidR="000244BB" w:rsidRPr="0018174E">
        <w:rPr>
          <w:lang w:val="es-ES_tradnl"/>
        </w:rPr>
        <w:t xml:space="preserve">determinada </w:t>
      </w:r>
      <w:r w:rsidRPr="0018174E">
        <w:rPr>
          <w:lang w:val="es-ES_tradnl"/>
        </w:rPr>
        <w:t>duración. Se propone una duración máxima de dos meses, ya que ese es el período utilizado normalmente en el marco del PCT (por ejemplo, restauración de los derechos de prioridad o incorporación por referencia). Si, en la fecha de vencimiento de la prórroga del plazo</w:t>
      </w:r>
      <w:r w:rsidR="000244BB" w:rsidRPr="0018174E">
        <w:rPr>
          <w:lang w:val="es-ES_tradnl"/>
        </w:rPr>
        <w:t>,</w:t>
      </w:r>
      <w:r w:rsidRPr="0018174E">
        <w:rPr>
          <w:lang w:val="es-ES_tradnl"/>
        </w:rPr>
        <w:t xml:space="preserve"> siguiera en curso la </w:t>
      </w:r>
      <w:r w:rsidR="00C15CDD">
        <w:rPr>
          <w:lang w:val="es-ES_tradnl"/>
        </w:rPr>
        <w:t>perturbación generalizada</w:t>
      </w:r>
      <w:r w:rsidRPr="0018174E">
        <w:rPr>
          <w:lang w:val="es-ES_tradnl"/>
        </w:rPr>
        <w:t xml:space="preserve">, una Oficina podría renovar </w:t>
      </w:r>
      <w:r w:rsidR="000244BB" w:rsidRPr="0018174E">
        <w:rPr>
          <w:lang w:val="es-ES_tradnl"/>
        </w:rPr>
        <w:t>la</w:t>
      </w:r>
      <w:r w:rsidRPr="0018174E">
        <w:rPr>
          <w:lang w:val="es-ES_tradnl"/>
        </w:rPr>
        <w:t xml:space="preserve"> notificación </w:t>
      </w:r>
      <w:r w:rsidR="000244BB" w:rsidRPr="0018174E">
        <w:rPr>
          <w:lang w:val="es-ES_tradnl"/>
        </w:rPr>
        <w:t>dirigida</w:t>
      </w:r>
      <w:r w:rsidR="00D9160C" w:rsidRPr="0018174E">
        <w:rPr>
          <w:lang w:val="es-ES_tradnl"/>
        </w:rPr>
        <w:t xml:space="preserve"> a</w:t>
      </w:r>
      <w:r w:rsidRPr="0018174E">
        <w:rPr>
          <w:lang w:val="es-ES_tradnl"/>
        </w:rPr>
        <w:t xml:space="preserve"> la Oficina Internacional por otro período de </w:t>
      </w:r>
      <w:r w:rsidR="005C7A90" w:rsidRPr="0018174E">
        <w:rPr>
          <w:lang w:val="es-ES_tradnl"/>
        </w:rPr>
        <w:t>(</w:t>
      </w:r>
      <w:r w:rsidRPr="0018174E">
        <w:rPr>
          <w:lang w:val="es-ES_tradnl"/>
        </w:rPr>
        <w:t>un máximo de</w:t>
      </w:r>
      <w:r w:rsidR="005C7A90" w:rsidRPr="0018174E">
        <w:rPr>
          <w:lang w:val="es-ES_tradnl"/>
        </w:rPr>
        <w:t>)</w:t>
      </w:r>
      <w:r w:rsidRPr="0018174E">
        <w:rPr>
          <w:lang w:val="es-ES_tradnl"/>
        </w:rPr>
        <w:t xml:space="preserve"> dos meses. La notificación podría renovarse hasta la conclusión de la </w:t>
      </w:r>
      <w:r w:rsidR="00C15CDD">
        <w:rPr>
          <w:lang w:val="es-ES_tradnl"/>
        </w:rPr>
        <w:t>perturbación generalizada</w:t>
      </w:r>
      <w:r w:rsidRPr="0018174E">
        <w:rPr>
          <w:lang w:val="es-ES_tradnl"/>
        </w:rPr>
        <w:t xml:space="preserve">. </w:t>
      </w:r>
      <w:r w:rsidR="00467288" w:rsidRPr="0018174E">
        <w:rPr>
          <w:lang w:val="es-ES_tradnl"/>
        </w:rPr>
        <w:t>Las Directrices para las Oficinas receptoras y otras fuentes de información pertinentes deberían suministrar más orientación sobre la aplicación de esa disposición por parte de las Oficinas y las Administraciones. Al igual que el mecanismo introducido en la Regla 82</w:t>
      </w:r>
      <w:r w:rsidR="00467288" w:rsidRPr="0018174E">
        <w:rPr>
          <w:i/>
          <w:lang w:val="es-ES_tradnl"/>
        </w:rPr>
        <w:t>quater</w:t>
      </w:r>
      <w:r w:rsidR="00467288" w:rsidRPr="0018174E">
        <w:rPr>
          <w:lang w:val="es-ES_tradnl"/>
        </w:rPr>
        <w:t xml:space="preserve">.2, la notificación de </w:t>
      </w:r>
      <w:r w:rsidR="00BA56EF" w:rsidRPr="0018174E">
        <w:rPr>
          <w:lang w:val="es-ES_tradnl"/>
        </w:rPr>
        <w:t xml:space="preserve">una </w:t>
      </w:r>
      <w:r w:rsidR="00C15CDD">
        <w:rPr>
          <w:lang w:val="es-ES_tradnl"/>
        </w:rPr>
        <w:t>perturbación generalizada</w:t>
      </w:r>
      <w:r w:rsidR="00467288" w:rsidRPr="0018174E">
        <w:rPr>
          <w:lang w:val="es-ES_tradnl"/>
        </w:rPr>
        <w:t xml:space="preserve"> a la Oficina Internacional por parte de la respectiva Oficina, incluida su duración exacta, garantizará la plena transparencia en pro de los solicitantes y de las Oficinas designadas o elegidas</w:t>
      </w:r>
      <w:r w:rsidR="006A279B">
        <w:rPr>
          <w:lang w:val="es-ES_tradnl"/>
        </w:rPr>
        <w:t>.</w:t>
      </w:r>
    </w:p>
    <w:p w:rsidR="007C2853" w:rsidRPr="0018174E" w:rsidRDefault="00862679" w:rsidP="00B33146">
      <w:pPr>
        <w:pStyle w:val="ONUMFS"/>
        <w:rPr>
          <w:lang w:val="es-ES_tradnl"/>
        </w:rPr>
      </w:pPr>
      <w:r w:rsidRPr="0018174E">
        <w:rPr>
          <w:lang w:val="es-ES_tradnl"/>
        </w:rPr>
        <w:lastRenderedPageBreak/>
        <w:t>Por otra parte, las Oficinas podrán disfrutar de la flexibilidad que ofrece el mecanismo propuesto, esto es, cada Oficina podrá preparar</w:t>
      </w:r>
      <w:r w:rsidR="003F377F">
        <w:rPr>
          <w:lang w:val="es-ES_tradnl"/>
        </w:rPr>
        <w:t>se</w:t>
      </w:r>
      <w:r w:rsidRPr="0018174E">
        <w:rPr>
          <w:lang w:val="es-ES_tradnl"/>
        </w:rPr>
        <w:t xml:space="preserve"> oportuna e independientemente </w:t>
      </w:r>
      <w:r w:rsidR="003F377F">
        <w:rPr>
          <w:lang w:val="es-ES_tradnl"/>
        </w:rPr>
        <w:t>para aplicar</w:t>
      </w:r>
      <w:r w:rsidRPr="0018174E">
        <w:rPr>
          <w:lang w:val="es-ES_tradnl"/>
        </w:rPr>
        <w:t xml:space="preserve"> la prórroga general de los plazos (evaluación financiera, </w:t>
      </w:r>
      <w:r w:rsidR="003F377F">
        <w:rPr>
          <w:lang w:val="es-ES_tradnl"/>
        </w:rPr>
        <w:t xml:space="preserve">desarrollo de herramientas de </w:t>
      </w:r>
      <w:r w:rsidRPr="0018174E">
        <w:rPr>
          <w:lang w:val="es-ES_tradnl"/>
        </w:rPr>
        <w:t>TI, incidencia en las actividades y flujos de trabajo). Aun cuando se trate de una disposición facultativa, como es el caso de la Regla 82</w:t>
      </w:r>
      <w:r w:rsidRPr="0018174E">
        <w:rPr>
          <w:i/>
          <w:lang w:val="es-ES_tradnl"/>
        </w:rPr>
        <w:t>quater.</w:t>
      </w:r>
      <w:r w:rsidRPr="0018174E">
        <w:rPr>
          <w:lang w:val="es-ES_tradnl"/>
        </w:rPr>
        <w:t>2, la introducción del</w:t>
      </w:r>
      <w:r w:rsidR="003F377F">
        <w:rPr>
          <w:lang w:val="es-ES_tradnl"/>
        </w:rPr>
        <w:t xml:space="preserve"> nuevo apartado propuesto</w:t>
      </w:r>
      <w:r w:rsidRPr="0018174E">
        <w:rPr>
          <w:lang w:val="es-ES_tradnl"/>
        </w:rPr>
        <w:t xml:space="preserve"> constituirá un importante paso hacia </w:t>
      </w:r>
      <w:r w:rsidR="003F377F">
        <w:rPr>
          <w:lang w:val="es-ES_tradnl"/>
        </w:rPr>
        <w:t>la convergencia de prácticas con las</w:t>
      </w:r>
      <w:r w:rsidRPr="0018174E">
        <w:rPr>
          <w:lang w:val="es-ES_tradnl"/>
        </w:rPr>
        <w:t xml:space="preserve"> Oficinas que actualmente prorrogan los plazos en el marco de sus leyes nacionales en ese tipo de circunstancias. </w:t>
      </w:r>
      <w:r w:rsidR="00B33146" w:rsidRPr="0018174E">
        <w:rPr>
          <w:lang w:val="es-ES_tradnl"/>
        </w:rPr>
        <w:t>Además, una notificación en virtud de la Regla 82</w:t>
      </w:r>
      <w:r w:rsidR="00B33146" w:rsidRPr="0018174E">
        <w:rPr>
          <w:i/>
          <w:lang w:val="es-ES_tradnl"/>
        </w:rPr>
        <w:t>quater.</w:t>
      </w:r>
      <w:r w:rsidR="00B33146" w:rsidRPr="0018174E">
        <w:rPr>
          <w:lang w:val="es-ES_tradnl"/>
        </w:rPr>
        <w:t xml:space="preserve">3 servirá como prueba para los solicitantes o agentes que residan en el mismo Estado para </w:t>
      </w:r>
      <w:r w:rsidR="000244BB" w:rsidRPr="0018174E">
        <w:rPr>
          <w:lang w:val="es-ES_tradnl"/>
        </w:rPr>
        <w:t>pedir</w:t>
      </w:r>
      <w:r w:rsidR="00B33146" w:rsidRPr="0018174E">
        <w:rPr>
          <w:lang w:val="es-ES_tradnl"/>
        </w:rPr>
        <w:t xml:space="preserve"> la excusa de los retrasos en virtud de la Regla 82</w:t>
      </w:r>
      <w:r w:rsidR="00B33146" w:rsidRPr="0018174E">
        <w:rPr>
          <w:i/>
          <w:lang w:val="es-ES_tradnl"/>
        </w:rPr>
        <w:t>quater.</w:t>
      </w:r>
      <w:r w:rsidR="00B33146" w:rsidRPr="0018174E">
        <w:rPr>
          <w:lang w:val="es-ES_tradnl"/>
        </w:rPr>
        <w:t xml:space="preserve">1, si así lo </w:t>
      </w:r>
      <w:r w:rsidR="000244BB" w:rsidRPr="0018174E">
        <w:rPr>
          <w:lang w:val="es-ES_tradnl"/>
        </w:rPr>
        <w:t>solicitaran</w:t>
      </w:r>
      <w:r w:rsidR="00B33146" w:rsidRPr="0018174E">
        <w:rPr>
          <w:lang w:val="es-ES_tradnl"/>
        </w:rPr>
        <w:t xml:space="preserve"> otras Oficinas.</w:t>
      </w:r>
    </w:p>
    <w:p w:rsidR="007C2853" w:rsidRPr="0018174E" w:rsidRDefault="00B33146" w:rsidP="00007B9B">
      <w:pPr>
        <w:pStyle w:val="ONUMFS"/>
        <w:rPr>
          <w:lang w:val="es-ES_tradnl"/>
        </w:rPr>
      </w:pPr>
      <w:r w:rsidRPr="0018174E">
        <w:rPr>
          <w:lang w:val="es-ES_tradnl"/>
        </w:rPr>
        <w:t xml:space="preserve">A diferencia de lo establecido en </w:t>
      </w:r>
      <w:r w:rsidR="008F07A2" w:rsidRPr="0018174E">
        <w:rPr>
          <w:lang w:val="es-ES_tradnl"/>
        </w:rPr>
        <w:t>la</w:t>
      </w:r>
      <w:r w:rsidRPr="0018174E">
        <w:rPr>
          <w:lang w:val="es-ES_tradnl"/>
        </w:rPr>
        <w:t xml:space="preserve"> Regla 82</w:t>
      </w:r>
      <w:r w:rsidRPr="0018174E">
        <w:rPr>
          <w:i/>
          <w:lang w:val="es-ES_tradnl"/>
        </w:rPr>
        <w:t>quater.</w:t>
      </w:r>
      <w:r w:rsidR="003F377F">
        <w:rPr>
          <w:lang w:val="es-ES_tradnl"/>
        </w:rPr>
        <w:t>1, conforme al nuevo apartado </w:t>
      </w:r>
      <w:r w:rsidR="003F377F" w:rsidRPr="0018174E">
        <w:rPr>
          <w:lang w:val="es-ES_tradnl"/>
        </w:rPr>
        <w:t>3</w:t>
      </w:r>
      <w:r w:rsidR="003F377F">
        <w:rPr>
          <w:lang w:val="es-ES_tradnl"/>
        </w:rPr>
        <w:t xml:space="preserve"> de la Regla </w:t>
      </w:r>
      <w:r w:rsidRPr="0018174E">
        <w:rPr>
          <w:lang w:val="es-ES_tradnl"/>
        </w:rPr>
        <w:t>82</w:t>
      </w:r>
      <w:r w:rsidRPr="0018174E">
        <w:rPr>
          <w:i/>
          <w:lang w:val="es-ES_tradnl"/>
        </w:rPr>
        <w:t>quater</w:t>
      </w:r>
      <w:r w:rsidRPr="0018174E">
        <w:rPr>
          <w:lang w:val="es-ES_tradnl"/>
        </w:rPr>
        <w:t xml:space="preserve">, los solicitantes no tendrán que presentar </w:t>
      </w:r>
      <w:r w:rsidR="00E8066D" w:rsidRPr="0018174E">
        <w:rPr>
          <w:lang w:val="es-ES_tradnl"/>
        </w:rPr>
        <w:t>peticiones</w:t>
      </w:r>
      <w:r w:rsidRPr="0018174E">
        <w:rPr>
          <w:lang w:val="es-ES_tradnl"/>
        </w:rPr>
        <w:t xml:space="preserve"> ni pruebas. La prórroga la determinará la respectiva Oficina, que publicará dicha información en su sitio web. En instrumentos secundarios podrán especificarse más detalles sobre la aplicación de la propuesta de nueva Regla, siguiendo el ejemplo de la Instrucción 111 de las Instrucciones Administrativas del PCT y los párrafos 30B y 30C de las </w:t>
      </w:r>
      <w:r w:rsidR="00007B9B" w:rsidRPr="0018174E">
        <w:rPr>
          <w:lang w:val="es-ES_tradnl"/>
        </w:rPr>
        <w:t xml:space="preserve">Directrices </w:t>
      </w:r>
      <w:r w:rsidR="00CF0AE1" w:rsidRPr="0018174E">
        <w:rPr>
          <w:lang w:val="es-ES_tradnl"/>
        </w:rPr>
        <w:t>para</w:t>
      </w:r>
      <w:r w:rsidR="00007B9B" w:rsidRPr="0018174E">
        <w:rPr>
          <w:lang w:val="es-ES_tradnl"/>
        </w:rPr>
        <w:t xml:space="preserve"> las Oficinas </w:t>
      </w:r>
      <w:r w:rsidR="00CF0AE1" w:rsidRPr="0018174E">
        <w:rPr>
          <w:lang w:val="es-ES_tradnl"/>
        </w:rPr>
        <w:t>r</w:t>
      </w:r>
      <w:r w:rsidR="00007B9B" w:rsidRPr="0018174E">
        <w:rPr>
          <w:lang w:val="es-ES_tradnl"/>
        </w:rPr>
        <w:t>eceptoras en el caso de la Regla 82</w:t>
      </w:r>
      <w:r w:rsidR="00007B9B" w:rsidRPr="0018174E">
        <w:rPr>
          <w:i/>
          <w:lang w:val="es-ES_tradnl"/>
        </w:rPr>
        <w:t>quater.</w:t>
      </w:r>
      <w:r w:rsidR="00007B9B" w:rsidRPr="0018174E">
        <w:rPr>
          <w:lang w:val="es-ES_tradnl"/>
        </w:rPr>
        <w:t>2.</w:t>
      </w:r>
    </w:p>
    <w:p w:rsidR="007C2853" w:rsidRPr="0018174E" w:rsidRDefault="00072936" w:rsidP="00EF3D1D">
      <w:pPr>
        <w:pStyle w:val="ONUMFS"/>
        <w:rPr>
          <w:lang w:val="es-ES_tradnl"/>
        </w:rPr>
      </w:pPr>
      <w:r w:rsidRPr="0018174E">
        <w:rPr>
          <w:lang w:val="es-ES_tradnl"/>
        </w:rPr>
        <w:t>Por otra parte, la OEP propone modificar la Regla 82</w:t>
      </w:r>
      <w:r w:rsidRPr="0018174E">
        <w:rPr>
          <w:i/>
          <w:lang w:val="es-ES_tradnl"/>
        </w:rPr>
        <w:t>quater</w:t>
      </w:r>
      <w:r w:rsidRPr="0018174E">
        <w:rPr>
          <w:lang w:val="es-ES_tradnl"/>
        </w:rPr>
        <w:t xml:space="preserve">.1 </w:t>
      </w:r>
      <w:r w:rsidR="00EB706C" w:rsidRPr="0018174E">
        <w:rPr>
          <w:lang w:val="es-ES_tradnl"/>
        </w:rPr>
        <w:t>aclarando</w:t>
      </w:r>
      <w:r w:rsidR="003D698C" w:rsidRPr="0018174E">
        <w:rPr>
          <w:lang w:val="es-ES_tradnl"/>
        </w:rPr>
        <w:t xml:space="preserve"> la lista de circunstancias de fuerza mayor. Una declaración de epidemia debería </w:t>
      </w:r>
      <w:r w:rsidR="00EB706C" w:rsidRPr="0018174E">
        <w:rPr>
          <w:lang w:val="es-ES_tradnl"/>
        </w:rPr>
        <w:t>considerarse</w:t>
      </w:r>
      <w:r w:rsidR="003D698C" w:rsidRPr="0018174E">
        <w:rPr>
          <w:lang w:val="es-ES_tradnl"/>
        </w:rPr>
        <w:t xml:space="preserve"> un motivo </w:t>
      </w:r>
      <w:r w:rsidR="00EB706C" w:rsidRPr="0018174E">
        <w:rPr>
          <w:lang w:val="es-ES_tradnl"/>
        </w:rPr>
        <w:t>para efectuar la petición de</w:t>
      </w:r>
      <w:r w:rsidR="003D698C" w:rsidRPr="0018174E">
        <w:rPr>
          <w:lang w:val="es-ES_tradnl"/>
        </w:rPr>
        <w:t xml:space="preserve"> excusa de un retraso en el cumplimiento de los plazos y debería especificarse expresamente en la Regla 82</w:t>
      </w:r>
      <w:r w:rsidR="003D698C" w:rsidRPr="0018174E">
        <w:rPr>
          <w:i/>
          <w:lang w:val="es-ES_tradnl"/>
        </w:rPr>
        <w:t>quater</w:t>
      </w:r>
      <w:r w:rsidR="003D698C" w:rsidRPr="0018174E">
        <w:rPr>
          <w:lang w:val="es-ES_tradnl"/>
        </w:rPr>
        <w:t xml:space="preserve">.1 como tal, aun cuando la lista de circunstancias de fuerza mayor no sea exhaustiva. Por ello, se propone </w:t>
      </w:r>
      <w:r w:rsidR="00EB706C" w:rsidRPr="0018174E">
        <w:rPr>
          <w:lang w:val="es-ES_tradnl"/>
        </w:rPr>
        <w:t xml:space="preserve">que </w:t>
      </w:r>
      <w:r w:rsidR="0018174E" w:rsidRPr="0018174E">
        <w:rPr>
          <w:lang w:val="es-ES_tradnl"/>
        </w:rPr>
        <w:t>en la Regla </w:t>
      </w:r>
      <w:r w:rsidR="003D698C" w:rsidRPr="0018174E">
        <w:rPr>
          <w:lang w:val="es-ES_tradnl"/>
        </w:rPr>
        <w:t>82</w:t>
      </w:r>
      <w:r w:rsidR="003D698C" w:rsidRPr="0018174E">
        <w:rPr>
          <w:i/>
          <w:lang w:val="es-ES_tradnl"/>
        </w:rPr>
        <w:t>quater.</w:t>
      </w:r>
      <w:r w:rsidR="003D698C" w:rsidRPr="0018174E">
        <w:rPr>
          <w:lang w:val="es-ES_tradnl"/>
        </w:rPr>
        <w:t>1 se incluya esa noción. Según la Organización Mundial de la Salud (OMS), una epidemia es la “</w:t>
      </w:r>
      <w:r w:rsidR="00E74910" w:rsidRPr="0018174E">
        <w:rPr>
          <w:lang w:val="es-ES_tradnl"/>
        </w:rPr>
        <w:t>presencia en una comunidad o región de casos de una enfermedad, de un comportamiento específico relacionado con la salud o de ot</w:t>
      </w:r>
      <w:r w:rsidR="003F377F">
        <w:rPr>
          <w:lang w:val="es-ES_tradnl"/>
        </w:rPr>
        <w:t>ros fenómenos relacionados con e</w:t>
      </w:r>
      <w:r w:rsidR="00E74910" w:rsidRPr="0018174E">
        <w:rPr>
          <w:lang w:val="es-ES_tradnl"/>
        </w:rPr>
        <w:t>sta que rebasan claramente lo que en circunstancias normales cabría esperar</w:t>
      </w:r>
      <w:r w:rsidR="007C3E92" w:rsidRPr="0018174E">
        <w:rPr>
          <w:lang w:val="es-ES_tradnl"/>
        </w:rPr>
        <w:t>.</w:t>
      </w:r>
      <w:r w:rsidR="00E74910" w:rsidRPr="0018174E">
        <w:rPr>
          <w:lang w:val="es-ES_tradnl"/>
        </w:rPr>
        <w:t xml:space="preserve"> […]”</w:t>
      </w:r>
      <w:r w:rsidR="007C2853" w:rsidRPr="0018174E">
        <w:rPr>
          <w:lang w:val="es-ES_tradnl"/>
        </w:rPr>
        <w:t>.</w:t>
      </w:r>
    </w:p>
    <w:p w:rsidR="007C2853" w:rsidRPr="0018174E" w:rsidRDefault="007D0C94" w:rsidP="007D0C94">
      <w:pPr>
        <w:pStyle w:val="ONUMFS"/>
        <w:rPr>
          <w:lang w:val="es-ES_tradnl"/>
        </w:rPr>
      </w:pPr>
      <w:r w:rsidRPr="0018174E">
        <w:rPr>
          <w:lang w:val="es-ES_tradnl"/>
        </w:rPr>
        <w:t>Por último, la Regla 82</w:t>
      </w:r>
      <w:r w:rsidRPr="0018174E">
        <w:rPr>
          <w:i/>
          <w:lang w:val="es-ES_tradnl"/>
        </w:rPr>
        <w:t>quater.</w:t>
      </w:r>
      <w:r w:rsidRPr="0018174E">
        <w:rPr>
          <w:lang w:val="es-ES_tradnl"/>
        </w:rPr>
        <w:t>1 debería revisarse de manera que también refleje la declaración interpretativa de la Oficina Internacional del 9 de abril de 2020 mediante la inclusión de un nuevo párrafo d) en el que se ofrezca a las Oficinas la posibilidad de suprimir la exigencia de presentar pruebas y de notificar a la Oficina Internacional en consecuencia</w:t>
      </w:r>
      <w:r w:rsidR="007C2853" w:rsidRPr="0018174E">
        <w:rPr>
          <w:lang w:val="es-ES_tradnl"/>
        </w:rPr>
        <w:t>.</w:t>
      </w:r>
    </w:p>
    <w:p w:rsidR="007C2853" w:rsidRPr="0018174E" w:rsidRDefault="007D0C94" w:rsidP="001034A7">
      <w:pPr>
        <w:pStyle w:val="ONUMFS"/>
        <w:rPr>
          <w:lang w:val="es-ES_tradnl"/>
        </w:rPr>
      </w:pPr>
      <w:r w:rsidRPr="0018174E">
        <w:rPr>
          <w:lang w:val="es-ES_tradnl"/>
        </w:rPr>
        <w:t>La propuesta de texto de la Regla 82</w:t>
      </w:r>
      <w:r w:rsidRPr="0018174E">
        <w:rPr>
          <w:i/>
          <w:lang w:val="es-ES_tradnl"/>
        </w:rPr>
        <w:t>quater</w:t>
      </w:r>
      <w:r w:rsidRPr="0018174E">
        <w:rPr>
          <w:lang w:val="es-ES_tradnl"/>
        </w:rPr>
        <w:t>.3.b) difiere ligeramente de la redacción actual de las Reglas 82</w:t>
      </w:r>
      <w:r w:rsidRPr="0018174E">
        <w:rPr>
          <w:i/>
          <w:lang w:val="es-ES_tradnl"/>
        </w:rPr>
        <w:t>quater.</w:t>
      </w:r>
      <w:r w:rsidRPr="0018174E">
        <w:rPr>
          <w:lang w:val="es-ES_tradnl"/>
        </w:rPr>
        <w:t>1.c) y 82</w:t>
      </w:r>
      <w:r w:rsidRPr="0018174E">
        <w:rPr>
          <w:i/>
          <w:lang w:val="es-ES_tradnl"/>
        </w:rPr>
        <w:t>quater.</w:t>
      </w:r>
      <w:r w:rsidRPr="0018174E">
        <w:rPr>
          <w:lang w:val="es-ES_tradnl"/>
        </w:rPr>
        <w:t>2.b</w:t>
      </w:r>
      <w:r w:rsidR="00EF3D1D" w:rsidRPr="0018174E">
        <w:rPr>
          <w:lang w:val="es-ES_tradnl"/>
        </w:rPr>
        <w:t>)</w:t>
      </w:r>
      <w:r w:rsidRPr="0018174E">
        <w:rPr>
          <w:lang w:val="es-ES_tradnl"/>
        </w:rPr>
        <w:t xml:space="preserve">. La finalidad de dicha diferencia es aclarar que no debería haber un efecto perturbador </w:t>
      </w:r>
      <w:r w:rsidR="00EF3D1D" w:rsidRPr="0018174E">
        <w:rPr>
          <w:lang w:val="es-ES_tradnl"/>
        </w:rPr>
        <w:t>en</w:t>
      </w:r>
      <w:r w:rsidRPr="0018174E">
        <w:rPr>
          <w:lang w:val="es-ES_tradnl"/>
        </w:rPr>
        <w:t xml:space="preserve"> las Oficinas designadas o elegidas en los casos en que, por una parte, la tramitación nacional ya haya comenzado </w:t>
      </w:r>
      <w:r w:rsidR="0054286D" w:rsidRPr="0018174E">
        <w:rPr>
          <w:lang w:val="es-ES_tradnl"/>
        </w:rPr>
        <w:t>y,</w:t>
      </w:r>
      <w:r w:rsidR="00EF3D1D" w:rsidRPr="0018174E">
        <w:rPr>
          <w:lang w:val="es-ES_tradnl"/>
        </w:rPr>
        <w:t xml:space="preserve"> por otra,</w:t>
      </w:r>
      <w:r w:rsidRPr="0018174E">
        <w:rPr>
          <w:lang w:val="es-ES_tradnl"/>
        </w:rPr>
        <w:t xml:space="preserve"> </w:t>
      </w:r>
      <w:r w:rsidR="0054286D" w:rsidRPr="0018174E">
        <w:rPr>
          <w:lang w:val="es-ES_tradnl"/>
        </w:rPr>
        <w:t xml:space="preserve">en que </w:t>
      </w:r>
      <w:r w:rsidRPr="0018174E">
        <w:rPr>
          <w:lang w:val="es-ES_tradnl"/>
        </w:rPr>
        <w:t>todos los actos previstos en virtud de los artículos 22 o 39 ya hayan sido acometidos por el solicitante. En caso de que la propuesta anterior sea aprobada, debería considerarse la correspondiente modificación de las Reglas 82</w:t>
      </w:r>
      <w:r w:rsidRPr="0018174E">
        <w:rPr>
          <w:i/>
          <w:lang w:val="es-ES_tradnl"/>
        </w:rPr>
        <w:t>quater.</w:t>
      </w:r>
      <w:r w:rsidRPr="0018174E">
        <w:rPr>
          <w:lang w:val="es-ES_tradnl"/>
        </w:rPr>
        <w:t>1.c) y 82</w:t>
      </w:r>
      <w:r w:rsidRPr="0018174E">
        <w:rPr>
          <w:i/>
          <w:lang w:val="es-ES_tradnl"/>
        </w:rPr>
        <w:t>quater.</w:t>
      </w:r>
      <w:r w:rsidRPr="0018174E">
        <w:rPr>
          <w:lang w:val="es-ES_tradnl"/>
        </w:rPr>
        <w:t>2.b), en aras de la coherencia</w:t>
      </w:r>
      <w:r w:rsidR="007C2853" w:rsidRPr="0018174E">
        <w:rPr>
          <w:lang w:val="es-ES_tradnl"/>
        </w:rPr>
        <w:t>.</w:t>
      </w:r>
    </w:p>
    <w:p w:rsidR="007C2853" w:rsidRPr="0018174E" w:rsidRDefault="00270F43" w:rsidP="007C2853">
      <w:pPr>
        <w:pStyle w:val="Heading2"/>
        <w:rPr>
          <w:lang w:val="es-ES_tradnl"/>
        </w:rPr>
      </w:pPr>
      <w:r w:rsidRPr="0018174E">
        <w:rPr>
          <w:lang w:val="es-ES_tradnl"/>
        </w:rPr>
        <w:t>PROPUESTA DE PAUTA DE LA ASAMBLEA DEL PCT</w:t>
      </w:r>
    </w:p>
    <w:p w:rsidR="007C2853" w:rsidRPr="0018174E" w:rsidRDefault="000B092B" w:rsidP="009B5E3C">
      <w:pPr>
        <w:pStyle w:val="ONUMFS"/>
        <w:rPr>
          <w:lang w:val="es-ES_tradnl"/>
        </w:rPr>
      </w:pPr>
      <w:r w:rsidRPr="0018174E">
        <w:rPr>
          <w:lang w:val="es-ES_tradnl"/>
        </w:rPr>
        <w:t>Se propone además que la Asamblea del PCT adopte una pauta en lo que respecta a la prórroga de los plazos</w:t>
      </w:r>
      <w:r w:rsidR="008B0FB1" w:rsidRPr="0018174E">
        <w:rPr>
          <w:lang w:val="es-ES_tradnl"/>
        </w:rPr>
        <w:t xml:space="preserve"> en caso de </w:t>
      </w:r>
      <w:r w:rsidR="00C15CDD">
        <w:rPr>
          <w:lang w:val="es-ES_tradnl"/>
        </w:rPr>
        <w:t>perturbación generalizada</w:t>
      </w:r>
      <w:r w:rsidR="008B0FB1" w:rsidRPr="0018174E">
        <w:rPr>
          <w:lang w:val="es-ES_tradnl"/>
        </w:rPr>
        <w:t xml:space="preserve"> en el Estado en que </w:t>
      </w:r>
      <w:r w:rsidR="00D747E2" w:rsidRPr="0018174E">
        <w:rPr>
          <w:lang w:val="es-ES_tradnl"/>
        </w:rPr>
        <w:t>estén ubicadas</w:t>
      </w:r>
      <w:r w:rsidR="008B0FB1" w:rsidRPr="0018174E">
        <w:rPr>
          <w:lang w:val="es-ES_tradnl"/>
        </w:rPr>
        <w:t xml:space="preserve"> la Oficina o la organización. Dicha pauta abarcaría el plazo anterior a la entrada en vigor de la propuesta</w:t>
      </w:r>
      <w:r w:rsidR="003D4098" w:rsidRPr="0018174E">
        <w:rPr>
          <w:lang w:val="es-ES_tradnl"/>
        </w:rPr>
        <w:t xml:space="preserve"> de</w:t>
      </w:r>
      <w:r w:rsidR="008B0FB1" w:rsidRPr="0018174E">
        <w:rPr>
          <w:lang w:val="es-ES_tradnl"/>
        </w:rPr>
        <w:t xml:space="preserve"> nueva Regla 82</w:t>
      </w:r>
      <w:r w:rsidR="008B0FB1" w:rsidRPr="0018174E">
        <w:rPr>
          <w:i/>
          <w:lang w:val="es-ES_tradnl"/>
        </w:rPr>
        <w:t>quater.</w:t>
      </w:r>
      <w:r w:rsidR="008B0FB1" w:rsidRPr="0018174E">
        <w:rPr>
          <w:lang w:val="es-ES_tradnl"/>
        </w:rPr>
        <w:t xml:space="preserve">3 y proporcionaría seguridad jurídica y previsibilidad a los solicitantes cuyos plazos hayan sido prorrogados por las Oficinas en aplicación de una legislación nacional o regional más favorable. También proporcionaría una orientación y transparencia </w:t>
      </w:r>
      <w:r w:rsidR="00270F43" w:rsidRPr="0018174E">
        <w:rPr>
          <w:lang w:val="es-ES_tradnl"/>
        </w:rPr>
        <w:t>claras a las Oficinas designadas que se ocupan de esos expedientes ulteriormente, en el procedimiento de la fase nacional</w:t>
      </w:r>
      <w:r w:rsidR="007C2853" w:rsidRPr="0018174E">
        <w:rPr>
          <w:lang w:val="es-ES_tradnl"/>
        </w:rPr>
        <w:t>.</w:t>
      </w:r>
    </w:p>
    <w:p w:rsidR="007C2853" w:rsidRPr="0018174E" w:rsidRDefault="007C2853" w:rsidP="00A17C11">
      <w:pPr>
        <w:pStyle w:val="ONUMFS"/>
        <w:keepNext/>
        <w:keepLines/>
        <w:rPr>
          <w:lang w:val="es-ES_tradnl"/>
        </w:rPr>
      </w:pPr>
      <w:r w:rsidRPr="0018174E">
        <w:rPr>
          <w:lang w:val="es-ES_tradnl"/>
        </w:rPr>
        <w:lastRenderedPageBreak/>
        <w:t>A</w:t>
      </w:r>
      <w:r w:rsidR="00270F43" w:rsidRPr="0018174E">
        <w:rPr>
          <w:lang w:val="es-ES_tradnl"/>
        </w:rPr>
        <w:t xml:space="preserve"> continuación se propone un proyecto de texto de dicha pauta</w:t>
      </w:r>
      <w:r w:rsidRPr="0018174E">
        <w:rPr>
          <w:lang w:val="es-ES_tradnl"/>
        </w:rPr>
        <w:t>:</w:t>
      </w:r>
    </w:p>
    <w:p w:rsidR="007C2853" w:rsidRPr="0018174E" w:rsidRDefault="007C2853" w:rsidP="00A17C11">
      <w:pPr>
        <w:pStyle w:val="ONUMFS"/>
        <w:keepNext/>
        <w:keepLines/>
        <w:numPr>
          <w:ilvl w:val="0"/>
          <w:numId w:val="0"/>
        </w:numPr>
        <w:ind w:left="567"/>
        <w:rPr>
          <w:lang w:val="es-ES_tradnl"/>
        </w:rPr>
      </w:pPr>
      <w:r w:rsidRPr="0018174E">
        <w:rPr>
          <w:lang w:val="es-ES_tradnl"/>
        </w:rPr>
        <w:t>"</w:t>
      </w:r>
      <w:r w:rsidR="00270F43" w:rsidRPr="0018174E">
        <w:rPr>
          <w:lang w:val="es-ES_tradnl"/>
        </w:rPr>
        <w:t>Pauta de la Asamblea del PCT</w:t>
      </w:r>
    </w:p>
    <w:p w:rsidR="007C2853" w:rsidRPr="0018174E" w:rsidRDefault="00270F43" w:rsidP="00681880">
      <w:pPr>
        <w:pStyle w:val="ONUMFS"/>
        <w:numPr>
          <w:ilvl w:val="0"/>
          <w:numId w:val="0"/>
        </w:numPr>
        <w:ind w:left="567"/>
        <w:rPr>
          <w:lang w:val="es-ES_tradnl"/>
        </w:rPr>
      </w:pPr>
      <w:r w:rsidRPr="0018174E">
        <w:rPr>
          <w:lang w:val="es-ES_tradnl"/>
        </w:rPr>
        <w:t>Al aprobar las modificaciones de la Regla 82</w:t>
      </w:r>
      <w:r w:rsidRPr="0018174E">
        <w:rPr>
          <w:i/>
          <w:lang w:val="es-ES_tradnl"/>
        </w:rPr>
        <w:t>quater.</w:t>
      </w:r>
      <w:r w:rsidRPr="0018174E">
        <w:rPr>
          <w:lang w:val="es-ES_tradnl"/>
        </w:rPr>
        <w:t xml:space="preserve">1 y </w:t>
      </w:r>
      <w:r w:rsidR="009E2EB6">
        <w:rPr>
          <w:lang w:val="es-ES_tradnl"/>
        </w:rPr>
        <w:t xml:space="preserve">el nuevo apartado 3 de </w:t>
      </w:r>
      <w:r w:rsidRPr="0018174E">
        <w:rPr>
          <w:lang w:val="es-ES_tradnl"/>
        </w:rPr>
        <w:t xml:space="preserve">la </w:t>
      </w:r>
      <w:r w:rsidR="009E2EB6">
        <w:rPr>
          <w:lang w:val="es-ES_tradnl"/>
        </w:rPr>
        <w:t>Regla </w:t>
      </w:r>
      <w:r w:rsidRPr="0018174E">
        <w:rPr>
          <w:lang w:val="es-ES_tradnl"/>
        </w:rPr>
        <w:t>82</w:t>
      </w:r>
      <w:r w:rsidR="009E2EB6">
        <w:rPr>
          <w:i/>
          <w:lang w:val="es-ES_tradnl"/>
        </w:rPr>
        <w:t>quater</w:t>
      </w:r>
      <w:r w:rsidRPr="0018174E">
        <w:rPr>
          <w:lang w:val="es-ES_tradnl"/>
        </w:rPr>
        <w:t>, la Asamblea del PCT convino en que, antes de la entrada en vigor de la Regla 82</w:t>
      </w:r>
      <w:r w:rsidRPr="0018174E">
        <w:rPr>
          <w:i/>
          <w:lang w:val="es-ES_tradnl"/>
        </w:rPr>
        <w:t>quater.</w:t>
      </w:r>
      <w:r w:rsidR="009E2EB6">
        <w:rPr>
          <w:lang w:val="es-ES_tradnl"/>
        </w:rPr>
        <w:t>1 modificada y de</w:t>
      </w:r>
      <w:r w:rsidRPr="0018174E">
        <w:rPr>
          <w:lang w:val="es-ES_tradnl"/>
        </w:rPr>
        <w:t>l</w:t>
      </w:r>
      <w:r w:rsidR="009E2EB6">
        <w:rPr>
          <w:lang w:val="es-ES_tradnl"/>
        </w:rPr>
        <w:t xml:space="preserve"> nuevo apartado 3 de la </w:t>
      </w:r>
      <w:r w:rsidRPr="0018174E">
        <w:rPr>
          <w:lang w:val="es-ES_tradnl"/>
        </w:rPr>
        <w:t>Regla 82</w:t>
      </w:r>
      <w:r w:rsidR="009E2EB6">
        <w:rPr>
          <w:i/>
          <w:lang w:val="es-ES_tradnl"/>
        </w:rPr>
        <w:t>quater</w:t>
      </w:r>
      <w:r w:rsidRPr="0018174E">
        <w:rPr>
          <w:lang w:val="es-ES_tradnl"/>
        </w:rPr>
        <w:t xml:space="preserve">, </w:t>
      </w:r>
      <w:r w:rsidR="009E2EB6">
        <w:rPr>
          <w:lang w:val="es-ES_tradnl"/>
        </w:rPr>
        <w:t>ni la Regla </w:t>
      </w:r>
      <w:r w:rsidR="00681880" w:rsidRPr="0018174E">
        <w:rPr>
          <w:lang w:val="es-ES_tradnl"/>
        </w:rPr>
        <w:t>82</w:t>
      </w:r>
      <w:r w:rsidR="00681880" w:rsidRPr="0018174E">
        <w:rPr>
          <w:i/>
          <w:lang w:val="es-ES_tradnl"/>
        </w:rPr>
        <w:t>quater.</w:t>
      </w:r>
      <w:r w:rsidR="00681880" w:rsidRPr="0018174E">
        <w:rPr>
          <w:lang w:val="es-ES_tradnl"/>
        </w:rPr>
        <w:t>1 ni cualesquiera otra disposiciones del PCT impedirán a una Oficina prorrogar los plazos establecidos en el marco del Reglamento en las circunstancias de fuerza mayor definidas en la Regla 82</w:t>
      </w:r>
      <w:r w:rsidR="00681880" w:rsidRPr="0018174E">
        <w:rPr>
          <w:i/>
          <w:lang w:val="es-ES_tradnl"/>
        </w:rPr>
        <w:t>quater.</w:t>
      </w:r>
      <w:r w:rsidR="00681880" w:rsidRPr="0018174E">
        <w:rPr>
          <w:lang w:val="es-ES_tradnl"/>
        </w:rPr>
        <w:t xml:space="preserve">1, en los casos en que la legislación nacional o regional aplicable por esa Oficina prevean </w:t>
      </w:r>
      <w:r w:rsidR="00880AFB" w:rsidRPr="0018174E">
        <w:rPr>
          <w:lang w:val="es-ES_tradnl"/>
        </w:rPr>
        <w:t>esa medida correctiva</w:t>
      </w:r>
      <w:r w:rsidR="00681880" w:rsidRPr="0018174E">
        <w:rPr>
          <w:lang w:val="es-ES_tradnl"/>
        </w:rPr>
        <w:t>. La Asamblea del PCT convino ad</w:t>
      </w:r>
      <w:r w:rsidR="009E2EB6">
        <w:rPr>
          <w:lang w:val="es-ES_tradnl"/>
        </w:rPr>
        <w:t>emás en que, con la adopción de</w:t>
      </w:r>
      <w:r w:rsidR="00681880" w:rsidRPr="0018174E">
        <w:rPr>
          <w:lang w:val="es-ES_tradnl"/>
        </w:rPr>
        <w:t>l</w:t>
      </w:r>
      <w:r w:rsidR="009E2EB6">
        <w:rPr>
          <w:lang w:val="es-ES_tradnl"/>
        </w:rPr>
        <w:t xml:space="preserve"> nuevo apartado 3 de la Regla </w:t>
      </w:r>
      <w:r w:rsidR="00681880" w:rsidRPr="0018174E">
        <w:rPr>
          <w:lang w:val="es-ES_tradnl"/>
        </w:rPr>
        <w:t>82</w:t>
      </w:r>
      <w:r w:rsidR="009E2EB6">
        <w:rPr>
          <w:i/>
          <w:lang w:val="es-ES_tradnl"/>
        </w:rPr>
        <w:t>quater</w:t>
      </w:r>
      <w:r w:rsidR="00681880" w:rsidRPr="0018174E">
        <w:rPr>
          <w:lang w:val="es-ES_tradnl"/>
        </w:rPr>
        <w:t>, se establecerá en el Reglamento una nueva base jurídica que, por consiguiente, deberá aplicarse, cuando proceda, a partir de la fecha de su entrada en vigor</w:t>
      </w:r>
      <w:r w:rsidR="007C2853" w:rsidRPr="0018174E">
        <w:rPr>
          <w:lang w:val="es-ES_tradnl"/>
        </w:rPr>
        <w:t>."</w:t>
      </w:r>
    </w:p>
    <w:p w:rsidR="007C2853" w:rsidRPr="0018174E" w:rsidRDefault="00681880" w:rsidP="007C2853">
      <w:pPr>
        <w:pStyle w:val="Heading2"/>
        <w:rPr>
          <w:lang w:val="es-ES_tradnl"/>
        </w:rPr>
      </w:pPr>
      <w:bookmarkStart w:id="6" w:name="_Ref50115769"/>
      <w:r w:rsidRPr="0018174E">
        <w:rPr>
          <w:lang w:val="es-ES_tradnl"/>
        </w:rPr>
        <w:t>CASOS HIPOTÉTIC</w:t>
      </w:r>
      <w:r w:rsidR="006D60CE" w:rsidRPr="0018174E">
        <w:rPr>
          <w:lang w:val="es-ES_tradnl"/>
        </w:rPr>
        <w:t>O</w:t>
      </w:r>
      <w:r w:rsidRPr="0018174E">
        <w:rPr>
          <w:lang w:val="es-ES_tradnl"/>
        </w:rPr>
        <w:t xml:space="preserve">S DE </w:t>
      </w:r>
      <w:r w:rsidR="009E2EB6">
        <w:rPr>
          <w:lang w:val="es-ES_tradnl"/>
        </w:rPr>
        <w:t>PERTURBA</w:t>
      </w:r>
      <w:r w:rsidR="00176B5B" w:rsidRPr="0018174E">
        <w:rPr>
          <w:lang w:val="es-ES_tradnl"/>
        </w:rPr>
        <w:t>CIONES</w:t>
      </w:r>
      <w:r w:rsidRPr="0018174E">
        <w:rPr>
          <w:lang w:val="es-ES_tradnl"/>
        </w:rPr>
        <w:t xml:space="preserve"> Y SUS EFECTOS</w:t>
      </w:r>
    </w:p>
    <w:p w:rsidR="007C2853" w:rsidRPr="0018174E" w:rsidRDefault="00880AFB" w:rsidP="00880AFB">
      <w:pPr>
        <w:pStyle w:val="ONUMFS"/>
        <w:rPr>
          <w:lang w:val="es-ES_tradnl"/>
        </w:rPr>
      </w:pPr>
      <w:bookmarkStart w:id="7" w:name="_Ref50628380"/>
      <w:r w:rsidRPr="0018174E">
        <w:rPr>
          <w:lang w:val="es-ES_tradnl"/>
        </w:rPr>
        <w:t>En el siguiente cuadro se ilustra la aplicación práctica de las medidas correctivas disponibles en el marco del PCT, incluidas las propues</w:t>
      </w:r>
      <w:r w:rsidR="009E2EB6">
        <w:rPr>
          <w:lang w:val="es-ES_tradnl"/>
        </w:rPr>
        <w:t>tas de modificación de la Regla </w:t>
      </w:r>
      <w:r w:rsidRPr="0018174E">
        <w:rPr>
          <w:lang w:val="es-ES_tradnl"/>
        </w:rPr>
        <w:t>82</w:t>
      </w:r>
      <w:r w:rsidRPr="0018174E">
        <w:rPr>
          <w:i/>
          <w:lang w:val="es-ES_tradnl"/>
        </w:rPr>
        <w:t>quater</w:t>
      </w:r>
      <w:r w:rsidRPr="0018174E">
        <w:rPr>
          <w:lang w:val="es-ES_tradnl"/>
        </w:rPr>
        <w:t xml:space="preserve">.1 y de </w:t>
      </w:r>
      <w:r w:rsidR="009E2EB6">
        <w:rPr>
          <w:lang w:val="es-ES_tradnl"/>
        </w:rPr>
        <w:t>nuevo apartado 3 de la</w:t>
      </w:r>
      <w:r w:rsidRPr="0018174E">
        <w:rPr>
          <w:lang w:val="es-ES_tradnl"/>
        </w:rPr>
        <w:t xml:space="preserve"> Regla 82</w:t>
      </w:r>
      <w:r w:rsidR="009E2EB6">
        <w:rPr>
          <w:i/>
          <w:lang w:val="es-ES_tradnl"/>
        </w:rPr>
        <w:t>quater</w:t>
      </w:r>
      <w:r w:rsidR="002942A6">
        <w:rPr>
          <w:lang w:val="es-ES_tradnl"/>
        </w:rPr>
        <w:t xml:space="preserve"> (destacadas en negrita</w:t>
      </w:r>
      <w:r w:rsidRPr="0018174E">
        <w:rPr>
          <w:lang w:val="es-ES_tradnl"/>
        </w:rPr>
        <w:t>)</w:t>
      </w:r>
      <w:r w:rsidR="007C2853" w:rsidRPr="0018174E">
        <w:rPr>
          <w:lang w:val="es-ES_tradnl"/>
        </w:rPr>
        <w:t>:</w:t>
      </w:r>
      <w:bookmarkEnd w:id="6"/>
      <w:bookmarkEnd w:id="7"/>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539"/>
        <w:gridCol w:w="1935"/>
        <w:gridCol w:w="1935"/>
        <w:gridCol w:w="1936"/>
      </w:tblGrid>
      <w:tr w:rsidR="00880AFB" w:rsidRPr="0018174E" w:rsidTr="00700FEB">
        <w:trPr>
          <w:tblHeader/>
        </w:trPr>
        <w:tc>
          <w:tcPr>
            <w:tcW w:w="3539" w:type="dxa"/>
          </w:tcPr>
          <w:p w:rsidR="007C2853" w:rsidRPr="0018174E" w:rsidRDefault="00681880" w:rsidP="007931BC">
            <w:pPr>
              <w:pStyle w:val="ONUME"/>
              <w:numPr>
                <w:ilvl w:val="0"/>
                <w:numId w:val="0"/>
              </w:numPr>
              <w:spacing w:after="120"/>
              <w:jc w:val="center"/>
              <w:rPr>
                <w:b/>
                <w:lang w:val="es-ES_tradnl"/>
              </w:rPr>
            </w:pPr>
            <w:r w:rsidRPr="0018174E">
              <w:rPr>
                <w:b/>
                <w:lang w:val="es-ES_tradnl"/>
              </w:rPr>
              <w:t>Casos hipotéticos</w:t>
            </w:r>
          </w:p>
        </w:tc>
        <w:tc>
          <w:tcPr>
            <w:tcW w:w="1935" w:type="dxa"/>
          </w:tcPr>
          <w:p w:rsidR="007C2853" w:rsidRPr="0018174E" w:rsidRDefault="00681880" w:rsidP="007931BC">
            <w:pPr>
              <w:pStyle w:val="ONUME"/>
              <w:numPr>
                <w:ilvl w:val="0"/>
                <w:numId w:val="0"/>
              </w:numPr>
              <w:spacing w:after="120"/>
              <w:jc w:val="center"/>
              <w:rPr>
                <w:b/>
                <w:lang w:val="es-ES_tradnl"/>
              </w:rPr>
            </w:pPr>
            <w:r w:rsidRPr="0018174E">
              <w:rPr>
                <w:b/>
                <w:lang w:val="es-ES_tradnl"/>
              </w:rPr>
              <w:t>Disposición jurídica</w:t>
            </w:r>
          </w:p>
        </w:tc>
        <w:tc>
          <w:tcPr>
            <w:tcW w:w="1935" w:type="dxa"/>
          </w:tcPr>
          <w:p w:rsidR="007C2853" w:rsidRPr="0018174E" w:rsidRDefault="00880AFB" w:rsidP="007931BC">
            <w:pPr>
              <w:pStyle w:val="ONUME"/>
              <w:numPr>
                <w:ilvl w:val="0"/>
                <w:numId w:val="0"/>
              </w:numPr>
              <w:spacing w:after="120"/>
              <w:jc w:val="center"/>
              <w:rPr>
                <w:b/>
                <w:lang w:val="es-ES_tradnl"/>
              </w:rPr>
            </w:pPr>
            <w:r w:rsidRPr="0018174E">
              <w:rPr>
                <w:b/>
                <w:lang w:val="es-ES_tradnl"/>
              </w:rPr>
              <w:t>Peti</w:t>
            </w:r>
            <w:r w:rsidR="003D4098" w:rsidRPr="0018174E">
              <w:rPr>
                <w:b/>
                <w:lang w:val="es-ES_tradnl"/>
              </w:rPr>
              <w:t>ción</w:t>
            </w:r>
            <w:r w:rsidRPr="0018174E">
              <w:rPr>
                <w:b/>
                <w:lang w:val="es-ES_tradnl"/>
              </w:rPr>
              <w:t xml:space="preserve"> y Pruebas</w:t>
            </w:r>
          </w:p>
        </w:tc>
        <w:tc>
          <w:tcPr>
            <w:tcW w:w="1936" w:type="dxa"/>
          </w:tcPr>
          <w:p w:rsidR="007C2853" w:rsidRPr="0018174E" w:rsidRDefault="007C2853" w:rsidP="007931BC">
            <w:pPr>
              <w:pStyle w:val="ONUME"/>
              <w:numPr>
                <w:ilvl w:val="0"/>
                <w:numId w:val="0"/>
              </w:numPr>
              <w:spacing w:after="120"/>
              <w:jc w:val="center"/>
              <w:rPr>
                <w:b/>
                <w:lang w:val="es-ES_tradnl"/>
              </w:rPr>
            </w:pPr>
            <w:r w:rsidRPr="0018174E">
              <w:rPr>
                <w:b/>
                <w:lang w:val="es-ES_tradnl"/>
              </w:rPr>
              <w:t>Notifica</w:t>
            </w:r>
            <w:r w:rsidR="00880AFB" w:rsidRPr="0018174E">
              <w:rPr>
                <w:b/>
                <w:lang w:val="es-ES_tradnl"/>
              </w:rPr>
              <w:t>ción a la Oficina Internacional</w:t>
            </w:r>
          </w:p>
        </w:tc>
      </w:tr>
      <w:tr w:rsidR="00880AFB" w:rsidRPr="0018174E" w:rsidTr="00700FEB">
        <w:tc>
          <w:tcPr>
            <w:tcW w:w="3539" w:type="dxa"/>
          </w:tcPr>
          <w:p w:rsidR="007C2853" w:rsidRPr="0018174E" w:rsidRDefault="00594FAC" w:rsidP="007931BC">
            <w:pPr>
              <w:pStyle w:val="ONUME"/>
              <w:numPr>
                <w:ilvl w:val="0"/>
                <w:numId w:val="0"/>
              </w:numPr>
              <w:spacing w:after="120"/>
              <w:rPr>
                <w:lang w:val="es-ES_tradnl"/>
              </w:rPr>
            </w:pPr>
            <w:r>
              <w:rPr>
                <w:lang w:val="es-ES_tradnl"/>
              </w:rPr>
              <w:t>Perturbación en el servicio de</w:t>
            </w:r>
            <w:r w:rsidR="00892302" w:rsidRPr="0018174E">
              <w:rPr>
                <w:lang w:val="es-ES_tradnl"/>
              </w:rPr>
              <w:t xml:space="preserve"> correo postal en la localidad de la Oficina que sigue abierta a efectos oficiales</w:t>
            </w:r>
          </w:p>
        </w:tc>
        <w:tc>
          <w:tcPr>
            <w:tcW w:w="1935" w:type="dxa"/>
          </w:tcPr>
          <w:p w:rsidR="007C2853" w:rsidRPr="0018174E" w:rsidRDefault="007C2853" w:rsidP="007931BC">
            <w:pPr>
              <w:pStyle w:val="ONUME"/>
              <w:numPr>
                <w:ilvl w:val="0"/>
                <w:numId w:val="0"/>
              </w:numPr>
              <w:spacing w:after="120"/>
              <w:rPr>
                <w:lang w:val="es-ES_tradnl"/>
              </w:rPr>
            </w:pPr>
            <w:r w:rsidRPr="0018174E">
              <w:rPr>
                <w:lang w:val="es-ES_tradnl"/>
              </w:rPr>
              <w:t>R</w:t>
            </w:r>
            <w:r w:rsidR="002952DD" w:rsidRPr="0018174E">
              <w:rPr>
                <w:lang w:val="es-ES_tradnl"/>
              </w:rPr>
              <w:t>egla</w:t>
            </w:r>
            <w:r w:rsidRPr="0018174E">
              <w:rPr>
                <w:lang w:val="es-ES_tradnl"/>
              </w:rPr>
              <w:t> 82</w:t>
            </w:r>
          </w:p>
        </w:tc>
        <w:tc>
          <w:tcPr>
            <w:tcW w:w="1935" w:type="dxa"/>
          </w:tcPr>
          <w:p w:rsidR="007C2853" w:rsidRPr="0018174E" w:rsidRDefault="00892302" w:rsidP="007931BC">
            <w:pPr>
              <w:pStyle w:val="ONUME"/>
              <w:numPr>
                <w:ilvl w:val="0"/>
                <w:numId w:val="0"/>
              </w:numPr>
              <w:spacing w:after="120"/>
              <w:rPr>
                <w:lang w:val="es-ES_tradnl"/>
              </w:rPr>
            </w:pPr>
            <w:r w:rsidRPr="0018174E">
              <w:rPr>
                <w:lang w:val="es-ES_tradnl"/>
              </w:rPr>
              <w:t>Sí</w:t>
            </w:r>
          </w:p>
        </w:tc>
        <w:tc>
          <w:tcPr>
            <w:tcW w:w="1936" w:type="dxa"/>
          </w:tcPr>
          <w:p w:rsidR="007C2853" w:rsidRPr="0018174E" w:rsidRDefault="007C2853" w:rsidP="007931BC">
            <w:pPr>
              <w:pStyle w:val="ONUME"/>
              <w:numPr>
                <w:ilvl w:val="0"/>
                <w:numId w:val="0"/>
              </w:numPr>
              <w:spacing w:after="120"/>
              <w:rPr>
                <w:lang w:val="es-ES_tradnl"/>
              </w:rPr>
            </w:pPr>
            <w:r w:rsidRPr="0018174E">
              <w:rPr>
                <w:lang w:val="es-ES_tradnl"/>
              </w:rPr>
              <w:t>No</w:t>
            </w:r>
          </w:p>
        </w:tc>
      </w:tr>
      <w:tr w:rsidR="00880AFB" w:rsidRPr="0018174E" w:rsidTr="00700FEB">
        <w:tc>
          <w:tcPr>
            <w:tcW w:w="3539" w:type="dxa"/>
          </w:tcPr>
          <w:p w:rsidR="007C2853" w:rsidRPr="0018174E" w:rsidRDefault="00892302" w:rsidP="007931BC">
            <w:pPr>
              <w:pStyle w:val="ONUME"/>
              <w:numPr>
                <w:ilvl w:val="0"/>
                <w:numId w:val="0"/>
              </w:numPr>
              <w:spacing w:after="120"/>
              <w:rPr>
                <w:lang w:val="es-ES_tradnl"/>
              </w:rPr>
            </w:pPr>
            <w:r w:rsidRPr="0018174E">
              <w:rPr>
                <w:lang w:val="es-ES_tradnl"/>
              </w:rPr>
              <w:t>La Oficina está completamente cerrada a efectos oficiales</w:t>
            </w:r>
          </w:p>
        </w:tc>
        <w:tc>
          <w:tcPr>
            <w:tcW w:w="1935" w:type="dxa"/>
          </w:tcPr>
          <w:p w:rsidR="007C2853" w:rsidRPr="0018174E" w:rsidRDefault="007C2853" w:rsidP="007931BC">
            <w:pPr>
              <w:pStyle w:val="ONUME"/>
              <w:numPr>
                <w:ilvl w:val="0"/>
                <w:numId w:val="0"/>
              </w:numPr>
              <w:spacing w:after="120"/>
              <w:rPr>
                <w:lang w:val="es-ES_tradnl"/>
              </w:rPr>
            </w:pPr>
            <w:r w:rsidRPr="0018174E">
              <w:rPr>
                <w:lang w:val="es-ES_tradnl"/>
              </w:rPr>
              <w:t>R</w:t>
            </w:r>
            <w:r w:rsidR="002952DD" w:rsidRPr="0018174E">
              <w:rPr>
                <w:lang w:val="es-ES_tradnl"/>
              </w:rPr>
              <w:t>egla</w:t>
            </w:r>
            <w:r w:rsidRPr="0018174E">
              <w:rPr>
                <w:lang w:val="es-ES_tradnl"/>
              </w:rPr>
              <w:t> 80.5</w:t>
            </w:r>
            <w:r w:rsidR="002952DD" w:rsidRPr="0018174E">
              <w:rPr>
                <w:lang w:val="es-ES_tradnl"/>
              </w:rPr>
              <w:t>.</w:t>
            </w:r>
            <w:r w:rsidRPr="0018174E">
              <w:rPr>
                <w:lang w:val="es-ES_tradnl"/>
              </w:rPr>
              <w:t>i)</w:t>
            </w:r>
          </w:p>
        </w:tc>
        <w:tc>
          <w:tcPr>
            <w:tcW w:w="1935" w:type="dxa"/>
          </w:tcPr>
          <w:p w:rsidR="007C2853" w:rsidRPr="0018174E" w:rsidRDefault="007C2853" w:rsidP="007931BC">
            <w:pPr>
              <w:pStyle w:val="ONUME"/>
              <w:numPr>
                <w:ilvl w:val="0"/>
                <w:numId w:val="0"/>
              </w:numPr>
              <w:spacing w:after="120"/>
              <w:rPr>
                <w:lang w:val="es-ES_tradnl"/>
              </w:rPr>
            </w:pPr>
            <w:r w:rsidRPr="0018174E">
              <w:rPr>
                <w:lang w:val="es-ES_tradnl"/>
              </w:rPr>
              <w:t>No</w:t>
            </w:r>
          </w:p>
        </w:tc>
        <w:tc>
          <w:tcPr>
            <w:tcW w:w="1936" w:type="dxa"/>
          </w:tcPr>
          <w:p w:rsidR="007C2853" w:rsidRPr="0018174E" w:rsidRDefault="007C2853" w:rsidP="007931BC">
            <w:pPr>
              <w:pStyle w:val="ONUME"/>
              <w:numPr>
                <w:ilvl w:val="0"/>
                <w:numId w:val="0"/>
              </w:numPr>
              <w:spacing w:after="120"/>
              <w:rPr>
                <w:lang w:val="es-ES_tradnl"/>
              </w:rPr>
            </w:pPr>
            <w:r w:rsidRPr="0018174E">
              <w:rPr>
                <w:lang w:val="es-ES_tradnl"/>
              </w:rPr>
              <w:t>No</w:t>
            </w:r>
          </w:p>
        </w:tc>
      </w:tr>
      <w:tr w:rsidR="00880AFB" w:rsidRPr="0018174E" w:rsidTr="00700FEB">
        <w:tc>
          <w:tcPr>
            <w:tcW w:w="3539" w:type="dxa"/>
          </w:tcPr>
          <w:p w:rsidR="007C2853" w:rsidRPr="0018174E" w:rsidRDefault="00C15CDD" w:rsidP="007931BC">
            <w:pPr>
              <w:pStyle w:val="ONUME"/>
              <w:numPr>
                <w:ilvl w:val="0"/>
                <w:numId w:val="0"/>
              </w:numPr>
              <w:spacing w:after="120"/>
              <w:rPr>
                <w:lang w:val="es-ES_tradnl"/>
              </w:rPr>
            </w:pPr>
            <w:r>
              <w:rPr>
                <w:lang w:val="es-ES_tradnl"/>
              </w:rPr>
              <w:t>Perturbación generalizada</w:t>
            </w:r>
            <w:r w:rsidR="00892302" w:rsidRPr="0018174E">
              <w:rPr>
                <w:lang w:val="es-ES_tradnl"/>
              </w:rPr>
              <w:t xml:space="preserve"> en la localidad en que la parte interesada tenga su domicilio, su sede o su residencia</w:t>
            </w:r>
          </w:p>
          <w:p w:rsidR="007C2853" w:rsidRPr="0018174E" w:rsidRDefault="007C2853" w:rsidP="007931BC">
            <w:pPr>
              <w:pStyle w:val="ONUME"/>
              <w:numPr>
                <w:ilvl w:val="0"/>
                <w:numId w:val="0"/>
              </w:numPr>
              <w:spacing w:after="120"/>
              <w:rPr>
                <w:lang w:val="es-ES_tradnl"/>
              </w:rPr>
            </w:pPr>
            <w:r w:rsidRPr="0018174E">
              <w:rPr>
                <w:b/>
                <w:lang w:val="es-ES_tradnl"/>
              </w:rPr>
              <w:t>(</w:t>
            </w:r>
            <w:r w:rsidR="00892302" w:rsidRPr="0018174E">
              <w:rPr>
                <w:b/>
                <w:lang w:val="es-ES_tradnl"/>
              </w:rPr>
              <w:t>propuestas de cambios señalad</w:t>
            </w:r>
            <w:r w:rsidR="006D60CE" w:rsidRPr="0018174E">
              <w:rPr>
                <w:b/>
                <w:lang w:val="es-ES_tradnl"/>
              </w:rPr>
              <w:t>a</w:t>
            </w:r>
            <w:r w:rsidR="00892302" w:rsidRPr="0018174E">
              <w:rPr>
                <w:b/>
                <w:lang w:val="es-ES_tradnl"/>
              </w:rPr>
              <w:t>s en negrita</w:t>
            </w:r>
            <w:r w:rsidRPr="0018174E">
              <w:rPr>
                <w:b/>
                <w:lang w:val="es-ES_tradnl"/>
              </w:rPr>
              <w:t>)</w:t>
            </w:r>
          </w:p>
        </w:tc>
        <w:tc>
          <w:tcPr>
            <w:tcW w:w="1935" w:type="dxa"/>
          </w:tcPr>
          <w:p w:rsidR="007C2853" w:rsidRPr="0018174E" w:rsidRDefault="007C2853" w:rsidP="007931BC">
            <w:pPr>
              <w:pStyle w:val="ONUME"/>
              <w:numPr>
                <w:ilvl w:val="0"/>
                <w:numId w:val="0"/>
              </w:numPr>
              <w:spacing w:after="120"/>
              <w:rPr>
                <w:lang w:val="es-ES_tradnl"/>
              </w:rPr>
            </w:pPr>
            <w:r w:rsidRPr="0018174E">
              <w:rPr>
                <w:lang w:val="es-ES_tradnl"/>
              </w:rPr>
              <w:t>R</w:t>
            </w:r>
            <w:r w:rsidR="002952DD" w:rsidRPr="0018174E">
              <w:rPr>
                <w:lang w:val="es-ES_tradnl"/>
              </w:rPr>
              <w:t>egla</w:t>
            </w:r>
            <w:r w:rsidRPr="0018174E">
              <w:rPr>
                <w:lang w:val="es-ES_tradnl"/>
              </w:rPr>
              <w:t xml:space="preserve"> 82</w:t>
            </w:r>
            <w:r w:rsidRPr="0018174E">
              <w:rPr>
                <w:i/>
                <w:lang w:val="es-ES_tradnl"/>
              </w:rPr>
              <w:t>quater</w:t>
            </w:r>
            <w:r w:rsidRPr="0018174E">
              <w:rPr>
                <w:lang w:val="es-ES_tradnl"/>
              </w:rPr>
              <w:t>.1</w:t>
            </w:r>
          </w:p>
        </w:tc>
        <w:tc>
          <w:tcPr>
            <w:tcW w:w="1935" w:type="dxa"/>
          </w:tcPr>
          <w:p w:rsidR="007C2853" w:rsidRPr="0018174E" w:rsidRDefault="00892302" w:rsidP="007931BC">
            <w:pPr>
              <w:pStyle w:val="ONUME"/>
              <w:numPr>
                <w:ilvl w:val="0"/>
                <w:numId w:val="0"/>
              </w:numPr>
              <w:spacing w:after="120"/>
              <w:rPr>
                <w:lang w:val="es-ES_tradnl"/>
              </w:rPr>
            </w:pPr>
            <w:r w:rsidRPr="0018174E">
              <w:rPr>
                <w:lang w:val="es-ES_tradnl"/>
              </w:rPr>
              <w:t>Sí</w:t>
            </w:r>
          </w:p>
          <w:p w:rsidR="007C2853" w:rsidRPr="0018174E" w:rsidRDefault="00892302" w:rsidP="007931BC">
            <w:pPr>
              <w:pStyle w:val="ONUME"/>
              <w:numPr>
                <w:ilvl w:val="0"/>
                <w:numId w:val="0"/>
              </w:numPr>
              <w:spacing w:after="120"/>
              <w:rPr>
                <w:lang w:val="es-ES_tradnl"/>
              </w:rPr>
            </w:pPr>
            <w:r w:rsidRPr="0018174E">
              <w:rPr>
                <w:b/>
                <w:lang w:val="es-ES_tradnl"/>
              </w:rPr>
              <w:t>Sí</w:t>
            </w:r>
            <w:r w:rsidR="007C2853" w:rsidRPr="0018174E">
              <w:rPr>
                <w:b/>
                <w:lang w:val="es-ES_tradnl"/>
              </w:rPr>
              <w:t xml:space="preserve"> / No (</w:t>
            </w:r>
            <w:r w:rsidRPr="0018174E">
              <w:rPr>
                <w:b/>
                <w:lang w:val="es-ES_tradnl"/>
              </w:rPr>
              <w:t>las Oficinas podrían suprimir la obligación de presentar pruebas</w:t>
            </w:r>
            <w:r w:rsidR="007C2853" w:rsidRPr="0018174E">
              <w:rPr>
                <w:b/>
                <w:lang w:val="es-ES_tradnl"/>
              </w:rPr>
              <w:t>)</w:t>
            </w:r>
          </w:p>
        </w:tc>
        <w:tc>
          <w:tcPr>
            <w:tcW w:w="1936" w:type="dxa"/>
          </w:tcPr>
          <w:p w:rsidR="007C2853" w:rsidRPr="0018174E" w:rsidRDefault="007C2853" w:rsidP="007931BC">
            <w:pPr>
              <w:pStyle w:val="ONUME"/>
              <w:numPr>
                <w:ilvl w:val="0"/>
                <w:numId w:val="0"/>
              </w:numPr>
              <w:spacing w:after="120"/>
              <w:rPr>
                <w:lang w:val="es-ES_tradnl"/>
              </w:rPr>
            </w:pPr>
            <w:r w:rsidRPr="0018174E">
              <w:rPr>
                <w:lang w:val="es-ES_tradnl"/>
              </w:rPr>
              <w:t>No</w:t>
            </w:r>
          </w:p>
          <w:p w:rsidR="007C2853" w:rsidRPr="0018174E" w:rsidRDefault="00892302" w:rsidP="007931BC">
            <w:pPr>
              <w:pStyle w:val="ONUME"/>
              <w:numPr>
                <w:ilvl w:val="0"/>
                <w:numId w:val="0"/>
              </w:numPr>
              <w:spacing w:after="120"/>
              <w:rPr>
                <w:lang w:val="es-ES_tradnl"/>
              </w:rPr>
            </w:pPr>
            <w:r w:rsidRPr="0018174E">
              <w:rPr>
                <w:b/>
                <w:lang w:val="es-ES_tradnl"/>
              </w:rPr>
              <w:t>Sí</w:t>
            </w:r>
            <w:r w:rsidR="007C2853" w:rsidRPr="0018174E">
              <w:rPr>
                <w:b/>
                <w:lang w:val="es-ES_tradnl"/>
              </w:rPr>
              <w:t xml:space="preserve"> / No (</w:t>
            </w:r>
            <w:r w:rsidRPr="0018174E">
              <w:rPr>
                <w:b/>
                <w:lang w:val="es-ES_tradnl"/>
              </w:rPr>
              <w:t>las Oficinas podrían suprimir la obligación de presentar pruebas</w:t>
            </w:r>
            <w:r w:rsidR="007C2853" w:rsidRPr="0018174E">
              <w:rPr>
                <w:b/>
                <w:lang w:val="es-ES_tradnl"/>
              </w:rPr>
              <w:t>)</w:t>
            </w:r>
          </w:p>
        </w:tc>
      </w:tr>
      <w:tr w:rsidR="00880AFB" w:rsidRPr="0018174E" w:rsidTr="00700FEB">
        <w:tc>
          <w:tcPr>
            <w:tcW w:w="3539" w:type="dxa"/>
          </w:tcPr>
          <w:p w:rsidR="007C2853" w:rsidRPr="0018174E" w:rsidRDefault="00BB5E41" w:rsidP="007931BC">
            <w:pPr>
              <w:pStyle w:val="ONUME"/>
              <w:numPr>
                <w:ilvl w:val="0"/>
                <w:numId w:val="0"/>
              </w:numPr>
              <w:spacing w:after="120"/>
              <w:rPr>
                <w:lang w:val="es-ES_tradnl"/>
              </w:rPr>
            </w:pPr>
            <w:r w:rsidRPr="0018174E">
              <w:rPr>
                <w:lang w:val="es-ES_tradnl"/>
              </w:rPr>
              <w:t>Indisponibilidad de cualesquiera de los medios permitidos de presentación de solicitudes en la Oficina, pero la Oficina no está cerrada a efectos oficiales</w:t>
            </w:r>
          </w:p>
        </w:tc>
        <w:tc>
          <w:tcPr>
            <w:tcW w:w="1935" w:type="dxa"/>
          </w:tcPr>
          <w:p w:rsidR="007C2853" w:rsidRPr="0018174E" w:rsidRDefault="007C2853" w:rsidP="007931BC">
            <w:pPr>
              <w:pStyle w:val="ONUME"/>
              <w:numPr>
                <w:ilvl w:val="0"/>
                <w:numId w:val="0"/>
              </w:numPr>
              <w:spacing w:after="120"/>
              <w:rPr>
                <w:lang w:val="es-ES_tradnl"/>
              </w:rPr>
            </w:pPr>
            <w:r w:rsidRPr="0018174E">
              <w:rPr>
                <w:lang w:val="es-ES_tradnl"/>
              </w:rPr>
              <w:t>R</w:t>
            </w:r>
            <w:r w:rsidR="002952DD" w:rsidRPr="0018174E">
              <w:rPr>
                <w:lang w:val="es-ES_tradnl"/>
              </w:rPr>
              <w:t>egla</w:t>
            </w:r>
            <w:r w:rsidRPr="0018174E">
              <w:rPr>
                <w:lang w:val="es-ES_tradnl"/>
              </w:rPr>
              <w:t xml:space="preserve"> 82</w:t>
            </w:r>
            <w:r w:rsidRPr="0018174E">
              <w:rPr>
                <w:i/>
                <w:lang w:val="es-ES_tradnl"/>
              </w:rPr>
              <w:t>quater</w:t>
            </w:r>
            <w:r w:rsidRPr="0018174E">
              <w:rPr>
                <w:lang w:val="es-ES_tradnl"/>
              </w:rPr>
              <w:t>.2</w:t>
            </w:r>
          </w:p>
        </w:tc>
        <w:tc>
          <w:tcPr>
            <w:tcW w:w="1935" w:type="dxa"/>
          </w:tcPr>
          <w:p w:rsidR="007C2853" w:rsidRPr="0018174E" w:rsidRDefault="007C2853" w:rsidP="007931BC">
            <w:pPr>
              <w:pStyle w:val="ONUME"/>
              <w:numPr>
                <w:ilvl w:val="0"/>
                <w:numId w:val="0"/>
              </w:numPr>
              <w:spacing w:after="120"/>
              <w:rPr>
                <w:lang w:val="es-ES_tradnl"/>
              </w:rPr>
            </w:pPr>
            <w:r w:rsidRPr="0018174E">
              <w:rPr>
                <w:lang w:val="es-ES_tradnl"/>
              </w:rPr>
              <w:t>No</w:t>
            </w:r>
          </w:p>
        </w:tc>
        <w:tc>
          <w:tcPr>
            <w:tcW w:w="1936" w:type="dxa"/>
          </w:tcPr>
          <w:p w:rsidR="007C2853" w:rsidRPr="0018174E" w:rsidRDefault="00892302" w:rsidP="007931BC">
            <w:pPr>
              <w:pStyle w:val="ONUME"/>
              <w:numPr>
                <w:ilvl w:val="0"/>
                <w:numId w:val="0"/>
              </w:numPr>
              <w:spacing w:after="120"/>
              <w:rPr>
                <w:lang w:val="es-ES_tradnl"/>
              </w:rPr>
            </w:pPr>
            <w:r w:rsidRPr="0018174E">
              <w:rPr>
                <w:lang w:val="es-ES_tradnl"/>
              </w:rPr>
              <w:t>Sí</w:t>
            </w:r>
          </w:p>
        </w:tc>
      </w:tr>
      <w:tr w:rsidR="00880AFB" w:rsidRPr="0018174E" w:rsidTr="00700FEB">
        <w:tc>
          <w:tcPr>
            <w:tcW w:w="3539" w:type="dxa"/>
          </w:tcPr>
          <w:p w:rsidR="007C2853" w:rsidRPr="0018174E" w:rsidRDefault="00C15CDD" w:rsidP="007931BC">
            <w:pPr>
              <w:pStyle w:val="ONUME"/>
              <w:numPr>
                <w:ilvl w:val="0"/>
                <w:numId w:val="0"/>
              </w:numPr>
              <w:spacing w:after="120"/>
              <w:rPr>
                <w:b/>
                <w:lang w:val="es-ES_tradnl"/>
              </w:rPr>
            </w:pPr>
            <w:r>
              <w:rPr>
                <w:b/>
                <w:lang w:val="es-ES_tradnl"/>
              </w:rPr>
              <w:t>Perturbación generalizada</w:t>
            </w:r>
            <w:r w:rsidR="00D747E2" w:rsidRPr="0018174E">
              <w:rPr>
                <w:b/>
                <w:lang w:val="es-ES_tradnl"/>
              </w:rPr>
              <w:t xml:space="preserve"> en el Estado en que esté ubicada la Oficina, pero la Oficina no está cerrada a efectos oficiales</w:t>
            </w:r>
          </w:p>
        </w:tc>
        <w:tc>
          <w:tcPr>
            <w:tcW w:w="1935" w:type="dxa"/>
          </w:tcPr>
          <w:p w:rsidR="007C2853" w:rsidRPr="0018174E" w:rsidRDefault="007C2853" w:rsidP="007931BC">
            <w:pPr>
              <w:pStyle w:val="ONUME"/>
              <w:numPr>
                <w:ilvl w:val="0"/>
                <w:numId w:val="0"/>
              </w:numPr>
              <w:spacing w:after="120"/>
              <w:rPr>
                <w:b/>
                <w:lang w:val="es-ES_tradnl"/>
              </w:rPr>
            </w:pPr>
            <w:r w:rsidRPr="0018174E">
              <w:rPr>
                <w:b/>
                <w:lang w:val="es-ES_tradnl"/>
              </w:rPr>
              <w:t>R</w:t>
            </w:r>
            <w:r w:rsidR="002952DD" w:rsidRPr="0018174E">
              <w:rPr>
                <w:b/>
                <w:lang w:val="es-ES_tradnl"/>
              </w:rPr>
              <w:t>egla</w:t>
            </w:r>
            <w:r w:rsidRPr="0018174E">
              <w:rPr>
                <w:b/>
                <w:lang w:val="es-ES_tradnl"/>
              </w:rPr>
              <w:t xml:space="preserve"> 82</w:t>
            </w:r>
            <w:r w:rsidRPr="0018174E">
              <w:rPr>
                <w:b/>
                <w:i/>
                <w:lang w:val="es-ES_tradnl"/>
              </w:rPr>
              <w:t>quater</w:t>
            </w:r>
            <w:r w:rsidRPr="0018174E">
              <w:rPr>
                <w:b/>
                <w:lang w:val="es-ES_tradnl"/>
              </w:rPr>
              <w:t>.3</w:t>
            </w:r>
          </w:p>
        </w:tc>
        <w:tc>
          <w:tcPr>
            <w:tcW w:w="1935" w:type="dxa"/>
          </w:tcPr>
          <w:p w:rsidR="007C2853" w:rsidRPr="0018174E" w:rsidRDefault="007C2853" w:rsidP="007931BC">
            <w:pPr>
              <w:pStyle w:val="ONUME"/>
              <w:numPr>
                <w:ilvl w:val="0"/>
                <w:numId w:val="0"/>
              </w:numPr>
              <w:spacing w:after="120"/>
              <w:rPr>
                <w:b/>
                <w:lang w:val="es-ES_tradnl"/>
              </w:rPr>
            </w:pPr>
            <w:r w:rsidRPr="0018174E">
              <w:rPr>
                <w:b/>
                <w:lang w:val="es-ES_tradnl"/>
              </w:rPr>
              <w:t>No</w:t>
            </w:r>
          </w:p>
        </w:tc>
        <w:tc>
          <w:tcPr>
            <w:tcW w:w="1936" w:type="dxa"/>
          </w:tcPr>
          <w:p w:rsidR="007C2853" w:rsidRPr="0018174E" w:rsidRDefault="00892302" w:rsidP="007931BC">
            <w:pPr>
              <w:pStyle w:val="ONUME"/>
              <w:numPr>
                <w:ilvl w:val="0"/>
                <w:numId w:val="0"/>
              </w:numPr>
              <w:spacing w:after="120"/>
              <w:rPr>
                <w:b/>
                <w:lang w:val="es-ES_tradnl"/>
              </w:rPr>
            </w:pPr>
            <w:r w:rsidRPr="0018174E">
              <w:rPr>
                <w:b/>
                <w:lang w:val="es-ES_tradnl"/>
              </w:rPr>
              <w:t>Sí</w:t>
            </w:r>
          </w:p>
        </w:tc>
      </w:tr>
    </w:tbl>
    <w:p w:rsidR="007C2853" w:rsidRPr="0018174E" w:rsidRDefault="00880AFB" w:rsidP="007C2853">
      <w:pPr>
        <w:pStyle w:val="ONUME"/>
        <w:numPr>
          <w:ilvl w:val="0"/>
          <w:numId w:val="0"/>
        </w:numPr>
        <w:rPr>
          <w:lang w:val="es-ES_tradnl"/>
        </w:rPr>
      </w:pPr>
      <w:r w:rsidRPr="0018174E">
        <w:rPr>
          <w:lang w:val="es-ES_tradnl"/>
        </w:rPr>
        <w:t>Cuadro</w:t>
      </w:r>
      <w:r w:rsidR="007C2853" w:rsidRPr="0018174E">
        <w:rPr>
          <w:lang w:val="es-ES_tradnl"/>
        </w:rPr>
        <w:t xml:space="preserve"> 1:</w:t>
      </w:r>
      <w:r w:rsidR="007F2E5A" w:rsidRPr="0018174E">
        <w:rPr>
          <w:lang w:val="es-ES_tradnl"/>
        </w:rPr>
        <w:t xml:space="preserve"> </w:t>
      </w:r>
      <w:r w:rsidRPr="0018174E">
        <w:rPr>
          <w:lang w:val="es-ES_tradnl"/>
        </w:rPr>
        <w:t xml:space="preserve">Casos hipotéticos de </w:t>
      </w:r>
      <w:r w:rsidR="002942A6">
        <w:rPr>
          <w:lang w:val="es-ES_tradnl"/>
        </w:rPr>
        <w:t>perturbaciones</w:t>
      </w:r>
      <w:r w:rsidRPr="0018174E">
        <w:rPr>
          <w:lang w:val="es-ES_tradnl"/>
        </w:rPr>
        <w:t xml:space="preserve"> y sus efectos</w:t>
      </w:r>
    </w:p>
    <w:p w:rsidR="007C2853" w:rsidRPr="0018174E" w:rsidRDefault="007C2853" w:rsidP="007C2853">
      <w:pPr>
        <w:pStyle w:val="Endofdocument-Annex"/>
        <w:rPr>
          <w:lang w:val="es-ES_tradnl"/>
        </w:rPr>
        <w:sectPr w:rsidR="007C2853" w:rsidRPr="0018174E" w:rsidSect="00B035F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18174E">
        <w:rPr>
          <w:lang w:val="es-ES_tradnl"/>
        </w:rPr>
        <w:t>[</w:t>
      </w:r>
      <w:r w:rsidR="00F10F55" w:rsidRPr="0018174E">
        <w:rPr>
          <w:lang w:val="es-ES_tradnl"/>
        </w:rPr>
        <w:t>Sigue el Anexo</w:t>
      </w:r>
      <w:r w:rsidRPr="0018174E">
        <w:rPr>
          <w:lang w:val="es-ES_tradnl"/>
        </w:rPr>
        <w:t>]</w:t>
      </w:r>
    </w:p>
    <w:p w:rsidR="007C2853" w:rsidRPr="0018174E" w:rsidRDefault="00D747E2" w:rsidP="007C2853">
      <w:pPr>
        <w:jc w:val="center"/>
        <w:rPr>
          <w:lang w:val="es-ES_tradnl"/>
        </w:rPr>
      </w:pPr>
      <w:r w:rsidRPr="0018174E">
        <w:rPr>
          <w:lang w:val="es-ES_tradnl"/>
        </w:rPr>
        <w:lastRenderedPageBreak/>
        <w:t>PROYECTO DE PROPUESTAS DE MODIFICACIÓN DEL REGLAMENTO DEL PCT</w:t>
      </w:r>
      <w:r w:rsidR="007C2853" w:rsidRPr="0018174E">
        <w:rPr>
          <w:rStyle w:val="FootnoteReference"/>
          <w:lang w:val="es-ES_tradnl"/>
        </w:rPr>
        <w:footnoteReference w:id="3"/>
      </w:r>
    </w:p>
    <w:p w:rsidR="007C2853" w:rsidRPr="0018174E" w:rsidRDefault="007C2853" w:rsidP="007C2853">
      <w:pPr>
        <w:rPr>
          <w:lang w:val="es-ES_tradnl"/>
        </w:rPr>
      </w:pPr>
    </w:p>
    <w:p w:rsidR="007C2853" w:rsidRPr="0018174E" w:rsidRDefault="007C2853" w:rsidP="007C2853">
      <w:pPr>
        <w:rPr>
          <w:lang w:val="es-ES_tradnl"/>
        </w:rPr>
      </w:pPr>
    </w:p>
    <w:p w:rsidR="007C2853" w:rsidRPr="0018174E" w:rsidRDefault="00D747E2" w:rsidP="007C2853">
      <w:pPr>
        <w:jc w:val="center"/>
        <w:rPr>
          <w:caps/>
          <w:lang w:val="es-ES_tradnl"/>
        </w:rPr>
      </w:pPr>
      <w:r w:rsidRPr="0018174E">
        <w:rPr>
          <w:caps/>
          <w:lang w:val="es-ES_tradnl"/>
        </w:rPr>
        <w:t>ÍNDICE</w:t>
      </w:r>
    </w:p>
    <w:p w:rsidR="007C2853" w:rsidRPr="0018174E" w:rsidRDefault="007C2853" w:rsidP="007C2853">
      <w:pPr>
        <w:rPr>
          <w:lang w:val="es-ES_tradnl"/>
        </w:rPr>
      </w:pPr>
    </w:p>
    <w:p w:rsidR="007C2853" w:rsidRPr="0018174E" w:rsidRDefault="007C2853" w:rsidP="007C2853">
      <w:pPr>
        <w:rPr>
          <w:lang w:val="es-ES_tradnl"/>
        </w:rPr>
      </w:pPr>
    </w:p>
    <w:p w:rsidR="007C2853" w:rsidRPr="0018174E" w:rsidRDefault="007C2853" w:rsidP="0018174E">
      <w:pPr>
        <w:pStyle w:val="TOC1"/>
        <w:rPr>
          <w:rFonts w:asciiTheme="minorHAnsi" w:eastAsiaTheme="minorEastAsia" w:hAnsiTheme="minorHAnsi" w:cstheme="minorBidi"/>
          <w:szCs w:val="22"/>
          <w:lang w:val="es-ES_tradnl" w:eastAsia="fr-CH"/>
        </w:rPr>
      </w:pPr>
      <w:r w:rsidRPr="0018174E">
        <w:rPr>
          <w:lang w:val="es-ES_tradnl"/>
        </w:rPr>
        <w:fldChar w:fldCharType="begin"/>
      </w:r>
      <w:r w:rsidRPr="0018174E">
        <w:rPr>
          <w:lang w:val="es-ES_tradnl"/>
        </w:rPr>
        <w:instrText xml:space="preserve"> TOC \h \z \t "Leg # Title,1,Leg SubRule #,2" </w:instrText>
      </w:r>
      <w:r w:rsidRPr="0018174E">
        <w:rPr>
          <w:lang w:val="es-ES_tradnl"/>
        </w:rPr>
        <w:fldChar w:fldCharType="separate"/>
      </w:r>
      <w:hyperlink w:anchor="_Toc50115596" w:history="1">
        <w:r w:rsidRPr="0018174E">
          <w:rPr>
            <w:rStyle w:val="Hyperlink"/>
            <w:lang w:val="es-ES_tradnl"/>
          </w:rPr>
          <w:t>R</w:t>
        </w:r>
        <w:r w:rsidR="00CF317C" w:rsidRPr="0018174E">
          <w:rPr>
            <w:rStyle w:val="Hyperlink"/>
            <w:lang w:val="es-ES_tradnl"/>
          </w:rPr>
          <w:t>egla</w:t>
        </w:r>
        <w:r w:rsidRPr="0018174E">
          <w:rPr>
            <w:rStyle w:val="Hyperlink"/>
            <w:lang w:val="es-ES_tradnl"/>
          </w:rPr>
          <w:t xml:space="preserve"> 82</w:t>
        </w:r>
        <w:r w:rsidRPr="0018174E">
          <w:rPr>
            <w:rStyle w:val="Hyperlink"/>
            <w:i/>
            <w:lang w:val="es-ES_tradnl"/>
          </w:rPr>
          <w:t>quater</w:t>
        </w:r>
        <w:r w:rsidR="007F2E5A" w:rsidRPr="0018174E">
          <w:rPr>
            <w:rStyle w:val="Hyperlink"/>
            <w:i/>
            <w:lang w:val="es-ES_tradnl"/>
          </w:rPr>
          <w:t xml:space="preserve"> </w:t>
        </w:r>
        <w:r w:rsidR="00CF317C" w:rsidRPr="0018174E">
          <w:rPr>
            <w:rStyle w:val="Hyperlink"/>
            <w:lang w:val="es-ES_tradnl"/>
          </w:rPr>
          <w:t>Excusa</w:t>
        </w:r>
        <w:r w:rsidRPr="0018174E">
          <w:rPr>
            <w:rStyle w:val="Hyperlink"/>
            <w:lang w:val="es-ES_tradnl"/>
          </w:rPr>
          <w:t xml:space="preserve"> </w:t>
        </w:r>
        <w:r w:rsidR="00CF317C" w:rsidRPr="0018174E">
          <w:rPr>
            <w:rStyle w:val="Hyperlink"/>
            <w:lang w:val="es-ES_tradnl"/>
          </w:rPr>
          <w:t>de los retrasos en el cumplimiento de los plazos y prórroga de los plazos</w:t>
        </w:r>
        <w:r w:rsidRPr="0018174E">
          <w:rPr>
            <w:webHidden/>
            <w:lang w:val="es-ES_tradnl"/>
          </w:rPr>
          <w:tab/>
        </w:r>
        <w:r w:rsidRPr="0018174E">
          <w:rPr>
            <w:webHidden/>
            <w:lang w:val="es-ES_tradnl"/>
          </w:rPr>
          <w:fldChar w:fldCharType="begin"/>
        </w:r>
        <w:r w:rsidRPr="0018174E">
          <w:rPr>
            <w:webHidden/>
            <w:lang w:val="es-ES_tradnl"/>
          </w:rPr>
          <w:instrText xml:space="preserve"> PAGEREF _Toc50115596 \h </w:instrText>
        </w:r>
        <w:r w:rsidRPr="0018174E">
          <w:rPr>
            <w:webHidden/>
            <w:lang w:val="es-ES_tradnl"/>
          </w:rPr>
        </w:r>
        <w:r w:rsidRPr="0018174E">
          <w:rPr>
            <w:webHidden/>
            <w:lang w:val="es-ES_tradnl"/>
          </w:rPr>
          <w:fldChar w:fldCharType="separate"/>
        </w:r>
        <w:r w:rsidR="008F07A2" w:rsidRPr="0018174E">
          <w:rPr>
            <w:webHidden/>
            <w:lang w:val="es-ES_tradnl"/>
          </w:rPr>
          <w:t>2</w:t>
        </w:r>
        <w:r w:rsidRPr="0018174E">
          <w:rPr>
            <w:webHidden/>
            <w:lang w:val="es-ES_tradnl"/>
          </w:rPr>
          <w:fldChar w:fldCharType="end"/>
        </w:r>
      </w:hyperlink>
    </w:p>
    <w:p w:rsidR="007C2853" w:rsidRPr="0018174E" w:rsidRDefault="00FF2048" w:rsidP="007C2853">
      <w:pPr>
        <w:pStyle w:val="TOC2"/>
        <w:tabs>
          <w:tab w:val="right" w:leader="dot" w:pos="9345"/>
        </w:tabs>
        <w:rPr>
          <w:rFonts w:asciiTheme="minorHAnsi" w:eastAsiaTheme="minorEastAsia" w:hAnsiTheme="minorHAnsi" w:cstheme="minorBidi"/>
          <w:szCs w:val="22"/>
          <w:lang w:val="es-ES_tradnl" w:eastAsia="fr-CH"/>
        </w:rPr>
      </w:pPr>
      <w:hyperlink w:anchor="_Toc50115597" w:history="1">
        <w:r w:rsidR="007C2853" w:rsidRPr="0018174E">
          <w:rPr>
            <w:rStyle w:val="Hyperlink"/>
            <w:lang w:val="es-ES_tradnl"/>
          </w:rPr>
          <w:t>82</w:t>
        </w:r>
        <w:r w:rsidR="007C2853" w:rsidRPr="0018174E">
          <w:rPr>
            <w:rStyle w:val="Hyperlink"/>
            <w:i/>
            <w:lang w:val="es-ES_tradnl"/>
          </w:rPr>
          <w:t>quater</w:t>
        </w:r>
        <w:r w:rsidR="007C2853" w:rsidRPr="0018174E">
          <w:rPr>
            <w:rStyle w:val="Hyperlink"/>
            <w:lang w:val="es-ES_tradnl"/>
          </w:rPr>
          <w:t>.1</w:t>
        </w:r>
        <w:r w:rsidR="007F2E5A" w:rsidRPr="0018174E">
          <w:rPr>
            <w:rStyle w:val="Hyperlink"/>
            <w:lang w:val="es-ES_tradnl"/>
          </w:rPr>
          <w:t xml:space="preserve"> </w:t>
        </w:r>
        <w:r w:rsidR="007C2853" w:rsidRPr="0018174E">
          <w:rPr>
            <w:rStyle w:val="Hyperlink"/>
            <w:i/>
            <w:lang w:val="es-ES_tradnl"/>
          </w:rPr>
          <w:t>Excus</w:t>
        </w:r>
        <w:r w:rsidR="00DA4755" w:rsidRPr="0018174E">
          <w:rPr>
            <w:rStyle w:val="Hyperlink"/>
            <w:i/>
            <w:lang w:val="es-ES_tradnl"/>
          </w:rPr>
          <w:t>a de los retrasos en el cumplimiento de los plazos</w:t>
        </w:r>
        <w:r w:rsidR="007C2853" w:rsidRPr="0018174E">
          <w:rPr>
            <w:webHidden/>
            <w:lang w:val="es-ES_tradnl"/>
          </w:rPr>
          <w:tab/>
        </w:r>
        <w:r w:rsidR="007C2853" w:rsidRPr="0018174E">
          <w:rPr>
            <w:webHidden/>
            <w:lang w:val="es-ES_tradnl"/>
          </w:rPr>
          <w:fldChar w:fldCharType="begin"/>
        </w:r>
        <w:r w:rsidR="007C2853" w:rsidRPr="0018174E">
          <w:rPr>
            <w:webHidden/>
            <w:lang w:val="es-ES_tradnl"/>
          </w:rPr>
          <w:instrText xml:space="preserve"> PAGEREF _Toc50115597 \h </w:instrText>
        </w:r>
        <w:r w:rsidR="007C2853" w:rsidRPr="0018174E">
          <w:rPr>
            <w:webHidden/>
            <w:lang w:val="es-ES_tradnl"/>
          </w:rPr>
        </w:r>
        <w:r w:rsidR="007C2853" w:rsidRPr="0018174E">
          <w:rPr>
            <w:webHidden/>
            <w:lang w:val="es-ES_tradnl"/>
          </w:rPr>
          <w:fldChar w:fldCharType="separate"/>
        </w:r>
        <w:r w:rsidR="008F07A2" w:rsidRPr="0018174E">
          <w:rPr>
            <w:webHidden/>
            <w:lang w:val="es-ES_tradnl"/>
          </w:rPr>
          <w:t>2</w:t>
        </w:r>
        <w:r w:rsidR="007C2853" w:rsidRPr="0018174E">
          <w:rPr>
            <w:webHidden/>
            <w:lang w:val="es-ES_tradnl"/>
          </w:rPr>
          <w:fldChar w:fldCharType="end"/>
        </w:r>
      </w:hyperlink>
    </w:p>
    <w:p w:rsidR="007C2853" w:rsidRPr="0018174E" w:rsidRDefault="00FF2048" w:rsidP="007C2853">
      <w:pPr>
        <w:pStyle w:val="TOC2"/>
        <w:tabs>
          <w:tab w:val="right" w:leader="dot" w:pos="9345"/>
        </w:tabs>
        <w:rPr>
          <w:rFonts w:asciiTheme="minorHAnsi" w:eastAsiaTheme="minorEastAsia" w:hAnsiTheme="minorHAnsi" w:cstheme="minorBidi"/>
          <w:szCs w:val="22"/>
          <w:lang w:val="es-ES_tradnl" w:eastAsia="fr-CH"/>
        </w:rPr>
      </w:pPr>
      <w:hyperlink w:anchor="_Toc50115598" w:history="1">
        <w:r w:rsidR="007C2853" w:rsidRPr="0018174E">
          <w:rPr>
            <w:rStyle w:val="Hyperlink"/>
            <w:lang w:val="es-ES_tradnl"/>
          </w:rPr>
          <w:t>82</w:t>
        </w:r>
        <w:r w:rsidR="007C2853" w:rsidRPr="0018174E">
          <w:rPr>
            <w:rStyle w:val="Hyperlink"/>
            <w:i/>
            <w:lang w:val="es-ES_tradnl"/>
          </w:rPr>
          <w:t>quater</w:t>
        </w:r>
        <w:r w:rsidR="007C2853" w:rsidRPr="0018174E">
          <w:rPr>
            <w:rStyle w:val="Hyperlink"/>
            <w:lang w:val="es-ES_tradnl"/>
          </w:rPr>
          <w:t>.2</w:t>
        </w:r>
        <w:r w:rsidR="007F2E5A" w:rsidRPr="0018174E">
          <w:rPr>
            <w:rStyle w:val="Hyperlink"/>
            <w:lang w:val="es-ES_tradnl"/>
          </w:rPr>
          <w:t xml:space="preserve"> </w:t>
        </w:r>
        <w:r w:rsidR="00DA4755" w:rsidRPr="0018174E">
          <w:rPr>
            <w:rStyle w:val="Hyperlink"/>
            <w:i/>
            <w:lang w:val="es-ES_tradnl"/>
          </w:rPr>
          <w:t>Indisponibilidad de los servicios de comunicación electrónica en la Oficina</w:t>
        </w:r>
        <w:r w:rsidR="007C2853" w:rsidRPr="0018174E">
          <w:rPr>
            <w:webHidden/>
            <w:lang w:val="es-ES_tradnl"/>
          </w:rPr>
          <w:tab/>
        </w:r>
        <w:r w:rsidR="007C2853" w:rsidRPr="0018174E">
          <w:rPr>
            <w:webHidden/>
            <w:lang w:val="es-ES_tradnl"/>
          </w:rPr>
          <w:fldChar w:fldCharType="begin"/>
        </w:r>
        <w:r w:rsidR="007C2853" w:rsidRPr="0018174E">
          <w:rPr>
            <w:webHidden/>
            <w:lang w:val="es-ES_tradnl"/>
          </w:rPr>
          <w:instrText xml:space="preserve"> PAGEREF _Toc50115598 \h </w:instrText>
        </w:r>
        <w:r w:rsidR="007C2853" w:rsidRPr="0018174E">
          <w:rPr>
            <w:webHidden/>
            <w:lang w:val="es-ES_tradnl"/>
          </w:rPr>
        </w:r>
        <w:r w:rsidR="007C2853" w:rsidRPr="0018174E">
          <w:rPr>
            <w:webHidden/>
            <w:lang w:val="es-ES_tradnl"/>
          </w:rPr>
          <w:fldChar w:fldCharType="separate"/>
        </w:r>
        <w:r w:rsidR="008F07A2" w:rsidRPr="0018174E">
          <w:rPr>
            <w:webHidden/>
            <w:lang w:val="es-ES_tradnl"/>
          </w:rPr>
          <w:t>2</w:t>
        </w:r>
        <w:r w:rsidR="007C2853" w:rsidRPr="0018174E">
          <w:rPr>
            <w:webHidden/>
            <w:lang w:val="es-ES_tradnl"/>
          </w:rPr>
          <w:fldChar w:fldCharType="end"/>
        </w:r>
      </w:hyperlink>
    </w:p>
    <w:p w:rsidR="007C2853" w:rsidRPr="0018174E" w:rsidRDefault="00FF2048" w:rsidP="007C2853">
      <w:pPr>
        <w:pStyle w:val="TOC2"/>
        <w:tabs>
          <w:tab w:val="right" w:leader="dot" w:pos="9345"/>
        </w:tabs>
        <w:rPr>
          <w:rFonts w:asciiTheme="minorHAnsi" w:eastAsiaTheme="minorEastAsia" w:hAnsiTheme="minorHAnsi" w:cstheme="minorBidi"/>
          <w:szCs w:val="22"/>
          <w:lang w:val="es-ES_tradnl" w:eastAsia="fr-CH"/>
        </w:rPr>
      </w:pPr>
      <w:hyperlink w:anchor="_Toc50115599" w:history="1">
        <w:r w:rsidR="007C2853" w:rsidRPr="0018174E">
          <w:rPr>
            <w:rStyle w:val="Hyperlink"/>
            <w:lang w:val="es-ES_tradnl"/>
          </w:rPr>
          <w:t>82</w:t>
        </w:r>
        <w:r w:rsidR="007C2853" w:rsidRPr="0018174E">
          <w:rPr>
            <w:rStyle w:val="Hyperlink"/>
            <w:i/>
            <w:lang w:val="es-ES_tradnl"/>
          </w:rPr>
          <w:t>quater</w:t>
        </w:r>
        <w:r w:rsidR="007C2853" w:rsidRPr="0018174E">
          <w:rPr>
            <w:rStyle w:val="Hyperlink"/>
            <w:lang w:val="es-ES_tradnl"/>
          </w:rPr>
          <w:t>.3</w:t>
        </w:r>
        <w:r w:rsidR="007F2E5A" w:rsidRPr="0018174E">
          <w:rPr>
            <w:rStyle w:val="Hyperlink"/>
            <w:lang w:val="es-ES_tradnl"/>
          </w:rPr>
          <w:t xml:space="preserve"> </w:t>
        </w:r>
        <w:r w:rsidR="00DA4755" w:rsidRPr="0018174E">
          <w:rPr>
            <w:rStyle w:val="Hyperlink"/>
            <w:i/>
            <w:lang w:val="es-ES_tradnl"/>
          </w:rPr>
          <w:t xml:space="preserve">Prórroga de los plazos por </w:t>
        </w:r>
        <w:r w:rsidR="00C15CDD">
          <w:rPr>
            <w:rStyle w:val="Hyperlink"/>
            <w:i/>
            <w:lang w:val="es-ES_tradnl"/>
          </w:rPr>
          <w:t>perturbación generalizada</w:t>
        </w:r>
        <w:r w:rsidR="007C2853" w:rsidRPr="0018174E">
          <w:rPr>
            <w:webHidden/>
            <w:lang w:val="es-ES_tradnl"/>
          </w:rPr>
          <w:tab/>
        </w:r>
        <w:r w:rsidR="007C2853" w:rsidRPr="0018174E">
          <w:rPr>
            <w:webHidden/>
            <w:lang w:val="es-ES_tradnl"/>
          </w:rPr>
          <w:fldChar w:fldCharType="begin"/>
        </w:r>
        <w:r w:rsidR="007C2853" w:rsidRPr="0018174E">
          <w:rPr>
            <w:webHidden/>
            <w:lang w:val="es-ES_tradnl"/>
          </w:rPr>
          <w:instrText xml:space="preserve"> PAGEREF _Toc50115599 \h </w:instrText>
        </w:r>
        <w:r w:rsidR="007C2853" w:rsidRPr="0018174E">
          <w:rPr>
            <w:webHidden/>
            <w:lang w:val="es-ES_tradnl"/>
          </w:rPr>
        </w:r>
        <w:r w:rsidR="007C2853" w:rsidRPr="0018174E">
          <w:rPr>
            <w:webHidden/>
            <w:lang w:val="es-ES_tradnl"/>
          </w:rPr>
          <w:fldChar w:fldCharType="separate"/>
        </w:r>
        <w:r w:rsidR="008F07A2" w:rsidRPr="0018174E">
          <w:rPr>
            <w:webHidden/>
            <w:lang w:val="es-ES_tradnl"/>
          </w:rPr>
          <w:t>3</w:t>
        </w:r>
        <w:r w:rsidR="007C2853" w:rsidRPr="0018174E">
          <w:rPr>
            <w:webHidden/>
            <w:lang w:val="es-ES_tradnl"/>
          </w:rPr>
          <w:fldChar w:fldCharType="end"/>
        </w:r>
      </w:hyperlink>
    </w:p>
    <w:p w:rsidR="007C2853" w:rsidRPr="0018174E" w:rsidRDefault="007C2853" w:rsidP="007C2853">
      <w:pPr>
        <w:rPr>
          <w:lang w:val="es-ES_tradnl"/>
        </w:rPr>
      </w:pPr>
      <w:r w:rsidRPr="0018174E">
        <w:rPr>
          <w:lang w:val="es-ES_tradnl"/>
        </w:rPr>
        <w:fldChar w:fldCharType="end"/>
      </w:r>
    </w:p>
    <w:p w:rsidR="007C2853" w:rsidRPr="0018174E" w:rsidRDefault="007C2853" w:rsidP="007C2853">
      <w:pPr>
        <w:pStyle w:val="LegTitle"/>
        <w:rPr>
          <w:noProof w:val="0"/>
          <w:lang w:val="es-ES_tradnl"/>
        </w:rPr>
      </w:pPr>
      <w:bookmarkStart w:id="8" w:name="_Toc50028896"/>
      <w:bookmarkStart w:id="9" w:name="_Toc50115596"/>
      <w:r w:rsidRPr="0018174E">
        <w:rPr>
          <w:noProof w:val="0"/>
          <w:lang w:val="es-ES_tradnl"/>
        </w:rPr>
        <w:lastRenderedPageBreak/>
        <w:t>R</w:t>
      </w:r>
      <w:r w:rsidR="00D747E2" w:rsidRPr="0018174E">
        <w:rPr>
          <w:noProof w:val="0"/>
          <w:lang w:val="es-ES_tradnl"/>
        </w:rPr>
        <w:t>egla</w:t>
      </w:r>
      <w:r w:rsidRPr="0018174E">
        <w:rPr>
          <w:noProof w:val="0"/>
          <w:lang w:val="es-ES_tradnl"/>
        </w:rPr>
        <w:t xml:space="preserve"> 82</w:t>
      </w:r>
      <w:r w:rsidRPr="0018174E">
        <w:rPr>
          <w:i/>
          <w:noProof w:val="0"/>
          <w:lang w:val="es-ES_tradnl"/>
        </w:rPr>
        <w:t xml:space="preserve">quater </w:t>
      </w:r>
      <w:r w:rsidRPr="0018174E">
        <w:rPr>
          <w:noProof w:val="0"/>
          <w:vanish/>
          <w:lang w:val="es-ES_tradnl"/>
        </w:rPr>
        <w:t xml:space="preserve">- </w:t>
      </w:r>
      <w:r w:rsidRPr="0018174E">
        <w:rPr>
          <w:noProof w:val="0"/>
          <w:lang w:val="es-ES_tradnl"/>
        </w:rPr>
        <w:br/>
      </w:r>
      <w:bookmarkEnd w:id="8"/>
      <w:r w:rsidRPr="0018174E">
        <w:rPr>
          <w:noProof w:val="0"/>
          <w:lang w:val="es-ES_tradnl"/>
        </w:rPr>
        <w:t>Excus</w:t>
      </w:r>
      <w:r w:rsidR="00FD2B0B" w:rsidRPr="0018174E">
        <w:rPr>
          <w:noProof w:val="0"/>
          <w:lang w:val="es-ES_tradnl"/>
        </w:rPr>
        <w:t>a de los retrasos en el cumplimiento de los plazos</w:t>
      </w:r>
      <w:r w:rsidRPr="0018174E">
        <w:rPr>
          <w:noProof w:val="0"/>
          <w:lang w:val="es-ES_tradnl"/>
        </w:rPr>
        <w:t xml:space="preserve"> </w:t>
      </w:r>
      <w:r w:rsidR="00FD2B0B" w:rsidRPr="0018174E">
        <w:rPr>
          <w:noProof w:val="0"/>
          <w:color w:val="0000FF"/>
          <w:u w:val="single"/>
          <w:lang w:val="es-ES_tradnl"/>
        </w:rPr>
        <w:t xml:space="preserve">y </w:t>
      </w:r>
      <w:r w:rsidR="008F07A2" w:rsidRPr="0018174E">
        <w:rPr>
          <w:noProof w:val="0"/>
          <w:color w:val="0000FF"/>
          <w:u w:val="single"/>
          <w:lang w:val="es-ES_tradnl"/>
        </w:rPr>
        <w:t>prórroga</w:t>
      </w:r>
      <w:r w:rsidR="00FD2B0B" w:rsidRPr="0018174E">
        <w:rPr>
          <w:noProof w:val="0"/>
          <w:color w:val="0000FF"/>
          <w:u w:val="single"/>
          <w:lang w:val="es-ES_tradnl"/>
        </w:rPr>
        <w:t xml:space="preserve"> de los plazos</w:t>
      </w:r>
      <w:bookmarkEnd w:id="9"/>
    </w:p>
    <w:p w:rsidR="007C2853" w:rsidRPr="0018174E" w:rsidRDefault="007C2853" w:rsidP="007C2853">
      <w:pPr>
        <w:pStyle w:val="LegSubRule"/>
        <w:keepLines w:val="0"/>
        <w:outlineLvl w:val="0"/>
        <w:rPr>
          <w:noProof w:val="0"/>
          <w:lang w:val="es-ES_tradnl"/>
        </w:rPr>
      </w:pPr>
      <w:bookmarkStart w:id="10" w:name="_Toc50028897"/>
      <w:bookmarkStart w:id="11" w:name="_Toc50115597"/>
      <w:r w:rsidRPr="0018174E">
        <w:rPr>
          <w:noProof w:val="0"/>
          <w:lang w:val="es-ES_tradnl"/>
        </w:rPr>
        <w:t>82</w:t>
      </w:r>
      <w:r w:rsidRPr="0018174E">
        <w:rPr>
          <w:i/>
          <w:noProof w:val="0"/>
          <w:lang w:val="es-ES_tradnl"/>
        </w:rPr>
        <w:t>quater</w:t>
      </w:r>
      <w:r w:rsidRPr="0018174E">
        <w:rPr>
          <w:noProof w:val="0"/>
          <w:lang w:val="es-ES_tradnl"/>
        </w:rPr>
        <w:t>.1</w:t>
      </w:r>
      <w:r w:rsidR="007F2E5A" w:rsidRPr="0018174E">
        <w:rPr>
          <w:noProof w:val="0"/>
          <w:lang w:val="es-ES_tradnl"/>
        </w:rPr>
        <w:t xml:space="preserve"> </w:t>
      </w:r>
      <w:bookmarkEnd w:id="10"/>
      <w:r w:rsidRPr="0018174E">
        <w:rPr>
          <w:i/>
          <w:noProof w:val="0"/>
          <w:lang w:val="es-ES_tradnl"/>
        </w:rPr>
        <w:t>Excus</w:t>
      </w:r>
      <w:r w:rsidR="00FD2B0B" w:rsidRPr="0018174E">
        <w:rPr>
          <w:i/>
          <w:noProof w:val="0"/>
          <w:lang w:val="es-ES_tradnl"/>
        </w:rPr>
        <w:t>a de los retrasos en el cumplimiento de los plazos</w:t>
      </w:r>
      <w:bookmarkEnd w:id="11"/>
    </w:p>
    <w:p w:rsidR="007C2853" w:rsidRPr="0018174E" w:rsidRDefault="007C2853" w:rsidP="007C2853">
      <w:pPr>
        <w:pStyle w:val="Lega"/>
        <w:tabs>
          <w:tab w:val="clear" w:pos="454"/>
        </w:tabs>
        <w:ind w:firstLine="567"/>
        <w:rPr>
          <w:noProof w:val="0"/>
          <w:lang w:val="es-ES_tradnl"/>
        </w:rPr>
      </w:pPr>
      <w:r w:rsidRPr="0018174E">
        <w:rPr>
          <w:noProof w:val="0"/>
          <w:lang w:val="es-ES_tradnl"/>
        </w:rPr>
        <w:t>a)</w:t>
      </w:r>
      <w:r w:rsidR="007F2E5A" w:rsidRPr="0018174E">
        <w:rPr>
          <w:noProof w:val="0"/>
          <w:lang w:val="es-ES_tradnl"/>
        </w:rPr>
        <w:t xml:space="preserve"> </w:t>
      </w:r>
      <w:r w:rsidR="00A73BDC" w:rsidRPr="0018174E">
        <w:rPr>
          <w:noProof w:val="0"/>
          <w:lang w:val="es-ES_tradnl"/>
        </w:rPr>
        <w:t>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w:t>
      </w:r>
      <w:r w:rsidRPr="0018174E">
        <w:rPr>
          <w:noProof w:val="0"/>
          <w:lang w:val="es-ES_tradnl"/>
        </w:rPr>
        <w:t xml:space="preserve">, </w:t>
      </w:r>
      <w:r w:rsidRPr="0018174E">
        <w:rPr>
          <w:noProof w:val="0"/>
          <w:color w:val="0000FF"/>
          <w:u w:val="single"/>
          <w:lang w:val="es-ES_tradnl"/>
        </w:rPr>
        <w:t>epidemi</w:t>
      </w:r>
      <w:r w:rsidR="00A73BDC" w:rsidRPr="0018174E">
        <w:rPr>
          <w:noProof w:val="0"/>
          <w:color w:val="0000FF"/>
          <w:u w:val="single"/>
          <w:lang w:val="es-ES_tradnl"/>
        </w:rPr>
        <w:t>a</w:t>
      </w:r>
      <w:r w:rsidRPr="0018174E">
        <w:rPr>
          <w:noProof w:val="0"/>
          <w:color w:val="0000FF"/>
          <w:u w:val="single"/>
          <w:lang w:val="es-ES_tradnl"/>
        </w:rPr>
        <w:t>,</w:t>
      </w:r>
      <w:r w:rsidRPr="0018174E">
        <w:rPr>
          <w:noProof w:val="0"/>
          <w:lang w:val="es-ES_tradnl"/>
        </w:rPr>
        <w:t xml:space="preserve"> </w:t>
      </w:r>
      <w:r w:rsidR="00A73BDC" w:rsidRPr="0018174E">
        <w:rPr>
          <w:noProof w:val="0"/>
          <w:lang w:val="es-ES_tradnl"/>
        </w:rPr>
        <w:t>indisponibilidad generalizada de los servicios de comunicación electrónica u otros motivos semejantes registrados en la localidad en donde la parte interesada tenga su domicilio, su sede o su residencia, y que ha realizado el acto tan pronto como ha sido razonablemente posible</w:t>
      </w:r>
      <w:r w:rsidRPr="0018174E">
        <w:rPr>
          <w:noProof w:val="0"/>
          <w:lang w:val="es-ES_tradnl"/>
        </w:rPr>
        <w:t>.</w:t>
      </w:r>
    </w:p>
    <w:p w:rsidR="007C2853" w:rsidRPr="0018174E" w:rsidRDefault="007C2853" w:rsidP="007C2853">
      <w:pPr>
        <w:pStyle w:val="Lega"/>
        <w:tabs>
          <w:tab w:val="clear" w:pos="454"/>
        </w:tabs>
        <w:ind w:firstLine="567"/>
        <w:rPr>
          <w:noProof w:val="0"/>
          <w:lang w:val="es-ES_tradnl"/>
        </w:rPr>
      </w:pPr>
      <w:r w:rsidRPr="0018174E">
        <w:rPr>
          <w:noProof w:val="0"/>
          <w:lang w:val="es-ES_tradnl"/>
        </w:rPr>
        <w:t>b)</w:t>
      </w:r>
      <w:r w:rsidR="007F2E5A" w:rsidRPr="0018174E">
        <w:rPr>
          <w:noProof w:val="0"/>
          <w:lang w:val="es-ES_tradnl"/>
        </w:rPr>
        <w:t xml:space="preserve"> </w:t>
      </w:r>
      <w:r w:rsidRPr="0018174E">
        <w:rPr>
          <w:noProof w:val="0"/>
          <w:lang w:val="es-ES_tradnl"/>
        </w:rPr>
        <w:t>[</w:t>
      </w:r>
      <w:r w:rsidR="00A73BDC" w:rsidRPr="0018174E">
        <w:rPr>
          <w:noProof w:val="0"/>
          <w:lang w:val="es-ES_tradnl"/>
        </w:rPr>
        <w:t>Sin cambios</w:t>
      </w:r>
      <w:r w:rsidRPr="0018174E">
        <w:rPr>
          <w:noProof w:val="0"/>
          <w:lang w:val="es-ES_tradnl"/>
        </w:rPr>
        <w:t>]</w:t>
      </w:r>
      <w:r w:rsidR="007F2E5A" w:rsidRPr="0018174E">
        <w:rPr>
          <w:noProof w:val="0"/>
          <w:lang w:val="es-ES_tradnl"/>
        </w:rPr>
        <w:t xml:space="preserve"> </w:t>
      </w:r>
      <w:r w:rsidR="00A73BDC" w:rsidRPr="0018174E">
        <w:rPr>
          <w:noProof w:val="0"/>
          <w:lang w:val="es-ES_tradnl"/>
        </w:rPr>
        <w:t>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r w:rsidRPr="0018174E">
        <w:rPr>
          <w:noProof w:val="0"/>
          <w:lang w:val="es-ES_tradnl"/>
        </w:rPr>
        <w:t xml:space="preserve">. </w:t>
      </w:r>
    </w:p>
    <w:p w:rsidR="007C2853" w:rsidRPr="0018174E" w:rsidRDefault="007C2853" w:rsidP="007C2853">
      <w:pPr>
        <w:pStyle w:val="Lega"/>
        <w:tabs>
          <w:tab w:val="clear" w:pos="454"/>
        </w:tabs>
        <w:ind w:firstLine="567"/>
        <w:rPr>
          <w:noProof w:val="0"/>
          <w:lang w:val="es-ES_tradnl"/>
        </w:rPr>
      </w:pPr>
      <w:r w:rsidRPr="0018174E">
        <w:rPr>
          <w:noProof w:val="0"/>
          <w:lang w:val="es-ES_tradnl"/>
        </w:rPr>
        <w:t>c)</w:t>
      </w:r>
      <w:r w:rsidR="007F2E5A" w:rsidRPr="0018174E">
        <w:rPr>
          <w:noProof w:val="0"/>
          <w:lang w:val="es-ES_tradnl"/>
        </w:rPr>
        <w:t xml:space="preserve"> </w:t>
      </w:r>
      <w:r w:rsidRPr="0018174E">
        <w:rPr>
          <w:noProof w:val="0"/>
          <w:lang w:val="es-ES_tradnl"/>
        </w:rPr>
        <w:t>[</w:t>
      </w:r>
      <w:r w:rsidR="00A73BDC" w:rsidRPr="0018174E">
        <w:rPr>
          <w:noProof w:val="0"/>
          <w:lang w:val="es-ES_tradnl"/>
        </w:rPr>
        <w:t>Sin cambios</w:t>
      </w:r>
      <w:r w:rsidRPr="0018174E">
        <w:rPr>
          <w:noProof w:val="0"/>
          <w:lang w:val="es-ES_tradnl"/>
        </w:rPr>
        <w:t>]</w:t>
      </w:r>
      <w:r w:rsidR="007F2E5A" w:rsidRPr="0018174E">
        <w:rPr>
          <w:noProof w:val="0"/>
          <w:lang w:val="es-ES_tradnl"/>
        </w:rPr>
        <w:t xml:space="preserve"> </w:t>
      </w:r>
      <w:r w:rsidR="00E1396F" w:rsidRPr="0018174E">
        <w:rPr>
          <w:noProof w:val="0"/>
          <w:lang w:val="es-ES_tradnl"/>
        </w:rPr>
        <w:t xml:space="preserve">La excusa de un retraso no se tomará en consideración por cualquier Oficina designada o elegida ante la cual el solicitante, en el momento en que se adopte la decisión de excusar el retraso, ya haya realizado los actos mencionados en el artículo 22 o </w:t>
      </w:r>
      <w:r w:rsidR="00B36CA7" w:rsidRPr="0018174E">
        <w:rPr>
          <w:noProof w:val="0"/>
          <w:lang w:val="es-ES_tradnl"/>
        </w:rPr>
        <w:t xml:space="preserve">en el </w:t>
      </w:r>
      <w:r w:rsidR="00E1396F" w:rsidRPr="0018174E">
        <w:rPr>
          <w:noProof w:val="0"/>
          <w:lang w:val="es-ES_tradnl"/>
        </w:rPr>
        <w:t xml:space="preserve">artículo </w:t>
      </w:r>
      <w:r w:rsidRPr="0018174E">
        <w:rPr>
          <w:noProof w:val="0"/>
          <w:lang w:val="es-ES_tradnl"/>
        </w:rPr>
        <w:t xml:space="preserve">39. </w:t>
      </w:r>
    </w:p>
    <w:p w:rsidR="007C2853" w:rsidRPr="0018174E" w:rsidRDefault="007C2853" w:rsidP="007C2853">
      <w:pPr>
        <w:pStyle w:val="Lega"/>
        <w:tabs>
          <w:tab w:val="clear" w:pos="454"/>
        </w:tabs>
        <w:ind w:firstLine="567"/>
        <w:rPr>
          <w:noProof w:val="0"/>
          <w:lang w:val="es-ES_tradnl"/>
        </w:rPr>
      </w:pPr>
      <w:r w:rsidRPr="0018174E">
        <w:rPr>
          <w:noProof w:val="0"/>
          <w:color w:val="0000FF"/>
          <w:u w:val="single"/>
          <w:lang w:val="es-ES_tradnl"/>
        </w:rPr>
        <w:t>d)</w:t>
      </w:r>
      <w:r w:rsidR="007F2E5A" w:rsidRPr="0018174E">
        <w:rPr>
          <w:noProof w:val="0"/>
          <w:color w:val="0000FF"/>
          <w:u w:val="single"/>
          <w:lang w:val="es-ES_tradnl"/>
        </w:rPr>
        <w:t xml:space="preserve"> </w:t>
      </w:r>
      <w:r w:rsidR="00E1396F" w:rsidRPr="0018174E">
        <w:rPr>
          <w:noProof w:val="0"/>
          <w:color w:val="0000FF"/>
          <w:u w:val="single"/>
          <w:lang w:val="es-ES_tradnl"/>
        </w:rPr>
        <w:t>La Oficina, la Administración o la Oficina Internacional podrán suprimir la necesidad de presentar pruebas con arreglo a las condiciones establecidas y publicadas por esa Oficina, Administración o la Oficina Internacional, según sea el caso</w:t>
      </w:r>
      <w:r w:rsidRPr="0018174E">
        <w:rPr>
          <w:noProof w:val="0"/>
          <w:color w:val="0000FF"/>
          <w:u w:val="single"/>
          <w:lang w:val="es-ES_tradnl"/>
        </w:rPr>
        <w:t>.</w:t>
      </w:r>
      <w:r w:rsidR="007F2E5A" w:rsidRPr="0018174E">
        <w:rPr>
          <w:noProof w:val="0"/>
          <w:color w:val="0000FF"/>
          <w:u w:val="single"/>
          <w:lang w:val="es-ES_tradnl"/>
        </w:rPr>
        <w:t xml:space="preserve"> </w:t>
      </w:r>
      <w:r w:rsidR="00E1396F" w:rsidRPr="0018174E">
        <w:rPr>
          <w:noProof w:val="0"/>
          <w:color w:val="0000FF"/>
          <w:u w:val="single"/>
          <w:lang w:val="es-ES_tradnl"/>
        </w:rPr>
        <w:t>La Oficina Internacional será notificada en consecuencia por la Oficina o la A</w:t>
      </w:r>
      <w:r w:rsidR="00B36CA7" w:rsidRPr="0018174E">
        <w:rPr>
          <w:noProof w:val="0"/>
          <w:color w:val="0000FF"/>
          <w:u w:val="single"/>
          <w:lang w:val="es-ES_tradnl"/>
        </w:rPr>
        <w:t>dministración</w:t>
      </w:r>
      <w:r w:rsidRPr="0018174E">
        <w:rPr>
          <w:noProof w:val="0"/>
          <w:lang w:val="es-ES_tradnl"/>
        </w:rPr>
        <w:t>.</w:t>
      </w:r>
    </w:p>
    <w:p w:rsidR="007C2853" w:rsidRPr="0018174E" w:rsidRDefault="007C2853" w:rsidP="007C2853">
      <w:pPr>
        <w:pStyle w:val="LegSubRule"/>
        <w:keepLines w:val="0"/>
        <w:outlineLvl w:val="0"/>
        <w:rPr>
          <w:noProof w:val="0"/>
          <w:lang w:val="es-ES_tradnl"/>
        </w:rPr>
      </w:pPr>
      <w:bookmarkStart w:id="12" w:name="_Toc50115598"/>
      <w:r w:rsidRPr="0018174E">
        <w:rPr>
          <w:noProof w:val="0"/>
          <w:lang w:val="es-ES_tradnl"/>
        </w:rPr>
        <w:t>82</w:t>
      </w:r>
      <w:r w:rsidRPr="0018174E">
        <w:rPr>
          <w:i/>
          <w:noProof w:val="0"/>
          <w:lang w:val="es-ES_tradnl"/>
        </w:rPr>
        <w:t>quater</w:t>
      </w:r>
      <w:r w:rsidRPr="0018174E">
        <w:rPr>
          <w:noProof w:val="0"/>
          <w:lang w:val="es-ES_tradnl"/>
        </w:rPr>
        <w:t>.2</w:t>
      </w:r>
      <w:r w:rsidR="007F2E5A" w:rsidRPr="0018174E">
        <w:rPr>
          <w:noProof w:val="0"/>
          <w:lang w:val="es-ES_tradnl"/>
        </w:rPr>
        <w:t xml:space="preserve"> </w:t>
      </w:r>
      <w:r w:rsidR="002F15E2" w:rsidRPr="0018174E">
        <w:rPr>
          <w:i/>
          <w:noProof w:val="0"/>
          <w:lang w:val="es-ES_tradnl"/>
        </w:rPr>
        <w:t>Indisponibilidad de los servicios de comunicación electrónica en la Oficina</w:t>
      </w:r>
      <w:bookmarkEnd w:id="12"/>
    </w:p>
    <w:p w:rsidR="007C2853" w:rsidRPr="0018174E" w:rsidRDefault="007C2853" w:rsidP="007C2853">
      <w:pPr>
        <w:pStyle w:val="Lega"/>
        <w:tabs>
          <w:tab w:val="clear" w:pos="454"/>
        </w:tabs>
        <w:ind w:firstLine="567"/>
        <w:rPr>
          <w:noProof w:val="0"/>
          <w:lang w:val="es-ES_tradnl"/>
        </w:rPr>
      </w:pPr>
      <w:r w:rsidRPr="0018174E">
        <w:rPr>
          <w:noProof w:val="0"/>
          <w:lang w:val="es-ES_tradnl"/>
        </w:rPr>
        <w:t>a)</w:t>
      </w:r>
      <w:r w:rsidR="007F2E5A" w:rsidRPr="0018174E">
        <w:rPr>
          <w:noProof w:val="0"/>
          <w:lang w:val="es-ES_tradnl"/>
        </w:rPr>
        <w:t xml:space="preserve"> </w:t>
      </w:r>
      <w:r w:rsidRPr="0018174E">
        <w:rPr>
          <w:noProof w:val="0"/>
          <w:lang w:val="es-ES_tradnl"/>
        </w:rPr>
        <w:t>[</w:t>
      </w:r>
      <w:r w:rsidR="002F15E2" w:rsidRPr="0018174E">
        <w:rPr>
          <w:noProof w:val="0"/>
          <w:lang w:val="es-ES_tradnl"/>
        </w:rPr>
        <w:t>Sin cambios</w:t>
      </w:r>
      <w:r w:rsidRPr="0018174E">
        <w:rPr>
          <w:noProof w:val="0"/>
          <w:lang w:val="es-ES_tradnl"/>
        </w:rPr>
        <w:t>]</w:t>
      </w:r>
      <w:r w:rsidR="007F2E5A" w:rsidRPr="0018174E">
        <w:rPr>
          <w:noProof w:val="0"/>
          <w:lang w:val="es-ES_tradnl"/>
        </w:rPr>
        <w:t xml:space="preserve"> </w:t>
      </w:r>
      <w:r w:rsidR="002F15E2" w:rsidRPr="0018174E">
        <w:rPr>
          <w:noProof w:val="0"/>
          <w:lang w:val="es-ES_tradnl"/>
        </w:rPr>
        <w:t>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 La Oficina u organización afectada publicará información sobre la indisponibilidad, con indicación de su período de duración, y comunicará dicha información a la Oficina Internacional</w:t>
      </w:r>
      <w:r w:rsidRPr="0018174E">
        <w:rPr>
          <w:noProof w:val="0"/>
          <w:lang w:val="es-ES_tradnl"/>
        </w:rPr>
        <w:t>.</w:t>
      </w:r>
    </w:p>
    <w:p w:rsidR="007C2853" w:rsidRPr="0018174E" w:rsidRDefault="007C2853" w:rsidP="007C2853">
      <w:pPr>
        <w:pStyle w:val="Lega"/>
        <w:tabs>
          <w:tab w:val="clear" w:pos="454"/>
        </w:tabs>
        <w:ind w:firstLine="567"/>
        <w:rPr>
          <w:noProof w:val="0"/>
          <w:lang w:val="es-ES_tradnl"/>
        </w:rPr>
      </w:pPr>
      <w:r w:rsidRPr="0018174E">
        <w:rPr>
          <w:noProof w:val="0"/>
          <w:lang w:val="es-ES_tradnl"/>
        </w:rPr>
        <w:lastRenderedPageBreak/>
        <w:t>b)</w:t>
      </w:r>
      <w:r w:rsidR="007F2E5A" w:rsidRPr="0018174E">
        <w:rPr>
          <w:noProof w:val="0"/>
          <w:lang w:val="es-ES_tradnl"/>
        </w:rPr>
        <w:t xml:space="preserve"> </w:t>
      </w:r>
      <w:r w:rsidRPr="0018174E">
        <w:rPr>
          <w:noProof w:val="0"/>
          <w:lang w:val="es-ES_tradnl"/>
        </w:rPr>
        <w:t>[</w:t>
      </w:r>
      <w:r w:rsidR="002F15E2" w:rsidRPr="0018174E">
        <w:rPr>
          <w:noProof w:val="0"/>
          <w:lang w:val="es-ES_tradnl"/>
        </w:rPr>
        <w:t>Sin cambios</w:t>
      </w:r>
      <w:r w:rsidRPr="0018174E">
        <w:rPr>
          <w:noProof w:val="0"/>
          <w:lang w:val="es-ES_tradnl"/>
        </w:rPr>
        <w:t>]</w:t>
      </w:r>
      <w:r w:rsidR="007F2E5A" w:rsidRPr="0018174E">
        <w:rPr>
          <w:noProof w:val="0"/>
          <w:lang w:val="es-ES_tradnl"/>
        </w:rPr>
        <w:t xml:space="preserve"> </w:t>
      </w:r>
      <w:r w:rsidR="002F15E2" w:rsidRPr="0018174E">
        <w:rPr>
          <w:noProof w:val="0"/>
          <w:lang w:val="es-ES_tradnl"/>
        </w:rPr>
        <w:t xml:space="preserve">La excusa de un retraso en el cumplimiento de un plazo de acuerdo con lo dispuesto en el párrafo </w:t>
      </w:r>
      <w:r w:rsidRPr="0018174E">
        <w:rPr>
          <w:noProof w:val="0"/>
          <w:lang w:val="es-ES_tradnl"/>
        </w:rPr>
        <w:t xml:space="preserve">a) </w:t>
      </w:r>
      <w:r w:rsidR="002F15E2" w:rsidRPr="0018174E">
        <w:rPr>
          <w:noProof w:val="0"/>
          <w:lang w:val="es-ES_tradnl"/>
        </w:rPr>
        <w:t>no se tomará en consideración por cualquier Oficina designada o elegida ante la cual el solicitante, en el momento en que se publique la información mencionada en el </w:t>
      </w:r>
      <w:r w:rsidR="004B11DB" w:rsidRPr="0018174E">
        <w:rPr>
          <w:noProof w:val="0"/>
          <w:lang w:val="es-ES_tradnl"/>
        </w:rPr>
        <w:t xml:space="preserve">párrafo </w:t>
      </w:r>
      <w:r w:rsidRPr="0018174E">
        <w:rPr>
          <w:noProof w:val="0"/>
          <w:lang w:val="es-ES_tradnl"/>
        </w:rPr>
        <w:t>a)</w:t>
      </w:r>
      <w:r w:rsidR="004B11DB" w:rsidRPr="0018174E">
        <w:rPr>
          <w:noProof w:val="0"/>
          <w:lang w:val="es-ES_tradnl"/>
        </w:rPr>
        <w:t>,</w:t>
      </w:r>
      <w:r w:rsidRPr="0018174E">
        <w:rPr>
          <w:noProof w:val="0"/>
          <w:lang w:val="es-ES_tradnl"/>
        </w:rPr>
        <w:t xml:space="preserve"> </w:t>
      </w:r>
      <w:r w:rsidR="002F15E2" w:rsidRPr="0018174E">
        <w:rPr>
          <w:noProof w:val="0"/>
          <w:lang w:val="es-ES_tradnl"/>
        </w:rPr>
        <w:t>ya haya realizado los actos mencionados en el artículo 22 o en el artículo</w:t>
      </w:r>
      <w:r w:rsidRPr="0018174E">
        <w:rPr>
          <w:noProof w:val="0"/>
          <w:lang w:val="es-ES_tradnl"/>
        </w:rPr>
        <w:t> 39.</w:t>
      </w:r>
      <w:r w:rsidRPr="0018174E">
        <w:rPr>
          <w:i/>
          <w:noProof w:val="0"/>
          <w:lang w:val="es-ES_tradnl"/>
        </w:rPr>
        <w:t xml:space="preserve"> </w:t>
      </w:r>
    </w:p>
    <w:p w:rsidR="007C2853" w:rsidRPr="0018174E" w:rsidRDefault="007C2853" w:rsidP="007C2853">
      <w:pPr>
        <w:pStyle w:val="LegSubRule"/>
        <w:keepLines w:val="0"/>
        <w:outlineLvl w:val="0"/>
        <w:rPr>
          <w:noProof w:val="0"/>
          <w:color w:val="0000FF"/>
          <w:u w:val="single"/>
          <w:lang w:val="es-ES_tradnl"/>
        </w:rPr>
      </w:pPr>
      <w:bookmarkStart w:id="13" w:name="_Toc50115599"/>
      <w:bookmarkStart w:id="14" w:name="_Toc50028898"/>
      <w:r w:rsidRPr="0018174E">
        <w:rPr>
          <w:noProof w:val="0"/>
          <w:color w:val="0000FF"/>
          <w:u w:val="single"/>
          <w:lang w:val="es-ES_tradnl"/>
        </w:rPr>
        <w:t>82</w:t>
      </w:r>
      <w:r w:rsidRPr="0018174E">
        <w:rPr>
          <w:i/>
          <w:noProof w:val="0"/>
          <w:color w:val="0000FF"/>
          <w:u w:val="single"/>
          <w:lang w:val="es-ES_tradnl"/>
        </w:rPr>
        <w:t>quater</w:t>
      </w:r>
      <w:r w:rsidRPr="0018174E">
        <w:rPr>
          <w:noProof w:val="0"/>
          <w:color w:val="0000FF"/>
          <w:u w:val="single"/>
          <w:lang w:val="es-ES_tradnl"/>
        </w:rPr>
        <w:t>.3</w:t>
      </w:r>
      <w:r w:rsidR="007F2E5A" w:rsidRPr="0018174E">
        <w:rPr>
          <w:noProof w:val="0"/>
          <w:color w:val="0000FF"/>
          <w:u w:val="single"/>
          <w:lang w:val="es-ES_tradnl"/>
        </w:rPr>
        <w:t xml:space="preserve"> </w:t>
      </w:r>
      <w:r w:rsidR="007353C6" w:rsidRPr="0018174E">
        <w:rPr>
          <w:i/>
          <w:noProof w:val="0"/>
          <w:color w:val="0000FF"/>
          <w:u w:val="single"/>
          <w:lang w:val="es-ES_tradnl"/>
        </w:rPr>
        <w:t xml:space="preserve">Prórroga de los plazos por </w:t>
      </w:r>
      <w:r w:rsidR="00C15CDD">
        <w:rPr>
          <w:i/>
          <w:noProof w:val="0"/>
          <w:color w:val="0000FF"/>
          <w:u w:val="single"/>
          <w:lang w:val="es-ES_tradnl"/>
        </w:rPr>
        <w:t>perturbación</w:t>
      </w:r>
      <w:r w:rsidR="007353C6" w:rsidRPr="0018174E">
        <w:rPr>
          <w:i/>
          <w:noProof w:val="0"/>
          <w:color w:val="0000FF"/>
          <w:u w:val="single"/>
          <w:lang w:val="es-ES_tradnl"/>
        </w:rPr>
        <w:t xml:space="preserve"> generalizada</w:t>
      </w:r>
      <w:bookmarkEnd w:id="13"/>
    </w:p>
    <w:bookmarkEnd w:id="14"/>
    <w:p w:rsidR="007C2853" w:rsidRPr="0018174E" w:rsidRDefault="00B035FA" w:rsidP="00B035FA">
      <w:pPr>
        <w:pStyle w:val="Lega"/>
        <w:tabs>
          <w:tab w:val="clear" w:pos="454"/>
        </w:tabs>
        <w:ind w:firstLine="567"/>
        <w:rPr>
          <w:noProof w:val="0"/>
          <w:lang w:val="es-ES_tradnl"/>
        </w:rPr>
      </w:pPr>
      <w:r>
        <w:rPr>
          <w:noProof w:val="0"/>
          <w:color w:val="0000FF"/>
          <w:u w:val="single"/>
          <w:lang w:val="es-ES_tradnl"/>
        </w:rPr>
        <w:t xml:space="preserve">a) </w:t>
      </w:r>
      <w:r w:rsidR="00A461B0" w:rsidRPr="0018174E">
        <w:rPr>
          <w:noProof w:val="0"/>
          <w:color w:val="0000FF"/>
          <w:u w:val="single"/>
          <w:lang w:val="es-ES_tradnl"/>
        </w:rPr>
        <w:t>Toda Oficina receptora, Administración encargada de la búsqueda internacional, Administración designada para la búsqueda suplementaria, Administración encargada del examen preliminar internacional o la Oficina Internacional podrán prorrogar los plazos fijados en el Reglamento para realiz</w:t>
      </w:r>
      <w:r w:rsidR="006373EA" w:rsidRPr="0018174E">
        <w:rPr>
          <w:noProof w:val="0"/>
          <w:color w:val="0000FF"/>
          <w:u w:val="single"/>
          <w:lang w:val="es-ES_tradnl"/>
        </w:rPr>
        <w:t xml:space="preserve">ar un acto ante esa Oficina, </w:t>
      </w:r>
      <w:r w:rsidR="00A461B0" w:rsidRPr="0018174E">
        <w:rPr>
          <w:noProof w:val="0"/>
          <w:color w:val="0000FF"/>
          <w:u w:val="single"/>
          <w:lang w:val="es-ES_tradnl"/>
        </w:rPr>
        <w:t xml:space="preserve">Administración o la Oficina Internacional cuando el Estado en que esté ubicada </w:t>
      </w:r>
      <w:r w:rsidR="00DB5547" w:rsidRPr="0018174E">
        <w:rPr>
          <w:noProof w:val="0"/>
          <w:color w:val="0000FF"/>
          <w:u w:val="single"/>
          <w:lang w:val="es-ES_tradnl"/>
        </w:rPr>
        <w:t xml:space="preserve">esté </w:t>
      </w:r>
      <w:r w:rsidR="00362C69">
        <w:rPr>
          <w:noProof w:val="0"/>
          <w:color w:val="0000FF"/>
          <w:u w:val="single"/>
          <w:lang w:val="es-ES_tradnl"/>
        </w:rPr>
        <w:t>sufriendo</w:t>
      </w:r>
      <w:r w:rsidR="00DB5547" w:rsidRPr="0018174E">
        <w:rPr>
          <w:noProof w:val="0"/>
          <w:color w:val="0000FF"/>
          <w:u w:val="single"/>
          <w:lang w:val="es-ES_tradnl"/>
        </w:rPr>
        <w:t xml:space="preserve"> una </w:t>
      </w:r>
      <w:r w:rsidR="00C15CDD">
        <w:rPr>
          <w:noProof w:val="0"/>
          <w:color w:val="0000FF"/>
          <w:u w:val="single"/>
          <w:lang w:val="es-ES_tradnl"/>
        </w:rPr>
        <w:t>perturbación generalizada</w:t>
      </w:r>
      <w:r w:rsidR="00DB5547" w:rsidRPr="0018174E">
        <w:rPr>
          <w:noProof w:val="0"/>
          <w:color w:val="0000FF"/>
          <w:u w:val="single"/>
          <w:lang w:val="es-ES_tradnl"/>
        </w:rPr>
        <w:t xml:space="preserve"> causada por una de las circun</w:t>
      </w:r>
      <w:r w:rsidR="0018174E" w:rsidRPr="0018174E">
        <w:rPr>
          <w:noProof w:val="0"/>
          <w:color w:val="0000FF"/>
          <w:u w:val="single"/>
          <w:lang w:val="es-ES_tradnl"/>
        </w:rPr>
        <w:t>stancias enumeradas en la Regla </w:t>
      </w:r>
      <w:r w:rsidR="007C2853" w:rsidRPr="0018174E">
        <w:rPr>
          <w:noProof w:val="0"/>
          <w:color w:val="0000FF"/>
          <w:u w:val="single"/>
          <w:lang w:val="es-ES_tradnl"/>
        </w:rPr>
        <w:t>82</w:t>
      </w:r>
      <w:r w:rsidR="007C2853" w:rsidRPr="0018174E">
        <w:rPr>
          <w:i/>
          <w:noProof w:val="0"/>
          <w:color w:val="0000FF"/>
          <w:u w:val="single"/>
          <w:lang w:val="es-ES_tradnl"/>
        </w:rPr>
        <w:t>quater</w:t>
      </w:r>
      <w:r w:rsidR="007C2853" w:rsidRPr="0018174E">
        <w:rPr>
          <w:noProof w:val="0"/>
          <w:color w:val="0000FF"/>
          <w:u w:val="single"/>
          <w:lang w:val="es-ES_tradnl"/>
        </w:rPr>
        <w:t>.1</w:t>
      </w:r>
      <w:r w:rsidR="00DB5547" w:rsidRPr="0018174E">
        <w:rPr>
          <w:noProof w:val="0"/>
          <w:color w:val="0000FF"/>
          <w:u w:val="single"/>
          <w:lang w:val="es-ES_tradnl"/>
        </w:rPr>
        <w:t>.</w:t>
      </w:r>
      <w:r w:rsidR="007C2853" w:rsidRPr="0018174E">
        <w:rPr>
          <w:noProof w:val="0"/>
          <w:color w:val="0000FF"/>
          <w:u w:val="single"/>
          <w:lang w:val="es-ES_tradnl"/>
        </w:rPr>
        <w:t>a)</w:t>
      </w:r>
      <w:r w:rsidR="00DB5547" w:rsidRPr="0018174E">
        <w:rPr>
          <w:noProof w:val="0"/>
          <w:color w:val="0000FF"/>
          <w:u w:val="single"/>
          <w:lang w:val="es-ES_tradnl"/>
        </w:rPr>
        <w:t xml:space="preserve"> u otros motivos semejantes, en particular, en los casos en que la ley aplicable por esa Oficina o Administración prevea, con respecto a las solicitudes nacionales, una prórroga similar de los plazos. Todo plazo prorrogado en virtud </w:t>
      </w:r>
      <w:r w:rsidR="008F07A2" w:rsidRPr="0018174E">
        <w:rPr>
          <w:noProof w:val="0"/>
          <w:color w:val="0000FF"/>
          <w:u w:val="single"/>
          <w:lang w:val="es-ES_tradnl"/>
        </w:rPr>
        <w:t>del</w:t>
      </w:r>
      <w:r w:rsidR="00DB5547" w:rsidRPr="0018174E">
        <w:rPr>
          <w:noProof w:val="0"/>
          <w:color w:val="0000FF"/>
          <w:u w:val="single"/>
          <w:lang w:val="es-ES_tradnl"/>
        </w:rPr>
        <w:t xml:space="preserve"> presente párrafo podrá prorrogarse hasta el primer día siguiente al final de la </w:t>
      </w:r>
      <w:r w:rsidR="00594FAC">
        <w:rPr>
          <w:noProof w:val="0"/>
          <w:color w:val="0000FF"/>
          <w:u w:val="single"/>
          <w:lang w:val="es-ES_tradnl"/>
        </w:rPr>
        <w:t>perturbación</w:t>
      </w:r>
      <w:r w:rsidR="00DB5547" w:rsidRPr="0018174E">
        <w:rPr>
          <w:noProof w:val="0"/>
          <w:color w:val="0000FF"/>
          <w:u w:val="single"/>
          <w:lang w:val="es-ES_tradnl"/>
        </w:rPr>
        <w:t xml:space="preserve">. La Oficina o la organización en cuestión publicarán información sobre dicha </w:t>
      </w:r>
      <w:r w:rsidR="00594FAC">
        <w:rPr>
          <w:noProof w:val="0"/>
          <w:color w:val="0000FF"/>
          <w:u w:val="single"/>
          <w:lang w:val="es-ES_tradnl"/>
        </w:rPr>
        <w:t>perturbación</w:t>
      </w:r>
      <w:r w:rsidR="00DB5547" w:rsidRPr="0018174E">
        <w:rPr>
          <w:noProof w:val="0"/>
          <w:color w:val="0000FF"/>
          <w:u w:val="single"/>
          <w:lang w:val="es-ES_tradnl"/>
        </w:rPr>
        <w:t>, incluid</w:t>
      </w:r>
      <w:r w:rsidR="006373EA" w:rsidRPr="0018174E">
        <w:rPr>
          <w:noProof w:val="0"/>
          <w:color w:val="0000FF"/>
          <w:u w:val="single"/>
          <w:lang w:val="es-ES_tradnl"/>
        </w:rPr>
        <w:t>o</w:t>
      </w:r>
      <w:r w:rsidR="00DB5547" w:rsidRPr="0018174E">
        <w:rPr>
          <w:noProof w:val="0"/>
          <w:color w:val="0000FF"/>
          <w:u w:val="single"/>
          <w:lang w:val="es-ES_tradnl"/>
        </w:rPr>
        <w:t xml:space="preserve"> el período de prórroga de los plazos, que no excederá de dos meses contados a partir de la fecha</w:t>
      </w:r>
      <w:bookmarkStart w:id="15" w:name="_GoBack"/>
      <w:bookmarkEnd w:id="15"/>
      <w:r w:rsidR="00DB5547" w:rsidRPr="0018174E">
        <w:rPr>
          <w:noProof w:val="0"/>
          <w:color w:val="0000FF"/>
          <w:u w:val="single"/>
          <w:lang w:val="es-ES_tradnl"/>
        </w:rPr>
        <w:t xml:space="preserve"> de notificación, aunque podrá renovarse. La Oficina Internacional será notificada en consecuencia por la Oficina o la Administración</w:t>
      </w:r>
      <w:r w:rsidR="007C2853" w:rsidRPr="0018174E">
        <w:rPr>
          <w:noProof w:val="0"/>
          <w:lang w:val="es-ES_tradnl"/>
        </w:rPr>
        <w:t>.</w:t>
      </w:r>
    </w:p>
    <w:p w:rsidR="007C2853" w:rsidRPr="0018174E" w:rsidRDefault="007C2853" w:rsidP="007F2E5A">
      <w:pPr>
        <w:pStyle w:val="Lega"/>
        <w:tabs>
          <w:tab w:val="clear" w:pos="454"/>
        </w:tabs>
        <w:spacing w:after="600"/>
        <w:ind w:firstLine="567"/>
        <w:rPr>
          <w:noProof w:val="0"/>
          <w:u w:val="single"/>
          <w:lang w:val="es-ES_tradnl"/>
        </w:rPr>
      </w:pPr>
      <w:r w:rsidRPr="0018174E">
        <w:rPr>
          <w:noProof w:val="0"/>
          <w:color w:val="0000FF"/>
          <w:u w:val="single"/>
          <w:lang w:val="es-ES_tradnl"/>
        </w:rPr>
        <w:t>b)</w:t>
      </w:r>
      <w:r w:rsidR="007F2E5A" w:rsidRPr="0018174E">
        <w:rPr>
          <w:noProof w:val="0"/>
          <w:color w:val="0000FF"/>
          <w:u w:val="single"/>
          <w:lang w:val="es-ES_tradnl"/>
        </w:rPr>
        <w:t xml:space="preserve"> </w:t>
      </w:r>
      <w:r w:rsidR="00EB49DF" w:rsidRPr="0018174E">
        <w:rPr>
          <w:noProof w:val="0"/>
          <w:color w:val="0000FF"/>
          <w:u w:val="single"/>
          <w:lang w:val="es-ES_tradnl"/>
        </w:rPr>
        <w:t>No será necesario que las Oficinas designadas o elegidas tomen en consideración la</w:t>
      </w:r>
      <w:r w:rsidR="00F070B2" w:rsidRPr="0018174E">
        <w:rPr>
          <w:noProof w:val="0"/>
          <w:color w:val="0000FF"/>
          <w:u w:val="single"/>
          <w:lang w:val="es-ES_tradnl"/>
        </w:rPr>
        <w:t xml:space="preserve"> prórroga de un plazo en virtud del párrafo a) </w:t>
      </w:r>
      <w:r w:rsidR="00EB49DF" w:rsidRPr="0018174E">
        <w:rPr>
          <w:noProof w:val="0"/>
          <w:color w:val="0000FF"/>
          <w:u w:val="single"/>
          <w:lang w:val="es-ES_tradnl"/>
        </w:rPr>
        <w:t>si, en la fecha en que se publica la información referida en el párrafo a), ya ha comenzado la tramitación nacional en esa Oficina</w:t>
      </w:r>
      <w:r w:rsidRPr="0018174E">
        <w:rPr>
          <w:noProof w:val="0"/>
          <w:color w:val="0000FF"/>
          <w:u w:val="single"/>
          <w:lang w:val="es-ES_tradnl"/>
        </w:rPr>
        <w:t>.</w:t>
      </w:r>
    </w:p>
    <w:p w:rsidR="00512BA1" w:rsidRPr="0018174E" w:rsidRDefault="007C2853" w:rsidP="007C2853">
      <w:pPr>
        <w:pStyle w:val="Endofdocument-Annex"/>
        <w:rPr>
          <w:lang w:val="es-ES_tradnl"/>
        </w:rPr>
      </w:pPr>
      <w:r w:rsidRPr="0018174E">
        <w:rPr>
          <w:lang w:val="es-ES_tradnl"/>
        </w:rPr>
        <w:t>[</w:t>
      </w:r>
      <w:r w:rsidR="00A11915" w:rsidRPr="0018174E">
        <w:rPr>
          <w:lang w:val="es-ES_tradnl"/>
        </w:rPr>
        <w:t>Fin del Anexo y del documento</w:t>
      </w:r>
      <w:r w:rsidRPr="0018174E">
        <w:rPr>
          <w:lang w:val="es-ES_tradnl"/>
        </w:rPr>
        <w:t>]</w:t>
      </w:r>
    </w:p>
    <w:sectPr w:rsidR="00512BA1" w:rsidRPr="0018174E" w:rsidSect="007F2E5A">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D76" w:rsidRDefault="00837D76">
      <w:r>
        <w:separator/>
      </w:r>
    </w:p>
  </w:endnote>
  <w:endnote w:type="continuationSeparator" w:id="0">
    <w:p w:rsidR="00837D76" w:rsidRPr="009D30E6" w:rsidRDefault="00837D76" w:rsidP="007E663E">
      <w:pPr>
        <w:rPr>
          <w:sz w:val="17"/>
          <w:szCs w:val="17"/>
        </w:rPr>
      </w:pPr>
      <w:r w:rsidRPr="009D30E6">
        <w:rPr>
          <w:sz w:val="17"/>
          <w:szCs w:val="17"/>
        </w:rPr>
        <w:separator/>
      </w:r>
    </w:p>
    <w:p w:rsidR="00837D76" w:rsidRPr="007E663E" w:rsidRDefault="00837D76" w:rsidP="007E663E">
      <w:pPr>
        <w:spacing w:after="60"/>
        <w:rPr>
          <w:sz w:val="17"/>
          <w:szCs w:val="17"/>
        </w:rPr>
      </w:pPr>
      <w:r>
        <w:rPr>
          <w:sz w:val="17"/>
        </w:rPr>
        <w:t>[Continuación de la nota de la página anterior]</w:t>
      </w:r>
    </w:p>
  </w:endnote>
  <w:endnote w:type="continuationNotice" w:id="1">
    <w:p w:rsidR="00837D76" w:rsidRPr="007E663E" w:rsidRDefault="00837D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A" w:rsidRDefault="00B035FA" w:rsidP="00B03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A" w:rsidRDefault="00B03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A" w:rsidRDefault="00B03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76" w:rsidRDefault="00837D76">
      <w:r>
        <w:separator/>
      </w:r>
    </w:p>
  </w:footnote>
  <w:footnote w:type="continuationSeparator" w:id="0">
    <w:p w:rsidR="00837D76" w:rsidRPr="009D30E6" w:rsidRDefault="00837D76" w:rsidP="007E663E">
      <w:pPr>
        <w:rPr>
          <w:sz w:val="17"/>
          <w:szCs w:val="17"/>
        </w:rPr>
      </w:pPr>
      <w:r w:rsidRPr="009D30E6">
        <w:rPr>
          <w:sz w:val="17"/>
          <w:szCs w:val="17"/>
        </w:rPr>
        <w:separator/>
      </w:r>
    </w:p>
    <w:p w:rsidR="00837D76" w:rsidRPr="007E663E" w:rsidRDefault="00837D76" w:rsidP="007E663E">
      <w:pPr>
        <w:spacing w:after="60"/>
        <w:rPr>
          <w:sz w:val="17"/>
          <w:szCs w:val="17"/>
        </w:rPr>
      </w:pPr>
      <w:r>
        <w:rPr>
          <w:sz w:val="17"/>
        </w:rPr>
        <w:t>[Continuación de la nota de la página anterior]</w:t>
      </w:r>
    </w:p>
  </w:footnote>
  <w:footnote w:type="continuationNotice" w:id="1">
    <w:p w:rsidR="00837D76" w:rsidRPr="007E663E" w:rsidRDefault="00837D76" w:rsidP="007E663E">
      <w:pPr>
        <w:spacing w:before="60"/>
        <w:jc w:val="right"/>
        <w:rPr>
          <w:sz w:val="17"/>
          <w:szCs w:val="17"/>
        </w:rPr>
      </w:pPr>
      <w:r w:rsidRPr="007E663E">
        <w:rPr>
          <w:sz w:val="17"/>
          <w:szCs w:val="17"/>
        </w:rPr>
        <w:t>[Sigue la nota en la página siguiente]</w:t>
      </w:r>
    </w:p>
  </w:footnote>
  <w:footnote w:id="2">
    <w:p w:rsidR="00700FEB" w:rsidRPr="00F6201F" w:rsidRDefault="00700FEB" w:rsidP="007C2853">
      <w:pPr>
        <w:pStyle w:val="FootnoteText"/>
      </w:pPr>
      <w:r>
        <w:rPr>
          <w:rStyle w:val="FootnoteReference"/>
        </w:rPr>
        <w:footnoteRef/>
      </w:r>
      <w:r>
        <w:t xml:space="preserve"> </w:t>
      </w:r>
      <w:r w:rsidRPr="002D7A90">
        <w:t>https://www.wipo.int/pct/es/news/2020/news_0009.html</w:t>
      </w:r>
      <w:r>
        <w:t xml:space="preserve"> </w:t>
      </w:r>
    </w:p>
  </w:footnote>
  <w:footnote w:id="3">
    <w:p w:rsidR="00700FEB" w:rsidRPr="008F07A2" w:rsidRDefault="00700FEB" w:rsidP="007C2853">
      <w:pPr>
        <w:pStyle w:val="FootnoteText"/>
        <w:rPr>
          <w:lang w:val="es-ES_tradnl"/>
        </w:rPr>
      </w:pPr>
      <w:r>
        <w:rPr>
          <w:rStyle w:val="FootnoteReference"/>
        </w:rPr>
        <w:footnoteRef/>
      </w:r>
      <w:r w:rsidRPr="0018174E">
        <w:t xml:space="preserve"> </w:t>
      </w:r>
      <w:r w:rsidR="00D747E2" w:rsidRPr="008F07A2">
        <w:rPr>
          <w:lang w:val="es-ES_tradnl"/>
        </w:rPr>
        <w:t>Las adiciones o supresiones propuestas aparece</w:t>
      </w:r>
      <w:r w:rsidR="003D4098">
        <w:rPr>
          <w:lang w:val="es-ES_tradnl"/>
        </w:rPr>
        <w:t>n</w:t>
      </w:r>
      <w:r w:rsidR="00D747E2" w:rsidRPr="008F07A2">
        <w:rPr>
          <w:lang w:val="es-ES_tradnl"/>
        </w:rPr>
        <w:t xml:space="preserve"> subrayadas o tachadas, respectivamente, en el texto en cuestión</w:t>
      </w:r>
      <w:r w:rsidRPr="008F07A2">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A" w:rsidRPr="00B25737" w:rsidRDefault="00B035FA" w:rsidP="00B035FA">
    <w:pPr>
      <w:jc w:val="right"/>
      <w:rPr>
        <w:caps/>
      </w:rPr>
    </w:pPr>
    <w:r>
      <w:rPr>
        <w:caps/>
      </w:rPr>
      <w:t>PCT/WG/13/10</w:t>
    </w:r>
  </w:p>
  <w:p w:rsidR="00B035FA" w:rsidRDefault="00B035FA" w:rsidP="00B035FA">
    <w:pPr>
      <w:jc w:val="right"/>
    </w:pPr>
    <w:r>
      <w:t xml:space="preserve">página </w:t>
    </w:r>
    <w:r>
      <w:fldChar w:fldCharType="begin"/>
    </w:r>
    <w:r>
      <w:instrText xml:space="preserve"> PAGE  \* MERGEFORMAT </w:instrText>
    </w:r>
    <w:r>
      <w:fldChar w:fldCharType="separate"/>
    </w:r>
    <w:r w:rsidR="00FF2048">
      <w:rPr>
        <w:noProof/>
      </w:rPr>
      <w:t>6</w:t>
    </w:r>
    <w:r>
      <w:fldChar w:fldCharType="end"/>
    </w:r>
  </w:p>
  <w:p w:rsidR="00B035FA" w:rsidRDefault="00B035FA" w:rsidP="00B035F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EB" w:rsidRPr="00B25737" w:rsidRDefault="00700FEB" w:rsidP="00477D6B">
    <w:pPr>
      <w:jc w:val="right"/>
      <w:rPr>
        <w:caps/>
      </w:rPr>
    </w:pPr>
    <w:r>
      <w:rPr>
        <w:caps/>
      </w:rPr>
      <w:t>PCT/WG/13/10</w:t>
    </w:r>
  </w:p>
  <w:p w:rsidR="00700FEB" w:rsidRDefault="00700FEB" w:rsidP="00477D6B">
    <w:pPr>
      <w:jc w:val="right"/>
    </w:pPr>
    <w:r>
      <w:t xml:space="preserve">página </w:t>
    </w:r>
    <w:r>
      <w:fldChar w:fldCharType="begin"/>
    </w:r>
    <w:r>
      <w:instrText xml:space="preserve"> PAGE  \* MERGEFORMAT </w:instrText>
    </w:r>
    <w:r>
      <w:fldChar w:fldCharType="separate"/>
    </w:r>
    <w:r w:rsidR="00FF2048">
      <w:rPr>
        <w:noProof/>
      </w:rPr>
      <w:t>5</w:t>
    </w:r>
    <w:r>
      <w:fldChar w:fldCharType="end"/>
    </w:r>
  </w:p>
  <w:p w:rsidR="00700FEB" w:rsidRDefault="00700FE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A" w:rsidRPr="00512BA1" w:rsidRDefault="00B035FA" w:rsidP="00B035FA">
    <w:pPr>
      <w:jc w:val="right"/>
      <w:rPr>
        <w:caps/>
      </w:rPr>
    </w:pPr>
    <w:r>
      <w:rPr>
        <w:caps/>
      </w:rPr>
      <w:t>PCT/WG/13/10</w:t>
    </w:r>
  </w:p>
  <w:p w:rsidR="00B035FA" w:rsidRDefault="00B035FA" w:rsidP="00B035FA">
    <w:pPr>
      <w:jc w:val="right"/>
    </w:pPr>
    <w:r>
      <w:t xml:space="preserve">Anexo, página </w:t>
    </w:r>
    <w:r>
      <w:fldChar w:fldCharType="begin"/>
    </w:r>
    <w:r>
      <w:instrText xml:space="preserve"> PAGE  \* MERGEFORMAT </w:instrText>
    </w:r>
    <w:r>
      <w:fldChar w:fldCharType="separate"/>
    </w:r>
    <w:r>
      <w:rPr>
        <w:noProof/>
      </w:rPr>
      <w:t>2</w:t>
    </w:r>
    <w:r>
      <w:fldChar w:fldCharType="end"/>
    </w:r>
  </w:p>
  <w:p w:rsidR="00B035FA" w:rsidRDefault="00B035FA" w:rsidP="00B035F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EB" w:rsidRPr="00512BA1" w:rsidRDefault="00700FEB" w:rsidP="00477D6B">
    <w:pPr>
      <w:jc w:val="right"/>
      <w:rPr>
        <w:caps/>
      </w:rPr>
    </w:pPr>
    <w:r>
      <w:rPr>
        <w:caps/>
      </w:rPr>
      <w:t>PCT/WG/13/10</w:t>
    </w:r>
  </w:p>
  <w:p w:rsidR="00700FEB" w:rsidRDefault="00700FEB" w:rsidP="00477D6B">
    <w:pPr>
      <w:jc w:val="right"/>
    </w:pPr>
    <w:r>
      <w:t xml:space="preserve">Anexo, página </w:t>
    </w:r>
    <w:r>
      <w:fldChar w:fldCharType="begin"/>
    </w:r>
    <w:r>
      <w:instrText xml:space="preserve"> PAGE  \* MERGEFORMAT </w:instrText>
    </w:r>
    <w:r>
      <w:fldChar w:fldCharType="separate"/>
    </w:r>
    <w:r w:rsidR="00B035FA">
      <w:rPr>
        <w:noProof/>
      </w:rPr>
      <w:t>3</w:t>
    </w:r>
    <w:r>
      <w:fldChar w:fldCharType="end"/>
    </w:r>
  </w:p>
  <w:p w:rsidR="00700FEB" w:rsidRDefault="00700FE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EB" w:rsidRPr="00B25737" w:rsidRDefault="00700FEB" w:rsidP="007F2E5A">
    <w:pPr>
      <w:jc w:val="right"/>
      <w:rPr>
        <w:caps/>
      </w:rPr>
    </w:pPr>
    <w:r>
      <w:rPr>
        <w:caps/>
      </w:rPr>
      <w:t>PCT/WG/13/10</w:t>
    </w:r>
  </w:p>
  <w:p w:rsidR="00700FEB" w:rsidRDefault="00700FEB" w:rsidP="007F2E5A">
    <w:pPr>
      <w:pStyle w:val="Header"/>
      <w:jc w:val="right"/>
    </w:pPr>
    <w:r>
      <w:t>ANEXO</w:t>
    </w:r>
  </w:p>
  <w:p w:rsidR="00700FEB" w:rsidRDefault="00700FEB" w:rsidP="007F2E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7B"/>
    <w:rsid w:val="00007B9B"/>
    <w:rsid w:val="00010686"/>
    <w:rsid w:val="000244BB"/>
    <w:rsid w:val="00045199"/>
    <w:rsid w:val="00052915"/>
    <w:rsid w:val="00072936"/>
    <w:rsid w:val="000859B5"/>
    <w:rsid w:val="000A56A0"/>
    <w:rsid w:val="000B092B"/>
    <w:rsid w:val="000D77D5"/>
    <w:rsid w:val="000E3BB3"/>
    <w:rsid w:val="000F20B3"/>
    <w:rsid w:val="000F5E56"/>
    <w:rsid w:val="000F5FC4"/>
    <w:rsid w:val="00107BAC"/>
    <w:rsid w:val="001362EE"/>
    <w:rsid w:val="00141EDC"/>
    <w:rsid w:val="00151E43"/>
    <w:rsid w:val="00152CEA"/>
    <w:rsid w:val="00155DA8"/>
    <w:rsid w:val="00166691"/>
    <w:rsid w:val="00176B5B"/>
    <w:rsid w:val="00180557"/>
    <w:rsid w:val="0018174E"/>
    <w:rsid w:val="001832A6"/>
    <w:rsid w:val="00191705"/>
    <w:rsid w:val="00192130"/>
    <w:rsid w:val="001A2163"/>
    <w:rsid w:val="001A78C3"/>
    <w:rsid w:val="001B6B36"/>
    <w:rsid w:val="001D1823"/>
    <w:rsid w:val="001D3F0C"/>
    <w:rsid w:val="001F524F"/>
    <w:rsid w:val="00205641"/>
    <w:rsid w:val="00206D4D"/>
    <w:rsid w:val="00227190"/>
    <w:rsid w:val="00261892"/>
    <w:rsid w:val="002634C4"/>
    <w:rsid w:val="00270F43"/>
    <w:rsid w:val="00277EA5"/>
    <w:rsid w:val="002942A6"/>
    <w:rsid w:val="002952DD"/>
    <w:rsid w:val="002C0E34"/>
    <w:rsid w:val="002C2E2F"/>
    <w:rsid w:val="002D1FEE"/>
    <w:rsid w:val="002D7A90"/>
    <w:rsid w:val="002E0F47"/>
    <w:rsid w:val="002F15E2"/>
    <w:rsid w:val="002F3D0E"/>
    <w:rsid w:val="002F4E68"/>
    <w:rsid w:val="00310826"/>
    <w:rsid w:val="00343022"/>
    <w:rsid w:val="00354647"/>
    <w:rsid w:val="00362C69"/>
    <w:rsid w:val="00377273"/>
    <w:rsid w:val="003845C1"/>
    <w:rsid w:val="00387287"/>
    <w:rsid w:val="003C7CE1"/>
    <w:rsid w:val="003D0D7D"/>
    <w:rsid w:val="003D4098"/>
    <w:rsid w:val="003D698C"/>
    <w:rsid w:val="003E48F1"/>
    <w:rsid w:val="003F347A"/>
    <w:rsid w:val="003F377F"/>
    <w:rsid w:val="00423E3E"/>
    <w:rsid w:val="00427AF4"/>
    <w:rsid w:val="0045231F"/>
    <w:rsid w:val="004647DA"/>
    <w:rsid w:val="00467288"/>
    <w:rsid w:val="0046793F"/>
    <w:rsid w:val="00467BC0"/>
    <w:rsid w:val="00472A6E"/>
    <w:rsid w:val="00474E3B"/>
    <w:rsid w:val="00477808"/>
    <w:rsid w:val="00477D6B"/>
    <w:rsid w:val="00492652"/>
    <w:rsid w:val="004931FB"/>
    <w:rsid w:val="004A6C37"/>
    <w:rsid w:val="004B11DB"/>
    <w:rsid w:val="004C21BA"/>
    <w:rsid w:val="004E297D"/>
    <w:rsid w:val="004F0E2C"/>
    <w:rsid w:val="004F77F3"/>
    <w:rsid w:val="00512BA1"/>
    <w:rsid w:val="00531B02"/>
    <w:rsid w:val="005332F0"/>
    <w:rsid w:val="0054286D"/>
    <w:rsid w:val="0055013B"/>
    <w:rsid w:val="00554078"/>
    <w:rsid w:val="00561FD6"/>
    <w:rsid w:val="005645D0"/>
    <w:rsid w:val="00567977"/>
    <w:rsid w:val="00571B99"/>
    <w:rsid w:val="00577B9C"/>
    <w:rsid w:val="00594FAC"/>
    <w:rsid w:val="005A26C0"/>
    <w:rsid w:val="005A41EB"/>
    <w:rsid w:val="005C7A90"/>
    <w:rsid w:val="005E18F4"/>
    <w:rsid w:val="00605827"/>
    <w:rsid w:val="0062517B"/>
    <w:rsid w:val="006373EA"/>
    <w:rsid w:val="006458F6"/>
    <w:rsid w:val="0067041E"/>
    <w:rsid w:val="00675021"/>
    <w:rsid w:val="00681880"/>
    <w:rsid w:val="0069367C"/>
    <w:rsid w:val="006A06C6"/>
    <w:rsid w:val="006A279B"/>
    <w:rsid w:val="006C678E"/>
    <w:rsid w:val="006D1B63"/>
    <w:rsid w:val="006D60CE"/>
    <w:rsid w:val="006D6AFC"/>
    <w:rsid w:val="006E638B"/>
    <w:rsid w:val="00700FEB"/>
    <w:rsid w:val="0071607A"/>
    <w:rsid w:val="00716BB4"/>
    <w:rsid w:val="007224C8"/>
    <w:rsid w:val="007353C6"/>
    <w:rsid w:val="0075680A"/>
    <w:rsid w:val="00756DAD"/>
    <w:rsid w:val="0076315E"/>
    <w:rsid w:val="007931BC"/>
    <w:rsid w:val="00794BE2"/>
    <w:rsid w:val="007954C8"/>
    <w:rsid w:val="007A5581"/>
    <w:rsid w:val="007B51FE"/>
    <w:rsid w:val="007B71FE"/>
    <w:rsid w:val="007C2853"/>
    <w:rsid w:val="007C3E92"/>
    <w:rsid w:val="007D0C94"/>
    <w:rsid w:val="007D781E"/>
    <w:rsid w:val="007E663E"/>
    <w:rsid w:val="007F2E5A"/>
    <w:rsid w:val="007F61EE"/>
    <w:rsid w:val="00815082"/>
    <w:rsid w:val="0083208E"/>
    <w:rsid w:val="00832DAB"/>
    <w:rsid w:val="00837D76"/>
    <w:rsid w:val="00862679"/>
    <w:rsid w:val="00867B0C"/>
    <w:rsid w:val="00876FF5"/>
    <w:rsid w:val="00880AFB"/>
    <w:rsid w:val="0088395E"/>
    <w:rsid w:val="00892302"/>
    <w:rsid w:val="008938EB"/>
    <w:rsid w:val="008A1657"/>
    <w:rsid w:val="008A3BFC"/>
    <w:rsid w:val="008B0FB1"/>
    <w:rsid w:val="008B14D4"/>
    <w:rsid w:val="008B2CC1"/>
    <w:rsid w:val="008E6BD6"/>
    <w:rsid w:val="008F07A2"/>
    <w:rsid w:val="009014B7"/>
    <w:rsid w:val="0090731E"/>
    <w:rsid w:val="00962693"/>
    <w:rsid w:val="00962CCB"/>
    <w:rsid w:val="009650F0"/>
    <w:rsid w:val="00966A22"/>
    <w:rsid w:val="00972F03"/>
    <w:rsid w:val="0097401B"/>
    <w:rsid w:val="009821A2"/>
    <w:rsid w:val="0098367F"/>
    <w:rsid w:val="009A0C8B"/>
    <w:rsid w:val="009A20CD"/>
    <w:rsid w:val="009B0742"/>
    <w:rsid w:val="009B49C2"/>
    <w:rsid w:val="009B6241"/>
    <w:rsid w:val="009B6FD5"/>
    <w:rsid w:val="009E2EB6"/>
    <w:rsid w:val="009E5B42"/>
    <w:rsid w:val="00A11915"/>
    <w:rsid w:val="00A16FC0"/>
    <w:rsid w:val="00A17C11"/>
    <w:rsid w:val="00A222BD"/>
    <w:rsid w:val="00A30783"/>
    <w:rsid w:val="00A32C9E"/>
    <w:rsid w:val="00A348DB"/>
    <w:rsid w:val="00A461B0"/>
    <w:rsid w:val="00A661E3"/>
    <w:rsid w:val="00A73BDC"/>
    <w:rsid w:val="00A8196C"/>
    <w:rsid w:val="00A97F1E"/>
    <w:rsid w:val="00AB613D"/>
    <w:rsid w:val="00AD1B5A"/>
    <w:rsid w:val="00AD374B"/>
    <w:rsid w:val="00AD7BD9"/>
    <w:rsid w:val="00AE05B1"/>
    <w:rsid w:val="00AE3DBF"/>
    <w:rsid w:val="00AE4939"/>
    <w:rsid w:val="00AE7F20"/>
    <w:rsid w:val="00B0260B"/>
    <w:rsid w:val="00B035FA"/>
    <w:rsid w:val="00B04AFC"/>
    <w:rsid w:val="00B177CC"/>
    <w:rsid w:val="00B33146"/>
    <w:rsid w:val="00B36CA7"/>
    <w:rsid w:val="00B534D5"/>
    <w:rsid w:val="00B65A0A"/>
    <w:rsid w:val="00B67CDC"/>
    <w:rsid w:val="00B70EB1"/>
    <w:rsid w:val="00B71DAB"/>
    <w:rsid w:val="00B72D36"/>
    <w:rsid w:val="00B93038"/>
    <w:rsid w:val="00BA56EF"/>
    <w:rsid w:val="00BB5E41"/>
    <w:rsid w:val="00BC4164"/>
    <w:rsid w:val="00BD2DCC"/>
    <w:rsid w:val="00BE41DD"/>
    <w:rsid w:val="00BE611A"/>
    <w:rsid w:val="00C02203"/>
    <w:rsid w:val="00C07C5A"/>
    <w:rsid w:val="00C15CDD"/>
    <w:rsid w:val="00C166D9"/>
    <w:rsid w:val="00C22ABB"/>
    <w:rsid w:val="00C40892"/>
    <w:rsid w:val="00C426E8"/>
    <w:rsid w:val="00C45A1D"/>
    <w:rsid w:val="00C90559"/>
    <w:rsid w:val="00C9145C"/>
    <w:rsid w:val="00CA0500"/>
    <w:rsid w:val="00CA2251"/>
    <w:rsid w:val="00CB1417"/>
    <w:rsid w:val="00CD279C"/>
    <w:rsid w:val="00CD7A0E"/>
    <w:rsid w:val="00CF0AE1"/>
    <w:rsid w:val="00CF317C"/>
    <w:rsid w:val="00D04E6A"/>
    <w:rsid w:val="00D27DEE"/>
    <w:rsid w:val="00D32139"/>
    <w:rsid w:val="00D458B5"/>
    <w:rsid w:val="00D471DF"/>
    <w:rsid w:val="00D56C7C"/>
    <w:rsid w:val="00D71B4D"/>
    <w:rsid w:val="00D747E2"/>
    <w:rsid w:val="00D83513"/>
    <w:rsid w:val="00D86C13"/>
    <w:rsid w:val="00D90289"/>
    <w:rsid w:val="00D9160C"/>
    <w:rsid w:val="00D93D55"/>
    <w:rsid w:val="00DA4755"/>
    <w:rsid w:val="00DB5547"/>
    <w:rsid w:val="00DB58B3"/>
    <w:rsid w:val="00DB6715"/>
    <w:rsid w:val="00DC2FC0"/>
    <w:rsid w:val="00DC4C60"/>
    <w:rsid w:val="00DD37B1"/>
    <w:rsid w:val="00DD6CF4"/>
    <w:rsid w:val="00E0079A"/>
    <w:rsid w:val="00E03D71"/>
    <w:rsid w:val="00E1396F"/>
    <w:rsid w:val="00E444DA"/>
    <w:rsid w:val="00E45C84"/>
    <w:rsid w:val="00E504E5"/>
    <w:rsid w:val="00E74910"/>
    <w:rsid w:val="00E8066D"/>
    <w:rsid w:val="00EA1384"/>
    <w:rsid w:val="00EB49DF"/>
    <w:rsid w:val="00EB706C"/>
    <w:rsid w:val="00EB7A3E"/>
    <w:rsid w:val="00EC1AA7"/>
    <w:rsid w:val="00EC401A"/>
    <w:rsid w:val="00ED0C2F"/>
    <w:rsid w:val="00EE63CE"/>
    <w:rsid w:val="00EF3D1D"/>
    <w:rsid w:val="00EF530A"/>
    <w:rsid w:val="00EF6622"/>
    <w:rsid w:val="00EF78A9"/>
    <w:rsid w:val="00F05845"/>
    <w:rsid w:val="00F070B2"/>
    <w:rsid w:val="00F0728C"/>
    <w:rsid w:val="00F10F55"/>
    <w:rsid w:val="00F22F3B"/>
    <w:rsid w:val="00F42C6A"/>
    <w:rsid w:val="00F55408"/>
    <w:rsid w:val="00F66152"/>
    <w:rsid w:val="00F74FC6"/>
    <w:rsid w:val="00F77BE2"/>
    <w:rsid w:val="00F80845"/>
    <w:rsid w:val="00F84474"/>
    <w:rsid w:val="00F85931"/>
    <w:rsid w:val="00FA0F0D"/>
    <w:rsid w:val="00FC30F9"/>
    <w:rsid w:val="00FC69FC"/>
    <w:rsid w:val="00FD2A67"/>
    <w:rsid w:val="00FD2B0B"/>
    <w:rsid w:val="00FD59D1"/>
    <w:rsid w:val="00FE7116"/>
    <w:rsid w:val="00FF20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220B0F"/>
  <w15:docId w15:val="{48D95BDB-B4ED-4409-ADAA-482137C0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7C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C2853"/>
    <w:rPr>
      <w:vertAlign w:val="superscript"/>
    </w:rPr>
  </w:style>
  <w:style w:type="paragraph" w:customStyle="1" w:styleId="LegTitle">
    <w:name w:val="Leg # Title"/>
    <w:basedOn w:val="Normal"/>
    <w:next w:val="Normal"/>
    <w:rsid w:val="007C2853"/>
    <w:pPr>
      <w:keepNext/>
      <w:keepLines/>
      <w:pageBreakBefore/>
      <w:spacing w:before="240" w:after="240" w:line="360" w:lineRule="auto"/>
      <w:jc w:val="center"/>
    </w:pPr>
    <w:rPr>
      <w:rFonts w:eastAsia="Times New Roman" w:cs="Times New Roman"/>
      <w:b/>
      <w:noProof/>
      <w:snapToGrid w:val="0"/>
      <w:lang w:val="en-US" w:eastAsia="en-US"/>
    </w:rPr>
  </w:style>
  <w:style w:type="paragraph" w:customStyle="1" w:styleId="LegSubRule">
    <w:name w:val="Leg SubRule #"/>
    <w:basedOn w:val="Normal"/>
    <w:rsid w:val="007C2853"/>
    <w:pPr>
      <w:keepNext/>
      <w:keepLines/>
      <w:tabs>
        <w:tab w:val="left" w:pos="510"/>
      </w:tabs>
      <w:spacing w:before="119" w:after="240" w:line="360" w:lineRule="auto"/>
      <w:ind w:left="533" w:hanging="533"/>
    </w:pPr>
    <w:rPr>
      <w:rFonts w:eastAsia="Times New Roman" w:cs="Times New Roman"/>
      <w:noProof/>
      <w:snapToGrid w:val="0"/>
      <w:lang w:val="en-US" w:eastAsia="en-US"/>
    </w:rPr>
  </w:style>
  <w:style w:type="paragraph" w:customStyle="1" w:styleId="Lega">
    <w:name w:val="Leg (a)"/>
    <w:basedOn w:val="Normal"/>
    <w:rsid w:val="007C2853"/>
    <w:pPr>
      <w:tabs>
        <w:tab w:val="left" w:pos="454"/>
      </w:tabs>
      <w:spacing w:before="119" w:after="240" w:line="360" w:lineRule="auto"/>
    </w:pPr>
    <w:rPr>
      <w:rFonts w:eastAsia="Times New Roman" w:cs="Times New Roman"/>
      <w:noProof/>
      <w:snapToGrid w:val="0"/>
      <w:lang w:val="en-US" w:eastAsia="en-US"/>
    </w:rPr>
  </w:style>
  <w:style w:type="paragraph" w:styleId="TOC1">
    <w:name w:val="toc 1"/>
    <w:basedOn w:val="Normal"/>
    <w:next w:val="Normal"/>
    <w:autoRedefine/>
    <w:uiPriority w:val="39"/>
    <w:unhideWhenUsed/>
    <w:rsid w:val="0018174E"/>
    <w:pPr>
      <w:tabs>
        <w:tab w:val="right" w:leader="dot" w:pos="9345"/>
      </w:tabs>
      <w:spacing w:after="100"/>
    </w:pPr>
    <w:rPr>
      <w:lang w:val="en-US"/>
    </w:rPr>
  </w:style>
  <w:style w:type="paragraph" w:styleId="TOC2">
    <w:name w:val="toc 2"/>
    <w:basedOn w:val="Normal"/>
    <w:next w:val="Normal"/>
    <w:autoRedefine/>
    <w:uiPriority w:val="39"/>
    <w:unhideWhenUsed/>
    <w:rsid w:val="007C2853"/>
    <w:pPr>
      <w:spacing w:after="100"/>
      <w:ind w:left="220"/>
    </w:pPr>
    <w:rPr>
      <w:lang w:val="en-US"/>
    </w:rPr>
  </w:style>
  <w:style w:type="character" w:styleId="Hyperlink">
    <w:name w:val="Hyperlink"/>
    <w:basedOn w:val="DefaultParagraphFont"/>
    <w:uiPriority w:val="99"/>
    <w:unhideWhenUsed/>
    <w:rsid w:val="007C28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1BF56-6B84-4568-A643-20F9FD21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4035</Words>
  <Characters>21386</Characters>
  <Application>Microsoft Office Word</Application>
  <DocSecurity>0</DocSecurity>
  <Lines>370</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PCT/WG/13/10</vt:lpstr>
      <vt:lpstr>PCT/WG/13/10</vt:lpstr>
    </vt:vector>
  </TitlesOfParts>
  <Company>WIPO</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PCT/WG/13/10</dc:title>
  <dc:creator>BOU LLORET Amparo</dc:creator>
  <cp:keywords>PUBLIC</cp:keywords>
  <cp:lastModifiedBy>MARLOW Thomas</cp:lastModifiedBy>
  <cp:revision>4</cp:revision>
  <dcterms:created xsi:type="dcterms:W3CDTF">2020-09-22T09:11:00Z</dcterms:created>
  <dcterms:modified xsi:type="dcterms:W3CDTF">2020-09-23T09:54:00Z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