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69011F" w:rsidRPr="0069011F" w14:paraId="52315BCE" w14:textId="77777777" w:rsidTr="009066F3">
        <w:tc>
          <w:tcPr>
            <w:tcW w:w="4513" w:type="dxa"/>
            <w:tcBorders>
              <w:bottom w:val="single" w:sz="4" w:space="0" w:color="auto"/>
            </w:tcBorders>
            <w:tcMar>
              <w:bottom w:w="170" w:type="dxa"/>
            </w:tcMar>
          </w:tcPr>
          <w:p w14:paraId="0AA6397B" w14:textId="77777777" w:rsidR="00B86BD5" w:rsidRPr="0069011F" w:rsidRDefault="00B86BD5" w:rsidP="009066F3"/>
        </w:tc>
        <w:tc>
          <w:tcPr>
            <w:tcW w:w="4337" w:type="dxa"/>
            <w:tcBorders>
              <w:bottom w:val="single" w:sz="4" w:space="0" w:color="auto"/>
            </w:tcBorders>
            <w:tcMar>
              <w:left w:w="0" w:type="dxa"/>
              <w:right w:w="0" w:type="dxa"/>
            </w:tcMar>
          </w:tcPr>
          <w:p w14:paraId="25F7DEE1" w14:textId="77777777" w:rsidR="00B86BD5" w:rsidRPr="0069011F" w:rsidRDefault="00B86BD5" w:rsidP="009066F3">
            <w:r w:rsidRPr="0069011F">
              <w:rPr>
                <w:noProof/>
                <w:lang w:val="es-ES" w:eastAsia="es-ES"/>
              </w:rPr>
              <w:drawing>
                <wp:inline distT="0" distB="0" distL="0" distR="0" wp14:anchorId="209C30A4" wp14:editId="2302C61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12E243F" w14:textId="77777777" w:rsidR="00B86BD5" w:rsidRPr="0069011F" w:rsidRDefault="00B86BD5" w:rsidP="009066F3">
            <w:pPr>
              <w:jc w:val="right"/>
            </w:pPr>
            <w:r w:rsidRPr="0069011F">
              <w:rPr>
                <w:b/>
                <w:sz w:val="40"/>
                <w:szCs w:val="40"/>
              </w:rPr>
              <w:t>S</w:t>
            </w:r>
          </w:p>
        </w:tc>
      </w:tr>
      <w:tr w:rsidR="0069011F" w:rsidRPr="0069011F" w14:paraId="53931D2D" w14:textId="77777777" w:rsidTr="009066F3">
        <w:trPr>
          <w:trHeight w:hRule="exact" w:val="357"/>
        </w:trPr>
        <w:tc>
          <w:tcPr>
            <w:tcW w:w="9356" w:type="dxa"/>
            <w:gridSpan w:val="3"/>
            <w:tcBorders>
              <w:top w:val="single" w:sz="4" w:space="0" w:color="auto"/>
            </w:tcBorders>
            <w:tcMar>
              <w:top w:w="170" w:type="dxa"/>
              <w:left w:w="0" w:type="dxa"/>
              <w:right w:w="0" w:type="dxa"/>
            </w:tcMar>
            <w:vAlign w:val="bottom"/>
          </w:tcPr>
          <w:p w14:paraId="4A9BBC49" w14:textId="2EFFE16F" w:rsidR="00B86BD5" w:rsidRPr="0069011F" w:rsidRDefault="00B86BD5" w:rsidP="009066F3">
            <w:pPr>
              <w:jc w:val="right"/>
              <w:rPr>
                <w:rFonts w:ascii="Arial Black" w:hAnsi="Arial Black"/>
                <w:caps/>
                <w:sz w:val="15"/>
              </w:rPr>
            </w:pPr>
            <w:r w:rsidRPr="0069011F">
              <w:rPr>
                <w:rFonts w:ascii="Arial Black" w:hAnsi="Arial Black"/>
                <w:caps/>
                <w:sz w:val="15"/>
              </w:rPr>
              <w:t>PCT/WG/12</w:t>
            </w:r>
            <w:r w:rsidR="00250D91" w:rsidRPr="0069011F">
              <w:rPr>
                <w:rFonts w:ascii="Arial Black" w:hAnsi="Arial Black"/>
                <w:caps/>
                <w:sz w:val="15"/>
              </w:rPr>
              <w:t>/10</w:t>
            </w:r>
            <w:bookmarkStart w:id="0" w:name="Code"/>
            <w:bookmarkEnd w:id="0"/>
          </w:p>
        </w:tc>
      </w:tr>
      <w:tr w:rsidR="0069011F" w:rsidRPr="0069011F" w14:paraId="397EAB29" w14:textId="77777777" w:rsidTr="009066F3">
        <w:trPr>
          <w:trHeight w:hRule="exact" w:val="170"/>
        </w:trPr>
        <w:tc>
          <w:tcPr>
            <w:tcW w:w="9356" w:type="dxa"/>
            <w:gridSpan w:val="3"/>
            <w:noWrap/>
            <w:tcMar>
              <w:left w:w="0" w:type="dxa"/>
              <w:right w:w="0" w:type="dxa"/>
            </w:tcMar>
            <w:vAlign w:val="bottom"/>
          </w:tcPr>
          <w:p w14:paraId="4DD32D53" w14:textId="1B257ADD" w:rsidR="00B86BD5" w:rsidRPr="0069011F" w:rsidRDefault="00B86BD5" w:rsidP="009066F3">
            <w:pPr>
              <w:jc w:val="right"/>
              <w:rPr>
                <w:rFonts w:ascii="Arial Black" w:hAnsi="Arial Black"/>
                <w:caps/>
                <w:sz w:val="15"/>
              </w:rPr>
            </w:pPr>
            <w:r w:rsidRPr="0069011F">
              <w:rPr>
                <w:rFonts w:ascii="Arial Black" w:hAnsi="Arial Black"/>
                <w:caps/>
                <w:sz w:val="15"/>
              </w:rPr>
              <w:t>ORIGINAL</w:t>
            </w:r>
            <w:r w:rsidR="00250D91" w:rsidRPr="0069011F">
              <w:rPr>
                <w:rFonts w:ascii="Arial Black" w:hAnsi="Arial Black"/>
                <w:caps/>
                <w:sz w:val="15"/>
              </w:rPr>
              <w:t xml:space="preserve">: INGLÉS </w:t>
            </w:r>
          </w:p>
        </w:tc>
      </w:tr>
      <w:tr w:rsidR="00B86BD5" w:rsidRPr="0069011F" w14:paraId="7E152262" w14:textId="77777777" w:rsidTr="009066F3">
        <w:trPr>
          <w:trHeight w:hRule="exact" w:val="198"/>
        </w:trPr>
        <w:tc>
          <w:tcPr>
            <w:tcW w:w="9356" w:type="dxa"/>
            <w:gridSpan w:val="3"/>
            <w:tcMar>
              <w:left w:w="0" w:type="dxa"/>
              <w:right w:w="0" w:type="dxa"/>
            </w:tcMar>
            <w:vAlign w:val="bottom"/>
          </w:tcPr>
          <w:p w14:paraId="4B790DD9" w14:textId="26916046" w:rsidR="00B86BD5" w:rsidRPr="0069011F" w:rsidRDefault="00B86BD5" w:rsidP="009066F3">
            <w:pPr>
              <w:jc w:val="right"/>
              <w:rPr>
                <w:rFonts w:ascii="Arial Black" w:hAnsi="Arial Black"/>
                <w:caps/>
                <w:sz w:val="15"/>
              </w:rPr>
            </w:pPr>
            <w:r w:rsidRPr="0069011F">
              <w:rPr>
                <w:rFonts w:ascii="Arial Black" w:hAnsi="Arial Black"/>
                <w:caps/>
                <w:sz w:val="15"/>
              </w:rPr>
              <w:t>fecha</w:t>
            </w:r>
            <w:r w:rsidR="00250D91" w:rsidRPr="0069011F">
              <w:rPr>
                <w:rFonts w:ascii="Arial Black" w:hAnsi="Arial Black"/>
                <w:caps/>
                <w:sz w:val="15"/>
              </w:rPr>
              <w:t xml:space="preserve">: 2 DE MAYO DE 2019 </w:t>
            </w:r>
          </w:p>
        </w:tc>
      </w:tr>
    </w:tbl>
    <w:p w14:paraId="0BD500AB" w14:textId="77777777" w:rsidR="008B2CC1" w:rsidRPr="0069011F" w:rsidRDefault="008B2CC1" w:rsidP="008B2CC1"/>
    <w:p w14:paraId="0587455D" w14:textId="77777777" w:rsidR="008B2CC1" w:rsidRPr="0069011F" w:rsidRDefault="008B2CC1" w:rsidP="008B2CC1"/>
    <w:p w14:paraId="317CBED4" w14:textId="77777777" w:rsidR="008B2CC1" w:rsidRPr="0069011F" w:rsidRDefault="008B2CC1" w:rsidP="008B2CC1"/>
    <w:p w14:paraId="19B18DC8" w14:textId="77777777" w:rsidR="008B2CC1" w:rsidRPr="0069011F" w:rsidRDefault="008B2CC1" w:rsidP="008B2CC1"/>
    <w:p w14:paraId="4B98DF10" w14:textId="77777777" w:rsidR="008B2CC1" w:rsidRPr="0069011F" w:rsidRDefault="008B2CC1" w:rsidP="008B2CC1"/>
    <w:p w14:paraId="42B24580" w14:textId="77777777" w:rsidR="00B86BD5" w:rsidRPr="0069011F" w:rsidRDefault="00B86BD5" w:rsidP="00B86BD5">
      <w:pPr>
        <w:rPr>
          <w:b/>
          <w:sz w:val="28"/>
          <w:szCs w:val="28"/>
          <w:lang w:val="es-ES"/>
        </w:rPr>
      </w:pPr>
      <w:r w:rsidRPr="0069011F">
        <w:rPr>
          <w:b/>
          <w:sz w:val="28"/>
          <w:szCs w:val="28"/>
          <w:lang w:val="es-ES"/>
        </w:rPr>
        <w:t>Grupo de Trabajo del Tratado de Cooperación en materia de Patentes (PCT)</w:t>
      </w:r>
    </w:p>
    <w:p w14:paraId="4C210D6D" w14:textId="77777777" w:rsidR="003845C1" w:rsidRPr="0069011F" w:rsidRDefault="003845C1" w:rsidP="003845C1">
      <w:pPr>
        <w:rPr>
          <w:lang w:val="es-ES"/>
        </w:rPr>
      </w:pPr>
    </w:p>
    <w:p w14:paraId="2B0CE4D7" w14:textId="77777777" w:rsidR="00B86BD5" w:rsidRPr="0069011F" w:rsidRDefault="00B86BD5" w:rsidP="00B86BD5">
      <w:pPr>
        <w:rPr>
          <w:b/>
          <w:sz w:val="24"/>
          <w:szCs w:val="24"/>
          <w:lang w:val="es-ES"/>
        </w:rPr>
      </w:pPr>
      <w:r w:rsidRPr="0069011F">
        <w:rPr>
          <w:b/>
          <w:sz w:val="24"/>
          <w:szCs w:val="24"/>
          <w:lang w:val="es-ES"/>
        </w:rPr>
        <w:t xml:space="preserve">Duodécima reunión </w:t>
      </w:r>
    </w:p>
    <w:p w14:paraId="28B3E892" w14:textId="14FBAFFE" w:rsidR="00B86BD5" w:rsidRPr="0069011F" w:rsidRDefault="008B06E2" w:rsidP="00B86BD5">
      <w:pPr>
        <w:rPr>
          <w:b/>
          <w:sz w:val="24"/>
          <w:szCs w:val="24"/>
          <w:lang w:val="es-ES"/>
        </w:rPr>
      </w:pPr>
      <w:r w:rsidRPr="0069011F">
        <w:rPr>
          <w:b/>
          <w:sz w:val="24"/>
          <w:szCs w:val="24"/>
          <w:lang w:val="es-ES"/>
        </w:rPr>
        <w:t>Ginebra,</w:t>
      </w:r>
      <w:r w:rsidR="00651BC5" w:rsidRPr="0069011F">
        <w:rPr>
          <w:b/>
          <w:sz w:val="24"/>
          <w:szCs w:val="24"/>
          <w:lang w:val="es-ES"/>
        </w:rPr>
        <w:t xml:space="preserve"> </w:t>
      </w:r>
      <w:r w:rsidRPr="0069011F">
        <w:rPr>
          <w:b/>
          <w:sz w:val="24"/>
          <w:szCs w:val="24"/>
          <w:lang w:val="es-ES"/>
        </w:rPr>
        <w:t>11 a</w:t>
      </w:r>
      <w:r w:rsidR="00651BC5" w:rsidRPr="0069011F">
        <w:rPr>
          <w:b/>
          <w:sz w:val="24"/>
          <w:szCs w:val="24"/>
          <w:lang w:val="es-ES"/>
        </w:rPr>
        <w:t xml:space="preserve"> </w:t>
      </w:r>
      <w:r w:rsidRPr="0069011F">
        <w:rPr>
          <w:b/>
          <w:sz w:val="24"/>
          <w:szCs w:val="24"/>
          <w:lang w:val="es-ES"/>
        </w:rPr>
        <w:t>14 de junio de</w:t>
      </w:r>
      <w:r w:rsidR="00651BC5" w:rsidRPr="0069011F">
        <w:rPr>
          <w:b/>
          <w:sz w:val="24"/>
          <w:szCs w:val="24"/>
          <w:lang w:val="es-ES"/>
        </w:rPr>
        <w:t xml:space="preserve"> </w:t>
      </w:r>
      <w:r w:rsidR="00B86BD5" w:rsidRPr="0069011F">
        <w:rPr>
          <w:b/>
          <w:sz w:val="24"/>
          <w:szCs w:val="24"/>
          <w:lang w:val="es-ES"/>
        </w:rPr>
        <w:t>2019</w:t>
      </w:r>
    </w:p>
    <w:p w14:paraId="18EDE210" w14:textId="77777777" w:rsidR="008B2CC1" w:rsidRPr="0069011F" w:rsidRDefault="008B2CC1" w:rsidP="008B2CC1">
      <w:pPr>
        <w:rPr>
          <w:lang w:val="es-ES"/>
        </w:rPr>
      </w:pPr>
    </w:p>
    <w:p w14:paraId="79063C0D" w14:textId="77777777" w:rsidR="008B2CC1" w:rsidRPr="0069011F" w:rsidRDefault="008B2CC1" w:rsidP="008B2CC1">
      <w:pPr>
        <w:rPr>
          <w:lang w:val="es-ES"/>
        </w:rPr>
      </w:pPr>
    </w:p>
    <w:p w14:paraId="7F3AC06C" w14:textId="77777777" w:rsidR="008B2CC1" w:rsidRPr="0069011F" w:rsidRDefault="008B2CC1" w:rsidP="008B2CC1">
      <w:pPr>
        <w:rPr>
          <w:lang w:val="es-ES"/>
        </w:rPr>
      </w:pPr>
    </w:p>
    <w:p w14:paraId="0BF4D943" w14:textId="03587BE4" w:rsidR="008B2CC1" w:rsidRPr="0069011F" w:rsidRDefault="00250D91" w:rsidP="008B2CC1">
      <w:pPr>
        <w:rPr>
          <w:caps/>
          <w:sz w:val="24"/>
          <w:lang w:val="es-ES"/>
        </w:rPr>
      </w:pPr>
      <w:bookmarkStart w:id="1" w:name="TitleOfDoc"/>
      <w:bookmarkEnd w:id="1"/>
      <w:r w:rsidRPr="0069011F">
        <w:rPr>
          <w:caps/>
          <w:sz w:val="24"/>
          <w:lang w:val="es-ES"/>
        </w:rPr>
        <w:t>SERVICIOS DEL PCT POR INTERNET</w:t>
      </w:r>
    </w:p>
    <w:p w14:paraId="4B3F93B7" w14:textId="77777777" w:rsidR="008B2CC1" w:rsidRPr="0069011F" w:rsidRDefault="008B2CC1" w:rsidP="008B2CC1">
      <w:pPr>
        <w:rPr>
          <w:lang w:val="es-ES"/>
        </w:rPr>
      </w:pPr>
    </w:p>
    <w:p w14:paraId="6112AC0B" w14:textId="3E258BFD" w:rsidR="008B2CC1" w:rsidRPr="0069011F" w:rsidRDefault="005A496F" w:rsidP="008B2CC1">
      <w:pPr>
        <w:rPr>
          <w:i/>
          <w:lang w:val="es-ES_tradnl"/>
        </w:rPr>
      </w:pPr>
      <w:bookmarkStart w:id="2" w:name="Prepared"/>
      <w:bookmarkEnd w:id="2"/>
      <w:r w:rsidRPr="0069011F">
        <w:rPr>
          <w:i/>
          <w:lang w:val="es-ES_tradnl"/>
        </w:rPr>
        <w:t>Documento preparado por la Oficina Internacional</w:t>
      </w:r>
    </w:p>
    <w:p w14:paraId="245F16A9" w14:textId="77777777" w:rsidR="00AC205C" w:rsidRPr="0069011F" w:rsidRDefault="00AC205C">
      <w:pPr>
        <w:rPr>
          <w:lang w:val="es-ES"/>
        </w:rPr>
      </w:pPr>
    </w:p>
    <w:p w14:paraId="6EF5241D" w14:textId="77777777" w:rsidR="000F5E56" w:rsidRPr="0069011F" w:rsidRDefault="000F5E56">
      <w:pPr>
        <w:rPr>
          <w:lang w:val="es-ES"/>
        </w:rPr>
      </w:pPr>
    </w:p>
    <w:p w14:paraId="4D775AC1" w14:textId="77777777" w:rsidR="002928D3" w:rsidRPr="0069011F" w:rsidRDefault="002928D3">
      <w:pPr>
        <w:rPr>
          <w:lang w:val="es-ES"/>
        </w:rPr>
      </w:pPr>
    </w:p>
    <w:p w14:paraId="76E17F71" w14:textId="77777777" w:rsidR="002928D3" w:rsidRPr="0069011F" w:rsidRDefault="002928D3" w:rsidP="0053057A">
      <w:pPr>
        <w:rPr>
          <w:lang w:val="es-ES"/>
        </w:rPr>
      </w:pPr>
    </w:p>
    <w:p w14:paraId="43E31061" w14:textId="49899A90" w:rsidR="00F71C11" w:rsidRPr="0069011F" w:rsidRDefault="009066F3" w:rsidP="00EC03AF">
      <w:pPr>
        <w:pStyle w:val="Heading1"/>
        <w:keepNext w:val="0"/>
      </w:pPr>
      <w:r w:rsidRPr="0069011F">
        <w:t>RESUMEN</w:t>
      </w:r>
    </w:p>
    <w:p w14:paraId="78F83CAA" w14:textId="6F85951B" w:rsidR="00F71C11" w:rsidRPr="0069011F" w:rsidRDefault="00C448D1" w:rsidP="00F71C11">
      <w:pPr>
        <w:pStyle w:val="ONUME"/>
        <w:rPr>
          <w:lang w:val="es-ES"/>
        </w:rPr>
      </w:pPr>
      <w:r w:rsidRPr="0069011F">
        <w:rPr>
          <w:lang w:val="es-ES"/>
        </w:rPr>
        <w:t>Si bien l</w:t>
      </w:r>
      <w:r w:rsidR="009066F3" w:rsidRPr="0069011F">
        <w:rPr>
          <w:lang w:val="es-ES"/>
        </w:rPr>
        <w:t xml:space="preserve">os servicios del PCT por Internet </w:t>
      </w:r>
      <w:r w:rsidRPr="0069011F">
        <w:rPr>
          <w:lang w:val="es-ES"/>
        </w:rPr>
        <w:t>funcionan de modo idóneo</w:t>
      </w:r>
      <w:r w:rsidR="009066F3" w:rsidRPr="0069011F">
        <w:rPr>
          <w:lang w:val="es-ES"/>
        </w:rPr>
        <w:t xml:space="preserve"> y la mayoría de las comunicaciones entre </w:t>
      </w:r>
      <w:r w:rsidR="008B06E2" w:rsidRPr="0069011F">
        <w:rPr>
          <w:lang w:val="es-ES"/>
        </w:rPr>
        <w:t>O</w:t>
      </w:r>
      <w:r w:rsidR="009066F3" w:rsidRPr="0069011F">
        <w:rPr>
          <w:lang w:val="es-ES"/>
        </w:rPr>
        <w:t xml:space="preserve">ficinas se realizan por </w:t>
      </w:r>
      <w:r w:rsidR="004F683A" w:rsidRPr="0069011F">
        <w:rPr>
          <w:lang w:val="es-ES"/>
        </w:rPr>
        <w:t>ese cauce</w:t>
      </w:r>
      <w:r w:rsidR="008B06E2" w:rsidRPr="0069011F">
        <w:rPr>
          <w:lang w:val="es-ES"/>
        </w:rPr>
        <w:t>, aún se les puede dotar de</w:t>
      </w:r>
      <w:r w:rsidR="009066F3" w:rsidRPr="0069011F">
        <w:rPr>
          <w:lang w:val="es-ES"/>
        </w:rPr>
        <w:t xml:space="preserve"> </w:t>
      </w:r>
      <w:r w:rsidR="004F683A" w:rsidRPr="0069011F">
        <w:rPr>
          <w:lang w:val="es-ES"/>
        </w:rPr>
        <w:t>mayor eficacia</w:t>
      </w:r>
      <w:r w:rsidR="009066F3" w:rsidRPr="0069011F">
        <w:rPr>
          <w:lang w:val="es-ES"/>
        </w:rPr>
        <w:t xml:space="preserve">. </w:t>
      </w:r>
      <w:r w:rsidRPr="0069011F">
        <w:rPr>
          <w:lang w:val="es-ES"/>
        </w:rPr>
        <w:t>Para e</w:t>
      </w:r>
      <w:r w:rsidR="009066F3" w:rsidRPr="0069011F">
        <w:rPr>
          <w:lang w:val="es-ES"/>
        </w:rPr>
        <w:t xml:space="preserve">l próximo año, la Oficina Internacional tiene </w:t>
      </w:r>
      <w:r w:rsidR="00451E68" w:rsidRPr="0069011F">
        <w:rPr>
          <w:lang w:val="es-ES"/>
        </w:rPr>
        <w:t>previsto</w:t>
      </w:r>
      <w:r w:rsidR="009066F3" w:rsidRPr="0069011F">
        <w:rPr>
          <w:lang w:val="es-ES"/>
        </w:rPr>
        <w:t xml:space="preserve"> ofrecer nuevos servicios en diversas esferas, </w:t>
      </w:r>
      <w:r w:rsidRPr="0069011F">
        <w:rPr>
          <w:lang w:val="es-ES"/>
        </w:rPr>
        <w:t>aunque centrándose</w:t>
      </w:r>
      <w:r w:rsidR="009066F3" w:rsidRPr="0069011F">
        <w:rPr>
          <w:lang w:val="es-ES"/>
        </w:rPr>
        <w:t xml:space="preserve"> en la consolidación y </w:t>
      </w:r>
      <w:r w:rsidRPr="0069011F">
        <w:rPr>
          <w:lang w:val="es-ES"/>
        </w:rPr>
        <w:t>potenciación</w:t>
      </w:r>
      <w:r w:rsidR="009066F3" w:rsidRPr="0069011F">
        <w:rPr>
          <w:lang w:val="es-ES"/>
        </w:rPr>
        <w:t xml:space="preserve"> de </w:t>
      </w:r>
      <w:r w:rsidR="00451E68" w:rsidRPr="0069011F">
        <w:rPr>
          <w:lang w:val="es-ES"/>
        </w:rPr>
        <w:t xml:space="preserve">los </w:t>
      </w:r>
      <w:r w:rsidR="009066F3" w:rsidRPr="0069011F">
        <w:rPr>
          <w:lang w:val="es-ES"/>
        </w:rPr>
        <w:t>servicios de apoyo</w:t>
      </w:r>
      <w:r w:rsidRPr="0069011F">
        <w:rPr>
          <w:lang w:val="es-ES"/>
        </w:rPr>
        <w:t>,</w:t>
      </w:r>
      <w:r w:rsidR="009066F3" w:rsidRPr="0069011F">
        <w:rPr>
          <w:lang w:val="es-ES"/>
        </w:rPr>
        <w:t xml:space="preserve"> con miras a respaldar importantes mejoras en el futuro.</w:t>
      </w:r>
      <w:r w:rsidR="00F71C11" w:rsidRPr="0069011F">
        <w:rPr>
          <w:lang w:val="es-ES"/>
        </w:rPr>
        <w:t xml:space="preserve"> </w:t>
      </w:r>
      <w:r w:rsidR="009066F3" w:rsidRPr="0069011F">
        <w:rPr>
          <w:lang w:val="es-ES"/>
        </w:rPr>
        <w:t>Los objetivos a largo plazo son:</w:t>
      </w:r>
    </w:p>
    <w:p w14:paraId="03E2CF82" w14:textId="72B63181" w:rsidR="00911ED2" w:rsidRPr="0069011F" w:rsidRDefault="00911ED2" w:rsidP="000E4D10">
      <w:pPr>
        <w:pStyle w:val="ONUME"/>
        <w:numPr>
          <w:ilvl w:val="1"/>
          <w:numId w:val="5"/>
        </w:numPr>
        <w:ind w:left="567" w:firstLine="0"/>
        <w:rPr>
          <w:lang w:val="es-ES"/>
        </w:rPr>
      </w:pPr>
      <w:r w:rsidRPr="0069011F">
        <w:rPr>
          <w:lang w:val="es-ES"/>
        </w:rPr>
        <w:t>pasar de la transferencia de las imágenes equivalentes a los formul</w:t>
      </w:r>
      <w:r w:rsidR="008B06E2" w:rsidRPr="0069011F">
        <w:rPr>
          <w:lang w:val="es-ES"/>
        </w:rPr>
        <w:t>arios tradicionales en papel a</w:t>
      </w:r>
      <w:r w:rsidRPr="0069011F">
        <w:rPr>
          <w:lang w:val="es-ES"/>
        </w:rPr>
        <w:t xml:space="preserve"> la transferencia de datos que puedan utilizarse directamente (para datos bibliográficos, el cuerpo de las solicitudes y la correspondencia que actualmente se gestiona</w:t>
      </w:r>
      <w:r w:rsidR="00C448D1" w:rsidRPr="0069011F">
        <w:rPr>
          <w:lang w:val="es-ES"/>
        </w:rPr>
        <w:t>n</w:t>
      </w:r>
      <w:r w:rsidRPr="0069011F">
        <w:rPr>
          <w:lang w:val="es-ES"/>
        </w:rPr>
        <w:t xml:space="preserve"> mediante formularios y </w:t>
      </w:r>
      <w:r w:rsidR="008B06E2" w:rsidRPr="0069011F">
        <w:rPr>
          <w:lang w:val="es-ES"/>
        </w:rPr>
        <w:t>cartas</w:t>
      </w:r>
      <w:r w:rsidRPr="0069011F">
        <w:rPr>
          <w:lang w:val="es-ES"/>
        </w:rPr>
        <w:t>);</w:t>
      </w:r>
    </w:p>
    <w:p w14:paraId="48F25050" w14:textId="52961614" w:rsidR="00911ED2" w:rsidRPr="0069011F" w:rsidRDefault="00911ED2" w:rsidP="000E4D10">
      <w:pPr>
        <w:pStyle w:val="ONUME"/>
        <w:numPr>
          <w:ilvl w:val="1"/>
          <w:numId w:val="5"/>
        </w:numPr>
        <w:ind w:left="567" w:firstLine="0"/>
        <w:rPr>
          <w:lang w:val="es-ES"/>
        </w:rPr>
      </w:pPr>
      <w:r w:rsidRPr="0069011F">
        <w:rPr>
          <w:lang w:val="es-ES"/>
        </w:rPr>
        <w:t xml:space="preserve">mejorar las definiciones y las aplicaciones de normas técnicas </w:t>
      </w:r>
      <w:r w:rsidR="00451E68" w:rsidRPr="0069011F">
        <w:rPr>
          <w:lang w:val="es-ES"/>
        </w:rPr>
        <w:t xml:space="preserve">en materia </w:t>
      </w:r>
      <w:r w:rsidRPr="0069011F">
        <w:rPr>
          <w:lang w:val="es-ES"/>
        </w:rPr>
        <w:t xml:space="preserve">de datos para que la Oficina Internacional y las Oficinas nacionales puedan procesar las solicitudes de manera </w:t>
      </w:r>
      <w:r w:rsidR="00C448D1" w:rsidRPr="0069011F">
        <w:rPr>
          <w:lang w:val="es-ES"/>
        </w:rPr>
        <w:t xml:space="preserve">uniforme </w:t>
      </w:r>
      <w:r w:rsidRPr="0069011F">
        <w:rPr>
          <w:lang w:val="es-ES"/>
        </w:rPr>
        <w:t>independientemente de su origen;</w:t>
      </w:r>
    </w:p>
    <w:p w14:paraId="11DF3121" w14:textId="3429C9B2" w:rsidR="00223755" w:rsidRPr="0069011F" w:rsidRDefault="00911ED2" w:rsidP="000E4D10">
      <w:pPr>
        <w:pStyle w:val="ONUME"/>
        <w:numPr>
          <w:ilvl w:val="1"/>
          <w:numId w:val="5"/>
        </w:numPr>
        <w:ind w:left="567" w:firstLine="0"/>
        <w:rPr>
          <w:lang w:val="es-ES"/>
        </w:rPr>
      </w:pPr>
      <w:r w:rsidRPr="0069011F">
        <w:rPr>
          <w:lang w:val="es-ES"/>
        </w:rPr>
        <w:t xml:space="preserve">mejorar las validaciones y los procesos de las </w:t>
      </w:r>
      <w:r w:rsidR="006828F7" w:rsidRPr="0069011F">
        <w:rPr>
          <w:lang w:val="es-ES"/>
        </w:rPr>
        <w:t>Oficinas</w:t>
      </w:r>
      <w:r w:rsidR="00720827" w:rsidRPr="0069011F">
        <w:rPr>
          <w:lang w:val="es-ES"/>
        </w:rPr>
        <w:t>,</w:t>
      </w:r>
      <w:r w:rsidRPr="0069011F">
        <w:rPr>
          <w:lang w:val="es-ES"/>
        </w:rPr>
        <w:t xml:space="preserve"> </w:t>
      </w:r>
      <w:r w:rsidR="005534DB" w:rsidRPr="0069011F">
        <w:rPr>
          <w:lang w:val="es-ES"/>
        </w:rPr>
        <w:t xml:space="preserve">al </w:t>
      </w:r>
      <w:r w:rsidRPr="0069011F">
        <w:rPr>
          <w:lang w:val="es-ES"/>
        </w:rPr>
        <w:t xml:space="preserve">objeto de identificar y corregir </w:t>
      </w:r>
      <w:r w:rsidR="006828F7" w:rsidRPr="0069011F">
        <w:rPr>
          <w:lang w:val="es-ES"/>
        </w:rPr>
        <w:t xml:space="preserve">los </w:t>
      </w:r>
      <w:r w:rsidRPr="0069011F">
        <w:rPr>
          <w:lang w:val="es-ES"/>
        </w:rPr>
        <w:t xml:space="preserve">errores </w:t>
      </w:r>
      <w:r w:rsidR="00451E68" w:rsidRPr="0069011F">
        <w:rPr>
          <w:lang w:val="es-ES"/>
        </w:rPr>
        <w:t xml:space="preserve">eventuales </w:t>
      </w:r>
      <w:r w:rsidR="005534DB" w:rsidRPr="0069011F">
        <w:rPr>
          <w:lang w:val="es-ES"/>
        </w:rPr>
        <w:t xml:space="preserve">antes de </w:t>
      </w:r>
      <w:r w:rsidR="00720827" w:rsidRPr="0069011F">
        <w:rPr>
          <w:lang w:val="es-ES"/>
        </w:rPr>
        <w:t>su</w:t>
      </w:r>
      <w:r w:rsidR="005534DB" w:rsidRPr="0069011F">
        <w:rPr>
          <w:lang w:val="es-ES"/>
        </w:rPr>
        <w:t xml:space="preserve"> presentación oficial</w:t>
      </w:r>
      <w:r w:rsidR="006828F7" w:rsidRPr="0069011F">
        <w:rPr>
          <w:lang w:val="es-ES"/>
        </w:rPr>
        <w:t>, de modo</w:t>
      </w:r>
      <w:r w:rsidR="005534DB" w:rsidRPr="0069011F">
        <w:rPr>
          <w:lang w:val="es-ES"/>
        </w:rPr>
        <w:t xml:space="preserve"> a</w:t>
      </w:r>
      <w:r w:rsidRPr="0069011F">
        <w:rPr>
          <w:lang w:val="es-ES"/>
        </w:rPr>
        <w:t xml:space="preserve"> evitar </w:t>
      </w:r>
      <w:r w:rsidR="00451E68" w:rsidRPr="0069011F">
        <w:rPr>
          <w:lang w:val="es-ES"/>
        </w:rPr>
        <w:t>que, a raíz de variaciones en los procesos o en la interpretación de los requisitos,</w:t>
      </w:r>
      <w:r w:rsidR="00451E68" w:rsidRPr="0069011F" w:rsidDel="005534DB">
        <w:rPr>
          <w:lang w:val="es-ES"/>
        </w:rPr>
        <w:t xml:space="preserve"> </w:t>
      </w:r>
      <w:r w:rsidR="00451E68" w:rsidRPr="0069011F">
        <w:rPr>
          <w:lang w:val="es-ES"/>
        </w:rPr>
        <w:t>se deban verificar reiteradamente</w:t>
      </w:r>
      <w:r w:rsidRPr="0069011F">
        <w:rPr>
          <w:lang w:val="es-ES"/>
        </w:rPr>
        <w:t xml:space="preserve"> cuestiones </w:t>
      </w:r>
      <w:r w:rsidR="00451E68" w:rsidRPr="0069011F">
        <w:rPr>
          <w:lang w:val="es-ES"/>
        </w:rPr>
        <w:t xml:space="preserve">análogas </w:t>
      </w:r>
      <w:r w:rsidRPr="0069011F">
        <w:rPr>
          <w:lang w:val="es-ES"/>
        </w:rPr>
        <w:t>en diferentes fases;</w:t>
      </w:r>
    </w:p>
    <w:p w14:paraId="38FB910A" w14:textId="70AFF297" w:rsidR="00F71C11" w:rsidRPr="0069011F" w:rsidRDefault="00223755" w:rsidP="000E4D10">
      <w:pPr>
        <w:pStyle w:val="ONUME"/>
        <w:numPr>
          <w:ilvl w:val="1"/>
          <w:numId w:val="5"/>
        </w:numPr>
        <w:ind w:left="567" w:firstLine="0"/>
        <w:rPr>
          <w:lang w:val="es-ES"/>
        </w:rPr>
      </w:pPr>
      <w:r w:rsidRPr="0069011F">
        <w:rPr>
          <w:lang w:val="es-ES"/>
        </w:rPr>
        <w:t>incrementar el volumen de intercambio de información y servicios</w:t>
      </w:r>
      <w:r w:rsidR="00720827" w:rsidRPr="0069011F">
        <w:rPr>
          <w:lang w:val="es-ES"/>
        </w:rPr>
        <w:t xml:space="preserve"> en tiempo real</w:t>
      </w:r>
      <w:r w:rsidRPr="0069011F">
        <w:rPr>
          <w:lang w:val="es-ES"/>
        </w:rPr>
        <w:t xml:space="preserve">, </w:t>
      </w:r>
      <w:r w:rsidR="00720827" w:rsidRPr="0069011F">
        <w:rPr>
          <w:lang w:val="es-ES"/>
        </w:rPr>
        <w:t>dándole preferencia</w:t>
      </w:r>
      <w:r w:rsidR="002F0A02" w:rsidRPr="0069011F">
        <w:rPr>
          <w:lang w:val="es-ES"/>
        </w:rPr>
        <w:t xml:space="preserve"> </w:t>
      </w:r>
      <w:r w:rsidR="00720827" w:rsidRPr="0069011F">
        <w:rPr>
          <w:lang w:val="es-ES"/>
        </w:rPr>
        <w:t xml:space="preserve">frente </w:t>
      </w:r>
      <w:r w:rsidR="002F0A02" w:rsidRPr="0069011F">
        <w:rPr>
          <w:lang w:val="es-ES"/>
        </w:rPr>
        <w:t>a</w:t>
      </w:r>
      <w:r w:rsidRPr="0069011F">
        <w:rPr>
          <w:lang w:val="es-ES"/>
        </w:rPr>
        <w:t xml:space="preserve"> la ejecución de procesos por lotes </w:t>
      </w:r>
      <w:r w:rsidR="00720827" w:rsidRPr="0069011F">
        <w:rPr>
          <w:lang w:val="es-ES"/>
        </w:rPr>
        <w:t>realizados</w:t>
      </w:r>
      <w:r w:rsidRPr="0069011F">
        <w:rPr>
          <w:lang w:val="es-ES"/>
        </w:rPr>
        <w:t xml:space="preserve"> a intervalos prolongados;</w:t>
      </w:r>
    </w:p>
    <w:p w14:paraId="7D7DD3CC" w14:textId="3FA44F9F" w:rsidR="00223755" w:rsidRPr="0069011F" w:rsidRDefault="00223755" w:rsidP="000E4D10">
      <w:pPr>
        <w:pStyle w:val="ONUME"/>
        <w:numPr>
          <w:ilvl w:val="1"/>
          <w:numId w:val="5"/>
        </w:numPr>
        <w:ind w:left="567" w:firstLine="0"/>
        <w:rPr>
          <w:lang w:val="es-ES"/>
        </w:rPr>
      </w:pPr>
      <w:r w:rsidRPr="0069011F">
        <w:rPr>
          <w:lang w:val="es-ES"/>
        </w:rPr>
        <w:lastRenderedPageBreak/>
        <w:t xml:space="preserve">proporcionar servicios fáciles de usar </w:t>
      </w:r>
      <w:r w:rsidR="007611D0" w:rsidRPr="0069011F">
        <w:rPr>
          <w:lang w:val="es-ES"/>
        </w:rPr>
        <w:t>a la par que</w:t>
      </w:r>
      <w:r w:rsidRPr="0069011F">
        <w:rPr>
          <w:lang w:val="es-ES"/>
        </w:rPr>
        <w:t xml:space="preserve"> seguros para la correspondencia y las transacciones </w:t>
      </w:r>
      <w:r w:rsidR="007611D0" w:rsidRPr="0069011F">
        <w:rPr>
          <w:lang w:val="es-ES"/>
        </w:rPr>
        <w:t>entre</w:t>
      </w:r>
      <w:r w:rsidRPr="0069011F">
        <w:rPr>
          <w:lang w:val="es-ES"/>
        </w:rPr>
        <w:t xml:space="preserve"> </w:t>
      </w:r>
      <w:r w:rsidR="002F0A02" w:rsidRPr="0069011F">
        <w:rPr>
          <w:lang w:val="es-ES"/>
        </w:rPr>
        <w:t>O</w:t>
      </w:r>
      <w:r w:rsidRPr="0069011F">
        <w:rPr>
          <w:lang w:val="es-ES"/>
        </w:rPr>
        <w:t xml:space="preserve">ficinas </w:t>
      </w:r>
      <w:r w:rsidR="007611D0" w:rsidRPr="0069011F">
        <w:rPr>
          <w:lang w:val="es-ES"/>
        </w:rPr>
        <w:t>y</w:t>
      </w:r>
      <w:r w:rsidRPr="0069011F">
        <w:rPr>
          <w:lang w:val="es-ES"/>
        </w:rPr>
        <w:t xml:space="preserve"> solicitantes</w:t>
      </w:r>
      <w:r w:rsidR="00CC75FE" w:rsidRPr="0069011F">
        <w:rPr>
          <w:lang w:val="es-ES"/>
        </w:rPr>
        <w:t>,</w:t>
      </w:r>
      <w:r w:rsidR="002F0A02" w:rsidRPr="0069011F">
        <w:rPr>
          <w:lang w:val="es-ES"/>
        </w:rPr>
        <w:t xml:space="preserve"> </w:t>
      </w:r>
      <w:r w:rsidR="007611D0" w:rsidRPr="0069011F">
        <w:rPr>
          <w:lang w:val="es-ES"/>
        </w:rPr>
        <w:t>de modo a</w:t>
      </w:r>
      <w:r w:rsidRPr="0069011F">
        <w:rPr>
          <w:lang w:val="es-ES"/>
        </w:rPr>
        <w:t xml:space="preserve"> </w:t>
      </w:r>
      <w:r w:rsidR="007611D0" w:rsidRPr="0069011F">
        <w:rPr>
          <w:lang w:val="es-ES"/>
        </w:rPr>
        <w:t xml:space="preserve">reducir al mínimo </w:t>
      </w:r>
      <w:r w:rsidRPr="0069011F">
        <w:rPr>
          <w:lang w:val="es-ES"/>
        </w:rPr>
        <w:t xml:space="preserve">la cantidad de documentos en papel que </w:t>
      </w:r>
      <w:r w:rsidR="002F0A02" w:rsidRPr="0069011F">
        <w:rPr>
          <w:lang w:val="es-ES"/>
        </w:rPr>
        <w:t>deban</w:t>
      </w:r>
      <w:r w:rsidRPr="0069011F">
        <w:rPr>
          <w:lang w:val="es-ES"/>
        </w:rPr>
        <w:t xml:space="preserve"> enviarse por correo;</w:t>
      </w:r>
    </w:p>
    <w:p w14:paraId="238F40D1" w14:textId="3BD0C409" w:rsidR="00223755" w:rsidRPr="0069011F" w:rsidRDefault="00223755" w:rsidP="000E4D10">
      <w:pPr>
        <w:pStyle w:val="ONUME"/>
        <w:numPr>
          <w:ilvl w:val="1"/>
          <w:numId w:val="5"/>
        </w:numPr>
        <w:ind w:left="567" w:firstLine="0"/>
        <w:rPr>
          <w:lang w:val="es-ES"/>
        </w:rPr>
      </w:pPr>
      <w:r w:rsidRPr="0069011F">
        <w:rPr>
          <w:lang w:val="es-ES"/>
        </w:rPr>
        <w:t xml:space="preserve">consolidar los servicios como un conjunto de </w:t>
      </w:r>
      <w:r w:rsidR="00465E1F" w:rsidRPr="0069011F">
        <w:rPr>
          <w:lang w:val="es-ES"/>
        </w:rPr>
        <w:t>instrumentos modernos que se utilicen</w:t>
      </w:r>
      <w:r w:rsidRPr="0069011F">
        <w:rPr>
          <w:lang w:val="es-ES"/>
        </w:rPr>
        <w:t xml:space="preserve"> en </w:t>
      </w:r>
      <w:r w:rsidR="00465E1F" w:rsidRPr="0069011F">
        <w:rPr>
          <w:lang w:val="es-ES"/>
        </w:rPr>
        <w:t>la totalidad de</w:t>
      </w:r>
      <w:r w:rsidRPr="0069011F">
        <w:rPr>
          <w:lang w:val="es-ES"/>
        </w:rPr>
        <w:t xml:space="preserve"> </w:t>
      </w:r>
      <w:r w:rsidR="00465E1F" w:rsidRPr="0069011F">
        <w:rPr>
          <w:lang w:val="es-ES"/>
        </w:rPr>
        <w:t>las solicitudes internacionales</w:t>
      </w:r>
      <w:r w:rsidRPr="0069011F">
        <w:rPr>
          <w:lang w:val="es-ES"/>
        </w:rPr>
        <w:t xml:space="preserve"> y desmantelar los productos heredados, entre ellos, el sistema PCT-SAFE, </w:t>
      </w:r>
      <w:r w:rsidR="00CC75FE" w:rsidRPr="0069011F">
        <w:rPr>
          <w:lang w:val="es-ES"/>
        </w:rPr>
        <w:t xml:space="preserve">con el fin de </w:t>
      </w:r>
      <w:r w:rsidRPr="0069011F">
        <w:rPr>
          <w:lang w:val="es-ES"/>
        </w:rPr>
        <w:t xml:space="preserve">mejorar la calidad y la </w:t>
      </w:r>
      <w:r w:rsidR="00CC75FE" w:rsidRPr="0069011F">
        <w:rPr>
          <w:lang w:val="es-ES"/>
        </w:rPr>
        <w:t xml:space="preserve">congruencia </w:t>
      </w:r>
      <w:r w:rsidRPr="0069011F">
        <w:rPr>
          <w:lang w:val="es-ES"/>
        </w:rPr>
        <w:t>de los procesos y reducir los costos de mantenimiento.</w:t>
      </w:r>
    </w:p>
    <w:p w14:paraId="34B28605" w14:textId="15DEE20D" w:rsidR="001A6680" w:rsidRPr="0069011F" w:rsidRDefault="002937C9" w:rsidP="00F71C11">
      <w:pPr>
        <w:pStyle w:val="ONUME"/>
        <w:rPr>
          <w:lang w:val="es-ES"/>
        </w:rPr>
      </w:pPr>
      <w:r w:rsidRPr="0069011F">
        <w:rPr>
          <w:lang w:val="es-ES"/>
        </w:rPr>
        <w:t xml:space="preserve">En el caso de </w:t>
      </w:r>
      <w:r w:rsidR="00CC75FE" w:rsidRPr="0069011F">
        <w:rPr>
          <w:lang w:val="es-ES"/>
        </w:rPr>
        <w:t>l</w:t>
      </w:r>
      <w:r w:rsidR="00BD5AFA" w:rsidRPr="0069011F">
        <w:rPr>
          <w:lang w:val="es-ES"/>
        </w:rPr>
        <w:t xml:space="preserve">as mejoras más </w:t>
      </w:r>
      <w:r w:rsidR="00CC75FE" w:rsidRPr="0069011F">
        <w:rPr>
          <w:lang w:val="es-ES"/>
        </w:rPr>
        <w:t>importantes</w:t>
      </w:r>
      <w:r w:rsidR="00BD5AFA" w:rsidRPr="0069011F">
        <w:rPr>
          <w:lang w:val="es-ES"/>
        </w:rPr>
        <w:t xml:space="preserve"> los </w:t>
      </w:r>
      <w:r w:rsidR="00C247CE" w:rsidRPr="0069011F">
        <w:rPr>
          <w:lang w:val="es-ES"/>
        </w:rPr>
        <w:t>avances</w:t>
      </w:r>
      <w:r w:rsidR="00BD5AFA" w:rsidRPr="0069011F">
        <w:rPr>
          <w:lang w:val="es-ES"/>
        </w:rPr>
        <w:t xml:space="preserve"> se </w:t>
      </w:r>
      <w:r w:rsidR="00CC75FE" w:rsidRPr="0069011F">
        <w:rPr>
          <w:lang w:val="es-ES"/>
        </w:rPr>
        <w:t xml:space="preserve">deberán coordinar </w:t>
      </w:r>
      <w:r w:rsidR="00BD5AFA" w:rsidRPr="0069011F">
        <w:rPr>
          <w:lang w:val="es-ES"/>
        </w:rPr>
        <w:t xml:space="preserve">con las Oficinas nacionales. Se invita a las Oficinas nacionales </w:t>
      </w:r>
      <w:r w:rsidR="00047B25" w:rsidRPr="0069011F">
        <w:rPr>
          <w:lang w:val="es-ES"/>
        </w:rPr>
        <w:t>que funcionen como</w:t>
      </w:r>
      <w:r w:rsidR="00BD5AFA" w:rsidRPr="0069011F">
        <w:rPr>
          <w:lang w:val="es-ES"/>
        </w:rPr>
        <w:t xml:space="preserve"> Oficina</w:t>
      </w:r>
      <w:r w:rsidR="00047B25" w:rsidRPr="0069011F">
        <w:rPr>
          <w:lang w:val="es-ES"/>
        </w:rPr>
        <w:t>s</w:t>
      </w:r>
      <w:r w:rsidR="00BD5AFA" w:rsidRPr="0069011F">
        <w:rPr>
          <w:lang w:val="es-ES"/>
        </w:rPr>
        <w:t xml:space="preserve"> receptora</w:t>
      </w:r>
      <w:r w:rsidR="00047B25" w:rsidRPr="0069011F">
        <w:rPr>
          <w:lang w:val="es-ES"/>
        </w:rPr>
        <w:t>s</w:t>
      </w:r>
      <w:r w:rsidR="00BD5AFA" w:rsidRPr="0069011F">
        <w:rPr>
          <w:lang w:val="es-ES"/>
        </w:rPr>
        <w:t xml:space="preserve"> o de Administración </w:t>
      </w:r>
      <w:r w:rsidR="00EF647F" w:rsidRPr="0069011F">
        <w:rPr>
          <w:lang w:val="es-ES"/>
        </w:rPr>
        <w:t xml:space="preserve">a cargo </w:t>
      </w:r>
      <w:r w:rsidR="00BD5AFA" w:rsidRPr="0069011F">
        <w:rPr>
          <w:lang w:val="es-ES"/>
        </w:rPr>
        <w:t xml:space="preserve">de la búsqueda internacional y del examen preliminar internacional a </w:t>
      </w:r>
      <w:r w:rsidR="00047B25" w:rsidRPr="0069011F">
        <w:rPr>
          <w:lang w:val="es-ES"/>
        </w:rPr>
        <w:t xml:space="preserve">que introduzcan </w:t>
      </w:r>
      <w:r w:rsidR="00BD5AFA" w:rsidRPr="0069011F">
        <w:rPr>
          <w:lang w:val="es-ES"/>
        </w:rPr>
        <w:t xml:space="preserve">mejoras en lo </w:t>
      </w:r>
      <w:r w:rsidR="00047B25" w:rsidRPr="0069011F">
        <w:rPr>
          <w:lang w:val="es-ES"/>
        </w:rPr>
        <w:t>atinente</w:t>
      </w:r>
      <w:r w:rsidR="00BD5AFA" w:rsidRPr="0069011F">
        <w:rPr>
          <w:lang w:val="es-ES"/>
        </w:rPr>
        <w:t xml:space="preserve"> a la puntualidad y la calidad de la tramitación y </w:t>
      </w:r>
      <w:r w:rsidR="00EF647F" w:rsidRPr="0069011F">
        <w:rPr>
          <w:lang w:val="es-ES"/>
        </w:rPr>
        <w:t>a que, en la medida de lo posible, entreguen los</w:t>
      </w:r>
      <w:r w:rsidR="00BD5AFA" w:rsidRPr="0069011F">
        <w:rPr>
          <w:lang w:val="es-ES"/>
        </w:rPr>
        <w:t xml:space="preserve"> documentos y datos en formatos </w:t>
      </w:r>
      <w:r w:rsidR="00EF647F" w:rsidRPr="0069011F">
        <w:rPr>
          <w:lang w:val="es-ES"/>
        </w:rPr>
        <w:t>uniformes</w:t>
      </w:r>
      <w:r w:rsidRPr="0069011F">
        <w:rPr>
          <w:lang w:val="es-ES"/>
        </w:rPr>
        <w:t>,</w:t>
      </w:r>
      <w:r w:rsidR="00EF647F" w:rsidRPr="0069011F">
        <w:rPr>
          <w:lang w:val="es-ES"/>
        </w:rPr>
        <w:t xml:space="preserve"> </w:t>
      </w:r>
      <w:r w:rsidR="00BD5AFA" w:rsidRPr="0069011F">
        <w:rPr>
          <w:lang w:val="es-ES"/>
        </w:rPr>
        <w:t>legibles por máquina</w:t>
      </w:r>
      <w:r w:rsidR="00EF647F" w:rsidRPr="0069011F">
        <w:rPr>
          <w:lang w:val="es-ES"/>
        </w:rPr>
        <w:t>,</w:t>
      </w:r>
      <w:r w:rsidR="00BD5AFA" w:rsidRPr="0069011F">
        <w:rPr>
          <w:lang w:val="es-ES"/>
        </w:rPr>
        <w:t xml:space="preserve"> y </w:t>
      </w:r>
      <w:r w:rsidR="00047B25" w:rsidRPr="0069011F">
        <w:rPr>
          <w:lang w:val="es-ES"/>
        </w:rPr>
        <w:t xml:space="preserve">con </w:t>
      </w:r>
      <w:r w:rsidR="00BD5AFA" w:rsidRPr="0069011F">
        <w:rPr>
          <w:lang w:val="es-ES"/>
        </w:rPr>
        <w:t>alta calidad.</w:t>
      </w:r>
    </w:p>
    <w:p w14:paraId="3FCC2A6F" w14:textId="19A64476" w:rsidR="00F71C11" w:rsidRPr="0069011F" w:rsidRDefault="00BD5AFA" w:rsidP="00F71C11">
      <w:pPr>
        <w:pStyle w:val="ONUME"/>
        <w:rPr>
          <w:lang w:val="es-ES"/>
        </w:rPr>
      </w:pPr>
      <w:r w:rsidRPr="0069011F">
        <w:rPr>
          <w:lang w:val="es-ES"/>
        </w:rPr>
        <w:t xml:space="preserve">Asimismo, se invita a las Oficinas a </w:t>
      </w:r>
      <w:r w:rsidR="002937C9" w:rsidRPr="0069011F">
        <w:rPr>
          <w:lang w:val="es-ES"/>
        </w:rPr>
        <w:t xml:space="preserve">que identifiquen </w:t>
      </w:r>
      <w:r w:rsidRPr="0069011F">
        <w:rPr>
          <w:lang w:val="es-ES"/>
        </w:rPr>
        <w:t xml:space="preserve">los objetivos </w:t>
      </w:r>
      <w:r w:rsidR="002937C9" w:rsidRPr="0069011F">
        <w:rPr>
          <w:lang w:val="es-ES"/>
        </w:rPr>
        <w:t>perseguidos con</w:t>
      </w:r>
      <w:r w:rsidRPr="0069011F">
        <w:rPr>
          <w:lang w:val="es-ES"/>
        </w:rPr>
        <w:t xml:space="preserve"> el desarrollo de </w:t>
      </w:r>
      <w:r w:rsidR="00C247CE" w:rsidRPr="0069011F">
        <w:rPr>
          <w:lang w:val="es-ES"/>
        </w:rPr>
        <w:t>normas y sistemas</w:t>
      </w:r>
      <w:r w:rsidRPr="0069011F">
        <w:rPr>
          <w:lang w:val="es-ES"/>
        </w:rPr>
        <w:t xml:space="preserve"> mejorados y </w:t>
      </w:r>
      <w:r w:rsidR="002937C9" w:rsidRPr="0069011F">
        <w:rPr>
          <w:lang w:val="es-ES"/>
        </w:rPr>
        <w:t>contribuyan</w:t>
      </w:r>
      <w:r w:rsidRPr="0069011F">
        <w:rPr>
          <w:lang w:val="es-ES"/>
        </w:rPr>
        <w:t xml:space="preserve"> a la creación y aplicación de un plan común para los sistemas del PCT por Internet </w:t>
      </w:r>
      <w:r w:rsidR="00641D37" w:rsidRPr="0069011F">
        <w:rPr>
          <w:lang w:val="es-ES"/>
        </w:rPr>
        <w:t xml:space="preserve">que </w:t>
      </w:r>
      <w:r w:rsidR="00C247CE" w:rsidRPr="0069011F">
        <w:rPr>
          <w:lang w:val="es-ES"/>
        </w:rPr>
        <w:t>promueva</w:t>
      </w:r>
      <w:r w:rsidRPr="0069011F">
        <w:rPr>
          <w:lang w:val="es-ES"/>
        </w:rPr>
        <w:t xml:space="preserve"> </w:t>
      </w:r>
      <w:r w:rsidR="00C247CE" w:rsidRPr="0069011F">
        <w:rPr>
          <w:lang w:val="es-ES"/>
        </w:rPr>
        <w:t xml:space="preserve">la </w:t>
      </w:r>
      <w:r w:rsidR="002937C9" w:rsidRPr="0069011F">
        <w:rPr>
          <w:lang w:val="es-ES"/>
        </w:rPr>
        <w:t xml:space="preserve">congruencia </w:t>
      </w:r>
      <w:r w:rsidRPr="0069011F">
        <w:rPr>
          <w:lang w:val="es-ES"/>
        </w:rPr>
        <w:t xml:space="preserve">y </w:t>
      </w:r>
      <w:r w:rsidR="00C247CE" w:rsidRPr="0069011F">
        <w:rPr>
          <w:lang w:val="es-ES"/>
        </w:rPr>
        <w:t>la</w:t>
      </w:r>
      <w:r w:rsidRPr="0069011F">
        <w:rPr>
          <w:lang w:val="es-ES"/>
        </w:rPr>
        <w:t xml:space="preserve"> alta calidad </w:t>
      </w:r>
      <w:r w:rsidR="00C247CE" w:rsidRPr="0069011F">
        <w:rPr>
          <w:lang w:val="es-ES"/>
        </w:rPr>
        <w:t xml:space="preserve">de los servicios prestados en el marco del PCT </w:t>
      </w:r>
      <w:r w:rsidRPr="0069011F">
        <w:rPr>
          <w:lang w:val="es-ES"/>
        </w:rPr>
        <w:t>en todo el mundo.</w:t>
      </w:r>
    </w:p>
    <w:p w14:paraId="1684BC25" w14:textId="5A670427" w:rsidR="00F71C11" w:rsidRPr="0069011F" w:rsidRDefault="00AD2F01" w:rsidP="00EC03AF">
      <w:pPr>
        <w:pStyle w:val="Heading1"/>
        <w:keepNext w:val="0"/>
        <w:rPr>
          <w:lang w:val="es-ES"/>
        </w:rPr>
      </w:pPr>
      <w:r w:rsidRPr="0069011F">
        <w:rPr>
          <w:lang w:val="es-ES"/>
        </w:rPr>
        <w:t>ESTADO DE LOS PRINCIPALES SERVICIOS POR INTERNET</w:t>
      </w:r>
    </w:p>
    <w:p w14:paraId="7D32866B" w14:textId="41A07D43" w:rsidR="00F71C11" w:rsidRPr="0069011F" w:rsidRDefault="00F71C11" w:rsidP="00EC03AF">
      <w:pPr>
        <w:pStyle w:val="Heading3"/>
        <w:keepNext w:val="0"/>
      </w:pPr>
      <w:r w:rsidRPr="0069011F">
        <w:t>ePCT</w:t>
      </w:r>
      <w:r w:rsidR="00836E1F" w:rsidRPr="0069011F">
        <w:t xml:space="preserve"> </w:t>
      </w:r>
      <w:r w:rsidR="009C2FE2" w:rsidRPr="0069011F">
        <w:t>y</w:t>
      </w:r>
      <w:r w:rsidR="00836E1F" w:rsidRPr="0069011F">
        <w:t xml:space="preserve"> PCT</w:t>
      </w:r>
      <w:r w:rsidR="00836E1F" w:rsidRPr="0069011F">
        <w:noBreakHyphen/>
        <w:t>SAFE</w:t>
      </w:r>
    </w:p>
    <w:p w14:paraId="165BB2CE" w14:textId="271250AE" w:rsidR="00F71C11" w:rsidRPr="0069011F" w:rsidRDefault="00C5691D" w:rsidP="00F71C11">
      <w:pPr>
        <w:pStyle w:val="ONUME"/>
        <w:rPr>
          <w:lang w:val="es-ES"/>
        </w:rPr>
      </w:pPr>
      <w:r w:rsidRPr="0069011F">
        <w:rPr>
          <w:lang w:val="es-ES"/>
        </w:rPr>
        <w:t>La interfaz del ePCT para navegador es un sistema de producción estable que ofrece servicios a los solicitantes, las Oficinas y terceros.</w:t>
      </w:r>
      <w:r w:rsidR="00F71C11" w:rsidRPr="0069011F">
        <w:rPr>
          <w:lang w:val="es-ES"/>
        </w:rPr>
        <w:t xml:space="preserve"> </w:t>
      </w:r>
      <w:r w:rsidR="00613907" w:rsidRPr="0069011F">
        <w:rPr>
          <w:lang w:val="es-ES"/>
        </w:rPr>
        <w:t xml:space="preserve">El sistema es </w:t>
      </w:r>
      <w:r w:rsidR="009D0001" w:rsidRPr="0069011F">
        <w:rPr>
          <w:lang w:val="es-ES"/>
        </w:rPr>
        <w:t>altamente fiable y está supervisado las</w:t>
      </w:r>
      <w:r w:rsidR="00651BC5" w:rsidRPr="0069011F">
        <w:rPr>
          <w:lang w:val="es-ES"/>
        </w:rPr>
        <w:t xml:space="preserve"> </w:t>
      </w:r>
      <w:r w:rsidR="00613907" w:rsidRPr="0069011F">
        <w:rPr>
          <w:lang w:val="es-ES"/>
        </w:rPr>
        <w:t xml:space="preserve">24 horas del </w:t>
      </w:r>
      <w:bookmarkStart w:id="3" w:name="_GoBack"/>
      <w:bookmarkEnd w:id="3"/>
      <w:r w:rsidR="00613907" w:rsidRPr="0069011F">
        <w:rPr>
          <w:lang w:val="es-ES"/>
        </w:rPr>
        <w:t>día, razón por la cual, a lo larg</w:t>
      </w:r>
      <w:r w:rsidR="009D0001" w:rsidRPr="0069011F">
        <w:rPr>
          <w:lang w:val="es-ES"/>
        </w:rPr>
        <w:t xml:space="preserve">o de 2018, </w:t>
      </w:r>
      <w:r w:rsidR="00451E68" w:rsidRPr="0069011F">
        <w:rPr>
          <w:lang w:val="es-ES"/>
        </w:rPr>
        <w:t>la interrupción más prolongada duró solo</w:t>
      </w:r>
      <w:r w:rsidR="00651BC5" w:rsidRPr="0069011F">
        <w:rPr>
          <w:lang w:val="es-ES"/>
        </w:rPr>
        <w:t xml:space="preserve"> </w:t>
      </w:r>
      <w:r w:rsidR="00451E68" w:rsidRPr="0069011F">
        <w:rPr>
          <w:lang w:val="es-ES"/>
        </w:rPr>
        <w:t>2 horas y</w:t>
      </w:r>
      <w:r w:rsidR="00651BC5" w:rsidRPr="0069011F">
        <w:rPr>
          <w:lang w:val="es-ES"/>
        </w:rPr>
        <w:t xml:space="preserve"> </w:t>
      </w:r>
      <w:r w:rsidR="00451E68" w:rsidRPr="0069011F">
        <w:rPr>
          <w:lang w:val="es-ES"/>
        </w:rPr>
        <w:t xml:space="preserve">16 minutos y el servicio </w:t>
      </w:r>
      <w:r w:rsidR="009D0001" w:rsidRPr="0069011F">
        <w:rPr>
          <w:lang w:val="es-ES"/>
        </w:rPr>
        <w:t>estuvo disponible el</w:t>
      </w:r>
      <w:r w:rsidR="00651BC5" w:rsidRPr="0069011F">
        <w:rPr>
          <w:lang w:val="es-ES"/>
        </w:rPr>
        <w:t xml:space="preserve"> </w:t>
      </w:r>
      <w:r w:rsidR="00613907" w:rsidRPr="0069011F">
        <w:rPr>
          <w:lang w:val="es-ES"/>
        </w:rPr>
        <w:t>99,86% del tiempo, es decir</w:t>
      </w:r>
      <w:r w:rsidR="009D0001" w:rsidRPr="0069011F">
        <w:rPr>
          <w:lang w:val="es-ES"/>
        </w:rPr>
        <w:t>, que no lo estuvo alrededor de</w:t>
      </w:r>
      <w:r w:rsidR="00651BC5" w:rsidRPr="0069011F">
        <w:rPr>
          <w:lang w:val="es-ES"/>
        </w:rPr>
        <w:t xml:space="preserve"> </w:t>
      </w:r>
      <w:r w:rsidR="00613907" w:rsidRPr="0069011F">
        <w:rPr>
          <w:lang w:val="es-ES"/>
        </w:rPr>
        <w:t>12,6 horas (</w:t>
      </w:r>
      <w:r w:rsidR="002A094B" w:rsidRPr="0069011F">
        <w:rPr>
          <w:lang w:val="es-ES"/>
        </w:rPr>
        <w:t>incluido el tiempo dedicado a</w:t>
      </w:r>
      <w:r w:rsidR="00613907" w:rsidRPr="0069011F">
        <w:rPr>
          <w:lang w:val="es-ES"/>
        </w:rPr>
        <w:t xml:space="preserve"> las </w:t>
      </w:r>
      <w:r w:rsidR="009D0001" w:rsidRPr="0069011F">
        <w:rPr>
          <w:lang w:val="es-ES"/>
        </w:rPr>
        <w:t>tareas de mantenimiento)</w:t>
      </w:r>
      <w:r w:rsidR="00613907" w:rsidRPr="0069011F">
        <w:rPr>
          <w:lang w:val="es-ES"/>
        </w:rPr>
        <w:t xml:space="preserve">. </w:t>
      </w:r>
      <w:r w:rsidR="000C7A09" w:rsidRPr="0069011F">
        <w:rPr>
          <w:lang w:val="es-ES"/>
        </w:rPr>
        <w:t>A sabiendas de</w:t>
      </w:r>
      <w:r w:rsidR="00613907" w:rsidRPr="0069011F">
        <w:rPr>
          <w:lang w:val="es-ES"/>
        </w:rPr>
        <w:t xml:space="preserve"> que </w:t>
      </w:r>
      <w:r w:rsidR="001E396B" w:rsidRPr="0069011F">
        <w:rPr>
          <w:lang w:val="es-ES"/>
        </w:rPr>
        <w:t>una</w:t>
      </w:r>
      <w:r w:rsidR="00613907" w:rsidRPr="0069011F">
        <w:rPr>
          <w:lang w:val="es-ES"/>
        </w:rPr>
        <w:t xml:space="preserve"> interrupción del servicio puede tener graves consecuencias para los solicitantes, también se ha </w:t>
      </w:r>
      <w:r w:rsidR="002A094B" w:rsidRPr="0069011F">
        <w:rPr>
          <w:lang w:val="es-ES"/>
        </w:rPr>
        <w:t xml:space="preserve">puesto en marcha </w:t>
      </w:r>
      <w:r w:rsidR="000C7A09" w:rsidRPr="0069011F">
        <w:rPr>
          <w:lang w:val="es-ES"/>
        </w:rPr>
        <w:t>una prestación</w:t>
      </w:r>
      <w:r w:rsidR="00613907" w:rsidRPr="0069011F">
        <w:rPr>
          <w:lang w:val="es-ES"/>
        </w:rPr>
        <w:t xml:space="preserve"> de </w:t>
      </w:r>
      <w:r w:rsidR="000C7A09" w:rsidRPr="0069011F">
        <w:rPr>
          <w:lang w:val="es-ES"/>
        </w:rPr>
        <w:t>emergencia</w:t>
      </w:r>
      <w:r w:rsidR="00613907" w:rsidRPr="0069011F">
        <w:rPr>
          <w:lang w:val="es-ES"/>
        </w:rPr>
        <w:t xml:space="preserve">, </w:t>
      </w:r>
      <w:r w:rsidR="002A094B" w:rsidRPr="0069011F">
        <w:rPr>
          <w:lang w:val="es-ES"/>
        </w:rPr>
        <w:t xml:space="preserve">que </w:t>
      </w:r>
      <w:r w:rsidR="000C7A09" w:rsidRPr="0069011F">
        <w:rPr>
          <w:lang w:val="es-ES"/>
        </w:rPr>
        <w:t>facilita</w:t>
      </w:r>
      <w:r w:rsidR="002A094B" w:rsidRPr="0069011F">
        <w:rPr>
          <w:lang w:val="es-ES"/>
        </w:rPr>
        <w:t xml:space="preserve"> un</w:t>
      </w:r>
      <w:r w:rsidR="00613907" w:rsidRPr="0069011F">
        <w:rPr>
          <w:lang w:val="es-ES"/>
        </w:rPr>
        <w:t xml:space="preserve"> servicio de carga básico para documentos</w:t>
      </w:r>
      <w:r w:rsidR="002A094B" w:rsidRPr="0069011F">
        <w:rPr>
          <w:lang w:val="es-ES"/>
        </w:rPr>
        <w:t>,</w:t>
      </w:r>
      <w:r w:rsidR="00613907" w:rsidRPr="0069011F">
        <w:rPr>
          <w:lang w:val="es-ES"/>
        </w:rPr>
        <w:t xml:space="preserve"> </w:t>
      </w:r>
      <w:r w:rsidR="009D0001" w:rsidRPr="0069011F">
        <w:rPr>
          <w:lang w:val="es-ES"/>
        </w:rPr>
        <w:t>al margen</w:t>
      </w:r>
      <w:r w:rsidR="00613907" w:rsidRPr="0069011F">
        <w:rPr>
          <w:lang w:val="es-ES"/>
        </w:rPr>
        <w:t xml:space="preserve"> de los servicios que precisa el sistema ePCT principal</w:t>
      </w:r>
      <w:r w:rsidR="00F71C11" w:rsidRPr="0069011F">
        <w:rPr>
          <w:lang w:val="es-ES"/>
        </w:rPr>
        <w:t>.</w:t>
      </w:r>
    </w:p>
    <w:p w14:paraId="56E74D18" w14:textId="1416C613" w:rsidR="00F71C11" w:rsidRPr="0069011F" w:rsidRDefault="00112E9D" w:rsidP="00F71C11">
      <w:pPr>
        <w:pStyle w:val="ONUME"/>
        <w:rPr>
          <w:lang w:val="es-ES"/>
        </w:rPr>
      </w:pPr>
      <w:r w:rsidRPr="0069011F">
        <w:rPr>
          <w:lang w:val="es-ES"/>
        </w:rPr>
        <w:t xml:space="preserve">Desde la </w:t>
      </w:r>
      <w:r w:rsidR="00880C3C" w:rsidRPr="0069011F">
        <w:rPr>
          <w:lang w:val="es-ES"/>
        </w:rPr>
        <w:t xml:space="preserve">última </w:t>
      </w:r>
      <w:r w:rsidRPr="0069011F">
        <w:rPr>
          <w:lang w:val="es-ES"/>
        </w:rPr>
        <w:t xml:space="preserve">reunión del Grupo de Trabajo, </w:t>
      </w:r>
      <w:r w:rsidR="00880C3C" w:rsidRPr="0069011F">
        <w:rPr>
          <w:lang w:val="es-ES"/>
        </w:rPr>
        <w:t xml:space="preserve">se han introducido otros </w:t>
      </w:r>
      <w:r w:rsidR="00C11F0F" w:rsidRPr="0069011F">
        <w:rPr>
          <w:lang w:val="es-ES"/>
        </w:rPr>
        <w:t xml:space="preserve">adelantos </w:t>
      </w:r>
      <w:r w:rsidRPr="0069011F">
        <w:rPr>
          <w:lang w:val="es-ES"/>
        </w:rPr>
        <w:t xml:space="preserve">técnicos importantes para los solicitantes </w:t>
      </w:r>
      <w:r w:rsidR="00880C3C" w:rsidRPr="0069011F">
        <w:rPr>
          <w:lang w:val="es-ES"/>
        </w:rPr>
        <w:t>como</w:t>
      </w:r>
      <w:r w:rsidRPr="0069011F">
        <w:rPr>
          <w:lang w:val="es-ES"/>
        </w:rPr>
        <w:t xml:space="preserve"> las mejoras e</w:t>
      </w:r>
      <w:r w:rsidR="009D0001" w:rsidRPr="0069011F">
        <w:rPr>
          <w:lang w:val="es-ES"/>
        </w:rPr>
        <w:t>n los instrumentos de colaboración (entre ellos</w:t>
      </w:r>
      <w:r w:rsidRPr="0069011F">
        <w:rPr>
          <w:lang w:val="es-ES"/>
        </w:rPr>
        <w:t xml:space="preserve">, un mecanismo para que las personas </w:t>
      </w:r>
      <w:r w:rsidR="00880C3C" w:rsidRPr="0069011F">
        <w:rPr>
          <w:lang w:val="es-ES"/>
        </w:rPr>
        <w:t>sin</w:t>
      </w:r>
      <w:r w:rsidRPr="0069011F">
        <w:rPr>
          <w:lang w:val="es-ES"/>
        </w:rPr>
        <w:t xml:space="preserve"> cuentas </w:t>
      </w:r>
      <w:r w:rsidR="004936B7" w:rsidRPr="0069011F">
        <w:rPr>
          <w:lang w:val="es-ES"/>
        </w:rPr>
        <w:t>para acceder al</w:t>
      </w:r>
      <w:r w:rsidRPr="0069011F">
        <w:rPr>
          <w:lang w:val="es-ES"/>
        </w:rPr>
        <w:t xml:space="preserve"> ePCT puedan añadir firmas). El principal avance para las Oficinas ha sido la introducción de acuerdos básicos relativos al flujo de trabajo.</w:t>
      </w:r>
      <w:r w:rsidR="00F71C11" w:rsidRPr="0069011F">
        <w:rPr>
          <w:lang w:val="es-ES"/>
        </w:rPr>
        <w:t xml:space="preserve"> </w:t>
      </w:r>
      <w:r w:rsidRPr="0069011F">
        <w:rPr>
          <w:lang w:val="es-ES"/>
        </w:rPr>
        <w:t xml:space="preserve">No obstante, también se han </w:t>
      </w:r>
      <w:r w:rsidR="00880C3C" w:rsidRPr="0069011F">
        <w:rPr>
          <w:lang w:val="es-ES"/>
        </w:rPr>
        <w:t xml:space="preserve">incorporado </w:t>
      </w:r>
      <w:r w:rsidRPr="0069011F">
        <w:rPr>
          <w:lang w:val="es-ES"/>
        </w:rPr>
        <w:t>otr</w:t>
      </w:r>
      <w:r w:rsidR="00C11F0F" w:rsidRPr="0069011F">
        <w:rPr>
          <w:lang w:val="es-ES"/>
        </w:rPr>
        <w:t>o</w:t>
      </w:r>
      <w:r w:rsidRPr="0069011F">
        <w:rPr>
          <w:lang w:val="es-ES"/>
        </w:rPr>
        <w:t xml:space="preserve">s </w:t>
      </w:r>
      <w:r w:rsidR="00C11F0F" w:rsidRPr="0069011F">
        <w:rPr>
          <w:lang w:val="es-ES"/>
        </w:rPr>
        <w:t xml:space="preserve">perfeccionamientos </w:t>
      </w:r>
      <w:r w:rsidRPr="0069011F">
        <w:rPr>
          <w:lang w:val="es-ES"/>
        </w:rPr>
        <w:t xml:space="preserve">funcionales </w:t>
      </w:r>
      <w:r w:rsidR="00C11F0F" w:rsidRPr="0069011F">
        <w:rPr>
          <w:lang w:val="es-ES"/>
        </w:rPr>
        <w:t>en beneficio tanto de</w:t>
      </w:r>
      <w:r w:rsidRPr="0069011F">
        <w:rPr>
          <w:lang w:val="es-ES"/>
        </w:rPr>
        <w:t xml:space="preserve"> los solicitantes </w:t>
      </w:r>
      <w:r w:rsidR="00C11F0F" w:rsidRPr="0069011F">
        <w:rPr>
          <w:lang w:val="es-ES"/>
        </w:rPr>
        <w:t>como de</w:t>
      </w:r>
      <w:r w:rsidR="00404463" w:rsidRPr="0069011F">
        <w:rPr>
          <w:lang w:val="es-ES"/>
        </w:rPr>
        <w:t xml:space="preserve"> las </w:t>
      </w:r>
      <w:r w:rsidRPr="0069011F">
        <w:rPr>
          <w:lang w:val="es-ES"/>
        </w:rPr>
        <w:t>Oficinas</w:t>
      </w:r>
      <w:r w:rsidR="00F71C11" w:rsidRPr="0069011F">
        <w:rPr>
          <w:lang w:val="es-ES"/>
        </w:rPr>
        <w:t>.</w:t>
      </w:r>
    </w:p>
    <w:p w14:paraId="02857DC5" w14:textId="591A82F4" w:rsidR="00F71C11" w:rsidRPr="0069011F" w:rsidRDefault="008E6CEA" w:rsidP="009066F3">
      <w:pPr>
        <w:pStyle w:val="ONUME"/>
        <w:rPr>
          <w:lang w:val="es-ES"/>
        </w:rPr>
      </w:pPr>
      <w:r w:rsidRPr="0069011F">
        <w:rPr>
          <w:lang w:val="es-ES"/>
        </w:rPr>
        <w:t>En la actualidad, el sistema de presentación electr</w:t>
      </w:r>
      <w:r w:rsidR="004936B7" w:rsidRPr="0069011F">
        <w:rPr>
          <w:lang w:val="es-ES"/>
        </w:rPr>
        <w:t xml:space="preserve">ónica ePCT está disponible </w:t>
      </w:r>
      <w:r w:rsidR="001F7C6D" w:rsidRPr="0069011F">
        <w:rPr>
          <w:lang w:val="es-ES"/>
        </w:rPr>
        <w:t>en</w:t>
      </w:r>
      <w:r w:rsidR="00651BC5" w:rsidRPr="0069011F">
        <w:rPr>
          <w:lang w:val="es-ES"/>
        </w:rPr>
        <w:t xml:space="preserve"> </w:t>
      </w:r>
      <w:r w:rsidRPr="0069011F">
        <w:rPr>
          <w:lang w:val="es-ES"/>
        </w:rPr>
        <w:t>57 Oficinas receptoras de todo el mundo. Los documentos presentados posteriormente pueden cargarse a través</w:t>
      </w:r>
      <w:r w:rsidR="004936B7" w:rsidRPr="0069011F">
        <w:rPr>
          <w:lang w:val="es-ES"/>
        </w:rPr>
        <w:t xml:space="preserve"> del ePCT para ser entregados a</w:t>
      </w:r>
      <w:r w:rsidR="00651BC5" w:rsidRPr="0069011F">
        <w:rPr>
          <w:lang w:val="es-ES"/>
        </w:rPr>
        <w:t xml:space="preserve"> </w:t>
      </w:r>
      <w:r w:rsidRPr="0069011F">
        <w:rPr>
          <w:lang w:val="es-ES"/>
        </w:rPr>
        <w:t>71 Oficinas que actúan en calidad de Oficinas receptoras (RO) o de Administraciones encargadas de la búsqueda internacional y del examen preliminar internacional (ISA e IPEA)</w:t>
      </w:r>
      <w:r w:rsidR="00F71C11" w:rsidRPr="0069011F">
        <w:rPr>
          <w:lang w:val="es-ES"/>
        </w:rPr>
        <w:t>.</w:t>
      </w:r>
      <w:r w:rsidR="002D4540" w:rsidRPr="0069011F">
        <w:rPr>
          <w:lang w:val="es-ES"/>
        </w:rPr>
        <w:t xml:space="preserve"> </w:t>
      </w:r>
      <w:r w:rsidR="001F7C6D" w:rsidRPr="0069011F">
        <w:rPr>
          <w:lang w:val="es-ES"/>
        </w:rPr>
        <w:t>Ochenta</w:t>
      </w:r>
      <w:r w:rsidRPr="0069011F">
        <w:rPr>
          <w:lang w:val="es-ES"/>
        </w:rPr>
        <w:t xml:space="preserve"> </w:t>
      </w:r>
      <w:r w:rsidR="001F7C6D" w:rsidRPr="0069011F">
        <w:rPr>
          <w:lang w:val="es-ES"/>
        </w:rPr>
        <w:t>O</w:t>
      </w:r>
      <w:r w:rsidRPr="0069011F">
        <w:rPr>
          <w:lang w:val="es-ES"/>
        </w:rPr>
        <w:t>ficinas tienen acceso a los servicios ePCT en su calidad de RO, ISA/IPEA u Oficina designada o elegida</w:t>
      </w:r>
      <w:r w:rsidR="00F71C11" w:rsidRPr="0069011F">
        <w:rPr>
          <w:lang w:val="es-ES"/>
        </w:rPr>
        <w:t>.</w:t>
      </w:r>
    </w:p>
    <w:p w14:paraId="56369F32" w14:textId="42183320" w:rsidR="00F71C11" w:rsidRPr="0069011F" w:rsidRDefault="001071E0" w:rsidP="00F71C11">
      <w:pPr>
        <w:pStyle w:val="ONUME"/>
        <w:rPr>
          <w:lang w:val="es-ES"/>
        </w:rPr>
      </w:pPr>
      <w:r w:rsidRPr="0069011F">
        <w:rPr>
          <w:lang w:val="es-ES"/>
        </w:rPr>
        <w:t xml:space="preserve">El acceso mediante navegador es el aspecto más visible del ePCT, pero varias opciones para integrar </w:t>
      </w:r>
      <w:r w:rsidR="004936B7" w:rsidRPr="0069011F">
        <w:rPr>
          <w:lang w:val="es-ES"/>
        </w:rPr>
        <w:t xml:space="preserve">los </w:t>
      </w:r>
      <w:r w:rsidRPr="0069011F">
        <w:rPr>
          <w:lang w:val="es-ES"/>
        </w:rPr>
        <w:t>servicios en otros sistemas</w:t>
      </w:r>
      <w:r w:rsidR="00344C78" w:rsidRPr="0069011F">
        <w:rPr>
          <w:lang w:val="es-ES"/>
        </w:rPr>
        <w:t xml:space="preserve"> están disponibles o en desarrollo</w:t>
      </w:r>
      <w:r w:rsidRPr="0069011F">
        <w:rPr>
          <w:lang w:val="es-ES"/>
        </w:rPr>
        <w:t xml:space="preserve">. En la actualidad, una pequeña cantidad de Oficinas y solicitantes </w:t>
      </w:r>
      <w:r w:rsidR="007D733D" w:rsidRPr="0069011F">
        <w:rPr>
          <w:lang w:val="es-ES"/>
        </w:rPr>
        <w:t>utilizan</w:t>
      </w:r>
      <w:r w:rsidRPr="0069011F">
        <w:rPr>
          <w:lang w:val="es-ES"/>
        </w:rPr>
        <w:t xml:space="preserve"> diversos servicios web seguros que permiten </w:t>
      </w:r>
      <w:r w:rsidR="007D733D" w:rsidRPr="0069011F">
        <w:rPr>
          <w:lang w:val="es-ES"/>
        </w:rPr>
        <w:t xml:space="preserve">la automatización </w:t>
      </w:r>
      <w:r w:rsidRPr="0069011F">
        <w:rPr>
          <w:lang w:val="es-ES"/>
        </w:rPr>
        <w:t>entre máquinas</w:t>
      </w:r>
      <w:r w:rsidR="007D733D" w:rsidRPr="0069011F">
        <w:rPr>
          <w:lang w:val="es-ES"/>
        </w:rPr>
        <w:t xml:space="preserve"> de determinados servicios</w:t>
      </w:r>
      <w:r w:rsidRPr="0069011F">
        <w:rPr>
          <w:lang w:val="es-ES"/>
        </w:rPr>
        <w:t xml:space="preserve">, equivalentes a los que están disponibles a través del navegador. Asimismo, </w:t>
      </w:r>
      <w:r w:rsidR="007D733D" w:rsidRPr="0069011F">
        <w:rPr>
          <w:lang w:val="es-ES"/>
        </w:rPr>
        <w:t xml:space="preserve">está en curso de ejecución </w:t>
      </w:r>
      <w:r w:rsidRPr="0069011F">
        <w:rPr>
          <w:lang w:val="es-ES"/>
        </w:rPr>
        <w:t xml:space="preserve">un proyecto piloto </w:t>
      </w:r>
      <w:r w:rsidR="007D733D" w:rsidRPr="0069011F">
        <w:rPr>
          <w:lang w:val="es-ES"/>
        </w:rPr>
        <w:t>destinado</w:t>
      </w:r>
      <w:r w:rsidRPr="0069011F">
        <w:rPr>
          <w:lang w:val="es-ES"/>
        </w:rPr>
        <w:t xml:space="preserve"> a integrar los servicios ePCT en los portales web de las Oficinas nacionales</w:t>
      </w:r>
      <w:r w:rsidR="00A378FA" w:rsidRPr="0069011F">
        <w:rPr>
          <w:lang w:val="es-ES"/>
        </w:rPr>
        <w:t xml:space="preserve">. Esto </w:t>
      </w:r>
      <w:r w:rsidR="00EA32E6" w:rsidRPr="0069011F">
        <w:rPr>
          <w:lang w:val="es-ES"/>
        </w:rPr>
        <w:t>les</w:t>
      </w:r>
      <w:r w:rsidR="00055503" w:rsidRPr="0069011F">
        <w:rPr>
          <w:lang w:val="es-ES"/>
        </w:rPr>
        <w:t xml:space="preserve"> </w:t>
      </w:r>
      <w:r w:rsidR="00A378FA" w:rsidRPr="0069011F">
        <w:rPr>
          <w:lang w:val="es-ES"/>
        </w:rPr>
        <w:t xml:space="preserve">permitirá reducir sus costos de desarrollo y mantenimiento y garantizar la total </w:t>
      </w:r>
      <w:r w:rsidR="004936B7" w:rsidRPr="0069011F">
        <w:rPr>
          <w:lang w:val="es-ES"/>
        </w:rPr>
        <w:t>armonía</w:t>
      </w:r>
      <w:r w:rsidR="00A378FA" w:rsidRPr="0069011F">
        <w:rPr>
          <w:lang w:val="es-ES"/>
        </w:rPr>
        <w:t xml:space="preserve"> </w:t>
      </w:r>
      <w:r w:rsidR="00A378FA" w:rsidRPr="0069011F">
        <w:rPr>
          <w:lang w:val="es-ES"/>
        </w:rPr>
        <w:lastRenderedPageBreak/>
        <w:t xml:space="preserve">con las reglas y normas </w:t>
      </w:r>
      <w:r w:rsidR="007D733D" w:rsidRPr="0069011F">
        <w:rPr>
          <w:lang w:val="es-ES"/>
        </w:rPr>
        <w:t xml:space="preserve">vigentes </w:t>
      </w:r>
      <w:r w:rsidR="00A378FA" w:rsidRPr="0069011F">
        <w:rPr>
          <w:lang w:val="es-ES"/>
        </w:rPr>
        <w:t>del PCT, al tiempo que ofrece un portal</w:t>
      </w:r>
      <w:r w:rsidR="004936B7" w:rsidRPr="0069011F">
        <w:rPr>
          <w:lang w:val="es-ES"/>
        </w:rPr>
        <w:t xml:space="preserve"> </w:t>
      </w:r>
      <w:r w:rsidR="00A378FA" w:rsidRPr="0069011F">
        <w:rPr>
          <w:lang w:val="es-ES"/>
        </w:rPr>
        <w:t xml:space="preserve">integrado con el </w:t>
      </w:r>
      <w:r w:rsidR="00EA32E6" w:rsidRPr="0069011F">
        <w:rPr>
          <w:lang w:val="es-ES"/>
        </w:rPr>
        <w:t>utilizado</w:t>
      </w:r>
      <w:r w:rsidR="00A378FA" w:rsidRPr="0069011F">
        <w:rPr>
          <w:lang w:val="es-ES"/>
        </w:rPr>
        <w:t xml:space="preserve"> para sus servicios nacionales</w:t>
      </w:r>
      <w:r w:rsidR="00F71C11" w:rsidRPr="0069011F">
        <w:rPr>
          <w:lang w:val="es-ES"/>
        </w:rPr>
        <w:t>.</w:t>
      </w:r>
    </w:p>
    <w:p w14:paraId="08861697" w14:textId="018A3F90" w:rsidR="00F71C11" w:rsidRPr="0069011F" w:rsidRDefault="00E87597" w:rsidP="00F71C11">
      <w:pPr>
        <w:pStyle w:val="ONUME"/>
        <w:rPr>
          <w:lang w:val="es-ES"/>
        </w:rPr>
      </w:pPr>
      <w:r w:rsidRPr="0069011F">
        <w:rPr>
          <w:lang w:val="es-ES"/>
        </w:rPr>
        <w:t xml:space="preserve">Asimismo, </w:t>
      </w:r>
      <w:r w:rsidR="00586512" w:rsidRPr="0069011F">
        <w:rPr>
          <w:lang w:val="es-ES"/>
        </w:rPr>
        <w:t xml:space="preserve">se ha introducido </w:t>
      </w:r>
      <w:r w:rsidR="005826E9" w:rsidRPr="0069011F">
        <w:rPr>
          <w:lang w:val="es-ES"/>
        </w:rPr>
        <w:t xml:space="preserve">recientemente </w:t>
      </w:r>
      <w:r w:rsidR="00586512" w:rsidRPr="0069011F">
        <w:rPr>
          <w:lang w:val="es-ES"/>
        </w:rPr>
        <w:t>una nueva opción que permite a los solicitantes que presenten una solicitud ante una RO</w:t>
      </w:r>
      <w:r w:rsidR="006C7AEF" w:rsidRPr="0069011F">
        <w:rPr>
          <w:lang w:val="es-ES"/>
        </w:rPr>
        <w:t xml:space="preserve"> de la República de Corea</w:t>
      </w:r>
      <w:r w:rsidR="00586512" w:rsidRPr="0069011F">
        <w:rPr>
          <w:lang w:val="es-ES"/>
        </w:rPr>
        <w:t xml:space="preserve"> </w:t>
      </w:r>
      <w:r w:rsidR="000936FD" w:rsidRPr="0069011F">
        <w:rPr>
          <w:lang w:val="es-ES"/>
        </w:rPr>
        <w:t>incorporar</w:t>
      </w:r>
      <w:r w:rsidR="00586512" w:rsidRPr="0069011F">
        <w:rPr>
          <w:lang w:val="es-ES"/>
        </w:rPr>
        <w:t xml:space="preserve"> información </w:t>
      </w:r>
      <w:r w:rsidR="000936FD" w:rsidRPr="0069011F">
        <w:rPr>
          <w:lang w:val="es-ES"/>
        </w:rPr>
        <w:t>a</w:t>
      </w:r>
      <w:r w:rsidR="00586512" w:rsidRPr="0069011F">
        <w:rPr>
          <w:lang w:val="es-ES"/>
        </w:rPr>
        <w:t xml:space="preserve"> una solicitud internacional preparada </w:t>
      </w:r>
      <w:r w:rsidR="007D56F8" w:rsidRPr="0069011F">
        <w:rPr>
          <w:lang w:val="es-ES"/>
        </w:rPr>
        <w:t xml:space="preserve">mediante </w:t>
      </w:r>
      <w:r w:rsidR="00586512" w:rsidRPr="0069011F">
        <w:rPr>
          <w:lang w:val="es-ES"/>
        </w:rPr>
        <w:t xml:space="preserve">el sistema de presentación ePCT para asociarla automáticamente con una cuenta de la </w:t>
      </w:r>
      <w:r w:rsidR="006C7AEF" w:rsidRPr="0069011F">
        <w:rPr>
          <w:lang w:val="es-ES"/>
        </w:rPr>
        <w:t>Oficina Surcoreana de Propiedad Intelectual (</w:t>
      </w:r>
      <w:r w:rsidR="00586512" w:rsidRPr="0069011F">
        <w:rPr>
          <w:lang w:val="es-ES"/>
        </w:rPr>
        <w:t>KIPO</w:t>
      </w:r>
      <w:r w:rsidR="006C7AEF" w:rsidRPr="0069011F">
        <w:rPr>
          <w:lang w:val="es-ES"/>
        </w:rPr>
        <w:t>)</w:t>
      </w:r>
      <w:r w:rsidR="00586512" w:rsidRPr="0069011F">
        <w:rPr>
          <w:lang w:val="es-ES"/>
        </w:rPr>
        <w:t xml:space="preserve"> y una cuenta de la OMPI</w:t>
      </w:r>
      <w:r w:rsidR="005826E9" w:rsidRPr="0069011F">
        <w:rPr>
          <w:lang w:val="es-ES"/>
        </w:rPr>
        <w:t xml:space="preserve"> a la vez</w:t>
      </w:r>
      <w:r w:rsidR="00586512" w:rsidRPr="0069011F">
        <w:rPr>
          <w:lang w:val="es-ES"/>
        </w:rPr>
        <w:t>. Esto mejora la capacidad de los solicitantes para realizar intercambios sencillos de documentos dentro del sistema nacional, al tiempo que</w:t>
      </w:r>
      <w:r w:rsidR="000936FD" w:rsidRPr="0069011F">
        <w:rPr>
          <w:lang w:val="es-ES"/>
        </w:rPr>
        <w:t xml:space="preserve"> permite que los servicios íntegros del ePCT </w:t>
      </w:r>
      <w:r w:rsidR="00586512" w:rsidRPr="0069011F">
        <w:rPr>
          <w:lang w:val="es-ES"/>
        </w:rPr>
        <w:t xml:space="preserve">se utilicen para </w:t>
      </w:r>
      <w:r w:rsidR="005826E9" w:rsidRPr="0069011F">
        <w:rPr>
          <w:lang w:val="es-ES"/>
        </w:rPr>
        <w:t>la validación y creación de</w:t>
      </w:r>
      <w:r w:rsidR="00586512" w:rsidRPr="0069011F">
        <w:rPr>
          <w:lang w:val="es-ES"/>
        </w:rPr>
        <w:t xml:space="preserve"> datos coherentes para acciones complejas, principalmente para </w:t>
      </w:r>
      <w:r w:rsidR="005826E9" w:rsidRPr="0069011F">
        <w:rPr>
          <w:lang w:val="es-ES"/>
        </w:rPr>
        <w:t>la redacción y presentación de</w:t>
      </w:r>
      <w:r w:rsidR="00586512" w:rsidRPr="0069011F">
        <w:rPr>
          <w:lang w:val="es-ES"/>
        </w:rPr>
        <w:t xml:space="preserve"> la solicitud internacional inicial. </w:t>
      </w:r>
      <w:r w:rsidR="005826E9" w:rsidRPr="0069011F">
        <w:rPr>
          <w:lang w:val="es-ES"/>
        </w:rPr>
        <w:t>Se podrían concretar</w:t>
      </w:r>
      <w:r w:rsidR="00586512" w:rsidRPr="0069011F">
        <w:rPr>
          <w:lang w:val="es-ES"/>
        </w:rPr>
        <w:t xml:space="preserve"> acuerdos similares </w:t>
      </w:r>
      <w:r w:rsidR="005826E9" w:rsidRPr="0069011F">
        <w:rPr>
          <w:lang w:val="es-ES"/>
        </w:rPr>
        <w:t xml:space="preserve">con </w:t>
      </w:r>
      <w:r w:rsidR="00586512" w:rsidRPr="0069011F">
        <w:rPr>
          <w:lang w:val="es-ES"/>
        </w:rPr>
        <w:t>otras Oficinas</w:t>
      </w:r>
      <w:r w:rsidR="00F71C11" w:rsidRPr="0069011F">
        <w:rPr>
          <w:lang w:val="es-ES"/>
        </w:rPr>
        <w:t>.</w:t>
      </w:r>
    </w:p>
    <w:p w14:paraId="1B1D45AC" w14:textId="4D970584" w:rsidR="009E0B2B" w:rsidRPr="0069011F" w:rsidRDefault="00CE2856" w:rsidP="00F71C11">
      <w:pPr>
        <w:pStyle w:val="ONUME"/>
        <w:rPr>
          <w:lang w:val="es-ES"/>
        </w:rPr>
      </w:pPr>
      <w:r w:rsidRPr="0069011F">
        <w:rPr>
          <w:lang w:val="es-ES"/>
        </w:rPr>
        <w:t xml:space="preserve">La Oficina Internacional </w:t>
      </w:r>
      <w:r w:rsidR="005826E9" w:rsidRPr="0069011F">
        <w:rPr>
          <w:lang w:val="es-ES"/>
        </w:rPr>
        <w:t>confiere suma</w:t>
      </w:r>
      <w:r w:rsidRPr="0069011F">
        <w:rPr>
          <w:lang w:val="es-ES"/>
        </w:rPr>
        <w:t xml:space="preserve"> importancia </w:t>
      </w:r>
      <w:r w:rsidR="005826E9" w:rsidRPr="0069011F">
        <w:rPr>
          <w:lang w:val="es-ES"/>
        </w:rPr>
        <w:t xml:space="preserve">a </w:t>
      </w:r>
      <w:r w:rsidRPr="0069011F">
        <w:rPr>
          <w:lang w:val="es-ES"/>
        </w:rPr>
        <w:t>los objetivos formulados en el Anexo</w:t>
      </w:r>
      <w:r w:rsidR="00651BC5" w:rsidRPr="0069011F">
        <w:rPr>
          <w:lang w:val="es-ES"/>
        </w:rPr>
        <w:t xml:space="preserve"> </w:t>
      </w:r>
      <w:r w:rsidRPr="0069011F">
        <w:rPr>
          <w:lang w:val="es-ES"/>
        </w:rPr>
        <w:t xml:space="preserve">F de las Instrucciones Administrativas del PCT, entre los que destacan una única norma común para la presentación de solicitudes internacionales en formato electrónico y un programa común capaz de realizar presentaciones en ese formato en cualquier Oficina receptora. Sin embargo, los cambios tecnológicos han provocado que el programa específico para el cliente ya no se considere la mejor solución y, actualmente, el programa común para la mayoría de las Oficinas receptoras es el sistema de presentación electrónica ePCT. </w:t>
      </w:r>
      <w:r w:rsidR="000936FD" w:rsidRPr="0069011F">
        <w:rPr>
          <w:lang w:val="es-ES"/>
        </w:rPr>
        <w:t>De las</w:t>
      </w:r>
      <w:r w:rsidR="00651BC5" w:rsidRPr="0069011F">
        <w:rPr>
          <w:lang w:val="es-ES"/>
        </w:rPr>
        <w:t xml:space="preserve"> </w:t>
      </w:r>
      <w:r w:rsidRPr="0069011F">
        <w:rPr>
          <w:lang w:val="es-ES"/>
        </w:rPr>
        <w:t xml:space="preserve">12 Oficinas receptoras que </w:t>
      </w:r>
      <w:r w:rsidR="004C3D29" w:rsidRPr="0069011F">
        <w:rPr>
          <w:lang w:val="es-ES"/>
        </w:rPr>
        <w:t xml:space="preserve">todavía </w:t>
      </w:r>
      <w:r w:rsidRPr="0069011F">
        <w:rPr>
          <w:lang w:val="es-ES"/>
        </w:rPr>
        <w:t>permiten el uso del sistema PCT-SAFE para la presentación electróni</w:t>
      </w:r>
      <w:r w:rsidR="000936FD" w:rsidRPr="0069011F">
        <w:rPr>
          <w:lang w:val="es-ES"/>
        </w:rPr>
        <w:t>ca, solo cuatro reciben más del</w:t>
      </w:r>
      <w:r w:rsidR="00651BC5" w:rsidRPr="0069011F">
        <w:rPr>
          <w:lang w:val="es-ES"/>
        </w:rPr>
        <w:t xml:space="preserve"> </w:t>
      </w:r>
      <w:r w:rsidRPr="0069011F">
        <w:rPr>
          <w:lang w:val="es-ES"/>
        </w:rPr>
        <w:t>10% de sus solicitudes a través de ese programa. La Oficina Internacional ha manifestado el deseo de lograr acuerdos con estas Oficinas para que PCT</w:t>
      </w:r>
      <w:r w:rsidRPr="0069011F">
        <w:rPr>
          <w:rFonts w:ascii="Palatino" w:hAnsi="Palatino" w:cs="Palatino"/>
          <w:lang w:val="es-ES"/>
        </w:rPr>
        <w:t>‑</w:t>
      </w:r>
      <w:r w:rsidRPr="0069011F">
        <w:rPr>
          <w:lang w:val="es-ES"/>
        </w:rPr>
        <w:t>SAFE se suspenda en favor de soluciones basadas en el sistema de presentación electrónica ePCT.</w:t>
      </w:r>
    </w:p>
    <w:p w14:paraId="4D068E68" w14:textId="77777777" w:rsidR="00F71C11" w:rsidRPr="0069011F" w:rsidRDefault="00F71C11" w:rsidP="00EC03AF">
      <w:pPr>
        <w:pStyle w:val="Heading3"/>
        <w:keepNext w:val="0"/>
      </w:pPr>
      <w:r w:rsidRPr="0069011F">
        <w:t>eSearchCopy</w:t>
      </w:r>
    </w:p>
    <w:p w14:paraId="0F920B18" w14:textId="4F5A051E" w:rsidR="00F71C11" w:rsidRPr="0069011F" w:rsidRDefault="008A2A95" w:rsidP="00F71C11">
      <w:pPr>
        <w:pStyle w:val="ONUME"/>
        <w:rPr>
          <w:lang w:val="es-ES"/>
        </w:rPr>
      </w:pPr>
      <w:r w:rsidRPr="0069011F">
        <w:rPr>
          <w:lang w:val="es-ES"/>
        </w:rPr>
        <w:t>El servicio eSearc</w:t>
      </w:r>
      <w:r w:rsidR="00634F51" w:rsidRPr="0069011F">
        <w:rPr>
          <w:lang w:val="es-ES"/>
        </w:rPr>
        <w:t>hCopy se utiliza actualmente en</w:t>
      </w:r>
      <w:r w:rsidR="00651BC5" w:rsidRPr="0069011F">
        <w:rPr>
          <w:lang w:val="es-ES"/>
        </w:rPr>
        <w:t xml:space="preserve"> </w:t>
      </w:r>
      <w:r w:rsidR="00634F51" w:rsidRPr="0069011F">
        <w:rPr>
          <w:lang w:val="es-ES"/>
        </w:rPr>
        <w:t>216 de los</w:t>
      </w:r>
      <w:r w:rsidR="00651BC5" w:rsidRPr="0069011F">
        <w:rPr>
          <w:lang w:val="es-ES"/>
        </w:rPr>
        <w:t xml:space="preserve"> </w:t>
      </w:r>
      <w:r w:rsidRPr="0069011F">
        <w:rPr>
          <w:lang w:val="es-ES"/>
        </w:rPr>
        <w:t xml:space="preserve">370 pares </w:t>
      </w:r>
      <w:r w:rsidR="00674A0F" w:rsidRPr="0069011F">
        <w:rPr>
          <w:lang w:val="es-ES"/>
        </w:rPr>
        <w:t xml:space="preserve">posibles </w:t>
      </w:r>
      <w:r w:rsidRPr="0069011F">
        <w:rPr>
          <w:lang w:val="es-ES"/>
        </w:rPr>
        <w:t xml:space="preserve">de Oficinas </w:t>
      </w:r>
      <w:r w:rsidR="00107185" w:rsidRPr="0069011F">
        <w:rPr>
          <w:lang w:val="es-ES"/>
        </w:rPr>
        <w:t xml:space="preserve">y administraciones encargadas de la búsqueda internacional cuando la misma Oficina no desempeña ambas funciones </w:t>
      </w:r>
      <w:r w:rsidRPr="0069011F">
        <w:rPr>
          <w:lang w:val="es-ES"/>
        </w:rPr>
        <w:t xml:space="preserve">y, </w:t>
      </w:r>
      <w:r w:rsidR="00674A0F" w:rsidRPr="0069011F">
        <w:rPr>
          <w:lang w:val="es-ES"/>
        </w:rPr>
        <w:t>en breve</w:t>
      </w:r>
      <w:r w:rsidRPr="0069011F">
        <w:rPr>
          <w:lang w:val="es-ES"/>
        </w:rPr>
        <w:t xml:space="preserve">, se incorporarán más Oficinas. </w:t>
      </w:r>
      <w:r w:rsidR="00674A0F" w:rsidRPr="0069011F">
        <w:rPr>
          <w:lang w:val="es-ES"/>
        </w:rPr>
        <w:t>Estos cauces</w:t>
      </w:r>
      <w:r w:rsidR="00634F51" w:rsidRPr="0069011F">
        <w:rPr>
          <w:lang w:val="es-ES"/>
        </w:rPr>
        <w:t xml:space="preserve"> representan casi el</w:t>
      </w:r>
      <w:r w:rsidR="00651BC5" w:rsidRPr="0069011F">
        <w:rPr>
          <w:lang w:val="es-ES"/>
        </w:rPr>
        <w:t xml:space="preserve"> </w:t>
      </w:r>
      <w:r w:rsidRPr="0069011F">
        <w:rPr>
          <w:lang w:val="es-ES"/>
        </w:rPr>
        <w:t xml:space="preserve">57% del volumen total de transmisiones de copias para la búsqueda entre las distintas Oficinas. </w:t>
      </w:r>
      <w:r w:rsidR="00634F51" w:rsidRPr="0069011F">
        <w:rPr>
          <w:lang w:val="es-ES"/>
        </w:rPr>
        <w:t>Además, otro</w:t>
      </w:r>
      <w:r w:rsidR="00651BC5" w:rsidRPr="0069011F">
        <w:rPr>
          <w:lang w:val="es-ES"/>
        </w:rPr>
        <w:t xml:space="preserve"> </w:t>
      </w:r>
      <w:r w:rsidRPr="0069011F">
        <w:rPr>
          <w:lang w:val="es-ES"/>
        </w:rPr>
        <w:t>40% de esas copias transmitidas entre las Oficinas se envía mediante los servicios bilaterales por Internet preexistentes.</w:t>
      </w:r>
      <w:r w:rsidR="00F71C11" w:rsidRPr="0069011F">
        <w:rPr>
          <w:lang w:val="es-ES"/>
        </w:rPr>
        <w:t xml:space="preserve"> </w:t>
      </w:r>
      <w:r w:rsidR="00634F51" w:rsidRPr="0069011F">
        <w:rPr>
          <w:lang w:val="es-ES"/>
        </w:rPr>
        <w:t>En consecuencia, menos del</w:t>
      </w:r>
      <w:r w:rsidR="00651BC5" w:rsidRPr="0069011F">
        <w:rPr>
          <w:lang w:val="es-ES"/>
        </w:rPr>
        <w:t xml:space="preserve"> </w:t>
      </w:r>
      <w:r w:rsidR="00295C34" w:rsidRPr="0069011F">
        <w:rPr>
          <w:lang w:val="es-ES"/>
        </w:rPr>
        <w:t>3% de las copias para la búsqueda transmitidas entre las distintas Oficinas aún se envían exclusivamente por correo (algunas solicitudes se envían tanto por correo postal como electrónico durante los períodos de operaciones de prueba para los pares de eSearchCopy)</w:t>
      </w:r>
      <w:r w:rsidR="00F71C11" w:rsidRPr="0069011F">
        <w:rPr>
          <w:lang w:val="es-ES"/>
        </w:rPr>
        <w:t>.</w:t>
      </w:r>
    </w:p>
    <w:p w14:paraId="70C04CFD" w14:textId="77777777" w:rsidR="00F71C11" w:rsidRPr="0069011F" w:rsidRDefault="00F71C11" w:rsidP="00EC03AF">
      <w:pPr>
        <w:pStyle w:val="Heading3"/>
        <w:keepNext w:val="0"/>
      </w:pPr>
      <w:r w:rsidRPr="0069011F">
        <w:t>DAS</w:t>
      </w:r>
    </w:p>
    <w:p w14:paraId="1C568BBC" w14:textId="04D90753" w:rsidR="00905A4E" w:rsidRPr="0069011F" w:rsidRDefault="00295C34" w:rsidP="00905A4E">
      <w:pPr>
        <w:pStyle w:val="ONUME"/>
        <w:rPr>
          <w:lang w:val="es-ES"/>
        </w:rPr>
      </w:pPr>
      <w:r w:rsidRPr="0069011F">
        <w:rPr>
          <w:lang w:val="es-ES"/>
        </w:rPr>
        <w:t xml:space="preserve">En la actualidad, el Servicio de Acceso Digital de la OMPI </w:t>
      </w:r>
      <w:r w:rsidR="00634F51" w:rsidRPr="0069011F">
        <w:rPr>
          <w:lang w:val="es-ES"/>
        </w:rPr>
        <w:t>a los Documentos de P</w:t>
      </w:r>
      <w:r w:rsidR="00A06834" w:rsidRPr="0069011F">
        <w:rPr>
          <w:lang w:val="es-ES"/>
        </w:rPr>
        <w:t>rioridad (DAS) cuenta con</w:t>
      </w:r>
      <w:r w:rsidR="00651BC5" w:rsidRPr="0069011F">
        <w:rPr>
          <w:lang w:val="es-ES"/>
        </w:rPr>
        <w:t xml:space="preserve"> </w:t>
      </w:r>
      <w:r w:rsidRPr="0069011F">
        <w:rPr>
          <w:lang w:val="es-ES"/>
        </w:rPr>
        <w:t xml:space="preserve">22 Oficinas participantes que intercambian documentos de prioridad para solicitudes de patentes, cuatro más desde la </w:t>
      </w:r>
      <w:r w:rsidR="00107185" w:rsidRPr="0069011F">
        <w:rPr>
          <w:lang w:val="es-ES"/>
        </w:rPr>
        <w:t xml:space="preserve">última </w:t>
      </w:r>
      <w:r w:rsidRPr="0069011F">
        <w:rPr>
          <w:lang w:val="es-ES"/>
        </w:rPr>
        <w:t>reunión del Grupo de Trabajo</w:t>
      </w:r>
      <w:r w:rsidR="00905A4E" w:rsidRPr="0069011F">
        <w:rPr>
          <w:lang w:val="es-ES"/>
        </w:rPr>
        <w:t>.</w:t>
      </w:r>
    </w:p>
    <w:p w14:paraId="3F3B6EA8" w14:textId="77777777" w:rsidR="00F71C11" w:rsidRPr="0069011F" w:rsidRDefault="00F71C11" w:rsidP="00EC03AF">
      <w:pPr>
        <w:pStyle w:val="Heading3"/>
        <w:keepNext w:val="0"/>
      </w:pPr>
      <w:r w:rsidRPr="0069011F">
        <w:t>PCT</w:t>
      </w:r>
      <w:r w:rsidRPr="0069011F">
        <w:noBreakHyphen/>
        <w:t>EDI</w:t>
      </w:r>
    </w:p>
    <w:p w14:paraId="6611082F" w14:textId="5228EB5C" w:rsidR="00F71C11" w:rsidRPr="0069011F" w:rsidRDefault="00443644" w:rsidP="009066F3">
      <w:pPr>
        <w:pStyle w:val="ONUME"/>
        <w:rPr>
          <w:lang w:val="es-ES"/>
        </w:rPr>
      </w:pPr>
      <w:r w:rsidRPr="0069011F">
        <w:rPr>
          <w:lang w:val="es-ES"/>
        </w:rPr>
        <w:t>El sistema PCT-EDI sigue siendo el medio por el que se intercambia la mayor parte de los documentos entre las Oficinas nacionales y la Oficina Internacional (además de constituir la infraestructura de muchas de las transacciones de eSearchCopy y DAS)</w:t>
      </w:r>
      <w:r w:rsidR="00F71C11" w:rsidRPr="0069011F">
        <w:rPr>
          <w:lang w:val="es-ES"/>
        </w:rPr>
        <w:t>.</w:t>
      </w:r>
      <w:r w:rsidR="00071170" w:rsidRPr="0069011F">
        <w:rPr>
          <w:lang w:val="es-ES"/>
        </w:rPr>
        <w:t xml:space="preserve"> Varias Oficinas han aumentado la frecuencia de entrega y recogida de documentos</w:t>
      </w:r>
      <w:r w:rsidR="003A2953" w:rsidRPr="0069011F">
        <w:rPr>
          <w:lang w:val="es-ES"/>
        </w:rPr>
        <w:t>.</w:t>
      </w:r>
    </w:p>
    <w:p w14:paraId="3673D528" w14:textId="77777777" w:rsidR="00F71C11" w:rsidRPr="0069011F" w:rsidRDefault="00F71C11" w:rsidP="00EC03AF">
      <w:pPr>
        <w:pStyle w:val="Heading3"/>
        <w:keepNext w:val="0"/>
      </w:pPr>
      <w:r w:rsidRPr="0069011F">
        <w:t>WIPO CASE</w:t>
      </w:r>
    </w:p>
    <w:p w14:paraId="14C53075" w14:textId="54F52185" w:rsidR="00F71C11" w:rsidRPr="0069011F" w:rsidRDefault="00071170" w:rsidP="00F71C11">
      <w:pPr>
        <w:pStyle w:val="ONUME"/>
        <w:rPr>
          <w:lang w:val="es-ES"/>
        </w:rPr>
      </w:pPr>
      <w:r w:rsidRPr="0069011F">
        <w:rPr>
          <w:lang w:val="es-ES"/>
        </w:rPr>
        <w:t xml:space="preserve">El sistema WIPO CASE (Acceso centralizado a los resultados de la búsqueda y el examen) no desempeña un papel directo en la tramitación de la fase internacional, pero su importancia radica en el hecho de que permite a las Oficinas designadas acceder a los informes de búsqueda y examen en las </w:t>
      </w:r>
      <w:r w:rsidR="00A06834" w:rsidRPr="0069011F">
        <w:rPr>
          <w:lang w:val="es-ES"/>
        </w:rPr>
        <w:t>fases internacional y nacional y, asimismo, permite</w:t>
      </w:r>
      <w:r w:rsidRPr="0069011F">
        <w:rPr>
          <w:lang w:val="es-ES"/>
        </w:rPr>
        <w:t xml:space="preserve"> a </w:t>
      </w:r>
      <w:r w:rsidR="00A06834" w:rsidRPr="0069011F">
        <w:rPr>
          <w:lang w:val="es-ES"/>
        </w:rPr>
        <w:t>los miembros directos de la familia acceder a los informes nacionales</w:t>
      </w:r>
      <w:r w:rsidRPr="0069011F">
        <w:rPr>
          <w:lang w:val="es-ES"/>
        </w:rPr>
        <w:t xml:space="preserve">. Su trascendencia </w:t>
      </w:r>
      <w:r w:rsidR="00107185" w:rsidRPr="0069011F">
        <w:rPr>
          <w:lang w:val="es-ES"/>
        </w:rPr>
        <w:t xml:space="preserve">irá en </w:t>
      </w:r>
      <w:r w:rsidR="00107185" w:rsidRPr="0069011F">
        <w:rPr>
          <w:lang w:val="es-ES"/>
        </w:rPr>
        <w:lastRenderedPageBreak/>
        <w:t>aumento</w:t>
      </w:r>
      <w:r w:rsidRPr="0069011F">
        <w:rPr>
          <w:lang w:val="es-ES"/>
        </w:rPr>
        <w:t xml:space="preserve"> a medida que </w:t>
      </w:r>
      <w:r w:rsidR="00107185" w:rsidRPr="0069011F">
        <w:rPr>
          <w:lang w:val="es-ES"/>
        </w:rPr>
        <w:t xml:space="preserve">aumente el número de </w:t>
      </w:r>
      <w:r w:rsidRPr="0069011F">
        <w:rPr>
          <w:lang w:val="es-ES"/>
        </w:rPr>
        <w:t xml:space="preserve">Oficinas </w:t>
      </w:r>
      <w:r w:rsidR="00107185" w:rsidRPr="0069011F">
        <w:rPr>
          <w:lang w:val="es-ES"/>
        </w:rPr>
        <w:t xml:space="preserve">que </w:t>
      </w:r>
      <w:r w:rsidRPr="0069011F">
        <w:rPr>
          <w:lang w:val="es-ES"/>
        </w:rPr>
        <w:t xml:space="preserve">se adhieran al sistema y </w:t>
      </w:r>
      <w:r w:rsidR="00107185" w:rsidRPr="0069011F">
        <w:rPr>
          <w:lang w:val="es-ES"/>
        </w:rPr>
        <w:t xml:space="preserve">que mejore </w:t>
      </w:r>
      <w:r w:rsidRPr="0069011F">
        <w:rPr>
          <w:lang w:val="es-ES"/>
        </w:rPr>
        <w:t>la información de la fase nacional</w:t>
      </w:r>
      <w:r w:rsidR="00F71C11" w:rsidRPr="0069011F">
        <w:rPr>
          <w:lang w:val="es-ES"/>
        </w:rPr>
        <w:t>.</w:t>
      </w:r>
      <w:r w:rsidR="00243FA5" w:rsidRPr="0069011F">
        <w:rPr>
          <w:lang w:val="es-ES"/>
        </w:rPr>
        <w:t xml:space="preserve"> </w:t>
      </w:r>
      <w:r w:rsidR="00107185" w:rsidRPr="0069011F">
        <w:rPr>
          <w:lang w:val="es-ES"/>
        </w:rPr>
        <w:t>En la actualidad,</w:t>
      </w:r>
      <w:r w:rsidR="00651BC5" w:rsidRPr="0069011F">
        <w:rPr>
          <w:lang w:val="es-ES"/>
        </w:rPr>
        <w:t xml:space="preserve"> </w:t>
      </w:r>
      <w:r w:rsidR="00243FA5" w:rsidRPr="0069011F">
        <w:rPr>
          <w:lang w:val="es-ES"/>
        </w:rPr>
        <w:t>33 Oficina</w:t>
      </w:r>
      <w:r w:rsidR="00A06834" w:rsidRPr="0069011F">
        <w:rPr>
          <w:lang w:val="es-ES"/>
        </w:rPr>
        <w:t>s participan en el sistema,</w:t>
      </w:r>
      <w:r w:rsidR="00651BC5" w:rsidRPr="0069011F">
        <w:rPr>
          <w:lang w:val="es-ES"/>
        </w:rPr>
        <w:t xml:space="preserve"> </w:t>
      </w:r>
      <w:r w:rsidR="00243FA5" w:rsidRPr="0069011F">
        <w:rPr>
          <w:lang w:val="es-ES"/>
        </w:rPr>
        <w:t xml:space="preserve">15 de ellas en calidad de Oficinas proveedoras, que </w:t>
      </w:r>
      <w:r w:rsidR="00107185" w:rsidRPr="0069011F">
        <w:rPr>
          <w:lang w:val="es-ES"/>
        </w:rPr>
        <w:t>ponen</w:t>
      </w:r>
      <w:r w:rsidR="00243FA5" w:rsidRPr="0069011F">
        <w:rPr>
          <w:lang w:val="es-ES"/>
        </w:rPr>
        <w:t xml:space="preserve"> los documentos </w:t>
      </w:r>
      <w:r w:rsidR="00107185" w:rsidRPr="0069011F">
        <w:rPr>
          <w:lang w:val="es-ES"/>
        </w:rPr>
        <w:t>a disposición</w:t>
      </w:r>
      <w:r w:rsidR="00243FA5" w:rsidRPr="0069011F">
        <w:rPr>
          <w:lang w:val="es-ES"/>
        </w:rPr>
        <w:t xml:space="preserve"> a través del sistema</w:t>
      </w:r>
      <w:r w:rsidR="00F71C11" w:rsidRPr="0069011F">
        <w:rPr>
          <w:lang w:val="es-ES"/>
        </w:rPr>
        <w:t>.</w:t>
      </w:r>
    </w:p>
    <w:p w14:paraId="6BE0B292" w14:textId="450F174D" w:rsidR="00F71C11" w:rsidRPr="0069011F" w:rsidRDefault="00F71C11" w:rsidP="00EC03AF">
      <w:pPr>
        <w:pStyle w:val="Heading1"/>
        <w:keepNext w:val="0"/>
        <w:rPr>
          <w:lang w:val="es-ES"/>
        </w:rPr>
      </w:pPr>
      <w:r w:rsidRPr="0069011F">
        <w:rPr>
          <w:lang w:val="es-ES"/>
        </w:rPr>
        <w:t>U</w:t>
      </w:r>
      <w:r w:rsidR="007D0470" w:rsidRPr="0069011F">
        <w:rPr>
          <w:lang w:val="es-ES"/>
        </w:rPr>
        <w:t>tilización del formato XML</w:t>
      </w:r>
    </w:p>
    <w:p w14:paraId="262F827A" w14:textId="16ED0A7B" w:rsidR="00F71C11" w:rsidRPr="0069011F" w:rsidRDefault="00F71C11" w:rsidP="00EC03AF">
      <w:pPr>
        <w:pStyle w:val="Heading3"/>
        <w:keepNext w:val="0"/>
        <w:rPr>
          <w:lang w:val="es-ES_tradnl"/>
        </w:rPr>
      </w:pPr>
      <w:r w:rsidRPr="0069011F">
        <w:rPr>
          <w:lang w:val="es-ES_tradnl"/>
        </w:rPr>
        <w:t xml:space="preserve">XML </w:t>
      </w:r>
      <w:r w:rsidR="007D0470" w:rsidRPr="0069011F">
        <w:rPr>
          <w:lang w:val="es-ES_tradnl"/>
        </w:rPr>
        <w:t>para el cuerpo de las solicitudes</w:t>
      </w:r>
    </w:p>
    <w:p w14:paraId="07AD4A7B" w14:textId="22BB6778" w:rsidR="00F71C11" w:rsidRPr="0069011F" w:rsidRDefault="007D0470" w:rsidP="00EC03AF">
      <w:pPr>
        <w:pStyle w:val="ONUME"/>
        <w:rPr>
          <w:lang w:val="es-ES"/>
        </w:rPr>
      </w:pPr>
      <w:r w:rsidRPr="0069011F">
        <w:rPr>
          <w:lang w:val="es-ES"/>
        </w:rPr>
        <w:t xml:space="preserve">El objetivo original del sistema de </w:t>
      </w:r>
      <w:r w:rsidR="000C646D" w:rsidRPr="0069011F">
        <w:rPr>
          <w:lang w:val="es-ES"/>
        </w:rPr>
        <w:t>presentación</w:t>
      </w:r>
      <w:r w:rsidRPr="0069011F">
        <w:rPr>
          <w:lang w:val="es-ES"/>
        </w:rPr>
        <w:t xml:space="preserve"> electrónica ePCT era que las solicitudes se presentaran y tramitaran en formato de texto completo. Durante muchos años, las Oficinas receptoras de China, el Japón y la República de Corea han sido las únicas que han enviado un número considerable de solicitudes XML. Cada vez hay </w:t>
      </w:r>
      <w:r w:rsidR="00EC4F3B" w:rsidRPr="0069011F">
        <w:rPr>
          <w:lang w:val="es-ES"/>
        </w:rPr>
        <w:t>más</w:t>
      </w:r>
      <w:r w:rsidRPr="0069011F">
        <w:rPr>
          <w:lang w:val="es-ES"/>
        </w:rPr>
        <w:t xml:space="preserve"> Oficinas interesadas en avanzar en este ámbito. </w:t>
      </w:r>
      <w:r w:rsidR="00273FBC" w:rsidRPr="0069011F">
        <w:rPr>
          <w:lang w:val="es-ES"/>
        </w:rPr>
        <w:t xml:space="preserve">Durante varios años, el sistema de presentación electrónica ePCT ha incluido un convertidor para transformar el formato Office Open XML (DOCX) en XML </w:t>
      </w:r>
      <w:r w:rsidR="000C646D" w:rsidRPr="0069011F">
        <w:rPr>
          <w:lang w:val="es-ES"/>
        </w:rPr>
        <w:t>conform</w:t>
      </w:r>
      <w:r w:rsidR="00273FBC" w:rsidRPr="0069011F">
        <w:rPr>
          <w:lang w:val="es-ES"/>
        </w:rPr>
        <w:t xml:space="preserve">e </w:t>
      </w:r>
      <w:r w:rsidR="000C646D" w:rsidRPr="0069011F">
        <w:rPr>
          <w:lang w:val="es-ES"/>
        </w:rPr>
        <w:t xml:space="preserve">a </w:t>
      </w:r>
      <w:r w:rsidR="00273FBC" w:rsidRPr="0069011F">
        <w:rPr>
          <w:lang w:val="es-ES"/>
        </w:rPr>
        <w:t>la Norma</w:t>
      </w:r>
      <w:r w:rsidR="00651BC5" w:rsidRPr="0069011F">
        <w:rPr>
          <w:lang w:val="es-ES"/>
        </w:rPr>
        <w:t xml:space="preserve"> </w:t>
      </w:r>
      <w:r w:rsidR="00273FBC" w:rsidRPr="0069011F">
        <w:rPr>
          <w:lang w:val="es-ES"/>
        </w:rPr>
        <w:t>ST.36</w:t>
      </w:r>
      <w:r w:rsidR="001E396B" w:rsidRPr="0069011F">
        <w:rPr>
          <w:lang w:val="es-ES"/>
        </w:rPr>
        <w:t xml:space="preserve"> </w:t>
      </w:r>
      <w:r w:rsidR="00273FBC" w:rsidRPr="0069011F">
        <w:rPr>
          <w:lang w:val="es-ES"/>
        </w:rPr>
        <w:t xml:space="preserve">y varias </w:t>
      </w:r>
      <w:r w:rsidR="000C646D" w:rsidRPr="0069011F">
        <w:rPr>
          <w:lang w:val="es-ES"/>
        </w:rPr>
        <w:t>O</w:t>
      </w:r>
      <w:r w:rsidR="00273FBC" w:rsidRPr="0069011F">
        <w:rPr>
          <w:lang w:val="es-ES"/>
        </w:rPr>
        <w:t xml:space="preserve">ficinas nacionales han introducido </w:t>
      </w:r>
      <w:r w:rsidR="00447A5A" w:rsidRPr="0069011F">
        <w:rPr>
          <w:lang w:val="es-ES"/>
        </w:rPr>
        <w:t xml:space="preserve">sus propios convertidores </w:t>
      </w:r>
      <w:r w:rsidR="00273FBC" w:rsidRPr="0069011F">
        <w:rPr>
          <w:lang w:val="es-ES"/>
        </w:rPr>
        <w:t xml:space="preserve">o </w:t>
      </w:r>
      <w:r w:rsidR="00447A5A" w:rsidRPr="0069011F">
        <w:rPr>
          <w:lang w:val="es-ES"/>
        </w:rPr>
        <w:t xml:space="preserve">los </w:t>
      </w:r>
      <w:r w:rsidR="00273FBC" w:rsidRPr="0069011F">
        <w:rPr>
          <w:lang w:val="es-ES"/>
        </w:rPr>
        <w:t>están desarrollando</w:t>
      </w:r>
      <w:r w:rsidR="00F71C11" w:rsidRPr="0069011F">
        <w:rPr>
          <w:lang w:val="es-ES"/>
        </w:rPr>
        <w:t>.</w:t>
      </w:r>
    </w:p>
    <w:p w14:paraId="1E0F0117" w14:textId="61B28FDD" w:rsidR="00F71C11" w:rsidRPr="0069011F" w:rsidRDefault="002B7843" w:rsidP="00F71C11">
      <w:pPr>
        <w:pStyle w:val="ONUME"/>
        <w:rPr>
          <w:lang w:val="es-ES"/>
        </w:rPr>
      </w:pPr>
      <w:r w:rsidRPr="0069011F">
        <w:rPr>
          <w:lang w:val="es-ES"/>
        </w:rPr>
        <w:t>La Oficina Internacional está colaborando con la Oficina Europea de Patentes y otras entidades en la preparación de una propuesta de modificación de las Instrucciones Administrativas del PCT a fin de facilitar la presentación y el procesamiento del cuerpo completo de las solicitudes utilizando el formato DOCX en los documentos oficiales originales</w:t>
      </w:r>
      <w:r w:rsidR="00F71C11" w:rsidRPr="0069011F">
        <w:rPr>
          <w:lang w:val="es-ES"/>
        </w:rPr>
        <w:t>.</w:t>
      </w:r>
      <w:r w:rsidRPr="0069011F">
        <w:rPr>
          <w:lang w:val="es-ES"/>
        </w:rPr>
        <w:t xml:space="preserve"> </w:t>
      </w:r>
      <w:r w:rsidR="00290280" w:rsidRPr="0069011F">
        <w:rPr>
          <w:lang w:val="es-ES"/>
        </w:rPr>
        <w:t xml:space="preserve">Los mayores beneficios de este tipo de acuerdo se </w:t>
      </w:r>
      <w:r w:rsidR="00730443" w:rsidRPr="0069011F">
        <w:rPr>
          <w:lang w:val="es-ES"/>
        </w:rPr>
        <w:t>obtendrán</w:t>
      </w:r>
      <w:r w:rsidR="00290280" w:rsidRPr="0069011F">
        <w:rPr>
          <w:lang w:val="es-ES"/>
        </w:rPr>
        <w:t xml:space="preserve"> si todas</w:t>
      </w:r>
      <w:r w:rsidR="00730443" w:rsidRPr="0069011F">
        <w:rPr>
          <w:lang w:val="es-ES"/>
        </w:rPr>
        <w:t xml:space="preserve"> las Oficinas que trabajan con </w:t>
      </w:r>
      <w:r w:rsidR="00290280" w:rsidRPr="0069011F">
        <w:rPr>
          <w:lang w:val="es-ES"/>
        </w:rPr>
        <w:t>el formato DOCX emplean herramientas de conversión comunes o con una alta compatibilidad. Esto minimizará las sorpresas para los solicitantes y las dificultades para lidiar con la modificación y corrección de solicitudes en las Oficinas</w:t>
      </w:r>
      <w:r w:rsidR="0000451F" w:rsidRPr="0069011F">
        <w:rPr>
          <w:lang w:val="es-ES"/>
        </w:rPr>
        <w:t xml:space="preserve"> que no sean</w:t>
      </w:r>
      <w:r w:rsidR="00290280" w:rsidRPr="0069011F">
        <w:rPr>
          <w:lang w:val="es-ES"/>
        </w:rPr>
        <w:t xml:space="preserve"> la Oficina en la que se presentó la solicitud (ya sea en la fase internacional o nacional).</w:t>
      </w:r>
      <w:r w:rsidR="00F71C11" w:rsidRPr="0069011F">
        <w:rPr>
          <w:lang w:val="es-ES"/>
        </w:rPr>
        <w:t xml:space="preserve"> </w:t>
      </w:r>
      <w:r w:rsidR="00290280" w:rsidRPr="0069011F">
        <w:rPr>
          <w:lang w:val="es-ES"/>
        </w:rPr>
        <w:t xml:space="preserve">Asimismo, esta unificación servirá para la comparación del texto de las </w:t>
      </w:r>
      <w:r w:rsidR="00730443" w:rsidRPr="0069011F">
        <w:rPr>
          <w:lang w:val="es-ES"/>
        </w:rPr>
        <w:t>solicitudes</w:t>
      </w:r>
      <w:r w:rsidR="00290280" w:rsidRPr="0069011F">
        <w:rPr>
          <w:lang w:val="es-ES"/>
        </w:rPr>
        <w:t xml:space="preserve">, ya sea entre diferentes versiones de la misma aplicación, entre las </w:t>
      </w:r>
      <w:r w:rsidR="00730443" w:rsidRPr="0069011F">
        <w:rPr>
          <w:lang w:val="es-ES"/>
        </w:rPr>
        <w:t>solicitudes</w:t>
      </w:r>
      <w:r w:rsidR="00290280" w:rsidRPr="0069011F">
        <w:rPr>
          <w:lang w:val="es-ES"/>
        </w:rPr>
        <w:t xml:space="preserve"> y sus documentos de prioridad o entre </w:t>
      </w:r>
      <w:r w:rsidR="00730443" w:rsidRPr="0069011F">
        <w:rPr>
          <w:lang w:val="es-ES"/>
        </w:rPr>
        <w:t xml:space="preserve">los </w:t>
      </w:r>
      <w:r w:rsidR="00290280" w:rsidRPr="0069011F">
        <w:rPr>
          <w:lang w:val="es-ES"/>
        </w:rPr>
        <w:t>miembros de la familia</w:t>
      </w:r>
      <w:r w:rsidR="00F71C11" w:rsidRPr="0069011F">
        <w:rPr>
          <w:lang w:val="es-ES"/>
        </w:rPr>
        <w:t>.</w:t>
      </w:r>
    </w:p>
    <w:p w14:paraId="40A98FDE" w14:textId="5AEBEA82" w:rsidR="00F71C11" w:rsidRPr="0069011F" w:rsidRDefault="009A53DF" w:rsidP="00F71C11">
      <w:pPr>
        <w:pStyle w:val="ONUME"/>
        <w:rPr>
          <w:lang w:val="es-ES"/>
        </w:rPr>
      </w:pPr>
      <w:r w:rsidRPr="0069011F">
        <w:rPr>
          <w:lang w:val="es-ES"/>
        </w:rPr>
        <w:t xml:space="preserve">Para tener éxito en la aplicación y la adopción de la presentación en formato DOCX, es necesario convenir los acuerdos </w:t>
      </w:r>
      <w:r w:rsidR="001D4044" w:rsidRPr="0069011F">
        <w:rPr>
          <w:lang w:val="es-ES"/>
        </w:rPr>
        <w:t xml:space="preserve">jurídicos </w:t>
      </w:r>
      <w:r w:rsidRPr="0069011F">
        <w:rPr>
          <w:lang w:val="es-ES"/>
        </w:rPr>
        <w:t xml:space="preserve">y técnicos </w:t>
      </w:r>
      <w:r w:rsidR="001D4044" w:rsidRPr="0069011F">
        <w:rPr>
          <w:lang w:val="es-ES"/>
        </w:rPr>
        <w:t xml:space="preserve">que favorezcan </w:t>
      </w:r>
      <w:r w:rsidRPr="0069011F">
        <w:rPr>
          <w:lang w:val="es-ES"/>
        </w:rPr>
        <w:t>una integración coherente y efectiva en los sistemas existentes. Además, a algunos solicitantes les preocupan los riesgos de los errores de conversión y la posibilidad de que los metadatos ocultos de los archivos en formato DOCX estén disponibles cuando se publiquen. Sin embargo, si se aplica correctamente, un sistema de esas características podría</w:t>
      </w:r>
      <w:r w:rsidR="001D4044" w:rsidRPr="0069011F">
        <w:rPr>
          <w:lang w:val="es-ES"/>
        </w:rPr>
        <w:t>, de hecho,</w:t>
      </w:r>
      <w:r w:rsidRPr="0069011F">
        <w:rPr>
          <w:lang w:val="es-ES"/>
        </w:rPr>
        <w:t xml:space="preserve"> reducir los riesgos ya ligados a los errores de conversión que tienen lugar en la fase nacional en las Oficinas en las que </w:t>
      </w:r>
      <w:r w:rsidR="001D4044" w:rsidRPr="0069011F">
        <w:rPr>
          <w:lang w:val="es-ES"/>
        </w:rPr>
        <w:t>se hace la composición tipográfica de</w:t>
      </w:r>
      <w:r w:rsidRPr="0069011F">
        <w:rPr>
          <w:lang w:val="es-ES"/>
        </w:rPr>
        <w:t xml:space="preserve"> las publicaciones. </w:t>
      </w:r>
      <w:r w:rsidR="00507FF9" w:rsidRPr="0069011F">
        <w:rPr>
          <w:lang w:val="es-ES"/>
        </w:rPr>
        <w:t xml:space="preserve">Es importante que los solicitantes y los agentes comprendan los riesgos </w:t>
      </w:r>
      <w:r w:rsidR="001D4044" w:rsidRPr="0069011F">
        <w:rPr>
          <w:lang w:val="es-ES"/>
        </w:rPr>
        <w:t>inherentes a la transmisión de</w:t>
      </w:r>
      <w:r w:rsidR="00507FF9" w:rsidRPr="0069011F">
        <w:rPr>
          <w:lang w:val="es-ES"/>
        </w:rPr>
        <w:t xml:space="preserve"> información </w:t>
      </w:r>
      <w:r w:rsidR="001D4044" w:rsidRPr="0069011F">
        <w:rPr>
          <w:lang w:val="es-ES"/>
        </w:rPr>
        <w:t>fundamental que</w:t>
      </w:r>
      <w:r w:rsidR="00507FF9" w:rsidRPr="0069011F">
        <w:rPr>
          <w:lang w:val="es-ES"/>
        </w:rPr>
        <w:t xml:space="preserve"> depende de los efectos de</w:t>
      </w:r>
      <w:r w:rsidR="00525EAE" w:rsidRPr="0069011F">
        <w:rPr>
          <w:lang w:val="es-ES"/>
        </w:rPr>
        <w:t>l</w:t>
      </w:r>
      <w:r w:rsidR="00507FF9" w:rsidRPr="0069011F">
        <w:rPr>
          <w:lang w:val="es-ES"/>
        </w:rPr>
        <w:t xml:space="preserve"> formato visual o de</w:t>
      </w:r>
      <w:r w:rsidR="00525EAE" w:rsidRPr="0069011F">
        <w:rPr>
          <w:lang w:val="es-ES"/>
        </w:rPr>
        <w:t xml:space="preserve"> la disposición concreta </w:t>
      </w:r>
      <w:r w:rsidR="00507FF9" w:rsidRPr="0069011F">
        <w:rPr>
          <w:lang w:val="es-ES"/>
        </w:rPr>
        <w:t>de</w:t>
      </w:r>
      <w:r w:rsidR="00525EAE" w:rsidRPr="0069011F">
        <w:rPr>
          <w:lang w:val="es-ES"/>
        </w:rPr>
        <w:t>l</w:t>
      </w:r>
      <w:r w:rsidR="00507FF9" w:rsidRPr="0069011F">
        <w:rPr>
          <w:lang w:val="es-ES"/>
        </w:rPr>
        <w:t xml:space="preserve"> texto </w:t>
      </w:r>
      <w:r w:rsidR="00525EAE" w:rsidRPr="0069011F">
        <w:rPr>
          <w:lang w:val="es-ES"/>
        </w:rPr>
        <w:t xml:space="preserve">en </w:t>
      </w:r>
      <w:r w:rsidR="00507FF9" w:rsidRPr="0069011F">
        <w:rPr>
          <w:lang w:val="es-ES"/>
        </w:rPr>
        <w:t xml:space="preserve">la descripción y las reivindicaciones, </w:t>
      </w:r>
      <w:r w:rsidR="00525EAE" w:rsidRPr="0069011F">
        <w:rPr>
          <w:lang w:val="es-ES"/>
        </w:rPr>
        <w:t>con escasas probabilidades de reproducción</w:t>
      </w:r>
      <w:r w:rsidR="00507FF9" w:rsidRPr="0069011F">
        <w:rPr>
          <w:lang w:val="es-ES"/>
        </w:rPr>
        <w:t xml:space="preserve"> en una publicación de composición </w:t>
      </w:r>
      <w:r w:rsidR="001D4044" w:rsidRPr="0069011F">
        <w:rPr>
          <w:lang w:val="es-ES"/>
        </w:rPr>
        <w:t xml:space="preserve">tipográfica </w:t>
      </w:r>
      <w:r w:rsidR="00507FF9" w:rsidRPr="0069011F">
        <w:rPr>
          <w:lang w:val="es-ES"/>
        </w:rPr>
        <w:t xml:space="preserve">formal (esencial para los derechos del solicitante en muchos Estados) o una vista de texto en ventanas redimensionables de herramientas de búsqueda. Un sistema de presentación en formato DOCX (u otro formato XML) aplicado correctamente debe llamar la atención del solicitante sobre los problemas </w:t>
      </w:r>
      <w:r w:rsidR="001D4044" w:rsidRPr="0069011F">
        <w:rPr>
          <w:lang w:val="es-ES"/>
        </w:rPr>
        <w:t xml:space="preserve">eventuales </w:t>
      </w:r>
      <w:r w:rsidR="00507FF9" w:rsidRPr="0069011F">
        <w:rPr>
          <w:lang w:val="es-ES"/>
        </w:rPr>
        <w:t xml:space="preserve">antes de </w:t>
      </w:r>
      <w:r w:rsidR="001D4044" w:rsidRPr="0069011F">
        <w:rPr>
          <w:lang w:val="es-ES"/>
        </w:rPr>
        <w:t>que presente su</w:t>
      </w:r>
      <w:r w:rsidR="00507FF9" w:rsidRPr="0069011F">
        <w:rPr>
          <w:lang w:val="es-ES"/>
        </w:rPr>
        <w:t xml:space="preserve"> solicitud, </w:t>
      </w:r>
      <w:r w:rsidR="001D4044" w:rsidRPr="0069011F">
        <w:rPr>
          <w:lang w:val="es-ES"/>
        </w:rPr>
        <w:t>para permitirle</w:t>
      </w:r>
      <w:r w:rsidR="00507FF9" w:rsidRPr="0069011F">
        <w:rPr>
          <w:lang w:val="es-ES"/>
        </w:rPr>
        <w:t xml:space="preserve"> corregirlos</w:t>
      </w:r>
      <w:r w:rsidR="008E0EC7" w:rsidRPr="0069011F">
        <w:rPr>
          <w:lang w:val="es-ES"/>
        </w:rPr>
        <w:t>, siempre y</w:t>
      </w:r>
      <w:r w:rsidR="00507FF9" w:rsidRPr="0069011F">
        <w:rPr>
          <w:lang w:val="es-ES"/>
        </w:rPr>
        <w:t xml:space="preserve"> </w:t>
      </w:r>
      <w:r w:rsidR="001D4044" w:rsidRPr="0069011F">
        <w:rPr>
          <w:lang w:val="es-ES"/>
        </w:rPr>
        <w:t>cuando</w:t>
      </w:r>
      <w:r w:rsidR="00507FF9" w:rsidRPr="0069011F">
        <w:rPr>
          <w:lang w:val="es-ES"/>
        </w:rPr>
        <w:t xml:space="preserve"> se pueda hacer sin riesgo de añadir materia</w:t>
      </w:r>
      <w:r w:rsidR="00F71C11" w:rsidRPr="0069011F">
        <w:rPr>
          <w:lang w:val="es-ES"/>
        </w:rPr>
        <w:t>.</w:t>
      </w:r>
    </w:p>
    <w:p w14:paraId="4401208C" w14:textId="69DE7778" w:rsidR="00F71C11" w:rsidRPr="0069011F" w:rsidRDefault="00AD04D6" w:rsidP="00EC03AF">
      <w:pPr>
        <w:pStyle w:val="Heading3"/>
        <w:keepNext w:val="0"/>
        <w:rPr>
          <w:lang w:val="es-ES"/>
        </w:rPr>
      </w:pPr>
      <w:r w:rsidRPr="0069011F">
        <w:rPr>
          <w:lang w:val="es-ES"/>
        </w:rPr>
        <w:t>XML para informes de búsqueda internacional y opiniones escritas</w:t>
      </w:r>
    </w:p>
    <w:p w14:paraId="7A4A8016" w14:textId="1E22F12B" w:rsidR="00F71C11" w:rsidRPr="0069011F" w:rsidRDefault="00D31B6A" w:rsidP="00F71C11">
      <w:pPr>
        <w:pStyle w:val="ONUME"/>
        <w:rPr>
          <w:lang w:val="es-ES"/>
        </w:rPr>
      </w:pPr>
      <w:bookmarkStart w:id="4" w:name="_Ref503261127"/>
      <w:r w:rsidRPr="0069011F">
        <w:rPr>
          <w:lang w:val="es-ES"/>
        </w:rPr>
        <w:t>Desde hace algún tiempo, la Oficina Internacional recibe informes de búsqueda internacional y opiniones escritas en formato XML de tres ISA (la Administración Nacional de Propiedad Intelectual de China, la Oficina Europea de Patentes y la Oficina Surcoreana de Propiedad Intelectual)</w:t>
      </w:r>
      <w:r w:rsidR="00346436" w:rsidRPr="0069011F">
        <w:rPr>
          <w:lang w:val="es-ES"/>
        </w:rPr>
        <w:t xml:space="preserve">. </w:t>
      </w:r>
      <w:r w:rsidR="008E0EC7" w:rsidRPr="0069011F">
        <w:rPr>
          <w:lang w:val="es-ES"/>
        </w:rPr>
        <w:t xml:space="preserve">Si bien </w:t>
      </w:r>
      <w:r w:rsidR="00346436" w:rsidRPr="0069011F">
        <w:rPr>
          <w:lang w:val="es-ES"/>
        </w:rPr>
        <w:t>los informes de las tres administraciones se elaboran de conformidad con la misma</w:t>
      </w:r>
      <w:r w:rsidR="008E0EC7" w:rsidRPr="0069011F">
        <w:rPr>
          <w:lang w:val="es-ES"/>
        </w:rPr>
        <w:t xml:space="preserve"> definición del tipo de documento</w:t>
      </w:r>
      <w:r w:rsidR="00346436" w:rsidRPr="0069011F">
        <w:rPr>
          <w:lang w:val="es-ES"/>
        </w:rPr>
        <w:t xml:space="preserve"> </w:t>
      </w:r>
      <w:r w:rsidR="008E0EC7" w:rsidRPr="0069011F">
        <w:rPr>
          <w:lang w:val="es-ES"/>
        </w:rPr>
        <w:t>(</w:t>
      </w:r>
      <w:r w:rsidR="00346436" w:rsidRPr="0069011F">
        <w:rPr>
          <w:lang w:val="es-ES"/>
        </w:rPr>
        <w:t>DTD</w:t>
      </w:r>
      <w:r w:rsidR="008E0EC7" w:rsidRPr="0069011F">
        <w:rPr>
          <w:lang w:val="es-ES"/>
        </w:rPr>
        <w:t>)</w:t>
      </w:r>
      <w:r w:rsidR="00346436" w:rsidRPr="0069011F">
        <w:rPr>
          <w:lang w:val="es-ES"/>
        </w:rPr>
        <w:t xml:space="preserve">, </w:t>
      </w:r>
      <w:r w:rsidR="008E0EC7" w:rsidRPr="0069011F">
        <w:rPr>
          <w:lang w:val="es-ES"/>
        </w:rPr>
        <w:t>diversas</w:t>
      </w:r>
      <w:r w:rsidR="00346436" w:rsidRPr="0069011F">
        <w:rPr>
          <w:lang w:val="es-ES"/>
        </w:rPr>
        <w:t xml:space="preserve"> dificultades </w:t>
      </w:r>
      <w:r w:rsidR="008E0EC7" w:rsidRPr="0069011F">
        <w:rPr>
          <w:lang w:val="es-ES"/>
        </w:rPr>
        <w:t xml:space="preserve">han </w:t>
      </w:r>
      <w:r w:rsidR="008E0EC7" w:rsidRPr="0069011F">
        <w:rPr>
          <w:lang w:val="es-ES"/>
        </w:rPr>
        <w:lastRenderedPageBreak/>
        <w:t>postergado</w:t>
      </w:r>
      <w:r w:rsidR="00346436" w:rsidRPr="0069011F">
        <w:rPr>
          <w:lang w:val="es-ES"/>
        </w:rPr>
        <w:t xml:space="preserve"> mucho más de lo previsto </w:t>
      </w:r>
      <w:r w:rsidR="008E0EC7" w:rsidRPr="0069011F">
        <w:rPr>
          <w:lang w:val="es-ES"/>
        </w:rPr>
        <w:t>la importación y el uso</w:t>
      </w:r>
      <w:r w:rsidR="00346436" w:rsidRPr="0069011F">
        <w:rPr>
          <w:lang w:val="es-ES"/>
        </w:rPr>
        <w:t xml:space="preserve"> efica</w:t>
      </w:r>
      <w:r w:rsidR="008E0EC7" w:rsidRPr="0069011F">
        <w:rPr>
          <w:lang w:val="es-ES"/>
        </w:rPr>
        <w:t>ces</w:t>
      </w:r>
      <w:r w:rsidR="00346436" w:rsidRPr="0069011F">
        <w:rPr>
          <w:lang w:val="es-ES"/>
        </w:rPr>
        <w:t xml:space="preserve"> </w:t>
      </w:r>
      <w:r w:rsidR="008E0EC7" w:rsidRPr="0069011F">
        <w:rPr>
          <w:lang w:val="es-ES"/>
        </w:rPr>
        <w:t>d</w:t>
      </w:r>
      <w:r w:rsidR="00346436" w:rsidRPr="0069011F">
        <w:rPr>
          <w:lang w:val="es-ES"/>
        </w:rPr>
        <w:t xml:space="preserve">el </w:t>
      </w:r>
      <w:r w:rsidR="002F5AEB" w:rsidRPr="0069011F">
        <w:rPr>
          <w:lang w:val="es-ES"/>
        </w:rPr>
        <w:t xml:space="preserve">formato </w:t>
      </w:r>
      <w:r w:rsidR="00346436" w:rsidRPr="0069011F">
        <w:rPr>
          <w:lang w:val="es-ES"/>
        </w:rPr>
        <w:t>XML.</w:t>
      </w:r>
      <w:r w:rsidR="00F71C11" w:rsidRPr="0069011F">
        <w:rPr>
          <w:lang w:val="es-ES"/>
        </w:rPr>
        <w:t xml:space="preserve"> </w:t>
      </w:r>
      <w:r w:rsidR="005C1489" w:rsidRPr="0069011F">
        <w:rPr>
          <w:lang w:val="es-ES"/>
        </w:rPr>
        <w:t xml:space="preserve">Sin embargo, ya se han superado los principales problemas. El formato XML ha contribuido al procesamiento eficiente de los informes de búsqueda internacional y las opiniones escritas en la Oficina Internacional. </w:t>
      </w:r>
      <w:r w:rsidR="004A74CE" w:rsidRPr="0069011F">
        <w:rPr>
          <w:lang w:val="es-ES"/>
        </w:rPr>
        <w:t>La tramitación de las formalidades se ha aut</w:t>
      </w:r>
      <w:r w:rsidR="002F5AEB" w:rsidRPr="0069011F">
        <w:rPr>
          <w:lang w:val="es-ES"/>
        </w:rPr>
        <w:t>omatizado en aproximadamente el</w:t>
      </w:r>
      <w:r w:rsidR="00651BC5" w:rsidRPr="0069011F">
        <w:rPr>
          <w:lang w:val="es-ES"/>
        </w:rPr>
        <w:t xml:space="preserve"> </w:t>
      </w:r>
      <w:r w:rsidR="004A74CE" w:rsidRPr="0069011F">
        <w:rPr>
          <w:lang w:val="es-ES"/>
        </w:rPr>
        <w:t>70% de los informes</w:t>
      </w:r>
      <w:r w:rsidR="002F5AEB" w:rsidRPr="0069011F">
        <w:rPr>
          <w:lang w:val="es-ES"/>
        </w:rPr>
        <w:t xml:space="preserve"> de búsqueda internacional y el</w:t>
      </w:r>
      <w:r w:rsidR="00651BC5" w:rsidRPr="0069011F">
        <w:rPr>
          <w:lang w:val="es-ES"/>
        </w:rPr>
        <w:t xml:space="preserve"> </w:t>
      </w:r>
      <w:r w:rsidR="004A74CE" w:rsidRPr="0069011F">
        <w:rPr>
          <w:lang w:val="es-ES"/>
        </w:rPr>
        <w:t>90% de las opiniones escritas de las ISA</w:t>
      </w:r>
      <w:r w:rsidR="00F71C11" w:rsidRPr="0069011F">
        <w:rPr>
          <w:lang w:val="es-ES"/>
        </w:rPr>
        <w:t xml:space="preserve">. </w:t>
      </w:r>
      <w:r w:rsidR="004A74CE" w:rsidRPr="0069011F">
        <w:rPr>
          <w:lang w:val="es-ES"/>
        </w:rPr>
        <w:t xml:space="preserve">Esto ha permitido que la Oficina Internacional </w:t>
      </w:r>
      <w:r w:rsidR="008E0EC7" w:rsidRPr="0069011F">
        <w:rPr>
          <w:lang w:val="es-ES"/>
        </w:rPr>
        <w:t xml:space="preserve">mejore </w:t>
      </w:r>
      <w:r w:rsidR="004A74CE" w:rsidRPr="0069011F">
        <w:rPr>
          <w:lang w:val="es-ES"/>
        </w:rPr>
        <w:t>la productividad y la puntualidad en la tramitación de esos documentos</w:t>
      </w:r>
      <w:r w:rsidR="00F71C11" w:rsidRPr="0069011F">
        <w:rPr>
          <w:lang w:val="es-ES"/>
        </w:rPr>
        <w:t xml:space="preserve">. </w:t>
      </w:r>
      <w:r w:rsidR="004A74CE" w:rsidRPr="0069011F">
        <w:rPr>
          <w:lang w:val="es-ES"/>
        </w:rPr>
        <w:t>El texto original en formato XML ya se ha puesto a disposición de las Oficinas designadas y los usuarios de la información contenida en patentes, incluidos algunos informes más antiguos</w:t>
      </w:r>
      <w:r w:rsidR="002F5AEB" w:rsidRPr="0069011F">
        <w:rPr>
          <w:lang w:val="es-ES"/>
        </w:rPr>
        <w:t xml:space="preserve"> que se remontan a noviembre de</w:t>
      </w:r>
      <w:r w:rsidR="00651BC5" w:rsidRPr="0069011F">
        <w:rPr>
          <w:lang w:val="es-ES"/>
        </w:rPr>
        <w:t xml:space="preserve"> </w:t>
      </w:r>
      <w:r w:rsidR="004A74CE" w:rsidRPr="0069011F">
        <w:rPr>
          <w:lang w:val="es-ES"/>
        </w:rPr>
        <w:t>2014</w:t>
      </w:r>
      <w:r w:rsidR="00B6189A" w:rsidRPr="0069011F">
        <w:rPr>
          <w:lang w:val="es-ES"/>
        </w:rPr>
        <w:t>.</w:t>
      </w:r>
      <w:bookmarkEnd w:id="4"/>
      <w:r w:rsidR="002F5AEB" w:rsidRPr="0069011F">
        <w:rPr>
          <w:lang w:val="es-ES"/>
        </w:rPr>
        <w:t xml:space="preserve"> </w:t>
      </w:r>
      <w:r w:rsidR="004A74CE" w:rsidRPr="0069011F">
        <w:rPr>
          <w:lang w:val="es-ES"/>
        </w:rPr>
        <w:t xml:space="preserve">Asimismo, la Oficina Internacional ha comenzado a utilizar el formato XML como base para la traducción </w:t>
      </w:r>
      <w:r w:rsidR="00543254" w:rsidRPr="0069011F">
        <w:rPr>
          <w:lang w:val="es-ES"/>
        </w:rPr>
        <w:t>y ha puesto</w:t>
      </w:r>
      <w:r w:rsidR="004A74CE" w:rsidRPr="0069011F">
        <w:rPr>
          <w:lang w:val="es-ES"/>
        </w:rPr>
        <w:t xml:space="preserve"> el XML traducido a disposición</w:t>
      </w:r>
      <w:r w:rsidR="003D0333" w:rsidRPr="0069011F">
        <w:rPr>
          <w:lang w:val="es-ES"/>
        </w:rPr>
        <w:t>.</w:t>
      </w:r>
    </w:p>
    <w:p w14:paraId="1720B50B" w14:textId="0426CD84" w:rsidR="00F71C11" w:rsidRPr="0069011F" w:rsidRDefault="00EC35AA" w:rsidP="00EC03AF">
      <w:pPr>
        <w:pStyle w:val="ONUME"/>
        <w:rPr>
          <w:lang w:val="es-ES"/>
        </w:rPr>
      </w:pPr>
      <w:r w:rsidRPr="0069011F">
        <w:rPr>
          <w:lang w:val="es-ES"/>
        </w:rPr>
        <w:t xml:space="preserve">Recientemente, la Oficina Internacional ha lanzado un nuevo servicio en PATENTSCOPE </w:t>
      </w:r>
      <w:r w:rsidR="008E0EC7" w:rsidRPr="0069011F">
        <w:rPr>
          <w:lang w:val="es-ES"/>
        </w:rPr>
        <w:t xml:space="preserve">con mira a </w:t>
      </w:r>
      <w:r w:rsidRPr="0069011F">
        <w:rPr>
          <w:lang w:val="es-ES"/>
        </w:rPr>
        <w:t xml:space="preserve">que los informes de búsqueda internacional y las opiniones escritas en formato XML se empleen para propiciar un mecanismo más eficaz de traducción automática (utilizando las hojas de estilo de los idiomas pertinentes para obtener una traducción “perfecta” del texto </w:t>
      </w:r>
      <w:r w:rsidR="00142D02" w:rsidRPr="0069011F">
        <w:rPr>
          <w:lang w:val="es-ES"/>
        </w:rPr>
        <w:t>estándar</w:t>
      </w:r>
      <w:r w:rsidRPr="0069011F">
        <w:rPr>
          <w:lang w:val="es-ES"/>
        </w:rPr>
        <w:t>) y enlaces a los documentos de patente citados</w:t>
      </w:r>
      <w:r w:rsidR="00F71C11" w:rsidRPr="0069011F">
        <w:rPr>
          <w:lang w:val="es-ES"/>
        </w:rPr>
        <w:t>.</w:t>
      </w:r>
      <w:r w:rsidRPr="0069011F">
        <w:rPr>
          <w:lang w:val="es-ES"/>
        </w:rPr>
        <w:t xml:space="preserve"> </w:t>
      </w:r>
      <w:r w:rsidR="008E0EC7" w:rsidRPr="0069011F">
        <w:rPr>
          <w:lang w:val="es-ES"/>
        </w:rPr>
        <w:t>A</w:t>
      </w:r>
      <w:r w:rsidR="00315BD8" w:rsidRPr="0069011F">
        <w:rPr>
          <w:lang w:val="es-ES"/>
        </w:rPr>
        <w:t xml:space="preserve"> su debido tiempo, </w:t>
      </w:r>
      <w:r w:rsidR="00142D02" w:rsidRPr="0069011F">
        <w:rPr>
          <w:lang w:val="es-ES"/>
        </w:rPr>
        <w:t>se pondrán a disposición servicios similares</w:t>
      </w:r>
      <w:r w:rsidR="00B65580" w:rsidRPr="0069011F">
        <w:rPr>
          <w:lang w:val="es-ES"/>
        </w:rPr>
        <w:t xml:space="preserve"> a través del ePCT</w:t>
      </w:r>
      <w:r w:rsidR="00142D02" w:rsidRPr="0069011F">
        <w:rPr>
          <w:lang w:val="es-ES"/>
        </w:rPr>
        <w:t>.</w:t>
      </w:r>
    </w:p>
    <w:p w14:paraId="5CCE33F2" w14:textId="59566E5E" w:rsidR="00F71C11" w:rsidRPr="0069011F" w:rsidRDefault="00EC1F49" w:rsidP="00F71C11">
      <w:pPr>
        <w:pStyle w:val="ONUME"/>
        <w:rPr>
          <w:lang w:val="es-ES"/>
        </w:rPr>
      </w:pPr>
      <w:r w:rsidRPr="0069011F">
        <w:rPr>
          <w:lang w:val="es-ES"/>
        </w:rPr>
        <w:t xml:space="preserve">Como resultado de la labor de mejora de los servicios de creación de informes en el ePCT y de los esfuerzos de importación del formato XML señalados en el párrafo </w:t>
      </w:r>
      <w:r w:rsidR="00142D02" w:rsidRPr="0069011F">
        <w:rPr>
          <w:lang w:val="es-ES"/>
        </w:rPr>
        <w:t>17,</w:t>
      </w:r>
      <w:r w:rsidRPr="0069011F">
        <w:rPr>
          <w:lang w:val="es-ES"/>
        </w:rPr>
        <w:t xml:space="preserve"> la Oficina Internacional ha tomado conciencia de ciertas diferencias en la manera en que se aplican las normas actuales en las distintas Oficinas. Además, las estructuras de datos correspondientes a </w:t>
      </w:r>
      <w:r w:rsidR="00142D02" w:rsidRPr="0069011F">
        <w:rPr>
          <w:lang w:val="es-ES"/>
        </w:rPr>
        <w:t xml:space="preserve">la </w:t>
      </w:r>
      <w:r w:rsidRPr="0069011F">
        <w:rPr>
          <w:lang w:val="es-ES"/>
        </w:rPr>
        <w:t>información equivalente de diferentes formularios (</w:t>
      </w:r>
      <w:r w:rsidR="00142D02" w:rsidRPr="0069011F">
        <w:rPr>
          <w:lang w:val="es-ES"/>
        </w:rPr>
        <w:t>en particular, los PCT/ISA/206,</w:t>
      </w:r>
      <w:r w:rsidR="00651BC5" w:rsidRPr="0069011F">
        <w:rPr>
          <w:lang w:val="es-ES"/>
        </w:rPr>
        <w:t xml:space="preserve"> </w:t>
      </w:r>
      <w:r w:rsidR="00142D02" w:rsidRPr="0069011F">
        <w:rPr>
          <w:lang w:val="es-ES"/>
        </w:rPr>
        <w:t>210,</w:t>
      </w:r>
      <w:r w:rsidR="00651BC5" w:rsidRPr="0069011F">
        <w:rPr>
          <w:lang w:val="es-ES"/>
        </w:rPr>
        <w:t xml:space="preserve"> </w:t>
      </w:r>
      <w:r w:rsidR="00142D02" w:rsidRPr="0069011F">
        <w:rPr>
          <w:lang w:val="es-ES"/>
        </w:rPr>
        <w:t>237 y PCT/IPEA/408 y</w:t>
      </w:r>
      <w:r w:rsidR="00651BC5" w:rsidRPr="0069011F">
        <w:rPr>
          <w:lang w:val="es-ES"/>
        </w:rPr>
        <w:t xml:space="preserve"> </w:t>
      </w:r>
      <w:r w:rsidRPr="0069011F">
        <w:rPr>
          <w:lang w:val="es-ES"/>
        </w:rPr>
        <w:t>409) no siempre están suficientemente armonizadas. Se espera mejorar los estándares y su uso para alcanzar los siguientes resultados finales clave</w:t>
      </w:r>
      <w:r w:rsidR="00F71C11" w:rsidRPr="0069011F">
        <w:rPr>
          <w:lang w:val="es-ES"/>
        </w:rPr>
        <w:t>:</w:t>
      </w:r>
    </w:p>
    <w:p w14:paraId="6DABB9A8" w14:textId="767B8CFA" w:rsidR="00F71C11" w:rsidRPr="0069011F" w:rsidRDefault="00466BBF" w:rsidP="00BF2A77">
      <w:pPr>
        <w:pStyle w:val="ONUME"/>
        <w:numPr>
          <w:ilvl w:val="1"/>
          <w:numId w:val="5"/>
        </w:numPr>
        <w:ind w:left="567" w:firstLine="0"/>
        <w:rPr>
          <w:lang w:val="es-ES"/>
        </w:rPr>
      </w:pPr>
      <w:r w:rsidRPr="0069011F">
        <w:rPr>
          <w:lang w:val="es-ES"/>
        </w:rPr>
        <w:t>siempre debería ser fácil reutilizar los datos de una etapa de la búsqueda y el examen como punto de partida para la etapa siguiente (informe de búsqueda nacional, búsqueda internacional parcial, informe de búsqueda internacional y opinión escrita, informes con arreglo al Capítulo II e informes de la fase nacional);</w:t>
      </w:r>
    </w:p>
    <w:p w14:paraId="6FFE4DB3" w14:textId="18A3CFA9" w:rsidR="00F71C11" w:rsidRPr="0069011F" w:rsidRDefault="006255B7" w:rsidP="00BF2A77">
      <w:pPr>
        <w:pStyle w:val="ONUME"/>
        <w:numPr>
          <w:ilvl w:val="1"/>
          <w:numId w:val="5"/>
        </w:numPr>
        <w:ind w:left="567" w:firstLine="0"/>
        <w:rPr>
          <w:lang w:val="es-ES"/>
        </w:rPr>
      </w:pPr>
      <w:r w:rsidRPr="0069011F">
        <w:rPr>
          <w:lang w:val="es-ES"/>
        </w:rPr>
        <w:t>los datos de las citas deberían ser suficientemente detallados y coherentes para poder comparar y utilizar eficazmente la información entre las diferentes etapas y determinar sin dificultad si dos citas son iguales (o proceden de la misma familia de patentes) sin que haya problema para que el examinador introduzca dichos datos</w:t>
      </w:r>
      <w:r w:rsidR="00F71C11" w:rsidRPr="0069011F">
        <w:rPr>
          <w:lang w:val="es-ES"/>
        </w:rPr>
        <w:t>;</w:t>
      </w:r>
    </w:p>
    <w:p w14:paraId="09F7CCFC" w14:textId="1B049B2D" w:rsidR="00F71C11" w:rsidRPr="0069011F" w:rsidRDefault="006255B7" w:rsidP="00BF2A77">
      <w:pPr>
        <w:pStyle w:val="ONUME"/>
        <w:numPr>
          <w:ilvl w:val="1"/>
          <w:numId w:val="5"/>
        </w:numPr>
        <w:ind w:left="567" w:firstLine="0"/>
        <w:rPr>
          <w:lang w:val="es-ES"/>
        </w:rPr>
      </w:pPr>
      <w:r w:rsidRPr="0069011F">
        <w:rPr>
          <w:lang w:val="es-ES"/>
        </w:rPr>
        <w:t>los examinadores no deberían tener que introducir datos equivalentes dos veces, especialmente en la misma fase (formatos d</w:t>
      </w:r>
      <w:r w:rsidR="00E7532E" w:rsidRPr="0069011F">
        <w:rPr>
          <w:lang w:val="es-ES"/>
        </w:rPr>
        <w:t xml:space="preserve">iferentes entre los </w:t>
      </w:r>
      <w:r w:rsidR="00AD683C" w:rsidRPr="0069011F">
        <w:rPr>
          <w:lang w:val="es-ES"/>
        </w:rPr>
        <w:t>f</w:t>
      </w:r>
      <w:r w:rsidR="00E7532E" w:rsidRPr="0069011F">
        <w:rPr>
          <w:lang w:val="es-ES"/>
        </w:rPr>
        <w:t>ormularios</w:t>
      </w:r>
      <w:r w:rsidR="00651BC5" w:rsidRPr="0069011F">
        <w:rPr>
          <w:lang w:val="es-ES"/>
        </w:rPr>
        <w:t xml:space="preserve"> </w:t>
      </w:r>
      <w:r w:rsidR="00E7532E" w:rsidRPr="0069011F">
        <w:rPr>
          <w:lang w:val="es-ES"/>
        </w:rPr>
        <w:t>210 y</w:t>
      </w:r>
      <w:r w:rsidR="00651BC5" w:rsidRPr="0069011F">
        <w:rPr>
          <w:lang w:val="es-ES"/>
        </w:rPr>
        <w:t xml:space="preserve"> </w:t>
      </w:r>
      <w:r w:rsidRPr="0069011F">
        <w:rPr>
          <w:lang w:val="es-ES"/>
        </w:rPr>
        <w:t>237 para las reivindicaciones que no pueden ser objeto de búsqueda o no han sido examinadas; en determinados casos, necesidad de introducir en formatos diferentes la información sob</w:t>
      </w:r>
      <w:r w:rsidR="00E7532E" w:rsidRPr="0069011F">
        <w:rPr>
          <w:lang w:val="es-ES"/>
        </w:rPr>
        <w:t>re las citas en los Formularios</w:t>
      </w:r>
      <w:r w:rsidR="00651BC5" w:rsidRPr="0069011F">
        <w:rPr>
          <w:lang w:val="es-ES"/>
        </w:rPr>
        <w:t xml:space="preserve"> </w:t>
      </w:r>
      <w:r w:rsidR="00E7532E" w:rsidRPr="0069011F">
        <w:rPr>
          <w:lang w:val="es-ES"/>
        </w:rPr>
        <w:t>210 y</w:t>
      </w:r>
      <w:r w:rsidR="00651BC5" w:rsidRPr="0069011F">
        <w:rPr>
          <w:lang w:val="es-ES"/>
        </w:rPr>
        <w:t xml:space="preserve"> </w:t>
      </w:r>
      <w:r w:rsidRPr="0069011F">
        <w:rPr>
          <w:lang w:val="es-ES"/>
        </w:rPr>
        <w:t>237)</w:t>
      </w:r>
      <w:r w:rsidR="00F71C11" w:rsidRPr="0069011F">
        <w:rPr>
          <w:lang w:val="es-ES"/>
        </w:rPr>
        <w:t>.</w:t>
      </w:r>
    </w:p>
    <w:p w14:paraId="027F83E4" w14:textId="31B8A60D" w:rsidR="00F71C11" w:rsidRPr="0069011F" w:rsidRDefault="00E5167C" w:rsidP="00F71C11">
      <w:pPr>
        <w:pStyle w:val="ONUME"/>
        <w:rPr>
          <w:lang w:val="es-ES"/>
        </w:rPr>
      </w:pPr>
      <w:r w:rsidRPr="0069011F">
        <w:rPr>
          <w:lang w:val="es-ES"/>
        </w:rPr>
        <w:t>Lo ideal sería</w:t>
      </w:r>
      <w:r w:rsidR="00C400BC" w:rsidRPr="0069011F">
        <w:rPr>
          <w:lang w:val="es-ES"/>
        </w:rPr>
        <w:t xml:space="preserve"> que el trabajo </w:t>
      </w:r>
      <w:r w:rsidR="00AD683C" w:rsidRPr="0069011F">
        <w:rPr>
          <w:lang w:val="es-ES"/>
        </w:rPr>
        <w:t>invertido en la definición de</w:t>
      </w:r>
      <w:r w:rsidR="00C400BC" w:rsidRPr="0069011F">
        <w:rPr>
          <w:lang w:val="es-ES"/>
        </w:rPr>
        <w:t xml:space="preserve"> los requisitos para los informes de búsqueda y examen </w:t>
      </w:r>
      <w:r w:rsidR="00AD683C" w:rsidRPr="0069011F">
        <w:rPr>
          <w:lang w:val="es-ES"/>
        </w:rPr>
        <w:t>conformes a</w:t>
      </w:r>
      <w:r w:rsidR="00C400BC" w:rsidRPr="0069011F">
        <w:rPr>
          <w:lang w:val="es-ES"/>
        </w:rPr>
        <w:t xml:space="preserve"> la Norma ST.96 de la OMPI se </w:t>
      </w:r>
      <w:r w:rsidR="00AD683C" w:rsidRPr="0069011F">
        <w:rPr>
          <w:lang w:val="es-ES"/>
        </w:rPr>
        <w:t>aproveche como</w:t>
      </w:r>
      <w:r w:rsidR="00C400BC" w:rsidRPr="0069011F">
        <w:rPr>
          <w:lang w:val="es-ES"/>
        </w:rPr>
        <w:t xml:space="preserve"> oportunidad </w:t>
      </w:r>
      <w:r w:rsidR="00AD683C" w:rsidRPr="0069011F">
        <w:rPr>
          <w:lang w:val="es-ES"/>
        </w:rPr>
        <w:t xml:space="preserve">de </w:t>
      </w:r>
      <w:r w:rsidR="00C400BC" w:rsidRPr="0069011F">
        <w:rPr>
          <w:lang w:val="es-ES"/>
        </w:rPr>
        <w:t xml:space="preserve">garantizar </w:t>
      </w:r>
      <w:r w:rsidR="00AD683C" w:rsidRPr="0069011F">
        <w:rPr>
          <w:lang w:val="es-ES"/>
        </w:rPr>
        <w:t xml:space="preserve">la creación y reutilización eficaz de </w:t>
      </w:r>
      <w:r w:rsidR="00C400BC" w:rsidRPr="0069011F">
        <w:rPr>
          <w:lang w:val="es-ES"/>
        </w:rPr>
        <w:t xml:space="preserve">los informes y </w:t>
      </w:r>
      <w:r w:rsidR="00AD683C" w:rsidRPr="0069011F">
        <w:rPr>
          <w:lang w:val="es-ES"/>
        </w:rPr>
        <w:t>de que</w:t>
      </w:r>
      <w:r w:rsidR="00C400BC" w:rsidRPr="0069011F">
        <w:rPr>
          <w:lang w:val="es-ES"/>
        </w:rPr>
        <w:t xml:space="preserve"> los examinadores no tengan que introducir</w:t>
      </w:r>
      <w:r w:rsidRPr="0069011F">
        <w:rPr>
          <w:lang w:val="es-ES"/>
        </w:rPr>
        <w:t xml:space="preserve"> dos veces la misma información</w:t>
      </w:r>
      <w:r w:rsidR="00C400BC" w:rsidRPr="0069011F">
        <w:rPr>
          <w:lang w:val="es-ES"/>
        </w:rPr>
        <w:t xml:space="preserve"> </w:t>
      </w:r>
      <w:r w:rsidR="00AD683C" w:rsidRPr="0069011F">
        <w:rPr>
          <w:lang w:val="es-ES"/>
        </w:rPr>
        <w:t xml:space="preserve">a </w:t>
      </w:r>
      <w:r w:rsidR="00E7532E" w:rsidRPr="0069011F">
        <w:rPr>
          <w:lang w:val="es-ES"/>
        </w:rPr>
        <w:t>causa de</w:t>
      </w:r>
      <w:r w:rsidR="00C400BC" w:rsidRPr="0069011F">
        <w:rPr>
          <w:lang w:val="es-ES"/>
        </w:rPr>
        <w:t xml:space="preserve"> las diferentes estructuras de datos. En ese contexto, las Oficinas deberían estar preparadas para modificar los requisitos que impone la Norma ST.36 y los formularios de búsqueda y de opinión escrita del PCT en papel, a fin de mejorar la reutilización de la información entre las fases nacional e internacional</w:t>
      </w:r>
      <w:r w:rsidR="00F71C11" w:rsidRPr="0069011F">
        <w:rPr>
          <w:lang w:val="es-ES"/>
        </w:rPr>
        <w:t>.</w:t>
      </w:r>
    </w:p>
    <w:p w14:paraId="0C89E62F" w14:textId="051DC49B" w:rsidR="00794A11" w:rsidRPr="0069011F" w:rsidRDefault="00F71C11" w:rsidP="00EC03AF">
      <w:pPr>
        <w:pStyle w:val="Heading3"/>
        <w:keepNext w:val="0"/>
        <w:rPr>
          <w:lang w:val="es-ES_tradnl"/>
        </w:rPr>
      </w:pPr>
      <w:r w:rsidRPr="0069011F">
        <w:rPr>
          <w:lang w:val="es-ES_tradnl"/>
        </w:rPr>
        <w:t>XML</w:t>
      </w:r>
      <w:r w:rsidR="00D1418B" w:rsidRPr="0069011F">
        <w:rPr>
          <w:lang w:val="es-ES_tradnl"/>
        </w:rPr>
        <w:t xml:space="preserve"> para formularios y tramitación</w:t>
      </w:r>
    </w:p>
    <w:p w14:paraId="4774DCAC" w14:textId="6F90161B" w:rsidR="00F71C11" w:rsidRPr="0069011F" w:rsidRDefault="001E3E63" w:rsidP="00794A11">
      <w:pPr>
        <w:pStyle w:val="ONUME"/>
        <w:rPr>
          <w:lang w:val="es-ES"/>
        </w:rPr>
      </w:pPr>
      <w:r w:rsidRPr="0069011F">
        <w:rPr>
          <w:lang w:val="es-ES"/>
        </w:rPr>
        <w:t>Casi todos los documentos creados por la Oficina Internacional o por las Oficinas que utilizan el ePCT para tramitar solicitudes se preparan utilizando el formato XML.</w:t>
      </w:r>
      <w:r w:rsidR="00F71C11" w:rsidRPr="0069011F">
        <w:rPr>
          <w:lang w:val="es-ES"/>
        </w:rPr>
        <w:t xml:space="preserve"> </w:t>
      </w:r>
      <w:r w:rsidRPr="0069011F">
        <w:rPr>
          <w:lang w:val="es-ES"/>
        </w:rPr>
        <w:t xml:space="preserve">En el caso de </w:t>
      </w:r>
      <w:r w:rsidRPr="0069011F">
        <w:rPr>
          <w:lang w:val="es-ES"/>
        </w:rPr>
        <w:lastRenderedPageBreak/>
        <w:t xml:space="preserve">los formularios del PCT, las DTD y las hojas de estilo están disponibles en el sitio web </w:t>
      </w:r>
      <w:r w:rsidR="00AE7F63" w:rsidRPr="0069011F">
        <w:rPr>
          <w:lang w:val="es-ES_tradnl"/>
        </w:rPr>
        <w:t>de la OMPI</w:t>
      </w:r>
      <w:r w:rsidR="00AE7F63" w:rsidRPr="0069011F">
        <w:rPr>
          <w:vertAlign w:val="superscript"/>
          <w:lang w:val="es-ES_tradnl"/>
        </w:rPr>
        <w:footnoteReference w:id="2"/>
      </w:r>
      <w:r w:rsidR="00AE7F63" w:rsidRPr="0069011F">
        <w:rPr>
          <w:lang w:val="es-ES_tradnl"/>
        </w:rPr>
        <w:t xml:space="preserve"> y</w:t>
      </w:r>
      <w:r w:rsidRPr="0069011F">
        <w:rPr>
          <w:lang w:val="es-ES"/>
        </w:rPr>
        <w:t>, asimismo, son utilizad</w:t>
      </w:r>
      <w:r w:rsidR="004C5FA7" w:rsidRPr="0069011F">
        <w:rPr>
          <w:lang w:val="es-ES"/>
        </w:rPr>
        <w:t>a</w:t>
      </w:r>
      <w:r w:rsidRPr="0069011F">
        <w:rPr>
          <w:lang w:val="es-ES"/>
        </w:rPr>
        <w:t>s por algunas Oficinas que generan sus propios formularios, en los que plasman la información comercial en un formato que sea legible por máquina</w:t>
      </w:r>
      <w:r w:rsidR="00F71C11" w:rsidRPr="0069011F">
        <w:rPr>
          <w:lang w:val="es-ES"/>
        </w:rPr>
        <w:t>.</w:t>
      </w:r>
      <w:r w:rsidR="007E1C0F" w:rsidRPr="0069011F">
        <w:rPr>
          <w:lang w:val="es-ES"/>
        </w:rPr>
        <w:t xml:space="preserve"> </w:t>
      </w:r>
      <w:r w:rsidRPr="0069011F">
        <w:rPr>
          <w:lang w:val="es-ES"/>
        </w:rPr>
        <w:t xml:space="preserve">Parte de la información codificada en dichos formularios de las Oficinas se está utilizando para </w:t>
      </w:r>
      <w:r w:rsidR="00794A11" w:rsidRPr="0069011F">
        <w:rPr>
          <w:lang w:val="es-ES"/>
        </w:rPr>
        <w:t>respaldar</w:t>
      </w:r>
      <w:r w:rsidRPr="0069011F">
        <w:rPr>
          <w:lang w:val="es-ES"/>
        </w:rPr>
        <w:t xml:space="preserve"> la tramitación en la Oficina Internacional</w:t>
      </w:r>
      <w:r w:rsidR="007A58CE" w:rsidRPr="0069011F">
        <w:rPr>
          <w:lang w:val="es-ES"/>
        </w:rPr>
        <w:t xml:space="preserve">. </w:t>
      </w:r>
      <w:r w:rsidRPr="0069011F">
        <w:rPr>
          <w:lang w:val="es-ES"/>
        </w:rPr>
        <w:t xml:space="preserve">Sin embargo, gran parte de los datos no se utilizan y, en su mayor parte, los procesos simplemente </w:t>
      </w:r>
      <w:r w:rsidR="00794A11" w:rsidRPr="0069011F">
        <w:rPr>
          <w:lang w:val="es-ES"/>
        </w:rPr>
        <w:t>son una réplica</w:t>
      </w:r>
      <w:r w:rsidRPr="0069011F">
        <w:rPr>
          <w:lang w:val="es-ES"/>
        </w:rPr>
        <w:t xml:space="preserve"> </w:t>
      </w:r>
      <w:r w:rsidR="004C5FA7" w:rsidRPr="0069011F">
        <w:rPr>
          <w:lang w:val="es-ES"/>
        </w:rPr>
        <w:t xml:space="preserve">de </w:t>
      </w:r>
      <w:r w:rsidR="00794A11" w:rsidRPr="0069011F">
        <w:rPr>
          <w:lang w:val="es-ES"/>
        </w:rPr>
        <w:t>la tramitación en papel.</w:t>
      </w:r>
    </w:p>
    <w:p w14:paraId="694298C2" w14:textId="56A4FC14" w:rsidR="00F71C11" w:rsidRPr="0069011F" w:rsidRDefault="00DB59EA" w:rsidP="00F71C11">
      <w:pPr>
        <w:pStyle w:val="ONUME"/>
        <w:rPr>
          <w:lang w:val="es-ES"/>
        </w:rPr>
      </w:pPr>
      <w:r w:rsidRPr="0069011F">
        <w:rPr>
          <w:lang w:val="es-ES"/>
        </w:rPr>
        <w:t xml:space="preserve">Recientemente, se han aprobado algunos avances menores en lo que respecta a los formularios en formato XML que deberán preparar los solicitantes. En particular, se acordó agregar la opción de añadir información en la hoja de tasas que va ligada al formulario de solicitud, con objeto de que los solicitantes especifiquen las cuentas de depósito </w:t>
      </w:r>
      <w:r w:rsidR="00D63935" w:rsidRPr="0069011F">
        <w:rPr>
          <w:lang w:val="es-ES"/>
        </w:rPr>
        <w:t xml:space="preserve">en </w:t>
      </w:r>
      <w:r w:rsidRPr="0069011F">
        <w:rPr>
          <w:lang w:val="es-ES"/>
        </w:rPr>
        <w:t xml:space="preserve">las que se deba </w:t>
      </w:r>
      <w:r w:rsidR="00D63935" w:rsidRPr="0069011F">
        <w:rPr>
          <w:lang w:val="es-ES"/>
        </w:rPr>
        <w:t>ingresar cualquier</w:t>
      </w:r>
      <w:r w:rsidRPr="0069011F">
        <w:rPr>
          <w:lang w:val="es-ES"/>
        </w:rPr>
        <w:t xml:space="preserve"> reembolso. </w:t>
      </w:r>
      <w:r w:rsidR="00D54B6E" w:rsidRPr="0069011F">
        <w:rPr>
          <w:lang w:val="es-ES"/>
        </w:rPr>
        <w:t>Esto puede resultar pertinente para las Oficinas receptoras, pero reviste especial importancia para las ISA, que efectúan un gran número de reembolsos en función del uso de los informes de búsqueda anteriores (como la Oficina Europea de Patentes) y desean mejorar la automatización de ese proceso. Además, el formato XML para el formulario de solicitud se ha actualizado para refle</w:t>
      </w:r>
      <w:r w:rsidR="0021178C" w:rsidRPr="0069011F">
        <w:rPr>
          <w:lang w:val="es-ES"/>
        </w:rPr>
        <w:t>jar la modificación de la Regla</w:t>
      </w:r>
      <w:r w:rsidR="00651BC5" w:rsidRPr="0069011F">
        <w:rPr>
          <w:lang w:val="es-ES"/>
        </w:rPr>
        <w:t xml:space="preserve"> </w:t>
      </w:r>
      <w:r w:rsidR="00D54B6E" w:rsidRPr="0069011F">
        <w:rPr>
          <w:lang w:val="es-ES"/>
        </w:rPr>
        <w:t>69.1, q</w:t>
      </w:r>
      <w:r w:rsidR="0021178C" w:rsidRPr="0069011F">
        <w:rPr>
          <w:lang w:val="es-ES"/>
        </w:rPr>
        <w:t>ue entrará en vigor en julio de</w:t>
      </w:r>
      <w:r w:rsidR="00651BC5" w:rsidRPr="0069011F">
        <w:rPr>
          <w:lang w:val="es-ES"/>
        </w:rPr>
        <w:t xml:space="preserve"> </w:t>
      </w:r>
      <w:r w:rsidR="00D54B6E" w:rsidRPr="0069011F">
        <w:rPr>
          <w:lang w:val="es-ES"/>
        </w:rPr>
        <w:t>2019</w:t>
      </w:r>
      <w:r w:rsidR="0021178C" w:rsidRPr="0069011F">
        <w:rPr>
          <w:lang w:val="es-ES"/>
        </w:rPr>
        <w:t xml:space="preserve"> y que</w:t>
      </w:r>
      <w:r w:rsidR="00D54B6E" w:rsidRPr="0069011F">
        <w:rPr>
          <w:lang w:val="es-ES"/>
        </w:rPr>
        <w:t xml:space="preserve"> otorgará al solicitante la posibilidad de solicitar una </w:t>
      </w:r>
      <w:r w:rsidR="00D63935" w:rsidRPr="0069011F">
        <w:rPr>
          <w:lang w:val="es-ES"/>
        </w:rPr>
        <w:t xml:space="preserve">prórroga </w:t>
      </w:r>
      <w:r w:rsidR="00D54B6E" w:rsidRPr="0069011F">
        <w:rPr>
          <w:lang w:val="es-ES"/>
        </w:rPr>
        <w:t xml:space="preserve">para el </w:t>
      </w:r>
      <w:r w:rsidR="00D63935" w:rsidRPr="0069011F">
        <w:rPr>
          <w:lang w:val="es-ES"/>
        </w:rPr>
        <w:t xml:space="preserve">inicio del </w:t>
      </w:r>
      <w:r w:rsidR="00D54B6E" w:rsidRPr="0069011F">
        <w:rPr>
          <w:lang w:val="es-ES"/>
        </w:rPr>
        <w:t>examen preliminar internacional en lugar de que comience de forma inmediata</w:t>
      </w:r>
      <w:r w:rsidR="00F71C11" w:rsidRPr="0069011F">
        <w:rPr>
          <w:lang w:val="es-ES"/>
        </w:rPr>
        <w:t>.</w:t>
      </w:r>
    </w:p>
    <w:p w14:paraId="3AEB485B" w14:textId="013F8599" w:rsidR="00F71C11" w:rsidRPr="0069011F" w:rsidRDefault="00595A0E" w:rsidP="00EC03AF">
      <w:pPr>
        <w:pStyle w:val="Heading1"/>
        <w:keepNext w:val="0"/>
      </w:pPr>
      <w:r w:rsidRPr="0069011F">
        <w:t>otras</w:t>
      </w:r>
      <w:r w:rsidR="00F71C11" w:rsidRPr="0069011F">
        <w:t xml:space="preserve"> </w:t>
      </w:r>
      <w:r w:rsidRPr="0069011F">
        <w:t>cuestiones</w:t>
      </w:r>
    </w:p>
    <w:p w14:paraId="6F43AAE4" w14:textId="446B709D" w:rsidR="00F71C11" w:rsidRPr="0069011F" w:rsidRDefault="008D220B" w:rsidP="00EC03AF">
      <w:pPr>
        <w:pStyle w:val="Heading3"/>
        <w:keepNext w:val="0"/>
        <w:rPr>
          <w:lang w:val="es-ES_tradnl"/>
        </w:rPr>
      </w:pPr>
      <w:r w:rsidRPr="0069011F">
        <w:rPr>
          <w:lang w:val="es-ES_tradnl"/>
        </w:rPr>
        <w:t>Dibujos en</w:t>
      </w:r>
      <w:r w:rsidR="00F71C11" w:rsidRPr="0069011F">
        <w:rPr>
          <w:lang w:val="es-ES_tradnl"/>
        </w:rPr>
        <w:t xml:space="preserve"> </w:t>
      </w:r>
      <w:r w:rsidRPr="0069011F">
        <w:rPr>
          <w:lang w:val="es-ES_tradnl"/>
        </w:rPr>
        <w:t>color</w:t>
      </w:r>
    </w:p>
    <w:p w14:paraId="11FFD2E2" w14:textId="5F9164CE" w:rsidR="00F71C11" w:rsidRPr="0069011F" w:rsidRDefault="00493839" w:rsidP="00F71C11">
      <w:pPr>
        <w:pStyle w:val="ONUME"/>
        <w:rPr>
          <w:lang w:val="es-ES"/>
        </w:rPr>
      </w:pPr>
      <w:r w:rsidRPr="0069011F">
        <w:rPr>
          <w:lang w:val="es-ES"/>
        </w:rPr>
        <w:t>A finales de</w:t>
      </w:r>
      <w:r w:rsidR="00651BC5" w:rsidRPr="0069011F">
        <w:rPr>
          <w:lang w:val="es-ES"/>
        </w:rPr>
        <w:t xml:space="preserve"> </w:t>
      </w:r>
      <w:r w:rsidR="00343EB7" w:rsidRPr="0069011F">
        <w:rPr>
          <w:lang w:val="es-ES"/>
        </w:rPr>
        <w:t xml:space="preserve">2018, se </w:t>
      </w:r>
      <w:r w:rsidRPr="0069011F">
        <w:rPr>
          <w:lang w:val="es-ES"/>
        </w:rPr>
        <w:t>marcaron</w:t>
      </w:r>
      <w:r w:rsidR="00651BC5" w:rsidRPr="0069011F">
        <w:rPr>
          <w:lang w:val="es-ES"/>
        </w:rPr>
        <w:t xml:space="preserve"> </w:t>
      </w:r>
      <w:r w:rsidR="00343EB7" w:rsidRPr="0069011F">
        <w:rPr>
          <w:lang w:val="es-ES"/>
        </w:rPr>
        <w:t>887</w:t>
      </w:r>
      <w:r w:rsidRPr="0069011F">
        <w:rPr>
          <w:lang w:val="es-ES"/>
        </w:rPr>
        <w:t xml:space="preserve"> solicitudes internacionales de</w:t>
      </w:r>
      <w:r w:rsidR="00651BC5" w:rsidRPr="0069011F">
        <w:rPr>
          <w:lang w:val="es-ES"/>
        </w:rPr>
        <w:t xml:space="preserve"> </w:t>
      </w:r>
      <w:r w:rsidR="00343EB7" w:rsidRPr="0069011F">
        <w:rPr>
          <w:lang w:val="es-ES"/>
        </w:rPr>
        <w:t xml:space="preserve">27 Oficinas receptoras con el indicador de posibles dibujos en color, </w:t>
      </w:r>
      <w:r w:rsidR="00D63935" w:rsidRPr="0069011F">
        <w:rPr>
          <w:lang w:val="es-ES"/>
        </w:rPr>
        <w:t>conforme a lo descrito</w:t>
      </w:r>
      <w:r w:rsidRPr="0069011F">
        <w:rPr>
          <w:lang w:val="es-ES"/>
        </w:rPr>
        <w:t xml:space="preserve"> en los párrafos</w:t>
      </w:r>
      <w:r w:rsidR="00651BC5" w:rsidRPr="0069011F">
        <w:rPr>
          <w:lang w:val="es-ES"/>
        </w:rPr>
        <w:t xml:space="preserve"> </w:t>
      </w:r>
      <w:r w:rsidRPr="0069011F">
        <w:rPr>
          <w:lang w:val="es-ES"/>
        </w:rPr>
        <w:t>11 a</w:t>
      </w:r>
      <w:r w:rsidR="00651BC5" w:rsidRPr="0069011F">
        <w:rPr>
          <w:lang w:val="es-ES"/>
        </w:rPr>
        <w:t xml:space="preserve"> </w:t>
      </w:r>
      <w:r w:rsidR="00343EB7" w:rsidRPr="0069011F">
        <w:rPr>
          <w:lang w:val="es-ES"/>
        </w:rPr>
        <w:t xml:space="preserve">15 del documento PCT/WG/9/19. Este acuerdo permite a los solicitantes que presentan solicitudes de forma electrónica en </w:t>
      </w:r>
      <w:r w:rsidR="00D63935" w:rsidRPr="0069011F">
        <w:rPr>
          <w:lang w:val="es-ES"/>
        </w:rPr>
        <w:t xml:space="preserve">determinadas </w:t>
      </w:r>
      <w:r w:rsidR="00343EB7" w:rsidRPr="0069011F">
        <w:rPr>
          <w:lang w:val="es-ES"/>
        </w:rPr>
        <w:t xml:space="preserve">Oficinas receptoras marcar una casilla para indicar que la solicitud, cargada en formato XML o PDF, contiene imágenes en color o en escala de grises. </w:t>
      </w:r>
      <w:r w:rsidR="005D2D65" w:rsidRPr="0069011F">
        <w:rPr>
          <w:lang w:val="es-ES"/>
        </w:rPr>
        <w:t>Si se marca esa casilla, en la portada de la solicitud publicada aparecerá un aviso en el que se indicará que el documento original contiene dibujos en color y que puede descargarse en PATENTSCOPE.</w:t>
      </w:r>
      <w:r w:rsidR="00F71C11" w:rsidRPr="0069011F">
        <w:rPr>
          <w:lang w:val="es-ES"/>
        </w:rPr>
        <w:t xml:space="preserve"> </w:t>
      </w:r>
      <w:r w:rsidRPr="0069011F">
        <w:rPr>
          <w:lang w:val="es-ES"/>
        </w:rPr>
        <w:t>En el documento PCT/EF/PFC</w:t>
      </w:r>
      <w:r w:rsidR="00651BC5" w:rsidRPr="0069011F">
        <w:rPr>
          <w:lang w:val="es-ES"/>
        </w:rPr>
        <w:t xml:space="preserve"> </w:t>
      </w:r>
      <w:r w:rsidR="005D2D65" w:rsidRPr="0069011F">
        <w:rPr>
          <w:lang w:val="es-ES"/>
        </w:rPr>
        <w:t>17/003 se exponen los detalles técnicos necesarios que deben tener en cuenta las Oficinas receptoras que deseen introducir esa función en sus propios programas informáticos</w:t>
      </w:r>
      <w:r w:rsidR="00F71C11" w:rsidRPr="0069011F">
        <w:rPr>
          <w:lang w:val="es-ES"/>
        </w:rPr>
        <w:t>.</w:t>
      </w:r>
    </w:p>
    <w:p w14:paraId="1E49EADD" w14:textId="3D6256B7" w:rsidR="00F71C11" w:rsidRPr="0069011F" w:rsidRDefault="009C7E8C" w:rsidP="00EC03AF">
      <w:pPr>
        <w:pStyle w:val="ONUME"/>
        <w:rPr>
          <w:lang w:val="es-ES"/>
        </w:rPr>
      </w:pPr>
      <w:r w:rsidRPr="0069011F">
        <w:rPr>
          <w:lang w:val="es-ES"/>
        </w:rPr>
        <w:t>Este no es un indicador fiable del número de solicitudes que contienen dibujos en color. Para las presentaciones realizadas a través del ePCT, la casilla se marca automáticamente si se detectan imágenes en color o en escala de grises.</w:t>
      </w:r>
      <w:r w:rsidR="00F71C11" w:rsidRPr="0069011F">
        <w:rPr>
          <w:lang w:val="es-ES"/>
        </w:rPr>
        <w:t xml:space="preserve"> </w:t>
      </w:r>
      <w:r w:rsidRPr="0069011F">
        <w:rPr>
          <w:lang w:val="es-ES"/>
        </w:rPr>
        <w:t xml:space="preserve">Sin embargo, un ejemplo muy común son los dibujos de líneas en blanco y negro, </w:t>
      </w:r>
      <w:r w:rsidR="00CD42E1" w:rsidRPr="0069011F">
        <w:rPr>
          <w:lang w:val="es-ES"/>
        </w:rPr>
        <w:t xml:space="preserve">que </w:t>
      </w:r>
      <w:r w:rsidRPr="0069011F">
        <w:rPr>
          <w:lang w:val="es-ES"/>
        </w:rPr>
        <w:t>el programa de creación de PDF del solicitante</w:t>
      </w:r>
      <w:r w:rsidR="00CD42E1" w:rsidRPr="0069011F">
        <w:rPr>
          <w:lang w:val="es-ES"/>
        </w:rPr>
        <w:t xml:space="preserve"> convierte automáticamente</w:t>
      </w:r>
      <w:r w:rsidRPr="0069011F">
        <w:rPr>
          <w:lang w:val="es-ES"/>
        </w:rPr>
        <w:t xml:space="preserve"> a un formato de color o escala de grises, pero posteriormente se convierten de nuevo a blanco y negro sin que </w:t>
      </w:r>
      <w:r w:rsidR="00CD42E1" w:rsidRPr="0069011F">
        <w:rPr>
          <w:lang w:val="es-ES"/>
        </w:rPr>
        <w:t xml:space="preserve">esto </w:t>
      </w:r>
      <w:r w:rsidRPr="0069011F">
        <w:rPr>
          <w:lang w:val="es-ES"/>
        </w:rPr>
        <w:t>acarree ninguna pérdida de detalle.</w:t>
      </w:r>
      <w:r w:rsidR="00F71C11" w:rsidRPr="0069011F">
        <w:rPr>
          <w:lang w:val="es-ES"/>
        </w:rPr>
        <w:t xml:space="preserve"> </w:t>
      </w:r>
      <w:r w:rsidRPr="0069011F">
        <w:rPr>
          <w:lang w:val="es-ES"/>
        </w:rPr>
        <w:t>En muchos de estos casos, el solicitante simplemente ha dejado esta casilla marcada, a pesar de que la solicitud no contenga</w:t>
      </w:r>
      <w:r w:rsidR="00CD42E1" w:rsidRPr="0069011F">
        <w:rPr>
          <w:lang w:val="es-ES"/>
        </w:rPr>
        <w:t xml:space="preserve"> de forma evidente </w:t>
      </w:r>
      <w:r w:rsidRPr="0069011F">
        <w:rPr>
          <w:lang w:val="es-ES"/>
        </w:rPr>
        <w:t>dibujos en color o en escala de grises</w:t>
      </w:r>
      <w:r w:rsidR="00F71C11" w:rsidRPr="0069011F">
        <w:rPr>
          <w:lang w:val="es-ES"/>
        </w:rPr>
        <w:t>.</w:t>
      </w:r>
    </w:p>
    <w:p w14:paraId="14C3F40F" w14:textId="33E4B486" w:rsidR="00F71C11" w:rsidRPr="0069011F" w:rsidRDefault="00EC168D" w:rsidP="00F71C11">
      <w:pPr>
        <w:pStyle w:val="ONUME"/>
        <w:rPr>
          <w:lang w:val="es-ES"/>
        </w:rPr>
      </w:pPr>
      <w:r w:rsidRPr="0069011F">
        <w:rPr>
          <w:lang w:val="es-ES"/>
        </w:rPr>
        <w:t>El objetivo de la Oficina Internacional sigue siendo ofrecer la tramitación a todo color de las solicitudes internacionales a lo largo de la fase internacional con un marco jurídico eficaz que garantice que los dibujos en color puedan ser reconocidos en la fase nacional. Esa labor es un proceso en curso que se inscribe en el examen más amplio de las medidas relativas a la recepción, el tratamiento, la modificación y la publicación del cuerpo de las solicitudes, teniendo también en cuenta el deseo de un tratamiento eficaz del texto completo</w:t>
      </w:r>
      <w:r w:rsidR="00F71C11" w:rsidRPr="0069011F">
        <w:rPr>
          <w:lang w:val="es-ES"/>
        </w:rPr>
        <w:t>.</w:t>
      </w:r>
    </w:p>
    <w:p w14:paraId="3C7699C6" w14:textId="312AE72A" w:rsidR="00F71C11" w:rsidRPr="0069011F" w:rsidRDefault="00D0602C" w:rsidP="00EC03AF">
      <w:pPr>
        <w:pStyle w:val="Heading3"/>
        <w:rPr>
          <w:lang w:val="es-ES_tradnl"/>
        </w:rPr>
      </w:pPr>
      <w:r w:rsidRPr="0069011F">
        <w:rPr>
          <w:lang w:val="es-ES_tradnl"/>
        </w:rPr>
        <w:lastRenderedPageBreak/>
        <w:t>Entrada en la fase nacional</w:t>
      </w:r>
    </w:p>
    <w:p w14:paraId="2CF60EDB" w14:textId="62D394EA" w:rsidR="00F71C11" w:rsidRPr="0069011F" w:rsidRDefault="00F266FC" w:rsidP="00F71C11">
      <w:pPr>
        <w:pStyle w:val="ONUME"/>
        <w:rPr>
          <w:lang w:val="es-ES"/>
        </w:rPr>
      </w:pPr>
      <w:r w:rsidRPr="0069011F">
        <w:rPr>
          <w:lang w:val="es-ES"/>
        </w:rPr>
        <w:t>La información relativa a la fase</w:t>
      </w:r>
      <w:r w:rsidR="00CB4E93" w:rsidRPr="0069011F">
        <w:rPr>
          <w:lang w:val="es-ES"/>
        </w:rPr>
        <w:t xml:space="preserve"> nacional, exigida por la Regla</w:t>
      </w:r>
      <w:r w:rsidR="00651BC5" w:rsidRPr="0069011F">
        <w:rPr>
          <w:lang w:val="es-ES"/>
        </w:rPr>
        <w:t xml:space="preserve"> </w:t>
      </w:r>
      <w:r w:rsidR="00CB4E93" w:rsidRPr="0069011F">
        <w:rPr>
          <w:lang w:val="es-ES"/>
        </w:rPr>
        <w:t>95 del PCT desde el</w:t>
      </w:r>
      <w:r w:rsidR="00651BC5" w:rsidRPr="0069011F">
        <w:rPr>
          <w:lang w:val="es-ES"/>
        </w:rPr>
        <w:t xml:space="preserve"> </w:t>
      </w:r>
      <w:r w:rsidRPr="0069011F">
        <w:rPr>
          <w:lang w:val="es-ES"/>
        </w:rPr>
        <w:t>1 de julio de</w:t>
      </w:r>
      <w:r w:rsidR="00651BC5" w:rsidRPr="0069011F">
        <w:rPr>
          <w:lang w:val="es-ES"/>
        </w:rPr>
        <w:t xml:space="preserve"> </w:t>
      </w:r>
      <w:r w:rsidRPr="0069011F">
        <w:rPr>
          <w:lang w:val="es-ES"/>
        </w:rPr>
        <w:t>2017, continúa siendo difícil de recopilar</w:t>
      </w:r>
      <w:r w:rsidR="00CB4E93" w:rsidRPr="0069011F">
        <w:rPr>
          <w:lang w:val="es-ES"/>
        </w:rPr>
        <w:t xml:space="preserve">. </w:t>
      </w:r>
      <w:r w:rsidRPr="0069011F">
        <w:rPr>
          <w:lang w:val="es-ES"/>
        </w:rPr>
        <w:t>Varias Oficinas designadas han mejorado de forma significativa la calidad y la frecuencia de la comunicación de sus datos, pero otras</w:t>
      </w:r>
      <w:r w:rsidR="00520113" w:rsidRPr="0069011F">
        <w:rPr>
          <w:lang w:val="es-ES"/>
        </w:rPr>
        <w:t xml:space="preserve"> presentan la información con poca frecuencia o con datos corrompidos, o incluso no la presentan en absoluto</w:t>
      </w:r>
      <w:r w:rsidR="001E396B" w:rsidRPr="0069011F">
        <w:rPr>
          <w:lang w:val="es-ES"/>
        </w:rPr>
        <w:t>.</w:t>
      </w:r>
      <w:r w:rsidR="00F71C11" w:rsidRPr="0069011F">
        <w:rPr>
          <w:lang w:val="es-ES"/>
        </w:rPr>
        <w:t xml:space="preserve"> </w:t>
      </w:r>
      <w:r w:rsidRPr="0069011F">
        <w:rPr>
          <w:lang w:val="es-ES"/>
        </w:rPr>
        <w:t xml:space="preserve">Se entiende que algunas Oficinas están </w:t>
      </w:r>
      <w:r w:rsidR="00520113" w:rsidRPr="0069011F">
        <w:rPr>
          <w:lang w:val="es-ES"/>
        </w:rPr>
        <w:t>para la espera de</w:t>
      </w:r>
      <w:r w:rsidRPr="0069011F">
        <w:rPr>
          <w:lang w:val="es-ES"/>
        </w:rPr>
        <w:t xml:space="preserve"> instalar nuevas versiones del Sistema de Automatización para las Oficinas de PI, lo que ayudará a automatizar el proceso de presentación de las notificaciones</w:t>
      </w:r>
      <w:r w:rsidR="004D56AD" w:rsidRPr="0069011F">
        <w:rPr>
          <w:lang w:val="es-ES"/>
        </w:rPr>
        <w:t xml:space="preserve">. </w:t>
      </w:r>
      <w:r w:rsidRPr="0069011F">
        <w:rPr>
          <w:lang w:val="es-ES"/>
        </w:rPr>
        <w:t xml:space="preserve">Se espera </w:t>
      </w:r>
      <w:r w:rsidR="004D56AD" w:rsidRPr="0069011F">
        <w:rPr>
          <w:lang w:val="es-ES"/>
        </w:rPr>
        <w:t>la aplicación de otras mejoras</w:t>
      </w:r>
      <w:r w:rsidRPr="0069011F">
        <w:rPr>
          <w:lang w:val="es-ES"/>
        </w:rPr>
        <w:t xml:space="preserve"> cuando se complete la labor del equipo técnico del C</w:t>
      </w:r>
      <w:r w:rsidR="004D56AD" w:rsidRPr="0069011F">
        <w:rPr>
          <w:lang w:val="es-ES"/>
        </w:rPr>
        <w:t>omité encargado de la situación</w:t>
      </w:r>
      <w:r w:rsidRPr="0069011F">
        <w:rPr>
          <w:lang w:val="es-ES"/>
        </w:rPr>
        <w:t xml:space="preserve"> jurídica de las normas técnicas de la OMPI. La Oficina Internacional </w:t>
      </w:r>
      <w:r w:rsidR="00520113" w:rsidRPr="0069011F">
        <w:rPr>
          <w:lang w:val="es-ES"/>
        </w:rPr>
        <w:t>proseguirá su labor</w:t>
      </w:r>
      <w:r w:rsidRPr="0069011F">
        <w:rPr>
          <w:lang w:val="es-ES"/>
        </w:rPr>
        <w:t xml:space="preserve"> con estas y otras Oficinas designadas </w:t>
      </w:r>
      <w:r w:rsidR="00520113" w:rsidRPr="0069011F">
        <w:rPr>
          <w:lang w:val="es-ES"/>
        </w:rPr>
        <w:t xml:space="preserve">al objeto de </w:t>
      </w:r>
      <w:r w:rsidRPr="0069011F">
        <w:rPr>
          <w:lang w:val="es-ES"/>
        </w:rPr>
        <w:t>mejorar la calidad de la información relativa a la fase nacional</w:t>
      </w:r>
      <w:r w:rsidR="00F71C11" w:rsidRPr="0069011F">
        <w:rPr>
          <w:lang w:val="es-ES"/>
        </w:rPr>
        <w:t>.</w:t>
      </w:r>
    </w:p>
    <w:p w14:paraId="76A4BDCC" w14:textId="4549F6A5" w:rsidR="00F71C11" w:rsidRPr="0069011F" w:rsidRDefault="00DE6924" w:rsidP="00EC03AF">
      <w:pPr>
        <w:pStyle w:val="Heading3"/>
        <w:keepNext w:val="0"/>
        <w:rPr>
          <w:lang w:val="es-ES_tradnl"/>
        </w:rPr>
      </w:pPr>
      <w:r w:rsidRPr="0069011F">
        <w:rPr>
          <w:lang w:val="es-ES_tradnl"/>
        </w:rPr>
        <w:t>Puntualidad y calidad de los datos</w:t>
      </w:r>
    </w:p>
    <w:p w14:paraId="29123DF0" w14:textId="654E82D0" w:rsidR="00F71C11" w:rsidRPr="0069011F" w:rsidRDefault="00284917" w:rsidP="00F71C11">
      <w:pPr>
        <w:pStyle w:val="ONUME"/>
        <w:rPr>
          <w:lang w:val="es-ES"/>
        </w:rPr>
      </w:pPr>
      <w:r w:rsidRPr="0069011F">
        <w:rPr>
          <w:lang w:val="es-ES"/>
        </w:rPr>
        <w:t xml:space="preserve">A lo largo de los últimos años, la calidad y el alcance de los documentos y datos que posee la Oficina Internacional ha mejorado </w:t>
      </w:r>
      <w:r w:rsidR="00520113" w:rsidRPr="0069011F">
        <w:rPr>
          <w:lang w:val="es-ES"/>
        </w:rPr>
        <w:t>de manera significativa</w:t>
      </w:r>
      <w:r w:rsidRPr="0069011F">
        <w:rPr>
          <w:lang w:val="es-ES"/>
        </w:rPr>
        <w:t xml:space="preserve">. </w:t>
      </w:r>
      <w:r w:rsidR="00520113" w:rsidRPr="0069011F">
        <w:rPr>
          <w:lang w:val="es-ES"/>
        </w:rPr>
        <w:t>No obstante</w:t>
      </w:r>
      <w:r w:rsidRPr="0069011F">
        <w:rPr>
          <w:lang w:val="es-ES"/>
        </w:rPr>
        <w:t xml:space="preserve">, </w:t>
      </w:r>
      <w:r w:rsidR="00520113" w:rsidRPr="0069011F">
        <w:rPr>
          <w:lang w:val="es-ES"/>
        </w:rPr>
        <w:t>en el marco de las actividades realizadas con miras a</w:t>
      </w:r>
      <w:r w:rsidRPr="0069011F">
        <w:rPr>
          <w:lang w:val="es-ES"/>
        </w:rPr>
        <w:t xml:space="preserve"> mejorar los parámetros del PCT </w:t>
      </w:r>
      <w:r w:rsidR="00520113" w:rsidRPr="0069011F">
        <w:rPr>
          <w:lang w:val="es-ES"/>
        </w:rPr>
        <w:t xml:space="preserve">se </w:t>
      </w:r>
      <w:r w:rsidRPr="0069011F">
        <w:rPr>
          <w:lang w:val="es-ES"/>
        </w:rPr>
        <w:t>ha</w:t>
      </w:r>
      <w:r w:rsidR="00520113" w:rsidRPr="0069011F">
        <w:rPr>
          <w:lang w:val="es-ES"/>
        </w:rPr>
        <w:t>n</w:t>
      </w:r>
      <w:r w:rsidRPr="0069011F">
        <w:rPr>
          <w:lang w:val="es-ES"/>
        </w:rPr>
        <w:t xml:space="preserve"> identificado </w:t>
      </w:r>
      <w:r w:rsidR="000D5D62" w:rsidRPr="0069011F">
        <w:rPr>
          <w:lang w:val="es-ES"/>
        </w:rPr>
        <w:t xml:space="preserve">determinados </w:t>
      </w:r>
      <w:r w:rsidRPr="0069011F">
        <w:rPr>
          <w:lang w:val="es-ES"/>
        </w:rPr>
        <w:t>problemas relacionados con la calidad y el alcance de la información que detenta la Oficina Internacional.</w:t>
      </w:r>
      <w:r w:rsidR="00F71C11" w:rsidRPr="0069011F">
        <w:rPr>
          <w:lang w:val="es-ES"/>
        </w:rPr>
        <w:t xml:space="preserve"> </w:t>
      </w:r>
      <w:r w:rsidR="00317517" w:rsidRPr="0069011F">
        <w:rPr>
          <w:lang w:val="es-ES"/>
        </w:rPr>
        <w:t>Los procesos de producción, transmisión y tramitación de formularios conllevan la posibilidad de que las Oficinas nacionales o la Oficina Internacional transcriban los datos de forma incorrecta; alguna información se pierde por completo y se hace un uso insuficiente de los acuerdos disponibles para verificar que todos los datos que se</w:t>
      </w:r>
      <w:r w:rsidR="008E43BB" w:rsidRPr="0069011F">
        <w:rPr>
          <w:lang w:val="es-ES"/>
        </w:rPr>
        <w:t xml:space="preserve"> tratan de</w:t>
      </w:r>
      <w:r w:rsidR="00317517" w:rsidRPr="0069011F">
        <w:rPr>
          <w:lang w:val="es-ES"/>
        </w:rPr>
        <w:t xml:space="preserve"> transmitir se hayan recibido y procesado </w:t>
      </w:r>
      <w:r w:rsidR="000D5D62" w:rsidRPr="0069011F">
        <w:rPr>
          <w:lang w:val="es-ES"/>
        </w:rPr>
        <w:t>del modo idóneo</w:t>
      </w:r>
      <w:r w:rsidR="00317517" w:rsidRPr="0069011F">
        <w:rPr>
          <w:lang w:val="es-ES"/>
        </w:rPr>
        <w:t xml:space="preserve">. La Oficina Internacional trabajará con las Oficinas </w:t>
      </w:r>
      <w:r w:rsidR="000D5D62" w:rsidRPr="0069011F">
        <w:rPr>
          <w:lang w:val="es-ES"/>
        </w:rPr>
        <w:t xml:space="preserve">en </w:t>
      </w:r>
      <w:r w:rsidR="00317517" w:rsidRPr="0069011F">
        <w:rPr>
          <w:lang w:val="es-ES"/>
        </w:rPr>
        <w:t>mejorar los acuerdos de intercambio de documentos y datos con miras a minimizar el riesgo de pérdida o corrupción de documentos y datos</w:t>
      </w:r>
      <w:r w:rsidR="00F71C11" w:rsidRPr="0069011F">
        <w:rPr>
          <w:lang w:val="es-ES"/>
        </w:rPr>
        <w:t xml:space="preserve">. </w:t>
      </w:r>
      <w:r w:rsidR="00317517" w:rsidRPr="0069011F">
        <w:rPr>
          <w:lang w:val="es-ES"/>
        </w:rPr>
        <w:t>Mientras tanto, la Oficina Internacional alentará a las Oficinas nacionales a que traten de garantizar que, en la medida de lo posible, los datos se transmitan en formatos legibles por máquina y, en caso de que se utilicen las transmisiones por lotes, se verifiquen los recibos para garantizar que la información deseada haya sido recibida y procesada</w:t>
      </w:r>
      <w:r w:rsidR="00F71C11" w:rsidRPr="0069011F">
        <w:rPr>
          <w:lang w:val="es-ES"/>
        </w:rPr>
        <w:t>.</w:t>
      </w:r>
    </w:p>
    <w:p w14:paraId="3BDED95C" w14:textId="13973943" w:rsidR="00F71C11" w:rsidRPr="0069011F" w:rsidRDefault="00554C44" w:rsidP="00EC03AF">
      <w:pPr>
        <w:pStyle w:val="Heading3"/>
        <w:keepNext w:val="0"/>
        <w:rPr>
          <w:lang w:val="es-ES_tradnl"/>
        </w:rPr>
      </w:pPr>
      <w:r w:rsidRPr="0069011F">
        <w:rPr>
          <w:lang w:val="es-ES_tradnl"/>
        </w:rPr>
        <w:t>Listas de secuencias</w:t>
      </w:r>
    </w:p>
    <w:p w14:paraId="6F456899" w14:textId="06B6AECF" w:rsidR="00F71C11" w:rsidRPr="0069011F" w:rsidRDefault="00554C44" w:rsidP="00F71C11">
      <w:pPr>
        <w:pStyle w:val="ONUME"/>
        <w:rPr>
          <w:lang w:val="es-ES"/>
        </w:rPr>
      </w:pPr>
      <w:r w:rsidRPr="0069011F">
        <w:rPr>
          <w:lang w:val="es-ES"/>
        </w:rPr>
        <w:t>El PCT participa activamente en la elaboración de nuevos instrumentos que faciliten la aplicación de la futura Norma ST.26 de la OMPI, basada en XML, relativa a las listas de secuencias</w:t>
      </w:r>
      <w:r w:rsidR="00F71C11" w:rsidRPr="0069011F">
        <w:rPr>
          <w:lang w:val="es-ES"/>
        </w:rPr>
        <w:t>.</w:t>
      </w:r>
    </w:p>
    <w:p w14:paraId="54CAAF0A" w14:textId="5AFC4213" w:rsidR="00F71C11" w:rsidRPr="0069011F" w:rsidRDefault="00942BD1" w:rsidP="00EC03AF">
      <w:pPr>
        <w:pStyle w:val="Heading1"/>
        <w:keepNext w:val="0"/>
      </w:pPr>
      <w:r w:rsidRPr="0069011F">
        <w:t>eTAPAS SIGUIENTES</w:t>
      </w:r>
    </w:p>
    <w:p w14:paraId="7EA9FD67" w14:textId="7787E10E" w:rsidR="00F71C11" w:rsidRPr="0069011F" w:rsidRDefault="000605B6" w:rsidP="00F71C11">
      <w:pPr>
        <w:pStyle w:val="ONUME"/>
        <w:rPr>
          <w:lang w:val="es-ES"/>
        </w:rPr>
      </w:pPr>
      <w:r w:rsidRPr="0069011F">
        <w:rPr>
          <w:lang w:val="es-ES"/>
        </w:rPr>
        <w:t>El sistema ePCT seguirá mejorándose en beneficio tanto de los solicitantes como de las Oficinas. Los principales ámbitos de trabajo para el próximo año son los siguientes</w:t>
      </w:r>
      <w:r w:rsidR="00F71C11" w:rsidRPr="0069011F">
        <w:rPr>
          <w:lang w:val="es-ES"/>
        </w:rPr>
        <w:t>:</w:t>
      </w:r>
    </w:p>
    <w:p w14:paraId="5A6B5266" w14:textId="74FE724F" w:rsidR="00F71C11" w:rsidRPr="0069011F" w:rsidRDefault="00817799" w:rsidP="00EC03AF">
      <w:pPr>
        <w:pStyle w:val="ONUME"/>
        <w:numPr>
          <w:ilvl w:val="1"/>
          <w:numId w:val="5"/>
        </w:numPr>
        <w:ind w:left="567" w:firstLine="0"/>
        <w:rPr>
          <w:lang w:val="es-ES"/>
        </w:rPr>
      </w:pPr>
      <w:r w:rsidRPr="0069011F">
        <w:rPr>
          <w:lang w:val="es-ES"/>
        </w:rPr>
        <w:t xml:space="preserve">mejor registro y visualización de la información relativa </w:t>
      </w:r>
      <w:r w:rsidR="007868E1" w:rsidRPr="0069011F">
        <w:rPr>
          <w:lang w:val="es-ES"/>
        </w:rPr>
        <w:t xml:space="preserve">a </w:t>
      </w:r>
      <w:r w:rsidRPr="0069011F">
        <w:rPr>
          <w:lang w:val="es-ES"/>
        </w:rPr>
        <w:t xml:space="preserve">las tasas para respaldar la transferencia de tasas </w:t>
      </w:r>
      <w:r w:rsidR="007868E1" w:rsidRPr="0069011F">
        <w:rPr>
          <w:lang w:val="es-ES"/>
        </w:rPr>
        <w:t>hacia</w:t>
      </w:r>
      <w:r w:rsidRPr="0069011F">
        <w:rPr>
          <w:lang w:val="es-ES"/>
        </w:rPr>
        <w:t xml:space="preserve"> o a través de la Oficina Internacional</w:t>
      </w:r>
      <w:r w:rsidR="00F71C11" w:rsidRPr="0069011F">
        <w:rPr>
          <w:lang w:val="es-ES"/>
        </w:rPr>
        <w:t>;</w:t>
      </w:r>
    </w:p>
    <w:p w14:paraId="6245082A" w14:textId="38A4C674" w:rsidR="00F71C11" w:rsidRPr="0069011F" w:rsidRDefault="00817799" w:rsidP="00EC03AF">
      <w:pPr>
        <w:pStyle w:val="ONUME"/>
        <w:numPr>
          <w:ilvl w:val="1"/>
          <w:numId w:val="5"/>
        </w:numPr>
        <w:ind w:left="567" w:firstLine="0"/>
        <w:rPr>
          <w:lang w:val="es-ES"/>
        </w:rPr>
      </w:pPr>
      <w:r w:rsidRPr="0069011F">
        <w:rPr>
          <w:lang w:val="es-ES"/>
        </w:rPr>
        <w:t>mejoras en el flujo de trabajo de las Oficinas, que permitan asignar determinados trabajos a usuarios específicos y faciliten la identificación de las tareas de seguimiento</w:t>
      </w:r>
      <w:r w:rsidR="00F71C11" w:rsidRPr="0069011F">
        <w:rPr>
          <w:lang w:val="es-ES"/>
        </w:rPr>
        <w:t>;</w:t>
      </w:r>
    </w:p>
    <w:p w14:paraId="0D572FCB" w14:textId="554397FF" w:rsidR="00F71C11" w:rsidRPr="0069011F" w:rsidRDefault="00817799" w:rsidP="00EC03AF">
      <w:pPr>
        <w:pStyle w:val="ONUME"/>
        <w:numPr>
          <w:ilvl w:val="1"/>
          <w:numId w:val="5"/>
        </w:numPr>
        <w:ind w:left="567" w:firstLine="0"/>
        <w:rPr>
          <w:lang w:val="es-ES"/>
        </w:rPr>
      </w:pPr>
      <w:r w:rsidRPr="0069011F">
        <w:rPr>
          <w:lang w:val="es-ES"/>
        </w:rPr>
        <w:t>mejoras en las funciones correspondientes al navegador destinadas a generar versiones</w:t>
      </w:r>
      <w:r w:rsidR="00651BC5" w:rsidRPr="0069011F">
        <w:rPr>
          <w:lang w:val="es-ES"/>
        </w:rPr>
        <w:t xml:space="preserve"> </w:t>
      </w:r>
      <w:r w:rsidRPr="0069011F">
        <w:rPr>
          <w:lang w:val="es-ES"/>
        </w:rPr>
        <w:t>XML de los informes de búsqueda internacional, las opiniones escritas y los documentos conexos (como los informes de búsqueda parcial que pueden asociarse al Formulario PCT/ISA/206 en el caso de una invitación al pago de tasas adicionales), en particular para facilitar la introducción de información, con menos duplicaciones, tanto dentro de un conjunto determinado de informes como entre informes publicados en diferentes etapas (invitación al pago de tasas adicionales, el informe de búsqueda internacional y la opinión escrita, la opinión escrita de la IPEA y el informe de examen preliminar internacional)</w:t>
      </w:r>
      <w:r w:rsidR="00F71C11" w:rsidRPr="0069011F">
        <w:rPr>
          <w:lang w:val="es-ES"/>
        </w:rPr>
        <w:t>;</w:t>
      </w:r>
    </w:p>
    <w:p w14:paraId="64D12DE0" w14:textId="04A7DF01" w:rsidR="00F71C11" w:rsidRPr="0069011F" w:rsidRDefault="005B2C16" w:rsidP="00EC03AF">
      <w:pPr>
        <w:pStyle w:val="ONUME"/>
        <w:numPr>
          <w:ilvl w:val="1"/>
          <w:numId w:val="5"/>
        </w:numPr>
        <w:ind w:left="567" w:firstLine="0"/>
        <w:rPr>
          <w:lang w:val="es-ES"/>
        </w:rPr>
      </w:pPr>
      <w:r w:rsidRPr="0069011F">
        <w:rPr>
          <w:lang w:val="es-ES"/>
        </w:rPr>
        <w:lastRenderedPageBreak/>
        <w:t>ampliación de los servicios web para que las Oficinas cuenten con servicios de máquina a máquina prácticamente en tiempo real, e integración con los sistemas de gestión de patentes de los solicitantes</w:t>
      </w:r>
      <w:r w:rsidR="00F71C11" w:rsidRPr="0069011F">
        <w:rPr>
          <w:lang w:val="es-ES"/>
        </w:rPr>
        <w:t>;</w:t>
      </w:r>
    </w:p>
    <w:p w14:paraId="47D9CDE1" w14:textId="6554AD63" w:rsidR="00F71C11" w:rsidRPr="0069011F" w:rsidRDefault="00757404" w:rsidP="00EC03AF">
      <w:pPr>
        <w:pStyle w:val="ONUME"/>
        <w:numPr>
          <w:ilvl w:val="1"/>
          <w:numId w:val="5"/>
        </w:numPr>
        <w:ind w:left="567" w:firstLine="0"/>
        <w:rPr>
          <w:lang w:val="es-ES"/>
        </w:rPr>
      </w:pPr>
      <w:r w:rsidRPr="0069011F">
        <w:rPr>
          <w:lang w:val="es-ES"/>
        </w:rPr>
        <w:t xml:space="preserve">mejoras adicionales </w:t>
      </w:r>
      <w:r w:rsidR="007868E1" w:rsidRPr="0069011F">
        <w:rPr>
          <w:lang w:val="es-ES"/>
        </w:rPr>
        <w:t>en</w:t>
      </w:r>
      <w:r w:rsidRPr="0069011F">
        <w:rPr>
          <w:lang w:val="es-ES"/>
        </w:rPr>
        <w:t xml:space="preserve"> el sistema de inicio de sesión</w:t>
      </w:r>
      <w:r w:rsidR="000D5D62" w:rsidRPr="0069011F">
        <w:rPr>
          <w:lang w:val="es-ES"/>
        </w:rPr>
        <w:t xml:space="preserve"> gracias, en particular,</w:t>
      </w:r>
      <w:r w:rsidRPr="0069011F">
        <w:rPr>
          <w:lang w:val="es-ES"/>
        </w:rPr>
        <w:t xml:space="preserve"> </w:t>
      </w:r>
      <w:r w:rsidR="000D5D62" w:rsidRPr="0069011F">
        <w:rPr>
          <w:lang w:val="es-ES"/>
        </w:rPr>
        <w:t>a</w:t>
      </w:r>
      <w:r w:rsidRPr="0069011F">
        <w:rPr>
          <w:lang w:val="es-ES"/>
        </w:rPr>
        <w:t xml:space="preserve"> la aprobación de la nueva tecnología relacionada con un sistema de doble autenticación (siempre que se superen los controles técnicos y de seguridad)</w:t>
      </w:r>
      <w:r w:rsidR="000D5D62" w:rsidRPr="0069011F">
        <w:rPr>
          <w:lang w:val="es-ES"/>
        </w:rPr>
        <w:t>, en cuanto esté disponible</w:t>
      </w:r>
      <w:r w:rsidRPr="0069011F">
        <w:rPr>
          <w:lang w:val="es-ES"/>
        </w:rPr>
        <w:t>; y</w:t>
      </w:r>
    </w:p>
    <w:p w14:paraId="09BC12F9" w14:textId="576611FB" w:rsidR="00F71C11" w:rsidRPr="0069011F" w:rsidRDefault="005B2C16" w:rsidP="00EC03AF">
      <w:pPr>
        <w:pStyle w:val="ONUME"/>
        <w:numPr>
          <w:ilvl w:val="1"/>
          <w:numId w:val="5"/>
        </w:numPr>
        <w:ind w:left="567" w:firstLine="0"/>
        <w:rPr>
          <w:lang w:val="es-ES"/>
        </w:rPr>
      </w:pPr>
      <w:r w:rsidRPr="0069011F">
        <w:rPr>
          <w:lang w:val="es-ES"/>
        </w:rPr>
        <w:t>armonización de los servicios proporcionados por el ePCT con los ofrecidos por otros ámbitos de la OMPI, en particular, aprovechando las oportunidades de reducir costos o mejorar la experiencia mediante el intercambio de servicios como parte del proyecto de la Plataforma Mundial de PI (véase el Anexo II del documento WO/PBC/27/9)</w:t>
      </w:r>
      <w:r w:rsidR="00F71C11" w:rsidRPr="0069011F">
        <w:rPr>
          <w:lang w:val="es-ES"/>
        </w:rPr>
        <w:t>.</w:t>
      </w:r>
    </w:p>
    <w:p w14:paraId="0F3092F5" w14:textId="330ABE83" w:rsidR="00F71C11" w:rsidRPr="0069011F" w:rsidRDefault="00E430F9" w:rsidP="00F71C11">
      <w:pPr>
        <w:pStyle w:val="ONUME"/>
        <w:rPr>
          <w:lang w:val="es-ES"/>
        </w:rPr>
      </w:pPr>
      <w:r w:rsidRPr="0069011F">
        <w:rPr>
          <w:lang w:val="es-ES"/>
        </w:rPr>
        <w:t xml:space="preserve">No obstante, la prioridad de la labor de desarrollo </w:t>
      </w:r>
      <w:r w:rsidR="00901903" w:rsidRPr="0069011F">
        <w:rPr>
          <w:lang w:val="es-ES"/>
        </w:rPr>
        <w:t xml:space="preserve">para </w:t>
      </w:r>
      <w:r w:rsidRPr="0069011F">
        <w:rPr>
          <w:lang w:val="es-ES"/>
        </w:rPr>
        <w:t xml:space="preserve">el próximo año será el perfeccionamiento de los servicios </w:t>
      </w:r>
      <w:r w:rsidR="000D5D62" w:rsidRPr="0069011F">
        <w:rPr>
          <w:lang w:val="es-ES"/>
        </w:rPr>
        <w:t>de base</w:t>
      </w:r>
      <w:r w:rsidRPr="0069011F">
        <w:rPr>
          <w:lang w:val="es-ES"/>
        </w:rPr>
        <w:t xml:space="preserve">, con objeto de prepararse para la </w:t>
      </w:r>
      <w:r w:rsidR="000D5D62" w:rsidRPr="0069011F">
        <w:rPr>
          <w:lang w:val="es-ES"/>
        </w:rPr>
        <w:t xml:space="preserve">aplicación </w:t>
      </w:r>
      <w:r w:rsidRPr="0069011F">
        <w:rPr>
          <w:lang w:val="es-ES"/>
        </w:rPr>
        <w:t xml:space="preserve">de mejoras </w:t>
      </w:r>
      <w:r w:rsidR="000D5D62" w:rsidRPr="0069011F">
        <w:rPr>
          <w:lang w:val="es-ES"/>
        </w:rPr>
        <w:t xml:space="preserve">esenciales </w:t>
      </w:r>
      <w:r w:rsidRPr="0069011F">
        <w:rPr>
          <w:lang w:val="es-ES"/>
        </w:rPr>
        <w:t xml:space="preserve">en el futuro. Una labor </w:t>
      </w:r>
      <w:r w:rsidR="000D5D62" w:rsidRPr="0069011F">
        <w:rPr>
          <w:lang w:val="es-ES"/>
        </w:rPr>
        <w:t xml:space="preserve">crítica </w:t>
      </w:r>
      <w:r w:rsidRPr="0069011F">
        <w:rPr>
          <w:lang w:val="es-ES"/>
        </w:rPr>
        <w:t>para mejorar los componentes principales de los sistemas de la Oficina Internacional se centrará en la seguridad y la fiabilidad</w:t>
      </w:r>
      <w:r w:rsidR="00901903" w:rsidRPr="0069011F">
        <w:rPr>
          <w:lang w:val="es-ES"/>
        </w:rPr>
        <w:t>.</w:t>
      </w:r>
      <w:r w:rsidR="00901903" w:rsidRPr="0069011F">
        <w:rPr>
          <w:rFonts w:ascii="Verdana" w:eastAsia="Times New Roman" w:hAnsi="Verdana" w:cs="Verdana"/>
          <w:sz w:val="28"/>
          <w:szCs w:val="28"/>
          <w:lang w:val="es-ES" w:eastAsia="fr-CH"/>
        </w:rPr>
        <w:t xml:space="preserve"> </w:t>
      </w:r>
      <w:r w:rsidRPr="0069011F">
        <w:rPr>
          <w:lang w:val="es-ES"/>
        </w:rPr>
        <w:t xml:space="preserve">Además, la mejora de los procesos implicará pasar del sistema actual, </w:t>
      </w:r>
      <w:r w:rsidR="000D5D62" w:rsidRPr="0069011F">
        <w:rPr>
          <w:lang w:val="es-ES"/>
        </w:rPr>
        <w:t xml:space="preserve">fundamentado </w:t>
      </w:r>
      <w:r w:rsidRPr="0069011F">
        <w:rPr>
          <w:lang w:val="es-ES"/>
        </w:rPr>
        <w:t xml:space="preserve">principalmente en los documentos disponibles en la Oficina Internacional, a uno que esté más basado en tareas y datos, en el que se realice un seguimiento y </w:t>
      </w:r>
      <w:r w:rsidR="00901903" w:rsidRPr="0069011F">
        <w:rPr>
          <w:lang w:val="es-ES"/>
        </w:rPr>
        <w:t>se ofrezca</w:t>
      </w:r>
      <w:r w:rsidR="00AF6CFD" w:rsidRPr="0069011F">
        <w:rPr>
          <w:lang w:val="es-ES"/>
        </w:rPr>
        <w:t xml:space="preserve"> un</w:t>
      </w:r>
      <w:r w:rsidR="00901903" w:rsidRPr="0069011F">
        <w:rPr>
          <w:lang w:val="es-ES"/>
        </w:rPr>
        <w:t xml:space="preserve"> </w:t>
      </w:r>
      <w:r w:rsidRPr="0069011F">
        <w:rPr>
          <w:lang w:val="es-ES"/>
        </w:rPr>
        <w:t xml:space="preserve">soporte </w:t>
      </w:r>
      <w:r w:rsidR="00901903" w:rsidRPr="0069011F">
        <w:rPr>
          <w:lang w:val="es-ES"/>
        </w:rPr>
        <w:t>con respecto a</w:t>
      </w:r>
      <w:r w:rsidRPr="0069011F">
        <w:rPr>
          <w:lang w:val="es-ES"/>
        </w:rPr>
        <w:t xml:space="preserve"> </w:t>
      </w:r>
      <w:r w:rsidR="000D5D62" w:rsidRPr="0069011F">
        <w:rPr>
          <w:lang w:val="es-ES"/>
        </w:rPr>
        <w:t xml:space="preserve">las </w:t>
      </w:r>
      <w:r w:rsidRPr="0069011F">
        <w:rPr>
          <w:lang w:val="es-ES"/>
        </w:rPr>
        <w:t xml:space="preserve">actividades </w:t>
      </w:r>
      <w:r w:rsidR="000D5D62" w:rsidRPr="0069011F">
        <w:rPr>
          <w:lang w:val="es-ES"/>
        </w:rPr>
        <w:t>que incumban a</w:t>
      </w:r>
      <w:r w:rsidRPr="0069011F">
        <w:rPr>
          <w:lang w:val="es-ES"/>
        </w:rPr>
        <w:t xml:space="preserve"> las diferentes Oficinas</w:t>
      </w:r>
      <w:r w:rsidR="00D84783" w:rsidRPr="0069011F">
        <w:rPr>
          <w:lang w:val="es-ES"/>
        </w:rPr>
        <w:t xml:space="preserve">. </w:t>
      </w:r>
      <w:r w:rsidR="0016454D" w:rsidRPr="0069011F">
        <w:rPr>
          <w:lang w:val="es-ES"/>
        </w:rPr>
        <w:t xml:space="preserve">En particular, sería conveniente </w:t>
      </w:r>
      <w:r w:rsidR="00901903" w:rsidRPr="0069011F">
        <w:rPr>
          <w:lang w:val="es-ES"/>
        </w:rPr>
        <w:t>realizar</w:t>
      </w:r>
      <w:r w:rsidR="0016454D" w:rsidRPr="0069011F">
        <w:rPr>
          <w:lang w:val="es-ES"/>
        </w:rPr>
        <w:t xml:space="preserve"> cambios en los procesos generales para reflejar el hecho de que, en la actualidad, la presentación electrónica es lo normal y</w:t>
      </w:r>
      <w:r w:rsidR="00901903" w:rsidRPr="0069011F">
        <w:rPr>
          <w:lang w:val="es-ES"/>
        </w:rPr>
        <w:t>, a su vez, sería recomendable</w:t>
      </w:r>
      <w:r w:rsidR="0016454D" w:rsidRPr="0069011F">
        <w:rPr>
          <w:lang w:val="es-ES"/>
        </w:rPr>
        <w:t xml:space="preserve"> utilizar validaciones y datos de una etapa para apoyar, cambiar o suprimir la necesidad de realizar trabajos </w:t>
      </w:r>
      <w:r w:rsidR="001553DA" w:rsidRPr="0069011F">
        <w:rPr>
          <w:lang w:val="es-ES"/>
        </w:rPr>
        <w:t xml:space="preserve">conexos </w:t>
      </w:r>
      <w:r w:rsidR="0016454D" w:rsidRPr="0069011F">
        <w:rPr>
          <w:lang w:val="es-ES"/>
        </w:rPr>
        <w:t xml:space="preserve">en </w:t>
      </w:r>
      <w:r w:rsidR="001553DA" w:rsidRPr="0069011F">
        <w:rPr>
          <w:lang w:val="es-ES"/>
        </w:rPr>
        <w:t xml:space="preserve">las </w:t>
      </w:r>
      <w:r w:rsidR="0016454D" w:rsidRPr="0069011F">
        <w:rPr>
          <w:lang w:val="es-ES"/>
        </w:rPr>
        <w:t>etapas posteriores</w:t>
      </w:r>
      <w:r w:rsidR="00F71C11" w:rsidRPr="0069011F">
        <w:rPr>
          <w:lang w:val="es-ES"/>
        </w:rPr>
        <w:t>.</w:t>
      </w:r>
    </w:p>
    <w:p w14:paraId="558272D5" w14:textId="7D1ABD80" w:rsidR="00F71C11" w:rsidRPr="0069011F" w:rsidRDefault="0016454D" w:rsidP="00F71C11">
      <w:pPr>
        <w:pStyle w:val="ONUME"/>
        <w:rPr>
          <w:lang w:val="es-ES"/>
        </w:rPr>
      </w:pPr>
      <w:r w:rsidRPr="0069011F">
        <w:rPr>
          <w:lang w:val="es-ES"/>
        </w:rPr>
        <w:t>Entre las cuestiones principales, figuran</w:t>
      </w:r>
      <w:r w:rsidR="00F71C11" w:rsidRPr="0069011F">
        <w:rPr>
          <w:lang w:val="es-ES"/>
        </w:rPr>
        <w:t>:</w:t>
      </w:r>
    </w:p>
    <w:p w14:paraId="087C2734" w14:textId="076BFDFB" w:rsidR="00F71C11" w:rsidRPr="0069011F" w:rsidRDefault="00731739" w:rsidP="00886645">
      <w:pPr>
        <w:pStyle w:val="ONUME"/>
        <w:numPr>
          <w:ilvl w:val="1"/>
          <w:numId w:val="5"/>
        </w:numPr>
        <w:ind w:left="567" w:firstLine="0"/>
        <w:rPr>
          <w:lang w:val="es-ES"/>
        </w:rPr>
      </w:pPr>
      <w:r w:rsidRPr="0069011F">
        <w:rPr>
          <w:lang w:val="es-ES"/>
        </w:rPr>
        <w:t xml:space="preserve">desarrollar el proceso de publicación en pro del logro de las mejoras </w:t>
      </w:r>
      <w:r w:rsidR="00B96FA6" w:rsidRPr="0069011F">
        <w:rPr>
          <w:lang w:val="es-ES"/>
        </w:rPr>
        <w:t>más importantes</w:t>
      </w:r>
      <w:r w:rsidRPr="0069011F">
        <w:rPr>
          <w:lang w:val="es-ES"/>
        </w:rPr>
        <w:t xml:space="preserve">, incluida la corrección, rectificación y modificación efectivas de las solicitudes presentadas en formato XML (y también en formato DOCX), así como garantizar un </w:t>
      </w:r>
      <w:r w:rsidR="00137B9B" w:rsidRPr="0069011F">
        <w:rPr>
          <w:lang w:val="es-ES"/>
        </w:rPr>
        <w:t>respaldo</w:t>
      </w:r>
      <w:r w:rsidRPr="0069011F">
        <w:rPr>
          <w:lang w:val="es-ES"/>
        </w:rPr>
        <w:t xml:space="preserve"> total </w:t>
      </w:r>
      <w:r w:rsidR="00137B9B" w:rsidRPr="0069011F">
        <w:rPr>
          <w:lang w:val="es-ES"/>
        </w:rPr>
        <w:t xml:space="preserve">a </w:t>
      </w:r>
      <w:r w:rsidRPr="0069011F">
        <w:rPr>
          <w:lang w:val="es-ES"/>
        </w:rPr>
        <w:t xml:space="preserve">los dibujos en color, con la posibilidad futura de ampliar el servicio, </w:t>
      </w:r>
      <w:r w:rsidR="001553DA" w:rsidRPr="0069011F">
        <w:rPr>
          <w:lang w:val="es-ES"/>
        </w:rPr>
        <w:t xml:space="preserve">cuando </w:t>
      </w:r>
      <w:r w:rsidRPr="0069011F">
        <w:rPr>
          <w:lang w:val="es-ES"/>
        </w:rPr>
        <w:t>proced</w:t>
      </w:r>
      <w:r w:rsidR="001553DA" w:rsidRPr="0069011F">
        <w:rPr>
          <w:lang w:val="es-ES"/>
        </w:rPr>
        <w:t>a</w:t>
      </w:r>
      <w:r w:rsidRPr="0069011F">
        <w:rPr>
          <w:lang w:val="es-ES"/>
        </w:rPr>
        <w:t>, para la inclusión de opciones adicionales como vídeo o formatos de dibujo 3D</w:t>
      </w:r>
      <w:r w:rsidR="00F71C11" w:rsidRPr="0069011F">
        <w:rPr>
          <w:lang w:val="es-ES"/>
        </w:rPr>
        <w:t>;</w:t>
      </w:r>
    </w:p>
    <w:p w14:paraId="1DF8B6DB" w14:textId="4D4E3E03" w:rsidR="00F71C11" w:rsidRPr="0069011F" w:rsidRDefault="00731739" w:rsidP="00886645">
      <w:pPr>
        <w:pStyle w:val="ONUME"/>
        <w:numPr>
          <w:ilvl w:val="1"/>
          <w:numId w:val="5"/>
        </w:numPr>
        <w:ind w:left="567" w:firstLine="0"/>
        <w:rPr>
          <w:lang w:val="es-ES"/>
        </w:rPr>
      </w:pPr>
      <w:r w:rsidRPr="0069011F">
        <w:rPr>
          <w:lang w:val="es-ES"/>
        </w:rPr>
        <w:t xml:space="preserve">mejorar la información y las validaciones disponibles para los solicitantes y las Oficinas mientras preparan una solicitud o una acción posterior, </w:t>
      </w:r>
      <w:r w:rsidR="001553DA" w:rsidRPr="0069011F">
        <w:rPr>
          <w:lang w:val="es-ES"/>
        </w:rPr>
        <w:t>al objeto</w:t>
      </w:r>
      <w:r w:rsidRPr="0069011F">
        <w:rPr>
          <w:lang w:val="es-ES"/>
        </w:rPr>
        <w:t xml:space="preserve"> de minimizar el riesgo de que se cometan errores y señalar los posibles problemas a la atención de las Oficinas cuando sea necesari</w:t>
      </w:r>
      <w:r w:rsidR="001553DA" w:rsidRPr="0069011F">
        <w:rPr>
          <w:lang w:val="es-ES"/>
        </w:rPr>
        <w:t>a</w:t>
      </w:r>
      <w:r w:rsidRPr="0069011F">
        <w:rPr>
          <w:lang w:val="es-ES"/>
        </w:rPr>
        <w:t xml:space="preserve"> </w:t>
      </w:r>
      <w:r w:rsidR="001553DA" w:rsidRPr="0069011F">
        <w:rPr>
          <w:lang w:val="es-ES"/>
        </w:rPr>
        <w:t xml:space="preserve">la aplicación de </w:t>
      </w:r>
      <w:r w:rsidRPr="0069011F">
        <w:rPr>
          <w:lang w:val="es-ES"/>
        </w:rPr>
        <w:t>medidas</w:t>
      </w:r>
      <w:r w:rsidR="00F71C11" w:rsidRPr="0069011F">
        <w:rPr>
          <w:lang w:val="es-ES"/>
        </w:rPr>
        <w:t>;</w:t>
      </w:r>
    </w:p>
    <w:p w14:paraId="698BB58A" w14:textId="6A63BEA6" w:rsidR="00F71C11" w:rsidRPr="0069011F" w:rsidRDefault="001553DA" w:rsidP="00886645">
      <w:pPr>
        <w:pStyle w:val="ONUME"/>
        <w:numPr>
          <w:ilvl w:val="1"/>
          <w:numId w:val="5"/>
        </w:numPr>
        <w:ind w:left="567" w:firstLine="0"/>
        <w:rPr>
          <w:lang w:val="es-ES"/>
        </w:rPr>
      </w:pPr>
      <w:r w:rsidRPr="0069011F">
        <w:rPr>
          <w:lang w:val="es-ES"/>
        </w:rPr>
        <w:t xml:space="preserve">prestar </w:t>
      </w:r>
      <w:r w:rsidR="00EE4FE6" w:rsidRPr="0069011F">
        <w:rPr>
          <w:lang w:val="es-ES"/>
        </w:rPr>
        <w:t xml:space="preserve">una asistencia más </w:t>
      </w:r>
      <w:r w:rsidRPr="0069011F">
        <w:rPr>
          <w:lang w:val="es-ES"/>
        </w:rPr>
        <w:t xml:space="preserve">eficaz con relación a </w:t>
      </w:r>
      <w:r w:rsidR="00EE4FE6" w:rsidRPr="0069011F">
        <w:rPr>
          <w:lang w:val="es-ES"/>
        </w:rPr>
        <w:t xml:space="preserve">los documentos y procesos </w:t>
      </w:r>
      <w:r w:rsidRPr="0069011F">
        <w:rPr>
          <w:lang w:val="es-ES"/>
        </w:rPr>
        <w:t>albergados</w:t>
      </w:r>
      <w:r w:rsidR="00EE4FE6" w:rsidRPr="0069011F">
        <w:rPr>
          <w:lang w:val="es-ES"/>
        </w:rPr>
        <w:t xml:space="preserve"> en nombre de otras Oficinas en calidad de Oficina receptora o Administración internacional, al tiempo que se gestionan las </w:t>
      </w:r>
      <w:r w:rsidRPr="0069011F">
        <w:rPr>
          <w:lang w:val="es-ES"/>
        </w:rPr>
        <w:t>relaciones entre</w:t>
      </w:r>
      <w:r w:rsidR="00EE4FE6" w:rsidRPr="0069011F">
        <w:rPr>
          <w:lang w:val="es-ES"/>
        </w:rPr>
        <w:t xml:space="preserve"> las Oficinas que prestan servicios equivalentes utilizando sus propios sistemas locales</w:t>
      </w:r>
      <w:r w:rsidR="00F71C11" w:rsidRPr="0069011F">
        <w:rPr>
          <w:lang w:val="es-ES"/>
        </w:rPr>
        <w:t>;</w:t>
      </w:r>
    </w:p>
    <w:p w14:paraId="2FC06200" w14:textId="16076FB9" w:rsidR="00F71C11" w:rsidRPr="0069011F" w:rsidRDefault="001553DA" w:rsidP="00886645">
      <w:pPr>
        <w:pStyle w:val="ONUME"/>
        <w:numPr>
          <w:ilvl w:val="1"/>
          <w:numId w:val="5"/>
        </w:numPr>
        <w:ind w:left="567" w:firstLine="0"/>
        <w:rPr>
          <w:lang w:val="es-ES"/>
        </w:rPr>
      </w:pPr>
      <w:r w:rsidRPr="0069011F">
        <w:rPr>
          <w:lang w:val="es-ES"/>
        </w:rPr>
        <w:t>concertar</w:t>
      </w:r>
      <w:r w:rsidR="00EE4FE6" w:rsidRPr="0069011F">
        <w:rPr>
          <w:lang w:val="es-ES"/>
        </w:rPr>
        <w:t xml:space="preserve"> acuerdos efectivos para las </w:t>
      </w:r>
      <w:r w:rsidR="008E148C" w:rsidRPr="0069011F">
        <w:rPr>
          <w:lang w:val="es-ES"/>
        </w:rPr>
        <w:t xml:space="preserve">relaciones </w:t>
      </w:r>
      <w:r w:rsidR="00EE4FE6" w:rsidRPr="0069011F">
        <w:rPr>
          <w:lang w:val="es-ES"/>
        </w:rPr>
        <w:t xml:space="preserve">en tiempo real </w:t>
      </w:r>
      <w:r w:rsidR="008E148C" w:rsidRPr="0069011F">
        <w:rPr>
          <w:lang w:val="es-ES"/>
        </w:rPr>
        <w:t>entre</w:t>
      </w:r>
      <w:r w:rsidR="00EE4FE6" w:rsidRPr="0069011F">
        <w:rPr>
          <w:lang w:val="es-ES"/>
        </w:rPr>
        <w:t xml:space="preserve"> Oficinas y ofrecer a los solicitantes </w:t>
      </w:r>
      <w:r w:rsidR="008E148C" w:rsidRPr="0069011F">
        <w:rPr>
          <w:lang w:val="es-ES"/>
        </w:rPr>
        <w:t xml:space="preserve">ante </w:t>
      </w:r>
      <w:r w:rsidR="00EE4FE6" w:rsidRPr="0069011F">
        <w:rPr>
          <w:lang w:val="es-ES"/>
        </w:rPr>
        <w:t xml:space="preserve">cualquier Oficina un seguimiento del acceso a los documentos que permita la selección del sistema ePCT como </w:t>
      </w:r>
      <w:r w:rsidR="008E148C" w:rsidRPr="0069011F">
        <w:rPr>
          <w:lang w:val="es-ES"/>
        </w:rPr>
        <w:t>cauce</w:t>
      </w:r>
      <w:r w:rsidR="00EE4FE6" w:rsidRPr="0069011F">
        <w:rPr>
          <w:lang w:val="es-ES"/>
        </w:rPr>
        <w:t xml:space="preserve"> de entrega oficial, en lugar de la transmisión en papel o por correo electrónico, </w:t>
      </w:r>
      <w:r w:rsidR="008E148C" w:rsidRPr="0069011F">
        <w:rPr>
          <w:lang w:val="es-ES"/>
        </w:rPr>
        <w:t>sin</w:t>
      </w:r>
      <w:r w:rsidR="00EE4FE6" w:rsidRPr="0069011F">
        <w:rPr>
          <w:lang w:val="es-ES"/>
        </w:rPr>
        <w:t xml:space="preserve"> el riesgo de </w:t>
      </w:r>
      <w:r w:rsidR="008E148C" w:rsidRPr="0069011F">
        <w:rPr>
          <w:lang w:val="es-ES"/>
        </w:rPr>
        <w:t>que</w:t>
      </w:r>
      <w:r w:rsidR="00EE4FE6" w:rsidRPr="0069011F">
        <w:rPr>
          <w:lang w:val="es-ES"/>
        </w:rPr>
        <w:t xml:space="preserve"> los documentos </w:t>
      </w:r>
      <w:r w:rsidR="008E148C" w:rsidRPr="0069011F">
        <w:rPr>
          <w:lang w:val="es-ES"/>
        </w:rPr>
        <w:t xml:space="preserve">no se entreguen </w:t>
      </w:r>
      <w:r w:rsidR="00EE4FE6" w:rsidRPr="0069011F">
        <w:rPr>
          <w:lang w:val="es-ES"/>
        </w:rPr>
        <w:t>a causa de una mala interpretación de la disponibilidad</w:t>
      </w:r>
      <w:r w:rsidR="007E0D67" w:rsidRPr="0069011F">
        <w:rPr>
          <w:lang w:val="es-ES"/>
        </w:rPr>
        <w:t>, en un momento dado,</w:t>
      </w:r>
      <w:r w:rsidR="00EE4FE6" w:rsidRPr="0069011F">
        <w:rPr>
          <w:lang w:val="es-ES"/>
        </w:rPr>
        <w:t xml:space="preserve"> de las transmisiones del ePCT</w:t>
      </w:r>
      <w:r w:rsidR="00F71C11" w:rsidRPr="0069011F">
        <w:rPr>
          <w:lang w:val="es-ES"/>
        </w:rPr>
        <w:t>;</w:t>
      </w:r>
    </w:p>
    <w:p w14:paraId="027C5EF0" w14:textId="12769073" w:rsidR="00F71C11" w:rsidRPr="0069011F" w:rsidRDefault="001B3BE9" w:rsidP="00886645">
      <w:pPr>
        <w:pStyle w:val="ONUME"/>
        <w:numPr>
          <w:ilvl w:val="1"/>
          <w:numId w:val="5"/>
        </w:numPr>
        <w:ind w:left="567" w:firstLine="0"/>
        <w:rPr>
          <w:lang w:val="es-ES"/>
        </w:rPr>
      </w:pPr>
      <w:r w:rsidRPr="0069011F">
        <w:rPr>
          <w:lang w:val="es-ES"/>
        </w:rPr>
        <w:t>mejora</w:t>
      </w:r>
      <w:r w:rsidR="001F079C" w:rsidRPr="0069011F">
        <w:rPr>
          <w:lang w:val="es-ES"/>
        </w:rPr>
        <w:t>r</w:t>
      </w:r>
      <w:r w:rsidRPr="0069011F">
        <w:rPr>
          <w:lang w:val="es-ES"/>
        </w:rPr>
        <w:t xml:space="preserve"> la gestión de las tasas </w:t>
      </w:r>
      <w:r w:rsidR="001F079C" w:rsidRPr="0069011F">
        <w:rPr>
          <w:lang w:val="es-ES"/>
        </w:rPr>
        <w:t>con miras a</w:t>
      </w:r>
      <w:r w:rsidRPr="0069011F">
        <w:rPr>
          <w:lang w:val="es-ES"/>
        </w:rPr>
        <w:t xml:space="preserve"> respaldar los procesos de compensación por saldos netos y allanar el camino para los sistemas de pago </w:t>
      </w:r>
      <w:r w:rsidRPr="0069011F">
        <w:rPr>
          <w:lang w:val="es-ES"/>
        </w:rPr>
        <w:lastRenderedPageBreak/>
        <w:t xml:space="preserve">centralizados, con objeto de que los solicitantes </w:t>
      </w:r>
      <w:r w:rsidR="001F079C" w:rsidRPr="0069011F">
        <w:rPr>
          <w:lang w:val="es-ES"/>
        </w:rPr>
        <w:t>puedan realizar</w:t>
      </w:r>
      <w:r w:rsidRPr="0069011F">
        <w:rPr>
          <w:lang w:val="es-ES"/>
        </w:rPr>
        <w:t xml:space="preserve"> un pago a la Oficina Internacional por un servicio prestado por una Oficina diferente, como la presentaci</w:t>
      </w:r>
      <w:r w:rsidR="00D82433" w:rsidRPr="0069011F">
        <w:rPr>
          <w:lang w:val="es-ES"/>
        </w:rPr>
        <w:t xml:space="preserve">ón de solicitudes del ePCT en </w:t>
      </w:r>
      <w:r w:rsidRPr="0069011F">
        <w:rPr>
          <w:lang w:val="es-ES"/>
        </w:rPr>
        <w:t xml:space="preserve">Oficinas receptoras </w:t>
      </w:r>
      <w:r w:rsidR="001F079C" w:rsidRPr="0069011F">
        <w:rPr>
          <w:lang w:val="es-ES"/>
        </w:rPr>
        <w:t>distintas de la</w:t>
      </w:r>
      <w:r w:rsidRPr="0069011F">
        <w:rPr>
          <w:lang w:val="es-ES"/>
        </w:rPr>
        <w:t xml:space="preserve"> Oficina Internacional, o el pago de tasas de búsqueda adicionales</w:t>
      </w:r>
      <w:r w:rsidR="00F71C11" w:rsidRPr="0069011F">
        <w:rPr>
          <w:lang w:val="es-ES"/>
        </w:rPr>
        <w:t>;</w:t>
      </w:r>
    </w:p>
    <w:p w14:paraId="7852D4DB" w14:textId="4126E84C" w:rsidR="002F5A2C" w:rsidRPr="0069011F" w:rsidRDefault="00847AE4" w:rsidP="00886645">
      <w:pPr>
        <w:pStyle w:val="ONUME"/>
        <w:numPr>
          <w:ilvl w:val="1"/>
          <w:numId w:val="5"/>
        </w:numPr>
        <w:ind w:left="567" w:firstLine="0"/>
        <w:rPr>
          <w:lang w:val="es-ES"/>
        </w:rPr>
      </w:pPr>
      <w:r w:rsidRPr="0069011F">
        <w:rPr>
          <w:lang w:val="es-ES"/>
        </w:rPr>
        <w:t xml:space="preserve">mejorar los servicios web para posibilitar la existencia de interacciones en tiempo real entre la Oficina Internacional, las Oficinas nacionales y los solicitantes en aras del máximo aprovechamiento de las oportunidades que </w:t>
      </w:r>
      <w:r w:rsidR="008E148C" w:rsidRPr="0069011F">
        <w:rPr>
          <w:lang w:val="es-ES"/>
        </w:rPr>
        <w:t xml:space="preserve">ofrecen </w:t>
      </w:r>
      <w:r w:rsidRPr="0069011F">
        <w:rPr>
          <w:lang w:val="es-ES"/>
        </w:rPr>
        <w:t>todo</w:t>
      </w:r>
      <w:r w:rsidR="00C561A2" w:rsidRPr="0069011F">
        <w:rPr>
          <w:lang w:val="es-ES"/>
        </w:rPr>
        <w:t>s</w:t>
      </w:r>
      <w:r w:rsidRPr="0069011F">
        <w:rPr>
          <w:lang w:val="es-ES"/>
        </w:rPr>
        <w:t xml:space="preserve"> lo</w:t>
      </w:r>
      <w:r w:rsidR="00C561A2" w:rsidRPr="0069011F">
        <w:rPr>
          <w:lang w:val="es-ES"/>
        </w:rPr>
        <w:t>s</w:t>
      </w:r>
      <w:r w:rsidRPr="0069011F">
        <w:rPr>
          <w:lang w:val="es-ES"/>
        </w:rPr>
        <w:t xml:space="preserve"> </w:t>
      </w:r>
      <w:r w:rsidR="00C561A2" w:rsidRPr="0069011F">
        <w:rPr>
          <w:lang w:val="es-ES"/>
        </w:rPr>
        <w:t>servicios y avances mencionados en el presente documento</w:t>
      </w:r>
      <w:r w:rsidR="002F5A2C" w:rsidRPr="0069011F">
        <w:rPr>
          <w:lang w:val="es-ES"/>
        </w:rPr>
        <w:t>;</w:t>
      </w:r>
    </w:p>
    <w:p w14:paraId="1CBCD431" w14:textId="27956C12" w:rsidR="00F71C11" w:rsidRPr="0069011F" w:rsidRDefault="00347571" w:rsidP="00886645">
      <w:pPr>
        <w:pStyle w:val="ONUME"/>
        <w:numPr>
          <w:ilvl w:val="1"/>
          <w:numId w:val="5"/>
        </w:numPr>
        <w:ind w:left="567" w:firstLine="0"/>
        <w:rPr>
          <w:lang w:val="es-ES"/>
        </w:rPr>
      </w:pPr>
      <w:r w:rsidRPr="0069011F">
        <w:rPr>
          <w:lang w:val="es-ES"/>
        </w:rPr>
        <w:t xml:space="preserve">investigar la posibilidad de instaurar servicios de autenticación federados basados en la gestión </w:t>
      </w:r>
      <w:r w:rsidR="00AF0861" w:rsidRPr="0069011F">
        <w:rPr>
          <w:lang w:val="es-ES"/>
        </w:rPr>
        <w:t>de identidades</w:t>
      </w:r>
      <w:r w:rsidRPr="0069011F">
        <w:rPr>
          <w:lang w:val="es-ES"/>
        </w:rPr>
        <w:t xml:space="preserve"> y la autenticación de los sistemas de las Oficinas nacionales, que faciliten el acceso seguro a los servicios proporcionados por la Oficina Internacional y</w:t>
      </w:r>
      <w:r w:rsidR="006454FF" w:rsidRPr="0069011F">
        <w:rPr>
          <w:lang w:val="es-ES"/>
        </w:rPr>
        <w:t xml:space="preserve"> supriman</w:t>
      </w:r>
      <w:r w:rsidRPr="0069011F">
        <w:rPr>
          <w:lang w:val="es-ES"/>
        </w:rPr>
        <w:t xml:space="preserve"> el trabajo y los riesgos </w:t>
      </w:r>
      <w:r w:rsidR="008E148C" w:rsidRPr="0069011F">
        <w:rPr>
          <w:lang w:val="es-ES"/>
        </w:rPr>
        <w:t>inherentes a</w:t>
      </w:r>
      <w:r w:rsidRPr="0069011F">
        <w:rPr>
          <w:lang w:val="es-ES"/>
        </w:rPr>
        <w:t xml:space="preserve"> la gestión individual de identidades</w:t>
      </w:r>
      <w:r w:rsidR="006454FF" w:rsidRPr="0069011F">
        <w:rPr>
          <w:lang w:val="es-ES"/>
        </w:rPr>
        <w:t xml:space="preserve"> de</w:t>
      </w:r>
      <w:r w:rsidRPr="0069011F">
        <w:rPr>
          <w:lang w:val="es-ES"/>
        </w:rPr>
        <w:t xml:space="preserve"> </w:t>
      </w:r>
      <w:r w:rsidR="006454FF" w:rsidRPr="0069011F">
        <w:rPr>
          <w:lang w:val="es-ES"/>
        </w:rPr>
        <w:t xml:space="preserve">un gran número de usuarios </w:t>
      </w:r>
      <w:r w:rsidRPr="0069011F">
        <w:rPr>
          <w:lang w:val="es-ES"/>
        </w:rPr>
        <w:t>en diferentes sistemas</w:t>
      </w:r>
      <w:r w:rsidR="00F71C11" w:rsidRPr="0069011F">
        <w:rPr>
          <w:lang w:val="es-ES"/>
        </w:rPr>
        <w:t>.</w:t>
      </w:r>
    </w:p>
    <w:p w14:paraId="1325254F" w14:textId="21857A8A" w:rsidR="00F71C11" w:rsidRPr="0069011F" w:rsidRDefault="001E4EEB" w:rsidP="00F71C11">
      <w:pPr>
        <w:pStyle w:val="ONUME"/>
        <w:rPr>
          <w:lang w:val="es-ES"/>
        </w:rPr>
      </w:pPr>
      <w:r w:rsidRPr="0069011F">
        <w:rPr>
          <w:lang w:val="es-ES"/>
        </w:rPr>
        <w:t>La Oficina Internacional ha recibido comentarios de las Oficinas nacionales sobre el desarrollo de servicios web</w:t>
      </w:r>
      <w:r w:rsidR="00BA5DAE" w:rsidRPr="0069011F">
        <w:rPr>
          <w:lang w:val="es-ES"/>
        </w:rPr>
        <w:t xml:space="preserve">, </w:t>
      </w:r>
      <w:r w:rsidRPr="0069011F">
        <w:rPr>
          <w:lang w:val="es-ES"/>
        </w:rPr>
        <w:t xml:space="preserve">que van desde manifestaciones generales de interés hasta propuestas detalladas </w:t>
      </w:r>
      <w:r w:rsidR="00BA5DAE" w:rsidRPr="0069011F">
        <w:rPr>
          <w:lang w:val="es-ES"/>
        </w:rPr>
        <w:t>de</w:t>
      </w:r>
      <w:r w:rsidRPr="0069011F">
        <w:rPr>
          <w:lang w:val="es-ES"/>
        </w:rPr>
        <w:t xml:space="preserve"> servicios concretos. La introducción de dichos servicios puede generar beneficios</w:t>
      </w:r>
      <w:r w:rsidR="008E148C" w:rsidRPr="0069011F">
        <w:rPr>
          <w:lang w:val="es-ES"/>
        </w:rPr>
        <w:t xml:space="preserve"> considerables</w:t>
      </w:r>
      <w:r w:rsidRPr="0069011F">
        <w:rPr>
          <w:lang w:val="es-ES"/>
        </w:rPr>
        <w:t xml:space="preserve">, </w:t>
      </w:r>
      <w:r w:rsidR="008E148C" w:rsidRPr="0069011F">
        <w:rPr>
          <w:lang w:val="es-ES"/>
        </w:rPr>
        <w:t xml:space="preserve">aunque </w:t>
      </w:r>
      <w:r w:rsidRPr="0069011F">
        <w:rPr>
          <w:lang w:val="es-ES"/>
        </w:rPr>
        <w:t xml:space="preserve">también costos y riesgos </w:t>
      </w:r>
      <w:r w:rsidR="008E148C" w:rsidRPr="0069011F">
        <w:rPr>
          <w:lang w:val="es-ES"/>
        </w:rPr>
        <w:t xml:space="preserve">importantes </w:t>
      </w:r>
      <w:r w:rsidRPr="0069011F">
        <w:rPr>
          <w:lang w:val="es-ES"/>
        </w:rPr>
        <w:t xml:space="preserve">si no se alcanza un acuerdo suficiente. Es preciso dar con un enfoque que permita que los servicios sean aprobados por todas las Oficinas, pero es </w:t>
      </w:r>
      <w:r w:rsidR="008E148C" w:rsidRPr="0069011F">
        <w:rPr>
          <w:lang w:val="es-ES"/>
        </w:rPr>
        <w:t xml:space="preserve">asimismo </w:t>
      </w:r>
      <w:r w:rsidRPr="0069011F">
        <w:rPr>
          <w:lang w:val="es-ES"/>
        </w:rPr>
        <w:t xml:space="preserve">necesario mantener la flexibilidad </w:t>
      </w:r>
      <w:r w:rsidR="008E148C" w:rsidRPr="0069011F">
        <w:rPr>
          <w:lang w:val="es-ES"/>
        </w:rPr>
        <w:t xml:space="preserve">adecuada </w:t>
      </w:r>
      <w:r w:rsidRPr="0069011F">
        <w:rPr>
          <w:lang w:val="es-ES"/>
        </w:rPr>
        <w:t xml:space="preserve">para que esa aprobación tenga lugar a velocidades significativamente diferentes </w:t>
      </w:r>
      <w:r w:rsidR="008F38FC" w:rsidRPr="0069011F">
        <w:rPr>
          <w:lang w:val="es-ES"/>
        </w:rPr>
        <w:t>e impulsar</w:t>
      </w:r>
      <w:r w:rsidR="008E148C" w:rsidRPr="0069011F">
        <w:rPr>
          <w:lang w:val="es-ES"/>
        </w:rPr>
        <w:t xml:space="preserve"> los avances</w:t>
      </w:r>
      <w:r w:rsidRPr="0069011F">
        <w:rPr>
          <w:lang w:val="es-ES"/>
        </w:rPr>
        <w:t xml:space="preserve"> de los procesos a lo largo del tiempo</w:t>
      </w:r>
      <w:r w:rsidR="00BA5DAE" w:rsidRPr="0069011F">
        <w:rPr>
          <w:lang w:val="es-ES"/>
        </w:rPr>
        <w:t>,</w:t>
      </w:r>
      <w:r w:rsidRPr="0069011F">
        <w:rPr>
          <w:lang w:val="es-ES"/>
        </w:rPr>
        <w:t xml:space="preserve"> a medida que la tecnología y los requisitos </w:t>
      </w:r>
      <w:r w:rsidR="008F38FC" w:rsidRPr="0069011F">
        <w:rPr>
          <w:lang w:val="es-ES"/>
        </w:rPr>
        <w:t>progresen</w:t>
      </w:r>
      <w:r w:rsidR="00F71C11" w:rsidRPr="0069011F">
        <w:rPr>
          <w:lang w:val="es-ES"/>
        </w:rPr>
        <w:t>.</w:t>
      </w:r>
      <w:r w:rsidR="008E148C" w:rsidRPr="0069011F">
        <w:rPr>
          <w:lang w:val="es-ES"/>
        </w:rPr>
        <w:t xml:space="preserve"> </w:t>
      </w:r>
    </w:p>
    <w:p w14:paraId="13150272" w14:textId="74DCD238" w:rsidR="00F71C11" w:rsidRPr="0069011F" w:rsidRDefault="008F38FC" w:rsidP="00F71C11">
      <w:pPr>
        <w:pStyle w:val="ONUME"/>
        <w:rPr>
          <w:lang w:val="es-ES"/>
        </w:rPr>
      </w:pPr>
      <w:r w:rsidRPr="0069011F">
        <w:rPr>
          <w:lang w:val="es-ES"/>
        </w:rPr>
        <w:t>Habida</w:t>
      </w:r>
      <w:r w:rsidR="00733744" w:rsidRPr="0069011F">
        <w:rPr>
          <w:lang w:val="es-ES"/>
        </w:rPr>
        <w:t xml:space="preserve"> cuenta </w:t>
      </w:r>
      <w:r w:rsidRPr="0069011F">
        <w:rPr>
          <w:lang w:val="es-ES"/>
        </w:rPr>
        <w:t xml:space="preserve">de </w:t>
      </w:r>
      <w:r w:rsidR="00733744" w:rsidRPr="0069011F">
        <w:rPr>
          <w:lang w:val="es-ES"/>
        </w:rPr>
        <w:t xml:space="preserve">la creciente dependencia de los sistemas electrónicos y la importancia de </w:t>
      </w:r>
      <w:r w:rsidRPr="0069011F">
        <w:rPr>
          <w:lang w:val="es-ES"/>
        </w:rPr>
        <w:t xml:space="preserve">mantener permanentemente disponible para los solicitantes </w:t>
      </w:r>
      <w:r w:rsidR="00733744" w:rsidRPr="0069011F">
        <w:rPr>
          <w:lang w:val="es-ES"/>
        </w:rPr>
        <w:t xml:space="preserve">al menos un </w:t>
      </w:r>
      <w:r w:rsidRPr="0069011F">
        <w:rPr>
          <w:lang w:val="es-ES"/>
        </w:rPr>
        <w:t xml:space="preserve">cauce </w:t>
      </w:r>
      <w:r w:rsidR="00733744" w:rsidRPr="0069011F">
        <w:rPr>
          <w:lang w:val="es-ES"/>
        </w:rPr>
        <w:t xml:space="preserve">de comunicación, es preciso </w:t>
      </w:r>
      <w:r w:rsidRPr="0069011F">
        <w:rPr>
          <w:lang w:val="es-ES"/>
        </w:rPr>
        <w:t>prestar mayor atención a</w:t>
      </w:r>
      <w:r w:rsidR="00733744" w:rsidRPr="0069011F">
        <w:rPr>
          <w:lang w:val="es-ES"/>
        </w:rPr>
        <w:t xml:space="preserve"> las cuestiones </w:t>
      </w:r>
      <w:r w:rsidRPr="0069011F">
        <w:rPr>
          <w:lang w:val="es-ES"/>
        </w:rPr>
        <w:t>centradas en</w:t>
      </w:r>
      <w:r w:rsidR="00733744" w:rsidRPr="0069011F">
        <w:rPr>
          <w:lang w:val="es-ES"/>
        </w:rPr>
        <w:t xml:space="preserve"> asegurar </w:t>
      </w:r>
      <w:r w:rsidRPr="0069011F">
        <w:rPr>
          <w:lang w:val="es-ES"/>
        </w:rPr>
        <w:t>l</w:t>
      </w:r>
      <w:r w:rsidR="00733744" w:rsidRPr="0069011F">
        <w:rPr>
          <w:lang w:val="es-ES"/>
        </w:rPr>
        <w:t>a alta disponibilidad de los servicios</w:t>
      </w:r>
      <w:r w:rsidRPr="0069011F">
        <w:rPr>
          <w:lang w:val="es-ES"/>
        </w:rPr>
        <w:t xml:space="preserve"> y</w:t>
      </w:r>
      <w:r w:rsidR="00733744" w:rsidRPr="0069011F">
        <w:rPr>
          <w:lang w:val="es-ES"/>
        </w:rPr>
        <w:t xml:space="preserve"> la provisión de servicios de emergencia </w:t>
      </w:r>
      <w:r w:rsidRPr="0069011F">
        <w:rPr>
          <w:lang w:val="es-ES"/>
        </w:rPr>
        <w:t>,</w:t>
      </w:r>
      <w:r w:rsidR="00733744" w:rsidRPr="0069011F">
        <w:rPr>
          <w:lang w:val="es-ES"/>
        </w:rPr>
        <w:t xml:space="preserve">y ofrecer salvaguardias jurídicas en </w:t>
      </w:r>
      <w:r w:rsidRPr="0069011F">
        <w:rPr>
          <w:lang w:val="es-ES"/>
        </w:rPr>
        <w:t>caso de</w:t>
      </w:r>
      <w:r w:rsidR="00733744" w:rsidRPr="0069011F">
        <w:rPr>
          <w:lang w:val="es-ES"/>
        </w:rPr>
        <w:t xml:space="preserve"> que, </w:t>
      </w:r>
      <w:r w:rsidRPr="0069011F">
        <w:rPr>
          <w:lang w:val="es-ES"/>
        </w:rPr>
        <w:t>pese a</w:t>
      </w:r>
      <w:r w:rsidR="00733744" w:rsidRPr="0069011F">
        <w:rPr>
          <w:lang w:val="es-ES"/>
        </w:rPr>
        <w:t xml:space="preserve"> todo, los servicios fallen</w:t>
      </w:r>
      <w:r w:rsidR="00E250AF" w:rsidRPr="0069011F">
        <w:rPr>
          <w:lang w:val="es-ES"/>
        </w:rPr>
        <w:t xml:space="preserve">. Una opción técnica que podría </w:t>
      </w:r>
      <w:r w:rsidR="00BA5DAE" w:rsidRPr="0069011F">
        <w:rPr>
          <w:lang w:val="es-ES"/>
        </w:rPr>
        <w:t>examinarse</w:t>
      </w:r>
      <w:r w:rsidR="00E250AF" w:rsidRPr="0069011F">
        <w:rPr>
          <w:lang w:val="es-ES"/>
        </w:rPr>
        <w:t xml:space="preserve"> para los sistemas del PCT, así como los nacionales, </w:t>
      </w:r>
      <w:r w:rsidRPr="0069011F">
        <w:rPr>
          <w:lang w:val="es-ES"/>
        </w:rPr>
        <w:t xml:space="preserve">consistiría en </w:t>
      </w:r>
      <w:r w:rsidR="00E250AF" w:rsidRPr="0069011F">
        <w:rPr>
          <w:lang w:val="es-ES"/>
        </w:rPr>
        <w:t xml:space="preserve">reconocer los sistemas de otras Oficinas como buzones de correo </w:t>
      </w:r>
      <w:r w:rsidRPr="0069011F">
        <w:rPr>
          <w:lang w:val="es-ES"/>
        </w:rPr>
        <w:t xml:space="preserve">con registros de tiempo </w:t>
      </w:r>
      <w:r w:rsidR="00E250AF" w:rsidRPr="0069011F">
        <w:rPr>
          <w:lang w:val="es-ES"/>
        </w:rPr>
        <w:t xml:space="preserve">para </w:t>
      </w:r>
      <w:r w:rsidRPr="0069011F">
        <w:rPr>
          <w:lang w:val="es-ES"/>
        </w:rPr>
        <w:t xml:space="preserve">determinados </w:t>
      </w:r>
      <w:r w:rsidR="00E250AF" w:rsidRPr="0069011F">
        <w:rPr>
          <w:lang w:val="es-ES"/>
        </w:rPr>
        <w:t>propósitos.</w:t>
      </w:r>
      <w:r w:rsidR="00F71C11" w:rsidRPr="0069011F">
        <w:rPr>
          <w:lang w:val="es-ES"/>
        </w:rPr>
        <w:t xml:space="preserve"> </w:t>
      </w:r>
      <w:r w:rsidR="008510D9" w:rsidRPr="0069011F">
        <w:rPr>
          <w:lang w:val="es-ES"/>
        </w:rPr>
        <w:t>Los solicitantes ya pueden cargar los documentos de la fase internacional al ePCT para enviarlos a Oficinas distintas de la Oficina Internacional, se les asigna una marca de tiempo según la zona horaria que les corresponda y se transfieren a esa otra Oficina por una ruta acordada y, de este modo, en caso de que los sistemas de la Oficina correspondiente no estén disponibles en el momento en que se realizó la carga, la transferencia se realiza más tarde, puesto que la marca de tiempo proporciona una indicación de cuándo se puso a disposición de la Oficina.</w:t>
      </w:r>
      <w:r w:rsidR="00F71C11" w:rsidRPr="0069011F">
        <w:rPr>
          <w:lang w:val="es-ES"/>
        </w:rPr>
        <w:t xml:space="preserve"> </w:t>
      </w:r>
      <w:r w:rsidR="008510D9" w:rsidRPr="0069011F">
        <w:rPr>
          <w:lang w:val="es-ES"/>
        </w:rPr>
        <w:t>Con los acuerdos adecuados, el mismo mecanismo podría extenderse a otras situaciones, permitiendo al ePCT actuar como un servicio de emergencia para los sistemas de las Oficinas nacionales más allá de la fase internacional del PCT y, a la inversa, permitiendo que los sistemas de las Oficinas nacionales marquen la fecha y la hora de los documentos destinados a la Oficina Internacional (o a otras Oficinas nacionales)</w:t>
      </w:r>
      <w:r w:rsidR="00F71C11" w:rsidRPr="0069011F">
        <w:rPr>
          <w:lang w:val="es-ES"/>
        </w:rPr>
        <w:t>.</w:t>
      </w:r>
    </w:p>
    <w:p w14:paraId="280B927A" w14:textId="41DCF4F8" w:rsidR="00F71C11" w:rsidRPr="0069011F" w:rsidRDefault="00D31057" w:rsidP="000E4D10">
      <w:pPr>
        <w:pStyle w:val="ONUME"/>
        <w:tabs>
          <w:tab w:val="left" w:pos="6096"/>
        </w:tabs>
        <w:ind w:left="5534"/>
        <w:rPr>
          <w:i/>
          <w:iCs/>
          <w:lang w:val="es-ES"/>
        </w:rPr>
      </w:pPr>
      <w:r w:rsidRPr="0069011F">
        <w:rPr>
          <w:i/>
          <w:lang w:val="es-ES"/>
        </w:rPr>
        <w:t>Se invita al Grupo de Trabajo a</w:t>
      </w:r>
      <w:r w:rsidR="00F71C11" w:rsidRPr="0069011F">
        <w:rPr>
          <w:i/>
          <w:lang w:val="es-ES"/>
        </w:rPr>
        <w:t>:</w:t>
      </w:r>
    </w:p>
    <w:p w14:paraId="5EFF1B99" w14:textId="6177B0B1" w:rsidR="00F71C11" w:rsidRPr="0069011F" w:rsidRDefault="00F71C11" w:rsidP="00F71C11">
      <w:pPr>
        <w:pStyle w:val="ONUME"/>
        <w:numPr>
          <w:ilvl w:val="0"/>
          <w:numId w:val="0"/>
        </w:numPr>
        <w:tabs>
          <w:tab w:val="left" w:pos="6096"/>
        </w:tabs>
        <w:ind w:left="5533"/>
        <w:rPr>
          <w:i/>
          <w:lang w:val="es-ES"/>
        </w:rPr>
      </w:pPr>
      <w:r w:rsidRPr="0069011F">
        <w:rPr>
          <w:i/>
          <w:lang w:val="es-ES"/>
        </w:rPr>
        <w:t>i)</w:t>
      </w:r>
      <w:r w:rsidRPr="0069011F">
        <w:rPr>
          <w:i/>
          <w:lang w:val="es-ES"/>
        </w:rPr>
        <w:tab/>
      </w:r>
      <w:r w:rsidR="00D31057" w:rsidRPr="0069011F">
        <w:rPr>
          <w:i/>
          <w:lang w:val="es-ES"/>
        </w:rPr>
        <w:t>tomar nota de la evolución de los servicios en línea del PCT</w:t>
      </w:r>
      <w:r w:rsidRPr="0069011F">
        <w:rPr>
          <w:i/>
          <w:lang w:val="es-ES"/>
        </w:rPr>
        <w:t>;</w:t>
      </w:r>
    </w:p>
    <w:p w14:paraId="7BD2AF25" w14:textId="47C257EF" w:rsidR="00F71C11" w:rsidRPr="0069011F" w:rsidRDefault="00F71C11" w:rsidP="00F71C11">
      <w:pPr>
        <w:pStyle w:val="ONUME"/>
        <w:numPr>
          <w:ilvl w:val="0"/>
          <w:numId w:val="0"/>
        </w:numPr>
        <w:tabs>
          <w:tab w:val="left" w:pos="6096"/>
        </w:tabs>
        <w:ind w:left="5533"/>
        <w:rPr>
          <w:i/>
          <w:lang w:val="es-ES"/>
        </w:rPr>
      </w:pPr>
      <w:r w:rsidRPr="0069011F">
        <w:rPr>
          <w:i/>
          <w:lang w:val="es-ES"/>
        </w:rPr>
        <w:t>ii)</w:t>
      </w:r>
      <w:r w:rsidRPr="0069011F">
        <w:rPr>
          <w:i/>
          <w:lang w:val="es-ES"/>
        </w:rPr>
        <w:tab/>
      </w:r>
      <w:r w:rsidR="00D31057" w:rsidRPr="0069011F">
        <w:rPr>
          <w:i/>
          <w:lang w:val="es-ES"/>
        </w:rPr>
        <w:t>formular observaciones sobre las prioridades propuestas para su ulterior desarrollo por la Oficina Internacional; y</w:t>
      </w:r>
    </w:p>
    <w:p w14:paraId="7BA47E3D" w14:textId="708BDD8C" w:rsidR="001E396B" w:rsidRPr="0069011F" w:rsidRDefault="00F71C11" w:rsidP="001E396B">
      <w:pPr>
        <w:pStyle w:val="ONUME"/>
        <w:numPr>
          <w:ilvl w:val="0"/>
          <w:numId w:val="0"/>
        </w:numPr>
        <w:tabs>
          <w:tab w:val="left" w:pos="6096"/>
        </w:tabs>
        <w:ind w:left="5533"/>
        <w:rPr>
          <w:i/>
          <w:lang w:val="es-ES"/>
        </w:rPr>
      </w:pPr>
      <w:r w:rsidRPr="0069011F">
        <w:rPr>
          <w:i/>
          <w:lang w:val="es-ES"/>
        </w:rPr>
        <w:lastRenderedPageBreak/>
        <w:t>iii)</w:t>
      </w:r>
      <w:r w:rsidRPr="0069011F">
        <w:rPr>
          <w:i/>
          <w:lang w:val="es-ES"/>
        </w:rPr>
        <w:tab/>
      </w:r>
      <w:r w:rsidR="00D31057" w:rsidRPr="0069011F">
        <w:rPr>
          <w:i/>
          <w:lang w:val="es-ES"/>
        </w:rPr>
        <w:t>señalar otros aspectos que deban abordarse prioritariamente con respecto a los servicios del PCT por Internet</w:t>
      </w:r>
      <w:r w:rsidRPr="0069011F">
        <w:rPr>
          <w:i/>
          <w:lang w:val="es-ES"/>
        </w:rPr>
        <w:t>.</w:t>
      </w:r>
    </w:p>
    <w:p w14:paraId="0492E398" w14:textId="77777777" w:rsidR="00F71C11" w:rsidRPr="0069011F" w:rsidRDefault="00F71C11" w:rsidP="000E4D10">
      <w:pPr>
        <w:ind w:left="5533"/>
        <w:rPr>
          <w:lang w:val="es-ES"/>
        </w:rPr>
      </w:pPr>
    </w:p>
    <w:p w14:paraId="1231EEA0" w14:textId="34B8F106" w:rsidR="002928D3" w:rsidRPr="0069011F" w:rsidRDefault="00D31057" w:rsidP="00F71C11">
      <w:pPr>
        <w:pStyle w:val="Endofdocument-Annex"/>
      </w:pPr>
      <w:r w:rsidRPr="0069011F">
        <w:rPr>
          <w:lang w:val="es-ES"/>
        </w:rPr>
        <w:t>[Fin del documento]</w:t>
      </w:r>
    </w:p>
    <w:sectPr w:rsidR="002928D3" w:rsidRPr="0069011F" w:rsidSect="00F71C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3E131" w14:textId="77777777" w:rsidR="003F111B" w:rsidRDefault="003F111B">
      <w:r>
        <w:separator/>
      </w:r>
    </w:p>
  </w:endnote>
  <w:endnote w:type="continuationSeparator" w:id="0">
    <w:p w14:paraId="2ED3CAA4" w14:textId="77777777" w:rsidR="003F111B" w:rsidRDefault="003F111B" w:rsidP="003B38C1">
      <w:r>
        <w:separator/>
      </w:r>
    </w:p>
    <w:p w14:paraId="0E11C6A7" w14:textId="77777777" w:rsidR="003F111B" w:rsidRPr="003B38C1" w:rsidRDefault="003F111B" w:rsidP="003B38C1">
      <w:pPr>
        <w:spacing w:after="60"/>
        <w:rPr>
          <w:sz w:val="17"/>
        </w:rPr>
      </w:pPr>
      <w:r>
        <w:rPr>
          <w:sz w:val="17"/>
        </w:rPr>
        <w:t>[Endnote continued from previous page]</w:t>
      </w:r>
    </w:p>
  </w:endnote>
  <w:endnote w:type="continuationNotice" w:id="1">
    <w:p w14:paraId="799901AD" w14:textId="77777777" w:rsidR="003F111B" w:rsidRPr="003B38C1" w:rsidRDefault="003F11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D7C89" w14:textId="77777777" w:rsidR="003F111B" w:rsidRDefault="003F111B">
      <w:r>
        <w:separator/>
      </w:r>
    </w:p>
  </w:footnote>
  <w:footnote w:type="continuationSeparator" w:id="0">
    <w:p w14:paraId="380D5C9A" w14:textId="77777777" w:rsidR="003F111B" w:rsidRDefault="003F111B" w:rsidP="008B60B2">
      <w:r>
        <w:separator/>
      </w:r>
    </w:p>
    <w:p w14:paraId="73A664A5" w14:textId="77777777" w:rsidR="003F111B" w:rsidRPr="00ED77FB" w:rsidRDefault="003F111B" w:rsidP="008B60B2">
      <w:pPr>
        <w:spacing w:after="60"/>
        <w:rPr>
          <w:sz w:val="17"/>
          <w:szCs w:val="17"/>
        </w:rPr>
      </w:pPr>
      <w:r w:rsidRPr="00ED77FB">
        <w:rPr>
          <w:sz w:val="17"/>
          <w:szCs w:val="17"/>
        </w:rPr>
        <w:t>[Footnote continued from previous page]</w:t>
      </w:r>
    </w:p>
  </w:footnote>
  <w:footnote w:type="continuationNotice" w:id="1">
    <w:p w14:paraId="53936AE9" w14:textId="77777777" w:rsidR="003F111B" w:rsidRPr="00ED77FB" w:rsidRDefault="003F111B" w:rsidP="008B60B2">
      <w:pPr>
        <w:spacing w:before="60"/>
        <w:jc w:val="right"/>
        <w:rPr>
          <w:sz w:val="17"/>
          <w:szCs w:val="17"/>
        </w:rPr>
      </w:pPr>
      <w:r w:rsidRPr="00ED77FB">
        <w:rPr>
          <w:sz w:val="17"/>
          <w:szCs w:val="17"/>
        </w:rPr>
        <w:t>[Footnote continued on next page]</w:t>
      </w:r>
    </w:p>
  </w:footnote>
  <w:footnote w:id="2">
    <w:p w14:paraId="5FBA423C" w14:textId="77777777" w:rsidR="008F38FC" w:rsidRPr="00EC03AF" w:rsidRDefault="008F38FC" w:rsidP="00AE7F63">
      <w:pPr>
        <w:pStyle w:val="FootnoteText"/>
        <w:rPr>
          <w:lang w:val="es-ES"/>
        </w:rPr>
      </w:pPr>
      <w:r>
        <w:rPr>
          <w:rStyle w:val="FootnoteReference"/>
        </w:rPr>
        <w:footnoteRef/>
      </w:r>
      <w:r>
        <w:rPr>
          <w:rFonts w:eastAsia="Arial"/>
          <w:szCs w:val="18"/>
          <w:bdr w:val="nil"/>
          <w:lang w:val="es-ES_tradnl"/>
        </w:rPr>
        <w:t xml:space="preserve"> </w:t>
      </w:r>
      <w:r>
        <w:rPr>
          <w:rFonts w:eastAsia="Arial"/>
          <w:szCs w:val="18"/>
          <w:bdr w:val="nil"/>
          <w:lang w:val="es-ES_tradnl"/>
        </w:rPr>
        <w:tab/>
        <w:t xml:space="preserve"> Véase, en inglés, https://www.wipo.int/pct/en/epct/resources/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8EFF" w14:textId="77777777" w:rsidR="008F38FC" w:rsidRDefault="008F38FC" w:rsidP="00477D6B">
    <w:pPr>
      <w:jc w:val="right"/>
    </w:pPr>
    <w:bookmarkStart w:id="5" w:name="Code2"/>
    <w:bookmarkEnd w:id="5"/>
    <w:r>
      <w:t>PCT/WG/12/10</w:t>
    </w:r>
  </w:p>
  <w:p w14:paraId="1172B1F1" w14:textId="74FAC579" w:rsidR="008F38FC" w:rsidRDefault="008F38FC" w:rsidP="00477D6B">
    <w:pPr>
      <w:jc w:val="right"/>
    </w:pPr>
    <w:r>
      <w:t xml:space="preserve">página </w:t>
    </w:r>
    <w:r>
      <w:fldChar w:fldCharType="begin"/>
    </w:r>
    <w:r>
      <w:instrText xml:space="preserve"> PAGE  \* MERGEFORMAT </w:instrText>
    </w:r>
    <w:r>
      <w:fldChar w:fldCharType="separate"/>
    </w:r>
    <w:r w:rsidR="0069011F">
      <w:rPr>
        <w:noProof/>
      </w:rPr>
      <w:t>2</w:t>
    </w:r>
    <w:r>
      <w:fldChar w:fldCharType="end"/>
    </w:r>
  </w:p>
  <w:p w14:paraId="78213434" w14:textId="77777777" w:rsidR="008F38FC" w:rsidRDefault="008F38FC" w:rsidP="00477D6B">
    <w:pPr>
      <w:jc w:val="right"/>
    </w:pPr>
  </w:p>
  <w:p w14:paraId="2CDC9DF0" w14:textId="77777777" w:rsidR="008F38FC" w:rsidRDefault="008F38F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44AE2F24"/>
    <w:lvl w:ilvl="0">
      <w:start w:val="1"/>
      <w:numFmt w:val="decimal"/>
      <w:lvlRestart w:val="0"/>
      <w:pStyle w:val="ONUME"/>
      <w:lvlText w:val="%1."/>
      <w:lvlJc w:val="left"/>
      <w:pPr>
        <w:tabs>
          <w:tab w:val="num" w:pos="567"/>
        </w:tabs>
        <w:ind w:left="0" w:firstLine="0"/>
      </w:pPr>
      <w:rPr>
        <w:rFonts w:hint="default"/>
        <w:szCs w:val="22"/>
      </w:rPr>
    </w:lvl>
    <w:lvl w:ilvl="1">
      <w:start w:val="1"/>
      <w:numFmt w:val="lowerLetter"/>
      <w:lvlText w:val="%2)"/>
      <w:lvlJc w:val="left"/>
      <w:pPr>
        <w:ind w:left="927" w:hanging="36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11"/>
    <w:rsid w:val="0000451F"/>
    <w:rsid w:val="00014D92"/>
    <w:rsid w:val="00017A14"/>
    <w:rsid w:val="00043CAA"/>
    <w:rsid w:val="00047B25"/>
    <w:rsid w:val="00055503"/>
    <w:rsid w:val="00057AF1"/>
    <w:rsid w:val="000605B6"/>
    <w:rsid w:val="00071170"/>
    <w:rsid w:val="00075432"/>
    <w:rsid w:val="000936FD"/>
    <w:rsid w:val="000968ED"/>
    <w:rsid w:val="000A110E"/>
    <w:rsid w:val="000A1BDE"/>
    <w:rsid w:val="000C4252"/>
    <w:rsid w:val="000C646D"/>
    <w:rsid w:val="000C6CD0"/>
    <w:rsid w:val="000C7A09"/>
    <w:rsid w:val="000D5D62"/>
    <w:rsid w:val="000E4D10"/>
    <w:rsid w:val="000F5E56"/>
    <w:rsid w:val="00107185"/>
    <w:rsid w:val="001071E0"/>
    <w:rsid w:val="00112E9D"/>
    <w:rsid w:val="001362EE"/>
    <w:rsid w:val="00137B9B"/>
    <w:rsid w:val="00142D02"/>
    <w:rsid w:val="001452C6"/>
    <w:rsid w:val="001553DA"/>
    <w:rsid w:val="0016454D"/>
    <w:rsid w:val="001647D5"/>
    <w:rsid w:val="001832A6"/>
    <w:rsid w:val="001A119E"/>
    <w:rsid w:val="001A6680"/>
    <w:rsid w:val="001B1907"/>
    <w:rsid w:val="001B3BE9"/>
    <w:rsid w:val="001B4745"/>
    <w:rsid w:val="001D4044"/>
    <w:rsid w:val="001E396B"/>
    <w:rsid w:val="001E3E63"/>
    <w:rsid w:val="001E4EEB"/>
    <w:rsid w:val="001E7C74"/>
    <w:rsid w:val="001F079C"/>
    <w:rsid w:val="001F2082"/>
    <w:rsid w:val="001F7C6D"/>
    <w:rsid w:val="0021178C"/>
    <w:rsid w:val="0021217E"/>
    <w:rsid w:val="00223755"/>
    <w:rsid w:val="00243FA5"/>
    <w:rsid w:val="00250D91"/>
    <w:rsid w:val="002634C4"/>
    <w:rsid w:val="0026649E"/>
    <w:rsid w:val="00273FBC"/>
    <w:rsid w:val="00284917"/>
    <w:rsid w:val="00290280"/>
    <w:rsid w:val="002928D3"/>
    <w:rsid w:val="002937C9"/>
    <w:rsid w:val="00295C34"/>
    <w:rsid w:val="002A094B"/>
    <w:rsid w:val="002B23F6"/>
    <w:rsid w:val="002B7843"/>
    <w:rsid w:val="002C3083"/>
    <w:rsid w:val="002D4540"/>
    <w:rsid w:val="002F0A02"/>
    <w:rsid w:val="002F1FE6"/>
    <w:rsid w:val="002F4E68"/>
    <w:rsid w:val="002F5A2C"/>
    <w:rsid w:val="002F5AEB"/>
    <w:rsid w:val="00312F7F"/>
    <w:rsid w:val="00315BD8"/>
    <w:rsid w:val="00317517"/>
    <w:rsid w:val="00343EB7"/>
    <w:rsid w:val="00344C78"/>
    <w:rsid w:val="00346436"/>
    <w:rsid w:val="003469E6"/>
    <w:rsid w:val="00347571"/>
    <w:rsid w:val="00361450"/>
    <w:rsid w:val="003673CF"/>
    <w:rsid w:val="003845C1"/>
    <w:rsid w:val="003870B3"/>
    <w:rsid w:val="00391FE7"/>
    <w:rsid w:val="003966B9"/>
    <w:rsid w:val="003A2953"/>
    <w:rsid w:val="003A6F89"/>
    <w:rsid w:val="003B38C1"/>
    <w:rsid w:val="003D0333"/>
    <w:rsid w:val="003D5922"/>
    <w:rsid w:val="003E12E5"/>
    <w:rsid w:val="003F111B"/>
    <w:rsid w:val="00403D9F"/>
    <w:rsid w:val="00404463"/>
    <w:rsid w:val="0041061D"/>
    <w:rsid w:val="00410888"/>
    <w:rsid w:val="00423E3E"/>
    <w:rsid w:val="00427AF4"/>
    <w:rsid w:val="00443644"/>
    <w:rsid w:val="00447A5A"/>
    <w:rsid w:val="00451BA7"/>
    <w:rsid w:val="00451E68"/>
    <w:rsid w:val="004534D2"/>
    <w:rsid w:val="00453D1E"/>
    <w:rsid w:val="004647DA"/>
    <w:rsid w:val="00465E1F"/>
    <w:rsid w:val="00466BBF"/>
    <w:rsid w:val="00470300"/>
    <w:rsid w:val="00474062"/>
    <w:rsid w:val="004746D9"/>
    <w:rsid w:val="00476AA3"/>
    <w:rsid w:val="00477D6B"/>
    <w:rsid w:val="004936B7"/>
    <w:rsid w:val="00493839"/>
    <w:rsid w:val="004A74CE"/>
    <w:rsid w:val="004B21BD"/>
    <w:rsid w:val="004C3D29"/>
    <w:rsid w:val="004C5FA7"/>
    <w:rsid w:val="004C64F3"/>
    <w:rsid w:val="004D56AD"/>
    <w:rsid w:val="004F683A"/>
    <w:rsid w:val="005019FF"/>
    <w:rsid w:val="00507FF9"/>
    <w:rsid w:val="00514856"/>
    <w:rsid w:val="00520113"/>
    <w:rsid w:val="005242F0"/>
    <w:rsid w:val="00525EAE"/>
    <w:rsid w:val="0053057A"/>
    <w:rsid w:val="00543254"/>
    <w:rsid w:val="005534DB"/>
    <w:rsid w:val="00554C44"/>
    <w:rsid w:val="00555E3D"/>
    <w:rsid w:val="00560A29"/>
    <w:rsid w:val="005826E9"/>
    <w:rsid w:val="00586512"/>
    <w:rsid w:val="00595A0E"/>
    <w:rsid w:val="005A2D98"/>
    <w:rsid w:val="005A496F"/>
    <w:rsid w:val="005A5D12"/>
    <w:rsid w:val="005A6AA8"/>
    <w:rsid w:val="005B2C16"/>
    <w:rsid w:val="005C0909"/>
    <w:rsid w:val="005C1489"/>
    <w:rsid w:val="005C6649"/>
    <w:rsid w:val="005D171B"/>
    <w:rsid w:val="005D2D65"/>
    <w:rsid w:val="00605827"/>
    <w:rsid w:val="00613907"/>
    <w:rsid w:val="006153A5"/>
    <w:rsid w:val="0062283D"/>
    <w:rsid w:val="006255B7"/>
    <w:rsid w:val="00634F51"/>
    <w:rsid w:val="00637870"/>
    <w:rsid w:val="00641D37"/>
    <w:rsid w:val="006454FF"/>
    <w:rsid w:val="00646050"/>
    <w:rsid w:val="00651BC5"/>
    <w:rsid w:val="0066353D"/>
    <w:rsid w:val="00663BBD"/>
    <w:rsid w:val="006713CA"/>
    <w:rsid w:val="00674A0F"/>
    <w:rsid w:val="00676C5C"/>
    <w:rsid w:val="006828F7"/>
    <w:rsid w:val="0068489E"/>
    <w:rsid w:val="0069011F"/>
    <w:rsid w:val="006A5069"/>
    <w:rsid w:val="006A5B0C"/>
    <w:rsid w:val="006C6568"/>
    <w:rsid w:val="006C7AEF"/>
    <w:rsid w:val="00707A6B"/>
    <w:rsid w:val="00712C68"/>
    <w:rsid w:val="00720827"/>
    <w:rsid w:val="00730443"/>
    <w:rsid w:val="00731739"/>
    <w:rsid w:val="00733744"/>
    <w:rsid w:val="007343D5"/>
    <w:rsid w:val="00747527"/>
    <w:rsid w:val="00757404"/>
    <w:rsid w:val="007576D8"/>
    <w:rsid w:val="007611D0"/>
    <w:rsid w:val="007868E1"/>
    <w:rsid w:val="00791FFB"/>
    <w:rsid w:val="00794A11"/>
    <w:rsid w:val="007A58CE"/>
    <w:rsid w:val="007B79C8"/>
    <w:rsid w:val="007D0470"/>
    <w:rsid w:val="007D1613"/>
    <w:rsid w:val="007D56F8"/>
    <w:rsid w:val="007D733D"/>
    <w:rsid w:val="007E0D67"/>
    <w:rsid w:val="007E1C0F"/>
    <w:rsid w:val="007E4C0E"/>
    <w:rsid w:val="00817799"/>
    <w:rsid w:val="00836E1F"/>
    <w:rsid w:val="008462CF"/>
    <w:rsid w:val="00847AE4"/>
    <w:rsid w:val="008510D9"/>
    <w:rsid w:val="00857305"/>
    <w:rsid w:val="00865635"/>
    <w:rsid w:val="00880C3C"/>
    <w:rsid w:val="00886645"/>
    <w:rsid w:val="008A134B"/>
    <w:rsid w:val="008A2A95"/>
    <w:rsid w:val="008B06E2"/>
    <w:rsid w:val="008B2CC1"/>
    <w:rsid w:val="008B60B2"/>
    <w:rsid w:val="008D220B"/>
    <w:rsid w:val="008D286C"/>
    <w:rsid w:val="008D566F"/>
    <w:rsid w:val="008E0EC7"/>
    <w:rsid w:val="008E148C"/>
    <w:rsid w:val="008E43BB"/>
    <w:rsid w:val="008E6CEA"/>
    <w:rsid w:val="008F38FC"/>
    <w:rsid w:val="00901903"/>
    <w:rsid w:val="00905A4E"/>
    <w:rsid w:val="009066F3"/>
    <w:rsid w:val="0090731E"/>
    <w:rsid w:val="00911ED2"/>
    <w:rsid w:val="00916EE2"/>
    <w:rsid w:val="00926939"/>
    <w:rsid w:val="00942BD1"/>
    <w:rsid w:val="00953C32"/>
    <w:rsid w:val="00966A22"/>
    <w:rsid w:val="0096722F"/>
    <w:rsid w:val="00967571"/>
    <w:rsid w:val="00980843"/>
    <w:rsid w:val="009A53DF"/>
    <w:rsid w:val="009B5C9A"/>
    <w:rsid w:val="009C2FE2"/>
    <w:rsid w:val="009C7E8C"/>
    <w:rsid w:val="009D0001"/>
    <w:rsid w:val="009D0EDC"/>
    <w:rsid w:val="009E0B2B"/>
    <w:rsid w:val="009E2791"/>
    <w:rsid w:val="009E3F6F"/>
    <w:rsid w:val="009F499F"/>
    <w:rsid w:val="00A06834"/>
    <w:rsid w:val="00A06B19"/>
    <w:rsid w:val="00A37342"/>
    <w:rsid w:val="00A378FA"/>
    <w:rsid w:val="00A42DAF"/>
    <w:rsid w:val="00A45BD8"/>
    <w:rsid w:val="00A630B3"/>
    <w:rsid w:val="00A835B3"/>
    <w:rsid w:val="00A869B7"/>
    <w:rsid w:val="00AC205C"/>
    <w:rsid w:val="00AD04D6"/>
    <w:rsid w:val="00AD2F01"/>
    <w:rsid w:val="00AD683C"/>
    <w:rsid w:val="00AE7F63"/>
    <w:rsid w:val="00AF0861"/>
    <w:rsid w:val="00AF0A6B"/>
    <w:rsid w:val="00AF6CFD"/>
    <w:rsid w:val="00B05A69"/>
    <w:rsid w:val="00B05F04"/>
    <w:rsid w:val="00B6189A"/>
    <w:rsid w:val="00B65580"/>
    <w:rsid w:val="00B67F82"/>
    <w:rsid w:val="00B70109"/>
    <w:rsid w:val="00B86BD5"/>
    <w:rsid w:val="00B96FA6"/>
    <w:rsid w:val="00B9734B"/>
    <w:rsid w:val="00BA30E2"/>
    <w:rsid w:val="00BA5DAE"/>
    <w:rsid w:val="00BD5AFA"/>
    <w:rsid w:val="00BF1442"/>
    <w:rsid w:val="00BF2A77"/>
    <w:rsid w:val="00C11BFE"/>
    <w:rsid w:val="00C11F0F"/>
    <w:rsid w:val="00C247CE"/>
    <w:rsid w:val="00C400BC"/>
    <w:rsid w:val="00C448D1"/>
    <w:rsid w:val="00C44C2C"/>
    <w:rsid w:val="00C5068F"/>
    <w:rsid w:val="00C52FCB"/>
    <w:rsid w:val="00C561A2"/>
    <w:rsid w:val="00C5691D"/>
    <w:rsid w:val="00C86D74"/>
    <w:rsid w:val="00C97C47"/>
    <w:rsid w:val="00CA67A3"/>
    <w:rsid w:val="00CB4E93"/>
    <w:rsid w:val="00CC75FE"/>
    <w:rsid w:val="00CD04F1"/>
    <w:rsid w:val="00CD2E41"/>
    <w:rsid w:val="00CD42E1"/>
    <w:rsid w:val="00CE2856"/>
    <w:rsid w:val="00CE6746"/>
    <w:rsid w:val="00D0602C"/>
    <w:rsid w:val="00D11193"/>
    <w:rsid w:val="00D1418B"/>
    <w:rsid w:val="00D22830"/>
    <w:rsid w:val="00D23579"/>
    <w:rsid w:val="00D31057"/>
    <w:rsid w:val="00D31B6A"/>
    <w:rsid w:val="00D45252"/>
    <w:rsid w:val="00D54B6E"/>
    <w:rsid w:val="00D579B7"/>
    <w:rsid w:val="00D63935"/>
    <w:rsid w:val="00D71B4D"/>
    <w:rsid w:val="00D82433"/>
    <w:rsid w:val="00D84783"/>
    <w:rsid w:val="00D93D55"/>
    <w:rsid w:val="00DB4136"/>
    <w:rsid w:val="00DB59EA"/>
    <w:rsid w:val="00DC6DCB"/>
    <w:rsid w:val="00DE6924"/>
    <w:rsid w:val="00DF17CD"/>
    <w:rsid w:val="00E15015"/>
    <w:rsid w:val="00E250AF"/>
    <w:rsid w:val="00E335FE"/>
    <w:rsid w:val="00E430F9"/>
    <w:rsid w:val="00E5167C"/>
    <w:rsid w:val="00E7532E"/>
    <w:rsid w:val="00E87597"/>
    <w:rsid w:val="00EA32E6"/>
    <w:rsid w:val="00EA4E9D"/>
    <w:rsid w:val="00EA7D6E"/>
    <w:rsid w:val="00EC03AF"/>
    <w:rsid w:val="00EC168D"/>
    <w:rsid w:val="00EC1F49"/>
    <w:rsid w:val="00EC2875"/>
    <w:rsid w:val="00EC35AA"/>
    <w:rsid w:val="00EC4E49"/>
    <w:rsid w:val="00EC4F3B"/>
    <w:rsid w:val="00ED77FB"/>
    <w:rsid w:val="00EE45FA"/>
    <w:rsid w:val="00EE4FE6"/>
    <w:rsid w:val="00EF3AE6"/>
    <w:rsid w:val="00EF647F"/>
    <w:rsid w:val="00F266FC"/>
    <w:rsid w:val="00F66152"/>
    <w:rsid w:val="00F71C11"/>
    <w:rsid w:val="00F75361"/>
    <w:rsid w:val="00F960DD"/>
    <w:rsid w:val="00FB74E4"/>
    <w:rsid w:val="00FD347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8A18DCB"/>
  <w15:docId w15:val="{02A85835-CA87-49F9-B9E8-059AEAD7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Heading1Char">
    <w:name w:val="Heading 1 Char"/>
    <w:basedOn w:val="DefaultParagraphFont"/>
    <w:link w:val="Heading1"/>
    <w:rsid w:val="00F71C11"/>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F71C11"/>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semiHidden/>
    <w:rsid w:val="00F71C11"/>
    <w:rPr>
      <w:rFonts w:ascii="Arial" w:eastAsia="SimSun" w:hAnsi="Arial" w:cs="Arial"/>
      <w:sz w:val="18"/>
      <w:lang w:val="en-US" w:eastAsia="zh-CN"/>
    </w:rPr>
  </w:style>
  <w:style w:type="character" w:styleId="FootnoteReference">
    <w:name w:val="footnote reference"/>
    <w:basedOn w:val="DefaultParagraphFont"/>
    <w:semiHidden/>
    <w:unhideWhenUsed/>
    <w:rsid w:val="00F71C11"/>
    <w:rPr>
      <w:vertAlign w:val="superscript"/>
    </w:rPr>
  </w:style>
  <w:style w:type="character" w:styleId="CommentReference">
    <w:name w:val="annotation reference"/>
    <w:basedOn w:val="DefaultParagraphFont"/>
    <w:semiHidden/>
    <w:unhideWhenUsed/>
    <w:rsid w:val="003469E6"/>
    <w:rPr>
      <w:sz w:val="18"/>
      <w:szCs w:val="18"/>
    </w:rPr>
  </w:style>
  <w:style w:type="paragraph" w:styleId="CommentSubject">
    <w:name w:val="annotation subject"/>
    <w:basedOn w:val="CommentText"/>
    <w:next w:val="CommentText"/>
    <w:link w:val="CommentSubjectChar"/>
    <w:semiHidden/>
    <w:unhideWhenUsed/>
    <w:rsid w:val="003469E6"/>
    <w:rPr>
      <w:b/>
      <w:bCs/>
      <w:sz w:val="20"/>
    </w:rPr>
  </w:style>
  <w:style w:type="character" w:customStyle="1" w:styleId="CommentTextChar">
    <w:name w:val="Comment Text Char"/>
    <w:basedOn w:val="DefaultParagraphFont"/>
    <w:link w:val="CommentText"/>
    <w:semiHidden/>
    <w:rsid w:val="003469E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469E6"/>
    <w:rPr>
      <w:rFonts w:ascii="Arial" w:eastAsia="SimSun" w:hAnsi="Arial" w:cs="Arial"/>
      <w:b/>
      <w:bCs/>
      <w:sz w:val="18"/>
      <w:lang w:val="en-US" w:eastAsia="zh-CN"/>
    </w:rPr>
  </w:style>
  <w:style w:type="character" w:styleId="Hyperlink">
    <w:name w:val="Hyperlink"/>
    <w:basedOn w:val="DefaultParagraphFont"/>
    <w:unhideWhenUsed/>
    <w:rsid w:val="00346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F8B9-F1A6-4474-9737-8096CF7A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4971</Words>
  <Characters>27345</Characters>
  <Application>Microsoft Office Word</Application>
  <DocSecurity>0</DocSecurity>
  <Lines>227</Lines>
  <Paragraphs>64</Paragraphs>
  <ScaleCrop>false</ScaleCrop>
  <HeadingPairs>
    <vt:vector size="6" baseType="variant">
      <vt:variant>
        <vt:lpstr>Título</vt:lpstr>
      </vt:variant>
      <vt:variant>
        <vt:i4>1</vt:i4>
      </vt:variant>
      <vt:variant>
        <vt:lpstr>Títulos</vt:lpstr>
      </vt:variant>
      <vt:variant>
        <vt:i4>17</vt:i4>
      </vt:variant>
      <vt:variant>
        <vt:lpstr>Title</vt:lpstr>
      </vt:variant>
      <vt:variant>
        <vt:i4>1</vt:i4>
      </vt:variant>
    </vt:vector>
  </HeadingPairs>
  <TitlesOfParts>
    <vt:vector size="19" baseType="lpstr">
      <vt:lpstr>PCT/WG/12/10</vt:lpstr>
      <vt:lpstr>RESUMEN</vt:lpstr>
      <vt:lpstr>ESTADO DE LOS PRINCIPALES SERVICIOS POR INTERNET</vt:lpstr>
      <vt:lpstr>        ePCT y PCT-SAFE</vt:lpstr>
      <vt:lpstr>        eSearchCopy</vt:lpstr>
      <vt:lpstr>        DAS</vt:lpstr>
      <vt:lpstr>        PCT-EDI</vt:lpstr>
      <vt:lpstr>        WIPO CASE</vt:lpstr>
      <vt:lpstr>Utilización del formato XML</vt:lpstr>
      <vt:lpstr>        XML para el cuerpo de las solicitudes</vt:lpstr>
      <vt:lpstr>        XML para informes de búsqueda internacional y opiniones escritas</vt:lpstr>
      <vt:lpstr>        XML para formularios y tramitación</vt:lpstr>
      <vt:lpstr>otras cuestiones</vt:lpstr>
      <vt:lpstr>        Dibujos en color</vt:lpstr>
      <vt:lpstr>        Entrada en la fase nacional</vt:lpstr>
      <vt:lpstr>        Puntualidad y calidad de los datos</vt:lpstr>
      <vt:lpstr>        Listas de secuencias</vt:lpstr>
      <vt:lpstr>eTAPAS SIGUIENTES</vt:lpstr>
      <vt:lpstr>PCT/WG/12/8</vt:lpstr>
    </vt:vector>
  </TitlesOfParts>
  <Company>WIPO</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PCT/WG/12/10</dc:title>
  <dc:subject>PCT Online Services</dc:subject>
  <dc:creator>WIPO</dc:creator>
  <cp:keywords>ePCT</cp:keywords>
  <cp:lastModifiedBy>SANDOVAL Barbara</cp:lastModifiedBy>
  <cp:revision>9</cp:revision>
  <cp:lastPrinted>2019-04-15T12:08:00Z</cp:lastPrinted>
  <dcterms:created xsi:type="dcterms:W3CDTF">2019-05-13T10:13:00Z</dcterms:created>
  <dcterms:modified xsi:type="dcterms:W3CDTF">2019-05-13T12:29:00Z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